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FB0535" w14:textId="77777777" w:rsidR="00BD71DB" w:rsidRPr="009A1A2E" w:rsidRDefault="00BD71DB" w:rsidP="00BD71DB">
      <w:pPr>
        <w:ind w:firstLine="720"/>
        <w:jc w:val="center"/>
        <w:rPr>
          <w:rFonts w:cs="Arial"/>
          <w:b/>
          <w:sz w:val="48"/>
          <w:szCs w:val="48"/>
        </w:rPr>
      </w:pPr>
      <w:r w:rsidRPr="009A1A2E">
        <w:rPr>
          <w:rFonts w:cs="Arial"/>
          <w:b/>
          <w:sz w:val="48"/>
          <w:szCs w:val="48"/>
        </w:rPr>
        <w:t>1365 Partially Implantable Active Middle Ear Implant for Sensorineural Hearing Loss</w:t>
      </w:r>
    </w:p>
    <w:p w14:paraId="0BB5E38E" w14:textId="77777777" w:rsidR="00F77345" w:rsidRPr="009A1A2E" w:rsidRDefault="00FF05EE" w:rsidP="009E4B21">
      <w:pPr>
        <w:pStyle w:val="Mainsubtitle"/>
      </w:pPr>
      <w:r w:rsidRPr="009A1A2E">
        <w:t xml:space="preserve">Submission to </w:t>
      </w:r>
      <w:r w:rsidR="00FA5500" w:rsidRPr="009A1A2E">
        <w:t>MSAC</w:t>
      </w:r>
    </w:p>
    <w:p w14:paraId="58F2E2C7" w14:textId="77777777" w:rsidR="00F77345" w:rsidRPr="009A1A2E" w:rsidRDefault="00F77345" w:rsidP="009E4B21">
      <w:pPr>
        <w:pStyle w:val="Mainsubtitle"/>
      </w:pPr>
      <w:r w:rsidRPr="009A1A2E">
        <w:t xml:space="preserve">MSAC Application </w:t>
      </w:r>
      <w:r w:rsidR="0098177C" w:rsidRPr="009A1A2E">
        <w:t>1365</w:t>
      </w:r>
    </w:p>
    <w:p w14:paraId="78F2C887" w14:textId="7BC26B00" w:rsidR="00FF05EE" w:rsidRPr="009A1A2E" w:rsidRDefault="00127975" w:rsidP="009E4B21">
      <w:pPr>
        <w:pStyle w:val="Mainsubtitle"/>
      </w:pPr>
      <w:r w:rsidRPr="009A1A2E">
        <w:t>October</w:t>
      </w:r>
      <w:r w:rsidR="00FF05EE" w:rsidRPr="009A1A2E">
        <w:t xml:space="preserve"> 20</w:t>
      </w:r>
      <w:r w:rsidR="00326E4F" w:rsidRPr="009A1A2E">
        <w:t>1</w:t>
      </w:r>
      <w:r w:rsidR="00533563">
        <w:t>5</w:t>
      </w:r>
    </w:p>
    <w:p w14:paraId="1503D3E3" w14:textId="77777777" w:rsidR="00FF05EE" w:rsidRPr="009A1A2E" w:rsidRDefault="00B65845" w:rsidP="009E4B21">
      <w:pPr>
        <w:pStyle w:val="Mainsubtitle"/>
      </w:pPr>
      <w:r w:rsidRPr="009A1A2E">
        <w:t>MAIN BODY OF THE SUBMISSION</w:t>
      </w:r>
    </w:p>
    <w:p w14:paraId="4EE47438" w14:textId="77777777" w:rsidR="00362526" w:rsidRPr="009A1A2E" w:rsidRDefault="00362526" w:rsidP="00213B3B">
      <w:pPr>
        <w:jc w:val="both"/>
        <w:rPr>
          <w:rFonts w:cs="Arial"/>
        </w:rPr>
      </w:pPr>
    </w:p>
    <w:p w14:paraId="2D4B707F" w14:textId="77777777" w:rsidR="00046FB9" w:rsidRPr="009E4B21" w:rsidRDefault="00046FB9" w:rsidP="009E4B21">
      <w:pPr>
        <w:rPr>
          <w:b/>
        </w:rPr>
      </w:pPr>
      <w:r w:rsidRPr="009E4B21">
        <w:rPr>
          <w:b/>
        </w:rPr>
        <w:t>Submission prepared by:</w:t>
      </w:r>
    </w:p>
    <w:p w14:paraId="42277E0C" w14:textId="77777777" w:rsidR="00E77623" w:rsidRPr="009A1A2E" w:rsidRDefault="00E77623" w:rsidP="009E4B21">
      <w:r w:rsidRPr="009A1A2E">
        <w:t>MED-EL Implant Systems Australasia Pty Ltd</w:t>
      </w:r>
    </w:p>
    <w:p w14:paraId="001B57E6" w14:textId="6EDBD508" w:rsidR="00E77623" w:rsidRPr="00584160" w:rsidRDefault="00584160" w:rsidP="009E4B21">
      <w:pPr>
        <w:rPr>
          <w:lang w:val="fr-FR"/>
        </w:rPr>
      </w:pPr>
      <w:r w:rsidRPr="00584160">
        <w:rPr>
          <w:lang w:val="fr-FR"/>
        </w:rPr>
        <w:t xml:space="preserve">Suite 2.07, 90-96 Bourke Rd </w:t>
      </w:r>
    </w:p>
    <w:p w14:paraId="3407B53F" w14:textId="1BFA61BE" w:rsidR="00E77623" w:rsidRPr="00584160" w:rsidRDefault="00584160" w:rsidP="009E4B21">
      <w:pPr>
        <w:rPr>
          <w:lang w:val="fr-FR"/>
        </w:rPr>
      </w:pPr>
      <w:r w:rsidRPr="00584160">
        <w:rPr>
          <w:lang w:val="fr-FR"/>
        </w:rPr>
        <w:t>Alexandria</w:t>
      </w:r>
      <w:r w:rsidR="00E77623" w:rsidRPr="00584160">
        <w:rPr>
          <w:lang w:val="fr-FR"/>
        </w:rPr>
        <w:t xml:space="preserve"> NSW </w:t>
      </w:r>
      <w:r>
        <w:rPr>
          <w:lang w:val="fr-FR"/>
        </w:rPr>
        <w:t>2015</w:t>
      </w:r>
    </w:p>
    <w:p w14:paraId="26C10F8D" w14:textId="77777777" w:rsidR="00E77623" w:rsidRPr="009A1A2E" w:rsidRDefault="00E77623" w:rsidP="009E4B21">
      <w:r w:rsidRPr="009A1A2E">
        <w:t>Australia</w:t>
      </w:r>
    </w:p>
    <w:p w14:paraId="577E5808" w14:textId="77777777" w:rsidR="00E77623" w:rsidRPr="009A1A2E" w:rsidRDefault="00E77623" w:rsidP="009E4B21"/>
    <w:p w14:paraId="25041382" w14:textId="77777777" w:rsidR="00E77623" w:rsidRPr="009A1A2E" w:rsidRDefault="00E77623" w:rsidP="009E4B21">
      <w:pPr>
        <w:rPr>
          <w:b/>
        </w:rPr>
      </w:pPr>
      <w:r w:rsidRPr="009A1A2E">
        <w:rPr>
          <w:b/>
        </w:rPr>
        <w:t>Contact person:</w:t>
      </w:r>
    </w:p>
    <w:p w14:paraId="286D2B95" w14:textId="77777777" w:rsidR="00E77623" w:rsidRPr="009A1A2E" w:rsidRDefault="00E77623" w:rsidP="009E4B21">
      <w:r w:rsidRPr="009A1A2E">
        <w:t>Mrs Robyn Shakes / Managing Director</w:t>
      </w:r>
    </w:p>
    <w:p w14:paraId="7F2DC64C" w14:textId="77777777" w:rsidR="00E77623" w:rsidRPr="009A1A2E" w:rsidRDefault="00E77623" w:rsidP="009E4B21">
      <w:r w:rsidRPr="009A1A2E">
        <w:t xml:space="preserve">Ph: 0431 570 389  </w:t>
      </w:r>
    </w:p>
    <w:p w14:paraId="1A1D4347" w14:textId="77777777" w:rsidR="00E77623" w:rsidRPr="009A1A2E" w:rsidRDefault="009A7DB9" w:rsidP="009E4B21">
      <w:hyperlink r:id="rId9" w:history="1">
        <w:r w:rsidR="00E77623" w:rsidRPr="009A1A2E">
          <w:rPr>
            <w:rStyle w:val="Hyperlink"/>
            <w:rFonts w:cs="Arial"/>
            <w:sz w:val="24"/>
          </w:rPr>
          <w:t>robyn.shakes@medel.com</w:t>
        </w:r>
      </w:hyperlink>
    </w:p>
    <w:p w14:paraId="6FAAC365" w14:textId="77777777" w:rsidR="00E77623" w:rsidRPr="009A1A2E" w:rsidRDefault="00E77623" w:rsidP="009E4B21"/>
    <w:p w14:paraId="0516FA46" w14:textId="77777777" w:rsidR="00E77623" w:rsidRPr="009E4B21" w:rsidRDefault="00E77623" w:rsidP="009E4B21">
      <w:pPr>
        <w:rPr>
          <w:b/>
        </w:rPr>
      </w:pPr>
      <w:r w:rsidRPr="009E4B21">
        <w:rPr>
          <w:b/>
        </w:rPr>
        <w:t>Ms Matylda Jaworski / Regulatory Affairs</w:t>
      </w:r>
    </w:p>
    <w:p w14:paraId="5D8BF737" w14:textId="77777777" w:rsidR="00BF722B" w:rsidRPr="009A1A2E" w:rsidRDefault="00E77623" w:rsidP="009E4B21">
      <w:pPr>
        <w:rPr>
          <w:b/>
        </w:rPr>
      </w:pPr>
      <w:r w:rsidRPr="009A1A2E">
        <w:rPr>
          <w:b/>
        </w:rPr>
        <w:t xml:space="preserve">Ph: 0415 539 206  </w:t>
      </w:r>
    </w:p>
    <w:p w14:paraId="5D97E420" w14:textId="77777777" w:rsidR="00E77623" w:rsidRPr="009A1A2E" w:rsidRDefault="009A7DB9" w:rsidP="009E4B21">
      <w:pPr>
        <w:rPr>
          <w:b/>
          <w:color w:val="000000"/>
        </w:rPr>
        <w:sectPr w:rsidR="00E77623" w:rsidRPr="009A1A2E" w:rsidSect="008846BA">
          <w:headerReference w:type="even" r:id="rId10"/>
          <w:headerReference w:type="default" r:id="rId11"/>
          <w:footerReference w:type="even" r:id="rId12"/>
          <w:footerReference w:type="default" r:id="rId13"/>
          <w:headerReference w:type="first" r:id="rId14"/>
          <w:footerReference w:type="first" r:id="rId15"/>
          <w:pgSz w:w="11907" w:h="16839" w:code="9"/>
          <w:pgMar w:top="1440" w:right="1440" w:bottom="1440" w:left="1440" w:header="720" w:footer="720" w:gutter="0"/>
          <w:paperSrc w:first="7" w:other="7"/>
          <w:cols w:space="720"/>
          <w:noEndnote/>
          <w:docGrid w:linePitch="299"/>
        </w:sectPr>
      </w:pPr>
      <w:hyperlink r:id="rId16" w:history="1">
        <w:r w:rsidR="00E77623" w:rsidRPr="009A1A2E">
          <w:rPr>
            <w:rStyle w:val="Hyperlink"/>
            <w:rFonts w:cs="Arial"/>
            <w:b/>
          </w:rPr>
          <w:t>matylda.jaworski@medel.com</w:t>
        </w:r>
      </w:hyperlink>
    </w:p>
    <w:p w14:paraId="27179617" w14:textId="77777777" w:rsidR="00BF722B" w:rsidRPr="009A1A2E" w:rsidRDefault="00BF722B" w:rsidP="00B52DA0">
      <w:pPr>
        <w:pStyle w:val="Heading1"/>
        <w:rPr>
          <w:lang w:val="en-AU"/>
        </w:rPr>
      </w:pPr>
      <w:bookmarkStart w:id="0" w:name="_Toc400549387"/>
      <w:bookmarkStart w:id="1" w:name="_Toc431917540"/>
      <w:bookmarkStart w:id="2" w:name="_Toc335667776"/>
      <w:bookmarkStart w:id="3" w:name="_Toc335735587"/>
      <w:bookmarkStart w:id="4" w:name="_Toc335982475"/>
      <w:bookmarkStart w:id="5" w:name="_Toc336018324"/>
      <w:bookmarkStart w:id="6" w:name="_Toc336189651"/>
      <w:bookmarkStart w:id="7" w:name="_Toc336190190"/>
      <w:bookmarkStart w:id="8" w:name="_Toc161126711"/>
      <w:bookmarkStart w:id="9" w:name="_Toc170017599"/>
      <w:bookmarkStart w:id="10" w:name="_Toc258501752"/>
      <w:r w:rsidRPr="009A1A2E">
        <w:rPr>
          <w:lang w:val="en-AU"/>
        </w:rPr>
        <w:lastRenderedPageBreak/>
        <w:t>Executive Summary</w:t>
      </w:r>
      <w:bookmarkEnd w:id="0"/>
      <w:bookmarkEnd w:id="1"/>
    </w:p>
    <w:p w14:paraId="4EE5AA80" w14:textId="77777777" w:rsidR="00B52DA0" w:rsidRPr="009A1A2E" w:rsidRDefault="00B52DA0" w:rsidP="00B52DA0">
      <w:pPr>
        <w:pStyle w:val="Textbody"/>
        <w:rPr>
          <w:lang w:val="en-AU"/>
        </w:rPr>
      </w:pPr>
      <w:r w:rsidRPr="009A1A2E">
        <w:rPr>
          <w:lang w:val="en-AU"/>
        </w:rPr>
        <w:t>This application is seeking Medicare Benefits Schedule (MBS) listing of “Partially Implantable Active Middle Ear Implant for Sensorineural Hearing Loss”. The Australian Medical Services Advisor</w:t>
      </w:r>
      <w:r w:rsidR="00685E75" w:rsidRPr="009A1A2E">
        <w:rPr>
          <w:lang w:val="en-AU"/>
        </w:rPr>
        <w:t>y Committee (MSAC) has reviewed</w:t>
      </w:r>
      <w:r w:rsidRPr="009A1A2E">
        <w:rPr>
          <w:lang w:val="en-AU"/>
        </w:rPr>
        <w:t xml:space="preserve"> before (Application 1137, 2010).</w:t>
      </w:r>
    </w:p>
    <w:p w14:paraId="5BCAC88A" w14:textId="77777777" w:rsidR="00B52DA0" w:rsidRPr="009A1A2E" w:rsidRDefault="00B52DA0" w:rsidP="00B52DA0">
      <w:pPr>
        <w:pStyle w:val="Textbody"/>
        <w:rPr>
          <w:lang w:val="en-AU"/>
        </w:rPr>
      </w:pPr>
      <w:r w:rsidRPr="009A1A2E">
        <w:rPr>
          <w:lang w:val="en-AU"/>
        </w:rPr>
        <w:t>In Australia, the insertion of a partially implantable Middle Ear Implant is not offered as a treatment option so far, resulting in a very niche population of people with a SNHL and a medical condition preventing the use of conventional hearing aids (CHA) that is currently left untreated.</w:t>
      </w:r>
    </w:p>
    <w:p w14:paraId="0D7C4062" w14:textId="77777777" w:rsidR="00B52DA0" w:rsidRPr="009A1A2E" w:rsidRDefault="00B52DA0" w:rsidP="00B52DA0">
      <w:pPr>
        <w:pStyle w:val="Textbody"/>
        <w:rPr>
          <w:lang w:val="en-AU"/>
        </w:rPr>
      </w:pPr>
      <w:r w:rsidRPr="009A1A2E">
        <w:rPr>
          <w:lang w:val="en-AU"/>
        </w:rPr>
        <w:t xml:space="preserve">The Australian Medical Services Advisory Committee (MSAC) has reviewed Implantable Active Middle Ear Implant once before and compared it to cochlea implants (CI) and </w:t>
      </w:r>
      <w:r w:rsidRPr="009A1A2E">
        <w:rPr>
          <w:rFonts w:eastAsiaTheme="minorHAnsi"/>
          <w:lang w:val="en-AU"/>
        </w:rPr>
        <w:t>bone anchored hearing aid</w:t>
      </w:r>
      <w:r w:rsidR="00073DA6" w:rsidRPr="009A1A2E">
        <w:rPr>
          <w:rFonts w:eastAsiaTheme="minorHAnsi"/>
          <w:lang w:val="en-AU"/>
        </w:rPr>
        <w:t>s</w:t>
      </w:r>
      <w:r w:rsidRPr="009A1A2E">
        <w:rPr>
          <w:rFonts w:eastAsiaTheme="minorHAnsi"/>
          <w:lang w:val="en-AU"/>
        </w:rPr>
        <w:t xml:space="preserve"> (</w:t>
      </w:r>
      <w:r w:rsidRPr="009A1A2E">
        <w:rPr>
          <w:lang w:val="en-AU"/>
        </w:rPr>
        <w:t xml:space="preserve">BAHA). </w:t>
      </w:r>
      <w:r w:rsidRPr="009A1A2E">
        <w:rPr>
          <w:rFonts w:eastAsiaTheme="minorHAnsi"/>
          <w:lang w:val="en-AU"/>
        </w:rPr>
        <w:t>MSAC noted MEI will augment existing options of BAHA and</w:t>
      </w:r>
      <w:r w:rsidRPr="009A1A2E">
        <w:rPr>
          <w:lang w:val="en-AU"/>
        </w:rPr>
        <w:t xml:space="preserve"> </w:t>
      </w:r>
      <w:r w:rsidRPr="009A1A2E">
        <w:rPr>
          <w:rFonts w:eastAsiaTheme="minorHAnsi"/>
          <w:lang w:val="en-AU"/>
        </w:rPr>
        <w:t>CI when conventional hearing aids do not work or cannot be tolerated.</w:t>
      </w:r>
    </w:p>
    <w:p w14:paraId="72BEB8CE" w14:textId="77777777" w:rsidR="00B52DA0" w:rsidRPr="009A1A2E" w:rsidRDefault="00B52DA0" w:rsidP="00B52DA0">
      <w:pPr>
        <w:pStyle w:val="Textbody"/>
        <w:rPr>
          <w:lang w:val="en-AU"/>
        </w:rPr>
      </w:pPr>
      <w:r w:rsidRPr="009A1A2E">
        <w:rPr>
          <w:lang w:val="en-AU"/>
        </w:rPr>
        <w:t>MSAC’s conclusions from the 2009 review were as follows:</w:t>
      </w:r>
    </w:p>
    <w:p w14:paraId="19C4A270" w14:textId="77777777" w:rsidR="00B52DA0" w:rsidRPr="009A1A2E" w:rsidRDefault="00B52DA0" w:rsidP="00B52DA0">
      <w:pPr>
        <w:pStyle w:val="Textbody"/>
        <w:numPr>
          <w:ilvl w:val="0"/>
          <w:numId w:val="79"/>
        </w:numPr>
        <w:rPr>
          <w:lang w:val="en-AU"/>
        </w:rPr>
      </w:pPr>
      <w:r w:rsidRPr="009A1A2E">
        <w:rPr>
          <w:lang w:val="en-AU"/>
        </w:rPr>
        <w:t xml:space="preserve">Safety: </w:t>
      </w:r>
      <w:r w:rsidRPr="009A1A2E">
        <w:rPr>
          <w:rFonts w:eastAsiaTheme="minorHAnsi"/>
          <w:lang w:val="en-AU"/>
        </w:rPr>
        <w:t>due to the absence of comparative evidence it is not possible to accurately compare the rates of adverse events between patients receiving MEI, CI or BAHA, although a total of 1,222 patients were used to inform the safety of MEI. MSAC agreed there are no long term safety data available for MEI but on the limited available evidence, MEI is likely to be at least as safe as BAHA and CI. Surgical complexity of MEI is similar to CI and greater than BAHA. CI is a more risky procedure than BAHA, and BAHA site problems are not experienced with MEI.</w:t>
      </w:r>
      <w:r w:rsidRPr="009A1A2E">
        <w:rPr>
          <w:lang w:val="en-AU"/>
        </w:rPr>
        <w:t xml:space="preserve"> The current submission contains new clinical evidence and also requests MBS listing at the same fee as for CC which represents a reduction in cost versus previous submissions.</w:t>
      </w:r>
    </w:p>
    <w:p w14:paraId="27984FDF" w14:textId="77777777" w:rsidR="00B52DA0" w:rsidRPr="009A1A2E" w:rsidRDefault="00B52DA0" w:rsidP="00B52DA0">
      <w:pPr>
        <w:pStyle w:val="Textbody"/>
        <w:numPr>
          <w:ilvl w:val="0"/>
          <w:numId w:val="79"/>
        </w:numPr>
        <w:rPr>
          <w:lang w:val="en-AU"/>
        </w:rPr>
      </w:pPr>
      <w:r w:rsidRPr="009A1A2E">
        <w:rPr>
          <w:lang w:val="en-AU"/>
        </w:rPr>
        <w:t xml:space="preserve">Clinical effectiveness: </w:t>
      </w:r>
      <w:r w:rsidRPr="009A1A2E">
        <w:rPr>
          <w:rFonts w:eastAsiaTheme="minorHAnsi"/>
          <w:lang w:val="en-AU"/>
        </w:rPr>
        <w:t>MSAC noted there was a paucity of high level evidence with which to assess the effectiveness of the MEI. In the absence of any comparative studies, MSAC could not be confident of the comparative effectiveness of MEI versus BAHA, and thus could not conclude that MEI is more effective than BAHA in any patient group. The majority of the available studies assessed MEI in patients with SNHL. This is reflective of the anticipated Australian practice suggested by the clinical experts. MSAC cautioned against the very small number of studies of highly variable quality, and agreed that superior effectiveness of MEI over CI or BAHA could not be demonstrated.</w:t>
      </w:r>
    </w:p>
    <w:p w14:paraId="193CE5CC" w14:textId="77777777" w:rsidR="00B52DA0" w:rsidRPr="00B745E4" w:rsidRDefault="00B52DA0" w:rsidP="00B52DA0">
      <w:pPr>
        <w:pStyle w:val="Textbody"/>
        <w:numPr>
          <w:ilvl w:val="0"/>
          <w:numId w:val="79"/>
        </w:numPr>
        <w:rPr>
          <w:lang w:val="en-AU"/>
        </w:rPr>
      </w:pPr>
      <w:r w:rsidRPr="009A1A2E">
        <w:rPr>
          <w:rFonts w:eastAsiaTheme="minorHAnsi"/>
          <w:lang w:val="en-AU"/>
        </w:rPr>
        <w:t xml:space="preserve">Economic evaluation: Due to insufficient data on comparative effectiveness to support a full cost-effectiveness analysis, a cost comparison was conducted for the </w:t>
      </w:r>
      <w:r w:rsidRPr="009A1A2E">
        <w:rPr>
          <w:rFonts w:eastAsiaTheme="minorHAnsi"/>
          <w:lang w:val="en-AU"/>
        </w:rPr>
        <w:lastRenderedPageBreak/>
        <w:t>different costs associated with each of the three procedures. MSAC noted there was no measure of the magnitude of clinical benefit included in the economic analysis. In addition, MSAC noted that substantial co-payment/out of pocket expenses would be likely for some MBS items. MSAC noted there would be major out-of-pocket expenses for in-hospital services but that these do not contribute to the Safety Net accumulations. MSAC did not agree with expert opinion and the numbers suggested in the application, that MEI would replace current CI and BAHA use, or that there would be a large pool of unmet need of those with hearing loss due to the cosmetic attraction of MEI versus BAHA, but rather noted, the selection of MEI over BAHA or CI is determined on a case-by-case basis and depends on the patient’s individual circumstances and options. MSAC noted that individuals who currently persist with hearing loss or a less than optimal hearing aid, may consider MEI implantation but would not consider BAHA or CI. Sensitivity analysis suggests that if one percent of the estimated pool of individuals with moderate or severe hearing loss elected to have MEI, the additional cost would be AUD 2,291,787. These estimates are based on prevalence data of hearing loss in Australia and include a large proportion of older Australians for whom an MEI would not be suitable. MSAC agreed that the main reason for implantation of a MEI is not cosmetic, but rather medical reasons in subjects with chronic external otitis who cannot tolerate occlusion of the external ear canal. MSAC also accepted that some patients would ‘choose’ MEI due to greater convenience than BAHA and CI. MSAC noted the base case assumed full substitution giving a cost saving per patient of AUD 5,878 in the current pool of patients, and that substitution of MEI for CI would be cost saving (76% of current pool have CI), whilst substitution for BAHA would be cost-increasing (24% of current pool have BAHA). Therefore, the net effect is cost saving with full substitution if MEI results in patients being at least as well off as, or better off than, after BAHA or CI. MSAC noted the outcomes depend on the type and severity of HL, and presence of therapy-resistant external otitis (or any other medical conditions that may arise out of using BAHA or CI), and would therefore influence the level of substitution across categories. However, the evidence suggests that full substitution is unlikely (low usage to date) and MEI does not appear to be superior to CI. MSAC concluded that MEI is more expensive than BAHA, but less expensive than CI. MSAC was unable to identify any particular sub group of patients who would be suitable for MEI due to failure of hearing aids and other conservative treatment.</w:t>
      </w:r>
    </w:p>
    <w:p w14:paraId="50487709" w14:textId="77777777" w:rsidR="00B52DA0" w:rsidRPr="009A1A2E" w:rsidRDefault="00B52DA0" w:rsidP="00B52DA0">
      <w:pPr>
        <w:pStyle w:val="Textbody"/>
        <w:numPr>
          <w:ilvl w:val="0"/>
          <w:numId w:val="79"/>
        </w:numPr>
        <w:rPr>
          <w:lang w:val="en-AU"/>
        </w:rPr>
      </w:pPr>
      <w:r w:rsidRPr="009A1A2E">
        <w:rPr>
          <w:rFonts w:eastAsiaTheme="minorHAnsi"/>
          <w:lang w:val="en-AU"/>
        </w:rPr>
        <w:t xml:space="preserve">Budgetary impacts: MSAC estimated the first year cost of an MEI, BAHA and CI is AUD 23,873, AUD 15,207 and AUD 34,466 respectively. However, MSAC found uncertainty around the utilisation estimates, but acknowledged the applicant’s </w:t>
      </w:r>
      <w:r w:rsidRPr="009A1A2E">
        <w:rPr>
          <w:rFonts w:eastAsiaTheme="minorHAnsi"/>
          <w:lang w:val="en-AU"/>
        </w:rPr>
        <w:lastRenderedPageBreak/>
        <w:t>response to the final Assessment Report stressed the importance of enforcing appropriate medical indications for use of MEI. Based on 2006-07 MBS data, the total cost of BAHA would be AUD 1,611,957 (106 patients) and the total cost of CI would be AUD 11,270,250 (327 patients). This gives a total cost of AUD 12,882,207. If MEI were used instead of BAHA and CI, the total cost would be AUD 10,336,916. Hence, the cost savings of performing MEI as a direct replacement for BAHA and CI would be over AUD 2.5 million.</w:t>
      </w:r>
    </w:p>
    <w:p w14:paraId="070B6964" w14:textId="77777777" w:rsidR="00B52DA0" w:rsidRPr="009A1A2E" w:rsidRDefault="00B52DA0" w:rsidP="00B52DA0">
      <w:pPr>
        <w:pStyle w:val="Textbody"/>
        <w:numPr>
          <w:ilvl w:val="0"/>
          <w:numId w:val="79"/>
        </w:numPr>
        <w:rPr>
          <w:lang w:val="en-AU"/>
        </w:rPr>
      </w:pPr>
      <w:r w:rsidRPr="009A1A2E">
        <w:rPr>
          <w:rFonts w:eastAsiaTheme="minorHAnsi"/>
          <w:lang w:val="en-AU"/>
        </w:rPr>
        <w:t>MSAC’s advice to the minister: After considering the strength of the available evidence in relation to the safety, effectiveness and cost-effectiveness of the middle ear implant as a treatment for hearing loss, MSAC does not support public funding for middle ear implants.</w:t>
      </w:r>
    </w:p>
    <w:p w14:paraId="5BD6E1FD" w14:textId="77777777" w:rsidR="00B52DA0" w:rsidRPr="009A1A2E" w:rsidRDefault="00B52DA0" w:rsidP="00B52DA0">
      <w:pPr>
        <w:autoSpaceDE w:val="0"/>
        <w:autoSpaceDN w:val="0"/>
        <w:adjustRightInd w:val="0"/>
        <w:jc w:val="both"/>
        <w:rPr>
          <w:rFonts w:cs="Arial"/>
        </w:rPr>
      </w:pPr>
    </w:p>
    <w:p w14:paraId="5DA89DBF" w14:textId="77777777" w:rsidR="00B52DA0" w:rsidRPr="009A1A2E" w:rsidRDefault="00B52DA0" w:rsidP="00B52DA0">
      <w:pPr>
        <w:pStyle w:val="StyleExecSumm"/>
        <w:spacing w:line="360" w:lineRule="auto"/>
        <w:rPr>
          <w:rFonts w:cs="Arial"/>
          <w:b/>
          <w:bCs/>
          <w:i/>
          <w:szCs w:val="32"/>
        </w:rPr>
      </w:pPr>
      <w:r w:rsidRPr="009A1A2E">
        <w:rPr>
          <w:rFonts w:cs="Arial"/>
          <w:b/>
          <w:bCs/>
          <w:i/>
          <w:szCs w:val="32"/>
        </w:rPr>
        <w:t>Description of new technology</w:t>
      </w:r>
    </w:p>
    <w:p w14:paraId="28B88560" w14:textId="77777777" w:rsidR="00B52DA0" w:rsidRPr="009A1A2E" w:rsidRDefault="00B52DA0" w:rsidP="00B52DA0">
      <w:pPr>
        <w:pStyle w:val="Textbody"/>
        <w:rPr>
          <w:lang w:val="en-AU"/>
        </w:rPr>
      </w:pPr>
      <w:r w:rsidRPr="009A1A2E">
        <w:rPr>
          <w:lang w:val="en-AU"/>
        </w:rPr>
        <w:t xml:space="preserve">The </w:t>
      </w:r>
      <w:r w:rsidRPr="009A1A2E">
        <w:rPr>
          <w:b/>
          <w:lang w:val="en-AU"/>
        </w:rPr>
        <w:t>only partially implantable</w:t>
      </w:r>
      <w:r w:rsidRPr="009A1A2E">
        <w:rPr>
          <w:lang w:val="en-AU"/>
        </w:rPr>
        <w:t xml:space="preserve"> active middle ear implant indicated for sensorineural hearing loss plus medical condition is the Vibrant Soundbridge. This hearing implant system comprises of two components:</w:t>
      </w:r>
    </w:p>
    <w:p w14:paraId="49E1774F" w14:textId="77777777" w:rsidR="00B52DA0" w:rsidRPr="009A1A2E" w:rsidRDefault="00B52DA0" w:rsidP="00B52DA0">
      <w:pPr>
        <w:pStyle w:val="Textbody"/>
        <w:rPr>
          <w:lang w:val="en-AU"/>
        </w:rPr>
      </w:pPr>
      <w:r w:rsidRPr="009A1A2E">
        <w:rPr>
          <w:lang w:val="en-AU"/>
        </w:rPr>
        <w:t xml:space="preserve">An internal component that includes a magnet, an electronics housing, and a transducer; and an external audio processor containing a power source (battery), microphone and digital signal processor. The signal from the audio processor is transmitted to the internal component and transformed into vibrations. The transducer which is called the Floating Mass Transducer (FMT) is crimped or otherwise attached to the long process of the incus at a single point and mechanically drives the ossicular chain. The amplified vibrations can be adjusted via an external auditory processor (AP) to suit different degrees of hearing losses. Battery life of the AP is 6 days. Patients can place new batteries in or charge their existing batteries. </w:t>
      </w:r>
    </w:p>
    <w:p w14:paraId="69AAFDD2" w14:textId="77777777" w:rsidR="00B52DA0" w:rsidRPr="009A1A2E" w:rsidRDefault="00B52DA0" w:rsidP="00B52DA0">
      <w:pPr>
        <w:pStyle w:val="Textbody"/>
        <w:rPr>
          <w:lang w:val="en-AU"/>
        </w:rPr>
      </w:pPr>
    </w:p>
    <w:p w14:paraId="5FD83F3F" w14:textId="77777777" w:rsidR="00B52DA0" w:rsidRPr="009A1A2E" w:rsidRDefault="00B52DA0" w:rsidP="00B52DA0">
      <w:pPr>
        <w:pStyle w:val="Textbody"/>
        <w:rPr>
          <w:lang w:val="en-AU"/>
        </w:rPr>
      </w:pPr>
      <w:r w:rsidRPr="009A1A2E">
        <w:rPr>
          <w:lang w:val="en-AU"/>
        </w:rPr>
        <w:t>Implantation of the proposed Vibrant Soundbridge for SNHL + medical condition is carried out by an otolaryngologist (ENT surgeon) under general anaesthesia on an outpatient or inpatient basis. The surgical procedure lasts 1.5 to 2 hours after preparing the patient. This involves administering anaesthetics and intravenous antibiotics 30 minutes before surgery, marking the incision site and shaving the hair over the expected incision site. The surgery involves the following steps:</w:t>
      </w:r>
    </w:p>
    <w:p w14:paraId="05FF4B8D" w14:textId="77777777" w:rsidR="00B52DA0" w:rsidRPr="009A1A2E" w:rsidRDefault="00B52DA0" w:rsidP="00B52DA0">
      <w:pPr>
        <w:pStyle w:val="Textbody"/>
        <w:rPr>
          <w:lang w:val="en-AU"/>
        </w:rPr>
      </w:pPr>
    </w:p>
    <w:p w14:paraId="2E0216C6" w14:textId="77777777" w:rsidR="00B52DA0" w:rsidRPr="009A1A2E" w:rsidRDefault="00B52DA0" w:rsidP="00B52DA0">
      <w:pPr>
        <w:pStyle w:val="Textbody"/>
        <w:numPr>
          <w:ilvl w:val="0"/>
          <w:numId w:val="57"/>
        </w:numPr>
        <w:rPr>
          <w:lang w:val="en-AU"/>
        </w:rPr>
      </w:pPr>
      <w:r w:rsidRPr="009A1A2E">
        <w:rPr>
          <w:lang w:val="en-AU"/>
        </w:rPr>
        <w:t>Creating the incision behind the ear in a posterior-superior direction</w:t>
      </w:r>
    </w:p>
    <w:p w14:paraId="21306666" w14:textId="77777777" w:rsidR="00B52DA0" w:rsidRPr="009A1A2E" w:rsidRDefault="00B52DA0" w:rsidP="00B52DA0">
      <w:pPr>
        <w:pStyle w:val="Textbody"/>
        <w:numPr>
          <w:ilvl w:val="0"/>
          <w:numId w:val="57"/>
        </w:numPr>
        <w:rPr>
          <w:lang w:val="en-AU"/>
        </w:rPr>
      </w:pPr>
      <w:r w:rsidRPr="009A1A2E">
        <w:rPr>
          <w:lang w:val="en-AU"/>
        </w:rPr>
        <w:t>Performing a full or partial mastoidectomy via the facial recess route or the transmeatal route (depends on the medical status of the patient`s ear and on the surgeon`s preferences)</w:t>
      </w:r>
    </w:p>
    <w:p w14:paraId="58D520EF" w14:textId="77777777" w:rsidR="00B52DA0" w:rsidRPr="009A1A2E" w:rsidRDefault="00B52DA0" w:rsidP="00B52DA0">
      <w:pPr>
        <w:pStyle w:val="Textbody"/>
        <w:numPr>
          <w:ilvl w:val="0"/>
          <w:numId w:val="57"/>
        </w:numPr>
        <w:rPr>
          <w:lang w:val="en-AU"/>
        </w:rPr>
      </w:pPr>
      <w:r w:rsidRPr="009A1A2E">
        <w:rPr>
          <w:lang w:val="en-AU"/>
        </w:rPr>
        <w:lastRenderedPageBreak/>
        <w:t>Drilling a bone bed and tie-down holes for placing the implant, the transition to the FMT and the demodulator</w:t>
      </w:r>
    </w:p>
    <w:p w14:paraId="035D4E6A" w14:textId="77777777" w:rsidR="00B52DA0" w:rsidRPr="009A1A2E" w:rsidRDefault="00B52DA0" w:rsidP="00B52DA0">
      <w:pPr>
        <w:pStyle w:val="Textbody"/>
        <w:numPr>
          <w:ilvl w:val="0"/>
          <w:numId w:val="57"/>
        </w:numPr>
        <w:rPr>
          <w:lang w:val="en-AU"/>
        </w:rPr>
      </w:pPr>
      <w:r w:rsidRPr="009A1A2E">
        <w:rPr>
          <w:lang w:val="en-AU"/>
        </w:rPr>
        <w:t>Accessing and visualising the middle ear by either posterior tympanotomy through the facial recess, or by lifting the tympanomeatal flap of the outer ear canal (depends on surgical approach used)</w:t>
      </w:r>
    </w:p>
    <w:p w14:paraId="2D95E6F7" w14:textId="77777777" w:rsidR="00B52DA0" w:rsidRPr="009A1A2E" w:rsidRDefault="00B52DA0" w:rsidP="00B52DA0">
      <w:pPr>
        <w:pStyle w:val="Textbody"/>
        <w:numPr>
          <w:ilvl w:val="0"/>
          <w:numId w:val="57"/>
        </w:numPr>
        <w:rPr>
          <w:lang w:val="en-AU"/>
        </w:rPr>
      </w:pPr>
      <w:r w:rsidRPr="009A1A2E">
        <w:rPr>
          <w:lang w:val="en-AU"/>
        </w:rPr>
        <w:t>Fixing the implant, transition and the demodulator  into the previously drilled bone bed</w:t>
      </w:r>
    </w:p>
    <w:p w14:paraId="6ACA5CE2" w14:textId="77777777" w:rsidR="00B52DA0" w:rsidRPr="009A1A2E" w:rsidRDefault="00B52DA0" w:rsidP="00B52DA0">
      <w:pPr>
        <w:pStyle w:val="Textbody"/>
        <w:numPr>
          <w:ilvl w:val="0"/>
          <w:numId w:val="57"/>
        </w:numPr>
        <w:rPr>
          <w:lang w:val="en-AU"/>
        </w:rPr>
      </w:pPr>
      <w:r w:rsidRPr="009A1A2E">
        <w:rPr>
          <w:lang w:val="en-AU"/>
        </w:rPr>
        <w:t>Placing/crimping the FMT on to the long process of the incus</w:t>
      </w:r>
    </w:p>
    <w:p w14:paraId="705A2B0E" w14:textId="77777777" w:rsidR="00B52DA0" w:rsidRPr="009A1A2E" w:rsidRDefault="00B52DA0" w:rsidP="00B52DA0">
      <w:pPr>
        <w:pStyle w:val="Textbody"/>
        <w:numPr>
          <w:ilvl w:val="0"/>
          <w:numId w:val="57"/>
        </w:numPr>
        <w:rPr>
          <w:lang w:val="en-AU"/>
        </w:rPr>
      </w:pPr>
      <w:r w:rsidRPr="009A1A2E">
        <w:rPr>
          <w:lang w:val="en-AU"/>
        </w:rPr>
        <w:t>Placing the excess conductor link in the excavated mastoid</w:t>
      </w:r>
    </w:p>
    <w:p w14:paraId="4E32BA16" w14:textId="77777777" w:rsidR="00B52DA0" w:rsidRPr="009A1A2E" w:rsidRDefault="00B52DA0" w:rsidP="00B52DA0">
      <w:pPr>
        <w:pStyle w:val="Textbody"/>
        <w:numPr>
          <w:ilvl w:val="0"/>
          <w:numId w:val="57"/>
        </w:numPr>
        <w:rPr>
          <w:lang w:val="en-AU"/>
        </w:rPr>
      </w:pPr>
      <w:r w:rsidRPr="009A1A2E">
        <w:rPr>
          <w:lang w:val="en-AU"/>
        </w:rPr>
        <w:t>Closing the wound</w:t>
      </w:r>
    </w:p>
    <w:p w14:paraId="0B19BD88" w14:textId="77777777" w:rsidR="00B52DA0" w:rsidRPr="009A1A2E" w:rsidRDefault="00B52DA0" w:rsidP="00685E75">
      <w:pPr>
        <w:pStyle w:val="Textbody"/>
        <w:rPr>
          <w:lang w:val="en-AU"/>
        </w:rPr>
      </w:pPr>
    </w:p>
    <w:p w14:paraId="7588AE38" w14:textId="77777777" w:rsidR="00B52DA0" w:rsidRPr="009A1A2E" w:rsidRDefault="00B52DA0" w:rsidP="00685E75">
      <w:pPr>
        <w:pStyle w:val="Textbody"/>
        <w:rPr>
          <w:lang w:val="en-AU"/>
        </w:rPr>
      </w:pPr>
      <w:r w:rsidRPr="009A1A2E">
        <w:rPr>
          <w:lang w:val="en-AU"/>
        </w:rPr>
        <w:t>6 to 8 weeks after surgery the patient is fitted with the audio processor (AP) and initial programming is carried out. The patient is followed-up on a regular basis and the AP is re-programmed when necessary.</w:t>
      </w:r>
    </w:p>
    <w:p w14:paraId="179093CE" w14:textId="77777777" w:rsidR="00685E75" w:rsidRPr="009A1A2E" w:rsidRDefault="00685E75" w:rsidP="00685E75">
      <w:pPr>
        <w:pStyle w:val="Textbody"/>
        <w:rPr>
          <w:lang w:val="en-AU"/>
        </w:rPr>
      </w:pPr>
    </w:p>
    <w:p w14:paraId="20830A3F" w14:textId="77777777" w:rsidR="00B52DA0" w:rsidRPr="009A1A2E" w:rsidRDefault="00B52DA0" w:rsidP="00685E75">
      <w:pPr>
        <w:pStyle w:val="Textbody"/>
        <w:rPr>
          <w:b/>
          <w:bCs/>
          <w:i/>
          <w:szCs w:val="32"/>
          <w:lang w:val="en-AU"/>
        </w:rPr>
      </w:pPr>
      <w:r w:rsidRPr="009A1A2E">
        <w:rPr>
          <w:b/>
          <w:bCs/>
          <w:i/>
          <w:szCs w:val="32"/>
          <w:lang w:val="en-AU"/>
        </w:rPr>
        <w:t>The main indication and proposed MBS item descriptions</w:t>
      </w:r>
    </w:p>
    <w:p w14:paraId="5E2CE681" w14:textId="77777777" w:rsidR="00B52DA0" w:rsidRPr="009A1A2E" w:rsidRDefault="00B52DA0" w:rsidP="00685E75">
      <w:pPr>
        <w:pStyle w:val="Textbody"/>
        <w:rPr>
          <w:lang w:val="en-AU"/>
        </w:rPr>
      </w:pPr>
      <w:r w:rsidRPr="009A1A2E">
        <w:rPr>
          <w:lang w:val="en-AU"/>
        </w:rPr>
        <w:t>Treatment options for sensorineural hearing loss involve amplifying the incoming sound through a range of conservative management therapies including hearing aids. However, when patients also have a medical condition in their outer ear they are unable to wear hearing aids. Hearing aid use has been proven to exacerbate their conditions. Current treatment options for such patients include no treatment or treatment with an active middle ear implant. The only active MEI currently available and indicated for this population is the Vibrant Soundbridge.</w:t>
      </w:r>
    </w:p>
    <w:p w14:paraId="7B93D7F9" w14:textId="77777777" w:rsidR="00685E75" w:rsidRPr="009A1A2E" w:rsidRDefault="00685E75" w:rsidP="00685E75">
      <w:pPr>
        <w:pStyle w:val="Textbody"/>
        <w:rPr>
          <w:lang w:val="en-AU"/>
        </w:rPr>
      </w:pPr>
    </w:p>
    <w:p w14:paraId="71D167FC" w14:textId="77777777" w:rsidR="00B52DA0" w:rsidRPr="009A1A2E" w:rsidRDefault="00B52DA0" w:rsidP="00B52DA0">
      <w:pPr>
        <w:pStyle w:val="Textbody"/>
        <w:rPr>
          <w:b/>
          <w:i/>
          <w:lang w:val="en-AU"/>
        </w:rPr>
      </w:pPr>
      <w:r w:rsidRPr="009A1A2E">
        <w:rPr>
          <w:b/>
          <w:i/>
          <w:lang w:val="en-AU"/>
        </w:rPr>
        <w:t>Indications for other fully implantable active middle ear implants</w:t>
      </w:r>
    </w:p>
    <w:p w14:paraId="098F2A8F" w14:textId="77777777" w:rsidR="00B52DA0" w:rsidRPr="009A1A2E" w:rsidRDefault="00B52DA0" w:rsidP="00B52DA0">
      <w:pPr>
        <w:pStyle w:val="Textbody"/>
        <w:rPr>
          <w:lang w:val="en-AU"/>
        </w:rPr>
      </w:pPr>
      <w:r w:rsidRPr="009A1A2E">
        <w:rPr>
          <w:lang w:val="en-AU"/>
        </w:rPr>
        <w:t>Currently, there are three active middle ear implants: Esteem and the Carina are both indicated for adults who have:</w:t>
      </w:r>
    </w:p>
    <w:p w14:paraId="546054BD" w14:textId="77777777" w:rsidR="00B52DA0" w:rsidRPr="009A1A2E" w:rsidRDefault="00B52DA0" w:rsidP="00B52DA0">
      <w:pPr>
        <w:pStyle w:val="Textbody"/>
        <w:numPr>
          <w:ilvl w:val="0"/>
          <w:numId w:val="55"/>
        </w:numPr>
        <w:rPr>
          <w:lang w:val="en-AU"/>
        </w:rPr>
      </w:pPr>
      <w:r w:rsidRPr="009A1A2E">
        <w:rPr>
          <w:lang w:val="en-AU"/>
        </w:rPr>
        <w:t>Stable bilateral moderate to severe sensorineural hearing loss</w:t>
      </w:r>
    </w:p>
    <w:p w14:paraId="0E9FB79F" w14:textId="77777777" w:rsidR="00B52DA0" w:rsidRPr="009A1A2E" w:rsidRDefault="00B52DA0" w:rsidP="00B52DA0">
      <w:pPr>
        <w:pStyle w:val="Textbody"/>
        <w:numPr>
          <w:ilvl w:val="0"/>
          <w:numId w:val="55"/>
        </w:numPr>
        <w:rPr>
          <w:lang w:val="en-AU"/>
        </w:rPr>
      </w:pPr>
      <w:r w:rsidRPr="009A1A2E">
        <w:rPr>
          <w:lang w:val="en-AU"/>
        </w:rPr>
        <w:t>Unaided speech discrimination tests score greater than or equal to 40%</w:t>
      </w:r>
    </w:p>
    <w:p w14:paraId="205403E3" w14:textId="77777777" w:rsidR="00B52DA0" w:rsidRPr="009A1A2E" w:rsidRDefault="00B52DA0" w:rsidP="00B52DA0">
      <w:pPr>
        <w:pStyle w:val="Textbody"/>
        <w:numPr>
          <w:ilvl w:val="0"/>
          <w:numId w:val="55"/>
        </w:numPr>
        <w:rPr>
          <w:lang w:val="en-AU"/>
        </w:rPr>
      </w:pPr>
      <w:r w:rsidRPr="009A1A2E">
        <w:rPr>
          <w:lang w:val="en-AU"/>
        </w:rPr>
        <w:t>Normal middle ear function and anatomy</w:t>
      </w:r>
    </w:p>
    <w:p w14:paraId="5225ECFC" w14:textId="77777777" w:rsidR="00B52DA0" w:rsidRPr="009A1A2E" w:rsidRDefault="00B52DA0" w:rsidP="00B52DA0">
      <w:pPr>
        <w:pStyle w:val="Textbody"/>
        <w:numPr>
          <w:ilvl w:val="0"/>
          <w:numId w:val="55"/>
        </w:numPr>
        <w:rPr>
          <w:lang w:val="en-AU"/>
        </w:rPr>
      </w:pPr>
      <w:r w:rsidRPr="009A1A2E">
        <w:rPr>
          <w:lang w:val="en-AU"/>
        </w:rPr>
        <w:t>Minimum 30 days of experience with appropriately fit hearing aids</w:t>
      </w:r>
    </w:p>
    <w:p w14:paraId="1401715E" w14:textId="77777777" w:rsidR="00B52DA0" w:rsidRPr="009A1A2E" w:rsidRDefault="00B52DA0" w:rsidP="00B52DA0">
      <w:pPr>
        <w:pStyle w:val="Textbody"/>
        <w:rPr>
          <w:lang w:val="en-AU"/>
        </w:rPr>
      </w:pPr>
      <w:r w:rsidRPr="009A1A2E">
        <w:rPr>
          <w:lang w:val="en-AU"/>
        </w:rPr>
        <w:t xml:space="preserve">Both of these devices are </w:t>
      </w:r>
      <w:r w:rsidRPr="009A1A2E">
        <w:rPr>
          <w:b/>
          <w:lang w:val="en-AU"/>
        </w:rPr>
        <w:t>contraindicated</w:t>
      </w:r>
      <w:r w:rsidRPr="009A1A2E">
        <w:rPr>
          <w:lang w:val="en-AU"/>
        </w:rPr>
        <w:t xml:space="preserve"> in patients who present with chronic outer, middle or inner ear pathologies. </w:t>
      </w:r>
    </w:p>
    <w:p w14:paraId="3806936B" w14:textId="77777777" w:rsidR="002778A8" w:rsidRPr="009A1A2E" w:rsidRDefault="002778A8" w:rsidP="00B52DA0">
      <w:pPr>
        <w:pStyle w:val="StyleExecSumm"/>
        <w:spacing w:line="360" w:lineRule="auto"/>
        <w:rPr>
          <w:rFonts w:cs="Arial"/>
          <w:b/>
          <w:bCs/>
          <w:i/>
          <w:szCs w:val="32"/>
        </w:rPr>
      </w:pPr>
    </w:p>
    <w:p w14:paraId="5D09AB53" w14:textId="77777777" w:rsidR="003733D2" w:rsidRDefault="003733D2">
      <w:pPr>
        <w:rPr>
          <w:rFonts w:cs="Arial"/>
          <w:b/>
          <w:i/>
          <w:lang w:eastAsia="de-AT"/>
        </w:rPr>
      </w:pPr>
      <w:r>
        <w:rPr>
          <w:b/>
          <w:i/>
        </w:rPr>
        <w:br w:type="page"/>
      </w:r>
    </w:p>
    <w:p w14:paraId="6F52539A" w14:textId="40A6E0C5" w:rsidR="00B52DA0" w:rsidRPr="009A1A2E" w:rsidRDefault="00B52DA0" w:rsidP="00B52DA0">
      <w:pPr>
        <w:pStyle w:val="Textbody"/>
        <w:rPr>
          <w:b/>
          <w:i/>
          <w:lang w:val="en-AU"/>
        </w:rPr>
      </w:pPr>
      <w:r w:rsidRPr="009A1A2E">
        <w:rPr>
          <w:b/>
          <w:i/>
          <w:lang w:val="en-AU"/>
        </w:rPr>
        <w:lastRenderedPageBreak/>
        <w:t>Indications for partially implantable active middle ear implants</w:t>
      </w:r>
    </w:p>
    <w:p w14:paraId="445E22B9" w14:textId="77777777" w:rsidR="00B52DA0" w:rsidRPr="009A1A2E" w:rsidRDefault="00B52DA0" w:rsidP="00B52DA0">
      <w:pPr>
        <w:pStyle w:val="Textbody"/>
        <w:numPr>
          <w:ilvl w:val="0"/>
          <w:numId w:val="80"/>
        </w:numPr>
        <w:rPr>
          <w:b/>
          <w:lang w:val="en-AU"/>
        </w:rPr>
      </w:pPr>
      <w:r w:rsidRPr="009A1A2E">
        <w:rPr>
          <w:b/>
          <w:lang w:val="en-AU"/>
        </w:rPr>
        <w:t>Vibrant Soundbridge:</w:t>
      </w:r>
    </w:p>
    <w:p w14:paraId="6A66DCB6" w14:textId="77777777" w:rsidR="00B52DA0" w:rsidRPr="009A1A2E" w:rsidRDefault="00B52DA0" w:rsidP="00B52DA0">
      <w:pPr>
        <w:pStyle w:val="Textbody"/>
        <w:numPr>
          <w:ilvl w:val="0"/>
          <w:numId w:val="56"/>
        </w:numPr>
        <w:rPr>
          <w:lang w:val="en-AU"/>
        </w:rPr>
      </w:pPr>
      <w:r w:rsidRPr="009A1A2E">
        <w:rPr>
          <w:lang w:val="en-AU"/>
        </w:rPr>
        <w:t>Pure-tone air-conduction threshold levels at or within the levels listed below in</w:t>
      </w:r>
      <w:r w:rsidR="00187734">
        <w:rPr>
          <w:lang w:val="en-AU"/>
        </w:rPr>
        <w:t xml:space="preserve"> </w:t>
      </w:r>
      <w:r w:rsidR="00187734">
        <w:rPr>
          <w:lang w:val="en-AU"/>
        </w:rPr>
        <w:fldChar w:fldCharType="begin"/>
      </w:r>
      <w:r w:rsidR="00187734">
        <w:rPr>
          <w:lang w:val="en-AU"/>
        </w:rPr>
        <w:instrText xml:space="preserve"> REF _Ref431223383 \h </w:instrText>
      </w:r>
      <w:r w:rsidR="00187734">
        <w:rPr>
          <w:lang w:val="en-AU"/>
        </w:rPr>
      </w:r>
      <w:r w:rsidR="00187734">
        <w:rPr>
          <w:lang w:val="en-AU"/>
        </w:rPr>
        <w:fldChar w:fldCharType="separate"/>
      </w:r>
      <w:r w:rsidR="00016592" w:rsidRPr="009A1A2E">
        <w:rPr>
          <w:lang w:val="en-AU"/>
        </w:rPr>
        <w:t xml:space="preserve">Table </w:t>
      </w:r>
      <w:r w:rsidR="00016592">
        <w:rPr>
          <w:noProof/>
          <w:lang w:val="en-AU"/>
        </w:rPr>
        <w:t>1</w:t>
      </w:r>
      <w:r w:rsidR="00187734">
        <w:rPr>
          <w:lang w:val="en-AU"/>
        </w:rPr>
        <w:fldChar w:fldCharType="end"/>
      </w:r>
      <w:r w:rsidRPr="009A1A2E">
        <w:rPr>
          <w:lang w:val="en-AU"/>
        </w:rPr>
        <w:t xml:space="preserve"> .Pure-tone air-conduction thresholds for both ears within 20 dB HL of each other at frequencies </w:t>
      </w:r>
      <w:r w:rsidR="00187734">
        <w:rPr>
          <w:lang w:val="en-AU"/>
        </w:rPr>
        <w:t>0</w:t>
      </w:r>
      <w:r w:rsidRPr="009A1A2E">
        <w:rPr>
          <w:lang w:val="en-AU"/>
        </w:rPr>
        <w:t>.5 to 4 kHz Air-bone gap at 0.5, 1, 2 and 4 kHz no greater than 10 dB HL at two or more of these frequencies.</w:t>
      </w:r>
    </w:p>
    <w:p w14:paraId="072E133A" w14:textId="77777777" w:rsidR="00B52DA0" w:rsidRPr="009A1A2E" w:rsidRDefault="00B52DA0" w:rsidP="00B52DA0">
      <w:pPr>
        <w:pStyle w:val="Textbody"/>
        <w:numPr>
          <w:ilvl w:val="0"/>
          <w:numId w:val="56"/>
        </w:numPr>
        <w:rPr>
          <w:lang w:val="en-AU"/>
        </w:rPr>
      </w:pPr>
      <w:r w:rsidRPr="009A1A2E">
        <w:rPr>
          <w:lang w:val="en-AU"/>
        </w:rPr>
        <w:t>Normal tympanometry.</w:t>
      </w:r>
    </w:p>
    <w:p w14:paraId="0DA45B22" w14:textId="77777777" w:rsidR="00B52DA0" w:rsidRPr="009A1A2E" w:rsidRDefault="00B52DA0" w:rsidP="00B52DA0">
      <w:pPr>
        <w:pStyle w:val="Textbody"/>
        <w:numPr>
          <w:ilvl w:val="0"/>
          <w:numId w:val="56"/>
        </w:numPr>
        <w:rPr>
          <w:lang w:val="en-AU"/>
        </w:rPr>
      </w:pPr>
      <w:r w:rsidRPr="009A1A2E">
        <w:rPr>
          <w:lang w:val="en-AU"/>
        </w:rPr>
        <w:t>No previous middle ear surgery.</w:t>
      </w:r>
    </w:p>
    <w:p w14:paraId="7548F0A1" w14:textId="77777777" w:rsidR="00B52DA0" w:rsidRPr="009A1A2E" w:rsidRDefault="00B52DA0" w:rsidP="00B52DA0">
      <w:pPr>
        <w:pStyle w:val="Textbody"/>
        <w:numPr>
          <w:ilvl w:val="0"/>
          <w:numId w:val="56"/>
        </w:numPr>
        <w:rPr>
          <w:lang w:val="en-AU"/>
        </w:rPr>
      </w:pPr>
      <w:r w:rsidRPr="009A1A2E">
        <w:rPr>
          <w:lang w:val="en-AU"/>
        </w:rPr>
        <w:t>The patient shall have no history of post-adolescent, chronic middle ear infections or inner ear disorders such as vertigo or Meniere’s syndrome.</w:t>
      </w:r>
    </w:p>
    <w:p w14:paraId="0A44430F" w14:textId="77777777" w:rsidR="00B52DA0" w:rsidRPr="009A1A2E" w:rsidRDefault="00B52DA0" w:rsidP="00B52DA0">
      <w:pPr>
        <w:pStyle w:val="Textbody"/>
        <w:numPr>
          <w:ilvl w:val="0"/>
          <w:numId w:val="56"/>
        </w:numPr>
        <w:rPr>
          <w:lang w:val="en-AU"/>
        </w:rPr>
      </w:pPr>
      <w:r w:rsidRPr="009A1A2E">
        <w:rPr>
          <w:lang w:val="en-AU"/>
        </w:rPr>
        <w:t>Speech audiometry curve adequate to the respective PTA. Speech understanding &gt;65% (at 65dB SPL) for word lists with amplification or at most comfortable level under earphones.</w:t>
      </w:r>
    </w:p>
    <w:p w14:paraId="77CD3F95" w14:textId="77777777" w:rsidR="00B52DA0" w:rsidRPr="009A1A2E" w:rsidRDefault="00B52DA0" w:rsidP="00B52DA0">
      <w:pPr>
        <w:pStyle w:val="Textbody"/>
        <w:numPr>
          <w:ilvl w:val="0"/>
          <w:numId w:val="56"/>
        </w:numPr>
        <w:rPr>
          <w:lang w:val="en-AU"/>
        </w:rPr>
      </w:pPr>
      <w:r w:rsidRPr="009A1A2E">
        <w:rPr>
          <w:lang w:val="en-AU"/>
        </w:rPr>
        <w:t>Unable to wear or benefit from a conventional hearing aid for medical reasons.</w:t>
      </w:r>
    </w:p>
    <w:p w14:paraId="180D2C9F" w14:textId="77777777" w:rsidR="00B52DA0" w:rsidRPr="009A1A2E" w:rsidRDefault="00B52DA0" w:rsidP="00B52DA0">
      <w:pPr>
        <w:pStyle w:val="Textbody"/>
        <w:numPr>
          <w:ilvl w:val="0"/>
          <w:numId w:val="56"/>
        </w:numPr>
        <w:rPr>
          <w:lang w:val="en-AU"/>
        </w:rPr>
      </w:pPr>
      <w:r w:rsidRPr="009A1A2E">
        <w:rPr>
          <w:lang w:val="en-AU"/>
        </w:rPr>
        <w:t>The ear selected for implantation of the VSB shall be equal to or worse than the un-implanted ear.</w:t>
      </w:r>
    </w:p>
    <w:p w14:paraId="4C757C0B" w14:textId="77777777" w:rsidR="00B52DA0" w:rsidRPr="009A1A2E" w:rsidRDefault="00B52DA0" w:rsidP="00B52DA0">
      <w:pPr>
        <w:pStyle w:val="Textbody"/>
        <w:rPr>
          <w:lang w:val="en-AU"/>
        </w:rPr>
      </w:pPr>
    </w:p>
    <w:p w14:paraId="5224993F" w14:textId="77777777" w:rsidR="00B52DA0" w:rsidRPr="009A1A2E" w:rsidRDefault="00B52DA0" w:rsidP="00B52DA0">
      <w:pPr>
        <w:pStyle w:val="Caption"/>
        <w:rPr>
          <w:rFonts w:ascii="Arial" w:hAnsi="Arial" w:cs="Arial"/>
          <w:lang w:val="en-AU"/>
        </w:rPr>
      </w:pPr>
      <w:bookmarkStart w:id="11" w:name="_Ref431223383"/>
      <w:bookmarkStart w:id="12" w:name="_Toc431917461"/>
      <w:r w:rsidRPr="009A1A2E">
        <w:rPr>
          <w:rFonts w:ascii="Arial" w:hAnsi="Arial" w:cs="Arial"/>
          <w:lang w:val="en-AU"/>
        </w:rPr>
        <w:t xml:space="preserve">Table </w:t>
      </w:r>
      <w:r w:rsidRPr="009A1A2E">
        <w:rPr>
          <w:rFonts w:ascii="Arial" w:hAnsi="Arial" w:cs="Arial"/>
          <w:lang w:val="en-AU"/>
        </w:rPr>
        <w:fldChar w:fldCharType="begin"/>
      </w:r>
      <w:r w:rsidRPr="009A1A2E">
        <w:rPr>
          <w:rFonts w:ascii="Arial" w:hAnsi="Arial" w:cs="Arial"/>
          <w:lang w:val="en-AU"/>
        </w:rPr>
        <w:instrText xml:space="preserve"> SEQ Table \* ARABIC </w:instrText>
      </w:r>
      <w:r w:rsidRPr="009A1A2E">
        <w:rPr>
          <w:rFonts w:ascii="Arial" w:hAnsi="Arial" w:cs="Arial"/>
          <w:lang w:val="en-AU"/>
        </w:rPr>
        <w:fldChar w:fldCharType="separate"/>
      </w:r>
      <w:r w:rsidR="00016592">
        <w:rPr>
          <w:rFonts w:ascii="Arial" w:hAnsi="Arial" w:cs="Arial"/>
          <w:noProof/>
          <w:lang w:val="en-AU"/>
        </w:rPr>
        <w:t>1</w:t>
      </w:r>
      <w:r w:rsidRPr="009A1A2E">
        <w:rPr>
          <w:rFonts w:ascii="Arial" w:hAnsi="Arial" w:cs="Arial"/>
          <w:lang w:val="en-AU"/>
        </w:rPr>
        <w:fldChar w:fldCharType="end"/>
      </w:r>
      <w:bookmarkEnd w:id="11"/>
      <w:r w:rsidRPr="009A1A2E">
        <w:rPr>
          <w:rFonts w:ascii="Arial" w:hAnsi="Arial" w:cs="Arial"/>
          <w:lang w:val="en-AU"/>
        </w:rPr>
        <w:t xml:space="preserve"> - Air conduction threshold levels for SNHL indication (CE marked countries)</w:t>
      </w:r>
      <w:bookmarkEnd w:id="12"/>
    </w:p>
    <w:tbl>
      <w:tblPr>
        <w:tblW w:w="39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Air conduction threshold levels for SNHL indication (CE marked countries)"/>
      </w:tblPr>
      <w:tblGrid>
        <w:gridCol w:w="2386"/>
        <w:gridCol w:w="824"/>
        <w:gridCol w:w="831"/>
        <w:gridCol w:w="831"/>
        <w:gridCol w:w="831"/>
        <w:gridCol w:w="831"/>
        <w:gridCol w:w="831"/>
      </w:tblGrid>
      <w:tr w:rsidR="00B52DA0" w:rsidRPr="009A1A2E" w14:paraId="608B9EF8" w14:textId="77777777" w:rsidTr="00F66939">
        <w:trPr>
          <w:jc w:val="center"/>
        </w:trPr>
        <w:tc>
          <w:tcPr>
            <w:tcW w:w="2386" w:type="dxa"/>
            <w:shd w:val="clear" w:color="auto" w:fill="auto"/>
            <w:vAlign w:val="center"/>
          </w:tcPr>
          <w:p w14:paraId="6117EB43" w14:textId="77777777" w:rsidR="00B52DA0" w:rsidRPr="009A1A2E" w:rsidRDefault="00B52DA0" w:rsidP="00E13546">
            <w:pPr>
              <w:jc w:val="both"/>
              <w:rPr>
                <w:rFonts w:cs="Arial"/>
                <w:b/>
                <w:sz w:val="20"/>
                <w:szCs w:val="20"/>
                <w:lang w:eastAsia="de-AT"/>
              </w:rPr>
            </w:pPr>
            <w:r w:rsidRPr="009A1A2E">
              <w:rPr>
                <w:rFonts w:cs="Arial"/>
                <w:b/>
                <w:sz w:val="20"/>
                <w:szCs w:val="20"/>
                <w:lang w:eastAsia="de-AT"/>
              </w:rPr>
              <w:t>Frequency (kHz)</w:t>
            </w:r>
          </w:p>
        </w:tc>
        <w:tc>
          <w:tcPr>
            <w:tcW w:w="824" w:type="dxa"/>
            <w:shd w:val="clear" w:color="auto" w:fill="auto"/>
          </w:tcPr>
          <w:p w14:paraId="6DA96053" w14:textId="77777777" w:rsidR="00B52DA0" w:rsidRPr="009A1A2E" w:rsidRDefault="00B52DA0" w:rsidP="00E13546">
            <w:pPr>
              <w:keepNext/>
              <w:keepLines/>
              <w:tabs>
                <w:tab w:val="left" w:pos="60"/>
                <w:tab w:val="left" w:pos="10085"/>
                <w:tab w:val="left" w:pos="10105"/>
              </w:tabs>
              <w:spacing w:before="120" w:after="120"/>
              <w:jc w:val="both"/>
              <w:rPr>
                <w:rFonts w:cs="Arial"/>
                <w:sz w:val="20"/>
                <w:szCs w:val="20"/>
                <w:lang w:eastAsia="de-AT"/>
              </w:rPr>
            </w:pPr>
            <w:r w:rsidRPr="009A1A2E">
              <w:rPr>
                <w:rFonts w:cs="Arial"/>
                <w:sz w:val="20"/>
                <w:szCs w:val="20"/>
                <w:lang w:eastAsia="de-AT"/>
              </w:rPr>
              <w:t>0.5</w:t>
            </w:r>
          </w:p>
        </w:tc>
        <w:tc>
          <w:tcPr>
            <w:tcW w:w="831" w:type="dxa"/>
            <w:shd w:val="clear" w:color="auto" w:fill="auto"/>
          </w:tcPr>
          <w:p w14:paraId="15E13B14" w14:textId="77777777" w:rsidR="00B52DA0" w:rsidRPr="009A1A2E" w:rsidRDefault="00B52DA0" w:rsidP="00E13546">
            <w:pPr>
              <w:keepNext/>
              <w:keepLines/>
              <w:tabs>
                <w:tab w:val="left" w:pos="60"/>
                <w:tab w:val="left" w:pos="10085"/>
                <w:tab w:val="left" w:pos="10105"/>
              </w:tabs>
              <w:spacing w:before="120" w:after="120"/>
              <w:jc w:val="both"/>
              <w:rPr>
                <w:rFonts w:cs="Arial"/>
                <w:sz w:val="20"/>
                <w:szCs w:val="20"/>
                <w:lang w:eastAsia="de-AT"/>
              </w:rPr>
            </w:pPr>
            <w:r w:rsidRPr="009A1A2E">
              <w:rPr>
                <w:rFonts w:cs="Arial"/>
                <w:sz w:val="20"/>
                <w:szCs w:val="20"/>
                <w:lang w:eastAsia="de-AT"/>
              </w:rPr>
              <w:t>1</w:t>
            </w:r>
          </w:p>
        </w:tc>
        <w:tc>
          <w:tcPr>
            <w:tcW w:w="831" w:type="dxa"/>
          </w:tcPr>
          <w:p w14:paraId="7CA42988" w14:textId="77777777" w:rsidR="00B52DA0" w:rsidRPr="009A1A2E" w:rsidRDefault="00B52DA0" w:rsidP="00E13546">
            <w:pPr>
              <w:keepNext/>
              <w:keepLines/>
              <w:tabs>
                <w:tab w:val="left" w:pos="60"/>
                <w:tab w:val="left" w:pos="10085"/>
                <w:tab w:val="left" w:pos="10105"/>
              </w:tabs>
              <w:spacing w:before="120" w:after="120"/>
              <w:jc w:val="both"/>
              <w:rPr>
                <w:rFonts w:cs="Arial"/>
                <w:sz w:val="20"/>
                <w:szCs w:val="20"/>
                <w:lang w:eastAsia="de-AT"/>
              </w:rPr>
            </w:pPr>
            <w:r w:rsidRPr="009A1A2E">
              <w:rPr>
                <w:rFonts w:cs="Arial"/>
                <w:sz w:val="20"/>
                <w:szCs w:val="20"/>
                <w:lang w:eastAsia="de-AT"/>
              </w:rPr>
              <w:t>1.5</w:t>
            </w:r>
          </w:p>
        </w:tc>
        <w:tc>
          <w:tcPr>
            <w:tcW w:w="831" w:type="dxa"/>
            <w:shd w:val="clear" w:color="auto" w:fill="auto"/>
          </w:tcPr>
          <w:p w14:paraId="40DA3A3F" w14:textId="77777777" w:rsidR="00B52DA0" w:rsidRPr="009A1A2E" w:rsidRDefault="00B52DA0" w:rsidP="00E13546">
            <w:pPr>
              <w:keepNext/>
              <w:keepLines/>
              <w:tabs>
                <w:tab w:val="left" w:pos="60"/>
                <w:tab w:val="left" w:pos="10085"/>
                <w:tab w:val="left" w:pos="10105"/>
              </w:tabs>
              <w:spacing w:before="120" w:after="120"/>
              <w:jc w:val="both"/>
              <w:rPr>
                <w:rFonts w:cs="Arial"/>
                <w:sz w:val="20"/>
                <w:szCs w:val="20"/>
                <w:lang w:eastAsia="de-AT"/>
              </w:rPr>
            </w:pPr>
            <w:r w:rsidRPr="009A1A2E">
              <w:rPr>
                <w:rFonts w:cs="Arial"/>
                <w:sz w:val="20"/>
                <w:szCs w:val="20"/>
                <w:lang w:eastAsia="de-AT"/>
              </w:rPr>
              <w:t>2</w:t>
            </w:r>
          </w:p>
        </w:tc>
        <w:tc>
          <w:tcPr>
            <w:tcW w:w="831" w:type="dxa"/>
            <w:shd w:val="clear" w:color="auto" w:fill="auto"/>
          </w:tcPr>
          <w:p w14:paraId="0EF955D6" w14:textId="77777777" w:rsidR="00B52DA0" w:rsidRPr="009A1A2E" w:rsidRDefault="00B52DA0" w:rsidP="00E13546">
            <w:pPr>
              <w:keepNext/>
              <w:keepLines/>
              <w:tabs>
                <w:tab w:val="left" w:pos="60"/>
                <w:tab w:val="left" w:pos="10085"/>
                <w:tab w:val="left" w:pos="10105"/>
              </w:tabs>
              <w:spacing w:before="120" w:after="120"/>
              <w:jc w:val="both"/>
              <w:rPr>
                <w:rFonts w:cs="Arial"/>
                <w:sz w:val="20"/>
                <w:szCs w:val="20"/>
                <w:lang w:eastAsia="de-AT"/>
              </w:rPr>
            </w:pPr>
            <w:r w:rsidRPr="009A1A2E">
              <w:rPr>
                <w:rFonts w:cs="Arial"/>
                <w:sz w:val="20"/>
                <w:szCs w:val="20"/>
                <w:lang w:eastAsia="de-AT"/>
              </w:rPr>
              <w:t>3</w:t>
            </w:r>
          </w:p>
        </w:tc>
        <w:tc>
          <w:tcPr>
            <w:tcW w:w="831" w:type="dxa"/>
            <w:shd w:val="clear" w:color="auto" w:fill="auto"/>
          </w:tcPr>
          <w:p w14:paraId="0E5EA925" w14:textId="77777777" w:rsidR="00B52DA0" w:rsidRPr="009A1A2E" w:rsidRDefault="00B52DA0" w:rsidP="00E13546">
            <w:pPr>
              <w:keepNext/>
              <w:keepLines/>
              <w:tabs>
                <w:tab w:val="left" w:pos="60"/>
                <w:tab w:val="left" w:pos="10085"/>
                <w:tab w:val="left" w:pos="10105"/>
              </w:tabs>
              <w:spacing w:before="120" w:after="120"/>
              <w:jc w:val="both"/>
              <w:rPr>
                <w:rFonts w:cs="Arial"/>
                <w:sz w:val="20"/>
                <w:szCs w:val="20"/>
                <w:lang w:eastAsia="de-AT"/>
              </w:rPr>
            </w:pPr>
            <w:r w:rsidRPr="009A1A2E">
              <w:rPr>
                <w:rFonts w:cs="Arial"/>
                <w:sz w:val="20"/>
                <w:szCs w:val="20"/>
                <w:lang w:eastAsia="de-AT"/>
              </w:rPr>
              <w:t>4</w:t>
            </w:r>
          </w:p>
        </w:tc>
      </w:tr>
      <w:tr w:rsidR="00B52DA0" w:rsidRPr="009A1A2E" w14:paraId="21EAE490" w14:textId="77777777" w:rsidTr="00F66939">
        <w:trPr>
          <w:jc w:val="center"/>
        </w:trPr>
        <w:tc>
          <w:tcPr>
            <w:tcW w:w="2386" w:type="dxa"/>
            <w:shd w:val="clear" w:color="auto" w:fill="auto"/>
            <w:vAlign w:val="center"/>
          </w:tcPr>
          <w:p w14:paraId="675E8894" w14:textId="77777777" w:rsidR="00B52DA0" w:rsidRPr="009A1A2E" w:rsidRDefault="00B52DA0" w:rsidP="00E13546">
            <w:pPr>
              <w:jc w:val="both"/>
              <w:rPr>
                <w:rFonts w:cs="Arial"/>
                <w:b/>
                <w:sz w:val="20"/>
                <w:szCs w:val="20"/>
                <w:lang w:eastAsia="de-AT"/>
              </w:rPr>
            </w:pPr>
            <w:r w:rsidRPr="009A1A2E">
              <w:rPr>
                <w:rFonts w:cs="Arial"/>
                <w:b/>
                <w:sz w:val="20"/>
                <w:szCs w:val="20"/>
                <w:lang w:eastAsia="de-AT"/>
              </w:rPr>
              <w:t>Lower Limit (dB HL)</w:t>
            </w:r>
          </w:p>
        </w:tc>
        <w:tc>
          <w:tcPr>
            <w:tcW w:w="824" w:type="dxa"/>
            <w:shd w:val="clear" w:color="auto" w:fill="auto"/>
          </w:tcPr>
          <w:p w14:paraId="30AA729A" w14:textId="77777777" w:rsidR="00B52DA0" w:rsidRPr="009A1A2E" w:rsidRDefault="00B52DA0" w:rsidP="00E13546">
            <w:pPr>
              <w:keepNext/>
              <w:keepLines/>
              <w:tabs>
                <w:tab w:val="left" w:pos="60"/>
                <w:tab w:val="left" w:pos="10085"/>
                <w:tab w:val="left" w:pos="10105"/>
              </w:tabs>
              <w:spacing w:before="120" w:after="120"/>
              <w:jc w:val="both"/>
              <w:rPr>
                <w:rFonts w:cs="Arial"/>
                <w:sz w:val="20"/>
                <w:szCs w:val="20"/>
                <w:lang w:eastAsia="de-AT"/>
              </w:rPr>
            </w:pPr>
            <w:r w:rsidRPr="009A1A2E">
              <w:rPr>
                <w:rFonts w:cs="Arial"/>
                <w:sz w:val="20"/>
                <w:szCs w:val="20"/>
                <w:lang w:eastAsia="de-AT"/>
              </w:rPr>
              <w:t>10</w:t>
            </w:r>
          </w:p>
        </w:tc>
        <w:tc>
          <w:tcPr>
            <w:tcW w:w="831" w:type="dxa"/>
            <w:shd w:val="clear" w:color="auto" w:fill="auto"/>
          </w:tcPr>
          <w:p w14:paraId="15FB59CF" w14:textId="77777777" w:rsidR="00B52DA0" w:rsidRPr="009A1A2E" w:rsidRDefault="00B52DA0" w:rsidP="00E13546">
            <w:pPr>
              <w:keepNext/>
              <w:keepLines/>
              <w:tabs>
                <w:tab w:val="left" w:pos="60"/>
                <w:tab w:val="left" w:pos="10085"/>
                <w:tab w:val="left" w:pos="10105"/>
              </w:tabs>
              <w:spacing w:before="120" w:after="120"/>
              <w:jc w:val="both"/>
              <w:rPr>
                <w:rFonts w:cs="Arial"/>
                <w:sz w:val="20"/>
                <w:szCs w:val="20"/>
                <w:lang w:eastAsia="de-AT"/>
              </w:rPr>
            </w:pPr>
            <w:r w:rsidRPr="009A1A2E">
              <w:rPr>
                <w:rFonts w:cs="Arial"/>
                <w:sz w:val="20"/>
                <w:szCs w:val="20"/>
                <w:lang w:eastAsia="de-AT"/>
              </w:rPr>
              <w:t>10</w:t>
            </w:r>
          </w:p>
        </w:tc>
        <w:tc>
          <w:tcPr>
            <w:tcW w:w="831" w:type="dxa"/>
          </w:tcPr>
          <w:p w14:paraId="66B12833" w14:textId="77777777" w:rsidR="00B52DA0" w:rsidRPr="009A1A2E" w:rsidRDefault="00B52DA0" w:rsidP="00E13546">
            <w:pPr>
              <w:keepNext/>
              <w:keepLines/>
              <w:tabs>
                <w:tab w:val="left" w:pos="60"/>
                <w:tab w:val="left" w:pos="10085"/>
                <w:tab w:val="left" w:pos="10105"/>
              </w:tabs>
              <w:spacing w:before="120" w:after="120"/>
              <w:jc w:val="both"/>
              <w:rPr>
                <w:rFonts w:cs="Arial"/>
                <w:sz w:val="20"/>
                <w:szCs w:val="20"/>
                <w:lang w:eastAsia="de-AT"/>
              </w:rPr>
            </w:pPr>
            <w:r w:rsidRPr="009A1A2E">
              <w:rPr>
                <w:rFonts w:cs="Arial"/>
                <w:sz w:val="20"/>
                <w:szCs w:val="20"/>
                <w:lang w:eastAsia="de-AT"/>
              </w:rPr>
              <w:t>10</w:t>
            </w:r>
          </w:p>
        </w:tc>
        <w:tc>
          <w:tcPr>
            <w:tcW w:w="831" w:type="dxa"/>
            <w:shd w:val="clear" w:color="auto" w:fill="auto"/>
          </w:tcPr>
          <w:p w14:paraId="356009BD" w14:textId="77777777" w:rsidR="00B52DA0" w:rsidRPr="009A1A2E" w:rsidRDefault="00B52DA0" w:rsidP="00E13546">
            <w:pPr>
              <w:keepNext/>
              <w:keepLines/>
              <w:tabs>
                <w:tab w:val="left" w:pos="60"/>
                <w:tab w:val="left" w:pos="10085"/>
                <w:tab w:val="left" w:pos="10105"/>
              </w:tabs>
              <w:spacing w:before="120" w:after="120"/>
              <w:jc w:val="both"/>
              <w:rPr>
                <w:rFonts w:cs="Arial"/>
                <w:sz w:val="20"/>
                <w:szCs w:val="20"/>
                <w:lang w:eastAsia="de-AT"/>
              </w:rPr>
            </w:pPr>
            <w:r w:rsidRPr="009A1A2E">
              <w:rPr>
                <w:rFonts w:cs="Arial"/>
                <w:sz w:val="20"/>
                <w:szCs w:val="20"/>
                <w:lang w:eastAsia="de-AT"/>
              </w:rPr>
              <w:t>15</w:t>
            </w:r>
          </w:p>
        </w:tc>
        <w:tc>
          <w:tcPr>
            <w:tcW w:w="831" w:type="dxa"/>
            <w:shd w:val="clear" w:color="auto" w:fill="auto"/>
          </w:tcPr>
          <w:p w14:paraId="40627000" w14:textId="77777777" w:rsidR="00B52DA0" w:rsidRPr="009A1A2E" w:rsidRDefault="00B52DA0" w:rsidP="00E13546">
            <w:pPr>
              <w:keepNext/>
              <w:keepLines/>
              <w:tabs>
                <w:tab w:val="left" w:pos="60"/>
                <w:tab w:val="left" w:pos="10085"/>
                <w:tab w:val="left" w:pos="10105"/>
              </w:tabs>
              <w:spacing w:before="120" w:after="120"/>
              <w:jc w:val="both"/>
              <w:rPr>
                <w:rFonts w:cs="Arial"/>
                <w:sz w:val="20"/>
                <w:szCs w:val="20"/>
                <w:lang w:eastAsia="de-AT"/>
              </w:rPr>
            </w:pPr>
            <w:r w:rsidRPr="009A1A2E">
              <w:rPr>
                <w:rFonts w:cs="Arial"/>
                <w:sz w:val="20"/>
                <w:szCs w:val="20"/>
                <w:lang w:eastAsia="de-AT"/>
              </w:rPr>
              <w:t>25</w:t>
            </w:r>
          </w:p>
        </w:tc>
        <w:tc>
          <w:tcPr>
            <w:tcW w:w="831" w:type="dxa"/>
            <w:shd w:val="clear" w:color="auto" w:fill="auto"/>
          </w:tcPr>
          <w:p w14:paraId="1B6F8FC3" w14:textId="77777777" w:rsidR="00B52DA0" w:rsidRPr="009A1A2E" w:rsidRDefault="00B52DA0" w:rsidP="00E13546">
            <w:pPr>
              <w:keepNext/>
              <w:keepLines/>
              <w:tabs>
                <w:tab w:val="left" w:pos="60"/>
                <w:tab w:val="left" w:pos="10085"/>
                <w:tab w:val="left" w:pos="10105"/>
              </w:tabs>
              <w:spacing w:before="120" w:after="120"/>
              <w:jc w:val="both"/>
              <w:rPr>
                <w:rFonts w:cs="Arial"/>
                <w:sz w:val="20"/>
                <w:szCs w:val="20"/>
                <w:lang w:eastAsia="de-AT"/>
              </w:rPr>
            </w:pPr>
            <w:r w:rsidRPr="009A1A2E">
              <w:rPr>
                <w:rFonts w:cs="Arial"/>
                <w:sz w:val="20"/>
                <w:szCs w:val="20"/>
                <w:lang w:eastAsia="de-AT"/>
              </w:rPr>
              <w:t>40</w:t>
            </w:r>
          </w:p>
        </w:tc>
      </w:tr>
      <w:tr w:rsidR="00B52DA0" w:rsidRPr="009A1A2E" w14:paraId="0ABD6438" w14:textId="77777777" w:rsidTr="00F66939">
        <w:trPr>
          <w:jc w:val="center"/>
        </w:trPr>
        <w:tc>
          <w:tcPr>
            <w:tcW w:w="2386" w:type="dxa"/>
            <w:shd w:val="clear" w:color="auto" w:fill="auto"/>
            <w:vAlign w:val="center"/>
          </w:tcPr>
          <w:p w14:paraId="4B4F2F0B" w14:textId="77777777" w:rsidR="00B52DA0" w:rsidRPr="009A1A2E" w:rsidRDefault="00B52DA0" w:rsidP="00E13546">
            <w:pPr>
              <w:jc w:val="both"/>
              <w:rPr>
                <w:rFonts w:cs="Arial"/>
                <w:b/>
                <w:sz w:val="20"/>
                <w:szCs w:val="20"/>
                <w:lang w:eastAsia="de-AT"/>
              </w:rPr>
            </w:pPr>
            <w:r w:rsidRPr="009A1A2E">
              <w:rPr>
                <w:rFonts w:cs="Arial"/>
                <w:b/>
                <w:sz w:val="20"/>
                <w:szCs w:val="20"/>
                <w:lang w:eastAsia="de-AT"/>
              </w:rPr>
              <w:t>Upper Limit (dB HL)</w:t>
            </w:r>
          </w:p>
        </w:tc>
        <w:tc>
          <w:tcPr>
            <w:tcW w:w="824" w:type="dxa"/>
            <w:shd w:val="clear" w:color="auto" w:fill="auto"/>
          </w:tcPr>
          <w:p w14:paraId="37CCA4D2" w14:textId="77777777" w:rsidR="00B52DA0" w:rsidRPr="009A1A2E" w:rsidRDefault="00B52DA0" w:rsidP="00E13546">
            <w:pPr>
              <w:keepNext/>
              <w:keepLines/>
              <w:tabs>
                <w:tab w:val="left" w:pos="60"/>
                <w:tab w:val="left" w:pos="10085"/>
                <w:tab w:val="left" w:pos="10105"/>
              </w:tabs>
              <w:spacing w:before="120" w:after="120"/>
              <w:jc w:val="both"/>
              <w:rPr>
                <w:rFonts w:cs="Arial"/>
                <w:sz w:val="20"/>
                <w:szCs w:val="20"/>
                <w:lang w:eastAsia="de-AT"/>
              </w:rPr>
            </w:pPr>
            <w:r w:rsidRPr="009A1A2E">
              <w:rPr>
                <w:rFonts w:cs="Arial"/>
                <w:sz w:val="20"/>
                <w:szCs w:val="20"/>
                <w:lang w:eastAsia="de-AT"/>
              </w:rPr>
              <w:t>65</w:t>
            </w:r>
          </w:p>
        </w:tc>
        <w:tc>
          <w:tcPr>
            <w:tcW w:w="831" w:type="dxa"/>
            <w:shd w:val="clear" w:color="auto" w:fill="auto"/>
          </w:tcPr>
          <w:p w14:paraId="40DBCE60" w14:textId="77777777" w:rsidR="00B52DA0" w:rsidRPr="009A1A2E" w:rsidRDefault="00B52DA0" w:rsidP="00E13546">
            <w:pPr>
              <w:keepNext/>
              <w:keepLines/>
              <w:tabs>
                <w:tab w:val="left" w:pos="60"/>
                <w:tab w:val="left" w:pos="10085"/>
                <w:tab w:val="left" w:pos="10105"/>
              </w:tabs>
              <w:spacing w:before="120" w:after="120"/>
              <w:jc w:val="both"/>
              <w:rPr>
                <w:rFonts w:cs="Arial"/>
                <w:sz w:val="20"/>
                <w:szCs w:val="20"/>
                <w:lang w:eastAsia="de-AT"/>
              </w:rPr>
            </w:pPr>
            <w:r w:rsidRPr="009A1A2E">
              <w:rPr>
                <w:rFonts w:cs="Arial"/>
                <w:sz w:val="20"/>
                <w:szCs w:val="20"/>
                <w:lang w:eastAsia="de-AT"/>
              </w:rPr>
              <w:t>75</w:t>
            </w:r>
          </w:p>
        </w:tc>
        <w:tc>
          <w:tcPr>
            <w:tcW w:w="831" w:type="dxa"/>
          </w:tcPr>
          <w:p w14:paraId="4B891AA8" w14:textId="77777777" w:rsidR="00B52DA0" w:rsidRPr="009A1A2E" w:rsidRDefault="00B52DA0" w:rsidP="00E13546">
            <w:pPr>
              <w:keepNext/>
              <w:keepLines/>
              <w:tabs>
                <w:tab w:val="left" w:pos="60"/>
                <w:tab w:val="left" w:pos="10085"/>
                <w:tab w:val="left" w:pos="10105"/>
              </w:tabs>
              <w:spacing w:before="120" w:after="120"/>
              <w:jc w:val="both"/>
              <w:rPr>
                <w:rFonts w:cs="Arial"/>
                <w:sz w:val="20"/>
                <w:szCs w:val="20"/>
                <w:lang w:eastAsia="de-AT"/>
              </w:rPr>
            </w:pPr>
            <w:r w:rsidRPr="009A1A2E">
              <w:rPr>
                <w:rFonts w:cs="Arial"/>
                <w:sz w:val="20"/>
                <w:szCs w:val="20"/>
                <w:lang w:eastAsia="de-AT"/>
              </w:rPr>
              <w:t>80</w:t>
            </w:r>
          </w:p>
        </w:tc>
        <w:tc>
          <w:tcPr>
            <w:tcW w:w="831" w:type="dxa"/>
            <w:shd w:val="clear" w:color="auto" w:fill="auto"/>
          </w:tcPr>
          <w:p w14:paraId="65D07A71" w14:textId="77777777" w:rsidR="00B52DA0" w:rsidRPr="009A1A2E" w:rsidRDefault="00B52DA0" w:rsidP="00E13546">
            <w:pPr>
              <w:keepNext/>
              <w:keepLines/>
              <w:tabs>
                <w:tab w:val="left" w:pos="60"/>
                <w:tab w:val="left" w:pos="10085"/>
                <w:tab w:val="left" w:pos="10105"/>
              </w:tabs>
              <w:spacing w:before="120" w:after="120"/>
              <w:jc w:val="both"/>
              <w:rPr>
                <w:rFonts w:cs="Arial"/>
                <w:sz w:val="20"/>
                <w:szCs w:val="20"/>
                <w:lang w:eastAsia="de-AT"/>
              </w:rPr>
            </w:pPr>
            <w:r w:rsidRPr="009A1A2E">
              <w:rPr>
                <w:rFonts w:cs="Arial"/>
                <w:sz w:val="20"/>
                <w:szCs w:val="20"/>
                <w:lang w:eastAsia="de-AT"/>
              </w:rPr>
              <w:t>80</w:t>
            </w:r>
          </w:p>
        </w:tc>
        <w:tc>
          <w:tcPr>
            <w:tcW w:w="831" w:type="dxa"/>
            <w:shd w:val="clear" w:color="auto" w:fill="auto"/>
          </w:tcPr>
          <w:p w14:paraId="09F631F9" w14:textId="77777777" w:rsidR="00B52DA0" w:rsidRPr="009A1A2E" w:rsidRDefault="00B52DA0" w:rsidP="00E13546">
            <w:pPr>
              <w:keepNext/>
              <w:keepLines/>
              <w:tabs>
                <w:tab w:val="left" w:pos="60"/>
                <w:tab w:val="left" w:pos="10085"/>
                <w:tab w:val="left" w:pos="10105"/>
              </w:tabs>
              <w:spacing w:before="120" w:after="120"/>
              <w:jc w:val="both"/>
              <w:rPr>
                <w:rFonts w:cs="Arial"/>
                <w:sz w:val="20"/>
                <w:szCs w:val="20"/>
                <w:lang w:eastAsia="de-AT"/>
              </w:rPr>
            </w:pPr>
            <w:r w:rsidRPr="009A1A2E">
              <w:rPr>
                <w:rFonts w:cs="Arial"/>
                <w:sz w:val="20"/>
                <w:szCs w:val="20"/>
                <w:lang w:eastAsia="de-AT"/>
              </w:rPr>
              <w:t>85</w:t>
            </w:r>
          </w:p>
        </w:tc>
        <w:tc>
          <w:tcPr>
            <w:tcW w:w="831" w:type="dxa"/>
            <w:shd w:val="clear" w:color="auto" w:fill="auto"/>
          </w:tcPr>
          <w:p w14:paraId="44E7C6AB" w14:textId="77777777" w:rsidR="00B52DA0" w:rsidRPr="009A1A2E" w:rsidRDefault="00B52DA0" w:rsidP="00E13546">
            <w:pPr>
              <w:keepNext/>
              <w:keepLines/>
              <w:tabs>
                <w:tab w:val="left" w:pos="60"/>
                <w:tab w:val="left" w:pos="10085"/>
                <w:tab w:val="left" w:pos="10105"/>
              </w:tabs>
              <w:spacing w:before="120" w:after="120"/>
              <w:jc w:val="both"/>
              <w:rPr>
                <w:rFonts w:cs="Arial"/>
                <w:sz w:val="20"/>
                <w:szCs w:val="20"/>
                <w:lang w:eastAsia="de-AT"/>
              </w:rPr>
            </w:pPr>
            <w:r w:rsidRPr="009A1A2E">
              <w:rPr>
                <w:rFonts w:cs="Arial"/>
                <w:sz w:val="20"/>
                <w:szCs w:val="20"/>
                <w:lang w:eastAsia="de-AT"/>
              </w:rPr>
              <w:t>85</w:t>
            </w:r>
          </w:p>
        </w:tc>
      </w:tr>
    </w:tbl>
    <w:p w14:paraId="1EBA6082" w14:textId="77777777" w:rsidR="00B52DA0" w:rsidRPr="009A1A2E" w:rsidRDefault="00B52DA0" w:rsidP="00B52DA0">
      <w:pPr>
        <w:pStyle w:val="Textbody"/>
        <w:rPr>
          <w:lang w:val="en-AU"/>
        </w:rPr>
      </w:pPr>
    </w:p>
    <w:p w14:paraId="6F151C7D" w14:textId="77777777" w:rsidR="00B52DA0" w:rsidRPr="009A1A2E" w:rsidRDefault="00B52DA0" w:rsidP="00B52DA0">
      <w:pPr>
        <w:pStyle w:val="Textbody"/>
        <w:rPr>
          <w:lang w:val="en-AU"/>
        </w:rPr>
      </w:pPr>
      <w:r w:rsidRPr="009A1A2E">
        <w:rPr>
          <w:lang w:val="en-AU"/>
        </w:rPr>
        <w:t xml:space="preserve">Vibrant Soundbridge candidates cannot use conventional hearing aids for a variety of medical reasons. These may include but are not limited to conditions such as chronic otitis externa, psoriasis, exostosis of the ear canal, persistent excessive cerumen blocking the ear canal, absent or deformed </w:t>
      </w:r>
      <w:r w:rsidR="00073DA6" w:rsidRPr="009A1A2E">
        <w:rPr>
          <w:lang w:val="en-AU"/>
        </w:rPr>
        <w:t>pinnae</w:t>
      </w:r>
      <w:r w:rsidRPr="009A1A2E">
        <w:rPr>
          <w:lang w:val="en-AU"/>
        </w:rPr>
        <w:t xml:space="preserve"> following skin cancer, unusual morphology affecting the ear canal or pinna that prevent the use of conventional hearing aids.</w:t>
      </w:r>
    </w:p>
    <w:p w14:paraId="17F2C945" w14:textId="77777777" w:rsidR="00B52DA0" w:rsidRPr="009A1A2E" w:rsidRDefault="00B52DA0" w:rsidP="00B52DA0">
      <w:pPr>
        <w:rPr>
          <w:rFonts w:cs="Arial"/>
        </w:rPr>
      </w:pPr>
    </w:p>
    <w:p w14:paraId="5820183C" w14:textId="77777777" w:rsidR="00B52DA0" w:rsidRPr="009A1A2E" w:rsidRDefault="00B52DA0" w:rsidP="00B52DA0">
      <w:pPr>
        <w:pStyle w:val="Textbody"/>
        <w:numPr>
          <w:ilvl w:val="0"/>
          <w:numId w:val="80"/>
        </w:numPr>
        <w:rPr>
          <w:b/>
          <w:lang w:val="en-AU"/>
        </w:rPr>
      </w:pPr>
      <w:r w:rsidRPr="009A1A2E">
        <w:rPr>
          <w:b/>
          <w:lang w:val="en-AU"/>
        </w:rPr>
        <w:t>Ototronix MAXUM:</w:t>
      </w:r>
    </w:p>
    <w:p w14:paraId="624E8A2A" w14:textId="77777777" w:rsidR="00B52DA0" w:rsidRPr="009A1A2E" w:rsidRDefault="00B52DA0" w:rsidP="00B52DA0">
      <w:pPr>
        <w:pStyle w:val="Textbody"/>
        <w:numPr>
          <w:ilvl w:val="0"/>
          <w:numId w:val="81"/>
        </w:numPr>
        <w:rPr>
          <w:lang w:val="en-AU"/>
        </w:rPr>
      </w:pPr>
      <w:r w:rsidRPr="009A1A2E">
        <w:rPr>
          <w:lang w:val="en-AU"/>
        </w:rPr>
        <w:t xml:space="preserve">For use in adults, 18 years of age or older, </w:t>
      </w:r>
    </w:p>
    <w:p w14:paraId="7A175B53" w14:textId="77777777" w:rsidR="00B52DA0" w:rsidRPr="009A1A2E" w:rsidRDefault="00B52DA0" w:rsidP="00B52DA0">
      <w:pPr>
        <w:pStyle w:val="Textbody"/>
        <w:numPr>
          <w:ilvl w:val="0"/>
          <w:numId w:val="81"/>
        </w:numPr>
        <w:rPr>
          <w:lang w:val="en-AU"/>
        </w:rPr>
      </w:pPr>
      <w:r w:rsidRPr="009A1A2E">
        <w:rPr>
          <w:lang w:val="en-AU"/>
        </w:rPr>
        <w:t>Present with a moderate to severe sensorineural hearing loss</w:t>
      </w:r>
    </w:p>
    <w:p w14:paraId="6D1778D5" w14:textId="77777777" w:rsidR="00B52DA0" w:rsidRPr="009A1A2E" w:rsidRDefault="00B52DA0" w:rsidP="00B52DA0">
      <w:pPr>
        <w:pStyle w:val="Textbody"/>
        <w:numPr>
          <w:ilvl w:val="0"/>
          <w:numId w:val="81"/>
        </w:numPr>
        <w:rPr>
          <w:lang w:val="en-AU"/>
        </w:rPr>
      </w:pPr>
      <w:r w:rsidRPr="009A1A2E">
        <w:rPr>
          <w:lang w:val="en-AU"/>
        </w:rPr>
        <w:t xml:space="preserve">unaided word recognition score of 60% or greater </w:t>
      </w:r>
    </w:p>
    <w:p w14:paraId="388382FC" w14:textId="77777777" w:rsidR="00B52DA0" w:rsidRPr="009A1A2E" w:rsidRDefault="00B52DA0" w:rsidP="00B52DA0">
      <w:pPr>
        <w:pStyle w:val="Textbody"/>
        <w:numPr>
          <w:ilvl w:val="0"/>
          <w:numId w:val="81"/>
        </w:numPr>
        <w:rPr>
          <w:lang w:val="en-AU"/>
        </w:rPr>
      </w:pPr>
      <w:r w:rsidRPr="009A1A2E">
        <w:rPr>
          <w:lang w:val="en-AU"/>
        </w:rPr>
        <w:t>Desire an alternative to an acoustic hearing aid.</w:t>
      </w:r>
    </w:p>
    <w:p w14:paraId="2844BDE9" w14:textId="77777777" w:rsidR="00B52DA0" w:rsidRPr="009A1A2E" w:rsidRDefault="00B52DA0" w:rsidP="00B52DA0">
      <w:pPr>
        <w:pStyle w:val="Textbody"/>
        <w:numPr>
          <w:ilvl w:val="0"/>
          <w:numId w:val="81"/>
        </w:numPr>
        <w:rPr>
          <w:lang w:val="en-AU"/>
        </w:rPr>
      </w:pPr>
      <w:r w:rsidRPr="009A1A2E">
        <w:rPr>
          <w:lang w:val="en-AU"/>
        </w:rPr>
        <w:t>Experience with appropriately fit hearing aids.</w:t>
      </w:r>
    </w:p>
    <w:p w14:paraId="70366E9B" w14:textId="77777777" w:rsidR="00B52DA0" w:rsidRPr="009A1A2E" w:rsidRDefault="00B52DA0" w:rsidP="00B52DA0">
      <w:pPr>
        <w:pStyle w:val="Textbody"/>
        <w:rPr>
          <w:lang w:val="en-AU"/>
        </w:rPr>
      </w:pPr>
      <w:r w:rsidRPr="009A1A2E">
        <w:rPr>
          <w:lang w:val="en-AU"/>
        </w:rPr>
        <w:t xml:space="preserve">In conclusion, the only partially implantable active middle ear implant that offers </w:t>
      </w:r>
      <w:r w:rsidRPr="009A1A2E">
        <w:rPr>
          <w:lang w:val="en-AU"/>
        </w:rPr>
        <w:lastRenderedPageBreak/>
        <w:t>management for the target population is the Vibrant Soundbridge.</w:t>
      </w:r>
    </w:p>
    <w:p w14:paraId="733E1DC7" w14:textId="77777777" w:rsidR="00B52DA0" w:rsidRPr="009A1A2E" w:rsidRDefault="00B52DA0" w:rsidP="00B52DA0">
      <w:pPr>
        <w:pStyle w:val="Textbody"/>
        <w:rPr>
          <w:color w:val="000000"/>
          <w:lang w:val="en-AU"/>
        </w:rPr>
      </w:pPr>
      <w:r w:rsidRPr="009A1A2E">
        <w:rPr>
          <w:lang w:val="en-AU"/>
        </w:rPr>
        <w:t>The details of the proposed MBS listing as agreed by PASC are as follows:</w:t>
      </w:r>
    </w:p>
    <w:p w14:paraId="310943AB" w14:textId="77777777" w:rsidR="00B52DA0" w:rsidRPr="009A1A2E" w:rsidRDefault="00B52DA0" w:rsidP="00B52DA0">
      <w:pPr>
        <w:rPr>
          <w:rFonts w:cs="Arial"/>
        </w:rPr>
      </w:pPr>
    </w:p>
    <w:tbl>
      <w:tblPr>
        <w:tblW w:w="87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Proposed MBS item descriptor for partially implantable MIDDLE EAR IMPLANT, Insertion of, including a mastoidectomy"/>
      </w:tblPr>
      <w:tblGrid>
        <w:gridCol w:w="8789"/>
      </w:tblGrid>
      <w:tr w:rsidR="00B52DA0" w:rsidRPr="009A1A2E" w14:paraId="02067D3C" w14:textId="77777777" w:rsidTr="00E13546">
        <w:trPr>
          <w:trHeight w:val="382"/>
        </w:trPr>
        <w:tc>
          <w:tcPr>
            <w:tcW w:w="8789" w:type="dxa"/>
            <w:tcBorders>
              <w:top w:val="single" w:sz="4" w:space="0" w:color="auto"/>
              <w:left w:val="single" w:sz="4" w:space="0" w:color="auto"/>
              <w:bottom w:val="single" w:sz="4" w:space="0" w:color="auto"/>
              <w:right w:val="single" w:sz="4" w:space="0" w:color="auto"/>
            </w:tcBorders>
          </w:tcPr>
          <w:p w14:paraId="4B75D202" w14:textId="77777777" w:rsidR="00B52DA0" w:rsidRPr="009A1A2E" w:rsidRDefault="00B52DA0" w:rsidP="00E13546">
            <w:pPr>
              <w:pStyle w:val="Tabletext"/>
              <w:keepLines/>
              <w:rPr>
                <w:rFonts w:ascii="Arial" w:hAnsi="Arial" w:cs="Arial"/>
              </w:rPr>
            </w:pPr>
            <w:r w:rsidRPr="009A1A2E">
              <w:rPr>
                <w:rFonts w:ascii="Arial" w:hAnsi="Arial" w:cs="Arial"/>
              </w:rPr>
              <w:t>Proposed MBS item descriptor for partially implantable MIDDLE EAR IMPLANT, Insertion of, including a mastoidectomy</w:t>
            </w:r>
          </w:p>
        </w:tc>
      </w:tr>
      <w:tr w:rsidR="00B52DA0" w:rsidRPr="009A1A2E" w14:paraId="0B5E108B" w14:textId="77777777" w:rsidTr="00E13546">
        <w:trPr>
          <w:trHeight w:val="382"/>
        </w:trPr>
        <w:tc>
          <w:tcPr>
            <w:tcW w:w="8789" w:type="dxa"/>
            <w:tcBorders>
              <w:top w:val="single" w:sz="4" w:space="0" w:color="auto"/>
              <w:left w:val="single" w:sz="4" w:space="0" w:color="auto"/>
              <w:bottom w:val="single" w:sz="4" w:space="0" w:color="auto"/>
              <w:right w:val="single" w:sz="4" w:space="0" w:color="auto"/>
            </w:tcBorders>
          </w:tcPr>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455"/>
            </w:tblGrid>
            <w:tr w:rsidR="00B52DA0" w:rsidRPr="009A1A2E" w14:paraId="4BA8E33F" w14:textId="77777777" w:rsidTr="00E13546">
              <w:tc>
                <w:tcPr>
                  <w:tcW w:w="9134" w:type="dxa"/>
                </w:tcPr>
                <w:p w14:paraId="4DFF067E" w14:textId="77777777" w:rsidR="00B52DA0" w:rsidRPr="009A1A2E" w:rsidRDefault="00B52DA0" w:rsidP="00E13546">
                  <w:pPr>
                    <w:pStyle w:val="Textbody"/>
                    <w:rPr>
                      <w:lang w:val="en-AU"/>
                    </w:rPr>
                  </w:pPr>
                  <w:r w:rsidRPr="009A1A2E">
                    <w:rPr>
                      <w:lang w:val="en-AU"/>
                    </w:rPr>
                    <w:t>Category 3 – Therapeutic Procedures</w:t>
                  </w:r>
                </w:p>
              </w:tc>
            </w:tr>
            <w:tr w:rsidR="00B52DA0" w:rsidRPr="009A1A2E" w14:paraId="33315BE7" w14:textId="77777777" w:rsidTr="00E13546">
              <w:tc>
                <w:tcPr>
                  <w:tcW w:w="9134" w:type="dxa"/>
                </w:tcPr>
                <w:p w14:paraId="2922BFB4" w14:textId="77777777" w:rsidR="00B52DA0" w:rsidRPr="009A1A2E" w:rsidRDefault="00B52DA0" w:rsidP="00E13546">
                  <w:pPr>
                    <w:pStyle w:val="Textbody"/>
                    <w:rPr>
                      <w:lang w:val="en-AU"/>
                    </w:rPr>
                  </w:pPr>
                  <w:r w:rsidRPr="009A1A2E">
                    <w:rPr>
                      <w:lang w:val="en-AU"/>
                    </w:rPr>
                    <w:t>MBS [item number]</w:t>
                  </w:r>
                </w:p>
                <w:p w14:paraId="352131BC" w14:textId="77777777" w:rsidR="00B52DA0" w:rsidRPr="009A1A2E" w:rsidRDefault="00B52DA0" w:rsidP="00E13546">
                  <w:pPr>
                    <w:pStyle w:val="Textbody"/>
                    <w:rPr>
                      <w:lang w:val="en-AU"/>
                    </w:rPr>
                  </w:pPr>
                  <w:r w:rsidRPr="009A1A2E">
                    <w:rPr>
                      <w:lang w:val="en-AU"/>
                    </w:rPr>
                    <w:t>partially implantable MIDDLE EAR IMPLANT, insertion of, including mastoidectomy, for patients with:</w:t>
                  </w:r>
                </w:p>
                <w:p w14:paraId="557DCEDD" w14:textId="77777777" w:rsidR="00B52DA0" w:rsidRPr="009A1A2E" w:rsidRDefault="00B52DA0" w:rsidP="00E13546">
                  <w:pPr>
                    <w:pStyle w:val="Textbody"/>
                    <w:rPr>
                      <w:lang w:val="en-AU"/>
                    </w:rPr>
                  </w:pPr>
                </w:p>
                <w:p w14:paraId="5675DEC2" w14:textId="77777777" w:rsidR="00B52DA0" w:rsidRPr="009A1A2E" w:rsidRDefault="00B52DA0" w:rsidP="00E13546">
                  <w:pPr>
                    <w:pStyle w:val="Textbody"/>
                    <w:rPr>
                      <w:lang w:val="en-AU"/>
                    </w:rPr>
                  </w:pPr>
                  <w:r w:rsidRPr="009A1A2E">
                    <w:rPr>
                      <w:lang w:val="en-AU"/>
                    </w:rPr>
                    <w:t>sensorineural hearing loss that is stable, bilateral and symmetrical; and</w:t>
                  </w:r>
                </w:p>
                <w:p w14:paraId="02EF9697" w14:textId="77777777" w:rsidR="00B52DA0" w:rsidRPr="009A1A2E" w:rsidRDefault="00B52DA0" w:rsidP="00E13546">
                  <w:pPr>
                    <w:pStyle w:val="Textbody"/>
                    <w:rPr>
                      <w:lang w:val="en-AU"/>
                    </w:rPr>
                  </w:pPr>
                  <w:r w:rsidRPr="009A1A2E">
                    <w:rPr>
                      <w:lang w:val="en-AU"/>
                    </w:rPr>
                    <w:t>air conduction thresholds in the mild to severe range with PTA4 below 80 dB HL; and</w:t>
                  </w:r>
                </w:p>
                <w:p w14:paraId="3C70D7BA" w14:textId="77777777" w:rsidR="00B52DA0" w:rsidRPr="009A1A2E" w:rsidRDefault="00B52DA0" w:rsidP="00E13546">
                  <w:pPr>
                    <w:pStyle w:val="Textbody"/>
                    <w:rPr>
                      <w:lang w:val="en-AU"/>
                    </w:rPr>
                  </w:pPr>
                  <w:r w:rsidRPr="009A1A2E">
                    <w:rPr>
                      <w:lang w:val="en-AU"/>
                    </w:rPr>
                    <w:t xml:space="preserve">have speech perception discrimination of </w:t>
                  </w:r>
                  <w:r w:rsidRPr="009A1A2E">
                    <w:rPr>
                      <w:rFonts w:ascii="Cambria Math" w:hAnsi="Cambria Math" w:cs="Cambria Math"/>
                      <w:lang w:val="en-AU"/>
                    </w:rPr>
                    <w:t>≧</w:t>
                  </w:r>
                  <w:r w:rsidRPr="009A1A2E">
                    <w:rPr>
                      <w:lang w:val="en-AU"/>
                    </w:rPr>
                    <w:t>65% correct with appropriately amplified sound; and</w:t>
                  </w:r>
                </w:p>
                <w:p w14:paraId="5010CF3E" w14:textId="77777777" w:rsidR="00B52DA0" w:rsidRPr="009A1A2E" w:rsidRDefault="00B52DA0" w:rsidP="00E13546">
                  <w:pPr>
                    <w:pStyle w:val="Textbody"/>
                    <w:rPr>
                      <w:lang w:val="en-AU"/>
                    </w:rPr>
                  </w:pPr>
                  <w:r w:rsidRPr="009A1A2E">
                    <w:rPr>
                      <w:lang w:val="en-AU"/>
                    </w:rPr>
                    <w:t>cannot wear conventional hearing aid because of outer ear pathology; and</w:t>
                  </w:r>
                </w:p>
                <w:p w14:paraId="2FEB51BF" w14:textId="77777777" w:rsidR="00B52DA0" w:rsidRPr="009A1A2E" w:rsidRDefault="00B52DA0" w:rsidP="00E13546">
                  <w:pPr>
                    <w:pStyle w:val="Textbody"/>
                    <w:rPr>
                      <w:lang w:val="en-AU"/>
                    </w:rPr>
                  </w:pPr>
                  <w:r w:rsidRPr="009A1A2E">
                    <w:rPr>
                      <w:lang w:val="en-AU"/>
                    </w:rPr>
                    <w:t>no history of inner ear disorders such as Meniere’s syndrome</w:t>
                  </w:r>
                </w:p>
                <w:p w14:paraId="71ABC627" w14:textId="77777777" w:rsidR="00B52DA0" w:rsidRPr="009A1A2E" w:rsidRDefault="00B52DA0" w:rsidP="00E13546">
                  <w:pPr>
                    <w:pStyle w:val="Textbody"/>
                    <w:rPr>
                      <w:lang w:val="en-AU"/>
                    </w:rPr>
                  </w:pPr>
                  <w:r w:rsidRPr="009A1A2E">
                    <w:rPr>
                      <w:lang w:val="en-AU"/>
                    </w:rPr>
                    <w:t xml:space="preserve">a normal middle ear (no history of middle ear surgery or of post-adolescent, chronic middle ear infections; and normal tympanometry; and on audiometry the air-bone gap is </w:t>
                  </w:r>
                  <w:r w:rsidRPr="009A1A2E">
                    <w:rPr>
                      <w:rFonts w:ascii="Cambria Math" w:hAnsi="Cambria Math" w:cs="Cambria Math"/>
                      <w:lang w:val="en-AU"/>
                    </w:rPr>
                    <w:t>≦</w:t>
                  </w:r>
                  <w:r w:rsidRPr="009A1A2E">
                    <w:rPr>
                      <w:lang w:val="en-AU"/>
                    </w:rPr>
                    <w:t>10 dBHL at two or more of the following frequencies: 0.5, 1, 2 and 4 kHz).</w:t>
                  </w:r>
                </w:p>
                <w:p w14:paraId="65DDC817" w14:textId="77777777" w:rsidR="00B52DA0" w:rsidRPr="009A1A2E" w:rsidRDefault="00B52DA0" w:rsidP="00E13546">
                  <w:pPr>
                    <w:pStyle w:val="Textbody"/>
                    <w:rPr>
                      <w:lang w:val="en-AU"/>
                    </w:rPr>
                  </w:pPr>
                </w:p>
                <w:p w14:paraId="0852195D" w14:textId="77777777" w:rsidR="00B52DA0" w:rsidRPr="009A1A2E" w:rsidRDefault="00B52DA0" w:rsidP="00E13546">
                  <w:pPr>
                    <w:pStyle w:val="Textbody"/>
                    <w:rPr>
                      <w:lang w:val="en-AU"/>
                    </w:rPr>
                  </w:pPr>
                  <w:r w:rsidRPr="009A1A2E">
                    <w:rPr>
                      <w:lang w:val="en-AU"/>
                    </w:rPr>
                    <w:t>Fee: $1,876.59 (based on mastoidectomy item).</w:t>
                  </w:r>
                </w:p>
                <w:p w14:paraId="50A3B3B1" w14:textId="77777777" w:rsidR="00B52DA0" w:rsidRPr="009A1A2E" w:rsidRDefault="00B52DA0" w:rsidP="00E13546">
                  <w:pPr>
                    <w:pStyle w:val="Textbody"/>
                    <w:rPr>
                      <w:lang w:val="en-AU"/>
                    </w:rPr>
                  </w:pPr>
                  <w:r w:rsidRPr="009A1A2E">
                    <w:rPr>
                      <w:lang w:val="en-AU"/>
                    </w:rPr>
                    <w:t>(Anaes)</w:t>
                  </w:r>
                </w:p>
              </w:tc>
            </w:tr>
          </w:tbl>
          <w:p w14:paraId="079F7527" w14:textId="77777777" w:rsidR="00B52DA0" w:rsidRPr="009A1A2E" w:rsidRDefault="00B52DA0" w:rsidP="00E13546">
            <w:pPr>
              <w:pStyle w:val="Tabletext"/>
              <w:keepLines/>
              <w:rPr>
                <w:rFonts w:ascii="Arial" w:hAnsi="Arial" w:cs="Arial"/>
              </w:rPr>
            </w:pPr>
          </w:p>
        </w:tc>
      </w:tr>
    </w:tbl>
    <w:p w14:paraId="32AD60E4" w14:textId="77777777" w:rsidR="00B52DA0" w:rsidRPr="009A1A2E" w:rsidRDefault="00B52DA0" w:rsidP="00685E75">
      <w:pPr>
        <w:pStyle w:val="Textbody"/>
        <w:rPr>
          <w:lang w:val="en-AU"/>
        </w:rPr>
      </w:pPr>
    </w:p>
    <w:p w14:paraId="406ACDBD" w14:textId="77777777" w:rsidR="00B52DA0" w:rsidRPr="009A1A2E" w:rsidRDefault="00B52DA0" w:rsidP="00685E75">
      <w:pPr>
        <w:pStyle w:val="Textbody"/>
        <w:rPr>
          <w:lang w:val="en-AU"/>
        </w:rPr>
      </w:pPr>
      <w:r w:rsidRPr="009A1A2E">
        <w:rPr>
          <w:lang w:val="en-AU"/>
        </w:rPr>
        <w:t>Rationale for the proposed listing and clinical management algorithm</w:t>
      </w:r>
    </w:p>
    <w:p w14:paraId="5C63AD5E" w14:textId="77777777" w:rsidR="00B52DA0" w:rsidRPr="009A1A2E" w:rsidRDefault="00B52DA0" w:rsidP="00685E75">
      <w:pPr>
        <w:pStyle w:val="Textbody"/>
        <w:rPr>
          <w:lang w:val="en-AU"/>
        </w:rPr>
      </w:pPr>
      <w:r w:rsidRPr="009A1A2E">
        <w:rPr>
          <w:lang w:val="en-AU"/>
        </w:rPr>
        <w:t>Insertion of a partially implantable MEI is not reimbursed by the MBS. This treatment is proposed as an additional option to the current practice for a sub-population of patients tha</w:t>
      </w:r>
      <w:r w:rsidR="00685E75" w:rsidRPr="009A1A2E">
        <w:rPr>
          <w:lang w:val="en-AU"/>
        </w:rPr>
        <w:t>t are currently left untreated.</w:t>
      </w:r>
    </w:p>
    <w:p w14:paraId="76FEC397" w14:textId="77777777" w:rsidR="00B52DA0" w:rsidRPr="009A1A2E" w:rsidRDefault="00B52DA0" w:rsidP="00B52DA0">
      <w:pPr>
        <w:pStyle w:val="StyleExecSumm"/>
        <w:keepNext/>
        <w:jc w:val="center"/>
        <w:rPr>
          <w:rFonts w:cs="Arial"/>
        </w:rPr>
      </w:pPr>
      <w:r w:rsidRPr="009A1A2E">
        <w:rPr>
          <w:noProof/>
        </w:rPr>
        <w:lastRenderedPageBreak/>
        <w:drawing>
          <wp:inline distT="0" distB="0" distL="0" distR="0" wp14:anchorId="24DF5A40" wp14:editId="549AAE0B">
            <wp:extent cx="5076825" cy="7038975"/>
            <wp:effectExtent l="0" t="0" r="9525" b="9525"/>
            <wp:docPr id="5" name="Grafik 5" descr="The patient is referred for audiological testing, an audiologist will establish hearing loss, speech perception and the medical condition of the ear. The will then be conservative treatment by an ENT doctor. If unsuccessful, the patient will have no treatment or a respective AMEI. If conservative treatment is successfull the patient will have an HA trial. If unable to wear HAs due to recurring pathologies or skin allergies the patient can try a respective AMEI. If insufficient benefit, there will be assessment of respective AMEI candidacy by an audiologist leading to moderate to severe SNHL: respective AMEI or no treatment. If successful amplication and benefit there is continued HA use. If there is worsening hearing loss over time with PTA4 greater than 80 dB there is assessment of implant candidacy by an audiologist and ENT doctor." title="Clinical Management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076825" cy="7038975"/>
                    </a:xfrm>
                    <a:prstGeom prst="rect">
                      <a:avLst/>
                    </a:prstGeom>
                  </pic:spPr>
                </pic:pic>
              </a:graphicData>
            </a:graphic>
          </wp:inline>
        </w:drawing>
      </w:r>
    </w:p>
    <w:p w14:paraId="26A26CE5" w14:textId="77777777" w:rsidR="00B52DA0" w:rsidRPr="00995B6B" w:rsidRDefault="004033BA" w:rsidP="004033BA">
      <w:pPr>
        <w:pStyle w:val="Caption"/>
        <w:rPr>
          <w:rFonts w:ascii="Arial" w:hAnsi="Arial" w:cs="Arial"/>
          <w:u w:val="single"/>
          <w:lang w:val="en-AU"/>
        </w:rPr>
      </w:pPr>
      <w:bookmarkStart w:id="13" w:name="_Toc431653910"/>
      <w:r w:rsidRPr="00995B6B">
        <w:rPr>
          <w:rFonts w:ascii="Arial" w:hAnsi="Arial" w:cs="Arial"/>
        </w:rPr>
        <w:t xml:space="preserve">Fig </w:t>
      </w:r>
      <w:r w:rsidRPr="00995B6B">
        <w:rPr>
          <w:rFonts w:ascii="Arial" w:hAnsi="Arial" w:cs="Arial"/>
        </w:rPr>
        <w:fldChar w:fldCharType="begin"/>
      </w:r>
      <w:r w:rsidRPr="00995B6B">
        <w:rPr>
          <w:rFonts w:ascii="Arial" w:hAnsi="Arial" w:cs="Arial"/>
        </w:rPr>
        <w:instrText xml:space="preserve"> SEQ Fig \* ARABIC </w:instrText>
      </w:r>
      <w:r w:rsidRPr="00995B6B">
        <w:rPr>
          <w:rFonts w:ascii="Arial" w:hAnsi="Arial" w:cs="Arial"/>
        </w:rPr>
        <w:fldChar w:fldCharType="separate"/>
      </w:r>
      <w:r w:rsidR="00016592">
        <w:rPr>
          <w:rFonts w:ascii="Arial" w:hAnsi="Arial" w:cs="Arial"/>
          <w:noProof/>
        </w:rPr>
        <w:t>1</w:t>
      </w:r>
      <w:r w:rsidRPr="00995B6B">
        <w:rPr>
          <w:rFonts w:ascii="Arial" w:hAnsi="Arial" w:cs="Arial"/>
        </w:rPr>
        <w:fldChar w:fldCharType="end"/>
      </w:r>
      <w:r w:rsidRPr="00995B6B">
        <w:rPr>
          <w:rFonts w:ascii="Arial" w:hAnsi="Arial" w:cs="Arial"/>
          <w:u w:val="single"/>
          <w:lang w:val="en-AU"/>
        </w:rPr>
        <w:t xml:space="preserve"> - Clinical Management Algorithm</w:t>
      </w:r>
      <w:bookmarkEnd w:id="13"/>
    </w:p>
    <w:p w14:paraId="40385C8A" w14:textId="77777777" w:rsidR="00B52DA0" w:rsidRPr="009A1A2E" w:rsidRDefault="00B52DA0" w:rsidP="00B52DA0">
      <w:pPr>
        <w:pStyle w:val="StyleExecSumm"/>
        <w:rPr>
          <w:rFonts w:cs="Arial"/>
          <w:b/>
          <w:bCs/>
          <w:i/>
          <w:szCs w:val="32"/>
        </w:rPr>
      </w:pPr>
    </w:p>
    <w:p w14:paraId="4D4301AF" w14:textId="77777777" w:rsidR="00B52DA0" w:rsidRPr="009A1A2E" w:rsidRDefault="00B52DA0" w:rsidP="00B52DA0">
      <w:pPr>
        <w:pStyle w:val="StyleExecSumm"/>
        <w:rPr>
          <w:rFonts w:cs="Arial"/>
          <w:b/>
          <w:bCs/>
          <w:i/>
          <w:szCs w:val="32"/>
        </w:rPr>
      </w:pPr>
      <w:r w:rsidRPr="009A1A2E">
        <w:rPr>
          <w:rFonts w:cs="Arial"/>
          <w:b/>
          <w:bCs/>
          <w:i/>
          <w:szCs w:val="32"/>
        </w:rPr>
        <w:t xml:space="preserve">Comparator </w:t>
      </w:r>
    </w:p>
    <w:p w14:paraId="1EA47177" w14:textId="77777777" w:rsidR="00B52DA0" w:rsidRDefault="00B52DA0" w:rsidP="00B52DA0">
      <w:pPr>
        <w:rPr>
          <w:rFonts w:cs="Arial"/>
        </w:rPr>
      </w:pPr>
      <w:r w:rsidRPr="009A1A2E">
        <w:rPr>
          <w:rFonts w:cs="Arial"/>
        </w:rPr>
        <w:t>The appropriate comparator is No Treatment.</w:t>
      </w:r>
    </w:p>
    <w:p w14:paraId="25A1A25F" w14:textId="77777777" w:rsidR="007F6475" w:rsidRDefault="007F6475" w:rsidP="00B52DA0">
      <w:pPr>
        <w:rPr>
          <w:rFonts w:cs="Arial"/>
        </w:rPr>
      </w:pPr>
    </w:p>
    <w:p w14:paraId="44DEDC92" w14:textId="77777777" w:rsidR="007F6475" w:rsidRPr="007F6475" w:rsidRDefault="007F6475" w:rsidP="007F6475">
      <w:pPr>
        <w:pStyle w:val="Textbody"/>
        <w:rPr>
          <w:b/>
          <w:lang w:val="en-AU"/>
        </w:rPr>
      </w:pPr>
      <w:r w:rsidRPr="007F6475">
        <w:rPr>
          <w:b/>
          <w:lang w:val="en-AU"/>
        </w:rPr>
        <w:t>Clinical evidence</w:t>
      </w:r>
    </w:p>
    <w:p w14:paraId="34C0A083" w14:textId="77777777" w:rsidR="007F6475" w:rsidRPr="00703BC0" w:rsidRDefault="007F6475" w:rsidP="007F6475">
      <w:pPr>
        <w:pStyle w:val="Textbody"/>
      </w:pPr>
      <w:r w:rsidRPr="00703BC0">
        <w:t xml:space="preserve">The present review relies on </w:t>
      </w:r>
      <w:r>
        <w:t>best available</w:t>
      </w:r>
      <w:r w:rsidRPr="00703BC0">
        <w:t xml:space="preserve"> </w:t>
      </w:r>
      <w:r>
        <w:t xml:space="preserve">evidence on Middle Ear Implants </w:t>
      </w:r>
      <w:r w:rsidRPr="00703BC0">
        <w:t xml:space="preserve">to draw conclusions about </w:t>
      </w:r>
      <w:r>
        <w:t>their</w:t>
      </w:r>
      <w:r w:rsidRPr="00703BC0">
        <w:t xml:space="preserve"> relative </w:t>
      </w:r>
      <w:r>
        <w:t>effectiveness and safety.</w:t>
      </w:r>
    </w:p>
    <w:p w14:paraId="5CDA8267" w14:textId="77777777" w:rsidR="007F6475" w:rsidRPr="00703BC0" w:rsidRDefault="007F6475" w:rsidP="007F6475">
      <w:pPr>
        <w:pStyle w:val="Textbody"/>
      </w:pPr>
      <w:r w:rsidRPr="00703BC0">
        <w:lastRenderedPageBreak/>
        <w:t>Overall</w:t>
      </w:r>
      <w:r>
        <w:t>,</w:t>
      </w:r>
      <w:r w:rsidRPr="00703BC0">
        <w:t xml:space="preserve"> an assessment of the study characteristics that could potentially influence test validity</w:t>
      </w:r>
      <w:r>
        <w:t xml:space="preserve"> showed that</w:t>
      </w:r>
      <w:r w:rsidRPr="00703BC0">
        <w:t xml:space="preserve"> the following </w:t>
      </w:r>
      <w:r>
        <w:t xml:space="preserve">studies </w:t>
      </w:r>
      <w:r w:rsidRPr="00196B2C">
        <w:t xml:space="preserve">demonstrated notable characteristics that differed from all </w:t>
      </w:r>
      <w:r>
        <w:t>studies</w:t>
      </w:r>
      <w:r w:rsidRPr="00196B2C">
        <w:t>:</w:t>
      </w:r>
    </w:p>
    <w:p w14:paraId="45C987D4" w14:textId="77777777" w:rsidR="007F6475" w:rsidRPr="0080769D" w:rsidRDefault="007F6475" w:rsidP="007F6475">
      <w:pPr>
        <w:pStyle w:val="Textbody"/>
        <w:numPr>
          <w:ilvl w:val="0"/>
          <w:numId w:val="65"/>
        </w:numPr>
      </w:pPr>
      <w:r w:rsidRPr="007F6475">
        <w:t xml:space="preserve">Memari </w:t>
      </w:r>
      <w:r w:rsidRPr="007F6475">
        <w:fldChar w:fldCharType="begin"/>
      </w:r>
      <w:r w:rsidR="00D85D29">
        <w:instrText xml:space="preserve"> ADDIN REFMGR.CITE &lt;Refman&gt;&lt;Cite&gt;&lt;Author&gt;Memari&lt;/Author&gt;&lt;Year&gt;2011&lt;/Year&gt;&lt;RecNum&gt;94&lt;/RecNum&gt;&lt;IDText&gt;Safety and patient selection of totally implantable hearing aid surgery: Envoy system, Esteem&lt;/IDText&gt;&lt;MDL Ref_Type="Journal"&gt;&lt;Ref_Type&gt;Journal&lt;/Ref_Type&gt;&lt;Ref_ID&gt;94&lt;/Ref_ID&gt;&lt;Title_Primary&gt;Safety and patient selection of totally implantable hearing aid surgery: Envoy system, Esteem&lt;/Title_Primary&gt;&lt;Authors_Primary&gt;Memari,F.&lt;/Authors_Primary&gt;&lt;Authors_Primary&gt;Asghari,A.&lt;/Authors_Primary&gt;&lt;Authors_Primary&gt;Daneshi,A.&lt;/Authors_Primary&gt;&lt;Authors_Primary&gt;Jalali,A.&lt;/Authors_Primary&gt;&lt;Date_Primary&gt;2011/10&lt;/Date_Primary&gt;&lt;Keywords&gt;Audiometry&lt;/Keywords&gt;&lt;Keywords&gt;Auditory Threshold&lt;/Keywords&gt;&lt;Keywords&gt;complications&lt;/Keywords&gt;&lt;Keywords&gt;diagnosis&lt;/Keywords&gt;&lt;Keywords&gt;Follow-Up Studies&lt;/Keywords&gt;&lt;Keywords&gt;Hearing&lt;/Keywords&gt;&lt;Keywords&gt;Hearing Aids&lt;/Keywords&gt;&lt;Keywords&gt;Hearing Loss&lt;/Keywords&gt;&lt;Keywords&gt;Hearing Loss,Sensorineural&lt;/Keywords&gt;&lt;Keywords&gt;Humans&lt;/Keywords&gt;&lt;Keywords&gt;methods&lt;/Keywords&gt;&lt;Keywords&gt;Ossicular Prosthesis&lt;/Keywords&gt;&lt;Keywords&gt;Patient Selection&lt;/Keywords&gt;&lt;Keywords&gt;physiology&lt;/Keywords&gt;&lt;Keywords&gt;physiopathology&lt;/Keywords&gt;&lt;Keywords&gt;Postoperative Complications&lt;/Keywords&gt;&lt;Keywords&gt;Prospective Studies&lt;/Keywords&gt;&lt;Keywords&gt;Prosthesis Design&lt;/Keywords&gt;&lt;Keywords&gt;Prosthesis Implantation&lt;/Keywords&gt;&lt;Keywords&gt;surgery&lt;/Keywords&gt;&lt;Keywords&gt;Temporal Bone&lt;/Keywords&gt;&lt;Keywords&gt;Tomography,X-Ray Computed&lt;/Keywords&gt;&lt;Keywords&gt;Treatment Outcome&lt;/Keywords&gt;&lt;Reprint&gt;On Request 03/08/13&lt;/Reprint&gt;&lt;Start_Page&gt;1421&lt;/Start_Page&gt;&lt;End_Page&gt;1425&lt;/End_Page&gt;&lt;Periodical&gt;Eur.Arch.Otorhinolaryngol.&lt;/Periodical&gt;&lt;Volume&gt;268&lt;/Volume&gt;&lt;Issue&gt;10&lt;/Issue&gt;&lt;Misc_3&gt;10.1007/s00405-011-1507-0 [doi]&lt;/Misc_3&gt;&lt;Address&gt;Department of ORL and HNS, Rasool-e-Akram Medical Center, Tehran University of Medical Sciences and Health Services, Tehran, Iran. memari1@gmail.com&lt;/Address&gt;&lt;Web_URL&gt;PM:21328002&lt;/Web_URL&gt;&lt;ZZ_JournalStdAbbrev&gt;&lt;f name="System"&gt;Eur.Arch.Otorhinolaryngol.&lt;/f&gt;&lt;/ZZ_JournalStdAbbrev&gt;&lt;ZZ_WorkformID&gt;1&lt;/ZZ_WorkformID&gt;&lt;/MDL&gt;&lt;/Cite&gt;&lt;/Refman&gt;</w:instrText>
      </w:r>
      <w:r w:rsidRPr="007F6475">
        <w:fldChar w:fldCharType="separate"/>
      </w:r>
      <w:r w:rsidRPr="007F6475">
        <w:rPr>
          <w:noProof/>
        </w:rPr>
        <w:t>(Memari et al., 2011)</w:t>
      </w:r>
      <w:r w:rsidRPr="007F6475">
        <w:fldChar w:fldCharType="end"/>
      </w:r>
      <w:r w:rsidRPr="000737E8">
        <w:t xml:space="preserve"> is unique in that it represents a different geographical location (</w:t>
      </w:r>
      <w:r w:rsidRPr="0080769D">
        <w:t>Iran) and may reflect differences in the provision of health care.</w:t>
      </w:r>
    </w:p>
    <w:p w14:paraId="5F6CA4C2" w14:textId="77777777" w:rsidR="007F6475" w:rsidRPr="007F6475" w:rsidRDefault="007F6475" w:rsidP="007F6475">
      <w:pPr>
        <w:pStyle w:val="Textbody"/>
        <w:numPr>
          <w:ilvl w:val="0"/>
          <w:numId w:val="65"/>
        </w:numPr>
      </w:pPr>
      <w:r w:rsidRPr="007F6475">
        <w:t xml:space="preserve">In three studies, Pok et al. </w:t>
      </w:r>
      <w:r w:rsidRPr="000B7EA5">
        <w:rPr>
          <w:lang w:val="fr-FR"/>
        </w:rPr>
        <w:t xml:space="preserve">(2010), Sziklai et al. (2011) and Gerard et al. </w:t>
      </w:r>
      <w:r w:rsidRPr="007F6475">
        <w:t>(2012), the length of follow-up was not specified. The first two studies are of prospective design and it could be assumed that data was collected at initial fitting. The latter is a retrospective study where a longer follow-up could be assumed</w:t>
      </w:r>
      <w:r>
        <w:t xml:space="preserve"> </w:t>
      </w:r>
      <w:r>
        <w:fldChar w:fldCharType="begin">
          <w:fldData xml:space="preserve">PFJlZm1hbj48Q2l0ZT48QXV0aG9yPkdlcmFyZDwvQXV0aG9yPjxZZWFyPjIwMTI8L1llYXI+PFJl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</w:fldData>
        </w:fldChar>
      </w:r>
      <w:r w:rsidR="00D85D29">
        <w:instrText xml:space="preserve"> ADDIN REFMGR.CITE </w:instrText>
      </w:r>
      <w:r w:rsidR="00D85D29">
        <w:fldChar w:fldCharType="begin">
          <w:fldData xml:space="preserve">PFJlZm1hbj48Q2l0ZT48QXV0aG9yPkdlcmFyZDwvQXV0aG9yPjxZZWFyPjIwMTI8L1llYXI+PFJl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</w:fldData>
        </w:fldChar>
      </w:r>
      <w:r w:rsidR="00D85D29">
        <w:instrText xml:space="preserve"> ADDIN EN.CITE.DATA </w:instrText>
      </w:r>
      <w:r w:rsidR="00D85D29">
        <w:fldChar w:fldCharType="end"/>
      </w:r>
      <w:r>
        <w:fldChar w:fldCharType="separate"/>
      </w:r>
      <w:r>
        <w:rPr>
          <w:noProof/>
        </w:rPr>
        <w:t>(Gerard et al., 2012;Pok et al., 2010;Sziklai I, 2011)</w:t>
      </w:r>
      <w:r>
        <w:fldChar w:fldCharType="end"/>
      </w:r>
      <w:r w:rsidRPr="007F6475">
        <w:t>.</w:t>
      </w:r>
    </w:p>
    <w:p w14:paraId="65F99106" w14:textId="77777777" w:rsidR="007F6475" w:rsidRDefault="007F6475" w:rsidP="007F6475">
      <w:pPr>
        <w:pStyle w:val="Textbody"/>
      </w:pPr>
      <w:r>
        <w:t>Keeping these studies in mind, the literature available on middle ear implants demonstrates that implantation of the VSB:</w:t>
      </w:r>
    </w:p>
    <w:p w14:paraId="323D7842" w14:textId="77777777" w:rsidR="007F6475" w:rsidRPr="000737E8" w:rsidRDefault="007F6475" w:rsidP="007F6475">
      <w:pPr>
        <w:pStyle w:val="Textbody"/>
        <w:numPr>
          <w:ilvl w:val="0"/>
          <w:numId w:val="86"/>
        </w:numPr>
      </w:pPr>
      <w:r w:rsidRPr="007F6475">
        <w:t xml:space="preserve">Results in a </w:t>
      </w:r>
      <w:r w:rsidRPr="000737E8">
        <w:t>significant improvement in sound-field hearing thresholds</w:t>
      </w:r>
    </w:p>
    <w:p w14:paraId="7B3B5716" w14:textId="77777777" w:rsidR="007F6475" w:rsidRPr="0080769D" w:rsidRDefault="007F6475" w:rsidP="007F6475">
      <w:pPr>
        <w:pStyle w:val="Textbody"/>
        <w:numPr>
          <w:ilvl w:val="0"/>
          <w:numId w:val="86"/>
        </w:numPr>
      </w:pPr>
      <w:r w:rsidRPr="0080769D">
        <w:t>Results in significantly better speech recognition/comprehension in quiet and noisy situations</w:t>
      </w:r>
    </w:p>
    <w:p w14:paraId="2E88E267" w14:textId="77777777" w:rsidR="007F6475" w:rsidRPr="00596935" w:rsidRDefault="007F6475" w:rsidP="007F6475">
      <w:pPr>
        <w:pStyle w:val="Textbody"/>
        <w:numPr>
          <w:ilvl w:val="0"/>
          <w:numId w:val="86"/>
        </w:numPr>
      </w:pPr>
      <w:r w:rsidRPr="00596935">
        <w:t>Leads to few difficulties in understanding speech in relatively easy listening conditions, as compared to noisy conditions; and improves health in general</w:t>
      </w:r>
    </w:p>
    <w:p w14:paraId="54624330" w14:textId="77777777" w:rsidR="007F6475" w:rsidRPr="00596935" w:rsidRDefault="007F6475" w:rsidP="007F6475">
      <w:pPr>
        <w:pStyle w:val="Textbody"/>
        <w:numPr>
          <w:ilvl w:val="0"/>
          <w:numId w:val="86"/>
        </w:numPr>
      </w:pPr>
      <w:r w:rsidRPr="00596935">
        <w:t>Is a safe procedure with minor adverse events resolving on their own or with local treatment</w:t>
      </w:r>
    </w:p>
    <w:p w14:paraId="58B86400" w14:textId="77777777" w:rsidR="007F6475" w:rsidRDefault="007F6475" w:rsidP="007F6475">
      <w:pPr>
        <w:pStyle w:val="Textbody"/>
      </w:pPr>
      <w:r>
        <w:t>Assessment of VSB outcomes at a long-term follow-up demonstrate:</w:t>
      </w:r>
    </w:p>
    <w:p w14:paraId="34E12C7E" w14:textId="77777777" w:rsidR="007F6475" w:rsidRPr="001324AF" w:rsidRDefault="007F6475" w:rsidP="007F6475">
      <w:pPr>
        <w:pStyle w:val="Textbody"/>
        <w:numPr>
          <w:ilvl w:val="0"/>
          <w:numId w:val="87"/>
        </w:numPr>
      </w:pPr>
      <w:r>
        <w:t>A small but non-significant shift in bone conduction thresholds over time</w:t>
      </w:r>
    </w:p>
    <w:p w14:paraId="3D74A51B" w14:textId="77777777" w:rsidR="007F6475" w:rsidRPr="001324AF" w:rsidRDefault="007F6475" w:rsidP="007F6475">
      <w:pPr>
        <w:pStyle w:val="Textbody"/>
        <w:numPr>
          <w:ilvl w:val="0"/>
          <w:numId w:val="87"/>
        </w:numPr>
      </w:pPr>
      <w:r>
        <w:t>Constant functional gain</w:t>
      </w:r>
    </w:p>
    <w:p w14:paraId="3EEED3A7" w14:textId="77777777" w:rsidR="007F6475" w:rsidRPr="00380384" w:rsidRDefault="007F6475" w:rsidP="007F6475">
      <w:pPr>
        <w:pStyle w:val="Textbody"/>
        <w:numPr>
          <w:ilvl w:val="0"/>
          <w:numId w:val="87"/>
        </w:numPr>
      </w:pPr>
      <w:r>
        <w:t xml:space="preserve">Slight decrease in </w:t>
      </w:r>
      <w:r w:rsidRPr="00380384">
        <w:t xml:space="preserve">recognition/comprehension </w:t>
      </w:r>
      <w:r>
        <w:t>over time, yet still significantly better outcomes than baseline</w:t>
      </w:r>
    </w:p>
    <w:p w14:paraId="6B3A7526" w14:textId="77777777" w:rsidR="007F6475" w:rsidRPr="00380384" w:rsidRDefault="007F6475" w:rsidP="007F6475">
      <w:pPr>
        <w:pStyle w:val="Textbody"/>
        <w:numPr>
          <w:ilvl w:val="0"/>
          <w:numId w:val="87"/>
        </w:numPr>
      </w:pPr>
      <w:r>
        <w:t>Sustained subjective benefit</w:t>
      </w:r>
    </w:p>
    <w:p w14:paraId="3CAD1795" w14:textId="77777777" w:rsidR="007F6475" w:rsidRDefault="007F6475" w:rsidP="007F6475">
      <w:pPr>
        <w:pStyle w:val="Textbody"/>
      </w:pPr>
      <w:r>
        <w:t>In the field of middle ear implants it can be concluded that the VSB is;</w:t>
      </w:r>
    </w:p>
    <w:p w14:paraId="576E94CE" w14:textId="77777777" w:rsidR="007F6475" w:rsidRPr="000737E8" w:rsidRDefault="007F6475" w:rsidP="007F6475">
      <w:pPr>
        <w:pStyle w:val="Textbody"/>
        <w:numPr>
          <w:ilvl w:val="0"/>
          <w:numId w:val="88"/>
        </w:numPr>
      </w:pPr>
      <w:r w:rsidRPr="000737E8">
        <w:t>At least as effective as other partially or fully implantable MEI</w:t>
      </w:r>
    </w:p>
    <w:p w14:paraId="484F8F55" w14:textId="77777777" w:rsidR="007F6475" w:rsidRPr="0080769D" w:rsidRDefault="007F6475" w:rsidP="007F6475">
      <w:pPr>
        <w:pStyle w:val="Textbody"/>
        <w:numPr>
          <w:ilvl w:val="0"/>
          <w:numId w:val="88"/>
        </w:numPr>
      </w:pPr>
      <w:r w:rsidRPr="0080769D">
        <w:t>At least as safe as other partially implantable MEI</w:t>
      </w:r>
    </w:p>
    <w:p w14:paraId="2F3A8A52" w14:textId="77777777" w:rsidR="007F6475" w:rsidRPr="00596935" w:rsidRDefault="007F6475" w:rsidP="007F6475">
      <w:pPr>
        <w:pStyle w:val="Textbody"/>
        <w:numPr>
          <w:ilvl w:val="0"/>
          <w:numId w:val="88"/>
        </w:numPr>
      </w:pPr>
      <w:r w:rsidRPr="00596935">
        <w:t>Superior in terms of safety in regard to fully-implantable MEI</w:t>
      </w:r>
    </w:p>
    <w:p w14:paraId="73D9287A" w14:textId="77777777" w:rsidR="007F6475" w:rsidRPr="00596935" w:rsidRDefault="007F6475" w:rsidP="007F6475">
      <w:pPr>
        <w:pStyle w:val="Textbody"/>
      </w:pPr>
    </w:p>
    <w:p w14:paraId="6CF2D577" w14:textId="77777777" w:rsidR="007F6475" w:rsidRPr="00D77AE9" w:rsidRDefault="007F6475" w:rsidP="007F6475">
      <w:pPr>
        <w:pStyle w:val="Textbody"/>
      </w:pPr>
      <w:r w:rsidRPr="00596935">
        <w:t xml:space="preserve">The evidence base used to reach the conclusions above are summarised in </w:t>
      </w:r>
      <w:r>
        <w:rPr>
          <w:highlight w:val="yellow"/>
        </w:rPr>
        <w:fldChar w:fldCharType="begin"/>
      </w:r>
      <w:r>
        <w:instrText xml:space="preserve"> REF _Ref400644454 \h </w:instrText>
      </w:r>
      <w:r>
        <w:rPr>
          <w:highlight w:val="yellow"/>
        </w:rPr>
      </w:r>
      <w:r>
        <w:rPr>
          <w:highlight w:val="yellow"/>
        </w:rPr>
        <w:fldChar w:fldCharType="separate"/>
      </w:r>
      <w:r w:rsidR="00016592" w:rsidRPr="00D85D29">
        <w:t xml:space="preserve">Table </w:t>
      </w:r>
      <w:r w:rsidR="00016592">
        <w:rPr>
          <w:noProof/>
        </w:rPr>
        <w:t>28</w:t>
      </w:r>
      <w:r>
        <w:rPr>
          <w:highlight w:val="yellow"/>
        </w:rPr>
        <w:fldChar w:fldCharType="end"/>
      </w:r>
      <w:r>
        <w:t xml:space="preserve"> </w:t>
      </w:r>
      <w:r w:rsidRPr="00D77AE9">
        <w:t>with respect to important features of the evidence outlined in Section B.8 of the PBAC Guidelines.</w:t>
      </w:r>
    </w:p>
    <w:p w14:paraId="3AF42DE4" w14:textId="77777777" w:rsidR="007F6475" w:rsidRPr="007F6475" w:rsidRDefault="007F6475" w:rsidP="00B52DA0">
      <w:pPr>
        <w:rPr>
          <w:rFonts w:cs="Arial"/>
          <w:lang w:val="en-US"/>
        </w:rPr>
      </w:pPr>
    </w:p>
    <w:p w14:paraId="449160D0" w14:textId="77777777" w:rsidR="00B52DA0" w:rsidRPr="009A1A2E" w:rsidRDefault="00B52DA0" w:rsidP="00B52DA0">
      <w:pPr>
        <w:rPr>
          <w:rFonts w:cs="Arial"/>
        </w:rPr>
        <w:sectPr w:rsidR="00B52DA0" w:rsidRPr="009A1A2E" w:rsidSect="00E13546">
          <w:headerReference w:type="default" r:id="rId18"/>
          <w:footerReference w:type="default" r:id="rId19"/>
          <w:type w:val="nextColumn"/>
          <w:pgSz w:w="11907" w:h="16839" w:code="9"/>
          <w:pgMar w:top="1440" w:right="1440" w:bottom="1440" w:left="1440" w:header="720" w:footer="720" w:gutter="0"/>
          <w:paperSrc w:first="7" w:other="7"/>
          <w:pgNumType w:fmt="lowerRoman" w:start="1"/>
          <w:cols w:space="720"/>
          <w:docGrid w:linePitch="299"/>
        </w:sectPr>
      </w:pPr>
      <w:r w:rsidRPr="009A1A2E">
        <w:rPr>
          <w:rFonts w:cs="Arial"/>
        </w:rPr>
        <w:t>.</w:t>
      </w:r>
    </w:p>
    <w:p w14:paraId="183BF55D" w14:textId="77777777" w:rsidR="00B52DA0" w:rsidRPr="009A1A2E" w:rsidRDefault="00A318E3" w:rsidP="00A318E3">
      <w:pPr>
        <w:pStyle w:val="Caption"/>
        <w:rPr>
          <w:rFonts w:ascii="Arial" w:hAnsi="Arial" w:cs="Arial"/>
          <w:lang w:val="en-AU"/>
        </w:rPr>
      </w:pPr>
      <w:bookmarkStart w:id="14" w:name="_Toc431917462"/>
      <w:r w:rsidRPr="009A1A2E">
        <w:rPr>
          <w:rFonts w:ascii="Arial" w:hAnsi="Arial" w:cs="Arial"/>
          <w:lang w:val="en-AU"/>
        </w:rPr>
        <w:lastRenderedPageBreak/>
        <w:t xml:space="preserve">Table </w:t>
      </w:r>
      <w:r w:rsidRPr="009A1A2E">
        <w:rPr>
          <w:rFonts w:ascii="Arial" w:hAnsi="Arial" w:cs="Arial"/>
          <w:lang w:val="en-AU"/>
        </w:rPr>
        <w:fldChar w:fldCharType="begin"/>
      </w:r>
      <w:r w:rsidRPr="009A1A2E">
        <w:rPr>
          <w:rFonts w:ascii="Arial" w:hAnsi="Arial" w:cs="Arial"/>
          <w:lang w:val="en-AU"/>
        </w:rPr>
        <w:instrText xml:space="preserve"> SEQ Table \* ARABIC </w:instrText>
      </w:r>
      <w:r w:rsidRPr="009A1A2E">
        <w:rPr>
          <w:rFonts w:ascii="Arial" w:hAnsi="Arial" w:cs="Arial"/>
          <w:lang w:val="en-AU"/>
        </w:rPr>
        <w:fldChar w:fldCharType="separate"/>
      </w:r>
      <w:r w:rsidR="00016592">
        <w:rPr>
          <w:rFonts w:ascii="Arial" w:hAnsi="Arial" w:cs="Arial"/>
          <w:noProof/>
          <w:lang w:val="en-AU"/>
        </w:rPr>
        <w:t>2</w:t>
      </w:r>
      <w:r w:rsidRPr="009A1A2E">
        <w:rPr>
          <w:rFonts w:ascii="Arial" w:hAnsi="Arial" w:cs="Arial"/>
          <w:lang w:val="en-AU"/>
        </w:rPr>
        <w:fldChar w:fldCharType="end"/>
      </w:r>
      <w:r w:rsidRPr="009A1A2E">
        <w:rPr>
          <w:rFonts w:ascii="Arial" w:hAnsi="Arial" w:cs="Arial"/>
          <w:lang w:val="en-AU"/>
        </w:rPr>
        <w:t xml:space="preserve"> - Non-randomised studies assessing the safety and efficacy of middle ear implants</w:t>
      </w:r>
      <w:bookmarkEnd w:id="14"/>
    </w:p>
    <w:tbl>
      <w:tblPr>
        <w:tblW w:w="13765" w:type="dxa"/>
        <w:tblInd w:w="93" w:type="dxa"/>
        <w:tblLook w:val="04A0" w:firstRow="1" w:lastRow="0" w:firstColumn="1" w:lastColumn="0" w:noHBand="0" w:noVBand="1"/>
        <w:tblDescription w:val="Non-randomised studies assessing the safety and efficacy of middle ear implants"/>
      </w:tblPr>
      <w:tblGrid>
        <w:gridCol w:w="1710"/>
        <w:gridCol w:w="6"/>
        <w:gridCol w:w="12049"/>
      </w:tblGrid>
      <w:tr w:rsidR="00B52DA0" w:rsidRPr="009A1A2E" w14:paraId="40F4E9CD" w14:textId="77777777" w:rsidTr="00E13546">
        <w:trPr>
          <w:trHeight w:val="450"/>
        </w:trPr>
        <w:tc>
          <w:tcPr>
            <w:tcW w:w="1716" w:type="dxa"/>
            <w:gridSpan w:val="2"/>
            <w:tcBorders>
              <w:top w:val="single" w:sz="8" w:space="0" w:color="auto"/>
              <w:left w:val="single" w:sz="8" w:space="0" w:color="auto"/>
              <w:bottom w:val="single" w:sz="4" w:space="0" w:color="auto"/>
              <w:right w:val="single" w:sz="4" w:space="0" w:color="auto"/>
            </w:tcBorders>
            <w:shd w:val="clear" w:color="auto" w:fill="auto"/>
            <w:vAlign w:val="center"/>
            <w:hideMark/>
          </w:tcPr>
          <w:p w14:paraId="4F40B68B" w14:textId="77777777" w:rsidR="00B52DA0" w:rsidRPr="009A1A2E" w:rsidRDefault="00B52DA0" w:rsidP="00E13546">
            <w:pPr>
              <w:rPr>
                <w:rFonts w:cs="Arial"/>
                <w:b/>
                <w:bCs/>
                <w:color w:val="000000"/>
                <w:sz w:val="20"/>
                <w:szCs w:val="20"/>
              </w:rPr>
            </w:pPr>
            <w:r w:rsidRPr="009A1A2E">
              <w:rPr>
                <w:rFonts w:cs="Arial"/>
                <w:b/>
                <w:bCs/>
                <w:color w:val="000000"/>
                <w:sz w:val="20"/>
                <w:szCs w:val="20"/>
              </w:rPr>
              <w:t>Author</w:t>
            </w:r>
          </w:p>
        </w:tc>
        <w:tc>
          <w:tcPr>
            <w:tcW w:w="12049" w:type="dxa"/>
            <w:tcBorders>
              <w:top w:val="single" w:sz="8" w:space="0" w:color="auto"/>
              <w:left w:val="nil"/>
              <w:bottom w:val="single" w:sz="4" w:space="0" w:color="auto"/>
              <w:right w:val="single" w:sz="8" w:space="0" w:color="000000"/>
            </w:tcBorders>
            <w:shd w:val="clear" w:color="auto" w:fill="auto"/>
            <w:vAlign w:val="center"/>
            <w:hideMark/>
          </w:tcPr>
          <w:p w14:paraId="00A7D076" w14:textId="77777777" w:rsidR="00B52DA0" w:rsidRPr="009A1A2E" w:rsidRDefault="00B52DA0" w:rsidP="00E13546">
            <w:pPr>
              <w:jc w:val="center"/>
              <w:rPr>
                <w:rFonts w:cs="Arial"/>
                <w:b/>
                <w:bCs/>
                <w:color w:val="000000"/>
                <w:sz w:val="20"/>
                <w:szCs w:val="20"/>
              </w:rPr>
            </w:pPr>
            <w:r w:rsidRPr="009A1A2E">
              <w:rPr>
                <w:rFonts w:cs="Arial"/>
                <w:b/>
                <w:bCs/>
                <w:color w:val="000000"/>
                <w:sz w:val="20"/>
                <w:szCs w:val="20"/>
              </w:rPr>
              <w:t>Reports</w:t>
            </w:r>
          </w:p>
        </w:tc>
      </w:tr>
      <w:tr w:rsidR="003B1DCD" w:rsidRPr="009A1A2E" w14:paraId="195EAFE6" w14:textId="70283776" w:rsidTr="003B1DCD">
        <w:trPr>
          <w:trHeight w:val="300"/>
        </w:trPr>
        <w:tc>
          <w:tcPr>
            <w:tcW w:w="1710" w:type="dxa"/>
            <w:tcBorders>
              <w:top w:val="single" w:sz="4" w:space="0" w:color="auto"/>
              <w:left w:val="single" w:sz="8" w:space="0" w:color="auto"/>
              <w:bottom w:val="single" w:sz="4" w:space="0" w:color="auto"/>
              <w:right w:val="nil"/>
            </w:tcBorders>
            <w:shd w:val="clear" w:color="000000" w:fill="D9D9D9"/>
            <w:vAlign w:val="center"/>
            <w:hideMark/>
          </w:tcPr>
          <w:p w14:paraId="0EBA3A63" w14:textId="58FBA961" w:rsidR="003B1DCD" w:rsidRPr="009A1A2E" w:rsidRDefault="003B1DCD" w:rsidP="003B1DCD">
            <w:pPr>
              <w:jc w:val="center"/>
              <w:rPr>
                <w:rFonts w:cs="Arial"/>
                <w:color w:val="000000"/>
                <w:sz w:val="20"/>
                <w:szCs w:val="20"/>
              </w:rPr>
            </w:pPr>
          </w:p>
        </w:tc>
        <w:tc>
          <w:tcPr>
            <w:tcW w:w="12055" w:type="dxa"/>
            <w:gridSpan w:val="2"/>
            <w:tcBorders>
              <w:top w:val="single" w:sz="4" w:space="0" w:color="auto"/>
              <w:left w:val="nil"/>
              <w:bottom w:val="single" w:sz="4" w:space="0" w:color="auto"/>
              <w:right w:val="single" w:sz="8" w:space="0" w:color="000000"/>
            </w:tcBorders>
            <w:shd w:val="clear" w:color="000000" w:fill="D9D9D9"/>
            <w:vAlign w:val="center"/>
          </w:tcPr>
          <w:p w14:paraId="51E48E45" w14:textId="5C98477F" w:rsidR="003B1DCD" w:rsidRPr="009A1A2E" w:rsidRDefault="003B1DCD" w:rsidP="00E13546">
            <w:pPr>
              <w:jc w:val="center"/>
              <w:rPr>
                <w:rFonts w:cs="Arial"/>
                <w:color w:val="000000"/>
                <w:sz w:val="20"/>
                <w:szCs w:val="20"/>
              </w:rPr>
            </w:pPr>
            <w:r w:rsidRPr="009A1A2E">
              <w:rPr>
                <w:rFonts w:cs="Arial"/>
                <w:color w:val="000000"/>
                <w:sz w:val="20"/>
                <w:szCs w:val="20"/>
              </w:rPr>
              <w:t>Fully implantable device: ESTEEM</w:t>
            </w:r>
          </w:p>
        </w:tc>
      </w:tr>
      <w:tr w:rsidR="00B52DA0" w:rsidRPr="009A1A2E" w14:paraId="2CFB142A" w14:textId="77777777" w:rsidTr="00E13546">
        <w:trPr>
          <w:trHeight w:val="405"/>
        </w:trPr>
        <w:tc>
          <w:tcPr>
            <w:tcW w:w="1716" w:type="dxa"/>
            <w:gridSpan w:val="2"/>
            <w:tcBorders>
              <w:top w:val="nil"/>
              <w:left w:val="single" w:sz="8" w:space="0" w:color="auto"/>
              <w:bottom w:val="single" w:sz="4" w:space="0" w:color="auto"/>
              <w:right w:val="single" w:sz="4" w:space="0" w:color="auto"/>
            </w:tcBorders>
            <w:shd w:val="clear" w:color="auto" w:fill="auto"/>
            <w:vAlign w:val="center"/>
            <w:hideMark/>
          </w:tcPr>
          <w:p w14:paraId="608ECC6A" w14:textId="77777777" w:rsidR="00B52DA0" w:rsidRPr="009A1A2E" w:rsidRDefault="00B52DA0" w:rsidP="00E13546">
            <w:pPr>
              <w:rPr>
                <w:rFonts w:cs="Arial"/>
                <w:color w:val="000000"/>
                <w:sz w:val="20"/>
                <w:szCs w:val="20"/>
              </w:rPr>
            </w:pPr>
            <w:r w:rsidRPr="009A1A2E">
              <w:rPr>
                <w:rFonts w:cs="Arial"/>
                <w:color w:val="000000"/>
                <w:sz w:val="20"/>
                <w:szCs w:val="20"/>
              </w:rPr>
              <w:t>Barbara (2014)</w:t>
            </w:r>
          </w:p>
        </w:tc>
        <w:tc>
          <w:tcPr>
            <w:tcW w:w="12049" w:type="dxa"/>
            <w:tcBorders>
              <w:top w:val="single" w:sz="4" w:space="0" w:color="auto"/>
              <w:left w:val="nil"/>
              <w:bottom w:val="single" w:sz="4" w:space="0" w:color="auto"/>
              <w:right w:val="single" w:sz="8" w:space="0" w:color="000000"/>
            </w:tcBorders>
            <w:shd w:val="clear" w:color="auto" w:fill="auto"/>
            <w:vAlign w:val="center"/>
            <w:hideMark/>
          </w:tcPr>
          <w:p w14:paraId="6144F1BF" w14:textId="77777777" w:rsidR="00B52DA0" w:rsidRPr="009A1A2E" w:rsidRDefault="00B52DA0" w:rsidP="00E13546">
            <w:pPr>
              <w:rPr>
                <w:rFonts w:cs="Arial"/>
                <w:color w:val="000000"/>
                <w:sz w:val="20"/>
                <w:szCs w:val="20"/>
              </w:rPr>
            </w:pPr>
            <w:r w:rsidRPr="009A1A2E">
              <w:rPr>
                <w:rFonts w:cs="Arial"/>
                <w:color w:val="000000"/>
                <w:sz w:val="20"/>
                <w:szCs w:val="20"/>
              </w:rPr>
              <w:t xml:space="preserve">Delayed facial nerve palsy after surgery for </w:t>
            </w:r>
            <w:r w:rsidR="00685E75" w:rsidRPr="009A1A2E">
              <w:rPr>
                <w:rFonts w:cs="Arial"/>
                <w:color w:val="000000"/>
                <w:sz w:val="20"/>
                <w:szCs w:val="20"/>
              </w:rPr>
              <w:t xml:space="preserve">the Esteem. Acta Otolaryngol., </w:t>
            </w:r>
            <w:r w:rsidRPr="009A1A2E">
              <w:rPr>
                <w:rFonts w:cs="Arial"/>
                <w:color w:val="000000"/>
                <w:sz w:val="20"/>
                <w:szCs w:val="20"/>
              </w:rPr>
              <w:t>Early Online, 1–4, 2014.</w:t>
            </w:r>
          </w:p>
        </w:tc>
      </w:tr>
      <w:tr w:rsidR="00B52DA0" w:rsidRPr="009A1A2E" w14:paraId="1331F073" w14:textId="77777777" w:rsidTr="00E13546">
        <w:trPr>
          <w:trHeight w:val="600"/>
        </w:trPr>
        <w:tc>
          <w:tcPr>
            <w:tcW w:w="1716" w:type="dxa"/>
            <w:gridSpan w:val="2"/>
            <w:tcBorders>
              <w:top w:val="nil"/>
              <w:left w:val="single" w:sz="8" w:space="0" w:color="auto"/>
              <w:bottom w:val="single" w:sz="4" w:space="0" w:color="auto"/>
              <w:right w:val="single" w:sz="4" w:space="0" w:color="auto"/>
            </w:tcBorders>
            <w:shd w:val="clear" w:color="auto" w:fill="auto"/>
            <w:noWrap/>
            <w:vAlign w:val="center"/>
            <w:hideMark/>
          </w:tcPr>
          <w:p w14:paraId="374158B0" w14:textId="77777777" w:rsidR="00B52DA0" w:rsidRPr="009A1A2E" w:rsidRDefault="00B52DA0" w:rsidP="00E13546">
            <w:pPr>
              <w:rPr>
                <w:rFonts w:cs="Arial"/>
                <w:color w:val="000000"/>
                <w:sz w:val="20"/>
                <w:szCs w:val="20"/>
              </w:rPr>
            </w:pPr>
            <w:r w:rsidRPr="009A1A2E">
              <w:rPr>
                <w:rFonts w:cs="Arial"/>
                <w:color w:val="000000"/>
                <w:sz w:val="20"/>
                <w:szCs w:val="20"/>
              </w:rPr>
              <w:t>Chen (2004)</w:t>
            </w:r>
          </w:p>
        </w:tc>
        <w:tc>
          <w:tcPr>
            <w:tcW w:w="12049" w:type="dxa"/>
            <w:tcBorders>
              <w:top w:val="single" w:sz="4" w:space="0" w:color="auto"/>
              <w:left w:val="nil"/>
              <w:bottom w:val="single" w:sz="4" w:space="0" w:color="auto"/>
              <w:right w:val="single" w:sz="8" w:space="0" w:color="000000"/>
            </w:tcBorders>
            <w:shd w:val="clear" w:color="auto" w:fill="auto"/>
            <w:vAlign w:val="center"/>
            <w:hideMark/>
          </w:tcPr>
          <w:p w14:paraId="60F43213" w14:textId="77777777" w:rsidR="00B52DA0" w:rsidRPr="009A1A2E" w:rsidRDefault="00B52DA0" w:rsidP="00E13546">
            <w:pPr>
              <w:rPr>
                <w:rFonts w:cs="Arial"/>
                <w:color w:val="000000"/>
                <w:sz w:val="20"/>
                <w:szCs w:val="20"/>
              </w:rPr>
            </w:pPr>
            <w:r w:rsidRPr="009A1A2E">
              <w:rPr>
                <w:rFonts w:cs="Arial"/>
                <w:color w:val="000000"/>
                <w:sz w:val="20"/>
                <w:szCs w:val="20"/>
              </w:rPr>
              <w:t>Phase 1 clinical trial results of the Envoy System: a totally implantable middle ear device for sensorineural hearing loss. Otolaryngol.Head Neck Surg. 131 (6):904-916, 2004.</w:t>
            </w:r>
          </w:p>
        </w:tc>
      </w:tr>
      <w:tr w:rsidR="00B52DA0" w:rsidRPr="009A1A2E" w14:paraId="669B60A3" w14:textId="77777777" w:rsidTr="00E13546">
        <w:trPr>
          <w:trHeight w:val="345"/>
        </w:trPr>
        <w:tc>
          <w:tcPr>
            <w:tcW w:w="1716" w:type="dxa"/>
            <w:gridSpan w:val="2"/>
            <w:tcBorders>
              <w:top w:val="nil"/>
              <w:left w:val="single" w:sz="8" w:space="0" w:color="auto"/>
              <w:bottom w:val="single" w:sz="4" w:space="0" w:color="auto"/>
              <w:right w:val="single" w:sz="4" w:space="0" w:color="auto"/>
            </w:tcBorders>
            <w:shd w:val="clear" w:color="auto" w:fill="auto"/>
            <w:noWrap/>
            <w:vAlign w:val="center"/>
            <w:hideMark/>
          </w:tcPr>
          <w:p w14:paraId="7DE234AE" w14:textId="77777777" w:rsidR="00B52DA0" w:rsidRPr="009A1A2E" w:rsidRDefault="00B52DA0" w:rsidP="00E13546">
            <w:pPr>
              <w:rPr>
                <w:rFonts w:cs="Arial"/>
                <w:color w:val="000000"/>
                <w:sz w:val="20"/>
                <w:szCs w:val="20"/>
              </w:rPr>
            </w:pPr>
            <w:r w:rsidRPr="009A1A2E">
              <w:rPr>
                <w:rFonts w:cs="Arial"/>
                <w:color w:val="000000"/>
                <w:sz w:val="20"/>
                <w:szCs w:val="20"/>
              </w:rPr>
              <w:t>Gerard (2012)</w:t>
            </w:r>
          </w:p>
        </w:tc>
        <w:tc>
          <w:tcPr>
            <w:tcW w:w="12049" w:type="dxa"/>
            <w:tcBorders>
              <w:top w:val="single" w:sz="4" w:space="0" w:color="auto"/>
              <w:left w:val="nil"/>
              <w:bottom w:val="single" w:sz="4" w:space="0" w:color="auto"/>
              <w:right w:val="single" w:sz="8" w:space="0" w:color="000000"/>
            </w:tcBorders>
            <w:shd w:val="clear" w:color="auto" w:fill="auto"/>
            <w:vAlign w:val="center"/>
            <w:hideMark/>
          </w:tcPr>
          <w:p w14:paraId="6A0BED4C" w14:textId="77777777" w:rsidR="00B52DA0" w:rsidRPr="009A1A2E" w:rsidRDefault="00B52DA0" w:rsidP="00E13546">
            <w:pPr>
              <w:rPr>
                <w:rFonts w:cs="Arial"/>
                <w:color w:val="000000"/>
                <w:sz w:val="20"/>
                <w:szCs w:val="20"/>
              </w:rPr>
            </w:pPr>
            <w:r w:rsidRPr="009A1A2E">
              <w:rPr>
                <w:rFonts w:cs="Arial"/>
                <w:color w:val="000000"/>
                <w:sz w:val="20"/>
                <w:szCs w:val="20"/>
              </w:rPr>
              <w:t>Esteem 2 middle ear implant: our experience. Audiol.Neurootol. 17 (4):267-274, 2012.</w:t>
            </w:r>
          </w:p>
        </w:tc>
      </w:tr>
      <w:tr w:rsidR="00B52DA0" w:rsidRPr="009A1A2E" w14:paraId="18135F80" w14:textId="77777777" w:rsidTr="00E13546">
        <w:trPr>
          <w:trHeight w:val="675"/>
        </w:trPr>
        <w:tc>
          <w:tcPr>
            <w:tcW w:w="1716" w:type="dxa"/>
            <w:gridSpan w:val="2"/>
            <w:tcBorders>
              <w:top w:val="nil"/>
              <w:left w:val="single" w:sz="8" w:space="0" w:color="auto"/>
              <w:bottom w:val="single" w:sz="4" w:space="0" w:color="auto"/>
              <w:right w:val="single" w:sz="4" w:space="0" w:color="auto"/>
            </w:tcBorders>
            <w:shd w:val="clear" w:color="auto" w:fill="auto"/>
            <w:noWrap/>
            <w:vAlign w:val="center"/>
            <w:hideMark/>
          </w:tcPr>
          <w:p w14:paraId="71D739DC" w14:textId="77777777" w:rsidR="00B52DA0" w:rsidRPr="009A1A2E" w:rsidRDefault="00B52DA0" w:rsidP="00E13546">
            <w:pPr>
              <w:rPr>
                <w:rFonts w:cs="Arial"/>
                <w:color w:val="000000"/>
                <w:sz w:val="20"/>
                <w:szCs w:val="20"/>
              </w:rPr>
            </w:pPr>
            <w:r w:rsidRPr="009A1A2E">
              <w:rPr>
                <w:rFonts w:cs="Arial"/>
                <w:color w:val="000000"/>
                <w:sz w:val="20"/>
                <w:szCs w:val="20"/>
              </w:rPr>
              <w:t>Kraus (2011)</w:t>
            </w:r>
          </w:p>
        </w:tc>
        <w:tc>
          <w:tcPr>
            <w:tcW w:w="12049" w:type="dxa"/>
            <w:tcBorders>
              <w:top w:val="single" w:sz="4" w:space="0" w:color="auto"/>
              <w:left w:val="nil"/>
              <w:bottom w:val="single" w:sz="4" w:space="0" w:color="auto"/>
              <w:right w:val="single" w:sz="8" w:space="0" w:color="000000"/>
            </w:tcBorders>
            <w:shd w:val="clear" w:color="auto" w:fill="auto"/>
            <w:vAlign w:val="center"/>
            <w:hideMark/>
          </w:tcPr>
          <w:p w14:paraId="68D3954B" w14:textId="77777777" w:rsidR="00B52DA0" w:rsidRPr="009A1A2E" w:rsidRDefault="00B52DA0" w:rsidP="00E13546">
            <w:pPr>
              <w:rPr>
                <w:rFonts w:cs="Arial"/>
                <w:color w:val="000000"/>
                <w:sz w:val="20"/>
                <w:szCs w:val="20"/>
              </w:rPr>
            </w:pPr>
            <w:r w:rsidRPr="009A1A2E">
              <w:rPr>
                <w:rFonts w:cs="Arial"/>
                <w:color w:val="000000"/>
                <w:sz w:val="20"/>
                <w:szCs w:val="20"/>
              </w:rPr>
              <w:t>Envoy Esteem Totally Implantable Hearing System: phase 2 trial, 1-year hearing results. Otolaryngol.Head Neck Surg. 145 (1):100-109, 2011.</w:t>
            </w:r>
          </w:p>
        </w:tc>
      </w:tr>
      <w:tr w:rsidR="00B52DA0" w:rsidRPr="009A1A2E" w14:paraId="5B4D4EAF" w14:textId="77777777" w:rsidTr="00E13546">
        <w:trPr>
          <w:trHeight w:val="710"/>
        </w:trPr>
        <w:tc>
          <w:tcPr>
            <w:tcW w:w="1716" w:type="dxa"/>
            <w:gridSpan w:val="2"/>
            <w:tcBorders>
              <w:top w:val="nil"/>
              <w:left w:val="single" w:sz="8" w:space="0" w:color="auto"/>
              <w:bottom w:val="single" w:sz="4" w:space="0" w:color="auto"/>
              <w:right w:val="single" w:sz="4" w:space="0" w:color="auto"/>
            </w:tcBorders>
            <w:shd w:val="clear" w:color="auto" w:fill="auto"/>
            <w:noWrap/>
            <w:vAlign w:val="center"/>
            <w:hideMark/>
          </w:tcPr>
          <w:p w14:paraId="3A4371A4" w14:textId="77777777" w:rsidR="00B52DA0" w:rsidRPr="009A1A2E" w:rsidRDefault="00B52DA0" w:rsidP="00E13546">
            <w:pPr>
              <w:rPr>
                <w:rFonts w:cs="Arial"/>
                <w:color w:val="000000"/>
                <w:sz w:val="20"/>
                <w:szCs w:val="20"/>
              </w:rPr>
            </w:pPr>
            <w:r w:rsidRPr="009A1A2E">
              <w:rPr>
                <w:rFonts w:cs="Arial"/>
                <w:color w:val="000000"/>
                <w:sz w:val="20"/>
                <w:szCs w:val="20"/>
              </w:rPr>
              <w:t xml:space="preserve">Llanos-Méndez (2013) </w:t>
            </w:r>
          </w:p>
        </w:tc>
        <w:tc>
          <w:tcPr>
            <w:tcW w:w="12049" w:type="dxa"/>
            <w:tcBorders>
              <w:top w:val="single" w:sz="4" w:space="0" w:color="auto"/>
              <w:left w:val="nil"/>
              <w:bottom w:val="single" w:sz="4" w:space="0" w:color="auto"/>
              <w:right w:val="single" w:sz="8" w:space="0" w:color="000000"/>
            </w:tcBorders>
            <w:shd w:val="clear" w:color="auto" w:fill="auto"/>
            <w:vAlign w:val="center"/>
            <w:hideMark/>
          </w:tcPr>
          <w:p w14:paraId="486B66A3" w14:textId="77777777" w:rsidR="00B52DA0" w:rsidRPr="009A1A2E" w:rsidRDefault="00B52DA0" w:rsidP="00E13546">
            <w:pPr>
              <w:rPr>
                <w:rFonts w:cs="Arial"/>
                <w:color w:val="000000"/>
                <w:sz w:val="20"/>
                <w:szCs w:val="20"/>
              </w:rPr>
            </w:pPr>
            <w:r w:rsidRPr="009A1A2E">
              <w:rPr>
                <w:rFonts w:cs="Arial"/>
                <w:color w:val="000000"/>
                <w:sz w:val="20"/>
                <w:szCs w:val="20"/>
              </w:rPr>
              <w:t xml:space="preserve">Esteem® totally implantable hearing device for treatment of sensorineural hearing loss. Systematic review. ISBN:978-84-15600-26-8, 2013. </w:t>
            </w:r>
          </w:p>
        </w:tc>
      </w:tr>
      <w:tr w:rsidR="00B52DA0" w:rsidRPr="009A1A2E" w14:paraId="335633A4" w14:textId="77777777" w:rsidTr="00E13546">
        <w:trPr>
          <w:trHeight w:val="615"/>
        </w:trPr>
        <w:tc>
          <w:tcPr>
            <w:tcW w:w="1716" w:type="dxa"/>
            <w:gridSpan w:val="2"/>
            <w:tcBorders>
              <w:top w:val="nil"/>
              <w:left w:val="single" w:sz="8" w:space="0" w:color="auto"/>
              <w:bottom w:val="single" w:sz="4" w:space="0" w:color="auto"/>
              <w:right w:val="single" w:sz="4" w:space="0" w:color="auto"/>
            </w:tcBorders>
            <w:shd w:val="clear" w:color="auto" w:fill="auto"/>
            <w:noWrap/>
            <w:vAlign w:val="center"/>
            <w:hideMark/>
          </w:tcPr>
          <w:p w14:paraId="3FD076C0" w14:textId="77777777" w:rsidR="00B52DA0" w:rsidRPr="009A1A2E" w:rsidRDefault="00B52DA0" w:rsidP="00E13546">
            <w:pPr>
              <w:rPr>
                <w:rFonts w:cs="Arial"/>
                <w:color w:val="000000"/>
                <w:sz w:val="20"/>
                <w:szCs w:val="20"/>
              </w:rPr>
            </w:pPr>
            <w:r w:rsidRPr="009A1A2E">
              <w:rPr>
                <w:rFonts w:cs="Arial"/>
                <w:color w:val="000000"/>
                <w:sz w:val="20"/>
                <w:szCs w:val="20"/>
              </w:rPr>
              <w:t>Memari (2011)</w:t>
            </w:r>
          </w:p>
        </w:tc>
        <w:tc>
          <w:tcPr>
            <w:tcW w:w="12049" w:type="dxa"/>
            <w:tcBorders>
              <w:top w:val="single" w:sz="4" w:space="0" w:color="auto"/>
              <w:left w:val="nil"/>
              <w:bottom w:val="single" w:sz="4" w:space="0" w:color="auto"/>
              <w:right w:val="single" w:sz="8" w:space="0" w:color="000000"/>
            </w:tcBorders>
            <w:shd w:val="clear" w:color="auto" w:fill="auto"/>
            <w:vAlign w:val="center"/>
            <w:hideMark/>
          </w:tcPr>
          <w:p w14:paraId="3B688229" w14:textId="77777777" w:rsidR="00B52DA0" w:rsidRPr="009A1A2E" w:rsidRDefault="00B52DA0" w:rsidP="00E13546">
            <w:pPr>
              <w:rPr>
                <w:rFonts w:cs="Arial"/>
                <w:color w:val="000000"/>
                <w:sz w:val="20"/>
                <w:szCs w:val="20"/>
              </w:rPr>
            </w:pPr>
            <w:r w:rsidRPr="009A1A2E">
              <w:rPr>
                <w:rFonts w:cs="Arial"/>
                <w:color w:val="000000"/>
                <w:sz w:val="20"/>
                <w:szCs w:val="20"/>
              </w:rPr>
              <w:t>Safety and patient selection of totally implantable hearing aid surgery: Envoy system, Esteem. Eur.Arch.Otorhinolaryngol. 268 (10):1421-1425, 2011.</w:t>
            </w:r>
          </w:p>
        </w:tc>
      </w:tr>
      <w:tr w:rsidR="00B52DA0" w:rsidRPr="009A1A2E" w14:paraId="65DDE97B" w14:textId="77777777" w:rsidTr="00E13546">
        <w:trPr>
          <w:trHeight w:val="630"/>
        </w:trPr>
        <w:tc>
          <w:tcPr>
            <w:tcW w:w="1716" w:type="dxa"/>
            <w:gridSpan w:val="2"/>
            <w:tcBorders>
              <w:top w:val="nil"/>
              <w:left w:val="single" w:sz="8" w:space="0" w:color="auto"/>
              <w:bottom w:val="single" w:sz="4" w:space="0" w:color="auto"/>
              <w:right w:val="single" w:sz="4" w:space="0" w:color="auto"/>
            </w:tcBorders>
            <w:shd w:val="clear" w:color="auto" w:fill="auto"/>
            <w:noWrap/>
            <w:vAlign w:val="center"/>
            <w:hideMark/>
          </w:tcPr>
          <w:p w14:paraId="0D07DEC4" w14:textId="77777777" w:rsidR="00B52DA0" w:rsidRPr="009A1A2E" w:rsidRDefault="00B52DA0" w:rsidP="00E13546">
            <w:pPr>
              <w:rPr>
                <w:rFonts w:cs="Arial"/>
                <w:color w:val="000000"/>
                <w:sz w:val="20"/>
                <w:szCs w:val="20"/>
              </w:rPr>
            </w:pPr>
            <w:r w:rsidRPr="009A1A2E">
              <w:rPr>
                <w:rFonts w:cs="Arial"/>
                <w:color w:val="000000"/>
                <w:sz w:val="20"/>
                <w:szCs w:val="20"/>
              </w:rPr>
              <w:t>Monini (2013)</w:t>
            </w:r>
          </w:p>
        </w:tc>
        <w:tc>
          <w:tcPr>
            <w:tcW w:w="12049" w:type="dxa"/>
            <w:tcBorders>
              <w:top w:val="single" w:sz="4" w:space="0" w:color="auto"/>
              <w:left w:val="nil"/>
              <w:bottom w:val="single" w:sz="4" w:space="0" w:color="auto"/>
              <w:right w:val="single" w:sz="8" w:space="0" w:color="000000"/>
            </w:tcBorders>
            <w:shd w:val="clear" w:color="auto" w:fill="auto"/>
            <w:vAlign w:val="center"/>
            <w:hideMark/>
          </w:tcPr>
          <w:p w14:paraId="01F9C3EC" w14:textId="77777777" w:rsidR="00B52DA0" w:rsidRPr="009A1A2E" w:rsidRDefault="00B52DA0" w:rsidP="00E13546">
            <w:pPr>
              <w:rPr>
                <w:rFonts w:cs="Arial"/>
                <w:color w:val="000000"/>
                <w:sz w:val="20"/>
                <w:szCs w:val="20"/>
              </w:rPr>
            </w:pPr>
            <w:r w:rsidRPr="009A1A2E">
              <w:rPr>
                <w:rFonts w:cs="Arial"/>
                <w:color w:val="000000"/>
                <w:sz w:val="20"/>
                <w:szCs w:val="20"/>
              </w:rPr>
              <w:t>Esteem middle ear device versus conventional hearing aids for rehabilitation of bilateral sensorineural hearing loss. Eur.Arch.Otorhinolaryngol. 270 (7):2027-2033, 2013.</w:t>
            </w:r>
          </w:p>
        </w:tc>
      </w:tr>
      <w:tr w:rsidR="003B1DCD" w:rsidRPr="009A1A2E" w14:paraId="4676DC6B" w14:textId="43EE992F" w:rsidTr="003B1DCD">
        <w:trPr>
          <w:trHeight w:val="300"/>
        </w:trPr>
        <w:tc>
          <w:tcPr>
            <w:tcW w:w="1710" w:type="dxa"/>
            <w:tcBorders>
              <w:top w:val="single" w:sz="4" w:space="0" w:color="auto"/>
              <w:left w:val="single" w:sz="8" w:space="0" w:color="auto"/>
              <w:bottom w:val="single" w:sz="4" w:space="0" w:color="auto"/>
              <w:right w:val="nil"/>
            </w:tcBorders>
            <w:shd w:val="clear" w:color="000000" w:fill="D9D9D9"/>
            <w:vAlign w:val="center"/>
            <w:hideMark/>
          </w:tcPr>
          <w:p w14:paraId="0D530F19" w14:textId="7BD71B4E" w:rsidR="003B1DCD" w:rsidRPr="009A1A2E" w:rsidRDefault="003B1DCD" w:rsidP="003B1DCD">
            <w:pPr>
              <w:jc w:val="center"/>
              <w:rPr>
                <w:rFonts w:cs="Arial"/>
                <w:color w:val="000000"/>
                <w:sz w:val="20"/>
                <w:szCs w:val="20"/>
              </w:rPr>
            </w:pPr>
          </w:p>
        </w:tc>
        <w:tc>
          <w:tcPr>
            <w:tcW w:w="12055" w:type="dxa"/>
            <w:gridSpan w:val="2"/>
            <w:tcBorders>
              <w:top w:val="single" w:sz="4" w:space="0" w:color="auto"/>
              <w:left w:val="nil"/>
              <w:bottom w:val="single" w:sz="4" w:space="0" w:color="auto"/>
              <w:right w:val="single" w:sz="8" w:space="0" w:color="000000"/>
            </w:tcBorders>
            <w:shd w:val="clear" w:color="000000" w:fill="D9D9D9"/>
            <w:vAlign w:val="center"/>
          </w:tcPr>
          <w:p w14:paraId="33776D67" w14:textId="0B4BF3DD" w:rsidR="003B1DCD" w:rsidRPr="009A1A2E" w:rsidRDefault="003B1DCD" w:rsidP="00E13546">
            <w:pPr>
              <w:jc w:val="center"/>
              <w:rPr>
                <w:rFonts w:cs="Arial"/>
                <w:color w:val="000000"/>
                <w:sz w:val="20"/>
                <w:szCs w:val="20"/>
              </w:rPr>
            </w:pPr>
            <w:r w:rsidRPr="009A1A2E">
              <w:rPr>
                <w:rFonts w:cs="Arial"/>
                <w:color w:val="000000"/>
                <w:sz w:val="20"/>
                <w:szCs w:val="20"/>
              </w:rPr>
              <w:t>Fully implantable device: CARINA</w:t>
            </w:r>
          </w:p>
        </w:tc>
      </w:tr>
      <w:tr w:rsidR="00B52DA0" w:rsidRPr="009A1A2E" w14:paraId="705636A7" w14:textId="77777777" w:rsidTr="00E13546">
        <w:trPr>
          <w:trHeight w:val="615"/>
        </w:trPr>
        <w:tc>
          <w:tcPr>
            <w:tcW w:w="1716" w:type="dxa"/>
            <w:gridSpan w:val="2"/>
            <w:tcBorders>
              <w:top w:val="nil"/>
              <w:left w:val="single" w:sz="8" w:space="0" w:color="auto"/>
              <w:bottom w:val="single" w:sz="4" w:space="0" w:color="auto"/>
              <w:right w:val="single" w:sz="4" w:space="0" w:color="auto"/>
            </w:tcBorders>
            <w:shd w:val="clear" w:color="auto" w:fill="auto"/>
            <w:vAlign w:val="center"/>
            <w:hideMark/>
          </w:tcPr>
          <w:p w14:paraId="58F2C066" w14:textId="77777777" w:rsidR="00B52DA0" w:rsidRPr="009A1A2E" w:rsidRDefault="00B52DA0" w:rsidP="00E13546">
            <w:pPr>
              <w:rPr>
                <w:rFonts w:cs="Arial"/>
                <w:color w:val="000000"/>
                <w:sz w:val="20"/>
                <w:szCs w:val="20"/>
              </w:rPr>
            </w:pPr>
            <w:r w:rsidRPr="009A1A2E">
              <w:rPr>
                <w:rFonts w:cs="Arial"/>
                <w:color w:val="000000"/>
                <w:sz w:val="20"/>
                <w:szCs w:val="20"/>
              </w:rPr>
              <w:t>Bruschini (2010)</w:t>
            </w:r>
          </w:p>
        </w:tc>
        <w:tc>
          <w:tcPr>
            <w:tcW w:w="12049" w:type="dxa"/>
            <w:tcBorders>
              <w:top w:val="single" w:sz="4" w:space="0" w:color="auto"/>
              <w:left w:val="nil"/>
              <w:bottom w:val="single" w:sz="4" w:space="0" w:color="auto"/>
              <w:right w:val="single" w:sz="8" w:space="0" w:color="000000"/>
            </w:tcBorders>
            <w:shd w:val="clear" w:color="auto" w:fill="auto"/>
            <w:vAlign w:val="center"/>
            <w:hideMark/>
          </w:tcPr>
          <w:p w14:paraId="73CBE67D" w14:textId="77777777" w:rsidR="00B52DA0" w:rsidRPr="009A1A2E" w:rsidRDefault="00B52DA0" w:rsidP="00E13546">
            <w:pPr>
              <w:rPr>
                <w:rFonts w:cs="Arial"/>
                <w:color w:val="000000"/>
                <w:sz w:val="20"/>
                <w:szCs w:val="20"/>
              </w:rPr>
            </w:pPr>
            <w:r w:rsidRPr="009A1A2E">
              <w:rPr>
                <w:rFonts w:cs="Arial"/>
                <w:color w:val="000000"/>
                <w:sz w:val="20"/>
                <w:szCs w:val="20"/>
              </w:rPr>
              <w:t>Fully implantable Otologics MET Carina device for the treatment of sensorineural and mixed hearing loss: Audio-otological results. Acta Otolaryngol. 130 (10):1147-1153, 2010.</w:t>
            </w:r>
          </w:p>
        </w:tc>
      </w:tr>
      <w:tr w:rsidR="00B52DA0" w:rsidRPr="009A1A2E" w14:paraId="13EAC406" w14:textId="77777777" w:rsidTr="00E13546">
        <w:trPr>
          <w:trHeight w:val="483"/>
        </w:trPr>
        <w:tc>
          <w:tcPr>
            <w:tcW w:w="1716" w:type="dxa"/>
            <w:gridSpan w:val="2"/>
            <w:tcBorders>
              <w:top w:val="nil"/>
              <w:left w:val="single" w:sz="8" w:space="0" w:color="auto"/>
              <w:bottom w:val="single" w:sz="4" w:space="0" w:color="auto"/>
              <w:right w:val="single" w:sz="4" w:space="0" w:color="auto"/>
            </w:tcBorders>
            <w:shd w:val="clear" w:color="auto" w:fill="auto"/>
            <w:noWrap/>
            <w:vAlign w:val="center"/>
            <w:hideMark/>
          </w:tcPr>
          <w:p w14:paraId="367B9E94" w14:textId="77777777" w:rsidR="00B52DA0" w:rsidRPr="009A1A2E" w:rsidRDefault="00B52DA0" w:rsidP="00E13546">
            <w:pPr>
              <w:rPr>
                <w:rFonts w:cs="Arial"/>
                <w:color w:val="000000"/>
                <w:sz w:val="20"/>
                <w:szCs w:val="20"/>
              </w:rPr>
            </w:pPr>
            <w:r w:rsidRPr="009A1A2E">
              <w:rPr>
                <w:rFonts w:cs="Arial"/>
                <w:color w:val="000000"/>
                <w:sz w:val="20"/>
                <w:szCs w:val="20"/>
              </w:rPr>
              <w:t>Jenkins</w:t>
            </w:r>
          </w:p>
        </w:tc>
        <w:tc>
          <w:tcPr>
            <w:tcW w:w="12049" w:type="dxa"/>
            <w:tcBorders>
              <w:top w:val="single" w:sz="4" w:space="0" w:color="auto"/>
              <w:left w:val="nil"/>
              <w:bottom w:val="single" w:sz="4" w:space="0" w:color="auto"/>
              <w:right w:val="single" w:sz="8" w:space="0" w:color="000000"/>
            </w:tcBorders>
            <w:shd w:val="clear" w:color="auto" w:fill="auto"/>
            <w:vAlign w:val="center"/>
            <w:hideMark/>
          </w:tcPr>
          <w:p w14:paraId="3F7F5B9F" w14:textId="77777777" w:rsidR="00B52DA0" w:rsidRPr="009A1A2E" w:rsidRDefault="00B52DA0" w:rsidP="00E13546">
            <w:pPr>
              <w:rPr>
                <w:rFonts w:cs="Arial"/>
                <w:color w:val="000000"/>
                <w:sz w:val="20"/>
                <w:szCs w:val="20"/>
              </w:rPr>
            </w:pPr>
            <w:r w:rsidRPr="009A1A2E">
              <w:rPr>
                <w:rFonts w:cs="Arial"/>
                <w:color w:val="000000"/>
                <w:sz w:val="20"/>
                <w:szCs w:val="20"/>
              </w:rPr>
              <w:t>Otologics fully implantable hearing system: Phase I trial 1-year results. Otol.Neurotol. 29 (4):534-541, 2008.</w:t>
            </w:r>
          </w:p>
        </w:tc>
      </w:tr>
      <w:tr w:rsidR="00B52DA0" w:rsidRPr="009A1A2E" w14:paraId="0E8C3EAF" w14:textId="77777777" w:rsidTr="00E13546">
        <w:trPr>
          <w:trHeight w:val="660"/>
        </w:trPr>
        <w:tc>
          <w:tcPr>
            <w:tcW w:w="1716" w:type="dxa"/>
            <w:gridSpan w:val="2"/>
            <w:tcBorders>
              <w:top w:val="nil"/>
              <w:left w:val="single" w:sz="8" w:space="0" w:color="auto"/>
              <w:bottom w:val="single" w:sz="4" w:space="0" w:color="auto"/>
              <w:right w:val="single" w:sz="4" w:space="0" w:color="auto"/>
            </w:tcBorders>
            <w:shd w:val="clear" w:color="auto" w:fill="auto"/>
            <w:noWrap/>
            <w:vAlign w:val="center"/>
            <w:hideMark/>
          </w:tcPr>
          <w:p w14:paraId="306EC4D1" w14:textId="77777777" w:rsidR="00B52DA0" w:rsidRPr="009A1A2E" w:rsidRDefault="00B52DA0" w:rsidP="00E13546">
            <w:pPr>
              <w:rPr>
                <w:rFonts w:cs="Arial"/>
                <w:color w:val="000000"/>
                <w:sz w:val="20"/>
                <w:szCs w:val="20"/>
              </w:rPr>
            </w:pPr>
            <w:r w:rsidRPr="009A1A2E">
              <w:rPr>
                <w:rFonts w:cs="Arial"/>
                <w:color w:val="000000"/>
                <w:sz w:val="20"/>
                <w:szCs w:val="20"/>
              </w:rPr>
              <w:t>Tringali (2010)</w:t>
            </w:r>
          </w:p>
        </w:tc>
        <w:tc>
          <w:tcPr>
            <w:tcW w:w="12049" w:type="dxa"/>
            <w:tcBorders>
              <w:top w:val="single" w:sz="4" w:space="0" w:color="auto"/>
              <w:left w:val="nil"/>
              <w:bottom w:val="single" w:sz="4" w:space="0" w:color="auto"/>
              <w:right w:val="single" w:sz="8" w:space="0" w:color="000000"/>
            </w:tcBorders>
            <w:shd w:val="clear" w:color="auto" w:fill="auto"/>
            <w:vAlign w:val="center"/>
            <w:hideMark/>
          </w:tcPr>
          <w:p w14:paraId="248146F7" w14:textId="77777777" w:rsidR="00B52DA0" w:rsidRPr="009A1A2E" w:rsidRDefault="00B52DA0" w:rsidP="00E13546">
            <w:pPr>
              <w:rPr>
                <w:rFonts w:cs="Arial"/>
                <w:color w:val="000000"/>
                <w:sz w:val="20"/>
                <w:szCs w:val="20"/>
              </w:rPr>
            </w:pPr>
            <w:r w:rsidRPr="009A1A2E">
              <w:rPr>
                <w:rFonts w:cs="Arial"/>
                <w:color w:val="000000"/>
                <w:sz w:val="20"/>
                <w:szCs w:val="20"/>
              </w:rPr>
              <w:t>Otologics middle ear transducer with contralateral conventional hearing aid in severe sensorineural hearing loss: evolution during the first 24 months. Otol.Neurotol. 31 (4):630-636, 2010.</w:t>
            </w:r>
          </w:p>
        </w:tc>
      </w:tr>
      <w:tr w:rsidR="00B52DA0" w:rsidRPr="009A1A2E" w14:paraId="7A65874F" w14:textId="77777777" w:rsidTr="00E13546">
        <w:trPr>
          <w:trHeight w:val="300"/>
        </w:trPr>
        <w:tc>
          <w:tcPr>
            <w:tcW w:w="13765" w:type="dxa"/>
            <w:gridSpan w:val="3"/>
            <w:tcBorders>
              <w:top w:val="nil"/>
              <w:left w:val="single" w:sz="8" w:space="0" w:color="auto"/>
              <w:bottom w:val="single" w:sz="4" w:space="0" w:color="auto"/>
              <w:right w:val="single" w:sz="8" w:space="0" w:color="auto"/>
            </w:tcBorders>
            <w:shd w:val="clear" w:color="auto" w:fill="auto"/>
            <w:vAlign w:val="center"/>
            <w:hideMark/>
          </w:tcPr>
          <w:p w14:paraId="354D87F5" w14:textId="77777777" w:rsidR="00B52DA0" w:rsidRPr="009A1A2E" w:rsidRDefault="00B52DA0" w:rsidP="00E13546">
            <w:pPr>
              <w:rPr>
                <w:rFonts w:cs="Arial"/>
                <w:color w:val="000000"/>
                <w:sz w:val="20"/>
                <w:szCs w:val="20"/>
              </w:rPr>
            </w:pPr>
            <w:r w:rsidRPr="009A1A2E">
              <w:rPr>
                <w:rFonts w:cs="Arial"/>
                <w:color w:val="000000"/>
                <w:sz w:val="20"/>
                <w:szCs w:val="20"/>
              </w:rPr>
              <w:t> </w:t>
            </w:r>
          </w:p>
        </w:tc>
      </w:tr>
      <w:tr w:rsidR="003B1DCD" w:rsidRPr="009A1A2E" w14:paraId="6A750B6C" w14:textId="2203688B" w:rsidTr="003B1DCD">
        <w:trPr>
          <w:trHeight w:val="300"/>
        </w:trPr>
        <w:tc>
          <w:tcPr>
            <w:tcW w:w="1710" w:type="dxa"/>
            <w:tcBorders>
              <w:top w:val="single" w:sz="4" w:space="0" w:color="auto"/>
              <w:left w:val="single" w:sz="8" w:space="0" w:color="auto"/>
              <w:bottom w:val="single" w:sz="4" w:space="0" w:color="auto"/>
              <w:right w:val="nil"/>
            </w:tcBorders>
            <w:shd w:val="clear" w:color="000000" w:fill="D9D9D9"/>
            <w:vAlign w:val="center"/>
            <w:hideMark/>
          </w:tcPr>
          <w:p w14:paraId="2404E294" w14:textId="25496DF9" w:rsidR="003B1DCD" w:rsidRPr="009A1A2E" w:rsidRDefault="003B1DCD" w:rsidP="003B1DCD">
            <w:pPr>
              <w:jc w:val="center"/>
              <w:rPr>
                <w:rFonts w:cs="Arial"/>
                <w:color w:val="000000"/>
                <w:sz w:val="20"/>
                <w:szCs w:val="20"/>
              </w:rPr>
            </w:pPr>
          </w:p>
        </w:tc>
        <w:tc>
          <w:tcPr>
            <w:tcW w:w="12055" w:type="dxa"/>
            <w:gridSpan w:val="2"/>
            <w:tcBorders>
              <w:top w:val="single" w:sz="4" w:space="0" w:color="auto"/>
              <w:left w:val="nil"/>
              <w:bottom w:val="single" w:sz="4" w:space="0" w:color="auto"/>
              <w:right w:val="single" w:sz="8" w:space="0" w:color="000000"/>
            </w:tcBorders>
            <w:shd w:val="clear" w:color="000000" w:fill="D9D9D9"/>
            <w:vAlign w:val="center"/>
          </w:tcPr>
          <w:p w14:paraId="77CE59DC" w14:textId="1BF1C619" w:rsidR="003B1DCD" w:rsidRPr="009A1A2E" w:rsidRDefault="003B1DCD" w:rsidP="00E13546">
            <w:pPr>
              <w:jc w:val="center"/>
              <w:rPr>
                <w:rFonts w:cs="Arial"/>
                <w:color w:val="000000"/>
                <w:sz w:val="20"/>
                <w:szCs w:val="20"/>
              </w:rPr>
            </w:pPr>
            <w:r w:rsidRPr="009A1A2E">
              <w:rPr>
                <w:rFonts w:cs="Arial"/>
                <w:color w:val="000000"/>
                <w:sz w:val="20"/>
                <w:szCs w:val="20"/>
              </w:rPr>
              <w:t>Partially implantable device: VIBRANT SOUNDBRIDGE</w:t>
            </w:r>
          </w:p>
        </w:tc>
      </w:tr>
      <w:tr w:rsidR="00B52DA0" w:rsidRPr="009A1A2E" w14:paraId="133C3F9D" w14:textId="77777777" w:rsidTr="00E13546">
        <w:trPr>
          <w:trHeight w:val="612"/>
        </w:trPr>
        <w:tc>
          <w:tcPr>
            <w:tcW w:w="1716" w:type="dxa"/>
            <w:gridSpan w:val="2"/>
            <w:tcBorders>
              <w:top w:val="nil"/>
              <w:left w:val="single" w:sz="8" w:space="0" w:color="auto"/>
              <w:bottom w:val="single" w:sz="4" w:space="0" w:color="auto"/>
              <w:right w:val="single" w:sz="4" w:space="0" w:color="auto"/>
            </w:tcBorders>
            <w:shd w:val="clear" w:color="auto" w:fill="auto"/>
            <w:vAlign w:val="center"/>
            <w:hideMark/>
          </w:tcPr>
          <w:p w14:paraId="27442F43" w14:textId="77777777" w:rsidR="00B52DA0" w:rsidRPr="009A1A2E" w:rsidRDefault="00B52DA0" w:rsidP="00E13546">
            <w:pPr>
              <w:rPr>
                <w:rFonts w:cs="Arial"/>
                <w:color w:val="000000"/>
                <w:sz w:val="20"/>
                <w:szCs w:val="20"/>
              </w:rPr>
            </w:pPr>
            <w:r w:rsidRPr="009A1A2E">
              <w:rPr>
                <w:rFonts w:cs="Arial"/>
                <w:color w:val="000000"/>
                <w:sz w:val="20"/>
                <w:szCs w:val="20"/>
              </w:rPr>
              <w:t>Boeheim (2010)</w:t>
            </w:r>
          </w:p>
        </w:tc>
        <w:tc>
          <w:tcPr>
            <w:tcW w:w="12049" w:type="dxa"/>
            <w:tcBorders>
              <w:top w:val="single" w:sz="4" w:space="0" w:color="auto"/>
              <w:left w:val="nil"/>
              <w:bottom w:val="single" w:sz="4" w:space="0" w:color="auto"/>
              <w:right w:val="single" w:sz="8" w:space="0" w:color="000000"/>
            </w:tcBorders>
            <w:shd w:val="clear" w:color="auto" w:fill="auto"/>
            <w:vAlign w:val="center"/>
            <w:hideMark/>
          </w:tcPr>
          <w:p w14:paraId="7DD5EEEF" w14:textId="77777777" w:rsidR="00B52DA0" w:rsidRPr="009A1A2E" w:rsidRDefault="00B52DA0" w:rsidP="00E13546">
            <w:pPr>
              <w:rPr>
                <w:rFonts w:cs="Arial"/>
                <w:color w:val="000000"/>
                <w:sz w:val="20"/>
                <w:szCs w:val="20"/>
              </w:rPr>
            </w:pPr>
            <w:r w:rsidRPr="009A1A2E">
              <w:rPr>
                <w:rFonts w:cs="Arial"/>
                <w:color w:val="000000"/>
                <w:sz w:val="20"/>
                <w:szCs w:val="20"/>
              </w:rPr>
              <w:t>Active middle ear implant compared with open-fit hearing aid in sloping high-frequency sensorineural hearing loss. Otol.Neurotol. 31 (3):424-429, 2010.</w:t>
            </w:r>
          </w:p>
        </w:tc>
      </w:tr>
      <w:tr w:rsidR="00B52DA0" w:rsidRPr="009A1A2E" w14:paraId="661A12A9" w14:textId="77777777" w:rsidTr="00E13546">
        <w:trPr>
          <w:trHeight w:val="600"/>
        </w:trPr>
        <w:tc>
          <w:tcPr>
            <w:tcW w:w="1716" w:type="dxa"/>
            <w:gridSpan w:val="2"/>
            <w:tcBorders>
              <w:top w:val="nil"/>
              <w:left w:val="single" w:sz="8" w:space="0" w:color="auto"/>
              <w:bottom w:val="single" w:sz="4" w:space="0" w:color="auto"/>
              <w:right w:val="single" w:sz="4" w:space="0" w:color="auto"/>
            </w:tcBorders>
            <w:shd w:val="clear" w:color="auto" w:fill="auto"/>
            <w:noWrap/>
            <w:vAlign w:val="center"/>
            <w:hideMark/>
          </w:tcPr>
          <w:p w14:paraId="09611606" w14:textId="77777777" w:rsidR="00B52DA0" w:rsidRPr="009A1A2E" w:rsidRDefault="00B52DA0" w:rsidP="00E13546">
            <w:pPr>
              <w:rPr>
                <w:rFonts w:cs="Arial"/>
                <w:color w:val="000000"/>
                <w:sz w:val="20"/>
                <w:szCs w:val="20"/>
              </w:rPr>
            </w:pPr>
            <w:r w:rsidRPr="009A1A2E">
              <w:rPr>
                <w:rFonts w:cs="Arial"/>
                <w:color w:val="000000"/>
                <w:sz w:val="20"/>
                <w:szCs w:val="20"/>
              </w:rPr>
              <w:lastRenderedPageBreak/>
              <w:t>Boheim (2007)</w:t>
            </w:r>
          </w:p>
        </w:tc>
        <w:tc>
          <w:tcPr>
            <w:tcW w:w="12049" w:type="dxa"/>
            <w:tcBorders>
              <w:top w:val="single" w:sz="4" w:space="0" w:color="auto"/>
              <w:left w:val="nil"/>
              <w:bottom w:val="single" w:sz="4" w:space="0" w:color="auto"/>
              <w:right w:val="single" w:sz="8" w:space="0" w:color="000000"/>
            </w:tcBorders>
            <w:shd w:val="clear" w:color="auto" w:fill="auto"/>
            <w:vAlign w:val="center"/>
            <w:hideMark/>
          </w:tcPr>
          <w:p w14:paraId="6C968931" w14:textId="77777777" w:rsidR="00B52DA0" w:rsidRPr="009A1A2E" w:rsidRDefault="00B52DA0" w:rsidP="00E13546">
            <w:pPr>
              <w:rPr>
                <w:rFonts w:cs="Arial"/>
                <w:color w:val="000000"/>
                <w:sz w:val="20"/>
                <w:szCs w:val="20"/>
              </w:rPr>
            </w:pPr>
            <w:r w:rsidRPr="009A1A2E">
              <w:rPr>
                <w:rFonts w:cs="Arial"/>
                <w:color w:val="000000"/>
                <w:sz w:val="20"/>
                <w:szCs w:val="20"/>
              </w:rPr>
              <w:t>Rehabilitation of high frequency hearing loss: use of an active middle ear implant]. HNO 55 (9):690-695, 2007.</w:t>
            </w:r>
          </w:p>
        </w:tc>
      </w:tr>
      <w:tr w:rsidR="00B52DA0" w:rsidRPr="009A1A2E" w14:paraId="564EC287" w14:textId="77777777" w:rsidTr="00E13546">
        <w:trPr>
          <w:trHeight w:val="645"/>
        </w:trPr>
        <w:tc>
          <w:tcPr>
            <w:tcW w:w="1716" w:type="dxa"/>
            <w:gridSpan w:val="2"/>
            <w:tcBorders>
              <w:top w:val="nil"/>
              <w:left w:val="single" w:sz="8" w:space="0" w:color="auto"/>
              <w:bottom w:val="single" w:sz="4" w:space="0" w:color="auto"/>
              <w:right w:val="single" w:sz="4" w:space="0" w:color="auto"/>
            </w:tcBorders>
            <w:shd w:val="clear" w:color="auto" w:fill="auto"/>
            <w:vAlign w:val="center"/>
            <w:hideMark/>
          </w:tcPr>
          <w:p w14:paraId="114AD2F6" w14:textId="77777777" w:rsidR="00B52DA0" w:rsidRPr="009A1A2E" w:rsidRDefault="00B52DA0" w:rsidP="00E13546">
            <w:pPr>
              <w:rPr>
                <w:rFonts w:cs="Arial"/>
                <w:color w:val="000000"/>
                <w:sz w:val="20"/>
                <w:szCs w:val="20"/>
              </w:rPr>
            </w:pPr>
            <w:r w:rsidRPr="009A1A2E">
              <w:rPr>
                <w:rFonts w:cs="Arial"/>
                <w:color w:val="000000"/>
                <w:sz w:val="20"/>
                <w:szCs w:val="20"/>
              </w:rPr>
              <w:t>Bruschini (2009)</w:t>
            </w:r>
          </w:p>
        </w:tc>
        <w:tc>
          <w:tcPr>
            <w:tcW w:w="12049" w:type="dxa"/>
            <w:tcBorders>
              <w:top w:val="single" w:sz="4" w:space="0" w:color="auto"/>
              <w:left w:val="nil"/>
              <w:bottom w:val="single" w:sz="4" w:space="0" w:color="auto"/>
              <w:right w:val="single" w:sz="8" w:space="0" w:color="000000"/>
            </w:tcBorders>
            <w:shd w:val="clear" w:color="auto" w:fill="auto"/>
            <w:vAlign w:val="center"/>
            <w:hideMark/>
          </w:tcPr>
          <w:p w14:paraId="7E8BDA9D" w14:textId="77777777" w:rsidR="00B52DA0" w:rsidRPr="009A1A2E" w:rsidRDefault="00B52DA0" w:rsidP="00E13546">
            <w:pPr>
              <w:rPr>
                <w:rFonts w:cs="Arial"/>
                <w:color w:val="000000"/>
                <w:sz w:val="20"/>
                <w:szCs w:val="20"/>
              </w:rPr>
            </w:pPr>
            <w:r w:rsidRPr="009A1A2E">
              <w:rPr>
                <w:rFonts w:cs="Arial"/>
                <w:color w:val="000000"/>
                <w:sz w:val="20"/>
                <w:szCs w:val="20"/>
              </w:rPr>
              <w:t>Exclusive Transcanal Surgical Approach for Vibrant Soundbridge Implantation: Surgical and Functional Results.[Miscellaneous Article]. Otology &amp; Neurotology 30 (7):950-955, 2009.</w:t>
            </w:r>
          </w:p>
        </w:tc>
      </w:tr>
      <w:tr w:rsidR="00B52DA0" w:rsidRPr="009A1A2E" w14:paraId="16F2C4D4" w14:textId="77777777" w:rsidTr="00E13546">
        <w:trPr>
          <w:trHeight w:val="645"/>
        </w:trPr>
        <w:tc>
          <w:tcPr>
            <w:tcW w:w="1716" w:type="dxa"/>
            <w:gridSpan w:val="2"/>
            <w:tcBorders>
              <w:top w:val="nil"/>
              <w:left w:val="single" w:sz="8" w:space="0" w:color="auto"/>
              <w:bottom w:val="single" w:sz="4" w:space="0" w:color="auto"/>
              <w:right w:val="single" w:sz="4" w:space="0" w:color="auto"/>
            </w:tcBorders>
            <w:shd w:val="clear" w:color="auto" w:fill="auto"/>
            <w:noWrap/>
            <w:vAlign w:val="center"/>
            <w:hideMark/>
          </w:tcPr>
          <w:p w14:paraId="26899ADF" w14:textId="77777777" w:rsidR="00B52DA0" w:rsidRPr="009A1A2E" w:rsidRDefault="00B52DA0" w:rsidP="00E13546">
            <w:pPr>
              <w:rPr>
                <w:rFonts w:cs="Arial"/>
                <w:color w:val="000000"/>
                <w:sz w:val="20"/>
                <w:szCs w:val="20"/>
              </w:rPr>
            </w:pPr>
            <w:r w:rsidRPr="009A1A2E">
              <w:rPr>
                <w:rFonts w:cs="Arial"/>
                <w:color w:val="000000"/>
                <w:sz w:val="20"/>
                <w:szCs w:val="20"/>
              </w:rPr>
              <w:t>Edfeldt (2014)</w:t>
            </w:r>
          </w:p>
        </w:tc>
        <w:tc>
          <w:tcPr>
            <w:tcW w:w="12049" w:type="dxa"/>
            <w:tcBorders>
              <w:top w:val="single" w:sz="4" w:space="0" w:color="auto"/>
              <w:left w:val="nil"/>
              <w:bottom w:val="single" w:sz="4" w:space="0" w:color="auto"/>
              <w:right w:val="single" w:sz="8" w:space="0" w:color="000000"/>
            </w:tcBorders>
            <w:shd w:val="clear" w:color="auto" w:fill="auto"/>
            <w:vAlign w:val="center"/>
            <w:hideMark/>
          </w:tcPr>
          <w:p w14:paraId="08073116" w14:textId="77777777" w:rsidR="00B52DA0" w:rsidRPr="009A1A2E" w:rsidRDefault="00B52DA0" w:rsidP="00E13546">
            <w:pPr>
              <w:rPr>
                <w:rFonts w:cs="Arial"/>
                <w:color w:val="000000"/>
                <w:sz w:val="20"/>
                <w:szCs w:val="20"/>
              </w:rPr>
            </w:pPr>
            <w:r w:rsidRPr="009A1A2E">
              <w:rPr>
                <w:rFonts w:cs="Arial"/>
                <w:color w:val="000000"/>
                <w:sz w:val="20"/>
                <w:szCs w:val="20"/>
              </w:rPr>
              <w:t>Evaluation of cost-utility in middle ear implantation in the Nordic School. Acta Otolaryngol. 2014 Jan;134(1):19-25., 2014.</w:t>
            </w:r>
          </w:p>
        </w:tc>
      </w:tr>
      <w:tr w:rsidR="00B52DA0" w:rsidRPr="009A1A2E" w14:paraId="4F290556" w14:textId="77777777" w:rsidTr="00E13546">
        <w:trPr>
          <w:trHeight w:val="345"/>
        </w:trPr>
        <w:tc>
          <w:tcPr>
            <w:tcW w:w="1716" w:type="dxa"/>
            <w:gridSpan w:val="2"/>
            <w:tcBorders>
              <w:top w:val="nil"/>
              <w:left w:val="single" w:sz="8" w:space="0" w:color="auto"/>
              <w:bottom w:val="single" w:sz="4" w:space="0" w:color="auto"/>
              <w:right w:val="single" w:sz="4" w:space="0" w:color="auto"/>
            </w:tcBorders>
            <w:shd w:val="clear" w:color="auto" w:fill="auto"/>
            <w:noWrap/>
            <w:vAlign w:val="center"/>
            <w:hideMark/>
          </w:tcPr>
          <w:p w14:paraId="7A75B674" w14:textId="77777777" w:rsidR="00B52DA0" w:rsidRPr="009A1A2E" w:rsidRDefault="00B52DA0" w:rsidP="00E13546">
            <w:pPr>
              <w:rPr>
                <w:rFonts w:cs="Arial"/>
                <w:color w:val="000000"/>
                <w:sz w:val="20"/>
                <w:szCs w:val="20"/>
              </w:rPr>
            </w:pPr>
            <w:r w:rsidRPr="009A1A2E">
              <w:rPr>
                <w:rFonts w:cs="Arial"/>
                <w:color w:val="000000"/>
                <w:sz w:val="20"/>
                <w:szCs w:val="20"/>
              </w:rPr>
              <w:t>Fisch (2001)</w:t>
            </w:r>
          </w:p>
        </w:tc>
        <w:tc>
          <w:tcPr>
            <w:tcW w:w="12049" w:type="dxa"/>
            <w:tcBorders>
              <w:top w:val="single" w:sz="4" w:space="0" w:color="auto"/>
              <w:left w:val="nil"/>
              <w:bottom w:val="single" w:sz="4" w:space="0" w:color="auto"/>
              <w:right w:val="single" w:sz="8" w:space="0" w:color="000000"/>
            </w:tcBorders>
            <w:shd w:val="clear" w:color="auto" w:fill="auto"/>
            <w:vAlign w:val="center"/>
            <w:hideMark/>
          </w:tcPr>
          <w:p w14:paraId="10E57E40" w14:textId="77777777" w:rsidR="00B52DA0" w:rsidRPr="009A1A2E" w:rsidRDefault="00B52DA0" w:rsidP="00E13546">
            <w:pPr>
              <w:rPr>
                <w:rFonts w:cs="Arial"/>
                <w:color w:val="000000"/>
                <w:sz w:val="20"/>
                <w:szCs w:val="20"/>
              </w:rPr>
            </w:pPr>
            <w:r w:rsidRPr="009A1A2E">
              <w:rPr>
                <w:rFonts w:cs="Arial"/>
                <w:color w:val="000000"/>
                <w:sz w:val="20"/>
                <w:szCs w:val="20"/>
              </w:rPr>
              <w:t>Clinical experience with the Vibrant Soundbridge implant device. Otol.Neurotol. 22 (6):962-972, 2001.</w:t>
            </w:r>
          </w:p>
        </w:tc>
      </w:tr>
      <w:tr w:rsidR="00B52DA0" w:rsidRPr="009A1A2E" w14:paraId="030A407E" w14:textId="77777777" w:rsidTr="00E13546">
        <w:trPr>
          <w:trHeight w:val="585"/>
        </w:trPr>
        <w:tc>
          <w:tcPr>
            <w:tcW w:w="1716" w:type="dxa"/>
            <w:gridSpan w:val="2"/>
            <w:tcBorders>
              <w:top w:val="nil"/>
              <w:left w:val="single" w:sz="8" w:space="0" w:color="auto"/>
              <w:bottom w:val="single" w:sz="4" w:space="0" w:color="auto"/>
              <w:right w:val="single" w:sz="4" w:space="0" w:color="auto"/>
            </w:tcBorders>
            <w:shd w:val="clear" w:color="auto" w:fill="auto"/>
            <w:noWrap/>
            <w:vAlign w:val="center"/>
            <w:hideMark/>
          </w:tcPr>
          <w:p w14:paraId="73BE94E6" w14:textId="77777777" w:rsidR="00B52DA0" w:rsidRPr="009A1A2E" w:rsidRDefault="00B52DA0" w:rsidP="00E13546">
            <w:pPr>
              <w:rPr>
                <w:rFonts w:cs="Arial"/>
                <w:color w:val="000000"/>
                <w:sz w:val="20"/>
                <w:szCs w:val="20"/>
              </w:rPr>
            </w:pPr>
            <w:r w:rsidRPr="009A1A2E">
              <w:rPr>
                <w:rFonts w:cs="Arial"/>
                <w:color w:val="000000"/>
                <w:sz w:val="20"/>
                <w:szCs w:val="20"/>
              </w:rPr>
              <w:t>Fraysse (2001)</w:t>
            </w:r>
          </w:p>
        </w:tc>
        <w:tc>
          <w:tcPr>
            <w:tcW w:w="12049" w:type="dxa"/>
            <w:tcBorders>
              <w:top w:val="single" w:sz="4" w:space="0" w:color="auto"/>
              <w:left w:val="nil"/>
              <w:bottom w:val="single" w:sz="4" w:space="0" w:color="auto"/>
              <w:right w:val="single" w:sz="8" w:space="0" w:color="000000"/>
            </w:tcBorders>
            <w:shd w:val="clear" w:color="auto" w:fill="auto"/>
            <w:vAlign w:val="center"/>
            <w:hideMark/>
          </w:tcPr>
          <w:p w14:paraId="71632188" w14:textId="77777777" w:rsidR="00B52DA0" w:rsidRPr="009A1A2E" w:rsidRDefault="00B52DA0" w:rsidP="00E13546">
            <w:pPr>
              <w:rPr>
                <w:rFonts w:cs="Arial"/>
                <w:color w:val="000000"/>
                <w:sz w:val="20"/>
                <w:szCs w:val="20"/>
              </w:rPr>
            </w:pPr>
            <w:r w:rsidRPr="009A1A2E">
              <w:rPr>
                <w:rFonts w:cs="Arial"/>
                <w:color w:val="000000"/>
                <w:sz w:val="20"/>
                <w:szCs w:val="20"/>
              </w:rPr>
              <w:t>A multicenter study of the Vibrant Soundbridge middle ear implant: early clinical results and experience. Otol.Neurotol. 22 (6):952-961, 2001.</w:t>
            </w:r>
          </w:p>
        </w:tc>
      </w:tr>
      <w:tr w:rsidR="00B52DA0" w:rsidRPr="009A1A2E" w14:paraId="0A4F8408" w14:textId="77777777" w:rsidTr="00E13546">
        <w:trPr>
          <w:trHeight w:val="825"/>
        </w:trPr>
        <w:tc>
          <w:tcPr>
            <w:tcW w:w="1716" w:type="dxa"/>
            <w:gridSpan w:val="2"/>
            <w:tcBorders>
              <w:top w:val="nil"/>
              <w:left w:val="single" w:sz="8" w:space="0" w:color="auto"/>
              <w:bottom w:val="single" w:sz="4" w:space="0" w:color="auto"/>
              <w:right w:val="single" w:sz="4" w:space="0" w:color="auto"/>
            </w:tcBorders>
            <w:shd w:val="clear" w:color="auto" w:fill="auto"/>
            <w:noWrap/>
            <w:vAlign w:val="center"/>
            <w:hideMark/>
          </w:tcPr>
          <w:p w14:paraId="3B58CC69" w14:textId="77777777" w:rsidR="00B52DA0" w:rsidRPr="009A1A2E" w:rsidRDefault="00B52DA0" w:rsidP="00E13546">
            <w:pPr>
              <w:rPr>
                <w:rFonts w:cs="Arial"/>
                <w:color w:val="000000"/>
                <w:sz w:val="20"/>
                <w:szCs w:val="20"/>
              </w:rPr>
            </w:pPr>
            <w:r w:rsidRPr="009A1A2E">
              <w:rPr>
                <w:rFonts w:cs="Arial"/>
                <w:color w:val="000000"/>
                <w:sz w:val="20"/>
                <w:szCs w:val="20"/>
              </w:rPr>
              <w:t>Garin (2005)</w:t>
            </w:r>
          </w:p>
        </w:tc>
        <w:tc>
          <w:tcPr>
            <w:tcW w:w="12049" w:type="dxa"/>
            <w:tcBorders>
              <w:top w:val="single" w:sz="4" w:space="0" w:color="auto"/>
              <w:left w:val="nil"/>
              <w:bottom w:val="single" w:sz="4" w:space="0" w:color="auto"/>
              <w:right w:val="single" w:sz="8" w:space="0" w:color="000000"/>
            </w:tcBorders>
            <w:shd w:val="clear" w:color="auto" w:fill="auto"/>
            <w:vAlign w:val="center"/>
            <w:hideMark/>
          </w:tcPr>
          <w:p w14:paraId="58A6992F" w14:textId="77777777" w:rsidR="00B52DA0" w:rsidRPr="009A1A2E" w:rsidRDefault="00B52DA0" w:rsidP="00E13546">
            <w:pPr>
              <w:rPr>
                <w:rFonts w:cs="Arial"/>
                <w:color w:val="000000"/>
                <w:sz w:val="20"/>
                <w:szCs w:val="20"/>
              </w:rPr>
            </w:pPr>
            <w:r w:rsidRPr="009A1A2E">
              <w:rPr>
                <w:rFonts w:cs="Arial"/>
                <w:color w:val="000000"/>
                <w:sz w:val="20"/>
                <w:szCs w:val="20"/>
              </w:rPr>
              <w:t xml:space="preserve">Hearing in noise with the Vibrant Soundbridge middle-ear implant. </w:t>
            </w:r>
            <w:r w:rsidRPr="009A1A2E">
              <w:rPr>
                <w:rFonts w:cs="Arial"/>
                <w:bCs/>
                <w:color w:val="000000"/>
                <w:sz w:val="20"/>
                <w:szCs w:val="20"/>
              </w:rPr>
              <w:t xml:space="preserve">Proceedings </w:t>
            </w:r>
            <w:r w:rsidRPr="009A1A2E">
              <w:rPr>
                <w:rFonts w:cs="Arial"/>
                <w:color w:val="000000"/>
                <w:sz w:val="20"/>
                <w:szCs w:val="20"/>
              </w:rPr>
              <w:t>of the 4th International Symposium on Electronic Implants in Otology, pg 72-73, 2005</w:t>
            </w:r>
          </w:p>
        </w:tc>
      </w:tr>
      <w:tr w:rsidR="00B52DA0" w:rsidRPr="009A1A2E" w14:paraId="5215B88B" w14:textId="77777777" w:rsidTr="00E13546">
        <w:trPr>
          <w:trHeight w:val="570"/>
        </w:trPr>
        <w:tc>
          <w:tcPr>
            <w:tcW w:w="1716" w:type="dxa"/>
            <w:gridSpan w:val="2"/>
            <w:tcBorders>
              <w:top w:val="nil"/>
              <w:left w:val="single" w:sz="8" w:space="0" w:color="auto"/>
              <w:bottom w:val="single" w:sz="4" w:space="0" w:color="auto"/>
              <w:right w:val="single" w:sz="4" w:space="0" w:color="auto"/>
            </w:tcBorders>
            <w:shd w:val="clear" w:color="auto" w:fill="auto"/>
            <w:noWrap/>
            <w:vAlign w:val="center"/>
            <w:hideMark/>
          </w:tcPr>
          <w:p w14:paraId="2788E639" w14:textId="77777777" w:rsidR="00B52DA0" w:rsidRPr="009A1A2E" w:rsidRDefault="00B52DA0" w:rsidP="00E13546">
            <w:pPr>
              <w:rPr>
                <w:rFonts w:cs="Arial"/>
                <w:color w:val="000000"/>
                <w:sz w:val="20"/>
                <w:szCs w:val="20"/>
              </w:rPr>
            </w:pPr>
            <w:r w:rsidRPr="009A1A2E">
              <w:rPr>
                <w:rFonts w:cs="Arial"/>
                <w:color w:val="000000"/>
                <w:sz w:val="20"/>
                <w:szCs w:val="20"/>
              </w:rPr>
              <w:t xml:space="preserve">Ihler (2013) </w:t>
            </w:r>
          </w:p>
        </w:tc>
        <w:tc>
          <w:tcPr>
            <w:tcW w:w="12049" w:type="dxa"/>
            <w:tcBorders>
              <w:top w:val="single" w:sz="4" w:space="0" w:color="auto"/>
              <w:left w:val="nil"/>
              <w:bottom w:val="single" w:sz="4" w:space="0" w:color="auto"/>
              <w:right w:val="single" w:sz="8" w:space="0" w:color="000000"/>
            </w:tcBorders>
            <w:shd w:val="clear" w:color="auto" w:fill="auto"/>
            <w:vAlign w:val="center"/>
            <w:hideMark/>
          </w:tcPr>
          <w:p w14:paraId="49F4DED7" w14:textId="77777777" w:rsidR="00B52DA0" w:rsidRPr="009A1A2E" w:rsidRDefault="00B52DA0" w:rsidP="00E13546">
            <w:pPr>
              <w:rPr>
                <w:rFonts w:cs="Arial"/>
                <w:color w:val="000000"/>
                <w:sz w:val="20"/>
                <w:szCs w:val="20"/>
              </w:rPr>
            </w:pPr>
            <w:r w:rsidRPr="009A1A2E">
              <w:rPr>
                <w:rFonts w:cs="Arial"/>
                <w:color w:val="000000"/>
                <w:sz w:val="20"/>
                <w:szCs w:val="20"/>
              </w:rPr>
              <w:t>Mastoid cavity obliteration and vibrant soundbridge implantation for patients with mixed hearing loss. Laryngoscope, DOI: 10.1002/lary.24180, 2013.</w:t>
            </w:r>
          </w:p>
        </w:tc>
      </w:tr>
      <w:tr w:rsidR="00B52DA0" w:rsidRPr="009A1A2E" w14:paraId="772764F2" w14:textId="77777777" w:rsidTr="00E13546">
        <w:trPr>
          <w:trHeight w:val="896"/>
        </w:trPr>
        <w:tc>
          <w:tcPr>
            <w:tcW w:w="1716" w:type="dxa"/>
            <w:gridSpan w:val="2"/>
            <w:tcBorders>
              <w:top w:val="nil"/>
              <w:left w:val="single" w:sz="8" w:space="0" w:color="auto"/>
              <w:bottom w:val="single" w:sz="4" w:space="0" w:color="auto"/>
              <w:right w:val="single" w:sz="4" w:space="0" w:color="auto"/>
            </w:tcBorders>
            <w:shd w:val="clear" w:color="auto" w:fill="auto"/>
            <w:noWrap/>
            <w:vAlign w:val="center"/>
            <w:hideMark/>
          </w:tcPr>
          <w:p w14:paraId="26558F8E" w14:textId="77777777" w:rsidR="00B52DA0" w:rsidRPr="009A1A2E" w:rsidRDefault="00B52DA0" w:rsidP="00E13546">
            <w:pPr>
              <w:rPr>
                <w:rFonts w:cs="Arial"/>
                <w:color w:val="000000"/>
                <w:sz w:val="20"/>
                <w:szCs w:val="20"/>
              </w:rPr>
            </w:pPr>
            <w:r w:rsidRPr="009A1A2E">
              <w:rPr>
                <w:rFonts w:cs="Arial"/>
                <w:color w:val="000000"/>
                <w:sz w:val="20"/>
                <w:szCs w:val="20"/>
              </w:rPr>
              <w:t xml:space="preserve">Ihler (2014) </w:t>
            </w:r>
          </w:p>
        </w:tc>
        <w:tc>
          <w:tcPr>
            <w:tcW w:w="12049" w:type="dxa"/>
            <w:tcBorders>
              <w:top w:val="single" w:sz="4" w:space="0" w:color="auto"/>
              <w:left w:val="nil"/>
              <w:bottom w:val="single" w:sz="4" w:space="0" w:color="auto"/>
              <w:right w:val="single" w:sz="8" w:space="0" w:color="000000"/>
            </w:tcBorders>
            <w:shd w:val="clear" w:color="auto" w:fill="auto"/>
            <w:vAlign w:val="center"/>
            <w:hideMark/>
          </w:tcPr>
          <w:p w14:paraId="3B70F302" w14:textId="77777777" w:rsidR="00B52DA0" w:rsidRPr="009A1A2E" w:rsidRDefault="00B52DA0" w:rsidP="00E13546">
            <w:pPr>
              <w:rPr>
                <w:rFonts w:cs="Arial"/>
                <w:color w:val="000000"/>
                <w:sz w:val="20"/>
                <w:szCs w:val="20"/>
              </w:rPr>
            </w:pPr>
            <w:r w:rsidRPr="009A1A2E">
              <w:rPr>
                <w:rFonts w:cs="Arial"/>
                <w:color w:val="000000"/>
                <w:sz w:val="20"/>
                <w:szCs w:val="20"/>
              </w:rPr>
              <w:t xml:space="preserve">Long-term functional outcome and satisfaction of patients with an active middle ear implant for sensorineural hearing loss compared to a matched population with conventional hearing aids. Otology &amp; Neurotology, 35:211-215. 2014 </w:t>
            </w:r>
          </w:p>
        </w:tc>
      </w:tr>
      <w:tr w:rsidR="00B52DA0" w:rsidRPr="009A1A2E" w14:paraId="16C97FFD" w14:textId="77777777" w:rsidTr="00E13546">
        <w:trPr>
          <w:trHeight w:val="570"/>
        </w:trPr>
        <w:tc>
          <w:tcPr>
            <w:tcW w:w="1716" w:type="dxa"/>
            <w:gridSpan w:val="2"/>
            <w:tcBorders>
              <w:top w:val="nil"/>
              <w:left w:val="single" w:sz="8" w:space="0" w:color="auto"/>
              <w:bottom w:val="single" w:sz="4" w:space="0" w:color="auto"/>
              <w:right w:val="single" w:sz="4" w:space="0" w:color="auto"/>
            </w:tcBorders>
            <w:shd w:val="clear" w:color="auto" w:fill="auto"/>
            <w:noWrap/>
            <w:vAlign w:val="center"/>
            <w:hideMark/>
          </w:tcPr>
          <w:p w14:paraId="3D589438" w14:textId="77777777" w:rsidR="00B52DA0" w:rsidRPr="009A1A2E" w:rsidRDefault="00B52DA0" w:rsidP="00E13546">
            <w:pPr>
              <w:rPr>
                <w:rFonts w:cs="Arial"/>
                <w:color w:val="000000"/>
                <w:sz w:val="20"/>
                <w:szCs w:val="20"/>
              </w:rPr>
            </w:pPr>
            <w:r w:rsidRPr="009A1A2E">
              <w:rPr>
                <w:rFonts w:cs="Arial"/>
                <w:color w:val="000000"/>
                <w:sz w:val="20"/>
                <w:szCs w:val="20"/>
              </w:rPr>
              <w:t>Labassi (2005)</w:t>
            </w:r>
          </w:p>
        </w:tc>
        <w:tc>
          <w:tcPr>
            <w:tcW w:w="12049" w:type="dxa"/>
            <w:tcBorders>
              <w:top w:val="single" w:sz="4" w:space="0" w:color="auto"/>
              <w:left w:val="nil"/>
              <w:bottom w:val="single" w:sz="4" w:space="0" w:color="auto"/>
              <w:right w:val="single" w:sz="8" w:space="0" w:color="000000"/>
            </w:tcBorders>
            <w:shd w:val="clear" w:color="auto" w:fill="auto"/>
            <w:vAlign w:val="center"/>
            <w:hideMark/>
          </w:tcPr>
          <w:p w14:paraId="0A3B0F60" w14:textId="77777777" w:rsidR="00B52DA0" w:rsidRPr="009A1A2E" w:rsidRDefault="00B52DA0" w:rsidP="00E13546">
            <w:pPr>
              <w:rPr>
                <w:rFonts w:cs="Arial"/>
                <w:color w:val="000000"/>
                <w:sz w:val="20"/>
                <w:szCs w:val="20"/>
              </w:rPr>
            </w:pPr>
            <w:r w:rsidRPr="009A1A2E">
              <w:rPr>
                <w:rFonts w:cs="Arial"/>
                <w:color w:val="000000"/>
                <w:sz w:val="20"/>
                <w:szCs w:val="20"/>
              </w:rPr>
              <w:t xml:space="preserve">Retrospective of 1000 patients implanted with a Vibrant Soundbridge middle-ear implant. </w:t>
            </w:r>
            <w:r w:rsidRPr="009A1A2E">
              <w:rPr>
                <w:rFonts w:cs="Arial"/>
                <w:b/>
                <w:bCs/>
                <w:color w:val="000000"/>
                <w:sz w:val="20"/>
                <w:szCs w:val="20"/>
              </w:rPr>
              <w:t>Proceedings</w:t>
            </w:r>
            <w:r w:rsidRPr="009A1A2E">
              <w:rPr>
                <w:rFonts w:cs="Arial"/>
                <w:color w:val="000000"/>
                <w:sz w:val="20"/>
                <w:szCs w:val="20"/>
              </w:rPr>
              <w:t xml:space="preserve"> of the 4th International Symposium on Electronic Implants in Otology, pg 74-75. 2005</w:t>
            </w:r>
          </w:p>
        </w:tc>
      </w:tr>
      <w:tr w:rsidR="00B52DA0" w:rsidRPr="009A1A2E" w14:paraId="0C561104" w14:textId="77777777" w:rsidTr="00E13546">
        <w:trPr>
          <w:trHeight w:val="675"/>
        </w:trPr>
        <w:tc>
          <w:tcPr>
            <w:tcW w:w="1716" w:type="dxa"/>
            <w:gridSpan w:val="2"/>
            <w:tcBorders>
              <w:top w:val="nil"/>
              <w:left w:val="single" w:sz="8" w:space="0" w:color="auto"/>
              <w:bottom w:val="single" w:sz="4" w:space="0" w:color="auto"/>
              <w:right w:val="single" w:sz="4" w:space="0" w:color="auto"/>
            </w:tcBorders>
            <w:shd w:val="clear" w:color="auto" w:fill="auto"/>
            <w:noWrap/>
            <w:vAlign w:val="center"/>
            <w:hideMark/>
          </w:tcPr>
          <w:p w14:paraId="4B3FC388" w14:textId="77777777" w:rsidR="00B52DA0" w:rsidRPr="009A1A2E" w:rsidRDefault="00B52DA0" w:rsidP="00E13546">
            <w:pPr>
              <w:rPr>
                <w:rFonts w:cs="Arial"/>
                <w:color w:val="000000"/>
                <w:sz w:val="20"/>
                <w:szCs w:val="20"/>
              </w:rPr>
            </w:pPr>
            <w:r w:rsidRPr="009A1A2E">
              <w:rPr>
                <w:rFonts w:cs="Arial"/>
                <w:color w:val="000000"/>
                <w:sz w:val="20"/>
                <w:szCs w:val="20"/>
              </w:rPr>
              <w:t>Lenarz (2001)</w:t>
            </w:r>
          </w:p>
        </w:tc>
        <w:tc>
          <w:tcPr>
            <w:tcW w:w="12049" w:type="dxa"/>
            <w:tcBorders>
              <w:top w:val="single" w:sz="4" w:space="0" w:color="auto"/>
              <w:left w:val="nil"/>
              <w:bottom w:val="single" w:sz="4" w:space="0" w:color="auto"/>
              <w:right w:val="single" w:sz="8" w:space="0" w:color="000000"/>
            </w:tcBorders>
            <w:shd w:val="clear" w:color="auto" w:fill="auto"/>
            <w:vAlign w:val="center"/>
            <w:hideMark/>
          </w:tcPr>
          <w:p w14:paraId="683D2234" w14:textId="77777777" w:rsidR="00B52DA0" w:rsidRPr="009A1A2E" w:rsidRDefault="00B52DA0" w:rsidP="00E13546">
            <w:pPr>
              <w:rPr>
                <w:rFonts w:cs="Arial"/>
                <w:color w:val="000000"/>
                <w:sz w:val="20"/>
                <w:szCs w:val="20"/>
              </w:rPr>
            </w:pPr>
            <w:r w:rsidRPr="009A1A2E">
              <w:rPr>
                <w:rFonts w:cs="Arial"/>
                <w:color w:val="000000"/>
                <w:sz w:val="20"/>
                <w:szCs w:val="20"/>
              </w:rPr>
              <w:t>Vibrant Sound Bridge System. A new kind hearing prosthesis for patients with sensorineural hearing loss. 2. Audiological results]. Laryngorhinootologie 80 (7):370-380, 2001.</w:t>
            </w:r>
          </w:p>
        </w:tc>
      </w:tr>
      <w:tr w:rsidR="00B52DA0" w:rsidRPr="009A1A2E" w14:paraId="1FBABEBB" w14:textId="77777777" w:rsidTr="00E13546">
        <w:trPr>
          <w:trHeight w:val="735"/>
        </w:trPr>
        <w:tc>
          <w:tcPr>
            <w:tcW w:w="1716" w:type="dxa"/>
            <w:gridSpan w:val="2"/>
            <w:tcBorders>
              <w:top w:val="nil"/>
              <w:left w:val="single" w:sz="8" w:space="0" w:color="auto"/>
              <w:bottom w:val="single" w:sz="4" w:space="0" w:color="auto"/>
              <w:right w:val="single" w:sz="4" w:space="0" w:color="auto"/>
            </w:tcBorders>
            <w:shd w:val="clear" w:color="auto" w:fill="auto"/>
            <w:noWrap/>
            <w:vAlign w:val="center"/>
            <w:hideMark/>
          </w:tcPr>
          <w:p w14:paraId="5CD77E0C" w14:textId="77777777" w:rsidR="00B52DA0" w:rsidRPr="009A1A2E" w:rsidRDefault="00B52DA0" w:rsidP="00E13546">
            <w:pPr>
              <w:rPr>
                <w:rFonts w:cs="Arial"/>
                <w:color w:val="000000"/>
                <w:sz w:val="20"/>
                <w:szCs w:val="20"/>
              </w:rPr>
            </w:pPr>
            <w:r w:rsidRPr="009A1A2E">
              <w:rPr>
                <w:rFonts w:cs="Arial"/>
                <w:color w:val="000000"/>
                <w:sz w:val="20"/>
                <w:szCs w:val="20"/>
              </w:rPr>
              <w:t>Luetje (2002)</w:t>
            </w:r>
          </w:p>
        </w:tc>
        <w:tc>
          <w:tcPr>
            <w:tcW w:w="12049" w:type="dxa"/>
            <w:tcBorders>
              <w:top w:val="single" w:sz="4" w:space="0" w:color="auto"/>
              <w:left w:val="nil"/>
              <w:bottom w:val="single" w:sz="4" w:space="0" w:color="auto"/>
              <w:right w:val="single" w:sz="8" w:space="0" w:color="000000"/>
            </w:tcBorders>
            <w:shd w:val="clear" w:color="auto" w:fill="auto"/>
            <w:vAlign w:val="center"/>
            <w:hideMark/>
          </w:tcPr>
          <w:p w14:paraId="520B8A05" w14:textId="77777777" w:rsidR="00B52DA0" w:rsidRPr="009A1A2E" w:rsidRDefault="00B52DA0" w:rsidP="00E13546">
            <w:pPr>
              <w:rPr>
                <w:rFonts w:cs="Arial"/>
                <w:color w:val="000000"/>
                <w:sz w:val="20"/>
                <w:szCs w:val="20"/>
              </w:rPr>
            </w:pPr>
            <w:r w:rsidRPr="009A1A2E">
              <w:rPr>
                <w:rFonts w:cs="Arial"/>
                <w:color w:val="000000"/>
                <w:sz w:val="20"/>
                <w:szCs w:val="20"/>
              </w:rPr>
              <w:t>Phase III clinical trial results with the Vibrant Soundbridge implantable middle ear hearing device: a prospective controlled multicenter study. Otolaryngol.Head Neck Surg. 126 (2):97-107, 2002.</w:t>
            </w:r>
          </w:p>
        </w:tc>
      </w:tr>
      <w:tr w:rsidR="00B52DA0" w:rsidRPr="009A1A2E" w14:paraId="6A1EFE31" w14:textId="77777777" w:rsidTr="00E13546">
        <w:trPr>
          <w:trHeight w:val="660"/>
        </w:trPr>
        <w:tc>
          <w:tcPr>
            <w:tcW w:w="1716" w:type="dxa"/>
            <w:gridSpan w:val="2"/>
            <w:tcBorders>
              <w:top w:val="nil"/>
              <w:left w:val="single" w:sz="8" w:space="0" w:color="auto"/>
              <w:bottom w:val="single" w:sz="4" w:space="0" w:color="auto"/>
              <w:right w:val="single" w:sz="4" w:space="0" w:color="auto"/>
            </w:tcBorders>
            <w:shd w:val="clear" w:color="auto" w:fill="auto"/>
            <w:noWrap/>
            <w:vAlign w:val="center"/>
            <w:hideMark/>
          </w:tcPr>
          <w:p w14:paraId="5A33C866" w14:textId="77777777" w:rsidR="00B52DA0" w:rsidRPr="009A1A2E" w:rsidRDefault="00B52DA0" w:rsidP="00E13546">
            <w:pPr>
              <w:rPr>
                <w:rFonts w:cs="Arial"/>
                <w:color w:val="000000"/>
                <w:sz w:val="20"/>
                <w:szCs w:val="20"/>
              </w:rPr>
            </w:pPr>
            <w:r w:rsidRPr="009A1A2E">
              <w:rPr>
                <w:rFonts w:cs="Arial"/>
                <w:color w:val="000000"/>
                <w:sz w:val="20"/>
                <w:szCs w:val="20"/>
              </w:rPr>
              <w:t>Luetje (2010)</w:t>
            </w:r>
          </w:p>
        </w:tc>
        <w:tc>
          <w:tcPr>
            <w:tcW w:w="12049" w:type="dxa"/>
            <w:tcBorders>
              <w:top w:val="single" w:sz="4" w:space="0" w:color="auto"/>
              <w:left w:val="nil"/>
              <w:bottom w:val="single" w:sz="4" w:space="0" w:color="auto"/>
              <w:right w:val="single" w:sz="8" w:space="0" w:color="000000"/>
            </w:tcBorders>
            <w:shd w:val="clear" w:color="auto" w:fill="auto"/>
            <w:vAlign w:val="center"/>
            <w:hideMark/>
          </w:tcPr>
          <w:p w14:paraId="0F9BE14D" w14:textId="77777777" w:rsidR="00B52DA0" w:rsidRPr="009A1A2E" w:rsidRDefault="00B52DA0" w:rsidP="00E13546">
            <w:pPr>
              <w:rPr>
                <w:rFonts w:cs="Arial"/>
                <w:color w:val="000000"/>
                <w:sz w:val="20"/>
                <w:szCs w:val="20"/>
              </w:rPr>
            </w:pPr>
            <w:r w:rsidRPr="009A1A2E">
              <w:rPr>
                <w:rFonts w:cs="Arial"/>
                <w:color w:val="000000"/>
                <w:sz w:val="20"/>
                <w:szCs w:val="20"/>
              </w:rPr>
              <w:t>Vibrant Soundbridge implantable hearing device: critical review and single-surgeon short- and long-term results. Ear Nose Throat J. 89 (9):E9-E14, 2010.</w:t>
            </w:r>
          </w:p>
        </w:tc>
      </w:tr>
      <w:tr w:rsidR="00B52DA0" w:rsidRPr="009A1A2E" w14:paraId="1222A1FD" w14:textId="77777777" w:rsidTr="00E13546">
        <w:trPr>
          <w:trHeight w:val="585"/>
        </w:trPr>
        <w:tc>
          <w:tcPr>
            <w:tcW w:w="1716" w:type="dxa"/>
            <w:gridSpan w:val="2"/>
            <w:tcBorders>
              <w:top w:val="nil"/>
              <w:left w:val="single" w:sz="8" w:space="0" w:color="auto"/>
              <w:bottom w:val="single" w:sz="4" w:space="0" w:color="auto"/>
              <w:right w:val="single" w:sz="4" w:space="0" w:color="auto"/>
            </w:tcBorders>
            <w:shd w:val="clear" w:color="auto" w:fill="auto"/>
            <w:noWrap/>
            <w:vAlign w:val="center"/>
            <w:hideMark/>
          </w:tcPr>
          <w:p w14:paraId="420A98FC" w14:textId="77777777" w:rsidR="00B52DA0" w:rsidRPr="009A1A2E" w:rsidRDefault="00B52DA0" w:rsidP="00E13546">
            <w:pPr>
              <w:rPr>
                <w:rFonts w:cs="Arial"/>
                <w:color w:val="000000"/>
                <w:sz w:val="20"/>
                <w:szCs w:val="20"/>
              </w:rPr>
            </w:pPr>
            <w:r w:rsidRPr="009A1A2E">
              <w:rPr>
                <w:rFonts w:cs="Arial"/>
                <w:color w:val="000000"/>
                <w:sz w:val="20"/>
                <w:szCs w:val="20"/>
              </w:rPr>
              <w:t>Mosnier (2008)</w:t>
            </w:r>
          </w:p>
        </w:tc>
        <w:tc>
          <w:tcPr>
            <w:tcW w:w="12049" w:type="dxa"/>
            <w:tcBorders>
              <w:top w:val="single" w:sz="4" w:space="0" w:color="auto"/>
              <w:left w:val="nil"/>
              <w:bottom w:val="single" w:sz="4" w:space="0" w:color="auto"/>
              <w:right w:val="single" w:sz="8" w:space="0" w:color="000000"/>
            </w:tcBorders>
            <w:shd w:val="clear" w:color="auto" w:fill="auto"/>
            <w:vAlign w:val="center"/>
            <w:hideMark/>
          </w:tcPr>
          <w:p w14:paraId="2B9BC6B4" w14:textId="77777777" w:rsidR="00B52DA0" w:rsidRPr="009A1A2E" w:rsidRDefault="00B52DA0" w:rsidP="00E13546">
            <w:pPr>
              <w:rPr>
                <w:rFonts w:cs="Arial"/>
                <w:color w:val="000000"/>
                <w:sz w:val="20"/>
                <w:szCs w:val="20"/>
              </w:rPr>
            </w:pPr>
            <w:r w:rsidRPr="009A1A2E">
              <w:rPr>
                <w:rFonts w:cs="Arial"/>
                <w:color w:val="000000"/>
                <w:sz w:val="20"/>
                <w:szCs w:val="20"/>
              </w:rPr>
              <w:t>Benefit of the Vibrant Soundbridge Device in Patients Implanted For 5 to 8 Years.[Report]. Ear &amp; Hearing 29 (2):281-284, 2008.</w:t>
            </w:r>
          </w:p>
        </w:tc>
      </w:tr>
      <w:tr w:rsidR="00B52DA0" w:rsidRPr="009A1A2E" w14:paraId="00237534" w14:textId="77777777" w:rsidTr="00E13546">
        <w:trPr>
          <w:trHeight w:val="645"/>
        </w:trPr>
        <w:tc>
          <w:tcPr>
            <w:tcW w:w="1716" w:type="dxa"/>
            <w:gridSpan w:val="2"/>
            <w:tcBorders>
              <w:top w:val="nil"/>
              <w:left w:val="single" w:sz="8" w:space="0" w:color="auto"/>
              <w:bottom w:val="single" w:sz="4" w:space="0" w:color="auto"/>
              <w:right w:val="single" w:sz="4" w:space="0" w:color="auto"/>
            </w:tcBorders>
            <w:shd w:val="clear" w:color="auto" w:fill="auto"/>
            <w:noWrap/>
            <w:vAlign w:val="center"/>
            <w:hideMark/>
          </w:tcPr>
          <w:p w14:paraId="55AD1C09" w14:textId="77777777" w:rsidR="00B52DA0" w:rsidRPr="009A1A2E" w:rsidRDefault="00B52DA0" w:rsidP="00E13546">
            <w:pPr>
              <w:rPr>
                <w:rFonts w:cs="Arial"/>
                <w:color w:val="000000"/>
                <w:sz w:val="20"/>
                <w:szCs w:val="20"/>
              </w:rPr>
            </w:pPr>
            <w:r w:rsidRPr="009A1A2E">
              <w:rPr>
                <w:rFonts w:cs="Arial"/>
                <w:color w:val="000000"/>
                <w:sz w:val="20"/>
                <w:szCs w:val="20"/>
              </w:rPr>
              <w:lastRenderedPageBreak/>
              <w:t>Pok (2010)</w:t>
            </w:r>
          </w:p>
        </w:tc>
        <w:tc>
          <w:tcPr>
            <w:tcW w:w="12049" w:type="dxa"/>
            <w:tcBorders>
              <w:top w:val="single" w:sz="4" w:space="0" w:color="auto"/>
              <w:left w:val="nil"/>
              <w:bottom w:val="single" w:sz="4" w:space="0" w:color="auto"/>
              <w:right w:val="single" w:sz="8" w:space="0" w:color="000000"/>
            </w:tcBorders>
            <w:shd w:val="clear" w:color="auto" w:fill="auto"/>
            <w:vAlign w:val="center"/>
            <w:hideMark/>
          </w:tcPr>
          <w:p w14:paraId="6D1956CA" w14:textId="77777777" w:rsidR="00B52DA0" w:rsidRPr="009A1A2E" w:rsidRDefault="00B52DA0" w:rsidP="00E13546">
            <w:pPr>
              <w:rPr>
                <w:rFonts w:cs="Arial"/>
                <w:color w:val="000000"/>
                <w:sz w:val="20"/>
                <w:szCs w:val="20"/>
              </w:rPr>
            </w:pPr>
            <w:r w:rsidRPr="009A1A2E">
              <w:rPr>
                <w:rFonts w:cs="Arial"/>
                <w:color w:val="000000"/>
                <w:sz w:val="20"/>
                <w:szCs w:val="20"/>
              </w:rPr>
              <w:t>Clinical experience with the active middle ear implant Vibrant Soundbridge in sensorineural hearing loss. Adv.Otorhinolaryngol. 69:51-58, 2010.</w:t>
            </w:r>
          </w:p>
        </w:tc>
      </w:tr>
      <w:tr w:rsidR="00B52DA0" w:rsidRPr="009A1A2E" w14:paraId="07584EE1" w14:textId="77777777" w:rsidTr="00E13546">
        <w:trPr>
          <w:trHeight w:val="915"/>
        </w:trPr>
        <w:tc>
          <w:tcPr>
            <w:tcW w:w="1716" w:type="dxa"/>
            <w:gridSpan w:val="2"/>
            <w:tcBorders>
              <w:top w:val="nil"/>
              <w:left w:val="single" w:sz="8" w:space="0" w:color="auto"/>
              <w:bottom w:val="single" w:sz="4" w:space="0" w:color="auto"/>
              <w:right w:val="single" w:sz="4" w:space="0" w:color="auto"/>
            </w:tcBorders>
            <w:shd w:val="clear" w:color="auto" w:fill="auto"/>
            <w:noWrap/>
            <w:vAlign w:val="center"/>
            <w:hideMark/>
          </w:tcPr>
          <w:p w14:paraId="6B53FC11" w14:textId="77777777" w:rsidR="00B52DA0" w:rsidRPr="009A1A2E" w:rsidRDefault="00B52DA0" w:rsidP="00E13546">
            <w:pPr>
              <w:rPr>
                <w:rFonts w:cs="Arial"/>
                <w:color w:val="000000"/>
                <w:sz w:val="20"/>
                <w:szCs w:val="20"/>
              </w:rPr>
            </w:pPr>
            <w:r w:rsidRPr="009A1A2E">
              <w:rPr>
                <w:rFonts w:cs="Arial"/>
                <w:color w:val="000000"/>
                <w:sz w:val="20"/>
                <w:szCs w:val="20"/>
              </w:rPr>
              <w:t>Saliba (2005)</w:t>
            </w:r>
          </w:p>
        </w:tc>
        <w:tc>
          <w:tcPr>
            <w:tcW w:w="12049" w:type="dxa"/>
            <w:tcBorders>
              <w:top w:val="single" w:sz="4" w:space="0" w:color="auto"/>
              <w:left w:val="nil"/>
              <w:bottom w:val="single" w:sz="4" w:space="0" w:color="auto"/>
              <w:right w:val="single" w:sz="8" w:space="0" w:color="000000"/>
            </w:tcBorders>
            <w:shd w:val="clear" w:color="auto" w:fill="auto"/>
            <w:vAlign w:val="center"/>
            <w:hideMark/>
          </w:tcPr>
          <w:p w14:paraId="0FFA1084" w14:textId="77777777" w:rsidR="00B52DA0" w:rsidRPr="009A1A2E" w:rsidRDefault="00B52DA0" w:rsidP="00E13546">
            <w:pPr>
              <w:rPr>
                <w:rFonts w:cs="Arial"/>
                <w:color w:val="000000"/>
                <w:sz w:val="20"/>
                <w:szCs w:val="20"/>
              </w:rPr>
            </w:pPr>
            <w:r w:rsidRPr="009A1A2E">
              <w:rPr>
                <w:rFonts w:cs="Arial"/>
                <w:color w:val="000000"/>
                <w:sz w:val="20"/>
                <w:szCs w:val="20"/>
              </w:rPr>
              <w:t>Binaural hearing, Digital hearing aid, Middle ear implant, Stereophony, and Vibrant Soundbridge. Binaurality in Middle Ear Implant Recipients  Using Contralateral Digital Hearing Aids.[Miscellaneous Article]. Otology &amp; Neurotology 26 (4):680-685, 2005.</w:t>
            </w:r>
          </w:p>
        </w:tc>
      </w:tr>
      <w:tr w:rsidR="00B52DA0" w:rsidRPr="009A1A2E" w14:paraId="61350E13" w14:textId="77777777" w:rsidTr="00E13546">
        <w:trPr>
          <w:trHeight w:val="570"/>
        </w:trPr>
        <w:tc>
          <w:tcPr>
            <w:tcW w:w="1716" w:type="dxa"/>
            <w:gridSpan w:val="2"/>
            <w:tcBorders>
              <w:top w:val="nil"/>
              <w:left w:val="single" w:sz="8" w:space="0" w:color="auto"/>
              <w:bottom w:val="single" w:sz="4" w:space="0" w:color="auto"/>
              <w:right w:val="single" w:sz="4" w:space="0" w:color="auto"/>
            </w:tcBorders>
            <w:shd w:val="clear" w:color="auto" w:fill="auto"/>
            <w:noWrap/>
            <w:vAlign w:val="center"/>
            <w:hideMark/>
          </w:tcPr>
          <w:p w14:paraId="61D6C6AF" w14:textId="77777777" w:rsidR="00B52DA0" w:rsidRPr="009A1A2E" w:rsidRDefault="00B52DA0" w:rsidP="00E13546">
            <w:pPr>
              <w:rPr>
                <w:rFonts w:cs="Arial"/>
                <w:color w:val="000000"/>
                <w:sz w:val="20"/>
                <w:szCs w:val="20"/>
              </w:rPr>
            </w:pPr>
            <w:r w:rsidRPr="009A1A2E">
              <w:rPr>
                <w:rFonts w:cs="Arial"/>
                <w:color w:val="000000"/>
                <w:sz w:val="20"/>
                <w:szCs w:val="20"/>
              </w:rPr>
              <w:t>Schmutziger (2006)</w:t>
            </w:r>
          </w:p>
        </w:tc>
        <w:tc>
          <w:tcPr>
            <w:tcW w:w="12049" w:type="dxa"/>
            <w:tcBorders>
              <w:top w:val="single" w:sz="4" w:space="0" w:color="auto"/>
              <w:left w:val="nil"/>
              <w:bottom w:val="single" w:sz="4" w:space="0" w:color="auto"/>
              <w:right w:val="single" w:sz="8" w:space="0" w:color="000000"/>
            </w:tcBorders>
            <w:shd w:val="clear" w:color="auto" w:fill="auto"/>
            <w:vAlign w:val="center"/>
            <w:hideMark/>
          </w:tcPr>
          <w:p w14:paraId="07910337" w14:textId="77777777" w:rsidR="00B52DA0" w:rsidRPr="009A1A2E" w:rsidRDefault="00B52DA0" w:rsidP="00E13546">
            <w:pPr>
              <w:rPr>
                <w:rFonts w:cs="Arial"/>
                <w:color w:val="000000"/>
                <w:sz w:val="20"/>
                <w:szCs w:val="20"/>
              </w:rPr>
            </w:pPr>
            <w:r w:rsidRPr="009A1A2E">
              <w:rPr>
                <w:rFonts w:cs="Arial"/>
                <w:color w:val="000000"/>
                <w:sz w:val="20"/>
                <w:szCs w:val="20"/>
              </w:rPr>
              <w:t>Long-Term Assessment after Implantation of the Vibrant Soundbridge Device. Otology &amp; Neurotology 27:183–188 2006.</w:t>
            </w:r>
          </w:p>
        </w:tc>
      </w:tr>
      <w:tr w:rsidR="00B52DA0" w:rsidRPr="009A1A2E" w14:paraId="169C4D18" w14:textId="77777777" w:rsidTr="00E13546">
        <w:trPr>
          <w:trHeight w:val="660"/>
        </w:trPr>
        <w:tc>
          <w:tcPr>
            <w:tcW w:w="1716" w:type="dxa"/>
            <w:gridSpan w:val="2"/>
            <w:tcBorders>
              <w:top w:val="nil"/>
              <w:left w:val="single" w:sz="8" w:space="0" w:color="auto"/>
              <w:bottom w:val="single" w:sz="4" w:space="0" w:color="auto"/>
              <w:right w:val="single" w:sz="4" w:space="0" w:color="auto"/>
            </w:tcBorders>
            <w:shd w:val="clear" w:color="auto" w:fill="auto"/>
            <w:noWrap/>
            <w:vAlign w:val="center"/>
            <w:hideMark/>
          </w:tcPr>
          <w:p w14:paraId="4B69D87A" w14:textId="77777777" w:rsidR="00B52DA0" w:rsidRPr="009A1A2E" w:rsidRDefault="00B52DA0" w:rsidP="00E13546">
            <w:pPr>
              <w:rPr>
                <w:rFonts w:cs="Arial"/>
                <w:color w:val="000000"/>
                <w:sz w:val="20"/>
                <w:szCs w:val="20"/>
              </w:rPr>
            </w:pPr>
            <w:r w:rsidRPr="009A1A2E">
              <w:rPr>
                <w:rFonts w:cs="Arial"/>
                <w:color w:val="000000"/>
                <w:sz w:val="20"/>
                <w:szCs w:val="20"/>
              </w:rPr>
              <w:t>Snik (1999)</w:t>
            </w:r>
          </w:p>
        </w:tc>
        <w:tc>
          <w:tcPr>
            <w:tcW w:w="12049" w:type="dxa"/>
            <w:tcBorders>
              <w:top w:val="single" w:sz="4" w:space="0" w:color="auto"/>
              <w:left w:val="nil"/>
              <w:bottom w:val="single" w:sz="4" w:space="0" w:color="auto"/>
              <w:right w:val="single" w:sz="8" w:space="0" w:color="000000"/>
            </w:tcBorders>
            <w:shd w:val="clear" w:color="auto" w:fill="auto"/>
            <w:vAlign w:val="center"/>
            <w:hideMark/>
          </w:tcPr>
          <w:p w14:paraId="36A2978A" w14:textId="77777777" w:rsidR="00B52DA0" w:rsidRPr="009A1A2E" w:rsidRDefault="00B52DA0" w:rsidP="00E13546">
            <w:pPr>
              <w:rPr>
                <w:rFonts w:cs="Arial"/>
                <w:color w:val="000000"/>
                <w:sz w:val="20"/>
                <w:szCs w:val="20"/>
              </w:rPr>
            </w:pPr>
            <w:r w:rsidRPr="009A1A2E">
              <w:rPr>
                <w:rFonts w:cs="Arial"/>
                <w:color w:val="000000"/>
                <w:sz w:val="20"/>
                <w:szCs w:val="20"/>
              </w:rPr>
              <w:t>First audiometric results with the Vibrant soundbridge, a semi-implantable hearing device for sensorineural hearing loss. Audiology 38 (6):335-338, 1999.</w:t>
            </w:r>
          </w:p>
        </w:tc>
      </w:tr>
      <w:tr w:rsidR="00B52DA0" w:rsidRPr="009A1A2E" w14:paraId="70BD3741" w14:textId="77777777" w:rsidTr="00E13546">
        <w:trPr>
          <w:trHeight w:val="600"/>
        </w:trPr>
        <w:tc>
          <w:tcPr>
            <w:tcW w:w="1716" w:type="dxa"/>
            <w:gridSpan w:val="2"/>
            <w:tcBorders>
              <w:top w:val="nil"/>
              <w:left w:val="single" w:sz="8" w:space="0" w:color="auto"/>
              <w:bottom w:val="single" w:sz="4" w:space="0" w:color="auto"/>
              <w:right w:val="single" w:sz="4" w:space="0" w:color="auto"/>
            </w:tcBorders>
            <w:shd w:val="clear" w:color="auto" w:fill="auto"/>
            <w:noWrap/>
            <w:vAlign w:val="center"/>
            <w:hideMark/>
          </w:tcPr>
          <w:p w14:paraId="054661E5" w14:textId="77777777" w:rsidR="00B52DA0" w:rsidRPr="009A1A2E" w:rsidRDefault="00B52DA0" w:rsidP="00E13546">
            <w:pPr>
              <w:rPr>
                <w:rFonts w:cs="Arial"/>
                <w:color w:val="000000"/>
                <w:sz w:val="20"/>
                <w:szCs w:val="20"/>
              </w:rPr>
            </w:pPr>
            <w:r w:rsidRPr="009A1A2E">
              <w:rPr>
                <w:rFonts w:cs="Arial"/>
                <w:color w:val="000000"/>
                <w:sz w:val="20"/>
                <w:szCs w:val="20"/>
              </w:rPr>
              <w:t xml:space="preserve">Snik (2001) </w:t>
            </w:r>
          </w:p>
        </w:tc>
        <w:tc>
          <w:tcPr>
            <w:tcW w:w="12049" w:type="dxa"/>
            <w:tcBorders>
              <w:top w:val="single" w:sz="4" w:space="0" w:color="auto"/>
              <w:left w:val="nil"/>
              <w:bottom w:val="single" w:sz="4" w:space="0" w:color="auto"/>
              <w:right w:val="single" w:sz="8" w:space="0" w:color="000000"/>
            </w:tcBorders>
            <w:shd w:val="clear" w:color="auto" w:fill="auto"/>
            <w:vAlign w:val="center"/>
            <w:hideMark/>
          </w:tcPr>
          <w:p w14:paraId="78264F4D" w14:textId="77777777" w:rsidR="00B52DA0" w:rsidRPr="009A1A2E" w:rsidRDefault="00B52DA0" w:rsidP="00E13546">
            <w:pPr>
              <w:rPr>
                <w:rFonts w:cs="Arial"/>
                <w:color w:val="000000"/>
                <w:sz w:val="20"/>
                <w:szCs w:val="20"/>
              </w:rPr>
            </w:pPr>
            <w:r w:rsidRPr="009A1A2E">
              <w:rPr>
                <w:rFonts w:cs="Arial"/>
                <w:color w:val="000000"/>
                <w:sz w:val="20"/>
                <w:szCs w:val="20"/>
              </w:rPr>
              <w:t>Multicenter audiometric results with the Vibrant Soundbridge, a semi-implantable hearing device for sensorineural hearing impairment. Otolaryngol.Clin.North Am. 34 (2):373-388, 2001.</w:t>
            </w:r>
          </w:p>
        </w:tc>
      </w:tr>
      <w:tr w:rsidR="00B52DA0" w:rsidRPr="009A1A2E" w14:paraId="6537B554" w14:textId="77777777" w:rsidTr="00E13546">
        <w:trPr>
          <w:trHeight w:val="585"/>
        </w:trPr>
        <w:tc>
          <w:tcPr>
            <w:tcW w:w="1716" w:type="dxa"/>
            <w:gridSpan w:val="2"/>
            <w:tcBorders>
              <w:top w:val="nil"/>
              <w:left w:val="single" w:sz="8" w:space="0" w:color="auto"/>
              <w:bottom w:val="single" w:sz="4" w:space="0" w:color="auto"/>
              <w:right w:val="single" w:sz="4" w:space="0" w:color="auto"/>
            </w:tcBorders>
            <w:shd w:val="clear" w:color="auto" w:fill="auto"/>
            <w:noWrap/>
            <w:vAlign w:val="center"/>
            <w:hideMark/>
          </w:tcPr>
          <w:p w14:paraId="25FDA33D" w14:textId="77777777" w:rsidR="00B52DA0" w:rsidRPr="009A1A2E" w:rsidRDefault="00B52DA0" w:rsidP="00E13546">
            <w:pPr>
              <w:rPr>
                <w:rFonts w:cs="Arial"/>
                <w:color w:val="000000"/>
                <w:sz w:val="20"/>
                <w:szCs w:val="20"/>
              </w:rPr>
            </w:pPr>
            <w:r w:rsidRPr="009A1A2E">
              <w:rPr>
                <w:rFonts w:cs="Arial"/>
                <w:color w:val="000000"/>
                <w:sz w:val="20"/>
                <w:szCs w:val="20"/>
              </w:rPr>
              <w:t>Snik (2001)</w:t>
            </w:r>
          </w:p>
        </w:tc>
        <w:tc>
          <w:tcPr>
            <w:tcW w:w="12049" w:type="dxa"/>
            <w:tcBorders>
              <w:top w:val="single" w:sz="4" w:space="0" w:color="auto"/>
              <w:left w:val="nil"/>
              <w:bottom w:val="single" w:sz="4" w:space="0" w:color="auto"/>
              <w:right w:val="single" w:sz="8" w:space="0" w:color="000000"/>
            </w:tcBorders>
            <w:shd w:val="clear" w:color="auto" w:fill="auto"/>
            <w:vAlign w:val="center"/>
            <w:hideMark/>
          </w:tcPr>
          <w:p w14:paraId="0E6C20EC" w14:textId="77777777" w:rsidR="00B52DA0" w:rsidRPr="009A1A2E" w:rsidRDefault="00B52DA0" w:rsidP="00E13546">
            <w:pPr>
              <w:rPr>
                <w:rFonts w:cs="Arial"/>
                <w:color w:val="000000"/>
                <w:sz w:val="20"/>
                <w:szCs w:val="20"/>
              </w:rPr>
            </w:pPr>
            <w:r w:rsidRPr="009A1A2E">
              <w:rPr>
                <w:rFonts w:cs="Arial"/>
                <w:color w:val="000000"/>
                <w:sz w:val="20"/>
                <w:szCs w:val="20"/>
              </w:rPr>
              <w:t>Vibrant semi-implantable hearing device with digital sound processing: effective gain and speech perception. Arch.Otolaryngol.Head Neck Surg. 127 (12):1433-1437, 2001.</w:t>
            </w:r>
          </w:p>
        </w:tc>
      </w:tr>
      <w:tr w:rsidR="00B52DA0" w:rsidRPr="009A1A2E" w14:paraId="1F9D1CCF" w14:textId="77777777" w:rsidTr="00E13546">
        <w:trPr>
          <w:trHeight w:val="630"/>
        </w:trPr>
        <w:tc>
          <w:tcPr>
            <w:tcW w:w="1716" w:type="dxa"/>
            <w:gridSpan w:val="2"/>
            <w:tcBorders>
              <w:top w:val="nil"/>
              <w:left w:val="single" w:sz="8" w:space="0" w:color="auto"/>
              <w:bottom w:val="single" w:sz="4" w:space="0" w:color="auto"/>
              <w:right w:val="single" w:sz="4" w:space="0" w:color="auto"/>
            </w:tcBorders>
            <w:shd w:val="clear" w:color="auto" w:fill="auto"/>
            <w:noWrap/>
            <w:vAlign w:val="center"/>
            <w:hideMark/>
          </w:tcPr>
          <w:p w14:paraId="25344F2E" w14:textId="77777777" w:rsidR="00B52DA0" w:rsidRPr="009A1A2E" w:rsidRDefault="00B52DA0" w:rsidP="00E13546">
            <w:pPr>
              <w:rPr>
                <w:rFonts w:cs="Arial"/>
                <w:color w:val="000000"/>
                <w:sz w:val="20"/>
                <w:szCs w:val="20"/>
              </w:rPr>
            </w:pPr>
            <w:r w:rsidRPr="009A1A2E">
              <w:rPr>
                <w:rFonts w:cs="Arial"/>
                <w:color w:val="000000"/>
                <w:sz w:val="20"/>
                <w:szCs w:val="20"/>
              </w:rPr>
              <w:t>Snik (2006)</w:t>
            </w:r>
          </w:p>
        </w:tc>
        <w:tc>
          <w:tcPr>
            <w:tcW w:w="12049" w:type="dxa"/>
            <w:tcBorders>
              <w:top w:val="single" w:sz="4" w:space="0" w:color="auto"/>
              <w:left w:val="nil"/>
              <w:bottom w:val="single" w:sz="4" w:space="0" w:color="auto"/>
              <w:right w:val="single" w:sz="8" w:space="0" w:color="000000"/>
            </w:tcBorders>
            <w:shd w:val="clear" w:color="auto" w:fill="auto"/>
            <w:vAlign w:val="center"/>
            <w:hideMark/>
          </w:tcPr>
          <w:p w14:paraId="62CE4E42" w14:textId="77777777" w:rsidR="00B52DA0" w:rsidRPr="009A1A2E" w:rsidRDefault="00B52DA0" w:rsidP="00E13546">
            <w:pPr>
              <w:rPr>
                <w:rFonts w:cs="Arial"/>
                <w:color w:val="000000"/>
                <w:sz w:val="20"/>
                <w:szCs w:val="20"/>
              </w:rPr>
            </w:pPr>
            <w:r w:rsidRPr="009A1A2E">
              <w:rPr>
                <w:rFonts w:cs="Arial"/>
                <w:color w:val="000000"/>
                <w:sz w:val="20"/>
                <w:szCs w:val="20"/>
              </w:rPr>
              <w:t>Estimated cost-effectiveness of active middle-ear implantation in hearing-impaired patients with severe external otitis. Arch.Otolaryngol.Head Neck Surg. 132 (11):1210-1215, 2006.</w:t>
            </w:r>
          </w:p>
        </w:tc>
      </w:tr>
      <w:tr w:rsidR="00B52DA0" w:rsidRPr="009A1A2E" w14:paraId="58C27F03" w14:textId="77777777" w:rsidTr="00E13546">
        <w:trPr>
          <w:trHeight w:val="615"/>
        </w:trPr>
        <w:tc>
          <w:tcPr>
            <w:tcW w:w="1716" w:type="dxa"/>
            <w:gridSpan w:val="2"/>
            <w:tcBorders>
              <w:top w:val="nil"/>
              <w:left w:val="single" w:sz="8" w:space="0" w:color="auto"/>
              <w:bottom w:val="single" w:sz="4" w:space="0" w:color="auto"/>
              <w:right w:val="single" w:sz="4" w:space="0" w:color="auto"/>
            </w:tcBorders>
            <w:shd w:val="clear" w:color="auto" w:fill="auto"/>
            <w:noWrap/>
            <w:vAlign w:val="center"/>
            <w:hideMark/>
          </w:tcPr>
          <w:p w14:paraId="6966FB14" w14:textId="77777777" w:rsidR="00B52DA0" w:rsidRPr="009A1A2E" w:rsidRDefault="00B52DA0" w:rsidP="00E13546">
            <w:pPr>
              <w:rPr>
                <w:rFonts w:cs="Arial"/>
                <w:color w:val="000000"/>
                <w:sz w:val="20"/>
                <w:szCs w:val="20"/>
              </w:rPr>
            </w:pPr>
            <w:r w:rsidRPr="009A1A2E">
              <w:rPr>
                <w:rFonts w:cs="Arial"/>
                <w:color w:val="000000"/>
                <w:sz w:val="20"/>
                <w:szCs w:val="20"/>
              </w:rPr>
              <w:t>Sterkers (2003)</w:t>
            </w:r>
          </w:p>
        </w:tc>
        <w:tc>
          <w:tcPr>
            <w:tcW w:w="12049" w:type="dxa"/>
            <w:tcBorders>
              <w:top w:val="single" w:sz="4" w:space="0" w:color="auto"/>
              <w:left w:val="nil"/>
              <w:bottom w:val="single" w:sz="4" w:space="0" w:color="auto"/>
              <w:right w:val="single" w:sz="8" w:space="0" w:color="000000"/>
            </w:tcBorders>
            <w:shd w:val="clear" w:color="auto" w:fill="auto"/>
            <w:vAlign w:val="center"/>
            <w:hideMark/>
          </w:tcPr>
          <w:p w14:paraId="2EBB0BDA" w14:textId="77777777" w:rsidR="00B52DA0" w:rsidRPr="009A1A2E" w:rsidRDefault="00B52DA0" w:rsidP="00E13546">
            <w:pPr>
              <w:rPr>
                <w:rFonts w:cs="Arial"/>
                <w:color w:val="000000"/>
                <w:sz w:val="20"/>
                <w:szCs w:val="20"/>
              </w:rPr>
            </w:pPr>
            <w:r w:rsidRPr="009A1A2E">
              <w:rPr>
                <w:rFonts w:cs="Arial"/>
                <w:color w:val="000000"/>
                <w:sz w:val="20"/>
                <w:szCs w:val="20"/>
              </w:rPr>
              <w:t>A middle ear implant, the Symphonix Vibrant Soundbridge: retrospective study of the first 125 patients implanted in France. Otol.Neurotol. 24 (3):427-436, 2003.</w:t>
            </w:r>
          </w:p>
        </w:tc>
      </w:tr>
      <w:tr w:rsidR="00B52DA0" w:rsidRPr="009A1A2E" w14:paraId="6B92DA30" w14:textId="77777777" w:rsidTr="00E13546">
        <w:trPr>
          <w:trHeight w:val="585"/>
        </w:trPr>
        <w:tc>
          <w:tcPr>
            <w:tcW w:w="1716" w:type="dxa"/>
            <w:gridSpan w:val="2"/>
            <w:tcBorders>
              <w:top w:val="nil"/>
              <w:left w:val="single" w:sz="8" w:space="0" w:color="auto"/>
              <w:bottom w:val="single" w:sz="4" w:space="0" w:color="auto"/>
              <w:right w:val="single" w:sz="4" w:space="0" w:color="auto"/>
            </w:tcBorders>
            <w:shd w:val="clear" w:color="auto" w:fill="auto"/>
            <w:noWrap/>
            <w:vAlign w:val="center"/>
            <w:hideMark/>
          </w:tcPr>
          <w:p w14:paraId="388F879B" w14:textId="77777777" w:rsidR="00B52DA0" w:rsidRPr="009A1A2E" w:rsidRDefault="00B52DA0" w:rsidP="00E13546">
            <w:pPr>
              <w:rPr>
                <w:rFonts w:cs="Arial"/>
                <w:color w:val="000000"/>
                <w:sz w:val="20"/>
                <w:szCs w:val="20"/>
              </w:rPr>
            </w:pPr>
            <w:r w:rsidRPr="009A1A2E">
              <w:rPr>
                <w:rFonts w:cs="Arial"/>
                <w:color w:val="000000"/>
                <w:sz w:val="20"/>
                <w:szCs w:val="20"/>
              </w:rPr>
              <w:t>Sziklai (2014)</w:t>
            </w:r>
          </w:p>
        </w:tc>
        <w:tc>
          <w:tcPr>
            <w:tcW w:w="12049" w:type="dxa"/>
            <w:tcBorders>
              <w:top w:val="single" w:sz="4" w:space="0" w:color="auto"/>
              <w:left w:val="nil"/>
              <w:bottom w:val="single" w:sz="4" w:space="0" w:color="auto"/>
              <w:right w:val="single" w:sz="8" w:space="0" w:color="000000"/>
            </w:tcBorders>
            <w:shd w:val="clear" w:color="auto" w:fill="auto"/>
            <w:vAlign w:val="center"/>
            <w:hideMark/>
          </w:tcPr>
          <w:p w14:paraId="75522643" w14:textId="77777777" w:rsidR="00B52DA0" w:rsidRPr="009A1A2E" w:rsidRDefault="00B52DA0" w:rsidP="00E13546">
            <w:pPr>
              <w:rPr>
                <w:rFonts w:cs="Arial"/>
                <w:color w:val="000000"/>
                <w:sz w:val="20"/>
                <w:szCs w:val="20"/>
              </w:rPr>
            </w:pPr>
            <w:r w:rsidRPr="009A1A2E">
              <w:rPr>
                <w:rFonts w:cs="Arial"/>
                <w:color w:val="000000"/>
                <w:sz w:val="20"/>
                <w:szCs w:val="20"/>
              </w:rPr>
              <w:t xml:space="preserve"> Functional gain and speech understanding obtained by Vibrant Soundbridge or by open-fit hearing aids. Acta Otolaryngol., Acta Oto-Laryngologica; 131: 428–433. 2014.</w:t>
            </w:r>
          </w:p>
        </w:tc>
      </w:tr>
      <w:tr w:rsidR="00B52DA0" w:rsidRPr="009A1A2E" w14:paraId="5EA13C9C" w14:textId="77777777" w:rsidTr="00E13546">
        <w:trPr>
          <w:trHeight w:val="630"/>
        </w:trPr>
        <w:tc>
          <w:tcPr>
            <w:tcW w:w="1716" w:type="dxa"/>
            <w:gridSpan w:val="2"/>
            <w:tcBorders>
              <w:top w:val="nil"/>
              <w:left w:val="single" w:sz="8" w:space="0" w:color="auto"/>
              <w:bottom w:val="single" w:sz="4" w:space="0" w:color="auto"/>
              <w:right w:val="single" w:sz="4" w:space="0" w:color="auto"/>
            </w:tcBorders>
            <w:shd w:val="clear" w:color="auto" w:fill="auto"/>
            <w:noWrap/>
            <w:vAlign w:val="center"/>
            <w:hideMark/>
          </w:tcPr>
          <w:p w14:paraId="7BC95B65" w14:textId="77777777" w:rsidR="00B52DA0" w:rsidRPr="009A1A2E" w:rsidRDefault="00B52DA0" w:rsidP="00E13546">
            <w:pPr>
              <w:rPr>
                <w:rFonts w:cs="Arial"/>
                <w:color w:val="000000"/>
                <w:sz w:val="20"/>
                <w:szCs w:val="20"/>
              </w:rPr>
            </w:pPr>
            <w:r w:rsidRPr="009A1A2E">
              <w:rPr>
                <w:rFonts w:cs="Arial"/>
                <w:color w:val="000000"/>
                <w:sz w:val="20"/>
                <w:szCs w:val="20"/>
              </w:rPr>
              <w:t>Todt (2002)</w:t>
            </w:r>
          </w:p>
        </w:tc>
        <w:tc>
          <w:tcPr>
            <w:tcW w:w="12049" w:type="dxa"/>
            <w:tcBorders>
              <w:top w:val="single" w:sz="4" w:space="0" w:color="auto"/>
              <w:left w:val="nil"/>
              <w:bottom w:val="single" w:sz="4" w:space="0" w:color="auto"/>
              <w:right w:val="single" w:sz="8" w:space="0" w:color="000000"/>
            </w:tcBorders>
            <w:shd w:val="clear" w:color="auto" w:fill="auto"/>
            <w:vAlign w:val="center"/>
            <w:hideMark/>
          </w:tcPr>
          <w:p w14:paraId="76C42A8C" w14:textId="77777777" w:rsidR="00B52DA0" w:rsidRPr="009A1A2E" w:rsidRDefault="00B52DA0" w:rsidP="00E13546">
            <w:pPr>
              <w:rPr>
                <w:rFonts w:cs="Arial"/>
                <w:color w:val="000000"/>
                <w:sz w:val="20"/>
                <w:szCs w:val="20"/>
              </w:rPr>
            </w:pPr>
            <w:r w:rsidRPr="009A1A2E">
              <w:rPr>
                <w:rFonts w:cs="Arial"/>
                <w:color w:val="000000"/>
                <w:sz w:val="20"/>
                <w:szCs w:val="20"/>
              </w:rPr>
              <w:t>Comparison of different vibrant soundbridge audioprocessors with conventional hearing AIDS. Otol.Neurotol. 23 (5):669-673, 2002.</w:t>
            </w:r>
          </w:p>
        </w:tc>
      </w:tr>
      <w:tr w:rsidR="00B52DA0" w:rsidRPr="009A1A2E" w14:paraId="15B47597" w14:textId="77777777" w:rsidTr="00E13546">
        <w:trPr>
          <w:trHeight w:val="570"/>
        </w:trPr>
        <w:tc>
          <w:tcPr>
            <w:tcW w:w="1716" w:type="dxa"/>
            <w:gridSpan w:val="2"/>
            <w:tcBorders>
              <w:top w:val="nil"/>
              <w:left w:val="single" w:sz="8" w:space="0" w:color="auto"/>
              <w:bottom w:val="single" w:sz="4" w:space="0" w:color="auto"/>
              <w:right w:val="single" w:sz="4" w:space="0" w:color="auto"/>
            </w:tcBorders>
            <w:shd w:val="clear" w:color="auto" w:fill="auto"/>
            <w:noWrap/>
            <w:vAlign w:val="center"/>
            <w:hideMark/>
          </w:tcPr>
          <w:p w14:paraId="6A9F2155" w14:textId="77777777" w:rsidR="00B52DA0" w:rsidRPr="009A1A2E" w:rsidRDefault="00B52DA0" w:rsidP="00E13546">
            <w:pPr>
              <w:rPr>
                <w:rFonts w:cs="Arial"/>
                <w:color w:val="000000"/>
                <w:sz w:val="20"/>
                <w:szCs w:val="20"/>
              </w:rPr>
            </w:pPr>
            <w:r w:rsidRPr="009A1A2E">
              <w:rPr>
                <w:rFonts w:cs="Arial"/>
                <w:color w:val="000000"/>
                <w:sz w:val="20"/>
                <w:szCs w:val="20"/>
              </w:rPr>
              <w:t>Todt (2005)</w:t>
            </w:r>
          </w:p>
        </w:tc>
        <w:tc>
          <w:tcPr>
            <w:tcW w:w="12049" w:type="dxa"/>
            <w:tcBorders>
              <w:top w:val="single" w:sz="4" w:space="0" w:color="auto"/>
              <w:left w:val="nil"/>
              <w:bottom w:val="single" w:sz="4" w:space="0" w:color="auto"/>
              <w:right w:val="single" w:sz="8" w:space="0" w:color="000000"/>
            </w:tcBorders>
            <w:shd w:val="clear" w:color="auto" w:fill="auto"/>
            <w:vAlign w:val="center"/>
            <w:hideMark/>
          </w:tcPr>
          <w:p w14:paraId="75CEB2F6" w14:textId="77777777" w:rsidR="00B52DA0" w:rsidRPr="009A1A2E" w:rsidRDefault="00B52DA0" w:rsidP="00E13546">
            <w:pPr>
              <w:rPr>
                <w:rFonts w:cs="Arial"/>
                <w:color w:val="000000"/>
                <w:sz w:val="20"/>
                <w:szCs w:val="20"/>
              </w:rPr>
            </w:pPr>
            <w:r w:rsidRPr="009A1A2E">
              <w:rPr>
                <w:rFonts w:cs="Arial"/>
                <w:color w:val="000000"/>
                <w:sz w:val="20"/>
                <w:szCs w:val="20"/>
              </w:rPr>
              <w:t>Hearing benefit of patients after Vibrant Soundbridge implantation. ORL J.Otorhinolaryngol.Relat Spec. 67 (4):203-206, 2005.</w:t>
            </w:r>
          </w:p>
        </w:tc>
      </w:tr>
      <w:tr w:rsidR="00B52DA0" w:rsidRPr="009A1A2E" w14:paraId="38AF2AAE" w14:textId="77777777" w:rsidTr="00E13546">
        <w:trPr>
          <w:trHeight w:val="645"/>
        </w:trPr>
        <w:tc>
          <w:tcPr>
            <w:tcW w:w="1716" w:type="dxa"/>
            <w:gridSpan w:val="2"/>
            <w:tcBorders>
              <w:top w:val="nil"/>
              <w:left w:val="single" w:sz="8" w:space="0" w:color="auto"/>
              <w:bottom w:val="single" w:sz="4" w:space="0" w:color="auto"/>
              <w:right w:val="single" w:sz="4" w:space="0" w:color="auto"/>
            </w:tcBorders>
            <w:shd w:val="clear" w:color="auto" w:fill="auto"/>
            <w:noWrap/>
            <w:vAlign w:val="center"/>
            <w:hideMark/>
          </w:tcPr>
          <w:p w14:paraId="470FDCD3" w14:textId="77777777" w:rsidR="00B52DA0" w:rsidRPr="009A1A2E" w:rsidRDefault="00B52DA0" w:rsidP="00E13546">
            <w:pPr>
              <w:rPr>
                <w:rFonts w:cs="Arial"/>
                <w:color w:val="000000"/>
                <w:sz w:val="20"/>
                <w:szCs w:val="20"/>
              </w:rPr>
            </w:pPr>
            <w:r w:rsidRPr="009A1A2E">
              <w:rPr>
                <w:rFonts w:cs="Arial"/>
                <w:color w:val="000000"/>
                <w:sz w:val="20"/>
                <w:szCs w:val="20"/>
              </w:rPr>
              <w:t>Truy (2008)</w:t>
            </w:r>
          </w:p>
        </w:tc>
        <w:tc>
          <w:tcPr>
            <w:tcW w:w="12049" w:type="dxa"/>
            <w:tcBorders>
              <w:top w:val="single" w:sz="4" w:space="0" w:color="auto"/>
              <w:left w:val="nil"/>
              <w:bottom w:val="single" w:sz="4" w:space="0" w:color="auto"/>
              <w:right w:val="single" w:sz="8" w:space="0" w:color="000000"/>
            </w:tcBorders>
            <w:shd w:val="clear" w:color="auto" w:fill="auto"/>
            <w:vAlign w:val="center"/>
            <w:hideMark/>
          </w:tcPr>
          <w:p w14:paraId="4697629E" w14:textId="77777777" w:rsidR="00B52DA0" w:rsidRPr="009A1A2E" w:rsidRDefault="00B52DA0" w:rsidP="00E13546">
            <w:pPr>
              <w:rPr>
                <w:rFonts w:cs="Arial"/>
                <w:color w:val="000000"/>
                <w:sz w:val="20"/>
                <w:szCs w:val="20"/>
              </w:rPr>
            </w:pPr>
            <w:r w:rsidRPr="009A1A2E">
              <w:rPr>
                <w:rFonts w:cs="Arial"/>
                <w:color w:val="000000"/>
                <w:sz w:val="20"/>
                <w:szCs w:val="20"/>
              </w:rPr>
              <w:t>Vibrant soundbridge versus conventional hearing aid in sensorineural high-frequency hearing loss: a prospective study. Otol.Neurotol. 29 (5):684-687, 2008.</w:t>
            </w:r>
          </w:p>
        </w:tc>
      </w:tr>
      <w:tr w:rsidR="00B52DA0" w:rsidRPr="009A1A2E" w14:paraId="24670358" w14:textId="77777777" w:rsidTr="00E13546">
        <w:trPr>
          <w:trHeight w:val="983"/>
        </w:trPr>
        <w:tc>
          <w:tcPr>
            <w:tcW w:w="1716" w:type="dxa"/>
            <w:gridSpan w:val="2"/>
            <w:tcBorders>
              <w:top w:val="nil"/>
              <w:left w:val="single" w:sz="8" w:space="0" w:color="auto"/>
              <w:bottom w:val="single" w:sz="4" w:space="0" w:color="auto"/>
              <w:right w:val="single" w:sz="4" w:space="0" w:color="auto"/>
            </w:tcBorders>
            <w:shd w:val="clear" w:color="auto" w:fill="auto"/>
            <w:noWrap/>
            <w:vAlign w:val="center"/>
            <w:hideMark/>
          </w:tcPr>
          <w:p w14:paraId="3305228A" w14:textId="77777777" w:rsidR="00B52DA0" w:rsidRPr="009A1A2E" w:rsidRDefault="00B52DA0" w:rsidP="00E13546">
            <w:pPr>
              <w:rPr>
                <w:rFonts w:cs="Arial"/>
                <w:color w:val="000000"/>
                <w:sz w:val="20"/>
                <w:szCs w:val="20"/>
              </w:rPr>
            </w:pPr>
            <w:r w:rsidRPr="009A1A2E">
              <w:rPr>
                <w:rFonts w:cs="Arial"/>
                <w:color w:val="000000"/>
                <w:sz w:val="20"/>
                <w:szCs w:val="20"/>
              </w:rPr>
              <w:t>Uziel (2003)</w:t>
            </w:r>
          </w:p>
        </w:tc>
        <w:tc>
          <w:tcPr>
            <w:tcW w:w="12049" w:type="dxa"/>
            <w:tcBorders>
              <w:top w:val="single" w:sz="4" w:space="0" w:color="auto"/>
              <w:left w:val="nil"/>
              <w:bottom w:val="single" w:sz="4" w:space="0" w:color="auto"/>
              <w:right w:val="single" w:sz="8" w:space="0" w:color="000000"/>
            </w:tcBorders>
            <w:shd w:val="clear" w:color="auto" w:fill="auto"/>
            <w:vAlign w:val="center"/>
            <w:hideMark/>
          </w:tcPr>
          <w:p w14:paraId="670ACCFD" w14:textId="77777777" w:rsidR="00B52DA0" w:rsidRPr="009A1A2E" w:rsidRDefault="00B52DA0" w:rsidP="00E13546">
            <w:pPr>
              <w:rPr>
                <w:rFonts w:cs="Arial"/>
                <w:color w:val="000000"/>
                <w:sz w:val="20"/>
                <w:szCs w:val="20"/>
              </w:rPr>
            </w:pPr>
            <w:r w:rsidRPr="009A1A2E">
              <w:rPr>
                <w:rFonts w:cs="Arial"/>
                <w:color w:val="000000"/>
                <w:sz w:val="20"/>
                <w:szCs w:val="20"/>
              </w:rPr>
              <w:t>High-frequency sensorineural hearing loss, Middle ear implant, Rehabilitation, SIGNIA, and Symphonix Vibrant Soundbridge. Rehabilitation for High-Frequency Sensorineural Hearing Impairment in Adults with the Symphonix Vibrant Soundbridge: A Comparative Study.[Miscellaneous Article].  Otology &amp; Neurotology 24 (5):775-783, 2003.</w:t>
            </w:r>
          </w:p>
        </w:tc>
      </w:tr>
      <w:tr w:rsidR="00B52DA0" w:rsidRPr="009A1A2E" w14:paraId="74D66AA9" w14:textId="77777777" w:rsidTr="00E13546">
        <w:trPr>
          <w:trHeight w:val="585"/>
        </w:trPr>
        <w:tc>
          <w:tcPr>
            <w:tcW w:w="1716" w:type="dxa"/>
            <w:gridSpan w:val="2"/>
            <w:tcBorders>
              <w:top w:val="nil"/>
              <w:left w:val="single" w:sz="8" w:space="0" w:color="auto"/>
              <w:bottom w:val="single" w:sz="4" w:space="0" w:color="auto"/>
              <w:right w:val="single" w:sz="4" w:space="0" w:color="auto"/>
            </w:tcBorders>
            <w:shd w:val="clear" w:color="auto" w:fill="auto"/>
            <w:noWrap/>
            <w:vAlign w:val="center"/>
            <w:hideMark/>
          </w:tcPr>
          <w:p w14:paraId="1EF7FCFF" w14:textId="77777777" w:rsidR="00B52DA0" w:rsidRPr="009A1A2E" w:rsidRDefault="00B52DA0" w:rsidP="00E13546">
            <w:pPr>
              <w:rPr>
                <w:rFonts w:cs="Arial"/>
                <w:color w:val="000000"/>
                <w:sz w:val="20"/>
                <w:szCs w:val="20"/>
              </w:rPr>
            </w:pPr>
            <w:r w:rsidRPr="009A1A2E">
              <w:rPr>
                <w:rFonts w:cs="Arial"/>
                <w:color w:val="000000"/>
                <w:sz w:val="20"/>
                <w:szCs w:val="20"/>
              </w:rPr>
              <w:lastRenderedPageBreak/>
              <w:t xml:space="preserve">Vincent (2004) </w:t>
            </w:r>
          </w:p>
        </w:tc>
        <w:tc>
          <w:tcPr>
            <w:tcW w:w="12049" w:type="dxa"/>
            <w:tcBorders>
              <w:top w:val="single" w:sz="4" w:space="0" w:color="auto"/>
              <w:left w:val="nil"/>
              <w:bottom w:val="single" w:sz="4" w:space="0" w:color="auto"/>
              <w:right w:val="single" w:sz="8" w:space="0" w:color="000000"/>
            </w:tcBorders>
            <w:shd w:val="clear" w:color="auto" w:fill="auto"/>
            <w:vAlign w:val="center"/>
            <w:hideMark/>
          </w:tcPr>
          <w:p w14:paraId="2AB174B1" w14:textId="77777777" w:rsidR="00B52DA0" w:rsidRPr="009A1A2E" w:rsidRDefault="00B52DA0" w:rsidP="00E13546">
            <w:pPr>
              <w:rPr>
                <w:rFonts w:cs="Arial"/>
                <w:color w:val="000000"/>
                <w:sz w:val="20"/>
                <w:szCs w:val="20"/>
              </w:rPr>
            </w:pPr>
            <w:r w:rsidRPr="009A1A2E">
              <w:rPr>
                <w:rFonts w:cs="Arial"/>
                <w:color w:val="000000"/>
                <w:sz w:val="20"/>
                <w:szCs w:val="20"/>
              </w:rPr>
              <w:t>A longitudinal study on postoperative hearing thresholds with the Vibrant Soundbridge device. Eur.Arch.Otorhinolaryngol.  261 (9):493-496, 2004.</w:t>
            </w:r>
          </w:p>
        </w:tc>
      </w:tr>
      <w:tr w:rsidR="00B52DA0" w:rsidRPr="009A1A2E" w14:paraId="47283E77" w14:textId="77777777" w:rsidTr="00E13546">
        <w:trPr>
          <w:trHeight w:val="345"/>
        </w:trPr>
        <w:tc>
          <w:tcPr>
            <w:tcW w:w="13765" w:type="dxa"/>
            <w:gridSpan w:val="3"/>
            <w:tcBorders>
              <w:top w:val="single" w:sz="4" w:space="0" w:color="auto"/>
              <w:left w:val="single" w:sz="8" w:space="0" w:color="auto"/>
              <w:bottom w:val="single" w:sz="4" w:space="0" w:color="auto"/>
              <w:right w:val="single" w:sz="8" w:space="0" w:color="000000"/>
            </w:tcBorders>
            <w:shd w:val="clear" w:color="000000" w:fill="D9D9D9"/>
            <w:vAlign w:val="center"/>
            <w:hideMark/>
          </w:tcPr>
          <w:p w14:paraId="60C6D6B8" w14:textId="77777777" w:rsidR="00B52DA0" w:rsidRPr="009A1A2E" w:rsidRDefault="00B52DA0" w:rsidP="00E13546">
            <w:pPr>
              <w:jc w:val="center"/>
              <w:rPr>
                <w:rFonts w:cs="Arial"/>
                <w:color w:val="000000"/>
                <w:sz w:val="20"/>
                <w:szCs w:val="20"/>
              </w:rPr>
            </w:pPr>
            <w:r w:rsidRPr="009A1A2E">
              <w:rPr>
                <w:rFonts w:cs="Arial"/>
                <w:color w:val="000000"/>
                <w:sz w:val="20"/>
                <w:szCs w:val="20"/>
              </w:rPr>
              <w:t>Partially implantable device: MAXUM</w:t>
            </w:r>
          </w:p>
        </w:tc>
      </w:tr>
      <w:tr w:rsidR="00B52DA0" w:rsidRPr="009A1A2E" w14:paraId="580F7669" w14:textId="77777777" w:rsidTr="00E13546">
        <w:trPr>
          <w:trHeight w:val="420"/>
        </w:trPr>
        <w:tc>
          <w:tcPr>
            <w:tcW w:w="13765"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14:paraId="6DF12B1A" w14:textId="77777777" w:rsidR="00B52DA0" w:rsidRPr="009A1A2E" w:rsidRDefault="00B52DA0" w:rsidP="00E13546">
            <w:pPr>
              <w:rPr>
                <w:rFonts w:cs="Arial"/>
                <w:color w:val="000000"/>
                <w:sz w:val="20"/>
                <w:szCs w:val="20"/>
              </w:rPr>
            </w:pPr>
            <w:r w:rsidRPr="009A1A2E">
              <w:rPr>
                <w:rFonts w:cs="Arial"/>
                <w:color w:val="000000"/>
                <w:sz w:val="20"/>
                <w:szCs w:val="20"/>
              </w:rPr>
              <w:t>NO LITERATURE AVAILABLE FOR THE MAXUM DEVICE</w:t>
            </w:r>
          </w:p>
        </w:tc>
      </w:tr>
      <w:tr w:rsidR="00B52DA0" w:rsidRPr="009A1A2E" w14:paraId="4C8C89DB" w14:textId="77777777" w:rsidTr="00E13546">
        <w:trPr>
          <w:trHeight w:val="375"/>
        </w:trPr>
        <w:tc>
          <w:tcPr>
            <w:tcW w:w="13765" w:type="dxa"/>
            <w:gridSpan w:val="3"/>
            <w:tcBorders>
              <w:top w:val="single" w:sz="4" w:space="0" w:color="auto"/>
              <w:left w:val="single" w:sz="8" w:space="0" w:color="auto"/>
              <w:bottom w:val="single" w:sz="4" w:space="0" w:color="auto"/>
              <w:right w:val="single" w:sz="8" w:space="0" w:color="000000"/>
            </w:tcBorders>
            <w:shd w:val="clear" w:color="000000" w:fill="D9D9D9"/>
            <w:vAlign w:val="center"/>
            <w:hideMark/>
          </w:tcPr>
          <w:p w14:paraId="643E7E9F" w14:textId="77777777" w:rsidR="00B52DA0" w:rsidRPr="009A1A2E" w:rsidRDefault="00B52DA0" w:rsidP="00E13546">
            <w:pPr>
              <w:jc w:val="center"/>
              <w:rPr>
                <w:rFonts w:cs="Arial"/>
                <w:color w:val="000000"/>
                <w:sz w:val="20"/>
                <w:szCs w:val="20"/>
              </w:rPr>
            </w:pPr>
            <w:r w:rsidRPr="009A1A2E">
              <w:rPr>
                <w:rFonts w:cs="Arial"/>
                <w:color w:val="000000"/>
                <w:sz w:val="20"/>
                <w:szCs w:val="20"/>
              </w:rPr>
              <w:t>Partially implantable device: SOUNDTEC</w:t>
            </w:r>
          </w:p>
        </w:tc>
      </w:tr>
      <w:tr w:rsidR="00B52DA0" w:rsidRPr="009A1A2E" w14:paraId="62B2D9D4" w14:textId="77777777" w:rsidTr="00E13546">
        <w:trPr>
          <w:trHeight w:val="472"/>
        </w:trPr>
        <w:tc>
          <w:tcPr>
            <w:tcW w:w="1716" w:type="dxa"/>
            <w:gridSpan w:val="2"/>
            <w:tcBorders>
              <w:top w:val="nil"/>
              <w:left w:val="single" w:sz="8" w:space="0" w:color="auto"/>
              <w:bottom w:val="single" w:sz="4" w:space="0" w:color="auto"/>
              <w:right w:val="single" w:sz="4" w:space="0" w:color="auto"/>
            </w:tcBorders>
            <w:shd w:val="clear" w:color="auto" w:fill="auto"/>
            <w:noWrap/>
            <w:vAlign w:val="center"/>
            <w:hideMark/>
          </w:tcPr>
          <w:p w14:paraId="46916635" w14:textId="77777777" w:rsidR="00B52DA0" w:rsidRPr="009A1A2E" w:rsidRDefault="00B52DA0" w:rsidP="00E13546">
            <w:pPr>
              <w:rPr>
                <w:rFonts w:cs="Arial"/>
                <w:color w:val="000000"/>
                <w:sz w:val="20"/>
                <w:szCs w:val="20"/>
              </w:rPr>
            </w:pPr>
            <w:r w:rsidRPr="009A1A2E">
              <w:rPr>
                <w:rFonts w:cs="Arial"/>
                <w:color w:val="000000"/>
                <w:sz w:val="20"/>
                <w:szCs w:val="20"/>
              </w:rPr>
              <w:t>Hough (2002)</w:t>
            </w:r>
          </w:p>
        </w:tc>
        <w:tc>
          <w:tcPr>
            <w:tcW w:w="12049" w:type="dxa"/>
            <w:tcBorders>
              <w:top w:val="single" w:sz="4" w:space="0" w:color="auto"/>
              <w:left w:val="nil"/>
              <w:bottom w:val="single" w:sz="4" w:space="0" w:color="auto"/>
              <w:right w:val="single" w:sz="8" w:space="0" w:color="000000"/>
            </w:tcBorders>
            <w:shd w:val="clear" w:color="auto" w:fill="auto"/>
            <w:vAlign w:val="center"/>
            <w:hideMark/>
          </w:tcPr>
          <w:p w14:paraId="530ADC50" w14:textId="77777777" w:rsidR="00B52DA0" w:rsidRPr="009A1A2E" w:rsidRDefault="00B52DA0" w:rsidP="00E13546">
            <w:pPr>
              <w:rPr>
                <w:rFonts w:cs="Arial"/>
                <w:color w:val="000000"/>
                <w:sz w:val="20"/>
                <w:szCs w:val="20"/>
              </w:rPr>
            </w:pPr>
            <w:r w:rsidRPr="009A1A2E">
              <w:rPr>
                <w:rFonts w:cs="Arial"/>
                <w:color w:val="000000"/>
                <w:sz w:val="20"/>
                <w:szCs w:val="20"/>
              </w:rPr>
              <w:t>Middle ear electromagnetic semi-implantable hearing device: results of the phase II SOUNDTEC direct system clinical trial. Otol.Neurotol. 23 (6):895-903, 2002.</w:t>
            </w:r>
          </w:p>
        </w:tc>
      </w:tr>
      <w:tr w:rsidR="00B52DA0" w:rsidRPr="009A1A2E" w14:paraId="558C6029" w14:textId="77777777" w:rsidTr="00E13546">
        <w:trPr>
          <w:trHeight w:val="552"/>
        </w:trPr>
        <w:tc>
          <w:tcPr>
            <w:tcW w:w="1716" w:type="dxa"/>
            <w:gridSpan w:val="2"/>
            <w:tcBorders>
              <w:top w:val="nil"/>
              <w:left w:val="single" w:sz="8" w:space="0" w:color="auto"/>
              <w:bottom w:val="single" w:sz="4" w:space="0" w:color="auto"/>
              <w:right w:val="single" w:sz="4" w:space="0" w:color="auto"/>
            </w:tcBorders>
            <w:shd w:val="clear" w:color="auto" w:fill="auto"/>
            <w:noWrap/>
            <w:vAlign w:val="center"/>
            <w:hideMark/>
          </w:tcPr>
          <w:p w14:paraId="025B8205" w14:textId="77777777" w:rsidR="00B52DA0" w:rsidRPr="009A1A2E" w:rsidRDefault="00B52DA0" w:rsidP="00E13546">
            <w:pPr>
              <w:rPr>
                <w:rFonts w:cs="Arial"/>
                <w:color w:val="000000"/>
                <w:sz w:val="20"/>
                <w:szCs w:val="20"/>
              </w:rPr>
            </w:pPr>
            <w:r w:rsidRPr="009A1A2E">
              <w:rPr>
                <w:rFonts w:cs="Arial"/>
                <w:color w:val="000000"/>
                <w:sz w:val="20"/>
                <w:szCs w:val="20"/>
              </w:rPr>
              <w:t>Roland (2001)</w:t>
            </w:r>
          </w:p>
        </w:tc>
        <w:tc>
          <w:tcPr>
            <w:tcW w:w="12049" w:type="dxa"/>
            <w:tcBorders>
              <w:top w:val="single" w:sz="4" w:space="0" w:color="auto"/>
              <w:left w:val="nil"/>
              <w:bottom w:val="single" w:sz="4" w:space="0" w:color="auto"/>
              <w:right w:val="single" w:sz="8" w:space="0" w:color="000000"/>
            </w:tcBorders>
            <w:shd w:val="clear" w:color="auto" w:fill="auto"/>
            <w:vAlign w:val="center"/>
            <w:hideMark/>
          </w:tcPr>
          <w:p w14:paraId="0B97B1CB" w14:textId="77777777" w:rsidR="00B52DA0" w:rsidRPr="009A1A2E" w:rsidRDefault="00B52DA0" w:rsidP="00E13546">
            <w:pPr>
              <w:rPr>
                <w:rFonts w:cs="Arial"/>
                <w:color w:val="000000"/>
                <w:sz w:val="20"/>
                <w:szCs w:val="20"/>
              </w:rPr>
            </w:pPr>
            <w:r w:rsidRPr="009A1A2E">
              <w:rPr>
                <w:rFonts w:cs="Arial"/>
                <w:color w:val="000000"/>
                <w:sz w:val="20"/>
                <w:szCs w:val="20"/>
              </w:rPr>
              <w:t>Verification of improved patient outcomes with a partially implantable hearing aid, The SOUNDTEC direct hearing system. Laryngoscope 111 (10):1682-1686, 2001.</w:t>
            </w:r>
          </w:p>
        </w:tc>
      </w:tr>
      <w:tr w:rsidR="00B52DA0" w:rsidRPr="009A1A2E" w14:paraId="331B8B51" w14:textId="77777777" w:rsidTr="00E13546">
        <w:trPr>
          <w:trHeight w:val="747"/>
        </w:trPr>
        <w:tc>
          <w:tcPr>
            <w:tcW w:w="1716" w:type="dxa"/>
            <w:gridSpan w:val="2"/>
            <w:tcBorders>
              <w:top w:val="nil"/>
              <w:left w:val="single" w:sz="8" w:space="0" w:color="auto"/>
              <w:bottom w:val="single" w:sz="4" w:space="0" w:color="auto"/>
              <w:right w:val="single" w:sz="4" w:space="0" w:color="auto"/>
            </w:tcBorders>
            <w:shd w:val="clear" w:color="auto" w:fill="auto"/>
            <w:noWrap/>
            <w:vAlign w:val="center"/>
            <w:hideMark/>
          </w:tcPr>
          <w:p w14:paraId="0551E433" w14:textId="77777777" w:rsidR="00B52DA0" w:rsidRPr="009A1A2E" w:rsidRDefault="00B52DA0" w:rsidP="00E13546">
            <w:pPr>
              <w:rPr>
                <w:rFonts w:cs="Arial"/>
                <w:color w:val="000000"/>
                <w:sz w:val="20"/>
                <w:szCs w:val="20"/>
              </w:rPr>
            </w:pPr>
            <w:r w:rsidRPr="009A1A2E">
              <w:rPr>
                <w:rFonts w:cs="Arial"/>
                <w:color w:val="000000"/>
                <w:sz w:val="20"/>
                <w:szCs w:val="20"/>
              </w:rPr>
              <w:t>Silverstein (2005)</w:t>
            </w:r>
          </w:p>
        </w:tc>
        <w:tc>
          <w:tcPr>
            <w:tcW w:w="12049" w:type="dxa"/>
            <w:tcBorders>
              <w:top w:val="single" w:sz="4" w:space="0" w:color="auto"/>
              <w:left w:val="nil"/>
              <w:bottom w:val="single" w:sz="4" w:space="0" w:color="auto"/>
              <w:right w:val="single" w:sz="8" w:space="0" w:color="000000"/>
            </w:tcBorders>
            <w:shd w:val="clear" w:color="auto" w:fill="auto"/>
            <w:vAlign w:val="center"/>
            <w:hideMark/>
          </w:tcPr>
          <w:p w14:paraId="31AC1E84" w14:textId="77777777" w:rsidR="00B52DA0" w:rsidRPr="009A1A2E" w:rsidRDefault="00B52DA0" w:rsidP="00E13546">
            <w:pPr>
              <w:rPr>
                <w:rFonts w:cs="Arial"/>
                <w:color w:val="000000"/>
                <w:sz w:val="20"/>
                <w:szCs w:val="20"/>
              </w:rPr>
            </w:pPr>
            <w:r w:rsidRPr="009A1A2E">
              <w:rPr>
                <w:rFonts w:cs="Arial"/>
                <w:color w:val="000000"/>
                <w:sz w:val="20"/>
                <w:szCs w:val="20"/>
              </w:rPr>
              <w:t>Electromagnetic hearing device, Ossicular magnet, Semi-implantable hearing device, and SOUNDTEC. Experience with the SOUNDTEC Implantable Hearing Aid.[Miscellaneous Article]. Otology &amp; Neurotology 26 (2):211-217, 2005.</w:t>
            </w:r>
          </w:p>
        </w:tc>
      </w:tr>
      <w:tr w:rsidR="00B52DA0" w:rsidRPr="009A1A2E" w14:paraId="50157B1F" w14:textId="77777777" w:rsidTr="00E13546">
        <w:trPr>
          <w:trHeight w:val="300"/>
        </w:trPr>
        <w:tc>
          <w:tcPr>
            <w:tcW w:w="13765" w:type="dxa"/>
            <w:gridSpan w:val="3"/>
            <w:tcBorders>
              <w:top w:val="single" w:sz="4" w:space="0" w:color="auto"/>
              <w:left w:val="single" w:sz="8" w:space="0" w:color="auto"/>
              <w:bottom w:val="single" w:sz="4" w:space="0" w:color="auto"/>
              <w:right w:val="single" w:sz="8" w:space="0" w:color="000000"/>
            </w:tcBorders>
            <w:shd w:val="clear" w:color="000000" w:fill="D9D9D9"/>
            <w:vAlign w:val="center"/>
            <w:hideMark/>
          </w:tcPr>
          <w:p w14:paraId="42BC6257" w14:textId="77777777" w:rsidR="00B52DA0" w:rsidRPr="009A1A2E" w:rsidRDefault="00B52DA0" w:rsidP="00E13546">
            <w:pPr>
              <w:jc w:val="center"/>
              <w:rPr>
                <w:rFonts w:cs="Arial"/>
                <w:color w:val="000000"/>
                <w:sz w:val="20"/>
                <w:szCs w:val="20"/>
              </w:rPr>
            </w:pPr>
            <w:r w:rsidRPr="009A1A2E">
              <w:rPr>
                <w:rFonts w:cs="Arial"/>
                <w:color w:val="000000"/>
                <w:sz w:val="20"/>
                <w:szCs w:val="20"/>
              </w:rPr>
              <w:t>SYSTEMATIC REVIEW</w:t>
            </w:r>
          </w:p>
        </w:tc>
      </w:tr>
      <w:tr w:rsidR="00B52DA0" w:rsidRPr="009A1A2E" w14:paraId="0752088B" w14:textId="77777777" w:rsidTr="00E13546">
        <w:trPr>
          <w:trHeight w:val="600"/>
        </w:trPr>
        <w:tc>
          <w:tcPr>
            <w:tcW w:w="1716" w:type="dxa"/>
            <w:gridSpan w:val="2"/>
            <w:tcBorders>
              <w:top w:val="nil"/>
              <w:left w:val="single" w:sz="8" w:space="0" w:color="auto"/>
              <w:bottom w:val="single" w:sz="4" w:space="0" w:color="auto"/>
              <w:right w:val="single" w:sz="4" w:space="0" w:color="auto"/>
            </w:tcBorders>
            <w:shd w:val="clear" w:color="auto" w:fill="auto"/>
            <w:vAlign w:val="center"/>
            <w:hideMark/>
          </w:tcPr>
          <w:p w14:paraId="63213418" w14:textId="77777777" w:rsidR="00B52DA0" w:rsidRPr="009A1A2E" w:rsidRDefault="00B52DA0" w:rsidP="00E13546">
            <w:pPr>
              <w:rPr>
                <w:rFonts w:cs="Arial"/>
                <w:color w:val="000000"/>
                <w:sz w:val="20"/>
                <w:szCs w:val="20"/>
              </w:rPr>
            </w:pPr>
            <w:r w:rsidRPr="009A1A2E">
              <w:rPr>
                <w:rFonts w:cs="Arial"/>
                <w:color w:val="000000"/>
                <w:sz w:val="20"/>
                <w:szCs w:val="20"/>
              </w:rPr>
              <w:t>Alberta Health and Wellness (2011)</w:t>
            </w:r>
          </w:p>
        </w:tc>
        <w:tc>
          <w:tcPr>
            <w:tcW w:w="12049" w:type="dxa"/>
            <w:tcBorders>
              <w:top w:val="single" w:sz="4" w:space="0" w:color="auto"/>
              <w:left w:val="nil"/>
              <w:bottom w:val="single" w:sz="4" w:space="0" w:color="auto"/>
              <w:right w:val="single" w:sz="8" w:space="0" w:color="000000"/>
            </w:tcBorders>
            <w:shd w:val="clear" w:color="auto" w:fill="auto"/>
            <w:vAlign w:val="center"/>
            <w:hideMark/>
          </w:tcPr>
          <w:p w14:paraId="0BD862C6" w14:textId="77777777" w:rsidR="00B52DA0" w:rsidRPr="009A1A2E" w:rsidRDefault="00B52DA0" w:rsidP="00E13546">
            <w:pPr>
              <w:rPr>
                <w:rFonts w:cs="Arial"/>
                <w:color w:val="000000"/>
                <w:sz w:val="20"/>
                <w:szCs w:val="20"/>
              </w:rPr>
            </w:pPr>
            <w:r w:rsidRPr="009A1A2E">
              <w:rPr>
                <w:rFonts w:cs="Arial"/>
                <w:color w:val="000000"/>
                <w:sz w:val="20"/>
                <w:szCs w:val="20"/>
              </w:rPr>
              <w:t>Middle Ear Implants for the Treatment of Hearing Loss, Final STE Report: December 2011</w:t>
            </w:r>
          </w:p>
        </w:tc>
      </w:tr>
      <w:tr w:rsidR="00B52DA0" w:rsidRPr="009A1A2E" w14:paraId="108FA3AB" w14:textId="77777777" w:rsidTr="00E13546">
        <w:trPr>
          <w:trHeight w:val="585"/>
        </w:trPr>
        <w:tc>
          <w:tcPr>
            <w:tcW w:w="1716" w:type="dxa"/>
            <w:gridSpan w:val="2"/>
            <w:tcBorders>
              <w:top w:val="nil"/>
              <w:left w:val="single" w:sz="8" w:space="0" w:color="auto"/>
              <w:bottom w:val="single" w:sz="4" w:space="0" w:color="auto"/>
              <w:right w:val="single" w:sz="4" w:space="0" w:color="auto"/>
            </w:tcBorders>
            <w:shd w:val="clear" w:color="auto" w:fill="auto"/>
            <w:noWrap/>
            <w:vAlign w:val="center"/>
            <w:hideMark/>
          </w:tcPr>
          <w:p w14:paraId="711E8254" w14:textId="77777777" w:rsidR="00B52DA0" w:rsidRPr="009A1A2E" w:rsidRDefault="00B52DA0" w:rsidP="00E13546">
            <w:pPr>
              <w:rPr>
                <w:rFonts w:cs="Arial"/>
                <w:color w:val="000000"/>
                <w:sz w:val="20"/>
                <w:szCs w:val="20"/>
              </w:rPr>
            </w:pPr>
            <w:r w:rsidRPr="009A1A2E">
              <w:rPr>
                <w:rFonts w:cs="Arial"/>
                <w:color w:val="000000"/>
                <w:sz w:val="20"/>
                <w:szCs w:val="20"/>
              </w:rPr>
              <w:t>Butler (2013)</w:t>
            </w:r>
          </w:p>
        </w:tc>
        <w:tc>
          <w:tcPr>
            <w:tcW w:w="12049" w:type="dxa"/>
            <w:tcBorders>
              <w:top w:val="single" w:sz="4" w:space="0" w:color="auto"/>
              <w:left w:val="nil"/>
              <w:bottom w:val="single" w:sz="4" w:space="0" w:color="auto"/>
              <w:right w:val="single" w:sz="8" w:space="0" w:color="000000"/>
            </w:tcBorders>
            <w:shd w:val="clear" w:color="auto" w:fill="auto"/>
            <w:vAlign w:val="center"/>
            <w:hideMark/>
          </w:tcPr>
          <w:p w14:paraId="3A7AB572" w14:textId="77777777" w:rsidR="00B52DA0" w:rsidRPr="009A1A2E" w:rsidRDefault="00B52DA0" w:rsidP="00E13546">
            <w:pPr>
              <w:rPr>
                <w:rFonts w:cs="Arial"/>
                <w:color w:val="000000"/>
                <w:sz w:val="20"/>
                <w:szCs w:val="20"/>
              </w:rPr>
            </w:pPr>
            <w:r w:rsidRPr="009A1A2E">
              <w:rPr>
                <w:rFonts w:cs="Arial"/>
                <w:color w:val="000000"/>
                <w:sz w:val="20"/>
                <w:szCs w:val="20"/>
              </w:rPr>
              <w:t>Efficacy of the active middle-ear implant in patients with sensorineural hearing loss. J.Laryngol.Otol. 127 Suppl 2:S8-16, 2013.</w:t>
            </w:r>
          </w:p>
        </w:tc>
      </w:tr>
      <w:tr w:rsidR="00B52DA0" w:rsidRPr="009A1A2E" w14:paraId="122CD2E2" w14:textId="77777777" w:rsidTr="00E13546">
        <w:trPr>
          <w:trHeight w:val="470"/>
        </w:trPr>
        <w:tc>
          <w:tcPr>
            <w:tcW w:w="1716" w:type="dxa"/>
            <w:gridSpan w:val="2"/>
            <w:tcBorders>
              <w:top w:val="nil"/>
              <w:left w:val="single" w:sz="8" w:space="0" w:color="auto"/>
              <w:bottom w:val="single" w:sz="4" w:space="0" w:color="auto"/>
              <w:right w:val="single" w:sz="4" w:space="0" w:color="auto"/>
            </w:tcBorders>
            <w:shd w:val="clear" w:color="auto" w:fill="auto"/>
            <w:vAlign w:val="center"/>
            <w:hideMark/>
          </w:tcPr>
          <w:p w14:paraId="71869502" w14:textId="77777777" w:rsidR="00B52DA0" w:rsidRPr="009A1A2E" w:rsidRDefault="00B52DA0" w:rsidP="00E13546">
            <w:pPr>
              <w:rPr>
                <w:rFonts w:cs="Arial"/>
                <w:color w:val="000000"/>
                <w:sz w:val="20"/>
                <w:szCs w:val="20"/>
              </w:rPr>
            </w:pPr>
            <w:r w:rsidRPr="009A1A2E">
              <w:rPr>
                <w:rFonts w:cs="Arial"/>
                <w:color w:val="000000"/>
                <w:sz w:val="20"/>
                <w:szCs w:val="20"/>
              </w:rPr>
              <w:t>CEDIT (2002)</w:t>
            </w:r>
          </w:p>
        </w:tc>
        <w:tc>
          <w:tcPr>
            <w:tcW w:w="12049" w:type="dxa"/>
            <w:tcBorders>
              <w:top w:val="single" w:sz="4" w:space="0" w:color="auto"/>
              <w:left w:val="nil"/>
              <w:bottom w:val="single" w:sz="4" w:space="0" w:color="auto"/>
              <w:right w:val="single" w:sz="8" w:space="0" w:color="000000"/>
            </w:tcBorders>
            <w:shd w:val="clear" w:color="auto" w:fill="auto"/>
            <w:vAlign w:val="center"/>
            <w:hideMark/>
          </w:tcPr>
          <w:p w14:paraId="530F6F47" w14:textId="77777777" w:rsidR="00B52DA0" w:rsidRPr="009A1A2E" w:rsidRDefault="00B52DA0" w:rsidP="00E13546">
            <w:pPr>
              <w:rPr>
                <w:rFonts w:cs="Arial"/>
                <w:color w:val="000000"/>
                <w:sz w:val="20"/>
                <w:szCs w:val="20"/>
              </w:rPr>
            </w:pPr>
            <w:r w:rsidRPr="009A1A2E">
              <w:rPr>
                <w:rFonts w:cs="Arial"/>
                <w:color w:val="000000"/>
                <w:sz w:val="20"/>
                <w:szCs w:val="20"/>
              </w:rPr>
              <w:t xml:space="preserve">Middle ear implants - systematic review, expert panel. Anonymous.  2002.  </w:t>
            </w:r>
          </w:p>
        </w:tc>
      </w:tr>
      <w:tr w:rsidR="00B52DA0" w:rsidRPr="009A1A2E" w14:paraId="248344D9" w14:textId="77777777" w:rsidTr="00E13546">
        <w:trPr>
          <w:trHeight w:val="630"/>
        </w:trPr>
        <w:tc>
          <w:tcPr>
            <w:tcW w:w="1716" w:type="dxa"/>
            <w:gridSpan w:val="2"/>
            <w:tcBorders>
              <w:top w:val="nil"/>
              <w:left w:val="single" w:sz="8" w:space="0" w:color="auto"/>
              <w:bottom w:val="single" w:sz="4" w:space="0" w:color="auto"/>
              <w:right w:val="single" w:sz="4" w:space="0" w:color="auto"/>
            </w:tcBorders>
            <w:shd w:val="clear" w:color="auto" w:fill="auto"/>
            <w:noWrap/>
            <w:vAlign w:val="center"/>
            <w:hideMark/>
          </w:tcPr>
          <w:p w14:paraId="5CA2E4A4" w14:textId="77777777" w:rsidR="00B52DA0" w:rsidRPr="009A1A2E" w:rsidRDefault="00B52DA0" w:rsidP="00E13546">
            <w:pPr>
              <w:rPr>
                <w:rFonts w:cs="Arial"/>
                <w:color w:val="000000"/>
                <w:sz w:val="20"/>
                <w:szCs w:val="20"/>
              </w:rPr>
            </w:pPr>
            <w:r w:rsidRPr="009A1A2E">
              <w:rPr>
                <w:rFonts w:cs="Arial"/>
                <w:color w:val="000000"/>
                <w:sz w:val="20"/>
                <w:szCs w:val="20"/>
              </w:rPr>
              <w:t>Kahue (2014)</w:t>
            </w:r>
          </w:p>
        </w:tc>
        <w:tc>
          <w:tcPr>
            <w:tcW w:w="12049" w:type="dxa"/>
            <w:tcBorders>
              <w:top w:val="single" w:sz="4" w:space="0" w:color="auto"/>
              <w:left w:val="nil"/>
              <w:bottom w:val="single" w:sz="4" w:space="0" w:color="auto"/>
              <w:right w:val="single" w:sz="8" w:space="0" w:color="000000"/>
            </w:tcBorders>
            <w:shd w:val="clear" w:color="auto" w:fill="auto"/>
            <w:vAlign w:val="center"/>
            <w:hideMark/>
          </w:tcPr>
          <w:p w14:paraId="702A5EC9" w14:textId="77777777" w:rsidR="00B52DA0" w:rsidRPr="009A1A2E" w:rsidRDefault="00B52DA0" w:rsidP="00E13546">
            <w:pPr>
              <w:rPr>
                <w:rFonts w:cs="Arial"/>
                <w:color w:val="000000"/>
                <w:sz w:val="20"/>
                <w:szCs w:val="20"/>
              </w:rPr>
            </w:pPr>
            <w:r w:rsidRPr="009A1A2E">
              <w:rPr>
                <w:rFonts w:cs="Arial"/>
                <w:color w:val="000000"/>
                <w:sz w:val="20"/>
                <w:szCs w:val="20"/>
              </w:rPr>
              <w:t>Middle ear implants for rehabilitation of sensorineural hearing loss: a systematic review of FDA approved devices (Provisional abstract). Otol Neurotol. Aug;35(7):1228-37, 2014.</w:t>
            </w:r>
          </w:p>
        </w:tc>
      </w:tr>
      <w:tr w:rsidR="00B52DA0" w:rsidRPr="009A1A2E" w14:paraId="20DC607C" w14:textId="77777777" w:rsidTr="00E13546">
        <w:trPr>
          <w:trHeight w:val="788"/>
        </w:trPr>
        <w:tc>
          <w:tcPr>
            <w:tcW w:w="1716" w:type="dxa"/>
            <w:gridSpan w:val="2"/>
            <w:tcBorders>
              <w:top w:val="nil"/>
              <w:left w:val="single" w:sz="8" w:space="0" w:color="auto"/>
              <w:bottom w:val="single" w:sz="4" w:space="0" w:color="auto"/>
              <w:right w:val="single" w:sz="4" w:space="0" w:color="auto"/>
            </w:tcBorders>
            <w:shd w:val="clear" w:color="auto" w:fill="auto"/>
            <w:noWrap/>
            <w:vAlign w:val="center"/>
            <w:hideMark/>
          </w:tcPr>
          <w:p w14:paraId="5AF50E2D" w14:textId="77777777" w:rsidR="00B52DA0" w:rsidRPr="009A1A2E" w:rsidRDefault="00B52DA0" w:rsidP="00E13546">
            <w:pPr>
              <w:rPr>
                <w:rFonts w:cs="Arial"/>
                <w:color w:val="000000"/>
                <w:sz w:val="20"/>
                <w:szCs w:val="20"/>
              </w:rPr>
            </w:pPr>
            <w:r w:rsidRPr="009A1A2E">
              <w:rPr>
                <w:rFonts w:cs="Arial"/>
                <w:color w:val="000000"/>
                <w:sz w:val="20"/>
                <w:szCs w:val="20"/>
              </w:rPr>
              <w:t xml:space="preserve">Klein (2012) </w:t>
            </w:r>
          </w:p>
        </w:tc>
        <w:tc>
          <w:tcPr>
            <w:tcW w:w="12049" w:type="dxa"/>
            <w:tcBorders>
              <w:top w:val="single" w:sz="4" w:space="0" w:color="auto"/>
              <w:left w:val="nil"/>
              <w:bottom w:val="single" w:sz="4" w:space="0" w:color="auto"/>
              <w:right w:val="single" w:sz="8" w:space="0" w:color="000000"/>
            </w:tcBorders>
            <w:shd w:val="clear" w:color="auto" w:fill="auto"/>
            <w:vAlign w:val="center"/>
            <w:hideMark/>
          </w:tcPr>
          <w:p w14:paraId="062DA9EB" w14:textId="77777777" w:rsidR="00B52DA0" w:rsidRPr="009A1A2E" w:rsidRDefault="00B52DA0" w:rsidP="00E13546">
            <w:pPr>
              <w:rPr>
                <w:rFonts w:cs="Arial"/>
                <w:color w:val="000000"/>
                <w:sz w:val="20"/>
                <w:szCs w:val="20"/>
              </w:rPr>
            </w:pPr>
            <w:r w:rsidRPr="009A1A2E">
              <w:rPr>
                <w:rFonts w:cs="Arial"/>
                <w:color w:val="000000"/>
                <w:sz w:val="20"/>
                <w:szCs w:val="20"/>
              </w:rPr>
              <w:t>Hearing aid, Hearing loss, and Middle ear implant. A Systematic Review of the Safety and Effectiveness of Fully Implantable Middle Ear Hearing Devices: The Carina and Esteem Systems.[Review]. Otology &amp; Neurotology 33 (6):916-921, 2012.</w:t>
            </w:r>
          </w:p>
        </w:tc>
      </w:tr>
      <w:tr w:rsidR="00B52DA0" w:rsidRPr="009A1A2E" w14:paraId="70E4DFDA" w14:textId="77777777" w:rsidTr="00E13546">
        <w:trPr>
          <w:trHeight w:val="702"/>
        </w:trPr>
        <w:tc>
          <w:tcPr>
            <w:tcW w:w="1716" w:type="dxa"/>
            <w:gridSpan w:val="2"/>
            <w:tcBorders>
              <w:top w:val="nil"/>
              <w:left w:val="single" w:sz="8" w:space="0" w:color="auto"/>
              <w:bottom w:val="single" w:sz="8" w:space="0" w:color="auto"/>
              <w:right w:val="single" w:sz="4" w:space="0" w:color="auto"/>
            </w:tcBorders>
            <w:shd w:val="clear" w:color="auto" w:fill="auto"/>
            <w:vAlign w:val="center"/>
            <w:hideMark/>
          </w:tcPr>
          <w:p w14:paraId="416E2CCB" w14:textId="77777777" w:rsidR="00B52DA0" w:rsidRPr="009A1A2E" w:rsidRDefault="00B52DA0" w:rsidP="00E13546">
            <w:pPr>
              <w:rPr>
                <w:rFonts w:cs="Arial"/>
                <w:color w:val="000000"/>
                <w:sz w:val="20"/>
                <w:szCs w:val="20"/>
              </w:rPr>
            </w:pPr>
            <w:r w:rsidRPr="009A1A2E">
              <w:rPr>
                <w:rFonts w:cs="Arial"/>
                <w:color w:val="000000"/>
                <w:sz w:val="20"/>
                <w:szCs w:val="20"/>
              </w:rPr>
              <w:t>MSAC (2010)</w:t>
            </w:r>
          </w:p>
        </w:tc>
        <w:tc>
          <w:tcPr>
            <w:tcW w:w="12049" w:type="dxa"/>
            <w:tcBorders>
              <w:top w:val="single" w:sz="4" w:space="0" w:color="auto"/>
              <w:left w:val="nil"/>
              <w:bottom w:val="single" w:sz="8" w:space="0" w:color="auto"/>
              <w:right w:val="single" w:sz="8" w:space="0" w:color="000000"/>
            </w:tcBorders>
            <w:shd w:val="clear" w:color="auto" w:fill="auto"/>
            <w:vAlign w:val="center"/>
            <w:hideMark/>
          </w:tcPr>
          <w:p w14:paraId="3AB946FB" w14:textId="77777777" w:rsidR="00B52DA0" w:rsidRPr="009A1A2E" w:rsidRDefault="00B52DA0" w:rsidP="00E13546">
            <w:pPr>
              <w:rPr>
                <w:rFonts w:cs="Arial"/>
                <w:color w:val="000000"/>
                <w:sz w:val="20"/>
                <w:szCs w:val="20"/>
              </w:rPr>
            </w:pPr>
            <w:r w:rsidRPr="009A1A2E">
              <w:rPr>
                <w:rFonts w:cs="Arial"/>
                <w:color w:val="000000"/>
                <w:sz w:val="20"/>
                <w:szCs w:val="20"/>
              </w:rPr>
              <w:t>Middle ear implant for sensorineural, conductive and mixed hearing losses. MSAC, 2010</w:t>
            </w:r>
          </w:p>
        </w:tc>
      </w:tr>
    </w:tbl>
    <w:p w14:paraId="176C91C7" w14:textId="77777777" w:rsidR="00B52DA0" w:rsidRPr="009A1A2E" w:rsidRDefault="00B52DA0" w:rsidP="00B52DA0">
      <w:pPr>
        <w:rPr>
          <w:rFonts w:cs="Arial"/>
        </w:rPr>
        <w:sectPr w:rsidR="00B52DA0" w:rsidRPr="009A1A2E" w:rsidSect="00B23BCE">
          <w:pgSz w:w="16839" w:h="11907" w:orient="landscape" w:code="9"/>
          <w:pgMar w:top="1440" w:right="1440" w:bottom="1440" w:left="1440" w:header="720" w:footer="720" w:gutter="0"/>
          <w:paperSrc w:first="7" w:other="7"/>
          <w:pgNumType w:fmt="lowerRoman"/>
          <w:cols w:space="720"/>
          <w:docGrid w:linePitch="299"/>
        </w:sectPr>
      </w:pPr>
    </w:p>
    <w:p w14:paraId="3B214234" w14:textId="77777777" w:rsidR="00B52DA0" w:rsidRPr="009A1A2E" w:rsidRDefault="00B52DA0" w:rsidP="005B0EB0">
      <w:pPr>
        <w:pStyle w:val="Textbody"/>
        <w:rPr>
          <w:b/>
          <w:i/>
          <w:lang w:val="en-AU"/>
        </w:rPr>
      </w:pPr>
      <w:r w:rsidRPr="009A1A2E">
        <w:rPr>
          <w:b/>
          <w:i/>
          <w:lang w:val="en-AU"/>
        </w:rPr>
        <w:lastRenderedPageBreak/>
        <w:t>The type of economic evaluation presented</w:t>
      </w:r>
    </w:p>
    <w:p w14:paraId="3C051007" w14:textId="38D59F9F" w:rsidR="00B52DA0" w:rsidRPr="009A1A2E" w:rsidRDefault="00A328BE" w:rsidP="005B0EB0">
      <w:pPr>
        <w:pStyle w:val="Textbody"/>
        <w:rPr>
          <w:lang w:val="en-AU"/>
        </w:rPr>
      </w:pPr>
      <w:r>
        <w:rPr>
          <w:lang w:val="en-AU"/>
        </w:rPr>
        <w:t>U</w:t>
      </w:r>
      <w:r w:rsidR="00B52DA0" w:rsidRPr="009A1A2E">
        <w:rPr>
          <w:lang w:val="en-AU"/>
        </w:rPr>
        <w:t xml:space="preserve">sing the grid provided in </w:t>
      </w:r>
      <w:r w:rsidR="007F6475" w:rsidRPr="007F6475">
        <w:rPr>
          <w:lang w:val="en-AU"/>
        </w:rPr>
        <w:fldChar w:fldCharType="begin"/>
      </w:r>
      <w:r w:rsidR="007F6475" w:rsidRPr="007F6475">
        <w:rPr>
          <w:lang w:val="en-AU"/>
        </w:rPr>
        <w:instrText xml:space="preserve"> REF _Ref400564613 \h </w:instrText>
      </w:r>
      <w:r w:rsidR="007F6475">
        <w:rPr>
          <w:lang w:val="en-AU"/>
        </w:rPr>
        <w:instrText xml:space="preserve"> \* MERGEFORMAT </w:instrText>
      </w:r>
      <w:r w:rsidR="007F6475" w:rsidRPr="007F6475">
        <w:rPr>
          <w:lang w:val="en-AU"/>
        </w:rPr>
      </w:r>
      <w:r w:rsidR="007F6475" w:rsidRPr="007F6475">
        <w:rPr>
          <w:lang w:val="en-AU"/>
        </w:rPr>
        <w:fldChar w:fldCharType="separate"/>
      </w:r>
      <w:r w:rsidR="00016592" w:rsidRPr="009A1A2E">
        <w:rPr>
          <w:noProof/>
          <w:lang w:val="en-AU"/>
        </w:rPr>
        <w:t xml:space="preserve">Table </w:t>
      </w:r>
      <w:r w:rsidR="00016592">
        <w:rPr>
          <w:noProof/>
          <w:lang w:val="en-AU"/>
        </w:rPr>
        <w:t>12</w:t>
      </w:r>
      <w:r w:rsidR="007F6475" w:rsidRPr="007F6475">
        <w:rPr>
          <w:lang w:val="en-AU"/>
        </w:rPr>
        <w:fldChar w:fldCharType="end"/>
      </w:r>
      <w:r w:rsidR="007F6475" w:rsidRPr="007F6475">
        <w:rPr>
          <w:lang w:val="en-AU"/>
        </w:rPr>
        <w:t xml:space="preserve"> and </w:t>
      </w:r>
      <w:r w:rsidR="007F6475" w:rsidRPr="007F6475">
        <w:rPr>
          <w:lang w:val="en-AU"/>
        </w:rPr>
        <w:fldChar w:fldCharType="begin"/>
      </w:r>
      <w:r w:rsidR="007F6475" w:rsidRPr="007F6475">
        <w:rPr>
          <w:lang w:val="en-AU"/>
        </w:rPr>
        <w:instrText xml:space="preserve"> REF _Ref400564617 \h </w:instrText>
      </w:r>
      <w:r w:rsidR="007F6475">
        <w:rPr>
          <w:lang w:val="en-AU"/>
        </w:rPr>
        <w:instrText xml:space="preserve"> \* MERGEFORMAT </w:instrText>
      </w:r>
      <w:r w:rsidR="007F6475" w:rsidRPr="007F6475">
        <w:rPr>
          <w:lang w:val="en-AU"/>
        </w:rPr>
      </w:r>
      <w:r w:rsidR="007F6475" w:rsidRPr="007F6475">
        <w:rPr>
          <w:lang w:val="en-AU"/>
        </w:rPr>
        <w:fldChar w:fldCharType="separate"/>
      </w:r>
      <w:r w:rsidR="00016592" w:rsidRPr="009A1A2E">
        <w:rPr>
          <w:lang w:val="en-AU"/>
        </w:rPr>
        <w:t xml:space="preserve">Table </w:t>
      </w:r>
      <w:r w:rsidR="00016592">
        <w:rPr>
          <w:noProof/>
          <w:lang w:val="en-AU"/>
        </w:rPr>
        <w:t>13</w:t>
      </w:r>
      <w:r w:rsidR="007F6475" w:rsidRPr="007F6475">
        <w:rPr>
          <w:lang w:val="en-AU"/>
        </w:rPr>
        <w:fldChar w:fldCharType="end"/>
      </w:r>
      <w:r w:rsidR="00172FCC">
        <w:rPr>
          <w:lang w:val="en-AU"/>
        </w:rPr>
        <w:t>,</w:t>
      </w:r>
      <w:r>
        <w:rPr>
          <w:lang w:val="en-AU"/>
        </w:rPr>
        <w:t xml:space="preserve"> the most appropriate method for comparing the proposed medical service against its main comparator No intervention</w:t>
      </w:r>
      <w:r w:rsidR="00172FCC">
        <w:rPr>
          <w:lang w:val="en-AU"/>
        </w:rPr>
        <w:t xml:space="preserve"> is </w:t>
      </w:r>
      <w:r>
        <w:rPr>
          <w:lang w:val="en-AU"/>
        </w:rPr>
        <w:t>a c</w:t>
      </w:r>
      <w:r w:rsidR="00172FCC">
        <w:rPr>
          <w:lang w:val="en-AU"/>
        </w:rPr>
        <w:t xml:space="preserve">ost effectiveness analysis. The same method was used for comparing the two types of partially implantable middle ear implants, the Vibrant Soundbridge and MAXUM. A modelling approach was taken as analysis was based on the data available from the non-randomised studies identified in the literature. A decision tree with embedded Markov processes was built that represented the pathways by which a person may decide to receive middle ear implantation or not, and the clinical events that may occur following their decision. </w:t>
      </w:r>
      <w:r w:rsidR="00790461" w:rsidRPr="00790461">
        <w:rPr>
          <w:lang w:val="en-AU"/>
        </w:rPr>
        <w:t>The clinical events in the model are defined as events that can affect the costs and course of treatment in the short or long-term</w:t>
      </w:r>
      <w:r w:rsidR="00790461">
        <w:rPr>
          <w:lang w:val="en-AU"/>
        </w:rPr>
        <w:t>. These include recurring medical conditions in the No intervention arm; and adverse events, device failure, explantation/reimplantation and ceasing MEI use in the intervention arm.</w:t>
      </w:r>
      <w:r w:rsidR="00790461" w:rsidRPr="00790461">
        <w:rPr>
          <w:lang w:val="en-AU"/>
        </w:rPr>
        <w:t xml:space="preserve"> </w:t>
      </w:r>
      <w:r w:rsidR="00172FCC">
        <w:rPr>
          <w:lang w:val="en-AU"/>
        </w:rPr>
        <w:t xml:space="preserve">The model is illustrated in figure 11. The Markov model built to represent the pathway for receiving the proposed medical service was cloned for the MAXUM and </w:t>
      </w:r>
      <w:r w:rsidR="006A3A48">
        <w:rPr>
          <w:lang w:val="en-AU"/>
        </w:rPr>
        <w:t xml:space="preserve">the two middle ear implants were compared. Both models were populated with cost data (mostly) from the MBS and effectiveness data obtained from the literature. </w:t>
      </w:r>
      <w:r w:rsidR="006F6768">
        <w:rPr>
          <w:lang w:val="en-AU"/>
        </w:rPr>
        <w:t xml:space="preserve">The comparison of VSB against no intervention was based upon utility values; and the comparison of the two MEI was based upon patient benefit scores measured by the APHAB. </w:t>
      </w:r>
      <w:r w:rsidR="00172FCC">
        <w:rPr>
          <w:lang w:val="en-AU"/>
        </w:rPr>
        <w:t xml:space="preserve">The time horizon of the model was 10 years </w:t>
      </w:r>
      <w:r w:rsidR="006A3A48">
        <w:rPr>
          <w:lang w:val="en-AU"/>
        </w:rPr>
        <w:t xml:space="preserve">with a cyle length of 6 months; </w:t>
      </w:r>
      <w:r w:rsidR="00172FCC">
        <w:rPr>
          <w:lang w:val="en-AU"/>
        </w:rPr>
        <w:t>and costs and effectiveness outcomes were discounted at a 5% rate.</w:t>
      </w:r>
    </w:p>
    <w:p w14:paraId="2944AB38" w14:textId="77777777" w:rsidR="005B0EB0" w:rsidRPr="009A1A2E" w:rsidRDefault="005B0EB0" w:rsidP="005B0EB0">
      <w:pPr>
        <w:pStyle w:val="Textbody"/>
        <w:rPr>
          <w:lang w:val="en-AU"/>
        </w:rPr>
      </w:pPr>
    </w:p>
    <w:p w14:paraId="4A69528B" w14:textId="77777777" w:rsidR="00B52DA0" w:rsidRPr="009A1A2E" w:rsidRDefault="00B52DA0" w:rsidP="005B0EB0">
      <w:pPr>
        <w:pStyle w:val="Textbody"/>
        <w:rPr>
          <w:b/>
          <w:lang w:val="en-AU"/>
        </w:rPr>
      </w:pPr>
      <w:r w:rsidRPr="009A1A2E">
        <w:rPr>
          <w:b/>
          <w:lang w:val="en-AU"/>
        </w:rPr>
        <w:t>The cost per patient</w:t>
      </w:r>
    </w:p>
    <w:p w14:paraId="4590781C" w14:textId="4CBD4C01" w:rsidR="00B52DA0" w:rsidRPr="009A1A2E" w:rsidRDefault="00B52DA0" w:rsidP="005B0EB0">
      <w:pPr>
        <w:pStyle w:val="Textbody"/>
        <w:rPr>
          <w:lang w:val="en-AU"/>
        </w:rPr>
      </w:pPr>
      <w:r w:rsidRPr="009A1A2E">
        <w:rPr>
          <w:lang w:val="en-AU"/>
        </w:rPr>
        <w:t xml:space="preserve">The estimated costs of partially implantable MEIs per procedure </w:t>
      </w:r>
      <w:r w:rsidR="006A3A48">
        <w:rPr>
          <w:lang w:val="en-AU"/>
        </w:rPr>
        <w:t>was</w:t>
      </w:r>
      <w:r w:rsidRPr="009A1A2E">
        <w:rPr>
          <w:lang w:val="en-AU"/>
        </w:rPr>
        <w:t xml:space="preserve"> calculated to be AUD </w:t>
      </w:r>
      <w:r w:rsidR="00315D17">
        <w:rPr>
          <w:lang w:val="en-AU"/>
        </w:rPr>
        <w:t>24.468</w:t>
      </w:r>
      <w:r w:rsidRPr="009A1A2E">
        <w:rPr>
          <w:lang w:val="en-AU"/>
        </w:rPr>
        <w:t xml:space="preserve"> for the VSB and AUD </w:t>
      </w:r>
      <w:r w:rsidR="00B2783C">
        <w:rPr>
          <w:lang w:val="en-AU"/>
        </w:rPr>
        <w:t>13.</w:t>
      </w:r>
      <w:r w:rsidR="00790461">
        <w:rPr>
          <w:lang w:val="en-AU"/>
        </w:rPr>
        <w:t>850</w:t>
      </w:r>
      <w:r w:rsidRPr="009A1A2E">
        <w:rPr>
          <w:lang w:val="en-AU"/>
        </w:rPr>
        <w:t xml:space="preserve"> for the MAXUM/SOUNDTEC (see Section D.4)</w:t>
      </w:r>
      <w:r w:rsidR="00790461">
        <w:rPr>
          <w:lang w:val="en-AU"/>
        </w:rPr>
        <w:t>.</w:t>
      </w:r>
      <w:r w:rsidR="006F6768" w:rsidRPr="006F6768">
        <w:t xml:space="preserve"> </w:t>
      </w:r>
      <w:r w:rsidR="006F6768" w:rsidRPr="006F6768">
        <w:rPr>
          <w:lang w:val="en-AU"/>
        </w:rPr>
        <w:t>Compared to no intervention, the provision of the Vibrant Soundbridge AMEI results in an improvement of 1.41 QALYs at A</w:t>
      </w:r>
      <w:r w:rsidR="00315D17">
        <w:rPr>
          <w:lang w:val="en-AU"/>
        </w:rPr>
        <w:t>n incremental cost of AUD 21.927</w:t>
      </w:r>
      <w:r w:rsidR="006F6768">
        <w:rPr>
          <w:lang w:val="en-AU"/>
        </w:rPr>
        <w:t xml:space="preserve"> per patient</w:t>
      </w:r>
      <w:r w:rsidR="006F6768" w:rsidRPr="006F6768">
        <w:rPr>
          <w:lang w:val="en-AU"/>
        </w:rPr>
        <w:t>.</w:t>
      </w:r>
      <w:r w:rsidR="006F6768" w:rsidRPr="006F6768">
        <w:t xml:space="preserve"> </w:t>
      </w:r>
      <w:r w:rsidR="006F6768" w:rsidRPr="006F6768">
        <w:rPr>
          <w:lang w:val="en-AU"/>
        </w:rPr>
        <w:t>The Vibrant Soundbridge is more costly than the MAXUM implant sys</w:t>
      </w:r>
      <w:r w:rsidR="00315D17">
        <w:rPr>
          <w:lang w:val="en-AU"/>
        </w:rPr>
        <w:t>tem with an increment of AUD 10.619</w:t>
      </w:r>
      <w:r w:rsidR="006F6768" w:rsidRPr="006F6768">
        <w:rPr>
          <w:lang w:val="en-AU"/>
        </w:rPr>
        <w:t xml:space="preserve"> and also proves to be more beneficial for the patient with effec</w:t>
      </w:r>
      <w:r w:rsidR="006F6768">
        <w:rPr>
          <w:lang w:val="en-AU"/>
        </w:rPr>
        <w:t>tiveness improved by 199 units.</w:t>
      </w:r>
    </w:p>
    <w:p w14:paraId="525CAD4D" w14:textId="77777777" w:rsidR="00B52DA0" w:rsidRPr="009A1A2E" w:rsidRDefault="00B52DA0" w:rsidP="005B0EB0">
      <w:pPr>
        <w:pStyle w:val="Textbody"/>
        <w:rPr>
          <w:lang w:val="en-AU"/>
        </w:rPr>
      </w:pPr>
    </w:p>
    <w:p w14:paraId="487148BA" w14:textId="77777777" w:rsidR="00B52DA0" w:rsidRPr="009A1A2E" w:rsidRDefault="00B52DA0" w:rsidP="005B0EB0">
      <w:pPr>
        <w:pStyle w:val="Textbody"/>
        <w:rPr>
          <w:b/>
          <w:bCs/>
          <w:i/>
          <w:szCs w:val="32"/>
          <w:lang w:val="en-AU"/>
        </w:rPr>
      </w:pPr>
      <w:r w:rsidRPr="009A1A2E">
        <w:rPr>
          <w:b/>
          <w:bCs/>
          <w:i/>
          <w:szCs w:val="32"/>
          <w:lang w:val="en-AU"/>
        </w:rPr>
        <w:t>Sustainability of the proposed MBS fee for insertion of a partially implantable Middle Ear Implant</w:t>
      </w:r>
    </w:p>
    <w:p w14:paraId="3CFFD4AC" w14:textId="77777777" w:rsidR="005B0EB0" w:rsidRPr="009A1A2E" w:rsidRDefault="005B0EB0" w:rsidP="005B0EB0">
      <w:pPr>
        <w:pStyle w:val="Textbody"/>
        <w:rPr>
          <w:b/>
          <w:bCs/>
          <w:i/>
          <w:szCs w:val="32"/>
          <w:lang w:val="en-AU"/>
        </w:rPr>
      </w:pPr>
    </w:p>
    <w:p w14:paraId="3D8EA0CD" w14:textId="6118F149" w:rsidR="00B52DA0" w:rsidRDefault="00B52DA0" w:rsidP="005B0EB0">
      <w:pPr>
        <w:pStyle w:val="Textbody"/>
        <w:rPr>
          <w:lang w:val="en-AU"/>
        </w:rPr>
      </w:pPr>
      <w:r w:rsidRPr="009A1A2E">
        <w:rPr>
          <w:lang w:val="en-AU"/>
        </w:rPr>
        <w:t>The addition of the insertion of a partially implantable MEI to the MBS as proposed in this application will lead to an increase in direct treatment cost</w:t>
      </w:r>
      <w:r w:rsidR="001A5A13" w:rsidRPr="009A1A2E">
        <w:rPr>
          <w:lang w:val="en-AU"/>
        </w:rPr>
        <w:t>s</w:t>
      </w:r>
      <w:r w:rsidRPr="009A1A2E">
        <w:rPr>
          <w:lang w:val="en-AU"/>
        </w:rPr>
        <w:t xml:space="preserve">. The results of the cost-effectiveness analysis clearly indicate that the VSB is a highly cost-effective treatment when compared to No Treatment </w:t>
      </w:r>
      <w:r w:rsidR="00790461">
        <w:rPr>
          <w:lang w:val="en-AU"/>
        </w:rPr>
        <w:t xml:space="preserve">with </w:t>
      </w:r>
      <w:r w:rsidR="006F6768">
        <w:rPr>
          <w:lang w:val="en-AU"/>
        </w:rPr>
        <w:t xml:space="preserve">an </w:t>
      </w:r>
      <w:r w:rsidR="00790461">
        <w:rPr>
          <w:lang w:val="en-AU"/>
        </w:rPr>
        <w:t>incremental cost-effect</w:t>
      </w:r>
      <w:r w:rsidR="00315D17">
        <w:rPr>
          <w:lang w:val="en-AU"/>
        </w:rPr>
        <w:t>iveness ratio of 15.575</w:t>
      </w:r>
      <w:r w:rsidR="00790461">
        <w:rPr>
          <w:lang w:val="en-AU"/>
        </w:rPr>
        <w:t xml:space="preserve"> </w:t>
      </w:r>
      <w:r w:rsidR="00790461">
        <w:rPr>
          <w:lang w:val="en-AU"/>
        </w:rPr>
        <w:lastRenderedPageBreak/>
        <w:t>AUD/QALY</w:t>
      </w:r>
      <w:r w:rsidR="006F6768">
        <w:rPr>
          <w:lang w:val="en-AU"/>
        </w:rPr>
        <w:t>. When compared to the MAXUM the</w:t>
      </w:r>
      <w:r w:rsidR="006F6768">
        <w:t xml:space="preserve"> </w:t>
      </w:r>
      <w:r w:rsidR="006F6768" w:rsidRPr="006F6768">
        <w:rPr>
          <w:lang w:val="en-AU"/>
        </w:rPr>
        <w:t>incremental cost-effectiveness ratio</w:t>
      </w:r>
      <w:r w:rsidR="00315D17">
        <w:rPr>
          <w:lang w:val="en-AU"/>
        </w:rPr>
        <w:t xml:space="preserve"> is 53.25</w:t>
      </w:r>
      <w:r w:rsidR="006F6768">
        <w:rPr>
          <w:lang w:val="en-AU"/>
        </w:rPr>
        <w:t xml:space="preserve"> AUD/effectiveness. This is a much smaller ICER however</w:t>
      </w:r>
      <w:r w:rsidR="00315D17">
        <w:rPr>
          <w:lang w:val="en-AU"/>
        </w:rPr>
        <w:t xml:space="preserve"> as effectiveness outcomes are inverted</w:t>
      </w:r>
      <w:r w:rsidR="006F6768">
        <w:rPr>
          <w:lang w:val="en-AU"/>
        </w:rPr>
        <w:t xml:space="preserve"> it represents a significant improvement in patient perceived benefit.</w:t>
      </w:r>
    </w:p>
    <w:p w14:paraId="23BBBBE8" w14:textId="77777777" w:rsidR="00350EEB" w:rsidRDefault="00350EEB" w:rsidP="005B0EB0">
      <w:pPr>
        <w:pStyle w:val="Textbody"/>
        <w:rPr>
          <w:lang w:val="en-AU"/>
        </w:rPr>
      </w:pPr>
      <w:r>
        <w:rPr>
          <w:lang w:val="en-AU"/>
        </w:rPr>
        <w:t xml:space="preserve">Deterministic sensitivity analysis demonstrated the results of the base-case analysis to be generaly robust against variations in the input values of single variables. Results were most sensitive to the </w:t>
      </w:r>
      <w:r w:rsidRPr="00350EEB">
        <w:rPr>
          <w:lang w:val="en-AU"/>
        </w:rPr>
        <w:t>total cost of MEI(VSB) provision, and to a lesser extent to the probability of revision surgery and ceasing to use MEI.</w:t>
      </w:r>
      <w:r>
        <w:rPr>
          <w:lang w:val="en-AU"/>
        </w:rPr>
        <w:t xml:space="preserve"> Comparing the VSB against the MAXUM also revealed </w:t>
      </w:r>
      <w:r w:rsidRPr="00350EEB">
        <w:rPr>
          <w:lang w:val="en-AU"/>
        </w:rPr>
        <w:t>cost and effectiveness results</w:t>
      </w:r>
      <w:r>
        <w:rPr>
          <w:lang w:val="en-AU"/>
        </w:rPr>
        <w:t xml:space="preserve"> that were</w:t>
      </w:r>
      <w:r w:rsidRPr="00350EEB">
        <w:rPr>
          <w:lang w:val="en-AU"/>
        </w:rPr>
        <w:t xml:space="preserve"> generally robust to variation in the value of input p</w:t>
      </w:r>
      <w:r>
        <w:rPr>
          <w:lang w:val="en-AU"/>
        </w:rPr>
        <w:t>arameters. The cost outcomes were</w:t>
      </w:r>
      <w:r w:rsidRPr="00350EEB">
        <w:rPr>
          <w:lang w:val="en-AU"/>
        </w:rPr>
        <w:t xml:space="preserve"> most sensitive to the costs of VSB and MAXUM provision, and then to a lesser extent to the probability of ceasing to use MAXUM and VSB, and revision surgery following implantation with either device. </w:t>
      </w:r>
    </w:p>
    <w:p w14:paraId="7424682E" w14:textId="7D13E99E" w:rsidR="00350EEB" w:rsidRDefault="00070CD0" w:rsidP="005B0EB0">
      <w:pPr>
        <w:pStyle w:val="Textbody"/>
        <w:rPr>
          <w:lang w:val="en-AU"/>
        </w:rPr>
      </w:pPr>
      <w:r w:rsidRPr="00070CD0">
        <w:rPr>
          <w:lang w:val="en-AU"/>
        </w:rPr>
        <w:t>The variables found to be effective in DSA were entered into a probabilistic sensitivity analysis.</w:t>
      </w:r>
      <w:r w:rsidRPr="00070CD0">
        <w:t xml:space="preserve"> </w:t>
      </w:r>
      <w:r>
        <w:t xml:space="preserve">PSA results indicated similar results to base-case outcomes. </w:t>
      </w:r>
      <w:r w:rsidRPr="00070CD0">
        <w:rPr>
          <w:lang w:val="en-AU"/>
        </w:rPr>
        <w:t>Providing a partially implantable MEI, na</w:t>
      </w:r>
      <w:r>
        <w:rPr>
          <w:lang w:val="en-AU"/>
        </w:rPr>
        <w:t>mely the Vibrant Soundbridge, as</w:t>
      </w:r>
      <w:r w:rsidRPr="00070CD0">
        <w:rPr>
          <w:lang w:val="en-AU"/>
        </w:rPr>
        <w:t xml:space="preserve"> associated with increased QALY ranging from </w:t>
      </w:r>
      <w:r w:rsidR="00315D17" w:rsidRPr="00315D17">
        <w:rPr>
          <w:lang w:val="en-AU"/>
        </w:rPr>
        <w:t>1,19 to 1,52</w:t>
      </w:r>
      <w:r w:rsidR="00315D17">
        <w:rPr>
          <w:lang w:val="en-AU"/>
        </w:rPr>
        <w:t xml:space="preserve"> </w:t>
      </w:r>
      <w:r w:rsidRPr="00070CD0">
        <w:rPr>
          <w:lang w:val="en-AU"/>
        </w:rPr>
        <w:t>but also incr</w:t>
      </w:r>
      <w:r w:rsidR="00B2783C">
        <w:rPr>
          <w:lang w:val="en-AU"/>
        </w:rPr>
        <w:t xml:space="preserve">eased costs ranging from </w:t>
      </w:r>
      <w:r w:rsidR="00315D17">
        <w:rPr>
          <w:lang w:val="en-AU"/>
        </w:rPr>
        <w:t xml:space="preserve">AUD </w:t>
      </w:r>
      <w:r w:rsidR="00315D17" w:rsidRPr="00315D17">
        <w:rPr>
          <w:lang w:val="en-AU"/>
        </w:rPr>
        <w:t>21</w:t>
      </w:r>
      <w:r w:rsidR="009053B9">
        <w:rPr>
          <w:lang w:val="en-AU"/>
        </w:rPr>
        <w:t>.</w:t>
      </w:r>
      <w:r w:rsidR="00315D17" w:rsidRPr="00315D17">
        <w:rPr>
          <w:lang w:val="en-AU"/>
        </w:rPr>
        <w:t xml:space="preserve">881,48 to </w:t>
      </w:r>
      <w:r w:rsidR="009053B9">
        <w:rPr>
          <w:lang w:val="en-AU"/>
        </w:rPr>
        <w:t xml:space="preserve">AUD </w:t>
      </w:r>
      <w:r w:rsidR="00315D17" w:rsidRPr="00315D17">
        <w:rPr>
          <w:lang w:val="en-AU"/>
        </w:rPr>
        <w:t>22</w:t>
      </w:r>
      <w:r w:rsidR="009053B9">
        <w:rPr>
          <w:lang w:val="en-AU"/>
        </w:rPr>
        <w:t>.</w:t>
      </w:r>
      <w:r w:rsidR="00315D17" w:rsidRPr="00315D17">
        <w:rPr>
          <w:lang w:val="en-AU"/>
        </w:rPr>
        <w:t>265,86</w:t>
      </w:r>
      <w:r w:rsidRPr="00070CD0">
        <w:rPr>
          <w:lang w:val="en-AU"/>
        </w:rPr>
        <w:t>, when compared to receiving no intervention</w:t>
      </w:r>
      <w:r>
        <w:rPr>
          <w:lang w:val="en-AU"/>
        </w:rPr>
        <w:t>.</w:t>
      </w:r>
      <w:r w:rsidRPr="00070CD0">
        <w:t xml:space="preserve"> </w:t>
      </w:r>
      <w:r>
        <w:t xml:space="preserve">When compared to the MAXUM, </w:t>
      </w:r>
      <w:r>
        <w:rPr>
          <w:lang w:val="en-AU"/>
        </w:rPr>
        <w:t>the Vibrant Soundbridge was</w:t>
      </w:r>
      <w:r w:rsidRPr="00070CD0">
        <w:rPr>
          <w:lang w:val="en-AU"/>
        </w:rPr>
        <w:t xml:space="preserve"> associated with increased effectiveness ranging from </w:t>
      </w:r>
      <w:r w:rsidR="009053B9" w:rsidRPr="009053B9">
        <w:rPr>
          <w:lang w:val="en-AU"/>
        </w:rPr>
        <w:t>176 to 211,9</w:t>
      </w:r>
      <w:r w:rsidR="009053B9">
        <w:rPr>
          <w:lang w:val="en-AU"/>
        </w:rPr>
        <w:t xml:space="preserve"> </w:t>
      </w:r>
      <w:r w:rsidRPr="00070CD0">
        <w:rPr>
          <w:lang w:val="en-AU"/>
        </w:rPr>
        <w:t>but also increased costs ranging fro</w:t>
      </w:r>
      <w:r w:rsidR="00B2783C">
        <w:rPr>
          <w:lang w:val="en-AU"/>
        </w:rPr>
        <w:t xml:space="preserve">m </w:t>
      </w:r>
      <w:r w:rsidR="009053B9">
        <w:rPr>
          <w:lang w:val="en-AU"/>
        </w:rPr>
        <w:t xml:space="preserve">AUD </w:t>
      </w:r>
      <w:r w:rsidR="009053B9" w:rsidRPr="009053B9">
        <w:rPr>
          <w:lang w:val="en-AU"/>
        </w:rPr>
        <w:t>10</w:t>
      </w:r>
      <w:r w:rsidR="009053B9">
        <w:rPr>
          <w:lang w:val="en-AU"/>
        </w:rPr>
        <w:t>.</w:t>
      </w:r>
      <w:r w:rsidR="009053B9" w:rsidRPr="009053B9">
        <w:rPr>
          <w:lang w:val="en-AU"/>
        </w:rPr>
        <w:t xml:space="preserve">505,87 to </w:t>
      </w:r>
      <w:r w:rsidR="009053B9">
        <w:rPr>
          <w:lang w:val="en-AU"/>
        </w:rPr>
        <w:t xml:space="preserve">AUD </w:t>
      </w:r>
      <w:r w:rsidR="009053B9" w:rsidRPr="009053B9">
        <w:rPr>
          <w:lang w:val="en-AU"/>
        </w:rPr>
        <w:t>10</w:t>
      </w:r>
      <w:r w:rsidR="009053B9">
        <w:rPr>
          <w:lang w:val="en-AU"/>
        </w:rPr>
        <w:t>.</w:t>
      </w:r>
      <w:r w:rsidR="009053B9" w:rsidRPr="009053B9">
        <w:rPr>
          <w:lang w:val="en-AU"/>
        </w:rPr>
        <w:t>745,28</w:t>
      </w:r>
      <w:r>
        <w:rPr>
          <w:lang w:val="en-AU"/>
        </w:rPr>
        <w:t>.</w:t>
      </w:r>
    </w:p>
    <w:p w14:paraId="33BD8FB1" w14:textId="3851C066" w:rsidR="00070CD0" w:rsidRDefault="00B52DA0" w:rsidP="005B0EB0">
      <w:pPr>
        <w:pStyle w:val="Textbody"/>
        <w:rPr>
          <w:lang w:val="en-AU"/>
        </w:rPr>
      </w:pPr>
      <w:r w:rsidRPr="009A1A2E">
        <w:rPr>
          <w:lang w:val="en-AU"/>
        </w:rPr>
        <w:t xml:space="preserve">Based on </w:t>
      </w:r>
      <w:r w:rsidR="00070CD0">
        <w:rPr>
          <w:lang w:val="en-AU"/>
        </w:rPr>
        <w:t>further sensitivity analysis</w:t>
      </w:r>
      <w:r w:rsidRPr="009A1A2E">
        <w:rPr>
          <w:lang w:val="en-AU"/>
        </w:rPr>
        <w:t xml:space="preserve"> </w:t>
      </w:r>
      <w:r w:rsidR="00070CD0">
        <w:rPr>
          <w:lang w:val="en-AU"/>
        </w:rPr>
        <w:t>where the discount rate was varied, the total cost per patient for</w:t>
      </w:r>
      <w:r w:rsidRPr="009A1A2E">
        <w:rPr>
          <w:lang w:val="en-AU"/>
        </w:rPr>
        <w:t xml:space="preserve"> the </w:t>
      </w:r>
      <w:r w:rsidR="00070CD0">
        <w:rPr>
          <w:lang w:val="en-AU"/>
        </w:rPr>
        <w:t xml:space="preserve">Vibrant Soundbridge </w:t>
      </w:r>
      <w:r w:rsidRPr="009A1A2E">
        <w:rPr>
          <w:lang w:val="en-AU"/>
        </w:rPr>
        <w:t xml:space="preserve">over the </w:t>
      </w:r>
      <w:r w:rsidR="006F6768">
        <w:rPr>
          <w:lang w:val="en-AU"/>
        </w:rPr>
        <w:t>implant lifetime of 10</w:t>
      </w:r>
      <w:r w:rsidR="00070CD0">
        <w:rPr>
          <w:lang w:val="en-AU"/>
        </w:rPr>
        <w:t xml:space="preserve"> years would be</w:t>
      </w:r>
      <w:r w:rsidRPr="009A1A2E">
        <w:rPr>
          <w:lang w:val="en-AU"/>
        </w:rPr>
        <w:t xml:space="preserve"> </w:t>
      </w:r>
      <w:r w:rsidR="00070CD0" w:rsidRPr="00070CD0">
        <w:rPr>
          <w:lang w:val="en-AU"/>
        </w:rPr>
        <w:t xml:space="preserve">AUD </w:t>
      </w:r>
      <w:r w:rsidR="009053B9" w:rsidRPr="009053B9">
        <w:rPr>
          <w:lang w:val="en-AU"/>
        </w:rPr>
        <w:t>26</w:t>
      </w:r>
      <w:r w:rsidR="009053B9">
        <w:rPr>
          <w:lang w:val="en-AU"/>
        </w:rPr>
        <w:t xml:space="preserve">.059,55 </w:t>
      </w:r>
      <w:r w:rsidR="00070CD0">
        <w:rPr>
          <w:lang w:val="en-AU"/>
        </w:rPr>
        <w:t xml:space="preserve">and </w:t>
      </w:r>
      <w:r w:rsidR="00070CD0" w:rsidRPr="00070CD0">
        <w:rPr>
          <w:lang w:val="en-AU"/>
        </w:rPr>
        <w:t xml:space="preserve">AUD </w:t>
      </w:r>
      <w:r w:rsidR="009053B9">
        <w:rPr>
          <w:lang w:val="en-AU"/>
        </w:rPr>
        <w:t>24.468,43</w:t>
      </w:r>
      <w:r w:rsidR="00070CD0">
        <w:rPr>
          <w:lang w:val="en-AU"/>
        </w:rPr>
        <w:t xml:space="preserve"> </w:t>
      </w:r>
      <w:r w:rsidR="00070CD0" w:rsidRPr="00070CD0">
        <w:rPr>
          <w:lang w:val="en-AU"/>
        </w:rPr>
        <w:t>using 0</w:t>
      </w:r>
      <w:r w:rsidR="00B2783C">
        <w:rPr>
          <w:lang w:val="en-AU"/>
        </w:rPr>
        <w:t> </w:t>
      </w:r>
      <w:r w:rsidR="00070CD0" w:rsidRPr="00070CD0">
        <w:rPr>
          <w:lang w:val="en-AU"/>
        </w:rPr>
        <w:t>% and 5</w:t>
      </w:r>
      <w:r w:rsidR="00B2783C">
        <w:rPr>
          <w:lang w:val="en-AU"/>
        </w:rPr>
        <w:t> </w:t>
      </w:r>
      <w:r w:rsidR="00070CD0" w:rsidRPr="00070CD0">
        <w:rPr>
          <w:lang w:val="en-AU"/>
        </w:rPr>
        <w:t>% discounting</w:t>
      </w:r>
      <w:r w:rsidR="00070CD0">
        <w:rPr>
          <w:lang w:val="en-AU"/>
        </w:rPr>
        <w:t xml:space="preserve">. </w:t>
      </w:r>
      <w:r w:rsidR="002F57DB">
        <w:rPr>
          <w:lang w:val="en-AU"/>
        </w:rPr>
        <w:t xml:space="preserve">The QALY associated with MEI was more influenced with a decrease from 1.75 to 1.41. The resulting ICER for the VSB against no intervention can thus be calculated as </w:t>
      </w:r>
      <w:r w:rsidR="002F57DB" w:rsidRPr="002F57DB">
        <w:rPr>
          <w:lang w:val="en-AU"/>
        </w:rPr>
        <w:t>13</w:t>
      </w:r>
      <w:r w:rsidR="009053B9">
        <w:rPr>
          <w:lang w:val="en-AU"/>
        </w:rPr>
        <w:t>.160.06</w:t>
      </w:r>
      <w:r w:rsidR="00B2783C">
        <w:rPr>
          <w:lang w:val="en-AU"/>
        </w:rPr>
        <w:t xml:space="preserve"> and </w:t>
      </w:r>
      <w:r w:rsidR="009053B9">
        <w:rPr>
          <w:lang w:val="en-AU"/>
        </w:rPr>
        <w:t>15.575,26</w:t>
      </w:r>
      <w:r w:rsidR="002F57DB">
        <w:rPr>
          <w:lang w:val="en-AU"/>
        </w:rPr>
        <w:t xml:space="preserve">, respectively. </w:t>
      </w:r>
      <w:r w:rsidR="005E6CAC">
        <w:rPr>
          <w:lang w:val="en-AU"/>
        </w:rPr>
        <w:t>Similar outcomes were seen when comparing the VSB to the MAXUM: D</w:t>
      </w:r>
      <w:r w:rsidR="005E6CAC" w:rsidRPr="005E6CAC">
        <w:rPr>
          <w:lang w:val="en-AU"/>
        </w:rPr>
        <w:t>iscounting</w:t>
      </w:r>
      <w:r w:rsidR="005E6CAC">
        <w:rPr>
          <w:lang w:val="en-AU"/>
        </w:rPr>
        <w:t xml:space="preserve"> over a 10-year time period did</w:t>
      </w:r>
      <w:r w:rsidR="005E6CAC" w:rsidRPr="005E6CAC">
        <w:rPr>
          <w:lang w:val="en-AU"/>
        </w:rPr>
        <w:t xml:space="preserve"> not influence incremental costs too much </w:t>
      </w:r>
      <w:r w:rsidR="005E6CAC">
        <w:rPr>
          <w:lang w:val="en-AU"/>
        </w:rPr>
        <w:t>while effectiveness outcomes were</w:t>
      </w:r>
      <w:r w:rsidR="005E6CAC" w:rsidRPr="005E6CAC">
        <w:rPr>
          <w:lang w:val="en-AU"/>
        </w:rPr>
        <w:t xml:space="preserve"> significantly decreased</w:t>
      </w:r>
      <w:r w:rsidR="005E6CAC">
        <w:rPr>
          <w:lang w:val="en-AU"/>
        </w:rPr>
        <w:t xml:space="preserve">. The resulting ICER was </w:t>
      </w:r>
      <w:r w:rsidR="009053B9">
        <w:rPr>
          <w:lang w:val="en-AU"/>
        </w:rPr>
        <w:t>45,75</w:t>
      </w:r>
      <w:r w:rsidR="005E6CAC">
        <w:rPr>
          <w:lang w:val="en-AU"/>
        </w:rPr>
        <w:t xml:space="preserve"> and </w:t>
      </w:r>
      <w:r w:rsidR="009053B9">
        <w:rPr>
          <w:lang w:val="en-AU"/>
        </w:rPr>
        <w:t>53.25</w:t>
      </w:r>
      <w:r w:rsidR="005E6CAC">
        <w:rPr>
          <w:lang w:val="en-AU"/>
        </w:rPr>
        <w:t>, at 0</w:t>
      </w:r>
      <w:r w:rsidR="00B2783C">
        <w:rPr>
          <w:lang w:val="en-AU"/>
        </w:rPr>
        <w:t> </w:t>
      </w:r>
      <w:r w:rsidR="005E6CAC">
        <w:rPr>
          <w:lang w:val="en-AU"/>
        </w:rPr>
        <w:t>% and 5</w:t>
      </w:r>
      <w:r w:rsidR="00B2783C">
        <w:rPr>
          <w:lang w:val="en-AU"/>
        </w:rPr>
        <w:t> </w:t>
      </w:r>
      <w:r w:rsidR="005E6CAC">
        <w:rPr>
          <w:lang w:val="en-AU"/>
        </w:rPr>
        <w:t>% discounting rates.</w:t>
      </w:r>
    </w:p>
    <w:p w14:paraId="0A3E5132" w14:textId="6E74EECB" w:rsidR="005E6CAC" w:rsidRDefault="002F57DB" w:rsidP="005B0EB0">
      <w:pPr>
        <w:pStyle w:val="Textbody"/>
        <w:rPr>
          <w:lang w:val="en-AU"/>
        </w:rPr>
      </w:pPr>
      <w:r>
        <w:rPr>
          <w:lang w:val="en-AU"/>
        </w:rPr>
        <w:t>The time horizon of the model was also extended to a 20 year time period. T</w:t>
      </w:r>
      <w:r w:rsidRPr="002F57DB">
        <w:rPr>
          <w:lang w:val="en-AU"/>
        </w:rPr>
        <w:t xml:space="preserve">he total cost per patient for the Vibrant Soundbridge </w:t>
      </w:r>
      <w:r>
        <w:rPr>
          <w:lang w:val="en-AU"/>
        </w:rPr>
        <w:t>increased from</w:t>
      </w:r>
      <w:r w:rsidRPr="002F57DB">
        <w:rPr>
          <w:lang w:val="en-AU"/>
        </w:rPr>
        <w:t xml:space="preserve"> </w:t>
      </w:r>
      <w:r w:rsidR="009053B9">
        <w:rPr>
          <w:lang w:val="en-AU"/>
        </w:rPr>
        <w:t>AUD 24.468,43</w:t>
      </w:r>
      <w:r w:rsidR="00B2783C">
        <w:rPr>
          <w:lang w:val="en-AU"/>
        </w:rPr>
        <w:t xml:space="preserve"> at 10 years to AUD </w:t>
      </w:r>
      <w:r w:rsidR="009053B9">
        <w:rPr>
          <w:lang w:val="en-AU"/>
        </w:rPr>
        <w:t>31.149,79</w:t>
      </w:r>
      <w:r w:rsidR="005E6CAC">
        <w:rPr>
          <w:lang w:val="en-AU"/>
        </w:rPr>
        <w:t xml:space="preserve"> at 20 years</w:t>
      </w:r>
      <w:r w:rsidRPr="002F57DB">
        <w:rPr>
          <w:lang w:val="en-AU"/>
        </w:rPr>
        <w:t>. The QALY associated with MEI was more infl</w:t>
      </w:r>
      <w:r w:rsidR="005E6CAC">
        <w:rPr>
          <w:lang w:val="en-AU"/>
        </w:rPr>
        <w:t>uenced with a decrease from 10.27 to 15.5</w:t>
      </w:r>
      <w:r w:rsidRPr="002F57DB">
        <w:rPr>
          <w:lang w:val="en-AU"/>
        </w:rPr>
        <w:t xml:space="preserve">. The resulting ICER for the VSB against no intervention can thus be calculated as </w:t>
      </w:r>
      <w:r w:rsidR="009053B9">
        <w:rPr>
          <w:lang w:val="en-AU"/>
        </w:rPr>
        <w:t>15.575,25</w:t>
      </w:r>
      <w:r w:rsidR="005E6CAC" w:rsidRPr="005E6CAC">
        <w:rPr>
          <w:lang w:val="en-AU"/>
        </w:rPr>
        <w:t xml:space="preserve"> </w:t>
      </w:r>
      <w:r w:rsidRPr="002F57DB">
        <w:rPr>
          <w:lang w:val="en-AU"/>
        </w:rPr>
        <w:t xml:space="preserve">and </w:t>
      </w:r>
      <w:r w:rsidR="009053B9" w:rsidRPr="009053B9">
        <w:rPr>
          <w:lang w:val="en-AU"/>
        </w:rPr>
        <w:t>12</w:t>
      </w:r>
      <w:r w:rsidR="009053B9">
        <w:rPr>
          <w:lang w:val="en-AU"/>
        </w:rPr>
        <w:t>.</w:t>
      </w:r>
      <w:r w:rsidR="009053B9" w:rsidRPr="009053B9">
        <w:rPr>
          <w:lang w:val="en-AU"/>
        </w:rPr>
        <w:t>986,73</w:t>
      </w:r>
      <w:r w:rsidRPr="002F57DB">
        <w:rPr>
          <w:lang w:val="en-AU"/>
        </w:rPr>
        <w:t>, respectively.</w:t>
      </w:r>
      <w:r w:rsidR="00CA0174">
        <w:rPr>
          <w:lang w:val="en-AU"/>
        </w:rPr>
        <w:t xml:space="preserve"> Comparing the VSB to the MAXUM showed that o</w:t>
      </w:r>
      <w:r w:rsidR="005E6CAC" w:rsidRPr="005E6CAC">
        <w:rPr>
          <w:lang w:val="en-AU"/>
        </w:rPr>
        <w:t>ver a 20-year time horizon differences in the cost and effectiveness of the two interventions become more apparent</w:t>
      </w:r>
      <w:r w:rsidR="00CA0174">
        <w:rPr>
          <w:lang w:val="en-AU"/>
        </w:rPr>
        <w:t>. T</w:t>
      </w:r>
      <w:r w:rsidR="00B2783C">
        <w:rPr>
          <w:lang w:val="en-AU"/>
        </w:rPr>
        <w:t xml:space="preserve">he incremental cost was  AUD </w:t>
      </w:r>
      <w:r w:rsidR="009053B9">
        <w:rPr>
          <w:lang w:val="en-AU"/>
        </w:rPr>
        <w:t>10.618,57</w:t>
      </w:r>
      <w:r w:rsidR="00B2783C">
        <w:rPr>
          <w:lang w:val="en-AU"/>
        </w:rPr>
        <w:t xml:space="preserve"> at 10 years and AUD </w:t>
      </w:r>
      <w:r w:rsidR="009053B9">
        <w:rPr>
          <w:lang w:val="en-AU"/>
        </w:rPr>
        <w:t>13.981,69</w:t>
      </w:r>
      <w:r w:rsidR="00CA0174">
        <w:rPr>
          <w:lang w:val="en-AU"/>
        </w:rPr>
        <w:t xml:space="preserve"> at 20 years; and the incremental effectiveness improved from 199.</w:t>
      </w:r>
      <w:r w:rsidR="00CA0174" w:rsidRPr="00CA0174">
        <w:rPr>
          <w:lang w:val="en-AU"/>
        </w:rPr>
        <w:t>41</w:t>
      </w:r>
      <w:r w:rsidR="00CA0174">
        <w:rPr>
          <w:lang w:val="en-AU"/>
        </w:rPr>
        <w:t xml:space="preserve"> to 306.</w:t>
      </w:r>
      <w:r w:rsidR="00CA0174" w:rsidRPr="00CA0174">
        <w:rPr>
          <w:lang w:val="en-AU"/>
        </w:rPr>
        <w:t>85</w:t>
      </w:r>
      <w:r w:rsidR="00CA0174">
        <w:rPr>
          <w:lang w:val="en-AU"/>
        </w:rPr>
        <w:t>.</w:t>
      </w:r>
    </w:p>
    <w:p w14:paraId="13BDA11E" w14:textId="77777777" w:rsidR="00070CD0" w:rsidRDefault="00070CD0" w:rsidP="005B0EB0">
      <w:pPr>
        <w:pStyle w:val="Textbody"/>
        <w:rPr>
          <w:lang w:val="en-AU"/>
        </w:rPr>
      </w:pPr>
    </w:p>
    <w:p w14:paraId="6CDAA6FB" w14:textId="77777777" w:rsidR="005B0EB0" w:rsidRPr="009A1A2E" w:rsidRDefault="005B0EB0" w:rsidP="005B0EB0">
      <w:pPr>
        <w:pStyle w:val="Textbody"/>
        <w:rPr>
          <w:lang w:val="en-AU"/>
        </w:rPr>
      </w:pPr>
    </w:p>
    <w:p w14:paraId="1B44D609" w14:textId="77777777" w:rsidR="00B52DA0" w:rsidRPr="009A1A2E" w:rsidRDefault="00B52DA0" w:rsidP="005B0EB0">
      <w:pPr>
        <w:pStyle w:val="Textbody"/>
        <w:rPr>
          <w:b/>
          <w:lang w:val="en-AU"/>
        </w:rPr>
      </w:pPr>
      <w:r w:rsidRPr="009A1A2E">
        <w:rPr>
          <w:b/>
          <w:lang w:val="en-AU"/>
        </w:rPr>
        <w:t>Estimated extent of Use and Financial Implications</w:t>
      </w:r>
    </w:p>
    <w:p w14:paraId="0DF00EB6" w14:textId="56FE6D1D" w:rsidR="007F6475" w:rsidRPr="003733D2" w:rsidRDefault="00B52DA0" w:rsidP="005B0EB0">
      <w:pPr>
        <w:pStyle w:val="Textbody"/>
        <w:rPr>
          <w:lang w:val="en-AU"/>
        </w:rPr>
      </w:pPr>
      <w:r w:rsidRPr="009A1A2E">
        <w:rPr>
          <w:lang w:val="en-AU"/>
        </w:rPr>
        <w:t xml:space="preserve">Based on the prevalence data provided in Section E.1, within the first year after listing, between 33 and 103 cases of insertion of a partially implantable Middle Ear Implant are to be expected. A further annual increase of </w:t>
      </w:r>
      <w:r w:rsidR="004C6FF9">
        <w:rPr>
          <w:lang w:val="en-AU"/>
        </w:rPr>
        <w:t>1.7</w:t>
      </w:r>
      <w:r w:rsidRPr="009A1A2E">
        <w:rPr>
          <w:lang w:val="en-AU"/>
        </w:rPr>
        <w:t> % per year is to be expected</w:t>
      </w:r>
      <w:r w:rsidR="009053B9">
        <w:rPr>
          <w:lang w:val="en-AU"/>
        </w:rPr>
        <w:t xml:space="preserve"> in accordance with </w:t>
      </w:r>
      <w:r w:rsidR="004C6FF9">
        <w:rPr>
          <w:lang w:val="en-AU"/>
        </w:rPr>
        <w:t>the population growth</w:t>
      </w:r>
      <w:r w:rsidRPr="009A1A2E">
        <w:rPr>
          <w:lang w:val="en-AU"/>
        </w:rPr>
        <w:t xml:space="preserve">. </w:t>
      </w:r>
      <w:r w:rsidR="004C6FF9">
        <w:rPr>
          <w:lang w:val="en-AU"/>
        </w:rPr>
        <w:t>The calculation of number of services each year is based on the assumption that the existing pool of eligible patients could be implanted over a 10 to 15 year period, with</w:t>
      </w:r>
      <w:r w:rsidR="00EE6BAD">
        <w:rPr>
          <w:lang w:val="en-AU"/>
        </w:rPr>
        <w:t xml:space="preserve"> 10 years representing a maximum</w:t>
      </w:r>
      <w:r w:rsidR="004C6FF9">
        <w:rPr>
          <w:lang w:val="en-AU"/>
        </w:rPr>
        <w:t xml:space="preserve"> and</w:t>
      </w:r>
      <w:r w:rsidR="00EE6BAD">
        <w:rPr>
          <w:lang w:val="en-AU"/>
        </w:rPr>
        <w:t xml:space="preserve"> 15 years representing a minimum</w:t>
      </w:r>
      <w:r w:rsidR="004C6FF9">
        <w:rPr>
          <w:lang w:val="en-AU"/>
        </w:rPr>
        <w:t xml:space="preserve"> number of services per year. Of course this assumption may be influenced by patients’ preferences, their willingness to undergo a surgical procedure and their ability to pay out-of-pocket for additional services or non-covered device costs</w:t>
      </w:r>
      <w:r w:rsidR="00CF7C81">
        <w:rPr>
          <w:lang w:val="en-AU"/>
        </w:rPr>
        <w:t>. Taking a mean number of 71 implnated pati</w:t>
      </w:r>
      <w:r w:rsidR="00EE6BAD">
        <w:rPr>
          <w:lang w:val="en-AU"/>
        </w:rPr>
        <w:t>ents into account, in</w:t>
      </w:r>
      <w:r w:rsidR="00CF7C81">
        <w:rPr>
          <w:lang w:val="en-AU"/>
        </w:rPr>
        <w:t xml:space="preserve"> the first year</w:t>
      </w:r>
      <w:r w:rsidR="00EE6BAD">
        <w:rPr>
          <w:lang w:val="en-AU"/>
        </w:rPr>
        <w:t xml:space="preserve"> a cost of</w:t>
      </w:r>
      <w:r w:rsidRPr="009A1A2E">
        <w:rPr>
          <w:lang w:val="en-AU"/>
        </w:rPr>
        <w:t xml:space="preserve"> AUD </w:t>
      </w:r>
      <w:r w:rsidR="00CF7C81">
        <w:rPr>
          <w:lang w:val="en-AU"/>
        </w:rPr>
        <w:t>133.263</w:t>
      </w:r>
      <w:r w:rsidRPr="009A1A2E">
        <w:rPr>
          <w:lang w:val="en-AU"/>
        </w:rPr>
        <w:t xml:space="preserve"> </w:t>
      </w:r>
      <w:r w:rsidR="00EE6BAD">
        <w:rPr>
          <w:lang w:val="en-AU"/>
        </w:rPr>
        <w:t xml:space="preserve">is expected to the MBS for the proposed item. </w:t>
      </w:r>
      <w:r w:rsidR="000E4BB9">
        <w:rPr>
          <w:lang w:val="en-AU"/>
        </w:rPr>
        <w:t xml:space="preserve">Total costs to </w:t>
      </w:r>
      <w:r w:rsidR="00EE6BAD">
        <w:rPr>
          <w:lang w:val="en-AU"/>
        </w:rPr>
        <w:t>the MBS for the</w:t>
      </w:r>
      <w:r w:rsidR="000E4BB9">
        <w:rPr>
          <w:lang w:val="en-AU"/>
        </w:rPr>
        <w:t xml:space="preserve"> associated items, pre-, post- and reimplantation related items, are estimated to sum up </w:t>
      </w:r>
      <w:r w:rsidR="000E4BB9" w:rsidRPr="000E4BB9">
        <w:rPr>
          <w:lang w:val="en-AU"/>
        </w:rPr>
        <w:t xml:space="preserve">to </w:t>
      </w:r>
      <w:r w:rsidR="000E4BB9">
        <w:rPr>
          <w:lang w:val="en-AU"/>
        </w:rPr>
        <w:t>AUD </w:t>
      </w:r>
      <w:r w:rsidR="000E4BB9" w:rsidRPr="000E4BB9">
        <w:rPr>
          <w:color w:val="000000"/>
          <w:lang w:eastAsia="en-US"/>
        </w:rPr>
        <w:t>144.895</w:t>
      </w:r>
      <w:r w:rsidR="000E4BB9">
        <w:rPr>
          <w:color w:val="000000"/>
          <w:lang w:eastAsia="en-US"/>
        </w:rPr>
        <w:t xml:space="preserve"> in the first year of implementing the proposed service. </w:t>
      </w:r>
      <w:r w:rsidR="00EE6BAD">
        <w:rPr>
          <w:lang w:val="en-AU"/>
        </w:rPr>
        <w:t xml:space="preserve">Total non-MBS </w:t>
      </w:r>
      <w:r w:rsidR="000E4BB9">
        <w:rPr>
          <w:lang w:val="en-AU"/>
        </w:rPr>
        <w:t xml:space="preserve">associated </w:t>
      </w:r>
      <w:r w:rsidR="00EE6BAD">
        <w:rPr>
          <w:lang w:val="en-AU"/>
        </w:rPr>
        <w:t>costs for</w:t>
      </w:r>
      <w:r w:rsidR="000E4BB9">
        <w:rPr>
          <w:lang w:val="en-AU"/>
        </w:rPr>
        <w:t xml:space="preserve"> the proposed intervention </w:t>
      </w:r>
      <w:r w:rsidR="00EE6BAD">
        <w:rPr>
          <w:lang w:val="en-AU"/>
        </w:rPr>
        <w:t>include</w:t>
      </w:r>
      <w:r w:rsidR="000E4BB9">
        <w:rPr>
          <w:lang w:val="en-AU"/>
        </w:rPr>
        <w:t xml:space="preserve"> the costs for hospital stay, counselling, batteries as well as the impla</w:t>
      </w:r>
      <w:r w:rsidR="00EE6BAD">
        <w:rPr>
          <w:lang w:val="en-AU"/>
        </w:rPr>
        <w:t xml:space="preserve">nt and processor, although the sum of </w:t>
      </w:r>
      <w:r w:rsidR="00B2783C">
        <w:rPr>
          <w:lang w:val="en-AU"/>
        </w:rPr>
        <w:t>AUD 1.0</w:t>
      </w:r>
      <w:r w:rsidR="00016592">
        <w:rPr>
          <w:lang w:val="en-AU"/>
        </w:rPr>
        <w:t>62</w:t>
      </w:r>
      <w:r w:rsidR="00B2783C">
        <w:rPr>
          <w:lang w:val="en-AU"/>
        </w:rPr>
        <w:t>.</w:t>
      </w:r>
      <w:r w:rsidR="00016592">
        <w:rPr>
          <w:lang w:val="en-AU"/>
        </w:rPr>
        <w:t>435</w:t>
      </w:r>
      <w:r w:rsidR="00EE6BAD" w:rsidRPr="00EE6BAD">
        <w:t xml:space="preserve"> </w:t>
      </w:r>
      <w:r w:rsidR="00EE6BAD" w:rsidRPr="00EE6BAD">
        <w:rPr>
          <w:lang w:val="en-AU"/>
        </w:rPr>
        <w:t xml:space="preserve">may be covered by the </w:t>
      </w:r>
      <w:r w:rsidR="00EE6BAD">
        <w:rPr>
          <w:lang w:val="en-AU"/>
        </w:rPr>
        <w:t>patient or private insurances</w:t>
      </w:r>
      <w:r w:rsidR="00B2783C">
        <w:rPr>
          <w:lang w:val="en-AU"/>
        </w:rPr>
        <w:t xml:space="preserve">. The overall total costs of the proposed intervention </w:t>
      </w:r>
      <w:r w:rsidR="00EE6BAD">
        <w:rPr>
          <w:lang w:val="en-AU"/>
        </w:rPr>
        <w:t>is therefore</w:t>
      </w:r>
      <w:r w:rsidR="00B2783C">
        <w:rPr>
          <w:lang w:val="en-AU"/>
        </w:rPr>
        <w:t xml:space="preserve"> AUD 1.3</w:t>
      </w:r>
      <w:r w:rsidR="00016592">
        <w:rPr>
          <w:lang w:val="en-AU"/>
        </w:rPr>
        <w:t>40</w:t>
      </w:r>
      <w:r w:rsidR="00B2783C">
        <w:rPr>
          <w:lang w:val="en-AU"/>
        </w:rPr>
        <w:t>.</w:t>
      </w:r>
      <w:r w:rsidR="00016592">
        <w:rPr>
          <w:lang w:val="en-AU"/>
        </w:rPr>
        <w:t>594</w:t>
      </w:r>
      <w:r w:rsidR="00B2783C">
        <w:rPr>
          <w:lang w:val="en-AU"/>
        </w:rPr>
        <w:t xml:space="preserve"> in the first year. Taking the population growth into ac</w:t>
      </w:r>
      <w:r w:rsidR="00EE6BAD">
        <w:rPr>
          <w:lang w:val="en-AU"/>
        </w:rPr>
        <w:t xml:space="preserve">count, these costs will rise </w:t>
      </w:r>
      <w:r w:rsidR="00B2783C" w:rsidRPr="00B2783C">
        <w:rPr>
          <w:lang w:val="en-AU"/>
        </w:rPr>
        <w:t xml:space="preserve">to </w:t>
      </w:r>
      <w:r w:rsidR="00B2783C">
        <w:rPr>
          <w:lang w:val="en-AU"/>
        </w:rPr>
        <w:t>AUD </w:t>
      </w:r>
      <w:r w:rsidR="00B2783C" w:rsidRPr="00B2783C">
        <w:rPr>
          <w:bCs/>
          <w:color w:val="000000"/>
          <w:lang w:eastAsia="en-US"/>
        </w:rPr>
        <w:t>1.4</w:t>
      </w:r>
      <w:r w:rsidR="00016592">
        <w:rPr>
          <w:bCs/>
          <w:color w:val="000000"/>
          <w:lang w:eastAsia="en-US"/>
        </w:rPr>
        <w:t>53</w:t>
      </w:r>
      <w:r w:rsidR="00B2783C" w:rsidRPr="00B2783C">
        <w:rPr>
          <w:bCs/>
          <w:color w:val="000000"/>
          <w:lang w:eastAsia="en-US"/>
        </w:rPr>
        <w:t>7.</w:t>
      </w:r>
      <w:r w:rsidR="00016592">
        <w:rPr>
          <w:bCs/>
          <w:color w:val="000000"/>
          <w:lang w:eastAsia="en-US"/>
        </w:rPr>
        <w:t>883</w:t>
      </w:r>
      <w:r w:rsidR="00B2783C">
        <w:rPr>
          <w:bCs/>
          <w:color w:val="000000"/>
          <w:lang w:eastAsia="en-US"/>
        </w:rPr>
        <w:t xml:space="preserve"> in the fifth year of implementation.</w:t>
      </w:r>
      <w:r w:rsidR="007B13DB">
        <w:rPr>
          <w:bCs/>
          <w:color w:val="000000"/>
          <w:lang w:eastAsia="en-US"/>
        </w:rPr>
        <w:t xml:space="preserve"> Considering the deterministic sensitivity </w:t>
      </w:r>
      <w:r w:rsidR="00EE6BAD">
        <w:rPr>
          <w:bCs/>
          <w:color w:val="000000"/>
          <w:lang w:eastAsia="en-US"/>
        </w:rPr>
        <w:t xml:space="preserve">analysis </w:t>
      </w:r>
      <w:r w:rsidR="007B13DB">
        <w:rPr>
          <w:bCs/>
          <w:color w:val="000000"/>
          <w:lang w:eastAsia="en-US"/>
        </w:rPr>
        <w:t>provided in section E5, the number of procedures varies by ± 10 a</w:t>
      </w:r>
      <w:r w:rsidR="001D516B">
        <w:rPr>
          <w:bCs/>
          <w:color w:val="000000"/>
          <w:lang w:eastAsia="en-US"/>
        </w:rPr>
        <w:t>r</w:t>
      </w:r>
      <w:r w:rsidR="007B13DB">
        <w:rPr>
          <w:bCs/>
          <w:color w:val="000000"/>
          <w:lang w:eastAsia="en-US"/>
        </w:rPr>
        <w:t>ound the base case</w:t>
      </w:r>
      <w:r w:rsidR="00EE6BAD">
        <w:rPr>
          <w:bCs/>
          <w:color w:val="000000"/>
          <w:lang w:eastAsia="en-US"/>
        </w:rPr>
        <w:t xml:space="preserve"> values presented for</w:t>
      </w:r>
      <w:r w:rsidR="007B13DB">
        <w:rPr>
          <w:bCs/>
          <w:color w:val="000000"/>
          <w:lang w:eastAsia="en-US"/>
        </w:rPr>
        <w:t xml:space="preserve"> </w:t>
      </w:r>
      <w:r w:rsidR="00EE6BAD">
        <w:rPr>
          <w:bCs/>
          <w:color w:val="000000"/>
          <w:lang w:eastAsia="en-US"/>
        </w:rPr>
        <w:t>each year.</w:t>
      </w:r>
      <w:r w:rsidR="007B13DB">
        <w:rPr>
          <w:bCs/>
          <w:color w:val="000000"/>
          <w:lang w:eastAsia="en-US"/>
        </w:rPr>
        <w:t xml:space="preserve"> </w:t>
      </w:r>
    </w:p>
    <w:p w14:paraId="4D7106C0" w14:textId="77777777" w:rsidR="00BF722B" w:rsidRPr="009A1A2E" w:rsidRDefault="00BF722B" w:rsidP="005B0EB0">
      <w:pPr>
        <w:pStyle w:val="Textbody"/>
        <w:rPr>
          <w:lang w:val="en-AU"/>
        </w:rPr>
      </w:pPr>
    </w:p>
    <w:p w14:paraId="041CDB28" w14:textId="77777777" w:rsidR="00BF722B" w:rsidRPr="009A1A2E" w:rsidRDefault="00BF722B" w:rsidP="005B0EB0">
      <w:pPr>
        <w:pStyle w:val="Textbody"/>
        <w:rPr>
          <w:lang w:val="en-AU"/>
        </w:rPr>
        <w:sectPr w:rsidR="00BF722B" w:rsidRPr="009A1A2E" w:rsidSect="00B23BCE">
          <w:headerReference w:type="default" r:id="rId20"/>
          <w:footerReference w:type="default" r:id="rId21"/>
          <w:type w:val="nextColumn"/>
          <w:pgSz w:w="11907" w:h="16839" w:code="9"/>
          <w:pgMar w:top="1440" w:right="1440" w:bottom="1440" w:left="1440" w:header="720" w:footer="720" w:gutter="0"/>
          <w:paperSrc w:first="7" w:other="7"/>
          <w:pgNumType w:fmt="lowerRoman"/>
          <w:cols w:space="720"/>
          <w:docGrid w:linePitch="299"/>
        </w:sectPr>
      </w:pPr>
    </w:p>
    <w:p w14:paraId="6210341E" w14:textId="77777777" w:rsidR="00844317" w:rsidRPr="009A1A2E" w:rsidRDefault="00362526" w:rsidP="00213B3B">
      <w:pPr>
        <w:pStyle w:val="Heading1"/>
        <w:spacing w:line="360" w:lineRule="auto"/>
        <w:jc w:val="both"/>
        <w:rPr>
          <w:lang w:val="en-AU"/>
        </w:rPr>
      </w:pPr>
      <w:bookmarkStart w:id="15" w:name="_Toc400549388"/>
      <w:bookmarkStart w:id="16" w:name="_Toc431917541"/>
      <w:r w:rsidRPr="009A1A2E">
        <w:rPr>
          <w:lang w:val="en-AU"/>
        </w:rPr>
        <w:lastRenderedPageBreak/>
        <w:t>Table of C</w:t>
      </w:r>
      <w:r w:rsidR="00844317" w:rsidRPr="009A1A2E">
        <w:rPr>
          <w:lang w:val="en-AU"/>
        </w:rPr>
        <w:t>ontents</w:t>
      </w:r>
      <w:bookmarkEnd w:id="2"/>
      <w:bookmarkEnd w:id="3"/>
      <w:bookmarkEnd w:id="4"/>
      <w:bookmarkEnd w:id="5"/>
      <w:bookmarkEnd w:id="6"/>
      <w:bookmarkEnd w:id="7"/>
      <w:bookmarkEnd w:id="15"/>
      <w:bookmarkEnd w:id="16"/>
    </w:p>
    <w:bookmarkEnd w:id="8"/>
    <w:bookmarkEnd w:id="9"/>
    <w:bookmarkEnd w:id="10"/>
    <w:p w14:paraId="053BE5C3" w14:textId="77777777" w:rsidR="00424BEA" w:rsidRDefault="001C535A">
      <w:pPr>
        <w:pStyle w:val="TOC1"/>
        <w:tabs>
          <w:tab w:val="right" w:leader="dot" w:pos="9017"/>
        </w:tabs>
        <w:rPr>
          <w:rFonts w:asciiTheme="minorHAnsi" w:eastAsiaTheme="minorEastAsia" w:hAnsiTheme="minorHAnsi" w:cstheme="minorBidi"/>
          <w:b w:val="0"/>
          <w:bCs w:val="0"/>
          <w:noProof/>
          <w:szCs w:val="22"/>
          <w:lang w:val="en-US" w:eastAsia="en-US"/>
        </w:rPr>
      </w:pPr>
      <w:r w:rsidRPr="009A1A2E">
        <w:rPr>
          <w:rFonts w:cs="Arial"/>
          <w:szCs w:val="22"/>
        </w:rPr>
        <w:fldChar w:fldCharType="begin"/>
      </w:r>
      <w:r w:rsidRPr="009A1A2E">
        <w:rPr>
          <w:rFonts w:cs="Arial"/>
          <w:szCs w:val="22"/>
        </w:rPr>
        <w:instrText xml:space="preserve"> TOC \o "1-3" \h \z \u </w:instrText>
      </w:r>
      <w:r w:rsidRPr="009A1A2E">
        <w:rPr>
          <w:rFonts w:cs="Arial"/>
          <w:szCs w:val="22"/>
        </w:rPr>
        <w:fldChar w:fldCharType="separate"/>
      </w:r>
      <w:hyperlink w:anchor="_Toc431917540" w:history="1">
        <w:r w:rsidR="00424BEA" w:rsidRPr="003C38FB">
          <w:rPr>
            <w:rStyle w:val="Hyperlink"/>
            <w:noProof/>
          </w:rPr>
          <w:t>Executive Summary</w:t>
        </w:r>
        <w:r w:rsidR="00424BEA">
          <w:rPr>
            <w:noProof/>
            <w:webHidden/>
          </w:rPr>
          <w:tab/>
        </w:r>
        <w:r w:rsidR="00424BEA">
          <w:rPr>
            <w:noProof/>
            <w:webHidden/>
          </w:rPr>
          <w:fldChar w:fldCharType="begin"/>
        </w:r>
        <w:r w:rsidR="00424BEA">
          <w:rPr>
            <w:noProof/>
            <w:webHidden/>
          </w:rPr>
          <w:instrText xml:space="preserve"> PAGEREF _Toc431917540 \h </w:instrText>
        </w:r>
        <w:r w:rsidR="00424BEA">
          <w:rPr>
            <w:noProof/>
            <w:webHidden/>
          </w:rPr>
        </w:r>
        <w:r w:rsidR="00424BEA">
          <w:rPr>
            <w:noProof/>
            <w:webHidden/>
          </w:rPr>
          <w:fldChar w:fldCharType="separate"/>
        </w:r>
        <w:r w:rsidR="00CB5BA6">
          <w:rPr>
            <w:noProof/>
            <w:webHidden/>
          </w:rPr>
          <w:t>i</w:t>
        </w:r>
        <w:r w:rsidR="00424BEA">
          <w:rPr>
            <w:noProof/>
            <w:webHidden/>
          </w:rPr>
          <w:fldChar w:fldCharType="end"/>
        </w:r>
      </w:hyperlink>
    </w:p>
    <w:p w14:paraId="65EA2E79" w14:textId="77777777" w:rsidR="00424BEA" w:rsidRDefault="009A7DB9">
      <w:pPr>
        <w:pStyle w:val="TOC1"/>
        <w:tabs>
          <w:tab w:val="right" w:leader="dot" w:pos="9017"/>
        </w:tabs>
        <w:rPr>
          <w:rFonts w:asciiTheme="minorHAnsi" w:eastAsiaTheme="minorEastAsia" w:hAnsiTheme="minorHAnsi" w:cstheme="minorBidi"/>
          <w:b w:val="0"/>
          <w:bCs w:val="0"/>
          <w:noProof/>
          <w:szCs w:val="22"/>
          <w:lang w:val="en-US" w:eastAsia="en-US"/>
        </w:rPr>
      </w:pPr>
      <w:hyperlink w:anchor="_Toc431917541" w:history="1">
        <w:r w:rsidR="00424BEA" w:rsidRPr="003C38FB">
          <w:rPr>
            <w:rStyle w:val="Hyperlink"/>
            <w:noProof/>
          </w:rPr>
          <w:t>Table of Contents</w:t>
        </w:r>
        <w:r w:rsidR="00424BEA">
          <w:rPr>
            <w:noProof/>
            <w:webHidden/>
          </w:rPr>
          <w:tab/>
        </w:r>
        <w:r w:rsidR="00424BEA">
          <w:rPr>
            <w:noProof/>
            <w:webHidden/>
          </w:rPr>
          <w:fldChar w:fldCharType="begin"/>
        </w:r>
        <w:r w:rsidR="00424BEA">
          <w:rPr>
            <w:noProof/>
            <w:webHidden/>
          </w:rPr>
          <w:instrText xml:space="preserve"> PAGEREF _Toc431917541 \h </w:instrText>
        </w:r>
        <w:r w:rsidR="00424BEA">
          <w:rPr>
            <w:noProof/>
            <w:webHidden/>
          </w:rPr>
        </w:r>
        <w:r w:rsidR="00424BEA">
          <w:rPr>
            <w:noProof/>
            <w:webHidden/>
          </w:rPr>
          <w:fldChar w:fldCharType="separate"/>
        </w:r>
        <w:r w:rsidR="00CB5BA6">
          <w:rPr>
            <w:noProof/>
            <w:webHidden/>
          </w:rPr>
          <w:t>xvi</w:t>
        </w:r>
        <w:r w:rsidR="00424BEA">
          <w:rPr>
            <w:noProof/>
            <w:webHidden/>
          </w:rPr>
          <w:fldChar w:fldCharType="end"/>
        </w:r>
      </w:hyperlink>
    </w:p>
    <w:p w14:paraId="6405C07B" w14:textId="77777777" w:rsidR="00424BEA" w:rsidRDefault="009A7DB9">
      <w:pPr>
        <w:pStyle w:val="TOC1"/>
        <w:tabs>
          <w:tab w:val="right" w:leader="dot" w:pos="9017"/>
        </w:tabs>
        <w:rPr>
          <w:rFonts w:asciiTheme="minorHAnsi" w:eastAsiaTheme="minorEastAsia" w:hAnsiTheme="minorHAnsi" w:cstheme="minorBidi"/>
          <w:b w:val="0"/>
          <w:bCs w:val="0"/>
          <w:noProof/>
          <w:szCs w:val="22"/>
          <w:lang w:val="en-US" w:eastAsia="en-US"/>
        </w:rPr>
      </w:pPr>
      <w:hyperlink w:anchor="_Toc431917542" w:history="1">
        <w:r w:rsidR="00424BEA" w:rsidRPr="003C38FB">
          <w:rPr>
            <w:rStyle w:val="Hyperlink"/>
            <w:noProof/>
          </w:rPr>
          <w:t>List of Tables</w:t>
        </w:r>
        <w:r w:rsidR="00424BEA">
          <w:rPr>
            <w:noProof/>
            <w:webHidden/>
          </w:rPr>
          <w:tab/>
        </w:r>
        <w:r w:rsidR="00424BEA">
          <w:rPr>
            <w:noProof/>
            <w:webHidden/>
          </w:rPr>
          <w:fldChar w:fldCharType="begin"/>
        </w:r>
        <w:r w:rsidR="00424BEA">
          <w:rPr>
            <w:noProof/>
            <w:webHidden/>
          </w:rPr>
          <w:instrText xml:space="preserve"> PAGEREF _Toc431917542 \h </w:instrText>
        </w:r>
        <w:r w:rsidR="00424BEA">
          <w:rPr>
            <w:noProof/>
            <w:webHidden/>
          </w:rPr>
        </w:r>
        <w:r w:rsidR="00424BEA">
          <w:rPr>
            <w:noProof/>
            <w:webHidden/>
          </w:rPr>
          <w:fldChar w:fldCharType="separate"/>
        </w:r>
        <w:r w:rsidR="00CB5BA6">
          <w:rPr>
            <w:noProof/>
            <w:webHidden/>
          </w:rPr>
          <w:t>xix</w:t>
        </w:r>
        <w:r w:rsidR="00424BEA">
          <w:rPr>
            <w:noProof/>
            <w:webHidden/>
          </w:rPr>
          <w:fldChar w:fldCharType="end"/>
        </w:r>
      </w:hyperlink>
    </w:p>
    <w:p w14:paraId="4BB6176F" w14:textId="77777777" w:rsidR="00424BEA" w:rsidRDefault="009A7DB9">
      <w:pPr>
        <w:pStyle w:val="TOC1"/>
        <w:tabs>
          <w:tab w:val="right" w:leader="dot" w:pos="9017"/>
        </w:tabs>
        <w:rPr>
          <w:rFonts w:asciiTheme="minorHAnsi" w:eastAsiaTheme="minorEastAsia" w:hAnsiTheme="minorHAnsi" w:cstheme="minorBidi"/>
          <w:b w:val="0"/>
          <w:bCs w:val="0"/>
          <w:noProof/>
          <w:szCs w:val="22"/>
          <w:lang w:val="en-US" w:eastAsia="en-US"/>
        </w:rPr>
      </w:pPr>
      <w:hyperlink w:anchor="_Toc431917543" w:history="1">
        <w:r w:rsidR="00424BEA" w:rsidRPr="003C38FB">
          <w:rPr>
            <w:rStyle w:val="Hyperlink"/>
            <w:noProof/>
          </w:rPr>
          <w:t>List of Figures</w:t>
        </w:r>
        <w:r w:rsidR="00424BEA">
          <w:rPr>
            <w:noProof/>
            <w:webHidden/>
          </w:rPr>
          <w:tab/>
        </w:r>
        <w:r w:rsidR="00424BEA">
          <w:rPr>
            <w:noProof/>
            <w:webHidden/>
          </w:rPr>
          <w:fldChar w:fldCharType="begin"/>
        </w:r>
        <w:r w:rsidR="00424BEA">
          <w:rPr>
            <w:noProof/>
            <w:webHidden/>
          </w:rPr>
          <w:instrText xml:space="preserve"> PAGEREF _Toc431917543 \h </w:instrText>
        </w:r>
        <w:r w:rsidR="00424BEA">
          <w:rPr>
            <w:noProof/>
            <w:webHidden/>
          </w:rPr>
        </w:r>
        <w:r w:rsidR="00424BEA">
          <w:rPr>
            <w:noProof/>
            <w:webHidden/>
          </w:rPr>
          <w:fldChar w:fldCharType="separate"/>
        </w:r>
        <w:r w:rsidR="00CB5BA6">
          <w:rPr>
            <w:noProof/>
            <w:webHidden/>
          </w:rPr>
          <w:t>xxiii</w:t>
        </w:r>
        <w:r w:rsidR="00424BEA">
          <w:rPr>
            <w:noProof/>
            <w:webHidden/>
          </w:rPr>
          <w:fldChar w:fldCharType="end"/>
        </w:r>
      </w:hyperlink>
    </w:p>
    <w:p w14:paraId="23ADD49E" w14:textId="77777777" w:rsidR="00424BEA" w:rsidRDefault="009A7DB9">
      <w:pPr>
        <w:pStyle w:val="TOC1"/>
        <w:tabs>
          <w:tab w:val="right" w:leader="dot" w:pos="9017"/>
        </w:tabs>
        <w:rPr>
          <w:rFonts w:asciiTheme="minorHAnsi" w:eastAsiaTheme="minorEastAsia" w:hAnsiTheme="minorHAnsi" w:cstheme="minorBidi"/>
          <w:b w:val="0"/>
          <w:bCs w:val="0"/>
          <w:noProof/>
          <w:szCs w:val="22"/>
          <w:lang w:val="en-US" w:eastAsia="en-US"/>
        </w:rPr>
      </w:pPr>
      <w:hyperlink w:anchor="_Toc431917544" w:history="1">
        <w:r w:rsidR="00424BEA" w:rsidRPr="003C38FB">
          <w:rPr>
            <w:rStyle w:val="Hyperlink"/>
            <w:noProof/>
          </w:rPr>
          <w:t>List of Attachments</w:t>
        </w:r>
        <w:r w:rsidR="00424BEA">
          <w:rPr>
            <w:noProof/>
            <w:webHidden/>
          </w:rPr>
          <w:tab/>
        </w:r>
        <w:r w:rsidR="00424BEA">
          <w:rPr>
            <w:noProof/>
            <w:webHidden/>
          </w:rPr>
          <w:fldChar w:fldCharType="begin"/>
        </w:r>
        <w:r w:rsidR="00424BEA">
          <w:rPr>
            <w:noProof/>
            <w:webHidden/>
          </w:rPr>
          <w:instrText xml:space="preserve"> PAGEREF _Toc431917544 \h </w:instrText>
        </w:r>
        <w:r w:rsidR="00424BEA">
          <w:rPr>
            <w:noProof/>
            <w:webHidden/>
          </w:rPr>
        </w:r>
        <w:r w:rsidR="00424BEA">
          <w:rPr>
            <w:noProof/>
            <w:webHidden/>
          </w:rPr>
          <w:fldChar w:fldCharType="separate"/>
        </w:r>
        <w:r w:rsidR="00CB5BA6">
          <w:rPr>
            <w:noProof/>
            <w:webHidden/>
          </w:rPr>
          <w:t>xxiv</w:t>
        </w:r>
        <w:r w:rsidR="00424BEA">
          <w:rPr>
            <w:noProof/>
            <w:webHidden/>
          </w:rPr>
          <w:fldChar w:fldCharType="end"/>
        </w:r>
      </w:hyperlink>
    </w:p>
    <w:p w14:paraId="5EC27C53" w14:textId="77777777" w:rsidR="00424BEA" w:rsidRDefault="009A7DB9">
      <w:pPr>
        <w:pStyle w:val="TOC1"/>
        <w:tabs>
          <w:tab w:val="right" w:leader="dot" w:pos="9017"/>
        </w:tabs>
        <w:rPr>
          <w:rFonts w:asciiTheme="minorHAnsi" w:eastAsiaTheme="minorEastAsia" w:hAnsiTheme="minorHAnsi" w:cstheme="minorBidi"/>
          <w:b w:val="0"/>
          <w:bCs w:val="0"/>
          <w:noProof/>
          <w:szCs w:val="22"/>
          <w:lang w:val="en-US" w:eastAsia="en-US"/>
        </w:rPr>
      </w:pPr>
      <w:hyperlink w:anchor="_Toc431917545" w:history="1">
        <w:r w:rsidR="00424BEA" w:rsidRPr="003C38FB">
          <w:rPr>
            <w:rStyle w:val="Hyperlink"/>
            <w:noProof/>
          </w:rPr>
          <w:t>List of Volumes</w:t>
        </w:r>
        <w:r w:rsidR="00424BEA">
          <w:rPr>
            <w:noProof/>
            <w:webHidden/>
          </w:rPr>
          <w:tab/>
        </w:r>
        <w:r w:rsidR="00424BEA">
          <w:rPr>
            <w:noProof/>
            <w:webHidden/>
          </w:rPr>
          <w:fldChar w:fldCharType="begin"/>
        </w:r>
        <w:r w:rsidR="00424BEA">
          <w:rPr>
            <w:noProof/>
            <w:webHidden/>
          </w:rPr>
          <w:instrText xml:space="preserve"> PAGEREF _Toc431917545 \h </w:instrText>
        </w:r>
        <w:r w:rsidR="00424BEA">
          <w:rPr>
            <w:noProof/>
            <w:webHidden/>
          </w:rPr>
        </w:r>
        <w:r w:rsidR="00424BEA">
          <w:rPr>
            <w:noProof/>
            <w:webHidden/>
          </w:rPr>
          <w:fldChar w:fldCharType="separate"/>
        </w:r>
        <w:r w:rsidR="00CB5BA6">
          <w:rPr>
            <w:noProof/>
            <w:webHidden/>
          </w:rPr>
          <w:t>xxv</w:t>
        </w:r>
        <w:r w:rsidR="00424BEA">
          <w:rPr>
            <w:noProof/>
            <w:webHidden/>
          </w:rPr>
          <w:fldChar w:fldCharType="end"/>
        </w:r>
      </w:hyperlink>
    </w:p>
    <w:p w14:paraId="66286E91" w14:textId="77777777" w:rsidR="00424BEA" w:rsidRDefault="009A7DB9">
      <w:pPr>
        <w:pStyle w:val="TOC1"/>
        <w:tabs>
          <w:tab w:val="right" w:leader="dot" w:pos="9017"/>
        </w:tabs>
        <w:rPr>
          <w:rFonts w:asciiTheme="minorHAnsi" w:eastAsiaTheme="minorEastAsia" w:hAnsiTheme="minorHAnsi" w:cstheme="minorBidi"/>
          <w:b w:val="0"/>
          <w:bCs w:val="0"/>
          <w:noProof/>
          <w:szCs w:val="22"/>
          <w:lang w:val="en-US" w:eastAsia="en-US"/>
        </w:rPr>
      </w:pPr>
      <w:hyperlink w:anchor="_Toc431917546" w:history="1">
        <w:r w:rsidR="00424BEA" w:rsidRPr="003C38FB">
          <w:rPr>
            <w:rStyle w:val="Hyperlink"/>
            <w:noProof/>
          </w:rPr>
          <w:t>Abbreviations</w:t>
        </w:r>
        <w:r w:rsidR="00424BEA">
          <w:rPr>
            <w:noProof/>
            <w:webHidden/>
          </w:rPr>
          <w:tab/>
        </w:r>
        <w:r w:rsidR="00424BEA">
          <w:rPr>
            <w:noProof/>
            <w:webHidden/>
          </w:rPr>
          <w:fldChar w:fldCharType="begin"/>
        </w:r>
        <w:r w:rsidR="00424BEA">
          <w:rPr>
            <w:noProof/>
            <w:webHidden/>
          </w:rPr>
          <w:instrText xml:space="preserve"> PAGEREF _Toc431917546 \h </w:instrText>
        </w:r>
        <w:r w:rsidR="00424BEA">
          <w:rPr>
            <w:noProof/>
            <w:webHidden/>
          </w:rPr>
        </w:r>
        <w:r w:rsidR="00424BEA">
          <w:rPr>
            <w:noProof/>
            <w:webHidden/>
          </w:rPr>
          <w:fldChar w:fldCharType="separate"/>
        </w:r>
        <w:r w:rsidR="00CB5BA6">
          <w:rPr>
            <w:noProof/>
            <w:webHidden/>
          </w:rPr>
          <w:t>xxvi</w:t>
        </w:r>
        <w:r w:rsidR="00424BEA">
          <w:rPr>
            <w:noProof/>
            <w:webHidden/>
          </w:rPr>
          <w:fldChar w:fldCharType="end"/>
        </w:r>
      </w:hyperlink>
    </w:p>
    <w:p w14:paraId="38269887" w14:textId="77777777" w:rsidR="00424BEA" w:rsidRDefault="009A7DB9">
      <w:pPr>
        <w:pStyle w:val="TOC1"/>
        <w:tabs>
          <w:tab w:val="right" w:leader="dot" w:pos="9017"/>
        </w:tabs>
        <w:rPr>
          <w:rFonts w:asciiTheme="minorHAnsi" w:eastAsiaTheme="minorEastAsia" w:hAnsiTheme="minorHAnsi" w:cstheme="minorBidi"/>
          <w:b w:val="0"/>
          <w:bCs w:val="0"/>
          <w:noProof/>
          <w:szCs w:val="22"/>
          <w:lang w:val="en-US" w:eastAsia="en-US"/>
        </w:rPr>
      </w:pPr>
      <w:hyperlink w:anchor="_Toc431917547" w:history="1">
        <w:r w:rsidR="00424BEA" w:rsidRPr="003C38FB">
          <w:rPr>
            <w:rStyle w:val="Hyperlink"/>
            <w:noProof/>
          </w:rPr>
          <w:t>A.</w:t>
        </w:r>
        <w:r w:rsidR="00424BEA">
          <w:rPr>
            <w:rFonts w:asciiTheme="minorHAnsi" w:eastAsiaTheme="minorEastAsia" w:hAnsiTheme="minorHAnsi" w:cstheme="minorBidi"/>
            <w:b w:val="0"/>
            <w:bCs w:val="0"/>
            <w:noProof/>
            <w:szCs w:val="22"/>
            <w:lang w:val="en-US" w:eastAsia="en-US"/>
          </w:rPr>
          <w:tab/>
        </w:r>
        <w:r w:rsidR="00424BEA" w:rsidRPr="003C38FB">
          <w:rPr>
            <w:rStyle w:val="Hyperlink"/>
            <w:noProof/>
          </w:rPr>
          <w:t>Details of the proposed intervention and its intended use on the MBS</w:t>
        </w:r>
        <w:r w:rsidR="00424BEA">
          <w:rPr>
            <w:noProof/>
            <w:webHidden/>
          </w:rPr>
          <w:tab/>
        </w:r>
        <w:r w:rsidR="00424BEA">
          <w:rPr>
            <w:noProof/>
            <w:webHidden/>
          </w:rPr>
          <w:fldChar w:fldCharType="begin"/>
        </w:r>
        <w:r w:rsidR="00424BEA">
          <w:rPr>
            <w:noProof/>
            <w:webHidden/>
          </w:rPr>
          <w:instrText xml:space="preserve"> PAGEREF _Toc431917547 \h </w:instrText>
        </w:r>
        <w:r w:rsidR="00424BEA">
          <w:rPr>
            <w:noProof/>
            <w:webHidden/>
          </w:rPr>
        </w:r>
        <w:r w:rsidR="00424BEA">
          <w:rPr>
            <w:noProof/>
            <w:webHidden/>
          </w:rPr>
          <w:fldChar w:fldCharType="separate"/>
        </w:r>
        <w:r w:rsidR="00CB5BA6">
          <w:rPr>
            <w:noProof/>
            <w:webHidden/>
          </w:rPr>
          <w:t>1</w:t>
        </w:r>
        <w:r w:rsidR="00424BEA">
          <w:rPr>
            <w:noProof/>
            <w:webHidden/>
          </w:rPr>
          <w:fldChar w:fldCharType="end"/>
        </w:r>
      </w:hyperlink>
    </w:p>
    <w:p w14:paraId="3BB64371" w14:textId="77777777" w:rsidR="00424BEA" w:rsidRDefault="009A7DB9">
      <w:pPr>
        <w:pStyle w:val="TOC2"/>
        <w:tabs>
          <w:tab w:val="left" w:pos="720"/>
          <w:tab w:val="right" w:leader="dot" w:pos="9017"/>
        </w:tabs>
        <w:rPr>
          <w:rFonts w:asciiTheme="minorHAnsi" w:eastAsiaTheme="minorEastAsia" w:hAnsiTheme="minorHAnsi" w:cstheme="minorBidi"/>
          <w:noProof/>
          <w:sz w:val="22"/>
          <w:szCs w:val="22"/>
          <w:lang w:val="en-US" w:eastAsia="en-US"/>
        </w:rPr>
      </w:pPr>
      <w:hyperlink w:anchor="_Toc431917548" w:history="1">
        <w:r w:rsidR="00424BEA" w:rsidRPr="003C38FB">
          <w:rPr>
            <w:rStyle w:val="Hyperlink"/>
            <w:noProof/>
          </w:rPr>
          <w:t>A.1</w:t>
        </w:r>
        <w:r w:rsidR="00424BEA">
          <w:rPr>
            <w:rFonts w:asciiTheme="minorHAnsi" w:eastAsiaTheme="minorEastAsia" w:hAnsiTheme="minorHAnsi" w:cstheme="minorBidi"/>
            <w:noProof/>
            <w:sz w:val="22"/>
            <w:szCs w:val="22"/>
            <w:lang w:val="en-US" w:eastAsia="en-US"/>
          </w:rPr>
          <w:tab/>
        </w:r>
        <w:r w:rsidR="00424BEA" w:rsidRPr="003C38FB">
          <w:rPr>
            <w:rStyle w:val="Hyperlink"/>
            <w:noProof/>
          </w:rPr>
          <w:t>Requested MBS listing and details of the intervention</w:t>
        </w:r>
        <w:r w:rsidR="00424BEA">
          <w:rPr>
            <w:noProof/>
            <w:webHidden/>
          </w:rPr>
          <w:tab/>
        </w:r>
        <w:r w:rsidR="00424BEA">
          <w:rPr>
            <w:noProof/>
            <w:webHidden/>
          </w:rPr>
          <w:fldChar w:fldCharType="begin"/>
        </w:r>
        <w:r w:rsidR="00424BEA">
          <w:rPr>
            <w:noProof/>
            <w:webHidden/>
          </w:rPr>
          <w:instrText xml:space="preserve"> PAGEREF _Toc431917548 \h </w:instrText>
        </w:r>
        <w:r w:rsidR="00424BEA">
          <w:rPr>
            <w:noProof/>
            <w:webHidden/>
          </w:rPr>
        </w:r>
        <w:r w:rsidR="00424BEA">
          <w:rPr>
            <w:noProof/>
            <w:webHidden/>
          </w:rPr>
          <w:fldChar w:fldCharType="separate"/>
        </w:r>
        <w:r w:rsidR="00CB5BA6">
          <w:rPr>
            <w:noProof/>
            <w:webHidden/>
          </w:rPr>
          <w:t>1</w:t>
        </w:r>
        <w:r w:rsidR="00424BEA">
          <w:rPr>
            <w:noProof/>
            <w:webHidden/>
          </w:rPr>
          <w:fldChar w:fldCharType="end"/>
        </w:r>
      </w:hyperlink>
    </w:p>
    <w:p w14:paraId="5A461C11" w14:textId="77777777" w:rsidR="00424BEA" w:rsidRDefault="009A7DB9">
      <w:pPr>
        <w:pStyle w:val="TOC3"/>
        <w:tabs>
          <w:tab w:val="left" w:pos="1162"/>
          <w:tab w:val="right" w:leader="dot" w:pos="9017"/>
        </w:tabs>
        <w:rPr>
          <w:rFonts w:asciiTheme="minorHAnsi" w:eastAsiaTheme="minorEastAsia" w:hAnsiTheme="minorHAnsi" w:cstheme="minorBidi"/>
          <w:iCs w:val="0"/>
          <w:noProof/>
          <w:sz w:val="22"/>
          <w:szCs w:val="22"/>
          <w:lang w:val="en-US" w:eastAsia="en-US"/>
        </w:rPr>
      </w:pPr>
      <w:hyperlink w:anchor="_Toc431917549" w:history="1">
        <w:r w:rsidR="00424BEA" w:rsidRPr="003C38FB">
          <w:rPr>
            <w:rStyle w:val="Hyperlink"/>
            <w:noProof/>
          </w:rPr>
          <w:t>A.1.1</w:t>
        </w:r>
        <w:r w:rsidR="00424BEA">
          <w:rPr>
            <w:rFonts w:asciiTheme="minorHAnsi" w:eastAsiaTheme="minorEastAsia" w:hAnsiTheme="minorHAnsi" w:cstheme="minorBidi"/>
            <w:iCs w:val="0"/>
            <w:noProof/>
            <w:sz w:val="22"/>
            <w:szCs w:val="22"/>
            <w:lang w:val="en-US" w:eastAsia="en-US"/>
          </w:rPr>
          <w:tab/>
        </w:r>
        <w:r w:rsidR="00424BEA" w:rsidRPr="003C38FB">
          <w:rPr>
            <w:rStyle w:val="Hyperlink"/>
            <w:noProof/>
          </w:rPr>
          <w:t>Health technology assessment background</w:t>
        </w:r>
        <w:r w:rsidR="00424BEA">
          <w:rPr>
            <w:noProof/>
            <w:webHidden/>
          </w:rPr>
          <w:tab/>
        </w:r>
        <w:r w:rsidR="00424BEA">
          <w:rPr>
            <w:noProof/>
            <w:webHidden/>
          </w:rPr>
          <w:fldChar w:fldCharType="begin"/>
        </w:r>
        <w:r w:rsidR="00424BEA">
          <w:rPr>
            <w:noProof/>
            <w:webHidden/>
          </w:rPr>
          <w:instrText xml:space="preserve"> PAGEREF _Toc431917549 \h </w:instrText>
        </w:r>
        <w:r w:rsidR="00424BEA">
          <w:rPr>
            <w:noProof/>
            <w:webHidden/>
          </w:rPr>
        </w:r>
        <w:r w:rsidR="00424BEA">
          <w:rPr>
            <w:noProof/>
            <w:webHidden/>
          </w:rPr>
          <w:fldChar w:fldCharType="separate"/>
        </w:r>
        <w:r w:rsidR="00CB5BA6">
          <w:rPr>
            <w:noProof/>
            <w:webHidden/>
          </w:rPr>
          <w:t>7</w:t>
        </w:r>
        <w:r w:rsidR="00424BEA">
          <w:rPr>
            <w:noProof/>
            <w:webHidden/>
          </w:rPr>
          <w:fldChar w:fldCharType="end"/>
        </w:r>
      </w:hyperlink>
    </w:p>
    <w:p w14:paraId="4EAFA618" w14:textId="77777777" w:rsidR="00424BEA" w:rsidRDefault="009A7DB9">
      <w:pPr>
        <w:pStyle w:val="TOC3"/>
        <w:tabs>
          <w:tab w:val="left" w:pos="1162"/>
          <w:tab w:val="right" w:leader="dot" w:pos="9017"/>
        </w:tabs>
        <w:rPr>
          <w:rFonts w:asciiTheme="minorHAnsi" w:eastAsiaTheme="minorEastAsia" w:hAnsiTheme="minorHAnsi" w:cstheme="minorBidi"/>
          <w:iCs w:val="0"/>
          <w:noProof/>
          <w:sz w:val="22"/>
          <w:szCs w:val="22"/>
          <w:lang w:val="en-US" w:eastAsia="en-US"/>
        </w:rPr>
      </w:pPr>
      <w:hyperlink w:anchor="_Toc431917550" w:history="1">
        <w:r w:rsidR="00424BEA" w:rsidRPr="003C38FB">
          <w:rPr>
            <w:rStyle w:val="Hyperlink"/>
            <w:noProof/>
          </w:rPr>
          <w:t>A.1.2</w:t>
        </w:r>
        <w:r w:rsidR="00424BEA">
          <w:rPr>
            <w:rFonts w:asciiTheme="minorHAnsi" w:eastAsiaTheme="minorEastAsia" w:hAnsiTheme="minorHAnsi" w:cstheme="minorBidi"/>
            <w:iCs w:val="0"/>
            <w:noProof/>
            <w:sz w:val="22"/>
            <w:szCs w:val="22"/>
            <w:lang w:val="en-US" w:eastAsia="en-US"/>
          </w:rPr>
          <w:tab/>
        </w:r>
        <w:r w:rsidR="00424BEA" w:rsidRPr="003C38FB">
          <w:rPr>
            <w:rStyle w:val="Hyperlink"/>
            <w:noProof/>
          </w:rPr>
          <w:t>SNHL + medical condition and screening background</w:t>
        </w:r>
        <w:r w:rsidR="00424BEA">
          <w:rPr>
            <w:noProof/>
            <w:webHidden/>
          </w:rPr>
          <w:tab/>
        </w:r>
        <w:r w:rsidR="00424BEA">
          <w:rPr>
            <w:noProof/>
            <w:webHidden/>
          </w:rPr>
          <w:fldChar w:fldCharType="begin"/>
        </w:r>
        <w:r w:rsidR="00424BEA">
          <w:rPr>
            <w:noProof/>
            <w:webHidden/>
          </w:rPr>
          <w:instrText xml:space="preserve"> PAGEREF _Toc431917550 \h </w:instrText>
        </w:r>
        <w:r w:rsidR="00424BEA">
          <w:rPr>
            <w:noProof/>
            <w:webHidden/>
          </w:rPr>
        </w:r>
        <w:r w:rsidR="00424BEA">
          <w:rPr>
            <w:noProof/>
            <w:webHidden/>
          </w:rPr>
          <w:fldChar w:fldCharType="separate"/>
        </w:r>
        <w:r w:rsidR="00CB5BA6">
          <w:rPr>
            <w:noProof/>
            <w:webHidden/>
          </w:rPr>
          <w:t>12</w:t>
        </w:r>
        <w:r w:rsidR="00424BEA">
          <w:rPr>
            <w:noProof/>
            <w:webHidden/>
          </w:rPr>
          <w:fldChar w:fldCharType="end"/>
        </w:r>
      </w:hyperlink>
    </w:p>
    <w:p w14:paraId="4383D277" w14:textId="77777777" w:rsidR="00424BEA" w:rsidRDefault="009A7DB9">
      <w:pPr>
        <w:pStyle w:val="TOC2"/>
        <w:tabs>
          <w:tab w:val="left" w:pos="720"/>
          <w:tab w:val="right" w:leader="dot" w:pos="9017"/>
        </w:tabs>
        <w:rPr>
          <w:rFonts w:asciiTheme="minorHAnsi" w:eastAsiaTheme="minorEastAsia" w:hAnsiTheme="minorHAnsi" w:cstheme="minorBidi"/>
          <w:noProof/>
          <w:sz w:val="22"/>
          <w:szCs w:val="22"/>
          <w:lang w:val="en-US" w:eastAsia="en-US"/>
        </w:rPr>
      </w:pPr>
      <w:hyperlink w:anchor="_Toc431917551" w:history="1">
        <w:r w:rsidR="00424BEA" w:rsidRPr="003C38FB">
          <w:rPr>
            <w:rStyle w:val="Hyperlink"/>
            <w:noProof/>
          </w:rPr>
          <w:t>A.2</w:t>
        </w:r>
        <w:r w:rsidR="00424BEA">
          <w:rPr>
            <w:rFonts w:asciiTheme="minorHAnsi" w:eastAsiaTheme="minorEastAsia" w:hAnsiTheme="minorHAnsi" w:cstheme="minorBidi"/>
            <w:noProof/>
            <w:sz w:val="22"/>
            <w:szCs w:val="22"/>
            <w:lang w:val="en-US" w:eastAsia="en-US"/>
          </w:rPr>
          <w:tab/>
        </w:r>
        <w:r w:rsidR="00424BEA" w:rsidRPr="003C38FB">
          <w:rPr>
            <w:rStyle w:val="Hyperlink"/>
            <w:noProof/>
          </w:rPr>
          <w:t>Indications and Contraindications</w:t>
        </w:r>
        <w:r w:rsidR="00424BEA">
          <w:rPr>
            <w:noProof/>
            <w:webHidden/>
          </w:rPr>
          <w:tab/>
        </w:r>
        <w:r w:rsidR="00424BEA">
          <w:rPr>
            <w:noProof/>
            <w:webHidden/>
          </w:rPr>
          <w:fldChar w:fldCharType="begin"/>
        </w:r>
        <w:r w:rsidR="00424BEA">
          <w:rPr>
            <w:noProof/>
            <w:webHidden/>
          </w:rPr>
          <w:instrText xml:space="preserve"> PAGEREF _Toc431917551 \h </w:instrText>
        </w:r>
        <w:r w:rsidR="00424BEA">
          <w:rPr>
            <w:noProof/>
            <w:webHidden/>
          </w:rPr>
        </w:r>
        <w:r w:rsidR="00424BEA">
          <w:rPr>
            <w:noProof/>
            <w:webHidden/>
          </w:rPr>
          <w:fldChar w:fldCharType="separate"/>
        </w:r>
        <w:r w:rsidR="00CB5BA6">
          <w:rPr>
            <w:noProof/>
            <w:webHidden/>
          </w:rPr>
          <w:t>13</w:t>
        </w:r>
        <w:r w:rsidR="00424BEA">
          <w:rPr>
            <w:noProof/>
            <w:webHidden/>
          </w:rPr>
          <w:fldChar w:fldCharType="end"/>
        </w:r>
      </w:hyperlink>
    </w:p>
    <w:p w14:paraId="332E00B7" w14:textId="77777777" w:rsidR="00424BEA" w:rsidRDefault="009A7DB9">
      <w:pPr>
        <w:pStyle w:val="TOC3"/>
        <w:tabs>
          <w:tab w:val="left" w:pos="1162"/>
          <w:tab w:val="right" w:leader="dot" w:pos="9017"/>
        </w:tabs>
        <w:rPr>
          <w:rFonts w:asciiTheme="minorHAnsi" w:eastAsiaTheme="minorEastAsia" w:hAnsiTheme="minorHAnsi" w:cstheme="minorBidi"/>
          <w:iCs w:val="0"/>
          <w:noProof/>
          <w:sz w:val="22"/>
          <w:szCs w:val="22"/>
          <w:lang w:val="en-US" w:eastAsia="en-US"/>
        </w:rPr>
      </w:pPr>
      <w:hyperlink w:anchor="_Toc431917552" w:history="1">
        <w:r w:rsidR="00424BEA" w:rsidRPr="003C38FB">
          <w:rPr>
            <w:rStyle w:val="Hyperlink"/>
            <w:noProof/>
          </w:rPr>
          <w:t>A.2.1</w:t>
        </w:r>
        <w:r w:rsidR="00424BEA">
          <w:rPr>
            <w:rFonts w:asciiTheme="minorHAnsi" w:eastAsiaTheme="minorEastAsia" w:hAnsiTheme="minorHAnsi" w:cstheme="minorBidi"/>
            <w:iCs w:val="0"/>
            <w:noProof/>
            <w:sz w:val="22"/>
            <w:szCs w:val="22"/>
            <w:lang w:val="en-US" w:eastAsia="en-US"/>
          </w:rPr>
          <w:tab/>
        </w:r>
        <w:r w:rsidR="00424BEA" w:rsidRPr="003C38FB">
          <w:rPr>
            <w:rStyle w:val="Hyperlink"/>
            <w:noProof/>
          </w:rPr>
          <w:t>Indications for active middle ear implants</w:t>
        </w:r>
        <w:r w:rsidR="00424BEA">
          <w:rPr>
            <w:noProof/>
            <w:webHidden/>
          </w:rPr>
          <w:tab/>
        </w:r>
        <w:r w:rsidR="00424BEA">
          <w:rPr>
            <w:noProof/>
            <w:webHidden/>
          </w:rPr>
          <w:fldChar w:fldCharType="begin"/>
        </w:r>
        <w:r w:rsidR="00424BEA">
          <w:rPr>
            <w:noProof/>
            <w:webHidden/>
          </w:rPr>
          <w:instrText xml:space="preserve"> PAGEREF _Toc431917552 \h </w:instrText>
        </w:r>
        <w:r w:rsidR="00424BEA">
          <w:rPr>
            <w:noProof/>
            <w:webHidden/>
          </w:rPr>
        </w:r>
        <w:r w:rsidR="00424BEA">
          <w:rPr>
            <w:noProof/>
            <w:webHidden/>
          </w:rPr>
          <w:fldChar w:fldCharType="separate"/>
        </w:r>
        <w:r w:rsidR="00CB5BA6">
          <w:rPr>
            <w:noProof/>
            <w:webHidden/>
          </w:rPr>
          <w:t>13</w:t>
        </w:r>
        <w:r w:rsidR="00424BEA">
          <w:rPr>
            <w:noProof/>
            <w:webHidden/>
          </w:rPr>
          <w:fldChar w:fldCharType="end"/>
        </w:r>
      </w:hyperlink>
    </w:p>
    <w:p w14:paraId="06DE2C06" w14:textId="77777777" w:rsidR="00424BEA" w:rsidRDefault="009A7DB9">
      <w:pPr>
        <w:pStyle w:val="TOC3"/>
        <w:tabs>
          <w:tab w:val="left" w:pos="1162"/>
          <w:tab w:val="right" w:leader="dot" w:pos="9017"/>
        </w:tabs>
        <w:rPr>
          <w:rFonts w:asciiTheme="minorHAnsi" w:eastAsiaTheme="minorEastAsia" w:hAnsiTheme="minorHAnsi" w:cstheme="minorBidi"/>
          <w:iCs w:val="0"/>
          <w:noProof/>
          <w:sz w:val="22"/>
          <w:szCs w:val="22"/>
          <w:lang w:val="en-US" w:eastAsia="en-US"/>
        </w:rPr>
      </w:pPr>
      <w:hyperlink w:anchor="_Toc431917553" w:history="1">
        <w:r w:rsidR="00424BEA" w:rsidRPr="003C38FB">
          <w:rPr>
            <w:rStyle w:val="Hyperlink"/>
            <w:noProof/>
          </w:rPr>
          <w:t>A.2.2</w:t>
        </w:r>
        <w:r w:rsidR="00424BEA">
          <w:rPr>
            <w:rFonts w:asciiTheme="minorHAnsi" w:eastAsiaTheme="minorEastAsia" w:hAnsiTheme="minorHAnsi" w:cstheme="minorBidi"/>
            <w:iCs w:val="0"/>
            <w:noProof/>
            <w:sz w:val="22"/>
            <w:szCs w:val="22"/>
            <w:lang w:val="en-US" w:eastAsia="en-US"/>
          </w:rPr>
          <w:tab/>
        </w:r>
        <w:r w:rsidR="00424BEA" w:rsidRPr="003C38FB">
          <w:rPr>
            <w:rStyle w:val="Hyperlink"/>
            <w:noProof/>
          </w:rPr>
          <w:t>Definition and incidence of the medical condition</w:t>
        </w:r>
        <w:r w:rsidR="00424BEA">
          <w:rPr>
            <w:noProof/>
            <w:webHidden/>
          </w:rPr>
          <w:tab/>
        </w:r>
        <w:r w:rsidR="00424BEA">
          <w:rPr>
            <w:noProof/>
            <w:webHidden/>
          </w:rPr>
          <w:fldChar w:fldCharType="begin"/>
        </w:r>
        <w:r w:rsidR="00424BEA">
          <w:rPr>
            <w:noProof/>
            <w:webHidden/>
          </w:rPr>
          <w:instrText xml:space="preserve"> PAGEREF _Toc431917553 \h </w:instrText>
        </w:r>
        <w:r w:rsidR="00424BEA">
          <w:rPr>
            <w:noProof/>
            <w:webHidden/>
          </w:rPr>
        </w:r>
        <w:r w:rsidR="00424BEA">
          <w:rPr>
            <w:noProof/>
            <w:webHidden/>
          </w:rPr>
          <w:fldChar w:fldCharType="separate"/>
        </w:r>
        <w:r w:rsidR="00CB5BA6">
          <w:rPr>
            <w:noProof/>
            <w:webHidden/>
          </w:rPr>
          <w:t>14</w:t>
        </w:r>
        <w:r w:rsidR="00424BEA">
          <w:rPr>
            <w:noProof/>
            <w:webHidden/>
          </w:rPr>
          <w:fldChar w:fldCharType="end"/>
        </w:r>
      </w:hyperlink>
    </w:p>
    <w:p w14:paraId="144B96DB" w14:textId="77777777" w:rsidR="00424BEA" w:rsidRDefault="009A7DB9">
      <w:pPr>
        <w:pStyle w:val="TOC3"/>
        <w:tabs>
          <w:tab w:val="left" w:pos="1162"/>
          <w:tab w:val="right" w:leader="dot" w:pos="9017"/>
        </w:tabs>
        <w:rPr>
          <w:rFonts w:asciiTheme="minorHAnsi" w:eastAsiaTheme="minorEastAsia" w:hAnsiTheme="minorHAnsi" w:cstheme="minorBidi"/>
          <w:iCs w:val="0"/>
          <w:noProof/>
          <w:sz w:val="22"/>
          <w:szCs w:val="22"/>
          <w:lang w:val="en-US" w:eastAsia="en-US"/>
        </w:rPr>
      </w:pPr>
      <w:hyperlink w:anchor="_Toc431917554" w:history="1">
        <w:r w:rsidR="00424BEA" w:rsidRPr="003C38FB">
          <w:rPr>
            <w:rStyle w:val="Hyperlink"/>
            <w:noProof/>
          </w:rPr>
          <w:t>A.2.3.</w:t>
        </w:r>
        <w:r w:rsidR="00424BEA">
          <w:rPr>
            <w:rFonts w:asciiTheme="minorHAnsi" w:eastAsiaTheme="minorEastAsia" w:hAnsiTheme="minorHAnsi" w:cstheme="minorBidi"/>
            <w:iCs w:val="0"/>
            <w:noProof/>
            <w:sz w:val="22"/>
            <w:szCs w:val="22"/>
            <w:lang w:val="en-US" w:eastAsia="en-US"/>
          </w:rPr>
          <w:tab/>
        </w:r>
        <w:r w:rsidR="00424BEA" w:rsidRPr="003C38FB">
          <w:rPr>
            <w:rStyle w:val="Hyperlink"/>
            <w:noProof/>
          </w:rPr>
          <w:t>Existing arrangements</w:t>
        </w:r>
        <w:r w:rsidR="00424BEA">
          <w:rPr>
            <w:noProof/>
            <w:webHidden/>
          </w:rPr>
          <w:tab/>
        </w:r>
        <w:r w:rsidR="00424BEA">
          <w:rPr>
            <w:noProof/>
            <w:webHidden/>
          </w:rPr>
          <w:fldChar w:fldCharType="begin"/>
        </w:r>
        <w:r w:rsidR="00424BEA">
          <w:rPr>
            <w:noProof/>
            <w:webHidden/>
          </w:rPr>
          <w:instrText xml:space="preserve"> PAGEREF _Toc431917554 \h </w:instrText>
        </w:r>
        <w:r w:rsidR="00424BEA">
          <w:rPr>
            <w:noProof/>
            <w:webHidden/>
          </w:rPr>
        </w:r>
        <w:r w:rsidR="00424BEA">
          <w:rPr>
            <w:noProof/>
            <w:webHidden/>
          </w:rPr>
          <w:fldChar w:fldCharType="separate"/>
        </w:r>
        <w:r w:rsidR="00CB5BA6">
          <w:rPr>
            <w:noProof/>
            <w:webHidden/>
          </w:rPr>
          <w:t>19</w:t>
        </w:r>
        <w:r w:rsidR="00424BEA">
          <w:rPr>
            <w:noProof/>
            <w:webHidden/>
          </w:rPr>
          <w:fldChar w:fldCharType="end"/>
        </w:r>
      </w:hyperlink>
    </w:p>
    <w:p w14:paraId="32E71DA3" w14:textId="77777777" w:rsidR="00424BEA" w:rsidRDefault="009A7DB9">
      <w:pPr>
        <w:pStyle w:val="TOC3"/>
        <w:tabs>
          <w:tab w:val="left" w:pos="1162"/>
          <w:tab w:val="right" w:leader="dot" w:pos="9017"/>
        </w:tabs>
        <w:rPr>
          <w:rFonts w:asciiTheme="minorHAnsi" w:eastAsiaTheme="minorEastAsia" w:hAnsiTheme="minorHAnsi" w:cstheme="minorBidi"/>
          <w:iCs w:val="0"/>
          <w:noProof/>
          <w:sz w:val="22"/>
          <w:szCs w:val="22"/>
          <w:lang w:val="en-US" w:eastAsia="en-US"/>
        </w:rPr>
      </w:pPr>
      <w:hyperlink w:anchor="_Toc431917555" w:history="1">
        <w:r w:rsidR="00424BEA" w:rsidRPr="003C38FB">
          <w:rPr>
            <w:rStyle w:val="Hyperlink"/>
            <w:noProof/>
          </w:rPr>
          <w:t>A.2.4</w:t>
        </w:r>
        <w:r w:rsidR="00424BEA">
          <w:rPr>
            <w:rFonts w:asciiTheme="minorHAnsi" w:eastAsiaTheme="minorEastAsia" w:hAnsiTheme="minorHAnsi" w:cstheme="minorBidi"/>
            <w:iCs w:val="0"/>
            <w:noProof/>
            <w:sz w:val="22"/>
            <w:szCs w:val="22"/>
            <w:lang w:val="en-US" w:eastAsia="en-US"/>
          </w:rPr>
          <w:tab/>
        </w:r>
        <w:r w:rsidR="00424BEA" w:rsidRPr="003C38FB">
          <w:rPr>
            <w:rStyle w:val="Hyperlink"/>
            <w:noProof/>
          </w:rPr>
          <w:t>Market approval status of Vibrant Soundbridge</w:t>
        </w:r>
        <w:r w:rsidR="00424BEA">
          <w:rPr>
            <w:noProof/>
            <w:webHidden/>
          </w:rPr>
          <w:tab/>
        </w:r>
        <w:r w:rsidR="00424BEA">
          <w:rPr>
            <w:noProof/>
            <w:webHidden/>
          </w:rPr>
          <w:fldChar w:fldCharType="begin"/>
        </w:r>
        <w:r w:rsidR="00424BEA">
          <w:rPr>
            <w:noProof/>
            <w:webHidden/>
          </w:rPr>
          <w:instrText xml:space="preserve"> PAGEREF _Toc431917555 \h </w:instrText>
        </w:r>
        <w:r w:rsidR="00424BEA">
          <w:rPr>
            <w:noProof/>
            <w:webHidden/>
          </w:rPr>
        </w:r>
        <w:r w:rsidR="00424BEA">
          <w:rPr>
            <w:noProof/>
            <w:webHidden/>
          </w:rPr>
          <w:fldChar w:fldCharType="separate"/>
        </w:r>
        <w:r w:rsidR="00CB5BA6">
          <w:rPr>
            <w:noProof/>
            <w:webHidden/>
          </w:rPr>
          <w:t>20</w:t>
        </w:r>
        <w:r w:rsidR="00424BEA">
          <w:rPr>
            <w:noProof/>
            <w:webHidden/>
          </w:rPr>
          <w:fldChar w:fldCharType="end"/>
        </w:r>
      </w:hyperlink>
    </w:p>
    <w:p w14:paraId="6768B407" w14:textId="77777777" w:rsidR="00424BEA" w:rsidRDefault="009A7DB9">
      <w:pPr>
        <w:pStyle w:val="TOC3"/>
        <w:tabs>
          <w:tab w:val="left" w:pos="1162"/>
          <w:tab w:val="right" w:leader="dot" w:pos="9017"/>
        </w:tabs>
        <w:rPr>
          <w:rFonts w:asciiTheme="minorHAnsi" w:eastAsiaTheme="minorEastAsia" w:hAnsiTheme="minorHAnsi" w:cstheme="minorBidi"/>
          <w:iCs w:val="0"/>
          <w:noProof/>
          <w:sz w:val="22"/>
          <w:szCs w:val="22"/>
          <w:lang w:val="en-US" w:eastAsia="en-US"/>
        </w:rPr>
      </w:pPr>
      <w:hyperlink w:anchor="_Toc431917556" w:history="1">
        <w:r w:rsidR="00424BEA" w:rsidRPr="003C38FB">
          <w:rPr>
            <w:rStyle w:val="Hyperlink"/>
            <w:noProof/>
          </w:rPr>
          <w:t>A.2.5</w:t>
        </w:r>
        <w:r w:rsidR="00424BEA">
          <w:rPr>
            <w:rFonts w:asciiTheme="minorHAnsi" w:eastAsiaTheme="minorEastAsia" w:hAnsiTheme="minorHAnsi" w:cstheme="minorBidi"/>
            <w:iCs w:val="0"/>
            <w:noProof/>
            <w:sz w:val="22"/>
            <w:szCs w:val="22"/>
            <w:lang w:val="en-US" w:eastAsia="en-US"/>
          </w:rPr>
          <w:tab/>
        </w:r>
        <w:r w:rsidR="00424BEA" w:rsidRPr="003C38FB">
          <w:rPr>
            <w:rStyle w:val="Hyperlink"/>
            <w:noProof/>
          </w:rPr>
          <w:t>Reimbursement status of middle ear implants</w:t>
        </w:r>
        <w:r w:rsidR="00424BEA">
          <w:rPr>
            <w:noProof/>
            <w:webHidden/>
          </w:rPr>
          <w:tab/>
        </w:r>
        <w:r w:rsidR="00424BEA">
          <w:rPr>
            <w:noProof/>
            <w:webHidden/>
          </w:rPr>
          <w:fldChar w:fldCharType="begin"/>
        </w:r>
        <w:r w:rsidR="00424BEA">
          <w:rPr>
            <w:noProof/>
            <w:webHidden/>
          </w:rPr>
          <w:instrText xml:space="preserve"> PAGEREF _Toc431917556 \h </w:instrText>
        </w:r>
        <w:r w:rsidR="00424BEA">
          <w:rPr>
            <w:noProof/>
            <w:webHidden/>
          </w:rPr>
        </w:r>
        <w:r w:rsidR="00424BEA">
          <w:rPr>
            <w:noProof/>
            <w:webHidden/>
          </w:rPr>
          <w:fldChar w:fldCharType="separate"/>
        </w:r>
        <w:r w:rsidR="00CB5BA6">
          <w:rPr>
            <w:noProof/>
            <w:webHidden/>
          </w:rPr>
          <w:t>21</w:t>
        </w:r>
        <w:r w:rsidR="00424BEA">
          <w:rPr>
            <w:noProof/>
            <w:webHidden/>
          </w:rPr>
          <w:fldChar w:fldCharType="end"/>
        </w:r>
      </w:hyperlink>
    </w:p>
    <w:p w14:paraId="36CF6B20" w14:textId="77777777" w:rsidR="00424BEA" w:rsidRDefault="009A7DB9">
      <w:pPr>
        <w:pStyle w:val="TOC3"/>
        <w:tabs>
          <w:tab w:val="left" w:pos="1162"/>
          <w:tab w:val="right" w:leader="dot" w:pos="9017"/>
        </w:tabs>
        <w:rPr>
          <w:rFonts w:asciiTheme="minorHAnsi" w:eastAsiaTheme="minorEastAsia" w:hAnsiTheme="minorHAnsi" w:cstheme="minorBidi"/>
          <w:iCs w:val="0"/>
          <w:noProof/>
          <w:sz w:val="22"/>
          <w:szCs w:val="22"/>
          <w:lang w:val="en-US" w:eastAsia="en-US"/>
        </w:rPr>
      </w:pPr>
      <w:hyperlink w:anchor="_Toc431917557" w:history="1">
        <w:r w:rsidR="00424BEA" w:rsidRPr="003C38FB">
          <w:rPr>
            <w:rStyle w:val="Hyperlink"/>
            <w:noProof/>
          </w:rPr>
          <w:t>A.2.6</w:t>
        </w:r>
        <w:r w:rsidR="00424BEA">
          <w:rPr>
            <w:rFonts w:asciiTheme="minorHAnsi" w:eastAsiaTheme="minorEastAsia" w:hAnsiTheme="minorHAnsi" w:cstheme="minorBidi"/>
            <w:iCs w:val="0"/>
            <w:noProof/>
            <w:sz w:val="22"/>
            <w:szCs w:val="22"/>
            <w:lang w:val="en-US" w:eastAsia="en-US"/>
          </w:rPr>
          <w:tab/>
        </w:r>
        <w:r w:rsidR="00424BEA" w:rsidRPr="003C38FB">
          <w:rPr>
            <w:rStyle w:val="Hyperlink"/>
            <w:noProof/>
          </w:rPr>
          <w:t>Proposed listing of partially implantable active middle ear implants</w:t>
        </w:r>
        <w:r w:rsidR="00424BEA">
          <w:rPr>
            <w:noProof/>
            <w:webHidden/>
          </w:rPr>
          <w:tab/>
        </w:r>
        <w:r w:rsidR="00424BEA">
          <w:rPr>
            <w:noProof/>
            <w:webHidden/>
          </w:rPr>
          <w:fldChar w:fldCharType="begin"/>
        </w:r>
        <w:r w:rsidR="00424BEA">
          <w:rPr>
            <w:noProof/>
            <w:webHidden/>
          </w:rPr>
          <w:instrText xml:space="preserve"> PAGEREF _Toc431917557 \h </w:instrText>
        </w:r>
        <w:r w:rsidR="00424BEA">
          <w:rPr>
            <w:noProof/>
            <w:webHidden/>
          </w:rPr>
        </w:r>
        <w:r w:rsidR="00424BEA">
          <w:rPr>
            <w:noProof/>
            <w:webHidden/>
          </w:rPr>
          <w:fldChar w:fldCharType="separate"/>
        </w:r>
        <w:r w:rsidR="00CB5BA6">
          <w:rPr>
            <w:noProof/>
            <w:webHidden/>
          </w:rPr>
          <w:t>21</w:t>
        </w:r>
        <w:r w:rsidR="00424BEA">
          <w:rPr>
            <w:noProof/>
            <w:webHidden/>
          </w:rPr>
          <w:fldChar w:fldCharType="end"/>
        </w:r>
      </w:hyperlink>
    </w:p>
    <w:p w14:paraId="4E4D8AC2" w14:textId="77777777" w:rsidR="00424BEA" w:rsidRDefault="009A7DB9">
      <w:pPr>
        <w:pStyle w:val="TOC2"/>
        <w:tabs>
          <w:tab w:val="left" w:pos="720"/>
          <w:tab w:val="right" w:leader="dot" w:pos="9017"/>
        </w:tabs>
        <w:rPr>
          <w:rFonts w:asciiTheme="minorHAnsi" w:eastAsiaTheme="minorEastAsia" w:hAnsiTheme="minorHAnsi" w:cstheme="minorBidi"/>
          <w:noProof/>
          <w:sz w:val="22"/>
          <w:szCs w:val="22"/>
          <w:lang w:val="en-US" w:eastAsia="en-US"/>
        </w:rPr>
      </w:pPr>
      <w:hyperlink w:anchor="_Toc431917558" w:history="1">
        <w:r w:rsidR="00424BEA" w:rsidRPr="003C38FB">
          <w:rPr>
            <w:rStyle w:val="Hyperlink"/>
            <w:noProof/>
          </w:rPr>
          <w:t>A.3</w:t>
        </w:r>
        <w:r w:rsidR="00424BEA">
          <w:rPr>
            <w:rFonts w:asciiTheme="minorHAnsi" w:eastAsiaTheme="minorEastAsia" w:hAnsiTheme="minorHAnsi" w:cstheme="minorBidi"/>
            <w:noProof/>
            <w:sz w:val="22"/>
            <w:szCs w:val="22"/>
            <w:lang w:val="en-US" w:eastAsia="en-US"/>
          </w:rPr>
          <w:tab/>
        </w:r>
        <w:r w:rsidR="00424BEA" w:rsidRPr="003C38FB">
          <w:rPr>
            <w:rStyle w:val="Hyperlink"/>
            <w:noProof/>
          </w:rPr>
          <w:t>Intervention details</w:t>
        </w:r>
        <w:r w:rsidR="00424BEA">
          <w:rPr>
            <w:noProof/>
            <w:webHidden/>
          </w:rPr>
          <w:tab/>
        </w:r>
        <w:r w:rsidR="00424BEA">
          <w:rPr>
            <w:noProof/>
            <w:webHidden/>
          </w:rPr>
          <w:fldChar w:fldCharType="begin"/>
        </w:r>
        <w:r w:rsidR="00424BEA">
          <w:rPr>
            <w:noProof/>
            <w:webHidden/>
          </w:rPr>
          <w:instrText xml:space="preserve"> PAGEREF _Toc431917558 \h </w:instrText>
        </w:r>
        <w:r w:rsidR="00424BEA">
          <w:rPr>
            <w:noProof/>
            <w:webHidden/>
          </w:rPr>
        </w:r>
        <w:r w:rsidR="00424BEA">
          <w:rPr>
            <w:noProof/>
            <w:webHidden/>
          </w:rPr>
          <w:fldChar w:fldCharType="separate"/>
        </w:r>
        <w:r w:rsidR="00CB5BA6">
          <w:rPr>
            <w:noProof/>
            <w:webHidden/>
          </w:rPr>
          <w:t>23</w:t>
        </w:r>
        <w:r w:rsidR="00424BEA">
          <w:rPr>
            <w:noProof/>
            <w:webHidden/>
          </w:rPr>
          <w:fldChar w:fldCharType="end"/>
        </w:r>
      </w:hyperlink>
    </w:p>
    <w:p w14:paraId="0FD1100B" w14:textId="77777777" w:rsidR="00424BEA" w:rsidRDefault="009A7DB9">
      <w:pPr>
        <w:pStyle w:val="TOC3"/>
        <w:tabs>
          <w:tab w:val="left" w:pos="1162"/>
          <w:tab w:val="right" w:leader="dot" w:pos="9017"/>
        </w:tabs>
        <w:rPr>
          <w:rFonts w:asciiTheme="minorHAnsi" w:eastAsiaTheme="minorEastAsia" w:hAnsiTheme="minorHAnsi" w:cstheme="minorBidi"/>
          <w:iCs w:val="0"/>
          <w:noProof/>
          <w:sz w:val="22"/>
          <w:szCs w:val="22"/>
          <w:lang w:val="en-US" w:eastAsia="en-US"/>
        </w:rPr>
      </w:pPr>
      <w:hyperlink w:anchor="_Toc431917559" w:history="1">
        <w:r w:rsidR="00424BEA" w:rsidRPr="003C38FB">
          <w:rPr>
            <w:rStyle w:val="Hyperlink"/>
            <w:noProof/>
          </w:rPr>
          <w:t>A.3.1</w:t>
        </w:r>
        <w:r w:rsidR="00424BEA">
          <w:rPr>
            <w:rFonts w:asciiTheme="minorHAnsi" w:eastAsiaTheme="minorEastAsia" w:hAnsiTheme="minorHAnsi" w:cstheme="minorBidi"/>
            <w:iCs w:val="0"/>
            <w:noProof/>
            <w:sz w:val="22"/>
            <w:szCs w:val="22"/>
            <w:lang w:val="en-US" w:eastAsia="en-US"/>
          </w:rPr>
          <w:tab/>
        </w:r>
        <w:r w:rsidR="00424BEA" w:rsidRPr="003C38FB">
          <w:rPr>
            <w:rStyle w:val="Hyperlink"/>
            <w:noProof/>
          </w:rPr>
          <w:t>Clinical management pre-intervention</w:t>
        </w:r>
        <w:r w:rsidR="00424BEA">
          <w:rPr>
            <w:noProof/>
            <w:webHidden/>
          </w:rPr>
          <w:tab/>
        </w:r>
        <w:r w:rsidR="00424BEA">
          <w:rPr>
            <w:noProof/>
            <w:webHidden/>
          </w:rPr>
          <w:fldChar w:fldCharType="begin"/>
        </w:r>
        <w:r w:rsidR="00424BEA">
          <w:rPr>
            <w:noProof/>
            <w:webHidden/>
          </w:rPr>
          <w:instrText xml:space="preserve"> PAGEREF _Toc431917559 \h </w:instrText>
        </w:r>
        <w:r w:rsidR="00424BEA">
          <w:rPr>
            <w:noProof/>
            <w:webHidden/>
          </w:rPr>
        </w:r>
        <w:r w:rsidR="00424BEA">
          <w:rPr>
            <w:noProof/>
            <w:webHidden/>
          </w:rPr>
          <w:fldChar w:fldCharType="separate"/>
        </w:r>
        <w:r w:rsidR="00CB5BA6">
          <w:rPr>
            <w:noProof/>
            <w:webHidden/>
          </w:rPr>
          <w:t>23</w:t>
        </w:r>
        <w:r w:rsidR="00424BEA">
          <w:rPr>
            <w:noProof/>
            <w:webHidden/>
          </w:rPr>
          <w:fldChar w:fldCharType="end"/>
        </w:r>
      </w:hyperlink>
    </w:p>
    <w:p w14:paraId="6261281F" w14:textId="77777777" w:rsidR="00424BEA" w:rsidRDefault="009A7DB9">
      <w:pPr>
        <w:pStyle w:val="TOC3"/>
        <w:tabs>
          <w:tab w:val="left" w:pos="1162"/>
          <w:tab w:val="right" w:leader="dot" w:pos="9017"/>
        </w:tabs>
        <w:rPr>
          <w:rFonts w:asciiTheme="minorHAnsi" w:eastAsiaTheme="minorEastAsia" w:hAnsiTheme="minorHAnsi" w:cstheme="minorBidi"/>
          <w:iCs w:val="0"/>
          <w:noProof/>
          <w:sz w:val="22"/>
          <w:szCs w:val="22"/>
          <w:lang w:val="en-US" w:eastAsia="en-US"/>
        </w:rPr>
      </w:pPr>
      <w:hyperlink w:anchor="_Toc431917560" w:history="1">
        <w:r w:rsidR="00424BEA" w:rsidRPr="003C38FB">
          <w:rPr>
            <w:rStyle w:val="Hyperlink"/>
            <w:noProof/>
          </w:rPr>
          <w:t>A.3.2</w:t>
        </w:r>
        <w:r w:rsidR="00424BEA">
          <w:rPr>
            <w:rFonts w:asciiTheme="minorHAnsi" w:eastAsiaTheme="minorEastAsia" w:hAnsiTheme="minorHAnsi" w:cstheme="minorBidi"/>
            <w:iCs w:val="0"/>
            <w:noProof/>
            <w:sz w:val="22"/>
            <w:szCs w:val="22"/>
            <w:lang w:val="en-US" w:eastAsia="en-US"/>
          </w:rPr>
          <w:tab/>
        </w:r>
        <w:r w:rsidR="00424BEA" w:rsidRPr="003C38FB">
          <w:rPr>
            <w:rStyle w:val="Hyperlink"/>
            <w:noProof/>
          </w:rPr>
          <w:t>Clinical management intervention</w:t>
        </w:r>
        <w:r w:rsidR="00424BEA">
          <w:rPr>
            <w:noProof/>
            <w:webHidden/>
          </w:rPr>
          <w:tab/>
        </w:r>
        <w:r w:rsidR="00424BEA">
          <w:rPr>
            <w:noProof/>
            <w:webHidden/>
          </w:rPr>
          <w:fldChar w:fldCharType="begin"/>
        </w:r>
        <w:r w:rsidR="00424BEA">
          <w:rPr>
            <w:noProof/>
            <w:webHidden/>
          </w:rPr>
          <w:instrText xml:space="preserve"> PAGEREF _Toc431917560 \h </w:instrText>
        </w:r>
        <w:r w:rsidR="00424BEA">
          <w:rPr>
            <w:noProof/>
            <w:webHidden/>
          </w:rPr>
        </w:r>
        <w:r w:rsidR="00424BEA">
          <w:rPr>
            <w:noProof/>
            <w:webHidden/>
          </w:rPr>
          <w:fldChar w:fldCharType="separate"/>
        </w:r>
        <w:r w:rsidR="00CB5BA6">
          <w:rPr>
            <w:noProof/>
            <w:webHidden/>
          </w:rPr>
          <w:t>24</w:t>
        </w:r>
        <w:r w:rsidR="00424BEA">
          <w:rPr>
            <w:noProof/>
            <w:webHidden/>
          </w:rPr>
          <w:fldChar w:fldCharType="end"/>
        </w:r>
      </w:hyperlink>
    </w:p>
    <w:p w14:paraId="444D1AF5" w14:textId="77777777" w:rsidR="00424BEA" w:rsidRDefault="009A7DB9">
      <w:pPr>
        <w:pStyle w:val="TOC3"/>
        <w:tabs>
          <w:tab w:val="left" w:pos="1162"/>
          <w:tab w:val="right" w:leader="dot" w:pos="9017"/>
        </w:tabs>
        <w:rPr>
          <w:rFonts w:asciiTheme="minorHAnsi" w:eastAsiaTheme="minorEastAsia" w:hAnsiTheme="minorHAnsi" w:cstheme="minorBidi"/>
          <w:iCs w:val="0"/>
          <w:noProof/>
          <w:sz w:val="22"/>
          <w:szCs w:val="22"/>
          <w:lang w:val="en-US" w:eastAsia="en-US"/>
        </w:rPr>
      </w:pPr>
      <w:hyperlink w:anchor="_Toc431917561" w:history="1">
        <w:r w:rsidR="00424BEA" w:rsidRPr="003C38FB">
          <w:rPr>
            <w:rStyle w:val="Hyperlink"/>
            <w:noProof/>
          </w:rPr>
          <w:t>A.3.3</w:t>
        </w:r>
        <w:r w:rsidR="00424BEA">
          <w:rPr>
            <w:rFonts w:asciiTheme="minorHAnsi" w:eastAsiaTheme="minorEastAsia" w:hAnsiTheme="minorHAnsi" w:cstheme="minorBidi"/>
            <w:iCs w:val="0"/>
            <w:noProof/>
            <w:sz w:val="22"/>
            <w:szCs w:val="22"/>
            <w:lang w:val="en-US" w:eastAsia="en-US"/>
          </w:rPr>
          <w:tab/>
        </w:r>
        <w:r w:rsidR="00424BEA" w:rsidRPr="003C38FB">
          <w:rPr>
            <w:rStyle w:val="Hyperlink"/>
            <w:noProof/>
          </w:rPr>
          <w:t>Clinical management post-intervention</w:t>
        </w:r>
        <w:r w:rsidR="00424BEA">
          <w:rPr>
            <w:noProof/>
            <w:webHidden/>
          </w:rPr>
          <w:tab/>
        </w:r>
        <w:r w:rsidR="00424BEA">
          <w:rPr>
            <w:noProof/>
            <w:webHidden/>
          </w:rPr>
          <w:fldChar w:fldCharType="begin"/>
        </w:r>
        <w:r w:rsidR="00424BEA">
          <w:rPr>
            <w:noProof/>
            <w:webHidden/>
          </w:rPr>
          <w:instrText xml:space="preserve"> PAGEREF _Toc431917561 \h </w:instrText>
        </w:r>
        <w:r w:rsidR="00424BEA">
          <w:rPr>
            <w:noProof/>
            <w:webHidden/>
          </w:rPr>
        </w:r>
        <w:r w:rsidR="00424BEA">
          <w:rPr>
            <w:noProof/>
            <w:webHidden/>
          </w:rPr>
          <w:fldChar w:fldCharType="separate"/>
        </w:r>
        <w:r w:rsidR="00CB5BA6">
          <w:rPr>
            <w:noProof/>
            <w:webHidden/>
          </w:rPr>
          <w:t>26</w:t>
        </w:r>
        <w:r w:rsidR="00424BEA">
          <w:rPr>
            <w:noProof/>
            <w:webHidden/>
          </w:rPr>
          <w:fldChar w:fldCharType="end"/>
        </w:r>
      </w:hyperlink>
    </w:p>
    <w:p w14:paraId="5D0FFFD8" w14:textId="77777777" w:rsidR="00424BEA" w:rsidRDefault="009A7DB9">
      <w:pPr>
        <w:pStyle w:val="TOC2"/>
        <w:tabs>
          <w:tab w:val="left" w:pos="720"/>
          <w:tab w:val="right" w:leader="dot" w:pos="9017"/>
        </w:tabs>
        <w:rPr>
          <w:rFonts w:asciiTheme="minorHAnsi" w:eastAsiaTheme="minorEastAsia" w:hAnsiTheme="minorHAnsi" w:cstheme="minorBidi"/>
          <w:noProof/>
          <w:sz w:val="22"/>
          <w:szCs w:val="22"/>
          <w:lang w:val="en-US" w:eastAsia="en-US"/>
        </w:rPr>
      </w:pPr>
      <w:hyperlink w:anchor="_Toc431917562" w:history="1">
        <w:r w:rsidR="00424BEA" w:rsidRPr="003C38FB">
          <w:rPr>
            <w:rStyle w:val="Hyperlink"/>
            <w:noProof/>
          </w:rPr>
          <w:t>A.4</w:t>
        </w:r>
        <w:r w:rsidR="00424BEA">
          <w:rPr>
            <w:rFonts w:asciiTheme="minorHAnsi" w:eastAsiaTheme="minorEastAsia" w:hAnsiTheme="minorHAnsi" w:cstheme="minorBidi"/>
            <w:noProof/>
            <w:sz w:val="22"/>
            <w:szCs w:val="22"/>
            <w:lang w:val="en-US" w:eastAsia="en-US"/>
          </w:rPr>
          <w:tab/>
        </w:r>
        <w:r w:rsidR="00424BEA" w:rsidRPr="003C38FB">
          <w:rPr>
            <w:rStyle w:val="Hyperlink"/>
            <w:noProof/>
          </w:rPr>
          <w:t>Main comparator</w:t>
        </w:r>
        <w:r w:rsidR="00424BEA">
          <w:rPr>
            <w:noProof/>
            <w:webHidden/>
          </w:rPr>
          <w:tab/>
        </w:r>
        <w:r w:rsidR="00424BEA">
          <w:rPr>
            <w:noProof/>
            <w:webHidden/>
          </w:rPr>
          <w:fldChar w:fldCharType="begin"/>
        </w:r>
        <w:r w:rsidR="00424BEA">
          <w:rPr>
            <w:noProof/>
            <w:webHidden/>
          </w:rPr>
          <w:instrText xml:space="preserve"> PAGEREF _Toc431917562 \h </w:instrText>
        </w:r>
        <w:r w:rsidR="00424BEA">
          <w:rPr>
            <w:noProof/>
            <w:webHidden/>
          </w:rPr>
        </w:r>
        <w:r w:rsidR="00424BEA">
          <w:rPr>
            <w:noProof/>
            <w:webHidden/>
          </w:rPr>
          <w:fldChar w:fldCharType="separate"/>
        </w:r>
        <w:r w:rsidR="00CB5BA6">
          <w:rPr>
            <w:noProof/>
            <w:webHidden/>
          </w:rPr>
          <w:t>27</w:t>
        </w:r>
        <w:r w:rsidR="00424BEA">
          <w:rPr>
            <w:noProof/>
            <w:webHidden/>
          </w:rPr>
          <w:fldChar w:fldCharType="end"/>
        </w:r>
      </w:hyperlink>
    </w:p>
    <w:p w14:paraId="49D6EF50" w14:textId="77777777" w:rsidR="00424BEA" w:rsidRDefault="009A7DB9">
      <w:pPr>
        <w:pStyle w:val="TOC2"/>
        <w:tabs>
          <w:tab w:val="left" w:pos="720"/>
          <w:tab w:val="right" w:leader="dot" w:pos="9017"/>
        </w:tabs>
        <w:rPr>
          <w:rFonts w:asciiTheme="minorHAnsi" w:eastAsiaTheme="minorEastAsia" w:hAnsiTheme="minorHAnsi" w:cstheme="minorBidi"/>
          <w:noProof/>
          <w:sz w:val="22"/>
          <w:szCs w:val="22"/>
          <w:lang w:val="en-US" w:eastAsia="en-US"/>
        </w:rPr>
      </w:pPr>
      <w:hyperlink w:anchor="_Toc431917563" w:history="1">
        <w:r w:rsidR="00424BEA" w:rsidRPr="003C38FB">
          <w:rPr>
            <w:rStyle w:val="Hyperlink"/>
            <w:noProof/>
          </w:rPr>
          <w:t>A.5</w:t>
        </w:r>
        <w:r w:rsidR="00424BEA">
          <w:rPr>
            <w:rFonts w:asciiTheme="minorHAnsi" w:eastAsiaTheme="minorEastAsia" w:hAnsiTheme="minorHAnsi" w:cstheme="minorBidi"/>
            <w:noProof/>
            <w:sz w:val="22"/>
            <w:szCs w:val="22"/>
            <w:lang w:val="en-US" w:eastAsia="en-US"/>
          </w:rPr>
          <w:tab/>
        </w:r>
        <w:r w:rsidR="00424BEA" w:rsidRPr="003C38FB">
          <w:rPr>
            <w:rStyle w:val="Hyperlink"/>
            <w:noProof/>
          </w:rPr>
          <w:t>Clinical management algorithm</w:t>
        </w:r>
        <w:r w:rsidR="00424BEA">
          <w:rPr>
            <w:noProof/>
            <w:webHidden/>
          </w:rPr>
          <w:tab/>
        </w:r>
        <w:r w:rsidR="00424BEA">
          <w:rPr>
            <w:noProof/>
            <w:webHidden/>
          </w:rPr>
          <w:fldChar w:fldCharType="begin"/>
        </w:r>
        <w:r w:rsidR="00424BEA">
          <w:rPr>
            <w:noProof/>
            <w:webHidden/>
          </w:rPr>
          <w:instrText xml:space="preserve"> PAGEREF _Toc431917563 \h </w:instrText>
        </w:r>
        <w:r w:rsidR="00424BEA">
          <w:rPr>
            <w:noProof/>
            <w:webHidden/>
          </w:rPr>
        </w:r>
        <w:r w:rsidR="00424BEA">
          <w:rPr>
            <w:noProof/>
            <w:webHidden/>
          </w:rPr>
          <w:fldChar w:fldCharType="separate"/>
        </w:r>
        <w:r w:rsidR="00CB5BA6">
          <w:rPr>
            <w:noProof/>
            <w:webHidden/>
          </w:rPr>
          <w:t>33</w:t>
        </w:r>
        <w:r w:rsidR="00424BEA">
          <w:rPr>
            <w:noProof/>
            <w:webHidden/>
          </w:rPr>
          <w:fldChar w:fldCharType="end"/>
        </w:r>
      </w:hyperlink>
    </w:p>
    <w:p w14:paraId="55A7B4D7" w14:textId="77777777" w:rsidR="00424BEA" w:rsidRDefault="009A7DB9">
      <w:pPr>
        <w:pStyle w:val="TOC2"/>
        <w:tabs>
          <w:tab w:val="left" w:pos="720"/>
          <w:tab w:val="right" w:leader="dot" w:pos="9017"/>
        </w:tabs>
        <w:rPr>
          <w:rFonts w:asciiTheme="minorHAnsi" w:eastAsiaTheme="minorEastAsia" w:hAnsiTheme="minorHAnsi" w:cstheme="minorBidi"/>
          <w:noProof/>
          <w:sz w:val="22"/>
          <w:szCs w:val="22"/>
          <w:lang w:val="en-US" w:eastAsia="en-US"/>
        </w:rPr>
      </w:pPr>
      <w:hyperlink w:anchor="_Toc431917564" w:history="1">
        <w:r w:rsidR="00424BEA" w:rsidRPr="003C38FB">
          <w:rPr>
            <w:rStyle w:val="Hyperlink"/>
            <w:noProof/>
          </w:rPr>
          <w:t>A.6</w:t>
        </w:r>
        <w:r w:rsidR="00424BEA">
          <w:rPr>
            <w:rFonts w:asciiTheme="minorHAnsi" w:eastAsiaTheme="minorEastAsia" w:hAnsiTheme="minorHAnsi" w:cstheme="minorBidi"/>
            <w:noProof/>
            <w:sz w:val="22"/>
            <w:szCs w:val="22"/>
            <w:lang w:val="en-US" w:eastAsia="en-US"/>
          </w:rPr>
          <w:tab/>
        </w:r>
        <w:r w:rsidR="00424BEA" w:rsidRPr="003C38FB">
          <w:rPr>
            <w:rStyle w:val="Hyperlink"/>
            <w:noProof/>
          </w:rPr>
          <w:t>Differences between the proposed intervention and main comparator</w:t>
        </w:r>
        <w:r w:rsidR="00424BEA">
          <w:rPr>
            <w:noProof/>
            <w:webHidden/>
          </w:rPr>
          <w:tab/>
        </w:r>
        <w:r w:rsidR="00424BEA">
          <w:rPr>
            <w:noProof/>
            <w:webHidden/>
          </w:rPr>
          <w:fldChar w:fldCharType="begin"/>
        </w:r>
        <w:r w:rsidR="00424BEA">
          <w:rPr>
            <w:noProof/>
            <w:webHidden/>
          </w:rPr>
          <w:instrText xml:space="preserve"> PAGEREF _Toc431917564 \h </w:instrText>
        </w:r>
        <w:r w:rsidR="00424BEA">
          <w:rPr>
            <w:noProof/>
            <w:webHidden/>
          </w:rPr>
        </w:r>
        <w:r w:rsidR="00424BEA">
          <w:rPr>
            <w:noProof/>
            <w:webHidden/>
          </w:rPr>
          <w:fldChar w:fldCharType="separate"/>
        </w:r>
        <w:r w:rsidR="00CB5BA6">
          <w:rPr>
            <w:noProof/>
            <w:webHidden/>
          </w:rPr>
          <w:t>34</w:t>
        </w:r>
        <w:r w:rsidR="00424BEA">
          <w:rPr>
            <w:noProof/>
            <w:webHidden/>
          </w:rPr>
          <w:fldChar w:fldCharType="end"/>
        </w:r>
      </w:hyperlink>
    </w:p>
    <w:p w14:paraId="1DD181B6" w14:textId="77777777" w:rsidR="00424BEA" w:rsidRDefault="009A7DB9">
      <w:pPr>
        <w:pStyle w:val="TOC1"/>
        <w:tabs>
          <w:tab w:val="right" w:leader="dot" w:pos="9017"/>
        </w:tabs>
        <w:rPr>
          <w:rFonts w:asciiTheme="minorHAnsi" w:eastAsiaTheme="minorEastAsia" w:hAnsiTheme="minorHAnsi" w:cstheme="minorBidi"/>
          <w:b w:val="0"/>
          <w:bCs w:val="0"/>
          <w:noProof/>
          <w:szCs w:val="22"/>
          <w:lang w:val="en-US" w:eastAsia="en-US"/>
        </w:rPr>
      </w:pPr>
      <w:hyperlink w:anchor="_Toc431917565" w:history="1">
        <w:r w:rsidR="00424BEA" w:rsidRPr="003C38FB">
          <w:rPr>
            <w:rStyle w:val="Hyperlink"/>
            <w:noProof/>
          </w:rPr>
          <w:t>B.</w:t>
        </w:r>
        <w:r w:rsidR="00424BEA">
          <w:rPr>
            <w:rFonts w:asciiTheme="minorHAnsi" w:eastAsiaTheme="minorEastAsia" w:hAnsiTheme="minorHAnsi" w:cstheme="minorBidi"/>
            <w:b w:val="0"/>
            <w:bCs w:val="0"/>
            <w:noProof/>
            <w:szCs w:val="22"/>
            <w:lang w:val="en-US" w:eastAsia="en-US"/>
          </w:rPr>
          <w:tab/>
        </w:r>
        <w:r w:rsidR="00424BEA" w:rsidRPr="003C38FB">
          <w:rPr>
            <w:rStyle w:val="Hyperlink"/>
            <w:noProof/>
          </w:rPr>
          <w:t>Systematic evaluation of the evidence for the proposed medical device</w:t>
        </w:r>
        <w:r w:rsidR="00424BEA">
          <w:rPr>
            <w:noProof/>
            <w:webHidden/>
          </w:rPr>
          <w:tab/>
        </w:r>
        <w:r w:rsidR="00424BEA">
          <w:rPr>
            <w:noProof/>
            <w:webHidden/>
          </w:rPr>
          <w:fldChar w:fldCharType="begin"/>
        </w:r>
        <w:r w:rsidR="00424BEA">
          <w:rPr>
            <w:noProof/>
            <w:webHidden/>
          </w:rPr>
          <w:instrText xml:space="preserve"> PAGEREF _Toc431917565 \h </w:instrText>
        </w:r>
        <w:r w:rsidR="00424BEA">
          <w:rPr>
            <w:noProof/>
            <w:webHidden/>
          </w:rPr>
        </w:r>
        <w:r w:rsidR="00424BEA">
          <w:rPr>
            <w:noProof/>
            <w:webHidden/>
          </w:rPr>
          <w:fldChar w:fldCharType="separate"/>
        </w:r>
        <w:r w:rsidR="00CB5BA6">
          <w:rPr>
            <w:noProof/>
            <w:webHidden/>
          </w:rPr>
          <w:t>35</w:t>
        </w:r>
        <w:r w:rsidR="00424BEA">
          <w:rPr>
            <w:noProof/>
            <w:webHidden/>
          </w:rPr>
          <w:fldChar w:fldCharType="end"/>
        </w:r>
      </w:hyperlink>
    </w:p>
    <w:p w14:paraId="0969E249" w14:textId="77777777" w:rsidR="00424BEA" w:rsidRDefault="009A7DB9">
      <w:pPr>
        <w:pStyle w:val="TOC2"/>
        <w:tabs>
          <w:tab w:val="left" w:pos="720"/>
          <w:tab w:val="right" w:leader="dot" w:pos="9017"/>
        </w:tabs>
        <w:rPr>
          <w:rFonts w:asciiTheme="minorHAnsi" w:eastAsiaTheme="minorEastAsia" w:hAnsiTheme="minorHAnsi" w:cstheme="minorBidi"/>
          <w:noProof/>
          <w:sz w:val="22"/>
          <w:szCs w:val="22"/>
          <w:lang w:val="en-US" w:eastAsia="en-US"/>
        </w:rPr>
      </w:pPr>
      <w:hyperlink w:anchor="_Toc431917566" w:history="1">
        <w:r w:rsidR="00424BEA" w:rsidRPr="003C38FB">
          <w:rPr>
            <w:rStyle w:val="Hyperlink"/>
            <w:noProof/>
          </w:rPr>
          <w:t>B.1</w:t>
        </w:r>
        <w:r w:rsidR="00424BEA">
          <w:rPr>
            <w:rFonts w:asciiTheme="minorHAnsi" w:eastAsiaTheme="minorEastAsia" w:hAnsiTheme="minorHAnsi" w:cstheme="minorBidi"/>
            <w:noProof/>
            <w:sz w:val="22"/>
            <w:szCs w:val="22"/>
            <w:lang w:val="en-US" w:eastAsia="en-US"/>
          </w:rPr>
          <w:tab/>
        </w:r>
        <w:r w:rsidR="00424BEA" w:rsidRPr="003C38FB">
          <w:rPr>
            <w:rStyle w:val="Hyperlink"/>
            <w:noProof/>
          </w:rPr>
          <w:t>Description of the search strategy</w:t>
        </w:r>
        <w:r w:rsidR="00424BEA">
          <w:rPr>
            <w:noProof/>
            <w:webHidden/>
          </w:rPr>
          <w:tab/>
        </w:r>
        <w:r w:rsidR="00424BEA">
          <w:rPr>
            <w:noProof/>
            <w:webHidden/>
          </w:rPr>
          <w:fldChar w:fldCharType="begin"/>
        </w:r>
        <w:r w:rsidR="00424BEA">
          <w:rPr>
            <w:noProof/>
            <w:webHidden/>
          </w:rPr>
          <w:instrText xml:space="preserve"> PAGEREF _Toc431917566 \h </w:instrText>
        </w:r>
        <w:r w:rsidR="00424BEA">
          <w:rPr>
            <w:noProof/>
            <w:webHidden/>
          </w:rPr>
        </w:r>
        <w:r w:rsidR="00424BEA">
          <w:rPr>
            <w:noProof/>
            <w:webHidden/>
          </w:rPr>
          <w:fldChar w:fldCharType="separate"/>
        </w:r>
        <w:r w:rsidR="00CB5BA6">
          <w:rPr>
            <w:noProof/>
            <w:webHidden/>
          </w:rPr>
          <w:t>35</w:t>
        </w:r>
        <w:r w:rsidR="00424BEA">
          <w:rPr>
            <w:noProof/>
            <w:webHidden/>
          </w:rPr>
          <w:fldChar w:fldCharType="end"/>
        </w:r>
      </w:hyperlink>
    </w:p>
    <w:p w14:paraId="3E1AC2B7" w14:textId="77777777" w:rsidR="00424BEA" w:rsidRDefault="009A7DB9">
      <w:pPr>
        <w:pStyle w:val="TOC2"/>
        <w:tabs>
          <w:tab w:val="left" w:pos="720"/>
          <w:tab w:val="right" w:leader="dot" w:pos="9017"/>
        </w:tabs>
        <w:rPr>
          <w:rFonts w:asciiTheme="minorHAnsi" w:eastAsiaTheme="minorEastAsia" w:hAnsiTheme="minorHAnsi" w:cstheme="minorBidi"/>
          <w:noProof/>
          <w:sz w:val="22"/>
          <w:szCs w:val="22"/>
          <w:lang w:val="en-US" w:eastAsia="en-US"/>
        </w:rPr>
      </w:pPr>
      <w:hyperlink w:anchor="_Toc431917567" w:history="1">
        <w:r w:rsidR="00424BEA" w:rsidRPr="003C38FB">
          <w:rPr>
            <w:rStyle w:val="Hyperlink"/>
            <w:noProof/>
          </w:rPr>
          <w:t>B.2</w:t>
        </w:r>
        <w:r w:rsidR="00424BEA">
          <w:rPr>
            <w:rFonts w:asciiTheme="minorHAnsi" w:eastAsiaTheme="minorEastAsia" w:hAnsiTheme="minorHAnsi" w:cstheme="minorBidi"/>
            <w:noProof/>
            <w:sz w:val="22"/>
            <w:szCs w:val="22"/>
            <w:lang w:val="en-US" w:eastAsia="en-US"/>
          </w:rPr>
          <w:tab/>
        </w:r>
        <w:r w:rsidR="00424BEA" w:rsidRPr="003C38FB">
          <w:rPr>
            <w:rStyle w:val="Hyperlink"/>
            <w:noProof/>
          </w:rPr>
          <w:t>Listing of included non-randomised studies</w:t>
        </w:r>
        <w:r w:rsidR="00424BEA">
          <w:rPr>
            <w:noProof/>
            <w:webHidden/>
          </w:rPr>
          <w:tab/>
        </w:r>
        <w:r w:rsidR="00424BEA">
          <w:rPr>
            <w:noProof/>
            <w:webHidden/>
          </w:rPr>
          <w:fldChar w:fldCharType="begin"/>
        </w:r>
        <w:r w:rsidR="00424BEA">
          <w:rPr>
            <w:noProof/>
            <w:webHidden/>
          </w:rPr>
          <w:instrText xml:space="preserve"> PAGEREF _Toc431917567 \h </w:instrText>
        </w:r>
        <w:r w:rsidR="00424BEA">
          <w:rPr>
            <w:noProof/>
            <w:webHidden/>
          </w:rPr>
        </w:r>
        <w:r w:rsidR="00424BEA">
          <w:rPr>
            <w:noProof/>
            <w:webHidden/>
          </w:rPr>
          <w:fldChar w:fldCharType="separate"/>
        </w:r>
        <w:r w:rsidR="00CB5BA6">
          <w:rPr>
            <w:noProof/>
            <w:webHidden/>
          </w:rPr>
          <w:t>36</w:t>
        </w:r>
        <w:r w:rsidR="00424BEA">
          <w:rPr>
            <w:noProof/>
            <w:webHidden/>
          </w:rPr>
          <w:fldChar w:fldCharType="end"/>
        </w:r>
      </w:hyperlink>
    </w:p>
    <w:p w14:paraId="23ACC92A" w14:textId="77777777" w:rsidR="00424BEA" w:rsidRDefault="009A7DB9">
      <w:pPr>
        <w:pStyle w:val="TOC2"/>
        <w:tabs>
          <w:tab w:val="left" w:pos="720"/>
          <w:tab w:val="right" w:leader="dot" w:pos="9017"/>
        </w:tabs>
        <w:rPr>
          <w:rFonts w:asciiTheme="minorHAnsi" w:eastAsiaTheme="minorEastAsia" w:hAnsiTheme="minorHAnsi" w:cstheme="minorBidi"/>
          <w:noProof/>
          <w:sz w:val="22"/>
          <w:szCs w:val="22"/>
          <w:lang w:val="en-US" w:eastAsia="en-US"/>
        </w:rPr>
      </w:pPr>
      <w:hyperlink w:anchor="_Toc431917568" w:history="1">
        <w:r w:rsidR="00424BEA" w:rsidRPr="003C38FB">
          <w:rPr>
            <w:rStyle w:val="Hyperlink"/>
            <w:rFonts w:eastAsiaTheme="minorHAnsi"/>
            <w:noProof/>
          </w:rPr>
          <w:t>B.3</w:t>
        </w:r>
        <w:r w:rsidR="00424BEA">
          <w:rPr>
            <w:rFonts w:asciiTheme="minorHAnsi" w:eastAsiaTheme="minorEastAsia" w:hAnsiTheme="minorHAnsi" w:cstheme="minorBidi"/>
            <w:noProof/>
            <w:sz w:val="22"/>
            <w:szCs w:val="22"/>
            <w:lang w:val="en-US" w:eastAsia="en-US"/>
          </w:rPr>
          <w:tab/>
        </w:r>
        <w:r w:rsidR="00424BEA" w:rsidRPr="003C38FB">
          <w:rPr>
            <w:rStyle w:val="Hyperlink"/>
            <w:noProof/>
          </w:rPr>
          <w:t>Assessment of the measures taken by investigators to minimise bias in the direct randomised trials</w:t>
        </w:r>
        <w:r w:rsidR="00424BEA">
          <w:rPr>
            <w:noProof/>
            <w:webHidden/>
          </w:rPr>
          <w:tab/>
        </w:r>
        <w:r w:rsidR="00424BEA">
          <w:rPr>
            <w:noProof/>
            <w:webHidden/>
          </w:rPr>
          <w:fldChar w:fldCharType="begin"/>
        </w:r>
        <w:r w:rsidR="00424BEA">
          <w:rPr>
            <w:noProof/>
            <w:webHidden/>
          </w:rPr>
          <w:instrText xml:space="preserve"> PAGEREF _Toc431917568 \h </w:instrText>
        </w:r>
        <w:r w:rsidR="00424BEA">
          <w:rPr>
            <w:noProof/>
            <w:webHidden/>
          </w:rPr>
        </w:r>
        <w:r w:rsidR="00424BEA">
          <w:rPr>
            <w:noProof/>
            <w:webHidden/>
          </w:rPr>
          <w:fldChar w:fldCharType="separate"/>
        </w:r>
        <w:r w:rsidR="00CB5BA6">
          <w:rPr>
            <w:noProof/>
            <w:webHidden/>
          </w:rPr>
          <w:t>48</w:t>
        </w:r>
        <w:r w:rsidR="00424BEA">
          <w:rPr>
            <w:noProof/>
            <w:webHidden/>
          </w:rPr>
          <w:fldChar w:fldCharType="end"/>
        </w:r>
      </w:hyperlink>
    </w:p>
    <w:p w14:paraId="36AE0C34" w14:textId="77777777" w:rsidR="00424BEA" w:rsidRDefault="009A7DB9">
      <w:pPr>
        <w:pStyle w:val="TOC2"/>
        <w:tabs>
          <w:tab w:val="left" w:pos="720"/>
          <w:tab w:val="right" w:leader="dot" w:pos="9017"/>
        </w:tabs>
        <w:rPr>
          <w:rFonts w:asciiTheme="minorHAnsi" w:eastAsiaTheme="minorEastAsia" w:hAnsiTheme="minorHAnsi" w:cstheme="minorBidi"/>
          <w:noProof/>
          <w:sz w:val="22"/>
          <w:szCs w:val="22"/>
          <w:lang w:val="en-US" w:eastAsia="en-US"/>
        </w:rPr>
      </w:pPr>
      <w:hyperlink w:anchor="_Toc431917569" w:history="1">
        <w:r w:rsidR="00424BEA" w:rsidRPr="003C38FB">
          <w:rPr>
            <w:rStyle w:val="Hyperlink"/>
            <w:noProof/>
          </w:rPr>
          <w:t>B</w:t>
        </w:r>
        <w:r w:rsidR="00424BEA" w:rsidRPr="003C38FB">
          <w:rPr>
            <w:rStyle w:val="Hyperlink"/>
            <w:noProof/>
            <w:lang w:val="en-US"/>
          </w:rPr>
          <w:t>.4</w:t>
        </w:r>
        <w:r w:rsidR="00424BEA">
          <w:rPr>
            <w:rFonts w:asciiTheme="minorHAnsi" w:eastAsiaTheme="minorEastAsia" w:hAnsiTheme="minorHAnsi" w:cstheme="minorBidi"/>
            <w:noProof/>
            <w:sz w:val="22"/>
            <w:szCs w:val="22"/>
            <w:lang w:val="en-US" w:eastAsia="en-US"/>
          </w:rPr>
          <w:tab/>
        </w:r>
        <w:r w:rsidR="00424BEA" w:rsidRPr="003C38FB">
          <w:rPr>
            <w:rStyle w:val="Hyperlink"/>
            <w:noProof/>
          </w:rPr>
          <w:t>Characteristics of the non-randomised studies</w:t>
        </w:r>
        <w:r w:rsidR="00424BEA">
          <w:rPr>
            <w:noProof/>
            <w:webHidden/>
          </w:rPr>
          <w:tab/>
        </w:r>
        <w:r w:rsidR="00424BEA">
          <w:rPr>
            <w:noProof/>
            <w:webHidden/>
          </w:rPr>
          <w:fldChar w:fldCharType="begin"/>
        </w:r>
        <w:r w:rsidR="00424BEA">
          <w:rPr>
            <w:noProof/>
            <w:webHidden/>
          </w:rPr>
          <w:instrText xml:space="preserve"> PAGEREF _Toc431917569 \h </w:instrText>
        </w:r>
        <w:r w:rsidR="00424BEA">
          <w:rPr>
            <w:noProof/>
            <w:webHidden/>
          </w:rPr>
        </w:r>
        <w:r w:rsidR="00424BEA">
          <w:rPr>
            <w:noProof/>
            <w:webHidden/>
          </w:rPr>
          <w:fldChar w:fldCharType="separate"/>
        </w:r>
        <w:r w:rsidR="00CB5BA6">
          <w:rPr>
            <w:noProof/>
            <w:webHidden/>
          </w:rPr>
          <w:t>57</w:t>
        </w:r>
        <w:r w:rsidR="00424BEA">
          <w:rPr>
            <w:noProof/>
            <w:webHidden/>
          </w:rPr>
          <w:fldChar w:fldCharType="end"/>
        </w:r>
      </w:hyperlink>
    </w:p>
    <w:p w14:paraId="4E16E65B" w14:textId="77777777" w:rsidR="00424BEA" w:rsidRDefault="009A7DB9">
      <w:pPr>
        <w:pStyle w:val="TOC3"/>
        <w:tabs>
          <w:tab w:val="left" w:pos="1162"/>
          <w:tab w:val="right" w:leader="dot" w:pos="9017"/>
        </w:tabs>
        <w:rPr>
          <w:rFonts w:asciiTheme="minorHAnsi" w:eastAsiaTheme="minorEastAsia" w:hAnsiTheme="minorHAnsi" w:cstheme="minorBidi"/>
          <w:iCs w:val="0"/>
          <w:noProof/>
          <w:sz w:val="22"/>
          <w:szCs w:val="22"/>
          <w:lang w:val="en-US" w:eastAsia="en-US"/>
        </w:rPr>
      </w:pPr>
      <w:hyperlink w:anchor="_Toc431917570" w:history="1">
        <w:r w:rsidR="00424BEA" w:rsidRPr="003C38FB">
          <w:rPr>
            <w:rStyle w:val="Hyperlink"/>
            <w:noProof/>
          </w:rPr>
          <w:t>B4.1</w:t>
        </w:r>
        <w:r w:rsidR="00424BEA">
          <w:rPr>
            <w:rFonts w:asciiTheme="minorHAnsi" w:eastAsiaTheme="minorEastAsia" w:hAnsiTheme="minorHAnsi" w:cstheme="minorBidi"/>
            <w:iCs w:val="0"/>
            <w:noProof/>
            <w:sz w:val="22"/>
            <w:szCs w:val="22"/>
            <w:lang w:val="en-US" w:eastAsia="en-US"/>
          </w:rPr>
          <w:tab/>
        </w:r>
        <w:r w:rsidR="00424BEA" w:rsidRPr="003C38FB">
          <w:rPr>
            <w:rStyle w:val="Hyperlink"/>
            <w:noProof/>
          </w:rPr>
          <w:t>Eligibility criteria</w:t>
        </w:r>
        <w:r w:rsidR="00424BEA">
          <w:rPr>
            <w:noProof/>
            <w:webHidden/>
          </w:rPr>
          <w:tab/>
        </w:r>
        <w:r w:rsidR="00424BEA">
          <w:rPr>
            <w:noProof/>
            <w:webHidden/>
          </w:rPr>
          <w:fldChar w:fldCharType="begin"/>
        </w:r>
        <w:r w:rsidR="00424BEA">
          <w:rPr>
            <w:noProof/>
            <w:webHidden/>
          </w:rPr>
          <w:instrText xml:space="preserve"> PAGEREF _Toc431917570 \h </w:instrText>
        </w:r>
        <w:r w:rsidR="00424BEA">
          <w:rPr>
            <w:noProof/>
            <w:webHidden/>
          </w:rPr>
        </w:r>
        <w:r w:rsidR="00424BEA">
          <w:rPr>
            <w:noProof/>
            <w:webHidden/>
          </w:rPr>
          <w:fldChar w:fldCharType="separate"/>
        </w:r>
        <w:r w:rsidR="00CB5BA6">
          <w:rPr>
            <w:noProof/>
            <w:webHidden/>
          </w:rPr>
          <w:t>57</w:t>
        </w:r>
        <w:r w:rsidR="00424BEA">
          <w:rPr>
            <w:noProof/>
            <w:webHidden/>
          </w:rPr>
          <w:fldChar w:fldCharType="end"/>
        </w:r>
      </w:hyperlink>
    </w:p>
    <w:p w14:paraId="5F900520" w14:textId="77777777" w:rsidR="00424BEA" w:rsidRDefault="009A7DB9">
      <w:pPr>
        <w:pStyle w:val="TOC3"/>
        <w:tabs>
          <w:tab w:val="left" w:pos="1162"/>
          <w:tab w:val="right" w:leader="dot" w:pos="9017"/>
        </w:tabs>
        <w:rPr>
          <w:rFonts w:asciiTheme="minorHAnsi" w:eastAsiaTheme="minorEastAsia" w:hAnsiTheme="minorHAnsi" w:cstheme="minorBidi"/>
          <w:iCs w:val="0"/>
          <w:noProof/>
          <w:sz w:val="22"/>
          <w:szCs w:val="22"/>
          <w:lang w:val="en-US" w:eastAsia="en-US"/>
        </w:rPr>
      </w:pPr>
      <w:hyperlink w:anchor="_Toc431917571" w:history="1">
        <w:r w:rsidR="00424BEA" w:rsidRPr="003C38FB">
          <w:rPr>
            <w:rStyle w:val="Hyperlink"/>
            <w:noProof/>
          </w:rPr>
          <w:t>B4.2</w:t>
        </w:r>
        <w:r w:rsidR="00424BEA">
          <w:rPr>
            <w:rFonts w:asciiTheme="minorHAnsi" w:eastAsiaTheme="minorEastAsia" w:hAnsiTheme="minorHAnsi" w:cstheme="minorBidi"/>
            <w:iCs w:val="0"/>
            <w:noProof/>
            <w:sz w:val="22"/>
            <w:szCs w:val="22"/>
            <w:lang w:val="en-US" w:eastAsia="en-US"/>
          </w:rPr>
          <w:tab/>
        </w:r>
        <w:r w:rsidR="00424BEA" w:rsidRPr="003C38FB">
          <w:rPr>
            <w:rStyle w:val="Hyperlink"/>
            <w:noProof/>
          </w:rPr>
          <w:t>Patient baseline characteristics</w:t>
        </w:r>
        <w:r w:rsidR="00424BEA">
          <w:rPr>
            <w:noProof/>
            <w:webHidden/>
          </w:rPr>
          <w:tab/>
        </w:r>
        <w:r w:rsidR="00424BEA">
          <w:rPr>
            <w:noProof/>
            <w:webHidden/>
          </w:rPr>
          <w:fldChar w:fldCharType="begin"/>
        </w:r>
        <w:r w:rsidR="00424BEA">
          <w:rPr>
            <w:noProof/>
            <w:webHidden/>
          </w:rPr>
          <w:instrText xml:space="preserve"> PAGEREF _Toc431917571 \h </w:instrText>
        </w:r>
        <w:r w:rsidR="00424BEA">
          <w:rPr>
            <w:noProof/>
            <w:webHidden/>
          </w:rPr>
        </w:r>
        <w:r w:rsidR="00424BEA">
          <w:rPr>
            <w:noProof/>
            <w:webHidden/>
          </w:rPr>
          <w:fldChar w:fldCharType="separate"/>
        </w:r>
        <w:r w:rsidR="00CB5BA6">
          <w:rPr>
            <w:noProof/>
            <w:webHidden/>
          </w:rPr>
          <w:t>58</w:t>
        </w:r>
        <w:r w:rsidR="00424BEA">
          <w:rPr>
            <w:noProof/>
            <w:webHidden/>
          </w:rPr>
          <w:fldChar w:fldCharType="end"/>
        </w:r>
      </w:hyperlink>
    </w:p>
    <w:p w14:paraId="33219530" w14:textId="77777777" w:rsidR="00424BEA" w:rsidRDefault="009A7DB9">
      <w:pPr>
        <w:pStyle w:val="TOC3"/>
        <w:tabs>
          <w:tab w:val="left" w:pos="1162"/>
          <w:tab w:val="right" w:leader="dot" w:pos="9017"/>
        </w:tabs>
        <w:rPr>
          <w:rFonts w:asciiTheme="minorHAnsi" w:eastAsiaTheme="minorEastAsia" w:hAnsiTheme="minorHAnsi" w:cstheme="minorBidi"/>
          <w:iCs w:val="0"/>
          <w:noProof/>
          <w:sz w:val="22"/>
          <w:szCs w:val="22"/>
          <w:lang w:val="en-US" w:eastAsia="en-US"/>
        </w:rPr>
      </w:pPr>
      <w:hyperlink w:anchor="_Toc431917572" w:history="1">
        <w:r w:rsidR="00424BEA" w:rsidRPr="003C38FB">
          <w:rPr>
            <w:rStyle w:val="Hyperlink"/>
            <w:noProof/>
          </w:rPr>
          <w:t>B4.3</w:t>
        </w:r>
        <w:r w:rsidR="00424BEA">
          <w:rPr>
            <w:rFonts w:asciiTheme="minorHAnsi" w:eastAsiaTheme="minorEastAsia" w:hAnsiTheme="minorHAnsi" w:cstheme="minorBidi"/>
            <w:iCs w:val="0"/>
            <w:noProof/>
            <w:sz w:val="22"/>
            <w:szCs w:val="22"/>
            <w:lang w:val="en-US" w:eastAsia="en-US"/>
          </w:rPr>
          <w:tab/>
        </w:r>
        <w:r w:rsidR="00424BEA" w:rsidRPr="003C38FB">
          <w:rPr>
            <w:rStyle w:val="Hyperlink"/>
            <w:noProof/>
          </w:rPr>
          <w:t>Interventions in the non-randomised studies</w:t>
        </w:r>
        <w:r w:rsidR="00424BEA">
          <w:rPr>
            <w:noProof/>
            <w:webHidden/>
          </w:rPr>
          <w:tab/>
        </w:r>
        <w:r w:rsidR="00424BEA">
          <w:rPr>
            <w:noProof/>
            <w:webHidden/>
          </w:rPr>
          <w:fldChar w:fldCharType="begin"/>
        </w:r>
        <w:r w:rsidR="00424BEA">
          <w:rPr>
            <w:noProof/>
            <w:webHidden/>
          </w:rPr>
          <w:instrText xml:space="preserve"> PAGEREF _Toc431917572 \h </w:instrText>
        </w:r>
        <w:r w:rsidR="00424BEA">
          <w:rPr>
            <w:noProof/>
            <w:webHidden/>
          </w:rPr>
        </w:r>
        <w:r w:rsidR="00424BEA">
          <w:rPr>
            <w:noProof/>
            <w:webHidden/>
          </w:rPr>
          <w:fldChar w:fldCharType="separate"/>
        </w:r>
        <w:r w:rsidR="00CB5BA6">
          <w:rPr>
            <w:noProof/>
            <w:webHidden/>
          </w:rPr>
          <w:t>59</w:t>
        </w:r>
        <w:r w:rsidR="00424BEA">
          <w:rPr>
            <w:noProof/>
            <w:webHidden/>
          </w:rPr>
          <w:fldChar w:fldCharType="end"/>
        </w:r>
      </w:hyperlink>
    </w:p>
    <w:p w14:paraId="2A650FE1" w14:textId="77777777" w:rsidR="00424BEA" w:rsidRDefault="009A7DB9">
      <w:pPr>
        <w:pStyle w:val="TOC2"/>
        <w:tabs>
          <w:tab w:val="left" w:pos="720"/>
          <w:tab w:val="right" w:leader="dot" w:pos="9017"/>
        </w:tabs>
        <w:rPr>
          <w:rFonts w:asciiTheme="minorHAnsi" w:eastAsiaTheme="minorEastAsia" w:hAnsiTheme="minorHAnsi" w:cstheme="minorBidi"/>
          <w:noProof/>
          <w:sz w:val="22"/>
          <w:szCs w:val="22"/>
          <w:lang w:val="en-US" w:eastAsia="en-US"/>
        </w:rPr>
      </w:pPr>
      <w:hyperlink w:anchor="_Toc431917573" w:history="1">
        <w:r w:rsidR="00424BEA" w:rsidRPr="003C38FB">
          <w:rPr>
            <w:rStyle w:val="Hyperlink"/>
            <w:noProof/>
          </w:rPr>
          <w:t>B.5</w:t>
        </w:r>
        <w:r w:rsidR="00424BEA">
          <w:rPr>
            <w:rFonts w:asciiTheme="minorHAnsi" w:eastAsiaTheme="minorEastAsia" w:hAnsiTheme="minorHAnsi" w:cstheme="minorBidi"/>
            <w:noProof/>
            <w:sz w:val="22"/>
            <w:szCs w:val="22"/>
            <w:lang w:val="en-US" w:eastAsia="en-US"/>
          </w:rPr>
          <w:tab/>
        </w:r>
        <w:r w:rsidR="00424BEA" w:rsidRPr="003C38FB">
          <w:rPr>
            <w:rStyle w:val="Hyperlink"/>
            <w:noProof/>
          </w:rPr>
          <w:t>Outcome measures and analysis of the literature</w:t>
        </w:r>
        <w:r w:rsidR="00424BEA">
          <w:rPr>
            <w:noProof/>
            <w:webHidden/>
          </w:rPr>
          <w:tab/>
        </w:r>
        <w:r w:rsidR="00424BEA">
          <w:rPr>
            <w:noProof/>
            <w:webHidden/>
          </w:rPr>
          <w:fldChar w:fldCharType="begin"/>
        </w:r>
        <w:r w:rsidR="00424BEA">
          <w:rPr>
            <w:noProof/>
            <w:webHidden/>
          </w:rPr>
          <w:instrText xml:space="preserve"> PAGEREF _Toc431917573 \h </w:instrText>
        </w:r>
        <w:r w:rsidR="00424BEA">
          <w:rPr>
            <w:noProof/>
            <w:webHidden/>
          </w:rPr>
        </w:r>
        <w:r w:rsidR="00424BEA">
          <w:rPr>
            <w:noProof/>
            <w:webHidden/>
          </w:rPr>
          <w:fldChar w:fldCharType="separate"/>
        </w:r>
        <w:r w:rsidR="00CB5BA6">
          <w:rPr>
            <w:noProof/>
            <w:webHidden/>
          </w:rPr>
          <w:t>60</w:t>
        </w:r>
        <w:r w:rsidR="00424BEA">
          <w:rPr>
            <w:noProof/>
            <w:webHidden/>
          </w:rPr>
          <w:fldChar w:fldCharType="end"/>
        </w:r>
      </w:hyperlink>
    </w:p>
    <w:p w14:paraId="021F027C" w14:textId="77777777" w:rsidR="00424BEA" w:rsidRDefault="009A7DB9">
      <w:pPr>
        <w:pStyle w:val="TOC2"/>
        <w:tabs>
          <w:tab w:val="left" w:pos="720"/>
          <w:tab w:val="right" w:leader="dot" w:pos="9017"/>
        </w:tabs>
        <w:rPr>
          <w:rFonts w:asciiTheme="minorHAnsi" w:eastAsiaTheme="minorEastAsia" w:hAnsiTheme="minorHAnsi" w:cstheme="minorBidi"/>
          <w:noProof/>
          <w:sz w:val="22"/>
          <w:szCs w:val="22"/>
          <w:lang w:val="en-US" w:eastAsia="en-US"/>
        </w:rPr>
      </w:pPr>
      <w:hyperlink w:anchor="_Toc431917574" w:history="1">
        <w:r w:rsidR="00424BEA" w:rsidRPr="003C38FB">
          <w:rPr>
            <w:rStyle w:val="Hyperlink"/>
            <w:rFonts w:eastAsiaTheme="majorEastAsia"/>
            <w:noProof/>
          </w:rPr>
          <w:t>B.6</w:t>
        </w:r>
        <w:r w:rsidR="00424BEA">
          <w:rPr>
            <w:rFonts w:asciiTheme="minorHAnsi" w:eastAsiaTheme="minorEastAsia" w:hAnsiTheme="minorHAnsi" w:cstheme="minorBidi"/>
            <w:noProof/>
            <w:sz w:val="22"/>
            <w:szCs w:val="22"/>
            <w:lang w:val="en-US" w:eastAsia="en-US"/>
          </w:rPr>
          <w:tab/>
        </w:r>
        <w:r w:rsidR="00424BEA" w:rsidRPr="003C38FB">
          <w:rPr>
            <w:rStyle w:val="Hyperlink"/>
            <w:rFonts w:eastAsiaTheme="majorEastAsia"/>
            <w:noProof/>
          </w:rPr>
          <w:t>Systematic overview of the results of the non-randomised studies</w:t>
        </w:r>
        <w:r w:rsidR="00424BEA">
          <w:rPr>
            <w:noProof/>
            <w:webHidden/>
          </w:rPr>
          <w:tab/>
        </w:r>
        <w:r w:rsidR="00424BEA">
          <w:rPr>
            <w:noProof/>
            <w:webHidden/>
          </w:rPr>
          <w:fldChar w:fldCharType="begin"/>
        </w:r>
        <w:r w:rsidR="00424BEA">
          <w:rPr>
            <w:noProof/>
            <w:webHidden/>
          </w:rPr>
          <w:instrText xml:space="preserve"> PAGEREF _Toc431917574 \h </w:instrText>
        </w:r>
        <w:r w:rsidR="00424BEA">
          <w:rPr>
            <w:noProof/>
            <w:webHidden/>
          </w:rPr>
        </w:r>
        <w:r w:rsidR="00424BEA">
          <w:rPr>
            <w:noProof/>
            <w:webHidden/>
          </w:rPr>
          <w:fldChar w:fldCharType="separate"/>
        </w:r>
        <w:r w:rsidR="00CB5BA6">
          <w:rPr>
            <w:noProof/>
            <w:webHidden/>
          </w:rPr>
          <w:t>64</w:t>
        </w:r>
        <w:r w:rsidR="00424BEA">
          <w:rPr>
            <w:noProof/>
            <w:webHidden/>
          </w:rPr>
          <w:fldChar w:fldCharType="end"/>
        </w:r>
      </w:hyperlink>
    </w:p>
    <w:p w14:paraId="7AAEF70E" w14:textId="77777777" w:rsidR="00424BEA" w:rsidRDefault="009A7DB9">
      <w:pPr>
        <w:pStyle w:val="TOC3"/>
        <w:tabs>
          <w:tab w:val="left" w:pos="1162"/>
          <w:tab w:val="right" w:leader="dot" w:pos="9017"/>
        </w:tabs>
        <w:rPr>
          <w:rFonts w:asciiTheme="minorHAnsi" w:eastAsiaTheme="minorEastAsia" w:hAnsiTheme="minorHAnsi" w:cstheme="minorBidi"/>
          <w:iCs w:val="0"/>
          <w:noProof/>
          <w:sz w:val="22"/>
          <w:szCs w:val="22"/>
          <w:lang w:val="en-US" w:eastAsia="en-US"/>
        </w:rPr>
      </w:pPr>
      <w:hyperlink w:anchor="_Toc431917575" w:history="1">
        <w:r w:rsidR="00424BEA" w:rsidRPr="003C38FB">
          <w:rPr>
            <w:rStyle w:val="Hyperlink"/>
            <w:rFonts w:eastAsiaTheme="minorHAnsi"/>
            <w:noProof/>
            <w:lang w:eastAsia="en-US"/>
          </w:rPr>
          <w:t>B.6.1</w:t>
        </w:r>
        <w:r w:rsidR="00424BEA">
          <w:rPr>
            <w:rFonts w:asciiTheme="minorHAnsi" w:eastAsiaTheme="minorEastAsia" w:hAnsiTheme="minorHAnsi" w:cstheme="minorBidi"/>
            <w:iCs w:val="0"/>
            <w:noProof/>
            <w:sz w:val="22"/>
            <w:szCs w:val="22"/>
            <w:lang w:val="en-US" w:eastAsia="en-US"/>
          </w:rPr>
          <w:tab/>
        </w:r>
        <w:r w:rsidR="00424BEA" w:rsidRPr="003C38FB">
          <w:rPr>
            <w:rStyle w:val="Hyperlink"/>
            <w:rFonts w:eastAsiaTheme="minorHAnsi"/>
            <w:noProof/>
            <w:lang w:eastAsia="en-US"/>
          </w:rPr>
          <w:t>Efficacy outcomes</w:t>
        </w:r>
        <w:r w:rsidR="00424BEA">
          <w:rPr>
            <w:noProof/>
            <w:webHidden/>
          </w:rPr>
          <w:tab/>
        </w:r>
        <w:r w:rsidR="00424BEA">
          <w:rPr>
            <w:noProof/>
            <w:webHidden/>
          </w:rPr>
          <w:fldChar w:fldCharType="begin"/>
        </w:r>
        <w:r w:rsidR="00424BEA">
          <w:rPr>
            <w:noProof/>
            <w:webHidden/>
          </w:rPr>
          <w:instrText xml:space="preserve"> PAGEREF _Toc431917575 \h </w:instrText>
        </w:r>
        <w:r w:rsidR="00424BEA">
          <w:rPr>
            <w:noProof/>
            <w:webHidden/>
          </w:rPr>
        </w:r>
        <w:r w:rsidR="00424BEA">
          <w:rPr>
            <w:noProof/>
            <w:webHidden/>
          </w:rPr>
          <w:fldChar w:fldCharType="separate"/>
        </w:r>
        <w:r w:rsidR="00CB5BA6">
          <w:rPr>
            <w:noProof/>
            <w:webHidden/>
          </w:rPr>
          <w:t>64</w:t>
        </w:r>
        <w:r w:rsidR="00424BEA">
          <w:rPr>
            <w:noProof/>
            <w:webHidden/>
          </w:rPr>
          <w:fldChar w:fldCharType="end"/>
        </w:r>
      </w:hyperlink>
    </w:p>
    <w:p w14:paraId="2548D425" w14:textId="77777777" w:rsidR="00424BEA" w:rsidRDefault="009A7DB9">
      <w:pPr>
        <w:pStyle w:val="TOC3"/>
        <w:tabs>
          <w:tab w:val="left" w:pos="1162"/>
          <w:tab w:val="right" w:leader="dot" w:pos="9017"/>
        </w:tabs>
        <w:rPr>
          <w:rFonts w:asciiTheme="minorHAnsi" w:eastAsiaTheme="minorEastAsia" w:hAnsiTheme="minorHAnsi" w:cstheme="minorBidi"/>
          <w:iCs w:val="0"/>
          <w:noProof/>
          <w:sz w:val="22"/>
          <w:szCs w:val="22"/>
          <w:lang w:val="en-US" w:eastAsia="en-US"/>
        </w:rPr>
      </w:pPr>
      <w:hyperlink w:anchor="_Toc431917576" w:history="1">
        <w:r w:rsidR="00424BEA" w:rsidRPr="003C38FB">
          <w:rPr>
            <w:rStyle w:val="Hyperlink"/>
            <w:rFonts w:eastAsiaTheme="minorHAnsi"/>
            <w:noProof/>
            <w:lang w:eastAsia="en-US"/>
          </w:rPr>
          <w:t>B.6.2</w:t>
        </w:r>
        <w:r w:rsidR="00424BEA">
          <w:rPr>
            <w:rFonts w:asciiTheme="minorHAnsi" w:eastAsiaTheme="minorEastAsia" w:hAnsiTheme="minorHAnsi" w:cstheme="minorBidi"/>
            <w:iCs w:val="0"/>
            <w:noProof/>
            <w:sz w:val="22"/>
            <w:szCs w:val="22"/>
            <w:lang w:val="en-US" w:eastAsia="en-US"/>
          </w:rPr>
          <w:tab/>
        </w:r>
        <w:r w:rsidR="00424BEA" w:rsidRPr="003C38FB">
          <w:rPr>
            <w:rStyle w:val="Hyperlink"/>
            <w:rFonts w:eastAsiaTheme="minorHAnsi"/>
            <w:noProof/>
            <w:lang w:eastAsia="en-US"/>
          </w:rPr>
          <w:t>Safety Outcomes</w:t>
        </w:r>
        <w:r w:rsidR="00424BEA">
          <w:rPr>
            <w:noProof/>
            <w:webHidden/>
          </w:rPr>
          <w:tab/>
        </w:r>
        <w:r w:rsidR="00424BEA">
          <w:rPr>
            <w:noProof/>
            <w:webHidden/>
          </w:rPr>
          <w:fldChar w:fldCharType="begin"/>
        </w:r>
        <w:r w:rsidR="00424BEA">
          <w:rPr>
            <w:noProof/>
            <w:webHidden/>
          </w:rPr>
          <w:instrText xml:space="preserve"> PAGEREF _Toc431917576 \h </w:instrText>
        </w:r>
        <w:r w:rsidR="00424BEA">
          <w:rPr>
            <w:noProof/>
            <w:webHidden/>
          </w:rPr>
        </w:r>
        <w:r w:rsidR="00424BEA">
          <w:rPr>
            <w:noProof/>
            <w:webHidden/>
          </w:rPr>
          <w:fldChar w:fldCharType="separate"/>
        </w:r>
        <w:r w:rsidR="00CB5BA6">
          <w:rPr>
            <w:noProof/>
            <w:webHidden/>
          </w:rPr>
          <w:t>80</w:t>
        </w:r>
        <w:r w:rsidR="00424BEA">
          <w:rPr>
            <w:noProof/>
            <w:webHidden/>
          </w:rPr>
          <w:fldChar w:fldCharType="end"/>
        </w:r>
      </w:hyperlink>
    </w:p>
    <w:p w14:paraId="75FF43D0" w14:textId="77777777" w:rsidR="00424BEA" w:rsidRDefault="009A7DB9">
      <w:pPr>
        <w:pStyle w:val="TOC2"/>
        <w:tabs>
          <w:tab w:val="left" w:pos="720"/>
          <w:tab w:val="right" w:leader="dot" w:pos="9017"/>
        </w:tabs>
        <w:rPr>
          <w:rFonts w:asciiTheme="minorHAnsi" w:eastAsiaTheme="minorEastAsia" w:hAnsiTheme="minorHAnsi" w:cstheme="minorBidi"/>
          <w:noProof/>
          <w:sz w:val="22"/>
          <w:szCs w:val="22"/>
          <w:lang w:val="en-US" w:eastAsia="en-US"/>
        </w:rPr>
      </w:pPr>
      <w:hyperlink w:anchor="_Toc431917577" w:history="1">
        <w:r w:rsidR="00424BEA" w:rsidRPr="003C38FB">
          <w:rPr>
            <w:rStyle w:val="Hyperlink"/>
            <w:noProof/>
          </w:rPr>
          <w:t>B.7</w:t>
        </w:r>
        <w:r w:rsidR="00424BEA">
          <w:rPr>
            <w:rFonts w:asciiTheme="minorHAnsi" w:eastAsiaTheme="minorEastAsia" w:hAnsiTheme="minorHAnsi" w:cstheme="minorBidi"/>
            <w:noProof/>
            <w:sz w:val="22"/>
            <w:szCs w:val="22"/>
            <w:lang w:val="en-US" w:eastAsia="en-US"/>
          </w:rPr>
          <w:tab/>
        </w:r>
        <w:r w:rsidR="00424BEA" w:rsidRPr="003C38FB">
          <w:rPr>
            <w:rStyle w:val="Hyperlink"/>
            <w:noProof/>
          </w:rPr>
          <w:t>Extended assessment of comparative harms</w:t>
        </w:r>
        <w:r w:rsidR="00424BEA">
          <w:rPr>
            <w:noProof/>
            <w:webHidden/>
          </w:rPr>
          <w:tab/>
        </w:r>
        <w:r w:rsidR="00424BEA">
          <w:rPr>
            <w:noProof/>
            <w:webHidden/>
          </w:rPr>
          <w:fldChar w:fldCharType="begin"/>
        </w:r>
        <w:r w:rsidR="00424BEA">
          <w:rPr>
            <w:noProof/>
            <w:webHidden/>
          </w:rPr>
          <w:instrText xml:space="preserve"> PAGEREF _Toc431917577 \h </w:instrText>
        </w:r>
        <w:r w:rsidR="00424BEA">
          <w:rPr>
            <w:noProof/>
            <w:webHidden/>
          </w:rPr>
        </w:r>
        <w:r w:rsidR="00424BEA">
          <w:rPr>
            <w:noProof/>
            <w:webHidden/>
          </w:rPr>
          <w:fldChar w:fldCharType="separate"/>
        </w:r>
        <w:r w:rsidR="00CB5BA6">
          <w:rPr>
            <w:noProof/>
            <w:webHidden/>
          </w:rPr>
          <w:t>84</w:t>
        </w:r>
        <w:r w:rsidR="00424BEA">
          <w:rPr>
            <w:noProof/>
            <w:webHidden/>
          </w:rPr>
          <w:fldChar w:fldCharType="end"/>
        </w:r>
      </w:hyperlink>
    </w:p>
    <w:p w14:paraId="5CD9817D" w14:textId="77777777" w:rsidR="00424BEA" w:rsidRDefault="009A7DB9">
      <w:pPr>
        <w:pStyle w:val="TOC2"/>
        <w:tabs>
          <w:tab w:val="left" w:pos="720"/>
          <w:tab w:val="right" w:leader="dot" w:pos="9017"/>
        </w:tabs>
        <w:rPr>
          <w:rFonts w:asciiTheme="minorHAnsi" w:eastAsiaTheme="minorEastAsia" w:hAnsiTheme="minorHAnsi" w:cstheme="minorBidi"/>
          <w:noProof/>
          <w:sz w:val="22"/>
          <w:szCs w:val="22"/>
          <w:lang w:val="en-US" w:eastAsia="en-US"/>
        </w:rPr>
      </w:pPr>
      <w:hyperlink w:anchor="_Toc431917578" w:history="1">
        <w:r w:rsidR="00424BEA" w:rsidRPr="003C38FB">
          <w:rPr>
            <w:rStyle w:val="Hyperlink"/>
            <w:rFonts w:cs="Arial"/>
            <w:noProof/>
          </w:rPr>
          <w:t>B.8</w:t>
        </w:r>
        <w:r w:rsidR="00424BEA">
          <w:rPr>
            <w:rFonts w:asciiTheme="minorHAnsi" w:eastAsiaTheme="minorEastAsia" w:hAnsiTheme="minorHAnsi" w:cstheme="minorBidi"/>
            <w:noProof/>
            <w:sz w:val="22"/>
            <w:szCs w:val="22"/>
            <w:lang w:val="en-US" w:eastAsia="en-US"/>
          </w:rPr>
          <w:tab/>
        </w:r>
        <w:r w:rsidR="00424BEA" w:rsidRPr="003C38FB">
          <w:rPr>
            <w:rStyle w:val="Hyperlink"/>
            <w:noProof/>
          </w:rPr>
          <w:t>Interpretation of the clinical evidence</w:t>
        </w:r>
        <w:r w:rsidR="00424BEA">
          <w:rPr>
            <w:noProof/>
            <w:webHidden/>
          </w:rPr>
          <w:tab/>
        </w:r>
        <w:r w:rsidR="00424BEA">
          <w:rPr>
            <w:noProof/>
            <w:webHidden/>
          </w:rPr>
          <w:fldChar w:fldCharType="begin"/>
        </w:r>
        <w:r w:rsidR="00424BEA">
          <w:rPr>
            <w:noProof/>
            <w:webHidden/>
          </w:rPr>
          <w:instrText xml:space="preserve"> PAGEREF _Toc431917578 \h </w:instrText>
        </w:r>
        <w:r w:rsidR="00424BEA">
          <w:rPr>
            <w:noProof/>
            <w:webHidden/>
          </w:rPr>
        </w:r>
        <w:r w:rsidR="00424BEA">
          <w:rPr>
            <w:noProof/>
            <w:webHidden/>
          </w:rPr>
          <w:fldChar w:fldCharType="separate"/>
        </w:r>
        <w:r w:rsidR="00CB5BA6">
          <w:rPr>
            <w:noProof/>
            <w:webHidden/>
          </w:rPr>
          <w:t>85</w:t>
        </w:r>
        <w:r w:rsidR="00424BEA">
          <w:rPr>
            <w:noProof/>
            <w:webHidden/>
          </w:rPr>
          <w:fldChar w:fldCharType="end"/>
        </w:r>
      </w:hyperlink>
    </w:p>
    <w:p w14:paraId="1F498D13" w14:textId="77777777" w:rsidR="00424BEA" w:rsidRDefault="009A7DB9">
      <w:pPr>
        <w:pStyle w:val="TOC1"/>
        <w:tabs>
          <w:tab w:val="right" w:leader="dot" w:pos="9017"/>
        </w:tabs>
        <w:rPr>
          <w:rFonts w:asciiTheme="minorHAnsi" w:eastAsiaTheme="minorEastAsia" w:hAnsiTheme="minorHAnsi" w:cstheme="minorBidi"/>
          <w:b w:val="0"/>
          <w:bCs w:val="0"/>
          <w:noProof/>
          <w:szCs w:val="22"/>
          <w:lang w:val="en-US" w:eastAsia="en-US"/>
        </w:rPr>
      </w:pPr>
      <w:hyperlink w:anchor="_Toc431917579" w:history="1">
        <w:r w:rsidR="00424BEA" w:rsidRPr="003C38FB">
          <w:rPr>
            <w:rStyle w:val="Hyperlink"/>
            <w:noProof/>
          </w:rPr>
          <w:t>C.</w:t>
        </w:r>
        <w:r w:rsidR="00424BEA">
          <w:rPr>
            <w:rFonts w:asciiTheme="minorHAnsi" w:eastAsiaTheme="minorEastAsia" w:hAnsiTheme="minorHAnsi" w:cstheme="minorBidi"/>
            <w:b w:val="0"/>
            <w:bCs w:val="0"/>
            <w:noProof/>
            <w:szCs w:val="22"/>
            <w:lang w:val="en-US" w:eastAsia="en-US"/>
          </w:rPr>
          <w:tab/>
        </w:r>
        <w:r w:rsidR="00424BEA" w:rsidRPr="003C38FB">
          <w:rPr>
            <w:rStyle w:val="Hyperlink"/>
            <w:noProof/>
          </w:rPr>
          <w:t>Translating the clinical evaluation to the listing requested for inclusion in the economic evaluation</w:t>
        </w:r>
        <w:r w:rsidR="00424BEA">
          <w:rPr>
            <w:noProof/>
            <w:webHidden/>
          </w:rPr>
          <w:tab/>
        </w:r>
        <w:r w:rsidR="00424BEA">
          <w:rPr>
            <w:noProof/>
            <w:webHidden/>
          </w:rPr>
          <w:fldChar w:fldCharType="begin"/>
        </w:r>
        <w:r w:rsidR="00424BEA">
          <w:rPr>
            <w:noProof/>
            <w:webHidden/>
          </w:rPr>
          <w:instrText xml:space="preserve"> PAGEREF _Toc431917579 \h </w:instrText>
        </w:r>
        <w:r w:rsidR="00424BEA">
          <w:rPr>
            <w:noProof/>
            <w:webHidden/>
          </w:rPr>
        </w:r>
        <w:r w:rsidR="00424BEA">
          <w:rPr>
            <w:noProof/>
            <w:webHidden/>
          </w:rPr>
          <w:fldChar w:fldCharType="separate"/>
        </w:r>
        <w:r w:rsidR="00CB5BA6">
          <w:rPr>
            <w:noProof/>
            <w:webHidden/>
          </w:rPr>
          <w:t>89</w:t>
        </w:r>
        <w:r w:rsidR="00424BEA">
          <w:rPr>
            <w:noProof/>
            <w:webHidden/>
          </w:rPr>
          <w:fldChar w:fldCharType="end"/>
        </w:r>
      </w:hyperlink>
    </w:p>
    <w:p w14:paraId="63B5E49F" w14:textId="77777777" w:rsidR="00424BEA" w:rsidRDefault="009A7DB9">
      <w:pPr>
        <w:pStyle w:val="TOC3"/>
        <w:tabs>
          <w:tab w:val="left" w:pos="1162"/>
          <w:tab w:val="right" w:leader="dot" w:pos="9017"/>
        </w:tabs>
        <w:rPr>
          <w:rFonts w:asciiTheme="minorHAnsi" w:eastAsiaTheme="minorEastAsia" w:hAnsiTheme="minorHAnsi" w:cstheme="minorBidi"/>
          <w:iCs w:val="0"/>
          <w:noProof/>
          <w:sz w:val="22"/>
          <w:szCs w:val="22"/>
          <w:lang w:val="en-US" w:eastAsia="en-US"/>
        </w:rPr>
      </w:pPr>
      <w:hyperlink w:anchor="_Toc431917580" w:history="1">
        <w:r w:rsidR="00424BEA" w:rsidRPr="003C38FB">
          <w:rPr>
            <w:rStyle w:val="Hyperlink"/>
            <w:noProof/>
          </w:rPr>
          <w:t>C.1.1</w:t>
        </w:r>
        <w:r w:rsidR="00424BEA">
          <w:rPr>
            <w:rFonts w:asciiTheme="minorHAnsi" w:eastAsiaTheme="minorEastAsia" w:hAnsiTheme="minorHAnsi" w:cstheme="minorBidi"/>
            <w:iCs w:val="0"/>
            <w:noProof/>
            <w:sz w:val="22"/>
            <w:szCs w:val="22"/>
            <w:lang w:val="en-US" w:eastAsia="en-US"/>
          </w:rPr>
          <w:tab/>
        </w:r>
        <w:r w:rsidR="00424BEA" w:rsidRPr="003C38FB">
          <w:rPr>
            <w:rStyle w:val="Hyperlink"/>
            <w:noProof/>
          </w:rPr>
          <w:t>Applicability of outcome comparisons</w:t>
        </w:r>
        <w:r w:rsidR="00424BEA">
          <w:rPr>
            <w:noProof/>
            <w:webHidden/>
          </w:rPr>
          <w:tab/>
        </w:r>
        <w:r w:rsidR="00424BEA">
          <w:rPr>
            <w:noProof/>
            <w:webHidden/>
          </w:rPr>
          <w:fldChar w:fldCharType="begin"/>
        </w:r>
        <w:r w:rsidR="00424BEA">
          <w:rPr>
            <w:noProof/>
            <w:webHidden/>
          </w:rPr>
          <w:instrText xml:space="preserve"> PAGEREF _Toc431917580 \h </w:instrText>
        </w:r>
        <w:r w:rsidR="00424BEA">
          <w:rPr>
            <w:noProof/>
            <w:webHidden/>
          </w:rPr>
        </w:r>
        <w:r w:rsidR="00424BEA">
          <w:rPr>
            <w:noProof/>
            <w:webHidden/>
          </w:rPr>
          <w:fldChar w:fldCharType="separate"/>
        </w:r>
        <w:r w:rsidR="00CB5BA6">
          <w:rPr>
            <w:noProof/>
            <w:webHidden/>
          </w:rPr>
          <w:t>90</w:t>
        </w:r>
        <w:r w:rsidR="00424BEA">
          <w:rPr>
            <w:noProof/>
            <w:webHidden/>
          </w:rPr>
          <w:fldChar w:fldCharType="end"/>
        </w:r>
      </w:hyperlink>
    </w:p>
    <w:p w14:paraId="541095FB" w14:textId="77777777" w:rsidR="00424BEA" w:rsidRDefault="009A7DB9">
      <w:pPr>
        <w:pStyle w:val="TOC3"/>
        <w:tabs>
          <w:tab w:val="left" w:pos="1162"/>
          <w:tab w:val="right" w:leader="dot" w:pos="9017"/>
        </w:tabs>
        <w:rPr>
          <w:rFonts w:asciiTheme="minorHAnsi" w:eastAsiaTheme="minorEastAsia" w:hAnsiTheme="minorHAnsi" w:cstheme="minorBidi"/>
          <w:iCs w:val="0"/>
          <w:noProof/>
          <w:sz w:val="22"/>
          <w:szCs w:val="22"/>
          <w:lang w:val="en-US" w:eastAsia="en-US"/>
        </w:rPr>
      </w:pPr>
      <w:hyperlink w:anchor="_Toc431917581" w:history="1">
        <w:r w:rsidR="00424BEA" w:rsidRPr="003C38FB">
          <w:rPr>
            <w:rStyle w:val="Hyperlink"/>
            <w:noProof/>
          </w:rPr>
          <w:t>C.1.2</w:t>
        </w:r>
        <w:r w:rsidR="00424BEA">
          <w:rPr>
            <w:rFonts w:asciiTheme="minorHAnsi" w:eastAsiaTheme="minorEastAsia" w:hAnsiTheme="minorHAnsi" w:cstheme="minorBidi"/>
            <w:iCs w:val="0"/>
            <w:noProof/>
            <w:sz w:val="22"/>
            <w:szCs w:val="22"/>
            <w:lang w:val="en-US" w:eastAsia="en-US"/>
          </w:rPr>
          <w:tab/>
        </w:r>
        <w:r w:rsidR="00424BEA" w:rsidRPr="003C38FB">
          <w:rPr>
            <w:rStyle w:val="Hyperlink"/>
            <w:noProof/>
          </w:rPr>
          <w:t>Circumstances of use</w:t>
        </w:r>
        <w:r w:rsidR="00424BEA">
          <w:rPr>
            <w:noProof/>
            <w:webHidden/>
          </w:rPr>
          <w:tab/>
        </w:r>
        <w:r w:rsidR="00424BEA">
          <w:rPr>
            <w:noProof/>
            <w:webHidden/>
          </w:rPr>
          <w:fldChar w:fldCharType="begin"/>
        </w:r>
        <w:r w:rsidR="00424BEA">
          <w:rPr>
            <w:noProof/>
            <w:webHidden/>
          </w:rPr>
          <w:instrText xml:space="preserve"> PAGEREF _Toc431917581 \h </w:instrText>
        </w:r>
        <w:r w:rsidR="00424BEA">
          <w:rPr>
            <w:noProof/>
            <w:webHidden/>
          </w:rPr>
        </w:r>
        <w:r w:rsidR="00424BEA">
          <w:rPr>
            <w:noProof/>
            <w:webHidden/>
          </w:rPr>
          <w:fldChar w:fldCharType="separate"/>
        </w:r>
        <w:r w:rsidR="00CB5BA6">
          <w:rPr>
            <w:noProof/>
            <w:webHidden/>
          </w:rPr>
          <w:t>91</w:t>
        </w:r>
        <w:r w:rsidR="00424BEA">
          <w:rPr>
            <w:noProof/>
            <w:webHidden/>
          </w:rPr>
          <w:fldChar w:fldCharType="end"/>
        </w:r>
      </w:hyperlink>
    </w:p>
    <w:p w14:paraId="1B569F71" w14:textId="77777777" w:rsidR="00424BEA" w:rsidRDefault="009A7DB9">
      <w:pPr>
        <w:pStyle w:val="TOC3"/>
        <w:tabs>
          <w:tab w:val="left" w:pos="1162"/>
          <w:tab w:val="right" w:leader="dot" w:pos="9017"/>
        </w:tabs>
        <w:rPr>
          <w:rFonts w:asciiTheme="minorHAnsi" w:eastAsiaTheme="minorEastAsia" w:hAnsiTheme="minorHAnsi" w:cstheme="minorBidi"/>
          <w:iCs w:val="0"/>
          <w:noProof/>
          <w:sz w:val="22"/>
          <w:szCs w:val="22"/>
          <w:lang w:val="en-US" w:eastAsia="en-US"/>
        </w:rPr>
      </w:pPr>
      <w:hyperlink w:anchor="_Toc431917582" w:history="1">
        <w:r w:rsidR="00424BEA" w:rsidRPr="003C38FB">
          <w:rPr>
            <w:rStyle w:val="Hyperlink"/>
            <w:noProof/>
          </w:rPr>
          <w:t>C.1.3</w:t>
        </w:r>
        <w:r w:rsidR="00424BEA">
          <w:rPr>
            <w:rFonts w:asciiTheme="minorHAnsi" w:eastAsiaTheme="minorEastAsia" w:hAnsiTheme="minorHAnsi" w:cstheme="minorBidi"/>
            <w:iCs w:val="0"/>
            <w:noProof/>
            <w:sz w:val="22"/>
            <w:szCs w:val="22"/>
            <w:lang w:val="en-US" w:eastAsia="en-US"/>
          </w:rPr>
          <w:tab/>
        </w:r>
        <w:r w:rsidR="00424BEA" w:rsidRPr="003C38FB">
          <w:rPr>
            <w:rStyle w:val="Hyperlink"/>
            <w:noProof/>
            <w:lang w:val="en-US"/>
          </w:rPr>
          <w:t>Extrapolation issues</w:t>
        </w:r>
        <w:r w:rsidR="00424BEA">
          <w:rPr>
            <w:noProof/>
            <w:webHidden/>
          </w:rPr>
          <w:tab/>
        </w:r>
        <w:r w:rsidR="00424BEA">
          <w:rPr>
            <w:noProof/>
            <w:webHidden/>
          </w:rPr>
          <w:fldChar w:fldCharType="begin"/>
        </w:r>
        <w:r w:rsidR="00424BEA">
          <w:rPr>
            <w:noProof/>
            <w:webHidden/>
          </w:rPr>
          <w:instrText xml:space="preserve"> PAGEREF _Toc431917582 \h </w:instrText>
        </w:r>
        <w:r w:rsidR="00424BEA">
          <w:rPr>
            <w:noProof/>
            <w:webHidden/>
          </w:rPr>
        </w:r>
        <w:r w:rsidR="00424BEA">
          <w:rPr>
            <w:noProof/>
            <w:webHidden/>
          </w:rPr>
          <w:fldChar w:fldCharType="separate"/>
        </w:r>
        <w:r w:rsidR="00CB5BA6">
          <w:rPr>
            <w:noProof/>
            <w:webHidden/>
          </w:rPr>
          <w:t>91</w:t>
        </w:r>
        <w:r w:rsidR="00424BEA">
          <w:rPr>
            <w:noProof/>
            <w:webHidden/>
          </w:rPr>
          <w:fldChar w:fldCharType="end"/>
        </w:r>
      </w:hyperlink>
    </w:p>
    <w:p w14:paraId="652F830C" w14:textId="77777777" w:rsidR="00424BEA" w:rsidRDefault="009A7DB9">
      <w:pPr>
        <w:pStyle w:val="TOC3"/>
        <w:tabs>
          <w:tab w:val="left" w:pos="1162"/>
          <w:tab w:val="right" w:leader="dot" w:pos="9017"/>
        </w:tabs>
        <w:rPr>
          <w:rFonts w:asciiTheme="minorHAnsi" w:eastAsiaTheme="minorEastAsia" w:hAnsiTheme="minorHAnsi" w:cstheme="minorBidi"/>
          <w:iCs w:val="0"/>
          <w:noProof/>
          <w:sz w:val="22"/>
          <w:szCs w:val="22"/>
          <w:lang w:val="en-US" w:eastAsia="en-US"/>
        </w:rPr>
      </w:pPr>
      <w:hyperlink w:anchor="_Toc431917583" w:history="1">
        <w:r w:rsidR="00424BEA" w:rsidRPr="003C38FB">
          <w:rPr>
            <w:rStyle w:val="Hyperlink"/>
            <w:noProof/>
          </w:rPr>
          <w:t>C.1.4</w:t>
        </w:r>
        <w:r w:rsidR="00424BEA">
          <w:rPr>
            <w:rFonts w:asciiTheme="minorHAnsi" w:eastAsiaTheme="minorEastAsia" w:hAnsiTheme="minorHAnsi" w:cstheme="minorBidi"/>
            <w:iCs w:val="0"/>
            <w:noProof/>
            <w:sz w:val="22"/>
            <w:szCs w:val="22"/>
            <w:lang w:val="en-US" w:eastAsia="en-US"/>
          </w:rPr>
          <w:tab/>
        </w:r>
        <w:r w:rsidR="00424BEA" w:rsidRPr="003C38FB">
          <w:rPr>
            <w:rStyle w:val="Hyperlink"/>
            <w:noProof/>
            <w:lang w:val="en-US"/>
          </w:rPr>
          <w:t>Transformation</w:t>
        </w:r>
        <w:r w:rsidR="00424BEA" w:rsidRPr="003C38FB">
          <w:rPr>
            <w:rStyle w:val="Hyperlink"/>
            <w:noProof/>
          </w:rPr>
          <w:t xml:space="preserve"> issues</w:t>
        </w:r>
        <w:r w:rsidR="00424BEA">
          <w:rPr>
            <w:noProof/>
            <w:webHidden/>
          </w:rPr>
          <w:tab/>
        </w:r>
        <w:r w:rsidR="00424BEA">
          <w:rPr>
            <w:noProof/>
            <w:webHidden/>
          </w:rPr>
          <w:fldChar w:fldCharType="begin"/>
        </w:r>
        <w:r w:rsidR="00424BEA">
          <w:rPr>
            <w:noProof/>
            <w:webHidden/>
          </w:rPr>
          <w:instrText xml:space="preserve"> PAGEREF _Toc431917583 \h </w:instrText>
        </w:r>
        <w:r w:rsidR="00424BEA">
          <w:rPr>
            <w:noProof/>
            <w:webHidden/>
          </w:rPr>
        </w:r>
        <w:r w:rsidR="00424BEA">
          <w:rPr>
            <w:noProof/>
            <w:webHidden/>
          </w:rPr>
          <w:fldChar w:fldCharType="separate"/>
        </w:r>
        <w:r w:rsidR="00CB5BA6">
          <w:rPr>
            <w:noProof/>
            <w:webHidden/>
          </w:rPr>
          <w:t>91</w:t>
        </w:r>
        <w:r w:rsidR="00424BEA">
          <w:rPr>
            <w:noProof/>
            <w:webHidden/>
          </w:rPr>
          <w:fldChar w:fldCharType="end"/>
        </w:r>
      </w:hyperlink>
    </w:p>
    <w:p w14:paraId="6AC34AC2" w14:textId="77777777" w:rsidR="00424BEA" w:rsidRDefault="009A7DB9">
      <w:pPr>
        <w:pStyle w:val="TOC1"/>
        <w:tabs>
          <w:tab w:val="right" w:leader="dot" w:pos="9017"/>
        </w:tabs>
        <w:rPr>
          <w:rFonts w:asciiTheme="minorHAnsi" w:eastAsiaTheme="minorEastAsia" w:hAnsiTheme="minorHAnsi" w:cstheme="minorBidi"/>
          <w:b w:val="0"/>
          <w:bCs w:val="0"/>
          <w:noProof/>
          <w:szCs w:val="22"/>
          <w:lang w:val="en-US" w:eastAsia="en-US"/>
        </w:rPr>
      </w:pPr>
      <w:hyperlink w:anchor="_Toc431917584" w:history="1">
        <w:r w:rsidR="00424BEA" w:rsidRPr="003C38FB">
          <w:rPr>
            <w:rStyle w:val="Hyperlink"/>
            <w:noProof/>
          </w:rPr>
          <w:t>D.</w:t>
        </w:r>
        <w:r w:rsidR="00424BEA">
          <w:rPr>
            <w:rFonts w:asciiTheme="minorHAnsi" w:eastAsiaTheme="minorEastAsia" w:hAnsiTheme="minorHAnsi" w:cstheme="minorBidi"/>
            <w:b w:val="0"/>
            <w:bCs w:val="0"/>
            <w:noProof/>
            <w:szCs w:val="22"/>
            <w:lang w:val="en-US" w:eastAsia="en-US"/>
          </w:rPr>
          <w:tab/>
        </w:r>
        <w:r w:rsidR="00424BEA" w:rsidRPr="003C38FB">
          <w:rPr>
            <w:rStyle w:val="Hyperlink"/>
            <w:noProof/>
          </w:rPr>
          <w:t>Economic evaluation for the main indication</w:t>
        </w:r>
        <w:r w:rsidR="00424BEA">
          <w:rPr>
            <w:noProof/>
            <w:webHidden/>
          </w:rPr>
          <w:tab/>
        </w:r>
        <w:r w:rsidR="00424BEA">
          <w:rPr>
            <w:noProof/>
            <w:webHidden/>
          </w:rPr>
          <w:fldChar w:fldCharType="begin"/>
        </w:r>
        <w:r w:rsidR="00424BEA">
          <w:rPr>
            <w:noProof/>
            <w:webHidden/>
          </w:rPr>
          <w:instrText xml:space="preserve"> PAGEREF _Toc431917584 \h </w:instrText>
        </w:r>
        <w:r w:rsidR="00424BEA">
          <w:rPr>
            <w:noProof/>
            <w:webHidden/>
          </w:rPr>
        </w:r>
        <w:r w:rsidR="00424BEA">
          <w:rPr>
            <w:noProof/>
            <w:webHidden/>
          </w:rPr>
          <w:fldChar w:fldCharType="separate"/>
        </w:r>
        <w:r w:rsidR="00CB5BA6">
          <w:rPr>
            <w:noProof/>
            <w:webHidden/>
          </w:rPr>
          <w:t>93</w:t>
        </w:r>
        <w:r w:rsidR="00424BEA">
          <w:rPr>
            <w:noProof/>
            <w:webHidden/>
          </w:rPr>
          <w:fldChar w:fldCharType="end"/>
        </w:r>
      </w:hyperlink>
    </w:p>
    <w:p w14:paraId="6117E7CA" w14:textId="77777777" w:rsidR="00424BEA" w:rsidRDefault="009A7DB9">
      <w:pPr>
        <w:pStyle w:val="TOC2"/>
        <w:tabs>
          <w:tab w:val="left" w:pos="720"/>
          <w:tab w:val="right" w:leader="dot" w:pos="9017"/>
        </w:tabs>
        <w:rPr>
          <w:rFonts w:asciiTheme="minorHAnsi" w:eastAsiaTheme="minorEastAsia" w:hAnsiTheme="minorHAnsi" w:cstheme="minorBidi"/>
          <w:noProof/>
          <w:sz w:val="22"/>
          <w:szCs w:val="22"/>
          <w:lang w:val="en-US" w:eastAsia="en-US"/>
        </w:rPr>
      </w:pPr>
      <w:hyperlink w:anchor="_Toc431917585" w:history="1">
        <w:r w:rsidR="00424BEA" w:rsidRPr="003C38FB">
          <w:rPr>
            <w:rStyle w:val="Hyperlink"/>
            <w:rFonts w:eastAsiaTheme="minorHAnsi"/>
            <w:noProof/>
          </w:rPr>
          <w:t>D.1</w:t>
        </w:r>
        <w:r w:rsidR="00424BEA">
          <w:rPr>
            <w:rFonts w:asciiTheme="minorHAnsi" w:eastAsiaTheme="minorEastAsia" w:hAnsiTheme="minorHAnsi" w:cstheme="minorBidi"/>
            <w:noProof/>
            <w:sz w:val="22"/>
            <w:szCs w:val="22"/>
            <w:lang w:val="en-US" w:eastAsia="en-US"/>
          </w:rPr>
          <w:tab/>
        </w:r>
        <w:r w:rsidR="00424BEA" w:rsidRPr="003C38FB">
          <w:rPr>
            <w:rStyle w:val="Hyperlink"/>
            <w:rFonts w:eastAsiaTheme="minorHAnsi"/>
            <w:noProof/>
          </w:rPr>
          <w:t>Decision model</w:t>
        </w:r>
        <w:r w:rsidR="00424BEA">
          <w:rPr>
            <w:noProof/>
            <w:webHidden/>
          </w:rPr>
          <w:tab/>
        </w:r>
        <w:r w:rsidR="00424BEA">
          <w:rPr>
            <w:noProof/>
            <w:webHidden/>
          </w:rPr>
          <w:fldChar w:fldCharType="begin"/>
        </w:r>
        <w:r w:rsidR="00424BEA">
          <w:rPr>
            <w:noProof/>
            <w:webHidden/>
          </w:rPr>
          <w:instrText xml:space="preserve"> PAGEREF _Toc431917585 \h </w:instrText>
        </w:r>
        <w:r w:rsidR="00424BEA">
          <w:rPr>
            <w:noProof/>
            <w:webHidden/>
          </w:rPr>
        </w:r>
        <w:r w:rsidR="00424BEA">
          <w:rPr>
            <w:noProof/>
            <w:webHidden/>
          </w:rPr>
          <w:fldChar w:fldCharType="separate"/>
        </w:r>
        <w:r w:rsidR="00CB5BA6">
          <w:rPr>
            <w:noProof/>
            <w:webHidden/>
          </w:rPr>
          <w:t>93</w:t>
        </w:r>
        <w:r w:rsidR="00424BEA">
          <w:rPr>
            <w:noProof/>
            <w:webHidden/>
          </w:rPr>
          <w:fldChar w:fldCharType="end"/>
        </w:r>
      </w:hyperlink>
    </w:p>
    <w:p w14:paraId="6D241F20" w14:textId="77777777" w:rsidR="00424BEA" w:rsidRDefault="009A7DB9">
      <w:pPr>
        <w:pStyle w:val="TOC2"/>
        <w:tabs>
          <w:tab w:val="left" w:pos="720"/>
          <w:tab w:val="right" w:leader="dot" w:pos="9017"/>
        </w:tabs>
        <w:rPr>
          <w:rFonts w:asciiTheme="minorHAnsi" w:eastAsiaTheme="minorEastAsia" w:hAnsiTheme="minorHAnsi" w:cstheme="minorBidi"/>
          <w:noProof/>
          <w:sz w:val="22"/>
          <w:szCs w:val="22"/>
          <w:lang w:val="en-US" w:eastAsia="en-US"/>
        </w:rPr>
      </w:pPr>
      <w:hyperlink w:anchor="_Toc431917586" w:history="1">
        <w:r w:rsidR="00424BEA" w:rsidRPr="003C38FB">
          <w:rPr>
            <w:rStyle w:val="Hyperlink"/>
            <w:noProof/>
          </w:rPr>
          <w:t>D.2</w:t>
        </w:r>
        <w:r w:rsidR="00424BEA">
          <w:rPr>
            <w:rFonts w:asciiTheme="minorHAnsi" w:eastAsiaTheme="minorEastAsia" w:hAnsiTheme="minorHAnsi" w:cstheme="minorBidi"/>
            <w:noProof/>
            <w:sz w:val="22"/>
            <w:szCs w:val="22"/>
            <w:lang w:val="en-US" w:eastAsia="en-US"/>
          </w:rPr>
          <w:tab/>
        </w:r>
        <w:r w:rsidR="00424BEA" w:rsidRPr="003C38FB">
          <w:rPr>
            <w:rStyle w:val="Hyperlink"/>
            <w:noProof/>
          </w:rPr>
          <w:t>Population and circumstances of use reflected in the economic evaluation</w:t>
        </w:r>
        <w:r w:rsidR="00424BEA">
          <w:rPr>
            <w:noProof/>
            <w:webHidden/>
          </w:rPr>
          <w:tab/>
        </w:r>
        <w:r w:rsidR="00424BEA">
          <w:rPr>
            <w:noProof/>
            <w:webHidden/>
          </w:rPr>
          <w:fldChar w:fldCharType="begin"/>
        </w:r>
        <w:r w:rsidR="00424BEA">
          <w:rPr>
            <w:noProof/>
            <w:webHidden/>
          </w:rPr>
          <w:instrText xml:space="preserve"> PAGEREF _Toc431917586 \h </w:instrText>
        </w:r>
        <w:r w:rsidR="00424BEA">
          <w:rPr>
            <w:noProof/>
            <w:webHidden/>
          </w:rPr>
        </w:r>
        <w:r w:rsidR="00424BEA">
          <w:rPr>
            <w:noProof/>
            <w:webHidden/>
          </w:rPr>
          <w:fldChar w:fldCharType="separate"/>
        </w:r>
        <w:r w:rsidR="00CB5BA6">
          <w:rPr>
            <w:noProof/>
            <w:webHidden/>
          </w:rPr>
          <w:t>94</w:t>
        </w:r>
        <w:r w:rsidR="00424BEA">
          <w:rPr>
            <w:noProof/>
            <w:webHidden/>
          </w:rPr>
          <w:fldChar w:fldCharType="end"/>
        </w:r>
      </w:hyperlink>
    </w:p>
    <w:p w14:paraId="1DCAFA4D" w14:textId="77777777" w:rsidR="00424BEA" w:rsidRDefault="009A7DB9">
      <w:pPr>
        <w:pStyle w:val="TOC3"/>
        <w:tabs>
          <w:tab w:val="left" w:pos="1162"/>
          <w:tab w:val="right" w:leader="dot" w:pos="9017"/>
        </w:tabs>
        <w:rPr>
          <w:rFonts w:asciiTheme="minorHAnsi" w:eastAsiaTheme="minorEastAsia" w:hAnsiTheme="minorHAnsi" w:cstheme="minorBidi"/>
          <w:iCs w:val="0"/>
          <w:noProof/>
          <w:sz w:val="22"/>
          <w:szCs w:val="22"/>
          <w:lang w:val="en-US" w:eastAsia="en-US"/>
        </w:rPr>
      </w:pPr>
      <w:hyperlink w:anchor="_Toc431917587" w:history="1">
        <w:r w:rsidR="00424BEA" w:rsidRPr="003C38FB">
          <w:rPr>
            <w:rStyle w:val="Hyperlink"/>
            <w:noProof/>
          </w:rPr>
          <w:t>D.2.1</w:t>
        </w:r>
        <w:r w:rsidR="00424BEA">
          <w:rPr>
            <w:rFonts w:asciiTheme="minorHAnsi" w:eastAsiaTheme="minorEastAsia" w:hAnsiTheme="minorHAnsi" w:cstheme="minorBidi"/>
            <w:iCs w:val="0"/>
            <w:noProof/>
            <w:sz w:val="22"/>
            <w:szCs w:val="22"/>
            <w:lang w:val="en-US" w:eastAsia="en-US"/>
          </w:rPr>
          <w:tab/>
        </w:r>
        <w:r w:rsidR="00424BEA" w:rsidRPr="003C38FB">
          <w:rPr>
            <w:rStyle w:val="Hyperlink"/>
            <w:noProof/>
          </w:rPr>
          <w:t>Baseline population</w:t>
        </w:r>
        <w:r w:rsidR="00424BEA">
          <w:rPr>
            <w:noProof/>
            <w:webHidden/>
          </w:rPr>
          <w:tab/>
        </w:r>
        <w:r w:rsidR="00424BEA">
          <w:rPr>
            <w:noProof/>
            <w:webHidden/>
          </w:rPr>
          <w:fldChar w:fldCharType="begin"/>
        </w:r>
        <w:r w:rsidR="00424BEA">
          <w:rPr>
            <w:noProof/>
            <w:webHidden/>
          </w:rPr>
          <w:instrText xml:space="preserve"> PAGEREF _Toc431917587 \h </w:instrText>
        </w:r>
        <w:r w:rsidR="00424BEA">
          <w:rPr>
            <w:noProof/>
            <w:webHidden/>
          </w:rPr>
        </w:r>
        <w:r w:rsidR="00424BEA">
          <w:rPr>
            <w:noProof/>
            <w:webHidden/>
          </w:rPr>
          <w:fldChar w:fldCharType="separate"/>
        </w:r>
        <w:r w:rsidR="00CB5BA6">
          <w:rPr>
            <w:noProof/>
            <w:webHidden/>
          </w:rPr>
          <w:t>94</w:t>
        </w:r>
        <w:r w:rsidR="00424BEA">
          <w:rPr>
            <w:noProof/>
            <w:webHidden/>
          </w:rPr>
          <w:fldChar w:fldCharType="end"/>
        </w:r>
      </w:hyperlink>
    </w:p>
    <w:p w14:paraId="0EF11033" w14:textId="77777777" w:rsidR="00424BEA" w:rsidRDefault="009A7DB9">
      <w:pPr>
        <w:pStyle w:val="TOC3"/>
        <w:tabs>
          <w:tab w:val="left" w:pos="1162"/>
          <w:tab w:val="right" w:leader="dot" w:pos="9017"/>
        </w:tabs>
        <w:rPr>
          <w:rFonts w:asciiTheme="minorHAnsi" w:eastAsiaTheme="minorEastAsia" w:hAnsiTheme="minorHAnsi" w:cstheme="minorBidi"/>
          <w:iCs w:val="0"/>
          <w:noProof/>
          <w:sz w:val="22"/>
          <w:szCs w:val="22"/>
          <w:lang w:val="en-US" w:eastAsia="en-US"/>
        </w:rPr>
      </w:pPr>
      <w:hyperlink w:anchor="_Toc431917588" w:history="1">
        <w:r w:rsidR="00424BEA" w:rsidRPr="003C38FB">
          <w:rPr>
            <w:rStyle w:val="Hyperlink"/>
            <w:noProof/>
          </w:rPr>
          <w:t>D.2.2</w:t>
        </w:r>
        <w:r w:rsidR="00424BEA">
          <w:rPr>
            <w:rFonts w:asciiTheme="minorHAnsi" w:eastAsiaTheme="minorEastAsia" w:hAnsiTheme="minorHAnsi" w:cstheme="minorBidi"/>
            <w:iCs w:val="0"/>
            <w:noProof/>
            <w:sz w:val="22"/>
            <w:szCs w:val="22"/>
            <w:lang w:val="en-US" w:eastAsia="en-US"/>
          </w:rPr>
          <w:tab/>
        </w:r>
        <w:r w:rsidR="00424BEA" w:rsidRPr="003C38FB">
          <w:rPr>
            <w:rStyle w:val="Hyperlink"/>
            <w:noProof/>
          </w:rPr>
          <w:t>Circumstances of use</w:t>
        </w:r>
        <w:r w:rsidR="00424BEA">
          <w:rPr>
            <w:noProof/>
            <w:webHidden/>
          </w:rPr>
          <w:tab/>
        </w:r>
        <w:r w:rsidR="00424BEA">
          <w:rPr>
            <w:noProof/>
            <w:webHidden/>
          </w:rPr>
          <w:fldChar w:fldCharType="begin"/>
        </w:r>
        <w:r w:rsidR="00424BEA">
          <w:rPr>
            <w:noProof/>
            <w:webHidden/>
          </w:rPr>
          <w:instrText xml:space="preserve"> PAGEREF _Toc431917588 \h </w:instrText>
        </w:r>
        <w:r w:rsidR="00424BEA">
          <w:rPr>
            <w:noProof/>
            <w:webHidden/>
          </w:rPr>
        </w:r>
        <w:r w:rsidR="00424BEA">
          <w:rPr>
            <w:noProof/>
            <w:webHidden/>
          </w:rPr>
          <w:fldChar w:fldCharType="separate"/>
        </w:r>
        <w:r w:rsidR="00CB5BA6">
          <w:rPr>
            <w:noProof/>
            <w:webHidden/>
          </w:rPr>
          <w:t>95</w:t>
        </w:r>
        <w:r w:rsidR="00424BEA">
          <w:rPr>
            <w:noProof/>
            <w:webHidden/>
          </w:rPr>
          <w:fldChar w:fldCharType="end"/>
        </w:r>
      </w:hyperlink>
    </w:p>
    <w:p w14:paraId="51073F28" w14:textId="77777777" w:rsidR="00424BEA" w:rsidRDefault="009A7DB9">
      <w:pPr>
        <w:pStyle w:val="TOC2"/>
        <w:tabs>
          <w:tab w:val="left" w:pos="720"/>
          <w:tab w:val="right" w:leader="dot" w:pos="9017"/>
        </w:tabs>
        <w:rPr>
          <w:rFonts w:asciiTheme="minorHAnsi" w:eastAsiaTheme="minorEastAsia" w:hAnsiTheme="minorHAnsi" w:cstheme="minorBidi"/>
          <w:noProof/>
          <w:sz w:val="22"/>
          <w:szCs w:val="22"/>
          <w:lang w:val="en-US" w:eastAsia="en-US"/>
        </w:rPr>
      </w:pPr>
      <w:hyperlink w:anchor="_Toc431917589" w:history="1">
        <w:r w:rsidR="00424BEA" w:rsidRPr="003C38FB">
          <w:rPr>
            <w:rStyle w:val="Hyperlink"/>
            <w:noProof/>
          </w:rPr>
          <w:t>D.3</w:t>
        </w:r>
        <w:r w:rsidR="00424BEA">
          <w:rPr>
            <w:rFonts w:asciiTheme="minorHAnsi" w:eastAsiaTheme="minorEastAsia" w:hAnsiTheme="minorHAnsi" w:cstheme="minorBidi"/>
            <w:noProof/>
            <w:sz w:val="22"/>
            <w:szCs w:val="22"/>
            <w:lang w:val="en-US" w:eastAsia="en-US"/>
          </w:rPr>
          <w:tab/>
        </w:r>
        <w:r w:rsidR="00424BEA" w:rsidRPr="003C38FB">
          <w:rPr>
            <w:rStyle w:val="Hyperlink"/>
            <w:noProof/>
          </w:rPr>
          <w:t>Structure and rationale of the economic evaluations</w:t>
        </w:r>
        <w:r w:rsidR="00424BEA">
          <w:rPr>
            <w:noProof/>
            <w:webHidden/>
          </w:rPr>
          <w:tab/>
        </w:r>
        <w:r w:rsidR="00424BEA">
          <w:rPr>
            <w:noProof/>
            <w:webHidden/>
          </w:rPr>
          <w:fldChar w:fldCharType="begin"/>
        </w:r>
        <w:r w:rsidR="00424BEA">
          <w:rPr>
            <w:noProof/>
            <w:webHidden/>
          </w:rPr>
          <w:instrText xml:space="preserve"> PAGEREF _Toc431917589 \h </w:instrText>
        </w:r>
        <w:r w:rsidR="00424BEA">
          <w:rPr>
            <w:noProof/>
            <w:webHidden/>
          </w:rPr>
        </w:r>
        <w:r w:rsidR="00424BEA">
          <w:rPr>
            <w:noProof/>
            <w:webHidden/>
          </w:rPr>
          <w:fldChar w:fldCharType="separate"/>
        </w:r>
        <w:r w:rsidR="00CB5BA6">
          <w:rPr>
            <w:noProof/>
            <w:webHidden/>
          </w:rPr>
          <w:t>97</w:t>
        </w:r>
        <w:r w:rsidR="00424BEA">
          <w:rPr>
            <w:noProof/>
            <w:webHidden/>
          </w:rPr>
          <w:fldChar w:fldCharType="end"/>
        </w:r>
      </w:hyperlink>
    </w:p>
    <w:p w14:paraId="1E0EB813" w14:textId="77777777" w:rsidR="00424BEA" w:rsidRDefault="009A7DB9">
      <w:pPr>
        <w:pStyle w:val="TOC3"/>
        <w:tabs>
          <w:tab w:val="left" w:pos="1162"/>
          <w:tab w:val="right" w:leader="dot" w:pos="9017"/>
        </w:tabs>
        <w:rPr>
          <w:rFonts w:asciiTheme="minorHAnsi" w:eastAsiaTheme="minorEastAsia" w:hAnsiTheme="minorHAnsi" w:cstheme="minorBidi"/>
          <w:iCs w:val="0"/>
          <w:noProof/>
          <w:sz w:val="22"/>
          <w:szCs w:val="22"/>
          <w:lang w:val="en-US" w:eastAsia="en-US"/>
        </w:rPr>
      </w:pPr>
      <w:hyperlink w:anchor="_Toc431917590" w:history="1">
        <w:r w:rsidR="00424BEA" w:rsidRPr="003C38FB">
          <w:rPr>
            <w:rStyle w:val="Hyperlink"/>
            <w:noProof/>
          </w:rPr>
          <w:t>D.3.1</w:t>
        </w:r>
        <w:r w:rsidR="00424BEA">
          <w:rPr>
            <w:rFonts w:asciiTheme="minorHAnsi" w:eastAsiaTheme="minorEastAsia" w:hAnsiTheme="minorHAnsi" w:cstheme="minorBidi"/>
            <w:iCs w:val="0"/>
            <w:noProof/>
            <w:sz w:val="22"/>
            <w:szCs w:val="22"/>
            <w:lang w:val="en-US" w:eastAsia="en-US"/>
          </w:rPr>
          <w:tab/>
        </w:r>
        <w:r w:rsidR="00424BEA" w:rsidRPr="003C38FB">
          <w:rPr>
            <w:rStyle w:val="Hyperlink"/>
            <w:noProof/>
          </w:rPr>
          <w:t>Systematic literature review</w:t>
        </w:r>
        <w:r w:rsidR="00424BEA">
          <w:rPr>
            <w:noProof/>
            <w:webHidden/>
          </w:rPr>
          <w:tab/>
        </w:r>
        <w:r w:rsidR="00424BEA">
          <w:rPr>
            <w:noProof/>
            <w:webHidden/>
          </w:rPr>
          <w:fldChar w:fldCharType="begin"/>
        </w:r>
        <w:r w:rsidR="00424BEA">
          <w:rPr>
            <w:noProof/>
            <w:webHidden/>
          </w:rPr>
          <w:instrText xml:space="preserve"> PAGEREF _Toc431917590 \h </w:instrText>
        </w:r>
        <w:r w:rsidR="00424BEA">
          <w:rPr>
            <w:noProof/>
            <w:webHidden/>
          </w:rPr>
        </w:r>
        <w:r w:rsidR="00424BEA">
          <w:rPr>
            <w:noProof/>
            <w:webHidden/>
          </w:rPr>
          <w:fldChar w:fldCharType="separate"/>
        </w:r>
        <w:r w:rsidR="00CB5BA6">
          <w:rPr>
            <w:noProof/>
            <w:webHidden/>
          </w:rPr>
          <w:t>97</w:t>
        </w:r>
        <w:r w:rsidR="00424BEA">
          <w:rPr>
            <w:noProof/>
            <w:webHidden/>
          </w:rPr>
          <w:fldChar w:fldCharType="end"/>
        </w:r>
      </w:hyperlink>
    </w:p>
    <w:p w14:paraId="35B882E0" w14:textId="77777777" w:rsidR="00424BEA" w:rsidRDefault="009A7DB9">
      <w:pPr>
        <w:pStyle w:val="TOC3"/>
        <w:tabs>
          <w:tab w:val="left" w:pos="1162"/>
          <w:tab w:val="right" w:leader="dot" w:pos="9017"/>
        </w:tabs>
        <w:rPr>
          <w:rFonts w:asciiTheme="minorHAnsi" w:eastAsiaTheme="minorEastAsia" w:hAnsiTheme="minorHAnsi" w:cstheme="minorBidi"/>
          <w:iCs w:val="0"/>
          <w:noProof/>
          <w:sz w:val="22"/>
          <w:szCs w:val="22"/>
          <w:lang w:val="en-US" w:eastAsia="en-US"/>
        </w:rPr>
      </w:pPr>
      <w:hyperlink w:anchor="_Toc431917591" w:history="1">
        <w:r w:rsidR="00424BEA" w:rsidRPr="003C38FB">
          <w:rPr>
            <w:rStyle w:val="Hyperlink"/>
            <w:noProof/>
          </w:rPr>
          <w:t>D.3.2</w:t>
        </w:r>
        <w:r w:rsidR="00424BEA">
          <w:rPr>
            <w:rFonts w:asciiTheme="minorHAnsi" w:eastAsiaTheme="minorEastAsia" w:hAnsiTheme="minorHAnsi" w:cstheme="minorBidi"/>
            <w:iCs w:val="0"/>
            <w:noProof/>
            <w:sz w:val="22"/>
            <w:szCs w:val="22"/>
            <w:lang w:val="en-US" w:eastAsia="en-US"/>
          </w:rPr>
          <w:tab/>
        </w:r>
        <w:r w:rsidR="00424BEA" w:rsidRPr="003C38FB">
          <w:rPr>
            <w:rStyle w:val="Hyperlink"/>
            <w:noProof/>
          </w:rPr>
          <w:t>Structure of the economic model and its justification</w:t>
        </w:r>
        <w:r w:rsidR="00424BEA">
          <w:rPr>
            <w:noProof/>
            <w:webHidden/>
          </w:rPr>
          <w:tab/>
        </w:r>
        <w:r w:rsidR="00424BEA">
          <w:rPr>
            <w:noProof/>
            <w:webHidden/>
          </w:rPr>
          <w:fldChar w:fldCharType="begin"/>
        </w:r>
        <w:r w:rsidR="00424BEA">
          <w:rPr>
            <w:noProof/>
            <w:webHidden/>
          </w:rPr>
          <w:instrText xml:space="preserve"> PAGEREF _Toc431917591 \h </w:instrText>
        </w:r>
        <w:r w:rsidR="00424BEA">
          <w:rPr>
            <w:noProof/>
            <w:webHidden/>
          </w:rPr>
        </w:r>
        <w:r w:rsidR="00424BEA">
          <w:rPr>
            <w:noProof/>
            <w:webHidden/>
          </w:rPr>
          <w:fldChar w:fldCharType="separate"/>
        </w:r>
        <w:r w:rsidR="00CB5BA6">
          <w:rPr>
            <w:noProof/>
            <w:webHidden/>
          </w:rPr>
          <w:t>100</w:t>
        </w:r>
        <w:r w:rsidR="00424BEA">
          <w:rPr>
            <w:noProof/>
            <w:webHidden/>
          </w:rPr>
          <w:fldChar w:fldCharType="end"/>
        </w:r>
      </w:hyperlink>
    </w:p>
    <w:p w14:paraId="02819A47" w14:textId="77777777" w:rsidR="00424BEA" w:rsidRDefault="009A7DB9">
      <w:pPr>
        <w:pStyle w:val="TOC3"/>
        <w:tabs>
          <w:tab w:val="left" w:pos="1162"/>
          <w:tab w:val="right" w:leader="dot" w:pos="9017"/>
        </w:tabs>
        <w:rPr>
          <w:rFonts w:asciiTheme="minorHAnsi" w:eastAsiaTheme="minorEastAsia" w:hAnsiTheme="minorHAnsi" w:cstheme="minorBidi"/>
          <w:iCs w:val="0"/>
          <w:noProof/>
          <w:sz w:val="22"/>
          <w:szCs w:val="22"/>
          <w:lang w:val="en-US" w:eastAsia="en-US"/>
        </w:rPr>
      </w:pPr>
      <w:hyperlink w:anchor="_Toc431917592" w:history="1">
        <w:r w:rsidR="00424BEA" w:rsidRPr="003C38FB">
          <w:rPr>
            <w:rStyle w:val="Hyperlink"/>
            <w:noProof/>
          </w:rPr>
          <w:t>D.3.3</w:t>
        </w:r>
        <w:r w:rsidR="00424BEA">
          <w:rPr>
            <w:rFonts w:asciiTheme="minorHAnsi" w:eastAsiaTheme="minorEastAsia" w:hAnsiTheme="minorHAnsi" w:cstheme="minorBidi"/>
            <w:iCs w:val="0"/>
            <w:noProof/>
            <w:sz w:val="22"/>
            <w:szCs w:val="22"/>
            <w:lang w:val="en-US" w:eastAsia="en-US"/>
          </w:rPr>
          <w:tab/>
        </w:r>
        <w:r w:rsidR="00424BEA" w:rsidRPr="003C38FB">
          <w:rPr>
            <w:rStyle w:val="Hyperlink"/>
            <w:noProof/>
          </w:rPr>
          <w:t>Time horizon and outcomes used in the economic evaluation</w:t>
        </w:r>
        <w:r w:rsidR="00424BEA">
          <w:rPr>
            <w:noProof/>
            <w:webHidden/>
          </w:rPr>
          <w:tab/>
        </w:r>
        <w:r w:rsidR="00424BEA">
          <w:rPr>
            <w:noProof/>
            <w:webHidden/>
          </w:rPr>
          <w:fldChar w:fldCharType="begin"/>
        </w:r>
        <w:r w:rsidR="00424BEA">
          <w:rPr>
            <w:noProof/>
            <w:webHidden/>
          </w:rPr>
          <w:instrText xml:space="preserve"> PAGEREF _Toc431917592 \h </w:instrText>
        </w:r>
        <w:r w:rsidR="00424BEA">
          <w:rPr>
            <w:noProof/>
            <w:webHidden/>
          </w:rPr>
        </w:r>
        <w:r w:rsidR="00424BEA">
          <w:rPr>
            <w:noProof/>
            <w:webHidden/>
          </w:rPr>
          <w:fldChar w:fldCharType="separate"/>
        </w:r>
        <w:r w:rsidR="00CB5BA6">
          <w:rPr>
            <w:noProof/>
            <w:webHidden/>
          </w:rPr>
          <w:t>105</w:t>
        </w:r>
        <w:r w:rsidR="00424BEA">
          <w:rPr>
            <w:noProof/>
            <w:webHidden/>
          </w:rPr>
          <w:fldChar w:fldCharType="end"/>
        </w:r>
      </w:hyperlink>
    </w:p>
    <w:p w14:paraId="41085389" w14:textId="77777777" w:rsidR="00424BEA" w:rsidRDefault="009A7DB9">
      <w:pPr>
        <w:pStyle w:val="TOC3"/>
        <w:tabs>
          <w:tab w:val="left" w:pos="1162"/>
          <w:tab w:val="right" w:leader="dot" w:pos="9017"/>
        </w:tabs>
        <w:rPr>
          <w:rFonts w:asciiTheme="minorHAnsi" w:eastAsiaTheme="minorEastAsia" w:hAnsiTheme="minorHAnsi" w:cstheme="minorBidi"/>
          <w:iCs w:val="0"/>
          <w:noProof/>
          <w:sz w:val="22"/>
          <w:szCs w:val="22"/>
          <w:lang w:val="en-US" w:eastAsia="en-US"/>
        </w:rPr>
      </w:pPr>
      <w:hyperlink w:anchor="_Toc431917593" w:history="1">
        <w:r w:rsidR="00424BEA" w:rsidRPr="003C38FB">
          <w:rPr>
            <w:rStyle w:val="Hyperlink"/>
            <w:noProof/>
          </w:rPr>
          <w:t>D.3.4</w:t>
        </w:r>
        <w:r w:rsidR="00424BEA">
          <w:rPr>
            <w:rFonts w:asciiTheme="minorHAnsi" w:eastAsiaTheme="minorEastAsia" w:hAnsiTheme="minorHAnsi" w:cstheme="minorBidi"/>
            <w:iCs w:val="0"/>
            <w:noProof/>
            <w:sz w:val="22"/>
            <w:szCs w:val="22"/>
            <w:lang w:val="en-US" w:eastAsia="en-US"/>
          </w:rPr>
          <w:tab/>
        </w:r>
        <w:r w:rsidR="00424BEA" w:rsidRPr="003C38FB">
          <w:rPr>
            <w:rStyle w:val="Hyperlink"/>
            <w:noProof/>
          </w:rPr>
          <w:t>Discounting</w:t>
        </w:r>
        <w:r w:rsidR="00424BEA">
          <w:rPr>
            <w:noProof/>
            <w:webHidden/>
          </w:rPr>
          <w:tab/>
        </w:r>
        <w:r w:rsidR="00424BEA">
          <w:rPr>
            <w:noProof/>
            <w:webHidden/>
          </w:rPr>
          <w:fldChar w:fldCharType="begin"/>
        </w:r>
        <w:r w:rsidR="00424BEA">
          <w:rPr>
            <w:noProof/>
            <w:webHidden/>
          </w:rPr>
          <w:instrText xml:space="preserve"> PAGEREF _Toc431917593 \h </w:instrText>
        </w:r>
        <w:r w:rsidR="00424BEA">
          <w:rPr>
            <w:noProof/>
            <w:webHidden/>
          </w:rPr>
        </w:r>
        <w:r w:rsidR="00424BEA">
          <w:rPr>
            <w:noProof/>
            <w:webHidden/>
          </w:rPr>
          <w:fldChar w:fldCharType="separate"/>
        </w:r>
        <w:r w:rsidR="00CB5BA6">
          <w:rPr>
            <w:noProof/>
            <w:webHidden/>
          </w:rPr>
          <w:t>105</w:t>
        </w:r>
        <w:r w:rsidR="00424BEA">
          <w:rPr>
            <w:noProof/>
            <w:webHidden/>
          </w:rPr>
          <w:fldChar w:fldCharType="end"/>
        </w:r>
      </w:hyperlink>
    </w:p>
    <w:p w14:paraId="77797C05" w14:textId="77777777" w:rsidR="00424BEA" w:rsidRDefault="009A7DB9">
      <w:pPr>
        <w:pStyle w:val="TOC3"/>
        <w:tabs>
          <w:tab w:val="left" w:pos="1162"/>
          <w:tab w:val="right" w:leader="dot" w:pos="9017"/>
        </w:tabs>
        <w:rPr>
          <w:rFonts w:asciiTheme="minorHAnsi" w:eastAsiaTheme="minorEastAsia" w:hAnsiTheme="minorHAnsi" w:cstheme="minorBidi"/>
          <w:iCs w:val="0"/>
          <w:noProof/>
          <w:sz w:val="22"/>
          <w:szCs w:val="22"/>
          <w:lang w:val="en-US" w:eastAsia="en-US"/>
        </w:rPr>
      </w:pPr>
      <w:hyperlink w:anchor="_Toc431917594" w:history="1">
        <w:r w:rsidR="00424BEA" w:rsidRPr="003C38FB">
          <w:rPr>
            <w:rStyle w:val="Hyperlink"/>
            <w:noProof/>
          </w:rPr>
          <w:t>D.3.5</w:t>
        </w:r>
        <w:r w:rsidR="00424BEA">
          <w:rPr>
            <w:rFonts w:asciiTheme="minorHAnsi" w:eastAsiaTheme="minorEastAsia" w:hAnsiTheme="minorHAnsi" w:cstheme="minorBidi"/>
            <w:iCs w:val="0"/>
            <w:noProof/>
            <w:sz w:val="22"/>
            <w:szCs w:val="22"/>
            <w:lang w:val="en-US" w:eastAsia="en-US"/>
          </w:rPr>
          <w:tab/>
        </w:r>
        <w:r w:rsidR="00424BEA" w:rsidRPr="003C38FB">
          <w:rPr>
            <w:rStyle w:val="Hyperlink"/>
            <w:noProof/>
          </w:rPr>
          <w:t>Methods used to generate the results</w:t>
        </w:r>
        <w:r w:rsidR="00424BEA">
          <w:rPr>
            <w:noProof/>
            <w:webHidden/>
          </w:rPr>
          <w:tab/>
        </w:r>
        <w:r w:rsidR="00424BEA">
          <w:rPr>
            <w:noProof/>
            <w:webHidden/>
          </w:rPr>
          <w:fldChar w:fldCharType="begin"/>
        </w:r>
        <w:r w:rsidR="00424BEA">
          <w:rPr>
            <w:noProof/>
            <w:webHidden/>
          </w:rPr>
          <w:instrText xml:space="preserve"> PAGEREF _Toc431917594 \h </w:instrText>
        </w:r>
        <w:r w:rsidR="00424BEA">
          <w:rPr>
            <w:noProof/>
            <w:webHidden/>
          </w:rPr>
        </w:r>
        <w:r w:rsidR="00424BEA">
          <w:rPr>
            <w:noProof/>
            <w:webHidden/>
          </w:rPr>
          <w:fldChar w:fldCharType="separate"/>
        </w:r>
        <w:r w:rsidR="00CB5BA6">
          <w:rPr>
            <w:noProof/>
            <w:webHidden/>
          </w:rPr>
          <w:t>105</w:t>
        </w:r>
        <w:r w:rsidR="00424BEA">
          <w:rPr>
            <w:noProof/>
            <w:webHidden/>
          </w:rPr>
          <w:fldChar w:fldCharType="end"/>
        </w:r>
      </w:hyperlink>
    </w:p>
    <w:p w14:paraId="0A97C714" w14:textId="77777777" w:rsidR="00424BEA" w:rsidRDefault="009A7DB9">
      <w:pPr>
        <w:pStyle w:val="TOC2"/>
        <w:tabs>
          <w:tab w:val="left" w:pos="720"/>
          <w:tab w:val="right" w:leader="dot" w:pos="9017"/>
        </w:tabs>
        <w:rPr>
          <w:rFonts w:asciiTheme="minorHAnsi" w:eastAsiaTheme="minorEastAsia" w:hAnsiTheme="minorHAnsi" w:cstheme="minorBidi"/>
          <w:noProof/>
          <w:sz w:val="22"/>
          <w:szCs w:val="22"/>
          <w:lang w:val="en-US" w:eastAsia="en-US"/>
        </w:rPr>
      </w:pPr>
      <w:hyperlink w:anchor="_Toc431917595" w:history="1">
        <w:r w:rsidR="00424BEA" w:rsidRPr="003C38FB">
          <w:rPr>
            <w:rStyle w:val="Hyperlink"/>
            <w:noProof/>
          </w:rPr>
          <w:t>D.4</w:t>
        </w:r>
        <w:r w:rsidR="00424BEA">
          <w:rPr>
            <w:rFonts w:asciiTheme="minorHAnsi" w:eastAsiaTheme="minorEastAsia" w:hAnsiTheme="minorHAnsi" w:cstheme="minorBidi"/>
            <w:noProof/>
            <w:sz w:val="22"/>
            <w:szCs w:val="22"/>
            <w:lang w:val="en-US" w:eastAsia="en-US"/>
          </w:rPr>
          <w:tab/>
        </w:r>
        <w:r w:rsidR="00424BEA" w:rsidRPr="003C38FB">
          <w:rPr>
            <w:rStyle w:val="Hyperlink"/>
            <w:noProof/>
          </w:rPr>
          <w:t>Variables in the economic evaluation</w:t>
        </w:r>
        <w:r w:rsidR="00424BEA">
          <w:rPr>
            <w:noProof/>
            <w:webHidden/>
          </w:rPr>
          <w:tab/>
        </w:r>
        <w:r w:rsidR="00424BEA">
          <w:rPr>
            <w:noProof/>
            <w:webHidden/>
          </w:rPr>
          <w:fldChar w:fldCharType="begin"/>
        </w:r>
        <w:r w:rsidR="00424BEA">
          <w:rPr>
            <w:noProof/>
            <w:webHidden/>
          </w:rPr>
          <w:instrText xml:space="preserve"> PAGEREF _Toc431917595 \h </w:instrText>
        </w:r>
        <w:r w:rsidR="00424BEA">
          <w:rPr>
            <w:noProof/>
            <w:webHidden/>
          </w:rPr>
        </w:r>
        <w:r w:rsidR="00424BEA">
          <w:rPr>
            <w:noProof/>
            <w:webHidden/>
          </w:rPr>
          <w:fldChar w:fldCharType="separate"/>
        </w:r>
        <w:r w:rsidR="00CB5BA6">
          <w:rPr>
            <w:noProof/>
            <w:webHidden/>
          </w:rPr>
          <w:t>106</w:t>
        </w:r>
        <w:r w:rsidR="00424BEA">
          <w:rPr>
            <w:noProof/>
            <w:webHidden/>
          </w:rPr>
          <w:fldChar w:fldCharType="end"/>
        </w:r>
      </w:hyperlink>
    </w:p>
    <w:p w14:paraId="7BBCF618" w14:textId="77777777" w:rsidR="00424BEA" w:rsidRDefault="009A7DB9">
      <w:pPr>
        <w:pStyle w:val="TOC3"/>
        <w:tabs>
          <w:tab w:val="left" w:pos="1162"/>
          <w:tab w:val="right" w:leader="dot" w:pos="9017"/>
        </w:tabs>
        <w:rPr>
          <w:rFonts w:asciiTheme="minorHAnsi" w:eastAsiaTheme="minorEastAsia" w:hAnsiTheme="minorHAnsi" w:cstheme="minorBidi"/>
          <w:iCs w:val="0"/>
          <w:noProof/>
          <w:sz w:val="22"/>
          <w:szCs w:val="22"/>
          <w:lang w:val="en-US" w:eastAsia="en-US"/>
        </w:rPr>
      </w:pPr>
      <w:hyperlink w:anchor="_Toc431917596" w:history="1">
        <w:r w:rsidR="00424BEA" w:rsidRPr="003C38FB">
          <w:rPr>
            <w:rStyle w:val="Hyperlink"/>
            <w:noProof/>
          </w:rPr>
          <w:t>D.4.1</w:t>
        </w:r>
        <w:r w:rsidR="00424BEA">
          <w:rPr>
            <w:rFonts w:asciiTheme="minorHAnsi" w:eastAsiaTheme="minorEastAsia" w:hAnsiTheme="minorHAnsi" w:cstheme="minorBidi"/>
            <w:iCs w:val="0"/>
            <w:noProof/>
            <w:sz w:val="22"/>
            <w:szCs w:val="22"/>
            <w:lang w:val="en-US" w:eastAsia="en-US"/>
          </w:rPr>
          <w:tab/>
        </w:r>
        <w:r w:rsidR="00424BEA" w:rsidRPr="003C38FB">
          <w:rPr>
            <w:rStyle w:val="Hyperlink"/>
            <w:noProof/>
          </w:rPr>
          <w:t>Transition probabilities</w:t>
        </w:r>
        <w:r w:rsidR="00424BEA">
          <w:rPr>
            <w:noProof/>
            <w:webHidden/>
          </w:rPr>
          <w:tab/>
        </w:r>
        <w:r w:rsidR="00424BEA">
          <w:rPr>
            <w:noProof/>
            <w:webHidden/>
          </w:rPr>
          <w:fldChar w:fldCharType="begin"/>
        </w:r>
        <w:r w:rsidR="00424BEA">
          <w:rPr>
            <w:noProof/>
            <w:webHidden/>
          </w:rPr>
          <w:instrText xml:space="preserve"> PAGEREF _Toc431917596 \h </w:instrText>
        </w:r>
        <w:r w:rsidR="00424BEA">
          <w:rPr>
            <w:noProof/>
            <w:webHidden/>
          </w:rPr>
        </w:r>
        <w:r w:rsidR="00424BEA">
          <w:rPr>
            <w:noProof/>
            <w:webHidden/>
          </w:rPr>
          <w:fldChar w:fldCharType="separate"/>
        </w:r>
        <w:r w:rsidR="00CB5BA6">
          <w:rPr>
            <w:noProof/>
            <w:webHidden/>
          </w:rPr>
          <w:t>106</w:t>
        </w:r>
        <w:r w:rsidR="00424BEA">
          <w:rPr>
            <w:noProof/>
            <w:webHidden/>
          </w:rPr>
          <w:fldChar w:fldCharType="end"/>
        </w:r>
      </w:hyperlink>
    </w:p>
    <w:p w14:paraId="1B3A00E4" w14:textId="77777777" w:rsidR="00424BEA" w:rsidRDefault="009A7DB9">
      <w:pPr>
        <w:pStyle w:val="TOC3"/>
        <w:tabs>
          <w:tab w:val="left" w:pos="1162"/>
          <w:tab w:val="right" w:leader="dot" w:pos="9017"/>
        </w:tabs>
        <w:rPr>
          <w:rFonts w:asciiTheme="minorHAnsi" w:eastAsiaTheme="minorEastAsia" w:hAnsiTheme="minorHAnsi" w:cstheme="minorBidi"/>
          <w:iCs w:val="0"/>
          <w:noProof/>
          <w:sz w:val="22"/>
          <w:szCs w:val="22"/>
          <w:lang w:val="en-US" w:eastAsia="en-US"/>
        </w:rPr>
      </w:pPr>
      <w:hyperlink w:anchor="_Toc431917597" w:history="1">
        <w:r w:rsidR="00424BEA" w:rsidRPr="003C38FB">
          <w:rPr>
            <w:rStyle w:val="Hyperlink"/>
            <w:noProof/>
          </w:rPr>
          <w:t>D.4.2</w:t>
        </w:r>
        <w:r w:rsidR="00424BEA">
          <w:rPr>
            <w:rFonts w:asciiTheme="minorHAnsi" w:eastAsiaTheme="minorEastAsia" w:hAnsiTheme="minorHAnsi" w:cstheme="minorBidi"/>
            <w:iCs w:val="0"/>
            <w:noProof/>
            <w:sz w:val="22"/>
            <w:szCs w:val="22"/>
            <w:lang w:val="en-US" w:eastAsia="en-US"/>
          </w:rPr>
          <w:tab/>
        </w:r>
        <w:r w:rsidR="00424BEA" w:rsidRPr="003C38FB">
          <w:rPr>
            <w:rStyle w:val="Hyperlink"/>
            <w:noProof/>
          </w:rPr>
          <w:t>Direct health-care resources</w:t>
        </w:r>
        <w:r w:rsidR="00424BEA">
          <w:rPr>
            <w:noProof/>
            <w:webHidden/>
          </w:rPr>
          <w:tab/>
        </w:r>
        <w:r w:rsidR="00424BEA">
          <w:rPr>
            <w:noProof/>
            <w:webHidden/>
          </w:rPr>
          <w:fldChar w:fldCharType="begin"/>
        </w:r>
        <w:r w:rsidR="00424BEA">
          <w:rPr>
            <w:noProof/>
            <w:webHidden/>
          </w:rPr>
          <w:instrText xml:space="preserve"> PAGEREF _Toc431917597 \h </w:instrText>
        </w:r>
        <w:r w:rsidR="00424BEA">
          <w:rPr>
            <w:noProof/>
            <w:webHidden/>
          </w:rPr>
        </w:r>
        <w:r w:rsidR="00424BEA">
          <w:rPr>
            <w:noProof/>
            <w:webHidden/>
          </w:rPr>
          <w:fldChar w:fldCharType="separate"/>
        </w:r>
        <w:r w:rsidR="00CB5BA6">
          <w:rPr>
            <w:noProof/>
            <w:webHidden/>
          </w:rPr>
          <w:t>111</w:t>
        </w:r>
        <w:r w:rsidR="00424BEA">
          <w:rPr>
            <w:noProof/>
            <w:webHidden/>
          </w:rPr>
          <w:fldChar w:fldCharType="end"/>
        </w:r>
      </w:hyperlink>
    </w:p>
    <w:p w14:paraId="1B40DC35" w14:textId="77777777" w:rsidR="00424BEA" w:rsidRDefault="009A7DB9">
      <w:pPr>
        <w:pStyle w:val="TOC3"/>
        <w:tabs>
          <w:tab w:val="left" w:pos="1162"/>
          <w:tab w:val="right" w:leader="dot" w:pos="9017"/>
        </w:tabs>
        <w:rPr>
          <w:rFonts w:asciiTheme="minorHAnsi" w:eastAsiaTheme="minorEastAsia" w:hAnsiTheme="minorHAnsi" w:cstheme="minorBidi"/>
          <w:iCs w:val="0"/>
          <w:noProof/>
          <w:sz w:val="22"/>
          <w:szCs w:val="22"/>
          <w:lang w:val="en-US" w:eastAsia="en-US"/>
        </w:rPr>
      </w:pPr>
      <w:hyperlink w:anchor="_Toc431917598" w:history="1">
        <w:r w:rsidR="00424BEA" w:rsidRPr="003C38FB">
          <w:rPr>
            <w:rStyle w:val="Hyperlink"/>
            <w:noProof/>
          </w:rPr>
          <w:t>D.4.3</w:t>
        </w:r>
        <w:r w:rsidR="00424BEA">
          <w:rPr>
            <w:rFonts w:asciiTheme="minorHAnsi" w:eastAsiaTheme="minorEastAsia" w:hAnsiTheme="minorHAnsi" w:cstheme="minorBidi"/>
            <w:iCs w:val="0"/>
            <w:noProof/>
            <w:sz w:val="22"/>
            <w:szCs w:val="22"/>
            <w:lang w:val="en-US" w:eastAsia="en-US"/>
          </w:rPr>
          <w:tab/>
        </w:r>
        <w:r w:rsidR="00424BEA" w:rsidRPr="003C38FB">
          <w:rPr>
            <w:rStyle w:val="Hyperlink"/>
            <w:noProof/>
          </w:rPr>
          <w:t>Health outcomes</w:t>
        </w:r>
        <w:r w:rsidR="00424BEA">
          <w:rPr>
            <w:noProof/>
            <w:webHidden/>
          </w:rPr>
          <w:tab/>
        </w:r>
        <w:r w:rsidR="00424BEA">
          <w:rPr>
            <w:noProof/>
            <w:webHidden/>
          </w:rPr>
          <w:fldChar w:fldCharType="begin"/>
        </w:r>
        <w:r w:rsidR="00424BEA">
          <w:rPr>
            <w:noProof/>
            <w:webHidden/>
          </w:rPr>
          <w:instrText xml:space="preserve"> PAGEREF _Toc431917598 \h </w:instrText>
        </w:r>
        <w:r w:rsidR="00424BEA">
          <w:rPr>
            <w:noProof/>
            <w:webHidden/>
          </w:rPr>
        </w:r>
        <w:r w:rsidR="00424BEA">
          <w:rPr>
            <w:noProof/>
            <w:webHidden/>
          </w:rPr>
          <w:fldChar w:fldCharType="separate"/>
        </w:r>
        <w:r w:rsidR="00CB5BA6">
          <w:rPr>
            <w:noProof/>
            <w:webHidden/>
          </w:rPr>
          <w:t>118</w:t>
        </w:r>
        <w:r w:rsidR="00424BEA">
          <w:rPr>
            <w:noProof/>
            <w:webHidden/>
          </w:rPr>
          <w:fldChar w:fldCharType="end"/>
        </w:r>
      </w:hyperlink>
    </w:p>
    <w:p w14:paraId="224CABA2" w14:textId="77777777" w:rsidR="00424BEA" w:rsidRDefault="009A7DB9">
      <w:pPr>
        <w:pStyle w:val="TOC2"/>
        <w:tabs>
          <w:tab w:val="left" w:pos="720"/>
          <w:tab w:val="right" w:leader="dot" w:pos="9017"/>
        </w:tabs>
        <w:rPr>
          <w:rFonts w:asciiTheme="minorHAnsi" w:eastAsiaTheme="minorEastAsia" w:hAnsiTheme="minorHAnsi" w:cstheme="minorBidi"/>
          <w:noProof/>
          <w:sz w:val="22"/>
          <w:szCs w:val="22"/>
          <w:lang w:val="en-US" w:eastAsia="en-US"/>
        </w:rPr>
      </w:pPr>
      <w:hyperlink w:anchor="_Toc431917599" w:history="1">
        <w:r w:rsidR="00424BEA" w:rsidRPr="003C38FB">
          <w:rPr>
            <w:rStyle w:val="Hyperlink"/>
            <w:noProof/>
          </w:rPr>
          <w:t>D.</w:t>
        </w:r>
        <w:r w:rsidR="00424BEA" w:rsidRPr="003C38FB">
          <w:rPr>
            <w:rStyle w:val="Hyperlink"/>
            <w:noProof/>
            <w:lang w:val="en-US"/>
          </w:rPr>
          <w:t>5</w:t>
        </w:r>
        <w:r w:rsidR="00424BEA">
          <w:rPr>
            <w:rFonts w:asciiTheme="minorHAnsi" w:eastAsiaTheme="minorEastAsia" w:hAnsiTheme="minorHAnsi" w:cstheme="minorBidi"/>
            <w:noProof/>
            <w:sz w:val="22"/>
            <w:szCs w:val="22"/>
            <w:lang w:val="en-US" w:eastAsia="en-US"/>
          </w:rPr>
          <w:tab/>
        </w:r>
        <w:r w:rsidR="00424BEA" w:rsidRPr="003C38FB">
          <w:rPr>
            <w:rStyle w:val="Hyperlink"/>
            <w:noProof/>
          </w:rPr>
          <w:t xml:space="preserve">Results of the </w:t>
        </w:r>
        <w:r w:rsidR="00424BEA" w:rsidRPr="003C38FB">
          <w:rPr>
            <w:rStyle w:val="Hyperlink"/>
            <w:noProof/>
            <w:lang w:val="en-US"/>
          </w:rPr>
          <w:t xml:space="preserve">main </w:t>
        </w:r>
        <w:r w:rsidR="00424BEA" w:rsidRPr="003C38FB">
          <w:rPr>
            <w:rStyle w:val="Hyperlink"/>
            <w:noProof/>
          </w:rPr>
          <w:t>economic evaluation</w:t>
        </w:r>
        <w:r w:rsidR="00424BEA">
          <w:rPr>
            <w:noProof/>
            <w:webHidden/>
          </w:rPr>
          <w:tab/>
        </w:r>
        <w:r w:rsidR="00424BEA">
          <w:rPr>
            <w:noProof/>
            <w:webHidden/>
          </w:rPr>
          <w:fldChar w:fldCharType="begin"/>
        </w:r>
        <w:r w:rsidR="00424BEA">
          <w:rPr>
            <w:noProof/>
            <w:webHidden/>
          </w:rPr>
          <w:instrText xml:space="preserve"> PAGEREF _Toc431917599 \h </w:instrText>
        </w:r>
        <w:r w:rsidR="00424BEA">
          <w:rPr>
            <w:noProof/>
            <w:webHidden/>
          </w:rPr>
        </w:r>
        <w:r w:rsidR="00424BEA">
          <w:rPr>
            <w:noProof/>
            <w:webHidden/>
          </w:rPr>
          <w:fldChar w:fldCharType="separate"/>
        </w:r>
        <w:r w:rsidR="00CB5BA6">
          <w:rPr>
            <w:noProof/>
            <w:webHidden/>
          </w:rPr>
          <w:t>121</w:t>
        </w:r>
        <w:r w:rsidR="00424BEA">
          <w:rPr>
            <w:noProof/>
            <w:webHidden/>
          </w:rPr>
          <w:fldChar w:fldCharType="end"/>
        </w:r>
      </w:hyperlink>
    </w:p>
    <w:p w14:paraId="7261192D" w14:textId="77777777" w:rsidR="00424BEA" w:rsidRDefault="009A7DB9">
      <w:pPr>
        <w:pStyle w:val="TOC2"/>
        <w:tabs>
          <w:tab w:val="right" w:leader="dot" w:pos="9017"/>
        </w:tabs>
        <w:rPr>
          <w:rFonts w:asciiTheme="minorHAnsi" w:eastAsiaTheme="minorEastAsia" w:hAnsiTheme="minorHAnsi" w:cstheme="minorBidi"/>
          <w:noProof/>
          <w:sz w:val="22"/>
          <w:szCs w:val="22"/>
          <w:lang w:val="en-US" w:eastAsia="en-US"/>
        </w:rPr>
      </w:pPr>
      <w:hyperlink w:anchor="_Toc431917600" w:history="1">
        <w:r w:rsidR="00424BEA" w:rsidRPr="003C38FB">
          <w:rPr>
            <w:rStyle w:val="Hyperlink"/>
            <w:noProof/>
            <w:lang w:val="en-GB"/>
          </w:rPr>
          <w:t xml:space="preserve">D.6. </w:t>
        </w:r>
        <w:r w:rsidR="00424BEA" w:rsidRPr="003C38FB">
          <w:rPr>
            <w:rStyle w:val="Hyperlink"/>
            <w:noProof/>
          </w:rPr>
          <w:t>Sensitivity analysis</w:t>
        </w:r>
        <w:r w:rsidR="00424BEA">
          <w:rPr>
            <w:noProof/>
            <w:webHidden/>
          </w:rPr>
          <w:tab/>
        </w:r>
        <w:r w:rsidR="00424BEA">
          <w:rPr>
            <w:noProof/>
            <w:webHidden/>
          </w:rPr>
          <w:fldChar w:fldCharType="begin"/>
        </w:r>
        <w:r w:rsidR="00424BEA">
          <w:rPr>
            <w:noProof/>
            <w:webHidden/>
          </w:rPr>
          <w:instrText xml:space="preserve"> PAGEREF _Toc431917600 \h </w:instrText>
        </w:r>
        <w:r w:rsidR="00424BEA">
          <w:rPr>
            <w:noProof/>
            <w:webHidden/>
          </w:rPr>
        </w:r>
        <w:r w:rsidR="00424BEA">
          <w:rPr>
            <w:noProof/>
            <w:webHidden/>
          </w:rPr>
          <w:fldChar w:fldCharType="separate"/>
        </w:r>
        <w:r w:rsidR="00CB5BA6">
          <w:rPr>
            <w:noProof/>
            <w:webHidden/>
          </w:rPr>
          <w:t>125</w:t>
        </w:r>
        <w:r w:rsidR="00424BEA">
          <w:rPr>
            <w:noProof/>
            <w:webHidden/>
          </w:rPr>
          <w:fldChar w:fldCharType="end"/>
        </w:r>
      </w:hyperlink>
    </w:p>
    <w:p w14:paraId="120FBD73" w14:textId="77777777" w:rsidR="00424BEA" w:rsidRDefault="009A7DB9">
      <w:pPr>
        <w:pStyle w:val="TOC3"/>
        <w:tabs>
          <w:tab w:val="right" w:leader="dot" w:pos="9017"/>
        </w:tabs>
        <w:rPr>
          <w:rFonts w:asciiTheme="minorHAnsi" w:eastAsiaTheme="minorEastAsia" w:hAnsiTheme="minorHAnsi" w:cstheme="minorBidi"/>
          <w:iCs w:val="0"/>
          <w:noProof/>
          <w:sz w:val="22"/>
          <w:szCs w:val="22"/>
          <w:lang w:val="en-US" w:eastAsia="en-US"/>
        </w:rPr>
      </w:pPr>
      <w:hyperlink w:anchor="_Toc431917601" w:history="1">
        <w:r w:rsidR="00424BEA" w:rsidRPr="003C38FB">
          <w:rPr>
            <w:rStyle w:val="Hyperlink"/>
            <w:noProof/>
            <w:lang w:val="en-GB"/>
          </w:rPr>
          <w:t xml:space="preserve">D.6.1. </w:t>
        </w:r>
        <w:r w:rsidR="00424BEA" w:rsidRPr="003C38FB">
          <w:rPr>
            <w:rStyle w:val="Hyperlink"/>
            <w:noProof/>
          </w:rPr>
          <w:t>Deterministic sensitivity analysis</w:t>
        </w:r>
        <w:r w:rsidR="00424BEA">
          <w:rPr>
            <w:noProof/>
            <w:webHidden/>
          </w:rPr>
          <w:tab/>
        </w:r>
        <w:r w:rsidR="00424BEA">
          <w:rPr>
            <w:noProof/>
            <w:webHidden/>
          </w:rPr>
          <w:fldChar w:fldCharType="begin"/>
        </w:r>
        <w:r w:rsidR="00424BEA">
          <w:rPr>
            <w:noProof/>
            <w:webHidden/>
          </w:rPr>
          <w:instrText xml:space="preserve"> PAGEREF _Toc431917601 \h </w:instrText>
        </w:r>
        <w:r w:rsidR="00424BEA">
          <w:rPr>
            <w:noProof/>
            <w:webHidden/>
          </w:rPr>
        </w:r>
        <w:r w:rsidR="00424BEA">
          <w:rPr>
            <w:noProof/>
            <w:webHidden/>
          </w:rPr>
          <w:fldChar w:fldCharType="separate"/>
        </w:r>
        <w:r w:rsidR="00CB5BA6">
          <w:rPr>
            <w:noProof/>
            <w:webHidden/>
          </w:rPr>
          <w:t>125</w:t>
        </w:r>
        <w:r w:rsidR="00424BEA">
          <w:rPr>
            <w:noProof/>
            <w:webHidden/>
          </w:rPr>
          <w:fldChar w:fldCharType="end"/>
        </w:r>
      </w:hyperlink>
    </w:p>
    <w:p w14:paraId="00E3A00D" w14:textId="77777777" w:rsidR="00424BEA" w:rsidRDefault="009A7DB9">
      <w:pPr>
        <w:pStyle w:val="TOC3"/>
        <w:tabs>
          <w:tab w:val="right" w:leader="dot" w:pos="9017"/>
        </w:tabs>
        <w:rPr>
          <w:rFonts w:asciiTheme="minorHAnsi" w:eastAsiaTheme="minorEastAsia" w:hAnsiTheme="minorHAnsi" w:cstheme="minorBidi"/>
          <w:iCs w:val="0"/>
          <w:noProof/>
          <w:sz w:val="22"/>
          <w:szCs w:val="22"/>
          <w:lang w:val="en-US" w:eastAsia="en-US"/>
        </w:rPr>
      </w:pPr>
      <w:hyperlink w:anchor="_Toc431917602" w:history="1">
        <w:r w:rsidR="00424BEA" w:rsidRPr="003C38FB">
          <w:rPr>
            <w:rStyle w:val="Hyperlink"/>
            <w:noProof/>
          </w:rPr>
          <w:t>D.6.2. Probability sensitivity analysis</w:t>
        </w:r>
        <w:r w:rsidR="00424BEA">
          <w:rPr>
            <w:noProof/>
            <w:webHidden/>
          </w:rPr>
          <w:tab/>
        </w:r>
        <w:r w:rsidR="00424BEA">
          <w:rPr>
            <w:noProof/>
            <w:webHidden/>
          </w:rPr>
          <w:fldChar w:fldCharType="begin"/>
        </w:r>
        <w:r w:rsidR="00424BEA">
          <w:rPr>
            <w:noProof/>
            <w:webHidden/>
          </w:rPr>
          <w:instrText xml:space="preserve"> PAGEREF _Toc431917602 \h </w:instrText>
        </w:r>
        <w:r w:rsidR="00424BEA">
          <w:rPr>
            <w:noProof/>
            <w:webHidden/>
          </w:rPr>
        </w:r>
        <w:r w:rsidR="00424BEA">
          <w:rPr>
            <w:noProof/>
            <w:webHidden/>
          </w:rPr>
          <w:fldChar w:fldCharType="separate"/>
        </w:r>
        <w:r w:rsidR="00CB5BA6">
          <w:rPr>
            <w:noProof/>
            <w:webHidden/>
          </w:rPr>
          <w:t>130</w:t>
        </w:r>
        <w:r w:rsidR="00424BEA">
          <w:rPr>
            <w:noProof/>
            <w:webHidden/>
          </w:rPr>
          <w:fldChar w:fldCharType="end"/>
        </w:r>
      </w:hyperlink>
    </w:p>
    <w:p w14:paraId="377FB9D6" w14:textId="77777777" w:rsidR="00424BEA" w:rsidRDefault="009A7DB9">
      <w:pPr>
        <w:pStyle w:val="TOC3"/>
        <w:tabs>
          <w:tab w:val="right" w:leader="dot" w:pos="9017"/>
        </w:tabs>
        <w:rPr>
          <w:rFonts w:asciiTheme="minorHAnsi" w:eastAsiaTheme="minorEastAsia" w:hAnsiTheme="minorHAnsi" w:cstheme="minorBidi"/>
          <w:iCs w:val="0"/>
          <w:noProof/>
          <w:sz w:val="22"/>
          <w:szCs w:val="22"/>
          <w:lang w:val="en-US" w:eastAsia="en-US"/>
        </w:rPr>
      </w:pPr>
      <w:hyperlink w:anchor="_Toc431917603" w:history="1">
        <w:r w:rsidR="00424BEA" w:rsidRPr="003C38FB">
          <w:rPr>
            <w:rStyle w:val="Hyperlink"/>
            <w:rFonts w:eastAsiaTheme="majorEastAsia"/>
            <w:noProof/>
            <w:lang w:eastAsia="en-US"/>
          </w:rPr>
          <w:t>D.6.3. Sensitivity  of the results to changes in the modelled economic evaluation</w:t>
        </w:r>
        <w:r w:rsidR="00424BEA">
          <w:rPr>
            <w:noProof/>
            <w:webHidden/>
          </w:rPr>
          <w:tab/>
        </w:r>
        <w:r w:rsidR="00424BEA">
          <w:rPr>
            <w:noProof/>
            <w:webHidden/>
          </w:rPr>
          <w:fldChar w:fldCharType="begin"/>
        </w:r>
        <w:r w:rsidR="00424BEA">
          <w:rPr>
            <w:noProof/>
            <w:webHidden/>
          </w:rPr>
          <w:instrText xml:space="preserve"> PAGEREF _Toc431917603 \h </w:instrText>
        </w:r>
        <w:r w:rsidR="00424BEA">
          <w:rPr>
            <w:noProof/>
            <w:webHidden/>
          </w:rPr>
        </w:r>
        <w:r w:rsidR="00424BEA">
          <w:rPr>
            <w:noProof/>
            <w:webHidden/>
          </w:rPr>
          <w:fldChar w:fldCharType="separate"/>
        </w:r>
        <w:r w:rsidR="00CB5BA6">
          <w:rPr>
            <w:noProof/>
            <w:webHidden/>
          </w:rPr>
          <w:t>132</w:t>
        </w:r>
        <w:r w:rsidR="00424BEA">
          <w:rPr>
            <w:noProof/>
            <w:webHidden/>
          </w:rPr>
          <w:fldChar w:fldCharType="end"/>
        </w:r>
      </w:hyperlink>
    </w:p>
    <w:p w14:paraId="3A09198A" w14:textId="77777777" w:rsidR="00424BEA" w:rsidRDefault="009A7DB9">
      <w:pPr>
        <w:pStyle w:val="TOC1"/>
        <w:tabs>
          <w:tab w:val="right" w:leader="dot" w:pos="9017"/>
        </w:tabs>
        <w:rPr>
          <w:rFonts w:asciiTheme="minorHAnsi" w:eastAsiaTheme="minorEastAsia" w:hAnsiTheme="minorHAnsi" w:cstheme="minorBidi"/>
          <w:b w:val="0"/>
          <w:bCs w:val="0"/>
          <w:noProof/>
          <w:szCs w:val="22"/>
          <w:lang w:val="en-US" w:eastAsia="en-US"/>
        </w:rPr>
      </w:pPr>
      <w:hyperlink w:anchor="_Toc431917604" w:history="1">
        <w:r w:rsidR="00424BEA" w:rsidRPr="003C38FB">
          <w:rPr>
            <w:rStyle w:val="Hyperlink"/>
            <w:noProof/>
          </w:rPr>
          <w:t>E.</w:t>
        </w:r>
        <w:r w:rsidR="00424BEA">
          <w:rPr>
            <w:rFonts w:asciiTheme="minorHAnsi" w:eastAsiaTheme="minorEastAsia" w:hAnsiTheme="minorHAnsi" w:cstheme="minorBidi"/>
            <w:b w:val="0"/>
            <w:bCs w:val="0"/>
            <w:noProof/>
            <w:szCs w:val="22"/>
            <w:lang w:val="en-US" w:eastAsia="en-US"/>
          </w:rPr>
          <w:tab/>
        </w:r>
        <w:r w:rsidR="00424BEA" w:rsidRPr="003C38FB">
          <w:rPr>
            <w:rStyle w:val="Hyperlink"/>
            <w:noProof/>
          </w:rPr>
          <w:t>Estimated extent of use and financial implications</w:t>
        </w:r>
        <w:r w:rsidR="00424BEA">
          <w:rPr>
            <w:noProof/>
            <w:webHidden/>
          </w:rPr>
          <w:tab/>
        </w:r>
        <w:r w:rsidR="00424BEA">
          <w:rPr>
            <w:noProof/>
            <w:webHidden/>
          </w:rPr>
          <w:fldChar w:fldCharType="begin"/>
        </w:r>
        <w:r w:rsidR="00424BEA">
          <w:rPr>
            <w:noProof/>
            <w:webHidden/>
          </w:rPr>
          <w:instrText xml:space="preserve"> PAGEREF _Toc431917604 \h </w:instrText>
        </w:r>
        <w:r w:rsidR="00424BEA">
          <w:rPr>
            <w:noProof/>
            <w:webHidden/>
          </w:rPr>
        </w:r>
        <w:r w:rsidR="00424BEA">
          <w:rPr>
            <w:noProof/>
            <w:webHidden/>
          </w:rPr>
          <w:fldChar w:fldCharType="separate"/>
        </w:r>
        <w:r w:rsidR="00CB5BA6">
          <w:rPr>
            <w:noProof/>
            <w:webHidden/>
          </w:rPr>
          <w:t>135</w:t>
        </w:r>
        <w:r w:rsidR="00424BEA">
          <w:rPr>
            <w:noProof/>
            <w:webHidden/>
          </w:rPr>
          <w:fldChar w:fldCharType="end"/>
        </w:r>
      </w:hyperlink>
    </w:p>
    <w:p w14:paraId="0A259D6D" w14:textId="77777777" w:rsidR="00424BEA" w:rsidRDefault="009A7DB9">
      <w:pPr>
        <w:pStyle w:val="TOC2"/>
        <w:tabs>
          <w:tab w:val="left" w:pos="720"/>
          <w:tab w:val="right" w:leader="dot" w:pos="9017"/>
        </w:tabs>
        <w:rPr>
          <w:rFonts w:asciiTheme="minorHAnsi" w:eastAsiaTheme="minorEastAsia" w:hAnsiTheme="minorHAnsi" w:cstheme="minorBidi"/>
          <w:noProof/>
          <w:sz w:val="22"/>
          <w:szCs w:val="22"/>
          <w:lang w:val="en-US" w:eastAsia="en-US"/>
        </w:rPr>
      </w:pPr>
      <w:hyperlink w:anchor="_Toc431917605" w:history="1">
        <w:r w:rsidR="00424BEA" w:rsidRPr="003C38FB">
          <w:rPr>
            <w:rStyle w:val="Hyperlink"/>
            <w:noProof/>
          </w:rPr>
          <w:t>E.1</w:t>
        </w:r>
        <w:r w:rsidR="00424BEA">
          <w:rPr>
            <w:rFonts w:asciiTheme="minorHAnsi" w:eastAsiaTheme="minorEastAsia" w:hAnsiTheme="minorHAnsi" w:cstheme="minorBidi"/>
            <w:noProof/>
            <w:sz w:val="22"/>
            <w:szCs w:val="22"/>
            <w:lang w:val="en-US" w:eastAsia="en-US"/>
          </w:rPr>
          <w:tab/>
        </w:r>
        <w:r w:rsidR="00424BEA" w:rsidRPr="003C38FB">
          <w:rPr>
            <w:rStyle w:val="Hyperlink"/>
            <w:noProof/>
          </w:rPr>
          <w:t>Justification of the selection of sources of data</w:t>
        </w:r>
        <w:r w:rsidR="00424BEA">
          <w:rPr>
            <w:noProof/>
            <w:webHidden/>
          </w:rPr>
          <w:tab/>
        </w:r>
        <w:r w:rsidR="00424BEA">
          <w:rPr>
            <w:noProof/>
            <w:webHidden/>
          </w:rPr>
          <w:fldChar w:fldCharType="begin"/>
        </w:r>
        <w:r w:rsidR="00424BEA">
          <w:rPr>
            <w:noProof/>
            <w:webHidden/>
          </w:rPr>
          <w:instrText xml:space="preserve"> PAGEREF _Toc431917605 \h </w:instrText>
        </w:r>
        <w:r w:rsidR="00424BEA">
          <w:rPr>
            <w:noProof/>
            <w:webHidden/>
          </w:rPr>
        </w:r>
        <w:r w:rsidR="00424BEA">
          <w:rPr>
            <w:noProof/>
            <w:webHidden/>
          </w:rPr>
          <w:fldChar w:fldCharType="separate"/>
        </w:r>
        <w:r w:rsidR="00CB5BA6">
          <w:rPr>
            <w:noProof/>
            <w:webHidden/>
          </w:rPr>
          <w:t>136</w:t>
        </w:r>
        <w:r w:rsidR="00424BEA">
          <w:rPr>
            <w:noProof/>
            <w:webHidden/>
          </w:rPr>
          <w:fldChar w:fldCharType="end"/>
        </w:r>
      </w:hyperlink>
    </w:p>
    <w:p w14:paraId="60150D5A" w14:textId="77777777" w:rsidR="00424BEA" w:rsidRDefault="009A7DB9">
      <w:pPr>
        <w:pStyle w:val="TOC3"/>
        <w:tabs>
          <w:tab w:val="left" w:pos="1162"/>
          <w:tab w:val="right" w:leader="dot" w:pos="9017"/>
        </w:tabs>
        <w:rPr>
          <w:rFonts w:asciiTheme="minorHAnsi" w:eastAsiaTheme="minorEastAsia" w:hAnsiTheme="minorHAnsi" w:cstheme="minorBidi"/>
          <w:iCs w:val="0"/>
          <w:noProof/>
          <w:sz w:val="22"/>
          <w:szCs w:val="22"/>
          <w:lang w:val="en-US" w:eastAsia="en-US"/>
        </w:rPr>
      </w:pPr>
      <w:hyperlink w:anchor="_Toc431917606" w:history="1">
        <w:r w:rsidR="00424BEA" w:rsidRPr="003C38FB">
          <w:rPr>
            <w:rStyle w:val="Hyperlink"/>
            <w:noProof/>
          </w:rPr>
          <w:t>E.1.1</w:t>
        </w:r>
        <w:r w:rsidR="00424BEA">
          <w:rPr>
            <w:rFonts w:asciiTheme="minorHAnsi" w:eastAsiaTheme="minorEastAsia" w:hAnsiTheme="minorHAnsi" w:cstheme="minorBidi"/>
            <w:iCs w:val="0"/>
            <w:noProof/>
            <w:sz w:val="22"/>
            <w:szCs w:val="22"/>
            <w:lang w:val="en-US" w:eastAsia="en-US"/>
          </w:rPr>
          <w:tab/>
        </w:r>
        <w:r w:rsidR="00424BEA" w:rsidRPr="003C38FB">
          <w:rPr>
            <w:rStyle w:val="Hyperlink"/>
            <w:noProof/>
          </w:rPr>
          <w:t>Prevalence of hearing loss in Australia according to DAP</w:t>
        </w:r>
        <w:r w:rsidR="00424BEA">
          <w:rPr>
            <w:noProof/>
            <w:webHidden/>
          </w:rPr>
          <w:tab/>
        </w:r>
        <w:r w:rsidR="00424BEA">
          <w:rPr>
            <w:noProof/>
            <w:webHidden/>
          </w:rPr>
          <w:fldChar w:fldCharType="begin"/>
        </w:r>
        <w:r w:rsidR="00424BEA">
          <w:rPr>
            <w:noProof/>
            <w:webHidden/>
          </w:rPr>
          <w:instrText xml:space="preserve"> PAGEREF _Toc431917606 \h </w:instrText>
        </w:r>
        <w:r w:rsidR="00424BEA">
          <w:rPr>
            <w:noProof/>
            <w:webHidden/>
          </w:rPr>
        </w:r>
        <w:r w:rsidR="00424BEA">
          <w:rPr>
            <w:noProof/>
            <w:webHidden/>
          </w:rPr>
          <w:fldChar w:fldCharType="separate"/>
        </w:r>
        <w:r w:rsidR="00CB5BA6">
          <w:rPr>
            <w:noProof/>
            <w:webHidden/>
          </w:rPr>
          <w:t>136</w:t>
        </w:r>
        <w:r w:rsidR="00424BEA">
          <w:rPr>
            <w:noProof/>
            <w:webHidden/>
          </w:rPr>
          <w:fldChar w:fldCharType="end"/>
        </w:r>
      </w:hyperlink>
    </w:p>
    <w:p w14:paraId="22AE1CB9" w14:textId="77777777" w:rsidR="00424BEA" w:rsidRDefault="009A7DB9">
      <w:pPr>
        <w:pStyle w:val="TOC3"/>
        <w:tabs>
          <w:tab w:val="left" w:pos="1162"/>
          <w:tab w:val="right" w:leader="dot" w:pos="9017"/>
        </w:tabs>
        <w:rPr>
          <w:rFonts w:asciiTheme="minorHAnsi" w:eastAsiaTheme="minorEastAsia" w:hAnsiTheme="minorHAnsi" w:cstheme="minorBidi"/>
          <w:iCs w:val="0"/>
          <w:noProof/>
          <w:sz w:val="22"/>
          <w:szCs w:val="22"/>
          <w:lang w:val="en-US" w:eastAsia="en-US"/>
        </w:rPr>
      </w:pPr>
      <w:hyperlink w:anchor="_Toc431917607" w:history="1">
        <w:r w:rsidR="00424BEA" w:rsidRPr="003C38FB">
          <w:rPr>
            <w:rStyle w:val="Hyperlink"/>
            <w:noProof/>
          </w:rPr>
          <w:t>E.1.2</w:t>
        </w:r>
        <w:r w:rsidR="00424BEA">
          <w:rPr>
            <w:rFonts w:asciiTheme="minorHAnsi" w:eastAsiaTheme="minorEastAsia" w:hAnsiTheme="minorHAnsi" w:cstheme="minorBidi"/>
            <w:iCs w:val="0"/>
            <w:noProof/>
            <w:sz w:val="22"/>
            <w:szCs w:val="22"/>
            <w:lang w:val="en-US" w:eastAsia="en-US"/>
          </w:rPr>
          <w:tab/>
        </w:r>
        <w:r w:rsidR="00424BEA" w:rsidRPr="003C38FB">
          <w:rPr>
            <w:rStyle w:val="Hyperlink"/>
            <w:noProof/>
          </w:rPr>
          <w:t>Prevalence of hearing loss according to the application</w:t>
        </w:r>
        <w:r w:rsidR="00424BEA">
          <w:rPr>
            <w:noProof/>
            <w:webHidden/>
          </w:rPr>
          <w:tab/>
        </w:r>
        <w:r w:rsidR="00424BEA">
          <w:rPr>
            <w:noProof/>
            <w:webHidden/>
          </w:rPr>
          <w:fldChar w:fldCharType="begin"/>
        </w:r>
        <w:r w:rsidR="00424BEA">
          <w:rPr>
            <w:noProof/>
            <w:webHidden/>
          </w:rPr>
          <w:instrText xml:space="preserve"> PAGEREF _Toc431917607 \h </w:instrText>
        </w:r>
        <w:r w:rsidR="00424BEA">
          <w:rPr>
            <w:noProof/>
            <w:webHidden/>
          </w:rPr>
        </w:r>
        <w:r w:rsidR="00424BEA">
          <w:rPr>
            <w:noProof/>
            <w:webHidden/>
          </w:rPr>
          <w:fldChar w:fldCharType="separate"/>
        </w:r>
        <w:r w:rsidR="00CB5BA6">
          <w:rPr>
            <w:noProof/>
            <w:webHidden/>
          </w:rPr>
          <w:t>138</w:t>
        </w:r>
        <w:r w:rsidR="00424BEA">
          <w:rPr>
            <w:noProof/>
            <w:webHidden/>
          </w:rPr>
          <w:fldChar w:fldCharType="end"/>
        </w:r>
      </w:hyperlink>
    </w:p>
    <w:p w14:paraId="0C90B5AF" w14:textId="77777777" w:rsidR="00424BEA" w:rsidRDefault="009A7DB9">
      <w:pPr>
        <w:pStyle w:val="TOC2"/>
        <w:tabs>
          <w:tab w:val="left" w:pos="720"/>
          <w:tab w:val="right" w:leader="dot" w:pos="9017"/>
        </w:tabs>
        <w:rPr>
          <w:rFonts w:asciiTheme="minorHAnsi" w:eastAsiaTheme="minorEastAsia" w:hAnsiTheme="minorHAnsi" w:cstheme="minorBidi"/>
          <w:noProof/>
          <w:sz w:val="22"/>
          <w:szCs w:val="22"/>
          <w:lang w:val="en-US" w:eastAsia="en-US"/>
        </w:rPr>
      </w:pPr>
      <w:hyperlink w:anchor="_Toc431917608" w:history="1">
        <w:r w:rsidR="00424BEA" w:rsidRPr="003C38FB">
          <w:rPr>
            <w:rStyle w:val="Hyperlink"/>
            <w:noProof/>
          </w:rPr>
          <w:t>E.2</w:t>
        </w:r>
        <w:r w:rsidR="00424BEA">
          <w:rPr>
            <w:rFonts w:asciiTheme="minorHAnsi" w:eastAsiaTheme="minorEastAsia" w:hAnsiTheme="minorHAnsi" w:cstheme="minorBidi"/>
            <w:noProof/>
            <w:sz w:val="22"/>
            <w:szCs w:val="22"/>
            <w:lang w:val="en-US" w:eastAsia="en-US"/>
          </w:rPr>
          <w:tab/>
        </w:r>
        <w:r w:rsidR="00424BEA" w:rsidRPr="003C38FB">
          <w:rPr>
            <w:rStyle w:val="Hyperlink"/>
            <w:noProof/>
          </w:rPr>
          <w:t>Estimation of use and costs of the proposed listing</w:t>
        </w:r>
        <w:r w:rsidR="00424BEA">
          <w:rPr>
            <w:noProof/>
            <w:webHidden/>
          </w:rPr>
          <w:tab/>
        </w:r>
        <w:r w:rsidR="00424BEA">
          <w:rPr>
            <w:noProof/>
            <w:webHidden/>
          </w:rPr>
          <w:fldChar w:fldCharType="begin"/>
        </w:r>
        <w:r w:rsidR="00424BEA">
          <w:rPr>
            <w:noProof/>
            <w:webHidden/>
          </w:rPr>
          <w:instrText xml:space="preserve"> PAGEREF _Toc431917608 \h </w:instrText>
        </w:r>
        <w:r w:rsidR="00424BEA">
          <w:rPr>
            <w:noProof/>
            <w:webHidden/>
          </w:rPr>
        </w:r>
        <w:r w:rsidR="00424BEA">
          <w:rPr>
            <w:noProof/>
            <w:webHidden/>
          </w:rPr>
          <w:fldChar w:fldCharType="separate"/>
        </w:r>
        <w:r w:rsidR="00CB5BA6">
          <w:rPr>
            <w:noProof/>
            <w:webHidden/>
          </w:rPr>
          <w:t>139</w:t>
        </w:r>
        <w:r w:rsidR="00424BEA">
          <w:rPr>
            <w:noProof/>
            <w:webHidden/>
          </w:rPr>
          <w:fldChar w:fldCharType="end"/>
        </w:r>
      </w:hyperlink>
    </w:p>
    <w:p w14:paraId="2696B133" w14:textId="77777777" w:rsidR="00424BEA" w:rsidRDefault="009A7DB9">
      <w:pPr>
        <w:pStyle w:val="TOC3"/>
        <w:tabs>
          <w:tab w:val="left" w:pos="1162"/>
          <w:tab w:val="right" w:leader="dot" w:pos="9017"/>
        </w:tabs>
        <w:rPr>
          <w:rFonts w:asciiTheme="minorHAnsi" w:eastAsiaTheme="minorEastAsia" w:hAnsiTheme="minorHAnsi" w:cstheme="minorBidi"/>
          <w:iCs w:val="0"/>
          <w:noProof/>
          <w:sz w:val="22"/>
          <w:szCs w:val="22"/>
          <w:lang w:val="en-US" w:eastAsia="en-US"/>
        </w:rPr>
      </w:pPr>
      <w:hyperlink w:anchor="_Toc431917609" w:history="1">
        <w:r w:rsidR="00424BEA" w:rsidRPr="003C38FB">
          <w:rPr>
            <w:rStyle w:val="Hyperlink"/>
            <w:noProof/>
          </w:rPr>
          <w:t>E.2.1</w:t>
        </w:r>
        <w:r w:rsidR="00424BEA">
          <w:rPr>
            <w:rFonts w:asciiTheme="minorHAnsi" w:eastAsiaTheme="minorEastAsia" w:hAnsiTheme="minorHAnsi" w:cstheme="minorBidi"/>
            <w:iCs w:val="0"/>
            <w:noProof/>
            <w:sz w:val="22"/>
            <w:szCs w:val="22"/>
            <w:lang w:val="en-US" w:eastAsia="en-US"/>
          </w:rPr>
          <w:tab/>
        </w:r>
        <w:r w:rsidR="00424BEA" w:rsidRPr="003C38FB">
          <w:rPr>
            <w:rStyle w:val="Hyperlink"/>
            <w:noProof/>
          </w:rPr>
          <w:t>Historical and projected use of insertion of a partially implantable MEI</w:t>
        </w:r>
        <w:r w:rsidR="00424BEA">
          <w:rPr>
            <w:noProof/>
            <w:webHidden/>
          </w:rPr>
          <w:tab/>
        </w:r>
        <w:r w:rsidR="00424BEA">
          <w:rPr>
            <w:noProof/>
            <w:webHidden/>
          </w:rPr>
          <w:fldChar w:fldCharType="begin"/>
        </w:r>
        <w:r w:rsidR="00424BEA">
          <w:rPr>
            <w:noProof/>
            <w:webHidden/>
          </w:rPr>
          <w:instrText xml:space="preserve"> PAGEREF _Toc431917609 \h </w:instrText>
        </w:r>
        <w:r w:rsidR="00424BEA">
          <w:rPr>
            <w:noProof/>
            <w:webHidden/>
          </w:rPr>
        </w:r>
        <w:r w:rsidR="00424BEA">
          <w:rPr>
            <w:noProof/>
            <w:webHidden/>
          </w:rPr>
          <w:fldChar w:fldCharType="separate"/>
        </w:r>
        <w:r w:rsidR="00CB5BA6">
          <w:rPr>
            <w:noProof/>
            <w:webHidden/>
          </w:rPr>
          <w:t>139</w:t>
        </w:r>
        <w:r w:rsidR="00424BEA">
          <w:rPr>
            <w:noProof/>
            <w:webHidden/>
          </w:rPr>
          <w:fldChar w:fldCharType="end"/>
        </w:r>
      </w:hyperlink>
    </w:p>
    <w:p w14:paraId="7E18B4F6" w14:textId="77777777" w:rsidR="00424BEA" w:rsidRDefault="009A7DB9">
      <w:pPr>
        <w:pStyle w:val="TOC3"/>
        <w:tabs>
          <w:tab w:val="left" w:pos="1162"/>
          <w:tab w:val="right" w:leader="dot" w:pos="9017"/>
        </w:tabs>
        <w:rPr>
          <w:rFonts w:asciiTheme="minorHAnsi" w:eastAsiaTheme="minorEastAsia" w:hAnsiTheme="minorHAnsi" w:cstheme="minorBidi"/>
          <w:iCs w:val="0"/>
          <w:noProof/>
          <w:sz w:val="22"/>
          <w:szCs w:val="22"/>
          <w:lang w:val="en-US" w:eastAsia="en-US"/>
        </w:rPr>
      </w:pPr>
      <w:hyperlink w:anchor="_Toc431917610" w:history="1">
        <w:r w:rsidR="00424BEA" w:rsidRPr="003C38FB">
          <w:rPr>
            <w:rStyle w:val="Hyperlink"/>
            <w:noProof/>
          </w:rPr>
          <w:t>E.2.2</w:t>
        </w:r>
        <w:r w:rsidR="00424BEA">
          <w:rPr>
            <w:rFonts w:asciiTheme="minorHAnsi" w:eastAsiaTheme="minorEastAsia" w:hAnsiTheme="minorHAnsi" w:cstheme="minorBidi"/>
            <w:iCs w:val="0"/>
            <w:noProof/>
            <w:sz w:val="22"/>
            <w:szCs w:val="22"/>
            <w:lang w:val="en-US" w:eastAsia="en-US"/>
          </w:rPr>
          <w:tab/>
        </w:r>
        <w:r w:rsidR="00424BEA" w:rsidRPr="003C38FB">
          <w:rPr>
            <w:rStyle w:val="Hyperlink"/>
            <w:noProof/>
          </w:rPr>
          <w:t>Estimated costs of insertion of partially implantable MEIs on the MBS</w:t>
        </w:r>
        <w:r w:rsidR="00424BEA">
          <w:rPr>
            <w:noProof/>
            <w:webHidden/>
          </w:rPr>
          <w:tab/>
        </w:r>
        <w:r w:rsidR="00424BEA">
          <w:rPr>
            <w:noProof/>
            <w:webHidden/>
          </w:rPr>
          <w:fldChar w:fldCharType="begin"/>
        </w:r>
        <w:r w:rsidR="00424BEA">
          <w:rPr>
            <w:noProof/>
            <w:webHidden/>
          </w:rPr>
          <w:instrText xml:space="preserve"> PAGEREF _Toc431917610 \h </w:instrText>
        </w:r>
        <w:r w:rsidR="00424BEA">
          <w:rPr>
            <w:noProof/>
            <w:webHidden/>
          </w:rPr>
        </w:r>
        <w:r w:rsidR="00424BEA">
          <w:rPr>
            <w:noProof/>
            <w:webHidden/>
          </w:rPr>
          <w:fldChar w:fldCharType="separate"/>
        </w:r>
        <w:r w:rsidR="00CB5BA6">
          <w:rPr>
            <w:noProof/>
            <w:webHidden/>
          </w:rPr>
          <w:t>141</w:t>
        </w:r>
        <w:r w:rsidR="00424BEA">
          <w:rPr>
            <w:noProof/>
            <w:webHidden/>
          </w:rPr>
          <w:fldChar w:fldCharType="end"/>
        </w:r>
      </w:hyperlink>
    </w:p>
    <w:p w14:paraId="14E32D7E" w14:textId="77777777" w:rsidR="00424BEA" w:rsidRDefault="009A7DB9">
      <w:pPr>
        <w:pStyle w:val="TOC2"/>
        <w:tabs>
          <w:tab w:val="left" w:pos="720"/>
          <w:tab w:val="right" w:leader="dot" w:pos="9017"/>
        </w:tabs>
        <w:rPr>
          <w:rFonts w:asciiTheme="minorHAnsi" w:eastAsiaTheme="minorEastAsia" w:hAnsiTheme="minorHAnsi" w:cstheme="minorBidi"/>
          <w:noProof/>
          <w:sz w:val="22"/>
          <w:szCs w:val="22"/>
          <w:lang w:val="en-US" w:eastAsia="en-US"/>
        </w:rPr>
      </w:pPr>
      <w:hyperlink w:anchor="_Toc431917611" w:history="1">
        <w:r w:rsidR="00424BEA" w:rsidRPr="003C38FB">
          <w:rPr>
            <w:rStyle w:val="Hyperlink"/>
            <w:noProof/>
          </w:rPr>
          <w:t>E.3</w:t>
        </w:r>
        <w:r w:rsidR="00424BEA">
          <w:rPr>
            <w:rFonts w:asciiTheme="minorHAnsi" w:eastAsiaTheme="minorEastAsia" w:hAnsiTheme="minorHAnsi" w:cstheme="minorBidi"/>
            <w:noProof/>
            <w:sz w:val="22"/>
            <w:szCs w:val="22"/>
            <w:lang w:val="en-US" w:eastAsia="en-US"/>
          </w:rPr>
          <w:tab/>
        </w:r>
        <w:r w:rsidR="00424BEA" w:rsidRPr="003C38FB">
          <w:rPr>
            <w:rStyle w:val="Hyperlink"/>
            <w:noProof/>
          </w:rPr>
          <w:t>Estimation of changes in use and cost of other medical services</w:t>
        </w:r>
        <w:r w:rsidR="00424BEA">
          <w:rPr>
            <w:noProof/>
            <w:webHidden/>
          </w:rPr>
          <w:tab/>
        </w:r>
        <w:r w:rsidR="00424BEA">
          <w:rPr>
            <w:noProof/>
            <w:webHidden/>
          </w:rPr>
          <w:fldChar w:fldCharType="begin"/>
        </w:r>
        <w:r w:rsidR="00424BEA">
          <w:rPr>
            <w:noProof/>
            <w:webHidden/>
          </w:rPr>
          <w:instrText xml:space="preserve"> PAGEREF _Toc431917611 \h </w:instrText>
        </w:r>
        <w:r w:rsidR="00424BEA">
          <w:rPr>
            <w:noProof/>
            <w:webHidden/>
          </w:rPr>
        </w:r>
        <w:r w:rsidR="00424BEA">
          <w:rPr>
            <w:noProof/>
            <w:webHidden/>
          </w:rPr>
          <w:fldChar w:fldCharType="separate"/>
        </w:r>
        <w:r w:rsidR="00CB5BA6">
          <w:rPr>
            <w:noProof/>
            <w:webHidden/>
          </w:rPr>
          <w:t>142</w:t>
        </w:r>
        <w:r w:rsidR="00424BEA">
          <w:rPr>
            <w:noProof/>
            <w:webHidden/>
          </w:rPr>
          <w:fldChar w:fldCharType="end"/>
        </w:r>
      </w:hyperlink>
    </w:p>
    <w:p w14:paraId="6A54F271" w14:textId="77777777" w:rsidR="00424BEA" w:rsidRDefault="009A7DB9">
      <w:pPr>
        <w:pStyle w:val="TOC2"/>
        <w:tabs>
          <w:tab w:val="left" w:pos="720"/>
          <w:tab w:val="right" w:leader="dot" w:pos="9017"/>
        </w:tabs>
        <w:rPr>
          <w:rFonts w:asciiTheme="minorHAnsi" w:eastAsiaTheme="minorEastAsia" w:hAnsiTheme="minorHAnsi" w:cstheme="minorBidi"/>
          <w:noProof/>
          <w:sz w:val="22"/>
          <w:szCs w:val="22"/>
          <w:lang w:val="en-US" w:eastAsia="en-US"/>
        </w:rPr>
      </w:pPr>
      <w:hyperlink w:anchor="_Toc431917612" w:history="1">
        <w:r w:rsidR="00424BEA" w:rsidRPr="003C38FB">
          <w:rPr>
            <w:rStyle w:val="Hyperlink"/>
            <w:noProof/>
          </w:rPr>
          <w:t>E.4</w:t>
        </w:r>
        <w:r w:rsidR="00424BEA">
          <w:rPr>
            <w:rFonts w:asciiTheme="minorHAnsi" w:eastAsiaTheme="minorEastAsia" w:hAnsiTheme="minorHAnsi" w:cstheme="minorBidi"/>
            <w:noProof/>
            <w:sz w:val="22"/>
            <w:szCs w:val="22"/>
            <w:lang w:val="en-US" w:eastAsia="en-US"/>
          </w:rPr>
          <w:tab/>
        </w:r>
        <w:r w:rsidR="00424BEA" w:rsidRPr="003C38FB">
          <w:rPr>
            <w:rStyle w:val="Hyperlink"/>
            <w:noProof/>
          </w:rPr>
          <w:t>Net financial implications to the MBS</w:t>
        </w:r>
        <w:r w:rsidR="00424BEA">
          <w:rPr>
            <w:noProof/>
            <w:webHidden/>
          </w:rPr>
          <w:tab/>
        </w:r>
        <w:r w:rsidR="00424BEA">
          <w:rPr>
            <w:noProof/>
            <w:webHidden/>
          </w:rPr>
          <w:fldChar w:fldCharType="begin"/>
        </w:r>
        <w:r w:rsidR="00424BEA">
          <w:rPr>
            <w:noProof/>
            <w:webHidden/>
          </w:rPr>
          <w:instrText xml:space="preserve"> PAGEREF _Toc431917612 \h </w:instrText>
        </w:r>
        <w:r w:rsidR="00424BEA">
          <w:rPr>
            <w:noProof/>
            <w:webHidden/>
          </w:rPr>
        </w:r>
        <w:r w:rsidR="00424BEA">
          <w:rPr>
            <w:noProof/>
            <w:webHidden/>
          </w:rPr>
          <w:fldChar w:fldCharType="separate"/>
        </w:r>
        <w:r w:rsidR="00CB5BA6">
          <w:rPr>
            <w:noProof/>
            <w:webHidden/>
          </w:rPr>
          <w:t>148</w:t>
        </w:r>
        <w:r w:rsidR="00424BEA">
          <w:rPr>
            <w:noProof/>
            <w:webHidden/>
          </w:rPr>
          <w:fldChar w:fldCharType="end"/>
        </w:r>
      </w:hyperlink>
    </w:p>
    <w:p w14:paraId="57E5D7AE" w14:textId="77777777" w:rsidR="00424BEA" w:rsidRDefault="009A7DB9">
      <w:pPr>
        <w:pStyle w:val="TOC2"/>
        <w:tabs>
          <w:tab w:val="left" w:pos="720"/>
          <w:tab w:val="right" w:leader="dot" w:pos="9017"/>
        </w:tabs>
        <w:rPr>
          <w:rFonts w:asciiTheme="minorHAnsi" w:eastAsiaTheme="minorEastAsia" w:hAnsiTheme="minorHAnsi" w:cstheme="minorBidi"/>
          <w:noProof/>
          <w:sz w:val="22"/>
          <w:szCs w:val="22"/>
          <w:lang w:val="en-US" w:eastAsia="en-US"/>
        </w:rPr>
      </w:pPr>
      <w:hyperlink w:anchor="_Toc431917613" w:history="1">
        <w:r w:rsidR="00424BEA" w:rsidRPr="003C38FB">
          <w:rPr>
            <w:rStyle w:val="Hyperlink"/>
            <w:noProof/>
          </w:rPr>
          <w:t>E.5</w:t>
        </w:r>
        <w:r w:rsidR="00424BEA">
          <w:rPr>
            <w:rFonts w:asciiTheme="minorHAnsi" w:eastAsiaTheme="minorEastAsia" w:hAnsiTheme="minorHAnsi" w:cstheme="minorBidi"/>
            <w:noProof/>
            <w:sz w:val="22"/>
            <w:szCs w:val="22"/>
            <w:lang w:val="en-US" w:eastAsia="en-US"/>
          </w:rPr>
          <w:tab/>
        </w:r>
        <w:r w:rsidR="00424BEA" w:rsidRPr="003C38FB">
          <w:rPr>
            <w:rStyle w:val="Hyperlink"/>
            <w:noProof/>
          </w:rPr>
          <w:t>Identification, estimation and reduction of uncertainty</w:t>
        </w:r>
        <w:r w:rsidR="00424BEA">
          <w:rPr>
            <w:noProof/>
            <w:webHidden/>
          </w:rPr>
          <w:tab/>
        </w:r>
        <w:r w:rsidR="00424BEA">
          <w:rPr>
            <w:noProof/>
            <w:webHidden/>
          </w:rPr>
          <w:fldChar w:fldCharType="begin"/>
        </w:r>
        <w:r w:rsidR="00424BEA">
          <w:rPr>
            <w:noProof/>
            <w:webHidden/>
          </w:rPr>
          <w:instrText xml:space="preserve"> PAGEREF _Toc431917613 \h </w:instrText>
        </w:r>
        <w:r w:rsidR="00424BEA">
          <w:rPr>
            <w:noProof/>
            <w:webHidden/>
          </w:rPr>
        </w:r>
        <w:r w:rsidR="00424BEA">
          <w:rPr>
            <w:noProof/>
            <w:webHidden/>
          </w:rPr>
          <w:fldChar w:fldCharType="separate"/>
        </w:r>
        <w:r w:rsidR="00CB5BA6">
          <w:rPr>
            <w:noProof/>
            <w:webHidden/>
          </w:rPr>
          <w:t>151</w:t>
        </w:r>
        <w:r w:rsidR="00424BEA">
          <w:rPr>
            <w:noProof/>
            <w:webHidden/>
          </w:rPr>
          <w:fldChar w:fldCharType="end"/>
        </w:r>
      </w:hyperlink>
    </w:p>
    <w:p w14:paraId="27900701" w14:textId="77777777" w:rsidR="00424BEA" w:rsidRDefault="009A7DB9">
      <w:pPr>
        <w:pStyle w:val="TOC3"/>
        <w:tabs>
          <w:tab w:val="left" w:pos="1162"/>
          <w:tab w:val="right" w:leader="dot" w:pos="9017"/>
        </w:tabs>
        <w:rPr>
          <w:rFonts w:asciiTheme="minorHAnsi" w:eastAsiaTheme="minorEastAsia" w:hAnsiTheme="minorHAnsi" w:cstheme="minorBidi"/>
          <w:iCs w:val="0"/>
          <w:noProof/>
          <w:sz w:val="22"/>
          <w:szCs w:val="22"/>
          <w:lang w:val="en-US" w:eastAsia="en-US"/>
        </w:rPr>
      </w:pPr>
      <w:hyperlink w:anchor="_Toc431917614" w:history="1">
        <w:r w:rsidR="00424BEA" w:rsidRPr="003C38FB">
          <w:rPr>
            <w:rStyle w:val="Hyperlink"/>
            <w:noProof/>
          </w:rPr>
          <w:t>E.5.1</w:t>
        </w:r>
        <w:r w:rsidR="00424BEA">
          <w:rPr>
            <w:rFonts w:asciiTheme="minorHAnsi" w:eastAsiaTheme="minorEastAsia" w:hAnsiTheme="minorHAnsi" w:cstheme="minorBidi"/>
            <w:iCs w:val="0"/>
            <w:noProof/>
            <w:sz w:val="22"/>
            <w:szCs w:val="22"/>
            <w:lang w:val="en-US" w:eastAsia="en-US"/>
          </w:rPr>
          <w:tab/>
        </w:r>
        <w:r w:rsidR="00424BEA" w:rsidRPr="003C38FB">
          <w:rPr>
            <w:rStyle w:val="Hyperlink"/>
            <w:noProof/>
          </w:rPr>
          <w:t>Deterministic Sensitivity Analysis on the proportion of candidates</w:t>
        </w:r>
        <w:r w:rsidR="00424BEA">
          <w:rPr>
            <w:noProof/>
            <w:webHidden/>
          </w:rPr>
          <w:tab/>
        </w:r>
        <w:r w:rsidR="00424BEA">
          <w:rPr>
            <w:noProof/>
            <w:webHidden/>
          </w:rPr>
          <w:fldChar w:fldCharType="begin"/>
        </w:r>
        <w:r w:rsidR="00424BEA">
          <w:rPr>
            <w:noProof/>
            <w:webHidden/>
          </w:rPr>
          <w:instrText xml:space="preserve"> PAGEREF _Toc431917614 \h </w:instrText>
        </w:r>
        <w:r w:rsidR="00424BEA">
          <w:rPr>
            <w:noProof/>
            <w:webHidden/>
          </w:rPr>
        </w:r>
        <w:r w:rsidR="00424BEA">
          <w:rPr>
            <w:noProof/>
            <w:webHidden/>
          </w:rPr>
          <w:fldChar w:fldCharType="separate"/>
        </w:r>
        <w:r w:rsidR="00CB5BA6">
          <w:rPr>
            <w:noProof/>
            <w:webHidden/>
          </w:rPr>
          <w:t>152</w:t>
        </w:r>
        <w:r w:rsidR="00424BEA">
          <w:rPr>
            <w:noProof/>
            <w:webHidden/>
          </w:rPr>
          <w:fldChar w:fldCharType="end"/>
        </w:r>
      </w:hyperlink>
    </w:p>
    <w:p w14:paraId="5B696E34" w14:textId="77777777" w:rsidR="00424BEA" w:rsidRDefault="009A7DB9">
      <w:pPr>
        <w:pStyle w:val="TOC3"/>
        <w:tabs>
          <w:tab w:val="left" w:pos="1162"/>
          <w:tab w:val="right" w:leader="dot" w:pos="9017"/>
        </w:tabs>
        <w:rPr>
          <w:rFonts w:asciiTheme="minorHAnsi" w:eastAsiaTheme="minorEastAsia" w:hAnsiTheme="minorHAnsi" w:cstheme="minorBidi"/>
          <w:iCs w:val="0"/>
          <w:noProof/>
          <w:sz w:val="22"/>
          <w:szCs w:val="22"/>
          <w:lang w:val="en-US" w:eastAsia="en-US"/>
        </w:rPr>
      </w:pPr>
      <w:hyperlink w:anchor="_Toc431917615" w:history="1">
        <w:r w:rsidR="00424BEA" w:rsidRPr="003C38FB">
          <w:rPr>
            <w:rStyle w:val="Hyperlink"/>
            <w:noProof/>
          </w:rPr>
          <w:t>E.5.2</w:t>
        </w:r>
        <w:r w:rsidR="00424BEA">
          <w:rPr>
            <w:rFonts w:asciiTheme="minorHAnsi" w:eastAsiaTheme="minorEastAsia" w:hAnsiTheme="minorHAnsi" w:cstheme="minorBidi"/>
            <w:iCs w:val="0"/>
            <w:noProof/>
            <w:sz w:val="22"/>
            <w:szCs w:val="22"/>
            <w:lang w:val="en-US" w:eastAsia="en-US"/>
          </w:rPr>
          <w:tab/>
        </w:r>
        <w:r w:rsidR="00424BEA" w:rsidRPr="003C38FB">
          <w:rPr>
            <w:rStyle w:val="Hyperlink"/>
            <w:noProof/>
          </w:rPr>
          <w:t>Deterministic Sensitivity Analysis on external ear pathologies</w:t>
        </w:r>
        <w:r w:rsidR="00424BEA">
          <w:rPr>
            <w:noProof/>
            <w:webHidden/>
          </w:rPr>
          <w:tab/>
        </w:r>
        <w:r w:rsidR="00424BEA">
          <w:rPr>
            <w:noProof/>
            <w:webHidden/>
          </w:rPr>
          <w:fldChar w:fldCharType="begin"/>
        </w:r>
        <w:r w:rsidR="00424BEA">
          <w:rPr>
            <w:noProof/>
            <w:webHidden/>
          </w:rPr>
          <w:instrText xml:space="preserve"> PAGEREF _Toc431917615 \h </w:instrText>
        </w:r>
        <w:r w:rsidR="00424BEA">
          <w:rPr>
            <w:noProof/>
            <w:webHidden/>
          </w:rPr>
        </w:r>
        <w:r w:rsidR="00424BEA">
          <w:rPr>
            <w:noProof/>
            <w:webHidden/>
          </w:rPr>
          <w:fldChar w:fldCharType="separate"/>
        </w:r>
        <w:r w:rsidR="00CB5BA6">
          <w:rPr>
            <w:noProof/>
            <w:webHidden/>
          </w:rPr>
          <w:t>157</w:t>
        </w:r>
        <w:r w:rsidR="00424BEA">
          <w:rPr>
            <w:noProof/>
            <w:webHidden/>
          </w:rPr>
          <w:fldChar w:fldCharType="end"/>
        </w:r>
      </w:hyperlink>
    </w:p>
    <w:p w14:paraId="2CB4FE4C" w14:textId="77777777" w:rsidR="009512FE" w:rsidRPr="009A1A2E" w:rsidRDefault="001C535A" w:rsidP="00213B3B">
      <w:pPr>
        <w:jc w:val="both"/>
        <w:rPr>
          <w:sz w:val="20"/>
          <w:szCs w:val="20"/>
        </w:rPr>
      </w:pPr>
      <w:r w:rsidRPr="009A1A2E">
        <w:rPr>
          <w:rFonts w:cs="Arial"/>
        </w:rPr>
        <w:fldChar w:fldCharType="end"/>
      </w:r>
    </w:p>
    <w:p w14:paraId="368C79EF" w14:textId="77777777" w:rsidR="009512FE" w:rsidRPr="009A1A2E" w:rsidRDefault="009512FE" w:rsidP="00213B3B">
      <w:pPr>
        <w:jc w:val="both"/>
      </w:pPr>
    </w:p>
    <w:p w14:paraId="462E94E0" w14:textId="77777777" w:rsidR="00FF05EE" w:rsidRPr="009A1A2E" w:rsidRDefault="00FF05EE" w:rsidP="00793BAB">
      <w:pPr>
        <w:spacing w:line="276" w:lineRule="auto"/>
        <w:jc w:val="both"/>
        <w:sectPr w:rsidR="00FF05EE" w:rsidRPr="009A1A2E" w:rsidSect="007B787E">
          <w:headerReference w:type="default" r:id="rId22"/>
          <w:footerReference w:type="default" r:id="rId23"/>
          <w:pgSz w:w="11907" w:h="16839" w:code="9"/>
          <w:pgMar w:top="1440" w:right="1440" w:bottom="1440" w:left="1440" w:header="720" w:footer="720" w:gutter="0"/>
          <w:paperSrc w:first="7" w:other="7"/>
          <w:pgNumType w:fmt="lowerRoman"/>
          <w:cols w:space="720"/>
          <w:docGrid w:linePitch="299"/>
        </w:sectPr>
      </w:pPr>
    </w:p>
    <w:p w14:paraId="0412210E" w14:textId="77777777" w:rsidR="00FF05EE" w:rsidRPr="009A1A2E" w:rsidRDefault="00844317" w:rsidP="00213B3B">
      <w:pPr>
        <w:pStyle w:val="Heading1"/>
        <w:spacing w:line="360" w:lineRule="auto"/>
        <w:jc w:val="both"/>
        <w:rPr>
          <w:lang w:val="en-AU"/>
        </w:rPr>
      </w:pPr>
      <w:bookmarkStart w:id="17" w:name="_Toc258501754"/>
      <w:bookmarkStart w:id="18" w:name="_Toc335667777"/>
      <w:bookmarkStart w:id="19" w:name="_Toc335735588"/>
      <w:bookmarkStart w:id="20" w:name="_Toc335982476"/>
      <w:bookmarkStart w:id="21" w:name="_Toc336018325"/>
      <w:bookmarkStart w:id="22" w:name="_Toc336189652"/>
      <w:bookmarkStart w:id="23" w:name="_Toc336190191"/>
      <w:bookmarkStart w:id="24" w:name="_Toc400549389"/>
      <w:bookmarkStart w:id="25" w:name="_Toc431917542"/>
      <w:r w:rsidRPr="009A1A2E">
        <w:rPr>
          <w:lang w:val="en-AU"/>
        </w:rPr>
        <w:lastRenderedPageBreak/>
        <w:t xml:space="preserve">List of </w:t>
      </w:r>
      <w:r w:rsidR="00362526" w:rsidRPr="009A1A2E">
        <w:rPr>
          <w:lang w:val="en-AU"/>
        </w:rPr>
        <w:t>T</w:t>
      </w:r>
      <w:r w:rsidR="00FF05EE" w:rsidRPr="009A1A2E">
        <w:rPr>
          <w:lang w:val="en-AU"/>
        </w:rPr>
        <w:t>ables</w:t>
      </w:r>
      <w:bookmarkEnd w:id="17"/>
      <w:bookmarkEnd w:id="18"/>
      <w:bookmarkEnd w:id="19"/>
      <w:bookmarkEnd w:id="20"/>
      <w:bookmarkEnd w:id="21"/>
      <w:bookmarkEnd w:id="22"/>
      <w:bookmarkEnd w:id="23"/>
      <w:bookmarkEnd w:id="24"/>
      <w:bookmarkEnd w:id="25"/>
    </w:p>
    <w:p w14:paraId="442C0771" w14:textId="77777777" w:rsidR="00424BEA" w:rsidRPr="00424BEA" w:rsidRDefault="00926EA9" w:rsidP="00424BEA">
      <w:pPr>
        <w:pStyle w:val="TableofFigures"/>
        <w:tabs>
          <w:tab w:val="right" w:leader="dot" w:pos="8778"/>
        </w:tabs>
        <w:spacing w:line="360" w:lineRule="auto"/>
        <w:jc w:val="both"/>
        <w:rPr>
          <w:rFonts w:ascii="Arial" w:eastAsiaTheme="minorEastAsia" w:hAnsi="Arial" w:cs="Arial"/>
          <w:b w:val="0"/>
          <w:bCs w:val="0"/>
          <w:noProof/>
          <w:sz w:val="22"/>
          <w:szCs w:val="22"/>
          <w:lang w:val="en-US" w:eastAsia="en-US"/>
        </w:rPr>
      </w:pPr>
      <w:r w:rsidRPr="00424BEA">
        <w:rPr>
          <w:rFonts w:ascii="Arial" w:hAnsi="Arial" w:cs="Arial"/>
          <w:b w:val="0"/>
          <w:sz w:val="22"/>
          <w:szCs w:val="22"/>
        </w:rPr>
        <w:fldChar w:fldCharType="begin"/>
      </w:r>
      <w:r w:rsidRPr="00424BEA">
        <w:rPr>
          <w:rFonts w:ascii="Arial" w:hAnsi="Arial" w:cs="Arial"/>
          <w:b w:val="0"/>
          <w:sz w:val="22"/>
          <w:szCs w:val="22"/>
        </w:rPr>
        <w:instrText xml:space="preserve"> TOC \h \z \c "Table" </w:instrText>
      </w:r>
      <w:r w:rsidRPr="00424BEA">
        <w:rPr>
          <w:rFonts w:ascii="Arial" w:hAnsi="Arial" w:cs="Arial"/>
          <w:b w:val="0"/>
          <w:sz w:val="22"/>
          <w:szCs w:val="22"/>
        </w:rPr>
        <w:fldChar w:fldCharType="separate"/>
      </w:r>
      <w:hyperlink w:anchor="_Toc431917461" w:history="1">
        <w:r w:rsidR="00424BEA" w:rsidRPr="00424BEA">
          <w:rPr>
            <w:rStyle w:val="Hyperlink"/>
            <w:rFonts w:ascii="Arial" w:hAnsi="Arial" w:cs="Arial"/>
            <w:noProof/>
            <w:sz w:val="22"/>
            <w:szCs w:val="22"/>
          </w:rPr>
          <w:t>Table 1 - Air conduction threshold levels for SNHL indication (CE marked countries)</w:t>
        </w:r>
        <w:r w:rsidR="00424BEA" w:rsidRPr="00424BEA">
          <w:rPr>
            <w:rFonts w:ascii="Arial" w:hAnsi="Arial" w:cs="Arial"/>
            <w:noProof/>
            <w:webHidden/>
            <w:sz w:val="22"/>
            <w:szCs w:val="22"/>
          </w:rPr>
          <w:tab/>
        </w:r>
        <w:r w:rsidR="00424BEA" w:rsidRPr="00424BEA">
          <w:rPr>
            <w:rFonts w:ascii="Arial" w:hAnsi="Arial" w:cs="Arial"/>
            <w:noProof/>
            <w:webHidden/>
            <w:sz w:val="22"/>
            <w:szCs w:val="22"/>
          </w:rPr>
          <w:fldChar w:fldCharType="begin"/>
        </w:r>
        <w:r w:rsidR="00424BEA" w:rsidRPr="00424BEA">
          <w:rPr>
            <w:rFonts w:ascii="Arial" w:hAnsi="Arial" w:cs="Arial"/>
            <w:noProof/>
            <w:webHidden/>
            <w:sz w:val="22"/>
            <w:szCs w:val="22"/>
          </w:rPr>
          <w:instrText xml:space="preserve"> PAGEREF _Toc431917461 \h </w:instrText>
        </w:r>
        <w:r w:rsidR="00424BEA" w:rsidRPr="00424BEA">
          <w:rPr>
            <w:rFonts w:ascii="Arial" w:hAnsi="Arial" w:cs="Arial"/>
            <w:noProof/>
            <w:webHidden/>
            <w:sz w:val="22"/>
            <w:szCs w:val="22"/>
          </w:rPr>
        </w:r>
        <w:r w:rsidR="00424BEA" w:rsidRPr="00424BEA">
          <w:rPr>
            <w:rFonts w:ascii="Arial" w:hAnsi="Arial" w:cs="Arial"/>
            <w:noProof/>
            <w:webHidden/>
            <w:sz w:val="22"/>
            <w:szCs w:val="22"/>
          </w:rPr>
          <w:fldChar w:fldCharType="separate"/>
        </w:r>
        <w:r w:rsidR="00424BEA" w:rsidRPr="00424BEA">
          <w:rPr>
            <w:rFonts w:ascii="Arial" w:hAnsi="Arial" w:cs="Arial"/>
            <w:noProof/>
            <w:webHidden/>
            <w:sz w:val="22"/>
            <w:szCs w:val="22"/>
          </w:rPr>
          <w:t>v</w:t>
        </w:r>
        <w:r w:rsidR="00424BEA" w:rsidRPr="00424BEA">
          <w:rPr>
            <w:rFonts w:ascii="Arial" w:hAnsi="Arial" w:cs="Arial"/>
            <w:noProof/>
            <w:webHidden/>
            <w:sz w:val="22"/>
            <w:szCs w:val="22"/>
          </w:rPr>
          <w:fldChar w:fldCharType="end"/>
        </w:r>
      </w:hyperlink>
    </w:p>
    <w:p w14:paraId="68265F6D" w14:textId="77777777" w:rsidR="00424BEA" w:rsidRPr="00424BEA" w:rsidRDefault="009A7DB9" w:rsidP="00424BEA">
      <w:pPr>
        <w:pStyle w:val="TableofFigures"/>
        <w:tabs>
          <w:tab w:val="right" w:leader="dot" w:pos="8778"/>
        </w:tabs>
        <w:spacing w:line="360" w:lineRule="auto"/>
        <w:jc w:val="both"/>
        <w:rPr>
          <w:rFonts w:ascii="Arial" w:eastAsiaTheme="minorEastAsia" w:hAnsi="Arial" w:cs="Arial"/>
          <w:b w:val="0"/>
          <w:bCs w:val="0"/>
          <w:noProof/>
          <w:sz w:val="22"/>
          <w:szCs w:val="22"/>
          <w:lang w:val="en-US" w:eastAsia="en-US"/>
        </w:rPr>
      </w:pPr>
      <w:hyperlink w:anchor="_Toc431917462" w:history="1">
        <w:r w:rsidR="00424BEA" w:rsidRPr="00424BEA">
          <w:rPr>
            <w:rStyle w:val="Hyperlink"/>
            <w:rFonts w:ascii="Arial" w:hAnsi="Arial" w:cs="Arial"/>
            <w:noProof/>
            <w:sz w:val="22"/>
            <w:szCs w:val="22"/>
          </w:rPr>
          <w:t>Table 2 - Non-randomised studies assessing the safety and efficacy of middle ear implants</w:t>
        </w:r>
        <w:r w:rsidR="00424BEA" w:rsidRPr="00424BEA">
          <w:rPr>
            <w:rFonts w:ascii="Arial" w:hAnsi="Arial" w:cs="Arial"/>
            <w:noProof/>
            <w:webHidden/>
            <w:sz w:val="22"/>
            <w:szCs w:val="22"/>
          </w:rPr>
          <w:tab/>
        </w:r>
        <w:r w:rsidR="00424BEA" w:rsidRPr="00424BEA">
          <w:rPr>
            <w:rFonts w:ascii="Arial" w:hAnsi="Arial" w:cs="Arial"/>
            <w:noProof/>
            <w:webHidden/>
            <w:sz w:val="22"/>
            <w:szCs w:val="22"/>
          </w:rPr>
          <w:fldChar w:fldCharType="begin"/>
        </w:r>
        <w:r w:rsidR="00424BEA" w:rsidRPr="00424BEA">
          <w:rPr>
            <w:rFonts w:ascii="Arial" w:hAnsi="Arial" w:cs="Arial"/>
            <w:noProof/>
            <w:webHidden/>
            <w:sz w:val="22"/>
            <w:szCs w:val="22"/>
          </w:rPr>
          <w:instrText xml:space="preserve"> PAGEREF _Toc431917462 \h </w:instrText>
        </w:r>
        <w:r w:rsidR="00424BEA" w:rsidRPr="00424BEA">
          <w:rPr>
            <w:rFonts w:ascii="Arial" w:hAnsi="Arial" w:cs="Arial"/>
            <w:noProof/>
            <w:webHidden/>
            <w:sz w:val="22"/>
            <w:szCs w:val="22"/>
          </w:rPr>
        </w:r>
        <w:r w:rsidR="00424BEA" w:rsidRPr="00424BEA">
          <w:rPr>
            <w:rFonts w:ascii="Arial" w:hAnsi="Arial" w:cs="Arial"/>
            <w:noProof/>
            <w:webHidden/>
            <w:sz w:val="22"/>
            <w:szCs w:val="22"/>
          </w:rPr>
          <w:fldChar w:fldCharType="separate"/>
        </w:r>
        <w:r w:rsidR="00424BEA" w:rsidRPr="00424BEA">
          <w:rPr>
            <w:rFonts w:ascii="Arial" w:hAnsi="Arial" w:cs="Arial"/>
            <w:noProof/>
            <w:webHidden/>
            <w:sz w:val="22"/>
            <w:szCs w:val="22"/>
          </w:rPr>
          <w:t>ix</w:t>
        </w:r>
        <w:r w:rsidR="00424BEA" w:rsidRPr="00424BEA">
          <w:rPr>
            <w:rFonts w:ascii="Arial" w:hAnsi="Arial" w:cs="Arial"/>
            <w:noProof/>
            <w:webHidden/>
            <w:sz w:val="22"/>
            <w:szCs w:val="22"/>
          </w:rPr>
          <w:fldChar w:fldCharType="end"/>
        </w:r>
      </w:hyperlink>
    </w:p>
    <w:p w14:paraId="2327CF96" w14:textId="77777777" w:rsidR="00424BEA" w:rsidRPr="00424BEA" w:rsidRDefault="009A7DB9" w:rsidP="00424BEA">
      <w:pPr>
        <w:pStyle w:val="TableofFigures"/>
        <w:tabs>
          <w:tab w:val="right" w:leader="dot" w:pos="8778"/>
        </w:tabs>
        <w:spacing w:line="360" w:lineRule="auto"/>
        <w:jc w:val="both"/>
        <w:rPr>
          <w:rFonts w:ascii="Arial" w:eastAsiaTheme="minorEastAsia" w:hAnsi="Arial" w:cs="Arial"/>
          <w:b w:val="0"/>
          <w:bCs w:val="0"/>
          <w:noProof/>
          <w:sz w:val="22"/>
          <w:szCs w:val="22"/>
          <w:lang w:val="en-US" w:eastAsia="en-US"/>
        </w:rPr>
      </w:pPr>
      <w:hyperlink w:anchor="_Toc431917463" w:history="1">
        <w:r w:rsidR="00424BEA" w:rsidRPr="00424BEA">
          <w:rPr>
            <w:rStyle w:val="Hyperlink"/>
            <w:rFonts w:ascii="Arial" w:hAnsi="Arial" w:cs="Arial"/>
            <w:noProof/>
            <w:sz w:val="22"/>
            <w:szCs w:val="22"/>
          </w:rPr>
          <w:t>Table 3 - Air conduction threshold levels for SNHL indication (CE marked countries)</w:t>
        </w:r>
        <w:r w:rsidR="00424BEA" w:rsidRPr="00424BEA">
          <w:rPr>
            <w:rFonts w:ascii="Arial" w:hAnsi="Arial" w:cs="Arial"/>
            <w:noProof/>
            <w:webHidden/>
            <w:sz w:val="22"/>
            <w:szCs w:val="22"/>
          </w:rPr>
          <w:tab/>
        </w:r>
        <w:r w:rsidR="00424BEA" w:rsidRPr="00424BEA">
          <w:rPr>
            <w:rFonts w:ascii="Arial" w:hAnsi="Arial" w:cs="Arial"/>
            <w:noProof/>
            <w:webHidden/>
            <w:sz w:val="22"/>
            <w:szCs w:val="22"/>
          </w:rPr>
          <w:fldChar w:fldCharType="begin"/>
        </w:r>
        <w:r w:rsidR="00424BEA" w:rsidRPr="00424BEA">
          <w:rPr>
            <w:rFonts w:ascii="Arial" w:hAnsi="Arial" w:cs="Arial"/>
            <w:noProof/>
            <w:webHidden/>
            <w:sz w:val="22"/>
            <w:szCs w:val="22"/>
          </w:rPr>
          <w:instrText xml:space="preserve"> PAGEREF _Toc431917463 \h </w:instrText>
        </w:r>
        <w:r w:rsidR="00424BEA" w:rsidRPr="00424BEA">
          <w:rPr>
            <w:rFonts w:ascii="Arial" w:hAnsi="Arial" w:cs="Arial"/>
            <w:noProof/>
            <w:webHidden/>
            <w:sz w:val="22"/>
            <w:szCs w:val="22"/>
          </w:rPr>
        </w:r>
        <w:r w:rsidR="00424BEA" w:rsidRPr="00424BEA">
          <w:rPr>
            <w:rFonts w:ascii="Arial" w:hAnsi="Arial" w:cs="Arial"/>
            <w:noProof/>
            <w:webHidden/>
            <w:sz w:val="22"/>
            <w:szCs w:val="22"/>
          </w:rPr>
          <w:fldChar w:fldCharType="separate"/>
        </w:r>
        <w:r w:rsidR="00424BEA" w:rsidRPr="00424BEA">
          <w:rPr>
            <w:rFonts w:ascii="Arial" w:hAnsi="Arial" w:cs="Arial"/>
            <w:noProof/>
            <w:webHidden/>
            <w:sz w:val="22"/>
            <w:szCs w:val="22"/>
          </w:rPr>
          <w:t>14</w:t>
        </w:r>
        <w:r w:rsidR="00424BEA" w:rsidRPr="00424BEA">
          <w:rPr>
            <w:rFonts w:ascii="Arial" w:hAnsi="Arial" w:cs="Arial"/>
            <w:noProof/>
            <w:webHidden/>
            <w:sz w:val="22"/>
            <w:szCs w:val="22"/>
          </w:rPr>
          <w:fldChar w:fldCharType="end"/>
        </w:r>
      </w:hyperlink>
    </w:p>
    <w:p w14:paraId="4953720D" w14:textId="77777777" w:rsidR="00424BEA" w:rsidRPr="00424BEA" w:rsidRDefault="009A7DB9" w:rsidP="00424BEA">
      <w:pPr>
        <w:pStyle w:val="TableofFigures"/>
        <w:tabs>
          <w:tab w:val="right" w:leader="dot" w:pos="8778"/>
        </w:tabs>
        <w:spacing w:line="360" w:lineRule="auto"/>
        <w:jc w:val="both"/>
        <w:rPr>
          <w:rFonts w:ascii="Arial" w:eastAsiaTheme="minorEastAsia" w:hAnsi="Arial" w:cs="Arial"/>
          <w:b w:val="0"/>
          <w:bCs w:val="0"/>
          <w:noProof/>
          <w:sz w:val="22"/>
          <w:szCs w:val="22"/>
          <w:lang w:val="en-US" w:eastAsia="en-US"/>
        </w:rPr>
      </w:pPr>
      <w:hyperlink w:anchor="_Toc431917464" w:history="1">
        <w:r w:rsidR="00424BEA" w:rsidRPr="00424BEA">
          <w:rPr>
            <w:rStyle w:val="Hyperlink"/>
            <w:rFonts w:ascii="Arial" w:hAnsi="Arial" w:cs="Arial"/>
            <w:noProof/>
            <w:sz w:val="22"/>
            <w:szCs w:val="22"/>
          </w:rPr>
          <w:t>Table 4 - Prevalence of hearing loss in selected European countries</w:t>
        </w:r>
        <w:r w:rsidR="00424BEA" w:rsidRPr="00424BEA">
          <w:rPr>
            <w:rFonts w:ascii="Arial" w:hAnsi="Arial" w:cs="Arial"/>
            <w:noProof/>
            <w:webHidden/>
            <w:sz w:val="22"/>
            <w:szCs w:val="22"/>
          </w:rPr>
          <w:tab/>
        </w:r>
        <w:r w:rsidR="00424BEA" w:rsidRPr="00424BEA">
          <w:rPr>
            <w:rFonts w:ascii="Arial" w:hAnsi="Arial" w:cs="Arial"/>
            <w:noProof/>
            <w:webHidden/>
            <w:sz w:val="22"/>
            <w:szCs w:val="22"/>
          </w:rPr>
          <w:fldChar w:fldCharType="begin"/>
        </w:r>
        <w:r w:rsidR="00424BEA" w:rsidRPr="00424BEA">
          <w:rPr>
            <w:rFonts w:ascii="Arial" w:hAnsi="Arial" w:cs="Arial"/>
            <w:noProof/>
            <w:webHidden/>
            <w:sz w:val="22"/>
            <w:szCs w:val="22"/>
          </w:rPr>
          <w:instrText xml:space="preserve"> PAGEREF _Toc431917464 \h </w:instrText>
        </w:r>
        <w:r w:rsidR="00424BEA" w:rsidRPr="00424BEA">
          <w:rPr>
            <w:rFonts w:ascii="Arial" w:hAnsi="Arial" w:cs="Arial"/>
            <w:noProof/>
            <w:webHidden/>
            <w:sz w:val="22"/>
            <w:szCs w:val="22"/>
          </w:rPr>
        </w:r>
        <w:r w:rsidR="00424BEA" w:rsidRPr="00424BEA">
          <w:rPr>
            <w:rFonts w:ascii="Arial" w:hAnsi="Arial" w:cs="Arial"/>
            <w:noProof/>
            <w:webHidden/>
            <w:sz w:val="22"/>
            <w:szCs w:val="22"/>
          </w:rPr>
          <w:fldChar w:fldCharType="separate"/>
        </w:r>
        <w:r w:rsidR="00424BEA" w:rsidRPr="00424BEA">
          <w:rPr>
            <w:rFonts w:ascii="Arial" w:hAnsi="Arial" w:cs="Arial"/>
            <w:noProof/>
            <w:webHidden/>
            <w:sz w:val="22"/>
            <w:szCs w:val="22"/>
          </w:rPr>
          <w:t>15</w:t>
        </w:r>
        <w:r w:rsidR="00424BEA" w:rsidRPr="00424BEA">
          <w:rPr>
            <w:rFonts w:ascii="Arial" w:hAnsi="Arial" w:cs="Arial"/>
            <w:noProof/>
            <w:webHidden/>
            <w:sz w:val="22"/>
            <w:szCs w:val="22"/>
          </w:rPr>
          <w:fldChar w:fldCharType="end"/>
        </w:r>
      </w:hyperlink>
    </w:p>
    <w:p w14:paraId="214B3E48" w14:textId="77777777" w:rsidR="00424BEA" w:rsidRPr="00424BEA" w:rsidRDefault="009A7DB9" w:rsidP="00424BEA">
      <w:pPr>
        <w:pStyle w:val="TableofFigures"/>
        <w:tabs>
          <w:tab w:val="right" w:leader="dot" w:pos="8778"/>
        </w:tabs>
        <w:spacing w:line="360" w:lineRule="auto"/>
        <w:jc w:val="both"/>
        <w:rPr>
          <w:rFonts w:ascii="Arial" w:eastAsiaTheme="minorEastAsia" w:hAnsi="Arial" w:cs="Arial"/>
          <w:b w:val="0"/>
          <w:bCs w:val="0"/>
          <w:noProof/>
          <w:sz w:val="22"/>
          <w:szCs w:val="22"/>
          <w:lang w:val="en-US" w:eastAsia="en-US"/>
        </w:rPr>
      </w:pPr>
      <w:hyperlink w:anchor="_Toc431917465" w:history="1">
        <w:r w:rsidR="00424BEA" w:rsidRPr="00424BEA">
          <w:rPr>
            <w:rStyle w:val="Hyperlink"/>
            <w:rFonts w:ascii="Arial" w:hAnsi="Arial" w:cs="Arial"/>
            <w:noProof/>
            <w:sz w:val="22"/>
            <w:szCs w:val="22"/>
          </w:rPr>
          <w:t>Table 5 - MEI components listed on the ARTG</w:t>
        </w:r>
        <w:r w:rsidR="00424BEA" w:rsidRPr="00424BEA">
          <w:rPr>
            <w:rFonts w:ascii="Arial" w:hAnsi="Arial" w:cs="Arial"/>
            <w:noProof/>
            <w:webHidden/>
            <w:sz w:val="22"/>
            <w:szCs w:val="22"/>
          </w:rPr>
          <w:tab/>
        </w:r>
        <w:r w:rsidR="00424BEA" w:rsidRPr="00424BEA">
          <w:rPr>
            <w:rFonts w:ascii="Arial" w:hAnsi="Arial" w:cs="Arial"/>
            <w:noProof/>
            <w:webHidden/>
            <w:sz w:val="22"/>
            <w:szCs w:val="22"/>
          </w:rPr>
          <w:fldChar w:fldCharType="begin"/>
        </w:r>
        <w:r w:rsidR="00424BEA" w:rsidRPr="00424BEA">
          <w:rPr>
            <w:rFonts w:ascii="Arial" w:hAnsi="Arial" w:cs="Arial"/>
            <w:noProof/>
            <w:webHidden/>
            <w:sz w:val="22"/>
            <w:szCs w:val="22"/>
          </w:rPr>
          <w:instrText xml:space="preserve"> PAGEREF _Toc431917465 \h </w:instrText>
        </w:r>
        <w:r w:rsidR="00424BEA" w:rsidRPr="00424BEA">
          <w:rPr>
            <w:rFonts w:ascii="Arial" w:hAnsi="Arial" w:cs="Arial"/>
            <w:noProof/>
            <w:webHidden/>
            <w:sz w:val="22"/>
            <w:szCs w:val="22"/>
          </w:rPr>
        </w:r>
        <w:r w:rsidR="00424BEA" w:rsidRPr="00424BEA">
          <w:rPr>
            <w:rFonts w:ascii="Arial" w:hAnsi="Arial" w:cs="Arial"/>
            <w:noProof/>
            <w:webHidden/>
            <w:sz w:val="22"/>
            <w:szCs w:val="22"/>
          </w:rPr>
          <w:fldChar w:fldCharType="separate"/>
        </w:r>
        <w:r w:rsidR="00424BEA" w:rsidRPr="00424BEA">
          <w:rPr>
            <w:rFonts w:ascii="Arial" w:hAnsi="Arial" w:cs="Arial"/>
            <w:noProof/>
            <w:webHidden/>
            <w:sz w:val="22"/>
            <w:szCs w:val="22"/>
          </w:rPr>
          <w:t>21</w:t>
        </w:r>
        <w:r w:rsidR="00424BEA" w:rsidRPr="00424BEA">
          <w:rPr>
            <w:rFonts w:ascii="Arial" w:hAnsi="Arial" w:cs="Arial"/>
            <w:noProof/>
            <w:webHidden/>
            <w:sz w:val="22"/>
            <w:szCs w:val="22"/>
          </w:rPr>
          <w:fldChar w:fldCharType="end"/>
        </w:r>
      </w:hyperlink>
    </w:p>
    <w:p w14:paraId="5EA116AA" w14:textId="77777777" w:rsidR="00424BEA" w:rsidRPr="00424BEA" w:rsidRDefault="009A7DB9" w:rsidP="00424BEA">
      <w:pPr>
        <w:pStyle w:val="TableofFigures"/>
        <w:tabs>
          <w:tab w:val="right" w:leader="dot" w:pos="8778"/>
        </w:tabs>
        <w:spacing w:line="360" w:lineRule="auto"/>
        <w:jc w:val="both"/>
        <w:rPr>
          <w:rFonts w:ascii="Arial" w:eastAsiaTheme="minorEastAsia" w:hAnsi="Arial" w:cs="Arial"/>
          <w:b w:val="0"/>
          <w:bCs w:val="0"/>
          <w:noProof/>
          <w:sz w:val="22"/>
          <w:szCs w:val="22"/>
          <w:lang w:val="en-US" w:eastAsia="en-US"/>
        </w:rPr>
      </w:pPr>
      <w:hyperlink w:anchor="_Toc431917466" w:history="1">
        <w:r w:rsidR="00424BEA" w:rsidRPr="00424BEA">
          <w:rPr>
            <w:rStyle w:val="Hyperlink"/>
            <w:rFonts w:ascii="Arial" w:hAnsi="Arial" w:cs="Arial"/>
            <w:noProof/>
            <w:sz w:val="22"/>
            <w:szCs w:val="22"/>
          </w:rPr>
          <w:t>Table 6 - Air conduction threshold levels for SNHL indication (CE marked countries)</w:t>
        </w:r>
        <w:r w:rsidR="00424BEA" w:rsidRPr="00424BEA">
          <w:rPr>
            <w:rFonts w:ascii="Arial" w:hAnsi="Arial" w:cs="Arial"/>
            <w:noProof/>
            <w:webHidden/>
            <w:sz w:val="22"/>
            <w:szCs w:val="22"/>
          </w:rPr>
          <w:tab/>
        </w:r>
        <w:r w:rsidR="00424BEA" w:rsidRPr="00424BEA">
          <w:rPr>
            <w:rFonts w:ascii="Arial" w:hAnsi="Arial" w:cs="Arial"/>
            <w:noProof/>
            <w:webHidden/>
            <w:sz w:val="22"/>
            <w:szCs w:val="22"/>
          </w:rPr>
          <w:fldChar w:fldCharType="begin"/>
        </w:r>
        <w:r w:rsidR="00424BEA" w:rsidRPr="00424BEA">
          <w:rPr>
            <w:rFonts w:ascii="Arial" w:hAnsi="Arial" w:cs="Arial"/>
            <w:noProof/>
            <w:webHidden/>
            <w:sz w:val="22"/>
            <w:szCs w:val="22"/>
          </w:rPr>
          <w:instrText xml:space="preserve"> PAGEREF _Toc431917466 \h </w:instrText>
        </w:r>
        <w:r w:rsidR="00424BEA" w:rsidRPr="00424BEA">
          <w:rPr>
            <w:rFonts w:ascii="Arial" w:hAnsi="Arial" w:cs="Arial"/>
            <w:noProof/>
            <w:webHidden/>
            <w:sz w:val="22"/>
            <w:szCs w:val="22"/>
          </w:rPr>
        </w:r>
        <w:r w:rsidR="00424BEA" w:rsidRPr="00424BEA">
          <w:rPr>
            <w:rFonts w:ascii="Arial" w:hAnsi="Arial" w:cs="Arial"/>
            <w:noProof/>
            <w:webHidden/>
            <w:sz w:val="22"/>
            <w:szCs w:val="22"/>
          </w:rPr>
          <w:fldChar w:fldCharType="separate"/>
        </w:r>
        <w:r w:rsidR="00424BEA" w:rsidRPr="00424BEA">
          <w:rPr>
            <w:rFonts w:ascii="Arial" w:hAnsi="Arial" w:cs="Arial"/>
            <w:noProof/>
            <w:webHidden/>
            <w:sz w:val="22"/>
            <w:szCs w:val="22"/>
          </w:rPr>
          <w:t>24</w:t>
        </w:r>
        <w:r w:rsidR="00424BEA" w:rsidRPr="00424BEA">
          <w:rPr>
            <w:rFonts w:ascii="Arial" w:hAnsi="Arial" w:cs="Arial"/>
            <w:noProof/>
            <w:webHidden/>
            <w:sz w:val="22"/>
            <w:szCs w:val="22"/>
          </w:rPr>
          <w:fldChar w:fldCharType="end"/>
        </w:r>
      </w:hyperlink>
    </w:p>
    <w:p w14:paraId="64EF4EAC" w14:textId="77777777" w:rsidR="00424BEA" w:rsidRPr="00424BEA" w:rsidRDefault="009A7DB9" w:rsidP="00424BEA">
      <w:pPr>
        <w:pStyle w:val="TableofFigures"/>
        <w:tabs>
          <w:tab w:val="right" w:leader="dot" w:pos="8778"/>
        </w:tabs>
        <w:spacing w:line="360" w:lineRule="auto"/>
        <w:jc w:val="both"/>
        <w:rPr>
          <w:rFonts w:ascii="Arial" w:eastAsiaTheme="minorEastAsia" w:hAnsi="Arial" w:cs="Arial"/>
          <w:b w:val="0"/>
          <w:bCs w:val="0"/>
          <w:noProof/>
          <w:sz w:val="22"/>
          <w:szCs w:val="22"/>
          <w:lang w:val="en-US" w:eastAsia="en-US"/>
        </w:rPr>
      </w:pPr>
      <w:hyperlink w:anchor="_Toc431917467" w:history="1">
        <w:r w:rsidR="00424BEA" w:rsidRPr="00424BEA">
          <w:rPr>
            <w:rStyle w:val="Hyperlink"/>
            <w:rFonts w:ascii="Arial" w:hAnsi="Arial" w:cs="Arial"/>
            <w:noProof/>
            <w:sz w:val="22"/>
            <w:szCs w:val="22"/>
          </w:rPr>
          <w:t>Table 7 - Summary of indications and contraindications for the Vibrant Soundbridge</w:t>
        </w:r>
        <w:r w:rsidR="00424BEA" w:rsidRPr="00424BEA">
          <w:rPr>
            <w:rFonts w:ascii="Arial" w:hAnsi="Arial" w:cs="Arial"/>
            <w:noProof/>
            <w:webHidden/>
            <w:sz w:val="22"/>
            <w:szCs w:val="22"/>
          </w:rPr>
          <w:tab/>
        </w:r>
        <w:r w:rsidR="00424BEA" w:rsidRPr="00424BEA">
          <w:rPr>
            <w:rFonts w:ascii="Arial" w:hAnsi="Arial" w:cs="Arial"/>
            <w:noProof/>
            <w:webHidden/>
            <w:sz w:val="22"/>
            <w:szCs w:val="22"/>
          </w:rPr>
          <w:fldChar w:fldCharType="begin"/>
        </w:r>
        <w:r w:rsidR="00424BEA" w:rsidRPr="00424BEA">
          <w:rPr>
            <w:rFonts w:ascii="Arial" w:hAnsi="Arial" w:cs="Arial"/>
            <w:noProof/>
            <w:webHidden/>
            <w:sz w:val="22"/>
            <w:szCs w:val="22"/>
          </w:rPr>
          <w:instrText xml:space="preserve"> PAGEREF _Toc431917467 \h </w:instrText>
        </w:r>
        <w:r w:rsidR="00424BEA" w:rsidRPr="00424BEA">
          <w:rPr>
            <w:rFonts w:ascii="Arial" w:hAnsi="Arial" w:cs="Arial"/>
            <w:noProof/>
            <w:webHidden/>
            <w:sz w:val="22"/>
            <w:szCs w:val="22"/>
          </w:rPr>
        </w:r>
        <w:r w:rsidR="00424BEA" w:rsidRPr="00424BEA">
          <w:rPr>
            <w:rFonts w:ascii="Arial" w:hAnsi="Arial" w:cs="Arial"/>
            <w:noProof/>
            <w:webHidden/>
            <w:sz w:val="22"/>
            <w:szCs w:val="22"/>
          </w:rPr>
          <w:fldChar w:fldCharType="separate"/>
        </w:r>
        <w:r w:rsidR="00424BEA" w:rsidRPr="00424BEA">
          <w:rPr>
            <w:rFonts w:ascii="Arial" w:hAnsi="Arial" w:cs="Arial"/>
            <w:noProof/>
            <w:webHidden/>
            <w:sz w:val="22"/>
            <w:szCs w:val="22"/>
          </w:rPr>
          <w:t>29</w:t>
        </w:r>
        <w:r w:rsidR="00424BEA" w:rsidRPr="00424BEA">
          <w:rPr>
            <w:rFonts w:ascii="Arial" w:hAnsi="Arial" w:cs="Arial"/>
            <w:noProof/>
            <w:webHidden/>
            <w:sz w:val="22"/>
            <w:szCs w:val="22"/>
          </w:rPr>
          <w:fldChar w:fldCharType="end"/>
        </w:r>
      </w:hyperlink>
    </w:p>
    <w:p w14:paraId="4BAA114C" w14:textId="77777777" w:rsidR="00424BEA" w:rsidRPr="00424BEA" w:rsidRDefault="009A7DB9" w:rsidP="00424BEA">
      <w:pPr>
        <w:pStyle w:val="TableofFigures"/>
        <w:tabs>
          <w:tab w:val="right" w:leader="dot" w:pos="8778"/>
        </w:tabs>
        <w:spacing w:line="360" w:lineRule="auto"/>
        <w:jc w:val="both"/>
        <w:rPr>
          <w:rFonts w:ascii="Arial" w:eastAsiaTheme="minorEastAsia" w:hAnsi="Arial" w:cs="Arial"/>
          <w:b w:val="0"/>
          <w:bCs w:val="0"/>
          <w:noProof/>
          <w:sz w:val="22"/>
          <w:szCs w:val="22"/>
          <w:lang w:val="en-US" w:eastAsia="en-US"/>
        </w:rPr>
      </w:pPr>
      <w:hyperlink w:anchor="_Toc431917468" w:history="1">
        <w:r w:rsidR="00424BEA" w:rsidRPr="00424BEA">
          <w:rPr>
            <w:rStyle w:val="Hyperlink"/>
            <w:rFonts w:ascii="Arial" w:hAnsi="Arial" w:cs="Arial"/>
            <w:noProof/>
            <w:sz w:val="22"/>
            <w:szCs w:val="22"/>
          </w:rPr>
          <w:t>Table 8 - Summary of research questions that the assessment will investigate</w:t>
        </w:r>
        <w:r w:rsidR="00424BEA" w:rsidRPr="00424BEA">
          <w:rPr>
            <w:rFonts w:ascii="Arial" w:hAnsi="Arial" w:cs="Arial"/>
            <w:noProof/>
            <w:webHidden/>
            <w:sz w:val="22"/>
            <w:szCs w:val="22"/>
          </w:rPr>
          <w:tab/>
        </w:r>
        <w:r w:rsidR="00424BEA" w:rsidRPr="00424BEA">
          <w:rPr>
            <w:rFonts w:ascii="Arial" w:hAnsi="Arial" w:cs="Arial"/>
            <w:noProof/>
            <w:webHidden/>
            <w:sz w:val="22"/>
            <w:szCs w:val="22"/>
          </w:rPr>
          <w:fldChar w:fldCharType="begin"/>
        </w:r>
        <w:r w:rsidR="00424BEA" w:rsidRPr="00424BEA">
          <w:rPr>
            <w:rFonts w:ascii="Arial" w:hAnsi="Arial" w:cs="Arial"/>
            <w:noProof/>
            <w:webHidden/>
            <w:sz w:val="22"/>
            <w:szCs w:val="22"/>
          </w:rPr>
          <w:instrText xml:space="preserve"> PAGEREF _Toc431917468 \h </w:instrText>
        </w:r>
        <w:r w:rsidR="00424BEA" w:rsidRPr="00424BEA">
          <w:rPr>
            <w:rFonts w:ascii="Arial" w:hAnsi="Arial" w:cs="Arial"/>
            <w:noProof/>
            <w:webHidden/>
            <w:sz w:val="22"/>
            <w:szCs w:val="22"/>
          </w:rPr>
        </w:r>
        <w:r w:rsidR="00424BEA" w:rsidRPr="00424BEA">
          <w:rPr>
            <w:rFonts w:ascii="Arial" w:hAnsi="Arial" w:cs="Arial"/>
            <w:noProof/>
            <w:webHidden/>
            <w:sz w:val="22"/>
            <w:szCs w:val="22"/>
          </w:rPr>
          <w:fldChar w:fldCharType="separate"/>
        </w:r>
        <w:r w:rsidR="00424BEA" w:rsidRPr="00424BEA">
          <w:rPr>
            <w:rFonts w:ascii="Arial" w:hAnsi="Arial" w:cs="Arial"/>
            <w:noProof/>
            <w:webHidden/>
            <w:sz w:val="22"/>
            <w:szCs w:val="22"/>
          </w:rPr>
          <w:t>31</w:t>
        </w:r>
        <w:r w:rsidR="00424BEA" w:rsidRPr="00424BEA">
          <w:rPr>
            <w:rFonts w:ascii="Arial" w:hAnsi="Arial" w:cs="Arial"/>
            <w:noProof/>
            <w:webHidden/>
            <w:sz w:val="22"/>
            <w:szCs w:val="22"/>
          </w:rPr>
          <w:fldChar w:fldCharType="end"/>
        </w:r>
      </w:hyperlink>
    </w:p>
    <w:p w14:paraId="56667144" w14:textId="77777777" w:rsidR="00424BEA" w:rsidRPr="00424BEA" w:rsidRDefault="009A7DB9" w:rsidP="00424BEA">
      <w:pPr>
        <w:pStyle w:val="TableofFigures"/>
        <w:tabs>
          <w:tab w:val="right" w:leader="dot" w:pos="8778"/>
        </w:tabs>
        <w:spacing w:line="360" w:lineRule="auto"/>
        <w:jc w:val="both"/>
        <w:rPr>
          <w:rFonts w:ascii="Arial" w:eastAsiaTheme="minorEastAsia" w:hAnsi="Arial" w:cs="Arial"/>
          <w:b w:val="0"/>
          <w:bCs w:val="0"/>
          <w:noProof/>
          <w:sz w:val="22"/>
          <w:szCs w:val="22"/>
          <w:lang w:val="en-US" w:eastAsia="en-US"/>
        </w:rPr>
      </w:pPr>
      <w:hyperlink w:anchor="_Toc431917469" w:history="1">
        <w:r w:rsidR="00424BEA" w:rsidRPr="00424BEA">
          <w:rPr>
            <w:rStyle w:val="Hyperlink"/>
            <w:rFonts w:ascii="Arial" w:hAnsi="Arial" w:cs="Arial"/>
            <w:noProof/>
            <w:sz w:val="22"/>
            <w:szCs w:val="22"/>
          </w:rPr>
          <w:t>Table 9 - Search strategy for identifying studies on middle ear implants in treating sensorineural hearing loss</w:t>
        </w:r>
        <w:r w:rsidR="00424BEA" w:rsidRPr="00424BEA">
          <w:rPr>
            <w:rFonts w:ascii="Arial" w:hAnsi="Arial" w:cs="Arial"/>
            <w:noProof/>
            <w:webHidden/>
            <w:sz w:val="22"/>
            <w:szCs w:val="22"/>
          </w:rPr>
          <w:tab/>
        </w:r>
        <w:r w:rsidR="00424BEA" w:rsidRPr="00424BEA">
          <w:rPr>
            <w:rFonts w:ascii="Arial" w:hAnsi="Arial" w:cs="Arial"/>
            <w:noProof/>
            <w:webHidden/>
            <w:sz w:val="22"/>
            <w:szCs w:val="22"/>
          </w:rPr>
          <w:fldChar w:fldCharType="begin"/>
        </w:r>
        <w:r w:rsidR="00424BEA" w:rsidRPr="00424BEA">
          <w:rPr>
            <w:rFonts w:ascii="Arial" w:hAnsi="Arial" w:cs="Arial"/>
            <w:noProof/>
            <w:webHidden/>
            <w:sz w:val="22"/>
            <w:szCs w:val="22"/>
          </w:rPr>
          <w:instrText xml:space="preserve"> PAGEREF _Toc431917469 \h </w:instrText>
        </w:r>
        <w:r w:rsidR="00424BEA" w:rsidRPr="00424BEA">
          <w:rPr>
            <w:rFonts w:ascii="Arial" w:hAnsi="Arial" w:cs="Arial"/>
            <w:noProof/>
            <w:webHidden/>
            <w:sz w:val="22"/>
            <w:szCs w:val="22"/>
          </w:rPr>
        </w:r>
        <w:r w:rsidR="00424BEA" w:rsidRPr="00424BEA">
          <w:rPr>
            <w:rFonts w:ascii="Arial" w:hAnsi="Arial" w:cs="Arial"/>
            <w:noProof/>
            <w:webHidden/>
            <w:sz w:val="22"/>
            <w:szCs w:val="22"/>
          </w:rPr>
          <w:fldChar w:fldCharType="separate"/>
        </w:r>
        <w:r w:rsidR="00424BEA" w:rsidRPr="00424BEA">
          <w:rPr>
            <w:rFonts w:ascii="Arial" w:hAnsi="Arial" w:cs="Arial"/>
            <w:noProof/>
            <w:webHidden/>
            <w:sz w:val="22"/>
            <w:szCs w:val="22"/>
          </w:rPr>
          <w:t>36</w:t>
        </w:r>
        <w:r w:rsidR="00424BEA" w:rsidRPr="00424BEA">
          <w:rPr>
            <w:rFonts w:ascii="Arial" w:hAnsi="Arial" w:cs="Arial"/>
            <w:noProof/>
            <w:webHidden/>
            <w:sz w:val="22"/>
            <w:szCs w:val="22"/>
          </w:rPr>
          <w:fldChar w:fldCharType="end"/>
        </w:r>
      </w:hyperlink>
    </w:p>
    <w:p w14:paraId="331423AF" w14:textId="77777777" w:rsidR="00424BEA" w:rsidRPr="00424BEA" w:rsidRDefault="009A7DB9" w:rsidP="00424BEA">
      <w:pPr>
        <w:pStyle w:val="TableofFigures"/>
        <w:tabs>
          <w:tab w:val="right" w:leader="dot" w:pos="8778"/>
        </w:tabs>
        <w:spacing w:line="360" w:lineRule="auto"/>
        <w:jc w:val="both"/>
        <w:rPr>
          <w:rFonts w:ascii="Arial" w:eastAsiaTheme="minorEastAsia" w:hAnsi="Arial" w:cs="Arial"/>
          <w:b w:val="0"/>
          <w:bCs w:val="0"/>
          <w:noProof/>
          <w:sz w:val="22"/>
          <w:szCs w:val="22"/>
          <w:lang w:val="en-US" w:eastAsia="en-US"/>
        </w:rPr>
      </w:pPr>
      <w:hyperlink w:anchor="_Toc431917470" w:history="1">
        <w:r w:rsidR="00424BEA" w:rsidRPr="00424BEA">
          <w:rPr>
            <w:rStyle w:val="Hyperlink"/>
            <w:rFonts w:ascii="Arial" w:hAnsi="Arial" w:cs="Arial"/>
            <w:noProof/>
            <w:sz w:val="22"/>
            <w:szCs w:val="22"/>
          </w:rPr>
          <w:t>Table 10 - Non-randomised studies assessing the safety and efficacy of middle ear implants</w:t>
        </w:r>
        <w:r w:rsidR="00424BEA" w:rsidRPr="00424BEA">
          <w:rPr>
            <w:rFonts w:ascii="Arial" w:hAnsi="Arial" w:cs="Arial"/>
            <w:noProof/>
            <w:webHidden/>
            <w:sz w:val="22"/>
            <w:szCs w:val="22"/>
          </w:rPr>
          <w:tab/>
        </w:r>
        <w:r w:rsidR="00424BEA" w:rsidRPr="00424BEA">
          <w:rPr>
            <w:rFonts w:ascii="Arial" w:hAnsi="Arial" w:cs="Arial"/>
            <w:noProof/>
            <w:webHidden/>
            <w:sz w:val="22"/>
            <w:szCs w:val="22"/>
          </w:rPr>
          <w:fldChar w:fldCharType="begin"/>
        </w:r>
        <w:r w:rsidR="00424BEA" w:rsidRPr="00424BEA">
          <w:rPr>
            <w:rFonts w:ascii="Arial" w:hAnsi="Arial" w:cs="Arial"/>
            <w:noProof/>
            <w:webHidden/>
            <w:sz w:val="22"/>
            <w:szCs w:val="22"/>
          </w:rPr>
          <w:instrText xml:space="preserve"> PAGEREF _Toc431917470 \h </w:instrText>
        </w:r>
        <w:r w:rsidR="00424BEA" w:rsidRPr="00424BEA">
          <w:rPr>
            <w:rFonts w:ascii="Arial" w:hAnsi="Arial" w:cs="Arial"/>
            <w:noProof/>
            <w:webHidden/>
            <w:sz w:val="22"/>
            <w:szCs w:val="22"/>
          </w:rPr>
        </w:r>
        <w:r w:rsidR="00424BEA" w:rsidRPr="00424BEA">
          <w:rPr>
            <w:rFonts w:ascii="Arial" w:hAnsi="Arial" w:cs="Arial"/>
            <w:noProof/>
            <w:webHidden/>
            <w:sz w:val="22"/>
            <w:szCs w:val="22"/>
          </w:rPr>
          <w:fldChar w:fldCharType="separate"/>
        </w:r>
        <w:r w:rsidR="00424BEA" w:rsidRPr="00424BEA">
          <w:rPr>
            <w:rFonts w:ascii="Arial" w:hAnsi="Arial" w:cs="Arial"/>
            <w:noProof/>
            <w:webHidden/>
            <w:sz w:val="22"/>
            <w:szCs w:val="22"/>
          </w:rPr>
          <w:t>39</w:t>
        </w:r>
        <w:r w:rsidR="00424BEA" w:rsidRPr="00424BEA">
          <w:rPr>
            <w:rFonts w:ascii="Arial" w:hAnsi="Arial" w:cs="Arial"/>
            <w:noProof/>
            <w:webHidden/>
            <w:sz w:val="22"/>
            <w:szCs w:val="22"/>
          </w:rPr>
          <w:fldChar w:fldCharType="end"/>
        </w:r>
      </w:hyperlink>
    </w:p>
    <w:p w14:paraId="26A9AC38" w14:textId="77777777" w:rsidR="00424BEA" w:rsidRPr="00424BEA" w:rsidRDefault="009A7DB9" w:rsidP="00424BEA">
      <w:pPr>
        <w:pStyle w:val="TableofFigures"/>
        <w:tabs>
          <w:tab w:val="right" w:leader="dot" w:pos="8778"/>
        </w:tabs>
        <w:spacing w:line="360" w:lineRule="auto"/>
        <w:jc w:val="both"/>
        <w:rPr>
          <w:rFonts w:ascii="Arial" w:eastAsiaTheme="minorEastAsia" w:hAnsi="Arial" w:cs="Arial"/>
          <w:b w:val="0"/>
          <w:bCs w:val="0"/>
          <w:noProof/>
          <w:sz w:val="22"/>
          <w:szCs w:val="22"/>
          <w:lang w:val="en-US" w:eastAsia="en-US"/>
        </w:rPr>
      </w:pPr>
      <w:hyperlink w:anchor="_Toc431917471" w:history="1">
        <w:r w:rsidR="00424BEA" w:rsidRPr="00424BEA">
          <w:rPr>
            <w:rStyle w:val="Hyperlink"/>
            <w:rFonts w:ascii="Arial" w:hAnsi="Arial" w:cs="Arial"/>
            <w:noProof/>
            <w:sz w:val="22"/>
            <w:szCs w:val="22"/>
          </w:rPr>
          <w:t>Table 11 - Systematic reviews and HTA reports</w:t>
        </w:r>
        <w:r w:rsidR="00424BEA" w:rsidRPr="00424BEA">
          <w:rPr>
            <w:rFonts w:ascii="Arial" w:hAnsi="Arial" w:cs="Arial"/>
            <w:noProof/>
            <w:webHidden/>
            <w:sz w:val="22"/>
            <w:szCs w:val="22"/>
          </w:rPr>
          <w:tab/>
        </w:r>
        <w:r w:rsidR="00424BEA" w:rsidRPr="00424BEA">
          <w:rPr>
            <w:rFonts w:ascii="Arial" w:hAnsi="Arial" w:cs="Arial"/>
            <w:noProof/>
            <w:webHidden/>
            <w:sz w:val="22"/>
            <w:szCs w:val="22"/>
          </w:rPr>
          <w:fldChar w:fldCharType="begin"/>
        </w:r>
        <w:r w:rsidR="00424BEA" w:rsidRPr="00424BEA">
          <w:rPr>
            <w:rFonts w:ascii="Arial" w:hAnsi="Arial" w:cs="Arial"/>
            <w:noProof/>
            <w:webHidden/>
            <w:sz w:val="22"/>
            <w:szCs w:val="22"/>
          </w:rPr>
          <w:instrText xml:space="preserve"> PAGEREF _Toc431917471 \h </w:instrText>
        </w:r>
        <w:r w:rsidR="00424BEA" w:rsidRPr="00424BEA">
          <w:rPr>
            <w:rFonts w:ascii="Arial" w:hAnsi="Arial" w:cs="Arial"/>
            <w:noProof/>
            <w:webHidden/>
            <w:sz w:val="22"/>
            <w:szCs w:val="22"/>
          </w:rPr>
        </w:r>
        <w:r w:rsidR="00424BEA" w:rsidRPr="00424BEA">
          <w:rPr>
            <w:rFonts w:ascii="Arial" w:hAnsi="Arial" w:cs="Arial"/>
            <w:noProof/>
            <w:webHidden/>
            <w:sz w:val="22"/>
            <w:szCs w:val="22"/>
          </w:rPr>
          <w:fldChar w:fldCharType="separate"/>
        </w:r>
        <w:r w:rsidR="00424BEA" w:rsidRPr="00424BEA">
          <w:rPr>
            <w:rFonts w:ascii="Arial" w:hAnsi="Arial" w:cs="Arial"/>
            <w:noProof/>
            <w:webHidden/>
            <w:sz w:val="22"/>
            <w:szCs w:val="22"/>
          </w:rPr>
          <w:t>43</w:t>
        </w:r>
        <w:r w:rsidR="00424BEA" w:rsidRPr="00424BEA">
          <w:rPr>
            <w:rFonts w:ascii="Arial" w:hAnsi="Arial" w:cs="Arial"/>
            <w:noProof/>
            <w:webHidden/>
            <w:sz w:val="22"/>
            <w:szCs w:val="22"/>
          </w:rPr>
          <w:fldChar w:fldCharType="end"/>
        </w:r>
      </w:hyperlink>
    </w:p>
    <w:p w14:paraId="5640AA4C" w14:textId="77777777" w:rsidR="00424BEA" w:rsidRPr="00424BEA" w:rsidRDefault="009A7DB9" w:rsidP="00424BEA">
      <w:pPr>
        <w:pStyle w:val="TableofFigures"/>
        <w:tabs>
          <w:tab w:val="right" w:leader="dot" w:pos="8778"/>
        </w:tabs>
        <w:spacing w:line="360" w:lineRule="auto"/>
        <w:jc w:val="both"/>
        <w:rPr>
          <w:rFonts w:ascii="Arial" w:eastAsiaTheme="minorEastAsia" w:hAnsi="Arial" w:cs="Arial"/>
          <w:b w:val="0"/>
          <w:bCs w:val="0"/>
          <w:noProof/>
          <w:sz w:val="22"/>
          <w:szCs w:val="22"/>
          <w:lang w:val="en-US" w:eastAsia="en-US"/>
        </w:rPr>
      </w:pPr>
      <w:hyperlink w:anchor="_Toc431917472" w:history="1">
        <w:r w:rsidR="00424BEA" w:rsidRPr="00424BEA">
          <w:rPr>
            <w:rStyle w:val="Hyperlink"/>
            <w:rFonts w:ascii="Arial" w:hAnsi="Arial" w:cs="Arial"/>
            <w:noProof/>
            <w:sz w:val="22"/>
            <w:szCs w:val="22"/>
          </w:rPr>
          <w:t>Table 12 - Summary of comparator study characteristics included in the evaluation</w:t>
        </w:r>
        <w:r w:rsidR="00424BEA" w:rsidRPr="00424BEA">
          <w:rPr>
            <w:rFonts w:ascii="Arial" w:hAnsi="Arial" w:cs="Arial"/>
            <w:noProof/>
            <w:webHidden/>
            <w:sz w:val="22"/>
            <w:szCs w:val="22"/>
          </w:rPr>
          <w:tab/>
        </w:r>
        <w:r w:rsidR="00424BEA" w:rsidRPr="00424BEA">
          <w:rPr>
            <w:rFonts w:ascii="Arial" w:hAnsi="Arial" w:cs="Arial"/>
            <w:noProof/>
            <w:webHidden/>
            <w:sz w:val="22"/>
            <w:szCs w:val="22"/>
          </w:rPr>
          <w:fldChar w:fldCharType="begin"/>
        </w:r>
        <w:r w:rsidR="00424BEA" w:rsidRPr="00424BEA">
          <w:rPr>
            <w:rFonts w:ascii="Arial" w:hAnsi="Arial" w:cs="Arial"/>
            <w:noProof/>
            <w:webHidden/>
            <w:sz w:val="22"/>
            <w:szCs w:val="22"/>
          </w:rPr>
          <w:instrText xml:space="preserve"> PAGEREF _Toc431917472 \h </w:instrText>
        </w:r>
        <w:r w:rsidR="00424BEA" w:rsidRPr="00424BEA">
          <w:rPr>
            <w:rFonts w:ascii="Arial" w:hAnsi="Arial" w:cs="Arial"/>
            <w:noProof/>
            <w:webHidden/>
            <w:sz w:val="22"/>
            <w:szCs w:val="22"/>
          </w:rPr>
        </w:r>
        <w:r w:rsidR="00424BEA" w:rsidRPr="00424BEA">
          <w:rPr>
            <w:rFonts w:ascii="Arial" w:hAnsi="Arial" w:cs="Arial"/>
            <w:noProof/>
            <w:webHidden/>
            <w:sz w:val="22"/>
            <w:szCs w:val="22"/>
          </w:rPr>
          <w:fldChar w:fldCharType="separate"/>
        </w:r>
        <w:r w:rsidR="00424BEA" w:rsidRPr="00424BEA">
          <w:rPr>
            <w:rFonts w:ascii="Arial" w:hAnsi="Arial" w:cs="Arial"/>
            <w:noProof/>
            <w:webHidden/>
            <w:sz w:val="22"/>
            <w:szCs w:val="22"/>
          </w:rPr>
          <w:t>50</w:t>
        </w:r>
        <w:r w:rsidR="00424BEA" w:rsidRPr="00424BEA">
          <w:rPr>
            <w:rFonts w:ascii="Arial" w:hAnsi="Arial" w:cs="Arial"/>
            <w:noProof/>
            <w:webHidden/>
            <w:sz w:val="22"/>
            <w:szCs w:val="22"/>
          </w:rPr>
          <w:fldChar w:fldCharType="end"/>
        </w:r>
      </w:hyperlink>
    </w:p>
    <w:p w14:paraId="09D20A2B" w14:textId="77777777" w:rsidR="00424BEA" w:rsidRPr="00424BEA" w:rsidRDefault="009A7DB9" w:rsidP="00424BEA">
      <w:pPr>
        <w:pStyle w:val="TableofFigures"/>
        <w:tabs>
          <w:tab w:val="right" w:leader="dot" w:pos="8778"/>
        </w:tabs>
        <w:spacing w:line="360" w:lineRule="auto"/>
        <w:jc w:val="both"/>
        <w:rPr>
          <w:rFonts w:ascii="Arial" w:eastAsiaTheme="minorEastAsia" w:hAnsi="Arial" w:cs="Arial"/>
          <w:b w:val="0"/>
          <w:bCs w:val="0"/>
          <w:noProof/>
          <w:sz w:val="22"/>
          <w:szCs w:val="22"/>
          <w:lang w:val="en-US" w:eastAsia="en-US"/>
        </w:rPr>
      </w:pPr>
      <w:hyperlink w:anchor="_Toc431917473" w:history="1">
        <w:r w:rsidR="00424BEA" w:rsidRPr="00424BEA">
          <w:rPr>
            <w:rStyle w:val="Hyperlink"/>
            <w:rFonts w:ascii="Arial" w:hAnsi="Arial" w:cs="Arial"/>
            <w:noProof/>
            <w:sz w:val="22"/>
            <w:szCs w:val="22"/>
          </w:rPr>
          <w:t>Table 13 - Summary of Vibrant Soundbridge study characteristics included in the evaluation</w:t>
        </w:r>
        <w:r w:rsidR="00424BEA" w:rsidRPr="00424BEA">
          <w:rPr>
            <w:rFonts w:ascii="Arial" w:hAnsi="Arial" w:cs="Arial"/>
            <w:noProof/>
            <w:webHidden/>
            <w:sz w:val="22"/>
            <w:szCs w:val="22"/>
          </w:rPr>
          <w:tab/>
        </w:r>
        <w:r w:rsidR="00424BEA" w:rsidRPr="00424BEA">
          <w:rPr>
            <w:rFonts w:ascii="Arial" w:hAnsi="Arial" w:cs="Arial"/>
            <w:noProof/>
            <w:webHidden/>
            <w:sz w:val="22"/>
            <w:szCs w:val="22"/>
          </w:rPr>
          <w:fldChar w:fldCharType="begin"/>
        </w:r>
        <w:r w:rsidR="00424BEA" w:rsidRPr="00424BEA">
          <w:rPr>
            <w:rFonts w:ascii="Arial" w:hAnsi="Arial" w:cs="Arial"/>
            <w:noProof/>
            <w:webHidden/>
            <w:sz w:val="22"/>
            <w:szCs w:val="22"/>
          </w:rPr>
          <w:instrText xml:space="preserve"> PAGEREF _Toc431917473 \h </w:instrText>
        </w:r>
        <w:r w:rsidR="00424BEA" w:rsidRPr="00424BEA">
          <w:rPr>
            <w:rFonts w:ascii="Arial" w:hAnsi="Arial" w:cs="Arial"/>
            <w:noProof/>
            <w:webHidden/>
            <w:sz w:val="22"/>
            <w:szCs w:val="22"/>
          </w:rPr>
        </w:r>
        <w:r w:rsidR="00424BEA" w:rsidRPr="00424BEA">
          <w:rPr>
            <w:rFonts w:ascii="Arial" w:hAnsi="Arial" w:cs="Arial"/>
            <w:noProof/>
            <w:webHidden/>
            <w:sz w:val="22"/>
            <w:szCs w:val="22"/>
          </w:rPr>
          <w:fldChar w:fldCharType="separate"/>
        </w:r>
        <w:r w:rsidR="00424BEA" w:rsidRPr="00424BEA">
          <w:rPr>
            <w:rFonts w:ascii="Arial" w:hAnsi="Arial" w:cs="Arial"/>
            <w:noProof/>
            <w:webHidden/>
            <w:sz w:val="22"/>
            <w:szCs w:val="22"/>
          </w:rPr>
          <w:t>52</w:t>
        </w:r>
        <w:r w:rsidR="00424BEA" w:rsidRPr="00424BEA">
          <w:rPr>
            <w:rFonts w:ascii="Arial" w:hAnsi="Arial" w:cs="Arial"/>
            <w:noProof/>
            <w:webHidden/>
            <w:sz w:val="22"/>
            <w:szCs w:val="22"/>
          </w:rPr>
          <w:fldChar w:fldCharType="end"/>
        </w:r>
      </w:hyperlink>
    </w:p>
    <w:p w14:paraId="59DCBDF4" w14:textId="77777777" w:rsidR="00424BEA" w:rsidRPr="00424BEA" w:rsidRDefault="009A7DB9" w:rsidP="00424BEA">
      <w:pPr>
        <w:pStyle w:val="TableofFigures"/>
        <w:tabs>
          <w:tab w:val="right" w:leader="dot" w:pos="8778"/>
        </w:tabs>
        <w:spacing w:line="360" w:lineRule="auto"/>
        <w:jc w:val="both"/>
        <w:rPr>
          <w:rFonts w:ascii="Arial" w:eastAsiaTheme="minorEastAsia" w:hAnsi="Arial" w:cs="Arial"/>
          <w:b w:val="0"/>
          <w:bCs w:val="0"/>
          <w:noProof/>
          <w:sz w:val="22"/>
          <w:szCs w:val="22"/>
          <w:lang w:val="en-US" w:eastAsia="en-US"/>
        </w:rPr>
      </w:pPr>
      <w:hyperlink w:anchor="_Toc431917474" w:history="1">
        <w:r w:rsidR="00424BEA" w:rsidRPr="00424BEA">
          <w:rPr>
            <w:rStyle w:val="Hyperlink"/>
            <w:rFonts w:ascii="Arial" w:hAnsi="Arial" w:cs="Arial"/>
            <w:noProof/>
            <w:sz w:val="22"/>
            <w:szCs w:val="22"/>
          </w:rPr>
          <w:t>Table 14</w:t>
        </w:r>
        <w:r w:rsidR="00424BEA" w:rsidRPr="00424BEA">
          <w:rPr>
            <w:rStyle w:val="Hyperlink"/>
            <w:rFonts w:ascii="Arial" w:hAnsi="Arial" w:cs="Arial"/>
            <w:noProof/>
            <w:sz w:val="22"/>
            <w:szCs w:val="22"/>
            <w:lang w:val="de-AT"/>
          </w:rPr>
          <w:t xml:space="preserve"> - </w:t>
        </w:r>
        <w:r w:rsidR="00424BEA" w:rsidRPr="00424BEA">
          <w:rPr>
            <w:rStyle w:val="Hyperlink"/>
            <w:rFonts w:ascii="Arial" w:hAnsi="Arial" w:cs="Arial"/>
            <w:noProof/>
            <w:sz w:val="22"/>
            <w:szCs w:val="22"/>
            <w:lang w:val="en-GB"/>
          </w:rPr>
          <w:t>Eligibility criteria</w:t>
        </w:r>
        <w:r w:rsidR="00424BEA" w:rsidRPr="00424BEA">
          <w:rPr>
            <w:rFonts w:ascii="Arial" w:hAnsi="Arial" w:cs="Arial"/>
            <w:noProof/>
            <w:webHidden/>
            <w:sz w:val="22"/>
            <w:szCs w:val="22"/>
          </w:rPr>
          <w:tab/>
        </w:r>
        <w:r w:rsidR="00424BEA" w:rsidRPr="00424BEA">
          <w:rPr>
            <w:rFonts w:ascii="Arial" w:hAnsi="Arial" w:cs="Arial"/>
            <w:noProof/>
            <w:webHidden/>
            <w:sz w:val="22"/>
            <w:szCs w:val="22"/>
          </w:rPr>
          <w:fldChar w:fldCharType="begin"/>
        </w:r>
        <w:r w:rsidR="00424BEA" w:rsidRPr="00424BEA">
          <w:rPr>
            <w:rFonts w:ascii="Arial" w:hAnsi="Arial" w:cs="Arial"/>
            <w:noProof/>
            <w:webHidden/>
            <w:sz w:val="22"/>
            <w:szCs w:val="22"/>
          </w:rPr>
          <w:instrText xml:space="preserve"> PAGEREF _Toc431917474 \h </w:instrText>
        </w:r>
        <w:r w:rsidR="00424BEA" w:rsidRPr="00424BEA">
          <w:rPr>
            <w:rFonts w:ascii="Arial" w:hAnsi="Arial" w:cs="Arial"/>
            <w:noProof/>
            <w:webHidden/>
            <w:sz w:val="22"/>
            <w:szCs w:val="22"/>
          </w:rPr>
        </w:r>
        <w:r w:rsidR="00424BEA" w:rsidRPr="00424BEA">
          <w:rPr>
            <w:rFonts w:ascii="Arial" w:hAnsi="Arial" w:cs="Arial"/>
            <w:noProof/>
            <w:webHidden/>
            <w:sz w:val="22"/>
            <w:szCs w:val="22"/>
          </w:rPr>
          <w:fldChar w:fldCharType="separate"/>
        </w:r>
        <w:r w:rsidR="00424BEA" w:rsidRPr="00424BEA">
          <w:rPr>
            <w:rFonts w:ascii="Arial" w:hAnsi="Arial" w:cs="Arial"/>
            <w:noProof/>
            <w:webHidden/>
            <w:sz w:val="22"/>
            <w:szCs w:val="22"/>
          </w:rPr>
          <w:t>57</w:t>
        </w:r>
        <w:r w:rsidR="00424BEA" w:rsidRPr="00424BEA">
          <w:rPr>
            <w:rFonts w:ascii="Arial" w:hAnsi="Arial" w:cs="Arial"/>
            <w:noProof/>
            <w:webHidden/>
            <w:sz w:val="22"/>
            <w:szCs w:val="22"/>
          </w:rPr>
          <w:fldChar w:fldCharType="end"/>
        </w:r>
      </w:hyperlink>
    </w:p>
    <w:p w14:paraId="04702B89" w14:textId="77777777" w:rsidR="00424BEA" w:rsidRPr="00424BEA" w:rsidRDefault="009A7DB9" w:rsidP="00424BEA">
      <w:pPr>
        <w:pStyle w:val="TableofFigures"/>
        <w:tabs>
          <w:tab w:val="right" w:leader="dot" w:pos="8778"/>
        </w:tabs>
        <w:spacing w:line="360" w:lineRule="auto"/>
        <w:jc w:val="both"/>
        <w:rPr>
          <w:rFonts w:ascii="Arial" w:eastAsiaTheme="minorEastAsia" w:hAnsi="Arial" w:cs="Arial"/>
          <w:b w:val="0"/>
          <w:bCs w:val="0"/>
          <w:noProof/>
          <w:sz w:val="22"/>
          <w:szCs w:val="22"/>
          <w:lang w:val="en-US" w:eastAsia="en-US"/>
        </w:rPr>
      </w:pPr>
      <w:hyperlink w:anchor="_Toc431917475" w:history="1">
        <w:r w:rsidR="00424BEA" w:rsidRPr="00424BEA">
          <w:rPr>
            <w:rStyle w:val="Hyperlink"/>
            <w:rFonts w:ascii="Arial" w:hAnsi="Arial" w:cs="Arial"/>
            <w:noProof/>
            <w:sz w:val="22"/>
            <w:szCs w:val="22"/>
          </w:rPr>
          <w:t>Table 15</w:t>
        </w:r>
        <w:r w:rsidR="00424BEA" w:rsidRPr="00424BEA">
          <w:rPr>
            <w:rStyle w:val="Hyperlink"/>
            <w:rFonts w:ascii="Arial" w:hAnsi="Arial" w:cs="Arial"/>
            <w:noProof/>
            <w:sz w:val="22"/>
            <w:szCs w:val="22"/>
            <w:lang w:val="en-US"/>
          </w:rPr>
          <w:t xml:space="preserve"> - </w:t>
        </w:r>
        <w:r w:rsidR="00424BEA" w:rsidRPr="00424BEA">
          <w:rPr>
            <w:rStyle w:val="Hyperlink"/>
            <w:rFonts w:ascii="Arial" w:hAnsi="Arial" w:cs="Arial"/>
            <w:noProof/>
            <w:sz w:val="22"/>
            <w:szCs w:val="22"/>
            <w:lang w:val="en-GB"/>
          </w:rPr>
          <w:t>Characteristics of study participants and duration of follow-up compared in trials</w:t>
        </w:r>
        <w:r w:rsidR="00424BEA" w:rsidRPr="00424BEA">
          <w:rPr>
            <w:rFonts w:ascii="Arial" w:hAnsi="Arial" w:cs="Arial"/>
            <w:noProof/>
            <w:webHidden/>
            <w:sz w:val="22"/>
            <w:szCs w:val="22"/>
          </w:rPr>
          <w:tab/>
        </w:r>
        <w:r w:rsidR="00424BEA" w:rsidRPr="00424BEA">
          <w:rPr>
            <w:rFonts w:ascii="Arial" w:hAnsi="Arial" w:cs="Arial"/>
            <w:noProof/>
            <w:webHidden/>
            <w:sz w:val="22"/>
            <w:szCs w:val="22"/>
          </w:rPr>
          <w:fldChar w:fldCharType="begin"/>
        </w:r>
        <w:r w:rsidR="00424BEA" w:rsidRPr="00424BEA">
          <w:rPr>
            <w:rFonts w:ascii="Arial" w:hAnsi="Arial" w:cs="Arial"/>
            <w:noProof/>
            <w:webHidden/>
            <w:sz w:val="22"/>
            <w:szCs w:val="22"/>
          </w:rPr>
          <w:instrText xml:space="preserve"> PAGEREF _Toc431917475 \h </w:instrText>
        </w:r>
        <w:r w:rsidR="00424BEA" w:rsidRPr="00424BEA">
          <w:rPr>
            <w:rFonts w:ascii="Arial" w:hAnsi="Arial" w:cs="Arial"/>
            <w:noProof/>
            <w:webHidden/>
            <w:sz w:val="22"/>
            <w:szCs w:val="22"/>
          </w:rPr>
        </w:r>
        <w:r w:rsidR="00424BEA" w:rsidRPr="00424BEA">
          <w:rPr>
            <w:rFonts w:ascii="Arial" w:hAnsi="Arial" w:cs="Arial"/>
            <w:noProof/>
            <w:webHidden/>
            <w:sz w:val="22"/>
            <w:szCs w:val="22"/>
          </w:rPr>
          <w:fldChar w:fldCharType="separate"/>
        </w:r>
        <w:r w:rsidR="00424BEA" w:rsidRPr="00424BEA">
          <w:rPr>
            <w:rFonts w:ascii="Arial" w:hAnsi="Arial" w:cs="Arial"/>
            <w:noProof/>
            <w:webHidden/>
            <w:sz w:val="22"/>
            <w:szCs w:val="22"/>
          </w:rPr>
          <w:t>59</w:t>
        </w:r>
        <w:r w:rsidR="00424BEA" w:rsidRPr="00424BEA">
          <w:rPr>
            <w:rFonts w:ascii="Arial" w:hAnsi="Arial" w:cs="Arial"/>
            <w:noProof/>
            <w:webHidden/>
            <w:sz w:val="22"/>
            <w:szCs w:val="22"/>
          </w:rPr>
          <w:fldChar w:fldCharType="end"/>
        </w:r>
      </w:hyperlink>
    </w:p>
    <w:p w14:paraId="5E42DDD7" w14:textId="77777777" w:rsidR="00424BEA" w:rsidRPr="00424BEA" w:rsidRDefault="009A7DB9" w:rsidP="00424BEA">
      <w:pPr>
        <w:pStyle w:val="TableofFigures"/>
        <w:tabs>
          <w:tab w:val="right" w:leader="dot" w:pos="8778"/>
        </w:tabs>
        <w:spacing w:line="360" w:lineRule="auto"/>
        <w:jc w:val="both"/>
        <w:rPr>
          <w:rFonts w:ascii="Arial" w:eastAsiaTheme="minorEastAsia" w:hAnsi="Arial" w:cs="Arial"/>
          <w:b w:val="0"/>
          <w:bCs w:val="0"/>
          <w:noProof/>
          <w:sz w:val="22"/>
          <w:szCs w:val="22"/>
          <w:lang w:val="en-US" w:eastAsia="en-US"/>
        </w:rPr>
      </w:pPr>
      <w:hyperlink w:anchor="_Toc431917476" w:history="1">
        <w:r w:rsidR="00424BEA" w:rsidRPr="00424BEA">
          <w:rPr>
            <w:rStyle w:val="Hyperlink"/>
            <w:rFonts w:ascii="Arial" w:hAnsi="Arial" w:cs="Arial"/>
            <w:noProof/>
            <w:sz w:val="22"/>
            <w:szCs w:val="22"/>
          </w:rPr>
          <w:t>Table 16</w:t>
        </w:r>
        <w:r w:rsidR="00424BEA" w:rsidRPr="00424BEA">
          <w:rPr>
            <w:rStyle w:val="Hyperlink"/>
            <w:rFonts w:ascii="Arial" w:hAnsi="Arial" w:cs="Arial"/>
            <w:noProof/>
            <w:sz w:val="22"/>
            <w:szCs w:val="22"/>
            <w:lang w:val="en-US"/>
          </w:rPr>
          <w:t xml:space="preserve"> - </w:t>
        </w:r>
        <w:r w:rsidR="00424BEA" w:rsidRPr="00424BEA">
          <w:rPr>
            <w:rStyle w:val="Hyperlink"/>
            <w:rFonts w:ascii="Arial" w:eastAsiaTheme="minorHAnsi" w:hAnsi="Arial" w:cs="Arial"/>
            <w:noProof/>
            <w:sz w:val="22"/>
            <w:szCs w:val="22"/>
            <w:lang w:val="en-GB" w:eastAsia="en-US"/>
          </w:rPr>
          <w:t>Functional gain VSB</w:t>
        </w:r>
        <w:r w:rsidR="00424BEA" w:rsidRPr="00424BEA">
          <w:rPr>
            <w:rFonts w:ascii="Arial" w:hAnsi="Arial" w:cs="Arial"/>
            <w:noProof/>
            <w:webHidden/>
            <w:sz w:val="22"/>
            <w:szCs w:val="22"/>
          </w:rPr>
          <w:tab/>
        </w:r>
        <w:r w:rsidR="00424BEA" w:rsidRPr="00424BEA">
          <w:rPr>
            <w:rFonts w:ascii="Arial" w:hAnsi="Arial" w:cs="Arial"/>
            <w:noProof/>
            <w:webHidden/>
            <w:sz w:val="22"/>
            <w:szCs w:val="22"/>
          </w:rPr>
          <w:fldChar w:fldCharType="begin"/>
        </w:r>
        <w:r w:rsidR="00424BEA" w:rsidRPr="00424BEA">
          <w:rPr>
            <w:rFonts w:ascii="Arial" w:hAnsi="Arial" w:cs="Arial"/>
            <w:noProof/>
            <w:webHidden/>
            <w:sz w:val="22"/>
            <w:szCs w:val="22"/>
          </w:rPr>
          <w:instrText xml:space="preserve"> PAGEREF _Toc431917476 \h </w:instrText>
        </w:r>
        <w:r w:rsidR="00424BEA" w:rsidRPr="00424BEA">
          <w:rPr>
            <w:rFonts w:ascii="Arial" w:hAnsi="Arial" w:cs="Arial"/>
            <w:noProof/>
            <w:webHidden/>
            <w:sz w:val="22"/>
            <w:szCs w:val="22"/>
          </w:rPr>
        </w:r>
        <w:r w:rsidR="00424BEA" w:rsidRPr="00424BEA">
          <w:rPr>
            <w:rFonts w:ascii="Arial" w:hAnsi="Arial" w:cs="Arial"/>
            <w:noProof/>
            <w:webHidden/>
            <w:sz w:val="22"/>
            <w:szCs w:val="22"/>
          </w:rPr>
          <w:fldChar w:fldCharType="separate"/>
        </w:r>
        <w:r w:rsidR="00424BEA" w:rsidRPr="00424BEA">
          <w:rPr>
            <w:rFonts w:ascii="Arial" w:hAnsi="Arial" w:cs="Arial"/>
            <w:noProof/>
            <w:webHidden/>
            <w:sz w:val="22"/>
            <w:szCs w:val="22"/>
          </w:rPr>
          <w:t>64</w:t>
        </w:r>
        <w:r w:rsidR="00424BEA" w:rsidRPr="00424BEA">
          <w:rPr>
            <w:rFonts w:ascii="Arial" w:hAnsi="Arial" w:cs="Arial"/>
            <w:noProof/>
            <w:webHidden/>
            <w:sz w:val="22"/>
            <w:szCs w:val="22"/>
          </w:rPr>
          <w:fldChar w:fldCharType="end"/>
        </w:r>
      </w:hyperlink>
    </w:p>
    <w:p w14:paraId="46456E5A" w14:textId="77777777" w:rsidR="00424BEA" w:rsidRPr="00424BEA" w:rsidRDefault="009A7DB9" w:rsidP="00424BEA">
      <w:pPr>
        <w:pStyle w:val="TableofFigures"/>
        <w:tabs>
          <w:tab w:val="right" w:leader="dot" w:pos="8778"/>
        </w:tabs>
        <w:spacing w:line="360" w:lineRule="auto"/>
        <w:jc w:val="both"/>
        <w:rPr>
          <w:rFonts w:ascii="Arial" w:eastAsiaTheme="minorEastAsia" w:hAnsi="Arial" w:cs="Arial"/>
          <w:b w:val="0"/>
          <w:bCs w:val="0"/>
          <w:noProof/>
          <w:sz w:val="22"/>
          <w:szCs w:val="22"/>
          <w:lang w:val="en-US" w:eastAsia="en-US"/>
        </w:rPr>
      </w:pPr>
      <w:hyperlink w:anchor="_Toc431917477" w:history="1">
        <w:r w:rsidR="00424BEA" w:rsidRPr="00424BEA">
          <w:rPr>
            <w:rStyle w:val="Hyperlink"/>
            <w:rFonts w:ascii="Arial" w:hAnsi="Arial" w:cs="Arial"/>
            <w:noProof/>
            <w:sz w:val="22"/>
            <w:szCs w:val="22"/>
          </w:rPr>
          <w:t>Table 17</w:t>
        </w:r>
        <w:r w:rsidR="00424BEA" w:rsidRPr="00424BEA">
          <w:rPr>
            <w:rStyle w:val="Hyperlink"/>
            <w:rFonts w:ascii="Arial" w:hAnsi="Arial" w:cs="Arial"/>
            <w:noProof/>
            <w:sz w:val="22"/>
            <w:szCs w:val="22"/>
            <w:lang w:val="de-AT"/>
          </w:rPr>
          <w:t xml:space="preserve"> - </w:t>
        </w:r>
        <w:r w:rsidR="00424BEA" w:rsidRPr="00424BEA">
          <w:rPr>
            <w:rStyle w:val="Hyperlink"/>
            <w:rFonts w:ascii="Arial" w:eastAsiaTheme="minorHAnsi" w:hAnsi="Arial" w:cs="Arial"/>
            <w:noProof/>
            <w:sz w:val="22"/>
            <w:szCs w:val="22"/>
            <w:lang w:val="en-GB" w:eastAsia="en-US"/>
          </w:rPr>
          <w:t xml:space="preserve"> Functional gain comparator</w:t>
        </w:r>
        <w:r w:rsidR="00424BEA" w:rsidRPr="00424BEA">
          <w:rPr>
            <w:rFonts w:ascii="Arial" w:hAnsi="Arial" w:cs="Arial"/>
            <w:noProof/>
            <w:webHidden/>
            <w:sz w:val="22"/>
            <w:szCs w:val="22"/>
          </w:rPr>
          <w:tab/>
        </w:r>
        <w:r w:rsidR="00424BEA" w:rsidRPr="00424BEA">
          <w:rPr>
            <w:rFonts w:ascii="Arial" w:hAnsi="Arial" w:cs="Arial"/>
            <w:noProof/>
            <w:webHidden/>
            <w:sz w:val="22"/>
            <w:szCs w:val="22"/>
          </w:rPr>
          <w:fldChar w:fldCharType="begin"/>
        </w:r>
        <w:r w:rsidR="00424BEA" w:rsidRPr="00424BEA">
          <w:rPr>
            <w:rFonts w:ascii="Arial" w:hAnsi="Arial" w:cs="Arial"/>
            <w:noProof/>
            <w:webHidden/>
            <w:sz w:val="22"/>
            <w:szCs w:val="22"/>
          </w:rPr>
          <w:instrText xml:space="preserve"> PAGEREF _Toc431917477 \h </w:instrText>
        </w:r>
        <w:r w:rsidR="00424BEA" w:rsidRPr="00424BEA">
          <w:rPr>
            <w:rFonts w:ascii="Arial" w:hAnsi="Arial" w:cs="Arial"/>
            <w:noProof/>
            <w:webHidden/>
            <w:sz w:val="22"/>
            <w:szCs w:val="22"/>
          </w:rPr>
        </w:r>
        <w:r w:rsidR="00424BEA" w:rsidRPr="00424BEA">
          <w:rPr>
            <w:rFonts w:ascii="Arial" w:hAnsi="Arial" w:cs="Arial"/>
            <w:noProof/>
            <w:webHidden/>
            <w:sz w:val="22"/>
            <w:szCs w:val="22"/>
          </w:rPr>
          <w:fldChar w:fldCharType="separate"/>
        </w:r>
        <w:r w:rsidR="00424BEA" w:rsidRPr="00424BEA">
          <w:rPr>
            <w:rFonts w:ascii="Arial" w:hAnsi="Arial" w:cs="Arial"/>
            <w:noProof/>
            <w:webHidden/>
            <w:sz w:val="22"/>
            <w:szCs w:val="22"/>
          </w:rPr>
          <w:t>66</w:t>
        </w:r>
        <w:r w:rsidR="00424BEA" w:rsidRPr="00424BEA">
          <w:rPr>
            <w:rFonts w:ascii="Arial" w:hAnsi="Arial" w:cs="Arial"/>
            <w:noProof/>
            <w:webHidden/>
            <w:sz w:val="22"/>
            <w:szCs w:val="22"/>
          </w:rPr>
          <w:fldChar w:fldCharType="end"/>
        </w:r>
      </w:hyperlink>
    </w:p>
    <w:p w14:paraId="70A74616" w14:textId="77777777" w:rsidR="00424BEA" w:rsidRPr="00424BEA" w:rsidRDefault="009A7DB9" w:rsidP="00424BEA">
      <w:pPr>
        <w:pStyle w:val="TableofFigures"/>
        <w:tabs>
          <w:tab w:val="right" w:leader="dot" w:pos="8778"/>
        </w:tabs>
        <w:spacing w:line="360" w:lineRule="auto"/>
        <w:jc w:val="both"/>
        <w:rPr>
          <w:rFonts w:ascii="Arial" w:eastAsiaTheme="minorEastAsia" w:hAnsi="Arial" w:cs="Arial"/>
          <w:b w:val="0"/>
          <w:bCs w:val="0"/>
          <w:noProof/>
          <w:sz w:val="22"/>
          <w:szCs w:val="22"/>
          <w:lang w:val="en-US" w:eastAsia="en-US"/>
        </w:rPr>
      </w:pPr>
      <w:hyperlink w:anchor="_Toc431917478" w:history="1">
        <w:r w:rsidR="00424BEA" w:rsidRPr="00424BEA">
          <w:rPr>
            <w:rStyle w:val="Hyperlink"/>
            <w:rFonts w:ascii="Arial" w:hAnsi="Arial" w:cs="Arial"/>
            <w:noProof/>
            <w:sz w:val="22"/>
            <w:szCs w:val="22"/>
          </w:rPr>
          <w:t>Table 18</w:t>
        </w:r>
        <w:r w:rsidR="00424BEA" w:rsidRPr="00424BEA">
          <w:rPr>
            <w:rStyle w:val="Hyperlink"/>
            <w:rFonts w:ascii="Arial" w:hAnsi="Arial" w:cs="Arial"/>
            <w:noProof/>
            <w:sz w:val="22"/>
            <w:szCs w:val="22"/>
            <w:lang w:val="en-US"/>
          </w:rPr>
          <w:t xml:space="preserve"> -</w:t>
        </w:r>
        <w:r w:rsidR="00424BEA" w:rsidRPr="00424BEA">
          <w:rPr>
            <w:rStyle w:val="Hyperlink"/>
            <w:rFonts w:ascii="Arial" w:eastAsiaTheme="minorHAnsi" w:hAnsi="Arial" w:cs="Arial"/>
            <w:noProof/>
            <w:sz w:val="22"/>
            <w:szCs w:val="22"/>
            <w:lang w:val="en-GB" w:eastAsia="en-US"/>
          </w:rPr>
          <w:t xml:space="preserve"> Speech in quiet VSB</w:t>
        </w:r>
        <w:r w:rsidR="00424BEA" w:rsidRPr="00424BEA">
          <w:rPr>
            <w:rFonts w:ascii="Arial" w:hAnsi="Arial" w:cs="Arial"/>
            <w:noProof/>
            <w:webHidden/>
            <w:sz w:val="22"/>
            <w:szCs w:val="22"/>
          </w:rPr>
          <w:tab/>
        </w:r>
        <w:r w:rsidR="00424BEA" w:rsidRPr="00424BEA">
          <w:rPr>
            <w:rFonts w:ascii="Arial" w:hAnsi="Arial" w:cs="Arial"/>
            <w:noProof/>
            <w:webHidden/>
            <w:sz w:val="22"/>
            <w:szCs w:val="22"/>
          </w:rPr>
          <w:fldChar w:fldCharType="begin"/>
        </w:r>
        <w:r w:rsidR="00424BEA" w:rsidRPr="00424BEA">
          <w:rPr>
            <w:rFonts w:ascii="Arial" w:hAnsi="Arial" w:cs="Arial"/>
            <w:noProof/>
            <w:webHidden/>
            <w:sz w:val="22"/>
            <w:szCs w:val="22"/>
          </w:rPr>
          <w:instrText xml:space="preserve"> PAGEREF _Toc431917478 \h </w:instrText>
        </w:r>
        <w:r w:rsidR="00424BEA" w:rsidRPr="00424BEA">
          <w:rPr>
            <w:rFonts w:ascii="Arial" w:hAnsi="Arial" w:cs="Arial"/>
            <w:noProof/>
            <w:webHidden/>
            <w:sz w:val="22"/>
            <w:szCs w:val="22"/>
          </w:rPr>
        </w:r>
        <w:r w:rsidR="00424BEA" w:rsidRPr="00424BEA">
          <w:rPr>
            <w:rFonts w:ascii="Arial" w:hAnsi="Arial" w:cs="Arial"/>
            <w:noProof/>
            <w:webHidden/>
            <w:sz w:val="22"/>
            <w:szCs w:val="22"/>
          </w:rPr>
          <w:fldChar w:fldCharType="separate"/>
        </w:r>
        <w:r w:rsidR="00424BEA" w:rsidRPr="00424BEA">
          <w:rPr>
            <w:rFonts w:ascii="Arial" w:hAnsi="Arial" w:cs="Arial"/>
            <w:noProof/>
            <w:webHidden/>
            <w:sz w:val="22"/>
            <w:szCs w:val="22"/>
          </w:rPr>
          <w:t>67</w:t>
        </w:r>
        <w:r w:rsidR="00424BEA" w:rsidRPr="00424BEA">
          <w:rPr>
            <w:rFonts w:ascii="Arial" w:hAnsi="Arial" w:cs="Arial"/>
            <w:noProof/>
            <w:webHidden/>
            <w:sz w:val="22"/>
            <w:szCs w:val="22"/>
          </w:rPr>
          <w:fldChar w:fldCharType="end"/>
        </w:r>
      </w:hyperlink>
    </w:p>
    <w:p w14:paraId="5C38C090" w14:textId="77777777" w:rsidR="00424BEA" w:rsidRPr="00424BEA" w:rsidRDefault="009A7DB9" w:rsidP="00424BEA">
      <w:pPr>
        <w:pStyle w:val="TableofFigures"/>
        <w:tabs>
          <w:tab w:val="right" w:leader="dot" w:pos="8778"/>
        </w:tabs>
        <w:spacing w:line="360" w:lineRule="auto"/>
        <w:jc w:val="both"/>
        <w:rPr>
          <w:rFonts w:ascii="Arial" w:eastAsiaTheme="minorEastAsia" w:hAnsi="Arial" w:cs="Arial"/>
          <w:b w:val="0"/>
          <w:bCs w:val="0"/>
          <w:noProof/>
          <w:sz w:val="22"/>
          <w:szCs w:val="22"/>
          <w:lang w:val="en-US" w:eastAsia="en-US"/>
        </w:rPr>
      </w:pPr>
      <w:hyperlink w:anchor="_Toc431917479" w:history="1">
        <w:r w:rsidR="00424BEA" w:rsidRPr="00424BEA">
          <w:rPr>
            <w:rStyle w:val="Hyperlink"/>
            <w:rFonts w:ascii="Arial" w:hAnsi="Arial" w:cs="Arial"/>
            <w:noProof/>
            <w:sz w:val="22"/>
            <w:szCs w:val="22"/>
          </w:rPr>
          <w:t>Table 19</w:t>
        </w:r>
        <w:r w:rsidR="00424BEA" w:rsidRPr="00424BEA">
          <w:rPr>
            <w:rStyle w:val="Hyperlink"/>
            <w:rFonts w:ascii="Arial" w:hAnsi="Arial" w:cs="Arial"/>
            <w:noProof/>
            <w:sz w:val="22"/>
            <w:szCs w:val="22"/>
            <w:lang w:val="en-US"/>
          </w:rPr>
          <w:t xml:space="preserve"> -</w:t>
        </w:r>
        <w:r w:rsidR="00424BEA" w:rsidRPr="00424BEA">
          <w:rPr>
            <w:rStyle w:val="Hyperlink"/>
            <w:rFonts w:ascii="Arial" w:eastAsiaTheme="minorHAnsi" w:hAnsi="Arial" w:cs="Arial"/>
            <w:noProof/>
            <w:sz w:val="22"/>
            <w:szCs w:val="22"/>
          </w:rPr>
          <w:t xml:space="preserve"> WRS; Speech in quiet comparator</w:t>
        </w:r>
        <w:r w:rsidR="00424BEA" w:rsidRPr="00424BEA">
          <w:rPr>
            <w:rFonts w:ascii="Arial" w:hAnsi="Arial" w:cs="Arial"/>
            <w:noProof/>
            <w:webHidden/>
            <w:sz w:val="22"/>
            <w:szCs w:val="22"/>
          </w:rPr>
          <w:tab/>
        </w:r>
        <w:r w:rsidR="00424BEA" w:rsidRPr="00424BEA">
          <w:rPr>
            <w:rFonts w:ascii="Arial" w:hAnsi="Arial" w:cs="Arial"/>
            <w:noProof/>
            <w:webHidden/>
            <w:sz w:val="22"/>
            <w:szCs w:val="22"/>
          </w:rPr>
          <w:fldChar w:fldCharType="begin"/>
        </w:r>
        <w:r w:rsidR="00424BEA" w:rsidRPr="00424BEA">
          <w:rPr>
            <w:rFonts w:ascii="Arial" w:hAnsi="Arial" w:cs="Arial"/>
            <w:noProof/>
            <w:webHidden/>
            <w:sz w:val="22"/>
            <w:szCs w:val="22"/>
          </w:rPr>
          <w:instrText xml:space="preserve"> PAGEREF _Toc431917479 \h </w:instrText>
        </w:r>
        <w:r w:rsidR="00424BEA" w:rsidRPr="00424BEA">
          <w:rPr>
            <w:rFonts w:ascii="Arial" w:hAnsi="Arial" w:cs="Arial"/>
            <w:noProof/>
            <w:webHidden/>
            <w:sz w:val="22"/>
            <w:szCs w:val="22"/>
          </w:rPr>
        </w:r>
        <w:r w:rsidR="00424BEA" w:rsidRPr="00424BEA">
          <w:rPr>
            <w:rFonts w:ascii="Arial" w:hAnsi="Arial" w:cs="Arial"/>
            <w:noProof/>
            <w:webHidden/>
            <w:sz w:val="22"/>
            <w:szCs w:val="22"/>
          </w:rPr>
          <w:fldChar w:fldCharType="separate"/>
        </w:r>
        <w:r w:rsidR="00424BEA" w:rsidRPr="00424BEA">
          <w:rPr>
            <w:rFonts w:ascii="Arial" w:hAnsi="Arial" w:cs="Arial"/>
            <w:noProof/>
            <w:webHidden/>
            <w:sz w:val="22"/>
            <w:szCs w:val="22"/>
          </w:rPr>
          <w:t>70</w:t>
        </w:r>
        <w:r w:rsidR="00424BEA" w:rsidRPr="00424BEA">
          <w:rPr>
            <w:rFonts w:ascii="Arial" w:hAnsi="Arial" w:cs="Arial"/>
            <w:noProof/>
            <w:webHidden/>
            <w:sz w:val="22"/>
            <w:szCs w:val="22"/>
          </w:rPr>
          <w:fldChar w:fldCharType="end"/>
        </w:r>
      </w:hyperlink>
    </w:p>
    <w:p w14:paraId="084036D9" w14:textId="77777777" w:rsidR="00424BEA" w:rsidRPr="00424BEA" w:rsidRDefault="009A7DB9" w:rsidP="00424BEA">
      <w:pPr>
        <w:pStyle w:val="TableofFigures"/>
        <w:tabs>
          <w:tab w:val="right" w:leader="dot" w:pos="8778"/>
        </w:tabs>
        <w:spacing w:line="360" w:lineRule="auto"/>
        <w:jc w:val="both"/>
        <w:rPr>
          <w:rFonts w:ascii="Arial" w:eastAsiaTheme="minorEastAsia" w:hAnsi="Arial" w:cs="Arial"/>
          <w:b w:val="0"/>
          <w:bCs w:val="0"/>
          <w:noProof/>
          <w:sz w:val="22"/>
          <w:szCs w:val="22"/>
          <w:lang w:val="en-US" w:eastAsia="en-US"/>
        </w:rPr>
      </w:pPr>
      <w:hyperlink w:anchor="_Toc431917480" w:history="1">
        <w:r w:rsidR="00424BEA" w:rsidRPr="00424BEA">
          <w:rPr>
            <w:rStyle w:val="Hyperlink"/>
            <w:rFonts w:ascii="Arial" w:hAnsi="Arial" w:cs="Arial"/>
            <w:noProof/>
            <w:sz w:val="22"/>
            <w:szCs w:val="22"/>
          </w:rPr>
          <w:t>Table 20</w:t>
        </w:r>
        <w:r w:rsidR="00424BEA" w:rsidRPr="00424BEA">
          <w:rPr>
            <w:rStyle w:val="Hyperlink"/>
            <w:rFonts w:ascii="Arial" w:hAnsi="Arial" w:cs="Arial"/>
            <w:noProof/>
            <w:sz w:val="22"/>
            <w:szCs w:val="22"/>
            <w:lang w:val="en-US"/>
          </w:rPr>
          <w:t xml:space="preserve"> - </w:t>
        </w:r>
        <w:r w:rsidR="00424BEA" w:rsidRPr="00424BEA">
          <w:rPr>
            <w:rStyle w:val="Hyperlink"/>
            <w:rFonts w:ascii="Arial" w:eastAsiaTheme="minorHAnsi" w:hAnsi="Arial" w:cs="Arial"/>
            <w:noProof/>
            <w:sz w:val="22"/>
            <w:szCs w:val="22"/>
            <w:lang w:val="en-GB" w:eastAsia="en-US"/>
          </w:rPr>
          <w:t>SRT, speech in quiet comparator</w:t>
        </w:r>
        <w:r w:rsidR="00424BEA" w:rsidRPr="00424BEA">
          <w:rPr>
            <w:rFonts w:ascii="Arial" w:hAnsi="Arial" w:cs="Arial"/>
            <w:noProof/>
            <w:webHidden/>
            <w:sz w:val="22"/>
            <w:szCs w:val="22"/>
          </w:rPr>
          <w:tab/>
        </w:r>
        <w:r w:rsidR="00424BEA" w:rsidRPr="00424BEA">
          <w:rPr>
            <w:rFonts w:ascii="Arial" w:hAnsi="Arial" w:cs="Arial"/>
            <w:noProof/>
            <w:webHidden/>
            <w:sz w:val="22"/>
            <w:szCs w:val="22"/>
          </w:rPr>
          <w:fldChar w:fldCharType="begin"/>
        </w:r>
        <w:r w:rsidR="00424BEA" w:rsidRPr="00424BEA">
          <w:rPr>
            <w:rFonts w:ascii="Arial" w:hAnsi="Arial" w:cs="Arial"/>
            <w:noProof/>
            <w:webHidden/>
            <w:sz w:val="22"/>
            <w:szCs w:val="22"/>
          </w:rPr>
          <w:instrText xml:space="preserve"> PAGEREF _Toc431917480 \h </w:instrText>
        </w:r>
        <w:r w:rsidR="00424BEA" w:rsidRPr="00424BEA">
          <w:rPr>
            <w:rFonts w:ascii="Arial" w:hAnsi="Arial" w:cs="Arial"/>
            <w:noProof/>
            <w:webHidden/>
            <w:sz w:val="22"/>
            <w:szCs w:val="22"/>
          </w:rPr>
        </w:r>
        <w:r w:rsidR="00424BEA" w:rsidRPr="00424BEA">
          <w:rPr>
            <w:rFonts w:ascii="Arial" w:hAnsi="Arial" w:cs="Arial"/>
            <w:noProof/>
            <w:webHidden/>
            <w:sz w:val="22"/>
            <w:szCs w:val="22"/>
          </w:rPr>
          <w:fldChar w:fldCharType="separate"/>
        </w:r>
        <w:r w:rsidR="00424BEA" w:rsidRPr="00424BEA">
          <w:rPr>
            <w:rFonts w:ascii="Arial" w:hAnsi="Arial" w:cs="Arial"/>
            <w:noProof/>
            <w:webHidden/>
            <w:sz w:val="22"/>
            <w:szCs w:val="22"/>
          </w:rPr>
          <w:t>71</w:t>
        </w:r>
        <w:r w:rsidR="00424BEA" w:rsidRPr="00424BEA">
          <w:rPr>
            <w:rFonts w:ascii="Arial" w:hAnsi="Arial" w:cs="Arial"/>
            <w:noProof/>
            <w:webHidden/>
            <w:sz w:val="22"/>
            <w:szCs w:val="22"/>
          </w:rPr>
          <w:fldChar w:fldCharType="end"/>
        </w:r>
      </w:hyperlink>
    </w:p>
    <w:p w14:paraId="2284D0D7" w14:textId="77777777" w:rsidR="00424BEA" w:rsidRPr="00424BEA" w:rsidRDefault="009A7DB9" w:rsidP="00424BEA">
      <w:pPr>
        <w:pStyle w:val="TableofFigures"/>
        <w:tabs>
          <w:tab w:val="right" w:leader="dot" w:pos="8778"/>
        </w:tabs>
        <w:spacing w:line="360" w:lineRule="auto"/>
        <w:jc w:val="both"/>
        <w:rPr>
          <w:rFonts w:ascii="Arial" w:eastAsiaTheme="minorEastAsia" w:hAnsi="Arial" w:cs="Arial"/>
          <w:b w:val="0"/>
          <w:bCs w:val="0"/>
          <w:noProof/>
          <w:sz w:val="22"/>
          <w:szCs w:val="22"/>
          <w:lang w:val="en-US" w:eastAsia="en-US"/>
        </w:rPr>
      </w:pPr>
      <w:hyperlink w:anchor="_Toc431917481" w:history="1">
        <w:r w:rsidR="00424BEA" w:rsidRPr="00424BEA">
          <w:rPr>
            <w:rStyle w:val="Hyperlink"/>
            <w:rFonts w:ascii="Arial" w:hAnsi="Arial" w:cs="Arial"/>
            <w:noProof/>
            <w:sz w:val="22"/>
            <w:szCs w:val="22"/>
          </w:rPr>
          <w:t>Table 21</w:t>
        </w:r>
        <w:r w:rsidR="00424BEA" w:rsidRPr="00424BEA">
          <w:rPr>
            <w:rStyle w:val="Hyperlink"/>
            <w:rFonts w:ascii="Arial" w:hAnsi="Arial" w:cs="Arial"/>
            <w:noProof/>
            <w:sz w:val="22"/>
            <w:szCs w:val="22"/>
            <w:lang w:val="en-US"/>
          </w:rPr>
          <w:t xml:space="preserve"> - </w:t>
        </w:r>
        <w:r w:rsidR="00424BEA" w:rsidRPr="00424BEA">
          <w:rPr>
            <w:rStyle w:val="Hyperlink"/>
            <w:rFonts w:ascii="Arial" w:eastAsiaTheme="minorHAnsi" w:hAnsi="Arial" w:cs="Arial"/>
            <w:noProof/>
            <w:sz w:val="22"/>
            <w:szCs w:val="22"/>
            <w:lang w:val="en-GB" w:eastAsia="en-US"/>
          </w:rPr>
          <w:t>Table speech in noise VSB</w:t>
        </w:r>
        <w:r w:rsidR="00424BEA" w:rsidRPr="00424BEA">
          <w:rPr>
            <w:rFonts w:ascii="Arial" w:hAnsi="Arial" w:cs="Arial"/>
            <w:noProof/>
            <w:webHidden/>
            <w:sz w:val="22"/>
            <w:szCs w:val="22"/>
          </w:rPr>
          <w:tab/>
        </w:r>
        <w:r w:rsidR="00424BEA" w:rsidRPr="00424BEA">
          <w:rPr>
            <w:rFonts w:ascii="Arial" w:hAnsi="Arial" w:cs="Arial"/>
            <w:noProof/>
            <w:webHidden/>
            <w:sz w:val="22"/>
            <w:szCs w:val="22"/>
          </w:rPr>
          <w:fldChar w:fldCharType="begin"/>
        </w:r>
        <w:r w:rsidR="00424BEA" w:rsidRPr="00424BEA">
          <w:rPr>
            <w:rFonts w:ascii="Arial" w:hAnsi="Arial" w:cs="Arial"/>
            <w:noProof/>
            <w:webHidden/>
            <w:sz w:val="22"/>
            <w:szCs w:val="22"/>
          </w:rPr>
          <w:instrText xml:space="preserve"> PAGEREF _Toc431917481 \h </w:instrText>
        </w:r>
        <w:r w:rsidR="00424BEA" w:rsidRPr="00424BEA">
          <w:rPr>
            <w:rFonts w:ascii="Arial" w:hAnsi="Arial" w:cs="Arial"/>
            <w:noProof/>
            <w:webHidden/>
            <w:sz w:val="22"/>
            <w:szCs w:val="22"/>
          </w:rPr>
        </w:r>
        <w:r w:rsidR="00424BEA" w:rsidRPr="00424BEA">
          <w:rPr>
            <w:rFonts w:ascii="Arial" w:hAnsi="Arial" w:cs="Arial"/>
            <w:noProof/>
            <w:webHidden/>
            <w:sz w:val="22"/>
            <w:szCs w:val="22"/>
          </w:rPr>
          <w:fldChar w:fldCharType="separate"/>
        </w:r>
        <w:r w:rsidR="00424BEA" w:rsidRPr="00424BEA">
          <w:rPr>
            <w:rFonts w:ascii="Arial" w:hAnsi="Arial" w:cs="Arial"/>
            <w:noProof/>
            <w:webHidden/>
            <w:sz w:val="22"/>
            <w:szCs w:val="22"/>
          </w:rPr>
          <w:t>73</w:t>
        </w:r>
        <w:r w:rsidR="00424BEA" w:rsidRPr="00424BEA">
          <w:rPr>
            <w:rFonts w:ascii="Arial" w:hAnsi="Arial" w:cs="Arial"/>
            <w:noProof/>
            <w:webHidden/>
            <w:sz w:val="22"/>
            <w:szCs w:val="22"/>
          </w:rPr>
          <w:fldChar w:fldCharType="end"/>
        </w:r>
      </w:hyperlink>
    </w:p>
    <w:p w14:paraId="5C4C8FCF" w14:textId="77777777" w:rsidR="00424BEA" w:rsidRPr="00424BEA" w:rsidRDefault="009A7DB9" w:rsidP="00424BEA">
      <w:pPr>
        <w:pStyle w:val="TableofFigures"/>
        <w:tabs>
          <w:tab w:val="right" w:leader="dot" w:pos="8778"/>
        </w:tabs>
        <w:spacing w:line="360" w:lineRule="auto"/>
        <w:jc w:val="both"/>
        <w:rPr>
          <w:rFonts w:ascii="Arial" w:eastAsiaTheme="minorEastAsia" w:hAnsi="Arial" w:cs="Arial"/>
          <w:b w:val="0"/>
          <w:bCs w:val="0"/>
          <w:noProof/>
          <w:sz w:val="22"/>
          <w:szCs w:val="22"/>
          <w:lang w:val="en-US" w:eastAsia="en-US"/>
        </w:rPr>
      </w:pPr>
      <w:hyperlink w:anchor="_Toc431917482" w:history="1">
        <w:r w:rsidR="00424BEA" w:rsidRPr="00424BEA">
          <w:rPr>
            <w:rStyle w:val="Hyperlink"/>
            <w:rFonts w:ascii="Arial" w:hAnsi="Arial" w:cs="Arial"/>
            <w:noProof/>
            <w:sz w:val="22"/>
            <w:szCs w:val="22"/>
          </w:rPr>
          <w:t>Table 22</w:t>
        </w:r>
        <w:r w:rsidR="00424BEA" w:rsidRPr="00424BEA">
          <w:rPr>
            <w:rStyle w:val="Hyperlink"/>
            <w:rFonts w:ascii="Arial" w:hAnsi="Arial" w:cs="Arial"/>
            <w:noProof/>
            <w:sz w:val="22"/>
            <w:szCs w:val="22"/>
            <w:lang w:val="en-US"/>
          </w:rPr>
          <w:t xml:space="preserve"> -</w:t>
        </w:r>
        <w:r w:rsidR="00424BEA" w:rsidRPr="00424BEA">
          <w:rPr>
            <w:rStyle w:val="Hyperlink"/>
            <w:rFonts w:ascii="Arial" w:eastAsiaTheme="minorHAnsi" w:hAnsi="Arial" w:cs="Arial"/>
            <w:noProof/>
            <w:sz w:val="22"/>
            <w:szCs w:val="22"/>
            <w:lang w:val="en-GB" w:eastAsia="en-US"/>
          </w:rPr>
          <w:t xml:space="preserve"> Speech in noise comparator</w:t>
        </w:r>
        <w:r w:rsidR="00424BEA" w:rsidRPr="00424BEA">
          <w:rPr>
            <w:rFonts w:ascii="Arial" w:hAnsi="Arial" w:cs="Arial"/>
            <w:noProof/>
            <w:webHidden/>
            <w:sz w:val="22"/>
            <w:szCs w:val="22"/>
          </w:rPr>
          <w:tab/>
        </w:r>
        <w:r w:rsidR="00424BEA" w:rsidRPr="00424BEA">
          <w:rPr>
            <w:rFonts w:ascii="Arial" w:hAnsi="Arial" w:cs="Arial"/>
            <w:noProof/>
            <w:webHidden/>
            <w:sz w:val="22"/>
            <w:szCs w:val="22"/>
          </w:rPr>
          <w:fldChar w:fldCharType="begin"/>
        </w:r>
        <w:r w:rsidR="00424BEA" w:rsidRPr="00424BEA">
          <w:rPr>
            <w:rFonts w:ascii="Arial" w:hAnsi="Arial" w:cs="Arial"/>
            <w:noProof/>
            <w:webHidden/>
            <w:sz w:val="22"/>
            <w:szCs w:val="22"/>
          </w:rPr>
          <w:instrText xml:space="preserve"> PAGEREF _Toc431917482 \h </w:instrText>
        </w:r>
        <w:r w:rsidR="00424BEA" w:rsidRPr="00424BEA">
          <w:rPr>
            <w:rFonts w:ascii="Arial" w:hAnsi="Arial" w:cs="Arial"/>
            <w:noProof/>
            <w:webHidden/>
            <w:sz w:val="22"/>
            <w:szCs w:val="22"/>
          </w:rPr>
        </w:r>
        <w:r w:rsidR="00424BEA" w:rsidRPr="00424BEA">
          <w:rPr>
            <w:rFonts w:ascii="Arial" w:hAnsi="Arial" w:cs="Arial"/>
            <w:noProof/>
            <w:webHidden/>
            <w:sz w:val="22"/>
            <w:szCs w:val="22"/>
          </w:rPr>
          <w:fldChar w:fldCharType="separate"/>
        </w:r>
        <w:r w:rsidR="00424BEA" w:rsidRPr="00424BEA">
          <w:rPr>
            <w:rFonts w:ascii="Arial" w:hAnsi="Arial" w:cs="Arial"/>
            <w:noProof/>
            <w:webHidden/>
            <w:sz w:val="22"/>
            <w:szCs w:val="22"/>
          </w:rPr>
          <w:t>75</w:t>
        </w:r>
        <w:r w:rsidR="00424BEA" w:rsidRPr="00424BEA">
          <w:rPr>
            <w:rFonts w:ascii="Arial" w:hAnsi="Arial" w:cs="Arial"/>
            <w:noProof/>
            <w:webHidden/>
            <w:sz w:val="22"/>
            <w:szCs w:val="22"/>
          </w:rPr>
          <w:fldChar w:fldCharType="end"/>
        </w:r>
      </w:hyperlink>
    </w:p>
    <w:p w14:paraId="0035F1E3" w14:textId="77777777" w:rsidR="00424BEA" w:rsidRPr="00424BEA" w:rsidRDefault="009A7DB9" w:rsidP="00424BEA">
      <w:pPr>
        <w:pStyle w:val="TableofFigures"/>
        <w:tabs>
          <w:tab w:val="right" w:leader="dot" w:pos="8778"/>
        </w:tabs>
        <w:spacing w:line="360" w:lineRule="auto"/>
        <w:jc w:val="both"/>
        <w:rPr>
          <w:rFonts w:ascii="Arial" w:eastAsiaTheme="minorEastAsia" w:hAnsi="Arial" w:cs="Arial"/>
          <w:b w:val="0"/>
          <w:bCs w:val="0"/>
          <w:noProof/>
          <w:sz w:val="22"/>
          <w:szCs w:val="22"/>
          <w:lang w:val="en-US" w:eastAsia="en-US"/>
        </w:rPr>
      </w:pPr>
      <w:hyperlink w:anchor="_Toc431917483" w:history="1">
        <w:r w:rsidR="00424BEA" w:rsidRPr="00424BEA">
          <w:rPr>
            <w:rStyle w:val="Hyperlink"/>
            <w:rFonts w:ascii="Arial" w:hAnsi="Arial" w:cs="Arial"/>
            <w:noProof/>
            <w:sz w:val="22"/>
            <w:szCs w:val="22"/>
          </w:rPr>
          <w:t>Table 23</w:t>
        </w:r>
        <w:r w:rsidR="00424BEA" w:rsidRPr="00424BEA">
          <w:rPr>
            <w:rStyle w:val="Hyperlink"/>
            <w:rFonts w:ascii="Arial" w:hAnsi="Arial" w:cs="Arial"/>
            <w:noProof/>
            <w:sz w:val="22"/>
            <w:szCs w:val="22"/>
            <w:lang w:val="en-US"/>
          </w:rPr>
          <w:t xml:space="preserve"> - </w:t>
        </w:r>
        <w:r w:rsidR="00424BEA" w:rsidRPr="00424BEA">
          <w:rPr>
            <w:rStyle w:val="Hyperlink"/>
            <w:rFonts w:ascii="Arial" w:eastAsiaTheme="minorHAnsi" w:hAnsi="Arial" w:cs="Arial"/>
            <w:noProof/>
            <w:sz w:val="22"/>
            <w:szCs w:val="22"/>
            <w:lang w:val="en-GB" w:eastAsia="en-US"/>
          </w:rPr>
          <w:t>Subjective outcomes VSB</w:t>
        </w:r>
        <w:r w:rsidR="00424BEA" w:rsidRPr="00424BEA">
          <w:rPr>
            <w:rFonts w:ascii="Arial" w:hAnsi="Arial" w:cs="Arial"/>
            <w:noProof/>
            <w:webHidden/>
            <w:sz w:val="22"/>
            <w:szCs w:val="22"/>
          </w:rPr>
          <w:tab/>
        </w:r>
        <w:r w:rsidR="00424BEA" w:rsidRPr="00424BEA">
          <w:rPr>
            <w:rFonts w:ascii="Arial" w:hAnsi="Arial" w:cs="Arial"/>
            <w:noProof/>
            <w:webHidden/>
            <w:sz w:val="22"/>
            <w:szCs w:val="22"/>
          </w:rPr>
          <w:fldChar w:fldCharType="begin"/>
        </w:r>
        <w:r w:rsidR="00424BEA" w:rsidRPr="00424BEA">
          <w:rPr>
            <w:rFonts w:ascii="Arial" w:hAnsi="Arial" w:cs="Arial"/>
            <w:noProof/>
            <w:webHidden/>
            <w:sz w:val="22"/>
            <w:szCs w:val="22"/>
          </w:rPr>
          <w:instrText xml:space="preserve"> PAGEREF _Toc431917483 \h </w:instrText>
        </w:r>
        <w:r w:rsidR="00424BEA" w:rsidRPr="00424BEA">
          <w:rPr>
            <w:rFonts w:ascii="Arial" w:hAnsi="Arial" w:cs="Arial"/>
            <w:noProof/>
            <w:webHidden/>
            <w:sz w:val="22"/>
            <w:szCs w:val="22"/>
          </w:rPr>
        </w:r>
        <w:r w:rsidR="00424BEA" w:rsidRPr="00424BEA">
          <w:rPr>
            <w:rFonts w:ascii="Arial" w:hAnsi="Arial" w:cs="Arial"/>
            <w:noProof/>
            <w:webHidden/>
            <w:sz w:val="22"/>
            <w:szCs w:val="22"/>
          </w:rPr>
          <w:fldChar w:fldCharType="separate"/>
        </w:r>
        <w:r w:rsidR="00424BEA" w:rsidRPr="00424BEA">
          <w:rPr>
            <w:rFonts w:ascii="Arial" w:hAnsi="Arial" w:cs="Arial"/>
            <w:noProof/>
            <w:webHidden/>
            <w:sz w:val="22"/>
            <w:szCs w:val="22"/>
          </w:rPr>
          <w:t>77</w:t>
        </w:r>
        <w:r w:rsidR="00424BEA" w:rsidRPr="00424BEA">
          <w:rPr>
            <w:rFonts w:ascii="Arial" w:hAnsi="Arial" w:cs="Arial"/>
            <w:noProof/>
            <w:webHidden/>
            <w:sz w:val="22"/>
            <w:szCs w:val="22"/>
          </w:rPr>
          <w:fldChar w:fldCharType="end"/>
        </w:r>
      </w:hyperlink>
    </w:p>
    <w:p w14:paraId="308D4458" w14:textId="77777777" w:rsidR="00424BEA" w:rsidRPr="00424BEA" w:rsidRDefault="009A7DB9" w:rsidP="00424BEA">
      <w:pPr>
        <w:pStyle w:val="TableofFigures"/>
        <w:tabs>
          <w:tab w:val="right" w:leader="dot" w:pos="8778"/>
        </w:tabs>
        <w:spacing w:line="360" w:lineRule="auto"/>
        <w:jc w:val="both"/>
        <w:rPr>
          <w:rFonts w:ascii="Arial" w:eastAsiaTheme="minorEastAsia" w:hAnsi="Arial" w:cs="Arial"/>
          <w:b w:val="0"/>
          <w:bCs w:val="0"/>
          <w:noProof/>
          <w:sz w:val="22"/>
          <w:szCs w:val="22"/>
          <w:lang w:val="en-US" w:eastAsia="en-US"/>
        </w:rPr>
      </w:pPr>
      <w:hyperlink w:anchor="_Toc431917484" w:history="1">
        <w:r w:rsidR="00424BEA" w:rsidRPr="00424BEA">
          <w:rPr>
            <w:rStyle w:val="Hyperlink"/>
            <w:rFonts w:ascii="Arial" w:hAnsi="Arial" w:cs="Arial"/>
            <w:noProof/>
            <w:sz w:val="22"/>
            <w:szCs w:val="22"/>
          </w:rPr>
          <w:t>Table 24</w:t>
        </w:r>
        <w:r w:rsidR="00424BEA" w:rsidRPr="00424BEA">
          <w:rPr>
            <w:rStyle w:val="Hyperlink"/>
            <w:rFonts w:ascii="Arial" w:hAnsi="Arial" w:cs="Arial"/>
            <w:noProof/>
            <w:sz w:val="22"/>
            <w:szCs w:val="22"/>
            <w:lang w:val="en-US"/>
          </w:rPr>
          <w:t xml:space="preserve"> - </w:t>
        </w:r>
        <w:r w:rsidR="00424BEA" w:rsidRPr="00424BEA">
          <w:rPr>
            <w:rStyle w:val="Hyperlink"/>
            <w:rFonts w:ascii="Arial" w:eastAsiaTheme="minorHAnsi" w:hAnsi="Arial" w:cs="Arial"/>
            <w:noProof/>
            <w:sz w:val="22"/>
            <w:szCs w:val="22"/>
            <w:lang w:val="en-GB" w:eastAsia="en-US"/>
          </w:rPr>
          <w:t>Subjective outcomes VSB pooled</w:t>
        </w:r>
        <w:r w:rsidR="00424BEA" w:rsidRPr="00424BEA">
          <w:rPr>
            <w:rFonts w:ascii="Arial" w:hAnsi="Arial" w:cs="Arial"/>
            <w:noProof/>
            <w:webHidden/>
            <w:sz w:val="22"/>
            <w:szCs w:val="22"/>
          </w:rPr>
          <w:tab/>
        </w:r>
        <w:r w:rsidR="00424BEA" w:rsidRPr="00424BEA">
          <w:rPr>
            <w:rFonts w:ascii="Arial" w:hAnsi="Arial" w:cs="Arial"/>
            <w:noProof/>
            <w:webHidden/>
            <w:sz w:val="22"/>
            <w:szCs w:val="22"/>
          </w:rPr>
          <w:fldChar w:fldCharType="begin"/>
        </w:r>
        <w:r w:rsidR="00424BEA" w:rsidRPr="00424BEA">
          <w:rPr>
            <w:rFonts w:ascii="Arial" w:hAnsi="Arial" w:cs="Arial"/>
            <w:noProof/>
            <w:webHidden/>
            <w:sz w:val="22"/>
            <w:szCs w:val="22"/>
          </w:rPr>
          <w:instrText xml:space="preserve"> PAGEREF _Toc431917484 \h </w:instrText>
        </w:r>
        <w:r w:rsidR="00424BEA" w:rsidRPr="00424BEA">
          <w:rPr>
            <w:rFonts w:ascii="Arial" w:hAnsi="Arial" w:cs="Arial"/>
            <w:noProof/>
            <w:webHidden/>
            <w:sz w:val="22"/>
            <w:szCs w:val="22"/>
          </w:rPr>
        </w:r>
        <w:r w:rsidR="00424BEA" w:rsidRPr="00424BEA">
          <w:rPr>
            <w:rFonts w:ascii="Arial" w:hAnsi="Arial" w:cs="Arial"/>
            <w:noProof/>
            <w:webHidden/>
            <w:sz w:val="22"/>
            <w:szCs w:val="22"/>
          </w:rPr>
          <w:fldChar w:fldCharType="separate"/>
        </w:r>
        <w:r w:rsidR="00424BEA" w:rsidRPr="00424BEA">
          <w:rPr>
            <w:rFonts w:ascii="Arial" w:hAnsi="Arial" w:cs="Arial"/>
            <w:noProof/>
            <w:webHidden/>
            <w:sz w:val="22"/>
            <w:szCs w:val="22"/>
          </w:rPr>
          <w:t>78</w:t>
        </w:r>
        <w:r w:rsidR="00424BEA" w:rsidRPr="00424BEA">
          <w:rPr>
            <w:rFonts w:ascii="Arial" w:hAnsi="Arial" w:cs="Arial"/>
            <w:noProof/>
            <w:webHidden/>
            <w:sz w:val="22"/>
            <w:szCs w:val="22"/>
          </w:rPr>
          <w:fldChar w:fldCharType="end"/>
        </w:r>
      </w:hyperlink>
    </w:p>
    <w:p w14:paraId="3683A442" w14:textId="77777777" w:rsidR="00424BEA" w:rsidRPr="00424BEA" w:rsidRDefault="009A7DB9" w:rsidP="00424BEA">
      <w:pPr>
        <w:pStyle w:val="TableofFigures"/>
        <w:tabs>
          <w:tab w:val="right" w:leader="dot" w:pos="8778"/>
        </w:tabs>
        <w:spacing w:line="360" w:lineRule="auto"/>
        <w:jc w:val="both"/>
        <w:rPr>
          <w:rFonts w:ascii="Arial" w:eastAsiaTheme="minorEastAsia" w:hAnsi="Arial" w:cs="Arial"/>
          <w:b w:val="0"/>
          <w:bCs w:val="0"/>
          <w:noProof/>
          <w:sz w:val="22"/>
          <w:szCs w:val="22"/>
          <w:lang w:val="en-US" w:eastAsia="en-US"/>
        </w:rPr>
      </w:pPr>
      <w:hyperlink w:anchor="_Toc431917485" w:history="1">
        <w:r w:rsidR="00424BEA" w:rsidRPr="00424BEA">
          <w:rPr>
            <w:rStyle w:val="Hyperlink"/>
            <w:rFonts w:ascii="Arial" w:hAnsi="Arial" w:cs="Arial"/>
            <w:noProof/>
            <w:sz w:val="22"/>
            <w:szCs w:val="22"/>
          </w:rPr>
          <w:t>Table 25</w:t>
        </w:r>
        <w:r w:rsidR="00424BEA" w:rsidRPr="00424BEA">
          <w:rPr>
            <w:rStyle w:val="Hyperlink"/>
            <w:rFonts w:ascii="Arial" w:hAnsi="Arial" w:cs="Arial"/>
            <w:noProof/>
            <w:sz w:val="22"/>
            <w:szCs w:val="22"/>
            <w:lang w:val="en-US"/>
          </w:rPr>
          <w:t xml:space="preserve"> -</w:t>
        </w:r>
        <w:r w:rsidR="00424BEA" w:rsidRPr="00424BEA">
          <w:rPr>
            <w:rStyle w:val="Hyperlink"/>
            <w:rFonts w:ascii="Arial" w:eastAsiaTheme="minorHAnsi" w:hAnsi="Arial" w:cs="Arial"/>
            <w:noProof/>
            <w:sz w:val="22"/>
            <w:szCs w:val="22"/>
            <w:lang w:val="en-GB" w:eastAsia="en-US"/>
          </w:rPr>
          <w:t xml:space="preserve"> Subjective outcomes comparator</w:t>
        </w:r>
        <w:r w:rsidR="00424BEA" w:rsidRPr="00424BEA">
          <w:rPr>
            <w:rFonts w:ascii="Arial" w:hAnsi="Arial" w:cs="Arial"/>
            <w:noProof/>
            <w:webHidden/>
            <w:sz w:val="22"/>
            <w:szCs w:val="22"/>
          </w:rPr>
          <w:tab/>
        </w:r>
        <w:r w:rsidR="00424BEA" w:rsidRPr="00424BEA">
          <w:rPr>
            <w:rFonts w:ascii="Arial" w:hAnsi="Arial" w:cs="Arial"/>
            <w:noProof/>
            <w:webHidden/>
            <w:sz w:val="22"/>
            <w:szCs w:val="22"/>
          </w:rPr>
          <w:fldChar w:fldCharType="begin"/>
        </w:r>
        <w:r w:rsidR="00424BEA" w:rsidRPr="00424BEA">
          <w:rPr>
            <w:rFonts w:ascii="Arial" w:hAnsi="Arial" w:cs="Arial"/>
            <w:noProof/>
            <w:webHidden/>
            <w:sz w:val="22"/>
            <w:szCs w:val="22"/>
          </w:rPr>
          <w:instrText xml:space="preserve"> PAGEREF _Toc431917485 \h </w:instrText>
        </w:r>
        <w:r w:rsidR="00424BEA" w:rsidRPr="00424BEA">
          <w:rPr>
            <w:rFonts w:ascii="Arial" w:hAnsi="Arial" w:cs="Arial"/>
            <w:noProof/>
            <w:webHidden/>
            <w:sz w:val="22"/>
            <w:szCs w:val="22"/>
          </w:rPr>
        </w:r>
        <w:r w:rsidR="00424BEA" w:rsidRPr="00424BEA">
          <w:rPr>
            <w:rFonts w:ascii="Arial" w:hAnsi="Arial" w:cs="Arial"/>
            <w:noProof/>
            <w:webHidden/>
            <w:sz w:val="22"/>
            <w:szCs w:val="22"/>
          </w:rPr>
          <w:fldChar w:fldCharType="separate"/>
        </w:r>
        <w:r w:rsidR="00424BEA" w:rsidRPr="00424BEA">
          <w:rPr>
            <w:rFonts w:ascii="Arial" w:hAnsi="Arial" w:cs="Arial"/>
            <w:noProof/>
            <w:webHidden/>
            <w:sz w:val="22"/>
            <w:szCs w:val="22"/>
          </w:rPr>
          <w:t>79</w:t>
        </w:r>
        <w:r w:rsidR="00424BEA" w:rsidRPr="00424BEA">
          <w:rPr>
            <w:rFonts w:ascii="Arial" w:hAnsi="Arial" w:cs="Arial"/>
            <w:noProof/>
            <w:webHidden/>
            <w:sz w:val="22"/>
            <w:szCs w:val="22"/>
          </w:rPr>
          <w:fldChar w:fldCharType="end"/>
        </w:r>
      </w:hyperlink>
    </w:p>
    <w:p w14:paraId="73415A5B" w14:textId="77777777" w:rsidR="00424BEA" w:rsidRPr="00424BEA" w:rsidRDefault="009A7DB9" w:rsidP="00424BEA">
      <w:pPr>
        <w:pStyle w:val="TableofFigures"/>
        <w:tabs>
          <w:tab w:val="right" w:leader="dot" w:pos="8778"/>
        </w:tabs>
        <w:spacing w:line="360" w:lineRule="auto"/>
        <w:jc w:val="both"/>
        <w:rPr>
          <w:rFonts w:ascii="Arial" w:eastAsiaTheme="minorEastAsia" w:hAnsi="Arial" w:cs="Arial"/>
          <w:b w:val="0"/>
          <w:bCs w:val="0"/>
          <w:noProof/>
          <w:sz w:val="22"/>
          <w:szCs w:val="22"/>
          <w:lang w:val="en-US" w:eastAsia="en-US"/>
        </w:rPr>
      </w:pPr>
      <w:hyperlink w:anchor="_Toc431917486" w:history="1">
        <w:r w:rsidR="00424BEA" w:rsidRPr="00424BEA">
          <w:rPr>
            <w:rStyle w:val="Hyperlink"/>
            <w:rFonts w:ascii="Arial" w:hAnsi="Arial" w:cs="Arial"/>
            <w:noProof/>
            <w:sz w:val="22"/>
            <w:szCs w:val="22"/>
          </w:rPr>
          <w:t>Table 26</w:t>
        </w:r>
        <w:r w:rsidR="00424BEA" w:rsidRPr="00424BEA">
          <w:rPr>
            <w:rStyle w:val="Hyperlink"/>
            <w:rFonts w:ascii="Arial" w:hAnsi="Arial" w:cs="Arial"/>
            <w:noProof/>
            <w:sz w:val="22"/>
            <w:szCs w:val="22"/>
            <w:lang w:val="de-AT"/>
          </w:rPr>
          <w:t xml:space="preserve"> - </w:t>
        </w:r>
        <w:r w:rsidR="00424BEA" w:rsidRPr="00424BEA">
          <w:rPr>
            <w:rStyle w:val="Hyperlink"/>
            <w:rFonts w:ascii="Arial" w:eastAsiaTheme="minorHAnsi" w:hAnsi="Arial" w:cs="Arial"/>
            <w:noProof/>
            <w:sz w:val="22"/>
            <w:szCs w:val="22"/>
            <w:lang w:val="en-GB" w:eastAsia="en-US"/>
          </w:rPr>
          <w:t>Adverse events VSB</w:t>
        </w:r>
        <w:r w:rsidR="00424BEA" w:rsidRPr="00424BEA">
          <w:rPr>
            <w:rFonts w:ascii="Arial" w:hAnsi="Arial" w:cs="Arial"/>
            <w:noProof/>
            <w:webHidden/>
            <w:sz w:val="22"/>
            <w:szCs w:val="22"/>
          </w:rPr>
          <w:tab/>
        </w:r>
        <w:r w:rsidR="00424BEA" w:rsidRPr="00424BEA">
          <w:rPr>
            <w:rFonts w:ascii="Arial" w:hAnsi="Arial" w:cs="Arial"/>
            <w:noProof/>
            <w:webHidden/>
            <w:sz w:val="22"/>
            <w:szCs w:val="22"/>
          </w:rPr>
          <w:fldChar w:fldCharType="begin"/>
        </w:r>
        <w:r w:rsidR="00424BEA" w:rsidRPr="00424BEA">
          <w:rPr>
            <w:rFonts w:ascii="Arial" w:hAnsi="Arial" w:cs="Arial"/>
            <w:noProof/>
            <w:webHidden/>
            <w:sz w:val="22"/>
            <w:szCs w:val="22"/>
          </w:rPr>
          <w:instrText xml:space="preserve"> PAGEREF _Toc431917486 \h </w:instrText>
        </w:r>
        <w:r w:rsidR="00424BEA" w:rsidRPr="00424BEA">
          <w:rPr>
            <w:rFonts w:ascii="Arial" w:hAnsi="Arial" w:cs="Arial"/>
            <w:noProof/>
            <w:webHidden/>
            <w:sz w:val="22"/>
            <w:szCs w:val="22"/>
          </w:rPr>
        </w:r>
        <w:r w:rsidR="00424BEA" w:rsidRPr="00424BEA">
          <w:rPr>
            <w:rFonts w:ascii="Arial" w:hAnsi="Arial" w:cs="Arial"/>
            <w:noProof/>
            <w:webHidden/>
            <w:sz w:val="22"/>
            <w:szCs w:val="22"/>
          </w:rPr>
          <w:fldChar w:fldCharType="separate"/>
        </w:r>
        <w:r w:rsidR="00424BEA" w:rsidRPr="00424BEA">
          <w:rPr>
            <w:rFonts w:ascii="Arial" w:hAnsi="Arial" w:cs="Arial"/>
            <w:noProof/>
            <w:webHidden/>
            <w:sz w:val="22"/>
            <w:szCs w:val="22"/>
          </w:rPr>
          <w:t>81</w:t>
        </w:r>
        <w:r w:rsidR="00424BEA" w:rsidRPr="00424BEA">
          <w:rPr>
            <w:rFonts w:ascii="Arial" w:hAnsi="Arial" w:cs="Arial"/>
            <w:noProof/>
            <w:webHidden/>
            <w:sz w:val="22"/>
            <w:szCs w:val="22"/>
          </w:rPr>
          <w:fldChar w:fldCharType="end"/>
        </w:r>
      </w:hyperlink>
    </w:p>
    <w:p w14:paraId="2D3441DB" w14:textId="77777777" w:rsidR="00424BEA" w:rsidRPr="00424BEA" w:rsidRDefault="009A7DB9" w:rsidP="00424BEA">
      <w:pPr>
        <w:pStyle w:val="TableofFigures"/>
        <w:tabs>
          <w:tab w:val="right" w:leader="dot" w:pos="8778"/>
        </w:tabs>
        <w:spacing w:line="360" w:lineRule="auto"/>
        <w:jc w:val="both"/>
        <w:rPr>
          <w:rFonts w:ascii="Arial" w:eastAsiaTheme="minorEastAsia" w:hAnsi="Arial" w:cs="Arial"/>
          <w:b w:val="0"/>
          <w:bCs w:val="0"/>
          <w:noProof/>
          <w:sz w:val="22"/>
          <w:szCs w:val="22"/>
          <w:lang w:val="en-US" w:eastAsia="en-US"/>
        </w:rPr>
      </w:pPr>
      <w:hyperlink w:anchor="_Toc431917487" w:history="1">
        <w:r w:rsidR="00424BEA" w:rsidRPr="00424BEA">
          <w:rPr>
            <w:rStyle w:val="Hyperlink"/>
            <w:rFonts w:ascii="Arial" w:hAnsi="Arial" w:cs="Arial"/>
            <w:noProof/>
            <w:sz w:val="22"/>
            <w:szCs w:val="22"/>
          </w:rPr>
          <w:t>Table 27</w:t>
        </w:r>
        <w:r w:rsidR="00424BEA" w:rsidRPr="00424BEA">
          <w:rPr>
            <w:rStyle w:val="Hyperlink"/>
            <w:rFonts w:ascii="Arial" w:hAnsi="Arial" w:cs="Arial"/>
            <w:noProof/>
            <w:sz w:val="22"/>
            <w:szCs w:val="22"/>
            <w:lang w:val="de-AT"/>
          </w:rPr>
          <w:t xml:space="preserve"> - </w:t>
        </w:r>
        <w:r w:rsidR="00424BEA" w:rsidRPr="00424BEA">
          <w:rPr>
            <w:rStyle w:val="Hyperlink"/>
            <w:rFonts w:ascii="Arial" w:eastAsiaTheme="minorHAnsi" w:hAnsi="Arial" w:cs="Arial"/>
            <w:noProof/>
            <w:sz w:val="22"/>
            <w:szCs w:val="22"/>
            <w:lang w:val="en-GB" w:eastAsia="en-US"/>
          </w:rPr>
          <w:t>Adverse events comparator</w:t>
        </w:r>
        <w:r w:rsidR="00424BEA" w:rsidRPr="00424BEA">
          <w:rPr>
            <w:rFonts w:ascii="Arial" w:hAnsi="Arial" w:cs="Arial"/>
            <w:noProof/>
            <w:webHidden/>
            <w:sz w:val="22"/>
            <w:szCs w:val="22"/>
          </w:rPr>
          <w:tab/>
        </w:r>
        <w:r w:rsidR="00424BEA" w:rsidRPr="00424BEA">
          <w:rPr>
            <w:rFonts w:ascii="Arial" w:hAnsi="Arial" w:cs="Arial"/>
            <w:noProof/>
            <w:webHidden/>
            <w:sz w:val="22"/>
            <w:szCs w:val="22"/>
          </w:rPr>
          <w:fldChar w:fldCharType="begin"/>
        </w:r>
        <w:r w:rsidR="00424BEA" w:rsidRPr="00424BEA">
          <w:rPr>
            <w:rFonts w:ascii="Arial" w:hAnsi="Arial" w:cs="Arial"/>
            <w:noProof/>
            <w:webHidden/>
            <w:sz w:val="22"/>
            <w:szCs w:val="22"/>
          </w:rPr>
          <w:instrText xml:space="preserve"> PAGEREF _Toc431917487 \h </w:instrText>
        </w:r>
        <w:r w:rsidR="00424BEA" w:rsidRPr="00424BEA">
          <w:rPr>
            <w:rFonts w:ascii="Arial" w:hAnsi="Arial" w:cs="Arial"/>
            <w:noProof/>
            <w:webHidden/>
            <w:sz w:val="22"/>
            <w:szCs w:val="22"/>
          </w:rPr>
        </w:r>
        <w:r w:rsidR="00424BEA" w:rsidRPr="00424BEA">
          <w:rPr>
            <w:rFonts w:ascii="Arial" w:hAnsi="Arial" w:cs="Arial"/>
            <w:noProof/>
            <w:webHidden/>
            <w:sz w:val="22"/>
            <w:szCs w:val="22"/>
          </w:rPr>
          <w:fldChar w:fldCharType="separate"/>
        </w:r>
        <w:r w:rsidR="00424BEA" w:rsidRPr="00424BEA">
          <w:rPr>
            <w:rFonts w:ascii="Arial" w:hAnsi="Arial" w:cs="Arial"/>
            <w:noProof/>
            <w:webHidden/>
            <w:sz w:val="22"/>
            <w:szCs w:val="22"/>
          </w:rPr>
          <w:t>82</w:t>
        </w:r>
        <w:r w:rsidR="00424BEA" w:rsidRPr="00424BEA">
          <w:rPr>
            <w:rFonts w:ascii="Arial" w:hAnsi="Arial" w:cs="Arial"/>
            <w:noProof/>
            <w:webHidden/>
            <w:sz w:val="22"/>
            <w:szCs w:val="22"/>
          </w:rPr>
          <w:fldChar w:fldCharType="end"/>
        </w:r>
      </w:hyperlink>
    </w:p>
    <w:p w14:paraId="48CF3E82" w14:textId="77777777" w:rsidR="00424BEA" w:rsidRPr="00424BEA" w:rsidRDefault="009A7DB9" w:rsidP="00424BEA">
      <w:pPr>
        <w:pStyle w:val="TableofFigures"/>
        <w:tabs>
          <w:tab w:val="right" w:leader="dot" w:pos="8778"/>
        </w:tabs>
        <w:spacing w:line="360" w:lineRule="auto"/>
        <w:jc w:val="both"/>
        <w:rPr>
          <w:rFonts w:ascii="Arial" w:eastAsiaTheme="minorEastAsia" w:hAnsi="Arial" w:cs="Arial"/>
          <w:b w:val="0"/>
          <w:bCs w:val="0"/>
          <w:noProof/>
          <w:sz w:val="22"/>
          <w:szCs w:val="22"/>
          <w:lang w:val="en-US" w:eastAsia="en-US"/>
        </w:rPr>
      </w:pPr>
      <w:hyperlink w:anchor="_Toc431917488" w:history="1">
        <w:r w:rsidR="00424BEA" w:rsidRPr="00424BEA">
          <w:rPr>
            <w:rStyle w:val="Hyperlink"/>
            <w:rFonts w:ascii="Arial" w:hAnsi="Arial" w:cs="Arial"/>
            <w:noProof/>
            <w:sz w:val="22"/>
            <w:szCs w:val="22"/>
          </w:rPr>
          <w:t>Table 28</w:t>
        </w:r>
        <w:r w:rsidR="00424BEA" w:rsidRPr="00424BEA">
          <w:rPr>
            <w:rStyle w:val="Hyperlink"/>
            <w:rFonts w:ascii="Arial" w:hAnsi="Arial" w:cs="Arial"/>
            <w:noProof/>
            <w:sz w:val="22"/>
            <w:szCs w:val="22"/>
            <w:lang w:val="en-US"/>
          </w:rPr>
          <w:t xml:space="preserve"> - </w:t>
        </w:r>
        <w:r w:rsidR="00424BEA" w:rsidRPr="00424BEA">
          <w:rPr>
            <w:rStyle w:val="Hyperlink"/>
            <w:rFonts w:ascii="Arial" w:hAnsi="Arial" w:cs="Arial"/>
            <w:noProof/>
            <w:sz w:val="22"/>
            <w:szCs w:val="22"/>
          </w:rPr>
          <w:t>Summary of the evidence base supporting the therapeutic</w:t>
        </w:r>
        <w:r w:rsidR="00424BEA" w:rsidRPr="00424BEA">
          <w:rPr>
            <w:rStyle w:val="Hyperlink"/>
            <w:rFonts w:ascii="Arial" w:hAnsi="Arial" w:cs="Arial"/>
            <w:noProof/>
            <w:sz w:val="22"/>
            <w:szCs w:val="22"/>
            <w:lang w:val="en-US"/>
          </w:rPr>
          <w:t xml:space="preserve"> </w:t>
        </w:r>
        <w:r w:rsidR="00424BEA" w:rsidRPr="00424BEA">
          <w:rPr>
            <w:rStyle w:val="Hyperlink"/>
            <w:rFonts w:ascii="Arial" w:hAnsi="Arial" w:cs="Arial"/>
            <w:noProof/>
            <w:sz w:val="22"/>
            <w:szCs w:val="22"/>
          </w:rPr>
          <w:t>claims</w:t>
        </w:r>
        <w:r w:rsidR="00424BEA" w:rsidRPr="00424BEA">
          <w:rPr>
            <w:rFonts w:ascii="Arial" w:hAnsi="Arial" w:cs="Arial"/>
            <w:noProof/>
            <w:webHidden/>
            <w:sz w:val="22"/>
            <w:szCs w:val="22"/>
          </w:rPr>
          <w:tab/>
        </w:r>
        <w:r w:rsidR="00424BEA" w:rsidRPr="00424BEA">
          <w:rPr>
            <w:rFonts w:ascii="Arial" w:hAnsi="Arial" w:cs="Arial"/>
            <w:noProof/>
            <w:webHidden/>
            <w:sz w:val="22"/>
            <w:szCs w:val="22"/>
          </w:rPr>
          <w:fldChar w:fldCharType="begin"/>
        </w:r>
        <w:r w:rsidR="00424BEA" w:rsidRPr="00424BEA">
          <w:rPr>
            <w:rFonts w:ascii="Arial" w:hAnsi="Arial" w:cs="Arial"/>
            <w:noProof/>
            <w:webHidden/>
            <w:sz w:val="22"/>
            <w:szCs w:val="22"/>
          </w:rPr>
          <w:instrText xml:space="preserve"> PAGEREF _Toc431917488 \h </w:instrText>
        </w:r>
        <w:r w:rsidR="00424BEA" w:rsidRPr="00424BEA">
          <w:rPr>
            <w:rFonts w:ascii="Arial" w:hAnsi="Arial" w:cs="Arial"/>
            <w:noProof/>
            <w:webHidden/>
            <w:sz w:val="22"/>
            <w:szCs w:val="22"/>
          </w:rPr>
        </w:r>
        <w:r w:rsidR="00424BEA" w:rsidRPr="00424BEA">
          <w:rPr>
            <w:rFonts w:ascii="Arial" w:hAnsi="Arial" w:cs="Arial"/>
            <w:noProof/>
            <w:webHidden/>
            <w:sz w:val="22"/>
            <w:szCs w:val="22"/>
          </w:rPr>
          <w:fldChar w:fldCharType="separate"/>
        </w:r>
        <w:r w:rsidR="00424BEA" w:rsidRPr="00424BEA">
          <w:rPr>
            <w:rFonts w:ascii="Arial" w:hAnsi="Arial" w:cs="Arial"/>
            <w:noProof/>
            <w:webHidden/>
            <w:sz w:val="22"/>
            <w:szCs w:val="22"/>
          </w:rPr>
          <w:t>86</w:t>
        </w:r>
        <w:r w:rsidR="00424BEA" w:rsidRPr="00424BEA">
          <w:rPr>
            <w:rFonts w:ascii="Arial" w:hAnsi="Arial" w:cs="Arial"/>
            <w:noProof/>
            <w:webHidden/>
            <w:sz w:val="22"/>
            <w:szCs w:val="22"/>
          </w:rPr>
          <w:fldChar w:fldCharType="end"/>
        </w:r>
      </w:hyperlink>
    </w:p>
    <w:p w14:paraId="519DD3CC" w14:textId="77777777" w:rsidR="00424BEA" w:rsidRPr="00424BEA" w:rsidRDefault="009A7DB9" w:rsidP="00424BEA">
      <w:pPr>
        <w:pStyle w:val="TableofFigures"/>
        <w:tabs>
          <w:tab w:val="right" w:leader="dot" w:pos="8778"/>
        </w:tabs>
        <w:spacing w:line="360" w:lineRule="auto"/>
        <w:jc w:val="both"/>
        <w:rPr>
          <w:rFonts w:ascii="Arial" w:eastAsiaTheme="minorEastAsia" w:hAnsi="Arial" w:cs="Arial"/>
          <w:b w:val="0"/>
          <w:bCs w:val="0"/>
          <w:noProof/>
          <w:sz w:val="22"/>
          <w:szCs w:val="22"/>
          <w:lang w:val="en-US" w:eastAsia="en-US"/>
        </w:rPr>
      </w:pPr>
      <w:hyperlink w:anchor="_Toc431917489" w:history="1">
        <w:r w:rsidR="00424BEA" w:rsidRPr="00424BEA">
          <w:rPr>
            <w:rStyle w:val="Hyperlink"/>
            <w:rFonts w:ascii="Arial" w:hAnsi="Arial" w:cs="Arial"/>
            <w:noProof/>
            <w:sz w:val="22"/>
            <w:szCs w:val="22"/>
          </w:rPr>
          <w:t>Table 29 - Classification of an intervention for determination of economic evaluation to be presented</w:t>
        </w:r>
        <w:r w:rsidR="00424BEA" w:rsidRPr="00424BEA">
          <w:rPr>
            <w:rFonts w:ascii="Arial" w:hAnsi="Arial" w:cs="Arial"/>
            <w:noProof/>
            <w:webHidden/>
            <w:sz w:val="22"/>
            <w:szCs w:val="22"/>
          </w:rPr>
          <w:tab/>
        </w:r>
        <w:r w:rsidR="00424BEA" w:rsidRPr="00424BEA">
          <w:rPr>
            <w:rFonts w:ascii="Arial" w:hAnsi="Arial" w:cs="Arial"/>
            <w:noProof/>
            <w:webHidden/>
            <w:sz w:val="22"/>
            <w:szCs w:val="22"/>
          </w:rPr>
          <w:fldChar w:fldCharType="begin"/>
        </w:r>
        <w:r w:rsidR="00424BEA" w:rsidRPr="00424BEA">
          <w:rPr>
            <w:rFonts w:ascii="Arial" w:hAnsi="Arial" w:cs="Arial"/>
            <w:noProof/>
            <w:webHidden/>
            <w:sz w:val="22"/>
            <w:szCs w:val="22"/>
          </w:rPr>
          <w:instrText xml:space="preserve"> PAGEREF _Toc431917489 \h </w:instrText>
        </w:r>
        <w:r w:rsidR="00424BEA" w:rsidRPr="00424BEA">
          <w:rPr>
            <w:rFonts w:ascii="Arial" w:hAnsi="Arial" w:cs="Arial"/>
            <w:noProof/>
            <w:webHidden/>
            <w:sz w:val="22"/>
            <w:szCs w:val="22"/>
          </w:rPr>
        </w:r>
        <w:r w:rsidR="00424BEA" w:rsidRPr="00424BEA">
          <w:rPr>
            <w:rFonts w:ascii="Arial" w:hAnsi="Arial" w:cs="Arial"/>
            <w:noProof/>
            <w:webHidden/>
            <w:sz w:val="22"/>
            <w:szCs w:val="22"/>
          </w:rPr>
          <w:fldChar w:fldCharType="separate"/>
        </w:r>
        <w:r w:rsidR="00424BEA" w:rsidRPr="00424BEA">
          <w:rPr>
            <w:rFonts w:ascii="Arial" w:hAnsi="Arial" w:cs="Arial"/>
            <w:noProof/>
            <w:webHidden/>
            <w:sz w:val="22"/>
            <w:szCs w:val="22"/>
          </w:rPr>
          <w:t>94</w:t>
        </w:r>
        <w:r w:rsidR="00424BEA" w:rsidRPr="00424BEA">
          <w:rPr>
            <w:rFonts w:ascii="Arial" w:hAnsi="Arial" w:cs="Arial"/>
            <w:noProof/>
            <w:webHidden/>
            <w:sz w:val="22"/>
            <w:szCs w:val="22"/>
          </w:rPr>
          <w:fldChar w:fldCharType="end"/>
        </w:r>
      </w:hyperlink>
    </w:p>
    <w:p w14:paraId="2ED31965" w14:textId="77777777" w:rsidR="00424BEA" w:rsidRPr="00424BEA" w:rsidRDefault="009A7DB9" w:rsidP="00424BEA">
      <w:pPr>
        <w:pStyle w:val="TableofFigures"/>
        <w:tabs>
          <w:tab w:val="right" w:leader="dot" w:pos="8778"/>
        </w:tabs>
        <w:spacing w:line="360" w:lineRule="auto"/>
        <w:jc w:val="both"/>
        <w:rPr>
          <w:rFonts w:ascii="Arial" w:eastAsiaTheme="minorEastAsia" w:hAnsi="Arial" w:cs="Arial"/>
          <w:b w:val="0"/>
          <w:bCs w:val="0"/>
          <w:noProof/>
          <w:sz w:val="22"/>
          <w:szCs w:val="22"/>
          <w:lang w:val="en-US" w:eastAsia="en-US"/>
        </w:rPr>
      </w:pPr>
      <w:hyperlink w:anchor="_Toc431917490" w:history="1">
        <w:r w:rsidR="00424BEA" w:rsidRPr="00424BEA">
          <w:rPr>
            <w:rStyle w:val="Hyperlink"/>
            <w:rFonts w:ascii="Arial" w:hAnsi="Arial" w:cs="Arial"/>
            <w:noProof/>
            <w:sz w:val="22"/>
            <w:szCs w:val="22"/>
          </w:rPr>
          <w:t>Table 30</w:t>
        </w:r>
        <w:r w:rsidR="00424BEA" w:rsidRPr="00424BEA">
          <w:rPr>
            <w:rStyle w:val="Hyperlink"/>
            <w:rFonts w:ascii="Arial" w:hAnsi="Arial" w:cs="Arial"/>
            <w:noProof/>
            <w:sz w:val="22"/>
            <w:szCs w:val="22"/>
            <w:lang w:val="en-US"/>
          </w:rPr>
          <w:t xml:space="preserve"> </w:t>
        </w:r>
        <w:r w:rsidR="00424BEA" w:rsidRPr="00424BEA">
          <w:rPr>
            <w:rStyle w:val="Hyperlink"/>
            <w:rFonts w:ascii="Arial" w:hAnsi="Arial" w:cs="Arial"/>
            <w:noProof/>
            <w:sz w:val="22"/>
            <w:szCs w:val="22"/>
          </w:rPr>
          <w:t>– Comparison of baseline populations and circumstances of use</w:t>
        </w:r>
        <w:r w:rsidR="00424BEA" w:rsidRPr="00424BEA">
          <w:rPr>
            <w:rFonts w:ascii="Arial" w:hAnsi="Arial" w:cs="Arial"/>
            <w:noProof/>
            <w:webHidden/>
            <w:sz w:val="22"/>
            <w:szCs w:val="22"/>
          </w:rPr>
          <w:tab/>
        </w:r>
        <w:r w:rsidR="00424BEA" w:rsidRPr="00424BEA">
          <w:rPr>
            <w:rFonts w:ascii="Arial" w:hAnsi="Arial" w:cs="Arial"/>
            <w:noProof/>
            <w:webHidden/>
            <w:sz w:val="22"/>
            <w:szCs w:val="22"/>
          </w:rPr>
          <w:fldChar w:fldCharType="begin"/>
        </w:r>
        <w:r w:rsidR="00424BEA" w:rsidRPr="00424BEA">
          <w:rPr>
            <w:rFonts w:ascii="Arial" w:hAnsi="Arial" w:cs="Arial"/>
            <w:noProof/>
            <w:webHidden/>
            <w:sz w:val="22"/>
            <w:szCs w:val="22"/>
          </w:rPr>
          <w:instrText xml:space="preserve"> PAGEREF _Toc431917490 \h </w:instrText>
        </w:r>
        <w:r w:rsidR="00424BEA" w:rsidRPr="00424BEA">
          <w:rPr>
            <w:rFonts w:ascii="Arial" w:hAnsi="Arial" w:cs="Arial"/>
            <w:noProof/>
            <w:webHidden/>
            <w:sz w:val="22"/>
            <w:szCs w:val="22"/>
          </w:rPr>
        </w:r>
        <w:r w:rsidR="00424BEA" w:rsidRPr="00424BEA">
          <w:rPr>
            <w:rFonts w:ascii="Arial" w:hAnsi="Arial" w:cs="Arial"/>
            <w:noProof/>
            <w:webHidden/>
            <w:sz w:val="22"/>
            <w:szCs w:val="22"/>
          </w:rPr>
          <w:fldChar w:fldCharType="separate"/>
        </w:r>
        <w:r w:rsidR="00424BEA" w:rsidRPr="00424BEA">
          <w:rPr>
            <w:rFonts w:ascii="Arial" w:hAnsi="Arial" w:cs="Arial"/>
            <w:noProof/>
            <w:webHidden/>
            <w:sz w:val="22"/>
            <w:szCs w:val="22"/>
          </w:rPr>
          <w:t>96</w:t>
        </w:r>
        <w:r w:rsidR="00424BEA" w:rsidRPr="00424BEA">
          <w:rPr>
            <w:rFonts w:ascii="Arial" w:hAnsi="Arial" w:cs="Arial"/>
            <w:noProof/>
            <w:webHidden/>
            <w:sz w:val="22"/>
            <w:szCs w:val="22"/>
          </w:rPr>
          <w:fldChar w:fldCharType="end"/>
        </w:r>
      </w:hyperlink>
    </w:p>
    <w:p w14:paraId="7381FAD3" w14:textId="77777777" w:rsidR="00424BEA" w:rsidRPr="00424BEA" w:rsidRDefault="009A7DB9" w:rsidP="00424BEA">
      <w:pPr>
        <w:pStyle w:val="TableofFigures"/>
        <w:tabs>
          <w:tab w:val="right" w:leader="dot" w:pos="8778"/>
        </w:tabs>
        <w:spacing w:line="360" w:lineRule="auto"/>
        <w:jc w:val="both"/>
        <w:rPr>
          <w:rFonts w:ascii="Arial" w:eastAsiaTheme="minorEastAsia" w:hAnsi="Arial" w:cs="Arial"/>
          <w:b w:val="0"/>
          <w:bCs w:val="0"/>
          <w:noProof/>
          <w:sz w:val="22"/>
          <w:szCs w:val="22"/>
          <w:lang w:val="en-US" w:eastAsia="en-US"/>
        </w:rPr>
      </w:pPr>
      <w:hyperlink w:anchor="_Toc431917491" w:history="1">
        <w:r w:rsidR="00424BEA" w:rsidRPr="00424BEA">
          <w:rPr>
            <w:rStyle w:val="Hyperlink"/>
            <w:rFonts w:ascii="Arial" w:hAnsi="Arial" w:cs="Arial"/>
            <w:noProof/>
            <w:sz w:val="22"/>
            <w:szCs w:val="22"/>
          </w:rPr>
          <w:t>Table 31</w:t>
        </w:r>
        <w:r w:rsidR="00424BEA" w:rsidRPr="00424BEA">
          <w:rPr>
            <w:rStyle w:val="Hyperlink"/>
            <w:rFonts w:ascii="Arial" w:hAnsi="Arial" w:cs="Arial"/>
            <w:noProof/>
            <w:sz w:val="22"/>
            <w:szCs w:val="22"/>
            <w:lang w:val="en-US"/>
          </w:rPr>
          <w:t xml:space="preserve"> </w:t>
        </w:r>
        <w:r w:rsidR="00424BEA" w:rsidRPr="00424BEA">
          <w:rPr>
            <w:rStyle w:val="Hyperlink"/>
            <w:rFonts w:ascii="Arial" w:hAnsi="Arial" w:cs="Arial"/>
            <w:noProof/>
            <w:sz w:val="22"/>
            <w:szCs w:val="22"/>
          </w:rPr>
          <w:t xml:space="preserve">– </w:t>
        </w:r>
        <w:r w:rsidR="00424BEA" w:rsidRPr="00424BEA">
          <w:rPr>
            <w:rStyle w:val="Hyperlink"/>
            <w:rFonts w:ascii="Arial" w:hAnsi="Arial" w:cs="Arial"/>
            <w:noProof/>
            <w:sz w:val="22"/>
            <w:szCs w:val="22"/>
            <w:lang w:val="en-GB"/>
          </w:rPr>
          <w:t>Overview of economic evaluations identified in the literature</w:t>
        </w:r>
        <w:r w:rsidR="00424BEA" w:rsidRPr="00424BEA">
          <w:rPr>
            <w:rFonts w:ascii="Arial" w:hAnsi="Arial" w:cs="Arial"/>
            <w:noProof/>
            <w:webHidden/>
            <w:sz w:val="22"/>
            <w:szCs w:val="22"/>
          </w:rPr>
          <w:tab/>
        </w:r>
        <w:r w:rsidR="00424BEA" w:rsidRPr="00424BEA">
          <w:rPr>
            <w:rFonts w:ascii="Arial" w:hAnsi="Arial" w:cs="Arial"/>
            <w:noProof/>
            <w:webHidden/>
            <w:sz w:val="22"/>
            <w:szCs w:val="22"/>
          </w:rPr>
          <w:fldChar w:fldCharType="begin"/>
        </w:r>
        <w:r w:rsidR="00424BEA" w:rsidRPr="00424BEA">
          <w:rPr>
            <w:rFonts w:ascii="Arial" w:hAnsi="Arial" w:cs="Arial"/>
            <w:noProof/>
            <w:webHidden/>
            <w:sz w:val="22"/>
            <w:szCs w:val="22"/>
          </w:rPr>
          <w:instrText xml:space="preserve"> PAGEREF _Toc431917491 \h </w:instrText>
        </w:r>
        <w:r w:rsidR="00424BEA" w:rsidRPr="00424BEA">
          <w:rPr>
            <w:rFonts w:ascii="Arial" w:hAnsi="Arial" w:cs="Arial"/>
            <w:noProof/>
            <w:webHidden/>
            <w:sz w:val="22"/>
            <w:szCs w:val="22"/>
          </w:rPr>
        </w:r>
        <w:r w:rsidR="00424BEA" w:rsidRPr="00424BEA">
          <w:rPr>
            <w:rFonts w:ascii="Arial" w:hAnsi="Arial" w:cs="Arial"/>
            <w:noProof/>
            <w:webHidden/>
            <w:sz w:val="22"/>
            <w:szCs w:val="22"/>
          </w:rPr>
          <w:fldChar w:fldCharType="separate"/>
        </w:r>
        <w:r w:rsidR="00424BEA" w:rsidRPr="00424BEA">
          <w:rPr>
            <w:rFonts w:ascii="Arial" w:hAnsi="Arial" w:cs="Arial"/>
            <w:noProof/>
            <w:webHidden/>
            <w:sz w:val="22"/>
            <w:szCs w:val="22"/>
          </w:rPr>
          <w:t>98</w:t>
        </w:r>
        <w:r w:rsidR="00424BEA" w:rsidRPr="00424BEA">
          <w:rPr>
            <w:rFonts w:ascii="Arial" w:hAnsi="Arial" w:cs="Arial"/>
            <w:noProof/>
            <w:webHidden/>
            <w:sz w:val="22"/>
            <w:szCs w:val="22"/>
          </w:rPr>
          <w:fldChar w:fldCharType="end"/>
        </w:r>
      </w:hyperlink>
    </w:p>
    <w:p w14:paraId="5C806743" w14:textId="77777777" w:rsidR="00424BEA" w:rsidRPr="00424BEA" w:rsidRDefault="009A7DB9" w:rsidP="00424BEA">
      <w:pPr>
        <w:pStyle w:val="TableofFigures"/>
        <w:tabs>
          <w:tab w:val="right" w:leader="dot" w:pos="8778"/>
        </w:tabs>
        <w:spacing w:line="360" w:lineRule="auto"/>
        <w:jc w:val="both"/>
        <w:rPr>
          <w:rFonts w:ascii="Arial" w:eastAsiaTheme="minorEastAsia" w:hAnsi="Arial" w:cs="Arial"/>
          <w:b w:val="0"/>
          <w:bCs w:val="0"/>
          <w:noProof/>
          <w:sz w:val="22"/>
          <w:szCs w:val="22"/>
          <w:lang w:val="en-US" w:eastAsia="en-US"/>
        </w:rPr>
      </w:pPr>
      <w:hyperlink w:anchor="_Toc431917492" w:history="1">
        <w:r w:rsidR="00424BEA" w:rsidRPr="00424BEA">
          <w:rPr>
            <w:rStyle w:val="Hyperlink"/>
            <w:rFonts w:ascii="Arial" w:hAnsi="Arial" w:cs="Arial"/>
            <w:noProof/>
            <w:sz w:val="22"/>
            <w:szCs w:val="22"/>
          </w:rPr>
          <w:t>Table 32</w:t>
        </w:r>
        <w:r w:rsidR="00424BEA" w:rsidRPr="00424BEA">
          <w:rPr>
            <w:rStyle w:val="Hyperlink"/>
            <w:rFonts w:ascii="Arial" w:hAnsi="Arial" w:cs="Arial"/>
            <w:noProof/>
            <w:sz w:val="22"/>
            <w:szCs w:val="22"/>
            <w:lang w:val="en-US"/>
          </w:rPr>
          <w:t xml:space="preserve"> </w:t>
        </w:r>
        <w:r w:rsidR="00424BEA" w:rsidRPr="00424BEA">
          <w:rPr>
            <w:rStyle w:val="Hyperlink"/>
            <w:rFonts w:ascii="Arial" w:hAnsi="Arial" w:cs="Arial"/>
            <w:noProof/>
            <w:sz w:val="22"/>
            <w:szCs w:val="22"/>
          </w:rPr>
          <w:t xml:space="preserve">– </w:t>
        </w:r>
        <w:r w:rsidR="00424BEA" w:rsidRPr="00424BEA">
          <w:rPr>
            <w:rStyle w:val="Hyperlink"/>
            <w:rFonts w:ascii="Arial" w:hAnsi="Arial" w:cs="Arial"/>
            <w:noProof/>
            <w:sz w:val="22"/>
            <w:szCs w:val="22"/>
            <w:lang w:val="en-GB"/>
          </w:rPr>
          <w:t>The main Markov states included in the main economic evaluation</w:t>
        </w:r>
        <w:r w:rsidR="00424BEA" w:rsidRPr="00424BEA">
          <w:rPr>
            <w:rFonts w:ascii="Arial" w:hAnsi="Arial" w:cs="Arial"/>
            <w:noProof/>
            <w:webHidden/>
            <w:sz w:val="22"/>
            <w:szCs w:val="22"/>
          </w:rPr>
          <w:tab/>
        </w:r>
        <w:r w:rsidR="00424BEA" w:rsidRPr="00424BEA">
          <w:rPr>
            <w:rFonts w:ascii="Arial" w:hAnsi="Arial" w:cs="Arial"/>
            <w:noProof/>
            <w:webHidden/>
            <w:sz w:val="22"/>
            <w:szCs w:val="22"/>
          </w:rPr>
          <w:fldChar w:fldCharType="begin"/>
        </w:r>
        <w:r w:rsidR="00424BEA" w:rsidRPr="00424BEA">
          <w:rPr>
            <w:rFonts w:ascii="Arial" w:hAnsi="Arial" w:cs="Arial"/>
            <w:noProof/>
            <w:webHidden/>
            <w:sz w:val="22"/>
            <w:szCs w:val="22"/>
          </w:rPr>
          <w:instrText xml:space="preserve"> PAGEREF _Toc431917492 \h </w:instrText>
        </w:r>
        <w:r w:rsidR="00424BEA" w:rsidRPr="00424BEA">
          <w:rPr>
            <w:rFonts w:ascii="Arial" w:hAnsi="Arial" w:cs="Arial"/>
            <w:noProof/>
            <w:webHidden/>
            <w:sz w:val="22"/>
            <w:szCs w:val="22"/>
          </w:rPr>
        </w:r>
        <w:r w:rsidR="00424BEA" w:rsidRPr="00424BEA">
          <w:rPr>
            <w:rFonts w:ascii="Arial" w:hAnsi="Arial" w:cs="Arial"/>
            <w:noProof/>
            <w:webHidden/>
            <w:sz w:val="22"/>
            <w:szCs w:val="22"/>
          </w:rPr>
          <w:fldChar w:fldCharType="separate"/>
        </w:r>
        <w:r w:rsidR="00424BEA" w:rsidRPr="00424BEA">
          <w:rPr>
            <w:rFonts w:ascii="Arial" w:hAnsi="Arial" w:cs="Arial"/>
            <w:noProof/>
            <w:webHidden/>
            <w:sz w:val="22"/>
            <w:szCs w:val="22"/>
          </w:rPr>
          <w:t>101</w:t>
        </w:r>
        <w:r w:rsidR="00424BEA" w:rsidRPr="00424BEA">
          <w:rPr>
            <w:rFonts w:ascii="Arial" w:hAnsi="Arial" w:cs="Arial"/>
            <w:noProof/>
            <w:webHidden/>
            <w:sz w:val="22"/>
            <w:szCs w:val="22"/>
          </w:rPr>
          <w:fldChar w:fldCharType="end"/>
        </w:r>
      </w:hyperlink>
    </w:p>
    <w:p w14:paraId="450663DC" w14:textId="77777777" w:rsidR="00424BEA" w:rsidRPr="00424BEA" w:rsidRDefault="009A7DB9" w:rsidP="00424BEA">
      <w:pPr>
        <w:pStyle w:val="TableofFigures"/>
        <w:tabs>
          <w:tab w:val="right" w:leader="dot" w:pos="8778"/>
        </w:tabs>
        <w:spacing w:line="360" w:lineRule="auto"/>
        <w:jc w:val="both"/>
        <w:rPr>
          <w:rFonts w:ascii="Arial" w:eastAsiaTheme="minorEastAsia" w:hAnsi="Arial" w:cs="Arial"/>
          <w:b w:val="0"/>
          <w:bCs w:val="0"/>
          <w:noProof/>
          <w:sz w:val="22"/>
          <w:szCs w:val="22"/>
          <w:lang w:val="en-US" w:eastAsia="en-US"/>
        </w:rPr>
      </w:pPr>
      <w:hyperlink w:anchor="_Toc431917493" w:history="1">
        <w:r w:rsidR="00424BEA" w:rsidRPr="00424BEA">
          <w:rPr>
            <w:rStyle w:val="Hyperlink"/>
            <w:rFonts w:ascii="Arial" w:hAnsi="Arial" w:cs="Arial"/>
            <w:noProof/>
            <w:sz w:val="22"/>
            <w:szCs w:val="22"/>
          </w:rPr>
          <w:t>Table 33</w:t>
        </w:r>
        <w:r w:rsidR="00424BEA" w:rsidRPr="00424BEA">
          <w:rPr>
            <w:rStyle w:val="Hyperlink"/>
            <w:rFonts w:ascii="Arial" w:hAnsi="Arial" w:cs="Arial"/>
            <w:noProof/>
            <w:sz w:val="22"/>
            <w:szCs w:val="22"/>
            <w:lang w:val="en-US"/>
          </w:rPr>
          <w:t xml:space="preserve"> </w:t>
        </w:r>
        <w:r w:rsidR="00424BEA" w:rsidRPr="00424BEA">
          <w:rPr>
            <w:rStyle w:val="Hyperlink"/>
            <w:rFonts w:ascii="Arial" w:hAnsi="Arial" w:cs="Arial"/>
            <w:noProof/>
            <w:sz w:val="22"/>
            <w:szCs w:val="22"/>
          </w:rPr>
          <w:t xml:space="preserve">– </w:t>
        </w:r>
        <w:r w:rsidR="00424BEA" w:rsidRPr="00424BEA">
          <w:rPr>
            <w:rStyle w:val="Hyperlink"/>
            <w:rFonts w:ascii="Arial" w:hAnsi="Arial" w:cs="Arial"/>
            <w:noProof/>
            <w:sz w:val="22"/>
            <w:szCs w:val="22"/>
            <w:lang w:val="en-GB"/>
          </w:rPr>
          <w:t>Base case model assumptions</w:t>
        </w:r>
        <w:r w:rsidR="00424BEA" w:rsidRPr="00424BEA">
          <w:rPr>
            <w:rFonts w:ascii="Arial" w:hAnsi="Arial" w:cs="Arial"/>
            <w:noProof/>
            <w:webHidden/>
            <w:sz w:val="22"/>
            <w:szCs w:val="22"/>
          </w:rPr>
          <w:tab/>
        </w:r>
        <w:r w:rsidR="00424BEA" w:rsidRPr="00424BEA">
          <w:rPr>
            <w:rFonts w:ascii="Arial" w:hAnsi="Arial" w:cs="Arial"/>
            <w:noProof/>
            <w:webHidden/>
            <w:sz w:val="22"/>
            <w:szCs w:val="22"/>
          </w:rPr>
          <w:fldChar w:fldCharType="begin"/>
        </w:r>
        <w:r w:rsidR="00424BEA" w:rsidRPr="00424BEA">
          <w:rPr>
            <w:rFonts w:ascii="Arial" w:hAnsi="Arial" w:cs="Arial"/>
            <w:noProof/>
            <w:webHidden/>
            <w:sz w:val="22"/>
            <w:szCs w:val="22"/>
          </w:rPr>
          <w:instrText xml:space="preserve"> PAGEREF _Toc431917493 \h </w:instrText>
        </w:r>
        <w:r w:rsidR="00424BEA" w:rsidRPr="00424BEA">
          <w:rPr>
            <w:rFonts w:ascii="Arial" w:hAnsi="Arial" w:cs="Arial"/>
            <w:noProof/>
            <w:webHidden/>
            <w:sz w:val="22"/>
            <w:szCs w:val="22"/>
          </w:rPr>
        </w:r>
        <w:r w:rsidR="00424BEA" w:rsidRPr="00424BEA">
          <w:rPr>
            <w:rFonts w:ascii="Arial" w:hAnsi="Arial" w:cs="Arial"/>
            <w:noProof/>
            <w:webHidden/>
            <w:sz w:val="22"/>
            <w:szCs w:val="22"/>
          </w:rPr>
          <w:fldChar w:fldCharType="separate"/>
        </w:r>
        <w:r w:rsidR="00424BEA" w:rsidRPr="00424BEA">
          <w:rPr>
            <w:rFonts w:ascii="Arial" w:hAnsi="Arial" w:cs="Arial"/>
            <w:noProof/>
            <w:webHidden/>
            <w:sz w:val="22"/>
            <w:szCs w:val="22"/>
          </w:rPr>
          <w:t>104</w:t>
        </w:r>
        <w:r w:rsidR="00424BEA" w:rsidRPr="00424BEA">
          <w:rPr>
            <w:rFonts w:ascii="Arial" w:hAnsi="Arial" w:cs="Arial"/>
            <w:noProof/>
            <w:webHidden/>
            <w:sz w:val="22"/>
            <w:szCs w:val="22"/>
          </w:rPr>
          <w:fldChar w:fldCharType="end"/>
        </w:r>
      </w:hyperlink>
    </w:p>
    <w:p w14:paraId="2131C5B1" w14:textId="77777777" w:rsidR="00424BEA" w:rsidRPr="00424BEA" w:rsidRDefault="009A7DB9" w:rsidP="00424BEA">
      <w:pPr>
        <w:pStyle w:val="TableofFigures"/>
        <w:tabs>
          <w:tab w:val="right" w:leader="dot" w:pos="8778"/>
        </w:tabs>
        <w:spacing w:line="360" w:lineRule="auto"/>
        <w:jc w:val="both"/>
        <w:rPr>
          <w:rFonts w:ascii="Arial" w:eastAsiaTheme="minorEastAsia" w:hAnsi="Arial" w:cs="Arial"/>
          <w:b w:val="0"/>
          <w:bCs w:val="0"/>
          <w:noProof/>
          <w:sz w:val="22"/>
          <w:szCs w:val="22"/>
          <w:lang w:val="en-US" w:eastAsia="en-US"/>
        </w:rPr>
      </w:pPr>
      <w:hyperlink w:anchor="_Toc431917494" w:history="1">
        <w:r w:rsidR="00424BEA" w:rsidRPr="00424BEA">
          <w:rPr>
            <w:rStyle w:val="Hyperlink"/>
            <w:rFonts w:ascii="Arial" w:hAnsi="Arial" w:cs="Arial"/>
            <w:noProof/>
            <w:sz w:val="22"/>
            <w:szCs w:val="22"/>
          </w:rPr>
          <w:t>Table 34</w:t>
        </w:r>
        <w:r w:rsidR="00424BEA" w:rsidRPr="00424BEA">
          <w:rPr>
            <w:rStyle w:val="Hyperlink"/>
            <w:rFonts w:ascii="Arial" w:hAnsi="Arial" w:cs="Arial"/>
            <w:noProof/>
            <w:sz w:val="22"/>
            <w:szCs w:val="22"/>
            <w:lang w:val="en-US"/>
          </w:rPr>
          <w:t xml:space="preserve"> </w:t>
        </w:r>
        <w:r w:rsidR="00424BEA" w:rsidRPr="00424BEA">
          <w:rPr>
            <w:rStyle w:val="Hyperlink"/>
            <w:rFonts w:ascii="Arial" w:hAnsi="Arial" w:cs="Arial"/>
            <w:noProof/>
            <w:sz w:val="22"/>
            <w:szCs w:val="22"/>
          </w:rPr>
          <w:t xml:space="preserve">– </w:t>
        </w:r>
        <w:r w:rsidR="00424BEA" w:rsidRPr="00424BEA">
          <w:rPr>
            <w:rStyle w:val="Hyperlink"/>
            <w:rFonts w:ascii="Arial" w:hAnsi="Arial" w:cs="Arial"/>
            <w:noProof/>
            <w:sz w:val="22"/>
            <w:szCs w:val="22"/>
            <w:lang w:val="en-GB"/>
          </w:rPr>
          <w:t>The estimated rate of recurring pathologies</w:t>
        </w:r>
        <w:r w:rsidR="00424BEA" w:rsidRPr="00424BEA">
          <w:rPr>
            <w:rFonts w:ascii="Arial" w:hAnsi="Arial" w:cs="Arial"/>
            <w:noProof/>
            <w:webHidden/>
            <w:sz w:val="22"/>
            <w:szCs w:val="22"/>
          </w:rPr>
          <w:tab/>
        </w:r>
        <w:r w:rsidR="00424BEA" w:rsidRPr="00424BEA">
          <w:rPr>
            <w:rFonts w:ascii="Arial" w:hAnsi="Arial" w:cs="Arial"/>
            <w:noProof/>
            <w:webHidden/>
            <w:sz w:val="22"/>
            <w:szCs w:val="22"/>
          </w:rPr>
          <w:fldChar w:fldCharType="begin"/>
        </w:r>
        <w:r w:rsidR="00424BEA" w:rsidRPr="00424BEA">
          <w:rPr>
            <w:rFonts w:ascii="Arial" w:hAnsi="Arial" w:cs="Arial"/>
            <w:noProof/>
            <w:webHidden/>
            <w:sz w:val="22"/>
            <w:szCs w:val="22"/>
          </w:rPr>
          <w:instrText xml:space="preserve"> PAGEREF _Toc431917494 \h </w:instrText>
        </w:r>
        <w:r w:rsidR="00424BEA" w:rsidRPr="00424BEA">
          <w:rPr>
            <w:rFonts w:ascii="Arial" w:hAnsi="Arial" w:cs="Arial"/>
            <w:noProof/>
            <w:webHidden/>
            <w:sz w:val="22"/>
            <w:szCs w:val="22"/>
          </w:rPr>
        </w:r>
        <w:r w:rsidR="00424BEA" w:rsidRPr="00424BEA">
          <w:rPr>
            <w:rFonts w:ascii="Arial" w:hAnsi="Arial" w:cs="Arial"/>
            <w:noProof/>
            <w:webHidden/>
            <w:sz w:val="22"/>
            <w:szCs w:val="22"/>
          </w:rPr>
          <w:fldChar w:fldCharType="separate"/>
        </w:r>
        <w:r w:rsidR="00424BEA" w:rsidRPr="00424BEA">
          <w:rPr>
            <w:rFonts w:ascii="Arial" w:hAnsi="Arial" w:cs="Arial"/>
            <w:noProof/>
            <w:webHidden/>
            <w:sz w:val="22"/>
            <w:szCs w:val="22"/>
          </w:rPr>
          <w:t>107</w:t>
        </w:r>
        <w:r w:rsidR="00424BEA" w:rsidRPr="00424BEA">
          <w:rPr>
            <w:rFonts w:ascii="Arial" w:hAnsi="Arial" w:cs="Arial"/>
            <w:noProof/>
            <w:webHidden/>
            <w:sz w:val="22"/>
            <w:szCs w:val="22"/>
          </w:rPr>
          <w:fldChar w:fldCharType="end"/>
        </w:r>
      </w:hyperlink>
    </w:p>
    <w:p w14:paraId="0D79D7D1" w14:textId="77777777" w:rsidR="00424BEA" w:rsidRPr="00424BEA" w:rsidRDefault="009A7DB9" w:rsidP="00424BEA">
      <w:pPr>
        <w:pStyle w:val="TableofFigures"/>
        <w:tabs>
          <w:tab w:val="right" w:leader="dot" w:pos="8778"/>
        </w:tabs>
        <w:spacing w:line="360" w:lineRule="auto"/>
        <w:jc w:val="both"/>
        <w:rPr>
          <w:rFonts w:ascii="Arial" w:eastAsiaTheme="minorEastAsia" w:hAnsi="Arial" w:cs="Arial"/>
          <w:b w:val="0"/>
          <w:bCs w:val="0"/>
          <w:noProof/>
          <w:sz w:val="22"/>
          <w:szCs w:val="22"/>
          <w:lang w:val="en-US" w:eastAsia="en-US"/>
        </w:rPr>
      </w:pPr>
      <w:hyperlink w:anchor="_Toc431917495" w:history="1">
        <w:r w:rsidR="00424BEA" w:rsidRPr="00424BEA">
          <w:rPr>
            <w:rStyle w:val="Hyperlink"/>
            <w:rFonts w:ascii="Arial" w:hAnsi="Arial" w:cs="Arial"/>
            <w:noProof/>
            <w:sz w:val="22"/>
            <w:szCs w:val="22"/>
          </w:rPr>
          <w:t xml:space="preserve">Table 35 - </w:t>
        </w:r>
        <w:r w:rsidR="00424BEA" w:rsidRPr="00424BEA">
          <w:rPr>
            <w:rStyle w:val="Hyperlink"/>
            <w:rFonts w:ascii="Arial" w:hAnsi="Arial" w:cs="Arial"/>
            <w:noProof/>
            <w:sz w:val="22"/>
            <w:szCs w:val="22"/>
            <w:lang w:val="en-GB"/>
          </w:rPr>
          <w:t>Estimated rate of adverse events in individual studies</w:t>
        </w:r>
        <w:r w:rsidR="00424BEA" w:rsidRPr="00424BEA">
          <w:rPr>
            <w:rFonts w:ascii="Arial" w:hAnsi="Arial" w:cs="Arial"/>
            <w:noProof/>
            <w:webHidden/>
            <w:sz w:val="22"/>
            <w:szCs w:val="22"/>
          </w:rPr>
          <w:tab/>
        </w:r>
        <w:r w:rsidR="00424BEA" w:rsidRPr="00424BEA">
          <w:rPr>
            <w:rFonts w:ascii="Arial" w:hAnsi="Arial" w:cs="Arial"/>
            <w:noProof/>
            <w:webHidden/>
            <w:sz w:val="22"/>
            <w:szCs w:val="22"/>
          </w:rPr>
          <w:fldChar w:fldCharType="begin"/>
        </w:r>
        <w:r w:rsidR="00424BEA" w:rsidRPr="00424BEA">
          <w:rPr>
            <w:rFonts w:ascii="Arial" w:hAnsi="Arial" w:cs="Arial"/>
            <w:noProof/>
            <w:webHidden/>
            <w:sz w:val="22"/>
            <w:szCs w:val="22"/>
          </w:rPr>
          <w:instrText xml:space="preserve"> PAGEREF _Toc431917495 \h </w:instrText>
        </w:r>
        <w:r w:rsidR="00424BEA" w:rsidRPr="00424BEA">
          <w:rPr>
            <w:rFonts w:ascii="Arial" w:hAnsi="Arial" w:cs="Arial"/>
            <w:noProof/>
            <w:webHidden/>
            <w:sz w:val="22"/>
            <w:szCs w:val="22"/>
          </w:rPr>
        </w:r>
        <w:r w:rsidR="00424BEA" w:rsidRPr="00424BEA">
          <w:rPr>
            <w:rFonts w:ascii="Arial" w:hAnsi="Arial" w:cs="Arial"/>
            <w:noProof/>
            <w:webHidden/>
            <w:sz w:val="22"/>
            <w:szCs w:val="22"/>
          </w:rPr>
          <w:fldChar w:fldCharType="separate"/>
        </w:r>
        <w:r w:rsidR="00424BEA" w:rsidRPr="00424BEA">
          <w:rPr>
            <w:rFonts w:ascii="Arial" w:hAnsi="Arial" w:cs="Arial"/>
            <w:noProof/>
            <w:webHidden/>
            <w:sz w:val="22"/>
            <w:szCs w:val="22"/>
          </w:rPr>
          <w:t>108</w:t>
        </w:r>
        <w:r w:rsidR="00424BEA" w:rsidRPr="00424BEA">
          <w:rPr>
            <w:rFonts w:ascii="Arial" w:hAnsi="Arial" w:cs="Arial"/>
            <w:noProof/>
            <w:webHidden/>
            <w:sz w:val="22"/>
            <w:szCs w:val="22"/>
          </w:rPr>
          <w:fldChar w:fldCharType="end"/>
        </w:r>
      </w:hyperlink>
    </w:p>
    <w:p w14:paraId="16592F77" w14:textId="77777777" w:rsidR="00424BEA" w:rsidRPr="00424BEA" w:rsidRDefault="009A7DB9" w:rsidP="00424BEA">
      <w:pPr>
        <w:pStyle w:val="TableofFigures"/>
        <w:tabs>
          <w:tab w:val="right" w:leader="dot" w:pos="8778"/>
        </w:tabs>
        <w:spacing w:line="360" w:lineRule="auto"/>
        <w:jc w:val="both"/>
        <w:rPr>
          <w:rFonts w:ascii="Arial" w:eastAsiaTheme="minorEastAsia" w:hAnsi="Arial" w:cs="Arial"/>
          <w:b w:val="0"/>
          <w:bCs w:val="0"/>
          <w:noProof/>
          <w:sz w:val="22"/>
          <w:szCs w:val="22"/>
          <w:lang w:val="en-US" w:eastAsia="en-US"/>
        </w:rPr>
      </w:pPr>
      <w:hyperlink w:anchor="_Toc431917496" w:history="1">
        <w:r w:rsidR="00424BEA" w:rsidRPr="00424BEA">
          <w:rPr>
            <w:rStyle w:val="Hyperlink"/>
            <w:rFonts w:ascii="Arial" w:hAnsi="Arial" w:cs="Arial"/>
            <w:noProof/>
            <w:sz w:val="22"/>
            <w:szCs w:val="22"/>
          </w:rPr>
          <w:t xml:space="preserve">Table 36 - </w:t>
        </w:r>
        <w:r w:rsidR="00424BEA" w:rsidRPr="00424BEA">
          <w:rPr>
            <w:rStyle w:val="Hyperlink"/>
            <w:rFonts w:ascii="Arial" w:hAnsi="Arial" w:cs="Arial"/>
            <w:noProof/>
            <w:sz w:val="22"/>
            <w:szCs w:val="22"/>
            <w:lang w:val="en-GB"/>
          </w:rPr>
          <w:t>Estimated rate of voluntary non-use of the Vibrant Soundbridge</w:t>
        </w:r>
        <w:r w:rsidR="00424BEA" w:rsidRPr="00424BEA">
          <w:rPr>
            <w:rFonts w:ascii="Arial" w:hAnsi="Arial" w:cs="Arial"/>
            <w:noProof/>
            <w:webHidden/>
            <w:sz w:val="22"/>
            <w:szCs w:val="22"/>
          </w:rPr>
          <w:tab/>
        </w:r>
        <w:r w:rsidR="00424BEA" w:rsidRPr="00424BEA">
          <w:rPr>
            <w:rFonts w:ascii="Arial" w:hAnsi="Arial" w:cs="Arial"/>
            <w:noProof/>
            <w:webHidden/>
            <w:sz w:val="22"/>
            <w:szCs w:val="22"/>
          </w:rPr>
          <w:fldChar w:fldCharType="begin"/>
        </w:r>
        <w:r w:rsidR="00424BEA" w:rsidRPr="00424BEA">
          <w:rPr>
            <w:rFonts w:ascii="Arial" w:hAnsi="Arial" w:cs="Arial"/>
            <w:noProof/>
            <w:webHidden/>
            <w:sz w:val="22"/>
            <w:szCs w:val="22"/>
          </w:rPr>
          <w:instrText xml:space="preserve"> PAGEREF _Toc431917496 \h </w:instrText>
        </w:r>
        <w:r w:rsidR="00424BEA" w:rsidRPr="00424BEA">
          <w:rPr>
            <w:rFonts w:ascii="Arial" w:hAnsi="Arial" w:cs="Arial"/>
            <w:noProof/>
            <w:webHidden/>
            <w:sz w:val="22"/>
            <w:szCs w:val="22"/>
          </w:rPr>
        </w:r>
        <w:r w:rsidR="00424BEA" w:rsidRPr="00424BEA">
          <w:rPr>
            <w:rFonts w:ascii="Arial" w:hAnsi="Arial" w:cs="Arial"/>
            <w:noProof/>
            <w:webHidden/>
            <w:sz w:val="22"/>
            <w:szCs w:val="22"/>
          </w:rPr>
          <w:fldChar w:fldCharType="separate"/>
        </w:r>
        <w:r w:rsidR="00424BEA" w:rsidRPr="00424BEA">
          <w:rPr>
            <w:rFonts w:ascii="Arial" w:hAnsi="Arial" w:cs="Arial"/>
            <w:noProof/>
            <w:webHidden/>
            <w:sz w:val="22"/>
            <w:szCs w:val="22"/>
          </w:rPr>
          <w:t>111</w:t>
        </w:r>
        <w:r w:rsidR="00424BEA" w:rsidRPr="00424BEA">
          <w:rPr>
            <w:rFonts w:ascii="Arial" w:hAnsi="Arial" w:cs="Arial"/>
            <w:noProof/>
            <w:webHidden/>
            <w:sz w:val="22"/>
            <w:szCs w:val="22"/>
          </w:rPr>
          <w:fldChar w:fldCharType="end"/>
        </w:r>
      </w:hyperlink>
    </w:p>
    <w:p w14:paraId="767EA718" w14:textId="77777777" w:rsidR="00424BEA" w:rsidRPr="00424BEA" w:rsidRDefault="009A7DB9" w:rsidP="00424BEA">
      <w:pPr>
        <w:pStyle w:val="TableofFigures"/>
        <w:tabs>
          <w:tab w:val="right" w:leader="dot" w:pos="8778"/>
        </w:tabs>
        <w:spacing w:line="360" w:lineRule="auto"/>
        <w:jc w:val="both"/>
        <w:rPr>
          <w:rFonts w:ascii="Arial" w:eastAsiaTheme="minorEastAsia" w:hAnsi="Arial" w:cs="Arial"/>
          <w:b w:val="0"/>
          <w:bCs w:val="0"/>
          <w:noProof/>
          <w:sz w:val="22"/>
          <w:szCs w:val="22"/>
          <w:lang w:val="en-US" w:eastAsia="en-US"/>
        </w:rPr>
      </w:pPr>
      <w:hyperlink w:anchor="_Toc431917497" w:history="1">
        <w:r w:rsidR="00424BEA" w:rsidRPr="00424BEA">
          <w:rPr>
            <w:rStyle w:val="Hyperlink"/>
            <w:rFonts w:ascii="Arial" w:hAnsi="Arial" w:cs="Arial"/>
            <w:noProof/>
            <w:sz w:val="22"/>
            <w:szCs w:val="22"/>
          </w:rPr>
          <w:t xml:space="preserve">Table 37 - </w:t>
        </w:r>
        <w:r w:rsidR="00424BEA" w:rsidRPr="00424BEA">
          <w:rPr>
            <w:rStyle w:val="Hyperlink"/>
            <w:rFonts w:ascii="Arial" w:hAnsi="Arial" w:cs="Arial"/>
            <w:noProof/>
            <w:sz w:val="22"/>
            <w:szCs w:val="22"/>
            <w:lang w:val="en-GB"/>
          </w:rPr>
          <w:t>Total costs per patient for successful VSB implantation in the first 6 months</w:t>
        </w:r>
        <w:r w:rsidR="00424BEA" w:rsidRPr="00424BEA">
          <w:rPr>
            <w:rFonts w:ascii="Arial" w:hAnsi="Arial" w:cs="Arial"/>
            <w:noProof/>
            <w:webHidden/>
            <w:sz w:val="22"/>
            <w:szCs w:val="22"/>
          </w:rPr>
          <w:tab/>
        </w:r>
        <w:r w:rsidR="00424BEA" w:rsidRPr="00424BEA">
          <w:rPr>
            <w:rFonts w:ascii="Arial" w:hAnsi="Arial" w:cs="Arial"/>
            <w:noProof/>
            <w:webHidden/>
            <w:sz w:val="22"/>
            <w:szCs w:val="22"/>
          </w:rPr>
          <w:fldChar w:fldCharType="begin"/>
        </w:r>
        <w:r w:rsidR="00424BEA" w:rsidRPr="00424BEA">
          <w:rPr>
            <w:rFonts w:ascii="Arial" w:hAnsi="Arial" w:cs="Arial"/>
            <w:noProof/>
            <w:webHidden/>
            <w:sz w:val="22"/>
            <w:szCs w:val="22"/>
          </w:rPr>
          <w:instrText xml:space="preserve"> PAGEREF _Toc431917497 \h </w:instrText>
        </w:r>
        <w:r w:rsidR="00424BEA" w:rsidRPr="00424BEA">
          <w:rPr>
            <w:rFonts w:ascii="Arial" w:hAnsi="Arial" w:cs="Arial"/>
            <w:noProof/>
            <w:webHidden/>
            <w:sz w:val="22"/>
            <w:szCs w:val="22"/>
          </w:rPr>
        </w:r>
        <w:r w:rsidR="00424BEA" w:rsidRPr="00424BEA">
          <w:rPr>
            <w:rFonts w:ascii="Arial" w:hAnsi="Arial" w:cs="Arial"/>
            <w:noProof/>
            <w:webHidden/>
            <w:sz w:val="22"/>
            <w:szCs w:val="22"/>
          </w:rPr>
          <w:fldChar w:fldCharType="separate"/>
        </w:r>
        <w:r w:rsidR="00424BEA" w:rsidRPr="00424BEA">
          <w:rPr>
            <w:rFonts w:ascii="Arial" w:hAnsi="Arial" w:cs="Arial"/>
            <w:noProof/>
            <w:webHidden/>
            <w:sz w:val="22"/>
            <w:szCs w:val="22"/>
          </w:rPr>
          <w:t>113</w:t>
        </w:r>
        <w:r w:rsidR="00424BEA" w:rsidRPr="00424BEA">
          <w:rPr>
            <w:rFonts w:ascii="Arial" w:hAnsi="Arial" w:cs="Arial"/>
            <w:noProof/>
            <w:webHidden/>
            <w:sz w:val="22"/>
            <w:szCs w:val="22"/>
          </w:rPr>
          <w:fldChar w:fldCharType="end"/>
        </w:r>
      </w:hyperlink>
    </w:p>
    <w:p w14:paraId="73DD2CC4" w14:textId="77777777" w:rsidR="00424BEA" w:rsidRPr="00424BEA" w:rsidRDefault="009A7DB9" w:rsidP="00424BEA">
      <w:pPr>
        <w:pStyle w:val="TableofFigures"/>
        <w:tabs>
          <w:tab w:val="right" w:leader="dot" w:pos="8778"/>
        </w:tabs>
        <w:spacing w:line="360" w:lineRule="auto"/>
        <w:jc w:val="both"/>
        <w:rPr>
          <w:rFonts w:ascii="Arial" w:eastAsiaTheme="minorEastAsia" w:hAnsi="Arial" w:cs="Arial"/>
          <w:b w:val="0"/>
          <w:bCs w:val="0"/>
          <w:noProof/>
          <w:sz w:val="22"/>
          <w:szCs w:val="22"/>
          <w:lang w:val="en-US" w:eastAsia="en-US"/>
        </w:rPr>
      </w:pPr>
      <w:hyperlink w:anchor="_Toc431917498" w:history="1">
        <w:r w:rsidR="00424BEA" w:rsidRPr="00424BEA">
          <w:rPr>
            <w:rStyle w:val="Hyperlink"/>
            <w:rFonts w:ascii="Arial" w:hAnsi="Arial" w:cs="Arial"/>
            <w:noProof/>
            <w:sz w:val="22"/>
            <w:szCs w:val="22"/>
          </w:rPr>
          <w:t xml:space="preserve">Table 38 - </w:t>
        </w:r>
        <w:r w:rsidR="00424BEA" w:rsidRPr="00424BEA">
          <w:rPr>
            <w:rStyle w:val="Hyperlink"/>
            <w:rFonts w:ascii="Arial" w:hAnsi="Arial" w:cs="Arial"/>
            <w:noProof/>
            <w:sz w:val="22"/>
            <w:szCs w:val="22"/>
            <w:lang w:val="en-GB"/>
          </w:rPr>
          <w:t>Long-term costs of VSB use</w:t>
        </w:r>
        <w:r w:rsidR="00424BEA" w:rsidRPr="00424BEA">
          <w:rPr>
            <w:rFonts w:ascii="Arial" w:hAnsi="Arial" w:cs="Arial"/>
            <w:noProof/>
            <w:webHidden/>
            <w:sz w:val="22"/>
            <w:szCs w:val="22"/>
          </w:rPr>
          <w:tab/>
        </w:r>
        <w:r w:rsidR="00424BEA" w:rsidRPr="00424BEA">
          <w:rPr>
            <w:rFonts w:ascii="Arial" w:hAnsi="Arial" w:cs="Arial"/>
            <w:noProof/>
            <w:webHidden/>
            <w:sz w:val="22"/>
            <w:szCs w:val="22"/>
          </w:rPr>
          <w:fldChar w:fldCharType="begin"/>
        </w:r>
        <w:r w:rsidR="00424BEA" w:rsidRPr="00424BEA">
          <w:rPr>
            <w:rFonts w:ascii="Arial" w:hAnsi="Arial" w:cs="Arial"/>
            <w:noProof/>
            <w:webHidden/>
            <w:sz w:val="22"/>
            <w:szCs w:val="22"/>
          </w:rPr>
          <w:instrText xml:space="preserve"> PAGEREF _Toc431917498 \h </w:instrText>
        </w:r>
        <w:r w:rsidR="00424BEA" w:rsidRPr="00424BEA">
          <w:rPr>
            <w:rFonts w:ascii="Arial" w:hAnsi="Arial" w:cs="Arial"/>
            <w:noProof/>
            <w:webHidden/>
            <w:sz w:val="22"/>
            <w:szCs w:val="22"/>
          </w:rPr>
        </w:r>
        <w:r w:rsidR="00424BEA" w:rsidRPr="00424BEA">
          <w:rPr>
            <w:rFonts w:ascii="Arial" w:hAnsi="Arial" w:cs="Arial"/>
            <w:noProof/>
            <w:webHidden/>
            <w:sz w:val="22"/>
            <w:szCs w:val="22"/>
          </w:rPr>
          <w:fldChar w:fldCharType="separate"/>
        </w:r>
        <w:r w:rsidR="00424BEA" w:rsidRPr="00424BEA">
          <w:rPr>
            <w:rFonts w:ascii="Arial" w:hAnsi="Arial" w:cs="Arial"/>
            <w:noProof/>
            <w:webHidden/>
            <w:sz w:val="22"/>
            <w:szCs w:val="22"/>
          </w:rPr>
          <w:t>114</w:t>
        </w:r>
        <w:r w:rsidR="00424BEA" w:rsidRPr="00424BEA">
          <w:rPr>
            <w:rFonts w:ascii="Arial" w:hAnsi="Arial" w:cs="Arial"/>
            <w:noProof/>
            <w:webHidden/>
            <w:sz w:val="22"/>
            <w:szCs w:val="22"/>
          </w:rPr>
          <w:fldChar w:fldCharType="end"/>
        </w:r>
      </w:hyperlink>
    </w:p>
    <w:p w14:paraId="070B4E5F" w14:textId="77777777" w:rsidR="00424BEA" w:rsidRPr="00424BEA" w:rsidRDefault="009A7DB9" w:rsidP="00424BEA">
      <w:pPr>
        <w:pStyle w:val="TableofFigures"/>
        <w:tabs>
          <w:tab w:val="right" w:leader="dot" w:pos="8778"/>
        </w:tabs>
        <w:spacing w:line="360" w:lineRule="auto"/>
        <w:jc w:val="both"/>
        <w:rPr>
          <w:rFonts w:ascii="Arial" w:eastAsiaTheme="minorEastAsia" w:hAnsi="Arial" w:cs="Arial"/>
          <w:b w:val="0"/>
          <w:bCs w:val="0"/>
          <w:noProof/>
          <w:sz w:val="22"/>
          <w:szCs w:val="22"/>
          <w:lang w:val="en-US" w:eastAsia="en-US"/>
        </w:rPr>
      </w:pPr>
      <w:hyperlink w:anchor="_Toc431917499" w:history="1">
        <w:r w:rsidR="00424BEA" w:rsidRPr="00424BEA">
          <w:rPr>
            <w:rStyle w:val="Hyperlink"/>
            <w:rFonts w:ascii="Arial" w:hAnsi="Arial" w:cs="Arial"/>
            <w:noProof/>
            <w:sz w:val="22"/>
            <w:szCs w:val="22"/>
          </w:rPr>
          <w:t>Table 39 - Costs associated with adverse events and device failure for the Vibrant Soundbridge system</w:t>
        </w:r>
        <w:r w:rsidR="00424BEA" w:rsidRPr="00424BEA">
          <w:rPr>
            <w:rFonts w:ascii="Arial" w:hAnsi="Arial" w:cs="Arial"/>
            <w:noProof/>
            <w:webHidden/>
            <w:sz w:val="22"/>
            <w:szCs w:val="22"/>
          </w:rPr>
          <w:tab/>
        </w:r>
        <w:r w:rsidR="00424BEA" w:rsidRPr="00424BEA">
          <w:rPr>
            <w:rFonts w:ascii="Arial" w:hAnsi="Arial" w:cs="Arial"/>
            <w:noProof/>
            <w:webHidden/>
            <w:sz w:val="22"/>
            <w:szCs w:val="22"/>
          </w:rPr>
          <w:fldChar w:fldCharType="begin"/>
        </w:r>
        <w:r w:rsidR="00424BEA" w:rsidRPr="00424BEA">
          <w:rPr>
            <w:rFonts w:ascii="Arial" w:hAnsi="Arial" w:cs="Arial"/>
            <w:noProof/>
            <w:webHidden/>
            <w:sz w:val="22"/>
            <w:szCs w:val="22"/>
          </w:rPr>
          <w:instrText xml:space="preserve"> PAGEREF _Toc431917499 \h </w:instrText>
        </w:r>
        <w:r w:rsidR="00424BEA" w:rsidRPr="00424BEA">
          <w:rPr>
            <w:rFonts w:ascii="Arial" w:hAnsi="Arial" w:cs="Arial"/>
            <w:noProof/>
            <w:webHidden/>
            <w:sz w:val="22"/>
            <w:szCs w:val="22"/>
          </w:rPr>
        </w:r>
        <w:r w:rsidR="00424BEA" w:rsidRPr="00424BEA">
          <w:rPr>
            <w:rFonts w:ascii="Arial" w:hAnsi="Arial" w:cs="Arial"/>
            <w:noProof/>
            <w:webHidden/>
            <w:sz w:val="22"/>
            <w:szCs w:val="22"/>
          </w:rPr>
          <w:fldChar w:fldCharType="separate"/>
        </w:r>
        <w:r w:rsidR="00424BEA" w:rsidRPr="00424BEA">
          <w:rPr>
            <w:rFonts w:ascii="Arial" w:hAnsi="Arial" w:cs="Arial"/>
            <w:noProof/>
            <w:webHidden/>
            <w:sz w:val="22"/>
            <w:szCs w:val="22"/>
          </w:rPr>
          <w:t>115</w:t>
        </w:r>
        <w:r w:rsidR="00424BEA" w:rsidRPr="00424BEA">
          <w:rPr>
            <w:rFonts w:ascii="Arial" w:hAnsi="Arial" w:cs="Arial"/>
            <w:noProof/>
            <w:webHidden/>
            <w:sz w:val="22"/>
            <w:szCs w:val="22"/>
          </w:rPr>
          <w:fldChar w:fldCharType="end"/>
        </w:r>
      </w:hyperlink>
    </w:p>
    <w:p w14:paraId="57CA4D08" w14:textId="77777777" w:rsidR="00424BEA" w:rsidRPr="00424BEA" w:rsidRDefault="009A7DB9" w:rsidP="00424BEA">
      <w:pPr>
        <w:pStyle w:val="TableofFigures"/>
        <w:tabs>
          <w:tab w:val="right" w:leader="dot" w:pos="8778"/>
        </w:tabs>
        <w:spacing w:line="360" w:lineRule="auto"/>
        <w:jc w:val="both"/>
        <w:rPr>
          <w:rFonts w:ascii="Arial" w:eastAsiaTheme="minorEastAsia" w:hAnsi="Arial" w:cs="Arial"/>
          <w:b w:val="0"/>
          <w:bCs w:val="0"/>
          <w:noProof/>
          <w:sz w:val="22"/>
          <w:szCs w:val="22"/>
          <w:lang w:val="en-US" w:eastAsia="en-US"/>
        </w:rPr>
      </w:pPr>
      <w:hyperlink w:anchor="_Toc431917500" w:history="1">
        <w:r w:rsidR="00424BEA" w:rsidRPr="00424BEA">
          <w:rPr>
            <w:rStyle w:val="Hyperlink"/>
            <w:rFonts w:ascii="Arial" w:hAnsi="Arial" w:cs="Arial"/>
            <w:noProof/>
            <w:sz w:val="22"/>
            <w:szCs w:val="22"/>
          </w:rPr>
          <w:t xml:space="preserve">Table 40 - </w:t>
        </w:r>
        <w:r w:rsidR="00424BEA" w:rsidRPr="00424BEA">
          <w:rPr>
            <w:rStyle w:val="Hyperlink"/>
            <w:rFonts w:ascii="Arial" w:hAnsi="Arial" w:cs="Arial"/>
            <w:noProof/>
            <w:sz w:val="22"/>
            <w:szCs w:val="22"/>
            <w:lang w:val="en-GB"/>
          </w:rPr>
          <w:t>Total costs per patient associated with recurring outer ear pathologies</w:t>
        </w:r>
        <w:r w:rsidR="00424BEA" w:rsidRPr="00424BEA">
          <w:rPr>
            <w:rFonts w:ascii="Arial" w:hAnsi="Arial" w:cs="Arial"/>
            <w:noProof/>
            <w:webHidden/>
            <w:sz w:val="22"/>
            <w:szCs w:val="22"/>
          </w:rPr>
          <w:tab/>
        </w:r>
        <w:r w:rsidR="00424BEA" w:rsidRPr="00424BEA">
          <w:rPr>
            <w:rFonts w:ascii="Arial" w:hAnsi="Arial" w:cs="Arial"/>
            <w:noProof/>
            <w:webHidden/>
            <w:sz w:val="22"/>
            <w:szCs w:val="22"/>
          </w:rPr>
          <w:fldChar w:fldCharType="begin"/>
        </w:r>
        <w:r w:rsidR="00424BEA" w:rsidRPr="00424BEA">
          <w:rPr>
            <w:rFonts w:ascii="Arial" w:hAnsi="Arial" w:cs="Arial"/>
            <w:noProof/>
            <w:webHidden/>
            <w:sz w:val="22"/>
            <w:szCs w:val="22"/>
          </w:rPr>
          <w:instrText xml:space="preserve"> PAGEREF _Toc431917500 \h </w:instrText>
        </w:r>
        <w:r w:rsidR="00424BEA" w:rsidRPr="00424BEA">
          <w:rPr>
            <w:rFonts w:ascii="Arial" w:hAnsi="Arial" w:cs="Arial"/>
            <w:noProof/>
            <w:webHidden/>
            <w:sz w:val="22"/>
            <w:szCs w:val="22"/>
          </w:rPr>
        </w:r>
        <w:r w:rsidR="00424BEA" w:rsidRPr="00424BEA">
          <w:rPr>
            <w:rFonts w:ascii="Arial" w:hAnsi="Arial" w:cs="Arial"/>
            <w:noProof/>
            <w:webHidden/>
            <w:sz w:val="22"/>
            <w:szCs w:val="22"/>
          </w:rPr>
          <w:fldChar w:fldCharType="separate"/>
        </w:r>
        <w:r w:rsidR="00424BEA" w:rsidRPr="00424BEA">
          <w:rPr>
            <w:rFonts w:ascii="Arial" w:hAnsi="Arial" w:cs="Arial"/>
            <w:noProof/>
            <w:webHidden/>
            <w:sz w:val="22"/>
            <w:szCs w:val="22"/>
          </w:rPr>
          <w:t>115</w:t>
        </w:r>
        <w:r w:rsidR="00424BEA" w:rsidRPr="00424BEA">
          <w:rPr>
            <w:rFonts w:ascii="Arial" w:hAnsi="Arial" w:cs="Arial"/>
            <w:noProof/>
            <w:webHidden/>
            <w:sz w:val="22"/>
            <w:szCs w:val="22"/>
          </w:rPr>
          <w:fldChar w:fldCharType="end"/>
        </w:r>
      </w:hyperlink>
    </w:p>
    <w:p w14:paraId="06FA006E" w14:textId="77777777" w:rsidR="00424BEA" w:rsidRPr="00424BEA" w:rsidRDefault="009A7DB9" w:rsidP="00424BEA">
      <w:pPr>
        <w:pStyle w:val="TableofFigures"/>
        <w:tabs>
          <w:tab w:val="right" w:leader="dot" w:pos="8778"/>
        </w:tabs>
        <w:spacing w:line="360" w:lineRule="auto"/>
        <w:jc w:val="both"/>
        <w:rPr>
          <w:rFonts w:ascii="Arial" w:eastAsiaTheme="minorEastAsia" w:hAnsi="Arial" w:cs="Arial"/>
          <w:b w:val="0"/>
          <w:bCs w:val="0"/>
          <w:noProof/>
          <w:sz w:val="22"/>
          <w:szCs w:val="22"/>
          <w:lang w:val="en-US" w:eastAsia="en-US"/>
        </w:rPr>
      </w:pPr>
      <w:hyperlink w:anchor="_Toc431917501" w:history="1">
        <w:r w:rsidR="00424BEA" w:rsidRPr="00424BEA">
          <w:rPr>
            <w:rStyle w:val="Hyperlink"/>
            <w:rFonts w:ascii="Arial" w:hAnsi="Arial" w:cs="Arial"/>
            <w:noProof/>
            <w:sz w:val="22"/>
            <w:szCs w:val="22"/>
          </w:rPr>
          <w:t xml:space="preserve">Table 41 - </w:t>
        </w:r>
        <w:r w:rsidR="00424BEA" w:rsidRPr="00424BEA">
          <w:rPr>
            <w:rStyle w:val="Hyperlink"/>
            <w:rFonts w:ascii="Arial" w:hAnsi="Arial" w:cs="Arial"/>
            <w:noProof/>
            <w:sz w:val="22"/>
            <w:szCs w:val="22"/>
            <w:lang w:val="en-GB"/>
          </w:rPr>
          <w:t>Total costs per patient for successful MAXUM/Soundtec implantation in the first 6 months</w:t>
        </w:r>
        <w:r w:rsidR="00424BEA" w:rsidRPr="00424BEA">
          <w:rPr>
            <w:rFonts w:ascii="Arial" w:hAnsi="Arial" w:cs="Arial"/>
            <w:noProof/>
            <w:webHidden/>
            <w:sz w:val="22"/>
            <w:szCs w:val="22"/>
          </w:rPr>
          <w:tab/>
        </w:r>
        <w:r w:rsidR="00424BEA" w:rsidRPr="00424BEA">
          <w:rPr>
            <w:rFonts w:ascii="Arial" w:hAnsi="Arial" w:cs="Arial"/>
            <w:noProof/>
            <w:webHidden/>
            <w:sz w:val="22"/>
            <w:szCs w:val="22"/>
          </w:rPr>
          <w:fldChar w:fldCharType="begin"/>
        </w:r>
        <w:r w:rsidR="00424BEA" w:rsidRPr="00424BEA">
          <w:rPr>
            <w:rFonts w:ascii="Arial" w:hAnsi="Arial" w:cs="Arial"/>
            <w:noProof/>
            <w:webHidden/>
            <w:sz w:val="22"/>
            <w:szCs w:val="22"/>
          </w:rPr>
          <w:instrText xml:space="preserve"> PAGEREF _Toc431917501 \h </w:instrText>
        </w:r>
        <w:r w:rsidR="00424BEA" w:rsidRPr="00424BEA">
          <w:rPr>
            <w:rFonts w:ascii="Arial" w:hAnsi="Arial" w:cs="Arial"/>
            <w:noProof/>
            <w:webHidden/>
            <w:sz w:val="22"/>
            <w:szCs w:val="22"/>
          </w:rPr>
        </w:r>
        <w:r w:rsidR="00424BEA" w:rsidRPr="00424BEA">
          <w:rPr>
            <w:rFonts w:ascii="Arial" w:hAnsi="Arial" w:cs="Arial"/>
            <w:noProof/>
            <w:webHidden/>
            <w:sz w:val="22"/>
            <w:szCs w:val="22"/>
          </w:rPr>
          <w:fldChar w:fldCharType="separate"/>
        </w:r>
        <w:r w:rsidR="00424BEA" w:rsidRPr="00424BEA">
          <w:rPr>
            <w:rFonts w:ascii="Arial" w:hAnsi="Arial" w:cs="Arial"/>
            <w:noProof/>
            <w:webHidden/>
            <w:sz w:val="22"/>
            <w:szCs w:val="22"/>
          </w:rPr>
          <w:t>117</w:t>
        </w:r>
        <w:r w:rsidR="00424BEA" w:rsidRPr="00424BEA">
          <w:rPr>
            <w:rFonts w:ascii="Arial" w:hAnsi="Arial" w:cs="Arial"/>
            <w:noProof/>
            <w:webHidden/>
            <w:sz w:val="22"/>
            <w:szCs w:val="22"/>
          </w:rPr>
          <w:fldChar w:fldCharType="end"/>
        </w:r>
      </w:hyperlink>
    </w:p>
    <w:p w14:paraId="3FEF2B3E" w14:textId="77777777" w:rsidR="00424BEA" w:rsidRPr="00424BEA" w:rsidRDefault="009A7DB9" w:rsidP="00424BEA">
      <w:pPr>
        <w:pStyle w:val="TableofFigures"/>
        <w:tabs>
          <w:tab w:val="right" w:leader="dot" w:pos="8778"/>
        </w:tabs>
        <w:spacing w:line="360" w:lineRule="auto"/>
        <w:jc w:val="both"/>
        <w:rPr>
          <w:rFonts w:ascii="Arial" w:eastAsiaTheme="minorEastAsia" w:hAnsi="Arial" w:cs="Arial"/>
          <w:b w:val="0"/>
          <w:bCs w:val="0"/>
          <w:noProof/>
          <w:sz w:val="22"/>
          <w:szCs w:val="22"/>
          <w:lang w:val="en-US" w:eastAsia="en-US"/>
        </w:rPr>
      </w:pPr>
      <w:hyperlink w:anchor="_Toc431917502" w:history="1">
        <w:r w:rsidR="00424BEA" w:rsidRPr="00424BEA">
          <w:rPr>
            <w:rStyle w:val="Hyperlink"/>
            <w:rFonts w:ascii="Arial" w:hAnsi="Arial" w:cs="Arial"/>
            <w:noProof/>
            <w:sz w:val="22"/>
            <w:szCs w:val="22"/>
          </w:rPr>
          <w:t xml:space="preserve">Table 42 - </w:t>
        </w:r>
        <w:r w:rsidR="00424BEA" w:rsidRPr="00424BEA">
          <w:rPr>
            <w:rStyle w:val="Hyperlink"/>
            <w:rFonts w:ascii="Arial" w:hAnsi="Arial" w:cs="Arial"/>
            <w:noProof/>
            <w:sz w:val="22"/>
            <w:szCs w:val="22"/>
            <w:lang w:val="en-GB"/>
          </w:rPr>
          <w:t>Long-term costs of Maxum/Soundtec use</w:t>
        </w:r>
        <w:r w:rsidR="00424BEA" w:rsidRPr="00424BEA">
          <w:rPr>
            <w:rFonts w:ascii="Arial" w:hAnsi="Arial" w:cs="Arial"/>
            <w:noProof/>
            <w:webHidden/>
            <w:sz w:val="22"/>
            <w:szCs w:val="22"/>
          </w:rPr>
          <w:tab/>
        </w:r>
        <w:r w:rsidR="00424BEA" w:rsidRPr="00424BEA">
          <w:rPr>
            <w:rFonts w:ascii="Arial" w:hAnsi="Arial" w:cs="Arial"/>
            <w:noProof/>
            <w:webHidden/>
            <w:sz w:val="22"/>
            <w:szCs w:val="22"/>
          </w:rPr>
          <w:fldChar w:fldCharType="begin"/>
        </w:r>
        <w:r w:rsidR="00424BEA" w:rsidRPr="00424BEA">
          <w:rPr>
            <w:rFonts w:ascii="Arial" w:hAnsi="Arial" w:cs="Arial"/>
            <w:noProof/>
            <w:webHidden/>
            <w:sz w:val="22"/>
            <w:szCs w:val="22"/>
          </w:rPr>
          <w:instrText xml:space="preserve"> PAGEREF _Toc431917502 \h </w:instrText>
        </w:r>
        <w:r w:rsidR="00424BEA" w:rsidRPr="00424BEA">
          <w:rPr>
            <w:rFonts w:ascii="Arial" w:hAnsi="Arial" w:cs="Arial"/>
            <w:noProof/>
            <w:webHidden/>
            <w:sz w:val="22"/>
            <w:szCs w:val="22"/>
          </w:rPr>
        </w:r>
        <w:r w:rsidR="00424BEA" w:rsidRPr="00424BEA">
          <w:rPr>
            <w:rFonts w:ascii="Arial" w:hAnsi="Arial" w:cs="Arial"/>
            <w:noProof/>
            <w:webHidden/>
            <w:sz w:val="22"/>
            <w:szCs w:val="22"/>
          </w:rPr>
          <w:fldChar w:fldCharType="separate"/>
        </w:r>
        <w:r w:rsidR="00424BEA" w:rsidRPr="00424BEA">
          <w:rPr>
            <w:rFonts w:ascii="Arial" w:hAnsi="Arial" w:cs="Arial"/>
            <w:noProof/>
            <w:webHidden/>
            <w:sz w:val="22"/>
            <w:szCs w:val="22"/>
          </w:rPr>
          <w:t>118</w:t>
        </w:r>
        <w:r w:rsidR="00424BEA" w:rsidRPr="00424BEA">
          <w:rPr>
            <w:rFonts w:ascii="Arial" w:hAnsi="Arial" w:cs="Arial"/>
            <w:noProof/>
            <w:webHidden/>
            <w:sz w:val="22"/>
            <w:szCs w:val="22"/>
          </w:rPr>
          <w:fldChar w:fldCharType="end"/>
        </w:r>
      </w:hyperlink>
    </w:p>
    <w:p w14:paraId="555AB49A" w14:textId="77777777" w:rsidR="00424BEA" w:rsidRPr="00424BEA" w:rsidRDefault="009A7DB9" w:rsidP="00424BEA">
      <w:pPr>
        <w:pStyle w:val="TableofFigures"/>
        <w:tabs>
          <w:tab w:val="right" w:leader="dot" w:pos="8778"/>
        </w:tabs>
        <w:spacing w:line="360" w:lineRule="auto"/>
        <w:jc w:val="both"/>
        <w:rPr>
          <w:rFonts w:ascii="Arial" w:eastAsiaTheme="minorEastAsia" w:hAnsi="Arial" w:cs="Arial"/>
          <w:b w:val="0"/>
          <w:bCs w:val="0"/>
          <w:noProof/>
          <w:sz w:val="22"/>
          <w:szCs w:val="22"/>
          <w:lang w:val="en-US" w:eastAsia="en-US"/>
        </w:rPr>
      </w:pPr>
      <w:hyperlink w:anchor="_Toc431917503" w:history="1">
        <w:r w:rsidR="00424BEA" w:rsidRPr="00424BEA">
          <w:rPr>
            <w:rStyle w:val="Hyperlink"/>
            <w:rFonts w:ascii="Arial" w:hAnsi="Arial" w:cs="Arial"/>
            <w:noProof/>
            <w:sz w:val="22"/>
            <w:szCs w:val="22"/>
          </w:rPr>
          <w:t xml:space="preserve">Table 43 - </w:t>
        </w:r>
        <w:r w:rsidR="00424BEA" w:rsidRPr="00424BEA">
          <w:rPr>
            <w:rStyle w:val="Hyperlink"/>
            <w:rFonts w:ascii="Arial" w:hAnsi="Arial" w:cs="Arial"/>
            <w:noProof/>
            <w:sz w:val="22"/>
            <w:szCs w:val="22"/>
            <w:lang w:val="en-GB"/>
          </w:rPr>
          <w:t>Costs associated with adverse events and device failure for the Maxum/Soundtec system.</w:t>
        </w:r>
        <w:r w:rsidR="00424BEA" w:rsidRPr="00424BEA">
          <w:rPr>
            <w:rFonts w:ascii="Arial" w:hAnsi="Arial" w:cs="Arial"/>
            <w:noProof/>
            <w:webHidden/>
            <w:sz w:val="22"/>
            <w:szCs w:val="22"/>
          </w:rPr>
          <w:tab/>
        </w:r>
        <w:r w:rsidR="00424BEA" w:rsidRPr="00424BEA">
          <w:rPr>
            <w:rFonts w:ascii="Arial" w:hAnsi="Arial" w:cs="Arial"/>
            <w:noProof/>
            <w:webHidden/>
            <w:sz w:val="22"/>
            <w:szCs w:val="22"/>
          </w:rPr>
          <w:fldChar w:fldCharType="begin"/>
        </w:r>
        <w:r w:rsidR="00424BEA" w:rsidRPr="00424BEA">
          <w:rPr>
            <w:rFonts w:ascii="Arial" w:hAnsi="Arial" w:cs="Arial"/>
            <w:noProof/>
            <w:webHidden/>
            <w:sz w:val="22"/>
            <w:szCs w:val="22"/>
          </w:rPr>
          <w:instrText xml:space="preserve"> PAGEREF _Toc431917503 \h </w:instrText>
        </w:r>
        <w:r w:rsidR="00424BEA" w:rsidRPr="00424BEA">
          <w:rPr>
            <w:rFonts w:ascii="Arial" w:hAnsi="Arial" w:cs="Arial"/>
            <w:noProof/>
            <w:webHidden/>
            <w:sz w:val="22"/>
            <w:szCs w:val="22"/>
          </w:rPr>
        </w:r>
        <w:r w:rsidR="00424BEA" w:rsidRPr="00424BEA">
          <w:rPr>
            <w:rFonts w:ascii="Arial" w:hAnsi="Arial" w:cs="Arial"/>
            <w:noProof/>
            <w:webHidden/>
            <w:sz w:val="22"/>
            <w:szCs w:val="22"/>
          </w:rPr>
          <w:fldChar w:fldCharType="separate"/>
        </w:r>
        <w:r w:rsidR="00424BEA" w:rsidRPr="00424BEA">
          <w:rPr>
            <w:rFonts w:ascii="Arial" w:hAnsi="Arial" w:cs="Arial"/>
            <w:noProof/>
            <w:webHidden/>
            <w:sz w:val="22"/>
            <w:szCs w:val="22"/>
          </w:rPr>
          <w:t>118</w:t>
        </w:r>
        <w:r w:rsidR="00424BEA" w:rsidRPr="00424BEA">
          <w:rPr>
            <w:rFonts w:ascii="Arial" w:hAnsi="Arial" w:cs="Arial"/>
            <w:noProof/>
            <w:webHidden/>
            <w:sz w:val="22"/>
            <w:szCs w:val="22"/>
          </w:rPr>
          <w:fldChar w:fldCharType="end"/>
        </w:r>
      </w:hyperlink>
    </w:p>
    <w:p w14:paraId="13CF51F0" w14:textId="77777777" w:rsidR="00424BEA" w:rsidRPr="00424BEA" w:rsidRDefault="009A7DB9" w:rsidP="00424BEA">
      <w:pPr>
        <w:pStyle w:val="TableofFigures"/>
        <w:tabs>
          <w:tab w:val="right" w:leader="dot" w:pos="8778"/>
        </w:tabs>
        <w:spacing w:line="360" w:lineRule="auto"/>
        <w:jc w:val="both"/>
        <w:rPr>
          <w:rFonts w:ascii="Arial" w:eastAsiaTheme="minorEastAsia" w:hAnsi="Arial" w:cs="Arial"/>
          <w:b w:val="0"/>
          <w:bCs w:val="0"/>
          <w:noProof/>
          <w:sz w:val="22"/>
          <w:szCs w:val="22"/>
          <w:lang w:val="en-US" w:eastAsia="en-US"/>
        </w:rPr>
      </w:pPr>
      <w:hyperlink w:anchor="_Toc431917504" w:history="1">
        <w:r w:rsidR="00424BEA" w:rsidRPr="00424BEA">
          <w:rPr>
            <w:rStyle w:val="Hyperlink"/>
            <w:rFonts w:ascii="Arial" w:hAnsi="Arial" w:cs="Arial"/>
            <w:noProof/>
            <w:sz w:val="22"/>
            <w:szCs w:val="22"/>
          </w:rPr>
          <w:t xml:space="preserve">Table 44 - </w:t>
        </w:r>
        <w:r w:rsidR="00424BEA" w:rsidRPr="00424BEA">
          <w:rPr>
            <w:rStyle w:val="Hyperlink"/>
            <w:rFonts w:ascii="Arial" w:hAnsi="Arial" w:cs="Arial"/>
            <w:noProof/>
            <w:sz w:val="22"/>
            <w:szCs w:val="22"/>
            <w:lang w:val="en-GB"/>
          </w:rPr>
          <w:t>Health outcome values used in the main economic evaluation</w:t>
        </w:r>
        <w:r w:rsidR="00424BEA" w:rsidRPr="00424BEA">
          <w:rPr>
            <w:rFonts w:ascii="Arial" w:hAnsi="Arial" w:cs="Arial"/>
            <w:noProof/>
            <w:webHidden/>
            <w:sz w:val="22"/>
            <w:szCs w:val="22"/>
          </w:rPr>
          <w:tab/>
        </w:r>
        <w:r w:rsidR="00424BEA" w:rsidRPr="00424BEA">
          <w:rPr>
            <w:rFonts w:ascii="Arial" w:hAnsi="Arial" w:cs="Arial"/>
            <w:noProof/>
            <w:webHidden/>
            <w:sz w:val="22"/>
            <w:szCs w:val="22"/>
          </w:rPr>
          <w:fldChar w:fldCharType="begin"/>
        </w:r>
        <w:r w:rsidR="00424BEA" w:rsidRPr="00424BEA">
          <w:rPr>
            <w:rFonts w:ascii="Arial" w:hAnsi="Arial" w:cs="Arial"/>
            <w:noProof/>
            <w:webHidden/>
            <w:sz w:val="22"/>
            <w:szCs w:val="22"/>
          </w:rPr>
          <w:instrText xml:space="preserve"> PAGEREF _Toc431917504 \h </w:instrText>
        </w:r>
        <w:r w:rsidR="00424BEA" w:rsidRPr="00424BEA">
          <w:rPr>
            <w:rFonts w:ascii="Arial" w:hAnsi="Arial" w:cs="Arial"/>
            <w:noProof/>
            <w:webHidden/>
            <w:sz w:val="22"/>
            <w:szCs w:val="22"/>
          </w:rPr>
        </w:r>
        <w:r w:rsidR="00424BEA" w:rsidRPr="00424BEA">
          <w:rPr>
            <w:rFonts w:ascii="Arial" w:hAnsi="Arial" w:cs="Arial"/>
            <w:noProof/>
            <w:webHidden/>
            <w:sz w:val="22"/>
            <w:szCs w:val="22"/>
          </w:rPr>
          <w:fldChar w:fldCharType="separate"/>
        </w:r>
        <w:r w:rsidR="00424BEA" w:rsidRPr="00424BEA">
          <w:rPr>
            <w:rFonts w:ascii="Arial" w:hAnsi="Arial" w:cs="Arial"/>
            <w:noProof/>
            <w:webHidden/>
            <w:sz w:val="22"/>
            <w:szCs w:val="22"/>
          </w:rPr>
          <w:t>119</w:t>
        </w:r>
        <w:r w:rsidR="00424BEA" w:rsidRPr="00424BEA">
          <w:rPr>
            <w:rFonts w:ascii="Arial" w:hAnsi="Arial" w:cs="Arial"/>
            <w:noProof/>
            <w:webHidden/>
            <w:sz w:val="22"/>
            <w:szCs w:val="22"/>
          </w:rPr>
          <w:fldChar w:fldCharType="end"/>
        </w:r>
      </w:hyperlink>
    </w:p>
    <w:p w14:paraId="13871D70" w14:textId="77777777" w:rsidR="00424BEA" w:rsidRPr="00424BEA" w:rsidRDefault="009A7DB9" w:rsidP="00424BEA">
      <w:pPr>
        <w:pStyle w:val="TableofFigures"/>
        <w:tabs>
          <w:tab w:val="right" w:leader="dot" w:pos="8778"/>
        </w:tabs>
        <w:spacing w:line="360" w:lineRule="auto"/>
        <w:jc w:val="both"/>
        <w:rPr>
          <w:rFonts w:ascii="Arial" w:eastAsiaTheme="minorEastAsia" w:hAnsi="Arial" w:cs="Arial"/>
          <w:b w:val="0"/>
          <w:bCs w:val="0"/>
          <w:noProof/>
          <w:sz w:val="22"/>
          <w:szCs w:val="22"/>
          <w:lang w:val="en-US" w:eastAsia="en-US"/>
        </w:rPr>
      </w:pPr>
      <w:hyperlink w:anchor="_Toc431917505" w:history="1">
        <w:r w:rsidR="00424BEA" w:rsidRPr="00424BEA">
          <w:rPr>
            <w:rStyle w:val="Hyperlink"/>
            <w:rFonts w:ascii="Arial" w:hAnsi="Arial" w:cs="Arial"/>
            <w:noProof/>
            <w:sz w:val="22"/>
            <w:szCs w:val="22"/>
          </w:rPr>
          <w:t xml:space="preserve">Table 45 - </w:t>
        </w:r>
        <w:r w:rsidR="00424BEA" w:rsidRPr="00424BEA">
          <w:rPr>
            <w:rStyle w:val="Hyperlink"/>
            <w:rFonts w:ascii="Arial" w:hAnsi="Arial" w:cs="Arial"/>
            <w:noProof/>
            <w:sz w:val="22"/>
            <w:szCs w:val="22"/>
            <w:lang w:val="en-GB"/>
          </w:rPr>
          <w:t>Age-dependent values used to model incremental utility in the main economic evaluation.</w:t>
        </w:r>
        <w:r w:rsidR="00424BEA" w:rsidRPr="00424BEA">
          <w:rPr>
            <w:rFonts w:ascii="Arial" w:hAnsi="Arial" w:cs="Arial"/>
            <w:noProof/>
            <w:webHidden/>
            <w:sz w:val="22"/>
            <w:szCs w:val="22"/>
          </w:rPr>
          <w:tab/>
        </w:r>
        <w:r w:rsidR="00424BEA" w:rsidRPr="00424BEA">
          <w:rPr>
            <w:rFonts w:ascii="Arial" w:hAnsi="Arial" w:cs="Arial"/>
            <w:noProof/>
            <w:webHidden/>
            <w:sz w:val="22"/>
            <w:szCs w:val="22"/>
          </w:rPr>
          <w:fldChar w:fldCharType="begin"/>
        </w:r>
        <w:r w:rsidR="00424BEA" w:rsidRPr="00424BEA">
          <w:rPr>
            <w:rFonts w:ascii="Arial" w:hAnsi="Arial" w:cs="Arial"/>
            <w:noProof/>
            <w:webHidden/>
            <w:sz w:val="22"/>
            <w:szCs w:val="22"/>
          </w:rPr>
          <w:instrText xml:space="preserve"> PAGEREF _Toc431917505 \h </w:instrText>
        </w:r>
        <w:r w:rsidR="00424BEA" w:rsidRPr="00424BEA">
          <w:rPr>
            <w:rFonts w:ascii="Arial" w:hAnsi="Arial" w:cs="Arial"/>
            <w:noProof/>
            <w:webHidden/>
            <w:sz w:val="22"/>
            <w:szCs w:val="22"/>
          </w:rPr>
        </w:r>
        <w:r w:rsidR="00424BEA" w:rsidRPr="00424BEA">
          <w:rPr>
            <w:rFonts w:ascii="Arial" w:hAnsi="Arial" w:cs="Arial"/>
            <w:noProof/>
            <w:webHidden/>
            <w:sz w:val="22"/>
            <w:szCs w:val="22"/>
          </w:rPr>
          <w:fldChar w:fldCharType="separate"/>
        </w:r>
        <w:r w:rsidR="00424BEA" w:rsidRPr="00424BEA">
          <w:rPr>
            <w:rFonts w:ascii="Arial" w:hAnsi="Arial" w:cs="Arial"/>
            <w:noProof/>
            <w:webHidden/>
            <w:sz w:val="22"/>
            <w:szCs w:val="22"/>
          </w:rPr>
          <w:t>120</w:t>
        </w:r>
        <w:r w:rsidR="00424BEA" w:rsidRPr="00424BEA">
          <w:rPr>
            <w:rFonts w:ascii="Arial" w:hAnsi="Arial" w:cs="Arial"/>
            <w:noProof/>
            <w:webHidden/>
            <w:sz w:val="22"/>
            <w:szCs w:val="22"/>
          </w:rPr>
          <w:fldChar w:fldCharType="end"/>
        </w:r>
      </w:hyperlink>
    </w:p>
    <w:p w14:paraId="4180FC79" w14:textId="77777777" w:rsidR="00424BEA" w:rsidRPr="00424BEA" w:rsidRDefault="009A7DB9" w:rsidP="00424BEA">
      <w:pPr>
        <w:pStyle w:val="TableofFigures"/>
        <w:tabs>
          <w:tab w:val="right" w:leader="dot" w:pos="8778"/>
        </w:tabs>
        <w:spacing w:line="360" w:lineRule="auto"/>
        <w:jc w:val="both"/>
        <w:rPr>
          <w:rFonts w:ascii="Arial" w:eastAsiaTheme="minorEastAsia" w:hAnsi="Arial" w:cs="Arial"/>
          <w:b w:val="0"/>
          <w:bCs w:val="0"/>
          <w:noProof/>
          <w:sz w:val="22"/>
          <w:szCs w:val="22"/>
          <w:lang w:val="en-US" w:eastAsia="en-US"/>
        </w:rPr>
      </w:pPr>
      <w:hyperlink w:anchor="_Toc431917506" w:history="1">
        <w:r w:rsidR="00424BEA" w:rsidRPr="00424BEA">
          <w:rPr>
            <w:rStyle w:val="Hyperlink"/>
            <w:rFonts w:ascii="Arial" w:hAnsi="Arial" w:cs="Arial"/>
            <w:noProof/>
            <w:sz w:val="22"/>
            <w:szCs w:val="22"/>
          </w:rPr>
          <w:t xml:space="preserve">Table 46 - </w:t>
        </w:r>
        <w:r w:rsidR="00424BEA" w:rsidRPr="00424BEA">
          <w:rPr>
            <w:rStyle w:val="Hyperlink"/>
            <w:rFonts w:ascii="Arial" w:hAnsi="Arial" w:cs="Arial"/>
            <w:noProof/>
            <w:sz w:val="22"/>
            <w:szCs w:val="22"/>
            <w:lang w:val="en-GB"/>
          </w:rPr>
          <w:t>Health outcome values used for comparing partially implantable MEI.</w:t>
        </w:r>
        <w:r w:rsidR="00424BEA" w:rsidRPr="00424BEA">
          <w:rPr>
            <w:rFonts w:ascii="Arial" w:hAnsi="Arial" w:cs="Arial"/>
            <w:noProof/>
            <w:webHidden/>
            <w:sz w:val="22"/>
            <w:szCs w:val="22"/>
          </w:rPr>
          <w:tab/>
        </w:r>
        <w:r w:rsidR="00424BEA" w:rsidRPr="00424BEA">
          <w:rPr>
            <w:rFonts w:ascii="Arial" w:hAnsi="Arial" w:cs="Arial"/>
            <w:noProof/>
            <w:webHidden/>
            <w:sz w:val="22"/>
            <w:szCs w:val="22"/>
          </w:rPr>
          <w:fldChar w:fldCharType="begin"/>
        </w:r>
        <w:r w:rsidR="00424BEA" w:rsidRPr="00424BEA">
          <w:rPr>
            <w:rFonts w:ascii="Arial" w:hAnsi="Arial" w:cs="Arial"/>
            <w:noProof/>
            <w:webHidden/>
            <w:sz w:val="22"/>
            <w:szCs w:val="22"/>
          </w:rPr>
          <w:instrText xml:space="preserve"> PAGEREF _Toc431917506 \h </w:instrText>
        </w:r>
        <w:r w:rsidR="00424BEA" w:rsidRPr="00424BEA">
          <w:rPr>
            <w:rFonts w:ascii="Arial" w:hAnsi="Arial" w:cs="Arial"/>
            <w:noProof/>
            <w:webHidden/>
            <w:sz w:val="22"/>
            <w:szCs w:val="22"/>
          </w:rPr>
        </w:r>
        <w:r w:rsidR="00424BEA" w:rsidRPr="00424BEA">
          <w:rPr>
            <w:rFonts w:ascii="Arial" w:hAnsi="Arial" w:cs="Arial"/>
            <w:noProof/>
            <w:webHidden/>
            <w:sz w:val="22"/>
            <w:szCs w:val="22"/>
          </w:rPr>
          <w:fldChar w:fldCharType="separate"/>
        </w:r>
        <w:r w:rsidR="00424BEA" w:rsidRPr="00424BEA">
          <w:rPr>
            <w:rFonts w:ascii="Arial" w:hAnsi="Arial" w:cs="Arial"/>
            <w:noProof/>
            <w:webHidden/>
            <w:sz w:val="22"/>
            <w:szCs w:val="22"/>
          </w:rPr>
          <w:t>120</w:t>
        </w:r>
        <w:r w:rsidR="00424BEA" w:rsidRPr="00424BEA">
          <w:rPr>
            <w:rFonts w:ascii="Arial" w:hAnsi="Arial" w:cs="Arial"/>
            <w:noProof/>
            <w:webHidden/>
            <w:sz w:val="22"/>
            <w:szCs w:val="22"/>
          </w:rPr>
          <w:fldChar w:fldCharType="end"/>
        </w:r>
      </w:hyperlink>
    </w:p>
    <w:p w14:paraId="0C627CEF" w14:textId="77777777" w:rsidR="00424BEA" w:rsidRPr="00424BEA" w:rsidRDefault="009A7DB9" w:rsidP="00424BEA">
      <w:pPr>
        <w:pStyle w:val="TableofFigures"/>
        <w:tabs>
          <w:tab w:val="right" w:leader="dot" w:pos="8778"/>
        </w:tabs>
        <w:spacing w:line="360" w:lineRule="auto"/>
        <w:jc w:val="both"/>
        <w:rPr>
          <w:rFonts w:ascii="Arial" w:eastAsiaTheme="minorEastAsia" w:hAnsi="Arial" w:cs="Arial"/>
          <w:b w:val="0"/>
          <w:bCs w:val="0"/>
          <w:noProof/>
          <w:sz w:val="22"/>
          <w:szCs w:val="22"/>
          <w:lang w:val="en-US" w:eastAsia="en-US"/>
        </w:rPr>
      </w:pPr>
      <w:hyperlink w:anchor="_Toc431917507" w:history="1">
        <w:r w:rsidR="00424BEA" w:rsidRPr="00424BEA">
          <w:rPr>
            <w:rStyle w:val="Hyperlink"/>
            <w:rFonts w:ascii="Arial" w:hAnsi="Arial" w:cs="Arial"/>
            <w:noProof/>
            <w:sz w:val="22"/>
            <w:szCs w:val="22"/>
          </w:rPr>
          <w:t xml:space="preserve">Table 47 - </w:t>
        </w:r>
        <w:r w:rsidR="00424BEA" w:rsidRPr="00424BEA">
          <w:rPr>
            <w:rStyle w:val="Hyperlink"/>
            <w:rFonts w:ascii="Arial" w:hAnsi="Arial" w:cs="Arial"/>
            <w:noProof/>
            <w:sz w:val="22"/>
            <w:szCs w:val="22"/>
            <w:lang w:val="en-GB"/>
          </w:rPr>
          <w:t xml:space="preserve">Base-case results produced by the state-transition model comparing VSB </w:t>
        </w:r>
        <w:r w:rsidR="00424BEA" w:rsidRPr="00424BEA">
          <w:rPr>
            <w:rStyle w:val="Hyperlink"/>
            <w:rFonts w:ascii="Arial" w:hAnsi="Arial" w:cs="Arial"/>
            <w:i/>
            <w:noProof/>
            <w:sz w:val="22"/>
            <w:szCs w:val="22"/>
            <w:lang w:val="en-GB"/>
          </w:rPr>
          <w:t>vs.</w:t>
        </w:r>
        <w:r w:rsidR="00424BEA" w:rsidRPr="00424BEA">
          <w:rPr>
            <w:rStyle w:val="Hyperlink"/>
            <w:rFonts w:ascii="Arial" w:hAnsi="Arial" w:cs="Arial"/>
            <w:noProof/>
            <w:sz w:val="22"/>
            <w:szCs w:val="22"/>
            <w:lang w:val="en-GB"/>
          </w:rPr>
          <w:t xml:space="preserve"> No intervention.</w:t>
        </w:r>
        <w:r w:rsidR="00424BEA" w:rsidRPr="00424BEA">
          <w:rPr>
            <w:rFonts w:ascii="Arial" w:hAnsi="Arial" w:cs="Arial"/>
            <w:noProof/>
            <w:webHidden/>
            <w:sz w:val="22"/>
            <w:szCs w:val="22"/>
          </w:rPr>
          <w:tab/>
        </w:r>
        <w:r w:rsidR="00424BEA" w:rsidRPr="00424BEA">
          <w:rPr>
            <w:rFonts w:ascii="Arial" w:hAnsi="Arial" w:cs="Arial"/>
            <w:noProof/>
            <w:webHidden/>
            <w:sz w:val="22"/>
            <w:szCs w:val="22"/>
          </w:rPr>
          <w:fldChar w:fldCharType="begin"/>
        </w:r>
        <w:r w:rsidR="00424BEA" w:rsidRPr="00424BEA">
          <w:rPr>
            <w:rFonts w:ascii="Arial" w:hAnsi="Arial" w:cs="Arial"/>
            <w:noProof/>
            <w:webHidden/>
            <w:sz w:val="22"/>
            <w:szCs w:val="22"/>
          </w:rPr>
          <w:instrText xml:space="preserve"> PAGEREF _Toc431917507 \h </w:instrText>
        </w:r>
        <w:r w:rsidR="00424BEA" w:rsidRPr="00424BEA">
          <w:rPr>
            <w:rFonts w:ascii="Arial" w:hAnsi="Arial" w:cs="Arial"/>
            <w:noProof/>
            <w:webHidden/>
            <w:sz w:val="22"/>
            <w:szCs w:val="22"/>
          </w:rPr>
        </w:r>
        <w:r w:rsidR="00424BEA" w:rsidRPr="00424BEA">
          <w:rPr>
            <w:rFonts w:ascii="Arial" w:hAnsi="Arial" w:cs="Arial"/>
            <w:noProof/>
            <w:webHidden/>
            <w:sz w:val="22"/>
            <w:szCs w:val="22"/>
          </w:rPr>
          <w:fldChar w:fldCharType="separate"/>
        </w:r>
        <w:r w:rsidR="00424BEA" w:rsidRPr="00424BEA">
          <w:rPr>
            <w:rFonts w:ascii="Arial" w:hAnsi="Arial" w:cs="Arial"/>
            <w:noProof/>
            <w:webHidden/>
            <w:sz w:val="22"/>
            <w:szCs w:val="22"/>
          </w:rPr>
          <w:t>121</w:t>
        </w:r>
        <w:r w:rsidR="00424BEA" w:rsidRPr="00424BEA">
          <w:rPr>
            <w:rFonts w:ascii="Arial" w:hAnsi="Arial" w:cs="Arial"/>
            <w:noProof/>
            <w:webHidden/>
            <w:sz w:val="22"/>
            <w:szCs w:val="22"/>
          </w:rPr>
          <w:fldChar w:fldCharType="end"/>
        </w:r>
      </w:hyperlink>
    </w:p>
    <w:p w14:paraId="395FA189" w14:textId="77777777" w:rsidR="00424BEA" w:rsidRPr="00424BEA" w:rsidRDefault="009A7DB9" w:rsidP="00424BEA">
      <w:pPr>
        <w:pStyle w:val="TableofFigures"/>
        <w:tabs>
          <w:tab w:val="right" w:leader="dot" w:pos="8778"/>
        </w:tabs>
        <w:spacing w:line="360" w:lineRule="auto"/>
        <w:jc w:val="both"/>
        <w:rPr>
          <w:rFonts w:ascii="Arial" w:eastAsiaTheme="minorEastAsia" w:hAnsi="Arial" w:cs="Arial"/>
          <w:b w:val="0"/>
          <w:bCs w:val="0"/>
          <w:noProof/>
          <w:sz w:val="22"/>
          <w:szCs w:val="22"/>
          <w:lang w:val="en-US" w:eastAsia="en-US"/>
        </w:rPr>
      </w:pPr>
      <w:hyperlink w:anchor="_Toc431917508" w:history="1">
        <w:r w:rsidR="00424BEA" w:rsidRPr="00424BEA">
          <w:rPr>
            <w:rStyle w:val="Hyperlink"/>
            <w:rFonts w:ascii="Arial" w:hAnsi="Arial" w:cs="Arial"/>
            <w:noProof/>
            <w:sz w:val="22"/>
            <w:szCs w:val="22"/>
          </w:rPr>
          <w:t xml:space="preserve">Table 48 - </w:t>
        </w:r>
        <w:r w:rsidR="00424BEA" w:rsidRPr="00424BEA">
          <w:rPr>
            <w:rStyle w:val="Hyperlink"/>
            <w:rFonts w:ascii="Arial" w:hAnsi="Arial" w:cs="Arial"/>
            <w:noProof/>
            <w:sz w:val="22"/>
            <w:szCs w:val="22"/>
            <w:lang w:val="en-GB"/>
          </w:rPr>
          <w:t xml:space="preserve">Base-case results produced by the state-transition model comparing VSB </w:t>
        </w:r>
        <w:r w:rsidR="00424BEA" w:rsidRPr="00424BEA">
          <w:rPr>
            <w:rStyle w:val="Hyperlink"/>
            <w:rFonts w:ascii="Arial" w:hAnsi="Arial" w:cs="Arial"/>
            <w:i/>
            <w:noProof/>
            <w:sz w:val="22"/>
            <w:szCs w:val="22"/>
            <w:lang w:val="en-GB"/>
          </w:rPr>
          <w:t>vs.</w:t>
        </w:r>
        <w:r w:rsidR="00424BEA" w:rsidRPr="00424BEA">
          <w:rPr>
            <w:rStyle w:val="Hyperlink"/>
            <w:rFonts w:ascii="Arial" w:hAnsi="Arial" w:cs="Arial"/>
            <w:noProof/>
            <w:sz w:val="22"/>
            <w:szCs w:val="22"/>
            <w:lang w:val="en-GB"/>
          </w:rPr>
          <w:t xml:space="preserve"> Maxum/Soundtec intervention.</w:t>
        </w:r>
        <w:r w:rsidR="00424BEA" w:rsidRPr="00424BEA">
          <w:rPr>
            <w:rFonts w:ascii="Arial" w:hAnsi="Arial" w:cs="Arial"/>
            <w:noProof/>
            <w:webHidden/>
            <w:sz w:val="22"/>
            <w:szCs w:val="22"/>
          </w:rPr>
          <w:tab/>
        </w:r>
        <w:r w:rsidR="00424BEA" w:rsidRPr="00424BEA">
          <w:rPr>
            <w:rFonts w:ascii="Arial" w:hAnsi="Arial" w:cs="Arial"/>
            <w:noProof/>
            <w:webHidden/>
            <w:sz w:val="22"/>
            <w:szCs w:val="22"/>
          </w:rPr>
          <w:fldChar w:fldCharType="begin"/>
        </w:r>
        <w:r w:rsidR="00424BEA" w:rsidRPr="00424BEA">
          <w:rPr>
            <w:rFonts w:ascii="Arial" w:hAnsi="Arial" w:cs="Arial"/>
            <w:noProof/>
            <w:webHidden/>
            <w:sz w:val="22"/>
            <w:szCs w:val="22"/>
          </w:rPr>
          <w:instrText xml:space="preserve"> PAGEREF _Toc431917508 \h </w:instrText>
        </w:r>
        <w:r w:rsidR="00424BEA" w:rsidRPr="00424BEA">
          <w:rPr>
            <w:rFonts w:ascii="Arial" w:hAnsi="Arial" w:cs="Arial"/>
            <w:noProof/>
            <w:webHidden/>
            <w:sz w:val="22"/>
            <w:szCs w:val="22"/>
          </w:rPr>
        </w:r>
        <w:r w:rsidR="00424BEA" w:rsidRPr="00424BEA">
          <w:rPr>
            <w:rFonts w:ascii="Arial" w:hAnsi="Arial" w:cs="Arial"/>
            <w:noProof/>
            <w:webHidden/>
            <w:sz w:val="22"/>
            <w:szCs w:val="22"/>
          </w:rPr>
          <w:fldChar w:fldCharType="separate"/>
        </w:r>
        <w:r w:rsidR="00424BEA" w:rsidRPr="00424BEA">
          <w:rPr>
            <w:rFonts w:ascii="Arial" w:hAnsi="Arial" w:cs="Arial"/>
            <w:noProof/>
            <w:webHidden/>
            <w:sz w:val="22"/>
            <w:szCs w:val="22"/>
          </w:rPr>
          <w:t>121</w:t>
        </w:r>
        <w:r w:rsidR="00424BEA" w:rsidRPr="00424BEA">
          <w:rPr>
            <w:rFonts w:ascii="Arial" w:hAnsi="Arial" w:cs="Arial"/>
            <w:noProof/>
            <w:webHidden/>
            <w:sz w:val="22"/>
            <w:szCs w:val="22"/>
          </w:rPr>
          <w:fldChar w:fldCharType="end"/>
        </w:r>
      </w:hyperlink>
    </w:p>
    <w:p w14:paraId="24C4CDE7" w14:textId="77777777" w:rsidR="00424BEA" w:rsidRPr="00424BEA" w:rsidRDefault="009A7DB9" w:rsidP="00424BEA">
      <w:pPr>
        <w:pStyle w:val="TableofFigures"/>
        <w:tabs>
          <w:tab w:val="right" w:leader="dot" w:pos="8778"/>
        </w:tabs>
        <w:spacing w:line="360" w:lineRule="auto"/>
        <w:jc w:val="both"/>
        <w:rPr>
          <w:rFonts w:ascii="Arial" w:eastAsiaTheme="minorEastAsia" w:hAnsi="Arial" w:cs="Arial"/>
          <w:b w:val="0"/>
          <w:bCs w:val="0"/>
          <w:noProof/>
          <w:sz w:val="22"/>
          <w:szCs w:val="22"/>
          <w:lang w:val="en-US" w:eastAsia="en-US"/>
        </w:rPr>
      </w:pPr>
      <w:hyperlink w:anchor="_Toc431917509" w:history="1">
        <w:r w:rsidR="00424BEA" w:rsidRPr="00424BEA">
          <w:rPr>
            <w:rStyle w:val="Hyperlink"/>
            <w:rFonts w:ascii="Arial" w:hAnsi="Arial" w:cs="Arial"/>
            <w:noProof/>
            <w:sz w:val="22"/>
            <w:szCs w:val="22"/>
          </w:rPr>
          <w:t xml:space="preserve">Table 49 - </w:t>
        </w:r>
        <w:r w:rsidR="00424BEA" w:rsidRPr="00424BEA">
          <w:rPr>
            <w:rStyle w:val="Hyperlink"/>
            <w:rFonts w:ascii="Arial" w:hAnsi="Arial" w:cs="Arial"/>
            <w:noProof/>
            <w:sz w:val="22"/>
            <w:szCs w:val="22"/>
            <w:lang w:val="en-GB"/>
          </w:rPr>
          <w:t>Costs accumulated over a period of 10 years for all interventions as depicted by the model.</w:t>
        </w:r>
        <w:r w:rsidR="00424BEA" w:rsidRPr="00424BEA">
          <w:rPr>
            <w:rFonts w:ascii="Arial" w:hAnsi="Arial" w:cs="Arial"/>
            <w:noProof/>
            <w:webHidden/>
            <w:sz w:val="22"/>
            <w:szCs w:val="22"/>
          </w:rPr>
          <w:tab/>
        </w:r>
        <w:r w:rsidR="00424BEA" w:rsidRPr="00424BEA">
          <w:rPr>
            <w:rFonts w:ascii="Arial" w:hAnsi="Arial" w:cs="Arial"/>
            <w:noProof/>
            <w:webHidden/>
            <w:sz w:val="22"/>
            <w:szCs w:val="22"/>
          </w:rPr>
          <w:fldChar w:fldCharType="begin"/>
        </w:r>
        <w:r w:rsidR="00424BEA" w:rsidRPr="00424BEA">
          <w:rPr>
            <w:rFonts w:ascii="Arial" w:hAnsi="Arial" w:cs="Arial"/>
            <w:noProof/>
            <w:webHidden/>
            <w:sz w:val="22"/>
            <w:szCs w:val="22"/>
          </w:rPr>
          <w:instrText xml:space="preserve"> PAGEREF _Toc431917509 \h </w:instrText>
        </w:r>
        <w:r w:rsidR="00424BEA" w:rsidRPr="00424BEA">
          <w:rPr>
            <w:rFonts w:ascii="Arial" w:hAnsi="Arial" w:cs="Arial"/>
            <w:noProof/>
            <w:webHidden/>
            <w:sz w:val="22"/>
            <w:szCs w:val="22"/>
          </w:rPr>
        </w:r>
        <w:r w:rsidR="00424BEA" w:rsidRPr="00424BEA">
          <w:rPr>
            <w:rFonts w:ascii="Arial" w:hAnsi="Arial" w:cs="Arial"/>
            <w:noProof/>
            <w:webHidden/>
            <w:sz w:val="22"/>
            <w:szCs w:val="22"/>
          </w:rPr>
          <w:fldChar w:fldCharType="separate"/>
        </w:r>
        <w:r w:rsidR="00424BEA" w:rsidRPr="00424BEA">
          <w:rPr>
            <w:rFonts w:ascii="Arial" w:hAnsi="Arial" w:cs="Arial"/>
            <w:noProof/>
            <w:webHidden/>
            <w:sz w:val="22"/>
            <w:szCs w:val="22"/>
          </w:rPr>
          <w:t>122</w:t>
        </w:r>
        <w:r w:rsidR="00424BEA" w:rsidRPr="00424BEA">
          <w:rPr>
            <w:rFonts w:ascii="Arial" w:hAnsi="Arial" w:cs="Arial"/>
            <w:noProof/>
            <w:webHidden/>
            <w:sz w:val="22"/>
            <w:szCs w:val="22"/>
          </w:rPr>
          <w:fldChar w:fldCharType="end"/>
        </w:r>
      </w:hyperlink>
    </w:p>
    <w:p w14:paraId="2D1BD52F" w14:textId="77777777" w:rsidR="00424BEA" w:rsidRPr="00424BEA" w:rsidRDefault="009A7DB9" w:rsidP="00424BEA">
      <w:pPr>
        <w:pStyle w:val="TableofFigures"/>
        <w:tabs>
          <w:tab w:val="right" w:leader="dot" w:pos="8778"/>
        </w:tabs>
        <w:spacing w:line="360" w:lineRule="auto"/>
        <w:jc w:val="both"/>
        <w:rPr>
          <w:rFonts w:ascii="Arial" w:eastAsiaTheme="minorEastAsia" w:hAnsi="Arial" w:cs="Arial"/>
          <w:b w:val="0"/>
          <w:bCs w:val="0"/>
          <w:noProof/>
          <w:sz w:val="22"/>
          <w:szCs w:val="22"/>
          <w:lang w:val="en-US" w:eastAsia="en-US"/>
        </w:rPr>
      </w:pPr>
      <w:hyperlink w:anchor="_Toc431917510" w:history="1">
        <w:r w:rsidR="00424BEA" w:rsidRPr="00424BEA">
          <w:rPr>
            <w:rStyle w:val="Hyperlink"/>
            <w:rFonts w:ascii="Arial" w:hAnsi="Arial" w:cs="Arial"/>
            <w:noProof/>
            <w:sz w:val="22"/>
            <w:szCs w:val="22"/>
          </w:rPr>
          <w:t xml:space="preserve">Table 50 - </w:t>
        </w:r>
        <w:r w:rsidR="00424BEA" w:rsidRPr="00424BEA">
          <w:rPr>
            <w:rStyle w:val="Hyperlink"/>
            <w:rFonts w:ascii="Arial" w:hAnsi="Arial" w:cs="Arial"/>
            <w:noProof/>
            <w:sz w:val="22"/>
            <w:szCs w:val="22"/>
            <w:lang w:val="en-GB"/>
          </w:rPr>
          <w:t>List of health states and summary of cost impacts and health outcomes included in the economic evaluation.</w:t>
        </w:r>
        <w:r w:rsidR="00424BEA" w:rsidRPr="00424BEA">
          <w:rPr>
            <w:rFonts w:ascii="Arial" w:hAnsi="Arial" w:cs="Arial"/>
            <w:noProof/>
            <w:webHidden/>
            <w:sz w:val="22"/>
            <w:szCs w:val="22"/>
          </w:rPr>
          <w:tab/>
        </w:r>
        <w:r w:rsidR="00424BEA" w:rsidRPr="00424BEA">
          <w:rPr>
            <w:rFonts w:ascii="Arial" w:hAnsi="Arial" w:cs="Arial"/>
            <w:noProof/>
            <w:webHidden/>
            <w:sz w:val="22"/>
            <w:szCs w:val="22"/>
          </w:rPr>
          <w:fldChar w:fldCharType="begin"/>
        </w:r>
        <w:r w:rsidR="00424BEA" w:rsidRPr="00424BEA">
          <w:rPr>
            <w:rFonts w:ascii="Arial" w:hAnsi="Arial" w:cs="Arial"/>
            <w:noProof/>
            <w:webHidden/>
            <w:sz w:val="22"/>
            <w:szCs w:val="22"/>
          </w:rPr>
          <w:instrText xml:space="preserve"> PAGEREF _Toc431917510 \h </w:instrText>
        </w:r>
        <w:r w:rsidR="00424BEA" w:rsidRPr="00424BEA">
          <w:rPr>
            <w:rFonts w:ascii="Arial" w:hAnsi="Arial" w:cs="Arial"/>
            <w:noProof/>
            <w:webHidden/>
            <w:sz w:val="22"/>
            <w:szCs w:val="22"/>
          </w:rPr>
        </w:r>
        <w:r w:rsidR="00424BEA" w:rsidRPr="00424BEA">
          <w:rPr>
            <w:rFonts w:ascii="Arial" w:hAnsi="Arial" w:cs="Arial"/>
            <w:noProof/>
            <w:webHidden/>
            <w:sz w:val="22"/>
            <w:szCs w:val="22"/>
          </w:rPr>
          <w:fldChar w:fldCharType="separate"/>
        </w:r>
        <w:r w:rsidR="00424BEA" w:rsidRPr="00424BEA">
          <w:rPr>
            <w:rFonts w:ascii="Arial" w:hAnsi="Arial" w:cs="Arial"/>
            <w:noProof/>
            <w:webHidden/>
            <w:sz w:val="22"/>
            <w:szCs w:val="22"/>
          </w:rPr>
          <w:t>124</w:t>
        </w:r>
        <w:r w:rsidR="00424BEA" w:rsidRPr="00424BEA">
          <w:rPr>
            <w:rFonts w:ascii="Arial" w:hAnsi="Arial" w:cs="Arial"/>
            <w:noProof/>
            <w:webHidden/>
            <w:sz w:val="22"/>
            <w:szCs w:val="22"/>
          </w:rPr>
          <w:fldChar w:fldCharType="end"/>
        </w:r>
      </w:hyperlink>
    </w:p>
    <w:p w14:paraId="1FCE43BE" w14:textId="77777777" w:rsidR="00424BEA" w:rsidRPr="00424BEA" w:rsidRDefault="009A7DB9" w:rsidP="00424BEA">
      <w:pPr>
        <w:pStyle w:val="TableofFigures"/>
        <w:tabs>
          <w:tab w:val="right" w:leader="dot" w:pos="8778"/>
        </w:tabs>
        <w:spacing w:line="360" w:lineRule="auto"/>
        <w:jc w:val="both"/>
        <w:rPr>
          <w:rFonts w:ascii="Arial" w:eastAsiaTheme="minorEastAsia" w:hAnsi="Arial" w:cs="Arial"/>
          <w:b w:val="0"/>
          <w:bCs w:val="0"/>
          <w:noProof/>
          <w:sz w:val="22"/>
          <w:szCs w:val="22"/>
          <w:lang w:val="en-US" w:eastAsia="en-US"/>
        </w:rPr>
      </w:pPr>
      <w:hyperlink w:anchor="_Toc431917511" w:history="1">
        <w:r w:rsidR="00424BEA" w:rsidRPr="00424BEA">
          <w:rPr>
            <w:rStyle w:val="Hyperlink"/>
            <w:rFonts w:ascii="Arial" w:hAnsi="Arial" w:cs="Arial"/>
            <w:noProof/>
            <w:sz w:val="22"/>
            <w:szCs w:val="22"/>
          </w:rPr>
          <w:t xml:space="preserve">Table 51 – </w:t>
        </w:r>
        <w:r w:rsidR="00424BEA" w:rsidRPr="00424BEA">
          <w:rPr>
            <w:rStyle w:val="Hyperlink"/>
            <w:rFonts w:ascii="Arial" w:hAnsi="Arial" w:cs="Arial"/>
            <w:noProof/>
            <w:sz w:val="22"/>
            <w:szCs w:val="22"/>
            <w:lang w:val="en-GB"/>
          </w:rPr>
          <w:t>Deterministic sensitivity analysis for the main economic evaluation (all monetary outcomes in AUD)</w:t>
        </w:r>
        <w:r w:rsidR="00424BEA" w:rsidRPr="00424BEA">
          <w:rPr>
            <w:rFonts w:ascii="Arial" w:hAnsi="Arial" w:cs="Arial"/>
            <w:noProof/>
            <w:webHidden/>
            <w:sz w:val="22"/>
            <w:szCs w:val="22"/>
          </w:rPr>
          <w:tab/>
        </w:r>
        <w:r w:rsidR="00424BEA" w:rsidRPr="00424BEA">
          <w:rPr>
            <w:rFonts w:ascii="Arial" w:hAnsi="Arial" w:cs="Arial"/>
            <w:noProof/>
            <w:webHidden/>
            <w:sz w:val="22"/>
            <w:szCs w:val="22"/>
          </w:rPr>
          <w:fldChar w:fldCharType="begin"/>
        </w:r>
        <w:r w:rsidR="00424BEA" w:rsidRPr="00424BEA">
          <w:rPr>
            <w:rFonts w:ascii="Arial" w:hAnsi="Arial" w:cs="Arial"/>
            <w:noProof/>
            <w:webHidden/>
            <w:sz w:val="22"/>
            <w:szCs w:val="22"/>
          </w:rPr>
          <w:instrText xml:space="preserve"> PAGEREF _Toc431917511 \h </w:instrText>
        </w:r>
        <w:r w:rsidR="00424BEA" w:rsidRPr="00424BEA">
          <w:rPr>
            <w:rFonts w:ascii="Arial" w:hAnsi="Arial" w:cs="Arial"/>
            <w:noProof/>
            <w:webHidden/>
            <w:sz w:val="22"/>
            <w:szCs w:val="22"/>
          </w:rPr>
        </w:r>
        <w:r w:rsidR="00424BEA" w:rsidRPr="00424BEA">
          <w:rPr>
            <w:rFonts w:ascii="Arial" w:hAnsi="Arial" w:cs="Arial"/>
            <w:noProof/>
            <w:webHidden/>
            <w:sz w:val="22"/>
            <w:szCs w:val="22"/>
          </w:rPr>
          <w:fldChar w:fldCharType="separate"/>
        </w:r>
        <w:r w:rsidR="00424BEA" w:rsidRPr="00424BEA">
          <w:rPr>
            <w:rFonts w:ascii="Arial" w:hAnsi="Arial" w:cs="Arial"/>
            <w:noProof/>
            <w:webHidden/>
            <w:sz w:val="22"/>
            <w:szCs w:val="22"/>
          </w:rPr>
          <w:t>126</w:t>
        </w:r>
        <w:r w:rsidR="00424BEA" w:rsidRPr="00424BEA">
          <w:rPr>
            <w:rFonts w:ascii="Arial" w:hAnsi="Arial" w:cs="Arial"/>
            <w:noProof/>
            <w:webHidden/>
            <w:sz w:val="22"/>
            <w:szCs w:val="22"/>
          </w:rPr>
          <w:fldChar w:fldCharType="end"/>
        </w:r>
      </w:hyperlink>
    </w:p>
    <w:p w14:paraId="4709976E" w14:textId="77777777" w:rsidR="00424BEA" w:rsidRPr="00424BEA" w:rsidRDefault="009A7DB9" w:rsidP="00424BEA">
      <w:pPr>
        <w:pStyle w:val="TableofFigures"/>
        <w:tabs>
          <w:tab w:val="right" w:leader="dot" w:pos="8778"/>
        </w:tabs>
        <w:spacing w:line="360" w:lineRule="auto"/>
        <w:jc w:val="both"/>
        <w:rPr>
          <w:rFonts w:ascii="Arial" w:eastAsiaTheme="minorEastAsia" w:hAnsi="Arial" w:cs="Arial"/>
          <w:b w:val="0"/>
          <w:bCs w:val="0"/>
          <w:noProof/>
          <w:sz w:val="22"/>
          <w:szCs w:val="22"/>
          <w:lang w:val="en-US" w:eastAsia="en-US"/>
        </w:rPr>
      </w:pPr>
      <w:hyperlink w:anchor="_Toc431917512" w:history="1">
        <w:r w:rsidR="00424BEA" w:rsidRPr="00424BEA">
          <w:rPr>
            <w:rStyle w:val="Hyperlink"/>
            <w:rFonts w:ascii="Arial" w:hAnsi="Arial" w:cs="Arial"/>
            <w:noProof/>
            <w:sz w:val="22"/>
            <w:szCs w:val="22"/>
          </w:rPr>
          <w:t xml:space="preserve">Table 52 – </w:t>
        </w:r>
        <w:r w:rsidR="00424BEA" w:rsidRPr="00424BEA">
          <w:rPr>
            <w:rStyle w:val="Hyperlink"/>
            <w:rFonts w:ascii="Arial" w:hAnsi="Arial" w:cs="Arial"/>
            <w:noProof/>
            <w:sz w:val="22"/>
            <w:szCs w:val="22"/>
            <w:lang w:val="en-GB"/>
          </w:rPr>
          <w:t>Deterministic sensitivity analysis for comparing partially implantable MEI (all monetary outcomes in AUD)</w:t>
        </w:r>
        <w:r w:rsidR="00424BEA" w:rsidRPr="00424BEA">
          <w:rPr>
            <w:rFonts w:ascii="Arial" w:hAnsi="Arial" w:cs="Arial"/>
            <w:noProof/>
            <w:webHidden/>
            <w:sz w:val="22"/>
            <w:szCs w:val="22"/>
          </w:rPr>
          <w:tab/>
        </w:r>
        <w:r w:rsidR="00424BEA" w:rsidRPr="00424BEA">
          <w:rPr>
            <w:rFonts w:ascii="Arial" w:hAnsi="Arial" w:cs="Arial"/>
            <w:noProof/>
            <w:webHidden/>
            <w:sz w:val="22"/>
            <w:szCs w:val="22"/>
          </w:rPr>
          <w:fldChar w:fldCharType="begin"/>
        </w:r>
        <w:r w:rsidR="00424BEA" w:rsidRPr="00424BEA">
          <w:rPr>
            <w:rFonts w:ascii="Arial" w:hAnsi="Arial" w:cs="Arial"/>
            <w:noProof/>
            <w:webHidden/>
            <w:sz w:val="22"/>
            <w:szCs w:val="22"/>
          </w:rPr>
          <w:instrText xml:space="preserve"> PAGEREF _Toc431917512 \h </w:instrText>
        </w:r>
        <w:r w:rsidR="00424BEA" w:rsidRPr="00424BEA">
          <w:rPr>
            <w:rFonts w:ascii="Arial" w:hAnsi="Arial" w:cs="Arial"/>
            <w:noProof/>
            <w:webHidden/>
            <w:sz w:val="22"/>
            <w:szCs w:val="22"/>
          </w:rPr>
        </w:r>
        <w:r w:rsidR="00424BEA" w:rsidRPr="00424BEA">
          <w:rPr>
            <w:rFonts w:ascii="Arial" w:hAnsi="Arial" w:cs="Arial"/>
            <w:noProof/>
            <w:webHidden/>
            <w:sz w:val="22"/>
            <w:szCs w:val="22"/>
          </w:rPr>
          <w:fldChar w:fldCharType="separate"/>
        </w:r>
        <w:r w:rsidR="00424BEA" w:rsidRPr="00424BEA">
          <w:rPr>
            <w:rFonts w:ascii="Arial" w:hAnsi="Arial" w:cs="Arial"/>
            <w:noProof/>
            <w:webHidden/>
            <w:sz w:val="22"/>
            <w:szCs w:val="22"/>
          </w:rPr>
          <w:t>127</w:t>
        </w:r>
        <w:r w:rsidR="00424BEA" w:rsidRPr="00424BEA">
          <w:rPr>
            <w:rFonts w:ascii="Arial" w:hAnsi="Arial" w:cs="Arial"/>
            <w:noProof/>
            <w:webHidden/>
            <w:sz w:val="22"/>
            <w:szCs w:val="22"/>
          </w:rPr>
          <w:fldChar w:fldCharType="end"/>
        </w:r>
      </w:hyperlink>
    </w:p>
    <w:p w14:paraId="560334C5" w14:textId="77777777" w:rsidR="00424BEA" w:rsidRPr="00424BEA" w:rsidRDefault="009A7DB9" w:rsidP="00424BEA">
      <w:pPr>
        <w:pStyle w:val="TableofFigures"/>
        <w:tabs>
          <w:tab w:val="right" w:leader="dot" w:pos="8778"/>
        </w:tabs>
        <w:spacing w:line="360" w:lineRule="auto"/>
        <w:jc w:val="both"/>
        <w:rPr>
          <w:rFonts w:ascii="Arial" w:eastAsiaTheme="minorEastAsia" w:hAnsi="Arial" w:cs="Arial"/>
          <w:b w:val="0"/>
          <w:bCs w:val="0"/>
          <w:noProof/>
          <w:sz w:val="22"/>
          <w:szCs w:val="22"/>
          <w:lang w:val="en-US" w:eastAsia="en-US"/>
        </w:rPr>
      </w:pPr>
      <w:hyperlink w:anchor="_Toc431917513" w:history="1">
        <w:r w:rsidR="00424BEA" w:rsidRPr="00424BEA">
          <w:rPr>
            <w:rStyle w:val="Hyperlink"/>
            <w:rFonts w:ascii="Arial" w:hAnsi="Arial" w:cs="Arial"/>
            <w:noProof/>
            <w:sz w:val="22"/>
            <w:szCs w:val="22"/>
          </w:rPr>
          <w:t>Table 53 –</w:t>
        </w:r>
        <w:r w:rsidR="00424BEA" w:rsidRPr="00424BEA">
          <w:rPr>
            <w:rStyle w:val="Hyperlink"/>
            <w:rFonts w:ascii="Arial" w:hAnsi="Arial" w:cs="Arial"/>
            <w:noProof/>
            <w:sz w:val="22"/>
            <w:szCs w:val="22"/>
            <w:lang w:val="en-GB"/>
          </w:rPr>
          <w:t>Probabilistic sensitivity analysis for the main economic evaluation</w:t>
        </w:r>
        <w:r w:rsidR="00424BEA" w:rsidRPr="00424BEA">
          <w:rPr>
            <w:rFonts w:ascii="Arial" w:hAnsi="Arial" w:cs="Arial"/>
            <w:noProof/>
            <w:webHidden/>
            <w:sz w:val="22"/>
            <w:szCs w:val="22"/>
          </w:rPr>
          <w:tab/>
        </w:r>
        <w:r w:rsidR="00424BEA" w:rsidRPr="00424BEA">
          <w:rPr>
            <w:rFonts w:ascii="Arial" w:hAnsi="Arial" w:cs="Arial"/>
            <w:noProof/>
            <w:webHidden/>
            <w:sz w:val="22"/>
            <w:szCs w:val="22"/>
          </w:rPr>
          <w:fldChar w:fldCharType="begin"/>
        </w:r>
        <w:r w:rsidR="00424BEA" w:rsidRPr="00424BEA">
          <w:rPr>
            <w:rFonts w:ascii="Arial" w:hAnsi="Arial" w:cs="Arial"/>
            <w:noProof/>
            <w:webHidden/>
            <w:sz w:val="22"/>
            <w:szCs w:val="22"/>
          </w:rPr>
          <w:instrText xml:space="preserve"> PAGEREF _Toc431917513 \h </w:instrText>
        </w:r>
        <w:r w:rsidR="00424BEA" w:rsidRPr="00424BEA">
          <w:rPr>
            <w:rFonts w:ascii="Arial" w:hAnsi="Arial" w:cs="Arial"/>
            <w:noProof/>
            <w:webHidden/>
            <w:sz w:val="22"/>
            <w:szCs w:val="22"/>
          </w:rPr>
        </w:r>
        <w:r w:rsidR="00424BEA" w:rsidRPr="00424BEA">
          <w:rPr>
            <w:rFonts w:ascii="Arial" w:hAnsi="Arial" w:cs="Arial"/>
            <w:noProof/>
            <w:webHidden/>
            <w:sz w:val="22"/>
            <w:szCs w:val="22"/>
          </w:rPr>
          <w:fldChar w:fldCharType="separate"/>
        </w:r>
        <w:r w:rsidR="00424BEA" w:rsidRPr="00424BEA">
          <w:rPr>
            <w:rFonts w:ascii="Arial" w:hAnsi="Arial" w:cs="Arial"/>
            <w:noProof/>
            <w:webHidden/>
            <w:sz w:val="22"/>
            <w:szCs w:val="22"/>
          </w:rPr>
          <w:t>131</w:t>
        </w:r>
        <w:r w:rsidR="00424BEA" w:rsidRPr="00424BEA">
          <w:rPr>
            <w:rFonts w:ascii="Arial" w:hAnsi="Arial" w:cs="Arial"/>
            <w:noProof/>
            <w:webHidden/>
            <w:sz w:val="22"/>
            <w:szCs w:val="22"/>
          </w:rPr>
          <w:fldChar w:fldCharType="end"/>
        </w:r>
      </w:hyperlink>
    </w:p>
    <w:p w14:paraId="540C534A" w14:textId="77777777" w:rsidR="00424BEA" w:rsidRPr="00424BEA" w:rsidRDefault="009A7DB9" w:rsidP="00424BEA">
      <w:pPr>
        <w:pStyle w:val="TableofFigures"/>
        <w:tabs>
          <w:tab w:val="right" w:leader="dot" w:pos="8778"/>
        </w:tabs>
        <w:spacing w:line="360" w:lineRule="auto"/>
        <w:jc w:val="both"/>
        <w:rPr>
          <w:rFonts w:ascii="Arial" w:eastAsiaTheme="minorEastAsia" w:hAnsi="Arial" w:cs="Arial"/>
          <w:b w:val="0"/>
          <w:bCs w:val="0"/>
          <w:noProof/>
          <w:sz w:val="22"/>
          <w:szCs w:val="22"/>
          <w:lang w:val="en-US" w:eastAsia="en-US"/>
        </w:rPr>
      </w:pPr>
      <w:hyperlink w:anchor="_Toc431917514" w:history="1">
        <w:r w:rsidR="00424BEA" w:rsidRPr="00424BEA">
          <w:rPr>
            <w:rStyle w:val="Hyperlink"/>
            <w:rFonts w:ascii="Arial" w:hAnsi="Arial" w:cs="Arial"/>
            <w:noProof/>
            <w:sz w:val="22"/>
            <w:szCs w:val="22"/>
            <w:lang w:val="en-US"/>
          </w:rPr>
          <w:t>Table 54 – Probabilistic sensitivity analysis for comparing different partially implantable middle ear implants</w:t>
        </w:r>
        <w:r w:rsidR="00424BEA" w:rsidRPr="00424BEA">
          <w:rPr>
            <w:rFonts w:ascii="Arial" w:hAnsi="Arial" w:cs="Arial"/>
            <w:noProof/>
            <w:webHidden/>
            <w:sz w:val="22"/>
            <w:szCs w:val="22"/>
          </w:rPr>
          <w:tab/>
        </w:r>
        <w:r w:rsidR="00424BEA" w:rsidRPr="00424BEA">
          <w:rPr>
            <w:rFonts w:ascii="Arial" w:hAnsi="Arial" w:cs="Arial"/>
            <w:noProof/>
            <w:webHidden/>
            <w:sz w:val="22"/>
            <w:szCs w:val="22"/>
          </w:rPr>
          <w:fldChar w:fldCharType="begin"/>
        </w:r>
        <w:r w:rsidR="00424BEA" w:rsidRPr="00424BEA">
          <w:rPr>
            <w:rFonts w:ascii="Arial" w:hAnsi="Arial" w:cs="Arial"/>
            <w:noProof/>
            <w:webHidden/>
            <w:sz w:val="22"/>
            <w:szCs w:val="22"/>
          </w:rPr>
          <w:instrText xml:space="preserve"> PAGEREF _Toc431917514 \h </w:instrText>
        </w:r>
        <w:r w:rsidR="00424BEA" w:rsidRPr="00424BEA">
          <w:rPr>
            <w:rFonts w:ascii="Arial" w:hAnsi="Arial" w:cs="Arial"/>
            <w:noProof/>
            <w:webHidden/>
            <w:sz w:val="22"/>
            <w:szCs w:val="22"/>
          </w:rPr>
        </w:r>
        <w:r w:rsidR="00424BEA" w:rsidRPr="00424BEA">
          <w:rPr>
            <w:rFonts w:ascii="Arial" w:hAnsi="Arial" w:cs="Arial"/>
            <w:noProof/>
            <w:webHidden/>
            <w:sz w:val="22"/>
            <w:szCs w:val="22"/>
          </w:rPr>
          <w:fldChar w:fldCharType="separate"/>
        </w:r>
        <w:r w:rsidR="00424BEA" w:rsidRPr="00424BEA">
          <w:rPr>
            <w:rFonts w:ascii="Arial" w:hAnsi="Arial" w:cs="Arial"/>
            <w:noProof/>
            <w:webHidden/>
            <w:sz w:val="22"/>
            <w:szCs w:val="22"/>
          </w:rPr>
          <w:t>132</w:t>
        </w:r>
        <w:r w:rsidR="00424BEA" w:rsidRPr="00424BEA">
          <w:rPr>
            <w:rFonts w:ascii="Arial" w:hAnsi="Arial" w:cs="Arial"/>
            <w:noProof/>
            <w:webHidden/>
            <w:sz w:val="22"/>
            <w:szCs w:val="22"/>
          </w:rPr>
          <w:fldChar w:fldCharType="end"/>
        </w:r>
      </w:hyperlink>
    </w:p>
    <w:p w14:paraId="77E42308" w14:textId="77777777" w:rsidR="00424BEA" w:rsidRPr="00424BEA" w:rsidRDefault="009A7DB9" w:rsidP="00424BEA">
      <w:pPr>
        <w:pStyle w:val="TableofFigures"/>
        <w:tabs>
          <w:tab w:val="right" w:leader="dot" w:pos="8778"/>
        </w:tabs>
        <w:spacing w:line="360" w:lineRule="auto"/>
        <w:jc w:val="both"/>
        <w:rPr>
          <w:rFonts w:ascii="Arial" w:eastAsiaTheme="minorEastAsia" w:hAnsi="Arial" w:cs="Arial"/>
          <w:b w:val="0"/>
          <w:bCs w:val="0"/>
          <w:noProof/>
          <w:sz w:val="22"/>
          <w:szCs w:val="22"/>
          <w:lang w:val="en-US" w:eastAsia="en-US"/>
        </w:rPr>
      </w:pPr>
      <w:hyperlink w:anchor="_Toc431917515" w:history="1">
        <w:r w:rsidR="00424BEA" w:rsidRPr="00424BEA">
          <w:rPr>
            <w:rStyle w:val="Hyperlink"/>
            <w:rFonts w:ascii="Arial" w:hAnsi="Arial" w:cs="Arial"/>
            <w:noProof/>
            <w:sz w:val="22"/>
            <w:szCs w:val="22"/>
            <w:lang w:val="en-US"/>
          </w:rPr>
          <w:t>Table 55 – The effect of different discount rates on the main economic model</w:t>
        </w:r>
        <w:r w:rsidR="00424BEA" w:rsidRPr="00424BEA">
          <w:rPr>
            <w:rFonts w:ascii="Arial" w:hAnsi="Arial" w:cs="Arial"/>
            <w:noProof/>
            <w:webHidden/>
            <w:sz w:val="22"/>
            <w:szCs w:val="22"/>
          </w:rPr>
          <w:tab/>
        </w:r>
        <w:r w:rsidR="00424BEA" w:rsidRPr="00424BEA">
          <w:rPr>
            <w:rFonts w:ascii="Arial" w:hAnsi="Arial" w:cs="Arial"/>
            <w:noProof/>
            <w:webHidden/>
            <w:sz w:val="22"/>
            <w:szCs w:val="22"/>
          </w:rPr>
          <w:fldChar w:fldCharType="begin"/>
        </w:r>
        <w:r w:rsidR="00424BEA" w:rsidRPr="00424BEA">
          <w:rPr>
            <w:rFonts w:ascii="Arial" w:hAnsi="Arial" w:cs="Arial"/>
            <w:noProof/>
            <w:webHidden/>
            <w:sz w:val="22"/>
            <w:szCs w:val="22"/>
          </w:rPr>
          <w:instrText xml:space="preserve"> PAGEREF _Toc431917515 \h </w:instrText>
        </w:r>
        <w:r w:rsidR="00424BEA" w:rsidRPr="00424BEA">
          <w:rPr>
            <w:rFonts w:ascii="Arial" w:hAnsi="Arial" w:cs="Arial"/>
            <w:noProof/>
            <w:webHidden/>
            <w:sz w:val="22"/>
            <w:szCs w:val="22"/>
          </w:rPr>
        </w:r>
        <w:r w:rsidR="00424BEA" w:rsidRPr="00424BEA">
          <w:rPr>
            <w:rFonts w:ascii="Arial" w:hAnsi="Arial" w:cs="Arial"/>
            <w:noProof/>
            <w:webHidden/>
            <w:sz w:val="22"/>
            <w:szCs w:val="22"/>
          </w:rPr>
          <w:fldChar w:fldCharType="separate"/>
        </w:r>
        <w:r w:rsidR="00424BEA" w:rsidRPr="00424BEA">
          <w:rPr>
            <w:rFonts w:ascii="Arial" w:hAnsi="Arial" w:cs="Arial"/>
            <w:noProof/>
            <w:webHidden/>
            <w:sz w:val="22"/>
            <w:szCs w:val="22"/>
          </w:rPr>
          <w:t>133</w:t>
        </w:r>
        <w:r w:rsidR="00424BEA" w:rsidRPr="00424BEA">
          <w:rPr>
            <w:rFonts w:ascii="Arial" w:hAnsi="Arial" w:cs="Arial"/>
            <w:noProof/>
            <w:webHidden/>
            <w:sz w:val="22"/>
            <w:szCs w:val="22"/>
          </w:rPr>
          <w:fldChar w:fldCharType="end"/>
        </w:r>
      </w:hyperlink>
    </w:p>
    <w:p w14:paraId="0620F25B" w14:textId="77777777" w:rsidR="00424BEA" w:rsidRPr="00424BEA" w:rsidRDefault="009A7DB9" w:rsidP="00424BEA">
      <w:pPr>
        <w:pStyle w:val="TableofFigures"/>
        <w:tabs>
          <w:tab w:val="right" w:leader="dot" w:pos="8778"/>
        </w:tabs>
        <w:spacing w:line="360" w:lineRule="auto"/>
        <w:jc w:val="both"/>
        <w:rPr>
          <w:rFonts w:ascii="Arial" w:eastAsiaTheme="minorEastAsia" w:hAnsi="Arial" w:cs="Arial"/>
          <w:b w:val="0"/>
          <w:bCs w:val="0"/>
          <w:noProof/>
          <w:sz w:val="22"/>
          <w:szCs w:val="22"/>
          <w:lang w:val="en-US" w:eastAsia="en-US"/>
        </w:rPr>
      </w:pPr>
      <w:hyperlink w:anchor="_Toc431917516" w:history="1">
        <w:r w:rsidR="00424BEA" w:rsidRPr="00424BEA">
          <w:rPr>
            <w:rStyle w:val="Hyperlink"/>
            <w:rFonts w:ascii="Arial" w:hAnsi="Arial" w:cs="Arial"/>
            <w:noProof/>
            <w:sz w:val="22"/>
            <w:szCs w:val="22"/>
            <w:lang w:val="en-US"/>
          </w:rPr>
          <w:t>Table 56 – The effect of different time horizons on the main economic model</w:t>
        </w:r>
        <w:r w:rsidR="00424BEA" w:rsidRPr="00424BEA">
          <w:rPr>
            <w:rFonts w:ascii="Arial" w:hAnsi="Arial" w:cs="Arial"/>
            <w:noProof/>
            <w:webHidden/>
            <w:sz w:val="22"/>
            <w:szCs w:val="22"/>
          </w:rPr>
          <w:tab/>
        </w:r>
        <w:r w:rsidR="00424BEA" w:rsidRPr="00424BEA">
          <w:rPr>
            <w:rFonts w:ascii="Arial" w:hAnsi="Arial" w:cs="Arial"/>
            <w:noProof/>
            <w:webHidden/>
            <w:sz w:val="22"/>
            <w:szCs w:val="22"/>
          </w:rPr>
          <w:fldChar w:fldCharType="begin"/>
        </w:r>
        <w:r w:rsidR="00424BEA" w:rsidRPr="00424BEA">
          <w:rPr>
            <w:rFonts w:ascii="Arial" w:hAnsi="Arial" w:cs="Arial"/>
            <w:noProof/>
            <w:webHidden/>
            <w:sz w:val="22"/>
            <w:szCs w:val="22"/>
          </w:rPr>
          <w:instrText xml:space="preserve"> PAGEREF _Toc431917516 \h </w:instrText>
        </w:r>
        <w:r w:rsidR="00424BEA" w:rsidRPr="00424BEA">
          <w:rPr>
            <w:rFonts w:ascii="Arial" w:hAnsi="Arial" w:cs="Arial"/>
            <w:noProof/>
            <w:webHidden/>
            <w:sz w:val="22"/>
            <w:szCs w:val="22"/>
          </w:rPr>
        </w:r>
        <w:r w:rsidR="00424BEA" w:rsidRPr="00424BEA">
          <w:rPr>
            <w:rFonts w:ascii="Arial" w:hAnsi="Arial" w:cs="Arial"/>
            <w:noProof/>
            <w:webHidden/>
            <w:sz w:val="22"/>
            <w:szCs w:val="22"/>
          </w:rPr>
          <w:fldChar w:fldCharType="separate"/>
        </w:r>
        <w:r w:rsidR="00424BEA" w:rsidRPr="00424BEA">
          <w:rPr>
            <w:rFonts w:ascii="Arial" w:hAnsi="Arial" w:cs="Arial"/>
            <w:noProof/>
            <w:webHidden/>
            <w:sz w:val="22"/>
            <w:szCs w:val="22"/>
          </w:rPr>
          <w:t>133</w:t>
        </w:r>
        <w:r w:rsidR="00424BEA" w:rsidRPr="00424BEA">
          <w:rPr>
            <w:rFonts w:ascii="Arial" w:hAnsi="Arial" w:cs="Arial"/>
            <w:noProof/>
            <w:webHidden/>
            <w:sz w:val="22"/>
            <w:szCs w:val="22"/>
          </w:rPr>
          <w:fldChar w:fldCharType="end"/>
        </w:r>
      </w:hyperlink>
    </w:p>
    <w:p w14:paraId="38FE37B2" w14:textId="77777777" w:rsidR="00424BEA" w:rsidRPr="00424BEA" w:rsidRDefault="009A7DB9" w:rsidP="00424BEA">
      <w:pPr>
        <w:pStyle w:val="TableofFigures"/>
        <w:tabs>
          <w:tab w:val="right" w:leader="dot" w:pos="8778"/>
        </w:tabs>
        <w:spacing w:line="360" w:lineRule="auto"/>
        <w:jc w:val="both"/>
        <w:rPr>
          <w:rFonts w:ascii="Arial" w:eastAsiaTheme="minorEastAsia" w:hAnsi="Arial" w:cs="Arial"/>
          <w:b w:val="0"/>
          <w:bCs w:val="0"/>
          <w:noProof/>
          <w:sz w:val="22"/>
          <w:szCs w:val="22"/>
          <w:lang w:val="en-US" w:eastAsia="en-US"/>
        </w:rPr>
      </w:pPr>
      <w:hyperlink w:anchor="_Toc431917517" w:history="1">
        <w:r w:rsidR="00424BEA" w:rsidRPr="00424BEA">
          <w:rPr>
            <w:rStyle w:val="Hyperlink"/>
            <w:rFonts w:ascii="Arial" w:hAnsi="Arial" w:cs="Arial"/>
            <w:noProof/>
            <w:sz w:val="22"/>
            <w:szCs w:val="22"/>
            <w:lang w:val="en-US"/>
          </w:rPr>
          <w:t>Table 57 – The effect of different discount rates on the model comparing partially implantable MEI</w:t>
        </w:r>
        <w:r w:rsidR="00424BEA" w:rsidRPr="00424BEA">
          <w:rPr>
            <w:rFonts w:ascii="Arial" w:hAnsi="Arial" w:cs="Arial"/>
            <w:noProof/>
            <w:webHidden/>
            <w:sz w:val="22"/>
            <w:szCs w:val="22"/>
          </w:rPr>
          <w:tab/>
        </w:r>
        <w:r w:rsidR="00424BEA" w:rsidRPr="00424BEA">
          <w:rPr>
            <w:rFonts w:ascii="Arial" w:hAnsi="Arial" w:cs="Arial"/>
            <w:noProof/>
            <w:webHidden/>
            <w:sz w:val="22"/>
            <w:szCs w:val="22"/>
          </w:rPr>
          <w:fldChar w:fldCharType="begin"/>
        </w:r>
        <w:r w:rsidR="00424BEA" w:rsidRPr="00424BEA">
          <w:rPr>
            <w:rFonts w:ascii="Arial" w:hAnsi="Arial" w:cs="Arial"/>
            <w:noProof/>
            <w:webHidden/>
            <w:sz w:val="22"/>
            <w:szCs w:val="22"/>
          </w:rPr>
          <w:instrText xml:space="preserve"> PAGEREF _Toc431917517 \h </w:instrText>
        </w:r>
        <w:r w:rsidR="00424BEA" w:rsidRPr="00424BEA">
          <w:rPr>
            <w:rFonts w:ascii="Arial" w:hAnsi="Arial" w:cs="Arial"/>
            <w:noProof/>
            <w:webHidden/>
            <w:sz w:val="22"/>
            <w:szCs w:val="22"/>
          </w:rPr>
        </w:r>
        <w:r w:rsidR="00424BEA" w:rsidRPr="00424BEA">
          <w:rPr>
            <w:rFonts w:ascii="Arial" w:hAnsi="Arial" w:cs="Arial"/>
            <w:noProof/>
            <w:webHidden/>
            <w:sz w:val="22"/>
            <w:szCs w:val="22"/>
          </w:rPr>
          <w:fldChar w:fldCharType="separate"/>
        </w:r>
        <w:r w:rsidR="00424BEA" w:rsidRPr="00424BEA">
          <w:rPr>
            <w:rFonts w:ascii="Arial" w:hAnsi="Arial" w:cs="Arial"/>
            <w:noProof/>
            <w:webHidden/>
            <w:sz w:val="22"/>
            <w:szCs w:val="22"/>
          </w:rPr>
          <w:t>133</w:t>
        </w:r>
        <w:r w:rsidR="00424BEA" w:rsidRPr="00424BEA">
          <w:rPr>
            <w:rFonts w:ascii="Arial" w:hAnsi="Arial" w:cs="Arial"/>
            <w:noProof/>
            <w:webHidden/>
            <w:sz w:val="22"/>
            <w:szCs w:val="22"/>
          </w:rPr>
          <w:fldChar w:fldCharType="end"/>
        </w:r>
      </w:hyperlink>
    </w:p>
    <w:p w14:paraId="0BAB68B5" w14:textId="77777777" w:rsidR="00424BEA" w:rsidRPr="00424BEA" w:rsidRDefault="009A7DB9" w:rsidP="00424BEA">
      <w:pPr>
        <w:pStyle w:val="TableofFigures"/>
        <w:tabs>
          <w:tab w:val="right" w:leader="dot" w:pos="8778"/>
        </w:tabs>
        <w:spacing w:line="360" w:lineRule="auto"/>
        <w:jc w:val="both"/>
        <w:rPr>
          <w:rFonts w:ascii="Arial" w:eastAsiaTheme="minorEastAsia" w:hAnsi="Arial" w:cs="Arial"/>
          <w:b w:val="0"/>
          <w:bCs w:val="0"/>
          <w:noProof/>
          <w:sz w:val="22"/>
          <w:szCs w:val="22"/>
          <w:lang w:val="en-US" w:eastAsia="en-US"/>
        </w:rPr>
      </w:pPr>
      <w:hyperlink w:anchor="_Toc431917518" w:history="1">
        <w:r w:rsidR="00424BEA" w:rsidRPr="00424BEA">
          <w:rPr>
            <w:rStyle w:val="Hyperlink"/>
            <w:rFonts w:ascii="Arial" w:hAnsi="Arial" w:cs="Arial"/>
            <w:noProof/>
            <w:sz w:val="22"/>
            <w:szCs w:val="22"/>
            <w:lang w:val="en-US"/>
          </w:rPr>
          <w:t>Table 58 –The effect of different time horizons on the model comparing partially implantable MEI</w:t>
        </w:r>
        <w:r w:rsidR="00424BEA" w:rsidRPr="00424BEA">
          <w:rPr>
            <w:rFonts w:ascii="Arial" w:hAnsi="Arial" w:cs="Arial"/>
            <w:noProof/>
            <w:webHidden/>
            <w:sz w:val="22"/>
            <w:szCs w:val="22"/>
          </w:rPr>
          <w:tab/>
        </w:r>
        <w:r w:rsidR="00424BEA" w:rsidRPr="00424BEA">
          <w:rPr>
            <w:rFonts w:ascii="Arial" w:hAnsi="Arial" w:cs="Arial"/>
            <w:noProof/>
            <w:webHidden/>
            <w:sz w:val="22"/>
            <w:szCs w:val="22"/>
          </w:rPr>
          <w:fldChar w:fldCharType="begin"/>
        </w:r>
        <w:r w:rsidR="00424BEA" w:rsidRPr="00424BEA">
          <w:rPr>
            <w:rFonts w:ascii="Arial" w:hAnsi="Arial" w:cs="Arial"/>
            <w:noProof/>
            <w:webHidden/>
            <w:sz w:val="22"/>
            <w:szCs w:val="22"/>
          </w:rPr>
          <w:instrText xml:space="preserve"> PAGEREF _Toc431917518 \h </w:instrText>
        </w:r>
        <w:r w:rsidR="00424BEA" w:rsidRPr="00424BEA">
          <w:rPr>
            <w:rFonts w:ascii="Arial" w:hAnsi="Arial" w:cs="Arial"/>
            <w:noProof/>
            <w:webHidden/>
            <w:sz w:val="22"/>
            <w:szCs w:val="22"/>
          </w:rPr>
        </w:r>
        <w:r w:rsidR="00424BEA" w:rsidRPr="00424BEA">
          <w:rPr>
            <w:rFonts w:ascii="Arial" w:hAnsi="Arial" w:cs="Arial"/>
            <w:noProof/>
            <w:webHidden/>
            <w:sz w:val="22"/>
            <w:szCs w:val="22"/>
          </w:rPr>
          <w:fldChar w:fldCharType="separate"/>
        </w:r>
        <w:r w:rsidR="00424BEA" w:rsidRPr="00424BEA">
          <w:rPr>
            <w:rFonts w:ascii="Arial" w:hAnsi="Arial" w:cs="Arial"/>
            <w:noProof/>
            <w:webHidden/>
            <w:sz w:val="22"/>
            <w:szCs w:val="22"/>
          </w:rPr>
          <w:t>134</w:t>
        </w:r>
        <w:r w:rsidR="00424BEA" w:rsidRPr="00424BEA">
          <w:rPr>
            <w:rFonts w:ascii="Arial" w:hAnsi="Arial" w:cs="Arial"/>
            <w:noProof/>
            <w:webHidden/>
            <w:sz w:val="22"/>
            <w:szCs w:val="22"/>
          </w:rPr>
          <w:fldChar w:fldCharType="end"/>
        </w:r>
      </w:hyperlink>
    </w:p>
    <w:p w14:paraId="49DC8E57" w14:textId="77777777" w:rsidR="00424BEA" w:rsidRPr="00424BEA" w:rsidRDefault="009A7DB9" w:rsidP="00424BEA">
      <w:pPr>
        <w:pStyle w:val="TableofFigures"/>
        <w:tabs>
          <w:tab w:val="right" w:leader="dot" w:pos="8778"/>
        </w:tabs>
        <w:spacing w:line="360" w:lineRule="auto"/>
        <w:jc w:val="both"/>
        <w:rPr>
          <w:rFonts w:ascii="Arial" w:eastAsiaTheme="minorEastAsia" w:hAnsi="Arial" w:cs="Arial"/>
          <w:b w:val="0"/>
          <w:bCs w:val="0"/>
          <w:noProof/>
          <w:sz w:val="22"/>
          <w:szCs w:val="22"/>
          <w:lang w:val="en-US" w:eastAsia="en-US"/>
        </w:rPr>
      </w:pPr>
      <w:hyperlink w:anchor="_Toc431917519" w:history="1">
        <w:r w:rsidR="00424BEA" w:rsidRPr="00424BEA">
          <w:rPr>
            <w:rStyle w:val="Hyperlink"/>
            <w:rFonts w:ascii="Arial" w:hAnsi="Arial" w:cs="Arial"/>
            <w:noProof/>
            <w:sz w:val="22"/>
            <w:szCs w:val="22"/>
          </w:rPr>
          <w:t>Table 59 - Overall prevalence of hearing impairment, South Australian population</w:t>
        </w:r>
        <w:r w:rsidR="00424BEA" w:rsidRPr="00424BEA">
          <w:rPr>
            <w:rFonts w:ascii="Arial" w:hAnsi="Arial" w:cs="Arial"/>
            <w:noProof/>
            <w:webHidden/>
            <w:sz w:val="22"/>
            <w:szCs w:val="22"/>
          </w:rPr>
          <w:tab/>
        </w:r>
        <w:r w:rsidR="00424BEA" w:rsidRPr="00424BEA">
          <w:rPr>
            <w:rFonts w:ascii="Arial" w:hAnsi="Arial" w:cs="Arial"/>
            <w:noProof/>
            <w:webHidden/>
            <w:sz w:val="22"/>
            <w:szCs w:val="22"/>
          </w:rPr>
          <w:fldChar w:fldCharType="begin"/>
        </w:r>
        <w:r w:rsidR="00424BEA" w:rsidRPr="00424BEA">
          <w:rPr>
            <w:rFonts w:ascii="Arial" w:hAnsi="Arial" w:cs="Arial"/>
            <w:noProof/>
            <w:webHidden/>
            <w:sz w:val="22"/>
            <w:szCs w:val="22"/>
          </w:rPr>
          <w:instrText xml:space="preserve"> PAGEREF _Toc431917519 \h </w:instrText>
        </w:r>
        <w:r w:rsidR="00424BEA" w:rsidRPr="00424BEA">
          <w:rPr>
            <w:rFonts w:ascii="Arial" w:hAnsi="Arial" w:cs="Arial"/>
            <w:noProof/>
            <w:webHidden/>
            <w:sz w:val="22"/>
            <w:szCs w:val="22"/>
          </w:rPr>
        </w:r>
        <w:r w:rsidR="00424BEA" w:rsidRPr="00424BEA">
          <w:rPr>
            <w:rFonts w:ascii="Arial" w:hAnsi="Arial" w:cs="Arial"/>
            <w:noProof/>
            <w:webHidden/>
            <w:sz w:val="22"/>
            <w:szCs w:val="22"/>
          </w:rPr>
          <w:fldChar w:fldCharType="separate"/>
        </w:r>
        <w:r w:rsidR="00424BEA" w:rsidRPr="00424BEA">
          <w:rPr>
            <w:rFonts w:ascii="Arial" w:hAnsi="Arial" w:cs="Arial"/>
            <w:noProof/>
            <w:webHidden/>
            <w:sz w:val="22"/>
            <w:szCs w:val="22"/>
          </w:rPr>
          <w:t>137</w:t>
        </w:r>
        <w:r w:rsidR="00424BEA" w:rsidRPr="00424BEA">
          <w:rPr>
            <w:rFonts w:ascii="Arial" w:hAnsi="Arial" w:cs="Arial"/>
            <w:noProof/>
            <w:webHidden/>
            <w:sz w:val="22"/>
            <w:szCs w:val="22"/>
          </w:rPr>
          <w:fldChar w:fldCharType="end"/>
        </w:r>
      </w:hyperlink>
    </w:p>
    <w:p w14:paraId="2D4D8E5A" w14:textId="77777777" w:rsidR="00424BEA" w:rsidRPr="00424BEA" w:rsidRDefault="009A7DB9" w:rsidP="00424BEA">
      <w:pPr>
        <w:pStyle w:val="TableofFigures"/>
        <w:tabs>
          <w:tab w:val="right" w:leader="dot" w:pos="8778"/>
        </w:tabs>
        <w:spacing w:line="360" w:lineRule="auto"/>
        <w:jc w:val="both"/>
        <w:rPr>
          <w:rFonts w:ascii="Arial" w:eastAsiaTheme="minorEastAsia" w:hAnsi="Arial" w:cs="Arial"/>
          <w:b w:val="0"/>
          <w:bCs w:val="0"/>
          <w:noProof/>
          <w:sz w:val="22"/>
          <w:szCs w:val="22"/>
          <w:lang w:val="en-US" w:eastAsia="en-US"/>
        </w:rPr>
      </w:pPr>
      <w:hyperlink w:anchor="_Toc431917520" w:history="1">
        <w:r w:rsidR="00424BEA" w:rsidRPr="00424BEA">
          <w:rPr>
            <w:rStyle w:val="Hyperlink"/>
            <w:rFonts w:ascii="Arial" w:hAnsi="Arial" w:cs="Arial"/>
            <w:noProof/>
            <w:sz w:val="22"/>
            <w:szCs w:val="22"/>
          </w:rPr>
          <w:t>Table 60</w:t>
        </w:r>
        <w:r w:rsidR="00424BEA" w:rsidRPr="00424BEA">
          <w:rPr>
            <w:rStyle w:val="Hyperlink"/>
            <w:rFonts w:ascii="Arial" w:hAnsi="Arial" w:cs="Arial"/>
            <w:noProof/>
            <w:sz w:val="22"/>
            <w:szCs w:val="22"/>
            <w:lang w:val="en-US"/>
          </w:rPr>
          <w:t xml:space="preserve"> </w:t>
        </w:r>
        <w:r w:rsidR="00424BEA" w:rsidRPr="00424BEA">
          <w:rPr>
            <w:rStyle w:val="Hyperlink"/>
            <w:rFonts w:ascii="Arial" w:hAnsi="Arial" w:cs="Arial"/>
            <w:noProof/>
            <w:sz w:val="22"/>
            <w:szCs w:val="22"/>
          </w:rPr>
          <w:t>- Data sources used for the financial estimates</w:t>
        </w:r>
        <w:r w:rsidR="00424BEA" w:rsidRPr="00424BEA">
          <w:rPr>
            <w:rFonts w:ascii="Arial" w:hAnsi="Arial" w:cs="Arial"/>
            <w:noProof/>
            <w:webHidden/>
            <w:sz w:val="22"/>
            <w:szCs w:val="22"/>
          </w:rPr>
          <w:tab/>
        </w:r>
        <w:r w:rsidR="00424BEA" w:rsidRPr="00424BEA">
          <w:rPr>
            <w:rFonts w:ascii="Arial" w:hAnsi="Arial" w:cs="Arial"/>
            <w:noProof/>
            <w:webHidden/>
            <w:sz w:val="22"/>
            <w:szCs w:val="22"/>
          </w:rPr>
          <w:fldChar w:fldCharType="begin"/>
        </w:r>
        <w:r w:rsidR="00424BEA" w:rsidRPr="00424BEA">
          <w:rPr>
            <w:rFonts w:ascii="Arial" w:hAnsi="Arial" w:cs="Arial"/>
            <w:noProof/>
            <w:webHidden/>
            <w:sz w:val="22"/>
            <w:szCs w:val="22"/>
          </w:rPr>
          <w:instrText xml:space="preserve"> PAGEREF _Toc431917520 \h </w:instrText>
        </w:r>
        <w:r w:rsidR="00424BEA" w:rsidRPr="00424BEA">
          <w:rPr>
            <w:rFonts w:ascii="Arial" w:hAnsi="Arial" w:cs="Arial"/>
            <w:noProof/>
            <w:webHidden/>
            <w:sz w:val="22"/>
            <w:szCs w:val="22"/>
          </w:rPr>
        </w:r>
        <w:r w:rsidR="00424BEA" w:rsidRPr="00424BEA">
          <w:rPr>
            <w:rFonts w:ascii="Arial" w:hAnsi="Arial" w:cs="Arial"/>
            <w:noProof/>
            <w:webHidden/>
            <w:sz w:val="22"/>
            <w:szCs w:val="22"/>
          </w:rPr>
          <w:fldChar w:fldCharType="separate"/>
        </w:r>
        <w:r w:rsidR="00424BEA" w:rsidRPr="00424BEA">
          <w:rPr>
            <w:rFonts w:ascii="Arial" w:hAnsi="Arial" w:cs="Arial"/>
            <w:noProof/>
            <w:webHidden/>
            <w:sz w:val="22"/>
            <w:szCs w:val="22"/>
          </w:rPr>
          <w:t>138</w:t>
        </w:r>
        <w:r w:rsidR="00424BEA" w:rsidRPr="00424BEA">
          <w:rPr>
            <w:rFonts w:ascii="Arial" w:hAnsi="Arial" w:cs="Arial"/>
            <w:noProof/>
            <w:webHidden/>
            <w:sz w:val="22"/>
            <w:szCs w:val="22"/>
          </w:rPr>
          <w:fldChar w:fldCharType="end"/>
        </w:r>
      </w:hyperlink>
    </w:p>
    <w:p w14:paraId="135AD802" w14:textId="77777777" w:rsidR="00424BEA" w:rsidRPr="00424BEA" w:rsidRDefault="009A7DB9" w:rsidP="00424BEA">
      <w:pPr>
        <w:pStyle w:val="TableofFigures"/>
        <w:tabs>
          <w:tab w:val="right" w:leader="dot" w:pos="8778"/>
        </w:tabs>
        <w:spacing w:line="360" w:lineRule="auto"/>
        <w:jc w:val="both"/>
        <w:rPr>
          <w:rFonts w:ascii="Arial" w:eastAsiaTheme="minorEastAsia" w:hAnsi="Arial" w:cs="Arial"/>
          <w:b w:val="0"/>
          <w:bCs w:val="0"/>
          <w:noProof/>
          <w:sz w:val="22"/>
          <w:szCs w:val="22"/>
          <w:lang w:val="en-US" w:eastAsia="en-US"/>
        </w:rPr>
      </w:pPr>
      <w:hyperlink w:anchor="_Toc431917521" w:history="1">
        <w:r w:rsidR="00424BEA" w:rsidRPr="00424BEA">
          <w:rPr>
            <w:rStyle w:val="Hyperlink"/>
            <w:rFonts w:ascii="Arial" w:hAnsi="Arial" w:cs="Arial"/>
            <w:noProof/>
            <w:sz w:val="22"/>
            <w:szCs w:val="22"/>
          </w:rPr>
          <w:t>Table 61</w:t>
        </w:r>
        <w:r w:rsidR="00424BEA" w:rsidRPr="00424BEA">
          <w:rPr>
            <w:rStyle w:val="Hyperlink"/>
            <w:rFonts w:ascii="Arial" w:hAnsi="Arial" w:cs="Arial"/>
            <w:noProof/>
            <w:sz w:val="22"/>
            <w:szCs w:val="22"/>
            <w:lang w:val="en-US"/>
          </w:rPr>
          <w:t>.-</w:t>
        </w:r>
        <w:r w:rsidR="00424BEA" w:rsidRPr="00424BEA">
          <w:rPr>
            <w:rStyle w:val="Hyperlink"/>
            <w:rFonts w:ascii="Arial" w:hAnsi="Arial" w:cs="Arial"/>
            <w:noProof/>
            <w:sz w:val="22"/>
            <w:szCs w:val="22"/>
          </w:rPr>
          <w:t xml:space="preserve"> Estimated eligible population of patients </w:t>
        </w:r>
        <w:r w:rsidR="00424BEA" w:rsidRPr="00424BEA">
          <w:rPr>
            <w:rFonts w:ascii="Arial" w:hAnsi="Arial" w:cs="Arial"/>
            <w:noProof/>
            <w:webHidden/>
            <w:sz w:val="22"/>
            <w:szCs w:val="22"/>
          </w:rPr>
          <w:tab/>
        </w:r>
        <w:r w:rsidR="00424BEA" w:rsidRPr="00424BEA">
          <w:rPr>
            <w:rFonts w:ascii="Arial" w:hAnsi="Arial" w:cs="Arial"/>
            <w:noProof/>
            <w:webHidden/>
            <w:sz w:val="22"/>
            <w:szCs w:val="22"/>
          </w:rPr>
          <w:fldChar w:fldCharType="begin"/>
        </w:r>
        <w:r w:rsidR="00424BEA" w:rsidRPr="00424BEA">
          <w:rPr>
            <w:rFonts w:ascii="Arial" w:hAnsi="Arial" w:cs="Arial"/>
            <w:noProof/>
            <w:webHidden/>
            <w:sz w:val="22"/>
            <w:szCs w:val="22"/>
          </w:rPr>
          <w:instrText xml:space="preserve"> PAGEREF _Toc431917521 \h </w:instrText>
        </w:r>
        <w:r w:rsidR="00424BEA" w:rsidRPr="00424BEA">
          <w:rPr>
            <w:rFonts w:ascii="Arial" w:hAnsi="Arial" w:cs="Arial"/>
            <w:noProof/>
            <w:webHidden/>
            <w:sz w:val="22"/>
            <w:szCs w:val="22"/>
          </w:rPr>
        </w:r>
        <w:r w:rsidR="00424BEA" w:rsidRPr="00424BEA">
          <w:rPr>
            <w:rFonts w:ascii="Arial" w:hAnsi="Arial" w:cs="Arial"/>
            <w:noProof/>
            <w:webHidden/>
            <w:sz w:val="22"/>
            <w:szCs w:val="22"/>
          </w:rPr>
          <w:fldChar w:fldCharType="separate"/>
        </w:r>
        <w:r w:rsidR="00424BEA" w:rsidRPr="00424BEA">
          <w:rPr>
            <w:rFonts w:ascii="Arial" w:hAnsi="Arial" w:cs="Arial"/>
            <w:noProof/>
            <w:webHidden/>
            <w:sz w:val="22"/>
            <w:szCs w:val="22"/>
          </w:rPr>
          <w:t>140</w:t>
        </w:r>
        <w:r w:rsidR="00424BEA" w:rsidRPr="00424BEA">
          <w:rPr>
            <w:rFonts w:ascii="Arial" w:hAnsi="Arial" w:cs="Arial"/>
            <w:noProof/>
            <w:webHidden/>
            <w:sz w:val="22"/>
            <w:szCs w:val="22"/>
          </w:rPr>
          <w:fldChar w:fldCharType="end"/>
        </w:r>
      </w:hyperlink>
    </w:p>
    <w:p w14:paraId="1F1D78E1" w14:textId="77777777" w:rsidR="00424BEA" w:rsidRPr="00424BEA" w:rsidRDefault="009A7DB9" w:rsidP="00424BEA">
      <w:pPr>
        <w:pStyle w:val="TableofFigures"/>
        <w:tabs>
          <w:tab w:val="right" w:leader="dot" w:pos="8778"/>
        </w:tabs>
        <w:spacing w:line="360" w:lineRule="auto"/>
        <w:jc w:val="both"/>
        <w:rPr>
          <w:rFonts w:ascii="Arial" w:eastAsiaTheme="minorEastAsia" w:hAnsi="Arial" w:cs="Arial"/>
          <w:b w:val="0"/>
          <w:bCs w:val="0"/>
          <w:noProof/>
          <w:sz w:val="22"/>
          <w:szCs w:val="22"/>
          <w:lang w:val="en-US" w:eastAsia="en-US"/>
        </w:rPr>
      </w:pPr>
      <w:hyperlink w:anchor="_Toc431917522" w:history="1">
        <w:r w:rsidR="00424BEA" w:rsidRPr="00424BEA">
          <w:rPr>
            <w:rStyle w:val="Hyperlink"/>
            <w:rFonts w:ascii="Arial" w:hAnsi="Arial" w:cs="Arial"/>
            <w:noProof/>
            <w:sz w:val="22"/>
            <w:szCs w:val="22"/>
          </w:rPr>
          <w:t>Table 62 - Estimated cost of proposed MBS item</w:t>
        </w:r>
        <w:r w:rsidR="00424BEA" w:rsidRPr="00424BEA">
          <w:rPr>
            <w:rFonts w:ascii="Arial" w:hAnsi="Arial" w:cs="Arial"/>
            <w:noProof/>
            <w:webHidden/>
            <w:sz w:val="22"/>
            <w:szCs w:val="22"/>
          </w:rPr>
          <w:tab/>
        </w:r>
        <w:r w:rsidR="00424BEA" w:rsidRPr="00424BEA">
          <w:rPr>
            <w:rFonts w:ascii="Arial" w:hAnsi="Arial" w:cs="Arial"/>
            <w:noProof/>
            <w:webHidden/>
            <w:sz w:val="22"/>
            <w:szCs w:val="22"/>
          </w:rPr>
          <w:fldChar w:fldCharType="begin"/>
        </w:r>
        <w:r w:rsidR="00424BEA" w:rsidRPr="00424BEA">
          <w:rPr>
            <w:rFonts w:ascii="Arial" w:hAnsi="Arial" w:cs="Arial"/>
            <w:noProof/>
            <w:webHidden/>
            <w:sz w:val="22"/>
            <w:szCs w:val="22"/>
          </w:rPr>
          <w:instrText xml:space="preserve"> PAGEREF _Toc431917522 \h </w:instrText>
        </w:r>
        <w:r w:rsidR="00424BEA" w:rsidRPr="00424BEA">
          <w:rPr>
            <w:rFonts w:ascii="Arial" w:hAnsi="Arial" w:cs="Arial"/>
            <w:noProof/>
            <w:webHidden/>
            <w:sz w:val="22"/>
            <w:szCs w:val="22"/>
          </w:rPr>
        </w:r>
        <w:r w:rsidR="00424BEA" w:rsidRPr="00424BEA">
          <w:rPr>
            <w:rFonts w:ascii="Arial" w:hAnsi="Arial" w:cs="Arial"/>
            <w:noProof/>
            <w:webHidden/>
            <w:sz w:val="22"/>
            <w:szCs w:val="22"/>
          </w:rPr>
          <w:fldChar w:fldCharType="separate"/>
        </w:r>
        <w:r w:rsidR="00424BEA" w:rsidRPr="00424BEA">
          <w:rPr>
            <w:rFonts w:ascii="Arial" w:hAnsi="Arial" w:cs="Arial"/>
            <w:noProof/>
            <w:webHidden/>
            <w:sz w:val="22"/>
            <w:szCs w:val="22"/>
          </w:rPr>
          <w:t>141</w:t>
        </w:r>
        <w:r w:rsidR="00424BEA" w:rsidRPr="00424BEA">
          <w:rPr>
            <w:rFonts w:ascii="Arial" w:hAnsi="Arial" w:cs="Arial"/>
            <w:noProof/>
            <w:webHidden/>
            <w:sz w:val="22"/>
            <w:szCs w:val="22"/>
          </w:rPr>
          <w:fldChar w:fldCharType="end"/>
        </w:r>
      </w:hyperlink>
    </w:p>
    <w:p w14:paraId="48B31366" w14:textId="77777777" w:rsidR="00424BEA" w:rsidRPr="00424BEA" w:rsidRDefault="009A7DB9" w:rsidP="00424BEA">
      <w:pPr>
        <w:pStyle w:val="TableofFigures"/>
        <w:tabs>
          <w:tab w:val="right" w:leader="dot" w:pos="8778"/>
        </w:tabs>
        <w:spacing w:line="360" w:lineRule="auto"/>
        <w:jc w:val="both"/>
        <w:rPr>
          <w:rFonts w:ascii="Arial" w:eastAsiaTheme="minorEastAsia" w:hAnsi="Arial" w:cs="Arial"/>
          <w:b w:val="0"/>
          <w:bCs w:val="0"/>
          <w:noProof/>
          <w:sz w:val="22"/>
          <w:szCs w:val="22"/>
          <w:lang w:val="en-US" w:eastAsia="en-US"/>
        </w:rPr>
      </w:pPr>
      <w:hyperlink w:anchor="_Toc431917523" w:history="1">
        <w:r w:rsidR="00424BEA" w:rsidRPr="00424BEA">
          <w:rPr>
            <w:rStyle w:val="Hyperlink"/>
            <w:rFonts w:ascii="Arial" w:hAnsi="Arial" w:cs="Arial"/>
            <w:noProof/>
            <w:sz w:val="22"/>
            <w:szCs w:val="22"/>
          </w:rPr>
          <w:t>Table 63 - Estimated cost to the MBS of co-administered items</w:t>
        </w:r>
        <w:r w:rsidR="00424BEA" w:rsidRPr="00424BEA">
          <w:rPr>
            <w:rFonts w:ascii="Arial" w:hAnsi="Arial" w:cs="Arial"/>
            <w:noProof/>
            <w:webHidden/>
            <w:sz w:val="22"/>
            <w:szCs w:val="22"/>
          </w:rPr>
          <w:tab/>
        </w:r>
        <w:r w:rsidR="00424BEA" w:rsidRPr="00424BEA">
          <w:rPr>
            <w:rFonts w:ascii="Arial" w:hAnsi="Arial" w:cs="Arial"/>
            <w:noProof/>
            <w:webHidden/>
            <w:sz w:val="22"/>
            <w:szCs w:val="22"/>
          </w:rPr>
          <w:fldChar w:fldCharType="begin"/>
        </w:r>
        <w:r w:rsidR="00424BEA" w:rsidRPr="00424BEA">
          <w:rPr>
            <w:rFonts w:ascii="Arial" w:hAnsi="Arial" w:cs="Arial"/>
            <w:noProof/>
            <w:webHidden/>
            <w:sz w:val="22"/>
            <w:szCs w:val="22"/>
          </w:rPr>
          <w:instrText xml:space="preserve"> PAGEREF _Toc431917523 \h </w:instrText>
        </w:r>
        <w:r w:rsidR="00424BEA" w:rsidRPr="00424BEA">
          <w:rPr>
            <w:rFonts w:ascii="Arial" w:hAnsi="Arial" w:cs="Arial"/>
            <w:noProof/>
            <w:webHidden/>
            <w:sz w:val="22"/>
            <w:szCs w:val="22"/>
          </w:rPr>
        </w:r>
        <w:r w:rsidR="00424BEA" w:rsidRPr="00424BEA">
          <w:rPr>
            <w:rFonts w:ascii="Arial" w:hAnsi="Arial" w:cs="Arial"/>
            <w:noProof/>
            <w:webHidden/>
            <w:sz w:val="22"/>
            <w:szCs w:val="22"/>
          </w:rPr>
          <w:fldChar w:fldCharType="separate"/>
        </w:r>
        <w:r w:rsidR="00424BEA" w:rsidRPr="00424BEA">
          <w:rPr>
            <w:rFonts w:ascii="Arial" w:hAnsi="Arial" w:cs="Arial"/>
            <w:noProof/>
            <w:webHidden/>
            <w:sz w:val="22"/>
            <w:szCs w:val="22"/>
          </w:rPr>
          <w:t>144</w:t>
        </w:r>
        <w:r w:rsidR="00424BEA" w:rsidRPr="00424BEA">
          <w:rPr>
            <w:rFonts w:ascii="Arial" w:hAnsi="Arial" w:cs="Arial"/>
            <w:noProof/>
            <w:webHidden/>
            <w:sz w:val="22"/>
            <w:szCs w:val="22"/>
          </w:rPr>
          <w:fldChar w:fldCharType="end"/>
        </w:r>
      </w:hyperlink>
    </w:p>
    <w:p w14:paraId="18FC0AB8" w14:textId="77777777" w:rsidR="00424BEA" w:rsidRPr="00424BEA" w:rsidRDefault="009A7DB9" w:rsidP="00424BEA">
      <w:pPr>
        <w:pStyle w:val="TableofFigures"/>
        <w:tabs>
          <w:tab w:val="right" w:leader="dot" w:pos="8778"/>
        </w:tabs>
        <w:spacing w:line="360" w:lineRule="auto"/>
        <w:jc w:val="both"/>
        <w:rPr>
          <w:rFonts w:ascii="Arial" w:eastAsiaTheme="minorEastAsia" w:hAnsi="Arial" w:cs="Arial"/>
          <w:b w:val="0"/>
          <w:bCs w:val="0"/>
          <w:noProof/>
          <w:sz w:val="22"/>
          <w:szCs w:val="22"/>
          <w:lang w:val="en-US" w:eastAsia="en-US"/>
        </w:rPr>
      </w:pPr>
      <w:hyperlink w:anchor="_Toc431917524" w:history="1">
        <w:r w:rsidR="00424BEA" w:rsidRPr="00424BEA">
          <w:rPr>
            <w:rStyle w:val="Hyperlink"/>
            <w:rFonts w:ascii="Arial" w:hAnsi="Arial" w:cs="Arial"/>
            <w:noProof/>
            <w:sz w:val="22"/>
            <w:szCs w:val="22"/>
          </w:rPr>
          <w:t>Table 64 – Estimated cost to the MBS of associated pre-operational items</w:t>
        </w:r>
        <w:r w:rsidR="00424BEA" w:rsidRPr="00424BEA">
          <w:rPr>
            <w:rFonts w:ascii="Arial" w:hAnsi="Arial" w:cs="Arial"/>
            <w:noProof/>
            <w:webHidden/>
            <w:sz w:val="22"/>
            <w:szCs w:val="22"/>
          </w:rPr>
          <w:tab/>
        </w:r>
        <w:r w:rsidR="00424BEA" w:rsidRPr="00424BEA">
          <w:rPr>
            <w:rFonts w:ascii="Arial" w:hAnsi="Arial" w:cs="Arial"/>
            <w:noProof/>
            <w:webHidden/>
            <w:sz w:val="22"/>
            <w:szCs w:val="22"/>
          </w:rPr>
          <w:fldChar w:fldCharType="begin"/>
        </w:r>
        <w:r w:rsidR="00424BEA" w:rsidRPr="00424BEA">
          <w:rPr>
            <w:rFonts w:ascii="Arial" w:hAnsi="Arial" w:cs="Arial"/>
            <w:noProof/>
            <w:webHidden/>
            <w:sz w:val="22"/>
            <w:szCs w:val="22"/>
          </w:rPr>
          <w:instrText xml:space="preserve"> PAGEREF _Toc431917524 \h </w:instrText>
        </w:r>
        <w:r w:rsidR="00424BEA" w:rsidRPr="00424BEA">
          <w:rPr>
            <w:rFonts w:ascii="Arial" w:hAnsi="Arial" w:cs="Arial"/>
            <w:noProof/>
            <w:webHidden/>
            <w:sz w:val="22"/>
            <w:szCs w:val="22"/>
          </w:rPr>
        </w:r>
        <w:r w:rsidR="00424BEA" w:rsidRPr="00424BEA">
          <w:rPr>
            <w:rFonts w:ascii="Arial" w:hAnsi="Arial" w:cs="Arial"/>
            <w:noProof/>
            <w:webHidden/>
            <w:sz w:val="22"/>
            <w:szCs w:val="22"/>
          </w:rPr>
          <w:fldChar w:fldCharType="separate"/>
        </w:r>
        <w:r w:rsidR="00424BEA" w:rsidRPr="00424BEA">
          <w:rPr>
            <w:rFonts w:ascii="Arial" w:hAnsi="Arial" w:cs="Arial"/>
            <w:noProof/>
            <w:webHidden/>
            <w:sz w:val="22"/>
            <w:szCs w:val="22"/>
          </w:rPr>
          <w:t>145</w:t>
        </w:r>
        <w:r w:rsidR="00424BEA" w:rsidRPr="00424BEA">
          <w:rPr>
            <w:rFonts w:ascii="Arial" w:hAnsi="Arial" w:cs="Arial"/>
            <w:noProof/>
            <w:webHidden/>
            <w:sz w:val="22"/>
            <w:szCs w:val="22"/>
          </w:rPr>
          <w:fldChar w:fldCharType="end"/>
        </w:r>
      </w:hyperlink>
    </w:p>
    <w:p w14:paraId="18340672" w14:textId="77777777" w:rsidR="00424BEA" w:rsidRPr="00424BEA" w:rsidRDefault="009A7DB9" w:rsidP="00424BEA">
      <w:pPr>
        <w:pStyle w:val="TableofFigures"/>
        <w:tabs>
          <w:tab w:val="right" w:leader="dot" w:pos="8778"/>
        </w:tabs>
        <w:spacing w:line="360" w:lineRule="auto"/>
        <w:jc w:val="both"/>
        <w:rPr>
          <w:rFonts w:ascii="Arial" w:eastAsiaTheme="minorEastAsia" w:hAnsi="Arial" w:cs="Arial"/>
          <w:b w:val="0"/>
          <w:bCs w:val="0"/>
          <w:noProof/>
          <w:sz w:val="22"/>
          <w:szCs w:val="22"/>
          <w:lang w:val="en-US" w:eastAsia="en-US"/>
        </w:rPr>
      </w:pPr>
      <w:hyperlink w:anchor="_Toc431917525" w:history="1">
        <w:r w:rsidR="00424BEA" w:rsidRPr="00424BEA">
          <w:rPr>
            <w:rStyle w:val="Hyperlink"/>
            <w:rFonts w:ascii="Arial" w:hAnsi="Arial" w:cs="Arial"/>
            <w:noProof/>
            <w:sz w:val="22"/>
            <w:szCs w:val="22"/>
          </w:rPr>
          <w:t>Table 65 – Estimated cost to the MBS of associated post-operational services</w:t>
        </w:r>
        <w:r w:rsidR="00424BEA" w:rsidRPr="00424BEA">
          <w:rPr>
            <w:rFonts w:ascii="Arial" w:hAnsi="Arial" w:cs="Arial"/>
            <w:noProof/>
            <w:webHidden/>
            <w:sz w:val="22"/>
            <w:szCs w:val="22"/>
          </w:rPr>
          <w:tab/>
        </w:r>
        <w:r w:rsidR="00424BEA" w:rsidRPr="00424BEA">
          <w:rPr>
            <w:rFonts w:ascii="Arial" w:hAnsi="Arial" w:cs="Arial"/>
            <w:noProof/>
            <w:webHidden/>
            <w:sz w:val="22"/>
            <w:szCs w:val="22"/>
          </w:rPr>
          <w:fldChar w:fldCharType="begin"/>
        </w:r>
        <w:r w:rsidR="00424BEA" w:rsidRPr="00424BEA">
          <w:rPr>
            <w:rFonts w:ascii="Arial" w:hAnsi="Arial" w:cs="Arial"/>
            <w:noProof/>
            <w:webHidden/>
            <w:sz w:val="22"/>
            <w:szCs w:val="22"/>
          </w:rPr>
          <w:instrText xml:space="preserve"> PAGEREF _Toc431917525 \h </w:instrText>
        </w:r>
        <w:r w:rsidR="00424BEA" w:rsidRPr="00424BEA">
          <w:rPr>
            <w:rFonts w:ascii="Arial" w:hAnsi="Arial" w:cs="Arial"/>
            <w:noProof/>
            <w:webHidden/>
            <w:sz w:val="22"/>
            <w:szCs w:val="22"/>
          </w:rPr>
        </w:r>
        <w:r w:rsidR="00424BEA" w:rsidRPr="00424BEA">
          <w:rPr>
            <w:rFonts w:ascii="Arial" w:hAnsi="Arial" w:cs="Arial"/>
            <w:noProof/>
            <w:webHidden/>
            <w:sz w:val="22"/>
            <w:szCs w:val="22"/>
          </w:rPr>
          <w:fldChar w:fldCharType="separate"/>
        </w:r>
        <w:r w:rsidR="00424BEA" w:rsidRPr="00424BEA">
          <w:rPr>
            <w:rFonts w:ascii="Arial" w:hAnsi="Arial" w:cs="Arial"/>
            <w:noProof/>
            <w:webHidden/>
            <w:sz w:val="22"/>
            <w:szCs w:val="22"/>
          </w:rPr>
          <w:t>146</w:t>
        </w:r>
        <w:r w:rsidR="00424BEA" w:rsidRPr="00424BEA">
          <w:rPr>
            <w:rFonts w:ascii="Arial" w:hAnsi="Arial" w:cs="Arial"/>
            <w:noProof/>
            <w:webHidden/>
            <w:sz w:val="22"/>
            <w:szCs w:val="22"/>
          </w:rPr>
          <w:fldChar w:fldCharType="end"/>
        </w:r>
      </w:hyperlink>
    </w:p>
    <w:p w14:paraId="1EE7EF79" w14:textId="77777777" w:rsidR="00424BEA" w:rsidRPr="00424BEA" w:rsidRDefault="009A7DB9" w:rsidP="00424BEA">
      <w:pPr>
        <w:pStyle w:val="TableofFigures"/>
        <w:tabs>
          <w:tab w:val="right" w:leader="dot" w:pos="8778"/>
        </w:tabs>
        <w:spacing w:line="360" w:lineRule="auto"/>
        <w:jc w:val="both"/>
        <w:rPr>
          <w:rFonts w:ascii="Arial" w:eastAsiaTheme="minorEastAsia" w:hAnsi="Arial" w:cs="Arial"/>
          <w:b w:val="0"/>
          <w:bCs w:val="0"/>
          <w:noProof/>
          <w:sz w:val="22"/>
          <w:szCs w:val="22"/>
          <w:lang w:val="en-US" w:eastAsia="en-US"/>
        </w:rPr>
      </w:pPr>
      <w:hyperlink w:anchor="_Toc431917526" w:history="1">
        <w:r w:rsidR="00424BEA" w:rsidRPr="00424BEA">
          <w:rPr>
            <w:rStyle w:val="Hyperlink"/>
            <w:rFonts w:ascii="Arial" w:hAnsi="Arial" w:cs="Arial"/>
            <w:noProof/>
            <w:sz w:val="22"/>
            <w:szCs w:val="22"/>
          </w:rPr>
          <w:t>Table 66 – Estimated cost to the MBS of re-implantation</w:t>
        </w:r>
        <w:r w:rsidR="00424BEA" w:rsidRPr="00424BEA">
          <w:rPr>
            <w:rFonts w:ascii="Arial" w:hAnsi="Arial" w:cs="Arial"/>
            <w:noProof/>
            <w:webHidden/>
            <w:sz w:val="22"/>
            <w:szCs w:val="22"/>
          </w:rPr>
          <w:tab/>
        </w:r>
        <w:r w:rsidR="00424BEA" w:rsidRPr="00424BEA">
          <w:rPr>
            <w:rFonts w:ascii="Arial" w:hAnsi="Arial" w:cs="Arial"/>
            <w:noProof/>
            <w:webHidden/>
            <w:sz w:val="22"/>
            <w:szCs w:val="22"/>
          </w:rPr>
          <w:fldChar w:fldCharType="begin"/>
        </w:r>
        <w:r w:rsidR="00424BEA" w:rsidRPr="00424BEA">
          <w:rPr>
            <w:rFonts w:ascii="Arial" w:hAnsi="Arial" w:cs="Arial"/>
            <w:noProof/>
            <w:webHidden/>
            <w:sz w:val="22"/>
            <w:szCs w:val="22"/>
          </w:rPr>
          <w:instrText xml:space="preserve"> PAGEREF _Toc431917526 \h </w:instrText>
        </w:r>
        <w:r w:rsidR="00424BEA" w:rsidRPr="00424BEA">
          <w:rPr>
            <w:rFonts w:ascii="Arial" w:hAnsi="Arial" w:cs="Arial"/>
            <w:noProof/>
            <w:webHidden/>
            <w:sz w:val="22"/>
            <w:szCs w:val="22"/>
          </w:rPr>
        </w:r>
        <w:r w:rsidR="00424BEA" w:rsidRPr="00424BEA">
          <w:rPr>
            <w:rFonts w:ascii="Arial" w:hAnsi="Arial" w:cs="Arial"/>
            <w:noProof/>
            <w:webHidden/>
            <w:sz w:val="22"/>
            <w:szCs w:val="22"/>
          </w:rPr>
          <w:fldChar w:fldCharType="separate"/>
        </w:r>
        <w:r w:rsidR="00424BEA" w:rsidRPr="00424BEA">
          <w:rPr>
            <w:rFonts w:ascii="Arial" w:hAnsi="Arial" w:cs="Arial"/>
            <w:noProof/>
            <w:webHidden/>
            <w:sz w:val="22"/>
            <w:szCs w:val="22"/>
          </w:rPr>
          <w:t>147</w:t>
        </w:r>
        <w:r w:rsidR="00424BEA" w:rsidRPr="00424BEA">
          <w:rPr>
            <w:rFonts w:ascii="Arial" w:hAnsi="Arial" w:cs="Arial"/>
            <w:noProof/>
            <w:webHidden/>
            <w:sz w:val="22"/>
            <w:szCs w:val="22"/>
          </w:rPr>
          <w:fldChar w:fldCharType="end"/>
        </w:r>
      </w:hyperlink>
    </w:p>
    <w:p w14:paraId="42DAC74E" w14:textId="77777777" w:rsidR="00424BEA" w:rsidRPr="00424BEA" w:rsidRDefault="009A7DB9" w:rsidP="00424BEA">
      <w:pPr>
        <w:pStyle w:val="TableofFigures"/>
        <w:tabs>
          <w:tab w:val="right" w:leader="dot" w:pos="8778"/>
        </w:tabs>
        <w:spacing w:line="360" w:lineRule="auto"/>
        <w:jc w:val="both"/>
        <w:rPr>
          <w:rFonts w:ascii="Arial" w:eastAsiaTheme="minorEastAsia" w:hAnsi="Arial" w:cs="Arial"/>
          <w:b w:val="0"/>
          <w:bCs w:val="0"/>
          <w:noProof/>
          <w:sz w:val="22"/>
          <w:szCs w:val="22"/>
          <w:lang w:val="en-US" w:eastAsia="en-US"/>
        </w:rPr>
      </w:pPr>
      <w:hyperlink w:anchor="_Toc431917527" w:history="1">
        <w:r w:rsidR="00424BEA" w:rsidRPr="00424BEA">
          <w:rPr>
            <w:rStyle w:val="Hyperlink"/>
            <w:rFonts w:ascii="Arial" w:hAnsi="Arial" w:cs="Arial"/>
            <w:noProof/>
            <w:sz w:val="22"/>
            <w:szCs w:val="22"/>
          </w:rPr>
          <w:t>Table 67 – Estimated total cost of associated items to the MBS</w:t>
        </w:r>
        <w:r w:rsidR="00424BEA" w:rsidRPr="00424BEA">
          <w:rPr>
            <w:rFonts w:ascii="Arial" w:hAnsi="Arial" w:cs="Arial"/>
            <w:noProof/>
            <w:webHidden/>
            <w:sz w:val="22"/>
            <w:szCs w:val="22"/>
          </w:rPr>
          <w:tab/>
        </w:r>
        <w:r w:rsidR="00424BEA" w:rsidRPr="00424BEA">
          <w:rPr>
            <w:rFonts w:ascii="Arial" w:hAnsi="Arial" w:cs="Arial"/>
            <w:noProof/>
            <w:webHidden/>
            <w:sz w:val="22"/>
            <w:szCs w:val="22"/>
          </w:rPr>
          <w:fldChar w:fldCharType="begin"/>
        </w:r>
        <w:r w:rsidR="00424BEA" w:rsidRPr="00424BEA">
          <w:rPr>
            <w:rFonts w:ascii="Arial" w:hAnsi="Arial" w:cs="Arial"/>
            <w:noProof/>
            <w:webHidden/>
            <w:sz w:val="22"/>
            <w:szCs w:val="22"/>
          </w:rPr>
          <w:instrText xml:space="preserve"> PAGEREF _Toc431917527 \h </w:instrText>
        </w:r>
        <w:r w:rsidR="00424BEA" w:rsidRPr="00424BEA">
          <w:rPr>
            <w:rFonts w:ascii="Arial" w:hAnsi="Arial" w:cs="Arial"/>
            <w:noProof/>
            <w:webHidden/>
            <w:sz w:val="22"/>
            <w:szCs w:val="22"/>
          </w:rPr>
        </w:r>
        <w:r w:rsidR="00424BEA" w:rsidRPr="00424BEA">
          <w:rPr>
            <w:rFonts w:ascii="Arial" w:hAnsi="Arial" w:cs="Arial"/>
            <w:noProof/>
            <w:webHidden/>
            <w:sz w:val="22"/>
            <w:szCs w:val="22"/>
          </w:rPr>
          <w:fldChar w:fldCharType="separate"/>
        </w:r>
        <w:r w:rsidR="00424BEA" w:rsidRPr="00424BEA">
          <w:rPr>
            <w:rFonts w:ascii="Arial" w:hAnsi="Arial" w:cs="Arial"/>
            <w:noProof/>
            <w:webHidden/>
            <w:sz w:val="22"/>
            <w:szCs w:val="22"/>
          </w:rPr>
          <w:t>148</w:t>
        </w:r>
        <w:r w:rsidR="00424BEA" w:rsidRPr="00424BEA">
          <w:rPr>
            <w:rFonts w:ascii="Arial" w:hAnsi="Arial" w:cs="Arial"/>
            <w:noProof/>
            <w:webHidden/>
            <w:sz w:val="22"/>
            <w:szCs w:val="22"/>
          </w:rPr>
          <w:fldChar w:fldCharType="end"/>
        </w:r>
      </w:hyperlink>
    </w:p>
    <w:p w14:paraId="5E1CC6B6" w14:textId="77777777" w:rsidR="00424BEA" w:rsidRPr="00424BEA" w:rsidRDefault="009A7DB9" w:rsidP="00424BEA">
      <w:pPr>
        <w:pStyle w:val="TableofFigures"/>
        <w:tabs>
          <w:tab w:val="right" w:leader="dot" w:pos="8778"/>
        </w:tabs>
        <w:spacing w:line="360" w:lineRule="auto"/>
        <w:jc w:val="both"/>
        <w:rPr>
          <w:rFonts w:ascii="Arial" w:eastAsiaTheme="minorEastAsia" w:hAnsi="Arial" w:cs="Arial"/>
          <w:b w:val="0"/>
          <w:bCs w:val="0"/>
          <w:noProof/>
          <w:sz w:val="22"/>
          <w:szCs w:val="22"/>
          <w:lang w:val="en-US" w:eastAsia="en-US"/>
        </w:rPr>
      </w:pPr>
      <w:hyperlink w:anchor="_Toc431917528" w:history="1">
        <w:r w:rsidR="00424BEA" w:rsidRPr="00424BEA">
          <w:rPr>
            <w:rStyle w:val="Hyperlink"/>
            <w:rFonts w:ascii="Arial" w:hAnsi="Arial" w:cs="Arial"/>
            <w:noProof/>
            <w:sz w:val="22"/>
            <w:szCs w:val="22"/>
          </w:rPr>
          <w:t>Table 68 – Estimated total non- MBS costs for both devices</w:t>
        </w:r>
        <w:r w:rsidR="00424BEA" w:rsidRPr="00424BEA">
          <w:rPr>
            <w:rFonts w:ascii="Arial" w:hAnsi="Arial" w:cs="Arial"/>
            <w:noProof/>
            <w:webHidden/>
            <w:sz w:val="22"/>
            <w:szCs w:val="22"/>
          </w:rPr>
          <w:tab/>
        </w:r>
        <w:r w:rsidR="00424BEA" w:rsidRPr="00424BEA">
          <w:rPr>
            <w:rFonts w:ascii="Arial" w:hAnsi="Arial" w:cs="Arial"/>
            <w:noProof/>
            <w:webHidden/>
            <w:sz w:val="22"/>
            <w:szCs w:val="22"/>
          </w:rPr>
          <w:fldChar w:fldCharType="begin"/>
        </w:r>
        <w:r w:rsidR="00424BEA" w:rsidRPr="00424BEA">
          <w:rPr>
            <w:rFonts w:ascii="Arial" w:hAnsi="Arial" w:cs="Arial"/>
            <w:noProof/>
            <w:webHidden/>
            <w:sz w:val="22"/>
            <w:szCs w:val="22"/>
          </w:rPr>
          <w:instrText xml:space="preserve"> PAGEREF _Toc431917528 \h </w:instrText>
        </w:r>
        <w:r w:rsidR="00424BEA" w:rsidRPr="00424BEA">
          <w:rPr>
            <w:rFonts w:ascii="Arial" w:hAnsi="Arial" w:cs="Arial"/>
            <w:noProof/>
            <w:webHidden/>
            <w:sz w:val="22"/>
            <w:szCs w:val="22"/>
          </w:rPr>
        </w:r>
        <w:r w:rsidR="00424BEA" w:rsidRPr="00424BEA">
          <w:rPr>
            <w:rFonts w:ascii="Arial" w:hAnsi="Arial" w:cs="Arial"/>
            <w:noProof/>
            <w:webHidden/>
            <w:sz w:val="22"/>
            <w:szCs w:val="22"/>
          </w:rPr>
          <w:fldChar w:fldCharType="separate"/>
        </w:r>
        <w:r w:rsidR="00424BEA" w:rsidRPr="00424BEA">
          <w:rPr>
            <w:rFonts w:ascii="Arial" w:hAnsi="Arial" w:cs="Arial"/>
            <w:noProof/>
            <w:webHidden/>
            <w:sz w:val="22"/>
            <w:szCs w:val="22"/>
          </w:rPr>
          <w:t>150</w:t>
        </w:r>
        <w:r w:rsidR="00424BEA" w:rsidRPr="00424BEA">
          <w:rPr>
            <w:rFonts w:ascii="Arial" w:hAnsi="Arial" w:cs="Arial"/>
            <w:noProof/>
            <w:webHidden/>
            <w:sz w:val="22"/>
            <w:szCs w:val="22"/>
          </w:rPr>
          <w:fldChar w:fldCharType="end"/>
        </w:r>
      </w:hyperlink>
    </w:p>
    <w:p w14:paraId="110029FC" w14:textId="77777777" w:rsidR="00424BEA" w:rsidRPr="00424BEA" w:rsidRDefault="009A7DB9" w:rsidP="00424BEA">
      <w:pPr>
        <w:pStyle w:val="TableofFigures"/>
        <w:tabs>
          <w:tab w:val="right" w:leader="dot" w:pos="8778"/>
        </w:tabs>
        <w:spacing w:line="360" w:lineRule="auto"/>
        <w:jc w:val="both"/>
        <w:rPr>
          <w:rFonts w:ascii="Arial" w:eastAsiaTheme="minorEastAsia" w:hAnsi="Arial" w:cs="Arial"/>
          <w:b w:val="0"/>
          <w:bCs w:val="0"/>
          <w:noProof/>
          <w:sz w:val="22"/>
          <w:szCs w:val="22"/>
          <w:lang w:val="en-US" w:eastAsia="en-US"/>
        </w:rPr>
      </w:pPr>
      <w:hyperlink w:anchor="_Toc431917529" w:history="1">
        <w:r w:rsidR="00424BEA" w:rsidRPr="00424BEA">
          <w:rPr>
            <w:rStyle w:val="Hyperlink"/>
            <w:rFonts w:ascii="Arial" w:hAnsi="Arial" w:cs="Arial"/>
            <w:noProof/>
            <w:sz w:val="22"/>
            <w:szCs w:val="22"/>
          </w:rPr>
          <w:t>Table 69 – Estimated total costs for both devices to the MBS</w:t>
        </w:r>
        <w:r w:rsidR="00424BEA" w:rsidRPr="00424BEA">
          <w:rPr>
            <w:rFonts w:ascii="Arial" w:hAnsi="Arial" w:cs="Arial"/>
            <w:noProof/>
            <w:webHidden/>
            <w:sz w:val="22"/>
            <w:szCs w:val="22"/>
          </w:rPr>
          <w:tab/>
        </w:r>
        <w:r w:rsidR="00424BEA" w:rsidRPr="00424BEA">
          <w:rPr>
            <w:rFonts w:ascii="Arial" w:hAnsi="Arial" w:cs="Arial"/>
            <w:noProof/>
            <w:webHidden/>
            <w:sz w:val="22"/>
            <w:szCs w:val="22"/>
          </w:rPr>
          <w:fldChar w:fldCharType="begin"/>
        </w:r>
        <w:r w:rsidR="00424BEA" w:rsidRPr="00424BEA">
          <w:rPr>
            <w:rFonts w:ascii="Arial" w:hAnsi="Arial" w:cs="Arial"/>
            <w:noProof/>
            <w:webHidden/>
            <w:sz w:val="22"/>
            <w:szCs w:val="22"/>
          </w:rPr>
          <w:instrText xml:space="preserve"> PAGEREF _Toc431917529 \h </w:instrText>
        </w:r>
        <w:r w:rsidR="00424BEA" w:rsidRPr="00424BEA">
          <w:rPr>
            <w:rFonts w:ascii="Arial" w:hAnsi="Arial" w:cs="Arial"/>
            <w:noProof/>
            <w:webHidden/>
            <w:sz w:val="22"/>
            <w:szCs w:val="22"/>
          </w:rPr>
        </w:r>
        <w:r w:rsidR="00424BEA" w:rsidRPr="00424BEA">
          <w:rPr>
            <w:rFonts w:ascii="Arial" w:hAnsi="Arial" w:cs="Arial"/>
            <w:noProof/>
            <w:webHidden/>
            <w:sz w:val="22"/>
            <w:szCs w:val="22"/>
          </w:rPr>
          <w:fldChar w:fldCharType="separate"/>
        </w:r>
        <w:r w:rsidR="00424BEA" w:rsidRPr="00424BEA">
          <w:rPr>
            <w:rFonts w:ascii="Arial" w:hAnsi="Arial" w:cs="Arial"/>
            <w:noProof/>
            <w:webHidden/>
            <w:sz w:val="22"/>
            <w:szCs w:val="22"/>
          </w:rPr>
          <w:t>151</w:t>
        </w:r>
        <w:r w:rsidR="00424BEA" w:rsidRPr="00424BEA">
          <w:rPr>
            <w:rFonts w:ascii="Arial" w:hAnsi="Arial" w:cs="Arial"/>
            <w:noProof/>
            <w:webHidden/>
            <w:sz w:val="22"/>
            <w:szCs w:val="22"/>
          </w:rPr>
          <w:fldChar w:fldCharType="end"/>
        </w:r>
      </w:hyperlink>
    </w:p>
    <w:p w14:paraId="4E57514F" w14:textId="77777777" w:rsidR="00424BEA" w:rsidRPr="00424BEA" w:rsidRDefault="009A7DB9" w:rsidP="00424BEA">
      <w:pPr>
        <w:pStyle w:val="TableofFigures"/>
        <w:tabs>
          <w:tab w:val="right" w:leader="dot" w:pos="8778"/>
        </w:tabs>
        <w:spacing w:line="360" w:lineRule="auto"/>
        <w:jc w:val="both"/>
        <w:rPr>
          <w:rFonts w:ascii="Arial" w:eastAsiaTheme="minorEastAsia" w:hAnsi="Arial" w:cs="Arial"/>
          <w:b w:val="0"/>
          <w:bCs w:val="0"/>
          <w:noProof/>
          <w:sz w:val="22"/>
          <w:szCs w:val="22"/>
          <w:lang w:val="en-US" w:eastAsia="en-US"/>
        </w:rPr>
      </w:pPr>
      <w:hyperlink w:anchor="_Toc431917530" w:history="1">
        <w:r w:rsidR="00424BEA" w:rsidRPr="00424BEA">
          <w:rPr>
            <w:rStyle w:val="Hyperlink"/>
            <w:rFonts w:ascii="Arial" w:hAnsi="Arial" w:cs="Arial"/>
            <w:noProof/>
            <w:sz w:val="22"/>
            <w:szCs w:val="22"/>
          </w:rPr>
          <w:t>Table 70</w:t>
        </w:r>
        <w:r w:rsidR="00424BEA" w:rsidRPr="00424BEA">
          <w:rPr>
            <w:rStyle w:val="Hyperlink"/>
            <w:rFonts w:ascii="Arial" w:hAnsi="Arial" w:cs="Arial"/>
            <w:noProof/>
            <w:sz w:val="22"/>
            <w:szCs w:val="22"/>
            <w:lang w:val="en-US"/>
          </w:rPr>
          <w:t>.-</w:t>
        </w:r>
        <w:r w:rsidR="00424BEA" w:rsidRPr="00424BEA">
          <w:rPr>
            <w:rStyle w:val="Hyperlink"/>
            <w:rFonts w:ascii="Arial" w:hAnsi="Arial" w:cs="Arial"/>
            <w:noProof/>
            <w:sz w:val="22"/>
            <w:szCs w:val="22"/>
          </w:rPr>
          <w:t xml:space="preserve"> Calculated confidence intervals for the deterministic sensitivity analysis</w:t>
        </w:r>
        <w:r w:rsidR="00424BEA" w:rsidRPr="00424BEA">
          <w:rPr>
            <w:rFonts w:ascii="Arial" w:hAnsi="Arial" w:cs="Arial"/>
            <w:noProof/>
            <w:webHidden/>
            <w:sz w:val="22"/>
            <w:szCs w:val="22"/>
          </w:rPr>
          <w:tab/>
        </w:r>
        <w:r w:rsidR="00424BEA" w:rsidRPr="00424BEA">
          <w:rPr>
            <w:rFonts w:ascii="Arial" w:hAnsi="Arial" w:cs="Arial"/>
            <w:noProof/>
            <w:webHidden/>
            <w:sz w:val="22"/>
            <w:szCs w:val="22"/>
          </w:rPr>
          <w:fldChar w:fldCharType="begin"/>
        </w:r>
        <w:r w:rsidR="00424BEA" w:rsidRPr="00424BEA">
          <w:rPr>
            <w:rFonts w:ascii="Arial" w:hAnsi="Arial" w:cs="Arial"/>
            <w:noProof/>
            <w:webHidden/>
            <w:sz w:val="22"/>
            <w:szCs w:val="22"/>
          </w:rPr>
          <w:instrText xml:space="preserve"> PAGEREF _Toc431917530 \h </w:instrText>
        </w:r>
        <w:r w:rsidR="00424BEA" w:rsidRPr="00424BEA">
          <w:rPr>
            <w:rFonts w:ascii="Arial" w:hAnsi="Arial" w:cs="Arial"/>
            <w:noProof/>
            <w:webHidden/>
            <w:sz w:val="22"/>
            <w:szCs w:val="22"/>
          </w:rPr>
        </w:r>
        <w:r w:rsidR="00424BEA" w:rsidRPr="00424BEA">
          <w:rPr>
            <w:rFonts w:ascii="Arial" w:hAnsi="Arial" w:cs="Arial"/>
            <w:noProof/>
            <w:webHidden/>
            <w:sz w:val="22"/>
            <w:szCs w:val="22"/>
          </w:rPr>
          <w:fldChar w:fldCharType="separate"/>
        </w:r>
        <w:r w:rsidR="00424BEA" w:rsidRPr="00424BEA">
          <w:rPr>
            <w:rFonts w:ascii="Arial" w:hAnsi="Arial" w:cs="Arial"/>
            <w:noProof/>
            <w:webHidden/>
            <w:sz w:val="22"/>
            <w:szCs w:val="22"/>
          </w:rPr>
          <w:t>153</w:t>
        </w:r>
        <w:r w:rsidR="00424BEA" w:rsidRPr="00424BEA">
          <w:rPr>
            <w:rFonts w:ascii="Arial" w:hAnsi="Arial" w:cs="Arial"/>
            <w:noProof/>
            <w:webHidden/>
            <w:sz w:val="22"/>
            <w:szCs w:val="22"/>
          </w:rPr>
          <w:fldChar w:fldCharType="end"/>
        </w:r>
      </w:hyperlink>
    </w:p>
    <w:p w14:paraId="06D71659" w14:textId="77777777" w:rsidR="00424BEA" w:rsidRPr="00424BEA" w:rsidRDefault="009A7DB9" w:rsidP="00424BEA">
      <w:pPr>
        <w:pStyle w:val="TableofFigures"/>
        <w:tabs>
          <w:tab w:val="right" w:leader="dot" w:pos="8778"/>
        </w:tabs>
        <w:spacing w:line="360" w:lineRule="auto"/>
        <w:jc w:val="both"/>
        <w:rPr>
          <w:rFonts w:ascii="Arial" w:eastAsiaTheme="minorEastAsia" w:hAnsi="Arial" w:cs="Arial"/>
          <w:b w:val="0"/>
          <w:bCs w:val="0"/>
          <w:noProof/>
          <w:sz w:val="22"/>
          <w:szCs w:val="22"/>
          <w:lang w:val="en-US" w:eastAsia="en-US"/>
        </w:rPr>
      </w:pPr>
      <w:hyperlink w:anchor="_Toc431917531" w:history="1">
        <w:r w:rsidR="00424BEA" w:rsidRPr="00424BEA">
          <w:rPr>
            <w:rStyle w:val="Hyperlink"/>
            <w:rFonts w:ascii="Arial" w:hAnsi="Arial" w:cs="Arial"/>
            <w:noProof/>
            <w:sz w:val="22"/>
            <w:szCs w:val="22"/>
          </w:rPr>
          <w:t>Table 71</w:t>
        </w:r>
        <w:r w:rsidR="00424BEA" w:rsidRPr="00424BEA">
          <w:rPr>
            <w:rStyle w:val="Hyperlink"/>
            <w:rFonts w:ascii="Arial" w:hAnsi="Arial" w:cs="Arial"/>
            <w:noProof/>
            <w:sz w:val="22"/>
            <w:szCs w:val="22"/>
            <w:lang w:val="en-US"/>
          </w:rPr>
          <w:t>.-</w:t>
        </w:r>
        <w:r w:rsidR="00424BEA" w:rsidRPr="00424BEA">
          <w:rPr>
            <w:rStyle w:val="Hyperlink"/>
            <w:rFonts w:ascii="Arial" w:hAnsi="Arial" w:cs="Arial"/>
            <w:noProof/>
            <w:sz w:val="22"/>
            <w:szCs w:val="22"/>
          </w:rPr>
          <w:t xml:space="preserve"> Estimated minimum number of MEI candidates based on lower CI of proportion of candidates according to Junker et al, 2002</w:t>
        </w:r>
        <w:r w:rsidR="00424BEA" w:rsidRPr="00424BEA">
          <w:rPr>
            <w:rFonts w:ascii="Arial" w:hAnsi="Arial" w:cs="Arial"/>
            <w:noProof/>
            <w:webHidden/>
            <w:sz w:val="22"/>
            <w:szCs w:val="22"/>
          </w:rPr>
          <w:tab/>
        </w:r>
        <w:r w:rsidR="00424BEA" w:rsidRPr="00424BEA">
          <w:rPr>
            <w:rFonts w:ascii="Arial" w:hAnsi="Arial" w:cs="Arial"/>
            <w:noProof/>
            <w:webHidden/>
            <w:sz w:val="22"/>
            <w:szCs w:val="22"/>
          </w:rPr>
          <w:fldChar w:fldCharType="begin"/>
        </w:r>
        <w:r w:rsidR="00424BEA" w:rsidRPr="00424BEA">
          <w:rPr>
            <w:rFonts w:ascii="Arial" w:hAnsi="Arial" w:cs="Arial"/>
            <w:noProof/>
            <w:webHidden/>
            <w:sz w:val="22"/>
            <w:szCs w:val="22"/>
          </w:rPr>
          <w:instrText xml:space="preserve"> PAGEREF _Toc431917531 \h </w:instrText>
        </w:r>
        <w:r w:rsidR="00424BEA" w:rsidRPr="00424BEA">
          <w:rPr>
            <w:rFonts w:ascii="Arial" w:hAnsi="Arial" w:cs="Arial"/>
            <w:noProof/>
            <w:webHidden/>
            <w:sz w:val="22"/>
            <w:szCs w:val="22"/>
          </w:rPr>
        </w:r>
        <w:r w:rsidR="00424BEA" w:rsidRPr="00424BEA">
          <w:rPr>
            <w:rFonts w:ascii="Arial" w:hAnsi="Arial" w:cs="Arial"/>
            <w:noProof/>
            <w:webHidden/>
            <w:sz w:val="22"/>
            <w:szCs w:val="22"/>
          </w:rPr>
          <w:fldChar w:fldCharType="separate"/>
        </w:r>
        <w:r w:rsidR="00424BEA" w:rsidRPr="00424BEA">
          <w:rPr>
            <w:rFonts w:ascii="Arial" w:hAnsi="Arial" w:cs="Arial"/>
            <w:noProof/>
            <w:webHidden/>
            <w:sz w:val="22"/>
            <w:szCs w:val="22"/>
          </w:rPr>
          <w:t>154</w:t>
        </w:r>
        <w:r w:rsidR="00424BEA" w:rsidRPr="00424BEA">
          <w:rPr>
            <w:rFonts w:ascii="Arial" w:hAnsi="Arial" w:cs="Arial"/>
            <w:noProof/>
            <w:webHidden/>
            <w:sz w:val="22"/>
            <w:szCs w:val="22"/>
          </w:rPr>
          <w:fldChar w:fldCharType="end"/>
        </w:r>
      </w:hyperlink>
    </w:p>
    <w:p w14:paraId="04811539" w14:textId="77777777" w:rsidR="00424BEA" w:rsidRPr="00424BEA" w:rsidRDefault="009A7DB9" w:rsidP="00424BEA">
      <w:pPr>
        <w:pStyle w:val="TableofFigures"/>
        <w:tabs>
          <w:tab w:val="right" w:leader="dot" w:pos="8778"/>
        </w:tabs>
        <w:spacing w:line="360" w:lineRule="auto"/>
        <w:jc w:val="both"/>
        <w:rPr>
          <w:rFonts w:ascii="Arial" w:eastAsiaTheme="minorEastAsia" w:hAnsi="Arial" w:cs="Arial"/>
          <w:b w:val="0"/>
          <w:bCs w:val="0"/>
          <w:noProof/>
          <w:sz w:val="22"/>
          <w:szCs w:val="22"/>
          <w:lang w:val="en-US" w:eastAsia="en-US"/>
        </w:rPr>
      </w:pPr>
      <w:hyperlink w:anchor="_Toc431917532" w:history="1">
        <w:r w:rsidR="00424BEA" w:rsidRPr="00424BEA">
          <w:rPr>
            <w:rStyle w:val="Hyperlink"/>
            <w:rFonts w:ascii="Arial" w:hAnsi="Arial" w:cs="Arial"/>
            <w:noProof/>
            <w:sz w:val="22"/>
            <w:szCs w:val="22"/>
          </w:rPr>
          <w:t>Table 72</w:t>
        </w:r>
        <w:r w:rsidR="00424BEA" w:rsidRPr="00424BEA">
          <w:rPr>
            <w:rStyle w:val="Hyperlink"/>
            <w:rFonts w:ascii="Arial" w:hAnsi="Arial" w:cs="Arial"/>
            <w:noProof/>
            <w:sz w:val="22"/>
            <w:szCs w:val="22"/>
            <w:lang w:val="en-US"/>
          </w:rPr>
          <w:t>.-</w:t>
        </w:r>
        <w:r w:rsidR="00424BEA" w:rsidRPr="00424BEA">
          <w:rPr>
            <w:rStyle w:val="Hyperlink"/>
            <w:rFonts w:ascii="Arial" w:hAnsi="Arial" w:cs="Arial"/>
            <w:noProof/>
            <w:sz w:val="22"/>
            <w:szCs w:val="22"/>
          </w:rPr>
          <w:t xml:space="preserve"> Overall total costs of the intervention based on estimated minimum number of MEI candidates (lower CI of possible candidates)</w:t>
        </w:r>
        <w:r w:rsidR="00424BEA" w:rsidRPr="00424BEA">
          <w:rPr>
            <w:rFonts w:ascii="Arial" w:hAnsi="Arial" w:cs="Arial"/>
            <w:noProof/>
            <w:webHidden/>
            <w:sz w:val="22"/>
            <w:szCs w:val="22"/>
          </w:rPr>
          <w:tab/>
        </w:r>
        <w:r w:rsidR="00424BEA" w:rsidRPr="00424BEA">
          <w:rPr>
            <w:rFonts w:ascii="Arial" w:hAnsi="Arial" w:cs="Arial"/>
            <w:noProof/>
            <w:webHidden/>
            <w:sz w:val="22"/>
            <w:szCs w:val="22"/>
          </w:rPr>
          <w:fldChar w:fldCharType="begin"/>
        </w:r>
        <w:r w:rsidR="00424BEA" w:rsidRPr="00424BEA">
          <w:rPr>
            <w:rFonts w:ascii="Arial" w:hAnsi="Arial" w:cs="Arial"/>
            <w:noProof/>
            <w:webHidden/>
            <w:sz w:val="22"/>
            <w:szCs w:val="22"/>
          </w:rPr>
          <w:instrText xml:space="preserve"> PAGEREF _Toc431917532 \h </w:instrText>
        </w:r>
        <w:r w:rsidR="00424BEA" w:rsidRPr="00424BEA">
          <w:rPr>
            <w:rFonts w:ascii="Arial" w:hAnsi="Arial" w:cs="Arial"/>
            <w:noProof/>
            <w:webHidden/>
            <w:sz w:val="22"/>
            <w:szCs w:val="22"/>
          </w:rPr>
        </w:r>
        <w:r w:rsidR="00424BEA" w:rsidRPr="00424BEA">
          <w:rPr>
            <w:rFonts w:ascii="Arial" w:hAnsi="Arial" w:cs="Arial"/>
            <w:noProof/>
            <w:webHidden/>
            <w:sz w:val="22"/>
            <w:szCs w:val="22"/>
          </w:rPr>
          <w:fldChar w:fldCharType="separate"/>
        </w:r>
        <w:r w:rsidR="00424BEA" w:rsidRPr="00424BEA">
          <w:rPr>
            <w:rFonts w:ascii="Arial" w:hAnsi="Arial" w:cs="Arial"/>
            <w:noProof/>
            <w:webHidden/>
            <w:sz w:val="22"/>
            <w:szCs w:val="22"/>
          </w:rPr>
          <w:t>155</w:t>
        </w:r>
        <w:r w:rsidR="00424BEA" w:rsidRPr="00424BEA">
          <w:rPr>
            <w:rFonts w:ascii="Arial" w:hAnsi="Arial" w:cs="Arial"/>
            <w:noProof/>
            <w:webHidden/>
            <w:sz w:val="22"/>
            <w:szCs w:val="22"/>
          </w:rPr>
          <w:fldChar w:fldCharType="end"/>
        </w:r>
      </w:hyperlink>
    </w:p>
    <w:p w14:paraId="6717EAB8" w14:textId="77777777" w:rsidR="00424BEA" w:rsidRPr="00424BEA" w:rsidRDefault="009A7DB9" w:rsidP="00424BEA">
      <w:pPr>
        <w:pStyle w:val="TableofFigures"/>
        <w:tabs>
          <w:tab w:val="right" w:leader="dot" w:pos="8778"/>
        </w:tabs>
        <w:spacing w:line="360" w:lineRule="auto"/>
        <w:jc w:val="both"/>
        <w:rPr>
          <w:rFonts w:ascii="Arial" w:eastAsiaTheme="minorEastAsia" w:hAnsi="Arial" w:cs="Arial"/>
          <w:b w:val="0"/>
          <w:bCs w:val="0"/>
          <w:noProof/>
          <w:sz w:val="22"/>
          <w:szCs w:val="22"/>
          <w:lang w:val="en-US" w:eastAsia="en-US"/>
        </w:rPr>
      </w:pPr>
      <w:hyperlink w:anchor="_Toc431917533" w:history="1">
        <w:r w:rsidR="00424BEA" w:rsidRPr="00424BEA">
          <w:rPr>
            <w:rStyle w:val="Hyperlink"/>
            <w:rFonts w:ascii="Arial" w:hAnsi="Arial" w:cs="Arial"/>
            <w:noProof/>
            <w:sz w:val="22"/>
            <w:szCs w:val="22"/>
          </w:rPr>
          <w:t>Table 73</w:t>
        </w:r>
        <w:r w:rsidR="00424BEA" w:rsidRPr="00424BEA">
          <w:rPr>
            <w:rStyle w:val="Hyperlink"/>
            <w:rFonts w:ascii="Arial" w:hAnsi="Arial" w:cs="Arial"/>
            <w:noProof/>
            <w:sz w:val="22"/>
            <w:szCs w:val="22"/>
            <w:lang w:val="en-US"/>
          </w:rPr>
          <w:t>.-</w:t>
        </w:r>
        <w:r w:rsidR="00424BEA" w:rsidRPr="00424BEA">
          <w:rPr>
            <w:rStyle w:val="Hyperlink"/>
            <w:rFonts w:ascii="Arial" w:hAnsi="Arial" w:cs="Arial"/>
            <w:noProof/>
            <w:sz w:val="22"/>
            <w:szCs w:val="22"/>
          </w:rPr>
          <w:t xml:space="preserve"> Estimated maximum number of MEI candidates based on lower CI of proportion of candidates according to Junker et al, 2002</w:t>
        </w:r>
        <w:r w:rsidR="00424BEA" w:rsidRPr="00424BEA">
          <w:rPr>
            <w:rFonts w:ascii="Arial" w:hAnsi="Arial" w:cs="Arial"/>
            <w:noProof/>
            <w:webHidden/>
            <w:sz w:val="22"/>
            <w:szCs w:val="22"/>
          </w:rPr>
          <w:tab/>
        </w:r>
        <w:r w:rsidR="00424BEA" w:rsidRPr="00424BEA">
          <w:rPr>
            <w:rFonts w:ascii="Arial" w:hAnsi="Arial" w:cs="Arial"/>
            <w:noProof/>
            <w:webHidden/>
            <w:sz w:val="22"/>
            <w:szCs w:val="22"/>
          </w:rPr>
          <w:fldChar w:fldCharType="begin"/>
        </w:r>
        <w:r w:rsidR="00424BEA" w:rsidRPr="00424BEA">
          <w:rPr>
            <w:rFonts w:ascii="Arial" w:hAnsi="Arial" w:cs="Arial"/>
            <w:noProof/>
            <w:webHidden/>
            <w:sz w:val="22"/>
            <w:szCs w:val="22"/>
          </w:rPr>
          <w:instrText xml:space="preserve"> PAGEREF _Toc431917533 \h </w:instrText>
        </w:r>
        <w:r w:rsidR="00424BEA" w:rsidRPr="00424BEA">
          <w:rPr>
            <w:rFonts w:ascii="Arial" w:hAnsi="Arial" w:cs="Arial"/>
            <w:noProof/>
            <w:webHidden/>
            <w:sz w:val="22"/>
            <w:szCs w:val="22"/>
          </w:rPr>
        </w:r>
        <w:r w:rsidR="00424BEA" w:rsidRPr="00424BEA">
          <w:rPr>
            <w:rFonts w:ascii="Arial" w:hAnsi="Arial" w:cs="Arial"/>
            <w:noProof/>
            <w:webHidden/>
            <w:sz w:val="22"/>
            <w:szCs w:val="22"/>
          </w:rPr>
          <w:fldChar w:fldCharType="separate"/>
        </w:r>
        <w:r w:rsidR="00424BEA" w:rsidRPr="00424BEA">
          <w:rPr>
            <w:rFonts w:ascii="Arial" w:hAnsi="Arial" w:cs="Arial"/>
            <w:noProof/>
            <w:webHidden/>
            <w:sz w:val="22"/>
            <w:szCs w:val="22"/>
          </w:rPr>
          <w:t>156</w:t>
        </w:r>
        <w:r w:rsidR="00424BEA" w:rsidRPr="00424BEA">
          <w:rPr>
            <w:rFonts w:ascii="Arial" w:hAnsi="Arial" w:cs="Arial"/>
            <w:noProof/>
            <w:webHidden/>
            <w:sz w:val="22"/>
            <w:szCs w:val="22"/>
          </w:rPr>
          <w:fldChar w:fldCharType="end"/>
        </w:r>
      </w:hyperlink>
    </w:p>
    <w:p w14:paraId="1B948BD5" w14:textId="77777777" w:rsidR="00424BEA" w:rsidRPr="00424BEA" w:rsidRDefault="009A7DB9" w:rsidP="00424BEA">
      <w:pPr>
        <w:pStyle w:val="TableofFigures"/>
        <w:tabs>
          <w:tab w:val="right" w:leader="dot" w:pos="8778"/>
        </w:tabs>
        <w:spacing w:line="360" w:lineRule="auto"/>
        <w:jc w:val="both"/>
        <w:rPr>
          <w:rFonts w:ascii="Arial" w:eastAsiaTheme="minorEastAsia" w:hAnsi="Arial" w:cs="Arial"/>
          <w:b w:val="0"/>
          <w:bCs w:val="0"/>
          <w:noProof/>
          <w:sz w:val="22"/>
          <w:szCs w:val="22"/>
          <w:lang w:val="en-US" w:eastAsia="en-US"/>
        </w:rPr>
      </w:pPr>
      <w:hyperlink w:anchor="_Toc431917534" w:history="1">
        <w:r w:rsidR="00424BEA" w:rsidRPr="00424BEA">
          <w:rPr>
            <w:rStyle w:val="Hyperlink"/>
            <w:rFonts w:ascii="Arial" w:hAnsi="Arial" w:cs="Arial"/>
            <w:noProof/>
            <w:sz w:val="22"/>
            <w:szCs w:val="22"/>
          </w:rPr>
          <w:t>Table 74</w:t>
        </w:r>
        <w:r w:rsidR="00424BEA" w:rsidRPr="00424BEA">
          <w:rPr>
            <w:rStyle w:val="Hyperlink"/>
            <w:rFonts w:ascii="Arial" w:hAnsi="Arial" w:cs="Arial"/>
            <w:noProof/>
            <w:sz w:val="22"/>
            <w:szCs w:val="22"/>
            <w:lang w:val="en-US"/>
          </w:rPr>
          <w:t>.-</w:t>
        </w:r>
        <w:r w:rsidR="00424BEA" w:rsidRPr="00424BEA">
          <w:rPr>
            <w:rStyle w:val="Hyperlink"/>
            <w:rFonts w:ascii="Arial" w:hAnsi="Arial" w:cs="Arial"/>
            <w:noProof/>
            <w:sz w:val="22"/>
            <w:szCs w:val="22"/>
          </w:rPr>
          <w:t xml:space="preserve"> Overall total costs of the intervention based on estimated maximum number of MEI candidates (higher CI of possible candidates)</w:t>
        </w:r>
        <w:r w:rsidR="00424BEA" w:rsidRPr="00424BEA">
          <w:rPr>
            <w:rFonts w:ascii="Arial" w:hAnsi="Arial" w:cs="Arial"/>
            <w:noProof/>
            <w:webHidden/>
            <w:sz w:val="22"/>
            <w:szCs w:val="22"/>
          </w:rPr>
          <w:tab/>
        </w:r>
        <w:r w:rsidR="00424BEA" w:rsidRPr="00424BEA">
          <w:rPr>
            <w:rFonts w:ascii="Arial" w:hAnsi="Arial" w:cs="Arial"/>
            <w:noProof/>
            <w:webHidden/>
            <w:sz w:val="22"/>
            <w:szCs w:val="22"/>
          </w:rPr>
          <w:fldChar w:fldCharType="begin"/>
        </w:r>
        <w:r w:rsidR="00424BEA" w:rsidRPr="00424BEA">
          <w:rPr>
            <w:rFonts w:ascii="Arial" w:hAnsi="Arial" w:cs="Arial"/>
            <w:noProof/>
            <w:webHidden/>
            <w:sz w:val="22"/>
            <w:szCs w:val="22"/>
          </w:rPr>
          <w:instrText xml:space="preserve"> PAGEREF _Toc431917534 \h </w:instrText>
        </w:r>
        <w:r w:rsidR="00424BEA" w:rsidRPr="00424BEA">
          <w:rPr>
            <w:rFonts w:ascii="Arial" w:hAnsi="Arial" w:cs="Arial"/>
            <w:noProof/>
            <w:webHidden/>
            <w:sz w:val="22"/>
            <w:szCs w:val="22"/>
          </w:rPr>
        </w:r>
        <w:r w:rsidR="00424BEA" w:rsidRPr="00424BEA">
          <w:rPr>
            <w:rFonts w:ascii="Arial" w:hAnsi="Arial" w:cs="Arial"/>
            <w:noProof/>
            <w:webHidden/>
            <w:sz w:val="22"/>
            <w:szCs w:val="22"/>
          </w:rPr>
          <w:fldChar w:fldCharType="separate"/>
        </w:r>
        <w:r w:rsidR="00424BEA" w:rsidRPr="00424BEA">
          <w:rPr>
            <w:rFonts w:ascii="Arial" w:hAnsi="Arial" w:cs="Arial"/>
            <w:noProof/>
            <w:webHidden/>
            <w:sz w:val="22"/>
            <w:szCs w:val="22"/>
          </w:rPr>
          <w:t>157</w:t>
        </w:r>
        <w:r w:rsidR="00424BEA" w:rsidRPr="00424BEA">
          <w:rPr>
            <w:rFonts w:ascii="Arial" w:hAnsi="Arial" w:cs="Arial"/>
            <w:noProof/>
            <w:webHidden/>
            <w:sz w:val="22"/>
            <w:szCs w:val="22"/>
          </w:rPr>
          <w:fldChar w:fldCharType="end"/>
        </w:r>
      </w:hyperlink>
    </w:p>
    <w:p w14:paraId="2CC52EF1" w14:textId="77777777" w:rsidR="00424BEA" w:rsidRPr="00424BEA" w:rsidRDefault="009A7DB9" w:rsidP="00424BEA">
      <w:pPr>
        <w:pStyle w:val="TableofFigures"/>
        <w:tabs>
          <w:tab w:val="right" w:leader="dot" w:pos="8778"/>
        </w:tabs>
        <w:spacing w:line="360" w:lineRule="auto"/>
        <w:jc w:val="both"/>
        <w:rPr>
          <w:rFonts w:ascii="Arial" w:eastAsiaTheme="minorEastAsia" w:hAnsi="Arial" w:cs="Arial"/>
          <w:b w:val="0"/>
          <w:bCs w:val="0"/>
          <w:noProof/>
          <w:sz w:val="22"/>
          <w:szCs w:val="22"/>
          <w:lang w:val="en-US" w:eastAsia="en-US"/>
        </w:rPr>
      </w:pPr>
      <w:hyperlink w:anchor="_Toc431917535" w:history="1">
        <w:r w:rsidR="00424BEA" w:rsidRPr="00424BEA">
          <w:rPr>
            <w:rStyle w:val="Hyperlink"/>
            <w:rFonts w:ascii="Arial" w:hAnsi="Arial" w:cs="Arial"/>
            <w:noProof/>
            <w:sz w:val="22"/>
            <w:szCs w:val="22"/>
          </w:rPr>
          <w:t>Table 75</w:t>
        </w:r>
        <w:r w:rsidR="00424BEA" w:rsidRPr="00424BEA">
          <w:rPr>
            <w:rStyle w:val="Hyperlink"/>
            <w:rFonts w:ascii="Arial" w:hAnsi="Arial" w:cs="Arial"/>
            <w:noProof/>
            <w:sz w:val="22"/>
            <w:szCs w:val="22"/>
            <w:lang w:val="en-US"/>
          </w:rPr>
          <w:t>.-</w:t>
        </w:r>
        <w:r w:rsidR="00424BEA" w:rsidRPr="00424BEA">
          <w:rPr>
            <w:rStyle w:val="Hyperlink"/>
            <w:rFonts w:ascii="Arial" w:hAnsi="Arial" w:cs="Arial"/>
            <w:noProof/>
            <w:sz w:val="22"/>
            <w:szCs w:val="22"/>
          </w:rPr>
          <w:t xml:space="preserve"> Estimated minimum number of MEI candidates based on lower CI of external ear pathologies</w:t>
        </w:r>
        <w:r w:rsidR="00424BEA" w:rsidRPr="00424BEA">
          <w:rPr>
            <w:rFonts w:ascii="Arial" w:hAnsi="Arial" w:cs="Arial"/>
            <w:noProof/>
            <w:webHidden/>
            <w:sz w:val="22"/>
            <w:szCs w:val="22"/>
          </w:rPr>
          <w:tab/>
        </w:r>
        <w:r w:rsidR="00424BEA" w:rsidRPr="00424BEA">
          <w:rPr>
            <w:rFonts w:ascii="Arial" w:hAnsi="Arial" w:cs="Arial"/>
            <w:noProof/>
            <w:webHidden/>
            <w:sz w:val="22"/>
            <w:szCs w:val="22"/>
          </w:rPr>
          <w:fldChar w:fldCharType="begin"/>
        </w:r>
        <w:r w:rsidR="00424BEA" w:rsidRPr="00424BEA">
          <w:rPr>
            <w:rFonts w:ascii="Arial" w:hAnsi="Arial" w:cs="Arial"/>
            <w:noProof/>
            <w:webHidden/>
            <w:sz w:val="22"/>
            <w:szCs w:val="22"/>
          </w:rPr>
          <w:instrText xml:space="preserve"> PAGEREF _Toc431917535 \h </w:instrText>
        </w:r>
        <w:r w:rsidR="00424BEA" w:rsidRPr="00424BEA">
          <w:rPr>
            <w:rFonts w:ascii="Arial" w:hAnsi="Arial" w:cs="Arial"/>
            <w:noProof/>
            <w:webHidden/>
            <w:sz w:val="22"/>
            <w:szCs w:val="22"/>
          </w:rPr>
        </w:r>
        <w:r w:rsidR="00424BEA" w:rsidRPr="00424BEA">
          <w:rPr>
            <w:rFonts w:ascii="Arial" w:hAnsi="Arial" w:cs="Arial"/>
            <w:noProof/>
            <w:webHidden/>
            <w:sz w:val="22"/>
            <w:szCs w:val="22"/>
          </w:rPr>
          <w:fldChar w:fldCharType="separate"/>
        </w:r>
        <w:r w:rsidR="00424BEA" w:rsidRPr="00424BEA">
          <w:rPr>
            <w:rFonts w:ascii="Arial" w:hAnsi="Arial" w:cs="Arial"/>
            <w:noProof/>
            <w:webHidden/>
            <w:sz w:val="22"/>
            <w:szCs w:val="22"/>
          </w:rPr>
          <w:t>158</w:t>
        </w:r>
        <w:r w:rsidR="00424BEA" w:rsidRPr="00424BEA">
          <w:rPr>
            <w:rFonts w:ascii="Arial" w:hAnsi="Arial" w:cs="Arial"/>
            <w:noProof/>
            <w:webHidden/>
            <w:sz w:val="22"/>
            <w:szCs w:val="22"/>
          </w:rPr>
          <w:fldChar w:fldCharType="end"/>
        </w:r>
      </w:hyperlink>
    </w:p>
    <w:p w14:paraId="23A68EBF" w14:textId="77777777" w:rsidR="00424BEA" w:rsidRPr="00424BEA" w:rsidRDefault="009A7DB9" w:rsidP="00424BEA">
      <w:pPr>
        <w:pStyle w:val="TableofFigures"/>
        <w:tabs>
          <w:tab w:val="right" w:leader="dot" w:pos="8778"/>
        </w:tabs>
        <w:spacing w:line="360" w:lineRule="auto"/>
        <w:jc w:val="both"/>
        <w:rPr>
          <w:rFonts w:ascii="Arial" w:eastAsiaTheme="minorEastAsia" w:hAnsi="Arial" w:cs="Arial"/>
          <w:b w:val="0"/>
          <w:bCs w:val="0"/>
          <w:noProof/>
          <w:sz w:val="22"/>
          <w:szCs w:val="22"/>
          <w:lang w:val="en-US" w:eastAsia="en-US"/>
        </w:rPr>
      </w:pPr>
      <w:hyperlink w:anchor="_Toc431917536" w:history="1">
        <w:r w:rsidR="00424BEA" w:rsidRPr="00424BEA">
          <w:rPr>
            <w:rStyle w:val="Hyperlink"/>
            <w:rFonts w:ascii="Arial" w:hAnsi="Arial" w:cs="Arial"/>
            <w:noProof/>
            <w:sz w:val="22"/>
            <w:szCs w:val="22"/>
          </w:rPr>
          <w:t>Table 76</w:t>
        </w:r>
        <w:r w:rsidR="00424BEA" w:rsidRPr="00424BEA">
          <w:rPr>
            <w:rStyle w:val="Hyperlink"/>
            <w:rFonts w:ascii="Arial" w:hAnsi="Arial" w:cs="Arial"/>
            <w:noProof/>
            <w:sz w:val="22"/>
            <w:szCs w:val="22"/>
            <w:lang w:val="en-US"/>
          </w:rPr>
          <w:t>.-</w:t>
        </w:r>
        <w:r w:rsidR="00424BEA" w:rsidRPr="00424BEA">
          <w:rPr>
            <w:rStyle w:val="Hyperlink"/>
            <w:rFonts w:ascii="Arial" w:hAnsi="Arial" w:cs="Arial"/>
            <w:noProof/>
            <w:sz w:val="22"/>
            <w:szCs w:val="22"/>
          </w:rPr>
          <w:t xml:space="preserve"> Overall total costs of the intervention based on estimated minimum prevalence (lower CI of EEP)</w:t>
        </w:r>
        <w:r w:rsidR="00424BEA" w:rsidRPr="00424BEA">
          <w:rPr>
            <w:rFonts w:ascii="Arial" w:hAnsi="Arial" w:cs="Arial"/>
            <w:noProof/>
            <w:webHidden/>
            <w:sz w:val="22"/>
            <w:szCs w:val="22"/>
          </w:rPr>
          <w:tab/>
        </w:r>
        <w:r w:rsidR="00424BEA" w:rsidRPr="00424BEA">
          <w:rPr>
            <w:rFonts w:ascii="Arial" w:hAnsi="Arial" w:cs="Arial"/>
            <w:noProof/>
            <w:webHidden/>
            <w:sz w:val="22"/>
            <w:szCs w:val="22"/>
          </w:rPr>
          <w:fldChar w:fldCharType="begin"/>
        </w:r>
        <w:r w:rsidR="00424BEA" w:rsidRPr="00424BEA">
          <w:rPr>
            <w:rFonts w:ascii="Arial" w:hAnsi="Arial" w:cs="Arial"/>
            <w:noProof/>
            <w:webHidden/>
            <w:sz w:val="22"/>
            <w:szCs w:val="22"/>
          </w:rPr>
          <w:instrText xml:space="preserve"> PAGEREF _Toc431917536 \h </w:instrText>
        </w:r>
        <w:r w:rsidR="00424BEA" w:rsidRPr="00424BEA">
          <w:rPr>
            <w:rFonts w:ascii="Arial" w:hAnsi="Arial" w:cs="Arial"/>
            <w:noProof/>
            <w:webHidden/>
            <w:sz w:val="22"/>
            <w:szCs w:val="22"/>
          </w:rPr>
        </w:r>
        <w:r w:rsidR="00424BEA" w:rsidRPr="00424BEA">
          <w:rPr>
            <w:rFonts w:ascii="Arial" w:hAnsi="Arial" w:cs="Arial"/>
            <w:noProof/>
            <w:webHidden/>
            <w:sz w:val="22"/>
            <w:szCs w:val="22"/>
          </w:rPr>
          <w:fldChar w:fldCharType="separate"/>
        </w:r>
        <w:r w:rsidR="00424BEA" w:rsidRPr="00424BEA">
          <w:rPr>
            <w:rFonts w:ascii="Arial" w:hAnsi="Arial" w:cs="Arial"/>
            <w:noProof/>
            <w:webHidden/>
            <w:sz w:val="22"/>
            <w:szCs w:val="22"/>
          </w:rPr>
          <w:t>159</w:t>
        </w:r>
        <w:r w:rsidR="00424BEA" w:rsidRPr="00424BEA">
          <w:rPr>
            <w:rFonts w:ascii="Arial" w:hAnsi="Arial" w:cs="Arial"/>
            <w:noProof/>
            <w:webHidden/>
            <w:sz w:val="22"/>
            <w:szCs w:val="22"/>
          </w:rPr>
          <w:fldChar w:fldCharType="end"/>
        </w:r>
      </w:hyperlink>
    </w:p>
    <w:p w14:paraId="47BEFBE5" w14:textId="77777777" w:rsidR="00424BEA" w:rsidRPr="00424BEA" w:rsidRDefault="009A7DB9" w:rsidP="00424BEA">
      <w:pPr>
        <w:pStyle w:val="TableofFigures"/>
        <w:tabs>
          <w:tab w:val="right" w:leader="dot" w:pos="8778"/>
        </w:tabs>
        <w:spacing w:line="360" w:lineRule="auto"/>
        <w:jc w:val="both"/>
        <w:rPr>
          <w:rFonts w:ascii="Arial" w:eastAsiaTheme="minorEastAsia" w:hAnsi="Arial" w:cs="Arial"/>
          <w:b w:val="0"/>
          <w:bCs w:val="0"/>
          <w:noProof/>
          <w:sz w:val="22"/>
          <w:szCs w:val="22"/>
          <w:lang w:val="en-US" w:eastAsia="en-US"/>
        </w:rPr>
      </w:pPr>
      <w:hyperlink w:anchor="_Toc431917537" w:history="1">
        <w:r w:rsidR="00424BEA" w:rsidRPr="00424BEA">
          <w:rPr>
            <w:rStyle w:val="Hyperlink"/>
            <w:rFonts w:ascii="Arial" w:hAnsi="Arial" w:cs="Arial"/>
            <w:noProof/>
            <w:sz w:val="22"/>
            <w:szCs w:val="22"/>
          </w:rPr>
          <w:t>Table 77</w:t>
        </w:r>
        <w:r w:rsidR="00424BEA" w:rsidRPr="00424BEA">
          <w:rPr>
            <w:rStyle w:val="Hyperlink"/>
            <w:rFonts w:ascii="Arial" w:hAnsi="Arial" w:cs="Arial"/>
            <w:noProof/>
            <w:sz w:val="22"/>
            <w:szCs w:val="22"/>
            <w:lang w:val="en-US"/>
          </w:rPr>
          <w:t>.-</w:t>
        </w:r>
        <w:r w:rsidR="00424BEA" w:rsidRPr="00424BEA">
          <w:rPr>
            <w:rStyle w:val="Hyperlink"/>
            <w:rFonts w:ascii="Arial" w:hAnsi="Arial" w:cs="Arial"/>
            <w:noProof/>
            <w:sz w:val="22"/>
            <w:szCs w:val="22"/>
          </w:rPr>
          <w:t xml:space="preserve"> Estimated minimum number of MEI candidates based on higher CI of external ear pathologies</w:t>
        </w:r>
        <w:r w:rsidR="00424BEA" w:rsidRPr="00424BEA">
          <w:rPr>
            <w:rFonts w:ascii="Arial" w:hAnsi="Arial" w:cs="Arial"/>
            <w:noProof/>
            <w:webHidden/>
            <w:sz w:val="22"/>
            <w:szCs w:val="22"/>
          </w:rPr>
          <w:tab/>
        </w:r>
        <w:r w:rsidR="00424BEA" w:rsidRPr="00424BEA">
          <w:rPr>
            <w:rFonts w:ascii="Arial" w:hAnsi="Arial" w:cs="Arial"/>
            <w:noProof/>
            <w:webHidden/>
            <w:sz w:val="22"/>
            <w:szCs w:val="22"/>
          </w:rPr>
          <w:fldChar w:fldCharType="begin"/>
        </w:r>
        <w:r w:rsidR="00424BEA" w:rsidRPr="00424BEA">
          <w:rPr>
            <w:rFonts w:ascii="Arial" w:hAnsi="Arial" w:cs="Arial"/>
            <w:noProof/>
            <w:webHidden/>
            <w:sz w:val="22"/>
            <w:szCs w:val="22"/>
          </w:rPr>
          <w:instrText xml:space="preserve"> PAGEREF _Toc431917537 \h </w:instrText>
        </w:r>
        <w:r w:rsidR="00424BEA" w:rsidRPr="00424BEA">
          <w:rPr>
            <w:rFonts w:ascii="Arial" w:hAnsi="Arial" w:cs="Arial"/>
            <w:noProof/>
            <w:webHidden/>
            <w:sz w:val="22"/>
            <w:szCs w:val="22"/>
          </w:rPr>
        </w:r>
        <w:r w:rsidR="00424BEA" w:rsidRPr="00424BEA">
          <w:rPr>
            <w:rFonts w:ascii="Arial" w:hAnsi="Arial" w:cs="Arial"/>
            <w:noProof/>
            <w:webHidden/>
            <w:sz w:val="22"/>
            <w:szCs w:val="22"/>
          </w:rPr>
          <w:fldChar w:fldCharType="separate"/>
        </w:r>
        <w:r w:rsidR="00424BEA" w:rsidRPr="00424BEA">
          <w:rPr>
            <w:rFonts w:ascii="Arial" w:hAnsi="Arial" w:cs="Arial"/>
            <w:noProof/>
            <w:webHidden/>
            <w:sz w:val="22"/>
            <w:szCs w:val="22"/>
          </w:rPr>
          <w:t>160</w:t>
        </w:r>
        <w:r w:rsidR="00424BEA" w:rsidRPr="00424BEA">
          <w:rPr>
            <w:rFonts w:ascii="Arial" w:hAnsi="Arial" w:cs="Arial"/>
            <w:noProof/>
            <w:webHidden/>
            <w:sz w:val="22"/>
            <w:szCs w:val="22"/>
          </w:rPr>
          <w:fldChar w:fldCharType="end"/>
        </w:r>
      </w:hyperlink>
    </w:p>
    <w:p w14:paraId="04D2571D" w14:textId="77777777" w:rsidR="00424BEA" w:rsidRPr="00424BEA" w:rsidRDefault="009A7DB9" w:rsidP="00424BEA">
      <w:pPr>
        <w:pStyle w:val="TableofFigures"/>
        <w:tabs>
          <w:tab w:val="right" w:leader="dot" w:pos="8778"/>
        </w:tabs>
        <w:spacing w:line="360" w:lineRule="auto"/>
        <w:jc w:val="both"/>
        <w:rPr>
          <w:rFonts w:ascii="Arial" w:eastAsiaTheme="minorEastAsia" w:hAnsi="Arial" w:cs="Arial"/>
          <w:b w:val="0"/>
          <w:bCs w:val="0"/>
          <w:noProof/>
          <w:sz w:val="22"/>
          <w:szCs w:val="22"/>
          <w:lang w:val="en-US" w:eastAsia="en-US"/>
        </w:rPr>
      </w:pPr>
      <w:hyperlink w:anchor="_Toc431917538" w:history="1">
        <w:r w:rsidR="00424BEA" w:rsidRPr="00424BEA">
          <w:rPr>
            <w:rStyle w:val="Hyperlink"/>
            <w:rFonts w:ascii="Arial" w:hAnsi="Arial" w:cs="Arial"/>
            <w:noProof/>
            <w:sz w:val="22"/>
            <w:szCs w:val="22"/>
          </w:rPr>
          <w:t>Table 78</w:t>
        </w:r>
        <w:r w:rsidR="00424BEA" w:rsidRPr="00424BEA">
          <w:rPr>
            <w:rStyle w:val="Hyperlink"/>
            <w:rFonts w:ascii="Arial" w:hAnsi="Arial" w:cs="Arial"/>
            <w:noProof/>
            <w:sz w:val="22"/>
            <w:szCs w:val="22"/>
            <w:lang w:val="en-US"/>
          </w:rPr>
          <w:t>.-</w:t>
        </w:r>
        <w:r w:rsidR="00424BEA" w:rsidRPr="00424BEA">
          <w:rPr>
            <w:rStyle w:val="Hyperlink"/>
            <w:rFonts w:ascii="Arial" w:hAnsi="Arial" w:cs="Arial"/>
            <w:noProof/>
            <w:sz w:val="22"/>
            <w:szCs w:val="22"/>
          </w:rPr>
          <w:t xml:space="preserve"> Overall total costs of the intervention based on estimated minimum prevalence (lower CI of EEP)</w:t>
        </w:r>
        <w:r w:rsidR="00424BEA" w:rsidRPr="00424BEA">
          <w:rPr>
            <w:rFonts w:ascii="Arial" w:hAnsi="Arial" w:cs="Arial"/>
            <w:noProof/>
            <w:webHidden/>
            <w:sz w:val="22"/>
            <w:szCs w:val="22"/>
          </w:rPr>
          <w:tab/>
        </w:r>
        <w:r w:rsidR="00424BEA" w:rsidRPr="00424BEA">
          <w:rPr>
            <w:rFonts w:ascii="Arial" w:hAnsi="Arial" w:cs="Arial"/>
            <w:noProof/>
            <w:webHidden/>
            <w:sz w:val="22"/>
            <w:szCs w:val="22"/>
          </w:rPr>
          <w:fldChar w:fldCharType="begin"/>
        </w:r>
        <w:r w:rsidR="00424BEA" w:rsidRPr="00424BEA">
          <w:rPr>
            <w:rFonts w:ascii="Arial" w:hAnsi="Arial" w:cs="Arial"/>
            <w:noProof/>
            <w:webHidden/>
            <w:sz w:val="22"/>
            <w:szCs w:val="22"/>
          </w:rPr>
          <w:instrText xml:space="preserve"> PAGEREF _Toc431917538 \h </w:instrText>
        </w:r>
        <w:r w:rsidR="00424BEA" w:rsidRPr="00424BEA">
          <w:rPr>
            <w:rFonts w:ascii="Arial" w:hAnsi="Arial" w:cs="Arial"/>
            <w:noProof/>
            <w:webHidden/>
            <w:sz w:val="22"/>
            <w:szCs w:val="22"/>
          </w:rPr>
        </w:r>
        <w:r w:rsidR="00424BEA" w:rsidRPr="00424BEA">
          <w:rPr>
            <w:rFonts w:ascii="Arial" w:hAnsi="Arial" w:cs="Arial"/>
            <w:noProof/>
            <w:webHidden/>
            <w:sz w:val="22"/>
            <w:szCs w:val="22"/>
          </w:rPr>
          <w:fldChar w:fldCharType="separate"/>
        </w:r>
        <w:r w:rsidR="00424BEA" w:rsidRPr="00424BEA">
          <w:rPr>
            <w:rFonts w:ascii="Arial" w:hAnsi="Arial" w:cs="Arial"/>
            <w:noProof/>
            <w:webHidden/>
            <w:sz w:val="22"/>
            <w:szCs w:val="22"/>
          </w:rPr>
          <w:t>161</w:t>
        </w:r>
        <w:r w:rsidR="00424BEA" w:rsidRPr="00424BEA">
          <w:rPr>
            <w:rFonts w:ascii="Arial" w:hAnsi="Arial" w:cs="Arial"/>
            <w:noProof/>
            <w:webHidden/>
            <w:sz w:val="22"/>
            <w:szCs w:val="22"/>
          </w:rPr>
          <w:fldChar w:fldCharType="end"/>
        </w:r>
      </w:hyperlink>
    </w:p>
    <w:p w14:paraId="14649BA0" w14:textId="77777777" w:rsidR="00424BEA" w:rsidRPr="00424BEA" w:rsidRDefault="009A7DB9" w:rsidP="00424BEA">
      <w:pPr>
        <w:pStyle w:val="TableofFigures"/>
        <w:tabs>
          <w:tab w:val="right" w:leader="dot" w:pos="8778"/>
        </w:tabs>
        <w:spacing w:line="360" w:lineRule="auto"/>
        <w:jc w:val="both"/>
        <w:rPr>
          <w:rFonts w:ascii="Arial" w:eastAsiaTheme="minorEastAsia" w:hAnsi="Arial" w:cs="Arial"/>
          <w:b w:val="0"/>
          <w:bCs w:val="0"/>
          <w:noProof/>
          <w:sz w:val="22"/>
          <w:szCs w:val="22"/>
          <w:lang w:val="en-US" w:eastAsia="en-US"/>
        </w:rPr>
      </w:pPr>
      <w:hyperlink w:anchor="_Toc431917539" w:history="1">
        <w:r w:rsidR="00424BEA" w:rsidRPr="00424BEA">
          <w:rPr>
            <w:rStyle w:val="Hyperlink"/>
            <w:rFonts w:ascii="Arial" w:hAnsi="Arial" w:cs="Arial"/>
            <w:noProof/>
            <w:sz w:val="22"/>
            <w:szCs w:val="22"/>
          </w:rPr>
          <w:t>Table 79</w:t>
        </w:r>
        <w:r w:rsidR="00424BEA" w:rsidRPr="00424BEA">
          <w:rPr>
            <w:rStyle w:val="Hyperlink"/>
            <w:rFonts w:ascii="Arial" w:hAnsi="Arial" w:cs="Arial"/>
            <w:noProof/>
            <w:sz w:val="22"/>
            <w:szCs w:val="22"/>
            <w:lang w:val="en-US"/>
          </w:rPr>
          <w:t>.-</w:t>
        </w:r>
        <w:r w:rsidR="00424BEA" w:rsidRPr="00424BEA">
          <w:rPr>
            <w:rStyle w:val="Hyperlink"/>
            <w:rFonts w:ascii="Arial" w:hAnsi="Arial" w:cs="Arial"/>
            <w:noProof/>
            <w:sz w:val="22"/>
            <w:szCs w:val="22"/>
          </w:rPr>
          <w:t xml:space="preserve"> Summary of the deterministic sensitivity analysis of he BIA</w:t>
        </w:r>
        <w:r w:rsidR="00424BEA" w:rsidRPr="00424BEA">
          <w:rPr>
            <w:rFonts w:ascii="Arial" w:hAnsi="Arial" w:cs="Arial"/>
            <w:noProof/>
            <w:webHidden/>
            <w:sz w:val="22"/>
            <w:szCs w:val="22"/>
          </w:rPr>
          <w:tab/>
        </w:r>
        <w:r w:rsidR="00424BEA" w:rsidRPr="00424BEA">
          <w:rPr>
            <w:rFonts w:ascii="Arial" w:hAnsi="Arial" w:cs="Arial"/>
            <w:noProof/>
            <w:webHidden/>
            <w:sz w:val="22"/>
            <w:szCs w:val="22"/>
          </w:rPr>
          <w:fldChar w:fldCharType="begin"/>
        </w:r>
        <w:r w:rsidR="00424BEA" w:rsidRPr="00424BEA">
          <w:rPr>
            <w:rFonts w:ascii="Arial" w:hAnsi="Arial" w:cs="Arial"/>
            <w:noProof/>
            <w:webHidden/>
            <w:sz w:val="22"/>
            <w:szCs w:val="22"/>
          </w:rPr>
          <w:instrText xml:space="preserve"> PAGEREF _Toc431917539 \h </w:instrText>
        </w:r>
        <w:r w:rsidR="00424BEA" w:rsidRPr="00424BEA">
          <w:rPr>
            <w:rFonts w:ascii="Arial" w:hAnsi="Arial" w:cs="Arial"/>
            <w:noProof/>
            <w:webHidden/>
            <w:sz w:val="22"/>
            <w:szCs w:val="22"/>
          </w:rPr>
        </w:r>
        <w:r w:rsidR="00424BEA" w:rsidRPr="00424BEA">
          <w:rPr>
            <w:rFonts w:ascii="Arial" w:hAnsi="Arial" w:cs="Arial"/>
            <w:noProof/>
            <w:webHidden/>
            <w:sz w:val="22"/>
            <w:szCs w:val="22"/>
          </w:rPr>
          <w:fldChar w:fldCharType="separate"/>
        </w:r>
        <w:r w:rsidR="00424BEA" w:rsidRPr="00424BEA">
          <w:rPr>
            <w:rFonts w:ascii="Arial" w:hAnsi="Arial" w:cs="Arial"/>
            <w:noProof/>
            <w:webHidden/>
            <w:sz w:val="22"/>
            <w:szCs w:val="22"/>
          </w:rPr>
          <w:t>162</w:t>
        </w:r>
        <w:r w:rsidR="00424BEA" w:rsidRPr="00424BEA">
          <w:rPr>
            <w:rFonts w:ascii="Arial" w:hAnsi="Arial" w:cs="Arial"/>
            <w:noProof/>
            <w:webHidden/>
            <w:sz w:val="22"/>
            <w:szCs w:val="22"/>
          </w:rPr>
          <w:fldChar w:fldCharType="end"/>
        </w:r>
      </w:hyperlink>
    </w:p>
    <w:p w14:paraId="3CD210D7" w14:textId="77777777" w:rsidR="001C535A" w:rsidRPr="00424BEA" w:rsidRDefault="00926EA9" w:rsidP="00424BEA">
      <w:pPr>
        <w:spacing w:line="360" w:lineRule="auto"/>
        <w:jc w:val="both"/>
        <w:rPr>
          <w:rFonts w:cs="Arial"/>
        </w:rPr>
      </w:pPr>
      <w:r w:rsidRPr="00424BEA">
        <w:rPr>
          <w:rFonts w:cs="Arial"/>
        </w:rPr>
        <w:fldChar w:fldCharType="end"/>
      </w:r>
    </w:p>
    <w:p w14:paraId="61DCE3BE" w14:textId="77777777" w:rsidR="008A4EC1" w:rsidRPr="00251D79" w:rsidRDefault="008A4EC1" w:rsidP="00251D79">
      <w:pPr>
        <w:spacing w:line="276" w:lineRule="auto"/>
        <w:rPr>
          <w:rFonts w:cs="Arial"/>
          <w:sz w:val="20"/>
          <w:szCs w:val="20"/>
        </w:rPr>
      </w:pPr>
    </w:p>
    <w:p w14:paraId="7219CF7B" w14:textId="77777777" w:rsidR="00844317" w:rsidRPr="00793BAB" w:rsidRDefault="00844317" w:rsidP="00793BAB">
      <w:pPr>
        <w:pStyle w:val="Listoftables"/>
        <w:spacing w:line="276" w:lineRule="auto"/>
        <w:jc w:val="both"/>
        <w:rPr>
          <w:rFonts w:ascii="Arial" w:hAnsi="Arial" w:cs="Arial"/>
          <w:b w:val="0"/>
          <w:sz w:val="20"/>
        </w:rPr>
        <w:sectPr w:rsidR="00844317" w:rsidRPr="00793BAB" w:rsidSect="008846BA">
          <w:headerReference w:type="default" r:id="rId24"/>
          <w:pgSz w:w="11907" w:h="16839" w:code="9"/>
          <w:pgMar w:top="1701" w:right="1418" w:bottom="1418" w:left="1701" w:header="720" w:footer="720" w:gutter="0"/>
          <w:paperSrc w:first="4035" w:other="4035"/>
          <w:pgNumType w:fmt="lowerRoman"/>
          <w:cols w:space="720"/>
          <w:noEndnote/>
        </w:sectPr>
      </w:pPr>
    </w:p>
    <w:p w14:paraId="63398B41" w14:textId="77777777" w:rsidR="00FF05EE" w:rsidRPr="005B4D64" w:rsidRDefault="00362526" w:rsidP="005B4D64">
      <w:pPr>
        <w:pStyle w:val="Heading1"/>
        <w:spacing w:line="360" w:lineRule="auto"/>
        <w:jc w:val="both"/>
        <w:rPr>
          <w:lang w:val="en-AU"/>
        </w:rPr>
      </w:pPr>
      <w:bookmarkStart w:id="26" w:name="_Toc258501755"/>
      <w:bookmarkStart w:id="27" w:name="_Toc335667778"/>
      <w:bookmarkStart w:id="28" w:name="_Toc335735589"/>
      <w:bookmarkStart w:id="29" w:name="_Toc335982477"/>
      <w:bookmarkStart w:id="30" w:name="_Toc336018326"/>
      <w:bookmarkStart w:id="31" w:name="_Toc336189653"/>
      <w:bookmarkStart w:id="32" w:name="_Toc336190192"/>
      <w:bookmarkStart w:id="33" w:name="_Toc400549390"/>
      <w:bookmarkStart w:id="34" w:name="_Toc431917543"/>
      <w:r w:rsidRPr="005B4D64">
        <w:rPr>
          <w:lang w:val="en-AU"/>
        </w:rPr>
        <w:lastRenderedPageBreak/>
        <w:t>List of F</w:t>
      </w:r>
      <w:r w:rsidR="00FF05EE" w:rsidRPr="005B4D64">
        <w:rPr>
          <w:lang w:val="en-AU"/>
        </w:rPr>
        <w:t>igures</w:t>
      </w:r>
      <w:bookmarkEnd w:id="26"/>
      <w:bookmarkEnd w:id="27"/>
      <w:bookmarkEnd w:id="28"/>
      <w:bookmarkEnd w:id="29"/>
      <w:bookmarkEnd w:id="30"/>
      <w:bookmarkEnd w:id="31"/>
      <w:bookmarkEnd w:id="32"/>
      <w:bookmarkEnd w:id="33"/>
      <w:bookmarkEnd w:id="34"/>
    </w:p>
    <w:p w14:paraId="31A03A45" w14:textId="77777777" w:rsidR="00196D12" w:rsidRPr="005B4D64" w:rsidRDefault="00D84553" w:rsidP="005B4D64">
      <w:pPr>
        <w:pStyle w:val="TableofFigures"/>
        <w:tabs>
          <w:tab w:val="right" w:leader="dot" w:pos="8778"/>
        </w:tabs>
        <w:spacing w:line="360" w:lineRule="auto"/>
        <w:jc w:val="both"/>
        <w:rPr>
          <w:rFonts w:ascii="Arial" w:eastAsiaTheme="minorEastAsia" w:hAnsi="Arial" w:cstheme="minorBidi"/>
          <w:b w:val="0"/>
          <w:bCs w:val="0"/>
          <w:noProof/>
          <w:sz w:val="22"/>
          <w:szCs w:val="22"/>
          <w:lang w:val="de-AT" w:eastAsia="de-AT"/>
        </w:rPr>
      </w:pPr>
      <w:r w:rsidRPr="005B4D64">
        <w:rPr>
          <w:rFonts w:ascii="Arial" w:hAnsi="Arial" w:cs="Arial"/>
          <w:b w:val="0"/>
          <w:bCs w:val="0"/>
          <w:sz w:val="22"/>
          <w:szCs w:val="22"/>
        </w:rPr>
        <w:fldChar w:fldCharType="begin"/>
      </w:r>
      <w:r w:rsidRPr="005B4D64">
        <w:rPr>
          <w:rFonts w:ascii="Arial" w:hAnsi="Arial" w:cs="Arial"/>
          <w:b w:val="0"/>
          <w:bCs w:val="0"/>
          <w:sz w:val="22"/>
          <w:szCs w:val="22"/>
        </w:rPr>
        <w:instrText xml:space="preserve"> TOC \h \z \c "Fig" </w:instrText>
      </w:r>
      <w:r w:rsidRPr="005B4D64">
        <w:rPr>
          <w:rFonts w:ascii="Arial" w:hAnsi="Arial" w:cs="Arial"/>
          <w:b w:val="0"/>
          <w:bCs w:val="0"/>
          <w:sz w:val="22"/>
          <w:szCs w:val="22"/>
        </w:rPr>
        <w:fldChar w:fldCharType="separate"/>
      </w:r>
      <w:hyperlink w:anchor="_Toc431653910" w:history="1">
        <w:r w:rsidR="00196D12" w:rsidRPr="005B4D64">
          <w:rPr>
            <w:rStyle w:val="Hyperlink"/>
            <w:rFonts w:ascii="Arial" w:hAnsi="Arial" w:cs="Arial"/>
            <w:noProof/>
          </w:rPr>
          <w:t>Fig 1 - Clinical Management Algorithm</w:t>
        </w:r>
        <w:r w:rsidR="00196D12" w:rsidRPr="005B4D64">
          <w:rPr>
            <w:rFonts w:ascii="Arial" w:hAnsi="Arial"/>
            <w:noProof/>
            <w:webHidden/>
          </w:rPr>
          <w:tab/>
        </w:r>
        <w:r w:rsidR="00196D12" w:rsidRPr="005B4D64">
          <w:rPr>
            <w:rFonts w:ascii="Arial" w:hAnsi="Arial"/>
            <w:noProof/>
            <w:webHidden/>
          </w:rPr>
          <w:fldChar w:fldCharType="begin"/>
        </w:r>
        <w:r w:rsidR="00196D12" w:rsidRPr="005B4D64">
          <w:rPr>
            <w:rFonts w:ascii="Arial" w:hAnsi="Arial"/>
            <w:noProof/>
            <w:webHidden/>
          </w:rPr>
          <w:instrText xml:space="preserve"> PAGEREF _Toc431653910 \h </w:instrText>
        </w:r>
        <w:r w:rsidR="00196D12" w:rsidRPr="005B4D64">
          <w:rPr>
            <w:rFonts w:ascii="Arial" w:hAnsi="Arial"/>
            <w:noProof/>
            <w:webHidden/>
          </w:rPr>
        </w:r>
        <w:r w:rsidR="00196D12" w:rsidRPr="005B4D64">
          <w:rPr>
            <w:rFonts w:ascii="Arial" w:hAnsi="Arial"/>
            <w:noProof/>
            <w:webHidden/>
          </w:rPr>
          <w:fldChar w:fldCharType="separate"/>
        </w:r>
        <w:r w:rsidR="00016592">
          <w:rPr>
            <w:rFonts w:ascii="Arial" w:hAnsi="Arial"/>
            <w:noProof/>
            <w:webHidden/>
          </w:rPr>
          <w:t>vii</w:t>
        </w:r>
        <w:r w:rsidR="00196D12" w:rsidRPr="005B4D64">
          <w:rPr>
            <w:rFonts w:ascii="Arial" w:hAnsi="Arial"/>
            <w:noProof/>
            <w:webHidden/>
          </w:rPr>
          <w:fldChar w:fldCharType="end"/>
        </w:r>
      </w:hyperlink>
    </w:p>
    <w:p w14:paraId="6AE833FE" w14:textId="77777777" w:rsidR="00196D12" w:rsidRPr="005B4D64" w:rsidRDefault="009A7DB9" w:rsidP="005B4D64">
      <w:pPr>
        <w:pStyle w:val="TableofFigures"/>
        <w:tabs>
          <w:tab w:val="right" w:leader="dot" w:pos="8778"/>
        </w:tabs>
        <w:spacing w:line="360" w:lineRule="auto"/>
        <w:jc w:val="both"/>
        <w:rPr>
          <w:rFonts w:ascii="Arial" w:eastAsiaTheme="minorEastAsia" w:hAnsi="Arial" w:cstheme="minorBidi"/>
          <w:b w:val="0"/>
          <w:bCs w:val="0"/>
          <w:noProof/>
          <w:sz w:val="22"/>
          <w:szCs w:val="22"/>
          <w:lang w:val="de-AT" w:eastAsia="de-AT"/>
        </w:rPr>
      </w:pPr>
      <w:hyperlink w:anchor="_Toc431653911" w:history="1">
        <w:r w:rsidR="00196D12" w:rsidRPr="005B4D64">
          <w:rPr>
            <w:rStyle w:val="Hyperlink"/>
            <w:rFonts w:ascii="Arial" w:hAnsi="Arial"/>
            <w:noProof/>
          </w:rPr>
          <w:t>Fig 2 - VORP502</w:t>
        </w:r>
        <w:r w:rsidR="00196D12" w:rsidRPr="005B4D64">
          <w:rPr>
            <w:rFonts w:ascii="Arial" w:hAnsi="Arial"/>
            <w:noProof/>
            <w:webHidden/>
          </w:rPr>
          <w:tab/>
        </w:r>
        <w:r w:rsidR="00196D12" w:rsidRPr="005B4D64">
          <w:rPr>
            <w:rFonts w:ascii="Arial" w:hAnsi="Arial"/>
            <w:noProof/>
            <w:webHidden/>
          </w:rPr>
          <w:fldChar w:fldCharType="begin"/>
        </w:r>
        <w:r w:rsidR="00196D12" w:rsidRPr="005B4D64">
          <w:rPr>
            <w:rFonts w:ascii="Arial" w:hAnsi="Arial"/>
            <w:noProof/>
            <w:webHidden/>
          </w:rPr>
          <w:instrText xml:space="preserve"> PAGEREF _Toc431653911 \h </w:instrText>
        </w:r>
        <w:r w:rsidR="00196D12" w:rsidRPr="005B4D64">
          <w:rPr>
            <w:rFonts w:ascii="Arial" w:hAnsi="Arial"/>
            <w:noProof/>
            <w:webHidden/>
          </w:rPr>
        </w:r>
        <w:r w:rsidR="00196D12" w:rsidRPr="005B4D64">
          <w:rPr>
            <w:rFonts w:ascii="Arial" w:hAnsi="Arial"/>
            <w:noProof/>
            <w:webHidden/>
          </w:rPr>
          <w:fldChar w:fldCharType="separate"/>
        </w:r>
        <w:r w:rsidR="00016592">
          <w:rPr>
            <w:rFonts w:ascii="Arial" w:hAnsi="Arial"/>
            <w:noProof/>
            <w:webHidden/>
          </w:rPr>
          <w:t>3</w:t>
        </w:r>
        <w:r w:rsidR="00196D12" w:rsidRPr="005B4D64">
          <w:rPr>
            <w:rFonts w:ascii="Arial" w:hAnsi="Arial"/>
            <w:noProof/>
            <w:webHidden/>
          </w:rPr>
          <w:fldChar w:fldCharType="end"/>
        </w:r>
      </w:hyperlink>
    </w:p>
    <w:p w14:paraId="691F89B0" w14:textId="77777777" w:rsidR="00196D12" w:rsidRPr="005B4D64" w:rsidRDefault="009A7DB9" w:rsidP="005B4D64">
      <w:pPr>
        <w:pStyle w:val="TableofFigures"/>
        <w:tabs>
          <w:tab w:val="right" w:leader="dot" w:pos="8778"/>
        </w:tabs>
        <w:spacing w:line="360" w:lineRule="auto"/>
        <w:jc w:val="both"/>
        <w:rPr>
          <w:rFonts w:ascii="Arial" w:eastAsiaTheme="minorEastAsia" w:hAnsi="Arial" w:cstheme="minorBidi"/>
          <w:b w:val="0"/>
          <w:bCs w:val="0"/>
          <w:noProof/>
          <w:sz w:val="22"/>
          <w:szCs w:val="22"/>
          <w:lang w:val="de-AT" w:eastAsia="de-AT"/>
        </w:rPr>
      </w:pPr>
      <w:hyperlink w:anchor="_Toc431653912" w:history="1">
        <w:r w:rsidR="00196D12" w:rsidRPr="005B4D64">
          <w:rPr>
            <w:rStyle w:val="Hyperlink"/>
            <w:rFonts w:ascii="Arial" w:hAnsi="Arial"/>
            <w:noProof/>
          </w:rPr>
          <w:t>Fig 3 - AP Amadé</w:t>
        </w:r>
        <w:r w:rsidR="00196D12" w:rsidRPr="005B4D64">
          <w:rPr>
            <w:rFonts w:ascii="Arial" w:hAnsi="Arial"/>
            <w:noProof/>
            <w:webHidden/>
          </w:rPr>
          <w:tab/>
        </w:r>
        <w:r w:rsidR="00196D12" w:rsidRPr="005B4D64">
          <w:rPr>
            <w:rFonts w:ascii="Arial" w:hAnsi="Arial"/>
            <w:noProof/>
            <w:webHidden/>
          </w:rPr>
          <w:fldChar w:fldCharType="begin"/>
        </w:r>
        <w:r w:rsidR="00196D12" w:rsidRPr="005B4D64">
          <w:rPr>
            <w:rFonts w:ascii="Arial" w:hAnsi="Arial"/>
            <w:noProof/>
            <w:webHidden/>
          </w:rPr>
          <w:instrText xml:space="preserve"> PAGEREF _Toc431653912 \h </w:instrText>
        </w:r>
        <w:r w:rsidR="00196D12" w:rsidRPr="005B4D64">
          <w:rPr>
            <w:rFonts w:ascii="Arial" w:hAnsi="Arial"/>
            <w:noProof/>
            <w:webHidden/>
          </w:rPr>
        </w:r>
        <w:r w:rsidR="00196D12" w:rsidRPr="005B4D64">
          <w:rPr>
            <w:rFonts w:ascii="Arial" w:hAnsi="Arial"/>
            <w:noProof/>
            <w:webHidden/>
          </w:rPr>
          <w:fldChar w:fldCharType="separate"/>
        </w:r>
        <w:r w:rsidR="00016592">
          <w:rPr>
            <w:rFonts w:ascii="Arial" w:hAnsi="Arial"/>
            <w:noProof/>
            <w:webHidden/>
          </w:rPr>
          <w:t>4</w:t>
        </w:r>
        <w:r w:rsidR="00196D12" w:rsidRPr="005B4D64">
          <w:rPr>
            <w:rFonts w:ascii="Arial" w:hAnsi="Arial"/>
            <w:noProof/>
            <w:webHidden/>
          </w:rPr>
          <w:fldChar w:fldCharType="end"/>
        </w:r>
      </w:hyperlink>
    </w:p>
    <w:p w14:paraId="79F20CDC" w14:textId="77777777" w:rsidR="00196D12" w:rsidRPr="005B4D64" w:rsidRDefault="009A7DB9" w:rsidP="005B4D64">
      <w:pPr>
        <w:pStyle w:val="TableofFigures"/>
        <w:tabs>
          <w:tab w:val="right" w:leader="dot" w:pos="8778"/>
        </w:tabs>
        <w:spacing w:line="360" w:lineRule="auto"/>
        <w:jc w:val="both"/>
        <w:rPr>
          <w:rFonts w:ascii="Arial" w:eastAsiaTheme="minorEastAsia" w:hAnsi="Arial" w:cstheme="minorBidi"/>
          <w:b w:val="0"/>
          <w:bCs w:val="0"/>
          <w:noProof/>
          <w:sz w:val="22"/>
          <w:szCs w:val="22"/>
          <w:lang w:val="de-AT" w:eastAsia="de-AT"/>
        </w:rPr>
      </w:pPr>
      <w:hyperlink w:anchor="_Toc431653913" w:history="1">
        <w:r w:rsidR="00196D12" w:rsidRPr="005B4D64">
          <w:rPr>
            <w:rStyle w:val="Hyperlink"/>
            <w:rFonts w:ascii="Arial" w:hAnsi="Arial" w:cs="Arial"/>
            <w:noProof/>
          </w:rPr>
          <w:t>Fig 4 - Vibroplasty Couplers</w:t>
        </w:r>
        <w:r w:rsidR="00196D12" w:rsidRPr="005B4D64">
          <w:rPr>
            <w:rFonts w:ascii="Arial" w:hAnsi="Arial"/>
            <w:noProof/>
            <w:webHidden/>
          </w:rPr>
          <w:tab/>
        </w:r>
        <w:r w:rsidR="00196D12" w:rsidRPr="005B4D64">
          <w:rPr>
            <w:rFonts w:ascii="Arial" w:hAnsi="Arial"/>
            <w:noProof/>
            <w:webHidden/>
          </w:rPr>
          <w:fldChar w:fldCharType="begin"/>
        </w:r>
        <w:r w:rsidR="00196D12" w:rsidRPr="005B4D64">
          <w:rPr>
            <w:rFonts w:ascii="Arial" w:hAnsi="Arial"/>
            <w:noProof/>
            <w:webHidden/>
          </w:rPr>
          <w:instrText xml:space="preserve"> PAGEREF _Toc431653913 \h </w:instrText>
        </w:r>
        <w:r w:rsidR="00196D12" w:rsidRPr="005B4D64">
          <w:rPr>
            <w:rFonts w:ascii="Arial" w:hAnsi="Arial"/>
            <w:noProof/>
            <w:webHidden/>
          </w:rPr>
        </w:r>
        <w:r w:rsidR="00196D12" w:rsidRPr="005B4D64">
          <w:rPr>
            <w:rFonts w:ascii="Arial" w:hAnsi="Arial"/>
            <w:noProof/>
            <w:webHidden/>
          </w:rPr>
          <w:fldChar w:fldCharType="separate"/>
        </w:r>
        <w:r w:rsidR="00016592">
          <w:rPr>
            <w:rFonts w:ascii="Arial" w:hAnsi="Arial"/>
            <w:noProof/>
            <w:webHidden/>
          </w:rPr>
          <w:t>4</w:t>
        </w:r>
        <w:r w:rsidR="00196D12" w:rsidRPr="005B4D64">
          <w:rPr>
            <w:rFonts w:ascii="Arial" w:hAnsi="Arial"/>
            <w:noProof/>
            <w:webHidden/>
          </w:rPr>
          <w:fldChar w:fldCharType="end"/>
        </w:r>
      </w:hyperlink>
    </w:p>
    <w:p w14:paraId="55E451A7" w14:textId="77777777" w:rsidR="00196D12" w:rsidRPr="005B4D64" w:rsidRDefault="009A7DB9" w:rsidP="005B4D64">
      <w:pPr>
        <w:pStyle w:val="TableofFigures"/>
        <w:tabs>
          <w:tab w:val="right" w:leader="dot" w:pos="8778"/>
        </w:tabs>
        <w:spacing w:line="360" w:lineRule="auto"/>
        <w:jc w:val="both"/>
        <w:rPr>
          <w:rFonts w:ascii="Arial" w:eastAsiaTheme="minorEastAsia" w:hAnsi="Arial" w:cstheme="minorBidi"/>
          <w:b w:val="0"/>
          <w:bCs w:val="0"/>
          <w:noProof/>
          <w:sz w:val="22"/>
          <w:szCs w:val="22"/>
          <w:lang w:val="de-AT" w:eastAsia="de-AT"/>
        </w:rPr>
      </w:pPr>
      <w:hyperlink w:anchor="_Toc431653914" w:history="1">
        <w:r w:rsidR="00196D12" w:rsidRPr="005B4D64">
          <w:rPr>
            <w:rStyle w:val="Hyperlink"/>
            <w:rFonts w:ascii="Arial" w:hAnsi="Arial" w:cs="Arial"/>
            <w:noProof/>
          </w:rPr>
          <w:t>Fig 5 - Surgical tools for intraoperative application</w:t>
        </w:r>
        <w:r w:rsidR="00196D12" w:rsidRPr="005B4D64">
          <w:rPr>
            <w:rFonts w:ascii="Arial" w:hAnsi="Arial"/>
            <w:noProof/>
            <w:webHidden/>
          </w:rPr>
          <w:tab/>
        </w:r>
        <w:r w:rsidR="00196D12" w:rsidRPr="005B4D64">
          <w:rPr>
            <w:rFonts w:ascii="Arial" w:hAnsi="Arial"/>
            <w:noProof/>
            <w:webHidden/>
          </w:rPr>
          <w:fldChar w:fldCharType="begin"/>
        </w:r>
        <w:r w:rsidR="00196D12" w:rsidRPr="005B4D64">
          <w:rPr>
            <w:rFonts w:ascii="Arial" w:hAnsi="Arial"/>
            <w:noProof/>
            <w:webHidden/>
          </w:rPr>
          <w:instrText xml:space="preserve"> PAGEREF _Toc431653914 \h </w:instrText>
        </w:r>
        <w:r w:rsidR="00196D12" w:rsidRPr="005B4D64">
          <w:rPr>
            <w:rFonts w:ascii="Arial" w:hAnsi="Arial"/>
            <w:noProof/>
            <w:webHidden/>
          </w:rPr>
        </w:r>
        <w:r w:rsidR="00196D12" w:rsidRPr="005B4D64">
          <w:rPr>
            <w:rFonts w:ascii="Arial" w:hAnsi="Arial"/>
            <w:noProof/>
            <w:webHidden/>
          </w:rPr>
          <w:fldChar w:fldCharType="separate"/>
        </w:r>
        <w:r w:rsidR="00016592">
          <w:rPr>
            <w:rFonts w:ascii="Arial" w:hAnsi="Arial"/>
            <w:noProof/>
            <w:webHidden/>
          </w:rPr>
          <w:t>5</w:t>
        </w:r>
        <w:r w:rsidR="00196D12" w:rsidRPr="005B4D64">
          <w:rPr>
            <w:rFonts w:ascii="Arial" w:hAnsi="Arial"/>
            <w:noProof/>
            <w:webHidden/>
          </w:rPr>
          <w:fldChar w:fldCharType="end"/>
        </w:r>
      </w:hyperlink>
    </w:p>
    <w:p w14:paraId="331D45B7" w14:textId="77777777" w:rsidR="00196D12" w:rsidRPr="005B4D64" w:rsidRDefault="009A7DB9" w:rsidP="005B4D64">
      <w:pPr>
        <w:pStyle w:val="TableofFigures"/>
        <w:tabs>
          <w:tab w:val="right" w:leader="dot" w:pos="8778"/>
        </w:tabs>
        <w:spacing w:line="360" w:lineRule="auto"/>
        <w:jc w:val="both"/>
        <w:rPr>
          <w:rFonts w:ascii="Arial" w:eastAsiaTheme="minorEastAsia" w:hAnsi="Arial" w:cstheme="minorBidi"/>
          <w:b w:val="0"/>
          <w:bCs w:val="0"/>
          <w:noProof/>
          <w:sz w:val="22"/>
          <w:szCs w:val="22"/>
          <w:lang w:val="de-AT" w:eastAsia="de-AT"/>
        </w:rPr>
      </w:pPr>
      <w:hyperlink w:anchor="_Toc431653915" w:history="1">
        <w:r w:rsidR="00196D12" w:rsidRPr="005B4D64">
          <w:rPr>
            <w:rStyle w:val="Hyperlink"/>
            <w:rFonts w:ascii="Arial" w:hAnsi="Arial"/>
            <w:noProof/>
          </w:rPr>
          <w:t>Fig 6 - Mechanical characteristics of (a) VORP502 and (b) AP Amadé.</w:t>
        </w:r>
        <w:r w:rsidR="00196D12" w:rsidRPr="005B4D64">
          <w:rPr>
            <w:rFonts w:ascii="Arial" w:hAnsi="Arial"/>
            <w:noProof/>
            <w:webHidden/>
          </w:rPr>
          <w:tab/>
        </w:r>
        <w:r w:rsidR="00196D12" w:rsidRPr="005B4D64">
          <w:rPr>
            <w:rFonts w:ascii="Arial" w:hAnsi="Arial"/>
            <w:noProof/>
            <w:webHidden/>
          </w:rPr>
          <w:fldChar w:fldCharType="begin"/>
        </w:r>
        <w:r w:rsidR="00196D12" w:rsidRPr="005B4D64">
          <w:rPr>
            <w:rFonts w:ascii="Arial" w:hAnsi="Arial"/>
            <w:noProof/>
            <w:webHidden/>
          </w:rPr>
          <w:instrText xml:space="preserve"> PAGEREF _Toc431653915 \h </w:instrText>
        </w:r>
        <w:r w:rsidR="00196D12" w:rsidRPr="005B4D64">
          <w:rPr>
            <w:rFonts w:ascii="Arial" w:hAnsi="Arial"/>
            <w:noProof/>
            <w:webHidden/>
          </w:rPr>
        </w:r>
        <w:r w:rsidR="00196D12" w:rsidRPr="005B4D64">
          <w:rPr>
            <w:rFonts w:ascii="Arial" w:hAnsi="Arial"/>
            <w:noProof/>
            <w:webHidden/>
          </w:rPr>
          <w:fldChar w:fldCharType="separate"/>
        </w:r>
        <w:r w:rsidR="00016592">
          <w:rPr>
            <w:rFonts w:ascii="Arial" w:hAnsi="Arial"/>
            <w:noProof/>
            <w:webHidden/>
          </w:rPr>
          <w:t>6</w:t>
        </w:r>
        <w:r w:rsidR="00196D12" w:rsidRPr="005B4D64">
          <w:rPr>
            <w:rFonts w:ascii="Arial" w:hAnsi="Arial"/>
            <w:noProof/>
            <w:webHidden/>
          </w:rPr>
          <w:fldChar w:fldCharType="end"/>
        </w:r>
      </w:hyperlink>
    </w:p>
    <w:p w14:paraId="0508535A" w14:textId="77777777" w:rsidR="00196D12" w:rsidRPr="005B4D64" w:rsidRDefault="009A7DB9" w:rsidP="005B4D64">
      <w:pPr>
        <w:pStyle w:val="TableofFigures"/>
        <w:tabs>
          <w:tab w:val="right" w:leader="dot" w:pos="8778"/>
        </w:tabs>
        <w:spacing w:line="360" w:lineRule="auto"/>
        <w:jc w:val="both"/>
        <w:rPr>
          <w:rFonts w:ascii="Arial" w:eastAsiaTheme="minorEastAsia" w:hAnsi="Arial" w:cstheme="minorBidi"/>
          <w:b w:val="0"/>
          <w:bCs w:val="0"/>
          <w:noProof/>
          <w:sz w:val="22"/>
          <w:szCs w:val="22"/>
          <w:lang w:val="de-AT" w:eastAsia="de-AT"/>
        </w:rPr>
      </w:pPr>
      <w:hyperlink w:anchor="_Toc431653916" w:history="1">
        <w:r w:rsidR="00196D12" w:rsidRPr="005B4D64">
          <w:rPr>
            <w:rStyle w:val="Hyperlink"/>
            <w:rFonts w:ascii="Arial" w:hAnsi="Arial"/>
            <w:noProof/>
          </w:rPr>
          <w:t>Fig 7 - Flow diagram of literature selection process</w:t>
        </w:r>
        <w:r w:rsidR="00196D12" w:rsidRPr="005B4D64">
          <w:rPr>
            <w:rFonts w:ascii="Arial" w:hAnsi="Arial"/>
            <w:noProof/>
            <w:webHidden/>
          </w:rPr>
          <w:tab/>
        </w:r>
        <w:r w:rsidR="00196D12" w:rsidRPr="005B4D64">
          <w:rPr>
            <w:rFonts w:ascii="Arial" w:hAnsi="Arial"/>
            <w:noProof/>
            <w:webHidden/>
          </w:rPr>
          <w:fldChar w:fldCharType="begin"/>
        </w:r>
        <w:r w:rsidR="00196D12" w:rsidRPr="005B4D64">
          <w:rPr>
            <w:rFonts w:ascii="Arial" w:hAnsi="Arial"/>
            <w:noProof/>
            <w:webHidden/>
          </w:rPr>
          <w:instrText xml:space="preserve"> PAGEREF _Toc431653916 \h </w:instrText>
        </w:r>
        <w:r w:rsidR="00196D12" w:rsidRPr="005B4D64">
          <w:rPr>
            <w:rFonts w:ascii="Arial" w:hAnsi="Arial"/>
            <w:noProof/>
            <w:webHidden/>
          </w:rPr>
        </w:r>
        <w:r w:rsidR="00196D12" w:rsidRPr="005B4D64">
          <w:rPr>
            <w:rFonts w:ascii="Arial" w:hAnsi="Arial"/>
            <w:noProof/>
            <w:webHidden/>
          </w:rPr>
          <w:fldChar w:fldCharType="separate"/>
        </w:r>
        <w:r w:rsidR="00016592">
          <w:rPr>
            <w:rFonts w:ascii="Arial" w:hAnsi="Arial"/>
            <w:noProof/>
            <w:webHidden/>
          </w:rPr>
          <w:t>8</w:t>
        </w:r>
        <w:r w:rsidR="00196D12" w:rsidRPr="005B4D64">
          <w:rPr>
            <w:rFonts w:ascii="Arial" w:hAnsi="Arial"/>
            <w:noProof/>
            <w:webHidden/>
          </w:rPr>
          <w:fldChar w:fldCharType="end"/>
        </w:r>
      </w:hyperlink>
    </w:p>
    <w:p w14:paraId="2B725D51" w14:textId="77777777" w:rsidR="00196D12" w:rsidRPr="005B4D64" w:rsidRDefault="009A7DB9" w:rsidP="005B4D64">
      <w:pPr>
        <w:pStyle w:val="TableofFigures"/>
        <w:tabs>
          <w:tab w:val="right" w:leader="dot" w:pos="8778"/>
        </w:tabs>
        <w:spacing w:line="360" w:lineRule="auto"/>
        <w:jc w:val="both"/>
        <w:rPr>
          <w:rFonts w:ascii="Arial" w:eastAsiaTheme="minorEastAsia" w:hAnsi="Arial" w:cstheme="minorBidi"/>
          <w:b w:val="0"/>
          <w:bCs w:val="0"/>
          <w:noProof/>
          <w:sz w:val="22"/>
          <w:szCs w:val="22"/>
          <w:lang w:val="de-AT" w:eastAsia="de-AT"/>
        </w:rPr>
      </w:pPr>
      <w:hyperlink w:anchor="_Toc431653917" w:history="1">
        <w:r w:rsidR="00196D12" w:rsidRPr="005B4D64">
          <w:rPr>
            <w:rStyle w:val="Hyperlink"/>
            <w:rFonts w:ascii="Arial" w:hAnsi="Arial" w:cs="Arial"/>
            <w:noProof/>
          </w:rPr>
          <w:t>Fig 8 - Clinical Management Algorithm</w:t>
        </w:r>
        <w:r w:rsidR="00196D12" w:rsidRPr="005B4D64">
          <w:rPr>
            <w:rFonts w:ascii="Arial" w:hAnsi="Arial"/>
            <w:noProof/>
            <w:webHidden/>
          </w:rPr>
          <w:tab/>
        </w:r>
        <w:r w:rsidR="00196D12" w:rsidRPr="005B4D64">
          <w:rPr>
            <w:rFonts w:ascii="Arial" w:hAnsi="Arial"/>
            <w:noProof/>
            <w:webHidden/>
          </w:rPr>
          <w:fldChar w:fldCharType="begin"/>
        </w:r>
        <w:r w:rsidR="00196D12" w:rsidRPr="005B4D64">
          <w:rPr>
            <w:rFonts w:ascii="Arial" w:hAnsi="Arial"/>
            <w:noProof/>
            <w:webHidden/>
          </w:rPr>
          <w:instrText xml:space="preserve"> PAGEREF _Toc431653917 \h </w:instrText>
        </w:r>
        <w:r w:rsidR="00196D12" w:rsidRPr="005B4D64">
          <w:rPr>
            <w:rFonts w:ascii="Arial" w:hAnsi="Arial"/>
            <w:noProof/>
            <w:webHidden/>
          </w:rPr>
        </w:r>
        <w:r w:rsidR="00196D12" w:rsidRPr="005B4D64">
          <w:rPr>
            <w:rFonts w:ascii="Arial" w:hAnsi="Arial"/>
            <w:noProof/>
            <w:webHidden/>
          </w:rPr>
          <w:fldChar w:fldCharType="separate"/>
        </w:r>
        <w:r w:rsidR="00016592">
          <w:rPr>
            <w:rFonts w:ascii="Arial" w:hAnsi="Arial"/>
            <w:noProof/>
            <w:webHidden/>
          </w:rPr>
          <w:t>34</w:t>
        </w:r>
        <w:r w:rsidR="00196D12" w:rsidRPr="005B4D64">
          <w:rPr>
            <w:rFonts w:ascii="Arial" w:hAnsi="Arial"/>
            <w:noProof/>
            <w:webHidden/>
          </w:rPr>
          <w:fldChar w:fldCharType="end"/>
        </w:r>
      </w:hyperlink>
    </w:p>
    <w:p w14:paraId="5D72BA0D" w14:textId="77777777" w:rsidR="00196D12" w:rsidRPr="005B4D64" w:rsidRDefault="009A7DB9" w:rsidP="005B4D64">
      <w:pPr>
        <w:pStyle w:val="TableofFigures"/>
        <w:tabs>
          <w:tab w:val="right" w:leader="dot" w:pos="8778"/>
        </w:tabs>
        <w:spacing w:line="360" w:lineRule="auto"/>
        <w:jc w:val="both"/>
        <w:rPr>
          <w:rFonts w:ascii="Arial" w:eastAsiaTheme="minorEastAsia" w:hAnsi="Arial" w:cstheme="minorBidi"/>
          <w:b w:val="0"/>
          <w:bCs w:val="0"/>
          <w:noProof/>
          <w:sz w:val="22"/>
          <w:szCs w:val="22"/>
          <w:lang w:val="de-AT" w:eastAsia="de-AT"/>
        </w:rPr>
      </w:pPr>
      <w:hyperlink w:anchor="_Toc431653918" w:history="1">
        <w:r w:rsidR="00196D12" w:rsidRPr="005B4D64">
          <w:rPr>
            <w:rStyle w:val="Hyperlink"/>
            <w:rFonts w:ascii="Arial" w:hAnsi="Arial" w:cs="Arial"/>
            <w:noProof/>
          </w:rPr>
          <w:t>Fig 9 - Flow chart of data selection</w:t>
        </w:r>
        <w:r w:rsidR="00196D12" w:rsidRPr="005B4D64">
          <w:rPr>
            <w:rFonts w:ascii="Arial" w:hAnsi="Arial"/>
            <w:noProof/>
            <w:webHidden/>
          </w:rPr>
          <w:tab/>
        </w:r>
        <w:r w:rsidR="00196D12" w:rsidRPr="005B4D64">
          <w:rPr>
            <w:rFonts w:ascii="Arial" w:hAnsi="Arial"/>
            <w:noProof/>
            <w:webHidden/>
          </w:rPr>
          <w:fldChar w:fldCharType="begin"/>
        </w:r>
        <w:r w:rsidR="00196D12" w:rsidRPr="005B4D64">
          <w:rPr>
            <w:rFonts w:ascii="Arial" w:hAnsi="Arial"/>
            <w:noProof/>
            <w:webHidden/>
          </w:rPr>
          <w:instrText xml:space="preserve"> PAGEREF _Toc431653918 \h </w:instrText>
        </w:r>
        <w:r w:rsidR="00196D12" w:rsidRPr="005B4D64">
          <w:rPr>
            <w:rFonts w:ascii="Arial" w:hAnsi="Arial"/>
            <w:noProof/>
            <w:webHidden/>
          </w:rPr>
        </w:r>
        <w:r w:rsidR="00196D12" w:rsidRPr="005B4D64">
          <w:rPr>
            <w:rFonts w:ascii="Arial" w:hAnsi="Arial"/>
            <w:noProof/>
            <w:webHidden/>
          </w:rPr>
          <w:fldChar w:fldCharType="separate"/>
        </w:r>
        <w:r w:rsidR="00016592">
          <w:rPr>
            <w:rFonts w:ascii="Arial" w:hAnsi="Arial"/>
            <w:noProof/>
            <w:webHidden/>
          </w:rPr>
          <w:t>38</w:t>
        </w:r>
        <w:r w:rsidR="00196D12" w:rsidRPr="005B4D64">
          <w:rPr>
            <w:rFonts w:ascii="Arial" w:hAnsi="Arial"/>
            <w:noProof/>
            <w:webHidden/>
          </w:rPr>
          <w:fldChar w:fldCharType="end"/>
        </w:r>
      </w:hyperlink>
    </w:p>
    <w:p w14:paraId="15586575" w14:textId="77777777" w:rsidR="00196D12" w:rsidRPr="005B4D64" w:rsidRDefault="009A7DB9" w:rsidP="005B4D64">
      <w:pPr>
        <w:pStyle w:val="TableofFigures"/>
        <w:tabs>
          <w:tab w:val="right" w:leader="dot" w:pos="8778"/>
        </w:tabs>
        <w:spacing w:line="360" w:lineRule="auto"/>
        <w:jc w:val="both"/>
        <w:rPr>
          <w:rFonts w:ascii="Arial" w:eastAsiaTheme="minorEastAsia" w:hAnsi="Arial" w:cstheme="minorBidi"/>
          <w:b w:val="0"/>
          <w:bCs w:val="0"/>
          <w:noProof/>
          <w:sz w:val="22"/>
          <w:szCs w:val="22"/>
          <w:lang w:val="de-AT" w:eastAsia="de-AT"/>
        </w:rPr>
      </w:pPr>
      <w:hyperlink w:anchor="_Toc431653919" w:history="1">
        <w:r w:rsidR="00196D12" w:rsidRPr="005B4D64">
          <w:rPr>
            <w:rStyle w:val="Hyperlink"/>
            <w:rFonts w:ascii="Arial" w:hAnsi="Arial" w:cs="Arial"/>
            <w:noProof/>
          </w:rPr>
          <w:t>Fig 10</w:t>
        </w:r>
        <w:r w:rsidR="00196D12" w:rsidRPr="005B4D64">
          <w:rPr>
            <w:rStyle w:val="Hyperlink"/>
            <w:rFonts w:ascii="Arial" w:eastAsiaTheme="minorHAnsi" w:hAnsi="Arial" w:cs="Arial"/>
            <w:noProof/>
            <w:lang w:val="en-GB" w:eastAsia="en-US"/>
          </w:rPr>
          <w:t xml:space="preserve"> - Meta-analysis VSB</w:t>
        </w:r>
        <w:r w:rsidR="00196D12" w:rsidRPr="005B4D64">
          <w:rPr>
            <w:rFonts w:ascii="Arial" w:hAnsi="Arial"/>
            <w:noProof/>
            <w:webHidden/>
          </w:rPr>
          <w:tab/>
        </w:r>
        <w:r w:rsidR="00196D12" w:rsidRPr="005B4D64">
          <w:rPr>
            <w:rFonts w:ascii="Arial" w:hAnsi="Arial"/>
            <w:noProof/>
            <w:webHidden/>
          </w:rPr>
          <w:fldChar w:fldCharType="begin"/>
        </w:r>
        <w:r w:rsidR="00196D12" w:rsidRPr="005B4D64">
          <w:rPr>
            <w:rFonts w:ascii="Arial" w:hAnsi="Arial"/>
            <w:noProof/>
            <w:webHidden/>
          </w:rPr>
          <w:instrText xml:space="preserve"> PAGEREF _Toc431653919 \h </w:instrText>
        </w:r>
        <w:r w:rsidR="00196D12" w:rsidRPr="005B4D64">
          <w:rPr>
            <w:rFonts w:ascii="Arial" w:hAnsi="Arial"/>
            <w:noProof/>
            <w:webHidden/>
          </w:rPr>
        </w:r>
        <w:r w:rsidR="00196D12" w:rsidRPr="005B4D64">
          <w:rPr>
            <w:rFonts w:ascii="Arial" w:hAnsi="Arial"/>
            <w:noProof/>
            <w:webHidden/>
          </w:rPr>
          <w:fldChar w:fldCharType="separate"/>
        </w:r>
        <w:r w:rsidR="00016592">
          <w:rPr>
            <w:rFonts w:ascii="Arial" w:hAnsi="Arial"/>
            <w:noProof/>
            <w:webHidden/>
          </w:rPr>
          <w:t>67</w:t>
        </w:r>
        <w:r w:rsidR="00196D12" w:rsidRPr="005B4D64">
          <w:rPr>
            <w:rFonts w:ascii="Arial" w:hAnsi="Arial"/>
            <w:noProof/>
            <w:webHidden/>
          </w:rPr>
          <w:fldChar w:fldCharType="end"/>
        </w:r>
      </w:hyperlink>
    </w:p>
    <w:p w14:paraId="7B390015" w14:textId="77777777" w:rsidR="00196D12" w:rsidRPr="005B4D64" w:rsidRDefault="009A7DB9" w:rsidP="005B4D64">
      <w:pPr>
        <w:pStyle w:val="TableofFigures"/>
        <w:tabs>
          <w:tab w:val="right" w:leader="dot" w:pos="8778"/>
        </w:tabs>
        <w:spacing w:line="360" w:lineRule="auto"/>
        <w:jc w:val="both"/>
        <w:rPr>
          <w:rFonts w:ascii="Arial" w:eastAsiaTheme="minorEastAsia" w:hAnsi="Arial" w:cstheme="minorBidi"/>
          <w:b w:val="0"/>
          <w:bCs w:val="0"/>
          <w:noProof/>
          <w:sz w:val="22"/>
          <w:szCs w:val="22"/>
          <w:lang w:val="de-AT" w:eastAsia="de-AT"/>
        </w:rPr>
      </w:pPr>
      <w:hyperlink w:anchor="_Toc431653920" w:history="1">
        <w:r w:rsidR="00196D12" w:rsidRPr="005B4D64">
          <w:rPr>
            <w:rStyle w:val="Hyperlink"/>
            <w:rFonts w:ascii="Arial" w:hAnsi="Arial"/>
            <w:noProof/>
          </w:rPr>
          <w:t>Fig 11</w:t>
        </w:r>
        <w:r w:rsidR="00196D12" w:rsidRPr="005B4D64">
          <w:rPr>
            <w:rStyle w:val="Hyperlink"/>
            <w:rFonts w:ascii="Arial" w:eastAsiaTheme="minorHAnsi" w:hAnsi="Arial"/>
            <w:noProof/>
            <w:lang w:val="en-GB" w:eastAsia="en-US"/>
          </w:rPr>
          <w:t xml:space="preserve"> – Structure of the economic model</w:t>
        </w:r>
        <w:r w:rsidR="00196D12" w:rsidRPr="005B4D64">
          <w:rPr>
            <w:rFonts w:ascii="Arial" w:hAnsi="Arial"/>
            <w:noProof/>
            <w:webHidden/>
          </w:rPr>
          <w:tab/>
        </w:r>
        <w:r w:rsidR="00196D12" w:rsidRPr="005B4D64">
          <w:rPr>
            <w:rFonts w:ascii="Arial" w:hAnsi="Arial"/>
            <w:noProof/>
            <w:webHidden/>
          </w:rPr>
          <w:fldChar w:fldCharType="begin"/>
        </w:r>
        <w:r w:rsidR="00196D12" w:rsidRPr="005B4D64">
          <w:rPr>
            <w:rFonts w:ascii="Arial" w:hAnsi="Arial"/>
            <w:noProof/>
            <w:webHidden/>
          </w:rPr>
          <w:instrText xml:space="preserve"> PAGEREF _Toc431653920 \h </w:instrText>
        </w:r>
        <w:r w:rsidR="00196D12" w:rsidRPr="005B4D64">
          <w:rPr>
            <w:rFonts w:ascii="Arial" w:hAnsi="Arial"/>
            <w:noProof/>
            <w:webHidden/>
          </w:rPr>
        </w:r>
        <w:r w:rsidR="00196D12" w:rsidRPr="005B4D64">
          <w:rPr>
            <w:rFonts w:ascii="Arial" w:hAnsi="Arial"/>
            <w:noProof/>
            <w:webHidden/>
          </w:rPr>
          <w:fldChar w:fldCharType="separate"/>
        </w:r>
        <w:r w:rsidR="00016592">
          <w:rPr>
            <w:rFonts w:ascii="Arial" w:hAnsi="Arial"/>
            <w:noProof/>
            <w:webHidden/>
          </w:rPr>
          <w:t>103</w:t>
        </w:r>
        <w:r w:rsidR="00196D12" w:rsidRPr="005B4D64">
          <w:rPr>
            <w:rFonts w:ascii="Arial" w:hAnsi="Arial"/>
            <w:noProof/>
            <w:webHidden/>
          </w:rPr>
          <w:fldChar w:fldCharType="end"/>
        </w:r>
      </w:hyperlink>
    </w:p>
    <w:p w14:paraId="5722D775" w14:textId="77777777" w:rsidR="008F116F" w:rsidRDefault="009A7DB9" w:rsidP="008F116F">
      <w:pPr>
        <w:pStyle w:val="TableofFigures"/>
        <w:tabs>
          <w:tab w:val="right" w:leader="dot" w:pos="8778"/>
        </w:tabs>
        <w:spacing w:line="360" w:lineRule="auto"/>
        <w:jc w:val="both"/>
        <w:rPr>
          <w:rFonts w:ascii="Arial" w:hAnsi="Arial"/>
          <w:noProof/>
        </w:rPr>
      </w:pPr>
      <w:hyperlink w:anchor="_Toc431653921" w:history="1">
        <w:r w:rsidR="00196D12" w:rsidRPr="005B4D64">
          <w:rPr>
            <w:rStyle w:val="Hyperlink"/>
            <w:rFonts w:ascii="Arial" w:hAnsi="Arial" w:cs="Arial"/>
            <w:noProof/>
          </w:rPr>
          <w:t>Fig 12</w:t>
        </w:r>
        <w:r w:rsidR="00196D12" w:rsidRPr="005B4D64">
          <w:rPr>
            <w:rStyle w:val="Hyperlink"/>
            <w:rFonts w:ascii="Arial" w:eastAsiaTheme="minorHAnsi" w:hAnsi="Arial" w:cs="Arial"/>
            <w:noProof/>
            <w:lang w:val="en-GB" w:eastAsia="en-US"/>
          </w:rPr>
          <w:t xml:space="preserve"> – Goodness of fit between the true cumulative survival rate and estimated 6-month values (derived using the DEALE method) for the VSB</w:t>
        </w:r>
        <w:r w:rsidR="00196D12" w:rsidRPr="005B4D64">
          <w:rPr>
            <w:rFonts w:ascii="Arial" w:hAnsi="Arial"/>
            <w:noProof/>
            <w:webHidden/>
          </w:rPr>
          <w:tab/>
        </w:r>
        <w:r w:rsidR="00196D12" w:rsidRPr="005B4D64">
          <w:rPr>
            <w:rFonts w:ascii="Arial" w:hAnsi="Arial"/>
            <w:noProof/>
            <w:webHidden/>
          </w:rPr>
          <w:fldChar w:fldCharType="begin"/>
        </w:r>
        <w:r w:rsidR="00196D12" w:rsidRPr="005B4D64">
          <w:rPr>
            <w:rFonts w:ascii="Arial" w:hAnsi="Arial"/>
            <w:noProof/>
            <w:webHidden/>
          </w:rPr>
          <w:instrText xml:space="preserve"> PAGEREF _Toc431653921 \h </w:instrText>
        </w:r>
        <w:r w:rsidR="00196D12" w:rsidRPr="005B4D64">
          <w:rPr>
            <w:rFonts w:ascii="Arial" w:hAnsi="Arial"/>
            <w:noProof/>
            <w:webHidden/>
          </w:rPr>
        </w:r>
        <w:r w:rsidR="00196D12" w:rsidRPr="005B4D64">
          <w:rPr>
            <w:rFonts w:ascii="Arial" w:hAnsi="Arial"/>
            <w:noProof/>
            <w:webHidden/>
          </w:rPr>
          <w:fldChar w:fldCharType="separate"/>
        </w:r>
        <w:r w:rsidR="00016592">
          <w:rPr>
            <w:rFonts w:ascii="Arial" w:hAnsi="Arial"/>
            <w:noProof/>
            <w:webHidden/>
          </w:rPr>
          <w:t>109</w:t>
        </w:r>
        <w:r w:rsidR="00196D12" w:rsidRPr="005B4D64">
          <w:rPr>
            <w:rFonts w:ascii="Arial" w:hAnsi="Arial"/>
            <w:noProof/>
            <w:webHidden/>
          </w:rPr>
          <w:fldChar w:fldCharType="end"/>
        </w:r>
      </w:hyperlink>
    </w:p>
    <w:p w14:paraId="0AFA91CB" w14:textId="38981FAA" w:rsidR="00AB1F29" w:rsidRDefault="00AB1F29" w:rsidP="00AB1F29">
      <w:pPr>
        <w:pStyle w:val="TableofFigures"/>
        <w:tabs>
          <w:tab w:val="right" w:leader="dot" w:pos="8778"/>
        </w:tabs>
        <w:spacing w:line="360" w:lineRule="auto"/>
        <w:rPr>
          <w:rFonts w:ascii="Arial" w:hAnsi="Arial" w:cs="Arial"/>
        </w:rPr>
      </w:pPr>
      <w:r>
        <w:rPr>
          <w:rFonts w:ascii="Arial" w:hAnsi="Arial" w:cs="Arial"/>
        </w:rPr>
        <w:t xml:space="preserve">Fig </w:t>
      </w:r>
      <w:r w:rsidR="008F116F" w:rsidRPr="008F116F">
        <w:rPr>
          <w:rFonts w:ascii="Arial" w:hAnsi="Arial" w:cs="Arial"/>
        </w:rPr>
        <w:t>13 – Cost-effectiveness scatterplot of the Vibrant Soundbridge against no intervention</w:t>
      </w:r>
      <w:r w:rsidR="008F116F">
        <w:rPr>
          <w:rFonts w:ascii="Arial" w:hAnsi="Arial" w:cs="Arial"/>
        </w:rPr>
        <w:t>………………………………………………………………………………………….</w:t>
      </w:r>
      <w:r>
        <w:rPr>
          <w:rFonts w:ascii="Arial" w:hAnsi="Arial" w:cs="Arial"/>
        </w:rPr>
        <w:t>130</w:t>
      </w:r>
    </w:p>
    <w:p w14:paraId="3EFBC96B" w14:textId="523781CD" w:rsidR="00AB1F29" w:rsidRPr="00AB1F29" w:rsidRDefault="00AB1F29" w:rsidP="00AB1F29">
      <w:pPr>
        <w:pStyle w:val="TableofFigures"/>
        <w:tabs>
          <w:tab w:val="right" w:leader="dot" w:pos="8778"/>
        </w:tabs>
        <w:spacing w:line="360" w:lineRule="auto"/>
        <w:jc w:val="both"/>
        <w:rPr>
          <w:rFonts w:ascii="Arial" w:hAnsi="Arial"/>
          <w:noProof/>
        </w:rPr>
      </w:pPr>
      <w:r w:rsidRPr="00AB1F29">
        <w:rPr>
          <w:rFonts w:ascii="Arial" w:hAnsi="Arial" w:cs="Arial"/>
        </w:rPr>
        <w:t>Fig 14</w:t>
      </w:r>
      <w:r w:rsidRPr="00AB1F29">
        <w:rPr>
          <w:rFonts w:ascii="Arial" w:eastAsiaTheme="minorHAnsi" w:hAnsi="Arial" w:cs="Arial"/>
        </w:rPr>
        <w:t xml:space="preserve"> – Cost-effectiveness scatterplot of the Vibrant Soundbridge against the MAXUM</w:t>
      </w:r>
      <w:r>
        <w:rPr>
          <w:rFonts w:ascii="Arial" w:eastAsiaTheme="minorHAnsi" w:hAnsi="Arial" w:cs="Arial"/>
        </w:rPr>
        <w:t>…131</w:t>
      </w:r>
    </w:p>
    <w:p w14:paraId="7A69E139" w14:textId="77777777" w:rsidR="008F116F" w:rsidRPr="008F116F" w:rsidRDefault="008F116F" w:rsidP="008F116F">
      <w:pPr>
        <w:rPr>
          <w:rFonts w:eastAsiaTheme="minorEastAsia"/>
        </w:rPr>
      </w:pPr>
    </w:p>
    <w:p w14:paraId="2AE46725" w14:textId="77777777" w:rsidR="00844317" w:rsidRPr="00196D12" w:rsidRDefault="00D84553" w:rsidP="005B4D64">
      <w:pPr>
        <w:spacing w:line="360" w:lineRule="auto"/>
        <w:jc w:val="both"/>
        <w:rPr>
          <w:rFonts w:cs="Arial"/>
        </w:rPr>
        <w:sectPr w:rsidR="00844317" w:rsidRPr="00196D12" w:rsidSect="008846BA">
          <w:headerReference w:type="default" r:id="rId25"/>
          <w:pgSz w:w="11907" w:h="16839" w:code="9"/>
          <w:pgMar w:top="1701" w:right="1418" w:bottom="1418" w:left="1701" w:header="720" w:footer="720" w:gutter="0"/>
          <w:paperSrc w:first="4035" w:other="4035"/>
          <w:pgNumType w:fmt="lowerRoman"/>
          <w:cols w:space="720"/>
          <w:noEndnote/>
        </w:sectPr>
      </w:pPr>
      <w:r w:rsidRPr="005B4D64">
        <w:rPr>
          <w:rFonts w:cs="Arial"/>
          <w:bCs/>
        </w:rPr>
        <w:fldChar w:fldCharType="end"/>
      </w:r>
    </w:p>
    <w:p w14:paraId="1755B815" w14:textId="77777777" w:rsidR="00FF05EE" w:rsidRPr="009A1A2E" w:rsidRDefault="00362526" w:rsidP="00213B3B">
      <w:pPr>
        <w:pStyle w:val="Heading1"/>
        <w:spacing w:line="360" w:lineRule="auto"/>
        <w:jc w:val="both"/>
        <w:rPr>
          <w:lang w:val="en-AU"/>
        </w:rPr>
      </w:pPr>
      <w:bookmarkStart w:id="35" w:name="_Toc258501757"/>
      <w:bookmarkStart w:id="36" w:name="_Toc336189654"/>
      <w:bookmarkStart w:id="37" w:name="_Toc400549391"/>
      <w:bookmarkStart w:id="38" w:name="_Toc431917544"/>
      <w:r w:rsidRPr="009A1A2E">
        <w:rPr>
          <w:lang w:val="en-AU"/>
        </w:rPr>
        <w:lastRenderedPageBreak/>
        <w:t>List of A</w:t>
      </w:r>
      <w:r w:rsidR="00412CDA" w:rsidRPr="009A1A2E">
        <w:rPr>
          <w:lang w:val="en-AU"/>
        </w:rPr>
        <w:t>ttachments</w:t>
      </w:r>
      <w:bookmarkEnd w:id="35"/>
      <w:bookmarkEnd w:id="36"/>
      <w:bookmarkEnd w:id="37"/>
      <w:bookmarkEnd w:id="38"/>
    </w:p>
    <w:tbl>
      <w:tblPr>
        <w:tblW w:w="5000" w:type="pct"/>
        <w:tblCellMar>
          <w:bottom w:w="108" w:type="dxa"/>
        </w:tblCellMar>
        <w:tblLook w:val="0000" w:firstRow="0" w:lastRow="0" w:firstColumn="0" w:lastColumn="0" w:noHBand="0" w:noVBand="0"/>
      </w:tblPr>
      <w:tblGrid>
        <w:gridCol w:w="1668"/>
        <w:gridCol w:w="5103"/>
        <w:gridCol w:w="2233"/>
      </w:tblGrid>
      <w:tr w:rsidR="00C90D02" w:rsidRPr="009A1A2E" w14:paraId="4440954B" w14:textId="77777777" w:rsidTr="00E011DE">
        <w:tc>
          <w:tcPr>
            <w:tcW w:w="926" w:type="pct"/>
          </w:tcPr>
          <w:p w14:paraId="4E83B59A" w14:textId="77777777" w:rsidR="00C90D02" w:rsidRPr="00793BAB" w:rsidRDefault="00C90D02" w:rsidP="009D3024">
            <w:pPr>
              <w:pStyle w:val="Tableheading"/>
              <w:spacing w:line="276" w:lineRule="auto"/>
              <w:jc w:val="both"/>
              <w:rPr>
                <w:rFonts w:ascii="Arial" w:hAnsi="Arial" w:cs="Arial"/>
              </w:rPr>
            </w:pPr>
            <w:r w:rsidRPr="00793BAB">
              <w:rPr>
                <w:rFonts w:ascii="Arial" w:hAnsi="Arial" w:cs="Arial"/>
              </w:rPr>
              <w:t>Attachment</w:t>
            </w:r>
          </w:p>
        </w:tc>
        <w:tc>
          <w:tcPr>
            <w:tcW w:w="2834" w:type="pct"/>
          </w:tcPr>
          <w:p w14:paraId="2DDAA2B9" w14:textId="77777777" w:rsidR="00C90D02" w:rsidRPr="00793BAB" w:rsidRDefault="00C90D02" w:rsidP="009D3024">
            <w:pPr>
              <w:pStyle w:val="Tableheading"/>
              <w:spacing w:line="276" w:lineRule="auto"/>
              <w:jc w:val="both"/>
              <w:rPr>
                <w:rFonts w:ascii="Arial" w:hAnsi="Arial" w:cs="Arial"/>
              </w:rPr>
            </w:pPr>
            <w:r w:rsidRPr="00793BAB">
              <w:rPr>
                <w:rFonts w:ascii="Arial" w:hAnsi="Arial" w:cs="Arial"/>
              </w:rPr>
              <w:t>Title</w:t>
            </w:r>
          </w:p>
        </w:tc>
        <w:tc>
          <w:tcPr>
            <w:tcW w:w="1240" w:type="pct"/>
          </w:tcPr>
          <w:p w14:paraId="37A15B83" w14:textId="77777777" w:rsidR="00C90D02" w:rsidRPr="00793BAB" w:rsidRDefault="00C90D02" w:rsidP="009D3024">
            <w:pPr>
              <w:pStyle w:val="Tableheading"/>
              <w:spacing w:line="276" w:lineRule="auto"/>
              <w:jc w:val="both"/>
              <w:rPr>
                <w:rFonts w:ascii="Arial" w:hAnsi="Arial" w:cs="Arial"/>
              </w:rPr>
            </w:pPr>
            <w:r w:rsidRPr="00793BAB">
              <w:rPr>
                <w:rFonts w:ascii="Arial" w:hAnsi="Arial" w:cs="Arial"/>
              </w:rPr>
              <w:t>Numbers of copies provided</w:t>
            </w:r>
          </w:p>
        </w:tc>
      </w:tr>
      <w:tr w:rsidR="00D32C77" w:rsidRPr="009A1A2E" w14:paraId="669750D2" w14:textId="77777777" w:rsidTr="00E011DE">
        <w:tc>
          <w:tcPr>
            <w:tcW w:w="926" w:type="pct"/>
          </w:tcPr>
          <w:p w14:paraId="7CAC3CE1" w14:textId="77777777" w:rsidR="00D32C77" w:rsidRPr="00793BAB" w:rsidRDefault="00D32C77" w:rsidP="009D3024">
            <w:pPr>
              <w:pStyle w:val="Tableheading"/>
              <w:spacing w:line="276" w:lineRule="auto"/>
              <w:jc w:val="both"/>
              <w:rPr>
                <w:rFonts w:ascii="Arial" w:hAnsi="Arial" w:cs="Arial"/>
              </w:rPr>
            </w:pPr>
            <w:r w:rsidRPr="00793BAB">
              <w:rPr>
                <w:rFonts w:ascii="Arial" w:hAnsi="Arial" w:cs="Arial"/>
              </w:rPr>
              <w:t>Attachment A</w:t>
            </w:r>
          </w:p>
        </w:tc>
        <w:tc>
          <w:tcPr>
            <w:tcW w:w="2834" w:type="pct"/>
          </w:tcPr>
          <w:p w14:paraId="76A86D62" w14:textId="77777777" w:rsidR="00D32C77" w:rsidRPr="00793BAB" w:rsidRDefault="00D32C77" w:rsidP="009D3024">
            <w:pPr>
              <w:pStyle w:val="Tabletext"/>
              <w:spacing w:line="276" w:lineRule="auto"/>
              <w:jc w:val="both"/>
              <w:rPr>
                <w:rFonts w:ascii="Arial" w:hAnsi="Arial" w:cs="Arial"/>
              </w:rPr>
            </w:pPr>
            <w:r w:rsidRPr="00793BAB">
              <w:rPr>
                <w:rFonts w:ascii="Arial" w:hAnsi="Arial" w:cs="Arial"/>
              </w:rPr>
              <w:t>Review summary on clinical studies</w:t>
            </w:r>
          </w:p>
        </w:tc>
        <w:tc>
          <w:tcPr>
            <w:tcW w:w="1240" w:type="pct"/>
          </w:tcPr>
          <w:p w14:paraId="36794D4D" w14:textId="77777777" w:rsidR="00D32C77" w:rsidRPr="00793BAB" w:rsidRDefault="00D32C77" w:rsidP="009D3024">
            <w:pPr>
              <w:pStyle w:val="Tabletext"/>
              <w:spacing w:line="276" w:lineRule="auto"/>
              <w:jc w:val="both"/>
              <w:rPr>
                <w:rFonts w:ascii="Arial" w:hAnsi="Arial" w:cs="Arial"/>
              </w:rPr>
            </w:pPr>
            <w:r w:rsidRPr="00793BAB">
              <w:rPr>
                <w:rFonts w:ascii="Arial" w:hAnsi="Arial" w:cs="Arial"/>
              </w:rPr>
              <w:t>Electronic only</w:t>
            </w:r>
          </w:p>
        </w:tc>
      </w:tr>
      <w:tr w:rsidR="00D32C77" w:rsidRPr="009A1A2E" w14:paraId="25B82979" w14:textId="77777777" w:rsidTr="00E011DE">
        <w:tc>
          <w:tcPr>
            <w:tcW w:w="926" w:type="pct"/>
          </w:tcPr>
          <w:p w14:paraId="56047DED" w14:textId="77777777" w:rsidR="00D32C77" w:rsidRPr="00793BAB" w:rsidRDefault="00D32C77" w:rsidP="009D3024">
            <w:pPr>
              <w:pStyle w:val="Tableheading"/>
              <w:spacing w:line="276" w:lineRule="auto"/>
              <w:jc w:val="both"/>
              <w:rPr>
                <w:rFonts w:ascii="Arial" w:hAnsi="Arial" w:cs="Arial"/>
              </w:rPr>
            </w:pPr>
            <w:r w:rsidRPr="00793BAB">
              <w:rPr>
                <w:rFonts w:ascii="Arial" w:hAnsi="Arial" w:cs="Arial"/>
              </w:rPr>
              <w:t>Attachment B</w:t>
            </w:r>
          </w:p>
        </w:tc>
        <w:tc>
          <w:tcPr>
            <w:tcW w:w="2834" w:type="pct"/>
          </w:tcPr>
          <w:p w14:paraId="055FCDAF" w14:textId="77777777" w:rsidR="00D32C77" w:rsidRPr="00793BAB" w:rsidRDefault="00D32C77" w:rsidP="009D3024">
            <w:pPr>
              <w:pStyle w:val="Tabletext"/>
              <w:spacing w:line="276" w:lineRule="auto"/>
              <w:jc w:val="both"/>
              <w:rPr>
                <w:rFonts w:ascii="Arial" w:hAnsi="Arial" w:cs="Arial"/>
              </w:rPr>
            </w:pPr>
            <w:r w:rsidRPr="00793BAB">
              <w:rPr>
                <w:rFonts w:ascii="Arial" w:hAnsi="Arial" w:cs="Arial"/>
              </w:rPr>
              <w:t>VSB clinical outcomes</w:t>
            </w:r>
          </w:p>
        </w:tc>
        <w:tc>
          <w:tcPr>
            <w:tcW w:w="1240" w:type="pct"/>
          </w:tcPr>
          <w:p w14:paraId="47626B38" w14:textId="77777777" w:rsidR="00D32C77" w:rsidRPr="00793BAB" w:rsidRDefault="00D32C77" w:rsidP="009D3024">
            <w:pPr>
              <w:pStyle w:val="Tabletext"/>
              <w:spacing w:line="276" w:lineRule="auto"/>
              <w:jc w:val="both"/>
              <w:rPr>
                <w:rFonts w:ascii="Arial" w:hAnsi="Arial" w:cs="Arial"/>
              </w:rPr>
            </w:pPr>
            <w:r w:rsidRPr="00793BAB">
              <w:rPr>
                <w:rFonts w:ascii="Arial" w:hAnsi="Arial" w:cs="Arial"/>
              </w:rPr>
              <w:t>Electronic only</w:t>
            </w:r>
          </w:p>
        </w:tc>
      </w:tr>
      <w:tr w:rsidR="00C90D02" w:rsidRPr="009A1A2E" w14:paraId="63CC0395" w14:textId="77777777" w:rsidTr="00E011DE">
        <w:tc>
          <w:tcPr>
            <w:tcW w:w="926" w:type="pct"/>
          </w:tcPr>
          <w:p w14:paraId="251BD08A" w14:textId="77777777" w:rsidR="00C90D02" w:rsidRPr="00793BAB" w:rsidRDefault="00C90D02" w:rsidP="009D3024">
            <w:pPr>
              <w:pStyle w:val="Tableheading"/>
              <w:spacing w:line="276" w:lineRule="auto"/>
              <w:jc w:val="both"/>
              <w:rPr>
                <w:rFonts w:ascii="Arial" w:hAnsi="Arial" w:cs="Arial"/>
                <w:iCs/>
              </w:rPr>
            </w:pPr>
            <w:r w:rsidRPr="00793BAB">
              <w:rPr>
                <w:rFonts w:ascii="Arial" w:hAnsi="Arial" w:cs="Arial"/>
              </w:rPr>
              <w:t xml:space="preserve">Attachment </w:t>
            </w:r>
            <w:r w:rsidR="00D32C77" w:rsidRPr="00793BAB">
              <w:rPr>
                <w:rFonts w:ascii="Arial" w:hAnsi="Arial" w:cs="Arial"/>
              </w:rPr>
              <w:t>C</w:t>
            </w:r>
          </w:p>
        </w:tc>
        <w:tc>
          <w:tcPr>
            <w:tcW w:w="2834" w:type="pct"/>
          </w:tcPr>
          <w:p w14:paraId="371BFFD9" w14:textId="77777777" w:rsidR="00C90D02" w:rsidRPr="00793BAB" w:rsidRDefault="00D32C77" w:rsidP="009D3024">
            <w:pPr>
              <w:pStyle w:val="Tabletext"/>
              <w:spacing w:line="276" w:lineRule="auto"/>
              <w:jc w:val="both"/>
              <w:rPr>
                <w:rFonts w:ascii="Arial" w:hAnsi="Arial" w:cs="Arial"/>
              </w:rPr>
            </w:pPr>
            <w:r w:rsidRPr="00793BAB">
              <w:rPr>
                <w:rFonts w:ascii="Arial" w:hAnsi="Arial" w:cs="Arial"/>
              </w:rPr>
              <w:t>Comparators clinical outcomes</w:t>
            </w:r>
          </w:p>
        </w:tc>
        <w:tc>
          <w:tcPr>
            <w:tcW w:w="1240" w:type="pct"/>
          </w:tcPr>
          <w:p w14:paraId="4832E6C6" w14:textId="77777777" w:rsidR="00C90D02" w:rsidRPr="00793BAB" w:rsidRDefault="007D14DA" w:rsidP="009D3024">
            <w:pPr>
              <w:pStyle w:val="Tabletext"/>
              <w:spacing w:line="276" w:lineRule="auto"/>
              <w:jc w:val="both"/>
              <w:rPr>
                <w:rFonts w:ascii="Arial" w:hAnsi="Arial" w:cs="Arial"/>
              </w:rPr>
            </w:pPr>
            <w:r w:rsidRPr="00793BAB">
              <w:rPr>
                <w:rFonts w:ascii="Arial" w:hAnsi="Arial" w:cs="Arial"/>
              </w:rPr>
              <w:t>Electronic only</w:t>
            </w:r>
          </w:p>
        </w:tc>
      </w:tr>
      <w:tr w:rsidR="00C90D02" w:rsidRPr="009A1A2E" w14:paraId="714EFDD3" w14:textId="77777777" w:rsidTr="00E011DE">
        <w:tc>
          <w:tcPr>
            <w:tcW w:w="926" w:type="pct"/>
          </w:tcPr>
          <w:p w14:paraId="24B25A2D" w14:textId="77777777" w:rsidR="00C90D02" w:rsidRPr="00793BAB" w:rsidRDefault="00D32C77" w:rsidP="009D3024">
            <w:pPr>
              <w:pStyle w:val="Tableheading"/>
              <w:spacing w:line="276" w:lineRule="auto"/>
              <w:jc w:val="both"/>
              <w:rPr>
                <w:rFonts w:ascii="Arial" w:hAnsi="Arial" w:cs="Arial"/>
              </w:rPr>
            </w:pPr>
            <w:r w:rsidRPr="00793BAB">
              <w:rPr>
                <w:rFonts w:ascii="Arial" w:hAnsi="Arial" w:cs="Arial"/>
              </w:rPr>
              <w:t>Attachment D</w:t>
            </w:r>
          </w:p>
        </w:tc>
        <w:tc>
          <w:tcPr>
            <w:tcW w:w="2834" w:type="pct"/>
          </w:tcPr>
          <w:p w14:paraId="693A2B2A" w14:textId="151F49F7" w:rsidR="00C90D02" w:rsidRPr="00793BAB" w:rsidRDefault="00E011DE" w:rsidP="009D3024">
            <w:pPr>
              <w:pStyle w:val="Tabletext"/>
              <w:spacing w:line="276" w:lineRule="auto"/>
              <w:jc w:val="both"/>
              <w:rPr>
                <w:rFonts w:ascii="Arial" w:hAnsi="Arial" w:cs="Arial"/>
              </w:rPr>
            </w:pPr>
            <w:r w:rsidRPr="00E011DE">
              <w:rPr>
                <w:rFonts w:ascii="Arial" w:hAnsi="Arial" w:cs="Arial"/>
              </w:rPr>
              <w:t>Summary of input parameters for the economic evaluation</w:t>
            </w:r>
          </w:p>
        </w:tc>
        <w:tc>
          <w:tcPr>
            <w:tcW w:w="1240" w:type="pct"/>
          </w:tcPr>
          <w:p w14:paraId="7796DAA6" w14:textId="77777777" w:rsidR="00C90D02" w:rsidRPr="00793BAB" w:rsidRDefault="007D14DA" w:rsidP="009D3024">
            <w:pPr>
              <w:pStyle w:val="Tabletext"/>
              <w:spacing w:line="276" w:lineRule="auto"/>
              <w:jc w:val="both"/>
              <w:rPr>
                <w:rFonts w:ascii="Arial" w:hAnsi="Arial" w:cs="Arial"/>
              </w:rPr>
            </w:pPr>
            <w:r w:rsidRPr="00793BAB">
              <w:rPr>
                <w:rFonts w:ascii="Arial" w:hAnsi="Arial" w:cs="Arial"/>
              </w:rPr>
              <w:t>Electronic only</w:t>
            </w:r>
          </w:p>
        </w:tc>
      </w:tr>
      <w:tr w:rsidR="00C90D02" w:rsidRPr="009A1A2E" w14:paraId="7FC220F3" w14:textId="77777777" w:rsidTr="00E011DE">
        <w:tc>
          <w:tcPr>
            <w:tcW w:w="926" w:type="pct"/>
          </w:tcPr>
          <w:p w14:paraId="7E6C7AAA" w14:textId="77777777" w:rsidR="00C90D02" w:rsidRPr="00793BAB" w:rsidRDefault="00D32C77" w:rsidP="009D3024">
            <w:pPr>
              <w:pStyle w:val="Tableheading"/>
              <w:spacing w:line="276" w:lineRule="auto"/>
              <w:jc w:val="both"/>
              <w:rPr>
                <w:rFonts w:ascii="Arial" w:hAnsi="Arial" w:cs="Arial"/>
              </w:rPr>
            </w:pPr>
            <w:r w:rsidRPr="00793BAB">
              <w:rPr>
                <w:rFonts w:ascii="Arial" w:hAnsi="Arial" w:cs="Arial"/>
              </w:rPr>
              <w:t>Attachment E</w:t>
            </w:r>
          </w:p>
        </w:tc>
        <w:tc>
          <w:tcPr>
            <w:tcW w:w="2834" w:type="pct"/>
          </w:tcPr>
          <w:p w14:paraId="22AAC512" w14:textId="7F4C0E33" w:rsidR="00C90D02" w:rsidRPr="00793BAB" w:rsidRDefault="00E011DE" w:rsidP="009D3024">
            <w:pPr>
              <w:pStyle w:val="Tabletext"/>
              <w:spacing w:line="276" w:lineRule="auto"/>
              <w:jc w:val="both"/>
              <w:rPr>
                <w:rFonts w:ascii="Arial" w:hAnsi="Arial" w:cs="Arial"/>
              </w:rPr>
            </w:pPr>
            <w:r w:rsidRPr="00E011DE">
              <w:rPr>
                <w:rFonts w:ascii="Arial" w:hAnsi="Arial" w:cs="Arial"/>
              </w:rPr>
              <w:t>Variables included in probabilistic sensitivity analysis</w:t>
            </w:r>
          </w:p>
        </w:tc>
        <w:tc>
          <w:tcPr>
            <w:tcW w:w="1240" w:type="pct"/>
          </w:tcPr>
          <w:p w14:paraId="0C56FA04" w14:textId="77777777" w:rsidR="00C90D02" w:rsidRPr="00793BAB" w:rsidRDefault="007D14DA" w:rsidP="009D3024">
            <w:pPr>
              <w:pStyle w:val="Tabletext"/>
              <w:spacing w:line="276" w:lineRule="auto"/>
              <w:jc w:val="both"/>
              <w:rPr>
                <w:rFonts w:ascii="Arial" w:hAnsi="Arial" w:cs="Arial"/>
              </w:rPr>
            </w:pPr>
            <w:r w:rsidRPr="00793BAB">
              <w:rPr>
                <w:rFonts w:ascii="Arial" w:hAnsi="Arial" w:cs="Arial"/>
              </w:rPr>
              <w:t>Electronic only</w:t>
            </w:r>
          </w:p>
        </w:tc>
      </w:tr>
      <w:tr w:rsidR="00E011DE" w:rsidRPr="009A1A2E" w14:paraId="6A9811C0" w14:textId="77777777" w:rsidTr="00E011DE">
        <w:tc>
          <w:tcPr>
            <w:tcW w:w="926" w:type="pct"/>
          </w:tcPr>
          <w:p w14:paraId="277A5076" w14:textId="68D534CF" w:rsidR="00E011DE" w:rsidRPr="00793BAB" w:rsidRDefault="00E011DE" w:rsidP="00E011DE">
            <w:pPr>
              <w:pStyle w:val="Tableheading"/>
              <w:spacing w:line="276" w:lineRule="auto"/>
              <w:jc w:val="both"/>
              <w:rPr>
                <w:rFonts w:ascii="Arial" w:hAnsi="Arial" w:cs="Arial"/>
              </w:rPr>
            </w:pPr>
            <w:r w:rsidRPr="00793BAB">
              <w:rPr>
                <w:rFonts w:ascii="Arial" w:hAnsi="Arial" w:cs="Arial"/>
              </w:rPr>
              <w:t xml:space="preserve">Attachment </w:t>
            </w:r>
            <w:r>
              <w:rPr>
                <w:rFonts w:ascii="Arial" w:hAnsi="Arial" w:cs="Arial"/>
              </w:rPr>
              <w:t>F</w:t>
            </w:r>
          </w:p>
        </w:tc>
        <w:tc>
          <w:tcPr>
            <w:tcW w:w="2834" w:type="pct"/>
          </w:tcPr>
          <w:p w14:paraId="1A6D7C16" w14:textId="784E8AAC" w:rsidR="00E011DE" w:rsidRPr="00E011DE" w:rsidRDefault="00E011DE" w:rsidP="009D3024">
            <w:pPr>
              <w:pStyle w:val="Tabletext"/>
              <w:spacing w:line="276" w:lineRule="auto"/>
              <w:jc w:val="both"/>
              <w:rPr>
                <w:rFonts w:ascii="Arial" w:hAnsi="Arial" w:cs="Arial"/>
              </w:rPr>
            </w:pPr>
            <w:r w:rsidRPr="00E011DE">
              <w:rPr>
                <w:rFonts w:ascii="Arial" w:hAnsi="Arial" w:cs="Arial"/>
              </w:rPr>
              <w:t>Budget impact analysis</w:t>
            </w:r>
          </w:p>
        </w:tc>
        <w:tc>
          <w:tcPr>
            <w:tcW w:w="1240" w:type="pct"/>
          </w:tcPr>
          <w:p w14:paraId="753E1AD3" w14:textId="0204F9D1" w:rsidR="00E011DE" w:rsidRPr="00793BAB" w:rsidRDefault="00E011DE" w:rsidP="009D3024">
            <w:pPr>
              <w:pStyle w:val="Tabletext"/>
              <w:spacing w:line="276" w:lineRule="auto"/>
              <w:jc w:val="both"/>
              <w:rPr>
                <w:rFonts w:ascii="Arial" w:hAnsi="Arial" w:cs="Arial"/>
              </w:rPr>
            </w:pPr>
            <w:r w:rsidRPr="00793BAB">
              <w:rPr>
                <w:rFonts w:ascii="Arial" w:hAnsi="Arial" w:cs="Arial"/>
              </w:rPr>
              <w:t>Electronic only</w:t>
            </w:r>
          </w:p>
        </w:tc>
      </w:tr>
      <w:tr w:rsidR="00E011DE" w:rsidRPr="009A1A2E" w14:paraId="38F8971F" w14:textId="77777777" w:rsidTr="00E011DE">
        <w:tc>
          <w:tcPr>
            <w:tcW w:w="926" w:type="pct"/>
          </w:tcPr>
          <w:p w14:paraId="66EDF1C0" w14:textId="42E38B6A" w:rsidR="00E011DE" w:rsidRPr="00793BAB" w:rsidRDefault="00E011DE" w:rsidP="00E011DE">
            <w:pPr>
              <w:pStyle w:val="Tableheading"/>
              <w:spacing w:line="276" w:lineRule="auto"/>
              <w:jc w:val="both"/>
              <w:rPr>
                <w:rFonts w:ascii="Arial" w:hAnsi="Arial" w:cs="Arial"/>
              </w:rPr>
            </w:pPr>
            <w:r w:rsidRPr="00793BAB">
              <w:rPr>
                <w:rFonts w:ascii="Arial" w:hAnsi="Arial" w:cs="Arial"/>
              </w:rPr>
              <w:t xml:space="preserve">Attachment </w:t>
            </w:r>
            <w:r>
              <w:rPr>
                <w:rFonts w:ascii="Arial" w:hAnsi="Arial" w:cs="Arial"/>
              </w:rPr>
              <w:t>G</w:t>
            </w:r>
          </w:p>
        </w:tc>
        <w:tc>
          <w:tcPr>
            <w:tcW w:w="2834" w:type="pct"/>
          </w:tcPr>
          <w:p w14:paraId="51604E62" w14:textId="1041D281" w:rsidR="00E011DE" w:rsidRPr="00E011DE" w:rsidRDefault="00E011DE" w:rsidP="009D3024">
            <w:pPr>
              <w:pStyle w:val="Tabletext"/>
              <w:spacing w:line="276" w:lineRule="auto"/>
              <w:jc w:val="both"/>
              <w:rPr>
                <w:rFonts w:ascii="Arial" w:hAnsi="Arial" w:cs="Arial"/>
              </w:rPr>
            </w:pPr>
            <w:r w:rsidRPr="00E011DE">
              <w:rPr>
                <w:rFonts w:ascii="Arial" w:hAnsi="Arial" w:cs="Arial"/>
              </w:rPr>
              <w:t>DSA for BIA</w:t>
            </w:r>
          </w:p>
        </w:tc>
        <w:tc>
          <w:tcPr>
            <w:tcW w:w="1240" w:type="pct"/>
          </w:tcPr>
          <w:p w14:paraId="76ABD433" w14:textId="401D49B9" w:rsidR="00E011DE" w:rsidRPr="00793BAB" w:rsidRDefault="00E011DE" w:rsidP="009D3024">
            <w:pPr>
              <w:pStyle w:val="Tabletext"/>
              <w:spacing w:line="276" w:lineRule="auto"/>
              <w:jc w:val="both"/>
              <w:rPr>
                <w:rFonts w:ascii="Arial" w:hAnsi="Arial" w:cs="Arial"/>
              </w:rPr>
            </w:pPr>
            <w:r w:rsidRPr="00793BAB">
              <w:rPr>
                <w:rFonts w:ascii="Arial" w:hAnsi="Arial" w:cs="Arial"/>
              </w:rPr>
              <w:t>Electronic only</w:t>
            </w:r>
          </w:p>
        </w:tc>
      </w:tr>
    </w:tbl>
    <w:p w14:paraId="5576FEA4" w14:textId="77777777" w:rsidR="00197D3F" w:rsidRPr="009A1A2E" w:rsidRDefault="00197D3F" w:rsidP="00213B3B">
      <w:pPr>
        <w:pStyle w:val="ListParagraph"/>
        <w:jc w:val="both"/>
        <w:rPr>
          <w:lang w:val="en-AU"/>
        </w:rPr>
        <w:sectPr w:rsidR="00197D3F" w:rsidRPr="009A1A2E" w:rsidSect="008846BA">
          <w:headerReference w:type="default" r:id="rId26"/>
          <w:pgSz w:w="11907" w:h="16839" w:code="9"/>
          <w:pgMar w:top="1701" w:right="1418" w:bottom="1418" w:left="1701" w:header="720" w:footer="720" w:gutter="0"/>
          <w:paperSrc w:first="4035" w:other="4035"/>
          <w:pgNumType w:fmt="lowerRoman"/>
          <w:cols w:space="720"/>
          <w:noEndnote/>
        </w:sectPr>
      </w:pPr>
    </w:p>
    <w:p w14:paraId="5113B6DD" w14:textId="77777777" w:rsidR="00FF05EE" w:rsidRPr="009A1A2E" w:rsidRDefault="00362526" w:rsidP="00213B3B">
      <w:pPr>
        <w:pStyle w:val="Heading1"/>
        <w:spacing w:line="360" w:lineRule="auto"/>
        <w:ind w:left="0" w:firstLine="0"/>
        <w:jc w:val="both"/>
        <w:rPr>
          <w:lang w:val="en-AU"/>
        </w:rPr>
      </w:pPr>
      <w:bookmarkStart w:id="39" w:name="_Toc258501758"/>
      <w:bookmarkStart w:id="40" w:name="_Toc336189655"/>
      <w:bookmarkStart w:id="41" w:name="_Toc400549392"/>
      <w:bookmarkStart w:id="42" w:name="_Toc431917545"/>
      <w:r w:rsidRPr="009A1A2E">
        <w:rPr>
          <w:lang w:val="en-AU"/>
        </w:rPr>
        <w:lastRenderedPageBreak/>
        <w:t>List of V</w:t>
      </w:r>
      <w:r w:rsidR="00FF05EE" w:rsidRPr="009A1A2E">
        <w:rPr>
          <w:lang w:val="en-AU"/>
        </w:rPr>
        <w:t>olumes</w:t>
      </w:r>
      <w:bookmarkEnd w:id="39"/>
      <w:bookmarkEnd w:id="40"/>
      <w:bookmarkEnd w:id="41"/>
      <w:bookmarkEnd w:id="42"/>
    </w:p>
    <w:tbl>
      <w:tblPr>
        <w:tblW w:w="0" w:type="auto"/>
        <w:tblBorders>
          <w:top w:val="single" w:sz="4" w:space="0" w:color="000000"/>
          <w:bottom w:val="single" w:sz="4" w:space="0" w:color="000000"/>
        </w:tblBorders>
        <w:tblCellMar>
          <w:bottom w:w="108" w:type="dxa"/>
        </w:tblCellMar>
        <w:tblLook w:val="0000" w:firstRow="0" w:lastRow="0" w:firstColumn="0" w:lastColumn="0" w:noHBand="0" w:noVBand="0"/>
      </w:tblPr>
      <w:tblGrid>
        <w:gridCol w:w="6488"/>
        <w:gridCol w:w="2516"/>
      </w:tblGrid>
      <w:tr w:rsidR="00FF05EE" w:rsidRPr="009A1A2E" w14:paraId="4CA2BE17" w14:textId="77777777">
        <w:tc>
          <w:tcPr>
            <w:tcW w:w="6488" w:type="dxa"/>
            <w:tcBorders>
              <w:top w:val="single" w:sz="4" w:space="0" w:color="000000"/>
              <w:bottom w:val="single" w:sz="4" w:space="0" w:color="000000"/>
            </w:tcBorders>
          </w:tcPr>
          <w:p w14:paraId="7C5B1B97" w14:textId="77777777" w:rsidR="00FF05EE" w:rsidRPr="009A1A2E" w:rsidRDefault="00FF05EE" w:rsidP="009D3024">
            <w:pPr>
              <w:pStyle w:val="Tableheading"/>
              <w:spacing w:line="276" w:lineRule="auto"/>
              <w:jc w:val="both"/>
              <w:rPr>
                <w:rFonts w:ascii="Arial" w:hAnsi="Arial" w:cs="Arial"/>
                <w:iCs/>
              </w:rPr>
            </w:pPr>
            <w:r w:rsidRPr="009A1A2E">
              <w:rPr>
                <w:rFonts w:ascii="Arial" w:hAnsi="Arial" w:cs="Arial"/>
              </w:rPr>
              <w:t>Volume</w:t>
            </w:r>
          </w:p>
        </w:tc>
        <w:tc>
          <w:tcPr>
            <w:tcW w:w="2516" w:type="dxa"/>
            <w:tcBorders>
              <w:top w:val="single" w:sz="4" w:space="0" w:color="000000"/>
              <w:bottom w:val="single" w:sz="4" w:space="0" w:color="000000"/>
            </w:tcBorders>
          </w:tcPr>
          <w:p w14:paraId="4E3E71DB" w14:textId="77777777" w:rsidR="00FF05EE" w:rsidRPr="009A1A2E" w:rsidRDefault="00FF05EE" w:rsidP="009D3024">
            <w:pPr>
              <w:pStyle w:val="Tableheading"/>
              <w:spacing w:line="276" w:lineRule="auto"/>
              <w:jc w:val="both"/>
              <w:rPr>
                <w:rFonts w:ascii="Arial" w:hAnsi="Arial" w:cs="Arial"/>
                <w:bCs/>
              </w:rPr>
            </w:pPr>
            <w:r w:rsidRPr="009A1A2E">
              <w:rPr>
                <w:rFonts w:ascii="Arial" w:hAnsi="Arial" w:cs="Arial"/>
                <w:bCs/>
              </w:rPr>
              <w:t>Number</w:t>
            </w:r>
            <w:r w:rsidR="00132E0B" w:rsidRPr="009A1A2E">
              <w:rPr>
                <w:rFonts w:ascii="Arial" w:hAnsi="Arial" w:cs="Arial"/>
                <w:bCs/>
              </w:rPr>
              <w:t>s of c</w:t>
            </w:r>
            <w:r w:rsidRPr="009A1A2E">
              <w:rPr>
                <w:rFonts w:ascii="Arial" w:hAnsi="Arial" w:cs="Arial"/>
                <w:bCs/>
              </w:rPr>
              <w:t>opies</w:t>
            </w:r>
            <w:r w:rsidR="00C90D02" w:rsidRPr="009A1A2E">
              <w:rPr>
                <w:rFonts w:ascii="Arial" w:hAnsi="Arial" w:cs="Arial"/>
                <w:bCs/>
              </w:rPr>
              <w:t xml:space="preserve"> provided</w:t>
            </w:r>
          </w:p>
        </w:tc>
      </w:tr>
      <w:tr w:rsidR="00AA38AB" w:rsidRPr="009A1A2E" w14:paraId="34245501" w14:textId="77777777" w:rsidTr="00791EC7">
        <w:tc>
          <w:tcPr>
            <w:tcW w:w="6488" w:type="dxa"/>
            <w:tcBorders>
              <w:top w:val="single" w:sz="4" w:space="0" w:color="000000"/>
            </w:tcBorders>
          </w:tcPr>
          <w:p w14:paraId="1A6368E6" w14:textId="77777777" w:rsidR="00AA38AB" w:rsidRPr="009A1A2E" w:rsidRDefault="00AA38AB" w:rsidP="009D3024">
            <w:pPr>
              <w:pStyle w:val="Tabletext"/>
              <w:numPr>
                <w:ilvl w:val="0"/>
                <w:numId w:val="44"/>
              </w:numPr>
              <w:spacing w:line="276" w:lineRule="auto"/>
              <w:jc w:val="both"/>
              <w:rPr>
                <w:rFonts w:ascii="Arial" w:hAnsi="Arial" w:cs="Arial"/>
                <w:iCs/>
              </w:rPr>
            </w:pPr>
            <w:r w:rsidRPr="009A1A2E">
              <w:rPr>
                <w:rFonts w:ascii="Arial" w:hAnsi="Arial" w:cs="Arial"/>
              </w:rPr>
              <w:t>Main body of the submission</w:t>
            </w:r>
          </w:p>
        </w:tc>
        <w:tc>
          <w:tcPr>
            <w:tcW w:w="2516" w:type="dxa"/>
            <w:tcBorders>
              <w:top w:val="single" w:sz="4" w:space="0" w:color="000000"/>
            </w:tcBorders>
          </w:tcPr>
          <w:p w14:paraId="72BC12A6" w14:textId="77777777" w:rsidR="00AA38AB" w:rsidRPr="009A1A2E" w:rsidRDefault="00AA38AB" w:rsidP="009D3024">
            <w:pPr>
              <w:pStyle w:val="Tabletext"/>
              <w:spacing w:line="276" w:lineRule="auto"/>
              <w:jc w:val="both"/>
              <w:rPr>
                <w:rFonts w:ascii="Arial" w:hAnsi="Arial" w:cs="Arial"/>
              </w:rPr>
            </w:pPr>
            <w:r w:rsidRPr="009A1A2E">
              <w:rPr>
                <w:rFonts w:ascii="Arial" w:hAnsi="Arial" w:cs="Arial"/>
              </w:rPr>
              <w:t>4</w:t>
            </w:r>
          </w:p>
        </w:tc>
      </w:tr>
      <w:tr w:rsidR="00AA38AB" w:rsidRPr="009A1A2E" w14:paraId="7CB0F617" w14:textId="77777777" w:rsidTr="00791EC7">
        <w:tc>
          <w:tcPr>
            <w:tcW w:w="6488" w:type="dxa"/>
          </w:tcPr>
          <w:p w14:paraId="70DDD403" w14:textId="77777777" w:rsidR="00AA38AB" w:rsidRPr="009A1A2E" w:rsidRDefault="00AA38AB" w:rsidP="009D3024">
            <w:pPr>
              <w:pStyle w:val="Tabletext"/>
              <w:numPr>
                <w:ilvl w:val="0"/>
                <w:numId w:val="44"/>
              </w:numPr>
              <w:spacing w:line="276" w:lineRule="auto"/>
              <w:jc w:val="both"/>
              <w:rPr>
                <w:rFonts w:ascii="Arial" w:hAnsi="Arial" w:cs="Arial"/>
                <w:bCs/>
              </w:rPr>
            </w:pPr>
            <w:r w:rsidRPr="009A1A2E">
              <w:rPr>
                <w:rFonts w:ascii="Arial" w:hAnsi="Arial" w:cs="Arial"/>
                <w:bCs/>
              </w:rPr>
              <w:t>Attachments volume</w:t>
            </w:r>
          </w:p>
        </w:tc>
        <w:tc>
          <w:tcPr>
            <w:tcW w:w="2516" w:type="dxa"/>
          </w:tcPr>
          <w:p w14:paraId="091B7054" w14:textId="77777777" w:rsidR="00AA38AB" w:rsidRPr="009A1A2E" w:rsidRDefault="00AA38AB" w:rsidP="009D3024">
            <w:pPr>
              <w:pStyle w:val="Tabletext"/>
              <w:spacing w:line="276" w:lineRule="auto"/>
              <w:jc w:val="both"/>
              <w:rPr>
                <w:rFonts w:ascii="Arial" w:hAnsi="Arial" w:cs="Arial"/>
              </w:rPr>
            </w:pPr>
            <w:r w:rsidRPr="009A1A2E">
              <w:rPr>
                <w:rFonts w:ascii="Arial" w:hAnsi="Arial" w:cs="Arial"/>
              </w:rPr>
              <w:t>4</w:t>
            </w:r>
          </w:p>
        </w:tc>
      </w:tr>
      <w:tr w:rsidR="00AA38AB" w:rsidRPr="009A1A2E" w14:paraId="51D002C2" w14:textId="77777777" w:rsidTr="00791EC7">
        <w:tc>
          <w:tcPr>
            <w:tcW w:w="6488" w:type="dxa"/>
          </w:tcPr>
          <w:p w14:paraId="2BDDDDAC" w14:textId="77777777" w:rsidR="00AA38AB" w:rsidRPr="009A1A2E" w:rsidRDefault="00AA38AB" w:rsidP="009D3024">
            <w:pPr>
              <w:pStyle w:val="Tabletext"/>
              <w:numPr>
                <w:ilvl w:val="0"/>
                <w:numId w:val="44"/>
              </w:numPr>
              <w:spacing w:line="276" w:lineRule="auto"/>
              <w:jc w:val="both"/>
              <w:rPr>
                <w:rFonts w:ascii="Arial" w:hAnsi="Arial" w:cs="Arial"/>
                <w:bCs/>
              </w:rPr>
            </w:pPr>
            <w:r w:rsidRPr="009A1A2E">
              <w:rPr>
                <w:rFonts w:ascii="Arial" w:hAnsi="Arial" w:cs="Arial"/>
                <w:bCs/>
              </w:rPr>
              <w:t>References volume</w:t>
            </w:r>
          </w:p>
        </w:tc>
        <w:tc>
          <w:tcPr>
            <w:tcW w:w="2516" w:type="dxa"/>
          </w:tcPr>
          <w:p w14:paraId="798DD923" w14:textId="77777777" w:rsidR="00AA38AB" w:rsidRPr="009A1A2E" w:rsidRDefault="00AA38AB" w:rsidP="009D3024">
            <w:pPr>
              <w:pStyle w:val="Tabletext"/>
              <w:spacing w:line="276" w:lineRule="auto"/>
              <w:jc w:val="both"/>
              <w:rPr>
                <w:rFonts w:ascii="Arial" w:hAnsi="Arial" w:cs="Arial"/>
              </w:rPr>
            </w:pPr>
            <w:r w:rsidRPr="009A1A2E">
              <w:rPr>
                <w:rFonts w:ascii="Arial" w:hAnsi="Arial" w:cs="Arial"/>
              </w:rPr>
              <w:t>4</w:t>
            </w:r>
          </w:p>
        </w:tc>
      </w:tr>
    </w:tbl>
    <w:p w14:paraId="3406ADCF" w14:textId="77777777" w:rsidR="00FF05EE" w:rsidRPr="009A1A2E" w:rsidRDefault="00FF05EE" w:rsidP="009D3024">
      <w:pPr>
        <w:spacing w:line="276" w:lineRule="auto"/>
        <w:jc w:val="both"/>
      </w:pPr>
    </w:p>
    <w:p w14:paraId="7F46B629" w14:textId="77777777" w:rsidR="00362526" w:rsidRPr="009A1A2E" w:rsidRDefault="00362526" w:rsidP="009D3024">
      <w:pPr>
        <w:spacing w:line="276" w:lineRule="auto"/>
        <w:jc w:val="both"/>
      </w:pPr>
    </w:p>
    <w:p w14:paraId="56C74C89" w14:textId="77777777" w:rsidR="00362526" w:rsidRPr="009A1A2E" w:rsidRDefault="00362526" w:rsidP="009D3024">
      <w:pPr>
        <w:spacing w:line="276" w:lineRule="auto"/>
        <w:jc w:val="both"/>
      </w:pPr>
    </w:p>
    <w:p w14:paraId="36D01789" w14:textId="77777777" w:rsidR="00132E0B" w:rsidRPr="009A1A2E" w:rsidRDefault="00132E0B" w:rsidP="00213B3B">
      <w:pPr>
        <w:pStyle w:val="Heading1"/>
        <w:spacing w:line="360" w:lineRule="auto"/>
        <w:jc w:val="both"/>
        <w:rPr>
          <w:lang w:val="en-AU"/>
        </w:rPr>
        <w:sectPr w:rsidR="00132E0B" w:rsidRPr="009A1A2E" w:rsidSect="008846BA">
          <w:pgSz w:w="11907" w:h="16839" w:code="9"/>
          <w:pgMar w:top="1701" w:right="1418" w:bottom="1418" w:left="1701" w:header="720" w:footer="720" w:gutter="0"/>
          <w:paperSrc w:first="4035" w:other="4035"/>
          <w:pgNumType w:fmt="lowerRoman"/>
          <w:cols w:space="720"/>
          <w:noEndnote/>
        </w:sectPr>
      </w:pPr>
      <w:bookmarkStart w:id="43" w:name="_Toc258501753"/>
    </w:p>
    <w:p w14:paraId="6823AE98" w14:textId="77777777" w:rsidR="005D7275" w:rsidRPr="009A1A2E" w:rsidRDefault="00054963" w:rsidP="00213B3B">
      <w:pPr>
        <w:pStyle w:val="Heading1"/>
        <w:spacing w:line="360" w:lineRule="auto"/>
        <w:jc w:val="both"/>
        <w:rPr>
          <w:lang w:val="en-AU"/>
        </w:rPr>
      </w:pPr>
      <w:bookmarkStart w:id="44" w:name="_Toc400549393"/>
      <w:bookmarkStart w:id="45" w:name="_Toc431917546"/>
      <w:bookmarkEnd w:id="43"/>
      <w:r w:rsidRPr="009A1A2E">
        <w:rPr>
          <w:lang w:val="en-AU"/>
        </w:rPr>
        <w:lastRenderedPageBreak/>
        <w:t>Abbreviations</w:t>
      </w:r>
      <w:bookmarkEnd w:id="44"/>
      <w:bookmarkEnd w:id="45"/>
    </w:p>
    <w:tbl>
      <w:tblPr>
        <w:tblpPr w:leftFromText="180" w:rightFromText="180" w:vertAnchor="text" w:tblpY="1"/>
        <w:tblOverlap w:val="never"/>
        <w:tblW w:w="4871" w:type="pct"/>
        <w:tblBorders>
          <w:top w:val="single" w:sz="4" w:space="0" w:color="000000"/>
          <w:bottom w:val="single" w:sz="4" w:space="0" w:color="000000"/>
        </w:tblBorders>
        <w:tblLook w:val="01E0" w:firstRow="1" w:lastRow="1" w:firstColumn="1" w:lastColumn="1" w:noHBand="0" w:noVBand="0"/>
      </w:tblPr>
      <w:tblGrid>
        <w:gridCol w:w="2039"/>
        <w:gridCol w:w="6733"/>
      </w:tblGrid>
      <w:tr w:rsidR="00054963" w:rsidRPr="009A1A2E" w14:paraId="260F34BB" w14:textId="77777777" w:rsidTr="00D57A85">
        <w:trPr>
          <w:cantSplit/>
          <w:tblHeader/>
        </w:trPr>
        <w:tc>
          <w:tcPr>
            <w:tcW w:w="1162" w:type="pct"/>
            <w:tcBorders>
              <w:top w:val="single" w:sz="4" w:space="0" w:color="000000"/>
              <w:bottom w:val="single" w:sz="4" w:space="0" w:color="000000"/>
            </w:tcBorders>
          </w:tcPr>
          <w:p w14:paraId="3BEDF687" w14:textId="77777777" w:rsidR="00054963" w:rsidRPr="009A1A2E" w:rsidRDefault="00054963" w:rsidP="00213B3B">
            <w:pPr>
              <w:pStyle w:val="Tableheading"/>
              <w:spacing w:line="360" w:lineRule="auto"/>
              <w:jc w:val="both"/>
              <w:rPr>
                <w:rFonts w:ascii="Arial" w:hAnsi="Arial" w:cs="Arial"/>
              </w:rPr>
            </w:pPr>
            <w:r w:rsidRPr="009A1A2E">
              <w:rPr>
                <w:rFonts w:ascii="Arial" w:hAnsi="Arial" w:cs="Arial"/>
              </w:rPr>
              <w:t>Abbreviation</w:t>
            </w:r>
          </w:p>
        </w:tc>
        <w:tc>
          <w:tcPr>
            <w:tcW w:w="3838" w:type="pct"/>
            <w:tcBorders>
              <w:top w:val="single" w:sz="4" w:space="0" w:color="000000"/>
              <w:bottom w:val="single" w:sz="4" w:space="0" w:color="000000"/>
            </w:tcBorders>
          </w:tcPr>
          <w:p w14:paraId="331775CE" w14:textId="77777777" w:rsidR="00054963" w:rsidRPr="009A1A2E" w:rsidRDefault="00054963" w:rsidP="00213B3B">
            <w:pPr>
              <w:pStyle w:val="Tableheading"/>
              <w:spacing w:line="360" w:lineRule="auto"/>
              <w:jc w:val="both"/>
              <w:rPr>
                <w:rFonts w:ascii="Arial" w:hAnsi="Arial" w:cs="Arial"/>
              </w:rPr>
            </w:pPr>
            <w:r w:rsidRPr="009A1A2E">
              <w:rPr>
                <w:rFonts w:ascii="Arial" w:hAnsi="Arial" w:cs="Arial"/>
              </w:rPr>
              <w:t>Full term</w:t>
            </w:r>
          </w:p>
        </w:tc>
      </w:tr>
      <w:tr w:rsidR="00513052" w:rsidRPr="009A1A2E" w14:paraId="4572D699" w14:textId="77777777" w:rsidTr="00D57A85">
        <w:tc>
          <w:tcPr>
            <w:tcW w:w="1162" w:type="pct"/>
          </w:tcPr>
          <w:p w14:paraId="3066BC0E" w14:textId="77777777" w:rsidR="00513052" w:rsidRPr="009A1A2E" w:rsidRDefault="00513052" w:rsidP="00E179E8">
            <w:pPr>
              <w:pStyle w:val="Tabletext"/>
              <w:spacing w:line="360" w:lineRule="auto"/>
              <w:jc w:val="both"/>
              <w:rPr>
                <w:rFonts w:ascii="Arial" w:hAnsi="Arial" w:cs="Arial"/>
              </w:rPr>
            </w:pPr>
            <w:r w:rsidRPr="009A1A2E">
              <w:rPr>
                <w:rFonts w:ascii="Arial" w:hAnsi="Arial" w:cs="Arial"/>
              </w:rPr>
              <w:t>AC</w:t>
            </w:r>
          </w:p>
        </w:tc>
        <w:tc>
          <w:tcPr>
            <w:tcW w:w="3838" w:type="pct"/>
          </w:tcPr>
          <w:p w14:paraId="704941EB" w14:textId="77777777" w:rsidR="00513052" w:rsidRPr="009A1A2E" w:rsidRDefault="00513052" w:rsidP="00E179E8">
            <w:pPr>
              <w:pStyle w:val="Tabletext"/>
              <w:spacing w:line="360" w:lineRule="auto"/>
              <w:jc w:val="both"/>
              <w:rPr>
                <w:rFonts w:ascii="Arial" w:hAnsi="Arial" w:cs="Arial"/>
              </w:rPr>
            </w:pPr>
            <w:r w:rsidRPr="009A1A2E">
              <w:rPr>
                <w:rFonts w:ascii="Arial" w:hAnsi="Arial" w:cs="Arial"/>
              </w:rPr>
              <w:t>Air conduction</w:t>
            </w:r>
          </w:p>
        </w:tc>
      </w:tr>
      <w:tr w:rsidR="002D22D8" w:rsidRPr="009A1A2E" w14:paraId="364083BA" w14:textId="77777777" w:rsidTr="00D57A85">
        <w:tc>
          <w:tcPr>
            <w:tcW w:w="1162" w:type="pct"/>
          </w:tcPr>
          <w:p w14:paraId="619F79BB" w14:textId="77777777" w:rsidR="002D22D8" w:rsidRPr="009A1A2E" w:rsidRDefault="002D22D8" w:rsidP="00E179E8">
            <w:pPr>
              <w:pStyle w:val="Tabletext"/>
              <w:spacing w:line="360" w:lineRule="auto"/>
              <w:jc w:val="both"/>
              <w:rPr>
                <w:rFonts w:ascii="Arial" w:hAnsi="Arial" w:cs="Arial"/>
              </w:rPr>
            </w:pPr>
            <w:r w:rsidRPr="009A1A2E">
              <w:rPr>
                <w:rFonts w:ascii="Arial" w:hAnsi="Arial" w:cs="Arial"/>
              </w:rPr>
              <w:t>AMEI</w:t>
            </w:r>
          </w:p>
        </w:tc>
        <w:tc>
          <w:tcPr>
            <w:tcW w:w="3838" w:type="pct"/>
          </w:tcPr>
          <w:p w14:paraId="3E0DE615" w14:textId="77777777" w:rsidR="002D22D8" w:rsidRPr="009A1A2E" w:rsidRDefault="002D22D8" w:rsidP="00E179E8">
            <w:pPr>
              <w:pStyle w:val="Tabletext"/>
              <w:spacing w:line="360" w:lineRule="auto"/>
              <w:jc w:val="both"/>
              <w:rPr>
                <w:rFonts w:ascii="Arial" w:hAnsi="Arial" w:cs="Arial"/>
              </w:rPr>
            </w:pPr>
            <w:r w:rsidRPr="009A1A2E">
              <w:rPr>
                <w:rFonts w:ascii="Arial" w:hAnsi="Arial" w:cs="Arial"/>
              </w:rPr>
              <w:t>Active Middle Ear Implant</w:t>
            </w:r>
          </w:p>
        </w:tc>
      </w:tr>
      <w:tr w:rsidR="002D22D8" w:rsidRPr="009A1A2E" w14:paraId="611D0495" w14:textId="77777777" w:rsidTr="00D57A85">
        <w:tc>
          <w:tcPr>
            <w:tcW w:w="1162" w:type="pct"/>
          </w:tcPr>
          <w:p w14:paraId="640A5713" w14:textId="77777777" w:rsidR="002D22D8" w:rsidRPr="009A1A2E" w:rsidRDefault="002D22D8" w:rsidP="00E179E8">
            <w:pPr>
              <w:pStyle w:val="Tabletext"/>
              <w:spacing w:line="360" w:lineRule="auto"/>
              <w:jc w:val="both"/>
              <w:rPr>
                <w:rFonts w:ascii="Arial" w:hAnsi="Arial" w:cs="Arial"/>
              </w:rPr>
            </w:pPr>
            <w:r w:rsidRPr="009A1A2E">
              <w:rPr>
                <w:rFonts w:ascii="Arial" w:hAnsi="Arial" w:cs="Arial"/>
              </w:rPr>
              <w:t>AP</w:t>
            </w:r>
          </w:p>
        </w:tc>
        <w:tc>
          <w:tcPr>
            <w:tcW w:w="3838" w:type="pct"/>
          </w:tcPr>
          <w:p w14:paraId="7BBB724E" w14:textId="77777777" w:rsidR="002D22D8" w:rsidRPr="009A1A2E" w:rsidRDefault="002D22D8" w:rsidP="00E179E8">
            <w:pPr>
              <w:pStyle w:val="Tabletext"/>
              <w:spacing w:line="360" w:lineRule="auto"/>
              <w:jc w:val="both"/>
              <w:rPr>
                <w:rFonts w:ascii="Arial" w:hAnsi="Arial" w:cs="Arial"/>
              </w:rPr>
            </w:pPr>
            <w:r w:rsidRPr="009A1A2E">
              <w:rPr>
                <w:rFonts w:ascii="Arial" w:hAnsi="Arial" w:cs="Arial"/>
              </w:rPr>
              <w:t>Audio Processor</w:t>
            </w:r>
          </w:p>
        </w:tc>
      </w:tr>
      <w:tr w:rsidR="00E07D12" w:rsidRPr="009A1A2E" w14:paraId="666D98AA" w14:textId="77777777" w:rsidTr="00D57A85">
        <w:tc>
          <w:tcPr>
            <w:tcW w:w="1162" w:type="pct"/>
          </w:tcPr>
          <w:p w14:paraId="3145B7D9" w14:textId="77777777" w:rsidR="00E07D12" w:rsidRPr="009A1A2E" w:rsidRDefault="00E07D12" w:rsidP="00E179E8">
            <w:pPr>
              <w:pStyle w:val="Tabletext"/>
              <w:spacing w:line="360" w:lineRule="auto"/>
              <w:jc w:val="both"/>
              <w:rPr>
                <w:rFonts w:ascii="Arial" w:hAnsi="Arial" w:cs="Arial"/>
              </w:rPr>
            </w:pPr>
            <w:r w:rsidRPr="009A1A2E">
              <w:rPr>
                <w:rFonts w:ascii="Arial" w:hAnsi="Arial" w:cs="Arial"/>
              </w:rPr>
              <w:t>APHAB</w:t>
            </w:r>
          </w:p>
        </w:tc>
        <w:tc>
          <w:tcPr>
            <w:tcW w:w="3838" w:type="pct"/>
          </w:tcPr>
          <w:p w14:paraId="5AAAD300" w14:textId="77777777" w:rsidR="00E07D12" w:rsidRPr="009A1A2E" w:rsidRDefault="001A5A13" w:rsidP="00E179E8">
            <w:pPr>
              <w:pStyle w:val="Tabletext"/>
              <w:spacing w:line="360" w:lineRule="auto"/>
              <w:jc w:val="both"/>
              <w:rPr>
                <w:rFonts w:ascii="Arial" w:hAnsi="Arial" w:cs="Arial"/>
              </w:rPr>
            </w:pPr>
            <w:r w:rsidRPr="009A1A2E">
              <w:rPr>
                <w:rFonts w:ascii="Arial" w:hAnsi="Arial" w:cs="Arial"/>
              </w:rPr>
              <w:t>Abbreviated Profile of Hearing Aid Benefit</w:t>
            </w:r>
          </w:p>
        </w:tc>
      </w:tr>
      <w:tr w:rsidR="002D22D8" w:rsidRPr="009A1A2E" w14:paraId="40F95848" w14:textId="77777777" w:rsidTr="00D57A85">
        <w:tc>
          <w:tcPr>
            <w:tcW w:w="1162" w:type="pct"/>
          </w:tcPr>
          <w:p w14:paraId="1586A0A8" w14:textId="77777777" w:rsidR="002D22D8" w:rsidRPr="009A1A2E" w:rsidRDefault="002D22D8" w:rsidP="00E179E8">
            <w:pPr>
              <w:pStyle w:val="Tabletext"/>
              <w:spacing w:line="360" w:lineRule="auto"/>
              <w:jc w:val="both"/>
              <w:rPr>
                <w:rFonts w:ascii="Arial" w:hAnsi="Arial" w:cs="Arial"/>
              </w:rPr>
            </w:pPr>
            <w:r w:rsidRPr="009A1A2E">
              <w:rPr>
                <w:rFonts w:ascii="Arial" w:hAnsi="Arial" w:cs="Arial"/>
              </w:rPr>
              <w:t>AR-DRG</w:t>
            </w:r>
          </w:p>
        </w:tc>
        <w:tc>
          <w:tcPr>
            <w:tcW w:w="3838" w:type="pct"/>
          </w:tcPr>
          <w:p w14:paraId="68CDF9E9" w14:textId="77777777" w:rsidR="002D22D8" w:rsidRPr="009A1A2E" w:rsidRDefault="002D22D8" w:rsidP="00E179E8">
            <w:pPr>
              <w:pStyle w:val="Tabletext"/>
              <w:spacing w:line="360" w:lineRule="auto"/>
              <w:jc w:val="both"/>
              <w:rPr>
                <w:rFonts w:ascii="Arial" w:hAnsi="Arial" w:cs="Arial"/>
              </w:rPr>
            </w:pPr>
            <w:r w:rsidRPr="009A1A2E">
              <w:rPr>
                <w:rFonts w:ascii="Arial" w:hAnsi="Arial" w:cs="Arial"/>
              </w:rPr>
              <w:t>Australian Refined Diagnostic Related Group</w:t>
            </w:r>
          </w:p>
        </w:tc>
      </w:tr>
      <w:tr w:rsidR="002D22D8" w:rsidRPr="009A1A2E" w14:paraId="4CACFE5C" w14:textId="77777777" w:rsidTr="00D57A85">
        <w:tc>
          <w:tcPr>
            <w:tcW w:w="1162" w:type="pct"/>
          </w:tcPr>
          <w:p w14:paraId="38BC8691" w14:textId="77777777" w:rsidR="002D22D8" w:rsidRPr="009A1A2E" w:rsidRDefault="002D22D8" w:rsidP="00E179E8">
            <w:pPr>
              <w:pStyle w:val="Tabletext"/>
              <w:spacing w:line="360" w:lineRule="auto"/>
              <w:jc w:val="both"/>
              <w:rPr>
                <w:rFonts w:ascii="Arial" w:hAnsi="Arial" w:cs="Arial"/>
              </w:rPr>
            </w:pPr>
            <w:r w:rsidRPr="009A1A2E">
              <w:rPr>
                <w:rFonts w:ascii="Arial" w:hAnsi="Arial" w:cs="Arial"/>
                <w:lang w:eastAsia="ja-JP"/>
              </w:rPr>
              <w:t>ARTG</w:t>
            </w:r>
          </w:p>
        </w:tc>
        <w:tc>
          <w:tcPr>
            <w:tcW w:w="3838" w:type="pct"/>
          </w:tcPr>
          <w:p w14:paraId="33833C4C" w14:textId="77777777" w:rsidR="002D22D8" w:rsidRPr="009A1A2E" w:rsidRDefault="002D22D8" w:rsidP="00E179E8">
            <w:pPr>
              <w:pStyle w:val="Tabletext"/>
              <w:spacing w:line="360" w:lineRule="auto"/>
              <w:jc w:val="both"/>
              <w:rPr>
                <w:rFonts w:ascii="Arial" w:hAnsi="Arial" w:cs="Arial"/>
              </w:rPr>
            </w:pPr>
            <w:r w:rsidRPr="009A1A2E">
              <w:rPr>
                <w:rFonts w:ascii="Arial" w:hAnsi="Arial" w:cs="Arial"/>
                <w:lang w:eastAsia="ja-JP"/>
              </w:rPr>
              <w:t>Australian Register of Therapeutic Goods</w:t>
            </w:r>
          </w:p>
        </w:tc>
      </w:tr>
      <w:tr w:rsidR="006D76D4" w:rsidRPr="009A1A2E" w14:paraId="4A9AE4D6" w14:textId="77777777" w:rsidTr="00D57A85">
        <w:tc>
          <w:tcPr>
            <w:tcW w:w="1162" w:type="pct"/>
          </w:tcPr>
          <w:p w14:paraId="23A6E597" w14:textId="77777777" w:rsidR="006D76D4" w:rsidRPr="009A1A2E" w:rsidRDefault="006D76D4" w:rsidP="008C00FB">
            <w:pPr>
              <w:pStyle w:val="Tabletext"/>
              <w:spacing w:line="360" w:lineRule="auto"/>
              <w:jc w:val="both"/>
              <w:rPr>
                <w:rFonts w:ascii="Arial" w:hAnsi="Arial" w:cs="Arial"/>
                <w:lang w:eastAsia="ja-JP"/>
              </w:rPr>
            </w:pPr>
            <w:r w:rsidRPr="009A1A2E">
              <w:rPr>
                <w:rFonts w:ascii="Arial" w:hAnsi="Arial" w:cs="Arial"/>
                <w:lang w:eastAsia="ja-JP"/>
              </w:rPr>
              <w:t>AU</w:t>
            </w:r>
            <w:r w:rsidR="008C00FB" w:rsidRPr="009A1A2E">
              <w:rPr>
                <w:rFonts w:ascii="Arial" w:hAnsi="Arial" w:cs="Arial"/>
                <w:lang w:eastAsia="ja-JP"/>
              </w:rPr>
              <w:t>D</w:t>
            </w:r>
          </w:p>
        </w:tc>
        <w:tc>
          <w:tcPr>
            <w:tcW w:w="3838" w:type="pct"/>
          </w:tcPr>
          <w:p w14:paraId="54C2A759" w14:textId="77777777" w:rsidR="006D76D4" w:rsidRPr="009A1A2E" w:rsidRDefault="006D76D4" w:rsidP="00E179E8">
            <w:pPr>
              <w:pStyle w:val="Tabletext"/>
              <w:spacing w:line="360" w:lineRule="auto"/>
              <w:jc w:val="both"/>
              <w:rPr>
                <w:rFonts w:ascii="Arial" w:hAnsi="Arial" w:cs="Arial"/>
                <w:lang w:eastAsia="ja-JP"/>
              </w:rPr>
            </w:pPr>
            <w:r w:rsidRPr="009A1A2E">
              <w:rPr>
                <w:rFonts w:ascii="Arial" w:hAnsi="Arial" w:cs="Arial"/>
                <w:lang w:eastAsia="ja-JP"/>
              </w:rPr>
              <w:t>Australian Dollar</w:t>
            </w:r>
          </w:p>
        </w:tc>
      </w:tr>
      <w:tr w:rsidR="006D76D4" w:rsidRPr="009A1A2E" w14:paraId="25264D9E" w14:textId="77777777" w:rsidTr="00D57A85">
        <w:tc>
          <w:tcPr>
            <w:tcW w:w="1162" w:type="pct"/>
          </w:tcPr>
          <w:p w14:paraId="3349C7F9" w14:textId="77777777" w:rsidR="006D76D4" w:rsidRPr="009A1A2E" w:rsidRDefault="006D76D4" w:rsidP="00E179E8">
            <w:pPr>
              <w:pStyle w:val="Tabletext"/>
              <w:spacing w:line="360" w:lineRule="auto"/>
              <w:jc w:val="both"/>
              <w:rPr>
                <w:rFonts w:ascii="Arial" w:hAnsi="Arial" w:cs="Arial"/>
                <w:lang w:eastAsia="ja-JP"/>
              </w:rPr>
            </w:pPr>
            <w:r w:rsidRPr="009A1A2E">
              <w:rPr>
                <w:rFonts w:ascii="Arial" w:hAnsi="Arial" w:cs="Arial"/>
                <w:lang w:eastAsia="ja-JP"/>
              </w:rPr>
              <w:t>BAHA</w:t>
            </w:r>
          </w:p>
        </w:tc>
        <w:tc>
          <w:tcPr>
            <w:tcW w:w="3838" w:type="pct"/>
          </w:tcPr>
          <w:p w14:paraId="30897A51" w14:textId="77777777" w:rsidR="006D76D4" w:rsidRPr="009A1A2E" w:rsidRDefault="006D76D4" w:rsidP="00E179E8">
            <w:pPr>
              <w:pStyle w:val="Tabletext"/>
              <w:spacing w:line="360" w:lineRule="auto"/>
              <w:jc w:val="both"/>
              <w:rPr>
                <w:rFonts w:ascii="Arial" w:hAnsi="Arial" w:cs="Arial"/>
                <w:lang w:eastAsia="ja-JP"/>
              </w:rPr>
            </w:pPr>
            <w:r w:rsidRPr="009A1A2E">
              <w:rPr>
                <w:rFonts w:ascii="Arial" w:hAnsi="Arial" w:cs="Arial"/>
                <w:lang w:eastAsia="ja-JP"/>
              </w:rPr>
              <w:t>Bone anchored hearing aid</w:t>
            </w:r>
          </w:p>
        </w:tc>
      </w:tr>
      <w:tr w:rsidR="00513052" w:rsidRPr="009A1A2E" w14:paraId="3A570378" w14:textId="77777777" w:rsidTr="00D57A85">
        <w:tc>
          <w:tcPr>
            <w:tcW w:w="1162" w:type="pct"/>
          </w:tcPr>
          <w:p w14:paraId="497C7838" w14:textId="77777777" w:rsidR="00513052" w:rsidRPr="009A1A2E" w:rsidRDefault="00513052" w:rsidP="00E179E8">
            <w:pPr>
              <w:pStyle w:val="Tabletext"/>
              <w:spacing w:line="360" w:lineRule="auto"/>
              <w:jc w:val="both"/>
              <w:rPr>
                <w:rFonts w:ascii="Arial" w:hAnsi="Arial" w:cs="Arial"/>
                <w:lang w:eastAsia="ja-JP"/>
              </w:rPr>
            </w:pPr>
            <w:r w:rsidRPr="009A1A2E">
              <w:rPr>
                <w:rFonts w:ascii="Arial" w:hAnsi="Arial" w:cs="Arial"/>
                <w:lang w:eastAsia="ja-JP"/>
              </w:rPr>
              <w:t>BC</w:t>
            </w:r>
          </w:p>
        </w:tc>
        <w:tc>
          <w:tcPr>
            <w:tcW w:w="3838" w:type="pct"/>
          </w:tcPr>
          <w:p w14:paraId="471CE3AB" w14:textId="77777777" w:rsidR="00513052" w:rsidRPr="009A1A2E" w:rsidRDefault="00513052" w:rsidP="00E179E8">
            <w:pPr>
              <w:pStyle w:val="Tabletext"/>
              <w:spacing w:line="360" w:lineRule="auto"/>
              <w:jc w:val="both"/>
              <w:rPr>
                <w:rFonts w:ascii="Arial" w:hAnsi="Arial" w:cs="Arial"/>
                <w:lang w:eastAsia="ja-JP"/>
              </w:rPr>
            </w:pPr>
            <w:r w:rsidRPr="009A1A2E">
              <w:rPr>
                <w:rFonts w:ascii="Arial" w:hAnsi="Arial" w:cs="Arial"/>
                <w:lang w:eastAsia="ja-JP"/>
              </w:rPr>
              <w:t>Bone conduction</w:t>
            </w:r>
          </w:p>
        </w:tc>
      </w:tr>
      <w:tr w:rsidR="007B23BC" w:rsidRPr="009A1A2E" w14:paraId="3783827D" w14:textId="77777777" w:rsidTr="00D57A85">
        <w:tc>
          <w:tcPr>
            <w:tcW w:w="1162" w:type="pct"/>
          </w:tcPr>
          <w:p w14:paraId="372CDF19" w14:textId="77777777" w:rsidR="007B23BC" w:rsidRPr="009A1A2E" w:rsidRDefault="007B23BC" w:rsidP="007B23BC">
            <w:pPr>
              <w:pStyle w:val="Tabletext"/>
              <w:spacing w:line="360" w:lineRule="auto"/>
              <w:jc w:val="both"/>
              <w:rPr>
                <w:rFonts w:ascii="Arial" w:hAnsi="Arial" w:cs="Arial"/>
              </w:rPr>
            </w:pPr>
            <w:r w:rsidRPr="009A1A2E">
              <w:rPr>
                <w:rFonts w:ascii="Arial" w:hAnsi="Arial" w:cs="Arial"/>
              </w:rPr>
              <w:t>BIA</w:t>
            </w:r>
          </w:p>
        </w:tc>
        <w:tc>
          <w:tcPr>
            <w:tcW w:w="3838" w:type="pct"/>
          </w:tcPr>
          <w:p w14:paraId="4F778704" w14:textId="77777777" w:rsidR="007B23BC" w:rsidRPr="009A1A2E" w:rsidRDefault="007B23BC" w:rsidP="007B23BC">
            <w:pPr>
              <w:pStyle w:val="Tabletext"/>
              <w:spacing w:line="360" w:lineRule="auto"/>
              <w:jc w:val="both"/>
              <w:rPr>
                <w:rFonts w:ascii="Arial" w:hAnsi="Arial" w:cs="Arial"/>
              </w:rPr>
            </w:pPr>
            <w:r w:rsidRPr="009A1A2E">
              <w:rPr>
                <w:rFonts w:ascii="Arial" w:hAnsi="Arial" w:cs="Arial"/>
              </w:rPr>
              <w:t>Budget impact analysis</w:t>
            </w:r>
          </w:p>
        </w:tc>
      </w:tr>
      <w:tr w:rsidR="007B23BC" w:rsidRPr="009A1A2E" w14:paraId="7AEBD66B" w14:textId="77777777" w:rsidTr="00D57A85">
        <w:tc>
          <w:tcPr>
            <w:tcW w:w="1162" w:type="pct"/>
          </w:tcPr>
          <w:p w14:paraId="4B31CDAD" w14:textId="77777777" w:rsidR="007B23BC" w:rsidRPr="009A1A2E" w:rsidRDefault="007B23BC" w:rsidP="007B23BC">
            <w:pPr>
              <w:pStyle w:val="Tabletext"/>
              <w:spacing w:line="360" w:lineRule="auto"/>
              <w:jc w:val="both"/>
              <w:rPr>
                <w:rFonts w:ascii="Arial" w:hAnsi="Arial" w:cs="Arial"/>
                <w:color w:val="231F20"/>
              </w:rPr>
            </w:pPr>
            <w:r w:rsidRPr="009A1A2E">
              <w:rPr>
                <w:rFonts w:ascii="Arial" w:hAnsi="Arial" w:cs="Arial"/>
                <w:color w:val="231F20"/>
              </w:rPr>
              <w:t>CBAs</w:t>
            </w:r>
          </w:p>
        </w:tc>
        <w:tc>
          <w:tcPr>
            <w:tcW w:w="3838" w:type="pct"/>
          </w:tcPr>
          <w:p w14:paraId="50AC3EA3" w14:textId="77777777" w:rsidR="007B23BC" w:rsidRPr="009A1A2E" w:rsidRDefault="007B23BC" w:rsidP="007B23BC">
            <w:pPr>
              <w:pStyle w:val="Tabletext"/>
              <w:spacing w:line="360" w:lineRule="auto"/>
              <w:jc w:val="both"/>
              <w:rPr>
                <w:rFonts w:ascii="Arial" w:hAnsi="Arial" w:cs="Arial"/>
              </w:rPr>
            </w:pPr>
            <w:r w:rsidRPr="009A1A2E">
              <w:rPr>
                <w:rFonts w:ascii="Arial" w:hAnsi="Arial" w:cs="Arial"/>
              </w:rPr>
              <w:t>controlled before and after studies</w:t>
            </w:r>
          </w:p>
        </w:tc>
      </w:tr>
      <w:tr w:rsidR="007B23BC" w:rsidRPr="009A1A2E" w14:paraId="3BCB3617" w14:textId="77777777" w:rsidTr="00D57A85">
        <w:tc>
          <w:tcPr>
            <w:tcW w:w="1162" w:type="pct"/>
          </w:tcPr>
          <w:p w14:paraId="448DB398" w14:textId="77777777" w:rsidR="007B23BC" w:rsidRPr="009A1A2E" w:rsidRDefault="007B23BC" w:rsidP="007B23BC">
            <w:pPr>
              <w:pStyle w:val="Tabletext"/>
              <w:spacing w:line="360" w:lineRule="auto"/>
              <w:jc w:val="both"/>
              <w:rPr>
                <w:rFonts w:ascii="Arial" w:hAnsi="Arial" w:cs="Arial"/>
              </w:rPr>
            </w:pPr>
            <w:r w:rsidRPr="009A1A2E">
              <w:rPr>
                <w:rFonts w:ascii="Arial" w:hAnsi="Arial" w:cs="Arial"/>
                <w:color w:val="231F20"/>
              </w:rPr>
              <w:t>C/MHL</w:t>
            </w:r>
          </w:p>
        </w:tc>
        <w:tc>
          <w:tcPr>
            <w:tcW w:w="3838" w:type="pct"/>
          </w:tcPr>
          <w:p w14:paraId="0B2F9747" w14:textId="77777777" w:rsidR="007B23BC" w:rsidRPr="009A1A2E" w:rsidRDefault="007B23BC" w:rsidP="007B23BC">
            <w:pPr>
              <w:pStyle w:val="Tabletext"/>
              <w:spacing w:line="360" w:lineRule="auto"/>
              <w:jc w:val="both"/>
              <w:rPr>
                <w:rFonts w:ascii="Arial" w:hAnsi="Arial" w:cs="Arial"/>
              </w:rPr>
            </w:pPr>
            <w:r w:rsidRPr="009A1A2E">
              <w:rPr>
                <w:rFonts w:ascii="Arial" w:hAnsi="Arial" w:cs="Arial"/>
              </w:rPr>
              <w:t>Conductive and mixed hearing loss</w:t>
            </w:r>
          </w:p>
        </w:tc>
      </w:tr>
      <w:tr w:rsidR="007B23BC" w:rsidRPr="009A1A2E" w14:paraId="137E194B" w14:textId="77777777" w:rsidTr="00D57A85">
        <w:tc>
          <w:tcPr>
            <w:tcW w:w="1162" w:type="pct"/>
          </w:tcPr>
          <w:p w14:paraId="7DE6EC24" w14:textId="77777777" w:rsidR="007B23BC" w:rsidRPr="009A1A2E" w:rsidRDefault="007B23BC" w:rsidP="007B23BC">
            <w:pPr>
              <w:pStyle w:val="Tabletext"/>
              <w:spacing w:line="360" w:lineRule="auto"/>
              <w:jc w:val="both"/>
              <w:rPr>
                <w:rFonts w:ascii="Arial" w:hAnsi="Arial" w:cs="Arial"/>
              </w:rPr>
            </w:pPr>
            <w:r w:rsidRPr="009A1A2E">
              <w:rPr>
                <w:rFonts w:ascii="Arial" w:hAnsi="Arial" w:cs="Arial"/>
              </w:rPr>
              <w:t>CEA</w:t>
            </w:r>
          </w:p>
        </w:tc>
        <w:tc>
          <w:tcPr>
            <w:tcW w:w="3838" w:type="pct"/>
          </w:tcPr>
          <w:p w14:paraId="1EFE0E7A" w14:textId="77777777" w:rsidR="007B23BC" w:rsidRPr="009A1A2E" w:rsidRDefault="007B23BC" w:rsidP="007B23BC">
            <w:pPr>
              <w:pStyle w:val="Tabletext"/>
              <w:spacing w:line="360" w:lineRule="auto"/>
              <w:jc w:val="both"/>
              <w:rPr>
                <w:rFonts w:ascii="Arial" w:hAnsi="Arial" w:cs="Arial"/>
              </w:rPr>
            </w:pPr>
            <w:r w:rsidRPr="009A1A2E">
              <w:rPr>
                <w:rFonts w:ascii="Arial" w:hAnsi="Arial" w:cs="Arial"/>
              </w:rPr>
              <w:t xml:space="preserve">Cost effectiveness analysis </w:t>
            </w:r>
          </w:p>
        </w:tc>
      </w:tr>
      <w:tr w:rsidR="007B23BC" w:rsidRPr="001D51F0" w14:paraId="3A7E48DD" w14:textId="77777777" w:rsidTr="00D57A85">
        <w:tc>
          <w:tcPr>
            <w:tcW w:w="1162" w:type="pct"/>
          </w:tcPr>
          <w:p w14:paraId="679D03D9" w14:textId="77777777" w:rsidR="007B23BC" w:rsidRPr="009A1A2E" w:rsidRDefault="007B23BC" w:rsidP="007B23BC">
            <w:pPr>
              <w:pStyle w:val="Tabletext"/>
              <w:spacing w:line="360" w:lineRule="auto"/>
              <w:jc w:val="both"/>
              <w:rPr>
                <w:rFonts w:ascii="Arial" w:hAnsi="Arial" w:cs="Arial"/>
              </w:rPr>
            </w:pPr>
            <w:r w:rsidRPr="009A1A2E">
              <w:rPr>
                <w:rFonts w:ascii="Arial" w:hAnsi="Arial" w:cs="Arial"/>
                <w:color w:val="000000"/>
              </w:rPr>
              <w:t>CEDIT</w:t>
            </w:r>
          </w:p>
        </w:tc>
        <w:tc>
          <w:tcPr>
            <w:tcW w:w="3838" w:type="pct"/>
          </w:tcPr>
          <w:p w14:paraId="0DA97F1E" w14:textId="77777777" w:rsidR="007B23BC" w:rsidRPr="000B7EA5" w:rsidRDefault="007B23BC" w:rsidP="007B23BC">
            <w:pPr>
              <w:pStyle w:val="Tabletext"/>
              <w:spacing w:line="360" w:lineRule="auto"/>
              <w:jc w:val="both"/>
              <w:rPr>
                <w:rFonts w:ascii="Arial" w:hAnsi="Arial" w:cs="Arial"/>
                <w:lang w:val="fr-FR"/>
              </w:rPr>
            </w:pPr>
            <w:r w:rsidRPr="000B7EA5">
              <w:rPr>
                <w:rFonts w:ascii="Arial" w:hAnsi="Arial" w:cs="Arial"/>
                <w:color w:val="000000"/>
                <w:lang w:val="fr-FR"/>
              </w:rPr>
              <w:t>Comite d'Evaluation et de Diffusion des Innovations Technologiques</w:t>
            </w:r>
          </w:p>
        </w:tc>
      </w:tr>
      <w:tr w:rsidR="007B23BC" w:rsidRPr="009A1A2E" w14:paraId="64AF949C" w14:textId="77777777" w:rsidTr="00D57A85">
        <w:tc>
          <w:tcPr>
            <w:tcW w:w="1162" w:type="pct"/>
          </w:tcPr>
          <w:p w14:paraId="19BE0B26" w14:textId="77777777" w:rsidR="007B23BC" w:rsidRPr="009A1A2E" w:rsidRDefault="007B23BC" w:rsidP="007B23BC">
            <w:pPr>
              <w:pStyle w:val="Tabletext"/>
              <w:spacing w:line="360" w:lineRule="auto"/>
              <w:jc w:val="both"/>
              <w:rPr>
                <w:rFonts w:ascii="Arial" w:hAnsi="Arial" w:cs="Arial"/>
              </w:rPr>
            </w:pPr>
            <w:r w:rsidRPr="009A1A2E">
              <w:rPr>
                <w:rFonts w:ascii="Arial" w:hAnsi="Arial" w:cs="Arial"/>
              </w:rPr>
              <w:t>CI</w:t>
            </w:r>
          </w:p>
        </w:tc>
        <w:tc>
          <w:tcPr>
            <w:tcW w:w="3838" w:type="pct"/>
          </w:tcPr>
          <w:p w14:paraId="2ABE6182" w14:textId="77777777" w:rsidR="007B23BC" w:rsidRPr="009A1A2E" w:rsidRDefault="007B23BC" w:rsidP="007B23BC">
            <w:pPr>
              <w:pStyle w:val="Tabletext"/>
              <w:spacing w:line="360" w:lineRule="auto"/>
              <w:jc w:val="both"/>
              <w:rPr>
                <w:rFonts w:ascii="Arial" w:hAnsi="Arial" w:cs="Arial"/>
              </w:rPr>
            </w:pPr>
            <w:r w:rsidRPr="009A1A2E">
              <w:rPr>
                <w:rFonts w:ascii="Arial" w:hAnsi="Arial" w:cs="Arial"/>
              </w:rPr>
              <w:t>Cochlea</w:t>
            </w:r>
            <w:r w:rsidR="001A5A13" w:rsidRPr="009A1A2E">
              <w:rPr>
                <w:rFonts w:ascii="Arial" w:hAnsi="Arial" w:cs="Arial"/>
              </w:rPr>
              <w:t>r</w:t>
            </w:r>
            <w:r w:rsidRPr="009A1A2E">
              <w:rPr>
                <w:rFonts w:ascii="Arial" w:hAnsi="Arial" w:cs="Arial"/>
              </w:rPr>
              <w:t xml:space="preserve"> Implant</w:t>
            </w:r>
          </w:p>
        </w:tc>
      </w:tr>
      <w:tr w:rsidR="007B23BC" w:rsidRPr="009A1A2E" w14:paraId="17DE04D4" w14:textId="77777777" w:rsidTr="00D57A85">
        <w:tc>
          <w:tcPr>
            <w:tcW w:w="1162" w:type="pct"/>
          </w:tcPr>
          <w:p w14:paraId="3EE52373" w14:textId="77777777" w:rsidR="007B23BC" w:rsidRPr="009A1A2E" w:rsidRDefault="007B23BC" w:rsidP="007B23BC">
            <w:pPr>
              <w:pStyle w:val="Tabletext"/>
              <w:spacing w:line="360" w:lineRule="auto"/>
              <w:jc w:val="both"/>
              <w:rPr>
                <w:rFonts w:ascii="Arial" w:hAnsi="Arial" w:cs="Arial"/>
              </w:rPr>
            </w:pPr>
            <w:r w:rsidRPr="009A1A2E">
              <w:rPr>
                <w:rFonts w:ascii="Arial" w:hAnsi="Arial" w:cs="Arial"/>
              </w:rPr>
              <w:t>CHA</w:t>
            </w:r>
          </w:p>
        </w:tc>
        <w:tc>
          <w:tcPr>
            <w:tcW w:w="3838" w:type="pct"/>
          </w:tcPr>
          <w:p w14:paraId="778DD980" w14:textId="77777777" w:rsidR="007B23BC" w:rsidRPr="009A1A2E" w:rsidRDefault="007B23BC" w:rsidP="007B23BC">
            <w:pPr>
              <w:pStyle w:val="Tabletext"/>
              <w:spacing w:line="360" w:lineRule="auto"/>
              <w:jc w:val="both"/>
              <w:rPr>
                <w:rFonts w:ascii="Arial" w:hAnsi="Arial" w:cs="Arial"/>
              </w:rPr>
            </w:pPr>
            <w:r w:rsidRPr="009A1A2E">
              <w:rPr>
                <w:rFonts w:ascii="Arial" w:hAnsi="Arial" w:cs="Arial"/>
              </w:rPr>
              <w:t>Conventional Hearing Aid</w:t>
            </w:r>
          </w:p>
        </w:tc>
      </w:tr>
      <w:tr w:rsidR="007B23BC" w:rsidRPr="009A1A2E" w14:paraId="4BC974F0" w14:textId="77777777" w:rsidTr="00D57A85">
        <w:tc>
          <w:tcPr>
            <w:tcW w:w="1162" w:type="pct"/>
          </w:tcPr>
          <w:p w14:paraId="3B6C0046" w14:textId="77777777" w:rsidR="007B23BC" w:rsidRPr="009A1A2E" w:rsidRDefault="007B23BC" w:rsidP="007B23BC">
            <w:pPr>
              <w:pStyle w:val="Tabletext"/>
              <w:spacing w:line="360" w:lineRule="auto"/>
              <w:jc w:val="both"/>
              <w:rPr>
                <w:rFonts w:ascii="Arial" w:hAnsi="Arial" w:cs="Arial"/>
              </w:rPr>
            </w:pPr>
            <w:r w:rsidRPr="009A1A2E">
              <w:rPr>
                <w:rFonts w:ascii="Arial" w:hAnsi="Arial" w:cs="Arial"/>
              </w:rPr>
              <w:t>COSI</w:t>
            </w:r>
          </w:p>
        </w:tc>
        <w:tc>
          <w:tcPr>
            <w:tcW w:w="3838" w:type="pct"/>
          </w:tcPr>
          <w:p w14:paraId="39534D4E" w14:textId="77777777" w:rsidR="007B23BC" w:rsidRPr="009A1A2E" w:rsidRDefault="007B23BC" w:rsidP="007B23BC">
            <w:pPr>
              <w:pStyle w:val="Tabletext"/>
              <w:spacing w:line="360" w:lineRule="auto"/>
              <w:jc w:val="both"/>
              <w:rPr>
                <w:rFonts w:ascii="Arial" w:hAnsi="Arial" w:cs="Arial"/>
              </w:rPr>
            </w:pPr>
            <w:r w:rsidRPr="009A1A2E">
              <w:rPr>
                <w:rFonts w:ascii="Arial" w:hAnsi="Arial" w:cs="Arial"/>
              </w:rPr>
              <w:t>Client-orientated scale of improvement</w:t>
            </w:r>
          </w:p>
        </w:tc>
      </w:tr>
      <w:tr w:rsidR="007B23BC" w:rsidRPr="009A1A2E" w14:paraId="070B6CF5" w14:textId="77777777" w:rsidTr="00D57A85">
        <w:tc>
          <w:tcPr>
            <w:tcW w:w="1162" w:type="pct"/>
          </w:tcPr>
          <w:p w14:paraId="0A97FF98" w14:textId="77777777" w:rsidR="007B23BC" w:rsidRPr="009A1A2E" w:rsidRDefault="007B23BC" w:rsidP="007B23BC">
            <w:pPr>
              <w:pStyle w:val="Tabletext"/>
              <w:spacing w:line="360" w:lineRule="auto"/>
              <w:jc w:val="both"/>
              <w:rPr>
                <w:rFonts w:ascii="Arial" w:hAnsi="Arial" w:cs="Arial"/>
              </w:rPr>
            </w:pPr>
            <w:r w:rsidRPr="009A1A2E">
              <w:rPr>
                <w:rFonts w:ascii="Arial" w:hAnsi="Arial" w:cs="Arial"/>
              </w:rPr>
              <w:t>CRD</w:t>
            </w:r>
          </w:p>
        </w:tc>
        <w:tc>
          <w:tcPr>
            <w:tcW w:w="3838" w:type="pct"/>
          </w:tcPr>
          <w:p w14:paraId="04352CFC" w14:textId="77777777" w:rsidR="007B23BC" w:rsidRPr="009A1A2E" w:rsidRDefault="007B23BC" w:rsidP="007B23BC">
            <w:pPr>
              <w:pStyle w:val="Tabletext"/>
              <w:spacing w:line="360" w:lineRule="auto"/>
              <w:jc w:val="both"/>
              <w:rPr>
                <w:rFonts w:ascii="Arial" w:hAnsi="Arial" w:cs="Arial"/>
              </w:rPr>
            </w:pPr>
            <w:r w:rsidRPr="009A1A2E">
              <w:rPr>
                <w:rFonts w:ascii="Arial" w:hAnsi="Arial" w:cs="Arial"/>
              </w:rPr>
              <w:t>Cochrane Library, and The Centre of Reviews and Dissemination</w:t>
            </w:r>
          </w:p>
        </w:tc>
      </w:tr>
      <w:tr w:rsidR="007B23BC" w:rsidRPr="009A1A2E" w14:paraId="760FCA4A" w14:textId="77777777" w:rsidTr="00D57A85">
        <w:tc>
          <w:tcPr>
            <w:tcW w:w="1162" w:type="pct"/>
          </w:tcPr>
          <w:p w14:paraId="5C5FA953" w14:textId="77777777" w:rsidR="007B23BC" w:rsidRPr="009A1A2E" w:rsidRDefault="007B23BC" w:rsidP="007B23BC">
            <w:pPr>
              <w:pStyle w:val="Tabletext"/>
              <w:spacing w:line="360" w:lineRule="auto"/>
              <w:jc w:val="both"/>
              <w:rPr>
                <w:rFonts w:ascii="Arial" w:hAnsi="Arial" w:cs="Arial"/>
              </w:rPr>
            </w:pPr>
            <w:r w:rsidRPr="009A1A2E">
              <w:rPr>
                <w:rFonts w:ascii="Arial" w:hAnsi="Arial" w:cs="Arial"/>
              </w:rPr>
              <w:t>CUA</w:t>
            </w:r>
          </w:p>
        </w:tc>
        <w:tc>
          <w:tcPr>
            <w:tcW w:w="3838" w:type="pct"/>
          </w:tcPr>
          <w:p w14:paraId="5CEFC971" w14:textId="77777777" w:rsidR="007B23BC" w:rsidRPr="009A1A2E" w:rsidRDefault="007B23BC" w:rsidP="007B23BC">
            <w:pPr>
              <w:pStyle w:val="Tabletext"/>
              <w:spacing w:line="360" w:lineRule="auto"/>
              <w:jc w:val="both"/>
              <w:rPr>
                <w:rFonts w:ascii="Arial" w:hAnsi="Arial" w:cs="Arial"/>
              </w:rPr>
            </w:pPr>
            <w:r w:rsidRPr="009A1A2E">
              <w:rPr>
                <w:rFonts w:ascii="Arial" w:hAnsi="Arial" w:cs="Arial"/>
              </w:rPr>
              <w:t>cost-utility analysis</w:t>
            </w:r>
          </w:p>
        </w:tc>
      </w:tr>
      <w:tr w:rsidR="007B23BC" w:rsidRPr="009A1A2E" w14:paraId="41F91710" w14:textId="77777777" w:rsidTr="00D57A85">
        <w:tc>
          <w:tcPr>
            <w:tcW w:w="1162" w:type="pct"/>
          </w:tcPr>
          <w:p w14:paraId="56D07BB5" w14:textId="77777777" w:rsidR="007B23BC" w:rsidRPr="009A1A2E" w:rsidRDefault="007B23BC" w:rsidP="007B23BC">
            <w:pPr>
              <w:pStyle w:val="Tabletext"/>
              <w:spacing w:line="360" w:lineRule="auto"/>
              <w:jc w:val="both"/>
              <w:rPr>
                <w:rFonts w:ascii="Arial" w:hAnsi="Arial" w:cs="Arial"/>
              </w:rPr>
            </w:pPr>
            <w:r w:rsidRPr="009A1A2E">
              <w:rPr>
                <w:rFonts w:ascii="Arial" w:hAnsi="Arial" w:cs="Arial"/>
              </w:rPr>
              <w:t>DAP</w:t>
            </w:r>
          </w:p>
        </w:tc>
        <w:tc>
          <w:tcPr>
            <w:tcW w:w="3838" w:type="pct"/>
          </w:tcPr>
          <w:p w14:paraId="1726AE4A" w14:textId="77777777" w:rsidR="007B23BC" w:rsidRPr="009A1A2E" w:rsidRDefault="007B23BC" w:rsidP="007B23BC">
            <w:pPr>
              <w:pStyle w:val="Tabletext"/>
              <w:spacing w:line="360" w:lineRule="auto"/>
              <w:jc w:val="both"/>
              <w:rPr>
                <w:rFonts w:ascii="Arial" w:hAnsi="Arial" w:cs="Arial"/>
              </w:rPr>
            </w:pPr>
            <w:r w:rsidRPr="009A1A2E">
              <w:rPr>
                <w:rFonts w:ascii="Arial" w:hAnsi="Arial" w:cs="Arial"/>
              </w:rPr>
              <w:t>Decision Analytical Protocol</w:t>
            </w:r>
          </w:p>
        </w:tc>
      </w:tr>
      <w:tr w:rsidR="007B23BC" w:rsidRPr="009A1A2E" w14:paraId="2B790AD6" w14:textId="77777777" w:rsidTr="00D57A85">
        <w:tc>
          <w:tcPr>
            <w:tcW w:w="1162" w:type="pct"/>
          </w:tcPr>
          <w:p w14:paraId="0BF693E9" w14:textId="77777777" w:rsidR="007B23BC" w:rsidRPr="009A1A2E" w:rsidRDefault="007B23BC" w:rsidP="007B23BC">
            <w:pPr>
              <w:pStyle w:val="Tabletext"/>
              <w:spacing w:line="360" w:lineRule="auto"/>
              <w:jc w:val="both"/>
              <w:rPr>
                <w:rFonts w:ascii="Arial" w:hAnsi="Arial" w:cs="Arial"/>
              </w:rPr>
            </w:pPr>
            <w:r w:rsidRPr="009A1A2E">
              <w:rPr>
                <w:rFonts w:ascii="Arial" w:hAnsi="Arial" w:cs="Arial"/>
              </w:rPr>
              <w:t>dB</w:t>
            </w:r>
          </w:p>
        </w:tc>
        <w:tc>
          <w:tcPr>
            <w:tcW w:w="3838" w:type="pct"/>
          </w:tcPr>
          <w:p w14:paraId="0D9515FC" w14:textId="77777777" w:rsidR="007B23BC" w:rsidRPr="009A1A2E" w:rsidRDefault="007B23BC" w:rsidP="007B23BC">
            <w:pPr>
              <w:pStyle w:val="Tabletext"/>
              <w:spacing w:line="360" w:lineRule="auto"/>
              <w:jc w:val="both"/>
              <w:rPr>
                <w:rFonts w:ascii="Arial" w:hAnsi="Arial" w:cs="Arial"/>
              </w:rPr>
            </w:pPr>
            <w:r w:rsidRPr="009A1A2E">
              <w:rPr>
                <w:rFonts w:ascii="Arial" w:hAnsi="Arial" w:cs="Arial"/>
              </w:rPr>
              <w:t>Decibel</w:t>
            </w:r>
          </w:p>
        </w:tc>
      </w:tr>
      <w:tr w:rsidR="007B23BC" w:rsidRPr="009A1A2E" w14:paraId="1ACA4008" w14:textId="77777777" w:rsidTr="00D57A85">
        <w:tc>
          <w:tcPr>
            <w:tcW w:w="1162" w:type="pct"/>
          </w:tcPr>
          <w:p w14:paraId="5DA1869D" w14:textId="77777777" w:rsidR="007B23BC" w:rsidRPr="009A1A2E" w:rsidRDefault="007B23BC" w:rsidP="007B23BC">
            <w:pPr>
              <w:pStyle w:val="Tabletext"/>
              <w:spacing w:line="360" w:lineRule="auto"/>
              <w:jc w:val="both"/>
              <w:rPr>
                <w:rFonts w:ascii="Arial" w:hAnsi="Arial" w:cs="Arial"/>
              </w:rPr>
            </w:pPr>
            <w:r w:rsidRPr="009A1A2E">
              <w:rPr>
                <w:rFonts w:ascii="Arial" w:hAnsi="Arial" w:cs="Arial"/>
              </w:rPr>
              <w:t>DALYs</w:t>
            </w:r>
          </w:p>
        </w:tc>
        <w:tc>
          <w:tcPr>
            <w:tcW w:w="3838" w:type="pct"/>
          </w:tcPr>
          <w:p w14:paraId="18B60AD5" w14:textId="77777777" w:rsidR="007B23BC" w:rsidRPr="009A1A2E" w:rsidRDefault="007B23BC" w:rsidP="007B23BC">
            <w:pPr>
              <w:pStyle w:val="Tabletext"/>
              <w:spacing w:line="360" w:lineRule="auto"/>
              <w:jc w:val="both"/>
              <w:rPr>
                <w:rFonts w:ascii="Arial" w:hAnsi="Arial" w:cs="Arial"/>
              </w:rPr>
            </w:pPr>
            <w:r w:rsidRPr="009A1A2E">
              <w:rPr>
                <w:rFonts w:ascii="Arial" w:hAnsi="Arial" w:cs="Arial"/>
              </w:rPr>
              <w:t>Disability Adjusted Life Years</w:t>
            </w:r>
          </w:p>
        </w:tc>
      </w:tr>
      <w:tr w:rsidR="007B23BC" w:rsidRPr="009A1A2E" w14:paraId="730525A5" w14:textId="77777777" w:rsidTr="00D57A85">
        <w:tc>
          <w:tcPr>
            <w:tcW w:w="1162" w:type="pct"/>
          </w:tcPr>
          <w:p w14:paraId="5C0744A7" w14:textId="77777777" w:rsidR="007B23BC" w:rsidRPr="009A1A2E" w:rsidRDefault="007B23BC" w:rsidP="007B23BC">
            <w:pPr>
              <w:pStyle w:val="Tabletext"/>
              <w:spacing w:line="360" w:lineRule="auto"/>
              <w:jc w:val="both"/>
              <w:rPr>
                <w:rFonts w:ascii="Arial" w:hAnsi="Arial" w:cs="Arial"/>
              </w:rPr>
            </w:pPr>
            <w:r w:rsidRPr="009A1A2E">
              <w:rPr>
                <w:rFonts w:ascii="Arial" w:hAnsi="Arial" w:cs="Arial"/>
              </w:rPr>
              <w:t>DRG</w:t>
            </w:r>
          </w:p>
        </w:tc>
        <w:tc>
          <w:tcPr>
            <w:tcW w:w="3838" w:type="pct"/>
          </w:tcPr>
          <w:p w14:paraId="1DE19B07" w14:textId="77777777" w:rsidR="007B23BC" w:rsidRPr="009A1A2E" w:rsidRDefault="007B23BC" w:rsidP="007B23BC">
            <w:pPr>
              <w:pStyle w:val="Tabletext"/>
              <w:spacing w:line="360" w:lineRule="auto"/>
              <w:jc w:val="both"/>
              <w:rPr>
                <w:rFonts w:ascii="Arial" w:hAnsi="Arial" w:cs="Arial"/>
              </w:rPr>
            </w:pPr>
            <w:r w:rsidRPr="009A1A2E">
              <w:rPr>
                <w:rFonts w:ascii="Arial" w:hAnsi="Arial" w:cs="Arial"/>
              </w:rPr>
              <w:t>diagnosis-related group</w:t>
            </w:r>
          </w:p>
        </w:tc>
      </w:tr>
      <w:tr w:rsidR="00057D36" w:rsidRPr="009A1A2E" w14:paraId="1BA6296E" w14:textId="77777777" w:rsidTr="00D57A85">
        <w:tc>
          <w:tcPr>
            <w:tcW w:w="1162" w:type="pct"/>
          </w:tcPr>
          <w:p w14:paraId="01D3068A" w14:textId="509029DE" w:rsidR="00057D36" w:rsidRPr="009A1A2E" w:rsidRDefault="00057D36" w:rsidP="007B23BC">
            <w:pPr>
              <w:pStyle w:val="Tabletext"/>
              <w:spacing w:line="360" w:lineRule="auto"/>
              <w:jc w:val="both"/>
              <w:rPr>
                <w:rFonts w:ascii="Arial" w:hAnsi="Arial" w:cs="Arial"/>
              </w:rPr>
            </w:pPr>
            <w:r>
              <w:rPr>
                <w:rFonts w:ascii="Arial" w:hAnsi="Arial" w:cs="Arial"/>
              </w:rPr>
              <w:t>DSA</w:t>
            </w:r>
          </w:p>
        </w:tc>
        <w:tc>
          <w:tcPr>
            <w:tcW w:w="3838" w:type="pct"/>
          </w:tcPr>
          <w:p w14:paraId="17AE7AB5" w14:textId="0BDEA9AC" w:rsidR="00057D36" w:rsidRPr="009A1A2E" w:rsidRDefault="00057D36" w:rsidP="007B23BC">
            <w:pPr>
              <w:pStyle w:val="Tabletext"/>
              <w:spacing w:line="360" w:lineRule="auto"/>
              <w:jc w:val="both"/>
              <w:rPr>
                <w:rFonts w:ascii="Arial" w:hAnsi="Arial" w:cs="Arial"/>
              </w:rPr>
            </w:pPr>
            <w:r>
              <w:rPr>
                <w:rFonts w:ascii="Arial" w:hAnsi="Arial" w:cs="Arial"/>
              </w:rPr>
              <w:t>Deterministic sensitivity analysis</w:t>
            </w:r>
          </w:p>
        </w:tc>
      </w:tr>
      <w:tr w:rsidR="007B23BC" w:rsidRPr="009A1A2E" w14:paraId="0A280BF0" w14:textId="77777777" w:rsidTr="00D57A85">
        <w:tc>
          <w:tcPr>
            <w:tcW w:w="1162" w:type="pct"/>
          </w:tcPr>
          <w:p w14:paraId="27821D6F" w14:textId="77777777" w:rsidR="007B23BC" w:rsidRPr="009A1A2E" w:rsidRDefault="007B23BC" w:rsidP="007B23BC">
            <w:pPr>
              <w:pStyle w:val="Tabletext"/>
              <w:spacing w:line="360" w:lineRule="auto"/>
              <w:jc w:val="both"/>
              <w:rPr>
                <w:rFonts w:ascii="Arial" w:hAnsi="Arial" w:cs="Arial"/>
              </w:rPr>
            </w:pPr>
            <w:r w:rsidRPr="009A1A2E">
              <w:rPr>
                <w:rFonts w:ascii="Arial" w:hAnsi="Arial" w:cs="Arial"/>
              </w:rPr>
              <w:t>DVA</w:t>
            </w:r>
          </w:p>
        </w:tc>
        <w:tc>
          <w:tcPr>
            <w:tcW w:w="3838" w:type="pct"/>
          </w:tcPr>
          <w:p w14:paraId="45AFF3C8" w14:textId="77777777" w:rsidR="007B23BC" w:rsidRPr="009A1A2E" w:rsidRDefault="007B23BC" w:rsidP="007B23BC">
            <w:pPr>
              <w:pStyle w:val="Tabletext"/>
              <w:spacing w:line="360" w:lineRule="auto"/>
              <w:jc w:val="both"/>
              <w:rPr>
                <w:rFonts w:ascii="Arial" w:hAnsi="Arial" w:cs="Arial"/>
              </w:rPr>
            </w:pPr>
            <w:r w:rsidRPr="009A1A2E">
              <w:rPr>
                <w:rFonts w:ascii="Arial" w:hAnsi="Arial" w:cs="Arial"/>
              </w:rPr>
              <w:t>Department of Veteran Affairs</w:t>
            </w:r>
          </w:p>
        </w:tc>
      </w:tr>
      <w:tr w:rsidR="007B23BC" w:rsidRPr="009A1A2E" w14:paraId="7F993E60" w14:textId="77777777" w:rsidTr="00D57A85">
        <w:tc>
          <w:tcPr>
            <w:tcW w:w="1162" w:type="pct"/>
          </w:tcPr>
          <w:p w14:paraId="3D5EA638" w14:textId="77777777" w:rsidR="007B23BC" w:rsidRPr="009A1A2E" w:rsidRDefault="007B23BC" w:rsidP="007B23BC">
            <w:pPr>
              <w:pStyle w:val="Tabletext"/>
              <w:spacing w:line="360" w:lineRule="auto"/>
              <w:jc w:val="both"/>
              <w:rPr>
                <w:rFonts w:ascii="Arial" w:hAnsi="Arial" w:cs="Arial"/>
                <w:lang w:eastAsia="ja-JP"/>
              </w:rPr>
            </w:pPr>
            <w:r w:rsidRPr="009A1A2E">
              <w:rPr>
                <w:rFonts w:ascii="Arial" w:hAnsi="Arial" w:cs="Arial"/>
                <w:lang w:eastAsia="ja-JP"/>
              </w:rPr>
              <w:t>ENT</w:t>
            </w:r>
          </w:p>
        </w:tc>
        <w:tc>
          <w:tcPr>
            <w:tcW w:w="3838" w:type="pct"/>
          </w:tcPr>
          <w:p w14:paraId="731B7660" w14:textId="77777777" w:rsidR="007B23BC" w:rsidRPr="009A1A2E" w:rsidRDefault="007B23BC" w:rsidP="007B23BC">
            <w:pPr>
              <w:pStyle w:val="Tabletext"/>
              <w:spacing w:line="360" w:lineRule="auto"/>
              <w:jc w:val="both"/>
              <w:rPr>
                <w:rFonts w:ascii="Arial" w:hAnsi="Arial" w:cs="Arial"/>
                <w:lang w:eastAsia="ja-JP"/>
              </w:rPr>
            </w:pPr>
            <w:r w:rsidRPr="009A1A2E">
              <w:rPr>
                <w:rFonts w:ascii="Arial" w:hAnsi="Arial" w:cs="Arial"/>
                <w:lang w:eastAsia="ja-JP"/>
              </w:rPr>
              <w:t>Ear, Nose &amp; Throat</w:t>
            </w:r>
          </w:p>
        </w:tc>
      </w:tr>
      <w:tr w:rsidR="007B23BC" w:rsidRPr="009A1A2E" w14:paraId="1A0D2375" w14:textId="77777777" w:rsidTr="00D57A85">
        <w:tc>
          <w:tcPr>
            <w:tcW w:w="1162" w:type="pct"/>
          </w:tcPr>
          <w:p w14:paraId="34FAF2AB" w14:textId="77777777" w:rsidR="007B23BC" w:rsidRPr="009A1A2E" w:rsidRDefault="007B23BC" w:rsidP="007B23BC">
            <w:pPr>
              <w:pStyle w:val="Tabletext"/>
              <w:spacing w:line="360" w:lineRule="auto"/>
              <w:jc w:val="both"/>
              <w:rPr>
                <w:rFonts w:ascii="Arial" w:hAnsi="Arial" w:cs="Arial"/>
              </w:rPr>
            </w:pPr>
            <w:r w:rsidRPr="009A1A2E">
              <w:rPr>
                <w:rFonts w:ascii="Arial" w:hAnsi="Arial" w:cs="Arial"/>
                <w:lang w:eastAsia="ja-JP"/>
              </w:rPr>
              <w:t>FDA</w:t>
            </w:r>
          </w:p>
        </w:tc>
        <w:tc>
          <w:tcPr>
            <w:tcW w:w="3838" w:type="pct"/>
          </w:tcPr>
          <w:p w14:paraId="1A3C6576" w14:textId="77777777" w:rsidR="007B23BC" w:rsidRPr="009A1A2E" w:rsidRDefault="007B23BC" w:rsidP="007B23BC">
            <w:pPr>
              <w:pStyle w:val="Tabletext"/>
              <w:spacing w:line="360" w:lineRule="auto"/>
              <w:jc w:val="both"/>
              <w:rPr>
                <w:rFonts w:ascii="Arial" w:hAnsi="Arial" w:cs="Arial"/>
              </w:rPr>
            </w:pPr>
            <w:r w:rsidRPr="009A1A2E">
              <w:rPr>
                <w:rFonts w:ascii="Arial" w:hAnsi="Arial" w:cs="Arial"/>
                <w:lang w:eastAsia="ja-JP"/>
              </w:rPr>
              <w:t>United States Food and Drug Administration</w:t>
            </w:r>
          </w:p>
        </w:tc>
      </w:tr>
      <w:tr w:rsidR="007B23BC" w:rsidRPr="009A1A2E" w14:paraId="662AB7E9" w14:textId="77777777" w:rsidTr="00D57A85">
        <w:tc>
          <w:tcPr>
            <w:tcW w:w="1162" w:type="pct"/>
          </w:tcPr>
          <w:p w14:paraId="0515ECD7" w14:textId="77777777" w:rsidR="007B23BC" w:rsidRPr="009A1A2E" w:rsidRDefault="007B23BC" w:rsidP="007B23BC">
            <w:pPr>
              <w:pStyle w:val="Tabletext"/>
              <w:spacing w:line="360" w:lineRule="auto"/>
              <w:jc w:val="both"/>
              <w:rPr>
                <w:rFonts w:ascii="Arial" w:hAnsi="Arial" w:cs="Arial"/>
                <w:lang w:eastAsia="ja-JP"/>
              </w:rPr>
            </w:pPr>
            <w:r w:rsidRPr="009A1A2E">
              <w:rPr>
                <w:rFonts w:ascii="Arial" w:hAnsi="Arial" w:cs="Arial"/>
                <w:lang w:eastAsia="ja-JP"/>
              </w:rPr>
              <w:lastRenderedPageBreak/>
              <w:t>FG</w:t>
            </w:r>
          </w:p>
        </w:tc>
        <w:tc>
          <w:tcPr>
            <w:tcW w:w="3838" w:type="pct"/>
          </w:tcPr>
          <w:p w14:paraId="352BA376" w14:textId="77777777" w:rsidR="007B23BC" w:rsidRPr="009A1A2E" w:rsidRDefault="007B23BC" w:rsidP="007B23BC">
            <w:pPr>
              <w:pStyle w:val="Tabletext"/>
              <w:spacing w:line="360" w:lineRule="auto"/>
              <w:jc w:val="both"/>
              <w:rPr>
                <w:rFonts w:ascii="Arial" w:hAnsi="Arial" w:cs="Arial"/>
                <w:lang w:eastAsia="ja-JP"/>
              </w:rPr>
            </w:pPr>
            <w:r w:rsidRPr="009A1A2E">
              <w:rPr>
                <w:rFonts w:ascii="Arial" w:hAnsi="Arial" w:cs="Arial"/>
                <w:lang w:eastAsia="ja-JP"/>
              </w:rPr>
              <w:t>Functional Gain</w:t>
            </w:r>
          </w:p>
        </w:tc>
      </w:tr>
      <w:tr w:rsidR="007B23BC" w:rsidRPr="009A1A2E" w14:paraId="61F6CD0C" w14:textId="77777777" w:rsidTr="00D57A85">
        <w:tc>
          <w:tcPr>
            <w:tcW w:w="1162" w:type="pct"/>
          </w:tcPr>
          <w:p w14:paraId="0FDE61E1" w14:textId="77777777" w:rsidR="007B23BC" w:rsidRPr="009A1A2E" w:rsidRDefault="007B23BC" w:rsidP="007B23BC">
            <w:pPr>
              <w:pStyle w:val="Tabletext"/>
              <w:spacing w:line="360" w:lineRule="auto"/>
              <w:jc w:val="both"/>
              <w:rPr>
                <w:rFonts w:ascii="Arial" w:hAnsi="Arial" w:cs="Arial"/>
              </w:rPr>
            </w:pPr>
            <w:r w:rsidRPr="009A1A2E">
              <w:rPr>
                <w:rFonts w:ascii="Arial" w:hAnsi="Arial" w:cs="Arial"/>
              </w:rPr>
              <w:t>FMT</w:t>
            </w:r>
          </w:p>
        </w:tc>
        <w:tc>
          <w:tcPr>
            <w:tcW w:w="3838" w:type="pct"/>
          </w:tcPr>
          <w:p w14:paraId="615DAE5B" w14:textId="77777777" w:rsidR="007B23BC" w:rsidRPr="009A1A2E" w:rsidRDefault="007B23BC" w:rsidP="007B23BC">
            <w:pPr>
              <w:pStyle w:val="Tabletext"/>
              <w:spacing w:line="360" w:lineRule="auto"/>
              <w:jc w:val="both"/>
              <w:rPr>
                <w:rFonts w:ascii="Arial" w:hAnsi="Arial" w:cs="Arial"/>
              </w:rPr>
            </w:pPr>
            <w:r w:rsidRPr="009A1A2E">
              <w:rPr>
                <w:rFonts w:ascii="Arial" w:hAnsi="Arial" w:cs="Arial"/>
              </w:rPr>
              <w:t>Floating Mass Transducer</w:t>
            </w:r>
          </w:p>
        </w:tc>
      </w:tr>
      <w:tr w:rsidR="007B23BC" w:rsidRPr="009A1A2E" w14:paraId="365DC0DC" w14:textId="77777777" w:rsidTr="00D57A85">
        <w:tc>
          <w:tcPr>
            <w:tcW w:w="1162" w:type="pct"/>
          </w:tcPr>
          <w:p w14:paraId="54252617" w14:textId="77777777" w:rsidR="007B23BC" w:rsidRPr="009A1A2E" w:rsidRDefault="007B23BC" w:rsidP="007B23BC">
            <w:pPr>
              <w:pStyle w:val="Tabletext"/>
              <w:spacing w:line="360" w:lineRule="auto"/>
              <w:jc w:val="both"/>
              <w:rPr>
                <w:rFonts w:ascii="Arial" w:hAnsi="Arial" w:cs="Arial"/>
              </w:rPr>
            </w:pPr>
            <w:r w:rsidRPr="009A1A2E">
              <w:rPr>
                <w:rFonts w:ascii="Arial" w:hAnsi="Arial" w:cs="Arial"/>
              </w:rPr>
              <w:t>FU</w:t>
            </w:r>
          </w:p>
        </w:tc>
        <w:tc>
          <w:tcPr>
            <w:tcW w:w="3838" w:type="pct"/>
          </w:tcPr>
          <w:p w14:paraId="30332D4D" w14:textId="77777777" w:rsidR="007B23BC" w:rsidRPr="009A1A2E" w:rsidRDefault="007B23BC" w:rsidP="007B23BC">
            <w:pPr>
              <w:pStyle w:val="Tabletext"/>
              <w:spacing w:line="360" w:lineRule="auto"/>
              <w:jc w:val="both"/>
              <w:rPr>
                <w:rFonts w:ascii="Arial" w:hAnsi="Arial" w:cs="Arial"/>
              </w:rPr>
            </w:pPr>
            <w:r w:rsidRPr="009A1A2E">
              <w:rPr>
                <w:rFonts w:ascii="Arial" w:hAnsi="Arial" w:cs="Arial"/>
              </w:rPr>
              <w:t>Follow up</w:t>
            </w:r>
          </w:p>
        </w:tc>
      </w:tr>
      <w:tr w:rsidR="007B23BC" w:rsidRPr="001D51F0" w14:paraId="330D569D" w14:textId="77777777" w:rsidTr="00D57A85">
        <w:tc>
          <w:tcPr>
            <w:tcW w:w="1162" w:type="pct"/>
          </w:tcPr>
          <w:p w14:paraId="45BC8240" w14:textId="77777777" w:rsidR="007B23BC" w:rsidRPr="009A1A2E" w:rsidRDefault="007B23BC" w:rsidP="007B23BC">
            <w:pPr>
              <w:pStyle w:val="Tabletext"/>
              <w:spacing w:line="360" w:lineRule="auto"/>
              <w:jc w:val="both"/>
              <w:rPr>
                <w:rFonts w:ascii="Arial" w:hAnsi="Arial" w:cs="Arial"/>
                <w:color w:val="231F20"/>
              </w:rPr>
            </w:pPr>
            <w:r w:rsidRPr="009A1A2E">
              <w:rPr>
                <w:rFonts w:ascii="Arial" w:hAnsi="Arial" w:cs="Arial"/>
                <w:color w:val="231F20"/>
              </w:rPr>
              <w:t>GBA</w:t>
            </w:r>
          </w:p>
        </w:tc>
        <w:tc>
          <w:tcPr>
            <w:tcW w:w="3838" w:type="pct"/>
          </w:tcPr>
          <w:p w14:paraId="6BDDB248" w14:textId="77777777" w:rsidR="007B23BC" w:rsidRPr="007F6475" w:rsidRDefault="001A5A13" w:rsidP="001A5A13">
            <w:pPr>
              <w:pStyle w:val="Tabletext"/>
              <w:spacing w:line="360" w:lineRule="auto"/>
              <w:jc w:val="both"/>
              <w:rPr>
                <w:rFonts w:ascii="Arial" w:hAnsi="Arial" w:cs="Arial"/>
                <w:color w:val="231F20"/>
                <w:lang w:val="de-AT"/>
              </w:rPr>
            </w:pPr>
            <w:r w:rsidRPr="007F6475">
              <w:rPr>
                <w:rFonts w:ascii="Arial" w:hAnsi="Arial" w:cs="Arial"/>
                <w:color w:val="231F20"/>
                <w:lang w:val="de-AT"/>
              </w:rPr>
              <w:t>Gemeinsamer Bundesausschuss (Federal Joint Committee)</w:t>
            </w:r>
          </w:p>
        </w:tc>
      </w:tr>
      <w:tr w:rsidR="007B23BC" w:rsidRPr="009A1A2E" w14:paraId="4F60D4AE" w14:textId="77777777" w:rsidTr="00D57A85">
        <w:tc>
          <w:tcPr>
            <w:tcW w:w="1162" w:type="pct"/>
          </w:tcPr>
          <w:p w14:paraId="21C09297" w14:textId="77777777" w:rsidR="007B23BC" w:rsidRPr="009A1A2E" w:rsidRDefault="007B23BC" w:rsidP="007B23BC">
            <w:pPr>
              <w:pStyle w:val="Tabletext"/>
              <w:spacing w:line="360" w:lineRule="auto"/>
              <w:jc w:val="both"/>
              <w:rPr>
                <w:rFonts w:ascii="Arial" w:hAnsi="Arial" w:cs="Arial"/>
                <w:color w:val="231F20"/>
              </w:rPr>
            </w:pPr>
            <w:r w:rsidRPr="009A1A2E">
              <w:rPr>
                <w:rFonts w:ascii="Arial" w:hAnsi="Arial" w:cs="Arial"/>
                <w:color w:val="231F20"/>
              </w:rPr>
              <w:t>G-DRG</w:t>
            </w:r>
          </w:p>
        </w:tc>
        <w:tc>
          <w:tcPr>
            <w:tcW w:w="3838" w:type="pct"/>
          </w:tcPr>
          <w:p w14:paraId="73C45E41" w14:textId="77777777" w:rsidR="007B23BC" w:rsidRPr="009A1A2E" w:rsidRDefault="007B23BC" w:rsidP="007B23BC">
            <w:pPr>
              <w:pStyle w:val="Tabletext"/>
              <w:spacing w:line="360" w:lineRule="auto"/>
              <w:jc w:val="both"/>
              <w:rPr>
                <w:rFonts w:ascii="Arial" w:hAnsi="Arial" w:cs="Arial"/>
                <w:color w:val="231F20"/>
              </w:rPr>
            </w:pPr>
            <w:r w:rsidRPr="009A1A2E">
              <w:rPr>
                <w:rFonts w:ascii="Arial" w:hAnsi="Arial" w:cs="Arial"/>
                <w:color w:val="231F20"/>
              </w:rPr>
              <w:t>German Diagnosis Related Group</w:t>
            </w:r>
          </w:p>
        </w:tc>
      </w:tr>
      <w:tr w:rsidR="007B23BC" w:rsidRPr="009A1A2E" w14:paraId="7A5F179C" w14:textId="77777777" w:rsidTr="00D57A85">
        <w:tc>
          <w:tcPr>
            <w:tcW w:w="1162" w:type="pct"/>
          </w:tcPr>
          <w:p w14:paraId="50CBF4CC" w14:textId="77777777" w:rsidR="007B23BC" w:rsidRPr="009A1A2E" w:rsidRDefault="007B23BC" w:rsidP="007B23BC">
            <w:pPr>
              <w:pStyle w:val="Tabletext"/>
              <w:spacing w:line="360" w:lineRule="auto"/>
              <w:jc w:val="both"/>
              <w:rPr>
                <w:rFonts w:ascii="Arial" w:hAnsi="Arial" w:cs="Arial"/>
              </w:rPr>
            </w:pPr>
            <w:r w:rsidRPr="009A1A2E">
              <w:rPr>
                <w:rFonts w:ascii="Arial" w:hAnsi="Arial" w:cs="Arial"/>
                <w:color w:val="231F20"/>
              </w:rPr>
              <w:t>GHABP</w:t>
            </w:r>
          </w:p>
        </w:tc>
        <w:tc>
          <w:tcPr>
            <w:tcW w:w="3838" w:type="pct"/>
          </w:tcPr>
          <w:p w14:paraId="3B7B0AEE" w14:textId="77777777" w:rsidR="007B23BC" w:rsidRPr="009A1A2E" w:rsidRDefault="007B23BC" w:rsidP="007B23BC">
            <w:pPr>
              <w:pStyle w:val="Tabletext"/>
              <w:spacing w:line="360" w:lineRule="auto"/>
              <w:jc w:val="both"/>
              <w:rPr>
                <w:rFonts w:ascii="Arial" w:hAnsi="Arial" w:cs="Arial"/>
              </w:rPr>
            </w:pPr>
            <w:r w:rsidRPr="009A1A2E">
              <w:rPr>
                <w:rFonts w:ascii="Arial" w:hAnsi="Arial" w:cs="Arial"/>
                <w:color w:val="231F20"/>
              </w:rPr>
              <w:t>Glasgow Hearing Aid Benefit Profile</w:t>
            </w:r>
          </w:p>
        </w:tc>
      </w:tr>
      <w:tr w:rsidR="007B23BC" w:rsidRPr="009A1A2E" w14:paraId="37047B1B" w14:textId="77777777" w:rsidTr="00D57A85">
        <w:tc>
          <w:tcPr>
            <w:tcW w:w="1162" w:type="pct"/>
          </w:tcPr>
          <w:p w14:paraId="2D19C2FE" w14:textId="77777777" w:rsidR="007B23BC" w:rsidRPr="009A1A2E" w:rsidRDefault="007B23BC" w:rsidP="007B23BC">
            <w:pPr>
              <w:pStyle w:val="Tabletext"/>
              <w:spacing w:line="360" w:lineRule="auto"/>
              <w:jc w:val="both"/>
              <w:rPr>
                <w:rFonts w:ascii="Arial" w:hAnsi="Arial" w:cs="Arial"/>
              </w:rPr>
            </w:pPr>
            <w:r w:rsidRPr="009A1A2E">
              <w:rPr>
                <w:rFonts w:ascii="Arial" w:hAnsi="Arial" w:cs="Arial"/>
              </w:rPr>
              <w:t>GP</w:t>
            </w:r>
          </w:p>
        </w:tc>
        <w:tc>
          <w:tcPr>
            <w:tcW w:w="3838" w:type="pct"/>
          </w:tcPr>
          <w:p w14:paraId="505A65E9" w14:textId="77777777" w:rsidR="007B23BC" w:rsidRPr="009A1A2E" w:rsidRDefault="007B23BC" w:rsidP="007B23BC">
            <w:pPr>
              <w:pStyle w:val="Tabletext"/>
              <w:spacing w:line="360" w:lineRule="auto"/>
              <w:jc w:val="both"/>
              <w:rPr>
                <w:rFonts w:ascii="Arial" w:hAnsi="Arial" w:cs="Arial"/>
              </w:rPr>
            </w:pPr>
            <w:r w:rsidRPr="009A1A2E">
              <w:rPr>
                <w:rFonts w:ascii="Arial" w:hAnsi="Arial" w:cs="Arial"/>
              </w:rPr>
              <w:t>General Practitioner</w:t>
            </w:r>
          </w:p>
        </w:tc>
      </w:tr>
      <w:tr w:rsidR="007B23BC" w:rsidRPr="009A1A2E" w14:paraId="019BE63C" w14:textId="77777777" w:rsidTr="00D57A85">
        <w:tc>
          <w:tcPr>
            <w:tcW w:w="1162" w:type="pct"/>
          </w:tcPr>
          <w:p w14:paraId="41F37E05" w14:textId="77777777" w:rsidR="007B23BC" w:rsidRPr="009A1A2E" w:rsidRDefault="007B23BC" w:rsidP="007B23BC">
            <w:pPr>
              <w:pStyle w:val="Tabletext"/>
              <w:spacing w:line="360" w:lineRule="auto"/>
              <w:jc w:val="both"/>
              <w:rPr>
                <w:rFonts w:ascii="Arial" w:hAnsi="Arial" w:cs="Arial"/>
              </w:rPr>
            </w:pPr>
            <w:r w:rsidRPr="009A1A2E">
              <w:rPr>
                <w:rFonts w:ascii="Arial" w:hAnsi="Arial" w:cs="Arial"/>
              </w:rPr>
              <w:t>HA</w:t>
            </w:r>
          </w:p>
        </w:tc>
        <w:tc>
          <w:tcPr>
            <w:tcW w:w="3838" w:type="pct"/>
          </w:tcPr>
          <w:p w14:paraId="35365D09" w14:textId="77777777" w:rsidR="007B23BC" w:rsidRPr="009A1A2E" w:rsidRDefault="007B23BC" w:rsidP="007B23BC">
            <w:pPr>
              <w:pStyle w:val="Tabletext"/>
              <w:spacing w:line="360" w:lineRule="auto"/>
              <w:jc w:val="both"/>
              <w:rPr>
                <w:rFonts w:ascii="Arial" w:hAnsi="Arial" w:cs="Arial"/>
              </w:rPr>
            </w:pPr>
            <w:r w:rsidRPr="009A1A2E">
              <w:rPr>
                <w:rFonts w:ascii="Arial" w:hAnsi="Arial" w:cs="Arial"/>
              </w:rPr>
              <w:t>Hearing aid</w:t>
            </w:r>
          </w:p>
        </w:tc>
      </w:tr>
      <w:tr w:rsidR="007B23BC" w:rsidRPr="009A1A2E" w14:paraId="13379868" w14:textId="77777777" w:rsidTr="00D57A85">
        <w:tc>
          <w:tcPr>
            <w:tcW w:w="1162" w:type="pct"/>
          </w:tcPr>
          <w:p w14:paraId="54DC359B" w14:textId="77777777" w:rsidR="007B23BC" w:rsidRPr="009A1A2E" w:rsidRDefault="007B23BC" w:rsidP="007B23BC">
            <w:pPr>
              <w:pStyle w:val="Tabletext"/>
              <w:spacing w:line="360" w:lineRule="auto"/>
              <w:jc w:val="both"/>
              <w:rPr>
                <w:rFonts w:ascii="Arial" w:hAnsi="Arial" w:cs="Arial"/>
              </w:rPr>
            </w:pPr>
            <w:r w:rsidRPr="009A1A2E">
              <w:rPr>
                <w:rFonts w:ascii="Arial" w:hAnsi="Arial" w:cs="Arial"/>
              </w:rPr>
              <w:t>HDSS</w:t>
            </w:r>
          </w:p>
        </w:tc>
        <w:tc>
          <w:tcPr>
            <w:tcW w:w="3838" w:type="pct"/>
          </w:tcPr>
          <w:p w14:paraId="1F0162CA" w14:textId="77777777" w:rsidR="007B23BC" w:rsidRPr="009A1A2E" w:rsidRDefault="00BA2BB4" w:rsidP="007B23BC">
            <w:pPr>
              <w:pStyle w:val="Tabletext"/>
              <w:spacing w:line="360" w:lineRule="auto"/>
              <w:jc w:val="both"/>
              <w:rPr>
                <w:rFonts w:ascii="Arial" w:hAnsi="Arial" w:cs="Arial"/>
              </w:rPr>
            </w:pPr>
            <w:r w:rsidRPr="009A1A2E">
              <w:rPr>
                <w:rFonts w:ascii="Arial" w:hAnsi="Arial" w:cs="Arial"/>
              </w:rPr>
              <w:t>Hearing Device Sati</w:t>
            </w:r>
            <w:r w:rsidR="00793BAB">
              <w:rPr>
                <w:rFonts w:ascii="Arial" w:hAnsi="Arial" w:cs="Arial"/>
              </w:rPr>
              <w:t>s</w:t>
            </w:r>
            <w:r w:rsidRPr="009A1A2E">
              <w:rPr>
                <w:rFonts w:ascii="Arial" w:hAnsi="Arial" w:cs="Arial"/>
              </w:rPr>
              <w:t>faction Scale</w:t>
            </w:r>
          </w:p>
        </w:tc>
      </w:tr>
      <w:tr w:rsidR="007B23BC" w:rsidRPr="009A1A2E" w14:paraId="706228E6" w14:textId="77777777" w:rsidTr="00D57A85">
        <w:tc>
          <w:tcPr>
            <w:tcW w:w="1162" w:type="pct"/>
          </w:tcPr>
          <w:p w14:paraId="56DE8A06" w14:textId="77777777" w:rsidR="007B23BC" w:rsidRPr="009A1A2E" w:rsidRDefault="007B23BC" w:rsidP="007B23BC">
            <w:pPr>
              <w:pStyle w:val="Tabletext"/>
              <w:spacing w:line="360" w:lineRule="auto"/>
              <w:jc w:val="both"/>
              <w:rPr>
                <w:rFonts w:ascii="Arial" w:hAnsi="Arial" w:cs="Arial"/>
              </w:rPr>
            </w:pPr>
            <w:r w:rsidRPr="009A1A2E">
              <w:rPr>
                <w:rFonts w:ascii="Arial" w:hAnsi="Arial" w:cs="Arial"/>
              </w:rPr>
              <w:t>HICP</w:t>
            </w:r>
          </w:p>
        </w:tc>
        <w:tc>
          <w:tcPr>
            <w:tcW w:w="3838" w:type="pct"/>
          </w:tcPr>
          <w:p w14:paraId="3261E385" w14:textId="77777777" w:rsidR="007B23BC" w:rsidRPr="009A1A2E" w:rsidRDefault="007B23BC" w:rsidP="007B23BC">
            <w:pPr>
              <w:pStyle w:val="Tabletext"/>
              <w:spacing w:line="360" w:lineRule="auto"/>
              <w:jc w:val="both"/>
              <w:rPr>
                <w:rFonts w:ascii="Arial" w:hAnsi="Arial" w:cs="Arial"/>
              </w:rPr>
            </w:pPr>
            <w:r w:rsidRPr="009A1A2E">
              <w:rPr>
                <w:rFonts w:ascii="Arial" w:hAnsi="Arial" w:cs="Arial"/>
              </w:rPr>
              <w:t>the harmonized consumer price index</w:t>
            </w:r>
          </w:p>
        </w:tc>
      </w:tr>
      <w:tr w:rsidR="007B23BC" w:rsidRPr="009A1A2E" w14:paraId="63E18B08" w14:textId="77777777" w:rsidTr="00D57A85">
        <w:tc>
          <w:tcPr>
            <w:tcW w:w="1162" w:type="pct"/>
          </w:tcPr>
          <w:p w14:paraId="00C7F99E" w14:textId="77777777" w:rsidR="007B23BC" w:rsidRPr="009A1A2E" w:rsidRDefault="007B23BC" w:rsidP="007B23BC">
            <w:pPr>
              <w:pStyle w:val="Tabletext"/>
              <w:spacing w:line="360" w:lineRule="auto"/>
              <w:jc w:val="both"/>
              <w:rPr>
                <w:rFonts w:ascii="Arial" w:hAnsi="Arial" w:cs="Arial"/>
              </w:rPr>
            </w:pPr>
            <w:r w:rsidRPr="009A1A2E">
              <w:rPr>
                <w:rFonts w:ascii="Arial" w:hAnsi="Arial" w:cs="Arial"/>
              </w:rPr>
              <w:t>HL</w:t>
            </w:r>
          </w:p>
        </w:tc>
        <w:tc>
          <w:tcPr>
            <w:tcW w:w="3838" w:type="pct"/>
          </w:tcPr>
          <w:p w14:paraId="12BFD1D5" w14:textId="77777777" w:rsidR="007B23BC" w:rsidRPr="009A1A2E" w:rsidRDefault="007B23BC" w:rsidP="007B23BC">
            <w:pPr>
              <w:pStyle w:val="Tabletext"/>
              <w:spacing w:line="360" w:lineRule="auto"/>
              <w:jc w:val="both"/>
              <w:rPr>
                <w:rFonts w:ascii="Arial" w:hAnsi="Arial" w:cs="Arial"/>
              </w:rPr>
            </w:pPr>
            <w:r w:rsidRPr="009A1A2E">
              <w:rPr>
                <w:rFonts w:ascii="Arial" w:hAnsi="Arial" w:cs="Arial"/>
              </w:rPr>
              <w:t>hearing loss/ hearing level</w:t>
            </w:r>
          </w:p>
        </w:tc>
      </w:tr>
      <w:tr w:rsidR="007B23BC" w:rsidRPr="009A1A2E" w14:paraId="034B8ACE" w14:textId="77777777" w:rsidTr="00D57A85">
        <w:tc>
          <w:tcPr>
            <w:tcW w:w="1162" w:type="pct"/>
          </w:tcPr>
          <w:p w14:paraId="5E9F8F27" w14:textId="77777777" w:rsidR="007B23BC" w:rsidRPr="009A1A2E" w:rsidRDefault="007B23BC" w:rsidP="007B23BC">
            <w:pPr>
              <w:pStyle w:val="Tabletext"/>
              <w:spacing w:line="360" w:lineRule="auto"/>
              <w:jc w:val="both"/>
              <w:rPr>
                <w:rFonts w:ascii="Arial" w:hAnsi="Arial" w:cs="Arial"/>
              </w:rPr>
            </w:pPr>
            <w:r w:rsidRPr="009A1A2E">
              <w:rPr>
                <w:rFonts w:ascii="Arial" w:hAnsi="Arial" w:cs="Arial"/>
              </w:rPr>
              <w:t>HTA</w:t>
            </w:r>
          </w:p>
        </w:tc>
        <w:tc>
          <w:tcPr>
            <w:tcW w:w="3838" w:type="pct"/>
          </w:tcPr>
          <w:p w14:paraId="2A43BA37" w14:textId="77777777" w:rsidR="007B23BC" w:rsidRPr="009A1A2E" w:rsidRDefault="007B23BC" w:rsidP="007B23BC">
            <w:pPr>
              <w:pStyle w:val="Tabletext"/>
              <w:spacing w:line="360" w:lineRule="auto"/>
              <w:jc w:val="both"/>
              <w:rPr>
                <w:rFonts w:ascii="Arial" w:hAnsi="Arial" w:cs="Arial"/>
              </w:rPr>
            </w:pPr>
            <w:r w:rsidRPr="009A1A2E">
              <w:rPr>
                <w:rFonts w:ascii="Arial" w:hAnsi="Arial" w:cs="Arial"/>
              </w:rPr>
              <w:t>Health technology assessment</w:t>
            </w:r>
          </w:p>
        </w:tc>
      </w:tr>
      <w:tr w:rsidR="007B23BC" w:rsidRPr="009A1A2E" w14:paraId="7DFFFFBF" w14:textId="77777777" w:rsidTr="00D57A85">
        <w:tc>
          <w:tcPr>
            <w:tcW w:w="1162" w:type="pct"/>
          </w:tcPr>
          <w:p w14:paraId="0418A481" w14:textId="77777777" w:rsidR="007B23BC" w:rsidRPr="009A1A2E" w:rsidRDefault="007B23BC" w:rsidP="007B23BC">
            <w:pPr>
              <w:pStyle w:val="Tabletext"/>
              <w:spacing w:line="360" w:lineRule="auto"/>
              <w:jc w:val="both"/>
              <w:rPr>
                <w:rFonts w:ascii="Arial" w:hAnsi="Arial" w:cs="Arial"/>
              </w:rPr>
            </w:pPr>
            <w:r w:rsidRPr="009A1A2E">
              <w:rPr>
                <w:rFonts w:ascii="Arial" w:hAnsi="Arial" w:cs="Arial"/>
                <w:color w:val="231F20"/>
              </w:rPr>
              <w:t>HUI</w:t>
            </w:r>
          </w:p>
        </w:tc>
        <w:tc>
          <w:tcPr>
            <w:tcW w:w="3838" w:type="pct"/>
          </w:tcPr>
          <w:p w14:paraId="406BAE06" w14:textId="77777777" w:rsidR="007B23BC" w:rsidRPr="009A1A2E" w:rsidRDefault="007B23BC" w:rsidP="007B23BC">
            <w:pPr>
              <w:pStyle w:val="Tabletext"/>
              <w:spacing w:line="360" w:lineRule="auto"/>
              <w:jc w:val="both"/>
              <w:rPr>
                <w:rFonts w:ascii="Arial" w:hAnsi="Arial" w:cs="Arial"/>
              </w:rPr>
            </w:pPr>
            <w:r w:rsidRPr="009A1A2E">
              <w:rPr>
                <w:rFonts w:ascii="Arial" w:hAnsi="Arial" w:cs="Arial"/>
                <w:color w:val="231F20"/>
              </w:rPr>
              <w:t>Health Utilities Index</w:t>
            </w:r>
          </w:p>
        </w:tc>
      </w:tr>
      <w:tr w:rsidR="007B23BC" w:rsidRPr="009A1A2E" w14:paraId="797CBA52" w14:textId="77777777" w:rsidTr="00D57A85">
        <w:tc>
          <w:tcPr>
            <w:tcW w:w="1162" w:type="pct"/>
          </w:tcPr>
          <w:p w14:paraId="610342AA" w14:textId="77777777" w:rsidR="007B23BC" w:rsidRPr="009A1A2E" w:rsidRDefault="007B23BC" w:rsidP="007B23BC">
            <w:pPr>
              <w:pStyle w:val="Tabletext"/>
              <w:spacing w:line="360" w:lineRule="auto"/>
              <w:jc w:val="both"/>
              <w:rPr>
                <w:rFonts w:ascii="Arial" w:hAnsi="Arial" w:cs="Arial"/>
              </w:rPr>
            </w:pPr>
            <w:r w:rsidRPr="009A1A2E">
              <w:rPr>
                <w:rFonts w:ascii="Arial" w:hAnsi="Arial" w:cs="Arial"/>
              </w:rPr>
              <w:t>ICER</w:t>
            </w:r>
          </w:p>
        </w:tc>
        <w:tc>
          <w:tcPr>
            <w:tcW w:w="3838" w:type="pct"/>
          </w:tcPr>
          <w:p w14:paraId="55214C66" w14:textId="77777777" w:rsidR="007B23BC" w:rsidRPr="009A1A2E" w:rsidRDefault="007B23BC" w:rsidP="007B23BC">
            <w:pPr>
              <w:pStyle w:val="Tabletext"/>
              <w:spacing w:line="360" w:lineRule="auto"/>
              <w:jc w:val="both"/>
              <w:rPr>
                <w:rFonts w:ascii="Arial" w:hAnsi="Arial" w:cs="Arial"/>
              </w:rPr>
            </w:pPr>
            <w:r w:rsidRPr="009A1A2E">
              <w:rPr>
                <w:rFonts w:ascii="Arial" w:hAnsi="Arial" w:cs="Arial"/>
              </w:rPr>
              <w:t>Incremental Cost-Effectiveness Ratio</w:t>
            </w:r>
          </w:p>
        </w:tc>
      </w:tr>
      <w:tr w:rsidR="007B23BC" w:rsidRPr="009A1A2E" w14:paraId="7452A192" w14:textId="77777777" w:rsidTr="00D57A85">
        <w:tc>
          <w:tcPr>
            <w:tcW w:w="1162" w:type="pct"/>
          </w:tcPr>
          <w:p w14:paraId="4104D0C1" w14:textId="77777777" w:rsidR="007B23BC" w:rsidRPr="009A1A2E" w:rsidRDefault="007B23BC" w:rsidP="00BA2BB4">
            <w:pPr>
              <w:pStyle w:val="Tabletext"/>
              <w:spacing w:line="360" w:lineRule="auto"/>
              <w:jc w:val="both"/>
              <w:rPr>
                <w:rFonts w:ascii="Arial" w:hAnsi="Arial" w:cs="Arial"/>
              </w:rPr>
            </w:pPr>
            <w:r w:rsidRPr="009A1A2E">
              <w:rPr>
                <w:rFonts w:ascii="Arial" w:hAnsi="Arial" w:cs="Arial"/>
              </w:rPr>
              <w:t>I</w:t>
            </w:r>
            <w:r w:rsidR="00BA2BB4" w:rsidRPr="009A1A2E">
              <w:rPr>
                <w:rFonts w:ascii="Arial" w:hAnsi="Arial" w:cs="Arial"/>
              </w:rPr>
              <w:t>O</w:t>
            </w:r>
            <w:r w:rsidRPr="009A1A2E">
              <w:rPr>
                <w:rFonts w:ascii="Arial" w:hAnsi="Arial" w:cs="Arial"/>
              </w:rPr>
              <w:t>I-HA</w:t>
            </w:r>
          </w:p>
        </w:tc>
        <w:tc>
          <w:tcPr>
            <w:tcW w:w="3838" w:type="pct"/>
          </w:tcPr>
          <w:p w14:paraId="70C9446B" w14:textId="77777777" w:rsidR="007B23BC" w:rsidRPr="009A1A2E" w:rsidRDefault="00BA2BB4" w:rsidP="007B23BC">
            <w:pPr>
              <w:pStyle w:val="Tabletext"/>
              <w:spacing w:line="360" w:lineRule="auto"/>
              <w:jc w:val="both"/>
              <w:rPr>
                <w:rFonts w:ascii="Arial" w:hAnsi="Arial" w:cs="Arial"/>
              </w:rPr>
            </w:pPr>
            <w:r w:rsidRPr="009A1A2E">
              <w:rPr>
                <w:rFonts w:ascii="Arial" w:hAnsi="Arial" w:cs="Arial"/>
              </w:rPr>
              <w:t>International Outcome Inventory for Hearing Aids</w:t>
            </w:r>
          </w:p>
        </w:tc>
      </w:tr>
      <w:tr w:rsidR="007B23BC" w:rsidRPr="009A1A2E" w14:paraId="3FC6AA6D" w14:textId="77777777" w:rsidTr="00D57A85">
        <w:tc>
          <w:tcPr>
            <w:tcW w:w="1162" w:type="pct"/>
          </w:tcPr>
          <w:p w14:paraId="210D630A" w14:textId="77777777" w:rsidR="007B23BC" w:rsidRPr="009A1A2E" w:rsidRDefault="007B23BC" w:rsidP="007B23BC">
            <w:pPr>
              <w:pStyle w:val="Tabletext"/>
              <w:spacing w:line="360" w:lineRule="auto"/>
              <w:jc w:val="both"/>
              <w:rPr>
                <w:rFonts w:ascii="Arial" w:hAnsi="Arial" w:cs="Arial"/>
              </w:rPr>
            </w:pPr>
            <w:r w:rsidRPr="009A1A2E">
              <w:rPr>
                <w:rFonts w:ascii="Arial" w:hAnsi="Arial" w:cs="Arial"/>
              </w:rPr>
              <w:t>ITS</w:t>
            </w:r>
          </w:p>
        </w:tc>
        <w:tc>
          <w:tcPr>
            <w:tcW w:w="3838" w:type="pct"/>
          </w:tcPr>
          <w:p w14:paraId="199D39FF" w14:textId="77777777" w:rsidR="007B23BC" w:rsidRPr="009A1A2E" w:rsidRDefault="007B23BC" w:rsidP="007B23BC">
            <w:pPr>
              <w:pStyle w:val="Tabletext"/>
              <w:spacing w:line="360" w:lineRule="auto"/>
              <w:jc w:val="both"/>
              <w:rPr>
                <w:rFonts w:ascii="Arial" w:hAnsi="Arial" w:cs="Arial"/>
              </w:rPr>
            </w:pPr>
            <w:r w:rsidRPr="009A1A2E">
              <w:rPr>
                <w:rFonts w:ascii="Arial" w:hAnsi="Arial" w:cs="Arial"/>
              </w:rPr>
              <w:t>Interrupted time series</w:t>
            </w:r>
          </w:p>
        </w:tc>
      </w:tr>
      <w:tr w:rsidR="007B23BC" w:rsidRPr="009A1A2E" w14:paraId="34474DC9" w14:textId="77777777" w:rsidTr="00D57A85">
        <w:tc>
          <w:tcPr>
            <w:tcW w:w="1162" w:type="pct"/>
          </w:tcPr>
          <w:p w14:paraId="4384F9AE" w14:textId="77777777" w:rsidR="007B23BC" w:rsidRPr="009A1A2E" w:rsidRDefault="007B23BC" w:rsidP="007B23BC">
            <w:pPr>
              <w:pStyle w:val="Tabletext"/>
              <w:spacing w:line="360" w:lineRule="auto"/>
              <w:jc w:val="both"/>
              <w:rPr>
                <w:rFonts w:ascii="Arial" w:hAnsi="Arial" w:cs="Arial"/>
              </w:rPr>
            </w:pPr>
            <w:r w:rsidRPr="009A1A2E">
              <w:rPr>
                <w:rFonts w:ascii="Arial" w:hAnsi="Arial" w:cs="Arial"/>
              </w:rPr>
              <w:t>MBS</w:t>
            </w:r>
          </w:p>
        </w:tc>
        <w:tc>
          <w:tcPr>
            <w:tcW w:w="3838" w:type="pct"/>
          </w:tcPr>
          <w:p w14:paraId="5F6B5922" w14:textId="77777777" w:rsidR="007B23BC" w:rsidRPr="009A1A2E" w:rsidRDefault="007B23BC" w:rsidP="007B23BC">
            <w:pPr>
              <w:pStyle w:val="Tabletext"/>
              <w:spacing w:line="360" w:lineRule="auto"/>
              <w:jc w:val="both"/>
              <w:rPr>
                <w:rFonts w:ascii="Arial" w:hAnsi="Arial" w:cs="Arial"/>
              </w:rPr>
            </w:pPr>
            <w:r w:rsidRPr="009A1A2E">
              <w:rPr>
                <w:rFonts w:ascii="Arial" w:hAnsi="Arial" w:cs="Arial"/>
              </w:rPr>
              <w:t>Medicare Benefits Schedule</w:t>
            </w:r>
          </w:p>
        </w:tc>
      </w:tr>
      <w:tr w:rsidR="007B23BC" w:rsidRPr="009A1A2E" w14:paraId="26CE7967" w14:textId="77777777" w:rsidTr="00D57A85">
        <w:tc>
          <w:tcPr>
            <w:tcW w:w="1162" w:type="pct"/>
          </w:tcPr>
          <w:p w14:paraId="2E7FE918" w14:textId="77777777" w:rsidR="007B23BC" w:rsidRPr="009A1A2E" w:rsidRDefault="007B23BC" w:rsidP="007B23BC">
            <w:pPr>
              <w:pStyle w:val="Tabletext"/>
              <w:spacing w:line="360" w:lineRule="auto"/>
              <w:jc w:val="both"/>
              <w:rPr>
                <w:rFonts w:ascii="Arial" w:hAnsi="Arial" w:cs="Arial"/>
                <w:color w:val="000000"/>
              </w:rPr>
            </w:pPr>
            <w:r w:rsidRPr="009A1A2E">
              <w:rPr>
                <w:rFonts w:ascii="Arial" w:hAnsi="Arial" w:cs="Arial"/>
                <w:color w:val="000000"/>
              </w:rPr>
              <w:t>MEI</w:t>
            </w:r>
          </w:p>
        </w:tc>
        <w:tc>
          <w:tcPr>
            <w:tcW w:w="3838" w:type="pct"/>
          </w:tcPr>
          <w:p w14:paraId="7C1E05B9" w14:textId="77777777" w:rsidR="007B23BC" w:rsidRPr="009A1A2E" w:rsidRDefault="007B23BC" w:rsidP="007B23BC">
            <w:pPr>
              <w:pStyle w:val="Tabletext"/>
              <w:spacing w:line="360" w:lineRule="auto"/>
              <w:jc w:val="both"/>
              <w:rPr>
                <w:rFonts w:ascii="Arial" w:hAnsi="Arial" w:cs="Arial"/>
                <w:color w:val="000000"/>
              </w:rPr>
            </w:pPr>
            <w:r w:rsidRPr="009A1A2E">
              <w:rPr>
                <w:rFonts w:ascii="Arial" w:hAnsi="Arial" w:cs="Arial"/>
                <w:color w:val="000000"/>
              </w:rPr>
              <w:t>Middle Ear Implant</w:t>
            </w:r>
          </w:p>
        </w:tc>
      </w:tr>
      <w:tr w:rsidR="007B23BC" w:rsidRPr="009A1A2E" w14:paraId="0837D9A0" w14:textId="77777777" w:rsidTr="00D57A85">
        <w:tc>
          <w:tcPr>
            <w:tcW w:w="1162" w:type="pct"/>
          </w:tcPr>
          <w:p w14:paraId="5A142D2C" w14:textId="77777777" w:rsidR="007B23BC" w:rsidRPr="009A1A2E" w:rsidRDefault="007B23BC" w:rsidP="007B23BC">
            <w:pPr>
              <w:pStyle w:val="Tabletext"/>
              <w:spacing w:line="360" w:lineRule="auto"/>
              <w:jc w:val="both"/>
              <w:rPr>
                <w:rFonts w:ascii="Arial" w:hAnsi="Arial" w:cs="Arial"/>
                <w:color w:val="000000"/>
              </w:rPr>
            </w:pPr>
            <w:r w:rsidRPr="009A1A2E">
              <w:rPr>
                <w:rFonts w:ascii="Arial" w:hAnsi="Arial" w:cs="Arial"/>
                <w:color w:val="000000"/>
              </w:rPr>
              <w:t>N/A</w:t>
            </w:r>
          </w:p>
        </w:tc>
        <w:tc>
          <w:tcPr>
            <w:tcW w:w="3838" w:type="pct"/>
          </w:tcPr>
          <w:p w14:paraId="5315D922" w14:textId="77777777" w:rsidR="007B23BC" w:rsidRPr="009A1A2E" w:rsidRDefault="007B23BC" w:rsidP="007B23BC">
            <w:pPr>
              <w:pStyle w:val="Tabletext"/>
              <w:spacing w:line="360" w:lineRule="auto"/>
              <w:jc w:val="both"/>
              <w:rPr>
                <w:rFonts w:ascii="Arial" w:hAnsi="Arial" w:cs="Arial"/>
                <w:color w:val="000000"/>
              </w:rPr>
            </w:pPr>
            <w:r w:rsidRPr="009A1A2E">
              <w:rPr>
                <w:rFonts w:ascii="Arial" w:hAnsi="Arial" w:cs="Arial"/>
                <w:color w:val="000000"/>
              </w:rPr>
              <w:t>Not Applicable</w:t>
            </w:r>
          </w:p>
        </w:tc>
      </w:tr>
      <w:tr w:rsidR="007B23BC" w:rsidRPr="009A1A2E" w14:paraId="379A7970" w14:textId="77777777" w:rsidTr="00D57A85">
        <w:tc>
          <w:tcPr>
            <w:tcW w:w="1162" w:type="pct"/>
          </w:tcPr>
          <w:p w14:paraId="61A494A8" w14:textId="77777777" w:rsidR="007B23BC" w:rsidRPr="009A1A2E" w:rsidRDefault="007B23BC" w:rsidP="007B23BC">
            <w:pPr>
              <w:pStyle w:val="Tabletext"/>
              <w:spacing w:line="360" w:lineRule="auto"/>
              <w:jc w:val="both"/>
              <w:rPr>
                <w:rFonts w:ascii="Arial" w:hAnsi="Arial" w:cs="Arial"/>
                <w:color w:val="000000"/>
              </w:rPr>
            </w:pPr>
            <w:r w:rsidRPr="009A1A2E">
              <w:rPr>
                <w:rFonts w:ascii="Arial" w:hAnsi="Arial" w:cs="Arial"/>
                <w:color w:val="000000"/>
              </w:rPr>
              <w:t>n.a.</w:t>
            </w:r>
          </w:p>
        </w:tc>
        <w:tc>
          <w:tcPr>
            <w:tcW w:w="3838" w:type="pct"/>
          </w:tcPr>
          <w:p w14:paraId="01E7E074" w14:textId="77777777" w:rsidR="007B23BC" w:rsidRPr="009A1A2E" w:rsidRDefault="007B23BC" w:rsidP="007B23BC">
            <w:pPr>
              <w:pStyle w:val="Tabletext"/>
              <w:spacing w:line="360" w:lineRule="auto"/>
              <w:jc w:val="both"/>
              <w:rPr>
                <w:rFonts w:ascii="Arial" w:hAnsi="Arial" w:cs="Arial"/>
                <w:color w:val="000000"/>
              </w:rPr>
            </w:pPr>
            <w:r w:rsidRPr="009A1A2E">
              <w:rPr>
                <w:rFonts w:ascii="Arial" w:hAnsi="Arial" w:cs="Arial"/>
                <w:color w:val="000000"/>
              </w:rPr>
              <w:t>Not available</w:t>
            </w:r>
          </w:p>
        </w:tc>
      </w:tr>
      <w:tr w:rsidR="007B23BC" w:rsidRPr="009A1A2E" w14:paraId="1CF56A54" w14:textId="77777777" w:rsidTr="00D57A85">
        <w:tc>
          <w:tcPr>
            <w:tcW w:w="1162" w:type="pct"/>
          </w:tcPr>
          <w:p w14:paraId="3C31997A" w14:textId="77777777" w:rsidR="007B23BC" w:rsidRPr="009A1A2E" w:rsidRDefault="007B23BC" w:rsidP="007B23BC">
            <w:pPr>
              <w:pStyle w:val="Tabletext"/>
              <w:spacing w:line="360" w:lineRule="auto"/>
              <w:jc w:val="both"/>
              <w:rPr>
                <w:rFonts w:ascii="Arial" w:hAnsi="Arial" w:cs="Arial"/>
                <w:color w:val="000000"/>
              </w:rPr>
            </w:pPr>
            <w:r w:rsidRPr="009A1A2E">
              <w:rPr>
                <w:rFonts w:ascii="Arial" w:hAnsi="Arial" w:cs="Arial"/>
                <w:color w:val="000000"/>
              </w:rPr>
              <w:t>n.d.</w:t>
            </w:r>
          </w:p>
        </w:tc>
        <w:tc>
          <w:tcPr>
            <w:tcW w:w="3838" w:type="pct"/>
          </w:tcPr>
          <w:p w14:paraId="55D9BB5B" w14:textId="77777777" w:rsidR="007B23BC" w:rsidRPr="009A1A2E" w:rsidRDefault="007B23BC" w:rsidP="007B23BC">
            <w:pPr>
              <w:pStyle w:val="Tabletext"/>
              <w:spacing w:line="360" w:lineRule="auto"/>
              <w:jc w:val="both"/>
              <w:rPr>
                <w:rFonts w:ascii="Arial" w:hAnsi="Arial" w:cs="Arial"/>
                <w:color w:val="000000"/>
              </w:rPr>
            </w:pPr>
            <w:r w:rsidRPr="009A1A2E">
              <w:rPr>
                <w:rFonts w:ascii="Arial" w:hAnsi="Arial" w:cs="Arial"/>
                <w:color w:val="000000"/>
              </w:rPr>
              <w:t>Not determined</w:t>
            </w:r>
          </w:p>
        </w:tc>
      </w:tr>
      <w:tr w:rsidR="007B23BC" w:rsidRPr="009A1A2E" w14:paraId="149372D6" w14:textId="77777777" w:rsidTr="00D57A85">
        <w:tc>
          <w:tcPr>
            <w:tcW w:w="1162" w:type="pct"/>
          </w:tcPr>
          <w:p w14:paraId="0DFCCAF2" w14:textId="77777777" w:rsidR="007B23BC" w:rsidRPr="009A1A2E" w:rsidRDefault="007B23BC" w:rsidP="007B23BC">
            <w:pPr>
              <w:pStyle w:val="Tabletext"/>
              <w:spacing w:line="360" w:lineRule="auto"/>
              <w:jc w:val="both"/>
              <w:rPr>
                <w:rFonts w:ascii="Arial" w:hAnsi="Arial" w:cs="Arial"/>
                <w:color w:val="000000"/>
              </w:rPr>
            </w:pPr>
            <w:r w:rsidRPr="009A1A2E">
              <w:rPr>
                <w:rFonts w:ascii="Arial" w:hAnsi="Arial" w:cs="Arial"/>
                <w:color w:val="000000"/>
              </w:rPr>
              <w:t>nCBAs</w:t>
            </w:r>
          </w:p>
        </w:tc>
        <w:tc>
          <w:tcPr>
            <w:tcW w:w="3838" w:type="pct"/>
          </w:tcPr>
          <w:p w14:paraId="360262C2" w14:textId="77777777" w:rsidR="007B23BC" w:rsidRPr="009A1A2E" w:rsidRDefault="007B23BC" w:rsidP="007B23BC">
            <w:pPr>
              <w:pStyle w:val="Tabletext"/>
              <w:spacing w:line="360" w:lineRule="auto"/>
              <w:jc w:val="both"/>
              <w:rPr>
                <w:rFonts w:ascii="Arial" w:hAnsi="Arial" w:cs="Arial"/>
                <w:color w:val="000000"/>
              </w:rPr>
            </w:pPr>
            <w:r w:rsidRPr="009A1A2E">
              <w:rPr>
                <w:rFonts w:ascii="Arial" w:hAnsi="Arial" w:cs="Arial"/>
                <w:color w:val="000000"/>
              </w:rPr>
              <w:t>not controlled before and after studies</w:t>
            </w:r>
          </w:p>
        </w:tc>
      </w:tr>
      <w:tr w:rsidR="007B23BC" w:rsidRPr="009A1A2E" w14:paraId="253FAE8A" w14:textId="77777777" w:rsidTr="00D57A85">
        <w:tc>
          <w:tcPr>
            <w:tcW w:w="1162" w:type="pct"/>
          </w:tcPr>
          <w:p w14:paraId="77A944B8" w14:textId="77777777" w:rsidR="007B23BC" w:rsidRPr="009A1A2E" w:rsidRDefault="007B23BC" w:rsidP="007B23BC">
            <w:pPr>
              <w:pStyle w:val="Tabletext"/>
              <w:spacing w:line="360" w:lineRule="auto"/>
              <w:jc w:val="both"/>
              <w:rPr>
                <w:rFonts w:ascii="Arial" w:hAnsi="Arial" w:cs="Arial"/>
                <w:color w:val="000000"/>
              </w:rPr>
            </w:pPr>
            <w:r w:rsidRPr="009A1A2E">
              <w:rPr>
                <w:rFonts w:ascii="Arial" w:hAnsi="Arial" w:cs="Arial"/>
                <w:color w:val="000000"/>
              </w:rPr>
              <w:t>NHB</w:t>
            </w:r>
          </w:p>
        </w:tc>
        <w:tc>
          <w:tcPr>
            <w:tcW w:w="3838" w:type="pct"/>
          </w:tcPr>
          <w:p w14:paraId="33BE43E6" w14:textId="77777777" w:rsidR="007B23BC" w:rsidRPr="009A1A2E" w:rsidRDefault="007B23BC" w:rsidP="007B23BC">
            <w:pPr>
              <w:pStyle w:val="Tabletext"/>
              <w:spacing w:line="360" w:lineRule="auto"/>
              <w:jc w:val="both"/>
              <w:rPr>
                <w:rFonts w:ascii="Arial" w:hAnsi="Arial" w:cs="Arial"/>
                <w:color w:val="000000"/>
              </w:rPr>
            </w:pPr>
            <w:r w:rsidRPr="009A1A2E">
              <w:rPr>
                <w:rFonts w:ascii="Arial" w:hAnsi="Arial" w:cs="Arial"/>
                <w:color w:val="000000"/>
              </w:rPr>
              <w:t>Net Health Benefit</w:t>
            </w:r>
          </w:p>
        </w:tc>
      </w:tr>
      <w:tr w:rsidR="007B23BC" w:rsidRPr="009A1A2E" w14:paraId="61AB1E33" w14:textId="77777777" w:rsidTr="00D57A85">
        <w:tc>
          <w:tcPr>
            <w:tcW w:w="1162" w:type="pct"/>
          </w:tcPr>
          <w:p w14:paraId="1717B1C3" w14:textId="77777777" w:rsidR="007B23BC" w:rsidRPr="009A1A2E" w:rsidRDefault="007B23BC" w:rsidP="007B23BC">
            <w:pPr>
              <w:pStyle w:val="Tabletext"/>
              <w:spacing w:line="360" w:lineRule="auto"/>
              <w:jc w:val="both"/>
              <w:rPr>
                <w:rFonts w:ascii="Arial" w:hAnsi="Arial" w:cs="Arial"/>
              </w:rPr>
            </w:pPr>
            <w:r w:rsidRPr="009A1A2E">
              <w:rPr>
                <w:rFonts w:ascii="Arial" w:hAnsi="Arial" w:cs="Arial"/>
                <w:color w:val="000000"/>
              </w:rPr>
              <w:t>NIHL</w:t>
            </w:r>
          </w:p>
        </w:tc>
        <w:tc>
          <w:tcPr>
            <w:tcW w:w="3838" w:type="pct"/>
          </w:tcPr>
          <w:p w14:paraId="030B4037" w14:textId="77777777" w:rsidR="007B23BC" w:rsidRPr="009A1A2E" w:rsidRDefault="007B23BC" w:rsidP="007B23BC">
            <w:pPr>
              <w:pStyle w:val="Tabletext"/>
              <w:spacing w:line="360" w:lineRule="auto"/>
              <w:jc w:val="both"/>
              <w:rPr>
                <w:rFonts w:ascii="Arial" w:hAnsi="Arial" w:cs="Arial"/>
              </w:rPr>
            </w:pPr>
            <w:r w:rsidRPr="009A1A2E">
              <w:rPr>
                <w:rFonts w:ascii="Arial" w:hAnsi="Arial" w:cs="Arial"/>
                <w:color w:val="000000"/>
              </w:rPr>
              <w:t>Noise induced hearing loss</w:t>
            </w:r>
          </w:p>
        </w:tc>
      </w:tr>
      <w:tr w:rsidR="007B23BC" w:rsidRPr="009A1A2E" w14:paraId="706D8F25" w14:textId="77777777" w:rsidTr="00D57A85">
        <w:tc>
          <w:tcPr>
            <w:tcW w:w="1162" w:type="pct"/>
          </w:tcPr>
          <w:p w14:paraId="7CB26869" w14:textId="77777777" w:rsidR="007B23BC" w:rsidRPr="009A1A2E" w:rsidRDefault="007B23BC" w:rsidP="007B23BC">
            <w:pPr>
              <w:pStyle w:val="Tabletext"/>
              <w:spacing w:line="360" w:lineRule="auto"/>
              <w:jc w:val="both"/>
              <w:rPr>
                <w:rFonts w:ascii="Arial" w:hAnsi="Arial" w:cs="Arial"/>
                <w:bCs/>
              </w:rPr>
            </w:pPr>
            <w:r w:rsidRPr="009A1A2E">
              <w:rPr>
                <w:rFonts w:ascii="Arial" w:hAnsi="Arial" w:cs="Arial"/>
                <w:bCs/>
              </w:rPr>
              <w:t>NMB</w:t>
            </w:r>
          </w:p>
        </w:tc>
        <w:tc>
          <w:tcPr>
            <w:tcW w:w="3838" w:type="pct"/>
          </w:tcPr>
          <w:p w14:paraId="635C8BD6" w14:textId="77777777" w:rsidR="007B23BC" w:rsidRPr="009A1A2E" w:rsidRDefault="007B23BC" w:rsidP="007B23BC">
            <w:pPr>
              <w:pStyle w:val="Tabletext"/>
              <w:spacing w:line="360" w:lineRule="auto"/>
              <w:jc w:val="both"/>
              <w:rPr>
                <w:rFonts w:ascii="Arial" w:hAnsi="Arial" w:cs="Arial"/>
                <w:bCs/>
              </w:rPr>
            </w:pPr>
            <w:r w:rsidRPr="009A1A2E">
              <w:rPr>
                <w:rFonts w:ascii="Arial" w:hAnsi="Arial" w:cs="Arial"/>
                <w:bCs/>
              </w:rPr>
              <w:t>Net Monetary Benefit</w:t>
            </w:r>
          </w:p>
        </w:tc>
      </w:tr>
      <w:tr w:rsidR="007B23BC" w:rsidRPr="009A1A2E" w14:paraId="21E25B34" w14:textId="77777777" w:rsidTr="00D57A85">
        <w:tc>
          <w:tcPr>
            <w:tcW w:w="1162" w:type="pct"/>
          </w:tcPr>
          <w:p w14:paraId="361968B1" w14:textId="77777777" w:rsidR="007B23BC" w:rsidRPr="009A1A2E" w:rsidRDefault="007B23BC" w:rsidP="007B23BC">
            <w:pPr>
              <w:pStyle w:val="Tabletext"/>
              <w:spacing w:line="360" w:lineRule="auto"/>
              <w:jc w:val="both"/>
              <w:rPr>
                <w:rFonts w:ascii="Arial" w:hAnsi="Arial" w:cs="Arial"/>
              </w:rPr>
            </w:pPr>
            <w:r w:rsidRPr="009A1A2E">
              <w:rPr>
                <w:rFonts w:ascii="Arial" w:hAnsi="Arial" w:cs="Arial"/>
                <w:bCs/>
              </w:rPr>
              <w:t>OFIA</w:t>
            </w:r>
          </w:p>
        </w:tc>
        <w:tc>
          <w:tcPr>
            <w:tcW w:w="3838" w:type="pct"/>
          </w:tcPr>
          <w:p w14:paraId="07D217A9" w14:textId="77777777" w:rsidR="007B23BC" w:rsidRPr="009A1A2E" w:rsidRDefault="007B23BC" w:rsidP="007B23BC">
            <w:pPr>
              <w:pStyle w:val="Tabletext"/>
              <w:spacing w:line="360" w:lineRule="auto"/>
              <w:jc w:val="both"/>
              <w:rPr>
                <w:rFonts w:ascii="Arial" w:hAnsi="Arial" w:cs="Arial"/>
              </w:rPr>
            </w:pPr>
            <w:r w:rsidRPr="009A1A2E">
              <w:rPr>
                <w:rFonts w:ascii="Arial" w:hAnsi="Arial" w:cs="Arial"/>
                <w:bCs/>
              </w:rPr>
              <w:t>Operational and Financial Impact Analysis</w:t>
            </w:r>
          </w:p>
        </w:tc>
      </w:tr>
      <w:tr w:rsidR="007B23BC" w:rsidRPr="001D51F0" w14:paraId="55547AE9" w14:textId="77777777" w:rsidTr="00D57A85">
        <w:tc>
          <w:tcPr>
            <w:tcW w:w="1162" w:type="pct"/>
          </w:tcPr>
          <w:p w14:paraId="03D1A533" w14:textId="77777777" w:rsidR="007B23BC" w:rsidRPr="009A1A2E" w:rsidRDefault="007B23BC" w:rsidP="007B23BC">
            <w:pPr>
              <w:pStyle w:val="Tabletext"/>
              <w:spacing w:line="360" w:lineRule="auto"/>
              <w:jc w:val="both"/>
              <w:rPr>
                <w:rFonts w:ascii="Arial" w:hAnsi="Arial" w:cs="Arial"/>
              </w:rPr>
            </w:pPr>
            <w:r w:rsidRPr="009A1A2E">
              <w:rPr>
                <w:rFonts w:ascii="Arial" w:hAnsi="Arial" w:cs="Arial"/>
              </w:rPr>
              <w:t>OPS</w:t>
            </w:r>
          </w:p>
        </w:tc>
        <w:tc>
          <w:tcPr>
            <w:tcW w:w="3838" w:type="pct"/>
          </w:tcPr>
          <w:p w14:paraId="1CBB37B2" w14:textId="77777777" w:rsidR="007B23BC" w:rsidRPr="000B7EA5" w:rsidRDefault="00A57C45" w:rsidP="007B23BC">
            <w:pPr>
              <w:pStyle w:val="Tabletext"/>
              <w:spacing w:line="360" w:lineRule="auto"/>
              <w:jc w:val="both"/>
              <w:rPr>
                <w:rFonts w:ascii="Arial" w:hAnsi="Arial" w:cs="Arial"/>
                <w:lang w:val="de-AT"/>
              </w:rPr>
            </w:pPr>
            <w:r w:rsidRPr="000B7EA5">
              <w:rPr>
                <w:rFonts w:ascii="Arial" w:hAnsi="Arial" w:cs="Arial"/>
                <w:lang w:val="de-AT"/>
              </w:rPr>
              <w:t xml:space="preserve">Operationen- und Prozedurenschlüssel (Operating </w:t>
            </w:r>
            <w:r w:rsidR="007B23BC" w:rsidRPr="000B7EA5">
              <w:rPr>
                <w:rFonts w:ascii="Arial" w:hAnsi="Arial" w:cs="Arial"/>
                <w:lang w:val="de-AT"/>
              </w:rPr>
              <w:t>Procedures</w:t>
            </w:r>
            <w:r w:rsidRPr="000B7EA5">
              <w:rPr>
                <w:rFonts w:ascii="Arial" w:hAnsi="Arial" w:cs="Arial"/>
                <w:lang w:val="de-AT"/>
              </w:rPr>
              <w:t>)</w:t>
            </w:r>
          </w:p>
        </w:tc>
      </w:tr>
      <w:tr w:rsidR="007B23BC" w:rsidRPr="009A1A2E" w14:paraId="2D17F947" w14:textId="77777777" w:rsidTr="00D57A85">
        <w:tc>
          <w:tcPr>
            <w:tcW w:w="1162" w:type="pct"/>
          </w:tcPr>
          <w:p w14:paraId="24FC0EEB" w14:textId="77777777" w:rsidR="007B23BC" w:rsidRPr="009A1A2E" w:rsidRDefault="007B23BC" w:rsidP="007B23BC">
            <w:pPr>
              <w:pStyle w:val="Tabletext"/>
              <w:spacing w:line="360" w:lineRule="auto"/>
              <w:jc w:val="both"/>
              <w:rPr>
                <w:rFonts w:ascii="Arial" w:hAnsi="Arial" w:cs="Arial"/>
              </w:rPr>
            </w:pPr>
            <w:r w:rsidRPr="009A1A2E">
              <w:rPr>
                <w:rFonts w:ascii="Arial" w:hAnsi="Arial" w:cs="Arial"/>
              </w:rPr>
              <w:t>OW</w:t>
            </w:r>
          </w:p>
        </w:tc>
        <w:tc>
          <w:tcPr>
            <w:tcW w:w="3838" w:type="pct"/>
          </w:tcPr>
          <w:p w14:paraId="74D511C7" w14:textId="77777777" w:rsidR="007B23BC" w:rsidRPr="009A1A2E" w:rsidRDefault="007B23BC" w:rsidP="007B23BC">
            <w:pPr>
              <w:pStyle w:val="Tabletext"/>
              <w:spacing w:line="360" w:lineRule="auto"/>
              <w:jc w:val="both"/>
              <w:rPr>
                <w:rFonts w:ascii="Arial" w:hAnsi="Arial" w:cs="Arial"/>
              </w:rPr>
            </w:pPr>
            <w:r w:rsidRPr="009A1A2E">
              <w:rPr>
                <w:rFonts w:ascii="Arial" w:hAnsi="Arial" w:cs="Arial"/>
              </w:rPr>
              <w:t>Oval window</w:t>
            </w:r>
          </w:p>
        </w:tc>
      </w:tr>
      <w:tr w:rsidR="007B23BC" w:rsidRPr="009A1A2E" w14:paraId="6F2F7040" w14:textId="77777777" w:rsidTr="00D57A85">
        <w:tc>
          <w:tcPr>
            <w:tcW w:w="1162" w:type="pct"/>
          </w:tcPr>
          <w:p w14:paraId="0BC2E78C" w14:textId="77777777" w:rsidR="007B23BC" w:rsidRPr="009A1A2E" w:rsidRDefault="007B23BC" w:rsidP="007B23BC">
            <w:pPr>
              <w:pStyle w:val="Tabletext"/>
              <w:spacing w:line="360" w:lineRule="auto"/>
              <w:jc w:val="both"/>
              <w:rPr>
                <w:rFonts w:ascii="Arial" w:hAnsi="Arial" w:cs="Arial"/>
              </w:rPr>
            </w:pPr>
            <w:r w:rsidRPr="009A1A2E">
              <w:rPr>
                <w:rFonts w:ascii="Arial" w:hAnsi="Arial" w:cs="Arial"/>
              </w:rPr>
              <w:t>PHAB</w:t>
            </w:r>
          </w:p>
        </w:tc>
        <w:tc>
          <w:tcPr>
            <w:tcW w:w="3838" w:type="pct"/>
          </w:tcPr>
          <w:p w14:paraId="4F3995AA" w14:textId="77777777" w:rsidR="007B23BC" w:rsidRPr="009A1A2E" w:rsidRDefault="00A57C45" w:rsidP="007B23BC">
            <w:pPr>
              <w:pStyle w:val="Tabletext"/>
              <w:spacing w:line="360" w:lineRule="auto"/>
              <w:jc w:val="both"/>
              <w:rPr>
                <w:rFonts w:ascii="Arial" w:hAnsi="Arial" w:cs="Arial"/>
              </w:rPr>
            </w:pPr>
            <w:r w:rsidRPr="009A1A2E">
              <w:rPr>
                <w:rFonts w:ascii="Arial" w:hAnsi="Arial" w:cs="Arial"/>
              </w:rPr>
              <w:t>Profile of Hearing Aid Benefit</w:t>
            </w:r>
          </w:p>
        </w:tc>
      </w:tr>
      <w:tr w:rsidR="007B23BC" w:rsidRPr="009A1A2E" w14:paraId="1C02DED5" w14:textId="77777777" w:rsidTr="00D57A85">
        <w:tc>
          <w:tcPr>
            <w:tcW w:w="1162" w:type="pct"/>
          </w:tcPr>
          <w:p w14:paraId="09F22AC2" w14:textId="77777777" w:rsidR="007B23BC" w:rsidRPr="009A1A2E" w:rsidRDefault="007B23BC" w:rsidP="007B23BC">
            <w:pPr>
              <w:pStyle w:val="Tabletext"/>
              <w:spacing w:line="360" w:lineRule="auto"/>
              <w:jc w:val="both"/>
              <w:rPr>
                <w:rFonts w:ascii="Arial" w:hAnsi="Arial" w:cs="Arial"/>
              </w:rPr>
            </w:pPr>
            <w:r w:rsidRPr="009A1A2E">
              <w:rPr>
                <w:rFonts w:ascii="Arial" w:hAnsi="Arial" w:cs="Arial"/>
              </w:rPr>
              <w:t>PHAP</w:t>
            </w:r>
          </w:p>
        </w:tc>
        <w:tc>
          <w:tcPr>
            <w:tcW w:w="3838" w:type="pct"/>
          </w:tcPr>
          <w:p w14:paraId="2A5F1059" w14:textId="77777777" w:rsidR="007B23BC" w:rsidRPr="009A1A2E" w:rsidRDefault="00A57C45" w:rsidP="007B23BC">
            <w:pPr>
              <w:pStyle w:val="Tabletext"/>
              <w:spacing w:line="360" w:lineRule="auto"/>
              <w:jc w:val="both"/>
              <w:rPr>
                <w:rFonts w:ascii="Arial" w:hAnsi="Arial" w:cs="Arial"/>
              </w:rPr>
            </w:pPr>
            <w:r w:rsidRPr="009A1A2E">
              <w:rPr>
                <w:rFonts w:ascii="Arial" w:hAnsi="Arial" w:cs="Arial"/>
              </w:rPr>
              <w:t>Profile of Hearing Aid Performance</w:t>
            </w:r>
          </w:p>
        </w:tc>
      </w:tr>
      <w:tr w:rsidR="007B23BC" w:rsidRPr="009A1A2E" w14:paraId="32FB323B" w14:textId="77777777" w:rsidTr="00D57A85">
        <w:tc>
          <w:tcPr>
            <w:tcW w:w="1162" w:type="pct"/>
          </w:tcPr>
          <w:p w14:paraId="352B4335" w14:textId="77777777" w:rsidR="007B23BC" w:rsidRPr="009A1A2E" w:rsidRDefault="007B23BC" w:rsidP="007B23BC">
            <w:pPr>
              <w:pStyle w:val="Tabletext"/>
              <w:spacing w:line="360" w:lineRule="auto"/>
              <w:jc w:val="both"/>
              <w:rPr>
                <w:rFonts w:ascii="Arial" w:hAnsi="Arial" w:cs="Arial"/>
              </w:rPr>
            </w:pPr>
            <w:r w:rsidRPr="009A1A2E">
              <w:rPr>
                <w:rFonts w:ascii="Arial" w:hAnsi="Arial" w:cs="Arial"/>
              </w:rPr>
              <w:lastRenderedPageBreak/>
              <w:t>PICO</w:t>
            </w:r>
          </w:p>
        </w:tc>
        <w:tc>
          <w:tcPr>
            <w:tcW w:w="3838" w:type="pct"/>
          </w:tcPr>
          <w:p w14:paraId="57BE1A13" w14:textId="77777777" w:rsidR="007B23BC" w:rsidRPr="009A1A2E" w:rsidRDefault="007B23BC" w:rsidP="007B23BC">
            <w:pPr>
              <w:pStyle w:val="Tabletext"/>
              <w:spacing w:line="360" w:lineRule="auto"/>
              <w:jc w:val="both"/>
              <w:rPr>
                <w:rFonts w:ascii="Arial" w:hAnsi="Arial" w:cs="Arial"/>
              </w:rPr>
            </w:pPr>
            <w:r w:rsidRPr="009A1A2E">
              <w:rPr>
                <w:rFonts w:ascii="Arial" w:hAnsi="Arial" w:cs="Arial"/>
              </w:rPr>
              <w:t>Population – Indication – Comparator – Outcome(s)</w:t>
            </w:r>
          </w:p>
        </w:tc>
      </w:tr>
      <w:tr w:rsidR="007B23BC" w:rsidRPr="009A1A2E" w14:paraId="0C0BC7D0" w14:textId="77777777" w:rsidTr="00D57A85">
        <w:tc>
          <w:tcPr>
            <w:tcW w:w="1162" w:type="pct"/>
          </w:tcPr>
          <w:p w14:paraId="69C2C76A" w14:textId="77777777" w:rsidR="007B23BC" w:rsidRPr="009A1A2E" w:rsidRDefault="007B23BC" w:rsidP="007B23BC">
            <w:pPr>
              <w:pStyle w:val="Tabletext"/>
              <w:spacing w:line="360" w:lineRule="auto"/>
              <w:jc w:val="both"/>
              <w:rPr>
                <w:rFonts w:ascii="Arial" w:hAnsi="Arial" w:cs="Arial"/>
              </w:rPr>
            </w:pPr>
            <w:r w:rsidRPr="009A1A2E">
              <w:rPr>
                <w:rFonts w:ascii="Arial" w:hAnsi="Arial" w:cs="Arial"/>
              </w:rPr>
              <w:t>PL</w:t>
            </w:r>
          </w:p>
        </w:tc>
        <w:tc>
          <w:tcPr>
            <w:tcW w:w="3838" w:type="pct"/>
          </w:tcPr>
          <w:p w14:paraId="7069205F" w14:textId="77777777" w:rsidR="007B23BC" w:rsidRPr="009A1A2E" w:rsidRDefault="007B23BC" w:rsidP="007B23BC">
            <w:pPr>
              <w:pStyle w:val="Tabletext"/>
              <w:spacing w:line="360" w:lineRule="auto"/>
              <w:jc w:val="both"/>
              <w:rPr>
                <w:rFonts w:ascii="Arial" w:hAnsi="Arial" w:cs="Arial"/>
              </w:rPr>
            </w:pPr>
            <w:r w:rsidRPr="009A1A2E">
              <w:rPr>
                <w:rFonts w:ascii="Arial" w:hAnsi="Arial" w:cs="Arial"/>
              </w:rPr>
              <w:t>Prosthesis List</w:t>
            </w:r>
          </w:p>
        </w:tc>
      </w:tr>
      <w:tr w:rsidR="00057D36" w:rsidRPr="009A1A2E" w14:paraId="3342892B" w14:textId="77777777" w:rsidTr="00D57A85">
        <w:tc>
          <w:tcPr>
            <w:tcW w:w="1162" w:type="pct"/>
          </w:tcPr>
          <w:p w14:paraId="6F939AAC" w14:textId="1A95067F" w:rsidR="00057D36" w:rsidRPr="009A1A2E" w:rsidRDefault="00057D36" w:rsidP="007B23BC">
            <w:pPr>
              <w:pStyle w:val="Tabletext"/>
              <w:spacing w:line="360" w:lineRule="auto"/>
              <w:jc w:val="both"/>
              <w:rPr>
                <w:rFonts w:ascii="Arial" w:hAnsi="Arial" w:cs="Arial"/>
              </w:rPr>
            </w:pPr>
            <w:r>
              <w:rPr>
                <w:rFonts w:ascii="Arial" w:hAnsi="Arial" w:cs="Arial"/>
              </w:rPr>
              <w:t>PSA</w:t>
            </w:r>
          </w:p>
        </w:tc>
        <w:tc>
          <w:tcPr>
            <w:tcW w:w="3838" w:type="pct"/>
          </w:tcPr>
          <w:p w14:paraId="0CA1B8FD" w14:textId="622701BD" w:rsidR="00057D36" w:rsidRPr="009A1A2E" w:rsidRDefault="00057D36" w:rsidP="007B23BC">
            <w:pPr>
              <w:pStyle w:val="Tabletext"/>
              <w:spacing w:line="360" w:lineRule="auto"/>
              <w:jc w:val="both"/>
              <w:rPr>
                <w:rFonts w:ascii="Arial" w:hAnsi="Arial" w:cs="Arial"/>
              </w:rPr>
            </w:pPr>
            <w:r>
              <w:rPr>
                <w:rFonts w:ascii="Arial" w:hAnsi="Arial" w:cs="Arial"/>
              </w:rPr>
              <w:t>Probabilistic sensitivity analysis</w:t>
            </w:r>
          </w:p>
        </w:tc>
      </w:tr>
      <w:tr w:rsidR="007B23BC" w:rsidRPr="009A1A2E" w14:paraId="3D811A9A" w14:textId="77777777" w:rsidTr="00D57A85">
        <w:tc>
          <w:tcPr>
            <w:tcW w:w="1162" w:type="pct"/>
          </w:tcPr>
          <w:p w14:paraId="3AFD2E3C" w14:textId="77777777" w:rsidR="007B23BC" w:rsidRPr="009A1A2E" w:rsidRDefault="007B23BC" w:rsidP="007B23BC">
            <w:pPr>
              <w:pStyle w:val="Tabletext"/>
              <w:spacing w:line="360" w:lineRule="auto"/>
              <w:jc w:val="both"/>
              <w:rPr>
                <w:rFonts w:ascii="Arial" w:hAnsi="Arial" w:cs="Arial"/>
              </w:rPr>
            </w:pPr>
            <w:r w:rsidRPr="009A1A2E">
              <w:rPr>
                <w:rFonts w:ascii="Arial" w:hAnsi="Arial" w:cs="Arial"/>
              </w:rPr>
              <w:t>QALY</w:t>
            </w:r>
          </w:p>
        </w:tc>
        <w:tc>
          <w:tcPr>
            <w:tcW w:w="3838" w:type="pct"/>
          </w:tcPr>
          <w:p w14:paraId="1DE38C11" w14:textId="77777777" w:rsidR="007B23BC" w:rsidRPr="009A1A2E" w:rsidRDefault="007B23BC" w:rsidP="007B23BC">
            <w:pPr>
              <w:pStyle w:val="Tabletext"/>
              <w:spacing w:line="360" w:lineRule="auto"/>
              <w:jc w:val="both"/>
              <w:rPr>
                <w:rFonts w:ascii="Arial" w:hAnsi="Arial" w:cs="Arial"/>
              </w:rPr>
            </w:pPr>
            <w:r w:rsidRPr="009A1A2E">
              <w:rPr>
                <w:rFonts w:ascii="Arial" w:hAnsi="Arial" w:cs="Arial"/>
              </w:rPr>
              <w:t>Quality Adjust</w:t>
            </w:r>
            <w:r w:rsidR="00A57C45" w:rsidRPr="009A1A2E">
              <w:rPr>
                <w:rFonts w:ascii="Arial" w:hAnsi="Arial" w:cs="Arial"/>
              </w:rPr>
              <w:t>e</w:t>
            </w:r>
            <w:r w:rsidRPr="009A1A2E">
              <w:rPr>
                <w:rFonts w:ascii="Arial" w:hAnsi="Arial" w:cs="Arial"/>
              </w:rPr>
              <w:t>d Life Year</w:t>
            </w:r>
          </w:p>
        </w:tc>
      </w:tr>
      <w:tr w:rsidR="007B23BC" w:rsidRPr="009A1A2E" w14:paraId="57C5DB06" w14:textId="77777777" w:rsidTr="00D57A85">
        <w:tc>
          <w:tcPr>
            <w:tcW w:w="1162" w:type="pct"/>
          </w:tcPr>
          <w:p w14:paraId="1CE66927" w14:textId="77777777" w:rsidR="007B23BC" w:rsidRPr="009A1A2E" w:rsidRDefault="007B23BC" w:rsidP="007B23BC">
            <w:pPr>
              <w:pStyle w:val="Tabletext"/>
              <w:spacing w:line="360" w:lineRule="auto"/>
              <w:jc w:val="both"/>
              <w:rPr>
                <w:rFonts w:ascii="Arial" w:hAnsi="Arial" w:cs="Arial"/>
              </w:rPr>
            </w:pPr>
            <w:r w:rsidRPr="009A1A2E">
              <w:rPr>
                <w:rFonts w:ascii="Arial" w:hAnsi="Arial" w:cs="Arial"/>
              </w:rPr>
              <w:t>RCT</w:t>
            </w:r>
          </w:p>
        </w:tc>
        <w:tc>
          <w:tcPr>
            <w:tcW w:w="3838" w:type="pct"/>
          </w:tcPr>
          <w:p w14:paraId="4E5CC386" w14:textId="77777777" w:rsidR="007B23BC" w:rsidRPr="009A1A2E" w:rsidRDefault="007B23BC" w:rsidP="007B23BC">
            <w:pPr>
              <w:pStyle w:val="Tabletext"/>
              <w:spacing w:line="360" w:lineRule="auto"/>
              <w:jc w:val="both"/>
              <w:rPr>
                <w:rFonts w:ascii="Arial" w:hAnsi="Arial" w:cs="Arial"/>
              </w:rPr>
            </w:pPr>
            <w:r w:rsidRPr="009A1A2E">
              <w:rPr>
                <w:rFonts w:ascii="Arial" w:hAnsi="Arial" w:cs="Arial"/>
              </w:rPr>
              <w:t>Randomized Controlled Trial</w:t>
            </w:r>
          </w:p>
        </w:tc>
      </w:tr>
      <w:tr w:rsidR="007B23BC" w:rsidRPr="009A1A2E" w14:paraId="4A86E964" w14:textId="77777777" w:rsidTr="00D57A85">
        <w:tc>
          <w:tcPr>
            <w:tcW w:w="1162" w:type="pct"/>
          </w:tcPr>
          <w:p w14:paraId="5C704BDF" w14:textId="77777777" w:rsidR="007B23BC" w:rsidRPr="009A1A2E" w:rsidRDefault="007B23BC" w:rsidP="007B23BC">
            <w:pPr>
              <w:pStyle w:val="Tabletext"/>
              <w:spacing w:line="360" w:lineRule="auto"/>
              <w:jc w:val="both"/>
              <w:rPr>
                <w:rFonts w:ascii="Arial" w:hAnsi="Arial" w:cs="Arial"/>
              </w:rPr>
            </w:pPr>
            <w:r w:rsidRPr="009A1A2E">
              <w:rPr>
                <w:rFonts w:ascii="Arial" w:hAnsi="Arial" w:cs="Arial"/>
              </w:rPr>
              <w:t>RW</w:t>
            </w:r>
          </w:p>
        </w:tc>
        <w:tc>
          <w:tcPr>
            <w:tcW w:w="3838" w:type="pct"/>
          </w:tcPr>
          <w:p w14:paraId="5B1B89EB" w14:textId="77777777" w:rsidR="007B23BC" w:rsidRPr="009A1A2E" w:rsidRDefault="007B23BC" w:rsidP="007B23BC">
            <w:pPr>
              <w:pStyle w:val="Tabletext"/>
              <w:spacing w:line="360" w:lineRule="auto"/>
              <w:jc w:val="both"/>
              <w:rPr>
                <w:rFonts w:ascii="Arial" w:hAnsi="Arial" w:cs="Arial"/>
              </w:rPr>
            </w:pPr>
            <w:r w:rsidRPr="009A1A2E">
              <w:rPr>
                <w:rFonts w:ascii="Arial" w:hAnsi="Arial" w:cs="Arial"/>
              </w:rPr>
              <w:t>Round window</w:t>
            </w:r>
          </w:p>
        </w:tc>
      </w:tr>
      <w:tr w:rsidR="007B23BC" w:rsidRPr="009A1A2E" w14:paraId="04FBCE91" w14:textId="77777777" w:rsidTr="00D57A85">
        <w:tc>
          <w:tcPr>
            <w:tcW w:w="1162" w:type="pct"/>
          </w:tcPr>
          <w:p w14:paraId="34B4862F" w14:textId="77777777" w:rsidR="007B23BC" w:rsidRPr="009A1A2E" w:rsidRDefault="007B23BC" w:rsidP="007B23BC">
            <w:pPr>
              <w:pStyle w:val="Tabletext"/>
              <w:spacing w:line="360" w:lineRule="auto"/>
              <w:jc w:val="both"/>
              <w:rPr>
                <w:rFonts w:ascii="Arial" w:hAnsi="Arial" w:cs="Arial"/>
              </w:rPr>
            </w:pPr>
            <w:r w:rsidRPr="009A1A2E">
              <w:rPr>
                <w:rFonts w:ascii="Arial" w:hAnsi="Arial" w:cs="Arial"/>
              </w:rPr>
              <w:t>SHACQ</w:t>
            </w:r>
          </w:p>
        </w:tc>
        <w:tc>
          <w:tcPr>
            <w:tcW w:w="3838" w:type="pct"/>
          </w:tcPr>
          <w:p w14:paraId="0C8C7F49" w14:textId="77777777" w:rsidR="007B23BC" w:rsidRPr="009A1A2E" w:rsidRDefault="00CC69DE" w:rsidP="007B23BC">
            <w:pPr>
              <w:pStyle w:val="Tabletext"/>
              <w:spacing w:line="360" w:lineRule="auto"/>
              <w:jc w:val="both"/>
              <w:rPr>
                <w:rFonts w:ascii="Arial" w:hAnsi="Arial" w:cs="Arial"/>
              </w:rPr>
            </w:pPr>
            <w:r w:rsidRPr="009A1A2E">
              <w:rPr>
                <w:rFonts w:ascii="Arial" w:hAnsi="Arial" w:cs="Arial"/>
              </w:rPr>
              <w:t>Soundbridge Hearing Aid Comparison Questionnaire</w:t>
            </w:r>
          </w:p>
        </w:tc>
      </w:tr>
      <w:tr w:rsidR="007B23BC" w:rsidRPr="009A1A2E" w14:paraId="67D7FB0F" w14:textId="77777777" w:rsidTr="00D57A85">
        <w:tc>
          <w:tcPr>
            <w:tcW w:w="1162" w:type="pct"/>
          </w:tcPr>
          <w:p w14:paraId="4B30493F" w14:textId="77777777" w:rsidR="007B23BC" w:rsidRPr="009A1A2E" w:rsidRDefault="007B23BC" w:rsidP="007B23BC">
            <w:pPr>
              <w:pStyle w:val="Tabletext"/>
              <w:spacing w:line="360" w:lineRule="auto"/>
              <w:jc w:val="both"/>
              <w:rPr>
                <w:rFonts w:ascii="Arial" w:hAnsi="Arial" w:cs="Arial"/>
              </w:rPr>
            </w:pPr>
            <w:r w:rsidRPr="009A1A2E">
              <w:rPr>
                <w:rFonts w:ascii="Arial" w:hAnsi="Arial" w:cs="Arial"/>
              </w:rPr>
              <w:t>SNHL</w:t>
            </w:r>
          </w:p>
        </w:tc>
        <w:tc>
          <w:tcPr>
            <w:tcW w:w="3838" w:type="pct"/>
          </w:tcPr>
          <w:p w14:paraId="1676D50C" w14:textId="77777777" w:rsidR="007B23BC" w:rsidRPr="009A1A2E" w:rsidRDefault="007B23BC" w:rsidP="007B23BC">
            <w:pPr>
              <w:pStyle w:val="Tabletext"/>
              <w:spacing w:line="360" w:lineRule="auto"/>
              <w:jc w:val="both"/>
              <w:rPr>
                <w:rFonts w:ascii="Arial" w:hAnsi="Arial" w:cs="Arial"/>
              </w:rPr>
            </w:pPr>
            <w:r w:rsidRPr="009A1A2E">
              <w:rPr>
                <w:rFonts w:ascii="Arial" w:hAnsi="Arial" w:cs="Arial"/>
              </w:rPr>
              <w:t>Sensorineural Hearing Loss</w:t>
            </w:r>
          </w:p>
        </w:tc>
      </w:tr>
      <w:tr w:rsidR="007B23BC" w:rsidRPr="009A1A2E" w14:paraId="5FC376BF" w14:textId="77777777" w:rsidTr="00D57A85">
        <w:tc>
          <w:tcPr>
            <w:tcW w:w="1162" w:type="pct"/>
          </w:tcPr>
          <w:p w14:paraId="63C75626" w14:textId="77777777" w:rsidR="007B23BC" w:rsidRPr="009A1A2E" w:rsidRDefault="007B23BC" w:rsidP="007B23BC">
            <w:pPr>
              <w:pStyle w:val="Tabletext"/>
              <w:spacing w:line="360" w:lineRule="auto"/>
              <w:jc w:val="both"/>
              <w:rPr>
                <w:rFonts w:ascii="Arial" w:hAnsi="Arial" w:cs="Arial"/>
              </w:rPr>
            </w:pPr>
            <w:r w:rsidRPr="009A1A2E">
              <w:rPr>
                <w:rFonts w:ascii="Arial" w:hAnsi="Arial" w:cs="Arial"/>
              </w:rPr>
              <w:t>SNR</w:t>
            </w:r>
            <w:r w:rsidRPr="009A1A2E">
              <w:rPr>
                <w:rFonts w:ascii="Arial" w:hAnsi="Arial" w:cs="Arial"/>
                <w:vertAlign w:val="subscript"/>
              </w:rPr>
              <w:t>50</w:t>
            </w:r>
          </w:p>
        </w:tc>
        <w:tc>
          <w:tcPr>
            <w:tcW w:w="3838" w:type="pct"/>
          </w:tcPr>
          <w:p w14:paraId="7140D8A0" w14:textId="77777777" w:rsidR="007B23BC" w:rsidRPr="009A1A2E" w:rsidRDefault="007B23BC" w:rsidP="007B23BC">
            <w:pPr>
              <w:pStyle w:val="Tabletext"/>
              <w:spacing w:line="360" w:lineRule="auto"/>
              <w:jc w:val="both"/>
              <w:rPr>
                <w:rFonts w:ascii="Arial" w:hAnsi="Arial" w:cs="Arial"/>
              </w:rPr>
            </w:pPr>
            <w:r w:rsidRPr="009A1A2E">
              <w:rPr>
                <w:rFonts w:ascii="Arial" w:hAnsi="Arial" w:cs="Arial"/>
              </w:rPr>
              <w:t>signal-to-noise ratio where 50% of the presented test material is understood</w:t>
            </w:r>
          </w:p>
        </w:tc>
      </w:tr>
      <w:tr w:rsidR="007B23BC" w:rsidRPr="009A1A2E" w14:paraId="30AF66FD" w14:textId="77777777" w:rsidTr="00D57A85">
        <w:tc>
          <w:tcPr>
            <w:tcW w:w="1162" w:type="pct"/>
          </w:tcPr>
          <w:p w14:paraId="68AF6AB4" w14:textId="77777777" w:rsidR="007B23BC" w:rsidRPr="009A1A2E" w:rsidRDefault="007B23BC" w:rsidP="007B23BC">
            <w:pPr>
              <w:pStyle w:val="Tabletext"/>
              <w:spacing w:line="360" w:lineRule="auto"/>
              <w:jc w:val="both"/>
              <w:rPr>
                <w:rFonts w:ascii="Arial" w:hAnsi="Arial" w:cs="Arial"/>
              </w:rPr>
            </w:pPr>
            <w:r w:rsidRPr="009A1A2E">
              <w:rPr>
                <w:rFonts w:ascii="Arial" w:hAnsi="Arial" w:cs="Arial"/>
              </w:rPr>
              <w:t>SPL</w:t>
            </w:r>
          </w:p>
        </w:tc>
        <w:tc>
          <w:tcPr>
            <w:tcW w:w="3838" w:type="pct"/>
          </w:tcPr>
          <w:p w14:paraId="2C9D7C1E" w14:textId="77777777" w:rsidR="007B23BC" w:rsidRPr="009A1A2E" w:rsidRDefault="00CC69DE" w:rsidP="007B23BC">
            <w:pPr>
              <w:pStyle w:val="Tabletext"/>
              <w:spacing w:line="360" w:lineRule="auto"/>
              <w:jc w:val="both"/>
              <w:rPr>
                <w:rFonts w:ascii="Arial" w:hAnsi="Arial" w:cs="Arial"/>
              </w:rPr>
            </w:pPr>
            <w:r w:rsidRPr="009A1A2E">
              <w:rPr>
                <w:rFonts w:ascii="Arial" w:hAnsi="Arial" w:cs="Arial"/>
              </w:rPr>
              <w:t>Sound Pressure Level</w:t>
            </w:r>
          </w:p>
        </w:tc>
      </w:tr>
      <w:tr w:rsidR="007B23BC" w:rsidRPr="009A1A2E" w14:paraId="17064161" w14:textId="77777777" w:rsidTr="00D57A85">
        <w:tc>
          <w:tcPr>
            <w:tcW w:w="1162" w:type="pct"/>
          </w:tcPr>
          <w:p w14:paraId="540EB474" w14:textId="77777777" w:rsidR="007B23BC" w:rsidRPr="009A1A2E" w:rsidRDefault="007B23BC" w:rsidP="007B23BC">
            <w:pPr>
              <w:pStyle w:val="Tabletext"/>
              <w:spacing w:line="360" w:lineRule="auto"/>
              <w:jc w:val="both"/>
              <w:rPr>
                <w:rFonts w:ascii="Arial" w:hAnsi="Arial" w:cs="Arial"/>
              </w:rPr>
            </w:pPr>
            <w:r w:rsidRPr="009A1A2E">
              <w:rPr>
                <w:rFonts w:ascii="Arial" w:hAnsi="Arial" w:cs="Arial"/>
              </w:rPr>
              <w:t>UAMC</w:t>
            </w:r>
          </w:p>
        </w:tc>
        <w:tc>
          <w:tcPr>
            <w:tcW w:w="3838" w:type="pct"/>
          </w:tcPr>
          <w:p w14:paraId="532D96FD" w14:textId="77777777" w:rsidR="007B23BC" w:rsidRPr="009A1A2E" w:rsidRDefault="007B23BC" w:rsidP="007B23BC">
            <w:pPr>
              <w:pStyle w:val="Tabletext"/>
              <w:spacing w:line="360" w:lineRule="auto"/>
              <w:jc w:val="both"/>
              <w:rPr>
                <w:rFonts w:ascii="Arial" w:hAnsi="Arial" w:cs="Arial"/>
              </w:rPr>
            </w:pPr>
            <w:r w:rsidRPr="009A1A2E">
              <w:rPr>
                <w:rFonts w:ascii="Arial" w:hAnsi="Arial" w:cs="Arial"/>
              </w:rPr>
              <w:t>University of Arizona Medical Center</w:t>
            </w:r>
          </w:p>
        </w:tc>
      </w:tr>
      <w:tr w:rsidR="007B23BC" w:rsidRPr="009A1A2E" w14:paraId="4D6CF356" w14:textId="77777777" w:rsidTr="00D57A85">
        <w:tc>
          <w:tcPr>
            <w:tcW w:w="1162" w:type="pct"/>
          </w:tcPr>
          <w:p w14:paraId="6606D511" w14:textId="77777777" w:rsidR="007B23BC" w:rsidRPr="009A1A2E" w:rsidRDefault="007B23BC" w:rsidP="007B23BC">
            <w:pPr>
              <w:pStyle w:val="Tabletext"/>
              <w:spacing w:line="360" w:lineRule="auto"/>
              <w:jc w:val="both"/>
              <w:rPr>
                <w:rFonts w:ascii="Arial" w:hAnsi="Arial" w:cs="Arial"/>
              </w:rPr>
            </w:pPr>
            <w:r w:rsidRPr="009A1A2E">
              <w:rPr>
                <w:rFonts w:ascii="Arial" w:hAnsi="Arial" w:cs="Arial"/>
              </w:rPr>
              <w:t>VORP</w:t>
            </w:r>
          </w:p>
        </w:tc>
        <w:tc>
          <w:tcPr>
            <w:tcW w:w="3838" w:type="pct"/>
          </w:tcPr>
          <w:p w14:paraId="2F28DB2C" w14:textId="77777777" w:rsidR="007B23BC" w:rsidRPr="009A1A2E" w:rsidRDefault="007B23BC" w:rsidP="007B23BC">
            <w:pPr>
              <w:pStyle w:val="Tabletext"/>
              <w:spacing w:line="360" w:lineRule="auto"/>
              <w:jc w:val="both"/>
              <w:rPr>
                <w:rFonts w:ascii="Arial" w:hAnsi="Arial" w:cs="Arial"/>
              </w:rPr>
            </w:pPr>
            <w:r w:rsidRPr="009A1A2E">
              <w:rPr>
                <w:rFonts w:ascii="Arial" w:hAnsi="Arial" w:cs="Arial"/>
              </w:rPr>
              <w:t>Vibrating Ossicular Prosthesis</w:t>
            </w:r>
          </w:p>
        </w:tc>
      </w:tr>
      <w:tr w:rsidR="007B23BC" w:rsidRPr="009A1A2E" w14:paraId="4233B339" w14:textId="77777777" w:rsidTr="00D57A85">
        <w:tc>
          <w:tcPr>
            <w:tcW w:w="1162" w:type="pct"/>
          </w:tcPr>
          <w:p w14:paraId="67C0079A" w14:textId="77777777" w:rsidR="007B23BC" w:rsidRPr="009A1A2E" w:rsidRDefault="007B23BC" w:rsidP="007B23BC">
            <w:pPr>
              <w:pStyle w:val="Tabletext"/>
              <w:spacing w:line="360" w:lineRule="auto"/>
              <w:jc w:val="both"/>
              <w:rPr>
                <w:rFonts w:ascii="Arial" w:hAnsi="Arial" w:cs="Arial"/>
              </w:rPr>
            </w:pPr>
            <w:r w:rsidRPr="009A1A2E">
              <w:rPr>
                <w:rFonts w:ascii="Arial" w:hAnsi="Arial" w:cs="Arial"/>
              </w:rPr>
              <w:t>VSB</w:t>
            </w:r>
          </w:p>
        </w:tc>
        <w:tc>
          <w:tcPr>
            <w:tcW w:w="3838" w:type="pct"/>
          </w:tcPr>
          <w:p w14:paraId="4CF08539" w14:textId="77777777" w:rsidR="007B23BC" w:rsidRPr="009A1A2E" w:rsidRDefault="007B23BC" w:rsidP="007B23BC">
            <w:pPr>
              <w:pStyle w:val="Tabletext"/>
              <w:spacing w:line="360" w:lineRule="auto"/>
              <w:jc w:val="both"/>
              <w:rPr>
                <w:rFonts w:ascii="Arial" w:hAnsi="Arial" w:cs="Arial"/>
              </w:rPr>
            </w:pPr>
            <w:r w:rsidRPr="009A1A2E">
              <w:rPr>
                <w:rFonts w:ascii="Arial" w:hAnsi="Arial" w:cs="Arial"/>
              </w:rPr>
              <w:t>Vibrant Soundbridge</w:t>
            </w:r>
          </w:p>
        </w:tc>
      </w:tr>
      <w:tr w:rsidR="007B23BC" w:rsidRPr="009A1A2E" w14:paraId="532B710C" w14:textId="77777777" w:rsidTr="00D57A85">
        <w:tc>
          <w:tcPr>
            <w:tcW w:w="1162" w:type="pct"/>
          </w:tcPr>
          <w:p w14:paraId="546F718A" w14:textId="77777777" w:rsidR="007B23BC" w:rsidRPr="009A1A2E" w:rsidRDefault="007B23BC" w:rsidP="007B23BC">
            <w:pPr>
              <w:pStyle w:val="Tabletext"/>
              <w:spacing w:line="360" w:lineRule="auto"/>
              <w:jc w:val="both"/>
              <w:rPr>
                <w:rFonts w:ascii="Arial" w:hAnsi="Arial" w:cs="Arial"/>
              </w:rPr>
            </w:pPr>
            <w:r w:rsidRPr="009A1A2E">
              <w:rPr>
                <w:rFonts w:ascii="Arial" w:hAnsi="Arial" w:cs="Arial"/>
              </w:rPr>
              <w:t>WHO</w:t>
            </w:r>
          </w:p>
        </w:tc>
        <w:tc>
          <w:tcPr>
            <w:tcW w:w="3838" w:type="pct"/>
          </w:tcPr>
          <w:p w14:paraId="5263A12F" w14:textId="77777777" w:rsidR="007B23BC" w:rsidRPr="009A1A2E" w:rsidRDefault="007B23BC" w:rsidP="007B23BC">
            <w:pPr>
              <w:pStyle w:val="Tabletext"/>
              <w:spacing w:line="360" w:lineRule="auto"/>
              <w:jc w:val="both"/>
              <w:rPr>
                <w:rFonts w:ascii="Arial" w:hAnsi="Arial" w:cs="Arial"/>
              </w:rPr>
            </w:pPr>
            <w:r w:rsidRPr="009A1A2E">
              <w:rPr>
                <w:rFonts w:ascii="Arial" w:hAnsi="Arial" w:cs="Arial"/>
              </w:rPr>
              <w:t>World Health Organization</w:t>
            </w:r>
          </w:p>
        </w:tc>
      </w:tr>
      <w:tr w:rsidR="007B23BC" w:rsidRPr="009A1A2E" w14:paraId="209A3E22" w14:textId="77777777" w:rsidTr="00D57A85">
        <w:tc>
          <w:tcPr>
            <w:tcW w:w="1162" w:type="pct"/>
          </w:tcPr>
          <w:p w14:paraId="449CC58E" w14:textId="77777777" w:rsidR="007B23BC" w:rsidRPr="009A1A2E" w:rsidRDefault="007B23BC" w:rsidP="007B23BC">
            <w:pPr>
              <w:pStyle w:val="Tabletext"/>
              <w:spacing w:line="360" w:lineRule="auto"/>
              <w:jc w:val="both"/>
              <w:rPr>
                <w:rFonts w:ascii="Arial" w:hAnsi="Arial" w:cs="Arial"/>
                <w:color w:val="000000"/>
              </w:rPr>
            </w:pPr>
            <w:r w:rsidRPr="009A1A2E">
              <w:rPr>
                <w:rFonts w:ascii="Arial" w:hAnsi="Arial" w:cs="Arial"/>
                <w:color w:val="000000"/>
              </w:rPr>
              <w:t>WRS</w:t>
            </w:r>
          </w:p>
        </w:tc>
        <w:tc>
          <w:tcPr>
            <w:tcW w:w="3838" w:type="pct"/>
          </w:tcPr>
          <w:p w14:paraId="4D53BD84" w14:textId="77777777" w:rsidR="007B23BC" w:rsidRPr="009A1A2E" w:rsidRDefault="007B23BC" w:rsidP="007B23BC">
            <w:pPr>
              <w:pStyle w:val="Tabletext"/>
              <w:spacing w:line="360" w:lineRule="auto"/>
              <w:jc w:val="both"/>
              <w:rPr>
                <w:rFonts w:ascii="Arial" w:hAnsi="Arial" w:cs="Arial"/>
                <w:color w:val="000000"/>
              </w:rPr>
            </w:pPr>
            <w:r w:rsidRPr="009A1A2E">
              <w:rPr>
                <w:rFonts w:ascii="Arial" w:hAnsi="Arial" w:cs="Arial"/>
                <w:color w:val="000000"/>
              </w:rPr>
              <w:t>word recognition score in quiet</w:t>
            </w:r>
          </w:p>
        </w:tc>
      </w:tr>
      <w:tr w:rsidR="007B23BC" w:rsidRPr="009A1A2E" w14:paraId="7F8F574B" w14:textId="77777777" w:rsidTr="00D57A85">
        <w:tc>
          <w:tcPr>
            <w:tcW w:w="1162" w:type="pct"/>
          </w:tcPr>
          <w:p w14:paraId="584E5546" w14:textId="77777777" w:rsidR="007B23BC" w:rsidRPr="009A1A2E" w:rsidRDefault="007B23BC" w:rsidP="007B23BC">
            <w:pPr>
              <w:pStyle w:val="Tabletext"/>
              <w:spacing w:line="360" w:lineRule="auto"/>
              <w:jc w:val="both"/>
              <w:rPr>
                <w:rFonts w:ascii="Arial" w:hAnsi="Arial" w:cs="Arial"/>
              </w:rPr>
            </w:pPr>
          </w:p>
        </w:tc>
        <w:tc>
          <w:tcPr>
            <w:tcW w:w="3838" w:type="pct"/>
          </w:tcPr>
          <w:p w14:paraId="502A3DBD" w14:textId="77777777" w:rsidR="007B23BC" w:rsidRPr="009A1A2E" w:rsidRDefault="007B23BC" w:rsidP="007B23BC">
            <w:pPr>
              <w:pStyle w:val="Tabletext"/>
              <w:spacing w:line="360" w:lineRule="auto"/>
              <w:jc w:val="both"/>
              <w:rPr>
                <w:rFonts w:ascii="Arial" w:hAnsi="Arial" w:cs="Arial"/>
              </w:rPr>
            </w:pPr>
          </w:p>
        </w:tc>
      </w:tr>
      <w:tr w:rsidR="007B23BC" w:rsidRPr="009A1A2E" w14:paraId="16732BB6" w14:textId="77777777" w:rsidTr="00D57A85">
        <w:tc>
          <w:tcPr>
            <w:tcW w:w="1162" w:type="pct"/>
            <w:tcBorders>
              <w:bottom w:val="nil"/>
            </w:tcBorders>
          </w:tcPr>
          <w:p w14:paraId="3914DE12" w14:textId="77777777" w:rsidR="007B23BC" w:rsidRPr="009A1A2E" w:rsidRDefault="007B23BC" w:rsidP="007B23BC">
            <w:pPr>
              <w:pStyle w:val="Tabletext"/>
              <w:spacing w:line="360" w:lineRule="auto"/>
              <w:jc w:val="both"/>
              <w:rPr>
                <w:rFonts w:ascii="Arial" w:hAnsi="Arial" w:cs="Arial"/>
              </w:rPr>
            </w:pPr>
          </w:p>
        </w:tc>
        <w:tc>
          <w:tcPr>
            <w:tcW w:w="3838" w:type="pct"/>
            <w:tcBorders>
              <w:bottom w:val="nil"/>
            </w:tcBorders>
          </w:tcPr>
          <w:p w14:paraId="70981BE6" w14:textId="77777777" w:rsidR="007B23BC" w:rsidRPr="009A1A2E" w:rsidRDefault="007B23BC" w:rsidP="007B23BC">
            <w:pPr>
              <w:pStyle w:val="Tabletext"/>
              <w:spacing w:line="360" w:lineRule="auto"/>
              <w:jc w:val="both"/>
              <w:rPr>
                <w:rFonts w:ascii="Arial" w:hAnsi="Arial" w:cs="Arial"/>
              </w:rPr>
            </w:pPr>
          </w:p>
        </w:tc>
      </w:tr>
      <w:tr w:rsidR="007B23BC" w:rsidRPr="009A1A2E" w14:paraId="758AE7F8" w14:textId="77777777" w:rsidTr="00D57A85">
        <w:tc>
          <w:tcPr>
            <w:tcW w:w="1162" w:type="pct"/>
            <w:tcBorders>
              <w:top w:val="nil"/>
              <w:bottom w:val="nil"/>
            </w:tcBorders>
          </w:tcPr>
          <w:p w14:paraId="5B60A0FC" w14:textId="77777777" w:rsidR="007B23BC" w:rsidRPr="009A1A2E" w:rsidRDefault="007B23BC" w:rsidP="007B23BC">
            <w:pPr>
              <w:pStyle w:val="Tabletext"/>
              <w:spacing w:line="360" w:lineRule="auto"/>
              <w:jc w:val="both"/>
              <w:rPr>
                <w:rFonts w:ascii="Arial" w:hAnsi="Arial" w:cs="Arial"/>
              </w:rPr>
            </w:pPr>
          </w:p>
        </w:tc>
        <w:tc>
          <w:tcPr>
            <w:tcW w:w="3838" w:type="pct"/>
            <w:tcBorders>
              <w:top w:val="nil"/>
              <w:bottom w:val="nil"/>
            </w:tcBorders>
          </w:tcPr>
          <w:p w14:paraId="250CC268" w14:textId="77777777" w:rsidR="007B23BC" w:rsidRPr="009A1A2E" w:rsidRDefault="007B23BC" w:rsidP="007B23BC">
            <w:pPr>
              <w:pStyle w:val="Tabletext"/>
              <w:spacing w:line="360" w:lineRule="auto"/>
              <w:jc w:val="both"/>
              <w:rPr>
                <w:rFonts w:ascii="Arial" w:hAnsi="Arial" w:cs="Arial"/>
              </w:rPr>
            </w:pPr>
          </w:p>
        </w:tc>
      </w:tr>
      <w:tr w:rsidR="007B23BC" w:rsidRPr="009A1A2E" w14:paraId="61E61F51" w14:textId="77777777" w:rsidTr="00D57A85">
        <w:tc>
          <w:tcPr>
            <w:tcW w:w="1162" w:type="pct"/>
            <w:tcBorders>
              <w:top w:val="nil"/>
            </w:tcBorders>
          </w:tcPr>
          <w:p w14:paraId="6CF20D47" w14:textId="77777777" w:rsidR="007B23BC" w:rsidRPr="009A1A2E" w:rsidRDefault="007B23BC" w:rsidP="007B23BC">
            <w:pPr>
              <w:pStyle w:val="Tabletext"/>
              <w:spacing w:line="360" w:lineRule="auto"/>
              <w:jc w:val="both"/>
              <w:rPr>
                <w:rFonts w:ascii="Arial" w:hAnsi="Arial" w:cs="Arial"/>
              </w:rPr>
            </w:pPr>
          </w:p>
        </w:tc>
        <w:tc>
          <w:tcPr>
            <w:tcW w:w="3838" w:type="pct"/>
            <w:tcBorders>
              <w:top w:val="nil"/>
            </w:tcBorders>
          </w:tcPr>
          <w:p w14:paraId="1CF4441F" w14:textId="77777777" w:rsidR="007B23BC" w:rsidRPr="009A1A2E" w:rsidRDefault="007B23BC" w:rsidP="007B23BC">
            <w:pPr>
              <w:pStyle w:val="Tabletext"/>
              <w:spacing w:line="360" w:lineRule="auto"/>
              <w:jc w:val="both"/>
              <w:rPr>
                <w:rFonts w:ascii="Arial" w:hAnsi="Arial" w:cs="Arial"/>
              </w:rPr>
            </w:pPr>
          </w:p>
        </w:tc>
      </w:tr>
      <w:tr w:rsidR="007B23BC" w:rsidRPr="009A1A2E" w14:paraId="0753D595" w14:textId="77777777" w:rsidTr="00D57A85">
        <w:tc>
          <w:tcPr>
            <w:tcW w:w="1162" w:type="pct"/>
          </w:tcPr>
          <w:p w14:paraId="544C6042" w14:textId="77777777" w:rsidR="007B23BC" w:rsidRPr="009A1A2E" w:rsidRDefault="007B23BC" w:rsidP="007B23BC">
            <w:pPr>
              <w:pStyle w:val="Tabletext"/>
              <w:spacing w:line="360" w:lineRule="auto"/>
              <w:jc w:val="both"/>
              <w:rPr>
                <w:rFonts w:ascii="Arial" w:hAnsi="Arial" w:cs="Arial"/>
              </w:rPr>
            </w:pPr>
          </w:p>
        </w:tc>
        <w:tc>
          <w:tcPr>
            <w:tcW w:w="3838" w:type="pct"/>
          </w:tcPr>
          <w:p w14:paraId="1115AB28" w14:textId="77777777" w:rsidR="007B23BC" w:rsidRPr="009A1A2E" w:rsidRDefault="007B23BC" w:rsidP="007B23BC">
            <w:pPr>
              <w:pStyle w:val="Tabletext"/>
              <w:spacing w:line="360" w:lineRule="auto"/>
              <w:jc w:val="both"/>
              <w:rPr>
                <w:rFonts w:ascii="Arial" w:hAnsi="Arial" w:cs="Arial"/>
              </w:rPr>
            </w:pPr>
          </w:p>
        </w:tc>
      </w:tr>
      <w:tr w:rsidR="007B23BC" w:rsidRPr="009A1A2E" w14:paraId="1BEEFD03" w14:textId="77777777" w:rsidTr="00D57A85">
        <w:tc>
          <w:tcPr>
            <w:tcW w:w="1162" w:type="pct"/>
          </w:tcPr>
          <w:p w14:paraId="36356383" w14:textId="77777777" w:rsidR="007B23BC" w:rsidRPr="009A1A2E" w:rsidRDefault="007B23BC" w:rsidP="007B23BC">
            <w:pPr>
              <w:pStyle w:val="Tabletext"/>
              <w:spacing w:line="360" w:lineRule="auto"/>
              <w:jc w:val="both"/>
              <w:rPr>
                <w:rFonts w:ascii="Arial" w:hAnsi="Arial" w:cs="Arial"/>
              </w:rPr>
            </w:pPr>
          </w:p>
        </w:tc>
        <w:tc>
          <w:tcPr>
            <w:tcW w:w="3838" w:type="pct"/>
          </w:tcPr>
          <w:p w14:paraId="39375CC6" w14:textId="77777777" w:rsidR="007B23BC" w:rsidRPr="009A1A2E" w:rsidRDefault="007B23BC" w:rsidP="007B23BC">
            <w:pPr>
              <w:pStyle w:val="Tabletext"/>
              <w:spacing w:line="360" w:lineRule="auto"/>
              <w:jc w:val="both"/>
              <w:rPr>
                <w:rFonts w:ascii="Arial" w:hAnsi="Arial" w:cs="Arial"/>
              </w:rPr>
            </w:pPr>
          </w:p>
        </w:tc>
      </w:tr>
      <w:tr w:rsidR="007B23BC" w:rsidRPr="009A1A2E" w14:paraId="7ECFDADC" w14:textId="77777777" w:rsidTr="00D57A85">
        <w:tc>
          <w:tcPr>
            <w:tcW w:w="1162" w:type="pct"/>
          </w:tcPr>
          <w:p w14:paraId="3A6D10D7" w14:textId="77777777" w:rsidR="007B23BC" w:rsidRPr="009A1A2E" w:rsidRDefault="007B23BC" w:rsidP="007B23BC">
            <w:pPr>
              <w:pStyle w:val="Tabletext"/>
              <w:spacing w:line="360" w:lineRule="auto"/>
              <w:jc w:val="both"/>
              <w:rPr>
                <w:rFonts w:ascii="Arial" w:hAnsi="Arial" w:cs="Arial"/>
              </w:rPr>
            </w:pPr>
          </w:p>
        </w:tc>
        <w:tc>
          <w:tcPr>
            <w:tcW w:w="3838" w:type="pct"/>
          </w:tcPr>
          <w:p w14:paraId="052BDD27" w14:textId="77777777" w:rsidR="007B23BC" w:rsidRPr="009A1A2E" w:rsidRDefault="007B23BC" w:rsidP="007B23BC">
            <w:pPr>
              <w:pStyle w:val="Tabletext"/>
              <w:spacing w:line="360" w:lineRule="auto"/>
              <w:jc w:val="both"/>
              <w:rPr>
                <w:rFonts w:ascii="Arial" w:hAnsi="Arial" w:cs="Arial"/>
              </w:rPr>
            </w:pPr>
          </w:p>
        </w:tc>
      </w:tr>
      <w:tr w:rsidR="007B23BC" w:rsidRPr="009A1A2E" w14:paraId="470519A0" w14:textId="77777777" w:rsidTr="00D57A85">
        <w:tc>
          <w:tcPr>
            <w:tcW w:w="1162" w:type="pct"/>
          </w:tcPr>
          <w:p w14:paraId="4196DD77" w14:textId="77777777" w:rsidR="007B23BC" w:rsidRPr="009A1A2E" w:rsidRDefault="007B23BC" w:rsidP="007B23BC">
            <w:pPr>
              <w:pStyle w:val="Tabletext"/>
              <w:spacing w:line="360" w:lineRule="auto"/>
              <w:jc w:val="both"/>
              <w:rPr>
                <w:rFonts w:ascii="Arial" w:hAnsi="Arial" w:cs="Arial"/>
              </w:rPr>
            </w:pPr>
          </w:p>
        </w:tc>
        <w:tc>
          <w:tcPr>
            <w:tcW w:w="3838" w:type="pct"/>
          </w:tcPr>
          <w:p w14:paraId="53BAF991" w14:textId="77777777" w:rsidR="007B23BC" w:rsidRPr="009A1A2E" w:rsidRDefault="007B23BC" w:rsidP="007B23BC">
            <w:pPr>
              <w:pStyle w:val="Tabletext"/>
              <w:spacing w:line="360" w:lineRule="auto"/>
              <w:jc w:val="both"/>
              <w:rPr>
                <w:rFonts w:ascii="Arial" w:hAnsi="Arial" w:cs="Arial"/>
              </w:rPr>
            </w:pPr>
          </w:p>
        </w:tc>
      </w:tr>
      <w:tr w:rsidR="00D57A85" w:rsidRPr="009A1A2E" w14:paraId="7598E6C5" w14:textId="77777777" w:rsidTr="00D57A85">
        <w:tc>
          <w:tcPr>
            <w:tcW w:w="1162" w:type="pct"/>
          </w:tcPr>
          <w:p w14:paraId="29B4E2D2" w14:textId="77777777" w:rsidR="00D57A85" w:rsidRPr="009A1A2E" w:rsidRDefault="00D57A85" w:rsidP="007B23BC">
            <w:pPr>
              <w:pStyle w:val="Tabletext"/>
              <w:spacing w:line="360" w:lineRule="auto"/>
              <w:jc w:val="both"/>
              <w:rPr>
                <w:rFonts w:ascii="Arial" w:hAnsi="Arial" w:cs="Arial"/>
              </w:rPr>
            </w:pPr>
          </w:p>
        </w:tc>
        <w:tc>
          <w:tcPr>
            <w:tcW w:w="3838" w:type="pct"/>
          </w:tcPr>
          <w:p w14:paraId="1B6E6802" w14:textId="77777777" w:rsidR="00D57A85" w:rsidRPr="009A1A2E" w:rsidRDefault="00D57A85" w:rsidP="007B23BC">
            <w:pPr>
              <w:pStyle w:val="Tabletext"/>
              <w:spacing w:line="360" w:lineRule="auto"/>
              <w:jc w:val="both"/>
              <w:rPr>
                <w:rFonts w:ascii="Arial" w:hAnsi="Arial" w:cs="Arial"/>
              </w:rPr>
            </w:pPr>
          </w:p>
        </w:tc>
      </w:tr>
      <w:tr w:rsidR="00D57A85" w:rsidRPr="009A1A2E" w14:paraId="33135716" w14:textId="77777777" w:rsidTr="00D57A85">
        <w:tc>
          <w:tcPr>
            <w:tcW w:w="1162" w:type="pct"/>
          </w:tcPr>
          <w:p w14:paraId="05DA0FCD" w14:textId="77777777" w:rsidR="00D57A85" w:rsidRPr="009A1A2E" w:rsidRDefault="00D57A85" w:rsidP="007B23BC">
            <w:pPr>
              <w:pStyle w:val="Tabletext"/>
              <w:spacing w:line="360" w:lineRule="auto"/>
              <w:jc w:val="both"/>
              <w:rPr>
                <w:rFonts w:ascii="Arial" w:hAnsi="Arial" w:cs="Arial"/>
              </w:rPr>
            </w:pPr>
          </w:p>
        </w:tc>
        <w:tc>
          <w:tcPr>
            <w:tcW w:w="3838" w:type="pct"/>
          </w:tcPr>
          <w:p w14:paraId="199CE53F" w14:textId="77777777" w:rsidR="00D57A85" w:rsidRPr="009A1A2E" w:rsidRDefault="00D57A85" w:rsidP="007B23BC">
            <w:pPr>
              <w:pStyle w:val="Tabletext"/>
              <w:spacing w:line="360" w:lineRule="auto"/>
              <w:jc w:val="both"/>
              <w:rPr>
                <w:rFonts w:ascii="Arial" w:hAnsi="Arial" w:cs="Arial"/>
              </w:rPr>
            </w:pPr>
          </w:p>
        </w:tc>
      </w:tr>
      <w:tr w:rsidR="00D57A85" w:rsidRPr="009A1A2E" w14:paraId="73C0C314" w14:textId="77777777" w:rsidTr="00D57A85">
        <w:tc>
          <w:tcPr>
            <w:tcW w:w="1162" w:type="pct"/>
          </w:tcPr>
          <w:p w14:paraId="0800BF7C" w14:textId="77777777" w:rsidR="00D57A85" w:rsidRPr="009A1A2E" w:rsidRDefault="00D57A85" w:rsidP="007B23BC">
            <w:pPr>
              <w:pStyle w:val="Tabletext"/>
              <w:spacing w:line="360" w:lineRule="auto"/>
              <w:jc w:val="both"/>
              <w:rPr>
                <w:rFonts w:ascii="Arial" w:hAnsi="Arial" w:cs="Arial"/>
              </w:rPr>
            </w:pPr>
          </w:p>
        </w:tc>
        <w:tc>
          <w:tcPr>
            <w:tcW w:w="3838" w:type="pct"/>
          </w:tcPr>
          <w:p w14:paraId="1FBEBF62" w14:textId="77777777" w:rsidR="00D57A85" w:rsidRPr="009A1A2E" w:rsidRDefault="00D57A85" w:rsidP="007B23BC">
            <w:pPr>
              <w:pStyle w:val="Tabletext"/>
              <w:spacing w:line="360" w:lineRule="auto"/>
              <w:jc w:val="both"/>
              <w:rPr>
                <w:rFonts w:ascii="Arial" w:hAnsi="Arial" w:cs="Arial"/>
              </w:rPr>
            </w:pPr>
          </w:p>
        </w:tc>
      </w:tr>
      <w:tr w:rsidR="00D57A85" w:rsidRPr="009A1A2E" w14:paraId="6245F19F" w14:textId="77777777" w:rsidTr="00D57A85">
        <w:tc>
          <w:tcPr>
            <w:tcW w:w="1162" w:type="pct"/>
          </w:tcPr>
          <w:p w14:paraId="4508C41C" w14:textId="77777777" w:rsidR="00D57A85" w:rsidRPr="009A1A2E" w:rsidRDefault="00D57A85" w:rsidP="007B23BC">
            <w:pPr>
              <w:pStyle w:val="Tabletext"/>
              <w:spacing w:line="360" w:lineRule="auto"/>
              <w:jc w:val="both"/>
              <w:rPr>
                <w:rFonts w:ascii="Arial" w:hAnsi="Arial" w:cs="Arial"/>
              </w:rPr>
            </w:pPr>
          </w:p>
        </w:tc>
        <w:tc>
          <w:tcPr>
            <w:tcW w:w="3838" w:type="pct"/>
          </w:tcPr>
          <w:p w14:paraId="7C584B19" w14:textId="77777777" w:rsidR="00D57A85" w:rsidRPr="009A1A2E" w:rsidRDefault="00D57A85" w:rsidP="007B23BC">
            <w:pPr>
              <w:pStyle w:val="Tabletext"/>
              <w:spacing w:line="360" w:lineRule="auto"/>
              <w:jc w:val="both"/>
              <w:rPr>
                <w:rFonts w:ascii="Arial" w:hAnsi="Arial" w:cs="Arial"/>
              </w:rPr>
            </w:pPr>
          </w:p>
        </w:tc>
      </w:tr>
      <w:tr w:rsidR="00D57A85" w:rsidRPr="009A1A2E" w14:paraId="218B1C8B" w14:textId="77777777" w:rsidTr="00D57A85">
        <w:tc>
          <w:tcPr>
            <w:tcW w:w="1162" w:type="pct"/>
          </w:tcPr>
          <w:p w14:paraId="30533E33" w14:textId="77777777" w:rsidR="00D57A85" w:rsidRPr="009A1A2E" w:rsidRDefault="00D57A85" w:rsidP="007B23BC">
            <w:pPr>
              <w:pStyle w:val="Tabletext"/>
              <w:spacing w:line="360" w:lineRule="auto"/>
              <w:jc w:val="both"/>
              <w:rPr>
                <w:rFonts w:ascii="Arial" w:hAnsi="Arial" w:cs="Arial"/>
              </w:rPr>
            </w:pPr>
          </w:p>
        </w:tc>
        <w:tc>
          <w:tcPr>
            <w:tcW w:w="3838" w:type="pct"/>
          </w:tcPr>
          <w:p w14:paraId="0485F16A" w14:textId="77777777" w:rsidR="00D57A85" w:rsidRPr="009A1A2E" w:rsidRDefault="00D57A85" w:rsidP="007B23BC">
            <w:pPr>
              <w:pStyle w:val="Tabletext"/>
              <w:spacing w:line="360" w:lineRule="auto"/>
              <w:jc w:val="both"/>
              <w:rPr>
                <w:rFonts w:ascii="Arial" w:hAnsi="Arial" w:cs="Arial"/>
              </w:rPr>
            </w:pPr>
          </w:p>
        </w:tc>
      </w:tr>
      <w:tr w:rsidR="00D57A85" w:rsidRPr="009A1A2E" w14:paraId="3B4AD929" w14:textId="77777777" w:rsidTr="00D57A85">
        <w:tc>
          <w:tcPr>
            <w:tcW w:w="1162" w:type="pct"/>
          </w:tcPr>
          <w:p w14:paraId="70D2BA57" w14:textId="77777777" w:rsidR="00D57A85" w:rsidRPr="009A1A2E" w:rsidRDefault="00D57A85" w:rsidP="007B23BC">
            <w:pPr>
              <w:pStyle w:val="Tabletext"/>
              <w:spacing w:line="360" w:lineRule="auto"/>
              <w:jc w:val="both"/>
              <w:rPr>
                <w:rFonts w:ascii="Arial" w:hAnsi="Arial" w:cs="Arial"/>
              </w:rPr>
            </w:pPr>
          </w:p>
        </w:tc>
        <w:tc>
          <w:tcPr>
            <w:tcW w:w="3838" w:type="pct"/>
          </w:tcPr>
          <w:p w14:paraId="5F437E22" w14:textId="77777777" w:rsidR="00D57A85" w:rsidRPr="009A1A2E" w:rsidRDefault="00D57A85" w:rsidP="007B23BC">
            <w:pPr>
              <w:pStyle w:val="Tabletext"/>
              <w:spacing w:line="360" w:lineRule="auto"/>
              <w:jc w:val="both"/>
              <w:rPr>
                <w:rFonts w:ascii="Arial" w:hAnsi="Arial" w:cs="Arial"/>
              </w:rPr>
            </w:pPr>
          </w:p>
        </w:tc>
      </w:tr>
    </w:tbl>
    <w:p w14:paraId="4179C892" w14:textId="77777777" w:rsidR="00CA31F5" w:rsidRPr="009A1A2E" w:rsidRDefault="00CA31F5" w:rsidP="00213B3B">
      <w:pPr>
        <w:jc w:val="both"/>
        <w:sectPr w:rsidR="00CA31F5" w:rsidRPr="009A1A2E" w:rsidSect="007D5C08">
          <w:headerReference w:type="default" r:id="rId27"/>
          <w:pgSz w:w="11907" w:h="16839" w:code="9"/>
          <w:pgMar w:top="1701" w:right="1418" w:bottom="1418" w:left="1701" w:header="720" w:footer="720" w:gutter="0"/>
          <w:paperSrc w:first="7" w:other="7"/>
          <w:pgNumType w:fmt="lowerRoman"/>
          <w:cols w:space="720"/>
          <w:noEndnote/>
          <w:docGrid w:linePitch="299"/>
        </w:sectPr>
      </w:pPr>
      <w:bookmarkStart w:id="46" w:name="_Toc169275355"/>
    </w:p>
    <w:p w14:paraId="7810583C" w14:textId="77777777" w:rsidR="00FF05EE" w:rsidRPr="009A1A2E" w:rsidRDefault="00BE19DF" w:rsidP="00FB251D">
      <w:pPr>
        <w:pStyle w:val="Heading1"/>
        <w:spacing w:after="0" w:line="360" w:lineRule="auto"/>
        <w:ind w:left="0" w:firstLine="0"/>
        <w:jc w:val="both"/>
        <w:rPr>
          <w:lang w:val="en-AU"/>
        </w:rPr>
      </w:pPr>
      <w:bookmarkStart w:id="47" w:name="_Toc191822139"/>
      <w:bookmarkStart w:id="48" w:name="_Toc191822189"/>
      <w:bookmarkStart w:id="49" w:name="_Toc191822239"/>
      <w:bookmarkStart w:id="50" w:name="_Toc258501760"/>
      <w:bookmarkStart w:id="51" w:name="_Toc400549394"/>
      <w:bookmarkStart w:id="52" w:name="_Toc431917547"/>
      <w:bookmarkEnd w:id="46"/>
      <w:r w:rsidRPr="009A1A2E">
        <w:rPr>
          <w:lang w:val="en-AU"/>
        </w:rPr>
        <w:lastRenderedPageBreak/>
        <w:t>A.</w:t>
      </w:r>
      <w:r w:rsidRPr="009A1A2E">
        <w:rPr>
          <w:lang w:val="en-AU"/>
        </w:rPr>
        <w:tab/>
      </w:r>
      <w:r w:rsidR="00FF05EE" w:rsidRPr="009A1A2E">
        <w:rPr>
          <w:lang w:val="en-AU"/>
        </w:rPr>
        <w:t xml:space="preserve">Details of the proposed </w:t>
      </w:r>
      <w:r w:rsidR="00FA5500" w:rsidRPr="009A1A2E">
        <w:rPr>
          <w:lang w:val="en-AU"/>
        </w:rPr>
        <w:t>intervention</w:t>
      </w:r>
      <w:r w:rsidR="00FF05EE" w:rsidRPr="009A1A2E">
        <w:rPr>
          <w:lang w:val="en-AU"/>
        </w:rPr>
        <w:t xml:space="preserve"> and its intended use on the </w:t>
      </w:r>
      <w:bookmarkEnd w:id="47"/>
      <w:bookmarkEnd w:id="48"/>
      <w:bookmarkEnd w:id="49"/>
      <w:bookmarkEnd w:id="50"/>
      <w:r w:rsidR="00D21516" w:rsidRPr="009A1A2E">
        <w:rPr>
          <w:lang w:val="en-AU"/>
        </w:rPr>
        <w:t>MBS</w:t>
      </w:r>
      <w:bookmarkEnd w:id="51"/>
      <w:bookmarkEnd w:id="52"/>
    </w:p>
    <w:p w14:paraId="2615F5C7" w14:textId="77777777" w:rsidR="00FF05EE" w:rsidRPr="001F54EF" w:rsidRDefault="00B143AE" w:rsidP="00FB251D">
      <w:pPr>
        <w:pStyle w:val="Heading20"/>
        <w:spacing w:before="0"/>
        <w:rPr>
          <w:lang w:val="en-AU"/>
        </w:rPr>
      </w:pPr>
      <w:bookmarkStart w:id="53" w:name="_Toc191822140"/>
      <w:bookmarkStart w:id="54" w:name="_Toc191822190"/>
      <w:bookmarkStart w:id="55" w:name="_Toc191822240"/>
      <w:bookmarkStart w:id="56" w:name="_Toc258501761"/>
      <w:bookmarkStart w:id="57" w:name="_Toc400549395"/>
      <w:bookmarkStart w:id="58" w:name="_Toc431917548"/>
      <w:r w:rsidRPr="001F54EF">
        <w:rPr>
          <w:lang w:val="en-AU"/>
        </w:rPr>
        <w:t>A</w:t>
      </w:r>
      <w:r w:rsidR="00D7751F" w:rsidRPr="001F54EF">
        <w:rPr>
          <w:lang w:val="en-AU"/>
        </w:rPr>
        <w:t>.</w:t>
      </w:r>
      <w:r w:rsidRPr="001F54EF">
        <w:rPr>
          <w:lang w:val="en-AU"/>
        </w:rPr>
        <w:t>1</w:t>
      </w:r>
      <w:r w:rsidR="00121231" w:rsidRPr="001F54EF">
        <w:rPr>
          <w:lang w:val="en-AU"/>
        </w:rPr>
        <w:tab/>
      </w:r>
      <w:r w:rsidR="00FF05EE" w:rsidRPr="001F54EF">
        <w:rPr>
          <w:lang w:val="en-AU"/>
        </w:rPr>
        <w:t xml:space="preserve">Requested </w:t>
      </w:r>
      <w:r w:rsidR="00FA5500" w:rsidRPr="001F54EF">
        <w:rPr>
          <w:lang w:val="en-AU"/>
        </w:rPr>
        <w:t>M</w:t>
      </w:r>
      <w:r w:rsidR="00FF05EE" w:rsidRPr="001F54EF">
        <w:rPr>
          <w:lang w:val="en-AU"/>
        </w:rPr>
        <w:t xml:space="preserve">BS listing and </w:t>
      </w:r>
      <w:bookmarkEnd w:id="53"/>
      <w:bookmarkEnd w:id="54"/>
      <w:bookmarkEnd w:id="55"/>
      <w:bookmarkEnd w:id="56"/>
      <w:r w:rsidR="00D035F9" w:rsidRPr="001F54EF">
        <w:rPr>
          <w:lang w:val="en-AU"/>
        </w:rPr>
        <w:t>details of the intervention</w:t>
      </w:r>
      <w:bookmarkEnd w:id="57"/>
      <w:bookmarkEnd w:id="58"/>
    </w:p>
    <w:p w14:paraId="33829010" w14:textId="77777777" w:rsidR="00FB251D" w:rsidRPr="005C7A82" w:rsidRDefault="00FB251D" w:rsidP="00763BFB">
      <w:pPr>
        <w:pStyle w:val="Textbody"/>
        <w:rPr>
          <w:lang w:val="en-AU"/>
        </w:rPr>
      </w:pPr>
      <w:r w:rsidRPr="00A83F80">
        <w:rPr>
          <w:lang w:val="en-AU"/>
        </w:rPr>
        <w:t xml:space="preserve">This application is seeking Medicare Benefits Schedule (MBS) listing for insertion of Active </w:t>
      </w:r>
      <w:r w:rsidRPr="005C7A82">
        <w:rPr>
          <w:lang w:val="en-AU"/>
        </w:rPr>
        <w:t>Middle Ear Implants (AMEI) in Sensorineural Hearing Loss (SNHL) plus a medical condition.</w:t>
      </w:r>
    </w:p>
    <w:p w14:paraId="32DD7534" w14:textId="77777777" w:rsidR="004465B6" w:rsidRPr="009A1A2E" w:rsidRDefault="004465B6" w:rsidP="00763BFB">
      <w:pPr>
        <w:pStyle w:val="Textbody"/>
        <w:rPr>
          <w:lang w:val="en-AU"/>
        </w:rPr>
      </w:pPr>
      <w:r w:rsidRPr="005C7A82">
        <w:rPr>
          <w:lang w:val="en-AU"/>
        </w:rPr>
        <w:t>The Vibrant Soundbridge (VSB) was first implanted in 1996. The device was approved with</w:t>
      </w:r>
      <w:r w:rsidRPr="009A1A2E">
        <w:rPr>
          <w:lang w:val="en-AU"/>
        </w:rPr>
        <w:t xml:space="preserve"> the CE marking in February 1998 and by the FDA in August 2000. Due to favorable results in adults affected by mixed and conductive hearing loss </w:t>
      </w:r>
      <w:r w:rsidR="00CE4E7E" w:rsidRPr="009A1A2E">
        <w:rPr>
          <w:lang w:val="en-AU"/>
        </w:rPr>
        <w:fldChar w:fldCharType="begin">
          <w:fldData xml:space="preserve">PFJlZm1hbj48Q2l0ZT48QXV0aG9yPkJlbHRyYW1lPC9BdXRob3I+PFllYXI+MjAwOTwvWWVhcj48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</w:fldData>
        </w:fldChar>
      </w:r>
      <w:r w:rsidR="00D85D29">
        <w:rPr>
          <w:lang w:val="en-AU"/>
        </w:rPr>
        <w:instrText xml:space="preserve"> ADDIN REFMGR.CITE </w:instrText>
      </w:r>
      <w:r w:rsidR="00D85D29">
        <w:rPr>
          <w:lang w:val="en-AU"/>
        </w:rPr>
        <w:fldChar w:fldCharType="begin">
          <w:fldData xml:space="preserve">PFJlZm1hbj48Q2l0ZT48QXV0aG9yPkJlbHRyYW1lPC9BdXRob3I+PFllYXI+MjAwOTwvWWVhcj48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</w:fldData>
        </w:fldChar>
      </w:r>
      <w:r w:rsidR="00D85D29">
        <w:rPr>
          <w:lang w:val="en-AU"/>
        </w:rPr>
        <w:instrText xml:space="preserve"> ADDIN EN.CITE.DATA </w:instrText>
      </w:r>
      <w:r w:rsidR="00D85D29">
        <w:rPr>
          <w:lang w:val="en-AU"/>
        </w:rPr>
      </w:r>
      <w:r w:rsidR="00D85D29">
        <w:rPr>
          <w:lang w:val="en-AU"/>
        </w:rPr>
        <w:fldChar w:fldCharType="end"/>
      </w:r>
      <w:r w:rsidR="00CE4E7E" w:rsidRPr="009A1A2E">
        <w:rPr>
          <w:lang w:val="en-AU"/>
        </w:rPr>
      </w:r>
      <w:r w:rsidR="00CE4E7E" w:rsidRPr="009A1A2E">
        <w:rPr>
          <w:lang w:val="en-AU"/>
        </w:rPr>
        <w:fldChar w:fldCharType="separate"/>
      </w:r>
      <w:r w:rsidR="004A5A23" w:rsidRPr="009A1A2E">
        <w:rPr>
          <w:noProof/>
          <w:lang w:val="en-AU"/>
        </w:rPr>
        <w:t>(Beltrame et al., 2009;Colletti et al., 2009;Colletti et al., 2006;Huttenbrink et al., 2008;Kiefer et al., 2006)</w:t>
      </w:r>
      <w:r w:rsidR="00CE4E7E" w:rsidRPr="009A1A2E">
        <w:rPr>
          <w:lang w:val="en-AU"/>
        </w:rPr>
        <w:fldChar w:fldCharType="end"/>
      </w:r>
      <w:r w:rsidRPr="009A1A2E">
        <w:rPr>
          <w:lang w:val="en-AU"/>
        </w:rPr>
        <w:t xml:space="preserve"> VSB-candidacy indications were extended to include not only sensorineural but also mixed and conductive hearing losses in patients 18 years of age or older. As of November 2008, the VSB had been implanted in more than 60 children and adolescents in countries throughout the world with favourable results. In June 2009, the VSB received approval for patients younger than 18 years of age in the European Union and all other countries accepting the CE marking </w:t>
      </w:r>
      <w:r w:rsidR="004A5A23" w:rsidRPr="009A1A2E">
        <w:rPr>
          <w:lang w:val="en-AU"/>
        </w:rPr>
        <w:fldChar w:fldCharType="begin">
          <w:fldData xml:space="preserve">PFJlZm1hbj48Q2l0ZT48QXV0aG9yPkNyZW1lcnM8L0F1dGhvcj48WWVhcj4yMDEwPC9ZZWFyPjxS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</w:fldData>
        </w:fldChar>
      </w:r>
      <w:r w:rsidR="00D85D29">
        <w:rPr>
          <w:lang w:val="en-AU"/>
        </w:rPr>
        <w:instrText xml:space="preserve"> ADDIN REFMGR.CITE </w:instrText>
      </w:r>
      <w:r w:rsidR="00D85D29">
        <w:rPr>
          <w:lang w:val="en-AU"/>
        </w:rPr>
        <w:fldChar w:fldCharType="begin">
          <w:fldData xml:space="preserve">PFJlZm1hbj48Q2l0ZT48QXV0aG9yPkNyZW1lcnM8L0F1dGhvcj48WWVhcj4yMDEwPC9ZZWFyPjxS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</w:fldData>
        </w:fldChar>
      </w:r>
      <w:r w:rsidR="00D85D29">
        <w:rPr>
          <w:lang w:val="en-AU"/>
        </w:rPr>
        <w:instrText xml:space="preserve"> ADDIN EN.CITE.DATA </w:instrText>
      </w:r>
      <w:r w:rsidR="00D85D29">
        <w:rPr>
          <w:lang w:val="en-AU"/>
        </w:rPr>
      </w:r>
      <w:r w:rsidR="00D85D29">
        <w:rPr>
          <w:lang w:val="en-AU"/>
        </w:rPr>
        <w:fldChar w:fldCharType="end"/>
      </w:r>
      <w:r w:rsidR="004A5A23" w:rsidRPr="009A1A2E">
        <w:rPr>
          <w:lang w:val="en-AU"/>
        </w:rPr>
      </w:r>
      <w:r w:rsidR="004A5A23" w:rsidRPr="009A1A2E">
        <w:rPr>
          <w:lang w:val="en-AU"/>
        </w:rPr>
        <w:fldChar w:fldCharType="separate"/>
      </w:r>
      <w:r w:rsidR="004A5A23" w:rsidRPr="009A1A2E">
        <w:rPr>
          <w:noProof/>
          <w:lang w:val="en-AU"/>
        </w:rPr>
        <w:t>(Cremers et al., 2010)</w:t>
      </w:r>
      <w:r w:rsidR="004A5A23" w:rsidRPr="009A1A2E">
        <w:rPr>
          <w:lang w:val="en-AU"/>
        </w:rPr>
        <w:fldChar w:fldCharType="end"/>
      </w:r>
      <w:r w:rsidRPr="009A1A2E">
        <w:rPr>
          <w:lang w:val="en-AU"/>
        </w:rPr>
        <w:t xml:space="preserve"> </w:t>
      </w:r>
      <w:r w:rsidR="00944F5B" w:rsidRPr="009A1A2E">
        <w:rPr>
          <w:lang w:val="en-AU"/>
        </w:rPr>
        <w:t>aud</w:t>
      </w:r>
      <w:r w:rsidRPr="009A1A2E">
        <w:rPr>
          <w:lang w:val="en-AU"/>
        </w:rPr>
        <w:t xml:space="preserve">iologic results and the risk profile are comparable to the adult population </w:t>
      </w:r>
      <w:r w:rsidR="004A5A23" w:rsidRPr="009A1A2E">
        <w:rPr>
          <w:lang w:val="en-AU"/>
        </w:rPr>
        <w:fldChar w:fldCharType="begin">
          <w:fldData xml:space="preserve">PFJlZm1hbj48Q2l0ZT48QXV0aG9yPkNsYXJvczwvQXV0aG9yPjxZZWFyPjIwMTM8L1llYXI+PFJl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</w:fldData>
        </w:fldChar>
      </w:r>
      <w:r w:rsidR="00D85D29">
        <w:rPr>
          <w:lang w:val="en-AU"/>
        </w:rPr>
        <w:instrText xml:space="preserve"> ADDIN REFMGR.CITE </w:instrText>
      </w:r>
      <w:r w:rsidR="00D85D29">
        <w:rPr>
          <w:lang w:val="en-AU"/>
        </w:rPr>
        <w:fldChar w:fldCharType="begin">
          <w:fldData xml:space="preserve">PFJlZm1hbj48Q2l0ZT48QXV0aG9yPkNsYXJvczwvQXV0aG9yPjxZZWFyPjIwMTM8L1llYXI+PFJl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</w:fldData>
        </w:fldChar>
      </w:r>
      <w:r w:rsidR="00D85D29">
        <w:rPr>
          <w:lang w:val="en-AU"/>
        </w:rPr>
        <w:instrText xml:space="preserve"> ADDIN EN.CITE.DATA </w:instrText>
      </w:r>
      <w:r w:rsidR="00D85D29">
        <w:rPr>
          <w:lang w:val="en-AU"/>
        </w:rPr>
      </w:r>
      <w:r w:rsidR="00D85D29">
        <w:rPr>
          <w:lang w:val="en-AU"/>
        </w:rPr>
        <w:fldChar w:fldCharType="end"/>
      </w:r>
      <w:r w:rsidR="004A5A23" w:rsidRPr="009A1A2E">
        <w:rPr>
          <w:lang w:val="en-AU"/>
        </w:rPr>
      </w:r>
      <w:r w:rsidR="004A5A23" w:rsidRPr="009A1A2E">
        <w:rPr>
          <w:lang w:val="en-AU"/>
        </w:rPr>
        <w:fldChar w:fldCharType="separate"/>
      </w:r>
      <w:r w:rsidR="004A5A23" w:rsidRPr="009A1A2E">
        <w:rPr>
          <w:noProof/>
          <w:lang w:val="en-AU"/>
        </w:rPr>
        <w:t>(Claros and Pujol, 2013;Colletti et al., 2013;Roman et al., 2012;Zernotti et al., 2012)</w:t>
      </w:r>
      <w:r w:rsidR="004A5A23" w:rsidRPr="009A1A2E">
        <w:rPr>
          <w:lang w:val="en-AU"/>
        </w:rPr>
        <w:fldChar w:fldCharType="end"/>
      </w:r>
      <w:r w:rsidRPr="009A1A2E">
        <w:rPr>
          <w:lang w:val="en-AU"/>
        </w:rPr>
        <w:t xml:space="preserve">. Middle ear implants have been implanted in children under the age of 5 with favourable results </w:t>
      </w:r>
      <w:r w:rsidR="004A5A23" w:rsidRPr="009A1A2E">
        <w:rPr>
          <w:lang w:val="en-AU"/>
        </w:rPr>
        <w:fldChar w:fldCharType="begin">
          <w:fldData xml:space="preserve">PFJlZm1hbj48Q2l0ZT48QXV0aG9yPk1hbmRhbGE8L0F1dGhvcj48WWVhcj4yMDExPC9ZZWFyPjxS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</w:fldData>
        </w:fldChar>
      </w:r>
      <w:r w:rsidR="00D85D29">
        <w:rPr>
          <w:lang w:val="en-AU"/>
        </w:rPr>
        <w:instrText xml:space="preserve"> ADDIN REFMGR.CITE </w:instrText>
      </w:r>
      <w:r w:rsidR="00D85D29">
        <w:rPr>
          <w:lang w:val="en-AU"/>
        </w:rPr>
        <w:fldChar w:fldCharType="begin">
          <w:fldData xml:space="preserve">PFJlZm1hbj48Q2l0ZT48QXV0aG9yPk1hbmRhbGE8L0F1dGhvcj48WWVhcj4yMDExPC9ZZWFyPjxS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</w:fldData>
        </w:fldChar>
      </w:r>
      <w:r w:rsidR="00D85D29">
        <w:rPr>
          <w:lang w:val="en-AU"/>
        </w:rPr>
        <w:instrText xml:space="preserve"> ADDIN EN.CITE.DATA </w:instrText>
      </w:r>
      <w:r w:rsidR="00D85D29">
        <w:rPr>
          <w:lang w:val="en-AU"/>
        </w:rPr>
      </w:r>
      <w:r w:rsidR="00D85D29">
        <w:rPr>
          <w:lang w:val="en-AU"/>
        </w:rPr>
        <w:fldChar w:fldCharType="end"/>
      </w:r>
      <w:r w:rsidR="004A5A23" w:rsidRPr="009A1A2E">
        <w:rPr>
          <w:lang w:val="en-AU"/>
        </w:rPr>
      </w:r>
      <w:r w:rsidR="004A5A23" w:rsidRPr="009A1A2E">
        <w:rPr>
          <w:lang w:val="en-AU"/>
        </w:rPr>
        <w:fldChar w:fldCharType="separate"/>
      </w:r>
      <w:r w:rsidR="004A5A23" w:rsidRPr="009A1A2E">
        <w:rPr>
          <w:noProof/>
          <w:lang w:val="en-AU"/>
        </w:rPr>
        <w:t>(Frenzel et al., 2010;Mandala et al., 2011)</w:t>
      </w:r>
      <w:r w:rsidR="004A5A23" w:rsidRPr="009A1A2E">
        <w:rPr>
          <w:lang w:val="en-AU"/>
        </w:rPr>
        <w:fldChar w:fldCharType="end"/>
      </w:r>
      <w:r w:rsidRPr="009A1A2E">
        <w:rPr>
          <w:lang w:val="en-AU"/>
        </w:rPr>
        <w:t>.</w:t>
      </w:r>
    </w:p>
    <w:p w14:paraId="74E618FD" w14:textId="77777777" w:rsidR="004465B6" w:rsidRPr="009A1A2E" w:rsidRDefault="004465B6" w:rsidP="00763BFB">
      <w:pPr>
        <w:pStyle w:val="Textbody"/>
        <w:rPr>
          <w:lang w:val="en-AU"/>
        </w:rPr>
      </w:pPr>
      <w:r w:rsidRPr="009A1A2E">
        <w:rPr>
          <w:lang w:val="en-AU"/>
        </w:rPr>
        <w:t>This application intends to treat patients with a</w:t>
      </w:r>
      <w:r w:rsidR="009508D4" w:rsidRPr="009A1A2E">
        <w:rPr>
          <w:lang w:val="en-AU"/>
        </w:rPr>
        <w:t>ctive middle ear implants</w:t>
      </w:r>
      <w:r w:rsidRPr="009A1A2E">
        <w:rPr>
          <w:lang w:val="en-AU"/>
        </w:rPr>
        <w:t>,</w:t>
      </w:r>
      <w:r w:rsidR="009508D4" w:rsidRPr="009A1A2E">
        <w:rPr>
          <w:lang w:val="en-AU"/>
        </w:rPr>
        <w:t xml:space="preserve"> with a hearing loss who cannot wear hearing aids because of a medical condition which precludes wearing hearing aids. These patients need to be aided, but their hearing is not at a level which requ</w:t>
      </w:r>
      <w:r w:rsidR="007F4EF0" w:rsidRPr="009A1A2E">
        <w:rPr>
          <w:lang w:val="en-AU"/>
        </w:rPr>
        <w:t>ires a cochlear implant, and is</w:t>
      </w:r>
      <w:r w:rsidR="009508D4" w:rsidRPr="009A1A2E">
        <w:rPr>
          <w:lang w:val="en-AU"/>
        </w:rPr>
        <w:t xml:space="preserve"> ineligible for a bone conduction implant. Therefore an active middle ear implant represents their only alternative for restoring hearing.</w:t>
      </w:r>
    </w:p>
    <w:p w14:paraId="3A599E97" w14:textId="77777777" w:rsidR="00377D84" w:rsidRPr="00B55968" w:rsidRDefault="00377D84" w:rsidP="00763BFB">
      <w:pPr>
        <w:pStyle w:val="Textbody"/>
        <w:rPr>
          <w:sz w:val="16"/>
          <w:szCs w:val="16"/>
          <w:lang w:val="en-AU"/>
        </w:rPr>
      </w:pPr>
    </w:p>
    <w:tbl>
      <w:tblPr>
        <w:tblW w:w="9204" w:type="dxa"/>
        <w:tblInd w:w="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Description w:val="Proposed MSB item description"/>
      </w:tblPr>
      <w:tblGrid>
        <w:gridCol w:w="9204"/>
      </w:tblGrid>
      <w:tr w:rsidR="00804038" w:rsidRPr="009A1A2E" w14:paraId="1899CDC9" w14:textId="77777777" w:rsidTr="00BA73AA">
        <w:tc>
          <w:tcPr>
            <w:tcW w:w="9204" w:type="dxa"/>
            <w:tcBorders>
              <w:top w:val="single" w:sz="4" w:space="0" w:color="000000"/>
              <w:left w:val="single" w:sz="4" w:space="0" w:color="000000"/>
              <w:bottom w:val="single" w:sz="4" w:space="0" w:color="000000"/>
              <w:right w:val="single" w:sz="4" w:space="0" w:color="000000"/>
            </w:tcBorders>
          </w:tcPr>
          <w:p w14:paraId="1B25EA4A" w14:textId="77777777" w:rsidR="00804038" w:rsidRPr="009A1A2E" w:rsidRDefault="00804038" w:rsidP="004F038E">
            <w:pPr>
              <w:pStyle w:val="Textbody"/>
              <w:rPr>
                <w:lang w:val="en-AU"/>
              </w:rPr>
            </w:pPr>
            <w:r w:rsidRPr="009A1A2E">
              <w:rPr>
                <w:lang w:val="en-AU"/>
              </w:rPr>
              <w:t>Category [3 ] – [Therapeutic Procedures]</w:t>
            </w:r>
          </w:p>
        </w:tc>
      </w:tr>
      <w:tr w:rsidR="00804038" w:rsidRPr="009A1A2E" w14:paraId="1FD9946A" w14:textId="77777777" w:rsidTr="00BA73AA">
        <w:tc>
          <w:tcPr>
            <w:tcW w:w="9204" w:type="dxa"/>
            <w:tcBorders>
              <w:top w:val="single" w:sz="4" w:space="0" w:color="000000"/>
              <w:left w:val="single" w:sz="4" w:space="0" w:color="000000"/>
              <w:bottom w:val="single" w:sz="4" w:space="0" w:color="000000"/>
              <w:right w:val="single" w:sz="4" w:space="0" w:color="000000"/>
            </w:tcBorders>
          </w:tcPr>
          <w:p w14:paraId="5F7854A3" w14:textId="77777777" w:rsidR="00804038" w:rsidRPr="009A1A2E" w:rsidRDefault="00804038" w:rsidP="004F038E">
            <w:pPr>
              <w:pStyle w:val="Textbody"/>
              <w:rPr>
                <w:lang w:val="en-AU"/>
              </w:rPr>
            </w:pPr>
            <w:r w:rsidRPr="009A1A2E">
              <w:rPr>
                <w:lang w:val="en-AU"/>
              </w:rPr>
              <w:t>MBS [item number (Note: this will be assigned by the Department if listed on the MBS)]</w:t>
            </w:r>
          </w:p>
          <w:p w14:paraId="2653C908" w14:textId="77777777" w:rsidR="00804038" w:rsidRPr="009A1A2E" w:rsidRDefault="00804038" w:rsidP="004F038E">
            <w:pPr>
              <w:pStyle w:val="Textbody"/>
              <w:rPr>
                <w:lang w:val="en-AU"/>
              </w:rPr>
            </w:pPr>
            <w:r w:rsidRPr="009A1A2E">
              <w:rPr>
                <w:lang w:val="en-AU"/>
              </w:rPr>
              <w:t>[Proposed item descriptor]</w:t>
            </w:r>
          </w:p>
          <w:p w14:paraId="77540D3F" w14:textId="77777777" w:rsidR="00804038" w:rsidRPr="009A1A2E" w:rsidRDefault="00804038" w:rsidP="004F038E">
            <w:pPr>
              <w:pStyle w:val="Textbody"/>
              <w:rPr>
                <w:lang w:val="en-AU"/>
              </w:rPr>
            </w:pPr>
            <w:r w:rsidRPr="009A1A2E">
              <w:rPr>
                <w:lang w:val="en-AU"/>
              </w:rPr>
              <w:t>MIDDLE EAR IMPLANT, Insertion of, including a mastoidectomy, for patients who have:</w:t>
            </w:r>
          </w:p>
          <w:p w14:paraId="6E8D25D1" w14:textId="77777777" w:rsidR="009508D4" w:rsidRPr="00B55968" w:rsidRDefault="009508D4" w:rsidP="004F038E">
            <w:pPr>
              <w:pStyle w:val="Textbody"/>
              <w:rPr>
                <w:sz w:val="16"/>
                <w:szCs w:val="16"/>
                <w:lang w:val="en-AU"/>
              </w:rPr>
            </w:pPr>
          </w:p>
          <w:p w14:paraId="37F0AD8D" w14:textId="77777777" w:rsidR="00804038" w:rsidRPr="009A1A2E" w:rsidRDefault="00804038" w:rsidP="004F038E">
            <w:pPr>
              <w:pStyle w:val="Textbody"/>
              <w:rPr>
                <w:lang w:val="en-AU"/>
              </w:rPr>
            </w:pPr>
            <w:r w:rsidRPr="009A1A2E">
              <w:rPr>
                <w:lang w:val="en-AU"/>
              </w:rPr>
              <w:t>Air conduction thresholds in the mild to severe range with PTA4 below 80 dB HL;</w:t>
            </w:r>
          </w:p>
          <w:p w14:paraId="273EBFFC" w14:textId="77777777" w:rsidR="00804038" w:rsidRPr="009A1A2E" w:rsidRDefault="00804038" w:rsidP="004F038E">
            <w:pPr>
              <w:pStyle w:val="Textbody"/>
              <w:rPr>
                <w:lang w:val="en-AU"/>
              </w:rPr>
            </w:pPr>
            <w:r w:rsidRPr="009A1A2E">
              <w:rPr>
                <w:lang w:val="en-AU"/>
              </w:rPr>
              <w:t>Sensorineural hearing loss and cannot wear conventional hearing</w:t>
            </w:r>
            <w:r w:rsidR="00763BFB" w:rsidRPr="009A1A2E">
              <w:rPr>
                <w:lang w:val="en-AU"/>
              </w:rPr>
              <w:t xml:space="preserve"> aids for a variety of reasons.</w:t>
            </w:r>
            <w:r w:rsidRPr="009A1A2E">
              <w:rPr>
                <w:lang w:val="en-AU"/>
              </w:rPr>
              <w:t xml:space="preserve"> However, these individuals can still benefit from the amplification of sounds; </w:t>
            </w:r>
          </w:p>
          <w:p w14:paraId="2D57DE25" w14:textId="77777777" w:rsidR="00804038" w:rsidRPr="009A1A2E" w:rsidRDefault="00804038" w:rsidP="004F038E">
            <w:pPr>
              <w:pStyle w:val="Textbody"/>
              <w:rPr>
                <w:lang w:val="en-AU"/>
              </w:rPr>
            </w:pPr>
            <w:r w:rsidRPr="009A1A2E">
              <w:rPr>
                <w:lang w:val="en-AU"/>
              </w:rPr>
              <w:t xml:space="preserve">Medical conditions precluding the use of hearing aids, such as chronic otitis externa, psoriasis, exostosis of the ear canal, persistent excessive cerumen blocking the ear canal, </w:t>
            </w:r>
            <w:r w:rsidRPr="009A1A2E">
              <w:rPr>
                <w:lang w:val="en-AU"/>
              </w:rPr>
              <w:lastRenderedPageBreak/>
              <w:t>absent or deformed pinnas following cancer treatment, unusual morphology affecting the ear canal or pinna;</w:t>
            </w:r>
          </w:p>
          <w:p w14:paraId="1EF202BE" w14:textId="77777777" w:rsidR="00804038" w:rsidRPr="009A1A2E" w:rsidRDefault="00804038" w:rsidP="004F038E">
            <w:pPr>
              <w:pStyle w:val="Textbody"/>
              <w:rPr>
                <w:lang w:val="en-AU"/>
              </w:rPr>
            </w:pPr>
            <w:r w:rsidRPr="009A1A2E">
              <w:rPr>
                <w:lang w:val="en-AU"/>
              </w:rPr>
              <w:t>Speech perception discrimination of at least 65% correct with appropriately amplified sound.</w:t>
            </w:r>
          </w:p>
          <w:p w14:paraId="455FE992" w14:textId="77777777" w:rsidR="00804038" w:rsidRPr="009A1A2E" w:rsidRDefault="00804038" w:rsidP="004F038E">
            <w:pPr>
              <w:pStyle w:val="Textbody"/>
              <w:rPr>
                <w:lang w:val="en-AU"/>
              </w:rPr>
            </w:pPr>
          </w:p>
          <w:p w14:paraId="0B9068DF" w14:textId="77777777" w:rsidR="00804038" w:rsidRPr="009A1A2E" w:rsidRDefault="00804038" w:rsidP="004F038E">
            <w:pPr>
              <w:pStyle w:val="Textbody"/>
              <w:rPr>
                <w:lang w:val="en-AU"/>
              </w:rPr>
            </w:pPr>
            <w:r w:rsidRPr="009A1A2E">
              <w:rPr>
                <w:lang w:val="en-AU"/>
              </w:rPr>
              <w:t>Fee: $[1,876.59 - Proposed fee] - based on Mastoidectomy item</w:t>
            </w:r>
          </w:p>
          <w:p w14:paraId="3E13FCE4" w14:textId="77777777" w:rsidR="00804038" w:rsidRPr="009A1A2E" w:rsidRDefault="00804038" w:rsidP="004F038E">
            <w:pPr>
              <w:pStyle w:val="Textbody"/>
              <w:rPr>
                <w:lang w:val="en-AU"/>
              </w:rPr>
            </w:pPr>
            <w:r w:rsidRPr="009A1A2E">
              <w:rPr>
                <w:lang w:val="en-AU"/>
              </w:rPr>
              <w:t>[(Anaes.) - Proposed relevant explanatory notes]</w:t>
            </w:r>
          </w:p>
        </w:tc>
      </w:tr>
    </w:tbl>
    <w:p w14:paraId="791F7B53" w14:textId="77777777" w:rsidR="00804038" w:rsidRPr="009A1A2E" w:rsidRDefault="00804038" w:rsidP="004F038E">
      <w:pPr>
        <w:pStyle w:val="Textbody"/>
        <w:rPr>
          <w:lang w:val="en-AU"/>
        </w:rPr>
      </w:pPr>
    </w:p>
    <w:p w14:paraId="47CB10AB" w14:textId="77777777" w:rsidR="00EA1EB0" w:rsidRPr="009A1A2E" w:rsidRDefault="00A03A56" w:rsidP="004F038E">
      <w:pPr>
        <w:pStyle w:val="Textbody"/>
        <w:rPr>
          <w:lang w:val="en-AU"/>
        </w:rPr>
      </w:pPr>
      <w:r w:rsidRPr="009A1A2E">
        <w:rPr>
          <w:lang w:val="en-AU"/>
        </w:rPr>
        <w:t xml:space="preserve">The </w:t>
      </w:r>
      <w:r w:rsidRPr="009A1A2E">
        <w:rPr>
          <w:b/>
          <w:lang w:val="en-AU"/>
        </w:rPr>
        <w:t>internal components</w:t>
      </w:r>
      <w:r w:rsidRPr="009A1A2E">
        <w:rPr>
          <w:lang w:val="en-AU"/>
        </w:rPr>
        <w:t xml:space="preserve"> of the proposed medical service are currently being funded through surgical budgets, private health fund exgratia applications (and subsequent approval) and occasionally by patients themselves. The external </w:t>
      </w:r>
      <w:r w:rsidR="00DD2DE2" w:rsidRPr="009A1A2E">
        <w:rPr>
          <w:lang w:val="en-AU"/>
        </w:rPr>
        <w:t>audio</w:t>
      </w:r>
      <w:r w:rsidRPr="009A1A2E">
        <w:rPr>
          <w:lang w:val="en-AU"/>
        </w:rPr>
        <w:t xml:space="preserve"> processor, upgrades, programming and maintenance is publicly funded through Australia</w:t>
      </w:r>
      <w:r w:rsidR="004F038E" w:rsidRPr="009A1A2E">
        <w:rPr>
          <w:lang w:val="en-AU"/>
        </w:rPr>
        <w:t xml:space="preserve">n Hearing to eligible clients. </w:t>
      </w:r>
      <w:r w:rsidRPr="009A1A2E">
        <w:rPr>
          <w:lang w:val="en-AU"/>
        </w:rPr>
        <w:t>Otherwise the service is either self-funded or funded through the exgratia private health fund application.</w:t>
      </w:r>
    </w:p>
    <w:p w14:paraId="544B5127" w14:textId="77777777" w:rsidR="000E34B7" w:rsidRPr="009A1A2E" w:rsidRDefault="000E34B7" w:rsidP="004F038E">
      <w:pPr>
        <w:pStyle w:val="Textbody"/>
        <w:rPr>
          <w:lang w:val="en-AU"/>
        </w:rPr>
      </w:pPr>
    </w:p>
    <w:p w14:paraId="6875279F" w14:textId="77777777" w:rsidR="000E34B7" w:rsidRPr="009A1A2E" w:rsidRDefault="00E960EB" w:rsidP="000E34B7">
      <w:pPr>
        <w:pStyle w:val="Textbody"/>
        <w:rPr>
          <w:b/>
          <w:sz w:val="32"/>
          <w:szCs w:val="32"/>
          <w:lang w:val="en-AU"/>
        </w:rPr>
      </w:pPr>
      <w:r w:rsidRPr="009A1A2E">
        <w:rPr>
          <w:b/>
          <w:sz w:val="32"/>
          <w:szCs w:val="32"/>
          <w:lang w:val="en-AU"/>
        </w:rPr>
        <w:t>Details of the intervention</w:t>
      </w:r>
    </w:p>
    <w:p w14:paraId="717DF286" w14:textId="77777777" w:rsidR="00570028" w:rsidRPr="009A1A2E" w:rsidRDefault="007049DE" w:rsidP="007049DE">
      <w:pPr>
        <w:pStyle w:val="Textbody"/>
        <w:rPr>
          <w:lang w:val="en-AU"/>
        </w:rPr>
      </w:pPr>
      <w:bookmarkStart w:id="59" w:name="_Toc384735328"/>
      <w:r w:rsidRPr="009A1A2E">
        <w:rPr>
          <w:lang w:val="en-AU"/>
        </w:rPr>
        <w:t xml:space="preserve">The only </w:t>
      </w:r>
      <w:r w:rsidRPr="009A1A2E">
        <w:rPr>
          <w:b/>
          <w:lang w:val="en-AU"/>
        </w:rPr>
        <w:t>partially implantable</w:t>
      </w:r>
      <w:r w:rsidRPr="009A1A2E">
        <w:rPr>
          <w:lang w:val="en-AU"/>
        </w:rPr>
        <w:t xml:space="preserve"> active middle ear implant indicated for sensorineural hearing loss plus medical condition is the Vibrant Soundbridge</w:t>
      </w:r>
    </w:p>
    <w:p w14:paraId="07CDF0E0" w14:textId="77777777" w:rsidR="00EA1EB0" w:rsidRPr="009A1A2E" w:rsidRDefault="00EA1EB0" w:rsidP="004F038E">
      <w:pPr>
        <w:pStyle w:val="Textbody"/>
        <w:rPr>
          <w:b/>
          <w:u w:val="single"/>
          <w:lang w:val="en-AU"/>
        </w:rPr>
      </w:pPr>
      <w:r w:rsidRPr="009A1A2E">
        <w:rPr>
          <w:b/>
          <w:u w:val="single"/>
          <w:lang w:val="en-AU"/>
        </w:rPr>
        <w:t>Materials</w:t>
      </w:r>
      <w:bookmarkEnd w:id="59"/>
    </w:p>
    <w:p w14:paraId="029E6DF6" w14:textId="77777777" w:rsidR="00EA1EB0" w:rsidRPr="009A1A2E" w:rsidRDefault="00EA1EB0" w:rsidP="004F038E">
      <w:pPr>
        <w:pStyle w:val="Textbody"/>
        <w:rPr>
          <w:lang w:val="en-AU"/>
        </w:rPr>
      </w:pPr>
      <w:r w:rsidRPr="009A1A2E">
        <w:rPr>
          <w:lang w:val="en-AU"/>
        </w:rPr>
        <w:t>The materials in the VSB were selected to be inert with respect to body tissue. For the implanted parts, commonly used long-term implant materials were used. The materials in direct tissue contact are:</w:t>
      </w:r>
    </w:p>
    <w:p w14:paraId="12ED2CC5" w14:textId="77777777" w:rsidR="00EA1EB0" w:rsidRPr="009A1A2E" w:rsidRDefault="00EA1EB0" w:rsidP="004F038E">
      <w:pPr>
        <w:pStyle w:val="Textbody"/>
        <w:rPr>
          <w:lang w:val="en-AU"/>
        </w:rPr>
      </w:pPr>
    </w:p>
    <w:p w14:paraId="2FDB301A" w14:textId="77777777" w:rsidR="00EA1EB0" w:rsidRPr="009A1A2E" w:rsidRDefault="00EA1EB0" w:rsidP="004F038E">
      <w:pPr>
        <w:pStyle w:val="Textbody"/>
        <w:rPr>
          <w:lang w:val="en-AU"/>
        </w:rPr>
      </w:pPr>
      <w:r w:rsidRPr="009A1A2E">
        <w:rPr>
          <w:lang w:val="en-AU"/>
        </w:rPr>
        <w:t xml:space="preserve">For the implant itself, the VORP502, the materials in direct body contact are: </w:t>
      </w:r>
    </w:p>
    <w:p w14:paraId="06D11836" w14:textId="77777777" w:rsidR="00EA1EB0" w:rsidRPr="009A1A2E" w:rsidRDefault="00EA1EB0" w:rsidP="004F038E">
      <w:pPr>
        <w:pStyle w:val="Textbody"/>
        <w:rPr>
          <w:lang w:val="en-AU"/>
        </w:rPr>
      </w:pPr>
      <w:r w:rsidRPr="009A1A2E">
        <w:rPr>
          <w:lang w:val="en-AU"/>
        </w:rPr>
        <w:t>NuSil MED-4750,</w:t>
      </w:r>
    </w:p>
    <w:p w14:paraId="1E9A7D07" w14:textId="77777777" w:rsidR="00EA1EB0" w:rsidRPr="009A1A2E" w:rsidRDefault="00EA1EB0" w:rsidP="004F038E">
      <w:pPr>
        <w:pStyle w:val="Textbody"/>
        <w:rPr>
          <w:lang w:val="en-AU"/>
        </w:rPr>
      </w:pPr>
      <w:r w:rsidRPr="009A1A2E">
        <w:rPr>
          <w:lang w:val="en-AU"/>
        </w:rPr>
        <w:t>Titanium Grade 1 (ASTM F67), and</w:t>
      </w:r>
    </w:p>
    <w:p w14:paraId="27BB2BDE" w14:textId="77777777" w:rsidR="00EA1EB0" w:rsidRPr="009A1A2E" w:rsidRDefault="00EA1EB0" w:rsidP="004F038E">
      <w:pPr>
        <w:pStyle w:val="Textbody"/>
        <w:rPr>
          <w:lang w:val="en-AU"/>
        </w:rPr>
      </w:pPr>
      <w:r w:rsidRPr="009A1A2E">
        <w:rPr>
          <w:lang w:val="en-AU"/>
        </w:rPr>
        <w:t>Loctite Hysol.</w:t>
      </w:r>
    </w:p>
    <w:p w14:paraId="528EB193" w14:textId="77777777" w:rsidR="00EA1EB0" w:rsidRPr="009A1A2E" w:rsidRDefault="00EA1EB0" w:rsidP="004F038E">
      <w:pPr>
        <w:pStyle w:val="Textbody"/>
        <w:rPr>
          <w:lang w:val="en-AU"/>
        </w:rPr>
      </w:pPr>
    </w:p>
    <w:p w14:paraId="473F2AA5" w14:textId="77777777" w:rsidR="00EA1EB0" w:rsidRPr="009A1A2E" w:rsidRDefault="00EA1EB0" w:rsidP="004F038E">
      <w:pPr>
        <w:pStyle w:val="Textbody"/>
        <w:rPr>
          <w:lang w:val="en-AU"/>
        </w:rPr>
      </w:pPr>
      <w:r w:rsidRPr="009A1A2E">
        <w:rPr>
          <w:lang w:val="en-AU"/>
        </w:rPr>
        <w:t>For the AP Amadé, the material in direct body contact is:</w:t>
      </w:r>
    </w:p>
    <w:p w14:paraId="5D53D867" w14:textId="77777777" w:rsidR="00EA1EB0" w:rsidRPr="009A1A2E" w:rsidRDefault="00EA1EB0" w:rsidP="004F038E">
      <w:pPr>
        <w:pStyle w:val="Textbody"/>
        <w:rPr>
          <w:lang w:val="en-AU"/>
        </w:rPr>
      </w:pPr>
      <w:r w:rsidRPr="009A1A2E">
        <w:rPr>
          <w:lang w:val="en-AU"/>
        </w:rPr>
        <w:t>Xylex® ResinHX8300HP (Colors formulated for Dark Chocolate, Terra Brown, Golden Sand, Silver Grey).</w:t>
      </w:r>
    </w:p>
    <w:p w14:paraId="74A1C6CC" w14:textId="77777777" w:rsidR="00EA1EB0" w:rsidRPr="009A1A2E" w:rsidRDefault="00EA1EB0" w:rsidP="004F038E">
      <w:pPr>
        <w:pStyle w:val="Textbody"/>
        <w:rPr>
          <w:lang w:val="en-AU"/>
        </w:rPr>
      </w:pPr>
    </w:p>
    <w:p w14:paraId="7D548913" w14:textId="77777777" w:rsidR="00EA1EB0" w:rsidRPr="009A1A2E" w:rsidRDefault="00EA1EB0" w:rsidP="004F038E">
      <w:pPr>
        <w:pStyle w:val="Textbody"/>
        <w:rPr>
          <w:lang w:val="en-AU"/>
        </w:rPr>
      </w:pPr>
      <w:r w:rsidRPr="009A1A2E">
        <w:rPr>
          <w:lang w:val="en-AU"/>
        </w:rPr>
        <w:t>For the Vibroplasty Couplers, the Vibroplasty-OW-Coupler, the Vibroplasty-CliP-Coupler, the Vibroplasty-Bell-Coupler, and the Vibroplasty-RW-Coupler the material in direct body contact is:</w:t>
      </w:r>
    </w:p>
    <w:p w14:paraId="2F1B9F9B" w14:textId="77777777" w:rsidR="00EA1EB0" w:rsidRPr="009A1A2E" w:rsidRDefault="00EA1EB0" w:rsidP="004F038E">
      <w:pPr>
        <w:pStyle w:val="Textbody"/>
        <w:rPr>
          <w:lang w:val="en-AU"/>
        </w:rPr>
      </w:pPr>
      <w:r w:rsidRPr="009A1A2E">
        <w:rPr>
          <w:lang w:val="en-AU"/>
        </w:rPr>
        <w:t>Titanium Grade 2 (ASTM F67).</w:t>
      </w:r>
    </w:p>
    <w:p w14:paraId="51C6C0F8" w14:textId="77777777" w:rsidR="00EA1EB0" w:rsidRPr="009A1A2E" w:rsidRDefault="00EA1EB0" w:rsidP="004F038E">
      <w:pPr>
        <w:pStyle w:val="Textbody"/>
        <w:rPr>
          <w:lang w:val="en-AU"/>
        </w:rPr>
      </w:pPr>
    </w:p>
    <w:p w14:paraId="50E5C4C2" w14:textId="77777777" w:rsidR="00EA1EB0" w:rsidRPr="009A1A2E" w:rsidRDefault="00EA1EB0" w:rsidP="004F038E">
      <w:pPr>
        <w:pStyle w:val="Textbody"/>
        <w:rPr>
          <w:lang w:val="en-AU"/>
        </w:rPr>
      </w:pPr>
    </w:p>
    <w:p w14:paraId="19BA1813" w14:textId="77777777" w:rsidR="00EA1EB0" w:rsidRPr="009A1A2E" w:rsidRDefault="00EA1EB0" w:rsidP="004F038E">
      <w:pPr>
        <w:pStyle w:val="Textbody"/>
        <w:rPr>
          <w:lang w:val="en-AU"/>
        </w:rPr>
      </w:pPr>
      <w:r w:rsidRPr="009A1A2E">
        <w:rPr>
          <w:lang w:val="en-AU"/>
        </w:rPr>
        <w:t>For the generic tools, the materials in direct body contact are:</w:t>
      </w:r>
    </w:p>
    <w:p w14:paraId="133A6354" w14:textId="77777777" w:rsidR="00EA1EB0" w:rsidRPr="009A1A2E" w:rsidRDefault="00EA1EB0" w:rsidP="004F038E">
      <w:pPr>
        <w:pStyle w:val="Textbody"/>
        <w:rPr>
          <w:lang w:val="en-AU"/>
        </w:rPr>
      </w:pPr>
      <w:r w:rsidRPr="009A1A2E">
        <w:rPr>
          <w:lang w:val="en-AU"/>
        </w:rPr>
        <w:t>Medical Grade Stainless Steel (Forming Forceps),</w:t>
      </w:r>
    </w:p>
    <w:p w14:paraId="42013980" w14:textId="77777777" w:rsidR="00EA1EB0" w:rsidRPr="009A1A2E" w:rsidRDefault="00EA1EB0" w:rsidP="004F038E">
      <w:pPr>
        <w:pStyle w:val="Textbody"/>
        <w:rPr>
          <w:lang w:val="en-AU"/>
        </w:rPr>
      </w:pPr>
      <w:r w:rsidRPr="009A1A2E">
        <w:rPr>
          <w:lang w:val="en-AU"/>
        </w:rPr>
        <w:t>Non-magnetic Medical Grade Stainless Steel (Skin Flap Gauge 7).</w:t>
      </w:r>
    </w:p>
    <w:p w14:paraId="4407AEE1" w14:textId="77777777" w:rsidR="00EA1EB0" w:rsidRPr="009A1A2E" w:rsidRDefault="00EA1EB0" w:rsidP="004F038E">
      <w:pPr>
        <w:pStyle w:val="Textbody"/>
        <w:rPr>
          <w:lang w:val="en-AU"/>
        </w:rPr>
      </w:pPr>
      <w:r w:rsidRPr="009A1A2E">
        <w:rPr>
          <w:lang w:val="en-AU"/>
        </w:rPr>
        <w:t>The VORP Sizer Kit underwent a change to the product materials. Originally the product was made of:</w:t>
      </w:r>
    </w:p>
    <w:p w14:paraId="75CCBD3C" w14:textId="77777777" w:rsidR="00EA1EB0" w:rsidRPr="009A1A2E" w:rsidRDefault="00EA1EB0" w:rsidP="004F038E">
      <w:pPr>
        <w:pStyle w:val="Textbody"/>
        <w:rPr>
          <w:lang w:val="en-AU"/>
        </w:rPr>
      </w:pPr>
      <w:r w:rsidRPr="009A1A2E">
        <w:rPr>
          <w:lang w:val="en-AU"/>
        </w:rPr>
        <w:t>Polypropylene (both, VORP template and FMT Sizer).</w:t>
      </w:r>
    </w:p>
    <w:p w14:paraId="4A849C49" w14:textId="77777777" w:rsidR="00EA1EB0" w:rsidRPr="009A1A2E" w:rsidRDefault="00EA1EB0" w:rsidP="004F038E">
      <w:pPr>
        <w:pStyle w:val="Textbody"/>
        <w:rPr>
          <w:lang w:val="en-AU"/>
        </w:rPr>
      </w:pPr>
      <w:r w:rsidRPr="009A1A2E">
        <w:rPr>
          <w:lang w:val="en-AU"/>
        </w:rPr>
        <w:t>The currently marketed VORP Sizer Kit is made of:</w:t>
      </w:r>
    </w:p>
    <w:p w14:paraId="5C6C6F2A" w14:textId="77777777" w:rsidR="00EA1EB0" w:rsidRPr="009A1A2E" w:rsidRDefault="00EA1EB0" w:rsidP="004F038E">
      <w:pPr>
        <w:pStyle w:val="Textbody"/>
        <w:rPr>
          <w:lang w:val="en-AU"/>
        </w:rPr>
      </w:pPr>
      <w:r w:rsidRPr="009A1A2E">
        <w:rPr>
          <w:lang w:val="en-AU"/>
        </w:rPr>
        <w:t>Medical Grade Thermoplastic Elastomere (VORP template)</w:t>
      </w:r>
    </w:p>
    <w:p w14:paraId="46F18582" w14:textId="77777777" w:rsidR="00EA1EB0" w:rsidRPr="009A1A2E" w:rsidRDefault="00EA1EB0" w:rsidP="004F038E">
      <w:pPr>
        <w:pStyle w:val="Textbody"/>
        <w:rPr>
          <w:lang w:val="en-AU"/>
        </w:rPr>
      </w:pPr>
      <w:r w:rsidRPr="009A1A2E">
        <w:rPr>
          <w:lang w:val="en-AU"/>
        </w:rPr>
        <w:t>Medical Grade Polypropylene (FMT Sizer).</w:t>
      </w:r>
    </w:p>
    <w:p w14:paraId="3A9BB19B" w14:textId="77777777" w:rsidR="00EA1EB0" w:rsidRPr="009A1A2E" w:rsidRDefault="00EA1EB0" w:rsidP="004F038E">
      <w:pPr>
        <w:pStyle w:val="Textbody"/>
        <w:rPr>
          <w:lang w:val="en-AU"/>
        </w:rPr>
      </w:pPr>
    </w:p>
    <w:p w14:paraId="01F957F0" w14:textId="77777777" w:rsidR="00EA1EB0" w:rsidRPr="009A1A2E" w:rsidRDefault="00EA1EB0" w:rsidP="004F038E">
      <w:pPr>
        <w:pStyle w:val="Textbody"/>
        <w:rPr>
          <w:lang w:val="en-AU"/>
        </w:rPr>
      </w:pPr>
      <w:r w:rsidRPr="009A1A2E">
        <w:rPr>
          <w:lang w:val="en-AU"/>
        </w:rPr>
        <w:t>The biological safety of these materials was preclinically esta</w:t>
      </w:r>
      <w:r w:rsidR="004F038E" w:rsidRPr="009A1A2E">
        <w:rPr>
          <w:lang w:val="en-AU"/>
        </w:rPr>
        <w:t>blished according to ISO 10993.</w:t>
      </w:r>
    </w:p>
    <w:p w14:paraId="55AF3062" w14:textId="77777777" w:rsidR="004F038E" w:rsidRPr="009A1A2E" w:rsidRDefault="004F038E" w:rsidP="004F038E">
      <w:pPr>
        <w:pStyle w:val="Textbody"/>
        <w:rPr>
          <w:lang w:val="en-AU"/>
        </w:rPr>
      </w:pPr>
    </w:p>
    <w:p w14:paraId="3CE00129" w14:textId="77777777" w:rsidR="00EA1EB0" w:rsidRPr="009A1A2E" w:rsidRDefault="00EA1EB0" w:rsidP="004F038E">
      <w:pPr>
        <w:pStyle w:val="Textbody"/>
        <w:rPr>
          <w:b/>
          <w:lang w:val="en-AU"/>
        </w:rPr>
      </w:pPr>
      <w:bookmarkStart w:id="60" w:name="_Toc384735329"/>
      <w:r w:rsidRPr="009A1A2E">
        <w:rPr>
          <w:b/>
          <w:lang w:val="en-AU"/>
        </w:rPr>
        <w:t>Device Components</w:t>
      </w:r>
      <w:bookmarkEnd w:id="60"/>
    </w:p>
    <w:p w14:paraId="78995F67" w14:textId="77777777" w:rsidR="00EA1EB0" w:rsidRPr="009A1A2E" w:rsidRDefault="00EA1EB0" w:rsidP="004F038E">
      <w:pPr>
        <w:pStyle w:val="Textbody"/>
        <w:rPr>
          <w:lang w:val="en-AU"/>
        </w:rPr>
      </w:pPr>
      <w:r w:rsidRPr="009A1A2E">
        <w:rPr>
          <w:lang w:val="en-AU"/>
        </w:rPr>
        <w:t xml:space="preserve">The VSB System consists of </w:t>
      </w:r>
      <w:r w:rsidRPr="009A1A2E">
        <w:rPr>
          <w:b/>
          <w:lang w:val="en-AU"/>
        </w:rPr>
        <w:t>an internal part</w:t>
      </w:r>
      <w:r w:rsidRPr="009A1A2E">
        <w:rPr>
          <w:lang w:val="en-AU"/>
        </w:rPr>
        <w:t xml:space="preserve"> (VORP502), an </w:t>
      </w:r>
      <w:r w:rsidRPr="009A1A2E">
        <w:rPr>
          <w:b/>
          <w:lang w:val="en-AU"/>
        </w:rPr>
        <w:t xml:space="preserve">external </w:t>
      </w:r>
      <w:r w:rsidR="00944F5B" w:rsidRPr="009A1A2E">
        <w:rPr>
          <w:b/>
          <w:lang w:val="en-AU"/>
        </w:rPr>
        <w:t>aud</w:t>
      </w:r>
      <w:r w:rsidRPr="009A1A2E">
        <w:rPr>
          <w:b/>
          <w:lang w:val="en-AU"/>
        </w:rPr>
        <w:t>io processor</w:t>
      </w:r>
      <w:r w:rsidRPr="009A1A2E">
        <w:rPr>
          <w:lang w:val="en-AU"/>
        </w:rPr>
        <w:t xml:space="preserve"> (AP Amadé), the Vibroplasty Couplers, generic tools (accessories to facilitate the implantation), and the fitting system of the AP (application software SYMFIT).</w:t>
      </w:r>
    </w:p>
    <w:p w14:paraId="2EEDE6A2" w14:textId="77777777" w:rsidR="00EA1EB0" w:rsidRPr="009A1A2E" w:rsidRDefault="00EA1EB0" w:rsidP="004F038E">
      <w:pPr>
        <w:pStyle w:val="Textbody"/>
        <w:rPr>
          <w:lang w:val="en-AU"/>
        </w:rPr>
      </w:pPr>
    </w:p>
    <w:p w14:paraId="77B5A433" w14:textId="77777777" w:rsidR="00EA1EB0" w:rsidRPr="009A1A2E" w:rsidRDefault="00EA1EB0" w:rsidP="004F038E">
      <w:pPr>
        <w:pStyle w:val="Textbody"/>
        <w:rPr>
          <w:lang w:val="en-AU"/>
        </w:rPr>
      </w:pPr>
      <w:r w:rsidRPr="009A1A2E">
        <w:rPr>
          <w:lang w:val="en-AU"/>
        </w:rPr>
        <w:t>The internal part is surgically implanted. It consists of the FMT, conductor link, electronic package (demodulator) and a magnet surrounded by an internal coil. The AP is held onto the intact skin by magnetic attraction over the implant. It contains a microphone, processing electronics and a battery for power. The following is a depiction of the main internal and external system components:</w:t>
      </w:r>
    </w:p>
    <w:p w14:paraId="0E692015" w14:textId="77777777" w:rsidR="00EA1EB0" w:rsidRPr="009A1A2E" w:rsidRDefault="00EA1EB0" w:rsidP="00EA1EB0">
      <w:pPr>
        <w:pStyle w:val="StandardLinks2"/>
        <w:ind w:left="0"/>
        <w:rPr>
          <w:rFonts w:cs="Arial"/>
          <w:sz w:val="24"/>
          <w:szCs w:val="24"/>
          <w:lang w:val="en-AU"/>
        </w:rPr>
      </w:pPr>
    </w:p>
    <w:p w14:paraId="72007A4D" w14:textId="77777777" w:rsidR="00EA7A99" w:rsidRPr="009A1A2E" w:rsidRDefault="00EA1EB0" w:rsidP="00EA7A99">
      <w:pPr>
        <w:pStyle w:val="StandardLinks2"/>
        <w:keepNext/>
        <w:ind w:left="0"/>
        <w:rPr>
          <w:lang w:val="en-AU"/>
        </w:rPr>
      </w:pPr>
      <w:r w:rsidRPr="009A1A2E">
        <w:rPr>
          <w:rFonts w:cs="Arial"/>
          <w:b/>
          <w:sz w:val="22"/>
          <w:szCs w:val="22"/>
          <w:lang w:val="en-AU"/>
        </w:rPr>
        <w:t>a</w:t>
      </w:r>
      <w:r w:rsidRPr="009A1A2E">
        <w:rPr>
          <w:rFonts w:cs="Arial"/>
          <w:noProof/>
          <w:sz w:val="24"/>
          <w:szCs w:val="24"/>
          <w:lang w:val="en-AU" w:eastAsia="en-AU"/>
        </w:rPr>
        <w:drawing>
          <wp:inline distT="0" distB="0" distL="0" distR="0" wp14:anchorId="40E7B36A" wp14:editId="2F24AE52">
            <wp:extent cx="3756834" cy="1275907"/>
            <wp:effectExtent l="0" t="0" r="0" b="635"/>
            <wp:docPr id="60" name="Grafik 60" descr="image of VORP 502 im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rp incl explanation.jpg"/>
                    <pic:cNvPicPr/>
                  </pic:nvPicPr>
                  <pic:blipFill rotWithShape="1">
                    <a:blip r:embed="rId28">
                      <a:extLst>
                        <a:ext uri="{28A0092B-C50C-407E-A947-70E740481C1C}">
                          <a14:useLocalDpi xmlns:a14="http://schemas.microsoft.com/office/drawing/2010/main" val="0"/>
                        </a:ext>
                      </a:extLst>
                    </a:blip>
                    <a:srcRect/>
                    <a:stretch/>
                  </pic:blipFill>
                  <pic:spPr bwMode="auto">
                    <a:xfrm>
                      <a:off x="0" y="0"/>
                      <a:ext cx="3760269" cy="1277074"/>
                    </a:xfrm>
                    <a:prstGeom prst="rect">
                      <a:avLst/>
                    </a:prstGeom>
                    <a:ln>
                      <a:noFill/>
                    </a:ln>
                    <a:extLst>
                      <a:ext uri="{53640926-AAD7-44D8-BBD7-CCE9431645EC}">
                        <a14:shadowObscured xmlns:a14="http://schemas.microsoft.com/office/drawing/2010/main"/>
                      </a:ext>
                    </a:extLst>
                  </pic:spPr>
                </pic:pic>
              </a:graphicData>
            </a:graphic>
          </wp:inline>
        </w:drawing>
      </w:r>
      <w:r w:rsidRPr="009A1A2E">
        <w:rPr>
          <w:rFonts w:cs="Arial"/>
          <w:b/>
          <w:sz w:val="22"/>
          <w:szCs w:val="22"/>
          <w:lang w:val="en-AU"/>
        </w:rPr>
        <w:t>b</w:t>
      </w:r>
      <w:r w:rsidRPr="009A1A2E">
        <w:rPr>
          <w:rFonts w:cs="Arial"/>
          <w:sz w:val="24"/>
          <w:szCs w:val="24"/>
          <w:lang w:val="en-AU"/>
        </w:rPr>
        <w:t xml:space="preserve"> </w:t>
      </w:r>
      <w:r w:rsidRPr="009A1A2E">
        <w:rPr>
          <w:rFonts w:cs="Arial"/>
          <w:noProof/>
          <w:sz w:val="24"/>
          <w:szCs w:val="24"/>
          <w:lang w:val="en-AU" w:eastAsia="en-AU"/>
        </w:rPr>
        <w:drawing>
          <wp:inline distT="0" distB="0" distL="0" distR="0" wp14:anchorId="49824AA5" wp14:editId="17A75394">
            <wp:extent cx="1082931" cy="1240945"/>
            <wp:effectExtent l="0" t="2857" r="317" b="318"/>
            <wp:docPr id="2" name="Grafik 2" descr=" VORP 502 enlarged view of the F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MT.jpg"/>
                    <pic:cNvPicPr/>
                  </pic:nvPicPr>
                  <pic:blipFill rotWithShape="1">
                    <a:blip r:embed="rId29">
                      <a:extLst>
                        <a:ext uri="{28A0092B-C50C-407E-A947-70E740481C1C}">
                          <a14:useLocalDpi xmlns:a14="http://schemas.microsoft.com/office/drawing/2010/main" val="0"/>
                        </a:ext>
                      </a:extLst>
                    </a:blip>
                    <a:srcRect/>
                    <a:stretch/>
                  </pic:blipFill>
                  <pic:spPr bwMode="auto">
                    <a:xfrm rot="16200000">
                      <a:off x="0" y="0"/>
                      <a:ext cx="1081087" cy="1238832"/>
                    </a:xfrm>
                    <a:prstGeom prst="rect">
                      <a:avLst/>
                    </a:prstGeom>
                    <a:ln>
                      <a:noFill/>
                    </a:ln>
                    <a:extLst>
                      <a:ext uri="{53640926-AAD7-44D8-BBD7-CCE9431645EC}">
                        <a14:shadowObscured xmlns:a14="http://schemas.microsoft.com/office/drawing/2010/main"/>
                      </a:ext>
                    </a:extLst>
                  </pic:spPr>
                </pic:pic>
              </a:graphicData>
            </a:graphic>
          </wp:inline>
        </w:drawing>
      </w:r>
    </w:p>
    <w:p w14:paraId="1760D06A" w14:textId="77777777" w:rsidR="000C7949" w:rsidRPr="009A1A2E" w:rsidRDefault="000C7949" w:rsidP="000C7949">
      <w:pPr>
        <w:pStyle w:val="Figure"/>
        <w:rPr>
          <w:b w:val="0"/>
          <w:u w:val="none"/>
          <w:lang w:val="en-AU"/>
        </w:rPr>
      </w:pPr>
    </w:p>
    <w:p w14:paraId="78283078" w14:textId="77777777" w:rsidR="002745B0" w:rsidRPr="009A1A2E" w:rsidRDefault="00EA7A99" w:rsidP="000C7949">
      <w:pPr>
        <w:pStyle w:val="Figure"/>
        <w:rPr>
          <w:b w:val="0"/>
          <w:u w:val="none"/>
          <w:lang w:val="en-AU"/>
        </w:rPr>
      </w:pPr>
      <w:bookmarkStart w:id="61" w:name="_Toc400395255"/>
      <w:bookmarkStart w:id="62" w:name="_Toc431653911"/>
      <w:bookmarkStart w:id="63" w:name="_Toc400393954"/>
      <w:r w:rsidRPr="009A1A2E">
        <w:rPr>
          <w:lang w:val="en-AU"/>
        </w:rPr>
        <w:t xml:space="preserve">Fig </w:t>
      </w:r>
      <w:r w:rsidRPr="009A1A2E">
        <w:rPr>
          <w:lang w:val="en-AU"/>
        </w:rPr>
        <w:fldChar w:fldCharType="begin"/>
      </w:r>
      <w:r w:rsidRPr="009A1A2E">
        <w:rPr>
          <w:lang w:val="en-AU"/>
        </w:rPr>
        <w:instrText xml:space="preserve"> SEQ Fig \* ARABIC </w:instrText>
      </w:r>
      <w:r w:rsidRPr="009A1A2E">
        <w:rPr>
          <w:lang w:val="en-AU"/>
        </w:rPr>
        <w:fldChar w:fldCharType="separate"/>
      </w:r>
      <w:r w:rsidR="00016592">
        <w:rPr>
          <w:noProof/>
          <w:lang w:val="en-AU"/>
        </w:rPr>
        <w:t>2</w:t>
      </w:r>
      <w:r w:rsidRPr="009A1A2E">
        <w:rPr>
          <w:lang w:val="en-AU"/>
        </w:rPr>
        <w:fldChar w:fldCharType="end"/>
      </w:r>
      <w:r w:rsidR="00E94E3C" w:rsidRPr="009A1A2E">
        <w:rPr>
          <w:lang w:val="en-AU"/>
        </w:rPr>
        <w:t xml:space="preserve"> </w:t>
      </w:r>
      <w:r w:rsidR="002745B0" w:rsidRPr="009A1A2E">
        <w:rPr>
          <w:lang w:val="en-AU"/>
        </w:rPr>
        <w:t>- VORP502</w:t>
      </w:r>
      <w:bookmarkEnd w:id="61"/>
      <w:bookmarkEnd w:id="62"/>
    </w:p>
    <w:p w14:paraId="38D8741D" w14:textId="77777777" w:rsidR="00EA1EB0" w:rsidRPr="009A1A2E" w:rsidRDefault="000C7949" w:rsidP="000C7949">
      <w:pPr>
        <w:pStyle w:val="Figure"/>
        <w:rPr>
          <w:b w:val="0"/>
          <w:u w:val="none"/>
          <w:lang w:val="en-AU"/>
        </w:rPr>
      </w:pPr>
      <w:r w:rsidRPr="009A1A2E">
        <w:rPr>
          <w:b w:val="0"/>
          <w:u w:val="none"/>
          <w:lang w:val="en-AU"/>
        </w:rPr>
        <w:t>(a) entire implant, (b) enlarged view of the FMT</w:t>
      </w:r>
      <w:bookmarkEnd w:id="63"/>
    </w:p>
    <w:p w14:paraId="62EB5493" w14:textId="77777777" w:rsidR="00EA1EB0" w:rsidRPr="009A1A2E" w:rsidRDefault="00EA1EB0" w:rsidP="00EA1EB0">
      <w:pPr>
        <w:pStyle w:val="StandardLinks2"/>
        <w:ind w:left="0"/>
        <w:rPr>
          <w:rFonts w:cs="Arial"/>
          <w:sz w:val="22"/>
          <w:szCs w:val="22"/>
          <w:lang w:val="en-AU"/>
        </w:rPr>
      </w:pPr>
    </w:p>
    <w:p w14:paraId="791875A6" w14:textId="77777777" w:rsidR="0057060E" w:rsidRPr="009A1A2E" w:rsidRDefault="00EA1EB0" w:rsidP="0057060E">
      <w:pPr>
        <w:pStyle w:val="StandardLinks2"/>
        <w:keepNext/>
        <w:ind w:left="0"/>
        <w:rPr>
          <w:lang w:val="en-AU"/>
        </w:rPr>
      </w:pPr>
      <w:r w:rsidRPr="009A1A2E">
        <w:rPr>
          <w:rFonts w:cs="Arial"/>
          <w:b/>
          <w:noProof/>
          <w:sz w:val="24"/>
          <w:szCs w:val="24"/>
          <w:lang w:val="en-AU" w:eastAsia="en-AU"/>
        </w:rPr>
        <w:lastRenderedPageBreak/>
        <w:drawing>
          <wp:inline distT="0" distB="0" distL="0" distR="0" wp14:anchorId="27976217" wp14:editId="2D89B048">
            <wp:extent cx="1737743" cy="1690777"/>
            <wp:effectExtent l="0" t="0" r="0" b="5080"/>
            <wp:docPr id="15" name="Grafik 15" descr="AP Amad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_front.jpg"/>
                    <pic:cNvPicPr/>
                  </pic:nvPicPr>
                  <pic:blipFill rotWithShape="1">
                    <a:blip r:embed="rId30">
                      <a:extLst>
                        <a:ext uri="{28A0092B-C50C-407E-A947-70E740481C1C}">
                          <a14:useLocalDpi xmlns:a14="http://schemas.microsoft.com/office/drawing/2010/main" val="0"/>
                        </a:ext>
                      </a:extLst>
                    </a:blip>
                    <a:srcRect/>
                    <a:stretch/>
                  </pic:blipFill>
                  <pic:spPr bwMode="auto">
                    <a:xfrm>
                      <a:off x="0" y="0"/>
                      <a:ext cx="1747630" cy="1700397"/>
                    </a:xfrm>
                    <a:prstGeom prst="rect">
                      <a:avLst/>
                    </a:prstGeom>
                    <a:ln>
                      <a:noFill/>
                    </a:ln>
                    <a:extLst>
                      <a:ext uri="{53640926-AAD7-44D8-BBD7-CCE9431645EC}">
                        <a14:shadowObscured xmlns:a14="http://schemas.microsoft.com/office/drawing/2010/main"/>
                      </a:ext>
                    </a:extLst>
                  </pic:spPr>
                </pic:pic>
              </a:graphicData>
            </a:graphic>
          </wp:inline>
        </w:drawing>
      </w:r>
      <w:r w:rsidRPr="009A1A2E">
        <w:rPr>
          <w:rFonts w:cs="Arial"/>
          <w:b/>
          <w:noProof/>
          <w:sz w:val="24"/>
          <w:szCs w:val="24"/>
          <w:lang w:val="en-AU" w:eastAsia="en-AU"/>
        </w:rPr>
        <w:drawing>
          <wp:inline distT="0" distB="0" distL="0" distR="0" wp14:anchorId="51E2A4D2" wp14:editId="29D6140A">
            <wp:extent cx="2968280" cy="1523763"/>
            <wp:effectExtent l="0" t="0" r="3810" b="635"/>
            <wp:docPr id="16" name="Grafik 16" descr="AP Amadé indicating push button, battery and dual micro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AP_beschriftung_print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77216" cy="1528350"/>
                    </a:xfrm>
                    <a:prstGeom prst="rect">
                      <a:avLst/>
                    </a:prstGeom>
                  </pic:spPr>
                </pic:pic>
              </a:graphicData>
            </a:graphic>
          </wp:inline>
        </w:drawing>
      </w:r>
    </w:p>
    <w:p w14:paraId="3A6650E0" w14:textId="77777777" w:rsidR="0057060E" w:rsidRPr="009A1A2E" w:rsidRDefault="0057060E" w:rsidP="0057060E">
      <w:pPr>
        <w:pStyle w:val="Figure"/>
        <w:rPr>
          <w:b w:val="0"/>
          <w:u w:val="none"/>
          <w:lang w:val="en-AU"/>
        </w:rPr>
      </w:pPr>
    </w:p>
    <w:p w14:paraId="023966B0" w14:textId="77777777" w:rsidR="0057060E" w:rsidRPr="009A1A2E" w:rsidRDefault="0057060E" w:rsidP="0057060E">
      <w:pPr>
        <w:pStyle w:val="Figure"/>
        <w:rPr>
          <w:lang w:val="en-AU"/>
        </w:rPr>
      </w:pPr>
      <w:bookmarkStart w:id="64" w:name="_Toc400393955"/>
      <w:bookmarkStart w:id="65" w:name="_Toc400395256"/>
      <w:bookmarkStart w:id="66" w:name="_Toc431653912"/>
      <w:r w:rsidRPr="009A1A2E">
        <w:rPr>
          <w:lang w:val="en-AU"/>
        </w:rPr>
        <w:t xml:space="preserve">Fig </w:t>
      </w:r>
      <w:r w:rsidRPr="009A1A2E">
        <w:rPr>
          <w:lang w:val="en-AU"/>
        </w:rPr>
        <w:fldChar w:fldCharType="begin"/>
      </w:r>
      <w:r w:rsidRPr="009A1A2E">
        <w:rPr>
          <w:lang w:val="en-AU"/>
        </w:rPr>
        <w:instrText xml:space="preserve"> SEQ Fig \* ARABIC </w:instrText>
      </w:r>
      <w:r w:rsidRPr="009A1A2E">
        <w:rPr>
          <w:lang w:val="en-AU"/>
        </w:rPr>
        <w:fldChar w:fldCharType="separate"/>
      </w:r>
      <w:r w:rsidR="00016592">
        <w:rPr>
          <w:noProof/>
          <w:lang w:val="en-AU"/>
        </w:rPr>
        <w:t>3</w:t>
      </w:r>
      <w:r w:rsidRPr="009A1A2E">
        <w:rPr>
          <w:lang w:val="en-AU"/>
        </w:rPr>
        <w:fldChar w:fldCharType="end"/>
      </w:r>
      <w:r w:rsidR="00E94E3C" w:rsidRPr="009A1A2E">
        <w:rPr>
          <w:lang w:val="en-AU"/>
        </w:rPr>
        <w:t xml:space="preserve"> </w:t>
      </w:r>
      <w:r w:rsidRPr="009A1A2E">
        <w:rPr>
          <w:lang w:val="en-AU"/>
        </w:rPr>
        <w:t>- AP Amadé</w:t>
      </w:r>
      <w:bookmarkEnd w:id="64"/>
      <w:bookmarkEnd w:id="65"/>
      <w:bookmarkEnd w:id="66"/>
    </w:p>
    <w:p w14:paraId="6F252216" w14:textId="77777777" w:rsidR="00EA1EB0" w:rsidRPr="009A1A2E" w:rsidRDefault="00EA1EB0" w:rsidP="004F038E">
      <w:pPr>
        <w:pStyle w:val="Textbody"/>
        <w:rPr>
          <w:lang w:val="en-AU"/>
        </w:rPr>
      </w:pPr>
    </w:p>
    <w:p w14:paraId="7E999004" w14:textId="77777777" w:rsidR="00EA1EB0" w:rsidRPr="009A1A2E" w:rsidRDefault="00EA1EB0" w:rsidP="004F038E">
      <w:pPr>
        <w:pStyle w:val="Textbody"/>
        <w:rPr>
          <w:lang w:val="en-AU"/>
        </w:rPr>
      </w:pPr>
      <w:r w:rsidRPr="009A1A2E">
        <w:rPr>
          <w:lang w:val="en-AU"/>
        </w:rPr>
        <w:t>The Vibroplasty Couplers provide additional placement options for the FMT in subjects affected by conductive or mixed hearing loss. They are specifically designed to be used in concert with the FMT. Four Vibroplasty Couplers are available: the Vibroplasty-OW-Coupler (oval window), the Vibroplasty-CliP-Coupler, the Vibroplasty-Bell-Coupler, and the Vibroplasty-RW-Coupl</w:t>
      </w:r>
      <w:r w:rsidR="001B0CBF" w:rsidRPr="009A1A2E">
        <w:rPr>
          <w:lang w:val="en-AU"/>
        </w:rPr>
        <w:t xml:space="preserve">er (round window) – see </w:t>
      </w:r>
      <w:r w:rsidR="001B0CBF" w:rsidRPr="009A1A2E">
        <w:rPr>
          <w:b/>
          <w:lang w:val="en-AU"/>
        </w:rPr>
        <w:fldChar w:fldCharType="begin"/>
      </w:r>
      <w:r w:rsidR="001B0CBF" w:rsidRPr="009A1A2E">
        <w:rPr>
          <w:b/>
          <w:lang w:val="en-AU"/>
        </w:rPr>
        <w:instrText xml:space="preserve"> REF _Ref400448135 \h  \* MERGEFORMAT </w:instrText>
      </w:r>
      <w:r w:rsidR="001B0CBF" w:rsidRPr="009A1A2E">
        <w:rPr>
          <w:b/>
          <w:lang w:val="en-AU"/>
        </w:rPr>
      </w:r>
      <w:r w:rsidR="001B0CBF" w:rsidRPr="009A1A2E">
        <w:rPr>
          <w:b/>
          <w:lang w:val="en-AU"/>
        </w:rPr>
        <w:fldChar w:fldCharType="separate"/>
      </w:r>
      <w:r w:rsidR="00016592" w:rsidRPr="00016592">
        <w:rPr>
          <w:rStyle w:val="FigureZchn"/>
          <w:b w:val="0"/>
          <w:u w:val="none"/>
          <w:lang w:val="en-AU"/>
        </w:rPr>
        <w:t>Fig 4</w:t>
      </w:r>
      <w:r w:rsidR="001B0CBF" w:rsidRPr="009A1A2E">
        <w:rPr>
          <w:b/>
          <w:lang w:val="en-AU"/>
        </w:rPr>
        <w:fldChar w:fldCharType="end"/>
      </w:r>
      <w:r w:rsidRPr="009A1A2E">
        <w:rPr>
          <w:lang w:val="en-AU"/>
        </w:rPr>
        <w:t>. All Couplers, except for the Vibroplasty-RW-Coupler are available in four different sizes. Depending on the design, the Vibroplasty Couplers may be placed either on the stapes footplate in the oval window, the stapes head, or the round wind</w:t>
      </w:r>
      <w:r w:rsidR="001B0CBF" w:rsidRPr="009A1A2E">
        <w:rPr>
          <w:lang w:val="en-AU"/>
        </w:rPr>
        <w:t xml:space="preserve">ow. As can be seen from </w:t>
      </w:r>
      <w:r w:rsidR="001B0CBF" w:rsidRPr="009A1A2E">
        <w:rPr>
          <w:b/>
          <w:lang w:val="en-AU"/>
        </w:rPr>
        <w:fldChar w:fldCharType="begin"/>
      </w:r>
      <w:r w:rsidR="001B0CBF" w:rsidRPr="009A1A2E">
        <w:rPr>
          <w:b/>
          <w:lang w:val="en-AU"/>
        </w:rPr>
        <w:instrText xml:space="preserve"> REF _Ref400448135 \h  \* MERGEFORMAT </w:instrText>
      </w:r>
      <w:r w:rsidR="001B0CBF" w:rsidRPr="009A1A2E">
        <w:rPr>
          <w:b/>
          <w:lang w:val="en-AU"/>
        </w:rPr>
      </w:r>
      <w:r w:rsidR="001B0CBF" w:rsidRPr="009A1A2E">
        <w:rPr>
          <w:b/>
          <w:lang w:val="en-AU"/>
        </w:rPr>
        <w:fldChar w:fldCharType="separate"/>
      </w:r>
      <w:r w:rsidR="00016592" w:rsidRPr="00016592">
        <w:rPr>
          <w:rStyle w:val="FigureZchn"/>
          <w:b w:val="0"/>
          <w:u w:val="none"/>
          <w:lang w:val="en-AU"/>
        </w:rPr>
        <w:t>Fig 4</w:t>
      </w:r>
      <w:r w:rsidR="001B0CBF" w:rsidRPr="009A1A2E">
        <w:rPr>
          <w:b/>
          <w:lang w:val="en-AU"/>
        </w:rPr>
        <w:fldChar w:fldCharType="end"/>
      </w:r>
      <w:r w:rsidRPr="009A1A2E">
        <w:rPr>
          <w:b/>
          <w:lang w:val="en-AU"/>
        </w:rPr>
        <w:t>,</w:t>
      </w:r>
      <w:r w:rsidRPr="009A1A2E">
        <w:rPr>
          <w:lang w:val="en-AU"/>
        </w:rPr>
        <w:t xml:space="preserve"> the different types account for the anatomic variability in compromised middle ears.</w:t>
      </w:r>
    </w:p>
    <w:p w14:paraId="6436DB1E" w14:textId="77777777" w:rsidR="00EA1EB0" w:rsidRPr="009A1A2E" w:rsidRDefault="00EA1EB0" w:rsidP="00EA1EB0">
      <w:pPr>
        <w:pStyle w:val="StandardLinks2"/>
        <w:ind w:left="0" w:firstLine="709"/>
        <w:rPr>
          <w:rFonts w:cs="Arial"/>
          <w:b/>
          <w:sz w:val="24"/>
          <w:szCs w:val="24"/>
          <w:lang w:val="en-AU"/>
        </w:rPr>
      </w:pPr>
      <w:r w:rsidRPr="009A1A2E">
        <w:rPr>
          <w:rFonts w:cs="Arial"/>
          <w:b/>
          <w:sz w:val="22"/>
          <w:szCs w:val="22"/>
          <w:lang w:val="en-AU"/>
        </w:rPr>
        <w:t>a</w:t>
      </w:r>
      <w:r w:rsidRPr="009A1A2E">
        <w:rPr>
          <w:rFonts w:cs="Arial"/>
          <w:b/>
          <w:noProof/>
          <w:sz w:val="24"/>
          <w:szCs w:val="24"/>
          <w:lang w:val="en-AU" w:eastAsia="en-AU"/>
        </w:rPr>
        <w:drawing>
          <wp:inline distT="0" distB="0" distL="0" distR="0" wp14:anchorId="0727DFA2" wp14:editId="5F7F5DFE">
            <wp:extent cx="803236" cy="1306074"/>
            <wp:effectExtent l="0" t="0" r="0" b="8890"/>
            <wp:docPr id="25" name="Grafik 25" descr="Vibroplasty-OW-Coupler (oval window) and pla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broplasty-OW-Coupler.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12890" cy="1321771"/>
                    </a:xfrm>
                    <a:prstGeom prst="rect">
                      <a:avLst/>
                    </a:prstGeom>
                  </pic:spPr>
                </pic:pic>
              </a:graphicData>
            </a:graphic>
          </wp:inline>
        </w:drawing>
      </w:r>
      <w:r w:rsidRPr="009A1A2E">
        <w:rPr>
          <w:rFonts w:eastAsia="Malgun Gothic" w:cs="Arial"/>
          <w:kern w:val="2"/>
          <w:sz w:val="24"/>
          <w:szCs w:val="24"/>
          <w:lang w:val="en-AU" w:eastAsia="en-US"/>
        </w:rPr>
        <w:t xml:space="preserve"> </w:t>
      </w:r>
      <w:r w:rsidRPr="009A1A2E">
        <w:rPr>
          <w:rFonts w:eastAsia="Malgun Gothic" w:cs="Arial"/>
          <w:noProof/>
          <w:kern w:val="2"/>
          <w:sz w:val="24"/>
          <w:szCs w:val="24"/>
          <w:lang w:val="en-AU" w:eastAsia="en-AU"/>
        </w:rPr>
        <w:drawing>
          <wp:inline distT="0" distB="0" distL="0" distR="0" wp14:anchorId="613F6C16" wp14:editId="750002A6">
            <wp:extent cx="1360968" cy="1337870"/>
            <wp:effectExtent l="0" t="0" r="0" b="0"/>
            <wp:docPr id="38" name="Grafik 38" descr="Vibroplasty-OW-Coupler (oval window) and pla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W-Coupler.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66142" cy="1342956"/>
                    </a:xfrm>
                    <a:prstGeom prst="rect">
                      <a:avLst/>
                    </a:prstGeom>
                  </pic:spPr>
                </pic:pic>
              </a:graphicData>
            </a:graphic>
          </wp:inline>
        </w:drawing>
      </w:r>
      <w:r w:rsidRPr="009A1A2E">
        <w:rPr>
          <w:rFonts w:eastAsia="Malgun Gothic" w:cs="Arial"/>
          <w:kern w:val="2"/>
          <w:sz w:val="24"/>
          <w:szCs w:val="24"/>
          <w:lang w:val="en-AU" w:eastAsia="en-US"/>
        </w:rPr>
        <w:tab/>
      </w:r>
      <w:r w:rsidRPr="009A1A2E">
        <w:rPr>
          <w:rFonts w:cs="Arial"/>
          <w:b/>
          <w:sz w:val="22"/>
          <w:szCs w:val="22"/>
          <w:lang w:val="en-AU"/>
        </w:rPr>
        <w:t>b</w:t>
      </w:r>
      <w:r w:rsidRPr="009A1A2E">
        <w:rPr>
          <w:rFonts w:cs="Arial"/>
          <w:b/>
          <w:noProof/>
          <w:sz w:val="24"/>
          <w:szCs w:val="24"/>
          <w:lang w:val="en-AU" w:eastAsia="en-AU"/>
        </w:rPr>
        <w:drawing>
          <wp:inline distT="0" distB="0" distL="0" distR="0" wp14:anchorId="18F8A411" wp14:editId="6FB02C3C">
            <wp:extent cx="812655" cy="1043169"/>
            <wp:effectExtent l="0" t="0" r="6985" b="5080"/>
            <wp:docPr id="69" name="Grafik 69" descr="Vibroplasty-CliP-Coupler and pla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broplasty-CliP-Coupler.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24220" cy="1058015"/>
                    </a:xfrm>
                    <a:prstGeom prst="rect">
                      <a:avLst/>
                    </a:prstGeom>
                  </pic:spPr>
                </pic:pic>
              </a:graphicData>
            </a:graphic>
          </wp:inline>
        </w:drawing>
      </w:r>
      <w:r w:rsidRPr="009A1A2E">
        <w:rPr>
          <w:rFonts w:eastAsia="Malgun Gothic" w:cs="Arial"/>
          <w:noProof/>
          <w:kern w:val="2"/>
          <w:sz w:val="24"/>
          <w:szCs w:val="24"/>
          <w:lang w:val="en-AU" w:eastAsia="en-AU"/>
        </w:rPr>
        <w:drawing>
          <wp:inline distT="0" distB="0" distL="0" distR="0" wp14:anchorId="3F83CF3B" wp14:editId="4A369310">
            <wp:extent cx="1217109" cy="1161174"/>
            <wp:effectExtent l="0" t="0" r="2540" b="1270"/>
            <wp:docPr id="72" name="Grafik 72" descr="Vibroplasty-CliP-Coupler and pla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Coupler.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15639" cy="1159772"/>
                    </a:xfrm>
                    <a:prstGeom prst="rect">
                      <a:avLst/>
                    </a:prstGeom>
                  </pic:spPr>
                </pic:pic>
              </a:graphicData>
            </a:graphic>
          </wp:inline>
        </w:drawing>
      </w:r>
    </w:p>
    <w:p w14:paraId="2780FCDE" w14:textId="77777777" w:rsidR="00EA1EB0" w:rsidRPr="009A1A2E" w:rsidRDefault="00EA1EB0" w:rsidP="00EA1EB0">
      <w:pPr>
        <w:pStyle w:val="StandardLinks2"/>
        <w:ind w:left="0"/>
        <w:rPr>
          <w:rFonts w:cs="Arial"/>
          <w:b/>
          <w:sz w:val="24"/>
          <w:szCs w:val="24"/>
          <w:lang w:val="en-AU"/>
        </w:rPr>
      </w:pPr>
    </w:p>
    <w:p w14:paraId="1A71AADD" w14:textId="77777777" w:rsidR="0057060E" w:rsidRPr="009A1A2E" w:rsidRDefault="00EA1EB0" w:rsidP="0057060E">
      <w:pPr>
        <w:pStyle w:val="StandardLinks2"/>
        <w:keepNext/>
        <w:ind w:left="0" w:firstLine="709"/>
        <w:rPr>
          <w:rFonts w:eastAsia="Malgun Gothic" w:cs="Arial"/>
          <w:kern w:val="2"/>
          <w:sz w:val="24"/>
          <w:szCs w:val="24"/>
          <w:lang w:val="en-AU" w:eastAsia="en-US"/>
        </w:rPr>
      </w:pPr>
      <w:r w:rsidRPr="009A1A2E">
        <w:rPr>
          <w:rFonts w:cs="Arial"/>
          <w:b/>
          <w:sz w:val="22"/>
          <w:szCs w:val="22"/>
          <w:lang w:val="en-AU"/>
        </w:rPr>
        <w:t>c</w:t>
      </w:r>
      <w:r w:rsidRPr="009A1A2E">
        <w:rPr>
          <w:rFonts w:cs="Arial"/>
          <w:b/>
          <w:noProof/>
          <w:sz w:val="24"/>
          <w:szCs w:val="24"/>
          <w:lang w:val="en-AU" w:eastAsia="en-AU"/>
        </w:rPr>
        <w:drawing>
          <wp:inline distT="0" distB="0" distL="0" distR="0" wp14:anchorId="49B7614A" wp14:editId="6E19D578">
            <wp:extent cx="902007" cy="1146172"/>
            <wp:effectExtent l="0" t="0" r="0" b="0"/>
            <wp:docPr id="73" name="Grafik 73" descr="Vibroplasty-Bell-Coupler and pla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broplasty-Bell-Coupler.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20536" cy="1169717"/>
                    </a:xfrm>
                    <a:prstGeom prst="rect">
                      <a:avLst/>
                    </a:prstGeom>
                  </pic:spPr>
                </pic:pic>
              </a:graphicData>
            </a:graphic>
          </wp:inline>
        </w:drawing>
      </w:r>
      <w:r w:rsidRPr="009A1A2E">
        <w:rPr>
          <w:rFonts w:eastAsia="Malgun Gothic" w:cs="Arial"/>
          <w:noProof/>
          <w:kern w:val="2"/>
          <w:sz w:val="24"/>
          <w:szCs w:val="24"/>
          <w:lang w:val="en-AU" w:eastAsia="en-AU"/>
        </w:rPr>
        <w:drawing>
          <wp:inline distT="0" distB="0" distL="0" distR="0" wp14:anchorId="25DBC3CF" wp14:editId="7BAB4D23">
            <wp:extent cx="1329069" cy="1331729"/>
            <wp:effectExtent l="0" t="0" r="4445" b="1905"/>
            <wp:docPr id="75" name="Grafik 75" descr="Vibroplasty-Bell-Coupler and pla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l-Coupler.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31615" cy="1334281"/>
                    </a:xfrm>
                    <a:prstGeom prst="rect">
                      <a:avLst/>
                    </a:prstGeom>
                  </pic:spPr>
                </pic:pic>
              </a:graphicData>
            </a:graphic>
          </wp:inline>
        </w:drawing>
      </w:r>
      <w:r w:rsidRPr="009A1A2E">
        <w:rPr>
          <w:rFonts w:eastAsia="Malgun Gothic" w:cs="Arial"/>
          <w:kern w:val="2"/>
          <w:sz w:val="24"/>
          <w:szCs w:val="24"/>
          <w:lang w:val="en-AU" w:eastAsia="en-US"/>
        </w:rPr>
        <w:t xml:space="preserve"> </w:t>
      </w:r>
      <w:r w:rsidRPr="009A1A2E">
        <w:rPr>
          <w:rFonts w:eastAsia="Malgun Gothic" w:cs="Arial"/>
          <w:kern w:val="2"/>
          <w:sz w:val="24"/>
          <w:szCs w:val="24"/>
          <w:lang w:val="en-AU" w:eastAsia="en-US"/>
        </w:rPr>
        <w:tab/>
      </w:r>
      <w:r w:rsidRPr="009A1A2E">
        <w:rPr>
          <w:rFonts w:cs="Arial"/>
          <w:b/>
          <w:sz w:val="22"/>
          <w:szCs w:val="22"/>
          <w:lang w:val="en-AU"/>
        </w:rPr>
        <w:t>d</w:t>
      </w:r>
      <w:r w:rsidRPr="009A1A2E">
        <w:rPr>
          <w:rFonts w:cs="Arial"/>
          <w:b/>
          <w:noProof/>
          <w:sz w:val="24"/>
          <w:szCs w:val="24"/>
          <w:lang w:val="en-AU" w:eastAsia="en-AU"/>
        </w:rPr>
        <w:drawing>
          <wp:inline distT="0" distB="0" distL="0" distR="0" wp14:anchorId="6EDB5A7F" wp14:editId="26C52D81">
            <wp:extent cx="794845" cy="848273"/>
            <wp:effectExtent l="0" t="0" r="5715" b="9525"/>
            <wp:docPr id="63" name="Grafik 63" descr="Vibroplasty-RW-Coupler (round window) and pla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broplasty-RW-Coupler.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05371" cy="859506"/>
                    </a:xfrm>
                    <a:prstGeom prst="rect">
                      <a:avLst/>
                    </a:prstGeom>
                  </pic:spPr>
                </pic:pic>
              </a:graphicData>
            </a:graphic>
          </wp:inline>
        </w:drawing>
      </w:r>
      <w:r w:rsidRPr="009A1A2E">
        <w:rPr>
          <w:rFonts w:eastAsia="Malgun Gothic" w:cs="Arial"/>
          <w:kern w:val="2"/>
          <w:sz w:val="24"/>
          <w:szCs w:val="24"/>
          <w:lang w:val="en-AU" w:eastAsia="en-US"/>
        </w:rPr>
        <w:t xml:space="preserve"> </w:t>
      </w:r>
      <w:r w:rsidRPr="009A1A2E">
        <w:rPr>
          <w:rFonts w:eastAsia="Malgun Gothic" w:cs="Arial"/>
          <w:noProof/>
          <w:kern w:val="2"/>
          <w:sz w:val="24"/>
          <w:szCs w:val="24"/>
          <w:lang w:val="en-AU" w:eastAsia="en-AU"/>
        </w:rPr>
        <w:drawing>
          <wp:inline distT="0" distB="0" distL="0" distR="0" wp14:anchorId="57D4F625" wp14:editId="501AF411">
            <wp:extent cx="1593755" cy="1077397"/>
            <wp:effectExtent l="0" t="0" r="6985" b="8890"/>
            <wp:docPr id="64" name="Grafik 64" descr="Vibroplasty-RW-Coupler (round window) and pla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W-Coupler.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06835" cy="1086239"/>
                    </a:xfrm>
                    <a:prstGeom prst="rect">
                      <a:avLst/>
                    </a:prstGeom>
                  </pic:spPr>
                </pic:pic>
              </a:graphicData>
            </a:graphic>
          </wp:inline>
        </w:drawing>
      </w:r>
    </w:p>
    <w:p w14:paraId="15B4AE70" w14:textId="77777777" w:rsidR="0057060E" w:rsidRPr="009A1A2E" w:rsidRDefault="0057060E" w:rsidP="0057060E">
      <w:pPr>
        <w:pStyle w:val="StandardLinks2"/>
        <w:keepNext/>
        <w:ind w:left="0"/>
        <w:rPr>
          <w:lang w:val="en-AU"/>
        </w:rPr>
      </w:pPr>
    </w:p>
    <w:p w14:paraId="4F94C379" w14:textId="77777777" w:rsidR="002745B0" w:rsidRPr="009A1A2E" w:rsidRDefault="0057060E" w:rsidP="0057060E">
      <w:pPr>
        <w:pStyle w:val="StandardLinks2"/>
        <w:ind w:left="0"/>
        <w:rPr>
          <w:lang w:val="en-AU"/>
        </w:rPr>
      </w:pPr>
      <w:bookmarkStart w:id="67" w:name="_Ref400448135"/>
      <w:bookmarkStart w:id="68" w:name="_Toc400395257"/>
      <w:bookmarkStart w:id="69" w:name="_Ref400448090"/>
      <w:bookmarkStart w:id="70" w:name="_Toc431653913"/>
      <w:bookmarkStart w:id="71" w:name="_Toc400393956"/>
      <w:r w:rsidRPr="009A1A2E">
        <w:rPr>
          <w:rStyle w:val="FigureZchn"/>
          <w:lang w:val="en-AU"/>
        </w:rPr>
        <w:t xml:space="preserve">Fig </w:t>
      </w:r>
      <w:r w:rsidRPr="009A1A2E">
        <w:rPr>
          <w:rStyle w:val="FigureZchn"/>
          <w:lang w:val="en-AU"/>
        </w:rPr>
        <w:fldChar w:fldCharType="begin"/>
      </w:r>
      <w:r w:rsidRPr="009A1A2E">
        <w:rPr>
          <w:rStyle w:val="FigureZchn"/>
          <w:lang w:val="en-AU"/>
        </w:rPr>
        <w:instrText xml:space="preserve"> SEQ Fig \* ARABIC </w:instrText>
      </w:r>
      <w:r w:rsidRPr="009A1A2E">
        <w:rPr>
          <w:rStyle w:val="FigureZchn"/>
          <w:lang w:val="en-AU"/>
        </w:rPr>
        <w:fldChar w:fldCharType="separate"/>
      </w:r>
      <w:r w:rsidR="00016592">
        <w:rPr>
          <w:rStyle w:val="FigureZchn"/>
          <w:noProof/>
          <w:lang w:val="en-AU"/>
        </w:rPr>
        <w:t>4</w:t>
      </w:r>
      <w:r w:rsidRPr="009A1A2E">
        <w:rPr>
          <w:rStyle w:val="FigureZchn"/>
          <w:lang w:val="en-AU"/>
        </w:rPr>
        <w:fldChar w:fldCharType="end"/>
      </w:r>
      <w:bookmarkEnd w:id="67"/>
      <w:r w:rsidRPr="009A1A2E">
        <w:rPr>
          <w:rStyle w:val="FigureZchn"/>
          <w:lang w:val="en-AU"/>
        </w:rPr>
        <w:t xml:space="preserve"> </w:t>
      </w:r>
      <w:r w:rsidR="00E94E3C" w:rsidRPr="009A1A2E">
        <w:rPr>
          <w:rStyle w:val="FigureZchn"/>
          <w:lang w:val="en-AU"/>
        </w:rPr>
        <w:t>-</w:t>
      </w:r>
      <w:r w:rsidRPr="009A1A2E">
        <w:rPr>
          <w:rStyle w:val="FigureZchn"/>
          <w:lang w:val="en-AU"/>
        </w:rPr>
        <w:t xml:space="preserve"> Vibroplasty Couplers</w:t>
      </w:r>
      <w:bookmarkEnd w:id="68"/>
      <w:bookmarkEnd w:id="69"/>
      <w:bookmarkEnd w:id="70"/>
      <w:r w:rsidRPr="009A1A2E">
        <w:rPr>
          <w:lang w:val="en-AU"/>
        </w:rPr>
        <w:t xml:space="preserve"> </w:t>
      </w:r>
    </w:p>
    <w:p w14:paraId="191BC90F" w14:textId="77777777" w:rsidR="0057060E" w:rsidRPr="009A1A2E" w:rsidRDefault="0057060E" w:rsidP="0057060E">
      <w:pPr>
        <w:pStyle w:val="StandardLinks2"/>
        <w:ind w:left="0"/>
        <w:rPr>
          <w:rFonts w:cs="Arial"/>
          <w:lang w:val="en-AU"/>
        </w:rPr>
      </w:pPr>
      <w:r w:rsidRPr="009A1A2E">
        <w:rPr>
          <w:rFonts w:cs="Arial"/>
          <w:lang w:val="en-AU"/>
        </w:rPr>
        <w:t>(a) Vibroplasty-OW-Coupler (oval window), (b) Vibroplasty-CliP-Coupler, (c) Vibroplasty-Bell-Coupler, and (d) Vibroplasty-RW-Coupler (round window)</w:t>
      </w:r>
      <w:bookmarkEnd w:id="71"/>
    </w:p>
    <w:p w14:paraId="59FCFE98" w14:textId="77777777" w:rsidR="00EA1EB0" w:rsidRPr="009A1A2E" w:rsidRDefault="00EA1EB0" w:rsidP="00B41DC2">
      <w:pPr>
        <w:pStyle w:val="Textbody"/>
        <w:rPr>
          <w:lang w:val="en-AU"/>
        </w:rPr>
      </w:pPr>
    </w:p>
    <w:p w14:paraId="59BFE542" w14:textId="77777777" w:rsidR="00EA1EB0" w:rsidRPr="009A1A2E" w:rsidRDefault="00AC4669" w:rsidP="00644BAE">
      <w:pPr>
        <w:pStyle w:val="Textbody"/>
        <w:rPr>
          <w:lang w:val="en-AU"/>
        </w:rPr>
      </w:pPr>
      <w:r w:rsidRPr="009A1A2E" w:rsidDel="00AC4669">
        <w:rPr>
          <w:lang w:val="en-AU"/>
        </w:rPr>
        <w:t xml:space="preserve"> </w:t>
      </w:r>
      <w:r w:rsidR="00EA1EB0" w:rsidRPr="009A1A2E">
        <w:rPr>
          <w:lang w:val="en-AU"/>
        </w:rPr>
        <w:t xml:space="preserve">Several optional surgical tools are available for use with the VSB. These include: the Forming Forceps, the Skin Flap Gauge 7, and the VORP Sizer Kit. The Forming Forceps can be used to form the FMT attachment around the incus and the Skin Flap Gauge 7 can </w:t>
      </w:r>
      <w:r w:rsidR="00EA1EB0" w:rsidRPr="009A1A2E">
        <w:rPr>
          <w:lang w:val="en-AU"/>
        </w:rPr>
        <w:lastRenderedPageBreak/>
        <w:t>be used to evaluate the thickness of the skin flap in the area covering the coil section of the implant. The VORP Sizer Kit, consisting of VORP template and FMT Sizer, is intended to be used during implantation to support a safe and effective procedure: the VORP template can be used to facilitate positioning of the implant on the skull and creation of the bone bed. The FMT Sizer is intended to be used during surgery to determine the volumetric requirements of the Floating Mass Transducer and assure adequate access for the FMT in the middle ear.</w:t>
      </w:r>
    </w:p>
    <w:p w14:paraId="31CAFF3A" w14:textId="77777777" w:rsidR="00EA1EB0" w:rsidRPr="009A1A2E" w:rsidRDefault="00EA1EB0" w:rsidP="00644BAE">
      <w:pPr>
        <w:pStyle w:val="Textbody"/>
        <w:rPr>
          <w:lang w:val="en-AU"/>
        </w:rPr>
      </w:pPr>
    </w:p>
    <w:p w14:paraId="53AE1D46" w14:textId="77777777" w:rsidR="00EA1EB0" w:rsidRPr="009A1A2E" w:rsidRDefault="00EA1EB0" w:rsidP="00EA1EB0">
      <w:pPr>
        <w:pStyle w:val="StandardLinks2"/>
        <w:ind w:left="0"/>
        <w:rPr>
          <w:rFonts w:cs="Arial"/>
          <w:b/>
          <w:sz w:val="24"/>
          <w:szCs w:val="24"/>
          <w:lang w:val="en-AU"/>
        </w:rPr>
      </w:pPr>
      <w:r w:rsidRPr="009A1A2E">
        <w:rPr>
          <w:rFonts w:cs="Arial"/>
          <w:b/>
          <w:sz w:val="22"/>
          <w:szCs w:val="22"/>
          <w:lang w:val="en-AU"/>
        </w:rPr>
        <w:t>a</w:t>
      </w:r>
      <w:r w:rsidRPr="009A1A2E">
        <w:rPr>
          <w:rFonts w:cs="Arial"/>
          <w:b/>
          <w:noProof/>
          <w:sz w:val="24"/>
          <w:szCs w:val="24"/>
          <w:lang w:val="en-AU" w:eastAsia="en-AU"/>
        </w:rPr>
        <w:drawing>
          <wp:inline distT="0" distB="0" distL="0" distR="0" wp14:anchorId="6854D345" wp14:editId="0F92D314">
            <wp:extent cx="2053087" cy="1272805"/>
            <wp:effectExtent l="0" t="0" r="4445" b="3810"/>
            <wp:docPr id="29" name="Grafik 29" descr="Forming Forc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ing Forceps.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49535" cy="1270603"/>
                    </a:xfrm>
                    <a:prstGeom prst="rect">
                      <a:avLst/>
                    </a:prstGeom>
                  </pic:spPr>
                </pic:pic>
              </a:graphicData>
            </a:graphic>
          </wp:inline>
        </w:drawing>
      </w:r>
      <w:r w:rsidRPr="009A1A2E">
        <w:rPr>
          <w:rFonts w:cs="Arial"/>
          <w:b/>
          <w:sz w:val="22"/>
          <w:szCs w:val="22"/>
          <w:lang w:val="en-AU"/>
        </w:rPr>
        <w:t>b</w:t>
      </w:r>
      <w:r w:rsidRPr="009A1A2E">
        <w:rPr>
          <w:rFonts w:cs="Arial"/>
          <w:b/>
          <w:noProof/>
          <w:sz w:val="22"/>
          <w:szCs w:val="22"/>
          <w:lang w:val="en-AU" w:eastAsia="en-AU"/>
        </w:rPr>
        <w:drawing>
          <wp:inline distT="0" distB="0" distL="0" distR="0" wp14:anchorId="5F94BD7B" wp14:editId="50F0245A">
            <wp:extent cx="2242868" cy="1408634"/>
            <wp:effectExtent l="0" t="0" r="5080" b="1270"/>
            <wp:docPr id="30" name="Grafik 30" descr="Skin Flap Gau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n Flap Gauge 7.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54382" cy="1415865"/>
                    </a:xfrm>
                    <a:prstGeom prst="rect">
                      <a:avLst/>
                    </a:prstGeom>
                  </pic:spPr>
                </pic:pic>
              </a:graphicData>
            </a:graphic>
          </wp:inline>
        </w:drawing>
      </w:r>
    </w:p>
    <w:p w14:paraId="59A5F207" w14:textId="77777777" w:rsidR="00EA1EB0" w:rsidRPr="009A1A2E" w:rsidRDefault="00EA1EB0" w:rsidP="00EA1EB0">
      <w:pPr>
        <w:pStyle w:val="StandardLinks2"/>
        <w:ind w:left="0"/>
        <w:rPr>
          <w:rFonts w:cs="Arial"/>
          <w:lang w:val="en-AU"/>
        </w:rPr>
      </w:pPr>
    </w:p>
    <w:p w14:paraId="4E42CA16" w14:textId="77777777" w:rsidR="00644BAE" w:rsidRPr="009A1A2E" w:rsidRDefault="00EA1EB0" w:rsidP="00644BAE">
      <w:pPr>
        <w:pStyle w:val="StandardLinks2"/>
        <w:keepNext/>
        <w:ind w:left="0"/>
        <w:rPr>
          <w:lang w:val="en-AU"/>
        </w:rPr>
      </w:pPr>
      <w:r w:rsidRPr="009A1A2E">
        <w:rPr>
          <w:rFonts w:cs="Arial"/>
          <w:b/>
          <w:sz w:val="22"/>
          <w:szCs w:val="22"/>
          <w:lang w:val="en-AU"/>
        </w:rPr>
        <w:t>c</w:t>
      </w:r>
      <w:r w:rsidRPr="009A1A2E">
        <w:rPr>
          <w:rFonts w:cs="Arial"/>
          <w:b/>
          <w:noProof/>
          <w:sz w:val="24"/>
          <w:szCs w:val="24"/>
          <w:lang w:val="en-AU" w:eastAsia="en-AU"/>
        </w:rPr>
        <w:drawing>
          <wp:inline distT="0" distB="0" distL="0" distR="0" wp14:anchorId="79D863D4" wp14:editId="0EC22504">
            <wp:extent cx="1802921" cy="1275866"/>
            <wp:effectExtent l="0" t="0" r="6985" b="635"/>
            <wp:docPr id="31" name="Grafik 31" descr="VORP Sizer Kit containing VORP template and FMT S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gle-use VORP Template.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04049" cy="1276665"/>
                    </a:xfrm>
                    <a:prstGeom prst="rect">
                      <a:avLst/>
                    </a:prstGeom>
                  </pic:spPr>
                </pic:pic>
              </a:graphicData>
            </a:graphic>
          </wp:inline>
        </w:drawing>
      </w:r>
      <w:r w:rsidRPr="009A1A2E">
        <w:rPr>
          <w:rFonts w:cs="Arial"/>
          <w:b/>
          <w:noProof/>
          <w:sz w:val="24"/>
          <w:szCs w:val="24"/>
          <w:lang w:val="en-AU" w:eastAsia="en-AU"/>
        </w:rPr>
        <w:drawing>
          <wp:inline distT="0" distB="0" distL="0" distR="0" wp14:anchorId="69233B9F" wp14:editId="6EB12945">
            <wp:extent cx="2500086" cy="1328468"/>
            <wp:effectExtent l="0" t="0" r="0" b="5080"/>
            <wp:docPr id="40" name="Grafik 40" descr="VORP Sizer Kit containing VORP template and FMT S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gle-use FMT Sizer.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07025" cy="1332155"/>
                    </a:xfrm>
                    <a:prstGeom prst="rect">
                      <a:avLst/>
                    </a:prstGeom>
                  </pic:spPr>
                </pic:pic>
              </a:graphicData>
            </a:graphic>
          </wp:inline>
        </w:drawing>
      </w:r>
    </w:p>
    <w:p w14:paraId="734F9C22" w14:textId="77777777" w:rsidR="00644BAE" w:rsidRPr="009A1A2E" w:rsidRDefault="00644BAE" w:rsidP="00644BAE">
      <w:pPr>
        <w:pStyle w:val="Caption"/>
        <w:jc w:val="both"/>
        <w:rPr>
          <w:lang w:val="en-AU"/>
        </w:rPr>
      </w:pPr>
    </w:p>
    <w:p w14:paraId="5025C501" w14:textId="77777777" w:rsidR="002745B0" w:rsidRPr="009A1A2E" w:rsidRDefault="00644BAE" w:rsidP="00644BAE">
      <w:pPr>
        <w:pStyle w:val="StandardLinks2"/>
        <w:ind w:left="0"/>
        <w:rPr>
          <w:rFonts w:cs="Arial"/>
          <w:lang w:val="en-AU"/>
        </w:rPr>
      </w:pPr>
      <w:bookmarkStart w:id="72" w:name="_Toc400395264"/>
      <w:bookmarkStart w:id="73" w:name="_Toc431653914"/>
      <w:bookmarkStart w:id="74" w:name="_Toc400393963"/>
      <w:r w:rsidRPr="009A1A2E">
        <w:rPr>
          <w:rStyle w:val="FigureZchn"/>
          <w:lang w:val="en-AU"/>
        </w:rPr>
        <w:t xml:space="preserve">Fig </w:t>
      </w:r>
      <w:r w:rsidRPr="009A1A2E">
        <w:rPr>
          <w:rStyle w:val="FigureZchn"/>
          <w:lang w:val="en-AU"/>
        </w:rPr>
        <w:fldChar w:fldCharType="begin"/>
      </w:r>
      <w:r w:rsidRPr="009A1A2E">
        <w:rPr>
          <w:rStyle w:val="FigureZchn"/>
          <w:lang w:val="en-AU"/>
        </w:rPr>
        <w:instrText xml:space="preserve"> SEQ Fig \* ARABIC </w:instrText>
      </w:r>
      <w:r w:rsidRPr="009A1A2E">
        <w:rPr>
          <w:rStyle w:val="FigureZchn"/>
          <w:lang w:val="en-AU"/>
        </w:rPr>
        <w:fldChar w:fldCharType="separate"/>
      </w:r>
      <w:r w:rsidR="00016592">
        <w:rPr>
          <w:rStyle w:val="FigureZchn"/>
          <w:noProof/>
          <w:lang w:val="en-AU"/>
        </w:rPr>
        <w:t>5</w:t>
      </w:r>
      <w:r w:rsidRPr="009A1A2E">
        <w:rPr>
          <w:rStyle w:val="FigureZchn"/>
          <w:lang w:val="en-AU"/>
        </w:rPr>
        <w:fldChar w:fldCharType="end"/>
      </w:r>
      <w:r w:rsidR="00E94E3C" w:rsidRPr="009A1A2E">
        <w:rPr>
          <w:rStyle w:val="FigureZchn"/>
          <w:lang w:val="en-AU"/>
        </w:rPr>
        <w:t xml:space="preserve"> </w:t>
      </w:r>
      <w:r w:rsidRPr="009A1A2E">
        <w:rPr>
          <w:rStyle w:val="FigureZchn"/>
          <w:lang w:val="en-AU"/>
        </w:rPr>
        <w:t>- Surgical tools for intraoperative application</w:t>
      </w:r>
      <w:bookmarkEnd w:id="72"/>
      <w:bookmarkEnd w:id="73"/>
    </w:p>
    <w:p w14:paraId="54038C8E" w14:textId="77777777" w:rsidR="00644BAE" w:rsidRPr="009A1A2E" w:rsidRDefault="00644BAE" w:rsidP="00644BAE">
      <w:pPr>
        <w:pStyle w:val="StandardLinks2"/>
        <w:ind w:left="0"/>
        <w:rPr>
          <w:rFonts w:cs="Arial"/>
          <w:lang w:val="en-AU"/>
        </w:rPr>
      </w:pPr>
      <w:r w:rsidRPr="009A1A2E">
        <w:rPr>
          <w:rFonts w:cs="Arial"/>
          <w:lang w:val="en-AU"/>
        </w:rPr>
        <w:t>(a) Forming Forceps, (b) Skin Flap Gauge 7, and (c) VORP Sizer Kit containing VORP template and FMT Sizer.</w:t>
      </w:r>
      <w:bookmarkEnd w:id="74"/>
    </w:p>
    <w:p w14:paraId="27341195" w14:textId="77777777" w:rsidR="00644BAE" w:rsidRPr="009A1A2E" w:rsidRDefault="00644BAE" w:rsidP="00644BAE">
      <w:pPr>
        <w:pStyle w:val="Textbody"/>
        <w:rPr>
          <w:lang w:val="en-AU"/>
        </w:rPr>
      </w:pPr>
    </w:p>
    <w:p w14:paraId="13934D7C" w14:textId="77777777" w:rsidR="00EA1EB0" w:rsidRPr="009A1A2E" w:rsidRDefault="00EA1EB0" w:rsidP="00644BAE">
      <w:pPr>
        <w:pStyle w:val="Textbody"/>
        <w:rPr>
          <w:lang w:val="en-AU"/>
        </w:rPr>
      </w:pPr>
      <w:r w:rsidRPr="009A1A2E">
        <w:rPr>
          <w:lang w:val="en-AU"/>
        </w:rPr>
        <w:t xml:space="preserve">Prior to use, the AP Amadé is programmed to meet the particular hearing needs of the patient. Programming hardware and software are similar to hearing aid programming equipment, and programming typically takes about 30 minutes. Programming is done by trained hearing professionals. Standard fitting hardware are a PC, a hearing aid interface modem - </w:t>
      </w:r>
      <w:r w:rsidR="00AC4669" w:rsidRPr="009A1A2E">
        <w:rPr>
          <w:lang w:val="en-AU"/>
        </w:rPr>
        <w:t xml:space="preserve">HiPro </w:t>
      </w:r>
      <w:r w:rsidRPr="009A1A2E">
        <w:rPr>
          <w:lang w:val="en-AU"/>
        </w:rPr>
        <w:t xml:space="preserve">box, and a standard programming cable that usually are available at implant centers and hearing professional </w:t>
      </w:r>
      <w:r w:rsidR="00AC4669" w:rsidRPr="009A1A2E">
        <w:rPr>
          <w:lang w:val="en-AU"/>
        </w:rPr>
        <w:t>practices</w:t>
      </w:r>
      <w:r w:rsidRPr="009A1A2E">
        <w:rPr>
          <w:lang w:val="en-AU"/>
        </w:rPr>
        <w:t>.</w:t>
      </w:r>
    </w:p>
    <w:p w14:paraId="1510450C" w14:textId="77777777" w:rsidR="00EA1EB0" w:rsidRPr="009A1A2E" w:rsidRDefault="00EA1EB0" w:rsidP="00644BAE">
      <w:pPr>
        <w:pStyle w:val="Textbody"/>
        <w:rPr>
          <w:lang w:val="en-AU"/>
        </w:rPr>
      </w:pPr>
    </w:p>
    <w:p w14:paraId="2C359D46" w14:textId="77777777" w:rsidR="00EA1EB0" w:rsidRPr="009A1A2E" w:rsidRDefault="00EA1EB0" w:rsidP="00644BAE">
      <w:pPr>
        <w:pStyle w:val="Textbody"/>
        <w:rPr>
          <w:lang w:val="en-AU"/>
        </w:rPr>
      </w:pPr>
      <w:r w:rsidRPr="009A1A2E">
        <w:rPr>
          <w:lang w:val="en-AU"/>
        </w:rPr>
        <w:t>The fitting is performed in the off-the-shelf hearing instrument fitting software, CONNEXX 6.4.3 or higher (Siemens). To enable CONNEXX to recognize the AP, the database SYMFIT is needed. The SYMFIT is used to program the APs of the VSB System as a single fitting user interface.</w:t>
      </w:r>
    </w:p>
    <w:p w14:paraId="1FDF5DF3" w14:textId="77777777" w:rsidR="004D2B93" w:rsidRDefault="004D2B93" w:rsidP="00644BAE">
      <w:pPr>
        <w:pStyle w:val="Textbody"/>
        <w:rPr>
          <w:lang w:val="en-AU"/>
        </w:rPr>
      </w:pPr>
    </w:p>
    <w:p w14:paraId="5723ECBF" w14:textId="77777777" w:rsidR="00A52ABF" w:rsidRPr="009A1A2E" w:rsidRDefault="00A52ABF" w:rsidP="00644BAE">
      <w:pPr>
        <w:pStyle w:val="Textbody"/>
        <w:rPr>
          <w:lang w:val="en-AU"/>
        </w:rPr>
      </w:pPr>
    </w:p>
    <w:p w14:paraId="183E4171" w14:textId="77777777" w:rsidR="00EA1EB0" w:rsidRPr="009A1A2E" w:rsidRDefault="00EA1EB0" w:rsidP="004D2B93">
      <w:pPr>
        <w:pStyle w:val="Textbody"/>
        <w:rPr>
          <w:b/>
          <w:lang w:val="en-AU"/>
        </w:rPr>
      </w:pPr>
      <w:bookmarkStart w:id="75" w:name="_Toc384735330"/>
      <w:r w:rsidRPr="009A1A2E">
        <w:rPr>
          <w:b/>
          <w:lang w:val="en-AU"/>
        </w:rPr>
        <w:lastRenderedPageBreak/>
        <w:t>Mechanical Characteristics</w:t>
      </w:r>
      <w:bookmarkEnd w:id="75"/>
    </w:p>
    <w:p w14:paraId="27614EAA" w14:textId="77777777" w:rsidR="00EA1EB0" w:rsidRPr="009A1A2E" w:rsidRDefault="00EA1EB0" w:rsidP="004D2B93">
      <w:pPr>
        <w:pStyle w:val="Textbody"/>
        <w:rPr>
          <w:lang w:val="en-AU"/>
        </w:rPr>
      </w:pPr>
      <w:r w:rsidRPr="009A1A2E">
        <w:rPr>
          <w:lang w:val="en-AU"/>
        </w:rPr>
        <w:t>The VORP502 is an elongated silicone and titanium implant. Its weight is 9.30 g. The weight of the AP Amadé is 8.00 g including the battery and the magnet. Key dimensions are supplied in the following illustration.</w:t>
      </w:r>
    </w:p>
    <w:p w14:paraId="5B139597" w14:textId="77777777" w:rsidR="00EA1EB0" w:rsidRPr="009A1A2E" w:rsidRDefault="00EA1EB0" w:rsidP="004D2B93">
      <w:pPr>
        <w:pStyle w:val="Textbody"/>
        <w:rPr>
          <w:lang w:val="en-AU"/>
        </w:rPr>
      </w:pPr>
    </w:p>
    <w:p w14:paraId="195EA6C9" w14:textId="77777777" w:rsidR="00644BAE" w:rsidRPr="009A1A2E" w:rsidRDefault="00EA1EB0" w:rsidP="00644BAE">
      <w:pPr>
        <w:pStyle w:val="StandardLinks2"/>
        <w:keepNext/>
        <w:ind w:left="0"/>
        <w:rPr>
          <w:rFonts w:cs="Arial"/>
          <w:b/>
          <w:sz w:val="22"/>
          <w:szCs w:val="22"/>
          <w:lang w:val="en-AU"/>
        </w:rPr>
      </w:pPr>
      <w:r w:rsidRPr="009A1A2E">
        <w:rPr>
          <w:rFonts w:cs="Arial"/>
          <w:b/>
          <w:sz w:val="22"/>
          <w:szCs w:val="22"/>
          <w:lang w:val="en-AU"/>
        </w:rPr>
        <w:t>a</w:t>
      </w:r>
      <w:r w:rsidRPr="009A1A2E">
        <w:rPr>
          <w:rFonts w:cs="Arial"/>
          <w:b/>
          <w:sz w:val="24"/>
          <w:szCs w:val="24"/>
          <w:lang w:val="en-AU"/>
        </w:rPr>
        <w:t xml:space="preserve"> </w:t>
      </w:r>
      <w:r w:rsidRPr="009A1A2E">
        <w:rPr>
          <w:rFonts w:cs="Arial"/>
          <w:b/>
          <w:noProof/>
          <w:sz w:val="24"/>
          <w:szCs w:val="24"/>
          <w:lang w:val="en-AU" w:eastAsia="en-AU"/>
        </w:rPr>
        <w:drawing>
          <wp:inline distT="0" distB="0" distL="0" distR="0" wp14:anchorId="01F79C99" wp14:editId="318CDAD6">
            <wp:extent cx="2290294" cy="1682151"/>
            <wp:effectExtent l="0" t="0" r="0" b="0"/>
            <wp:docPr id="48" name="Grafik 48" descr="Mechanical characteristics of VORP50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57982" t="19047" r="16100" b="33363"/>
                    <a:stretch/>
                  </pic:blipFill>
                  <pic:spPr bwMode="auto">
                    <a:xfrm>
                      <a:off x="0" y="0"/>
                      <a:ext cx="2308360" cy="1695420"/>
                    </a:xfrm>
                    <a:prstGeom prst="rect">
                      <a:avLst/>
                    </a:prstGeom>
                    <a:ln>
                      <a:noFill/>
                    </a:ln>
                    <a:extLst>
                      <a:ext uri="{53640926-AAD7-44D8-BBD7-CCE9431645EC}">
                        <a14:shadowObscured xmlns:a14="http://schemas.microsoft.com/office/drawing/2010/main"/>
                      </a:ext>
                    </a:extLst>
                  </pic:spPr>
                </pic:pic>
              </a:graphicData>
            </a:graphic>
          </wp:inline>
        </w:drawing>
      </w:r>
      <w:r w:rsidRPr="009A1A2E">
        <w:rPr>
          <w:rFonts w:cs="Arial"/>
          <w:b/>
          <w:sz w:val="24"/>
          <w:szCs w:val="24"/>
          <w:lang w:val="en-AU"/>
        </w:rPr>
        <w:t xml:space="preserve"> </w:t>
      </w:r>
      <w:r w:rsidRPr="009A1A2E">
        <w:rPr>
          <w:rFonts w:cs="Arial"/>
          <w:b/>
          <w:sz w:val="22"/>
          <w:szCs w:val="22"/>
          <w:lang w:val="en-AU"/>
        </w:rPr>
        <w:t xml:space="preserve">b </w:t>
      </w:r>
      <w:r w:rsidRPr="009A1A2E">
        <w:rPr>
          <w:rFonts w:cs="Arial"/>
          <w:b/>
          <w:noProof/>
          <w:sz w:val="24"/>
          <w:szCs w:val="24"/>
          <w:lang w:val="en-AU" w:eastAsia="en-AU"/>
        </w:rPr>
        <w:drawing>
          <wp:inline distT="0" distB="0" distL="0" distR="0" wp14:anchorId="7E2B8DBE" wp14:editId="2E729F3A">
            <wp:extent cx="2510287" cy="1697027"/>
            <wp:effectExtent l="0" t="0" r="4445" b="0"/>
            <wp:docPr id="49" name="Grafik 49" descr="Mechanical characteristics of AP Amad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58280" t="40250" r="19126" b="21564"/>
                    <a:stretch/>
                  </pic:blipFill>
                  <pic:spPr bwMode="auto">
                    <a:xfrm>
                      <a:off x="0" y="0"/>
                      <a:ext cx="2515805" cy="1700758"/>
                    </a:xfrm>
                    <a:prstGeom prst="rect">
                      <a:avLst/>
                    </a:prstGeom>
                    <a:ln>
                      <a:noFill/>
                    </a:ln>
                    <a:extLst>
                      <a:ext uri="{53640926-AAD7-44D8-BBD7-CCE9431645EC}">
                        <a14:shadowObscured xmlns:a14="http://schemas.microsoft.com/office/drawing/2010/main"/>
                      </a:ext>
                    </a:extLst>
                  </pic:spPr>
                </pic:pic>
              </a:graphicData>
            </a:graphic>
          </wp:inline>
        </w:drawing>
      </w:r>
    </w:p>
    <w:p w14:paraId="5F313A32" w14:textId="77777777" w:rsidR="00644BAE" w:rsidRPr="009A1A2E" w:rsidRDefault="00644BAE" w:rsidP="00644BAE">
      <w:pPr>
        <w:pStyle w:val="StandardLinks2"/>
        <w:keepNext/>
        <w:ind w:left="0"/>
        <w:rPr>
          <w:lang w:val="en-AU"/>
        </w:rPr>
      </w:pPr>
    </w:p>
    <w:p w14:paraId="7E926D72" w14:textId="77777777" w:rsidR="00EA1EB0" w:rsidRPr="009A1A2E" w:rsidRDefault="00644BAE" w:rsidP="00644BAE">
      <w:pPr>
        <w:pStyle w:val="Figure"/>
        <w:rPr>
          <w:lang w:val="en-AU"/>
        </w:rPr>
      </w:pPr>
      <w:bookmarkStart w:id="76" w:name="_Toc400393964"/>
      <w:bookmarkStart w:id="77" w:name="_Toc400395265"/>
      <w:bookmarkStart w:id="78" w:name="_Toc431653915"/>
      <w:r w:rsidRPr="009A1A2E">
        <w:rPr>
          <w:lang w:val="en-AU"/>
        </w:rPr>
        <w:t xml:space="preserve">Fig </w:t>
      </w:r>
      <w:r w:rsidRPr="009A1A2E">
        <w:rPr>
          <w:lang w:val="en-AU"/>
        </w:rPr>
        <w:fldChar w:fldCharType="begin"/>
      </w:r>
      <w:r w:rsidRPr="009A1A2E">
        <w:rPr>
          <w:lang w:val="en-AU"/>
        </w:rPr>
        <w:instrText xml:space="preserve"> SEQ Fig \* ARABIC </w:instrText>
      </w:r>
      <w:r w:rsidRPr="009A1A2E">
        <w:rPr>
          <w:lang w:val="en-AU"/>
        </w:rPr>
        <w:fldChar w:fldCharType="separate"/>
      </w:r>
      <w:r w:rsidR="00016592">
        <w:rPr>
          <w:noProof/>
          <w:lang w:val="en-AU"/>
        </w:rPr>
        <w:t>6</w:t>
      </w:r>
      <w:r w:rsidRPr="009A1A2E">
        <w:rPr>
          <w:lang w:val="en-AU"/>
        </w:rPr>
        <w:fldChar w:fldCharType="end"/>
      </w:r>
      <w:r w:rsidR="00E94E3C" w:rsidRPr="009A1A2E">
        <w:rPr>
          <w:lang w:val="en-AU"/>
        </w:rPr>
        <w:t xml:space="preserve"> -</w:t>
      </w:r>
      <w:r w:rsidR="002778A8" w:rsidRPr="009A1A2E">
        <w:rPr>
          <w:lang w:val="en-AU"/>
        </w:rPr>
        <w:t xml:space="preserve"> M</w:t>
      </w:r>
      <w:r w:rsidR="002745B0" w:rsidRPr="009A1A2E">
        <w:rPr>
          <w:lang w:val="en-AU"/>
        </w:rPr>
        <w:t xml:space="preserve">echanical characteristics of </w:t>
      </w:r>
      <w:r w:rsidRPr="009A1A2E">
        <w:rPr>
          <w:b w:val="0"/>
          <w:u w:val="none"/>
          <w:lang w:val="en-AU"/>
        </w:rPr>
        <w:t>(a) VORP502 and (b) AP Amadé.</w:t>
      </w:r>
      <w:bookmarkEnd w:id="76"/>
      <w:bookmarkEnd w:id="77"/>
      <w:bookmarkEnd w:id="78"/>
    </w:p>
    <w:p w14:paraId="527DB416" w14:textId="77777777" w:rsidR="004D2B93" w:rsidRPr="009A1A2E" w:rsidRDefault="004D2B93" w:rsidP="004D2B93">
      <w:pPr>
        <w:pStyle w:val="Textbody"/>
        <w:rPr>
          <w:lang w:val="en-AU"/>
        </w:rPr>
      </w:pPr>
      <w:bookmarkStart w:id="79" w:name="_Toc384735331"/>
    </w:p>
    <w:p w14:paraId="3B728BA1" w14:textId="77777777" w:rsidR="00644BAE" w:rsidRPr="009A1A2E" w:rsidRDefault="00644BAE" w:rsidP="004D2B93">
      <w:pPr>
        <w:pStyle w:val="Textbody"/>
        <w:rPr>
          <w:lang w:val="en-AU"/>
        </w:rPr>
      </w:pPr>
    </w:p>
    <w:p w14:paraId="34637EF3" w14:textId="77777777" w:rsidR="00EA1EB0" w:rsidRPr="009A1A2E" w:rsidRDefault="00EA1EB0" w:rsidP="004D2B93">
      <w:pPr>
        <w:pStyle w:val="Textbody"/>
        <w:rPr>
          <w:b/>
          <w:u w:val="single"/>
          <w:lang w:val="en-AU"/>
        </w:rPr>
      </w:pPr>
      <w:r w:rsidRPr="009A1A2E">
        <w:rPr>
          <w:b/>
          <w:u w:val="single"/>
          <w:lang w:val="en-AU"/>
        </w:rPr>
        <w:t>Other Characteristics</w:t>
      </w:r>
      <w:bookmarkEnd w:id="79"/>
    </w:p>
    <w:p w14:paraId="6809F37C" w14:textId="77777777" w:rsidR="00EA1EB0" w:rsidRPr="009A1A2E" w:rsidRDefault="00EA1EB0" w:rsidP="004D2B93">
      <w:pPr>
        <w:pStyle w:val="Textbody"/>
        <w:rPr>
          <w:b/>
          <w:lang w:val="en-AU"/>
        </w:rPr>
      </w:pPr>
      <w:bookmarkStart w:id="80" w:name="_Toc381710241"/>
      <w:bookmarkStart w:id="81" w:name="_Toc381778463"/>
      <w:bookmarkStart w:id="82" w:name="_Toc381778517"/>
      <w:bookmarkStart w:id="83" w:name="_Toc381778571"/>
      <w:bookmarkStart w:id="84" w:name="_Toc381778688"/>
      <w:bookmarkStart w:id="85" w:name="_Toc381778745"/>
      <w:bookmarkStart w:id="86" w:name="_Toc381778799"/>
      <w:bookmarkStart w:id="87" w:name="_Toc381778853"/>
      <w:bookmarkStart w:id="88" w:name="_Toc381778907"/>
      <w:bookmarkStart w:id="89" w:name="_Toc381781017"/>
      <w:bookmarkStart w:id="90" w:name="_Toc381790124"/>
      <w:bookmarkStart w:id="91" w:name="_Toc381791815"/>
      <w:bookmarkStart w:id="92" w:name="_Toc381795427"/>
      <w:bookmarkStart w:id="93" w:name="_Toc381798550"/>
      <w:bookmarkStart w:id="94" w:name="_Toc381798605"/>
      <w:bookmarkStart w:id="95" w:name="_Toc381800326"/>
      <w:bookmarkStart w:id="96" w:name="_Toc381802719"/>
      <w:bookmarkStart w:id="97" w:name="_Toc381855970"/>
      <w:bookmarkStart w:id="98" w:name="_Toc381863973"/>
      <w:bookmarkStart w:id="99" w:name="_Toc381868782"/>
      <w:bookmarkStart w:id="100" w:name="_Toc381944371"/>
      <w:bookmarkStart w:id="101" w:name="_Toc381944976"/>
      <w:bookmarkStart w:id="102" w:name="_Toc381954962"/>
      <w:bookmarkStart w:id="103" w:name="_Toc381956009"/>
      <w:bookmarkStart w:id="104" w:name="_Toc382200650"/>
      <w:bookmarkStart w:id="105" w:name="_Toc382203029"/>
      <w:bookmarkStart w:id="106" w:name="_Toc382208286"/>
      <w:bookmarkStart w:id="107" w:name="_Toc382208693"/>
      <w:bookmarkStart w:id="108" w:name="_Toc382287140"/>
      <w:bookmarkStart w:id="109" w:name="_Toc382287189"/>
      <w:bookmarkStart w:id="110" w:name="_Toc382287708"/>
      <w:bookmarkStart w:id="111" w:name="_Toc382288935"/>
      <w:bookmarkStart w:id="112" w:name="_Toc382289188"/>
      <w:bookmarkStart w:id="113" w:name="_Toc382289284"/>
      <w:bookmarkStart w:id="114" w:name="_Toc382289390"/>
      <w:bookmarkStart w:id="115" w:name="_Toc382290185"/>
      <w:bookmarkStart w:id="116" w:name="_Toc382290235"/>
      <w:bookmarkStart w:id="117" w:name="_Toc382290285"/>
      <w:bookmarkStart w:id="118" w:name="_Toc382290335"/>
      <w:bookmarkStart w:id="119" w:name="_Toc382290384"/>
      <w:bookmarkStart w:id="120" w:name="_Toc382290434"/>
      <w:bookmarkStart w:id="121" w:name="_Toc382296937"/>
      <w:bookmarkStart w:id="122" w:name="_Toc382308322"/>
      <w:bookmarkStart w:id="123" w:name="_Toc382308734"/>
      <w:bookmarkStart w:id="124" w:name="_Toc382309031"/>
      <w:bookmarkStart w:id="125" w:name="_Toc382311141"/>
      <w:bookmarkStart w:id="126" w:name="_Toc382315800"/>
      <w:bookmarkStart w:id="127" w:name="_Toc382378390"/>
      <w:bookmarkStart w:id="128" w:name="_Toc382395822"/>
      <w:bookmarkStart w:id="129" w:name="_Toc382398397"/>
      <w:bookmarkStart w:id="130" w:name="_Toc382404642"/>
      <w:bookmarkStart w:id="131" w:name="_Toc382461952"/>
      <w:bookmarkStart w:id="132" w:name="_Toc382465002"/>
      <w:bookmarkStart w:id="133" w:name="_Toc382472897"/>
      <w:bookmarkStart w:id="134" w:name="_Toc382477967"/>
      <w:bookmarkStart w:id="135" w:name="_Toc382543582"/>
      <w:bookmarkStart w:id="136" w:name="_Toc382544614"/>
      <w:bookmarkStart w:id="137" w:name="_Toc382551396"/>
      <w:bookmarkStart w:id="138" w:name="_Toc381710242"/>
      <w:bookmarkStart w:id="139" w:name="_Toc381778464"/>
      <w:bookmarkStart w:id="140" w:name="_Toc381778518"/>
      <w:bookmarkStart w:id="141" w:name="_Toc381778572"/>
      <w:bookmarkStart w:id="142" w:name="_Toc381778689"/>
      <w:bookmarkStart w:id="143" w:name="_Toc381778746"/>
      <w:bookmarkStart w:id="144" w:name="_Toc381778800"/>
      <w:bookmarkStart w:id="145" w:name="_Toc381778854"/>
      <w:bookmarkStart w:id="146" w:name="_Toc381778908"/>
      <w:bookmarkStart w:id="147" w:name="_Toc381781018"/>
      <w:bookmarkStart w:id="148" w:name="_Toc381790125"/>
      <w:bookmarkStart w:id="149" w:name="_Toc381791816"/>
      <w:bookmarkStart w:id="150" w:name="_Toc381795428"/>
      <w:bookmarkStart w:id="151" w:name="_Toc381798551"/>
      <w:bookmarkStart w:id="152" w:name="_Toc381798606"/>
      <w:bookmarkStart w:id="153" w:name="_Toc381800327"/>
      <w:bookmarkStart w:id="154" w:name="_Toc381802720"/>
      <w:bookmarkStart w:id="155" w:name="_Toc381855971"/>
      <w:bookmarkStart w:id="156" w:name="_Toc381863974"/>
      <w:bookmarkStart w:id="157" w:name="_Toc381868783"/>
      <w:bookmarkStart w:id="158" w:name="_Toc381944372"/>
      <w:bookmarkStart w:id="159" w:name="_Toc381944977"/>
      <w:bookmarkStart w:id="160" w:name="_Toc381954963"/>
      <w:bookmarkStart w:id="161" w:name="_Toc381956010"/>
      <w:bookmarkStart w:id="162" w:name="_Toc382200651"/>
      <w:bookmarkStart w:id="163" w:name="_Toc382203030"/>
      <w:bookmarkStart w:id="164" w:name="_Toc382208287"/>
      <w:bookmarkStart w:id="165" w:name="_Toc382208694"/>
      <w:bookmarkStart w:id="166" w:name="_Toc382287141"/>
      <w:bookmarkStart w:id="167" w:name="_Toc382287190"/>
      <w:bookmarkStart w:id="168" w:name="_Toc382287709"/>
      <w:bookmarkStart w:id="169" w:name="_Toc382288936"/>
      <w:bookmarkStart w:id="170" w:name="_Toc382289189"/>
      <w:bookmarkStart w:id="171" w:name="_Toc382289285"/>
      <w:bookmarkStart w:id="172" w:name="_Toc382289391"/>
      <w:bookmarkStart w:id="173" w:name="_Toc382290186"/>
      <w:bookmarkStart w:id="174" w:name="_Toc382290236"/>
      <w:bookmarkStart w:id="175" w:name="_Toc382290286"/>
      <w:bookmarkStart w:id="176" w:name="_Toc382290336"/>
      <w:bookmarkStart w:id="177" w:name="_Toc382290385"/>
      <w:bookmarkStart w:id="178" w:name="_Toc382290435"/>
      <w:bookmarkStart w:id="179" w:name="_Toc382296938"/>
      <w:bookmarkStart w:id="180" w:name="_Toc382308323"/>
      <w:bookmarkStart w:id="181" w:name="_Toc382308735"/>
      <w:bookmarkStart w:id="182" w:name="_Toc382309032"/>
      <w:bookmarkStart w:id="183" w:name="_Toc382311142"/>
      <w:bookmarkStart w:id="184" w:name="_Toc382315801"/>
      <w:bookmarkStart w:id="185" w:name="_Toc382378391"/>
      <w:bookmarkStart w:id="186" w:name="_Toc382395823"/>
      <w:bookmarkStart w:id="187" w:name="_Toc382398398"/>
      <w:bookmarkStart w:id="188" w:name="_Toc382404643"/>
      <w:bookmarkStart w:id="189" w:name="_Toc382461953"/>
      <w:bookmarkStart w:id="190" w:name="_Toc382465003"/>
      <w:bookmarkStart w:id="191" w:name="_Toc382472898"/>
      <w:bookmarkStart w:id="192" w:name="_Toc382477968"/>
      <w:bookmarkStart w:id="193" w:name="_Toc382543583"/>
      <w:bookmarkStart w:id="194" w:name="_Toc382544615"/>
      <w:bookmarkStart w:id="195" w:name="_Toc382551397"/>
      <w:bookmarkStart w:id="196" w:name="_Toc381710243"/>
      <w:bookmarkStart w:id="197" w:name="_Toc381778465"/>
      <w:bookmarkStart w:id="198" w:name="_Toc381778519"/>
      <w:bookmarkStart w:id="199" w:name="_Toc381778573"/>
      <w:bookmarkStart w:id="200" w:name="_Toc381778690"/>
      <w:bookmarkStart w:id="201" w:name="_Toc381778747"/>
      <w:bookmarkStart w:id="202" w:name="_Toc381778801"/>
      <w:bookmarkStart w:id="203" w:name="_Toc381778855"/>
      <w:bookmarkStart w:id="204" w:name="_Toc381778909"/>
      <w:bookmarkStart w:id="205" w:name="_Toc381781019"/>
      <w:bookmarkStart w:id="206" w:name="_Toc381790126"/>
      <w:bookmarkStart w:id="207" w:name="_Toc381791817"/>
      <w:bookmarkStart w:id="208" w:name="_Toc381795429"/>
      <w:bookmarkStart w:id="209" w:name="_Toc381798552"/>
      <w:bookmarkStart w:id="210" w:name="_Toc381798607"/>
      <w:bookmarkStart w:id="211" w:name="_Toc381800328"/>
      <w:bookmarkStart w:id="212" w:name="_Toc381802721"/>
      <w:bookmarkStart w:id="213" w:name="_Toc381855972"/>
      <w:bookmarkStart w:id="214" w:name="_Toc381863975"/>
      <w:bookmarkStart w:id="215" w:name="_Toc381868784"/>
      <w:bookmarkStart w:id="216" w:name="_Toc381944373"/>
      <w:bookmarkStart w:id="217" w:name="_Toc381944978"/>
      <w:bookmarkStart w:id="218" w:name="_Toc381954964"/>
      <w:bookmarkStart w:id="219" w:name="_Toc381956011"/>
      <w:bookmarkStart w:id="220" w:name="_Toc382200652"/>
      <w:bookmarkStart w:id="221" w:name="_Toc382203031"/>
      <w:bookmarkStart w:id="222" w:name="_Toc382208288"/>
      <w:bookmarkStart w:id="223" w:name="_Toc382208695"/>
      <w:bookmarkStart w:id="224" w:name="_Toc382287142"/>
      <w:bookmarkStart w:id="225" w:name="_Toc382287191"/>
      <w:bookmarkStart w:id="226" w:name="_Toc382287710"/>
      <w:bookmarkStart w:id="227" w:name="_Toc382288937"/>
      <w:bookmarkStart w:id="228" w:name="_Toc382289190"/>
      <w:bookmarkStart w:id="229" w:name="_Toc382289286"/>
      <w:bookmarkStart w:id="230" w:name="_Toc382289392"/>
      <w:bookmarkStart w:id="231" w:name="_Toc382290187"/>
      <w:bookmarkStart w:id="232" w:name="_Toc382290237"/>
      <w:bookmarkStart w:id="233" w:name="_Toc382290287"/>
      <w:bookmarkStart w:id="234" w:name="_Toc382290337"/>
      <w:bookmarkStart w:id="235" w:name="_Toc382290386"/>
      <w:bookmarkStart w:id="236" w:name="_Toc382290436"/>
      <w:bookmarkStart w:id="237" w:name="_Toc382296939"/>
      <w:bookmarkStart w:id="238" w:name="_Toc382308324"/>
      <w:bookmarkStart w:id="239" w:name="_Toc382308736"/>
      <w:bookmarkStart w:id="240" w:name="_Toc382309033"/>
      <w:bookmarkStart w:id="241" w:name="_Toc382311143"/>
      <w:bookmarkStart w:id="242" w:name="_Toc382315802"/>
      <w:bookmarkStart w:id="243" w:name="_Toc382378392"/>
      <w:bookmarkStart w:id="244" w:name="_Toc382395824"/>
      <w:bookmarkStart w:id="245" w:name="_Toc382398399"/>
      <w:bookmarkStart w:id="246" w:name="_Toc382404644"/>
      <w:bookmarkStart w:id="247" w:name="_Toc382461954"/>
      <w:bookmarkStart w:id="248" w:name="_Toc382465004"/>
      <w:bookmarkStart w:id="249" w:name="_Toc382472899"/>
      <w:bookmarkStart w:id="250" w:name="_Toc382477969"/>
      <w:bookmarkStart w:id="251" w:name="_Toc382543584"/>
      <w:bookmarkStart w:id="252" w:name="_Toc382544616"/>
      <w:bookmarkStart w:id="253" w:name="_Toc382551398"/>
      <w:bookmarkStart w:id="254" w:name="_Toc381710244"/>
      <w:bookmarkStart w:id="255" w:name="_Toc381778466"/>
      <w:bookmarkStart w:id="256" w:name="_Toc381778520"/>
      <w:bookmarkStart w:id="257" w:name="_Toc381778574"/>
      <w:bookmarkStart w:id="258" w:name="_Toc381778691"/>
      <w:bookmarkStart w:id="259" w:name="_Toc381778748"/>
      <w:bookmarkStart w:id="260" w:name="_Toc381778802"/>
      <w:bookmarkStart w:id="261" w:name="_Toc381778856"/>
      <w:bookmarkStart w:id="262" w:name="_Toc381778910"/>
      <w:bookmarkStart w:id="263" w:name="_Toc381781020"/>
      <w:bookmarkStart w:id="264" w:name="_Toc381790127"/>
      <w:bookmarkStart w:id="265" w:name="_Toc381791818"/>
      <w:bookmarkStart w:id="266" w:name="_Toc381795430"/>
      <w:bookmarkStart w:id="267" w:name="_Toc381798553"/>
      <w:bookmarkStart w:id="268" w:name="_Toc381798608"/>
      <w:bookmarkStart w:id="269" w:name="_Toc381800329"/>
      <w:bookmarkStart w:id="270" w:name="_Toc381802722"/>
      <w:bookmarkStart w:id="271" w:name="_Toc381855973"/>
      <w:bookmarkStart w:id="272" w:name="_Toc381863976"/>
      <w:bookmarkStart w:id="273" w:name="_Toc381868785"/>
      <w:bookmarkStart w:id="274" w:name="_Toc381944374"/>
      <w:bookmarkStart w:id="275" w:name="_Toc381944979"/>
      <w:bookmarkStart w:id="276" w:name="_Toc381954965"/>
      <w:bookmarkStart w:id="277" w:name="_Toc381956012"/>
      <w:bookmarkStart w:id="278" w:name="_Toc382200653"/>
      <w:bookmarkStart w:id="279" w:name="_Toc382203032"/>
      <w:bookmarkStart w:id="280" w:name="_Toc382208289"/>
      <w:bookmarkStart w:id="281" w:name="_Toc382208696"/>
      <w:bookmarkStart w:id="282" w:name="_Toc382287143"/>
      <w:bookmarkStart w:id="283" w:name="_Toc382287192"/>
      <w:bookmarkStart w:id="284" w:name="_Toc382287711"/>
      <w:bookmarkStart w:id="285" w:name="_Toc382288938"/>
      <w:bookmarkStart w:id="286" w:name="_Toc382289191"/>
      <w:bookmarkStart w:id="287" w:name="_Toc382289287"/>
      <w:bookmarkStart w:id="288" w:name="_Toc382289393"/>
      <w:bookmarkStart w:id="289" w:name="_Toc382290188"/>
      <w:bookmarkStart w:id="290" w:name="_Toc382290238"/>
      <w:bookmarkStart w:id="291" w:name="_Toc382290288"/>
      <w:bookmarkStart w:id="292" w:name="_Toc382290338"/>
      <w:bookmarkStart w:id="293" w:name="_Toc382290387"/>
      <w:bookmarkStart w:id="294" w:name="_Toc382290437"/>
      <w:bookmarkStart w:id="295" w:name="_Toc382296940"/>
      <w:bookmarkStart w:id="296" w:name="_Toc382308325"/>
      <w:bookmarkStart w:id="297" w:name="_Toc382308737"/>
      <w:bookmarkStart w:id="298" w:name="_Toc382309034"/>
      <w:bookmarkStart w:id="299" w:name="_Toc382311144"/>
      <w:bookmarkStart w:id="300" w:name="_Toc382315803"/>
      <w:bookmarkStart w:id="301" w:name="_Toc382378393"/>
      <w:bookmarkStart w:id="302" w:name="_Toc382395825"/>
      <w:bookmarkStart w:id="303" w:name="_Toc382398400"/>
      <w:bookmarkStart w:id="304" w:name="_Toc382404645"/>
      <w:bookmarkStart w:id="305" w:name="_Toc382461955"/>
      <w:bookmarkStart w:id="306" w:name="_Toc382465005"/>
      <w:bookmarkStart w:id="307" w:name="_Toc382472900"/>
      <w:bookmarkStart w:id="308" w:name="_Toc382477970"/>
      <w:bookmarkStart w:id="309" w:name="_Toc382543585"/>
      <w:bookmarkStart w:id="310" w:name="_Toc382544617"/>
      <w:bookmarkStart w:id="311" w:name="_Toc382551399"/>
      <w:bookmarkStart w:id="312" w:name="_Toc384735332"/>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r w:rsidRPr="009A1A2E">
        <w:rPr>
          <w:b/>
          <w:lang w:val="en-AU"/>
        </w:rPr>
        <w:t>Power Supply</w:t>
      </w:r>
      <w:bookmarkEnd w:id="312"/>
    </w:p>
    <w:p w14:paraId="60CED9A0" w14:textId="77777777" w:rsidR="00EA1EB0" w:rsidRPr="009A1A2E" w:rsidRDefault="00EA1EB0" w:rsidP="004D2B93">
      <w:pPr>
        <w:pStyle w:val="Textbody"/>
        <w:rPr>
          <w:lang w:val="en-AU"/>
        </w:rPr>
      </w:pPr>
      <w:r w:rsidRPr="009A1A2E">
        <w:rPr>
          <w:lang w:val="en-AU"/>
        </w:rPr>
        <w:t xml:space="preserve">The implant system is powered by one hearing aid (type 675) battery in the </w:t>
      </w:r>
      <w:r w:rsidR="00286A02" w:rsidRPr="009A1A2E">
        <w:rPr>
          <w:lang w:val="en-AU"/>
        </w:rPr>
        <w:t>audio processor (</w:t>
      </w:r>
      <w:r w:rsidRPr="009A1A2E">
        <w:rPr>
          <w:lang w:val="en-AU"/>
        </w:rPr>
        <w:t>AP</w:t>
      </w:r>
      <w:r w:rsidR="00286A02" w:rsidRPr="009A1A2E">
        <w:rPr>
          <w:lang w:val="en-AU"/>
        </w:rPr>
        <w:t>)</w:t>
      </w:r>
      <w:r w:rsidRPr="009A1A2E">
        <w:rPr>
          <w:lang w:val="en-AU"/>
        </w:rPr>
        <w:t xml:space="preserve">. As described in section 4.0, the processed </w:t>
      </w:r>
      <w:r w:rsidR="00944F5B" w:rsidRPr="009A1A2E">
        <w:rPr>
          <w:lang w:val="en-AU"/>
        </w:rPr>
        <w:t>aud</w:t>
      </w:r>
      <w:r w:rsidRPr="009A1A2E">
        <w:rPr>
          <w:lang w:val="en-AU"/>
        </w:rPr>
        <w:t xml:space="preserve">io signal and the energy required for generating the vibration is coupled to the implant via an inductive link. The implant has been intentionally designed to be passive when not activated with the </w:t>
      </w:r>
      <w:r w:rsidR="00286A02" w:rsidRPr="009A1A2E">
        <w:rPr>
          <w:lang w:val="en-AU"/>
        </w:rPr>
        <w:t>AP</w:t>
      </w:r>
      <w:r w:rsidRPr="009A1A2E">
        <w:rPr>
          <w:lang w:val="en-AU"/>
        </w:rPr>
        <w:t xml:space="preserve"> and therefore does not require an energy source of its own.</w:t>
      </w:r>
    </w:p>
    <w:p w14:paraId="7A7FB972" w14:textId="77777777" w:rsidR="004D2B93" w:rsidRPr="009A1A2E" w:rsidRDefault="004D2B93" w:rsidP="004D2B93">
      <w:pPr>
        <w:pStyle w:val="Textbody"/>
        <w:rPr>
          <w:lang w:val="en-AU"/>
        </w:rPr>
      </w:pPr>
    </w:p>
    <w:p w14:paraId="10FA40F4" w14:textId="77777777" w:rsidR="00EA1EB0" w:rsidRPr="009A1A2E" w:rsidRDefault="00EA1EB0" w:rsidP="004D2B93">
      <w:pPr>
        <w:pStyle w:val="Textbody"/>
        <w:rPr>
          <w:b/>
          <w:lang w:val="en-AU"/>
        </w:rPr>
      </w:pPr>
      <w:bookmarkStart w:id="313" w:name="_Toc384735333"/>
      <w:r w:rsidRPr="009A1A2E">
        <w:rPr>
          <w:b/>
          <w:lang w:val="en-AU"/>
        </w:rPr>
        <w:t>Electrical Characteristics</w:t>
      </w:r>
      <w:bookmarkEnd w:id="313"/>
    </w:p>
    <w:p w14:paraId="6B9A91E7" w14:textId="77777777" w:rsidR="00EA1EB0" w:rsidRPr="009A1A2E" w:rsidRDefault="00EA1EB0" w:rsidP="004D2B93">
      <w:pPr>
        <w:pStyle w:val="Textbody"/>
        <w:rPr>
          <w:lang w:val="en-AU"/>
        </w:rPr>
      </w:pPr>
      <w:r w:rsidRPr="009A1A2E">
        <w:rPr>
          <w:lang w:val="en-AU"/>
        </w:rPr>
        <w:t>Unlike other hearing implants such as cochlear implants, neither the AP nor the implant itself is capable of delivering electrical signals to the patient. Electricity is exclusively needed to operate the circuits within the AP, which then supplies signals to the implant via electronic induction. The implant system is only active in the way that it creates mechanical (vibrational) energy, which is passed to the inner ear.</w:t>
      </w:r>
    </w:p>
    <w:p w14:paraId="23DC2CC7" w14:textId="77777777" w:rsidR="004D2B93" w:rsidRPr="009A1A2E" w:rsidRDefault="004D2B93" w:rsidP="004D2B93">
      <w:pPr>
        <w:pStyle w:val="Textbody"/>
        <w:rPr>
          <w:lang w:val="en-AU"/>
        </w:rPr>
      </w:pPr>
    </w:p>
    <w:p w14:paraId="50AE8A76" w14:textId="77777777" w:rsidR="00EA1EB0" w:rsidRPr="009A1A2E" w:rsidRDefault="00EA1EB0" w:rsidP="004D2B93">
      <w:pPr>
        <w:pStyle w:val="Textbody"/>
        <w:rPr>
          <w:b/>
          <w:lang w:val="en-AU"/>
        </w:rPr>
      </w:pPr>
      <w:bookmarkStart w:id="314" w:name="_Toc384735334"/>
      <w:r w:rsidRPr="009A1A2E">
        <w:rPr>
          <w:b/>
          <w:lang w:val="en-AU"/>
        </w:rPr>
        <w:t>Signal Processing Capabilities</w:t>
      </w:r>
      <w:bookmarkEnd w:id="314"/>
    </w:p>
    <w:p w14:paraId="5302A53C" w14:textId="77777777" w:rsidR="00EA1EB0" w:rsidRPr="009A1A2E" w:rsidRDefault="00F56CA2" w:rsidP="004D2B93">
      <w:pPr>
        <w:pStyle w:val="Textbody"/>
        <w:rPr>
          <w:lang w:val="en-AU"/>
        </w:rPr>
      </w:pPr>
      <w:r w:rsidRPr="009A1A2E">
        <w:rPr>
          <w:lang w:val="en-AU"/>
        </w:rPr>
        <w:t>A</w:t>
      </w:r>
      <w:r w:rsidR="00944F5B" w:rsidRPr="009A1A2E">
        <w:rPr>
          <w:lang w:val="en-AU"/>
        </w:rPr>
        <w:t>ud</w:t>
      </w:r>
      <w:r w:rsidR="00EA1EB0" w:rsidRPr="009A1A2E">
        <w:rPr>
          <w:lang w:val="en-AU"/>
        </w:rPr>
        <w:t>io signal processing is exclusively performed by the AP. The following key features have to be present in the AP to ensure that effective bone conduction stimulation can be achieved:</w:t>
      </w:r>
    </w:p>
    <w:p w14:paraId="2789DCDE" w14:textId="77777777" w:rsidR="00EA1EB0" w:rsidRPr="009A1A2E" w:rsidRDefault="00EA1EB0" w:rsidP="00B853EF">
      <w:pPr>
        <w:pStyle w:val="Textbody"/>
        <w:numPr>
          <w:ilvl w:val="0"/>
          <w:numId w:val="47"/>
        </w:numPr>
        <w:rPr>
          <w:lang w:val="en-AU"/>
        </w:rPr>
      </w:pPr>
      <w:r w:rsidRPr="009A1A2E">
        <w:rPr>
          <w:lang w:val="en-AU"/>
        </w:rPr>
        <w:t xml:space="preserve">Frequency response equalization: The </w:t>
      </w:r>
      <w:r w:rsidR="00944F5B" w:rsidRPr="009A1A2E">
        <w:rPr>
          <w:lang w:val="en-AU"/>
        </w:rPr>
        <w:t>aud</w:t>
      </w:r>
      <w:r w:rsidRPr="009A1A2E">
        <w:rPr>
          <w:lang w:val="en-AU"/>
        </w:rPr>
        <w:t xml:space="preserve">io signal picked up by the microphone is processed through a filter bank. The filter bank is used to equalize the frequency </w:t>
      </w:r>
      <w:r w:rsidRPr="009A1A2E">
        <w:rPr>
          <w:lang w:val="en-AU"/>
        </w:rPr>
        <w:lastRenderedPageBreak/>
        <w:t>response of the bone conduction pathway. In addition, it is used to adapt the signal processing to the individual patient’s degree of he</w:t>
      </w:r>
      <w:r w:rsidR="00F56CA2" w:rsidRPr="009A1A2E">
        <w:rPr>
          <w:lang w:val="en-AU"/>
        </w:rPr>
        <w:t>aring loss</w:t>
      </w:r>
      <w:r w:rsidRPr="009A1A2E">
        <w:rPr>
          <w:lang w:val="en-AU"/>
        </w:rPr>
        <w:t>.</w:t>
      </w:r>
    </w:p>
    <w:p w14:paraId="6EEB03F7" w14:textId="77777777" w:rsidR="00EA1EB0" w:rsidRPr="009A1A2E" w:rsidRDefault="00EA1EB0" w:rsidP="004D2B93">
      <w:pPr>
        <w:pStyle w:val="Textbody"/>
        <w:rPr>
          <w:lang w:val="en-AU"/>
        </w:rPr>
      </w:pPr>
    </w:p>
    <w:p w14:paraId="49041A55" w14:textId="77777777" w:rsidR="00EA1EB0" w:rsidRPr="009A1A2E" w:rsidRDefault="00EA1EB0" w:rsidP="00B853EF">
      <w:pPr>
        <w:pStyle w:val="Textbody"/>
        <w:numPr>
          <w:ilvl w:val="0"/>
          <w:numId w:val="47"/>
        </w:numPr>
        <w:rPr>
          <w:lang w:val="en-AU"/>
        </w:rPr>
      </w:pPr>
      <w:r w:rsidRPr="009A1A2E">
        <w:rPr>
          <w:lang w:val="en-AU"/>
        </w:rPr>
        <w:t xml:space="preserve">Dynamics processing: Due to the constrained dynamic range of the bone conduction pathway (compared to the normal </w:t>
      </w:r>
      <w:r w:rsidR="00944F5B" w:rsidRPr="009A1A2E">
        <w:rPr>
          <w:lang w:val="en-AU"/>
        </w:rPr>
        <w:t>aud</w:t>
      </w:r>
      <w:r w:rsidRPr="009A1A2E">
        <w:rPr>
          <w:lang w:val="en-AU"/>
        </w:rPr>
        <w:t>itory pathway via the tympanic membrane) dynamics processing (specifically compression) is needed. As with frequency response equalization, the patient’s degree of hearing loss influences the setting of the dynamics processor.</w:t>
      </w:r>
    </w:p>
    <w:p w14:paraId="3D73159B" w14:textId="77777777" w:rsidR="00EA1EB0" w:rsidRPr="009A1A2E" w:rsidRDefault="00EA1EB0" w:rsidP="004D2B93">
      <w:pPr>
        <w:pStyle w:val="Textbody"/>
        <w:rPr>
          <w:lang w:val="en-AU"/>
        </w:rPr>
      </w:pPr>
    </w:p>
    <w:p w14:paraId="0310B647" w14:textId="77777777" w:rsidR="00EA1EB0" w:rsidRPr="009A1A2E" w:rsidRDefault="00EA1EB0" w:rsidP="004D2B93">
      <w:pPr>
        <w:pStyle w:val="Textbody"/>
        <w:rPr>
          <w:lang w:val="en-AU"/>
        </w:rPr>
      </w:pPr>
      <w:r w:rsidRPr="009A1A2E">
        <w:rPr>
          <w:lang w:val="en-AU"/>
        </w:rPr>
        <w:t>Additional features may be available in different models of the AP. They can be used to increase listening comfort in certain situations, but do not contribute to the clinical benefit of the VSB established within this report.</w:t>
      </w:r>
    </w:p>
    <w:p w14:paraId="332D628A" w14:textId="77777777" w:rsidR="00F56CA2" w:rsidRPr="009A1A2E" w:rsidRDefault="00F56CA2" w:rsidP="004D2B93">
      <w:pPr>
        <w:pStyle w:val="Textbody"/>
        <w:rPr>
          <w:lang w:val="en-AU"/>
        </w:rPr>
      </w:pPr>
    </w:p>
    <w:p w14:paraId="6F2A0A12" w14:textId="77777777" w:rsidR="00EA1EB0" w:rsidRPr="009A1A2E" w:rsidRDefault="00EA1EB0" w:rsidP="004D2B93">
      <w:pPr>
        <w:pStyle w:val="Textbody"/>
        <w:rPr>
          <w:b/>
          <w:u w:val="single"/>
          <w:lang w:val="en-AU"/>
        </w:rPr>
      </w:pPr>
      <w:bookmarkStart w:id="315" w:name="_Toc384735335"/>
      <w:r w:rsidRPr="009A1A2E">
        <w:rPr>
          <w:b/>
          <w:u w:val="single"/>
          <w:lang w:val="en-AU"/>
        </w:rPr>
        <w:t>Individual Programming</w:t>
      </w:r>
      <w:bookmarkEnd w:id="315"/>
    </w:p>
    <w:p w14:paraId="3AD13F63" w14:textId="77777777" w:rsidR="00EA1EB0" w:rsidRPr="009A1A2E" w:rsidRDefault="00EA1EB0" w:rsidP="004D2B93">
      <w:pPr>
        <w:pStyle w:val="Textbody"/>
        <w:rPr>
          <w:lang w:val="en-AU"/>
        </w:rPr>
      </w:pPr>
      <w:r w:rsidRPr="009A1A2E">
        <w:rPr>
          <w:lang w:val="en-AU"/>
        </w:rPr>
        <w:t>The key fe</w:t>
      </w:r>
      <w:r w:rsidR="00F56CA2" w:rsidRPr="009A1A2E">
        <w:rPr>
          <w:lang w:val="en-AU"/>
        </w:rPr>
        <w:t xml:space="preserve">atures - </w:t>
      </w:r>
      <w:r w:rsidRPr="009A1A2E">
        <w:rPr>
          <w:lang w:val="en-AU"/>
        </w:rPr>
        <w:t>frequency response equalization and dynamics processing se</w:t>
      </w:r>
      <w:r w:rsidR="00F56CA2" w:rsidRPr="009A1A2E">
        <w:rPr>
          <w:lang w:val="en-AU"/>
        </w:rPr>
        <w:t>ttings -</w:t>
      </w:r>
      <w:r w:rsidRPr="009A1A2E">
        <w:rPr>
          <w:lang w:val="en-AU"/>
        </w:rPr>
        <w:t xml:space="preserve"> have to be individually programmed for each patient. This programming is performed with a software application (Symfit) and a fitting interface (e.g. HiPro or NOAHlink). The programming is done by trained hearing specialists at each center and settings cannot be changed by the individual VSB user.</w:t>
      </w:r>
    </w:p>
    <w:p w14:paraId="087993B5" w14:textId="77777777" w:rsidR="00EA1EB0" w:rsidRPr="009A1A2E" w:rsidRDefault="00EA1EB0" w:rsidP="004D2B93">
      <w:pPr>
        <w:pStyle w:val="Textbody"/>
        <w:rPr>
          <w:lang w:val="en-AU"/>
        </w:rPr>
      </w:pPr>
    </w:p>
    <w:p w14:paraId="3B2438F5" w14:textId="77777777" w:rsidR="00A03A56" w:rsidRPr="009A1A2E" w:rsidRDefault="00A03A56" w:rsidP="004D2B93">
      <w:pPr>
        <w:pStyle w:val="Textbody"/>
        <w:rPr>
          <w:lang w:val="en-AU"/>
        </w:rPr>
      </w:pPr>
      <w:bookmarkStart w:id="316" w:name="_Toc316369883"/>
    </w:p>
    <w:p w14:paraId="77A9DD4D" w14:textId="77777777" w:rsidR="00136D50" w:rsidRPr="009A1A2E" w:rsidRDefault="00136D50" w:rsidP="00DB636F">
      <w:pPr>
        <w:pStyle w:val="Heading30"/>
        <w:rPr>
          <w:lang w:val="en-AU"/>
        </w:rPr>
      </w:pPr>
      <w:bookmarkStart w:id="317" w:name="_Toc400549396"/>
      <w:bookmarkStart w:id="318" w:name="_Toc431917549"/>
      <w:r w:rsidRPr="009A1A2E">
        <w:rPr>
          <w:lang w:val="en-AU"/>
        </w:rPr>
        <w:t>A.1.1</w:t>
      </w:r>
      <w:r w:rsidRPr="009A1A2E">
        <w:rPr>
          <w:lang w:val="en-AU"/>
        </w:rPr>
        <w:tab/>
      </w:r>
      <w:bookmarkEnd w:id="316"/>
      <w:r w:rsidR="005D1FFA" w:rsidRPr="009A1A2E">
        <w:rPr>
          <w:lang w:val="en-AU"/>
        </w:rPr>
        <w:t>Health technology assessment</w:t>
      </w:r>
      <w:r w:rsidR="00B05F8B" w:rsidRPr="009A1A2E">
        <w:rPr>
          <w:lang w:val="en-AU"/>
        </w:rPr>
        <w:t xml:space="preserve"> </w:t>
      </w:r>
      <w:r w:rsidR="00210DF9" w:rsidRPr="009A1A2E">
        <w:rPr>
          <w:lang w:val="en-AU"/>
        </w:rPr>
        <w:t>background</w:t>
      </w:r>
      <w:bookmarkEnd w:id="317"/>
      <w:bookmarkEnd w:id="318"/>
    </w:p>
    <w:p w14:paraId="4A9BCC0E" w14:textId="77777777" w:rsidR="00D84C5F" w:rsidRPr="009A1A2E" w:rsidRDefault="00897236" w:rsidP="004D2B93">
      <w:pPr>
        <w:pStyle w:val="Textbody"/>
        <w:rPr>
          <w:lang w:val="en-AU"/>
        </w:rPr>
      </w:pPr>
      <w:r w:rsidRPr="009A1A2E">
        <w:rPr>
          <w:lang w:val="en-AU"/>
        </w:rPr>
        <w:t>Health technology assessment (HTA) is a multidisciplinary activity that systematically</w:t>
      </w:r>
      <w:r w:rsidR="00D84C5F" w:rsidRPr="009A1A2E">
        <w:rPr>
          <w:lang w:val="en-AU"/>
        </w:rPr>
        <w:t xml:space="preserve"> </w:t>
      </w:r>
      <w:r w:rsidRPr="009A1A2E">
        <w:rPr>
          <w:lang w:val="en-AU"/>
        </w:rPr>
        <w:t>examines the technical performance, safety, clinical efficacy, and effectiveness, cost, cost</w:t>
      </w:r>
      <w:r w:rsidR="00AC4669" w:rsidRPr="009A1A2E">
        <w:rPr>
          <w:lang w:val="en-AU"/>
        </w:rPr>
        <w:t xml:space="preserve"> </w:t>
      </w:r>
      <w:r w:rsidRPr="009A1A2E">
        <w:rPr>
          <w:lang w:val="en-AU"/>
        </w:rPr>
        <w:t>effectiveness, organizational implications, social consequences, legal, and ethical considerations of the application of a health technology</w:t>
      </w:r>
      <w:r w:rsidR="0081008C" w:rsidRPr="009A1A2E">
        <w:rPr>
          <w:lang w:val="en-AU"/>
        </w:rPr>
        <w:t xml:space="preserve">. </w:t>
      </w:r>
      <w:r w:rsidR="00D84C5F" w:rsidRPr="009A1A2E">
        <w:rPr>
          <w:lang w:val="en-AU"/>
        </w:rPr>
        <w:t xml:space="preserve">HTA </w:t>
      </w:r>
      <w:r w:rsidR="0081008C" w:rsidRPr="009A1A2E">
        <w:rPr>
          <w:lang w:val="en-AU"/>
        </w:rPr>
        <w:t xml:space="preserve">activities </w:t>
      </w:r>
      <w:r w:rsidR="00D84C5F" w:rsidRPr="009A1A2E">
        <w:rPr>
          <w:lang w:val="en-AU"/>
        </w:rPr>
        <w:t>are characterized by a systematic and structured way of answering questions by evaluating and synthesizing available evidence</w:t>
      </w:r>
      <w:r w:rsidR="0081008C" w:rsidRPr="009A1A2E">
        <w:rPr>
          <w:lang w:val="en-AU"/>
        </w:rPr>
        <w:t xml:space="preserve"> from the literature</w:t>
      </w:r>
      <w:r w:rsidR="00417724" w:rsidRPr="009A1A2E">
        <w:rPr>
          <w:lang w:val="en-AU"/>
        </w:rPr>
        <w:t xml:space="preserve"> (</w:t>
      </w:r>
      <w:r w:rsidR="00417724" w:rsidRPr="009A1A2E">
        <w:rPr>
          <w:lang w:val="en-AU"/>
        </w:rPr>
        <w:fldChar w:fldCharType="begin"/>
      </w:r>
      <w:r w:rsidR="00417724" w:rsidRPr="009A1A2E">
        <w:rPr>
          <w:lang w:val="en-AU"/>
        </w:rPr>
        <w:instrText xml:space="preserve"> REF _Ref400458814 \h </w:instrText>
      </w:r>
      <w:r w:rsidR="00417724" w:rsidRPr="009A1A2E">
        <w:rPr>
          <w:lang w:val="en-AU"/>
        </w:rPr>
      </w:r>
      <w:r w:rsidR="00417724" w:rsidRPr="009A1A2E">
        <w:rPr>
          <w:lang w:val="en-AU"/>
        </w:rPr>
        <w:fldChar w:fldCharType="separate"/>
      </w:r>
      <w:r w:rsidR="00016592" w:rsidRPr="009A1A2E">
        <w:rPr>
          <w:lang w:val="en-AU"/>
        </w:rPr>
        <w:t xml:space="preserve">Fig </w:t>
      </w:r>
      <w:r w:rsidR="00016592">
        <w:rPr>
          <w:noProof/>
          <w:lang w:val="en-AU"/>
        </w:rPr>
        <w:t>7</w:t>
      </w:r>
      <w:r w:rsidR="00417724" w:rsidRPr="009A1A2E">
        <w:rPr>
          <w:lang w:val="en-AU"/>
        </w:rPr>
        <w:fldChar w:fldCharType="end"/>
      </w:r>
      <w:r w:rsidR="00417724" w:rsidRPr="009A1A2E">
        <w:rPr>
          <w:lang w:val="en-AU"/>
        </w:rPr>
        <w:t>)</w:t>
      </w:r>
      <w:r w:rsidR="00D84C5F" w:rsidRPr="009A1A2E">
        <w:rPr>
          <w:lang w:val="en-AU"/>
        </w:rPr>
        <w:t>.</w:t>
      </w:r>
    </w:p>
    <w:p w14:paraId="55F0234E" w14:textId="77777777" w:rsidR="00D84C5F" w:rsidRPr="009A1A2E" w:rsidRDefault="00D84C5F" w:rsidP="004D2B93">
      <w:pPr>
        <w:pStyle w:val="Textbody"/>
        <w:rPr>
          <w:lang w:val="en-AU"/>
        </w:rPr>
      </w:pPr>
    </w:p>
    <w:p w14:paraId="78874897" w14:textId="77777777" w:rsidR="00EA7A99" w:rsidRPr="009A1A2E" w:rsidRDefault="00D84C5F" w:rsidP="00EA7A99">
      <w:pPr>
        <w:keepNext/>
        <w:jc w:val="center"/>
      </w:pPr>
      <w:r w:rsidRPr="009A1A2E">
        <w:rPr>
          <w:noProof/>
        </w:rPr>
        <w:lastRenderedPageBreak/>
        <w:drawing>
          <wp:inline distT="0" distB="0" distL="0" distR="0" wp14:anchorId="09142784" wp14:editId="5AC16DC2">
            <wp:extent cx="5010150" cy="6829425"/>
            <wp:effectExtent l="0" t="0" r="0" b="9525"/>
            <wp:docPr id="24" name="Grafik 24" descr="Flow diagram of literature selectio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010150" cy="6829425"/>
                    </a:xfrm>
                    <a:prstGeom prst="rect">
                      <a:avLst/>
                    </a:prstGeom>
                  </pic:spPr>
                </pic:pic>
              </a:graphicData>
            </a:graphic>
          </wp:inline>
        </w:drawing>
      </w:r>
    </w:p>
    <w:p w14:paraId="78F8C037" w14:textId="77777777" w:rsidR="002745B0" w:rsidRPr="009A1A2E" w:rsidRDefault="00EA7A99" w:rsidP="00EA7A99">
      <w:pPr>
        <w:pStyle w:val="Figure"/>
        <w:rPr>
          <w:lang w:val="en-AU"/>
        </w:rPr>
      </w:pPr>
      <w:bookmarkStart w:id="319" w:name="_Ref400458814"/>
      <w:bookmarkStart w:id="320" w:name="_Toc400395266"/>
      <w:bookmarkStart w:id="321" w:name="_Toc431653916"/>
      <w:bookmarkStart w:id="322" w:name="_Toc400393965"/>
      <w:r w:rsidRPr="009A1A2E">
        <w:rPr>
          <w:lang w:val="en-AU"/>
        </w:rPr>
        <w:t xml:space="preserve">Fig </w:t>
      </w:r>
      <w:r w:rsidRPr="009A1A2E">
        <w:rPr>
          <w:lang w:val="en-AU"/>
        </w:rPr>
        <w:fldChar w:fldCharType="begin"/>
      </w:r>
      <w:r w:rsidRPr="009A1A2E">
        <w:rPr>
          <w:lang w:val="en-AU"/>
        </w:rPr>
        <w:instrText xml:space="preserve"> SEQ Fig \* ARABIC </w:instrText>
      </w:r>
      <w:r w:rsidRPr="009A1A2E">
        <w:rPr>
          <w:lang w:val="en-AU"/>
        </w:rPr>
        <w:fldChar w:fldCharType="separate"/>
      </w:r>
      <w:r w:rsidR="00016592">
        <w:rPr>
          <w:noProof/>
          <w:lang w:val="en-AU"/>
        </w:rPr>
        <w:t>7</w:t>
      </w:r>
      <w:r w:rsidRPr="009A1A2E">
        <w:rPr>
          <w:lang w:val="en-AU"/>
        </w:rPr>
        <w:fldChar w:fldCharType="end"/>
      </w:r>
      <w:bookmarkEnd w:id="319"/>
      <w:r w:rsidR="00E94E3C" w:rsidRPr="009A1A2E">
        <w:rPr>
          <w:lang w:val="en-AU"/>
        </w:rPr>
        <w:t xml:space="preserve"> - </w:t>
      </w:r>
      <w:r w:rsidRPr="009A1A2E">
        <w:rPr>
          <w:lang w:val="en-AU"/>
        </w:rPr>
        <w:t xml:space="preserve">Flow diagram </w:t>
      </w:r>
      <w:r w:rsidR="002745B0" w:rsidRPr="009A1A2E">
        <w:rPr>
          <w:lang w:val="en-AU"/>
        </w:rPr>
        <w:t>of literature selection process</w:t>
      </w:r>
      <w:bookmarkEnd w:id="320"/>
      <w:bookmarkEnd w:id="321"/>
    </w:p>
    <w:p w14:paraId="79F2E574" w14:textId="77777777" w:rsidR="00D84C5F" w:rsidRPr="009A1A2E" w:rsidRDefault="00EA7A99" w:rsidP="00EA7A99">
      <w:pPr>
        <w:pStyle w:val="Figure"/>
        <w:rPr>
          <w:b w:val="0"/>
          <w:highlight w:val="lightGray"/>
          <w:u w:val="none"/>
          <w:lang w:val="en-AU"/>
        </w:rPr>
      </w:pPr>
      <w:r w:rsidRPr="009A1A2E">
        <w:rPr>
          <w:b w:val="0"/>
          <w:u w:val="none"/>
          <w:lang w:val="en-AU"/>
        </w:rPr>
        <w:t>(adapted from Khan et al.)</w:t>
      </w:r>
      <w:bookmarkEnd w:id="322"/>
    </w:p>
    <w:p w14:paraId="76598D7F" w14:textId="77777777" w:rsidR="0081008C" w:rsidRDefault="0081008C" w:rsidP="00644BAE">
      <w:pPr>
        <w:pStyle w:val="Textbody"/>
        <w:rPr>
          <w:lang w:val="en-AU"/>
        </w:rPr>
      </w:pPr>
    </w:p>
    <w:p w14:paraId="649632CD" w14:textId="77777777" w:rsidR="00A52ABF" w:rsidRPr="009A1A2E" w:rsidRDefault="00A52ABF" w:rsidP="00644BAE">
      <w:pPr>
        <w:pStyle w:val="Textbody"/>
        <w:rPr>
          <w:lang w:val="en-AU"/>
        </w:rPr>
      </w:pPr>
    </w:p>
    <w:p w14:paraId="7127D170" w14:textId="77777777" w:rsidR="0081008C" w:rsidRPr="009A1A2E" w:rsidRDefault="0081008C" w:rsidP="00644BAE">
      <w:pPr>
        <w:pStyle w:val="Textbody"/>
        <w:rPr>
          <w:lang w:val="en-AU"/>
        </w:rPr>
      </w:pPr>
      <w:r w:rsidRPr="009A1A2E">
        <w:rPr>
          <w:lang w:val="en-AU"/>
        </w:rPr>
        <w:t xml:space="preserve">The proposed medical service has been considered under </w:t>
      </w:r>
      <w:r w:rsidR="00DB636F" w:rsidRPr="009A1A2E">
        <w:rPr>
          <w:lang w:val="en-AU"/>
        </w:rPr>
        <w:t xml:space="preserve">MSAC application 1137 in 2010. </w:t>
      </w:r>
      <w:r w:rsidRPr="009A1A2E">
        <w:rPr>
          <w:lang w:val="en-AU"/>
        </w:rPr>
        <w:t>While the assessment compared the MEI to Cochlear implants and BAHA as comparators, which have been excluded for the current application 1365, the main conclusions were:</w:t>
      </w:r>
    </w:p>
    <w:p w14:paraId="1F9AB644" w14:textId="77777777" w:rsidR="0081008C" w:rsidRPr="009A1A2E" w:rsidRDefault="0081008C" w:rsidP="00B853EF">
      <w:pPr>
        <w:pStyle w:val="Textbody"/>
        <w:numPr>
          <w:ilvl w:val="0"/>
          <w:numId w:val="48"/>
        </w:numPr>
        <w:rPr>
          <w:lang w:val="en-AU"/>
        </w:rPr>
      </w:pPr>
      <w:r w:rsidRPr="009A1A2E">
        <w:rPr>
          <w:b/>
          <w:lang w:val="en-AU"/>
        </w:rPr>
        <w:t>SAFETY:</w:t>
      </w:r>
      <w:r w:rsidRPr="009A1A2E">
        <w:rPr>
          <w:lang w:val="en-AU"/>
        </w:rPr>
        <w:t xml:space="preserve"> Overall, absolute evidence from case series studies suggests that MEI appears to be as safe as CI and BAHA. Certain adverse events are likely to be more </w:t>
      </w:r>
      <w:r w:rsidRPr="009A1A2E">
        <w:rPr>
          <w:lang w:val="en-AU"/>
        </w:rPr>
        <w:lastRenderedPageBreak/>
        <w:t xml:space="preserve">commonly seen in children, specifically with the BAHA, </w:t>
      </w:r>
      <w:r w:rsidR="00AC4669" w:rsidRPr="009A1A2E">
        <w:rPr>
          <w:lang w:val="en-AU"/>
        </w:rPr>
        <w:t xml:space="preserve">paediatric </w:t>
      </w:r>
      <w:r w:rsidRPr="009A1A2E">
        <w:rPr>
          <w:lang w:val="en-AU"/>
        </w:rPr>
        <w:t>bone is softer than that of adults, and has a longer osseointegration time, and hence may be more susceptible to device loosening or damage. Additionally, children may be likely to sustain head trauma during rambunctious play. Children may also be less reliable at cleaning and maintaining their implant site. This may be especially important in the case of the BAHA.</w:t>
      </w:r>
    </w:p>
    <w:p w14:paraId="0D4F1CDB" w14:textId="77777777" w:rsidR="0081008C" w:rsidRPr="009A1A2E" w:rsidRDefault="0081008C" w:rsidP="00644BAE">
      <w:pPr>
        <w:pStyle w:val="Textbody"/>
        <w:rPr>
          <w:lang w:val="en-AU"/>
        </w:rPr>
      </w:pPr>
    </w:p>
    <w:p w14:paraId="2F12C258" w14:textId="77777777" w:rsidR="0081008C" w:rsidRPr="009A1A2E" w:rsidRDefault="0081008C" w:rsidP="00B853EF">
      <w:pPr>
        <w:pStyle w:val="Textbody"/>
        <w:numPr>
          <w:ilvl w:val="0"/>
          <w:numId w:val="48"/>
        </w:numPr>
        <w:rPr>
          <w:lang w:val="en-AU"/>
        </w:rPr>
      </w:pPr>
      <w:r w:rsidRPr="009A1A2E">
        <w:rPr>
          <w:b/>
          <w:lang w:val="en-AU"/>
        </w:rPr>
        <w:t>EFFECTIVENESS:</w:t>
      </w:r>
      <w:r w:rsidRPr="009A1A2E">
        <w:rPr>
          <w:lang w:val="en-AU"/>
        </w:rPr>
        <w:t xml:space="preserve"> Generally, MEI implantation and/or activation led to improvements in patients with MHL and CHL. Only one comparative study assessed the MEI versus the CI, and no comparative studies assessed the MEI versus the BAHA. Functional gain provided by the MEI was usually of clinical significance (≥10 dB). Other effectiveness outcomes were varied and not uniformly reported across the studies. Where reported, quality of life and patient satisfaction outcomes showed improvements after MEI implantation or activation. Where reported, technical outcomes generally showed improvements after MEI implantation or activation but statistical analyses were generally not supplied. Generally the MEI appears to be as effective as the HA in patients with MHL.</w:t>
      </w:r>
    </w:p>
    <w:p w14:paraId="7DB67A10" w14:textId="77777777" w:rsidR="0081008C" w:rsidRPr="009A1A2E" w:rsidRDefault="0081008C" w:rsidP="00644BAE">
      <w:pPr>
        <w:pStyle w:val="Textbody"/>
        <w:rPr>
          <w:lang w:val="en-AU"/>
        </w:rPr>
      </w:pPr>
    </w:p>
    <w:p w14:paraId="5C75BEAF" w14:textId="77777777" w:rsidR="00417724" w:rsidRPr="009A1A2E" w:rsidRDefault="00417724" w:rsidP="00B853EF">
      <w:pPr>
        <w:pStyle w:val="Textbody"/>
        <w:numPr>
          <w:ilvl w:val="0"/>
          <w:numId w:val="48"/>
        </w:numPr>
        <w:rPr>
          <w:lang w:val="en-AU"/>
        </w:rPr>
      </w:pPr>
      <w:r w:rsidRPr="009A1A2E">
        <w:rPr>
          <w:b/>
          <w:lang w:val="en-AU"/>
        </w:rPr>
        <w:t>COST-EFFECTIVENESS:</w:t>
      </w:r>
      <w:r w:rsidRPr="009A1A2E">
        <w:rPr>
          <w:lang w:val="en-AU"/>
        </w:rPr>
        <w:t xml:space="preserve"> The estimated costs of MEI, BAHA and CI were taken from a number of sources (MBS, Australian Refined Diagnostic Related Group (AR-DRG), manufacturer’s implants and the median charged MBS fee). A one-night hospital stay would be necessary for all MEI (compare to 90% for CI and none for BAHA); </w:t>
      </w:r>
      <w:r w:rsidRPr="009A1A2E">
        <w:rPr>
          <w:b/>
          <w:lang w:val="en-AU"/>
        </w:rPr>
        <w:t xml:space="preserve">MEI can be performed as day surgery and under local anaesthetic. </w:t>
      </w:r>
      <w:r w:rsidRPr="009A1A2E">
        <w:rPr>
          <w:lang w:val="en-AU"/>
        </w:rPr>
        <w:t>Only costs incurred in the 1</w:t>
      </w:r>
      <w:r w:rsidRPr="009A1A2E">
        <w:rPr>
          <w:vertAlign w:val="superscript"/>
          <w:lang w:val="en-AU"/>
        </w:rPr>
        <w:t>st</w:t>
      </w:r>
      <w:r w:rsidR="00F82E0F" w:rsidRPr="009A1A2E">
        <w:rPr>
          <w:lang w:val="en-AU"/>
        </w:rPr>
        <w:t xml:space="preserve"> year were considered. </w:t>
      </w:r>
      <w:r w:rsidRPr="009A1A2E">
        <w:rPr>
          <w:lang w:val="en-AU"/>
        </w:rPr>
        <w:t>Although the MEI was shown to provide an overall cost saving if used as a direct replacement for CI/BAHA, it was indicated that if MEI replaces BAHA there will be an increase in cost.  However, this did not take into account the treatment costs of infection rates in the long term associated with a percutaneous character of the BAHA abutment.</w:t>
      </w:r>
    </w:p>
    <w:p w14:paraId="2C21179E" w14:textId="77777777" w:rsidR="0081008C" w:rsidRPr="009A1A2E" w:rsidRDefault="0081008C" w:rsidP="00644BAE">
      <w:pPr>
        <w:pStyle w:val="Textbody"/>
        <w:rPr>
          <w:lang w:val="en-AU"/>
        </w:rPr>
      </w:pPr>
    </w:p>
    <w:p w14:paraId="0C93CC49" w14:textId="77777777" w:rsidR="0081008C" w:rsidRPr="009A1A2E" w:rsidRDefault="0081008C" w:rsidP="00644BAE">
      <w:pPr>
        <w:pStyle w:val="Textbody"/>
        <w:rPr>
          <w:lang w:val="en-AU"/>
        </w:rPr>
      </w:pPr>
      <w:r w:rsidRPr="009A1A2E">
        <w:rPr>
          <w:lang w:val="en-AU"/>
        </w:rPr>
        <w:t>However, it was also indicated that there was:</w:t>
      </w:r>
    </w:p>
    <w:p w14:paraId="1D10D5BA" w14:textId="77777777" w:rsidR="0081008C" w:rsidRPr="009A1A2E" w:rsidRDefault="0081008C" w:rsidP="00B853EF">
      <w:pPr>
        <w:pStyle w:val="Textbody"/>
        <w:numPr>
          <w:ilvl w:val="0"/>
          <w:numId w:val="49"/>
        </w:numPr>
        <w:rPr>
          <w:lang w:val="en-AU"/>
        </w:rPr>
      </w:pPr>
      <w:r w:rsidRPr="009A1A2E">
        <w:rPr>
          <w:lang w:val="en-AU"/>
        </w:rPr>
        <w:t xml:space="preserve">Significant risk of residual hearing loss in MEI implantation compared to no risk in BAHA implantation; Unlike the CI literature, the MEI literature included many patients with mild or moderate HL. In these patients, any further deterioration in hearing may be of greater clinical importance compared with losses in patients with severe or profound HL. Patients with CHL did not report significantly worse residual hearing after implantation. </w:t>
      </w:r>
      <w:r w:rsidRPr="009A1A2E">
        <w:rPr>
          <w:b/>
          <w:lang w:val="en-AU"/>
        </w:rPr>
        <w:t xml:space="preserve">Proposed reconsideration is based on the fact that MEI cannot be compared to CI as the </w:t>
      </w:r>
      <w:r w:rsidR="00944F5B" w:rsidRPr="009A1A2E">
        <w:rPr>
          <w:b/>
          <w:lang w:val="en-AU"/>
        </w:rPr>
        <w:t>aud</w:t>
      </w:r>
      <w:r w:rsidRPr="009A1A2E">
        <w:rPr>
          <w:b/>
          <w:lang w:val="en-AU"/>
        </w:rPr>
        <w:t xml:space="preserve">iological criteria for the two implants are </w:t>
      </w:r>
      <w:r w:rsidRPr="009A1A2E">
        <w:rPr>
          <w:b/>
          <w:lang w:val="en-AU"/>
        </w:rPr>
        <w:lastRenderedPageBreak/>
        <w:t>mutually exclusive. There is a sizable body of research showing the risk of loss of residual hearing with MEI is negligible.</w:t>
      </w:r>
    </w:p>
    <w:p w14:paraId="29E405CE" w14:textId="77777777" w:rsidR="0081008C" w:rsidRPr="009A1A2E" w:rsidRDefault="0081008C" w:rsidP="00644BAE">
      <w:pPr>
        <w:pStyle w:val="Textbody"/>
        <w:rPr>
          <w:lang w:val="en-AU"/>
        </w:rPr>
      </w:pPr>
    </w:p>
    <w:p w14:paraId="2BBF8362" w14:textId="77777777" w:rsidR="0081008C" w:rsidRPr="009A1A2E" w:rsidRDefault="0081008C" w:rsidP="00B853EF">
      <w:pPr>
        <w:pStyle w:val="Textbody"/>
        <w:numPr>
          <w:ilvl w:val="0"/>
          <w:numId w:val="49"/>
        </w:numPr>
        <w:rPr>
          <w:lang w:val="en-AU"/>
        </w:rPr>
      </w:pPr>
      <w:r w:rsidRPr="009A1A2E">
        <w:rPr>
          <w:lang w:val="en-AU"/>
        </w:rPr>
        <w:t>A sizeable unaddressed pool of patients who may be eligible for MEI, not presently accessing implantable devices, and may represent the largest uptake for leakage of MEI. Therefore no cost</w:t>
      </w:r>
      <w:r w:rsidR="000E0122" w:rsidRPr="009A1A2E">
        <w:rPr>
          <w:lang w:val="en-AU"/>
        </w:rPr>
        <w:t xml:space="preserve"> saving with MEI, only growth; </w:t>
      </w:r>
      <w:r w:rsidRPr="009A1A2E">
        <w:rPr>
          <w:b/>
          <w:lang w:val="en-AU"/>
        </w:rPr>
        <w:t>Proposed reconsideration is based on the fact MEI implants remain an important option for a group of patients who cannot benefit from conventional hearing aids or other prosthesis.</w:t>
      </w:r>
      <w:r w:rsidRPr="009A1A2E">
        <w:rPr>
          <w:lang w:val="en-AU"/>
        </w:rPr>
        <w:t xml:space="preserve"> </w:t>
      </w:r>
    </w:p>
    <w:p w14:paraId="6D200E61" w14:textId="77777777" w:rsidR="0081008C" w:rsidRPr="009A1A2E" w:rsidRDefault="0081008C" w:rsidP="00DC70E5">
      <w:pPr>
        <w:pStyle w:val="Textbody"/>
        <w:rPr>
          <w:lang w:val="en-AU"/>
        </w:rPr>
      </w:pPr>
    </w:p>
    <w:p w14:paraId="01D49FE5" w14:textId="77777777" w:rsidR="00DC70E5" w:rsidRPr="009A1A2E" w:rsidRDefault="00DC70E5" w:rsidP="00DC70E5">
      <w:pPr>
        <w:pStyle w:val="Textbody"/>
        <w:rPr>
          <w:lang w:val="en-AU"/>
        </w:rPr>
      </w:pPr>
      <w:r w:rsidRPr="009A1A2E">
        <w:rPr>
          <w:lang w:val="en-AU"/>
        </w:rPr>
        <w:t>In addition, other international health technology assessment (HTA) agencies have reviewed insertion of partially implantable Middle Ear implants.</w:t>
      </w:r>
    </w:p>
    <w:p w14:paraId="5506C305" w14:textId="77777777" w:rsidR="00DC70E5" w:rsidRPr="009A1A2E" w:rsidRDefault="00DC70E5" w:rsidP="00DC70E5">
      <w:pPr>
        <w:pStyle w:val="Textbody"/>
        <w:rPr>
          <w:lang w:val="en-AU"/>
        </w:rPr>
      </w:pPr>
    </w:p>
    <w:p w14:paraId="7F7484CF" w14:textId="77777777" w:rsidR="00DC70E5" w:rsidRPr="009A1A2E" w:rsidRDefault="00DC70E5" w:rsidP="00B853EF">
      <w:pPr>
        <w:pStyle w:val="ListParagraph"/>
        <w:numPr>
          <w:ilvl w:val="0"/>
          <w:numId w:val="67"/>
        </w:numPr>
        <w:spacing w:after="240" w:line="360" w:lineRule="auto"/>
        <w:jc w:val="both"/>
        <w:rPr>
          <w:rFonts w:cs="Arial"/>
          <w:lang w:val="en-AU"/>
        </w:rPr>
      </w:pPr>
      <w:r w:rsidRPr="009A1A2E">
        <w:rPr>
          <w:rFonts w:cs="Arial"/>
          <w:lang w:val="en-AU"/>
        </w:rPr>
        <w:t xml:space="preserve">The systematic literature review by Butler et al. </w:t>
      </w:r>
      <w:r w:rsidRPr="009A1A2E">
        <w:rPr>
          <w:rFonts w:cs="Arial"/>
          <w:lang w:val="en-AU"/>
        </w:rPr>
        <w:fldChar w:fldCharType="begin"/>
      </w:r>
      <w:r w:rsidR="00D85D29">
        <w:rPr>
          <w:rFonts w:cs="Arial"/>
          <w:lang w:val="en-AU"/>
        </w:rPr>
        <w:instrText xml:space="preserve"> ADDIN REFMGR.CITE &lt;Refman&gt;&lt;Cite&gt;&lt;Author&gt;Butler&lt;/Author&gt;&lt;Year&gt;2013&lt;/Year&gt;&lt;RecNum&gt;32&lt;/RecNum&gt;&lt;IDText&gt;Efficacy of the active middle-ear implant in patients with sensorineural hearing loss&lt;/IDText&gt;&lt;MDL Ref_Type="Journal"&gt;&lt;Ref_Type&gt;Journal&lt;/Ref_Type&gt;&lt;Ref_ID&gt;32&lt;/Ref_ID&gt;&lt;Title_Primary&gt;Efficacy of the active middle-ear implant in patients with sensorineural hearing loss&lt;/Title_Primary&gt;&lt;Authors_Primary&gt;Butler,C.L.&lt;/Authors_Primary&gt;&lt;Authors_Primary&gt;Thavaneswaran,P.&lt;/Authors_Primary&gt;&lt;Authors_Primary&gt;Lee,I.H.&lt;/Authors_Primary&gt;&lt;Date_Primary&gt;2013/7&lt;/Date_Primary&gt;&lt;Keywords&gt;adverse effects&lt;/Keywords&gt;&lt;Keywords&gt;Hearing&lt;/Keywords&gt;&lt;Keywords&gt;Hearing Aids&lt;/Keywords&gt;&lt;Keywords&gt;Hearing Loss&lt;/Keywords&gt;&lt;Keywords&gt;Hearing Loss,Sensorineural&lt;/Keywords&gt;&lt;Keywords&gt;Humans&lt;/Keywords&gt;&lt;Keywords&gt;methods&lt;/Keywords&gt;&lt;Keywords&gt;Ossicular Prosthesis&lt;/Keywords&gt;&lt;Keywords&gt;Patient Satisfaction&lt;/Keywords&gt;&lt;Keywords&gt;rehabilitation&lt;/Keywords&gt;&lt;Keywords&gt;Speech Perception&lt;/Keywords&gt;&lt;Keywords&gt;standards&lt;/Keywords&gt;&lt;Keywords&gt;Treatment Outcome&lt;/Keywords&gt;&lt;Reprint&gt;On Request 03/08/13&lt;/Reprint&gt;&lt;Start_Page&gt;S8&lt;/Start_Page&gt;&lt;End_Page&gt;16&lt;/End_Page&gt;&lt;Periodical&gt;J.Laryngol.Otol.&lt;/Periodical&gt;&lt;Volume&gt;127 Suppl 2&lt;/Volume&gt;&lt;Misc_3&gt;S0022215113001151 [pii];10.1017/S0022215113001151 [doi]&lt;/Misc_3&gt;&lt;Address&gt;Australian Safety and Efficacy Register of New Interventional Procedures - Surgical, Royal Australasian College of Surgeons, Adelaide, South Australia, Australia&lt;/Address&gt;&lt;Web_URL&gt;PM:23790515&lt;/Web_URL&gt;&lt;ZZ_JournalStdAbbrev&gt;&lt;f name="System"&gt;J.Laryngol.Otol.&lt;/f&gt;&lt;/ZZ_JournalStdAbbrev&gt;&lt;ZZ_WorkformID&gt;1&lt;/ZZ_WorkformID&gt;&lt;/MDL&gt;&lt;/Cite&gt;&lt;/Refman&gt;</w:instrText>
      </w:r>
      <w:r w:rsidRPr="009A1A2E">
        <w:rPr>
          <w:rFonts w:cs="Arial"/>
          <w:lang w:val="en-AU"/>
        </w:rPr>
        <w:fldChar w:fldCharType="separate"/>
      </w:r>
      <w:r w:rsidRPr="009A1A2E">
        <w:rPr>
          <w:rFonts w:cs="Arial"/>
          <w:noProof/>
          <w:lang w:val="en-AU"/>
        </w:rPr>
        <w:t>(Butler et al., 2013)</w:t>
      </w:r>
      <w:r w:rsidRPr="009A1A2E">
        <w:rPr>
          <w:rFonts w:cs="Arial"/>
          <w:lang w:val="en-AU"/>
        </w:rPr>
        <w:fldChar w:fldCharType="end"/>
      </w:r>
      <w:r w:rsidRPr="009A1A2E">
        <w:rPr>
          <w:rFonts w:cs="Arial"/>
          <w:lang w:val="en-AU"/>
        </w:rPr>
        <w:t xml:space="preserve"> which was funded by M</w:t>
      </w:r>
      <w:r w:rsidR="00754E0D" w:rsidRPr="009A1A2E">
        <w:rPr>
          <w:rFonts w:cs="Arial"/>
          <w:lang w:val="en-AU"/>
        </w:rPr>
        <w:t>S</w:t>
      </w:r>
      <w:r w:rsidRPr="009A1A2E">
        <w:rPr>
          <w:rFonts w:cs="Arial"/>
          <w:lang w:val="en-AU"/>
        </w:rPr>
        <w:t>AC reports about the effectiveness of active middle-ear implants in subjects affected by sensorineural hearing loss and compared the outcomes with external hearing aids. The authors performed a systematic search of several electronic databases, including PubMed and Embase, in order to identify relevant studies for inclusion. The active middle ear implants under evaluation include the VSB, the Otologics MET, the Envoy Esteem and the Ototronix Maxum (formerly, Soundtec Direct Drive Hearing System). A total of 14 comparative studies were included. 9 articles reported on the primary outcome of functional gain: one publication found that the middle-ear implant worked better than external hearing aids, while another found that external hearing aids were generally significantly better than middle-ear implants. 6 of the 7 remaining studies found that middle-ear implants were better than external hearing aids, although generally no clinically significant difference was seen. The authors concluded that in general, active middle ear implants appear to be as effective as external hearing aids for patients with sensorineural hearing loss.</w:t>
      </w:r>
    </w:p>
    <w:p w14:paraId="341802EB" w14:textId="77777777" w:rsidR="00DC70E5" w:rsidRPr="009A1A2E" w:rsidRDefault="00DC70E5" w:rsidP="00B853EF">
      <w:pPr>
        <w:pStyle w:val="ListParagraph"/>
        <w:numPr>
          <w:ilvl w:val="0"/>
          <w:numId w:val="67"/>
        </w:numPr>
        <w:spacing w:after="240" w:line="360" w:lineRule="auto"/>
        <w:jc w:val="both"/>
        <w:rPr>
          <w:rFonts w:cs="Arial"/>
          <w:lang w:val="en-AU"/>
        </w:rPr>
      </w:pPr>
      <w:r w:rsidRPr="009A1A2E">
        <w:rPr>
          <w:rFonts w:cs="Arial"/>
          <w:lang w:val="en-AU"/>
        </w:rPr>
        <w:t xml:space="preserve">Another systematic review was published in the Journal of Otology &amp; Rhinology </w:t>
      </w:r>
      <w:r w:rsidR="007D14DA" w:rsidRPr="009A1A2E">
        <w:rPr>
          <w:rFonts w:cs="Arial"/>
          <w:lang w:val="en-AU"/>
        </w:rPr>
        <w:fldChar w:fldCharType="begin"/>
      </w:r>
      <w:r w:rsidR="00D85D29">
        <w:rPr>
          <w:rFonts w:cs="Arial"/>
          <w:lang w:val="en-AU"/>
        </w:rPr>
        <w:instrText xml:space="preserve"> ADDIN REFMGR.CITE &lt;Refman&gt;&lt;Cite&gt;&lt;Author&gt;Klein&lt;/Author&gt;&lt;Year&gt;2013&lt;/Year&gt;&lt;RecNum&gt;669&lt;/RecNum&gt;&lt;IDText&gt;A systemaic review of the safety and effectiveness of the Vibrant Soundbridge&lt;/IDText&gt;&lt;MDL Ref_Type="Generic"&gt;&lt;Ref_Type&gt;Generic&lt;/Ref_Type&gt;&lt;Ref_ID&gt;669&lt;/Ref_ID&gt;&lt;Title_Primary&gt;A systemaic review of the safety and effectiveness of the Vibrant Soundbridge&lt;/Title_Primary&gt;&lt;Authors_Primary&gt;Klein,K.&lt;/Authors_Primary&gt;&lt;Authors_Primary&gt;Nerdelli,A.&lt;/Authors_Primary&gt;&lt;Authors_Primary&gt;Stafinski,T.&lt;/Authors_Primary&gt;&lt;Date_Primary&gt;2013&lt;/Date_Primary&gt;&lt;Keywords&gt;Safety&lt;/Keywords&gt;&lt;Reprint&gt;Not in File&lt;/Reprint&gt;&lt;Publisher&gt;Journal of Otology &amp;amp; Rhinology&lt;/Publisher&gt;&lt;ZZ_WorkformID&gt;33&lt;/ZZ_WorkformID&gt;&lt;/MDL&gt;&lt;/Cite&gt;&lt;/Refman&gt;</w:instrText>
      </w:r>
      <w:r w:rsidR="007D14DA" w:rsidRPr="009A1A2E">
        <w:rPr>
          <w:rFonts w:cs="Arial"/>
          <w:lang w:val="en-AU"/>
        </w:rPr>
        <w:fldChar w:fldCharType="separate"/>
      </w:r>
      <w:r w:rsidR="007D14DA" w:rsidRPr="009A1A2E">
        <w:rPr>
          <w:rFonts w:cs="Arial"/>
          <w:noProof/>
          <w:lang w:val="en-AU"/>
        </w:rPr>
        <w:t>(Klein et al., 2013)</w:t>
      </w:r>
      <w:r w:rsidR="007D14DA" w:rsidRPr="009A1A2E">
        <w:rPr>
          <w:rFonts w:cs="Arial"/>
          <w:lang w:val="en-AU"/>
        </w:rPr>
        <w:fldChar w:fldCharType="end"/>
      </w:r>
      <w:r w:rsidRPr="009A1A2E">
        <w:rPr>
          <w:rFonts w:cs="Arial"/>
          <w:lang w:val="en-AU"/>
        </w:rPr>
        <w:t xml:space="preserve">. The article is based on the final STE Report of the </w:t>
      </w:r>
      <w:r w:rsidR="006012CF" w:rsidRPr="009A1A2E">
        <w:rPr>
          <w:rFonts w:cs="Arial"/>
          <w:lang w:val="en-AU"/>
        </w:rPr>
        <w:t xml:space="preserve">University of Alberta </w:t>
      </w:r>
      <w:r w:rsidR="007D14DA" w:rsidRPr="009A1A2E">
        <w:rPr>
          <w:rFonts w:cs="Arial"/>
          <w:lang w:val="en-AU"/>
        </w:rPr>
        <w:fldChar w:fldCharType="begin"/>
      </w:r>
      <w:r w:rsidR="00D85D29">
        <w:rPr>
          <w:rFonts w:cs="Arial"/>
          <w:lang w:val="en-AU"/>
        </w:rPr>
        <w:instrText xml:space="preserve"> ADDIN REFMGR.CITE &lt;Refman&gt;&lt;Cite&gt;&lt;Author&gt;Alberta Health and Wellness Report&lt;/Author&gt;&lt;Year&gt;2011&lt;/Year&gt;&lt;RecNum&gt;647&lt;/RecNum&gt;&lt;IDText&gt;STE Report:Middle Ear Implants for the Treatment of Hearing Loss&lt;/IDText&gt;&lt;MDL Ref_Type="Generic"&gt;&lt;Ref_Type&gt;Generic&lt;/Ref_Type&gt;&lt;Ref_ID&gt;647&lt;/Ref_ID&gt;&lt;Title_Primary&gt;STE Report:Middle Ear Implants for the Treatment of Hearing Loss&lt;/Title_Primary&gt;&lt;Authors_Primary&gt;Alberta Health and Wellness Report&lt;/Authors_Primary&gt;&lt;Date_Primary&gt;2011&lt;/Date_Primary&gt;&lt;Keywords&gt;Ear&lt;/Keywords&gt;&lt;Keywords&gt;Hearing&lt;/Keywords&gt;&lt;Keywords&gt;Hearing Loss&lt;/Keywords&gt;&lt;Reprint&gt;Not in File&lt;/Reprint&gt;&lt;ZZ_WorkformID&gt;33&lt;/ZZ_WorkformID&gt;&lt;/MDL&gt;&lt;/Cite&gt;&lt;/Refman&gt;</w:instrText>
      </w:r>
      <w:r w:rsidR="007D14DA" w:rsidRPr="009A1A2E">
        <w:rPr>
          <w:rFonts w:cs="Arial"/>
          <w:lang w:val="en-AU"/>
        </w:rPr>
        <w:fldChar w:fldCharType="separate"/>
      </w:r>
      <w:r w:rsidR="007D14DA" w:rsidRPr="009A1A2E">
        <w:rPr>
          <w:rFonts w:cs="Arial"/>
          <w:noProof/>
          <w:lang w:val="en-AU"/>
        </w:rPr>
        <w:t>(Alberta Health and Wellness Report, 2011)</w:t>
      </w:r>
      <w:r w:rsidR="007D14DA" w:rsidRPr="009A1A2E">
        <w:rPr>
          <w:rFonts w:cs="Arial"/>
          <w:lang w:val="en-AU"/>
        </w:rPr>
        <w:fldChar w:fldCharType="end"/>
      </w:r>
      <w:r w:rsidRPr="009A1A2E">
        <w:rPr>
          <w:rFonts w:cs="Arial"/>
          <w:lang w:val="en-AU"/>
        </w:rPr>
        <w:t xml:space="preserve">. The main objective was to examine the current state of the science related to the safety and effectiveness of the Vibrant Soundbridge middle ear implant in the treatment of hearing loss. Several </w:t>
      </w:r>
      <w:r w:rsidRPr="009A1A2E">
        <w:rPr>
          <w:rFonts w:cs="Arial"/>
          <w:bCs/>
          <w:lang w:val="en-AU"/>
        </w:rPr>
        <w:t>data bases</w:t>
      </w:r>
      <w:r w:rsidRPr="009A1A2E">
        <w:rPr>
          <w:rFonts w:cs="Arial"/>
          <w:b/>
          <w:bCs/>
          <w:lang w:val="en-AU"/>
        </w:rPr>
        <w:t xml:space="preserve"> </w:t>
      </w:r>
      <w:r w:rsidRPr="009A1A2E">
        <w:rPr>
          <w:rFonts w:cs="Arial"/>
          <w:bCs/>
          <w:lang w:val="en-AU"/>
        </w:rPr>
        <w:t xml:space="preserve">including </w:t>
      </w:r>
      <w:r w:rsidRPr="009A1A2E">
        <w:rPr>
          <w:rFonts w:cs="Arial"/>
          <w:lang w:val="en-AU"/>
        </w:rPr>
        <w:t xml:space="preserve">MEDLINE, EMBASE, The Cochrane Library, Web of Science, CINAHL, PsycINFO and the Centre for Reviews and Dissemination were searched without date or language limits. Finally, 44 studies involving a total 832 patients met </w:t>
      </w:r>
      <w:r w:rsidRPr="009A1A2E">
        <w:rPr>
          <w:rFonts w:cs="Arial"/>
          <w:lang w:val="en-AU"/>
        </w:rPr>
        <w:lastRenderedPageBreak/>
        <w:t>the study’s eligibility criteria. The authors concluded that the majority of studies which compared the VSB to conventional hearing aids, reported statistically significant improvements in functional gain, speech reception, and quality of life with the VSB. Regarding speech recognition, the findings were mixed. Among studies that compared the VSB to the unaided condition, there was clinical benefit observed in all categories with the device. Adverse event rates were reasonably low, although VSB implantation poses a significant risk compared to non-invasive treatment with conventional hearing aids. The Vibrant Soundbridge middle ear implant appears to offer a safe and effective alternative for patients able and unable to wear conventional hearing aids.</w:t>
      </w:r>
    </w:p>
    <w:p w14:paraId="1834C5D1" w14:textId="77777777" w:rsidR="00DC70E5" w:rsidRPr="009A1A2E" w:rsidRDefault="00DC70E5" w:rsidP="00B853EF">
      <w:pPr>
        <w:pStyle w:val="ListParagraph"/>
        <w:numPr>
          <w:ilvl w:val="0"/>
          <w:numId w:val="67"/>
        </w:numPr>
        <w:spacing w:after="240" w:line="360" w:lineRule="auto"/>
        <w:jc w:val="both"/>
        <w:rPr>
          <w:rFonts w:cs="Arial"/>
          <w:lang w:val="en-AU"/>
        </w:rPr>
      </w:pPr>
      <w:r w:rsidRPr="009A1A2E">
        <w:rPr>
          <w:rFonts w:cs="Arial"/>
          <w:lang w:val="en-AU"/>
        </w:rPr>
        <w:t>The STE report for the province of Alberta</w:t>
      </w:r>
      <w:r w:rsidR="007D14DA" w:rsidRPr="009A1A2E">
        <w:rPr>
          <w:rFonts w:cs="Arial"/>
          <w:lang w:val="en-AU"/>
        </w:rPr>
        <w:t xml:space="preserve"> </w:t>
      </w:r>
      <w:r w:rsidR="007D14DA" w:rsidRPr="009A1A2E">
        <w:rPr>
          <w:rFonts w:cs="Arial"/>
          <w:lang w:val="en-AU"/>
        </w:rPr>
        <w:fldChar w:fldCharType="begin"/>
      </w:r>
      <w:r w:rsidR="00D85D29">
        <w:rPr>
          <w:rFonts w:cs="Arial"/>
          <w:lang w:val="en-AU"/>
        </w:rPr>
        <w:instrText xml:space="preserve"> ADDIN REFMGR.CITE &lt;Refman&gt;&lt;Cite&gt;&lt;Author&gt;Alberta Health and Wellness Report&lt;/Author&gt;&lt;Year&gt;2011&lt;/Year&gt;&lt;RecNum&gt;647&lt;/RecNum&gt;&lt;IDText&gt;STE Report:Middle Ear Implants for the Treatment of Hearing Loss&lt;/IDText&gt;&lt;MDL Ref_Type="Generic"&gt;&lt;Ref_Type&gt;Generic&lt;/Ref_Type&gt;&lt;Ref_ID&gt;647&lt;/Ref_ID&gt;&lt;Title_Primary&gt;STE Report:Middle Ear Implants for the Treatment of Hearing Loss&lt;/Title_Primary&gt;&lt;Authors_Primary&gt;Alberta Health and Wellness Report&lt;/Authors_Primary&gt;&lt;Date_Primary&gt;2011&lt;/Date_Primary&gt;&lt;Keywords&gt;Ear&lt;/Keywords&gt;&lt;Keywords&gt;Hearing&lt;/Keywords&gt;&lt;Keywords&gt;Hearing Loss&lt;/Keywords&gt;&lt;Reprint&gt;Not in File&lt;/Reprint&gt;&lt;ZZ_WorkformID&gt;33&lt;/ZZ_WorkformID&gt;&lt;/MDL&gt;&lt;/Cite&gt;&lt;/Refman&gt;</w:instrText>
      </w:r>
      <w:r w:rsidR="007D14DA" w:rsidRPr="009A1A2E">
        <w:rPr>
          <w:rFonts w:cs="Arial"/>
          <w:lang w:val="en-AU"/>
        </w:rPr>
        <w:fldChar w:fldCharType="separate"/>
      </w:r>
      <w:r w:rsidR="007D14DA" w:rsidRPr="009A1A2E">
        <w:rPr>
          <w:rFonts w:cs="Arial"/>
          <w:noProof/>
          <w:lang w:val="en-AU"/>
        </w:rPr>
        <w:t>(Alberta Health and Wellness Report, 2011)</w:t>
      </w:r>
      <w:r w:rsidR="007D14DA" w:rsidRPr="009A1A2E">
        <w:rPr>
          <w:rFonts w:cs="Arial"/>
          <w:lang w:val="en-AU"/>
        </w:rPr>
        <w:fldChar w:fldCharType="end"/>
      </w:r>
      <w:r w:rsidRPr="009A1A2E">
        <w:rPr>
          <w:rFonts w:cs="Arial"/>
          <w:lang w:val="en-AU"/>
        </w:rPr>
        <w:t xml:space="preserve"> is a systematic review of the evidence on middle ear implants (MEI) for the treatment of hearing loss. The objectives of this review were to determine the safety, effectiveness and cost-effectiveness of MEI in comparison to external hearing aids, bone</w:t>
      </w:r>
      <w:r w:rsidR="00B61097" w:rsidRPr="009A1A2E">
        <w:rPr>
          <w:rFonts w:cs="Arial"/>
          <w:lang w:val="en-AU"/>
        </w:rPr>
        <w:t xml:space="preserve"> </w:t>
      </w:r>
      <w:r w:rsidRPr="009A1A2E">
        <w:rPr>
          <w:rFonts w:cs="Arial"/>
          <w:lang w:val="en-AU"/>
        </w:rPr>
        <w:t xml:space="preserve">anchored hearing aids (BAHA), or cochlear implants; to identify particular sub-groups of patients who might benefit most from MEI, and to summarize the current criteria for using MEI versus alternative treatments for hearing loss. Main outcomes were: </w:t>
      </w:r>
    </w:p>
    <w:p w14:paraId="3B95B19A" w14:textId="77777777" w:rsidR="00DC70E5" w:rsidRPr="009A1A2E" w:rsidRDefault="00DC70E5" w:rsidP="00B853EF">
      <w:pPr>
        <w:pStyle w:val="ListParagraph"/>
        <w:numPr>
          <w:ilvl w:val="1"/>
          <w:numId w:val="67"/>
        </w:numPr>
        <w:spacing w:after="240" w:line="360" w:lineRule="auto"/>
        <w:jc w:val="both"/>
        <w:rPr>
          <w:rFonts w:cs="Arial"/>
          <w:lang w:val="en-AU"/>
        </w:rPr>
      </w:pPr>
      <w:r w:rsidRPr="009A1A2E">
        <w:rPr>
          <w:rFonts w:cs="Arial"/>
          <w:lang w:val="en-AU"/>
        </w:rPr>
        <w:t>Safety: The partially implantable Vibrant Soundbridge and fully implantable Carina appear to be relatively safe. There were few reports of major complications, and these occurred at rates similar to those with BAHA. A greater number of major complications was reported with the fully implantable Esteem, including high rates of nerve damage. Revision surgeries and explantations were more frequent with the Esteem and Carina MEIs. No significant safety issues associated with conventional hearing aids were found. While in this review, the safety of MEI was not specifically compared to that of cochlear implants because of differences in eligible patient populations (cochlear implants are typically indicated for more severe hearing loss), based on previously published reviews of cochlear implants, MEI appears to be at least as safe as cochlear implants.</w:t>
      </w:r>
    </w:p>
    <w:p w14:paraId="78CB3024" w14:textId="77777777" w:rsidR="00DC70E5" w:rsidRPr="009A1A2E" w:rsidRDefault="00DC70E5" w:rsidP="00B853EF">
      <w:pPr>
        <w:pStyle w:val="ListParagraph"/>
        <w:numPr>
          <w:ilvl w:val="1"/>
          <w:numId w:val="67"/>
        </w:numPr>
        <w:autoSpaceDE w:val="0"/>
        <w:autoSpaceDN w:val="0"/>
        <w:adjustRightInd w:val="0"/>
        <w:spacing w:line="360" w:lineRule="auto"/>
        <w:jc w:val="both"/>
        <w:rPr>
          <w:rFonts w:cs="Arial"/>
          <w:lang w:val="en-AU"/>
        </w:rPr>
      </w:pPr>
      <w:r w:rsidRPr="009A1A2E">
        <w:rPr>
          <w:rFonts w:cs="Arial"/>
          <w:lang w:val="en-AU"/>
        </w:rPr>
        <w:t xml:space="preserve">Effectiveness Evidence: Middle ear implants offer functional gains comparable to those achieved with hearing aids. Based on limited evidence, MEIs appear to provide greater improvements in the perception of speech in noisy situations and in sound quality. Due to differences in the severity of hearing loss in patients eligible for cochlear implants and those eligible for </w:t>
      </w:r>
      <w:r w:rsidRPr="009A1A2E">
        <w:rPr>
          <w:rFonts w:cs="Arial"/>
          <w:lang w:val="en-AU"/>
        </w:rPr>
        <w:lastRenderedPageBreak/>
        <w:t xml:space="preserve">MEI, the comparative effectiveness of these two devices could not be assessed </w:t>
      </w:r>
    </w:p>
    <w:p w14:paraId="2602D50F" w14:textId="77777777" w:rsidR="00DC70E5" w:rsidRPr="009A1A2E" w:rsidRDefault="00DC70E5" w:rsidP="00B853EF">
      <w:pPr>
        <w:pStyle w:val="ListParagraph"/>
        <w:numPr>
          <w:ilvl w:val="1"/>
          <w:numId w:val="67"/>
        </w:numPr>
        <w:spacing w:after="240" w:line="360" w:lineRule="auto"/>
        <w:jc w:val="both"/>
        <w:rPr>
          <w:rFonts w:cs="Arial"/>
          <w:lang w:val="en-AU"/>
        </w:rPr>
      </w:pPr>
      <w:r w:rsidRPr="009A1A2E">
        <w:rPr>
          <w:rFonts w:cs="Arial"/>
          <w:lang w:val="en-AU"/>
        </w:rPr>
        <w:t>Economical Evidence: A cost-effectiveness analysis could not be conducted because for patients who are not medically able to wear a hearing aid, and who are ineligible for a BAHA, there are currently no alternative treatment options. Based on an estimated 20 patients receiving MEI per year in Alberta, the total budget impact over 5 years would be $2,677,497.</w:t>
      </w:r>
    </w:p>
    <w:p w14:paraId="55B45D37" w14:textId="77777777" w:rsidR="00DC70E5" w:rsidRPr="009A1A2E" w:rsidRDefault="00DC70E5" w:rsidP="00B853EF">
      <w:pPr>
        <w:pStyle w:val="ListParagraph"/>
        <w:numPr>
          <w:ilvl w:val="1"/>
          <w:numId w:val="67"/>
        </w:numPr>
        <w:spacing w:after="240" w:line="360" w:lineRule="auto"/>
        <w:jc w:val="both"/>
        <w:rPr>
          <w:rFonts w:cs="Arial"/>
          <w:lang w:val="en-AU"/>
        </w:rPr>
      </w:pPr>
      <w:r w:rsidRPr="009A1A2E">
        <w:rPr>
          <w:rFonts w:cs="Arial"/>
          <w:lang w:val="en-AU"/>
        </w:rPr>
        <w:t>In conclusion, the authors state that although the technology has been in use for over 10 years, good quality evidence on MEI is still lacking. In patients medically able to wear conventional hearing aids, the evidence indicates that MEI offers a similar improvement in functional gain to that achieved with conventional hearing aids, but may offer greater improvement with respect to perception of speech in noise and sound quality. In the small group of patients who are medically unable to use conventional hearing aids, MEI appears to offer a viable treatment option.</w:t>
      </w:r>
    </w:p>
    <w:p w14:paraId="0368ECBD" w14:textId="77777777" w:rsidR="00DC70E5" w:rsidRPr="009A1A2E" w:rsidRDefault="00DC70E5" w:rsidP="00B853EF">
      <w:pPr>
        <w:pStyle w:val="ListParagraph"/>
        <w:numPr>
          <w:ilvl w:val="0"/>
          <w:numId w:val="67"/>
        </w:numPr>
        <w:autoSpaceDE w:val="0"/>
        <w:autoSpaceDN w:val="0"/>
        <w:adjustRightInd w:val="0"/>
        <w:spacing w:line="360" w:lineRule="auto"/>
        <w:jc w:val="both"/>
        <w:rPr>
          <w:rFonts w:cs="Arial"/>
          <w:lang w:val="en-AU"/>
        </w:rPr>
      </w:pPr>
      <w:r w:rsidRPr="009A1A2E">
        <w:rPr>
          <w:rFonts w:cs="Arial"/>
          <w:lang w:val="en-AU"/>
        </w:rPr>
        <w:t xml:space="preserve">In the UK, the Vibrant Soundbridge is approved for SNHL according to the Clinal Commissioning </w:t>
      </w:r>
      <w:r w:rsidR="00B61097" w:rsidRPr="009A1A2E">
        <w:rPr>
          <w:rFonts w:cs="Arial"/>
          <w:lang w:val="en-AU"/>
        </w:rPr>
        <w:t xml:space="preserve">Policy </w:t>
      </w:r>
      <w:r w:rsidRPr="009A1A2E">
        <w:rPr>
          <w:rFonts w:cs="Arial"/>
          <w:lang w:val="en-AU"/>
        </w:rPr>
        <w:t>Statement: Active Middle Ear Implant, December 2012, Reference; NHSCB/D9/b/2: “Active middle ear implants are not routinely commissioned except under the following circumstances, as no other alternative treatment is available: Patients with bilateral sensorineural hearing loss in whom conventional hearing aids have been used and found to be medically unsuitable due to conditions of the external ear”.</w:t>
      </w:r>
    </w:p>
    <w:p w14:paraId="6B4EB565" w14:textId="77777777" w:rsidR="00CF2930" w:rsidRPr="009A1A2E" w:rsidRDefault="00CF2930" w:rsidP="00644BAE">
      <w:pPr>
        <w:pStyle w:val="Textbody"/>
        <w:rPr>
          <w:lang w:val="en-AU"/>
        </w:rPr>
      </w:pPr>
    </w:p>
    <w:p w14:paraId="4591E05F" w14:textId="77777777" w:rsidR="00CF2930" w:rsidRPr="009A1A2E" w:rsidRDefault="00B05F8B" w:rsidP="00A52ABF">
      <w:pPr>
        <w:pStyle w:val="Heading30"/>
        <w:rPr>
          <w:lang w:val="en-AU"/>
        </w:rPr>
      </w:pPr>
      <w:bookmarkStart w:id="323" w:name="_Toc400549397"/>
      <w:bookmarkStart w:id="324" w:name="_Toc431917550"/>
      <w:r w:rsidRPr="009A1A2E">
        <w:rPr>
          <w:lang w:val="en-AU"/>
        </w:rPr>
        <w:t>A.1.2</w:t>
      </w:r>
      <w:r w:rsidRPr="009A1A2E">
        <w:rPr>
          <w:lang w:val="en-AU"/>
        </w:rPr>
        <w:tab/>
      </w:r>
      <w:r w:rsidR="001F3C37" w:rsidRPr="009A1A2E">
        <w:rPr>
          <w:lang w:val="en-AU"/>
        </w:rPr>
        <w:t>SNHL + medical condition</w:t>
      </w:r>
      <w:r w:rsidRPr="009A1A2E">
        <w:rPr>
          <w:lang w:val="en-AU"/>
        </w:rPr>
        <w:t xml:space="preserve"> </w:t>
      </w:r>
      <w:r w:rsidR="005D1FFA" w:rsidRPr="009A1A2E">
        <w:rPr>
          <w:lang w:val="en-AU"/>
        </w:rPr>
        <w:t>and s</w:t>
      </w:r>
      <w:r w:rsidR="001B4D68" w:rsidRPr="009A1A2E">
        <w:rPr>
          <w:lang w:val="en-AU"/>
        </w:rPr>
        <w:t xml:space="preserve">creening </w:t>
      </w:r>
      <w:r w:rsidR="005D1FFA" w:rsidRPr="009A1A2E">
        <w:rPr>
          <w:lang w:val="en-AU"/>
        </w:rPr>
        <w:t>b</w:t>
      </w:r>
      <w:r w:rsidR="003B2F96" w:rsidRPr="009A1A2E">
        <w:rPr>
          <w:lang w:val="en-AU"/>
        </w:rPr>
        <w:t>ackground</w:t>
      </w:r>
      <w:bookmarkEnd w:id="323"/>
      <w:bookmarkEnd w:id="324"/>
    </w:p>
    <w:p w14:paraId="08597FF2" w14:textId="77777777" w:rsidR="00091402" w:rsidRPr="009A1A2E" w:rsidRDefault="00755475" w:rsidP="00644BAE">
      <w:pPr>
        <w:pStyle w:val="Textbody"/>
        <w:rPr>
          <w:lang w:val="en-AU"/>
        </w:rPr>
      </w:pPr>
      <w:r w:rsidRPr="009A1A2E">
        <w:rPr>
          <w:lang w:val="en-AU"/>
        </w:rPr>
        <w:t xml:space="preserve">Individuals suspected of having a hearing loss are referred for a full </w:t>
      </w:r>
      <w:r w:rsidR="007668AC" w:rsidRPr="009A1A2E">
        <w:rPr>
          <w:lang w:val="en-AU"/>
        </w:rPr>
        <w:t>aud</w:t>
      </w:r>
      <w:r w:rsidRPr="009A1A2E">
        <w:rPr>
          <w:lang w:val="en-AU"/>
        </w:rPr>
        <w:t xml:space="preserve">iometric evaluation of their hearing. This evaluation consists of pure tone </w:t>
      </w:r>
      <w:r w:rsidR="007668AC" w:rsidRPr="009A1A2E">
        <w:rPr>
          <w:lang w:val="en-AU"/>
        </w:rPr>
        <w:t>aud</w:t>
      </w:r>
      <w:r w:rsidRPr="009A1A2E">
        <w:rPr>
          <w:lang w:val="en-AU"/>
        </w:rPr>
        <w:t xml:space="preserve">iometry and speech testing. Pure tone </w:t>
      </w:r>
      <w:r w:rsidR="007668AC" w:rsidRPr="009A1A2E">
        <w:rPr>
          <w:lang w:val="en-AU"/>
        </w:rPr>
        <w:t>aud</w:t>
      </w:r>
      <w:r w:rsidRPr="009A1A2E">
        <w:rPr>
          <w:lang w:val="en-AU"/>
        </w:rPr>
        <w:t xml:space="preserve">iometry is divided into air conduction and bone conduction testing where the first indicates the sensitivity of the entire hearing system, and the latter indicates the sensitivity of the inner ear only. Thresholds of </w:t>
      </w:r>
      <w:r w:rsidR="007668AC" w:rsidRPr="009A1A2E">
        <w:rPr>
          <w:lang w:val="en-AU"/>
        </w:rPr>
        <w:t>aud</w:t>
      </w:r>
      <w:r w:rsidRPr="009A1A2E">
        <w:rPr>
          <w:lang w:val="en-AU"/>
        </w:rPr>
        <w:t xml:space="preserve">ibility, also named hearing thresholds, are determined at frequencies from 250 to 8000 Hz which is the range of sound that the human ear is most sensitive to. Normal hearing is represented by air and bone conduction thresholds below </w:t>
      </w:r>
      <w:r w:rsidR="00B61097" w:rsidRPr="009A1A2E">
        <w:rPr>
          <w:lang w:val="en-AU"/>
        </w:rPr>
        <w:t>25 </w:t>
      </w:r>
      <w:r w:rsidRPr="009A1A2E">
        <w:rPr>
          <w:lang w:val="en-AU"/>
        </w:rPr>
        <w:t>dB</w:t>
      </w:r>
      <w:r w:rsidR="00B61097" w:rsidRPr="009A1A2E">
        <w:rPr>
          <w:lang w:val="en-AU"/>
        </w:rPr>
        <w:t xml:space="preserve"> HL</w:t>
      </w:r>
      <w:r w:rsidRPr="009A1A2E">
        <w:rPr>
          <w:lang w:val="en-AU"/>
        </w:rPr>
        <w:t xml:space="preserve">. Anything greater than 25 dB HL represents various levels of hearing loss. </w:t>
      </w:r>
      <w:r w:rsidR="001F3C37" w:rsidRPr="009A1A2E">
        <w:rPr>
          <w:lang w:val="en-AU"/>
        </w:rPr>
        <w:t>Without public funding, these patients who would be respective AMEI candidate</w:t>
      </w:r>
      <w:r w:rsidR="00644BAE" w:rsidRPr="009A1A2E">
        <w:rPr>
          <w:lang w:val="en-AU"/>
        </w:rPr>
        <w:t>s are currently left untreated.</w:t>
      </w:r>
    </w:p>
    <w:p w14:paraId="6C8E1BD0" w14:textId="77777777" w:rsidR="00B60787" w:rsidRPr="009A1A2E" w:rsidRDefault="00B60787" w:rsidP="00E74E4B">
      <w:pPr>
        <w:pStyle w:val="Heading20"/>
        <w:rPr>
          <w:lang w:val="en-AU"/>
        </w:rPr>
      </w:pPr>
      <w:bookmarkStart w:id="325" w:name="_Toc400549398"/>
      <w:bookmarkStart w:id="326" w:name="_Toc431917551"/>
      <w:r w:rsidRPr="009A1A2E">
        <w:rPr>
          <w:lang w:val="en-AU"/>
        </w:rPr>
        <w:lastRenderedPageBreak/>
        <w:t>A.2</w:t>
      </w:r>
      <w:r w:rsidRPr="009A1A2E">
        <w:rPr>
          <w:lang w:val="en-AU"/>
        </w:rPr>
        <w:tab/>
        <w:t xml:space="preserve">Indications and </w:t>
      </w:r>
      <w:r w:rsidR="00A04319" w:rsidRPr="009A1A2E">
        <w:rPr>
          <w:lang w:val="en-AU"/>
        </w:rPr>
        <w:t>Contraindications</w:t>
      </w:r>
      <w:bookmarkEnd w:id="325"/>
      <w:bookmarkEnd w:id="326"/>
    </w:p>
    <w:p w14:paraId="22CDDD8B" w14:textId="77777777" w:rsidR="00E5193D" w:rsidRPr="009A1A2E" w:rsidRDefault="001C7CE7" w:rsidP="00E74E4B">
      <w:pPr>
        <w:pStyle w:val="Heading30"/>
        <w:rPr>
          <w:lang w:val="en-AU"/>
        </w:rPr>
      </w:pPr>
      <w:bookmarkStart w:id="327" w:name="_Toc400549399"/>
      <w:bookmarkStart w:id="328" w:name="_Toc431917552"/>
      <w:r>
        <w:rPr>
          <w:lang w:val="en-AU"/>
        </w:rPr>
        <w:t>A.2.1</w:t>
      </w:r>
      <w:r>
        <w:rPr>
          <w:lang w:val="en-AU"/>
        </w:rPr>
        <w:tab/>
      </w:r>
      <w:r w:rsidR="00E5193D" w:rsidRPr="009A1A2E">
        <w:rPr>
          <w:lang w:val="en-AU"/>
        </w:rPr>
        <w:t>Indications for active middle ear implants</w:t>
      </w:r>
      <w:bookmarkEnd w:id="327"/>
      <w:bookmarkEnd w:id="328"/>
    </w:p>
    <w:p w14:paraId="4EB8F563" w14:textId="77777777" w:rsidR="00213B3B" w:rsidRPr="009A1A2E" w:rsidRDefault="00213B3B" w:rsidP="00E74E4B">
      <w:pPr>
        <w:pStyle w:val="Textbody"/>
        <w:rPr>
          <w:lang w:val="en-AU"/>
        </w:rPr>
      </w:pPr>
    </w:p>
    <w:p w14:paraId="28AAB347" w14:textId="77777777" w:rsidR="00E5193D" w:rsidRPr="009A1A2E" w:rsidRDefault="00E5193D" w:rsidP="00E74E4B">
      <w:pPr>
        <w:pStyle w:val="Textbody"/>
        <w:rPr>
          <w:lang w:val="en-AU"/>
        </w:rPr>
      </w:pPr>
      <w:r w:rsidRPr="009A1A2E">
        <w:rPr>
          <w:lang w:val="en-AU"/>
        </w:rPr>
        <w:t>Out of the three active middle ear implan</w:t>
      </w:r>
      <w:r w:rsidR="00F96D02" w:rsidRPr="009A1A2E">
        <w:rPr>
          <w:lang w:val="en-AU"/>
        </w:rPr>
        <w:t>ts</w:t>
      </w:r>
      <w:r w:rsidRPr="009A1A2E">
        <w:rPr>
          <w:lang w:val="en-AU"/>
        </w:rPr>
        <w:t xml:space="preserve"> the Esteem and the Carina are both indicated for adults who have:</w:t>
      </w:r>
    </w:p>
    <w:p w14:paraId="37AC7C3E" w14:textId="77777777" w:rsidR="00E5193D" w:rsidRPr="009A1A2E" w:rsidRDefault="00E5193D" w:rsidP="00B853EF">
      <w:pPr>
        <w:pStyle w:val="Textbody"/>
        <w:numPr>
          <w:ilvl w:val="0"/>
          <w:numId w:val="50"/>
        </w:numPr>
        <w:rPr>
          <w:lang w:val="en-AU"/>
        </w:rPr>
      </w:pPr>
      <w:r w:rsidRPr="009A1A2E">
        <w:rPr>
          <w:lang w:val="en-AU"/>
        </w:rPr>
        <w:t>Stable bilateral moderate to severe sensorineural hearing loss</w:t>
      </w:r>
    </w:p>
    <w:p w14:paraId="6F271B01" w14:textId="77777777" w:rsidR="00E5193D" w:rsidRPr="009A1A2E" w:rsidRDefault="00E5193D" w:rsidP="00B853EF">
      <w:pPr>
        <w:pStyle w:val="Textbody"/>
        <w:numPr>
          <w:ilvl w:val="0"/>
          <w:numId w:val="50"/>
        </w:numPr>
        <w:rPr>
          <w:lang w:val="en-AU"/>
        </w:rPr>
      </w:pPr>
      <w:r w:rsidRPr="009A1A2E">
        <w:rPr>
          <w:lang w:val="en-AU"/>
        </w:rPr>
        <w:t>Unaided speech discrimination tests score greater than or equal to 40%</w:t>
      </w:r>
    </w:p>
    <w:p w14:paraId="4A43F651" w14:textId="77777777" w:rsidR="00E5193D" w:rsidRPr="009A1A2E" w:rsidRDefault="00E5193D" w:rsidP="00B853EF">
      <w:pPr>
        <w:pStyle w:val="Textbody"/>
        <w:numPr>
          <w:ilvl w:val="0"/>
          <w:numId w:val="50"/>
        </w:numPr>
        <w:rPr>
          <w:lang w:val="en-AU"/>
        </w:rPr>
      </w:pPr>
      <w:r w:rsidRPr="009A1A2E">
        <w:rPr>
          <w:lang w:val="en-AU"/>
        </w:rPr>
        <w:t>Normal middle ear function and anatomy</w:t>
      </w:r>
    </w:p>
    <w:p w14:paraId="2C4D4C21" w14:textId="77777777" w:rsidR="00E5193D" w:rsidRPr="009A1A2E" w:rsidRDefault="00E5193D" w:rsidP="00B853EF">
      <w:pPr>
        <w:pStyle w:val="Textbody"/>
        <w:numPr>
          <w:ilvl w:val="0"/>
          <w:numId w:val="50"/>
        </w:numPr>
        <w:rPr>
          <w:lang w:val="en-AU"/>
        </w:rPr>
      </w:pPr>
      <w:r w:rsidRPr="009A1A2E">
        <w:rPr>
          <w:lang w:val="en-AU"/>
        </w:rPr>
        <w:t>Minimum 30 days of experience with appropriately fit hearing aids</w:t>
      </w:r>
    </w:p>
    <w:p w14:paraId="2C6E6B80" w14:textId="77777777" w:rsidR="00213B3B" w:rsidRPr="009A1A2E" w:rsidRDefault="00213B3B" w:rsidP="00E74E4B">
      <w:pPr>
        <w:pStyle w:val="Textbody"/>
        <w:rPr>
          <w:lang w:val="en-AU"/>
        </w:rPr>
      </w:pPr>
    </w:p>
    <w:p w14:paraId="231EDB5A" w14:textId="77777777" w:rsidR="00E5193D" w:rsidRPr="009A1A2E" w:rsidRDefault="00E5193D" w:rsidP="00E74E4B">
      <w:pPr>
        <w:pStyle w:val="Textbody"/>
        <w:rPr>
          <w:b/>
          <w:lang w:val="en-AU"/>
        </w:rPr>
      </w:pPr>
      <w:r w:rsidRPr="009A1A2E">
        <w:rPr>
          <w:b/>
          <w:lang w:val="en-AU"/>
        </w:rPr>
        <w:t>Both of these devices are contraindicated in patients who present with chronic outer, m</w:t>
      </w:r>
      <w:r w:rsidR="00E74E4B" w:rsidRPr="009A1A2E">
        <w:rPr>
          <w:b/>
          <w:lang w:val="en-AU"/>
        </w:rPr>
        <w:t>iddle or inner ear pathologies.</w:t>
      </w:r>
    </w:p>
    <w:p w14:paraId="71D1DAF7" w14:textId="77777777" w:rsidR="00213B3B" w:rsidRPr="009A1A2E" w:rsidRDefault="00213B3B" w:rsidP="00E74E4B">
      <w:pPr>
        <w:pStyle w:val="Textbody"/>
        <w:rPr>
          <w:lang w:val="en-AU"/>
        </w:rPr>
      </w:pPr>
    </w:p>
    <w:p w14:paraId="1ACA3CAE" w14:textId="77777777" w:rsidR="00091402" w:rsidRPr="009A1A2E" w:rsidRDefault="00E5193D" w:rsidP="00E74E4B">
      <w:pPr>
        <w:pStyle w:val="Textbody"/>
        <w:rPr>
          <w:lang w:val="en-AU"/>
        </w:rPr>
      </w:pPr>
      <w:r w:rsidRPr="009A1A2E">
        <w:rPr>
          <w:lang w:val="en-AU"/>
        </w:rPr>
        <w:t>These criteria represent a population who could alternatively be treated by conventional HAs, or by a cochlear implant when amplification is insufficient. The only active middle ear implant that offers management for the target populat</w:t>
      </w:r>
      <w:r w:rsidR="00091402" w:rsidRPr="009A1A2E">
        <w:rPr>
          <w:lang w:val="en-AU"/>
        </w:rPr>
        <w:t>ion is the Vibrant Soundbridge.</w:t>
      </w:r>
    </w:p>
    <w:p w14:paraId="5B8697EE" w14:textId="77777777" w:rsidR="00091402" w:rsidRPr="009A1A2E" w:rsidRDefault="00091402" w:rsidP="00E74E4B">
      <w:pPr>
        <w:pStyle w:val="Textbody"/>
        <w:rPr>
          <w:lang w:val="en-AU"/>
        </w:rPr>
      </w:pPr>
    </w:p>
    <w:p w14:paraId="557F728E" w14:textId="77777777" w:rsidR="00E5193D" w:rsidRPr="009A1A2E" w:rsidRDefault="00E5193D" w:rsidP="00E74E4B">
      <w:pPr>
        <w:pStyle w:val="Textbody"/>
        <w:rPr>
          <w:b/>
          <w:lang w:val="en-AU"/>
        </w:rPr>
      </w:pPr>
      <w:r w:rsidRPr="009A1A2E">
        <w:rPr>
          <w:b/>
          <w:lang w:val="en-AU"/>
        </w:rPr>
        <w:t>The indications for the Vibrant Soundbridge are:</w:t>
      </w:r>
    </w:p>
    <w:p w14:paraId="155A9D69" w14:textId="77777777" w:rsidR="00E5193D" w:rsidRPr="009A1A2E" w:rsidRDefault="00E5193D" w:rsidP="00B853EF">
      <w:pPr>
        <w:pStyle w:val="Textbody"/>
        <w:numPr>
          <w:ilvl w:val="0"/>
          <w:numId w:val="51"/>
        </w:numPr>
        <w:rPr>
          <w:lang w:val="en-AU"/>
        </w:rPr>
      </w:pPr>
      <w:r w:rsidRPr="009A1A2E">
        <w:rPr>
          <w:lang w:val="en-AU"/>
        </w:rPr>
        <w:t>Pure-tone air-conduction threshold levels at or within th</w:t>
      </w:r>
      <w:r w:rsidR="00F120E9" w:rsidRPr="009A1A2E">
        <w:rPr>
          <w:lang w:val="en-AU"/>
        </w:rPr>
        <w:t xml:space="preserve">e levels listed below in </w:t>
      </w:r>
      <w:r w:rsidR="00F120E9" w:rsidRPr="009A1A2E">
        <w:rPr>
          <w:lang w:val="en-AU"/>
        </w:rPr>
        <w:fldChar w:fldCharType="begin"/>
      </w:r>
      <w:r w:rsidR="00F120E9" w:rsidRPr="009A1A2E">
        <w:rPr>
          <w:lang w:val="en-AU"/>
        </w:rPr>
        <w:instrText xml:space="preserve"> REF _Ref400453772 \h </w:instrText>
      </w:r>
      <w:r w:rsidR="00F120E9" w:rsidRPr="009A1A2E">
        <w:rPr>
          <w:lang w:val="en-AU"/>
        </w:rPr>
      </w:r>
      <w:r w:rsidR="00F120E9" w:rsidRPr="009A1A2E">
        <w:rPr>
          <w:lang w:val="en-AU"/>
        </w:rPr>
        <w:fldChar w:fldCharType="separate"/>
      </w:r>
      <w:r w:rsidR="00016592" w:rsidRPr="009A1A2E">
        <w:rPr>
          <w:lang w:val="en-AU"/>
        </w:rPr>
        <w:t xml:space="preserve">Table </w:t>
      </w:r>
      <w:r w:rsidR="00016592">
        <w:rPr>
          <w:noProof/>
          <w:lang w:val="en-AU"/>
        </w:rPr>
        <w:t>3</w:t>
      </w:r>
      <w:r w:rsidR="00F120E9" w:rsidRPr="009A1A2E">
        <w:rPr>
          <w:lang w:val="en-AU"/>
        </w:rPr>
        <w:fldChar w:fldCharType="end"/>
      </w:r>
      <w:r w:rsidRPr="009A1A2E">
        <w:rPr>
          <w:lang w:val="en-AU"/>
        </w:rPr>
        <w:t>.</w:t>
      </w:r>
      <w:r w:rsidR="00F120E9" w:rsidRPr="009A1A2E">
        <w:rPr>
          <w:lang w:val="en-AU"/>
        </w:rPr>
        <w:t xml:space="preserve"> </w:t>
      </w:r>
      <w:r w:rsidRPr="009A1A2E">
        <w:rPr>
          <w:lang w:val="en-AU"/>
        </w:rPr>
        <w:t>Pure-tone air-conduction thr</w:t>
      </w:r>
      <w:r w:rsidR="00F82E0F" w:rsidRPr="009A1A2E">
        <w:rPr>
          <w:lang w:val="en-AU"/>
        </w:rPr>
        <w:t xml:space="preserve">esholds for both ears within 20 </w:t>
      </w:r>
      <w:r w:rsidRPr="009A1A2E">
        <w:rPr>
          <w:lang w:val="en-AU"/>
        </w:rPr>
        <w:t>dB HL of ea</w:t>
      </w:r>
      <w:r w:rsidR="00F82E0F" w:rsidRPr="009A1A2E">
        <w:rPr>
          <w:lang w:val="en-AU"/>
        </w:rPr>
        <w:t xml:space="preserve">ch other at frequencies .5 to 4 </w:t>
      </w:r>
      <w:r w:rsidRPr="009A1A2E">
        <w:rPr>
          <w:lang w:val="en-AU"/>
        </w:rPr>
        <w:t xml:space="preserve">kHz </w:t>
      </w:r>
      <w:r w:rsidR="00F82E0F" w:rsidRPr="009A1A2E">
        <w:rPr>
          <w:lang w:val="en-AU"/>
        </w:rPr>
        <w:t xml:space="preserve">Air-bone gap at 0.5, 1, 2 and 4 kHz no greater than 10 </w:t>
      </w:r>
      <w:r w:rsidRPr="009A1A2E">
        <w:rPr>
          <w:lang w:val="en-AU"/>
        </w:rPr>
        <w:t>dB HL at two or more of these frequencies.</w:t>
      </w:r>
    </w:p>
    <w:p w14:paraId="5055873B" w14:textId="77777777" w:rsidR="00E5193D" w:rsidRPr="009A1A2E" w:rsidRDefault="00E5193D" w:rsidP="00B853EF">
      <w:pPr>
        <w:pStyle w:val="Textbody"/>
        <w:numPr>
          <w:ilvl w:val="0"/>
          <w:numId w:val="51"/>
        </w:numPr>
        <w:rPr>
          <w:lang w:val="en-AU"/>
        </w:rPr>
      </w:pPr>
      <w:r w:rsidRPr="009A1A2E">
        <w:rPr>
          <w:lang w:val="en-AU"/>
        </w:rPr>
        <w:t>Normal tympanometry.</w:t>
      </w:r>
    </w:p>
    <w:p w14:paraId="7C31C436" w14:textId="77777777" w:rsidR="00E5193D" w:rsidRPr="009A1A2E" w:rsidRDefault="00E5193D" w:rsidP="00B853EF">
      <w:pPr>
        <w:pStyle w:val="Textbody"/>
        <w:numPr>
          <w:ilvl w:val="0"/>
          <w:numId w:val="51"/>
        </w:numPr>
        <w:rPr>
          <w:lang w:val="en-AU"/>
        </w:rPr>
      </w:pPr>
      <w:r w:rsidRPr="009A1A2E">
        <w:rPr>
          <w:lang w:val="en-AU"/>
        </w:rPr>
        <w:t>No previous middle ear surgery.</w:t>
      </w:r>
    </w:p>
    <w:p w14:paraId="1C414D65" w14:textId="77777777" w:rsidR="00E5193D" w:rsidRPr="009A1A2E" w:rsidRDefault="00E5193D" w:rsidP="00B853EF">
      <w:pPr>
        <w:pStyle w:val="Textbody"/>
        <w:numPr>
          <w:ilvl w:val="0"/>
          <w:numId w:val="51"/>
        </w:numPr>
        <w:rPr>
          <w:lang w:val="en-AU"/>
        </w:rPr>
      </w:pPr>
      <w:r w:rsidRPr="009A1A2E">
        <w:rPr>
          <w:lang w:val="en-AU"/>
        </w:rPr>
        <w:t>The patient shall have no history of post-adolescent, chronic middle ear infections or inner ear disorders such as vertigo or Meniere’s syndrome.</w:t>
      </w:r>
    </w:p>
    <w:p w14:paraId="1042E640" w14:textId="77777777" w:rsidR="00E5193D" w:rsidRPr="009A1A2E" w:rsidRDefault="00E5193D" w:rsidP="00B853EF">
      <w:pPr>
        <w:pStyle w:val="Textbody"/>
        <w:numPr>
          <w:ilvl w:val="0"/>
          <w:numId w:val="51"/>
        </w:numPr>
        <w:rPr>
          <w:lang w:val="en-AU"/>
        </w:rPr>
      </w:pPr>
      <w:r w:rsidRPr="009A1A2E">
        <w:rPr>
          <w:lang w:val="en-AU"/>
        </w:rPr>
        <w:t xml:space="preserve">Speech </w:t>
      </w:r>
      <w:r w:rsidR="00944F5B" w:rsidRPr="009A1A2E">
        <w:rPr>
          <w:lang w:val="en-AU"/>
        </w:rPr>
        <w:t>aud</w:t>
      </w:r>
      <w:r w:rsidRPr="009A1A2E">
        <w:rPr>
          <w:lang w:val="en-AU"/>
        </w:rPr>
        <w:t>iometry curve adequate to the respect</w:t>
      </w:r>
      <w:r w:rsidR="00697D0C" w:rsidRPr="009A1A2E">
        <w:rPr>
          <w:lang w:val="en-AU"/>
        </w:rPr>
        <w:t xml:space="preserve">ive PTA. Speech understanding &gt;65% (at 65 </w:t>
      </w:r>
      <w:r w:rsidRPr="009A1A2E">
        <w:rPr>
          <w:lang w:val="en-AU"/>
        </w:rPr>
        <w:t>dB SPL) for word lists with amplification or at most comfortable level under earphones.</w:t>
      </w:r>
    </w:p>
    <w:p w14:paraId="7187CE75" w14:textId="77777777" w:rsidR="00E5193D" w:rsidRPr="009A1A2E" w:rsidRDefault="00E5193D" w:rsidP="00B853EF">
      <w:pPr>
        <w:pStyle w:val="Textbody"/>
        <w:numPr>
          <w:ilvl w:val="0"/>
          <w:numId w:val="51"/>
        </w:numPr>
        <w:rPr>
          <w:lang w:val="en-AU"/>
        </w:rPr>
      </w:pPr>
      <w:r w:rsidRPr="009A1A2E">
        <w:rPr>
          <w:lang w:val="en-AU"/>
        </w:rPr>
        <w:t>Unable to wear or benefit from a conventional hearing aid for medical reasons.</w:t>
      </w:r>
    </w:p>
    <w:p w14:paraId="02085AF7" w14:textId="77777777" w:rsidR="00E5193D" w:rsidRPr="009A1A2E" w:rsidRDefault="00E5193D" w:rsidP="00B853EF">
      <w:pPr>
        <w:pStyle w:val="Textbody"/>
        <w:numPr>
          <w:ilvl w:val="0"/>
          <w:numId w:val="51"/>
        </w:numPr>
        <w:rPr>
          <w:lang w:val="en-AU"/>
        </w:rPr>
      </w:pPr>
      <w:r w:rsidRPr="009A1A2E">
        <w:rPr>
          <w:lang w:val="en-AU"/>
        </w:rPr>
        <w:t>The ear selected for implantation of the VSB shall be equal to or worse than the un-implanted ear.</w:t>
      </w:r>
    </w:p>
    <w:p w14:paraId="3EE253E4" w14:textId="79ACC2D4" w:rsidR="003733D2" w:rsidRDefault="003733D2">
      <w:pPr>
        <w:rPr>
          <w:rFonts w:cs="Arial"/>
          <w:lang w:eastAsia="de-AT"/>
        </w:rPr>
      </w:pPr>
      <w:r>
        <w:br w:type="page"/>
      </w:r>
    </w:p>
    <w:p w14:paraId="0BB92B85" w14:textId="77777777" w:rsidR="00E74E4B" w:rsidRPr="00A52ABF" w:rsidRDefault="00E74E4B" w:rsidP="00E74E4B">
      <w:pPr>
        <w:pStyle w:val="Figure2"/>
        <w:rPr>
          <w:lang w:val="en-AU"/>
        </w:rPr>
      </w:pPr>
      <w:bookmarkStart w:id="329" w:name="_Ref400453772"/>
      <w:bookmarkStart w:id="330" w:name="_Toc400395537"/>
      <w:bookmarkStart w:id="331" w:name="_Ref400453764"/>
      <w:bookmarkStart w:id="332" w:name="_Toc431917463"/>
      <w:r w:rsidRPr="009A1A2E">
        <w:rPr>
          <w:lang w:val="en-AU"/>
        </w:rPr>
        <w:lastRenderedPageBreak/>
        <w:t xml:space="preserve">Table </w:t>
      </w:r>
      <w:r w:rsidRPr="009A1A2E">
        <w:rPr>
          <w:lang w:val="en-AU"/>
        </w:rPr>
        <w:fldChar w:fldCharType="begin"/>
      </w:r>
      <w:r w:rsidRPr="009A1A2E">
        <w:rPr>
          <w:lang w:val="en-AU"/>
        </w:rPr>
        <w:instrText xml:space="preserve"> SEQ Table \* ARABIC </w:instrText>
      </w:r>
      <w:r w:rsidRPr="009A1A2E">
        <w:rPr>
          <w:lang w:val="en-AU"/>
        </w:rPr>
        <w:fldChar w:fldCharType="separate"/>
      </w:r>
      <w:r w:rsidR="00016592">
        <w:rPr>
          <w:noProof/>
          <w:lang w:val="en-AU"/>
        </w:rPr>
        <w:t>3</w:t>
      </w:r>
      <w:r w:rsidRPr="009A1A2E">
        <w:rPr>
          <w:lang w:val="en-AU"/>
        </w:rPr>
        <w:fldChar w:fldCharType="end"/>
      </w:r>
      <w:bookmarkEnd w:id="329"/>
      <w:r w:rsidRPr="009A1A2E">
        <w:rPr>
          <w:lang w:val="en-AU"/>
        </w:rPr>
        <w:t xml:space="preserve"> - Air conduction threshold levels for SNHL indication (CE marked countries)</w:t>
      </w:r>
      <w:bookmarkEnd w:id="330"/>
      <w:bookmarkEnd w:id="331"/>
      <w:bookmarkEnd w:id="332"/>
    </w:p>
    <w:tbl>
      <w:tblPr>
        <w:tblW w:w="39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Air conduction threshold levels for SNHL indication (CE marked countries)"/>
      </w:tblPr>
      <w:tblGrid>
        <w:gridCol w:w="2386"/>
        <w:gridCol w:w="824"/>
        <w:gridCol w:w="831"/>
        <w:gridCol w:w="831"/>
        <w:gridCol w:w="831"/>
        <w:gridCol w:w="831"/>
        <w:gridCol w:w="831"/>
      </w:tblGrid>
      <w:tr w:rsidR="00E5193D" w:rsidRPr="009A1A2E" w14:paraId="3D10B75F" w14:textId="77777777" w:rsidTr="00F66939">
        <w:trPr>
          <w:jc w:val="center"/>
        </w:trPr>
        <w:tc>
          <w:tcPr>
            <w:tcW w:w="2386" w:type="dxa"/>
            <w:shd w:val="clear" w:color="auto" w:fill="auto"/>
            <w:vAlign w:val="center"/>
          </w:tcPr>
          <w:p w14:paraId="59C7510D" w14:textId="77777777" w:rsidR="00E5193D" w:rsidRPr="009A1A2E" w:rsidRDefault="00E5193D" w:rsidP="00213B3B">
            <w:pPr>
              <w:jc w:val="both"/>
              <w:rPr>
                <w:rFonts w:cs="Arial"/>
                <w:b/>
                <w:sz w:val="20"/>
                <w:szCs w:val="20"/>
                <w:lang w:eastAsia="de-AT"/>
              </w:rPr>
            </w:pPr>
            <w:r w:rsidRPr="009A1A2E">
              <w:rPr>
                <w:rFonts w:cs="Arial"/>
                <w:b/>
                <w:sz w:val="20"/>
                <w:szCs w:val="20"/>
                <w:lang w:eastAsia="de-AT"/>
              </w:rPr>
              <w:t>Frequency (kHz)</w:t>
            </w:r>
          </w:p>
        </w:tc>
        <w:tc>
          <w:tcPr>
            <w:tcW w:w="824" w:type="dxa"/>
            <w:shd w:val="clear" w:color="auto" w:fill="auto"/>
          </w:tcPr>
          <w:p w14:paraId="4E7D415B" w14:textId="77777777" w:rsidR="00E5193D" w:rsidRPr="009A1A2E" w:rsidRDefault="00E5193D" w:rsidP="00213B3B">
            <w:pPr>
              <w:keepNext/>
              <w:keepLines/>
              <w:tabs>
                <w:tab w:val="left" w:pos="60"/>
                <w:tab w:val="left" w:pos="10085"/>
                <w:tab w:val="left" w:pos="10105"/>
              </w:tabs>
              <w:spacing w:before="120" w:after="120"/>
              <w:jc w:val="both"/>
              <w:rPr>
                <w:rFonts w:cs="Arial"/>
                <w:sz w:val="20"/>
                <w:szCs w:val="20"/>
                <w:lang w:eastAsia="de-AT"/>
              </w:rPr>
            </w:pPr>
            <w:r w:rsidRPr="009A1A2E">
              <w:rPr>
                <w:rFonts w:cs="Arial"/>
                <w:sz w:val="20"/>
                <w:szCs w:val="20"/>
                <w:lang w:eastAsia="de-AT"/>
              </w:rPr>
              <w:t>0.5</w:t>
            </w:r>
          </w:p>
        </w:tc>
        <w:tc>
          <w:tcPr>
            <w:tcW w:w="831" w:type="dxa"/>
            <w:shd w:val="clear" w:color="auto" w:fill="auto"/>
          </w:tcPr>
          <w:p w14:paraId="36410D89" w14:textId="77777777" w:rsidR="00E5193D" w:rsidRPr="009A1A2E" w:rsidRDefault="00E5193D" w:rsidP="00213B3B">
            <w:pPr>
              <w:keepNext/>
              <w:keepLines/>
              <w:tabs>
                <w:tab w:val="left" w:pos="60"/>
                <w:tab w:val="left" w:pos="10085"/>
                <w:tab w:val="left" w:pos="10105"/>
              </w:tabs>
              <w:spacing w:before="120" w:after="120"/>
              <w:jc w:val="both"/>
              <w:rPr>
                <w:rFonts w:cs="Arial"/>
                <w:sz w:val="20"/>
                <w:szCs w:val="20"/>
                <w:lang w:eastAsia="de-AT"/>
              </w:rPr>
            </w:pPr>
            <w:r w:rsidRPr="009A1A2E">
              <w:rPr>
                <w:rFonts w:cs="Arial"/>
                <w:sz w:val="20"/>
                <w:szCs w:val="20"/>
                <w:lang w:eastAsia="de-AT"/>
              </w:rPr>
              <w:t>1</w:t>
            </w:r>
          </w:p>
        </w:tc>
        <w:tc>
          <w:tcPr>
            <w:tcW w:w="831" w:type="dxa"/>
          </w:tcPr>
          <w:p w14:paraId="78B11390" w14:textId="77777777" w:rsidR="00E5193D" w:rsidRPr="009A1A2E" w:rsidRDefault="00E5193D" w:rsidP="00213B3B">
            <w:pPr>
              <w:keepNext/>
              <w:keepLines/>
              <w:tabs>
                <w:tab w:val="left" w:pos="60"/>
                <w:tab w:val="left" w:pos="10085"/>
                <w:tab w:val="left" w:pos="10105"/>
              </w:tabs>
              <w:spacing w:before="120" w:after="120"/>
              <w:jc w:val="both"/>
              <w:rPr>
                <w:rFonts w:cs="Arial"/>
                <w:sz w:val="20"/>
                <w:szCs w:val="20"/>
                <w:lang w:eastAsia="de-AT"/>
              </w:rPr>
            </w:pPr>
            <w:r w:rsidRPr="009A1A2E">
              <w:rPr>
                <w:rFonts w:cs="Arial"/>
                <w:sz w:val="20"/>
                <w:szCs w:val="20"/>
                <w:lang w:eastAsia="de-AT"/>
              </w:rPr>
              <w:t>1.5</w:t>
            </w:r>
          </w:p>
        </w:tc>
        <w:tc>
          <w:tcPr>
            <w:tcW w:w="831" w:type="dxa"/>
            <w:shd w:val="clear" w:color="auto" w:fill="auto"/>
          </w:tcPr>
          <w:p w14:paraId="3C487080" w14:textId="77777777" w:rsidR="00E5193D" w:rsidRPr="009A1A2E" w:rsidRDefault="00E5193D" w:rsidP="00213B3B">
            <w:pPr>
              <w:keepNext/>
              <w:keepLines/>
              <w:tabs>
                <w:tab w:val="left" w:pos="60"/>
                <w:tab w:val="left" w:pos="10085"/>
                <w:tab w:val="left" w:pos="10105"/>
              </w:tabs>
              <w:spacing w:before="120" w:after="120"/>
              <w:jc w:val="both"/>
              <w:rPr>
                <w:rFonts w:cs="Arial"/>
                <w:sz w:val="20"/>
                <w:szCs w:val="20"/>
                <w:lang w:eastAsia="de-AT"/>
              </w:rPr>
            </w:pPr>
            <w:r w:rsidRPr="009A1A2E">
              <w:rPr>
                <w:rFonts w:cs="Arial"/>
                <w:sz w:val="20"/>
                <w:szCs w:val="20"/>
                <w:lang w:eastAsia="de-AT"/>
              </w:rPr>
              <w:t>2</w:t>
            </w:r>
          </w:p>
        </w:tc>
        <w:tc>
          <w:tcPr>
            <w:tcW w:w="831" w:type="dxa"/>
            <w:shd w:val="clear" w:color="auto" w:fill="auto"/>
          </w:tcPr>
          <w:p w14:paraId="4210BBA3" w14:textId="77777777" w:rsidR="00E5193D" w:rsidRPr="009A1A2E" w:rsidRDefault="00E5193D" w:rsidP="00213B3B">
            <w:pPr>
              <w:keepNext/>
              <w:keepLines/>
              <w:tabs>
                <w:tab w:val="left" w:pos="60"/>
                <w:tab w:val="left" w:pos="10085"/>
                <w:tab w:val="left" w:pos="10105"/>
              </w:tabs>
              <w:spacing w:before="120" w:after="120"/>
              <w:jc w:val="both"/>
              <w:rPr>
                <w:rFonts w:cs="Arial"/>
                <w:sz w:val="20"/>
                <w:szCs w:val="20"/>
                <w:lang w:eastAsia="de-AT"/>
              </w:rPr>
            </w:pPr>
            <w:r w:rsidRPr="009A1A2E">
              <w:rPr>
                <w:rFonts w:cs="Arial"/>
                <w:sz w:val="20"/>
                <w:szCs w:val="20"/>
                <w:lang w:eastAsia="de-AT"/>
              </w:rPr>
              <w:t>3</w:t>
            </w:r>
          </w:p>
        </w:tc>
        <w:tc>
          <w:tcPr>
            <w:tcW w:w="831" w:type="dxa"/>
            <w:shd w:val="clear" w:color="auto" w:fill="auto"/>
          </w:tcPr>
          <w:p w14:paraId="16FB2D97" w14:textId="77777777" w:rsidR="00E5193D" w:rsidRPr="009A1A2E" w:rsidRDefault="00E5193D" w:rsidP="00213B3B">
            <w:pPr>
              <w:keepNext/>
              <w:keepLines/>
              <w:tabs>
                <w:tab w:val="left" w:pos="60"/>
                <w:tab w:val="left" w:pos="10085"/>
                <w:tab w:val="left" w:pos="10105"/>
              </w:tabs>
              <w:spacing w:before="120" w:after="120"/>
              <w:jc w:val="both"/>
              <w:rPr>
                <w:rFonts w:cs="Arial"/>
                <w:sz w:val="20"/>
                <w:szCs w:val="20"/>
                <w:lang w:eastAsia="de-AT"/>
              </w:rPr>
            </w:pPr>
            <w:r w:rsidRPr="009A1A2E">
              <w:rPr>
                <w:rFonts w:cs="Arial"/>
                <w:sz w:val="20"/>
                <w:szCs w:val="20"/>
                <w:lang w:eastAsia="de-AT"/>
              </w:rPr>
              <w:t>4</w:t>
            </w:r>
          </w:p>
        </w:tc>
      </w:tr>
      <w:tr w:rsidR="00E5193D" w:rsidRPr="009A1A2E" w14:paraId="35F7A7A9" w14:textId="77777777" w:rsidTr="00F66939">
        <w:trPr>
          <w:jc w:val="center"/>
        </w:trPr>
        <w:tc>
          <w:tcPr>
            <w:tcW w:w="2386" w:type="dxa"/>
            <w:shd w:val="clear" w:color="auto" w:fill="auto"/>
            <w:vAlign w:val="center"/>
          </w:tcPr>
          <w:p w14:paraId="45579639" w14:textId="77777777" w:rsidR="00E5193D" w:rsidRPr="009A1A2E" w:rsidRDefault="00E5193D" w:rsidP="00213B3B">
            <w:pPr>
              <w:jc w:val="both"/>
              <w:rPr>
                <w:rFonts w:cs="Arial"/>
                <w:b/>
                <w:sz w:val="20"/>
                <w:szCs w:val="20"/>
                <w:lang w:eastAsia="de-AT"/>
              </w:rPr>
            </w:pPr>
            <w:r w:rsidRPr="009A1A2E">
              <w:rPr>
                <w:rFonts w:cs="Arial"/>
                <w:b/>
                <w:sz w:val="20"/>
                <w:szCs w:val="20"/>
                <w:lang w:eastAsia="de-AT"/>
              </w:rPr>
              <w:t>Lower Limit (dB HL)</w:t>
            </w:r>
          </w:p>
        </w:tc>
        <w:tc>
          <w:tcPr>
            <w:tcW w:w="824" w:type="dxa"/>
            <w:shd w:val="clear" w:color="auto" w:fill="auto"/>
          </w:tcPr>
          <w:p w14:paraId="4C2AD2F6" w14:textId="77777777" w:rsidR="00E5193D" w:rsidRPr="009A1A2E" w:rsidRDefault="00E5193D" w:rsidP="00213B3B">
            <w:pPr>
              <w:keepNext/>
              <w:keepLines/>
              <w:tabs>
                <w:tab w:val="left" w:pos="60"/>
                <w:tab w:val="left" w:pos="10085"/>
                <w:tab w:val="left" w:pos="10105"/>
              </w:tabs>
              <w:spacing w:before="120" w:after="120"/>
              <w:jc w:val="both"/>
              <w:rPr>
                <w:rFonts w:cs="Arial"/>
                <w:sz w:val="20"/>
                <w:szCs w:val="20"/>
                <w:lang w:eastAsia="de-AT"/>
              </w:rPr>
            </w:pPr>
            <w:r w:rsidRPr="009A1A2E">
              <w:rPr>
                <w:rFonts w:cs="Arial"/>
                <w:sz w:val="20"/>
                <w:szCs w:val="20"/>
                <w:lang w:eastAsia="de-AT"/>
              </w:rPr>
              <w:t>10</w:t>
            </w:r>
          </w:p>
        </w:tc>
        <w:tc>
          <w:tcPr>
            <w:tcW w:w="831" w:type="dxa"/>
            <w:shd w:val="clear" w:color="auto" w:fill="auto"/>
          </w:tcPr>
          <w:p w14:paraId="21EC016F" w14:textId="77777777" w:rsidR="00E5193D" w:rsidRPr="009A1A2E" w:rsidRDefault="00E5193D" w:rsidP="00213B3B">
            <w:pPr>
              <w:keepNext/>
              <w:keepLines/>
              <w:tabs>
                <w:tab w:val="left" w:pos="60"/>
                <w:tab w:val="left" w:pos="10085"/>
                <w:tab w:val="left" w:pos="10105"/>
              </w:tabs>
              <w:spacing w:before="120" w:after="120"/>
              <w:jc w:val="both"/>
              <w:rPr>
                <w:rFonts w:cs="Arial"/>
                <w:sz w:val="20"/>
                <w:szCs w:val="20"/>
                <w:lang w:eastAsia="de-AT"/>
              </w:rPr>
            </w:pPr>
            <w:r w:rsidRPr="009A1A2E">
              <w:rPr>
                <w:rFonts w:cs="Arial"/>
                <w:sz w:val="20"/>
                <w:szCs w:val="20"/>
                <w:lang w:eastAsia="de-AT"/>
              </w:rPr>
              <w:t>10</w:t>
            </w:r>
          </w:p>
        </w:tc>
        <w:tc>
          <w:tcPr>
            <w:tcW w:w="831" w:type="dxa"/>
          </w:tcPr>
          <w:p w14:paraId="75FFBF89" w14:textId="77777777" w:rsidR="00E5193D" w:rsidRPr="009A1A2E" w:rsidRDefault="00E5193D" w:rsidP="00213B3B">
            <w:pPr>
              <w:keepNext/>
              <w:keepLines/>
              <w:tabs>
                <w:tab w:val="left" w:pos="60"/>
                <w:tab w:val="left" w:pos="10085"/>
                <w:tab w:val="left" w:pos="10105"/>
              </w:tabs>
              <w:spacing w:before="120" w:after="120"/>
              <w:jc w:val="both"/>
              <w:rPr>
                <w:rFonts w:cs="Arial"/>
                <w:sz w:val="20"/>
                <w:szCs w:val="20"/>
                <w:lang w:eastAsia="de-AT"/>
              </w:rPr>
            </w:pPr>
            <w:r w:rsidRPr="009A1A2E">
              <w:rPr>
                <w:rFonts w:cs="Arial"/>
                <w:sz w:val="20"/>
                <w:szCs w:val="20"/>
                <w:lang w:eastAsia="de-AT"/>
              </w:rPr>
              <w:t>10</w:t>
            </w:r>
          </w:p>
        </w:tc>
        <w:tc>
          <w:tcPr>
            <w:tcW w:w="831" w:type="dxa"/>
            <w:shd w:val="clear" w:color="auto" w:fill="auto"/>
          </w:tcPr>
          <w:p w14:paraId="6F63DE28" w14:textId="77777777" w:rsidR="00E5193D" w:rsidRPr="009A1A2E" w:rsidRDefault="00E5193D" w:rsidP="00213B3B">
            <w:pPr>
              <w:keepNext/>
              <w:keepLines/>
              <w:tabs>
                <w:tab w:val="left" w:pos="60"/>
                <w:tab w:val="left" w:pos="10085"/>
                <w:tab w:val="left" w:pos="10105"/>
              </w:tabs>
              <w:spacing w:before="120" w:after="120"/>
              <w:jc w:val="both"/>
              <w:rPr>
                <w:rFonts w:cs="Arial"/>
                <w:sz w:val="20"/>
                <w:szCs w:val="20"/>
                <w:lang w:eastAsia="de-AT"/>
              </w:rPr>
            </w:pPr>
            <w:r w:rsidRPr="009A1A2E">
              <w:rPr>
                <w:rFonts w:cs="Arial"/>
                <w:sz w:val="20"/>
                <w:szCs w:val="20"/>
                <w:lang w:eastAsia="de-AT"/>
              </w:rPr>
              <w:t>15</w:t>
            </w:r>
          </w:p>
        </w:tc>
        <w:tc>
          <w:tcPr>
            <w:tcW w:w="831" w:type="dxa"/>
            <w:shd w:val="clear" w:color="auto" w:fill="auto"/>
          </w:tcPr>
          <w:p w14:paraId="654E9A3E" w14:textId="77777777" w:rsidR="00E5193D" w:rsidRPr="009A1A2E" w:rsidRDefault="00E5193D" w:rsidP="00213B3B">
            <w:pPr>
              <w:keepNext/>
              <w:keepLines/>
              <w:tabs>
                <w:tab w:val="left" w:pos="60"/>
                <w:tab w:val="left" w:pos="10085"/>
                <w:tab w:val="left" w:pos="10105"/>
              </w:tabs>
              <w:spacing w:before="120" w:after="120"/>
              <w:jc w:val="both"/>
              <w:rPr>
                <w:rFonts w:cs="Arial"/>
                <w:sz w:val="20"/>
                <w:szCs w:val="20"/>
                <w:lang w:eastAsia="de-AT"/>
              </w:rPr>
            </w:pPr>
            <w:r w:rsidRPr="009A1A2E">
              <w:rPr>
                <w:rFonts w:cs="Arial"/>
                <w:sz w:val="20"/>
                <w:szCs w:val="20"/>
                <w:lang w:eastAsia="de-AT"/>
              </w:rPr>
              <w:t>25</w:t>
            </w:r>
          </w:p>
        </w:tc>
        <w:tc>
          <w:tcPr>
            <w:tcW w:w="831" w:type="dxa"/>
            <w:shd w:val="clear" w:color="auto" w:fill="auto"/>
          </w:tcPr>
          <w:p w14:paraId="13802427" w14:textId="77777777" w:rsidR="00E5193D" w:rsidRPr="009A1A2E" w:rsidRDefault="00E5193D" w:rsidP="00213B3B">
            <w:pPr>
              <w:keepNext/>
              <w:keepLines/>
              <w:tabs>
                <w:tab w:val="left" w:pos="60"/>
                <w:tab w:val="left" w:pos="10085"/>
                <w:tab w:val="left" w:pos="10105"/>
              </w:tabs>
              <w:spacing w:before="120" w:after="120"/>
              <w:jc w:val="both"/>
              <w:rPr>
                <w:rFonts w:cs="Arial"/>
                <w:sz w:val="20"/>
                <w:szCs w:val="20"/>
                <w:lang w:eastAsia="de-AT"/>
              </w:rPr>
            </w:pPr>
            <w:r w:rsidRPr="009A1A2E">
              <w:rPr>
                <w:rFonts w:cs="Arial"/>
                <w:sz w:val="20"/>
                <w:szCs w:val="20"/>
                <w:lang w:eastAsia="de-AT"/>
              </w:rPr>
              <w:t>40</w:t>
            </w:r>
          </w:p>
        </w:tc>
      </w:tr>
      <w:tr w:rsidR="00E5193D" w:rsidRPr="009A1A2E" w14:paraId="7E4B46ED" w14:textId="77777777" w:rsidTr="00F66939">
        <w:trPr>
          <w:jc w:val="center"/>
        </w:trPr>
        <w:tc>
          <w:tcPr>
            <w:tcW w:w="2386" w:type="dxa"/>
            <w:shd w:val="clear" w:color="auto" w:fill="auto"/>
            <w:vAlign w:val="center"/>
          </w:tcPr>
          <w:p w14:paraId="78E7E0C6" w14:textId="77777777" w:rsidR="00E5193D" w:rsidRPr="009A1A2E" w:rsidRDefault="00E5193D" w:rsidP="00213B3B">
            <w:pPr>
              <w:jc w:val="both"/>
              <w:rPr>
                <w:rFonts w:cs="Arial"/>
                <w:b/>
                <w:sz w:val="20"/>
                <w:szCs w:val="20"/>
                <w:lang w:eastAsia="de-AT"/>
              </w:rPr>
            </w:pPr>
            <w:r w:rsidRPr="009A1A2E">
              <w:rPr>
                <w:rFonts w:cs="Arial"/>
                <w:b/>
                <w:sz w:val="20"/>
                <w:szCs w:val="20"/>
                <w:lang w:eastAsia="de-AT"/>
              </w:rPr>
              <w:t>Upper Limit (dB HL)</w:t>
            </w:r>
          </w:p>
        </w:tc>
        <w:tc>
          <w:tcPr>
            <w:tcW w:w="824" w:type="dxa"/>
            <w:shd w:val="clear" w:color="auto" w:fill="auto"/>
          </w:tcPr>
          <w:p w14:paraId="72A6F8B9" w14:textId="77777777" w:rsidR="00E5193D" w:rsidRPr="009A1A2E" w:rsidRDefault="00E5193D" w:rsidP="00213B3B">
            <w:pPr>
              <w:keepNext/>
              <w:keepLines/>
              <w:tabs>
                <w:tab w:val="left" w:pos="60"/>
                <w:tab w:val="left" w:pos="10085"/>
                <w:tab w:val="left" w:pos="10105"/>
              </w:tabs>
              <w:spacing w:before="120" w:after="120"/>
              <w:jc w:val="both"/>
              <w:rPr>
                <w:rFonts w:cs="Arial"/>
                <w:sz w:val="20"/>
                <w:szCs w:val="20"/>
                <w:lang w:eastAsia="de-AT"/>
              </w:rPr>
            </w:pPr>
            <w:r w:rsidRPr="009A1A2E">
              <w:rPr>
                <w:rFonts w:cs="Arial"/>
                <w:sz w:val="20"/>
                <w:szCs w:val="20"/>
                <w:lang w:eastAsia="de-AT"/>
              </w:rPr>
              <w:t>65</w:t>
            </w:r>
          </w:p>
        </w:tc>
        <w:tc>
          <w:tcPr>
            <w:tcW w:w="831" w:type="dxa"/>
            <w:shd w:val="clear" w:color="auto" w:fill="auto"/>
          </w:tcPr>
          <w:p w14:paraId="0AA0C786" w14:textId="77777777" w:rsidR="00E5193D" w:rsidRPr="009A1A2E" w:rsidRDefault="00E5193D" w:rsidP="00213B3B">
            <w:pPr>
              <w:keepNext/>
              <w:keepLines/>
              <w:tabs>
                <w:tab w:val="left" w:pos="60"/>
                <w:tab w:val="left" w:pos="10085"/>
                <w:tab w:val="left" w:pos="10105"/>
              </w:tabs>
              <w:spacing w:before="120" w:after="120"/>
              <w:jc w:val="both"/>
              <w:rPr>
                <w:rFonts w:cs="Arial"/>
                <w:sz w:val="20"/>
                <w:szCs w:val="20"/>
                <w:lang w:eastAsia="de-AT"/>
              </w:rPr>
            </w:pPr>
            <w:r w:rsidRPr="009A1A2E">
              <w:rPr>
                <w:rFonts w:cs="Arial"/>
                <w:sz w:val="20"/>
                <w:szCs w:val="20"/>
                <w:lang w:eastAsia="de-AT"/>
              </w:rPr>
              <w:t>75</w:t>
            </w:r>
          </w:p>
        </w:tc>
        <w:tc>
          <w:tcPr>
            <w:tcW w:w="831" w:type="dxa"/>
          </w:tcPr>
          <w:p w14:paraId="55130BF6" w14:textId="77777777" w:rsidR="00E5193D" w:rsidRPr="009A1A2E" w:rsidRDefault="00E5193D" w:rsidP="00213B3B">
            <w:pPr>
              <w:keepNext/>
              <w:keepLines/>
              <w:tabs>
                <w:tab w:val="left" w:pos="60"/>
                <w:tab w:val="left" w:pos="10085"/>
                <w:tab w:val="left" w:pos="10105"/>
              </w:tabs>
              <w:spacing w:before="120" w:after="120"/>
              <w:jc w:val="both"/>
              <w:rPr>
                <w:rFonts w:cs="Arial"/>
                <w:sz w:val="20"/>
                <w:szCs w:val="20"/>
                <w:lang w:eastAsia="de-AT"/>
              </w:rPr>
            </w:pPr>
            <w:r w:rsidRPr="009A1A2E">
              <w:rPr>
                <w:rFonts w:cs="Arial"/>
                <w:sz w:val="20"/>
                <w:szCs w:val="20"/>
                <w:lang w:eastAsia="de-AT"/>
              </w:rPr>
              <w:t>80</w:t>
            </w:r>
          </w:p>
        </w:tc>
        <w:tc>
          <w:tcPr>
            <w:tcW w:w="831" w:type="dxa"/>
            <w:shd w:val="clear" w:color="auto" w:fill="auto"/>
          </w:tcPr>
          <w:p w14:paraId="56BEC39E" w14:textId="77777777" w:rsidR="00E5193D" w:rsidRPr="009A1A2E" w:rsidRDefault="00E5193D" w:rsidP="00213B3B">
            <w:pPr>
              <w:keepNext/>
              <w:keepLines/>
              <w:tabs>
                <w:tab w:val="left" w:pos="60"/>
                <w:tab w:val="left" w:pos="10085"/>
                <w:tab w:val="left" w:pos="10105"/>
              </w:tabs>
              <w:spacing w:before="120" w:after="120"/>
              <w:jc w:val="both"/>
              <w:rPr>
                <w:rFonts w:cs="Arial"/>
                <w:sz w:val="20"/>
                <w:szCs w:val="20"/>
                <w:lang w:eastAsia="de-AT"/>
              </w:rPr>
            </w:pPr>
            <w:r w:rsidRPr="009A1A2E">
              <w:rPr>
                <w:rFonts w:cs="Arial"/>
                <w:sz w:val="20"/>
                <w:szCs w:val="20"/>
                <w:lang w:eastAsia="de-AT"/>
              </w:rPr>
              <w:t>80</w:t>
            </w:r>
          </w:p>
        </w:tc>
        <w:tc>
          <w:tcPr>
            <w:tcW w:w="831" w:type="dxa"/>
            <w:shd w:val="clear" w:color="auto" w:fill="auto"/>
          </w:tcPr>
          <w:p w14:paraId="6F6369C6" w14:textId="77777777" w:rsidR="00E5193D" w:rsidRPr="009A1A2E" w:rsidRDefault="00E5193D" w:rsidP="00213B3B">
            <w:pPr>
              <w:keepNext/>
              <w:keepLines/>
              <w:tabs>
                <w:tab w:val="left" w:pos="60"/>
                <w:tab w:val="left" w:pos="10085"/>
                <w:tab w:val="left" w:pos="10105"/>
              </w:tabs>
              <w:spacing w:before="120" w:after="120"/>
              <w:jc w:val="both"/>
              <w:rPr>
                <w:rFonts w:cs="Arial"/>
                <w:sz w:val="20"/>
                <w:szCs w:val="20"/>
                <w:lang w:eastAsia="de-AT"/>
              </w:rPr>
            </w:pPr>
            <w:r w:rsidRPr="009A1A2E">
              <w:rPr>
                <w:rFonts w:cs="Arial"/>
                <w:sz w:val="20"/>
                <w:szCs w:val="20"/>
                <w:lang w:eastAsia="de-AT"/>
              </w:rPr>
              <w:t>85</w:t>
            </w:r>
          </w:p>
        </w:tc>
        <w:tc>
          <w:tcPr>
            <w:tcW w:w="831" w:type="dxa"/>
            <w:shd w:val="clear" w:color="auto" w:fill="auto"/>
          </w:tcPr>
          <w:p w14:paraId="53DDC7EA" w14:textId="77777777" w:rsidR="00E5193D" w:rsidRPr="009A1A2E" w:rsidRDefault="00E5193D" w:rsidP="00213B3B">
            <w:pPr>
              <w:keepNext/>
              <w:keepLines/>
              <w:tabs>
                <w:tab w:val="left" w:pos="60"/>
                <w:tab w:val="left" w:pos="10085"/>
                <w:tab w:val="left" w:pos="10105"/>
              </w:tabs>
              <w:spacing w:before="120" w:after="120"/>
              <w:jc w:val="both"/>
              <w:rPr>
                <w:rFonts w:cs="Arial"/>
                <w:sz w:val="20"/>
                <w:szCs w:val="20"/>
                <w:lang w:eastAsia="de-AT"/>
              </w:rPr>
            </w:pPr>
            <w:r w:rsidRPr="009A1A2E">
              <w:rPr>
                <w:rFonts w:cs="Arial"/>
                <w:sz w:val="20"/>
                <w:szCs w:val="20"/>
                <w:lang w:eastAsia="de-AT"/>
              </w:rPr>
              <w:t>85</w:t>
            </w:r>
          </w:p>
        </w:tc>
      </w:tr>
    </w:tbl>
    <w:p w14:paraId="28ECFA05" w14:textId="77777777" w:rsidR="00E5193D" w:rsidRPr="009A1A2E" w:rsidRDefault="00E5193D" w:rsidP="00E74E4B">
      <w:pPr>
        <w:pStyle w:val="Textbody"/>
        <w:rPr>
          <w:lang w:val="en-AU"/>
        </w:rPr>
      </w:pPr>
    </w:p>
    <w:p w14:paraId="38B261F9" w14:textId="5D947D6F" w:rsidR="00A52ABF" w:rsidRPr="009A1A2E" w:rsidRDefault="00E5193D" w:rsidP="00E74E4B">
      <w:pPr>
        <w:pStyle w:val="Textbody"/>
        <w:rPr>
          <w:lang w:val="en-AU"/>
        </w:rPr>
      </w:pPr>
      <w:r w:rsidRPr="009A1A2E">
        <w:rPr>
          <w:lang w:val="en-AU"/>
        </w:rPr>
        <w:t>Vibrant Soundbridge candidates cannot use conventional hearing aids for a variety of medical reasons. These may include but are not limited to conditions such as chronic otitis externa, psoriasis, exostosis of the ear canal, persistent excessive cerumen blocking the ear canal, absent or deformed pinnas following skin cancer, unusual morphology affecting the ear canal or pinna that prevent the use of conventional hearing aids.</w:t>
      </w:r>
      <w:r w:rsidR="003733D2" w:rsidRPr="009A1A2E">
        <w:rPr>
          <w:lang w:val="en-AU"/>
        </w:rPr>
        <w:t xml:space="preserve"> </w:t>
      </w:r>
    </w:p>
    <w:p w14:paraId="2E656C64" w14:textId="77777777" w:rsidR="0046488B" w:rsidRPr="009A1A2E" w:rsidRDefault="001C7CE7" w:rsidP="00A52ABF">
      <w:pPr>
        <w:pStyle w:val="Heading30"/>
        <w:rPr>
          <w:lang w:val="en-AU"/>
        </w:rPr>
      </w:pPr>
      <w:bookmarkStart w:id="333" w:name="_Toc400549400"/>
      <w:bookmarkStart w:id="334" w:name="_Toc431917553"/>
      <w:r>
        <w:rPr>
          <w:lang w:val="en-AU"/>
        </w:rPr>
        <w:t>A.2.2</w:t>
      </w:r>
      <w:r>
        <w:rPr>
          <w:lang w:val="en-AU"/>
        </w:rPr>
        <w:tab/>
      </w:r>
      <w:r w:rsidR="00E5193D" w:rsidRPr="009A1A2E">
        <w:rPr>
          <w:lang w:val="en-AU"/>
        </w:rPr>
        <w:t>Definition and incidence of the medical condition</w:t>
      </w:r>
      <w:bookmarkEnd w:id="333"/>
      <w:bookmarkEnd w:id="334"/>
    </w:p>
    <w:p w14:paraId="03FC177E" w14:textId="77777777" w:rsidR="00A70A66" w:rsidRPr="009A1A2E" w:rsidRDefault="007668AC" w:rsidP="007668AC">
      <w:pPr>
        <w:pStyle w:val="Textbody"/>
        <w:rPr>
          <w:b/>
          <w:u w:val="single"/>
          <w:lang w:val="en-AU"/>
        </w:rPr>
      </w:pPr>
      <w:r w:rsidRPr="009A1A2E">
        <w:rPr>
          <w:b/>
          <w:u w:val="single"/>
          <w:lang w:val="en-AU"/>
        </w:rPr>
        <w:t>Clinical need</w:t>
      </w:r>
    </w:p>
    <w:p w14:paraId="791DE41C" w14:textId="77777777" w:rsidR="00A70A66" w:rsidRPr="009A1A2E" w:rsidRDefault="00A70A66" w:rsidP="007668AC">
      <w:pPr>
        <w:pStyle w:val="Textbody"/>
        <w:rPr>
          <w:lang w:val="en-AU"/>
        </w:rPr>
      </w:pPr>
      <w:r w:rsidRPr="009A1A2E">
        <w:rPr>
          <w:lang w:val="en-AU"/>
        </w:rPr>
        <w:t>Hearing loss is among the most frequent physical impairments in industrialized nations. According to the statistics of the WHO, approximately 51 million adults in developed countries suffer from a moderate or greater hearing loss, 13 million of whom have a severe to profound hearing loss.</w:t>
      </w:r>
      <w:r w:rsidRPr="007F6475">
        <w:rPr>
          <w:rStyle w:val="FootnoteReference"/>
          <w:lang w:val="en-AU"/>
        </w:rPr>
        <w:footnoteReference w:id="2"/>
      </w:r>
      <w:r w:rsidRPr="009A1A2E">
        <w:rPr>
          <w:lang w:val="en-AU"/>
        </w:rPr>
        <w:t xml:space="preserve"> This represents 6.6% of the population. This number is considerably higher in the adult population, where the share of persons with hearing loss is estimated to range from 17% to more than 20%</w:t>
      </w:r>
    </w:p>
    <w:p w14:paraId="0AC4EDE0" w14:textId="77777777" w:rsidR="00A70A66" w:rsidRPr="009A1A2E" w:rsidRDefault="00A70A66" w:rsidP="007668AC">
      <w:pPr>
        <w:pStyle w:val="Textbody"/>
        <w:rPr>
          <w:lang w:val="en-AU"/>
        </w:rPr>
      </w:pPr>
      <w:r w:rsidRPr="009A1A2E">
        <w:rPr>
          <w:lang w:val="en-AU"/>
        </w:rPr>
        <w:t xml:space="preserve">Although the methodologies of available epidemiological surveys differ, these numbers correspond roughly to data compiled on the basis of a survey in Germany for the year 2011. According to this study (Deutscher Schwerhörigenbund e.V., 2012), approximately 21 percent of the population over 14 years of age suffer from mild to profound hearing loss. </w:t>
      </w:r>
    </w:p>
    <w:p w14:paraId="3FE66CD6" w14:textId="77777777" w:rsidR="00A70A66" w:rsidRPr="009A1A2E" w:rsidRDefault="00A70A66" w:rsidP="007668AC">
      <w:pPr>
        <w:pStyle w:val="Textbody"/>
        <w:rPr>
          <w:lang w:val="en-AU"/>
        </w:rPr>
      </w:pPr>
      <w:r w:rsidRPr="009A1A2E">
        <w:rPr>
          <w:lang w:val="en-AU"/>
        </w:rPr>
        <w:t>The epidemiological data for Germany are comparable to data in other European countries, with age-specific prevalence rates of hearing loss (as measured in dB) varying by ±2%. However, direct comparison of the data is limited due to differences in the methods and tools employed to collect and tabula</w:t>
      </w:r>
      <w:r w:rsidR="00F120E9" w:rsidRPr="009A1A2E">
        <w:rPr>
          <w:lang w:val="en-AU"/>
        </w:rPr>
        <w:t>te data and to classify results</w:t>
      </w:r>
      <w:r w:rsidR="00CC5316" w:rsidRPr="009A1A2E">
        <w:rPr>
          <w:lang w:val="en-AU"/>
        </w:rPr>
        <w:t xml:space="preserve"> </w:t>
      </w:r>
      <w:r w:rsidR="00CC5316" w:rsidRPr="009A1A2E">
        <w:rPr>
          <w:lang w:val="en-AU"/>
        </w:rPr>
        <w:fldChar w:fldCharType="begin"/>
      </w:r>
      <w:r w:rsidR="00D85D29">
        <w:rPr>
          <w:lang w:val="en-AU"/>
        </w:rPr>
        <w:instrText xml:space="preserve"> ADDIN REFMGR.CITE &lt;Refman&gt;&lt;Cite&gt;&lt;Author&gt;Roth&lt;/Author&gt;&lt;Year&gt;2011&lt;/Year&gt;&lt;RecNum&gt;663&lt;/RecNum&gt;&lt;IDText&gt;Prevalence of age-related hearing loss in Europe: a review&lt;/IDText&gt;&lt;MDL Ref_Type="Journal"&gt;&lt;Ref_Type&gt;Journal&lt;/Ref_Type&gt;&lt;Ref_ID&gt;663&lt;/Ref_ID&gt;&lt;Title_Primary&gt;Prevalence of age-related hearing loss in Europe: a review&lt;/Title_Primary&gt;&lt;Authors_Primary&gt;Roth,T.N.&lt;/Authors_Primary&gt;&lt;Authors_Primary&gt;Hanebuth,D.&lt;/Authors_Primary&gt;&lt;Authors_Primary&gt;Probst,R.&lt;/Authors_Primary&gt;&lt;Date_Primary&gt;2011/8&lt;/Date_Primary&gt;&lt;Keywords&gt;Aged&lt;/Keywords&gt;&lt;Keywords&gt;Aging&lt;/Keywords&gt;&lt;Keywords&gt;classification&lt;/Keywords&gt;&lt;Keywords&gt;epidemiology&lt;/Keywords&gt;&lt;Keywords&gt;Europe&lt;/Keywords&gt;&lt;Keywords&gt;Health Surveys&lt;/Keywords&gt;&lt;Keywords&gt;Hearing&lt;/Keywords&gt;&lt;Keywords&gt;Hearing Loss&lt;/Keywords&gt;&lt;Keywords&gt;Humans&lt;/Keywords&gt;&lt;Keywords&gt;Language&lt;/Keywords&gt;&lt;Keywords&gt;Prevalence&lt;/Keywords&gt;&lt;Keywords&gt;surgery&lt;/Keywords&gt;&lt;Keywords&gt;Time&lt;/Keywords&gt;&lt;Reprint&gt;Not in File&lt;/Reprint&gt;&lt;Start_Page&gt;1101&lt;/Start_Page&gt;&lt;End_Page&gt;1107&lt;/End_Page&gt;&lt;Periodical&gt;Eur.Arch.Otorhinolaryngol.&lt;/Periodical&gt;&lt;Volume&gt;268&lt;/Volume&gt;&lt;Issue&gt;8&lt;/Issue&gt;&lt;User_Def_5&gt;PMC3132411&lt;/User_Def_5&gt;&lt;Misc_3&gt;10.1007/s00405-011-1597-8 [doi]&lt;/Misc_3&gt;&lt;Address&gt;Department of Otorhinolaryngology, Head and Neck Surgery, University Hospital of Zurich, Frauenklinikstr. 24, 8091 Zurich, Switzerland. thomas.roth@usz.ch&lt;/Address&gt;&lt;Web_URL&gt;PM:21499871&lt;/Web_URL&gt;&lt;ZZ_JournalStdAbbrev&gt;&lt;f name="System"&gt;Eur.Arch.Otorhinolaryngol.&lt;/f&gt;&lt;/ZZ_JournalStdAbbrev&gt;&lt;ZZ_WorkformID&gt;1&lt;/ZZ_WorkformID&gt;&lt;/MDL&gt;&lt;/Cite&gt;&lt;/Refman&gt;</w:instrText>
      </w:r>
      <w:r w:rsidR="00CC5316" w:rsidRPr="009A1A2E">
        <w:rPr>
          <w:lang w:val="en-AU"/>
        </w:rPr>
        <w:fldChar w:fldCharType="separate"/>
      </w:r>
      <w:r w:rsidR="00CC5316" w:rsidRPr="009A1A2E">
        <w:rPr>
          <w:noProof/>
          <w:lang w:val="en-AU"/>
        </w:rPr>
        <w:t>(Roth et al., 2011)</w:t>
      </w:r>
      <w:r w:rsidR="00CC5316" w:rsidRPr="009A1A2E">
        <w:rPr>
          <w:lang w:val="en-AU"/>
        </w:rPr>
        <w:fldChar w:fldCharType="end"/>
      </w:r>
      <w:r w:rsidR="007668AC" w:rsidRPr="009A1A2E">
        <w:rPr>
          <w:lang w:val="en-AU"/>
        </w:rPr>
        <w:t>.</w:t>
      </w:r>
    </w:p>
    <w:p w14:paraId="05EA2C01" w14:textId="77777777" w:rsidR="007668AC" w:rsidRPr="009A1A2E" w:rsidRDefault="007668AC" w:rsidP="007668AC">
      <w:pPr>
        <w:pStyle w:val="Textbody"/>
        <w:rPr>
          <w:lang w:val="en-AU"/>
        </w:rPr>
      </w:pPr>
    </w:p>
    <w:p w14:paraId="03A6E92D" w14:textId="77777777" w:rsidR="007668AC" w:rsidRPr="009A1A2E" w:rsidRDefault="007668AC" w:rsidP="006960E7">
      <w:pPr>
        <w:pStyle w:val="Caption"/>
        <w:rPr>
          <w:rFonts w:ascii="Arial" w:hAnsi="Arial" w:cs="Arial"/>
          <w:lang w:val="en-AU"/>
        </w:rPr>
      </w:pPr>
      <w:bookmarkStart w:id="335" w:name="_Toc400395538"/>
      <w:bookmarkStart w:id="336" w:name="_Toc431917464"/>
      <w:r w:rsidRPr="009A1A2E">
        <w:rPr>
          <w:rFonts w:ascii="Arial" w:hAnsi="Arial" w:cs="Arial"/>
          <w:lang w:val="en-AU"/>
        </w:rPr>
        <w:t xml:space="preserve">Table </w:t>
      </w:r>
      <w:r w:rsidRPr="009A1A2E">
        <w:rPr>
          <w:rFonts w:ascii="Arial" w:hAnsi="Arial" w:cs="Arial"/>
          <w:lang w:val="en-AU"/>
        </w:rPr>
        <w:fldChar w:fldCharType="begin"/>
      </w:r>
      <w:r w:rsidRPr="009A1A2E">
        <w:rPr>
          <w:rFonts w:ascii="Arial" w:hAnsi="Arial" w:cs="Arial"/>
          <w:lang w:val="en-AU"/>
        </w:rPr>
        <w:instrText xml:space="preserve"> SEQ Table \* ARABIC </w:instrText>
      </w:r>
      <w:r w:rsidRPr="009A1A2E">
        <w:rPr>
          <w:rFonts w:ascii="Arial" w:hAnsi="Arial" w:cs="Arial"/>
          <w:lang w:val="en-AU"/>
        </w:rPr>
        <w:fldChar w:fldCharType="separate"/>
      </w:r>
      <w:r w:rsidR="00016592">
        <w:rPr>
          <w:rFonts w:ascii="Arial" w:hAnsi="Arial" w:cs="Arial"/>
          <w:noProof/>
          <w:lang w:val="en-AU"/>
        </w:rPr>
        <w:t>4</w:t>
      </w:r>
      <w:r w:rsidRPr="009A1A2E">
        <w:rPr>
          <w:rFonts w:ascii="Arial" w:hAnsi="Arial" w:cs="Arial"/>
          <w:lang w:val="en-AU"/>
        </w:rPr>
        <w:fldChar w:fldCharType="end"/>
      </w:r>
      <w:r w:rsidRPr="009A1A2E">
        <w:rPr>
          <w:rFonts w:ascii="Arial" w:hAnsi="Arial" w:cs="Arial"/>
          <w:lang w:val="en-AU"/>
        </w:rPr>
        <w:t xml:space="preserve"> </w:t>
      </w:r>
      <w:r w:rsidR="002778A8" w:rsidRPr="009A1A2E">
        <w:rPr>
          <w:rFonts w:ascii="Arial" w:hAnsi="Arial" w:cs="Arial"/>
          <w:lang w:val="en-AU"/>
        </w:rPr>
        <w:t>-</w:t>
      </w:r>
      <w:r w:rsidR="00F120E9" w:rsidRPr="009A1A2E">
        <w:rPr>
          <w:rFonts w:ascii="Arial" w:hAnsi="Arial" w:cs="Arial"/>
          <w:lang w:val="en-AU"/>
        </w:rPr>
        <w:t xml:space="preserve"> Prevalen</w:t>
      </w:r>
      <w:r w:rsidRPr="009A1A2E">
        <w:rPr>
          <w:rFonts w:ascii="Arial" w:hAnsi="Arial" w:cs="Arial"/>
          <w:lang w:val="en-AU"/>
        </w:rPr>
        <w:t>ce of hearing loss in selected European countries</w:t>
      </w:r>
      <w:bookmarkEnd w:id="335"/>
      <w:bookmarkEnd w:id="336"/>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Description w:val="Prevalence of hearing loss in selected European countries"/>
      </w:tblPr>
      <w:tblGrid>
        <w:gridCol w:w="1306"/>
        <w:gridCol w:w="2630"/>
        <w:gridCol w:w="1121"/>
        <w:gridCol w:w="1177"/>
        <w:gridCol w:w="1177"/>
        <w:gridCol w:w="901"/>
        <w:gridCol w:w="795"/>
      </w:tblGrid>
      <w:tr w:rsidR="00A70A66" w:rsidRPr="009A1A2E" w14:paraId="6CC3407A" w14:textId="77777777" w:rsidTr="007668AC">
        <w:trPr>
          <w:trHeight w:val="460"/>
          <w:tblCellSpacing w:w="15" w:type="dxa"/>
        </w:trPr>
        <w:tc>
          <w:tcPr>
            <w:tcW w:w="692" w:type="pct"/>
            <w:vAlign w:val="center"/>
            <w:hideMark/>
          </w:tcPr>
          <w:p w14:paraId="354C096A" w14:textId="77777777" w:rsidR="00A70A66" w:rsidRPr="009A1A2E" w:rsidRDefault="00A70A66" w:rsidP="007668AC">
            <w:pPr>
              <w:spacing w:before="100" w:beforeAutospacing="1" w:after="100" w:afterAutospacing="1"/>
              <w:ind w:left="142"/>
              <w:jc w:val="center"/>
              <w:rPr>
                <w:rFonts w:cs="Arial"/>
                <w:sz w:val="20"/>
                <w:szCs w:val="20"/>
                <w:lang w:eastAsia="de-DE"/>
              </w:rPr>
            </w:pPr>
            <w:r w:rsidRPr="009A1A2E">
              <w:rPr>
                <w:rFonts w:cs="Arial"/>
                <w:b/>
                <w:bCs/>
                <w:sz w:val="20"/>
                <w:szCs w:val="20"/>
                <w:lang w:eastAsia="de-DE"/>
              </w:rPr>
              <w:t>Country</w:t>
            </w:r>
          </w:p>
        </w:tc>
        <w:tc>
          <w:tcPr>
            <w:tcW w:w="1427" w:type="pct"/>
            <w:vAlign w:val="center"/>
            <w:hideMark/>
          </w:tcPr>
          <w:p w14:paraId="4111E579" w14:textId="77777777" w:rsidR="00A70A66" w:rsidRPr="009A1A2E" w:rsidRDefault="00A70A66" w:rsidP="007668AC">
            <w:pPr>
              <w:spacing w:before="100" w:beforeAutospacing="1" w:after="100" w:afterAutospacing="1"/>
              <w:ind w:left="20"/>
              <w:jc w:val="center"/>
              <w:rPr>
                <w:rFonts w:cs="Arial"/>
                <w:sz w:val="20"/>
                <w:szCs w:val="20"/>
                <w:lang w:eastAsia="de-DE"/>
              </w:rPr>
            </w:pPr>
            <w:r w:rsidRPr="009A1A2E">
              <w:rPr>
                <w:rFonts w:cs="Arial"/>
                <w:b/>
                <w:bCs/>
                <w:sz w:val="20"/>
                <w:szCs w:val="20"/>
                <w:lang w:eastAsia="de-DE"/>
              </w:rPr>
              <w:t>Survey</w:t>
            </w:r>
          </w:p>
        </w:tc>
        <w:tc>
          <w:tcPr>
            <w:tcW w:w="599" w:type="pct"/>
            <w:vAlign w:val="center"/>
            <w:hideMark/>
          </w:tcPr>
          <w:p w14:paraId="669D351C" w14:textId="77777777" w:rsidR="00A70A66" w:rsidRPr="009A1A2E" w:rsidRDefault="00A70A66" w:rsidP="007668AC">
            <w:pPr>
              <w:spacing w:before="100" w:beforeAutospacing="1" w:after="100" w:afterAutospacing="1"/>
              <w:jc w:val="center"/>
              <w:rPr>
                <w:rFonts w:cs="Arial"/>
                <w:sz w:val="20"/>
                <w:szCs w:val="20"/>
                <w:lang w:eastAsia="de-DE"/>
              </w:rPr>
            </w:pPr>
            <w:r w:rsidRPr="009A1A2E">
              <w:rPr>
                <w:rFonts w:cs="Arial"/>
                <w:b/>
                <w:bCs/>
                <w:sz w:val="20"/>
                <w:szCs w:val="20"/>
                <w:lang w:eastAsia="de-DE"/>
              </w:rPr>
              <w:t>21-39 dB</w:t>
            </w:r>
          </w:p>
        </w:tc>
        <w:tc>
          <w:tcPr>
            <w:tcW w:w="630" w:type="pct"/>
            <w:vAlign w:val="center"/>
            <w:hideMark/>
          </w:tcPr>
          <w:p w14:paraId="380B716D" w14:textId="77777777" w:rsidR="00A70A66" w:rsidRPr="009A1A2E" w:rsidRDefault="00A70A66" w:rsidP="007668AC">
            <w:pPr>
              <w:spacing w:before="100" w:beforeAutospacing="1" w:after="100" w:afterAutospacing="1"/>
              <w:jc w:val="center"/>
              <w:rPr>
                <w:rFonts w:cs="Arial"/>
                <w:sz w:val="20"/>
                <w:szCs w:val="20"/>
                <w:lang w:eastAsia="de-DE"/>
              </w:rPr>
            </w:pPr>
            <w:r w:rsidRPr="009A1A2E">
              <w:rPr>
                <w:rFonts w:cs="Arial"/>
                <w:b/>
                <w:bCs/>
                <w:sz w:val="20"/>
                <w:szCs w:val="20"/>
                <w:lang w:eastAsia="de-DE"/>
              </w:rPr>
              <w:t>40–69 dB</w:t>
            </w:r>
          </w:p>
        </w:tc>
        <w:tc>
          <w:tcPr>
            <w:tcW w:w="630" w:type="pct"/>
            <w:vAlign w:val="center"/>
            <w:hideMark/>
          </w:tcPr>
          <w:p w14:paraId="2A0B3EE9" w14:textId="77777777" w:rsidR="00A70A66" w:rsidRPr="009A1A2E" w:rsidRDefault="00A70A66" w:rsidP="007668AC">
            <w:pPr>
              <w:spacing w:before="100" w:beforeAutospacing="1" w:after="100" w:afterAutospacing="1"/>
              <w:jc w:val="center"/>
              <w:rPr>
                <w:rFonts w:cs="Arial"/>
                <w:sz w:val="20"/>
                <w:szCs w:val="20"/>
                <w:lang w:eastAsia="de-DE"/>
              </w:rPr>
            </w:pPr>
            <w:r w:rsidRPr="009A1A2E">
              <w:rPr>
                <w:rFonts w:cs="Arial"/>
                <w:b/>
                <w:bCs/>
                <w:sz w:val="20"/>
                <w:szCs w:val="20"/>
                <w:lang w:eastAsia="de-DE"/>
              </w:rPr>
              <w:t>70–94 dB</w:t>
            </w:r>
          </w:p>
        </w:tc>
        <w:tc>
          <w:tcPr>
            <w:tcW w:w="478" w:type="pct"/>
            <w:vAlign w:val="center"/>
            <w:hideMark/>
          </w:tcPr>
          <w:p w14:paraId="0C794218" w14:textId="77777777" w:rsidR="00A70A66" w:rsidRPr="009A1A2E" w:rsidRDefault="00A70A66" w:rsidP="007668AC">
            <w:pPr>
              <w:spacing w:before="100" w:beforeAutospacing="1" w:after="100" w:afterAutospacing="1"/>
              <w:jc w:val="center"/>
              <w:rPr>
                <w:rFonts w:cs="Arial"/>
                <w:sz w:val="20"/>
                <w:szCs w:val="20"/>
                <w:lang w:eastAsia="de-DE"/>
              </w:rPr>
            </w:pPr>
            <w:r w:rsidRPr="009A1A2E">
              <w:rPr>
                <w:rFonts w:cs="Arial"/>
                <w:b/>
                <w:bCs/>
                <w:sz w:val="20"/>
                <w:szCs w:val="20"/>
                <w:lang w:eastAsia="de-DE"/>
              </w:rPr>
              <w:t>&gt;95 dB</w:t>
            </w:r>
          </w:p>
        </w:tc>
        <w:tc>
          <w:tcPr>
            <w:tcW w:w="412" w:type="pct"/>
            <w:vAlign w:val="center"/>
            <w:hideMark/>
          </w:tcPr>
          <w:p w14:paraId="22E95735" w14:textId="77777777" w:rsidR="00A70A66" w:rsidRPr="009A1A2E" w:rsidRDefault="00A70A66" w:rsidP="007668AC">
            <w:pPr>
              <w:spacing w:before="100" w:beforeAutospacing="1" w:after="100" w:afterAutospacing="1"/>
              <w:jc w:val="center"/>
              <w:rPr>
                <w:rFonts w:cs="Arial"/>
                <w:sz w:val="20"/>
                <w:szCs w:val="20"/>
                <w:lang w:eastAsia="de-DE"/>
              </w:rPr>
            </w:pPr>
            <w:r w:rsidRPr="009A1A2E">
              <w:rPr>
                <w:rFonts w:cs="Arial"/>
                <w:b/>
                <w:bCs/>
                <w:sz w:val="20"/>
                <w:szCs w:val="20"/>
                <w:lang w:eastAsia="de-DE"/>
              </w:rPr>
              <w:t>Total</w:t>
            </w:r>
          </w:p>
        </w:tc>
      </w:tr>
      <w:tr w:rsidR="00A70A66" w:rsidRPr="009A1A2E" w14:paraId="568BEB36" w14:textId="77777777" w:rsidTr="007668AC">
        <w:trPr>
          <w:trHeight w:val="460"/>
          <w:tblCellSpacing w:w="15" w:type="dxa"/>
        </w:trPr>
        <w:tc>
          <w:tcPr>
            <w:tcW w:w="692" w:type="pct"/>
            <w:vAlign w:val="center"/>
            <w:hideMark/>
          </w:tcPr>
          <w:p w14:paraId="198D7951" w14:textId="77777777" w:rsidR="00A70A66" w:rsidRPr="009A1A2E" w:rsidRDefault="00A70A66" w:rsidP="007668AC">
            <w:pPr>
              <w:spacing w:before="100" w:beforeAutospacing="1" w:after="100" w:afterAutospacing="1"/>
              <w:ind w:left="142"/>
              <w:jc w:val="center"/>
              <w:rPr>
                <w:rFonts w:cs="Arial"/>
                <w:sz w:val="20"/>
                <w:szCs w:val="20"/>
                <w:lang w:eastAsia="de-DE"/>
              </w:rPr>
            </w:pPr>
            <w:r w:rsidRPr="009A1A2E">
              <w:rPr>
                <w:rFonts w:cs="Arial"/>
                <w:sz w:val="20"/>
                <w:szCs w:val="20"/>
                <w:lang w:eastAsia="de-DE"/>
              </w:rPr>
              <w:t>Italy</w:t>
            </w:r>
          </w:p>
        </w:tc>
        <w:tc>
          <w:tcPr>
            <w:tcW w:w="1427" w:type="pct"/>
            <w:vAlign w:val="center"/>
            <w:hideMark/>
          </w:tcPr>
          <w:p w14:paraId="6373C89A" w14:textId="77777777" w:rsidR="00A70A66" w:rsidRPr="009A1A2E" w:rsidRDefault="00A70A66" w:rsidP="007668AC">
            <w:pPr>
              <w:spacing w:before="100" w:beforeAutospacing="1" w:after="100" w:afterAutospacing="1"/>
              <w:ind w:left="161" w:right="119"/>
              <w:jc w:val="center"/>
              <w:rPr>
                <w:rFonts w:cs="Arial"/>
                <w:sz w:val="20"/>
                <w:szCs w:val="20"/>
                <w:lang w:eastAsia="de-DE"/>
              </w:rPr>
            </w:pPr>
            <w:r w:rsidRPr="009A1A2E">
              <w:rPr>
                <w:rFonts w:cs="Arial"/>
                <w:sz w:val="20"/>
                <w:szCs w:val="20"/>
                <w:lang w:eastAsia="de-DE"/>
              </w:rPr>
              <w:t>2170 pe</w:t>
            </w:r>
            <w:r w:rsidR="007668AC" w:rsidRPr="009A1A2E">
              <w:rPr>
                <w:rFonts w:cs="Arial"/>
                <w:sz w:val="20"/>
                <w:szCs w:val="20"/>
                <w:lang w:eastAsia="de-DE"/>
              </w:rPr>
              <w:t>rs</w:t>
            </w:r>
            <w:r w:rsidRPr="009A1A2E">
              <w:rPr>
                <w:rFonts w:cs="Arial"/>
                <w:sz w:val="20"/>
                <w:szCs w:val="20"/>
                <w:lang w:eastAsia="de-DE"/>
              </w:rPr>
              <w:t xml:space="preserve"> over 18</w:t>
            </w:r>
          </w:p>
        </w:tc>
        <w:tc>
          <w:tcPr>
            <w:tcW w:w="599" w:type="pct"/>
            <w:vAlign w:val="center"/>
            <w:hideMark/>
          </w:tcPr>
          <w:p w14:paraId="6BE3B447" w14:textId="77777777" w:rsidR="00A70A66" w:rsidRPr="009A1A2E" w:rsidRDefault="00A70A66" w:rsidP="007668AC">
            <w:pPr>
              <w:spacing w:before="100" w:beforeAutospacing="1" w:after="100" w:afterAutospacing="1"/>
              <w:jc w:val="center"/>
              <w:rPr>
                <w:rFonts w:cs="Arial"/>
                <w:sz w:val="20"/>
                <w:szCs w:val="20"/>
                <w:lang w:eastAsia="de-DE"/>
              </w:rPr>
            </w:pPr>
            <w:r w:rsidRPr="009A1A2E">
              <w:rPr>
                <w:rFonts w:cs="Arial"/>
                <w:sz w:val="20"/>
                <w:szCs w:val="20"/>
                <w:lang w:eastAsia="de-DE"/>
              </w:rPr>
              <w:t>17.1%</w:t>
            </w:r>
          </w:p>
        </w:tc>
        <w:tc>
          <w:tcPr>
            <w:tcW w:w="630" w:type="pct"/>
            <w:vAlign w:val="center"/>
            <w:hideMark/>
          </w:tcPr>
          <w:p w14:paraId="1987FD0F" w14:textId="77777777" w:rsidR="00A70A66" w:rsidRPr="009A1A2E" w:rsidRDefault="00A70A66" w:rsidP="007668AC">
            <w:pPr>
              <w:spacing w:before="100" w:beforeAutospacing="1" w:after="100" w:afterAutospacing="1"/>
              <w:jc w:val="center"/>
              <w:rPr>
                <w:rFonts w:cs="Arial"/>
                <w:sz w:val="20"/>
                <w:szCs w:val="20"/>
                <w:lang w:eastAsia="de-DE"/>
              </w:rPr>
            </w:pPr>
            <w:r w:rsidRPr="009A1A2E">
              <w:rPr>
                <w:rFonts w:cs="Arial"/>
                <w:sz w:val="20"/>
                <w:szCs w:val="20"/>
                <w:lang w:eastAsia="de-DE"/>
              </w:rPr>
              <w:t>4.0%</w:t>
            </w:r>
          </w:p>
        </w:tc>
        <w:tc>
          <w:tcPr>
            <w:tcW w:w="630" w:type="pct"/>
            <w:vAlign w:val="center"/>
            <w:hideMark/>
          </w:tcPr>
          <w:p w14:paraId="1103E645" w14:textId="77777777" w:rsidR="00A70A66" w:rsidRPr="009A1A2E" w:rsidRDefault="00A70A66" w:rsidP="007668AC">
            <w:pPr>
              <w:spacing w:before="100" w:beforeAutospacing="1" w:after="100" w:afterAutospacing="1"/>
              <w:jc w:val="center"/>
              <w:rPr>
                <w:rFonts w:cs="Arial"/>
                <w:sz w:val="20"/>
                <w:szCs w:val="20"/>
                <w:lang w:eastAsia="de-DE"/>
              </w:rPr>
            </w:pPr>
            <w:r w:rsidRPr="009A1A2E">
              <w:rPr>
                <w:rFonts w:cs="Arial"/>
                <w:sz w:val="20"/>
                <w:szCs w:val="20"/>
                <w:lang w:eastAsia="de-DE"/>
              </w:rPr>
              <w:t>1.2%</w:t>
            </w:r>
          </w:p>
        </w:tc>
        <w:tc>
          <w:tcPr>
            <w:tcW w:w="478" w:type="pct"/>
            <w:vAlign w:val="center"/>
            <w:hideMark/>
          </w:tcPr>
          <w:p w14:paraId="5DA592EC" w14:textId="77777777" w:rsidR="00A70A66" w:rsidRPr="009A1A2E" w:rsidRDefault="00A70A66" w:rsidP="007668AC">
            <w:pPr>
              <w:spacing w:before="100" w:beforeAutospacing="1" w:after="100" w:afterAutospacing="1"/>
              <w:jc w:val="center"/>
              <w:rPr>
                <w:rFonts w:cs="Arial"/>
                <w:sz w:val="20"/>
                <w:szCs w:val="20"/>
                <w:lang w:eastAsia="de-DE"/>
              </w:rPr>
            </w:pPr>
            <w:r w:rsidRPr="009A1A2E">
              <w:rPr>
                <w:rFonts w:cs="Arial"/>
                <w:sz w:val="20"/>
                <w:szCs w:val="20"/>
                <w:lang w:eastAsia="de-DE"/>
              </w:rPr>
              <w:t>0.3%</w:t>
            </w:r>
          </w:p>
        </w:tc>
        <w:tc>
          <w:tcPr>
            <w:tcW w:w="412" w:type="pct"/>
            <w:vAlign w:val="center"/>
            <w:hideMark/>
          </w:tcPr>
          <w:p w14:paraId="340247DE" w14:textId="77777777" w:rsidR="00A70A66" w:rsidRPr="009A1A2E" w:rsidRDefault="00A70A66" w:rsidP="007668AC">
            <w:pPr>
              <w:spacing w:before="100" w:beforeAutospacing="1" w:after="100" w:afterAutospacing="1"/>
              <w:jc w:val="center"/>
              <w:rPr>
                <w:rFonts w:cs="Arial"/>
                <w:sz w:val="20"/>
                <w:szCs w:val="20"/>
                <w:lang w:eastAsia="de-DE"/>
              </w:rPr>
            </w:pPr>
            <w:r w:rsidRPr="009A1A2E">
              <w:rPr>
                <w:rFonts w:cs="Arial"/>
                <w:sz w:val="20"/>
                <w:szCs w:val="20"/>
                <w:lang w:eastAsia="de-DE"/>
              </w:rPr>
              <w:t>22.5%</w:t>
            </w:r>
          </w:p>
        </w:tc>
      </w:tr>
      <w:tr w:rsidR="00A70A66" w:rsidRPr="009A1A2E" w14:paraId="6F7059CA" w14:textId="77777777" w:rsidTr="007668AC">
        <w:trPr>
          <w:trHeight w:val="460"/>
          <w:tblCellSpacing w:w="15" w:type="dxa"/>
        </w:trPr>
        <w:tc>
          <w:tcPr>
            <w:tcW w:w="692" w:type="pct"/>
            <w:vAlign w:val="center"/>
            <w:hideMark/>
          </w:tcPr>
          <w:p w14:paraId="50CB4F1B" w14:textId="77777777" w:rsidR="00A70A66" w:rsidRPr="009A1A2E" w:rsidRDefault="00A70A66" w:rsidP="007668AC">
            <w:pPr>
              <w:spacing w:before="100" w:beforeAutospacing="1" w:after="100" w:afterAutospacing="1"/>
              <w:ind w:left="142"/>
              <w:jc w:val="center"/>
              <w:rPr>
                <w:rFonts w:cs="Arial"/>
                <w:sz w:val="20"/>
                <w:szCs w:val="20"/>
                <w:lang w:eastAsia="de-DE"/>
              </w:rPr>
            </w:pPr>
            <w:r w:rsidRPr="009A1A2E">
              <w:rPr>
                <w:rFonts w:cs="Arial"/>
                <w:sz w:val="20"/>
                <w:szCs w:val="20"/>
                <w:lang w:eastAsia="de-DE"/>
              </w:rPr>
              <w:lastRenderedPageBreak/>
              <w:t>Finland</w:t>
            </w:r>
          </w:p>
        </w:tc>
        <w:tc>
          <w:tcPr>
            <w:tcW w:w="1427" w:type="pct"/>
            <w:vAlign w:val="center"/>
            <w:hideMark/>
          </w:tcPr>
          <w:p w14:paraId="22A6AC81" w14:textId="77777777" w:rsidR="00A70A66" w:rsidRPr="009A1A2E" w:rsidRDefault="007668AC" w:rsidP="007668AC">
            <w:pPr>
              <w:spacing w:before="100" w:beforeAutospacing="1" w:after="100" w:afterAutospacing="1"/>
              <w:ind w:left="161" w:right="119"/>
              <w:jc w:val="center"/>
              <w:rPr>
                <w:rFonts w:cs="Arial"/>
                <w:sz w:val="20"/>
                <w:szCs w:val="20"/>
                <w:lang w:eastAsia="de-DE"/>
              </w:rPr>
            </w:pPr>
            <w:r w:rsidRPr="009A1A2E">
              <w:rPr>
                <w:rFonts w:cs="Arial"/>
                <w:sz w:val="20"/>
                <w:szCs w:val="20"/>
                <w:lang w:eastAsia="de-DE"/>
              </w:rPr>
              <w:t>3518 pers</w:t>
            </w:r>
            <w:r w:rsidR="00A70A66" w:rsidRPr="009A1A2E">
              <w:rPr>
                <w:rFonts w:cs="Arial"/>
                <w:sz w:val="20"/>
                <w:szCs w:val="20"/>
                <w:lang w:eastAsia="de-DE"/>
              </w:rPr>
              <w:t xml:space="preserve"> over 25</w:t>
            </w:r>
          </w:p>
        </w:tc>
        <w:tc>
          <w:tcPr>
            <w:tcW w:w="599" w:type="pct"/>
            <w:vAlign w:val="center"/>
            <w:hideMark/>
          </w:tcPr>
          <w:p w14:paraId="6F34A7B4" w14:textId="77777777" w:rsidR="00A70A66" w:rsidRPr="009A1A2E" w:rsidRDefault="00A70A66" w:rsidP="007668AC">
            <w:pPr>
              <w:spacing w:before="100" w:beforeAutospacing="1" w:after="100" w:afterAutospacing="1"/>
              <w:jc w:val="center"/>
              <w:rPr>
                <w:rFonts w:cs="Arial"/>
                <w:sz w:val="20"/>
                <w:szCs w:val="20"/>
                <w:lang w:eastAsia="de-DE"/>
              </w:rPr>
            </w:pPr>
            <w:r w:rsidRPr="009A1A2E">
              <w:rPr>
                <w:rFonts w:cs="Arial"/>
                <w:sz w:val="20"/>
                <w:szCs w:val="20"/>
                <w:lang w:eastAsia="de-DE"/>
              </w:rPr>
              <w:t>17.2%</w:t>
            </w:r>
          </w:p>
        </w:tc>
        <w:tc>
          <w:tcPr>
            <w:tcW w:w="630" w:type="pct"/>
            <w:vAlign w:val="center"/>
            <w:hideMark/>
          </w:tcPr>
          <w:p w14:paraId="5212923C" w14:textId="77777777" w:rsidR="00A70A66" w:rsidRPr="009A1A2E" w:rsidRDefault="00A70A66" w:rsidP="007668AC">
            <w:pPr>
              <w:spacing w:before="100" w:beforeAutospacing="1" w:after="100" w:afterAutospacing="1"/>
              <w:jc w:val="center"/>
              <w:rPr>
                <w:rFonts w:cs="Arial"/>
                <w:sz w:val="20"/>
                <w:szCs w:val="20"/>
                <w:lang w:eastAsia="de-DE"/>
              </w:rPr>
            </w:pPr>
            <w:r w:rsidRPr="009A1A2E">
              <w:rPr>
                <w:rFonts w:cs="Arial"/>
                <w:sz w:val="20"/>
                <w:szCs w:val="20"/>
                <w:lang w:eastAsia="de-DE"/>
              </w:rPr>
              <w:t>4.3%</w:t>
            </w:r>
          </w:p>
        </w:tc>
        <w:tc>
          <w:tcPr>
            <w:tcW w:w="630" w:type="pct"/>
            <w:vAlign w:val="center"/>
            <w:hideMark/>
          </w:tcPr>
          <w:p w14:paraId="2D80ECBA" w14:textId="77777777" w:rsidR="00A70A66" w:rsidRPr="009A1A2E" w:rsidRDefault="00A70A66" w:rsidP="007668AC">
            <w:pPr>
              <w:spacing w:before="100" w:beforeAutospacing="1" w:after="100" w:afterAutospacing="1"/>
              <w:jc w:val="center"/>
              <w:rPr>
                <w:rFonts w:cs="Arial"/>
                <w:sz w:val="20"/>
                <w:szCs w:val="20"/>
                <w:lang w:eastAsia="de-DE"/>
              </w:rPr>
            </w:pPr>
            <w:r w:rsidRPr="009A1A2E">
              <w:rPr>
                <w:rFonts w:cs="Arial"/>
                <w:sz w:val="20"/>
                <w:szCs w:val="20"/>
                <w:lang w:eastAsia="de-DE"/>
              </w:rPr>
              <w:t>0.5%</w:t>
            </w:r>
          </w:p>
        </w:tc>
        <w:tc>
          <w:tcPr>
            <w:tcW w:w="478" w:type="pct"/>
            <w:vAlign w:val="center"/>
            <w:hideMark/>
          </w:tcPr>
          <w:p w14:paraId="460668BF" w14:textId="77777777" w:rsidR="00A70A66" w:rsidRPr="009A1A2E" w:rsidRDefault="00A70A66" w:rsidP="007668AC">
            <w:pPr>
              <w:spacing w:before="100" w:beforeAutospacing="1" w:after="100" w:afterAutospacing="1"/>
              <w:jc w:val="center"/>
              <w:rPr>
                <w:rFonts w:cs="Arial"/>
                <w:sz w:val="20"/>
                <w:szCs w:val="20"/>
                <w:lang w:eastAsia="de-DE"/>
              </w:rPr>
            </w:pPr>
            <w:r w:rsidRPr="009A1A2E">
              <w:rPr>
                <w:rFonts w:cs="Arial"/>
                <w:sz w:val="20"/>
                <w:szCs w:val="20"/>
                <w:lang w:eastAsia="de-DE"/>
              </w:rPr>
              <w:t>0.04%</w:t>
            </w:r>
          </w:p>
        </w:tc>
        <w:tc>
          <w:tcPr>
            <w:tcW w:w="412" w:type="pct"/>
            <w:vAlign w:val="center"/>
            <w:hideMark/>
          </w:tcPr>
          <w:p w14:paraId="7EED44AB" w14:textId="77777777" w:rsidR="00A70A66" w:rsidRPr="009A1A2E" w:rsidRDefault="00A70A66" w:rsidP="007668AC">
            <w:pPr>
              <w:spacing w:before="100" w:beforeAutospacing="1" w:after="100" w:afterAutospacing="1"/>
              <w:jc w:val="center"/>
              <w:rPr>
                <w:rFonts w:cs="Arial"/>
                <w:sz w:val="20"/>
                <w:szCs w:val="20"/>
                <w:lang w:eastAsia="de-DE"/>
              </w:rPr>
            </w:pPr>
            <w:r w:rsidRPr="009A1A2E">
              <w:rPr>
                <w:rFonts w:cs="Arial"/>
                <w:sz w:val="20"/>
                <w:szCs w:val="20"/>
                <w:lang w:eastAsia="de-DE"/>
              </w:rPr>
              <w:t>22.1%</w:t>
            </w:r>
          </w:p>
        </w:tc>
      </w:tr>
      <w:tr w:rsidR="00A70A66" w:rsidRPr="009A1A2E" w14:paraId="16431C06" w14:textId="77777777" w:rsidTr="007668AC">
        <w:trPr>
          <w:trHeight w:val="460"/>
          <w:tblCellSpacing w:w="15" w:type="dxa"/>
        </w:trPr>
        <w:tc>
          <w:tcPr>
            <w:tcW w:w="692" w:type="pct"/>
            <w:vAlign w:val="center"/>
            <w:hideMark/>
          </w:tcPr>
          <w:p w14:paraId="44319C62" w14:textId="77777777" w:rsidR="00A70A66" w:rsidRPr="009A1A2E" w:rsidRDefault="00A70A66" w:rsidP="007668AC">
            <w:pPr>
              <w:spacing w:before="100" w:beforeAutospacing="1" w:after="100" w:afterAutospacing="1"/>
              <w:ind w:left="142"/>
              <w:jc w:val="center"/>
              <w:rPr>
                <w:rFonts w:cs="Arial"/>
                <w:sz w:val="20"/>
                <w:szCs w:val="20"/>
                <w:lang w:eastAsia="de-DE"/>
              </w:rPr>
            </w:pPr>
            <w:r w:rsidRPr="009A1A2E">
              <w:rPr>
                <w:rFonts w:cs="Arial"/>
                <w:sz w:val="20"/>
                <w:szCs w:val="20"/>
                <w:lang w:eastAsia="de-DE"/>
              </w:rPr>
              <w:t>Denmark</w:t>
            </w:r>
          </w:p>
        </w:tc>
        <w:tc>
          <w:tcPr>
            <w:tcW w:w="1427" w:type="pct"/>
            <w:vAlign w:val="center"/>
            <w:hideMark/>
          </w:tcPr>
          <w:p w14:paraId="3E493B23" w14:textId="77777777" w:rsidR="00A70A66" w:rsidRPr="009A1A2E" w:rsidRDefault="007668AC" w:rsidP="007668AC">
            <w:pPr>
              <w:spacing w:before="100" w:beforeAutospacing="1" w:after="100" w:afterAutospacing="1"/>
              <w:ind w:left="161" w:right="119"/>
              <w:jc w:val="center"/>
              <w:rPr>
                <w:rFonts w:cs="Arial"/>
                <w:sz w:val="20"/>
                <w:szCs w:val="20"/>
                <w:lang w:eastAsia="de-DE"/>
              </w:rPr>
            </w:pPr>
            <w:r w:rsidRPr="009A1A2E">
              <w:rPr>
                <w:rFonts w:cs="Arial"/>
                <w:sz w:val="20"/>
                <w:szCs w:val="20"/>
                <w:lang w:eastAsia="de-DE"/>
              </w:rPr>
              <w:t>705 pers</w:t>
            </w:r>
            <w:r w:rsidR="00A70A66" w:rsidRPr="009A1A2E">
              <w:rPr>
                <w:rFonts w:cs="Arial"/>
                <w:sz w:val="20"/>
                <w:szCs w:val="20"/>
                <w:lang w:eastAsia="de-DE"/>
              </w:rPr>
              <w:t xml:space="preserve"> age 30-50</w:t>
            </w:r>
          </w:p>
        </w:tc>
        <w:tc>
          <w:tcPr>
            <w:tcW w:w="599" w:type="pct"/>
            <w:vAlign w:val="center"/>
            <w:hideMark/>
          </w:tcPr>
          <w:p w14:paraId="1A6E77E5" w14:textId="77777777" w:rsidR="00A70A66" w:rsidRPr="009A1A2E" w:rsidRDefault="00A70A66" w:rsidP="007668AC">
            <w:pPr>
              <w:spacing w:before="100" w:beforeAutospacing="1" w:after="100" w:afterAutospacing="1"/>
              <w:jc w:val="center"/>
              <w:rPr>
                <w:rFonts w:cs="Arial"/>
                <w:sz w:val="20"/>
                <w:szCs w:val="20"/>
                <w:lang w:eastAsia="de-DE"/>
              </w:rPr>
            </w:pPr>
            <w:r w:rsidRPr="009A1A2E">
              <w:rPr>
                <w:rFonts w:cs="Arial"/>
                <w:sz w:val="20"/>
                <w:szCs w:val="20"/>
                <w:lang w:eastAsia="de-DE"/>
              </w:rPr>
              <w:t>3.4%</w:t>
            </w:r>
          </w:p>
        </w:tc>
        <w:tc>
          <w:tcPr>
            <w:tcW w:w="630" w:type="pct"/>
            <w:vAlign w:val="center"/>
            <w:hideMark/>
          </w:tcPr>
          <w:p w14:paraId="1AFA5F4A" w14:textId="77777777" w:rsidR="00A70A66" w:rsidRPr="009A1A2E" w:rsidRDefault="00A70A66" w:rsidP="007668AC">
            <w:pPr>
              <w:spacing w:before="100" w:beforeAutospacing="1" w:after="100" w:afterAutospacing="1"/>
              <w:jc w:val="center"/>
              <w:rPr>
                <w:rFonts w:cs="Arial"/>
                <w:sz w:val="20"/>
                <w:szCs w:val="20"/>
                <w:lang w:eastAsia="de-DE"/>
              </w:rPr>
            </w:pPr>
            <w:r w:rsidRPr="009A1A2E">
              <w:rPr>
                <w:rFonts w:cs="Arial"/>
                <w:sz w:val="20"/>
                <w:szCs w:val="20"/>
                <w:lang w:eastAsia="de-DE"/>
              </w:rPr>
              <w:t>0.2%</w:t>
            </w:r>
          </w:p>
        </w:tc>
        <w:tc>
          <w:tcPr>
            <w:tcW w:w="630" w:type="pct"/>
            <w:vAlign w:val="center"/>
            <w:hideMark/>
          </w:tcPr>
          <w:p w14:paraId="12265E38" w14:textId="77777777" w:rsidR="00A70A66" w:rsidRPr="009A1A2E" w:rsidRDefault="00A70A66" w:rsidP="007668AC">
            <w:pPr>
              <w:jc w:val="center"/>
              <w:rPr>
                <w:rFonts w:cs="Arial"/>
                <w:sz w:val="20"/>
                <w:szCs w:val="20"/>
                <w:lang w:eastAsia="de-DE"/>
              </w:rPr>
            </w:pPr>
          </w:p>
        </w:tc>
        <w:tc>
          <w:tcPr>
            <w:tcW w:w="478" w:type="pct"/>
            <w:vAlign w:val="center"/>
            <w:hideMark/>
          </w:tcPr>
          <w:p w14:paraId="64F956FE" w14:textId="77777777" w:rsidR="00A70A66" w:rsidRPr="009A1A2E" w:rsidRDefault="00A70A66" w:rsidP="007668AC">
            <w:pPr>
              <w:jc w:val="center"/>
              <w:rPr>
                <w:rFonts w:cs="Arial"/>
                <w:sz w:val="20"/>
                <w:szCs w:val="20"/>
                <w:lang w:eastAsia="de-DE"/>
              </w:rPr>
            </w:pPr>
          </w:p>
        </w:tc>
        <w:tc>
          <w:tcPr>
            <w:tcW w:w="412" w:type="pct"/>
            <w:vAlign w:val="center"/>
            <w:hideMark/>
          </w:tcPr>
          <w:p w14:paraId="4C8B4782" w14:textId="77777777" w:rsidR="00A70A66" w:rsidRPr="009A1A2E" w:rsidRDefault="00A70A66" w:rsidP="007668AC">
            <w:pPr>
              <w:jc w:val="center"/>
              <w:rPr>
                <w:rFonts w:cs="Arial"/>
                <w:sz w:val="20"/>
                <w:szCs w:val="20"/>
                <w:lang w:eastAsia="de-DE"/>
              </w:rPr>
            </w:pPr>
          </w:p>
        </w:tc>
      </w:tr>
      <w:tr w:rsidR="00A70A66" w:rsidRPr="009A1A2E" w14:paraId="22A0CE09" w14:textId="77777777" w:rsidTr="007668AC">
        <w:trPr>
          <w:trHeight w:val="460"/>
          <w:tblCellSpacing w:w="15" w:type="dxa"/>
        </w:trPr>
        <w:tc>
          <w:tcPr>
            <w:tcW w:w="692" w:type="pct"/>
            <w:vAlign w:val="center"/>
            <w:hideMark/>
          </w:tcPr>
          <w:p w14:paraId="2796C4D5" w14:textId="77777777" w:rsidR="00A70A66" w:rsidRPr="009A1A2E" w:rsidRDefault="00A70A66" w:rsidP="007668AC">
            <w:pPr>
              <w:spacing w:before="100" w:beforeAutospacing="1" w:after="100" w:afterAutospacing="1"/>
              <w:ind w:left="142"/>
              <w:jc w:val="center"/>
              <w:rPr>
                <w:rFonts w:cs="Arial"/>
                <w:sz w:val="20"/>
                <w:szCs w:val="20"/>
                <w:lang w:eastAsia="de-DE"/>
              </w:rPr>
            </w:pPr>
            <w:r w:rsidRPr="009A1A2E">
              <w:rPr>
                <w:rFonts w:cs="Arial"/>
                <w:sz w:val="20"/>
                <w:szCs w:val="20"/>
                <w:lang w:eastAsia="de-DE"/>
              </w:rPr>
              <w:t>Sweden</w:t>
            </w:r>
          </w:p>
        </w:tc>
        <w:tc>
          <w:tcPr>
            <w:tcW w:w="1427" w:type="pct"/>
            <w:vAlign w:val="center"/>
            <w:hideMark/>
          </w:tcPr>
          <w:p w14:paraId="5E09F120" w14:textId="77777777" w:rsidR="00A70A66" w:rsidRPr="009A1A2E" w:rsidRDefault="007668AC" w:rsidP="007668AC">
            <w:pPr>
              <w:spacing w:before="100" w:beforeAutospacing="1" w:after="100" w:afterAutospacing="1"/>
              <w:ind w:left="161" w:right="119"/>
              <w:jc w:val="center"/>
              <w:rPr>
                <w:rFonts w:cs="Arial"/>
                <w:sz w:val="20"/>
                <w:szCs w:val="20"/>
                <w:lang w:eastAsia="de-DE"/>
              </w:rPr>
            </w:pPr>
            <w:r w:rsidRPr="009A1A2E">
              <w:rPr>
                <w:rFonts w:cs="Arial"/>
                <w:sz w:val="20"/>
                <w:szCs w:val="20"/>
                <w:lang w:eastAsia="de-DE"/>
              </w:rPr>
              <w:t>590 per</w:t>
            </w:r>
            <w:r w:rsidR="00A70A66" w:rsidRPr="009A1A2E">
              <w:rPr>
                <w:rFonts w:cs="Arial"/>
                <w:sz w:val="20"/>
                <w:szCs w:val="20"/>
                <w:lang w:eastAsia="de-DE"/>
              </w:rPr>
              <w:t>s over 20</w:t>
            </w:r>
          </w:p>
        </w:tc>
        <w:tc>
          <w:tcPr>
            <w:tcW w:w="599" w:type="pct"/>
            <w:vAlign w:val="center"/>
            <w:hideMark/>
          </w:tcPr>
          <w:p w14:paraId="3E7438FC" w14:textId="77777777" w:rsidR="00A70A66" w:rsidRPr="009A1A2E" w:rsidRDefault="00A70A66" w:rsidP="007668AC">
            <w:pPr>
              <w:spacing w:before="100" w:beforeAutospacing="1" w:after="100" w:afterAutospacing="1"/>
              <w:jc w:val="center"/>
              <w:rPr>
                <w:rFonts w:cs="Arial"/>
                <w:sz w:val="20"/>
                <w:szCs w:val="20"/>
                <w:lang w:eastAsia="de-DE"/>
              </w:rPr>
            </w:pPr>
            <w:r w:rsidRPr="009A1A2E">
              <w:rPr>
                <w:rFonts w:cs="Arial"/>
                <w:sz w:val="20"/>
                <w:szCs w:val="20"/>
                <w:lang w:eastAsia="de-DE"/>
              </w:rPr>
              <w:t>18.1%</w:t>
            </w:r>
          </w:p>
        </w:tc>
        <w:tc>
          <w:tcPr>
            <w:tcW w:w="630" w:type="pct"/>
            <w:vAlign w:val="center"/>
            <w:hideMark/>
          </w:tcPr>
          <w:p w14:paraId="0BBAE5A8" w14:textId="77777777" w:rsidR="00A70A66" w:rsidRPr="009A1A2E" w:rsidRDefault="00A70A66" w:rsidP="007668AC">
            <w:pPr>
              <w:spacing w:before="100" w:beforeAutospacing="1" w:after="100" w:afterAutospacing="1"/>
              <w:jc w:val="center"/>
              <w:rPr>
                <w:rFonts w:cs="Arial"/>
                <w:sz w:val="20"/>
                <w:szCs w:val="20"/>
                <w:lang w:eastAsia="de-DE"/>
              </w:rPr>
            </w:pPr>
            <w:r w:rsidRPr="009A1A2E">
              <w:rPr>
                <w:rFonts w:cs="Arial"/>
                <w:sz w:val="20"/>
                <w:szCs w:val="20"/>
                <w:lang w:eastAsia="de-DE"/>
              </w:rPr>
              <w:t>4.5%</w:t>
            </w:r>
          </w:p>
        </w:tc>
        <w:tc>
          <w:tcPr>
            <w:tcW w:w="630" w:type="pct"/>
            <w:vAlign w:val="center"/>
            <w:hideMark/>
          </w:tcPr>
          <w:p w14:paraId="1C0903CC" w14:textId="77777777" w:rsidR="00A70A66" w:rsidRPr="009A1A2E" w:rsidRDefault="00A70A66" w:rsidP="007668AC">
            <w:pPr>
              <w:spacing w:before="100" w:beforeAutospacing="1" w:after="100" w:afterAutospacing="1"/>
              <w:jc w:val="center"/>
              <w:rPr>
                <w:rFonts w:cs="Arial"/>
                <w:sz w:val="20"/>
                <w:szCs w:val="20"/>
                <w:lang w:eastAsia="de-DE"/>
              </w:rPr>
            </w:pPr>
            <w:r w:rsidRPr="009A1A2E">
              <w:rPr>
                <w:rFonts w:cs="Arial"/>
                <w:sz w:val="20"/>
                <w:szCs w:val="20"/>
                <w:lang w:eastAsia="de-DE"/>
              </w:rPr>
              <w:t>0%</w:t>
            </w:r>
          </w:p>
        </w:tc>
        <w:tc>
          <w:tcPr>
            <w:tcW w:w="478" w:type="pct"/>
            <w:vAlign w:val="center"/>
            <w:hideMark/>
          </w:tcPr>
          <w:p w14:paraId="20E37191" w14:textId="77777777" w:rsidR="00A70A66" w:rsidRPr="009A1A2E" w:rsidRDefault="00A70A66" w:rsidP="007668AC">
            <w:pPr>
              <w:spacing w:before="100" w:beforeAutospacing="1" w:after="100" w:afterAutospacing="1"/>
              <w:jc w:val="center"/>
              <w:rPr>
                <w:rFonts w:cs="Arial"/>
                <w:sz w:val="20"/>
                <w:szCs w:val="20"/>
                <w:lang w:eastAsia="de-DE"/>
              </w:rPr>
            </w:pPr>
            <w:r w:rsidRPr="009A1A2E">
              <w:rPr>
                <w:rFonts w:cs="Arial"/>
                <w:sz w:val="20"/>
                <w:szCs w:val="20"/>
                <w:lang w:eastAsia="de-DE"/>
              </w:rPr>
              <w:t>0%</w:t>
            </w:r>
          </w:p>
        </w:tc>
        <w:tc>
          <w:tcPr>
            <w:tcW w:w="412" w:type="pct"/>
            <w:vAlign w:val="center"/>
            <w:hideMark/>
          </w:tcPr>
          <w:p w14:paraId="508893F4" w14:textId="77777777" w:rsidR="00A70A66" w:rsidRPr="009A1A2E" w:rsidRDefault="00A70A66" w:rsidP="007668AC">
            <w:pPr>
              <w:spacing w:before="100" w:beforeAutospacing="1" w:after="100" w:afterAutospacing="1"/>
              <w:jc w:val="center"/>
              <w:rPr>
                <w:rFonts w:cs="Arial"/>
                <w:sz w:val="20"/>
                <w:szCs w:val="20"/>
                <w:lang w:eastAsia="de-DE"/>
              </w:rPr>
            </w:pPr>
            <w:r w:rsidRPr="009A1A2E">
              <w:rPr>
                <w:rFonts w:cs="Arial"/>
                <w:sz w:val="20"/>
                <w:szCs w:val="20"/>
                <w:lang w:eastAsia="de-DE"/>
              </w:rPr>
              <w:t>22.6%</w:t>
            </w:r>
          </w:p>
        </w:tc>
      </w:tr>
      <w:tr w:rsidR="00A70A66" w:rsidRPr="009A1A2E" w14:paraId="414C505C" w14:textId="77777777" w:rsidTr="007668AC">
        <w:trPr>
          <w:trHeight w:val="460"/>
          <w:tblCellSpacing w:w="15" w:type="dxa"/>
        </w:trPr>
        <w:tc>
          <w:tcPr>
            <w:tcW w:w="692" w:type="pct"/>
            <w:vAlign w:val="center"/>
            <w:hideMark/>
          </w:tcPr>
          <w:p w14:paraId="0E0CF34F" w14:textId="77777777" w:rsidR="00A70A66" w:rsidRPr="009A1A2E" w:rsidRDefault="00A70A66" w:rsidP="007668AC">
            <w:pPr>
              <w:spacing w:before="100" w:beforeAutospacing="1" w:after="100" w:afterAutospacing="1"/>
              <w:ind w:left="142"/>
              <w:jc w:val="center"/>
              <w:rPr>
                <w:rFonts w:cs="Arial"/>
                <w:sz w:val="20"/>
                <w:szCs w:val="20"/>
                <w:lang w:eastAsia="de-DE"/>
              </w:rPr>
            </w:pPr>
            <w:r w:rsidRPr="009A1A2E">
              <w:rPr>
                <w:rFonts w:cs="Arial"/>
                <w:sz w:val="20"/>
                <w:szCs w:val="20"/>
                <w:lang w:eastAsia="de-DE"/>
              </w:rPr>
              <w:t>UK</w:t>
            </w:r>
          </w:p>
        </w:tc>
        <w:tc>
          <w:tcPr>
            <w:tcW w:w="1427" w:type="pct"/>
            <w:vAlign w:val="center"/>
            <w:hideMark/>
          </w:tcPr>
          <w:p w14:paraId="21DECE7B" w14:textId="77777777" w:rsidR="00A70A66" w:rsidRPr="009A1A2E" w:rsidRDefault="007668AC" w:rsidP="007668AC">
            <w:pPr>
              <w:spacing w:before="100" w:beforeAutospacing="1" w:after="100" w:afterAutospacing="1"/>
              <w:ind w:left="161" w:right="119"/>
              <w:jc w:val="center"/>
              <w:rPr>
                <w:rFonts w:cs="Arial"/>
                <w:sz w:val="20"/>
                <w:szCs w:val="20"/>
                <w:lang w:eastAsia="de-DE"/>
              </w:rPr>
            </w:pPr>
            <w:r w:rsidRPr="009A1A2E">
              <w:rPr>
                <w:rFonts w:cs="Arial"/>
                <w:sz w:val="20"/>
                <w:szCs w:val="20"/>
                <w:lang w:eastAsia="de-DE"/>
              </w:rPr>
              <w:t>2662 pers</w:t>
            </w:r>
            <w:r w:rsidR="00A70A66" w:rsidRPr="009A1A2E">
              <w:rPr>
                <w:rFonts w:cs="Arial"/>
                <w:sz w:val="20"/>
                <w:szCs w:val="20"/>
                <w:lang w:eastAsia="de-DE"/>
              </w:rPr>
              <w:t xml:space="preserve"> over 18</w:t>
            </w:r>
          </w:p>
        </w:tc>
        <w:tc>
          <w:tcPr>
            <w:tcW w:w="599" w:type="pct"/>
            <w:vAlign w:val="center"/>
            <w:hideMark/>
          </w:tcPr>
          <w:p w14:paraId="7BA401AC" w14:textId="77777777" w:rsidR="00A70A66" w:rsidRPr="009A1A2E" w:rsidRDefault="00A70A66" w:rsidP="007668AC">
            <w:pPr>
              <w:spacing w:before="100" w:beforeAutospacing="1" w:after="100" w:afterAutospacing="1"/>
              <w:jc w:val="center"/>
              <w:rPr>
                <w:rFonts w:cs="Arial"/>
                <w:sz w:val="20"/>
                <w:szCs w:val="20"/>
                <w:lang w:eastAsia="de-DE"/>
              </w:rPr>
            </w:pPr>
            <w:r w:rsidRPr="009A1A2E">
              <w:rPr>
                <w:rFonts w:cs="Arial"/>
                <w:sz w:val="20"/>
                <w:szCs w:val="20"/>
                <w:lang w:eastAsia="de-DE"/>
              </w:rPr>
              <w:t>16.8%</w:t>
            </w:r>
          </w:p>
        </w:tc>
        <w:tc>
          <w:tcPr>
            <w:tcW w:w="630" w:type="pct"/>
            <w:vAlign w:val="center"/>
            <w:hideMark/>
          </w:tcPr>
          <w:p w14:paraId="5DE11E24" w14:textId="77777777" w:rsidR="00A70A66" w:rsidRPr="009A1A2E" w:rsidRDefault="00A70A66" w:rsidP="007668AC">
            <w:pPr>
              <w:spacing w:before="100" w:beforeAutospacing="1" w:after="100" w:afterAutospacing="1"/>
              <w:jc w:val="center"/>
              <w:rPr>
                <w:rFonts w:cs="Arial"/>
                <w:sz w:val="20"/>
                <w:szCs w:val="20"/>
                <w:lang w:eastAsia="de-DE"/>
              </w:rPr>
            </w:pPr>
            <w:r w:rsidRPr="009A1A2E">
              <w:rPr>
                <w:rFonts w:cs="Arial"/>
                <w:sz w:val="20"/>
                <w:szCs w:val="20"/>
                <w:lang w:eastAsia="de-DE"/>
              </w:rPr>
              <w:t>4.9%</w:t>
            </w:r>
          </w:p>
        </w:tc>
        <w:tc>
          <w:tcPr>
            <w:tcW w:w="630" w:type="pct"/>
            <w:vAlign w:val="center"/>
            <w:hideMark/>
          </w:tcPr>
          <w:p w14:paraId="204E3242" w14:textId="77777777" w:rsidR="00A70A66" w:rsidRPr="009A1A2E" w:rsidRDefault="00A70A66" w:rsidP="007668AC">
            <w:pPr>
              <w:spacing w:before="100" w:beforeAutospacing="1" w:after="100" w:afterAutospacing="1"/>
              <w:jc w:val="center"/>
              <w:rPr>
                <w:rFonts w:cs="Arial"/>
                <w:sz w:val="20"/>
                <w:szCs w:val="20"/>
                <w:lang w:eastAsia="de-DE"/>
              </w:rPr>
            </w:pPr>
            <w:r w:rsidRPr="009A1A2E">
              <w:rPr>
                <w:rFonts w:cs="Arial"/>
                <w:sz w:val="20"/>
                <w:szCs w:val="20"/>
                <w:lang w:eastAsia="de-DE"/>
              </w:rPr>
              <w:t>0.7%</w:t>
            </w:r>
          </w:p>
        </w:tc>
        <w:tc>
          <w:tcPr>
            <w:tcW w:w="478" w:type="pct"/>
            <w:vAlign w:val="center"/>
            <w:hideMark/>
          </w:tcPr>
          <w:p w14:paraId="72EAC605" w14:textId="77777777" w:rsidR="00A70A66" w:rsidRPr="009A1A2E" w:rsidRDefault="00A70A66" w:rsidP="007668AC">
            <w:pPr>
              <w:spacing w:before="100" w:beforeAutospacing="1" w:after="100" w:afterAutospacing="1"/>
              <w:jc w:val="center"/>
              <w:rPr>
                <w:rFonts w:cs="Arial"/>
                <w:sz w:val="20"/>
                <w:szCs w:val="20"/>
                <w:lang w:eastAsia="de-DE"/>
              </w:rPr>
            </w:pPr>
            <w:r w:rsidRPr="009A1A2E">
              <w:rPr>
                <w:rFonts w:cs="Arial"/>
                <w:sz w:val="20"/>
                <w:szCs w:val="20"/>
                <w:lang w:eastAsia="de-DE"/>
              </w:rPr>
              <w:t>0.2%</w:t>
            </w:r>
          </w:p>
        </w:tc>
        <w:tc>
          <w:tcPr>
            <w:tcW w:w="412" w:type="pct"/>
            <w:vAlign w:val="center"/>
            <w:hideMark/>
          </w:tcPr>
          <w:p w14:paraId="33BBA8ED" w14:textId="77777777" w:rsidR="00A70A66" w:rsidRPr="009A1A2E" w:rsidRDefault="00A70A66" w:rsidP="007668AC">
            <w:pPr>
              <w:spacing w:before="100" w:beforeAutospacing="1" w:after="100" w:afterAutospacing="1"/>
              <w:jc w:val="center"/>
              <w:rPr>
                <w:rFonts w:cs="Arial"/>
                <w:sz w:val="20"/>
                <w:szCs w:val="20"/>
                <w:lang w:eastAsia="de-DE"/>
              </w:rPr>
            </w:pPr>
            <w:r w:rsidRPr="009A1A2E">
              <w:rPr>
                <w:rFonts w:cs="Arial"/>
                <w:sz w:val="20"/>
                <w:szCs w:val="20"/>
                <w:lang w:eastAsia="de-DE"/>
              </w:rPr>
              <w:t>22.6%</w:t>
            </w:r>
          </w:p>
        </w:tc>
      </w:tr>
      <w:tr w:rsidR="00A70A66" w:rsidRPr="009A1A2E" w14:paraId="6993AE5E" w14:textId="77777777" w:rsidTr="007668AC">
        <w:trPr>
          <w:trHeight w:val="460"/>
          <w:tblCellSpacing w:w="15" w:type="dxa"/>
        </w:trPr>
        <w:tc>
          <w:tcPr>
            <w:tcW w:w="692" w:type="pct"/>
            <w:shd w:val="clear" w:color="auto" w:fill="FFFFFF"/>
            <w:vAlign w:val="center"/>
            <w:hideMark/>
          </w:tcPr>
          <w:p w14:paraId="27B39F1B" w14:textId="77777777" w:rsidR="00A70A66" w:rsidRPr="009A1A2E" w:rsidRDefault="00A70A66" w:rsidP="007668AC">
            <w:pPr>
              <w:spacing w:before="100" w:beforeAutospacing="1" w:after="100" w:afterAutospacing="1"/>
              <w:ind w:left="142"/>
              <w:jc w:val="center"/>
              <w:rPr>
                <w:rFonts w:cs="Arial"/>
                <w:sz w:val="20"/>
                <w:szCs w:val="20"/>
                <w:lang w:eastAsia="de-DE"/>
              </w:rPr>
            </w:pPr>
            <w:r w:rsidRPr="009A1A2E">
              <w:rPr>
                <w:rFonts w:cs="Arial"/>
                <w:sz w:val="20"/>
                <w:szCs w:val="20"/>
                <w:lang w:eastAsia="de-DE"/>
              </w:rPr>
              <w:t>Germany</w:t>
            </w:r>
          </w:p>
        </w:tc>
        <w:tc>
          <w:tcPr>
            <w:tcW w:w="1427" w:type="pct"/>
            <w:shd w:val="clear" w:color="auto" w:fill="FFFFFF"/>
            <w:vAlign w:val="center"/>
            <w:hideMark/>
          </w:tcPr>
          <w:p w14:paraId="30EBA5CD" w14:textId="77777777" w:rsidR="00A70A66" w:rsidRPr="009A1A2E" w:rsidRDefault="007668AC" w:rsidP="007668AC">
            <w:pPr>
              <w:spacing w:before="100" w:beforeAutospacing="1" w:after="100" w:afterAutospacing="1"/>
              <w:ind w:left="161" w:right="119"/>
              <w:jc w:val="center"/>
              <w:rPr>
                <w:rFonts w:cs="Arial"/>
                <w:sz w:val="20"/>
                <w:szCs w:val="20"/>
                <w:lang w:eastAsia="de-DE"/>
              </w:rPr>
            </w:pPr>
            <w:r w:rsidRPr="009A1A2E">
              <w:rPr>
                <w:rFonts w:cs="Arial"/>
                <w:sz w:val="20"/>
                <w:szCs w:val="20"/>
                <w:lang w:eastAsia="de-DE"/>
              </w:rPr>
              <w:t>2031 pers</w:t>
            </w:r>
            <w:r w:rsidR="00A70A66" w:rsidRPr="009A1A2E">
              <w:rPr>
                <w:rFonts w:cs="Arial"/>
                <w:sz w:val="20"/>
                <w:szCs w:val="20"/>
                <w:lang w:eastAsia="de-DE"/>
              </w:rPr>
              <w:t xml:space="preserve"> over 16</w:t>
            </w:r>
          </w:p>
        </w:tc>
        <w:tc>
          <w:tcPr>
            <w:tcW w:w="599" w:type="pct"/>
            <w:shd w:val="clear" w:color="auto" w:fill="FFFFFF"/>
            <w:vAlign w:val="center"/>
            <w:hideMark/>
          </w:tcPr>
          <w:p w14:paraId="5B447EE4" w14:textId="77777777" w:rsidR="00A70A66" w:rsidRPr="009A1A2E" w:rsidRDefault="00A70A66" w:rsidP="007668AC">
            <w:pPr>
              <w:spacing w:before="100" w:beforeAutospacing="1" w:after="100" w:afterAutospacing="1"/>
              <w:jc w:val="center"/>
              <w:rPr>
                <w:rFonts w:cs="Arial"/>
                <w:sz w:val="20"/>
                <w:szCs w:val="20"/>
                <w:lang w:eastAsia="de-DE"/>
              </w:rPr>
            </w:pPr>
            <w:r w:rsidRPr="009A1A2E">
              <w:rPr>
                <w:rFonts w:cs="Arial"/>
                <w:sz w:val="20"/>
                <w:szCs w:val="20"/>
                <w:lang w:eastAsia="de-DE"/>
              </w:rPr>
              <w:t>11.0%</w:t>
            </w:r>
          </w:p>
        </w:tc>
        <w:tc>
          <w:tcPr>
            <w:tcW w:w="630" w:type="pct"/>
            <w:shd w:val="clear" w:color="auto" w:fill="FFFFFF"/>
            <w:vAlign w:val="center"/>
            <w:hideMark/>
          </w:tcPr>
          <w:p w14:paraId="6DC4CD5D" w14:textId="77777777" w:rsidR="00A70A66" w:rsidRPr="009A1A2E" w:rsidRDefault="00A70A66" w:rsidP="007668AC">
            <w:pPr>
              <w:spacing w:before="100" w:beforeAutospacing="1" w:after="100" w:afterAutospacing="1"/>
              <w:jc w:val="center"/>
              <w:rPr>
                <w:rFonts w:cs="Arial"/>
                <w:sz w:val="20"/>
                <w:szCs w:val="20"/>
                <w:lang w:eastAsia="de-DE"/>
              </w:rPr>
            </w:pPr>
            <w:r w:rsidRPr="009A1A2E">
              <w:rPr>
                <w:rFonts w:cs="Arial"/>
                <w:sz w:val="20"/>
                <w:szCs w:val="20"/>
                <w:lang w:eastAsia="de-DE"/>
              </w:rPr>
              <w:t>7.0%</w:t>
            </w:r>
          </w:p>
        </w:tc>
        <w:tc>
          <w:tcPr>
            <w:tcW w:w="630" w:type="pct"/>
            <w:shd w:val="clear" w:color="auto" w:fill="FFFFFF"/>
            <w:vAlign w:val="center"/>
            <w:hideMark/>
          </w:tcPr>
          <w:p w14:paraId="32074F23" w14:textId="77777777" w:rsidR="00A70A66" w:rsidRPr="009A1A2E" w:rsidRDefault="00A70A66" w:rsidP="007668AC">
            <w:pPr>
              <w:spacing w:before="100" w:beforeAutospacing="1" w:after="100" w:afterAutospacing="1"/>
              <w:jc w:val="center"/>
              <w:rPr>
                <w:rFonts w:cs="Arial"/>
                <w:sz w:val="20"/>
                <w:szCs w:val="20"/>
                <w:lang w:eastAsia="de-DE"/>
              </w:rPr>
            </w:pPr>
            <w:r w:rsidRPr="009A1A2E">
              <w:rPr>
                <w:rFonts w:cs="Arial"/>
                <w:sz w:val="20"/>
                <w:szCs w:val="20"/>
                <w:lang w:eastAsia="de-DE"/>
              </w:rPr>
              <w:t>1.4%</w:t>
            </w:r>
          </w:p>
        </w:tc>
        <w:tc>
          <w:tcPr>
            <w:tcW w:w="478" w:type="pct"/>
            <w:shd w:val="clear" w:color="auto" w:fill="FFFFFF"/>
            <w:vAlign w:val="center"/>
            <w:hideMark/>
          </w:tcPr>
          <w:p w14:paraId="5D73D059" w14:textId="77777777" w:rsidR="00A70A66" w:rsidRPr="009A1A2E" w:rsidRDefault="00A70A66" w:rsidP="007668AC">
            <w:pPr>
              <w:spacing w:before="100" w:beforeAutospacing="1" w:after="100" w:afterAutospacing="1"/>
              <w:jc w:val="center"/>
              <w:rPr>
                <w:rFonts w:cs="Arial"/>
                <w:sz w:val="20"/>
                <w:szCs w:val="20"/>
                <w:lang w:eastAsia="de-DE"/>
              </w:rPr>
            </w:pPr>
            <w:r w:rsidRPr="009A1A2E">
              <w:rPr>
                <w:rFonts w:cs="Arial"/>
                <w:sz w:val="20"/>
                <w:szCs w:val="20"/>
                <w:lang w:eastAsia="de-DE"/>
              </w:rPr>
              <w:t>0.3%</w:t>
            </w:r>
          </w:p>
        </w:tc>
        <w:tc>
          <w:tcPr>
            <w:tcW w:w="412" w:type="pct"/>
            <w:shd w:val="clear" w:color="auto" w:fill="FFFFFF"/>
            <w:vAlign w:val="center"/>
            <w:hideMark/>
          </w:tcPr>
          <w:p w14:paraId="3F0CCFFB" w14:textId="77777777" w:rsidR="00A70A66" w:rsidRPr="009A1A2E" w:rsidRDefault="00A70A66" w:rsidP="007668AC">
            <w:pPr>
              <w:spacing w:before="100" w:beforeAutospacing="1" w:after="100" w:afterAutospacing="1"/>
              <w:jc w:val="center"/>
              <w:rPr>
                <w:rFonts w:cs="Arial"/>
                <w:sz w:val="20"/>
                <w:szCs w:val="20"/>
                <w:lang w:eastAsia="de-DE"/>
              </w:rPr>
            </w:pPr>
            <w:r w:rsidRPr="009A1A2E">
              <w:rPr>
                <w:rFonts w:cs="Arial"/>
                <w:sz w:val="20"/>
                <w:szCs w:val="20"/>
                <w:lang w:eastAsia="de-DE"/>
              </w:rPr>
              <w:t>19.7%</w:t>
            </w:r>
          </w:p>
        </w:tc>
      </w:tr>
      <w:tr w:rsidR="00A70A66" w:rsidRPr="009A1A2E" w14:paraId="49CC22C0" w14:textId="77777777" w:rsidTr="007668AC">
        <w:trPr>
          <w:trHeight w:val="460"/>
          <w:tblCellSpacing w:w="15" w:type="dxa"/>
        </w:trPr>
        <w:tc>
          <w:tcPr>
            <w:tcW w:w="692" w:type="pct"/>
            <w:shd w:val="clear" w:color="auto" w:fill="FFFFFF"/>
            <w:vAlign w:val="center"/>
            <w:hideMark/>
          </w:tcPr>
          <w:p w14:paraId="61953259" w14:textId="77777777" w:rsidR="00A70A66" w:rsidRPr="009A1A2E" w:rsidRDefault="00A70A66" w:rsidP="007668AC">
            <w:pPr>
              <w:spacing w:before="100" w:beforeAutospacing="1" w:after="100" w:afterAutospacing="1"/>
              <w:ind w:left="142"/>
              <w:jc w:val="center"/>
              <w:rPr>
                <w:rFonts w:cs="Arial"/>
                <w:sz w:val="20"/>
                <w:szCs w:val="20"/>
                <w:lang w:eastAsia="de-DE"/>
              </w:rPr>
            </w:pPr>
            <w:r w:rsidRPr="009A1A2E">
              <w:rPr>
                <w:rFonts w:cs="Arial"/>
                <w:sz w:val="20"/>
                <w:szCs w:val="20"/>
                <w:lang w:eastAsia="de-DE"/>
              </w:rPr>
              <w:t>Germany</w:t>
            </w:r>
          </w:p>
        </w:tc>
        <w:tc>
          <w:tcPr>
            <w:tcW w:w="1427" w:type="pct"/>
            <w:shd w:val="clear" w:color="auto" w:fill="FFFFFF"/>
            <w:vAlign w:val="center"/>
            <w:hideMark/>
          </w:tcPr>
          <w:p w14:paraId="33B9773F" w14:textId="77777777" w:rsidR="00A70A66" w:rsidRPr="009A1A2E" w:rsidRDefault="00A70A66" w:rsidP="007668AC">
            <w:pPr>
              <w:spacing w:before="100" w:beforeAutospacing="1" w:after="100" w:afterAutospacing="1"/>
              <w:ind w:left="161" w:right="119"/>
              <w:jc w:val="center"/>
              <w:rPr>
                <w:rFonts w:cs="Arial"/>
                <w:sz w:val="20"/>
                <w:szCs w:val="20"/>
                <w:lang w:eastAsia="de-DE"/>
              </w:rPr>
            </w:pPr>
            <w:r w:rsidRPr="009A1A2E">
              <w:rPr>
                <w:rFonts w:cs="Arial"/>
                <w:sz w:val="20"/>
                <w:szCs w:val="20"/>
                <w:lang w:eastAsia="de-DE"/>
              </w:rPr>
              <w:t>18+ years</w:t>
            </w:r>
          </w:p>
        </w:tc>
        <w:tc>
          <w:tcPr>
            <w:tcW w:w="599" w:type="pct"/>
            <w:shd w:val="clear" w:color="auto" w:fill="FFFFFF"/>
            <w:vAlign w:val="center"/>
            <w:hideMark/>
          </w:tcPr>
          <w:p w14:paraId="6D20697A" w14:textId="77777777" w:rsidR="00A70A66" w:rsidRPr="009A1A2E" w:rsidRDefault="00A70A66" w:rsidP="007668AC">
            <w:pPr>
              <w:spacing w:before="100" w:beforeAutospacing="1" w:after="100" w:afterAutospacing="1"/>
              <w:jc w:val="center"/>
              <w:rPr>
                <w:rFonts w:cs="Arial"/>
                <w:sz w:val="20"/>
                <w:szCs w:val="20"/>
                <w:lang w:eastAsia="de-DE"/>
              </w:rPr>
            </w:pPr>
            <w:r w:rsidRPr="009A1A2E">
              <w:rPr>
                <w:rFonts w:cs="Arial"/>
                <w:sz w:val="20"/>
                <w:szCs w:val="20"/>
                <w:lang w:eastAsia="de-DE"/>
              </w:rPr>
              <w:t>11.7%</w:t>
            </w:r>
          </w:p>
        </w:tc>
        <w:tc>
          <w:tcPr>
            <w:tcW w:w="630" w:type="pct"/>
            <w:shd w:val="clear" w:color="auto" w:fill="FFFFFF"/>
            <w:vAlign w:val="center"/>
            <w:hideMark/>
          </w:tcPr>
          <w:p w14:paraId="0F7B5300" w14:textId="77777777" w:rsidR="00A70A66" w:rsidRPr="009A1A2E" w:rsidRDefault="00A70A66" w:rsidP="007668AC">
            <w:pPr>
              <w:spacing w:before="100" w:beforeAutospacing="1" w:after="100" w:afterAutospacing="1"/>
              <w:jc w:val="center"/>
              <w:rPr>
                <w:rFonts w:cs="Arial"/>
                <w:sz w:val="20"/>
                <w:szCs w:val="20"/>
                <w:lang w:eastAsia="de-DE"/>
              </w:rPr>
            </w:pPr>
            <w:r w:rsidRPr="009A1A2E">
              <w:rPr>
                <w:rFonts w:cs="Arial"/>
                <w:sz w:val="20"/>
                <w:szCs w:val="20"/>
                <w:lang w:eastAsia="de-DE"/>
              </w:rPr>
              <w:t>7.3%</w:t>
            </w:r>
          </w:p>
        </w:tc>
        <w:tc>
          <w:tcPr>
            <w:tcW w:w="630" w:type="pct"/>
            <w:shd w:val="clear" w:color="auto" w:fill="FFFFFF"/>
            <w:vAlign w:val="center"/>
            <w:hideMark/>
          </w:tcPr>
          <w:p w14:paraId="092BED36" w14:textId="77777777" w:rsidR="00A70A66" w:rsidRPr="009A1A2E" w:rsidRDefault="00A70A66" w:rsidP="007668AC">
            <w:pPr>
              <w:spacing w:before="100" w:beforeAutospacing="1" w:after="100" w:afterAutospacing="1"/>
              <w:jc w:val="center"/>
              <w:rPr>
                <w:rFonts w:cs="Arial"/>
                <w:sz w:val="20"/>
                <w:szCs w:val="20"/>
                <w:lang w:eastAsia="de-DE"/>
              </w:rPr>
            </w:pPr>
            <w:r w:rsidRPr="009A1A2E">
              <w:rPr>
                <w:rFonts w:cs="Arial"/>
                <w:sz w:val="20"/>
                <w:szCs w:val="20"/>
                <w:lang w:eastAsia="de-DE"/>
              </w:rPr>
              <w:t>1.5%</w:t>
            </w:r>
          </w:p>
        </w:tc>
        <w:tc>
          <w:tcPr>
            <w:tcW w:w="478" w:type="pct"/>
            <w:shd w:val="clear" w:color="auto" w:fill="FFFFFF"/>
            <w:vAlign w:val="center"/>
            <w:hideMark/>
          </w:tcPr>
          <w:p w14:paraId="7537EBA8" w14:textId="77777777" w:rsidR="00A70A66" w:rsidRPr="009A1A2E" w:rsidRDefault="00A70A66" w:rsidP="007668AC">
            <w:pPr>
              <w:spacing w:before="100" w:beforeAutospacing="1" w:after="100" w:afterAutospacing="1"/>
              <w:jc w:val="center"/>
              <w:rPr>
                <w:rFonts w:cs="Arial"/>
                <w:sz w:val="20"/>
                <w:szCs w:val="20"/>
                <w:lang w:eastAsia="de-DE"/>
              </w:rPr>
            </w:pPr>
            <w:r w:rsidRPr="009A1A2E">
              <w:rPr>
                <w:rFonts w:cs="Arial"/>
                <w:sz w:val="20"/>
                <w:szCs w:val="20"/>
                <w:lang w:eastAsia="de-DE"/>
              </w:rPr>
              <w:t>0.3%</w:t>
            </w:r>
          </w:p>
        </w:tc>
        <w:tc>
          <w:tcPr>
            <w:tcW w:w="412" w:type="pct"/>
            <w:shd w:val="clear" w:color="auto" w:fill="FFFFFF"/>
            <w:vAlign w:val="center"/>
            <w:hideMark/>
          </w:tcPr>
          <w:p w14:paraId="7D589153" w14:textId="77777777" w:rsidR="00A70A66" w:rsidRPr="009A1A2E" w:rsidRDefault="00A70A66" w:rsidP="007668AC">
            <w:pPr>
              <w:spacing w:before="100" w:beforeAutospacing="1" w:after="100" w:afterAutospacing="1"/>
              <w:jc w:val="center"/>
              <w:rPr>
                <w:rFonts w:cs="Arial"/>
                <w:sz w:val="20"/>
                <w:szCs w:val="20"/>
                <w:lang w:eastAsia="de-DE"/>
              </w:rPr>
            </w:pPr>
            <w:r w:rsidRPr="009A1A2E">
              <w:rPr>
                <w:rFonts w:cs="Arial"/>
                <w:sz w:val="20"/>
                <w:szCs w:val="20"/>
                <w:lang w:eastAsia="de-DE"/>
              </w:rPr>
              <w:t>20.8%</w:t>
            </w:r>
          </w:p>
        </w:tc>
      </w:tr>
      <w:tr w:rsidR="00A70A66" w:rsidRPr="009A1A2E" w14:paraId="6F015105" w14:textId="77777777" w:rsidTr="007668AC">
        <w:trPr>
          <w:trHeight w:val="460"/>
          <w:tblCellSpacing w:w="15" w:type="dxa"/>
        </w:trPr>
        <w:tc>
          <w:tcPr>
            <w:tcW w:w="692" w:type="pct"/>
            <w:shd w:val="clear" w:color="auto" w:fill="FFFFFF"/>
            <w:vAlign w:val="center"/>
            <w:hideMark/>
          </w:tcPr>
          <w:p w14:paraId="375DF47F" w14:textId="77777777" w:rsidR="00A70A66" w:rsidRPr="009A1A2E" w:rsidRDefault="00A70A66" w:rsidP="007668AC">
            <w:pPr>
              <w:spacing w:before="100" w:beforeAutospacing="1" w:after="100" w:afterAutospacing="1"/>
              <w:ind w:left="142"/>
              <w:jc w:val="center"/>
              <w:rPr>
                <w:rFonts w:cs="Arial"/>
                <w:sz w:val="20"/>
                <w:szCs w:val="20"/>
                <w:lang w:eastAsia="de-DE"/>
              </w:rPr>
            </w:pPr>
            <w:r w:rsidRPr="009A1A2E">
              <w:rPr>
                <w:rFonts w:cs="Arial"/>
                <w:sz w:val="20"/>
                <w:szCs w:val="20"/>
                <w:lang w:eastAsia="de-DE"/>
              </w:rPr>
              <w:t>Germany</w:t>
            </w:r>
          </w:p>
        </w:tc>
        <w:tc>
          <w:tcPr>
            <w:tcW w:w="1427" w:type="pct"/>
            <w:shd w:val="clear" w:color="auto" w:fill="FFFFFF"/>
            <w:vAlign w:val="center"/>
            <w:hideMark/>
          </w:tcPr>
          <w:p w14:paraId="2A797053" w14:textId="77777777" w:rsidR="00A70A66" w:rsidRPr="009A1A2E" w:rsidRDefault="00A70A66" w:rsidP="007668AC">
            <w:pPr>
              <w:spacing w:before="100" w:beforeAutospacing="1" w:after="100" w:afterAutospacing="1"/>
              <w:ind w:left="161" w:right="119"/>
              <w:jc w:val="center"/>
              <w:rPr>
                <w:rFonts w:cs="Arial"/>
                <w:sz w:val="20"/>
                <w:szCs w:val="20"/>
                <w:lang w:eastAsia="de-DE"/>
              </w:rPr>
            </w:pPr>
            <w:r w:rsidRPr="009A1A2E">
              <w:rPr>
                <w:rFonts w:cs="Arial"/>
                <w:sz w:val="20"/>
                <w:szCs w:val="20"/>
                <w:lang w:eastAsia="de-DE"/>
              </w:rPr>
              <w:t>20+ years</w:t>
            </w:r>
          </w:p>
        </w:tc>
        <w:tc>
          <w:tcPr>
            <w:tcW w:w="599" w:type="pct"/>
            <w:shd w:val="clear" w:color="auto" w:fill="FFFFFF"/>
            <w:vAlign w:val="center"/>
            <w:hideMark/>
          </w:tcPr>
          <w:p w14:paraId="0FD6DEDF" w14:textId="77777777" w:rsidR="00A70A66" w:rsidRPr="009A1A2E" w:rsidRDefault="00A70A66" w:rsidP="007668AC">
            <w:pPr>
              <w:spacing w:before="100" w:beforeAutospacing="1" w:after="100" w:afterAutospacing="1"/>
              <w:jc w:val="center"/>
              <w:rPr>
                <w:rFonts w:cs="Arial"/>
                <w:sz w:val="20"/>
                <w:szCs w:val="20"/>
                <w:lang w:eastAsia="de-DE"/>
              </w:rPr>
            </w:pPr>
            <w:r w:rsidRPr="009A1A2E">
              <w:rPr>
                <w:rFonts w:cs="Arial"/>
                <w:sz w:val="20"/>
                <w:szCs w:val="20"/>
                <w:lang w:eastAsia="de-DE"/>
              </w:rPr>
              <w:t>11.9%</w:t>
            </w:r>
          </w:p>
        </w:tc>
        <w:tc>
          <w:tcPr>
            <w:tcW w:w="630" w:type="pct"/>
            <w:shd w:val="clear" w:color="auto" w:fill="FFFFFF"/>
            <w:vAlign w:val="center"/>
            <w:hideMark/>
          </w:tcPr>
          <w:p w14:paraId="4130C5C3" w14:textId="77777777" w:rsidR="00A70A66" w:rsidRPr="009A1A2E" w:rsidRDefault="00A70A66" w:rsidP="007668AC">
            <w:pPr>
              <w:spacing w:before="100" w:beforeAutospacing="1" w:after="100" w:afterAutospacing="1"/>
              <w:jc w:val="center"/>
              <w:rPr>
                <w:rFonts w:cs="Arial"/>
                <w:sz w:val="20"/>
                <w:szCs w:val="20"/>
                <w:lang w:eastAsia="de-DE"/>
              </w:rPr>
            </w:pPr>
            <w:r w:rsidRPr="009A1A2E">
              <w:rPr>
                <w:rFonts w:cs="Arial"/>
                <w:sz w:val="20"/>
                <w:szCs w:val="20"/>
                <w:lang w:eastAsia="de-DE"/>
              </w:rPr>
              <w:t>7.4%</w:t>
            </w:r>
          </w:p>
        </w:tc>
        <w:tc>
          <w:tcPr>
            <w:tcW w:w="630" w:type="pct"/>
            <w:shd w:val="clear" w:color="auto" w:fill="FFFFFF"/>
            <w:vAlign w:val="center"/>
            <w:hideMark/>
          </w:tcPr>
          <w:p w14:paraId="071F9EE3" w14:textId="77777777" w:rsidR="00A70A66" w:rsidRPr="009A1A2E" w:rsidRDefault="00A70A66" w:rsidP="007668AC">
            <w:pPr>
              <w:spacing w:before="100" w:beforeAutospacing="1" w:after="100" w:afterAutospacing="1"/>
              <w:jc w:val="center"/>
              <w:rPr>
                <w:rFonts w:cs="Arial"/>
                <w:sz w:val="20"/>
                <w:szCs w:val="20"/>
                <w:lang w:eastAsia="de-DE"/>
              </w:rPr>
            </w:pPr>
            <w:r w:rsidRPr="009A1A2E">
              <w:rPr>
                <w:rFonts w:cs="Arial"/>
                <w:sz w:val="20"/>
                <w:szCs w:val="20"/>
                <w:lang w:eastAsia="de-DE"/>
              </w:rPr>
              <w:t>1.5%</w:t>
            </w:r>
          </w:p>
        </w:tc>
        <w:tc>
          <w:tcPr>
            <w:tcW w:w="478" w:type="pct"/>
            <w:shd w:val="clear" w:color="auto" w:fill="FFFFFF"/>
            <w:vAlign w:val="center"/>
            <w:hideMark/>
          </w:tcPr>
          <w:p w14:paraId="631F2428" w14:textId="77777777" w:rsidR="00A70A66" w:rsidRPr="009A1A2E" w:rsidRDefault="00A70A66" w:rsidP="007668AC">
            <w:pPr>
              <w:spacing w:before="100" w:beforeAutospacing="1" w:after="100" w:afterAutospacing="1"/>
              <w:jc w:val="center"/>
              <w:rPr>
                <w:rFonts w:cs="Arial"/>
                <w:sz w:val="20"/>
                <w:szCs w:val="20"/>
                <w:lang w:eastAsia="de-DE"/>
              </w:rPr>
            </w:pPr>
            <w:r w:rsidRPr="009A1A2E">
              <w:rPr>
                <w:rFonts w:cs="Arial"/>
                <w:sz w:val="20"/>
                <w:szCs w:val="20"/>
                <w:lang w:eastAsia="de-DE"/>
              </w:rPr>
              <w:t>0.3%</w:t>
            </w:r>
          </w:p>
        </w:tc>
        <w:tc>
          <w:tcPr>
            <w:tcW w:w="412" w:type="pct"/>
            <w:shd w:val="clear" w:color="auto" w:fill="FFFFFF"/>
            <w:vAlign w:val="center"/>
            <w:hideMark/>
          </w:tcPr>
          <w:p w14:paraId="3CBB0D7D" w14:textId="77777777" w:rsidR="00A70A66" w:rsidRPr="009A1A2E" w:rsidRDefault="00A70A66" w:rsidP="007668AC">
            <w:pPr>
              <w:spacing w:before="100" w:beforeAutospacing="1" w:after="100" w:afterAutospacing="1"/>
              <w:jc w:val="center"/>
              <w:rPr>
                <w:rFonts w:cs="Arial"/>
                <w:sz w:val="20"/>
                <w:szCs w:val="20"/>
                <w:lang w:eastAsia="de-DE"/>
              </w:rPr>
            </w:pPr>
            <w:r w:rsidRPr="009A1A2E">
              <w:rPr>
                <w:rFonts w:cs="Arial"/>
                <w:sz w:val="20"/>
                <w:szCs w:val="20"/>
                <w:lang w:eastAsia="de-DE"/>
              </w:rPr>
              <w:t>21.1%</w:t>
            </w:r>
          </w:p>
        </w:tc>
      </w:tr>
      <w:tr w:rsidR="00A70A66" w:rsidRPr="009A1A2E" w14:paraId="4FF14D0D" w14:textId="77777777" w:rsidTr="007668AC">
        <w:trPr>
          <w:trHeight w:val="460"/>
          <w:tblCellSpacing w:w="15" w:type="dxa"/>
        </w:trPr>
        <w:tc>
          <w:tcPr>
            <w:tcW w:w="692" w:type="pct"/>
            <w:shd w:val="clear" w:color="auto" w:fill="FFFFFF"/>
            <w:vAlign w:val="center"/>
            <w:hideMark/>
          </w:tcPr>
          <w:p w14:paraId="208E1A24" w14:textId="77777777" w:rsidR="00A70A66" w:rsidRPr="009A1A2E" w:rsidRDefault="00A70A66" w:rsidP="007668AC">
            <w:pPr>
              <w:spacing w:before="100" w:beforeAutospacing="1" w:after="100" w:afterAutospacing="1"/>
              <w:ind w:left="142"/>
              <w:jc w:val="center"/>
              <w:rPr>
                <w:rFonts w:cs="Arial"/>
                <w:sz w:val="20"/>
                <w:szCs w:val="20"/>
                <w:lang w:eastAsia="de-DE"/>
              </w:rPr>
            </w:pPr>
            <w:r w:rsidRPr="009A1A2E">
              <w:rPr>
                <w:rFonts w:cs="Arial"/>
                <w:sz w:val="20"/>
                <w:szCs w:val="20"/>
                <w:lang w:eastAsia="de-DE"/>
              </w:rPr>
              <w:t>Germany</w:t>
            </w:r>
          </w:p>
        </w:tc>
        <w:tc>
          <w:tcPr>
            <w:tcW w:w="1427" w:type="pct"/>
            <w:shd w:val="clear" w:color="auto" w:fill="FFFFFF"/>
            <w:vAlign w:val="center"/>
            <w:hideMark/>
          </w:tcPr>
          <w:p w14:paraId="068D8B28" w14:textId="77777777" w:rsidR="00A70A66" w:rsidRPr="009A1A2E" w:rsidRDefault="007668AC" w:rsidP="007668AC">
            <w:pPr>
              <w:spacing w:before="100" w:beforeAutospacing="1" w:after="100" w:afterAutospacing="1"/>
              <w:ind w:left="161" w:right="119"/>
              <w:jc w:val="center"/>
              <w:rPr>
                <w:rFonts w:cs="Arial"/>
                <w:sz w:val="20"/>
                <w:szCs w:val="20"/>
                <w:lang w:eastAsia="de-DE"/>
              </w:rPr>
            </w:pPr>
            <w:r w:rsidRPr="009A1A2E">
              <w:rPr>
                <w:rFonts w:cs="Arial"/>
                <w:sz w:val="20"/>
                <w:szCs w:val="20"/>
                <w:lang w:eastAsia="de-DE"/>
              </w:rPr>
              <w:t>25+ years</w:t>
            </w:r>
          </w:p>
        </w:tc>
        <w:tc>
          <w:tcPr>
            <w:tcW w:w="599" w:type="pct"/>
            <w:shd w:val="clear" w:color="auto" w:fill="FFFFFF"/>
            <w:vAlign w:val="center"/>
            <w:hideMark/>
          </w:tcPr>
          <w:p w14:paraId="7F203A38" w14:textId="77777777" w:rsidR="00A70A66" w:rsidRPr="009A1A2E" w:rsidRDefault="00A70A66" w:rsidP="007668AC">
            <w:pPr>
              <w:spacing w:before="100" w:beforeAutospacing="1" w:after="100" w:afterAutospacing="1"/>
              <w:jc w:val="center"/>
              <w:rPr>
                <w:rFonts w:cs="Arial"/>
                <w:sz w:val="20"/>
                <w:szCs w:val="20"/>
                <w:lang w:eastAsia="de-DE"/>
              </w:rPr>
            </w:pPr>
            <w:r w:rsidRPr="009A1A2E">
              <w:rPr>
                <w:rFonts w:cs="Arial"/>
                <w:sz w:val="20"/>
                <w:szCs w:val="20"/>
                <w:lang w:eastAsia="de-DE"/>
              </w:rPr>
              <w:t>12.7%</w:t>
            </w:r>
          </w:p>
        </w:tc>
        <w:tc>
          <w:tcPr>
            <w:tcW w:w="630" w:type="pct"/>
            <w:shd w:val="clear" w:color="auto" w:fill="FFFFFF"/>
            <w:vAlign w:val="center"/>
            <w:hideMark/>
          </w:tcPr>
          <w:p w14:paraId="12667B7F" w14:textId="77777777" w:rsidR="00A70A66" w:rsidRPr="009A1A2E" w:rsidRDefault="00A70A66" w:rsidP="007668AC">
            <w:pPr>
              <w:spacing w:before="100" w:beforeAutospacing="1" w:after="100" w:afterAutospacing="1"/>
              <w:jc w:val="center"/>
              <w:rPr>
                <w:rFonts w:cs="Arial"/>
                <w:sz w:val="20"/>
                <w:szCs w:val="20"/>
                <w:lang w:eastAsia="de-DE"/>
              </w:rPr>
            </w:pPr>
            <w:r w:rsidRPr="009A1A2E">
              <w:rPr>
                <w:rFonts w:cs="Arial"/>
                <w:sz w:val="20"/>
                <w:szCs w:val="20"/>
                <w:lang w:eastAsia="de-DE"/>
              </w:rPr>
              <w:t>7.9%</w:t>
            </w:r>
          </w:p>
        </w:tc>
        <w:tc>
          <w:tcPr>
            <w:tcW w:w="630" w:type="pct"/>
            <w:shd w:val="clear" w:color="auto" w:fill="FFFFFF"/>
            <w:vAlign w:val="center"/>
            <w:hideMark/>
          </w:tcPr>
          <w:p w14:paraId="009C6213" w14:textId="77777777" w:rsidR="00A70A66" w:rsidRPr="009A1A2E" w:rsidRDefault="00A70A66" w:rsidP="007668AC">
            <w:pPr>
              <w:spacing w:before="100" w:beforeAutospacing="1" w:after="100" w:afterAutospacing="1"/>
              <w:jc w:val="center"/>
              <w:rPr>
                <w:rFonts w:cs="Arial"/>
                <w:sz w:val="20"/>
                <w:szCs w:val="20"/>
                <w:lang w:eastAsia="de-DE"/>
              </w:rPr>
            </w:pPr>
            <w:r w:rsidRPr="009A1A2E">
              <w:rPr>
                <w:rFonts w:cs="Arial"/>
                <w:sz w:val="20"/>
                <w:szCs w:val="20"/>
                <w:lang w:eastAsia="de-DE"/>
              </w:rPr>
              <w:t>1.6%</w:t>
            </w:r>
          </w:p>
        </w:tc>
        <w:tc>
          <w:tcPr>
            <w:tcW w:w="478" w:type="pct"/>
            <w:shd w:val="clear" w:color="auto" w:fill="FFFFFF"/>
            <w:vAlign w:val="center"/>
            <w:hideMark/>
          </w:tcPr>
          <w:p w14:paraId="0A6B2974" w14:textId="77777777" w:rsidR="00A70A66" w:rsidRPr="009A1A2E" w:rsidRDefault="00A70A66" w:rsidP="007668AC">
            <w:pPr>
              <w:spacing w:before="100" w:beforeAutospacing="1" w:after="100" w:afterAutospacing="1"/>
              <w:jc w:val="center"/>
              <w:rPr>
                <w:rFonts w:cs="Arial"/>
                <w:sz w:val="20"/>
                <w:szCs w:val="20"/>
                <w:lang w:eastAsia="de-DE"/>
              </w:rPr>
            </w:pPr>
            <w:r w:rsidRPr="009A1A2E">
              <w:rPr>
                <w:rFonts w:cs="Arial"/>
                <w:sz w:val="20"/>
                <w:szCs w:val="20"/>
                <w:lang w:eastAsia="de-DE"/>
              </w:rPr>
              <w:t>0.4%</w:t>
            </w:r>
          </w:p>
        </w:tc>
        <w:tc>
          <w:tcPr>
            <w:tcW w:w="412" w:type="pct"/>
            <w:shd w:val="clear" w:color="auto" w:fill="FFFFFF"/>
            <w:vAlign w:val="center"/>
            <w:hideMark/>
          </w:tcPr>
          <w:p w14:paraId="4C22039C" w14:textId="77777777" w:rsidR="00A70A66" w:rsidRPr="009A1A2E" w:rsidRDefault="00A70A66" w:rsidP="007668AC">
            <w:pPr>
              <w:spacing w:before="100" w:beforeAutospacing="1" w:after="100" w:afterAutospacing="1"/>
              <w:jc w:val="center"/>
              <w:rPr>
                <w:rFonts w:cs="Arial"/>
                <w:sz w:val="20"/>
                <w:szCs w:val="20"/>
                <w:lang w:eastAsia="de-DE"/>
              </w:rPr>
            </w:pPr>
            <w:r w:rsidRPr="009A1A2E">
              <w:rPr>
                <w:rFonts w:cs="Arial"/>
                <w:sz w:val="20"/>
                <w:szCs w:val="20"/>
                <w:lang w:eastAsia="de-DE"/>
              </w:rPr>
              <w:t>22.6%</w:t>
            </w:r>
          </w:p>
        </w:tc>
      </w:tr>
    </w:tbl>
    <w:p w14:paraId="7725D7EB" w14:textId="7F4B9C28" w:rsidR="00A70A66" w:rsidRPr="007F6475" w:rsidRDefault="007668AC" w:rsidP="007668AC">
      <w:pPr>
        <w:tabs>
          <w:tab w:val="left" w:pos="1418"/>
        </w:tabs>
        <w:spacing w:before="100" w:beforeAutospacing="1" w:after="100" w:afterAutospacing="1"/>
        <w:rPr>
          <w:rFonts w:cs="Arial"/>
          <w:iCs/>
          <w:sz w:val="20"/>
          <w:szCs w:val="20"/>
          <w:lang w:val="de-AT" w:eastAsia="de-DE"/>
        </w:rPr>
      </w:pPr>
      <w:r w:rsidRPr="007F6475">
        <w:rPr>
          <w:rFonts w:cs="Arial"/>
          <w:iCs/>
          <w:sz w:val="20"/>
          <w:szCs w:val="20"/>
          <w:lang w:val="de-AT" w:eastAsia="de-DE"/>
        </w:rPr>
        <w:t xml:space="preserve">Source: </w:t>
      </w:r>
      <w:r w:rsidR="00A70A66" w:rsidRPr="007F6475">
        <w:rPr>
          <w:rFonts w:cs="Arial"/>
          <w:iCs/>
          <w:sz w:val="20"/>
          <w:szCs w:val="20"/>
          <w:lang w:val="de-AT" w:eastAsia="de-DE"/>
        </w:rPr>
        <w:t xml:space="preserve">Deutscher Schwerhörigenbund </w:t>
      </w:r>
      <w:hyperlink r:id="rId47" w:tooltip="Das Deutscher Schwerhörigenbund webpage" w:history="1">
        <w:r w:rsidR="00A70A66" w:rsidRPr="007F6475">
          <w:rPr>
            <w:rStyle w:val="Hyperlink"/>
            <w:rFonts w:cs="Arial"/>
            <w:iCs/>
            <w:sz w:val="20"/>
            <w:szCs w:val="20"/>
            <w:lang w:val="de-AT" w:eastAsia="de-DE"/>
          </w:rPr>
          <w:t>www.schwerhoerigen-netz.de</w:t>
        </w:r>
      </w:hyperlink>
      <w:r w:rsidR="00A70A66" w:rsidRPr="007F6475">
        <w:rPr>
          <w:rFonts w:cs="Arial"/>
          <w:iCs/>
          <w:sz w:val="20"/>
          <w:szCs w:val="20"/>
          <w:lang w:val="de-AT" w:eastAsia="de-DE"/>
        </w:rPr>
        <w:t xml:space="preserve"> „Internationale Statistikvergleiche" and </w:t>
      </w:r>
      <w:r w:rsidR="00A70A66" w:rsidRPr="007F6475">
        <w:rPr>
          <w:rFonts w:cs="Arial"/>
          <w:sz w:val="20"/>
          <w:szCs w:val="20"/>
          <w:lang w:val="de-AT"/>
        </w:rPr>
        <w:t xml:space="preserve"> </w:t>
      </w:r>
      <w:hyperlink r:id="rId48" w:tooltip="OSB Internationale Statistikvergleiche webpage" w:history="1">
        <w:r w:rsidR="00A70A66" w:rsidRPr="007F6475">
          <w:rPr>
            <w:rStyle w:val="Hyperlink"/>
            <w:rFonts w:cs="Arial"/>
            <w:sz w:val="20"/>
            <w:szCs w:val="20"/>
            <w:lang w:val="de-AT"/>
          </w:rPr>
          <w:t>http://www.oesb-dachverband.at/schwerhoerigkeit/statistik/</w:t>
        </w:r>
      </w:hyperlink>
      <w:r w:rsidR="00A70A66" w:rsidRPr="007F6475">
        <w:rPr>
          <w:rFonts w:cs="Arial"/>
          <w:iCs/>
          <w:sz w:val="20"/>
          <w:szCs w:val="20"/>
          <w:lang w:val="de-AT" w:eastAsia="de-DE"/>
        </w:rPr>
        <w:t>"</w:t>
      </w:r>
    </w:p>
    <w:p w14:paraId="01D9374E" w14:textId="77777777" w:rsidR="00A70A66" w:rsidRPr="007F6475" w:rsidRDefault="00A70A66" w:rsidP="00757DDD">
      <w:pPr>
        <w:pStyle w:val="Textbody"/>
        <w:rPr>
          <w:lang w:val="de-AT"/>
        </w:rPr>
      </w:pPr>
    </w:p>
    <w:p w14:paraId="052B523A" w14:textId="77777777" w:rsidR="00A70A66" w:rsidRPr="009A1A2E" w:rsidRDefault="00A70A66" w:rsidP="00757DDD">
      <w:pPr>
        <w:pStyle w:val="Textbody"/>
        <w:rPr>
          <w:lang w:val="en-AU"/>
        </w:rPr>
      </w:pPr>
      <w:r w:rsidRPr="009A1A2E">
        <w:rPr>
          <w:lang w:val="en-AU"/>
        </w:rPr>
        <w:t xml:space="preserve">Surveys also reveal that hearing loss is increasing among children and adolescents. According to the data of the U.S. National Health and Nutrition Examination Survey, the prevalence of hearing loss among adolescents aged 12-19 years increased from 14.9% to 19.5% between 1994 and 2006, representing an increase of 31% </w:t>
      </w:r>
      <w:r w:rsidR="00F120E9" w:rsidRPr="009A1A2E">
        <w:rPr>
          <w:lang w:val="en-AU"/>
        </w:rPr>
        <w:fldChar w:fldCharType="begin">
          <w:fldData xml:space="preserve">PFJlZm1hbj48Q2l0ZT48QXV0aG9yPkthaHVlPC9BdXRob3I+PFllYXI+MjAxNDwvWWVhcj48UmVj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</w:fldData>
        </w:fldChar>
      </w:r>
      <w:r w:rsidR="00D85D29">
        <w:rPr>
          <w:lang w:val="en-AU"/>
        </w:rPr>
        <w:instrText xml:space="preserve"> ADDIN REFMGR.CITE </w:instrText>
      </w:r>
      <w:r w:rsidR="00D85D29">
        <w:rPr>
          <w:lang w:val="en-AU"/>
        </w:rPr>
        <w:fldChar w:fldCharType="begin">
          <w:fldData xml:space="preserve">PFJlZm1hbj48Q2l0ZT48QXV0aG9yPkthaHVlPC9BdXRob3I+PFllYXI+MjAxNDwvWWVhcj48UmVj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</w:fldData>
        </w:fldChar>
      </w:r>
      <w:r w:rsidR="00D85D29">
        <w:rPr>
          <w:lang w:val="en-AU"/>
        </w:rPr>
        <w:instrText xml:space="preserve"> ADDIN EN.CITE.DATA </w:instrText>
      </w:r>
      <w:r w:rsidR="00D85D29">
        <w:rPr>
          <w:lang w:val="en-AU"/>
        </w:rPr>
      </w:r>
      <w:r w:rsidR="00D85D29">
        <w:rPr>
          <w:lang w:val="en-AU"/>
        </w:rPr>
        <w:fldChar w:fldCharType="end"/>
      </w:r>
      <w:r w:rsidR="00F120E9" w:rsidRPr="009A1A2E">
        <w:rPr>
          <w:lang w:val="en-AU"/>
        </w:rPr>
      </w:r>
      <w:r w:rsidR="00F120E9" w:rsidRPr="009A1A2E">
        <w:rPr>
          <w:lang w:val="en-AU"/>
        </w:rPr>
        <w:fldChar w:fldCharType="separate"/>
      </w:r>
      <w:r w:rsidR="007D14DA" w:rsidRPr="009A1A2E">
        <w:rPr>
          <w:noProof/>
          <w:lang w:val="en-AU"/>
        </w:rPr>
        <w:t>(Kahue et al., 2014;Shargorodsky et al., 2010)</w:t>
      </w:r>
      <w:r w:rsidR="00F120E9" w:rsidRPr="009A1A2E">
        <w:rPr>
          <w:lang w:val="en-AU"/>
        </w:rPr>
        <w:fldChar w:fldCharType="end"/>
      </w:r>
      <w:r w:rsidR="00C92136" w:rsidRPr="009A1A2E">
        <w:rPr>
          <w:lang w:val="en-AU"/>
        </w:rPr>
        <w:t>.</w:t>
      </w:r>
    </w:p>
    <w:p w14:paraId="69FE38F6" w14:textId="77777777" w:rsidR="00757DDD" w:rsidRPr="009A1A2E" w:rsidRDefault="00757DDD" w:rsidP="00757DDD">
      <w:pPr>
        <w:pStyle w:val="Textbody"/>
        <w:rPr>
          <w:lang w:val="en-AU"/>
        </w:rPr>
      </w:pPr>
    </w:p>
    <w:p w14:paraId="58DC278C" w14:textId="77777777" w:rsidR="00A70A66" w:rsidRPr="009A1A2E" w:rsidRDefault="00A70A66" w:rsidP="00757DDD">
      <w:pPr>
        <w:pStyle w:val="Textbody"/>
        <w:rPr>
          <w:b/>
          <w:u w:val="single"/>
          <w:lang w:val="en-AU"/>
        </w:rPr>
      </w:pPr>
      <w:r w:rsidRPr="009A1A2E">
        <w:rPr>
          <w:b/>
          <w:u w:val="single"/>
          <w:lang w:val="en-AU"/>
        </w:rPr>
        <w:t>Hearing loss and its consequences</w:t>
      </w:r>
    </w:p>
    <w:p w14:paraId="10E60FE3" w14:textId="77777777" w:rsidR="00A70A66" w:rsidRPr="009A1A2E" w:rsidRDefault="00A70A66" w:rsidP="00757DDD">
      <w:pPr>
        <w:pStyle w:val="Textbody"/>
        <w:rPr>
          <w:lang w:val="en-AU"/>
        </w:rPr>
      </w:pPr>
      <w:r w:rsidRPr="009A1A2E">
        <w:rPr>
          <w:lang w:val="en-AU"/>
        </w:rPr>
        <w:t xml:space="preserve">Hearing loss may be caused by interference with the transmission of sound from the outer to the inner ear (conductive hearing loss), damage within the inner ear or to the </w:t>
      </w:r>
      <w:r w:rsidR="00944F5B" w:rsidRPr="009A1A2E">
        <w:rPr>
          <w:lang w:val="en-AU"/>
        </w:rPr>
        <w:t>aud</w:t>
      </w:r>
      <w:r w:rsidRPr="009A1A2E">
        <w:rPr>
          <w:lang w:val="en-AU"/>
        </w:rPr>
        <w:t xml:space="preserve">itory nerve or </w:t>
      </w:r>
      <w:r w:rsidR="00944F5B" w:rsidRPr="009A1A2E">
        <w:rPr>
          <w:lang w:val="en-AU"/>
        </w:rPr>
        <w:t>aud</w:t>
      </w:r>
      <w:r w:rsidRPr="009A1A2E">
        <w:rPr>
          <w:lang w:val="en-AU"/>
        </w:rPr>
        <w:t>itory centres in the brain (sensorineural hearing loss). In some cases, hearing loss may be the result of both sensorineural and conductive hearing loss and is then referred to as mixed hearing loss.</w:t>
      </w:r>
    </w:p>
    <w:p w14:paraId="64FC2BC3" w14:textId="77777777" w:rsidR="00A70A66" w:rsidRPr="009A1A2E" w:rsidRDefault="00A70A66" w:rsidP="00757DDD">
      <w:pPr>
        <w:pStyle w:val="Textbody"/>
        <w:rPr>
          <w:lang w:val="en-AU"/>
        </w:rPr>
      </w:pPr>
      <w:r w:rsidRPr="009A1A2E">
        <w:rPr>
          <w:lang w:val="en-AU"/>
        </w:rPr>
        <w:t xml:space="preserve">Sensorineural hearing loss is the most common type of hearing loss and its most common form is aged-related hearing loss, or presbycusis. This progressive condition is caused by the loss of function of hair cells in the inner ear, a gradual process that ultimately leads to deafness. Hearing loss in adults may also be caused by excessive exposure to noise or ototoxic drugs, metabolic disorders, infections or genetic factors. </w:t>
      </w:r>
    </w:p>
    <w:p w14:paraId="3927CFCD" w14:textId="77777777" w:rsidR="00A70A66" w:rsidRPr="009A1A2E" w:rsidRDefault="00A70A66" w:rsidP="00757DDD">
      <w:pPr>
        <w:pStyle w:val="Textbody"/>
        <w:rPr>
          <w:lang w:val="en-AU"/>
        </w:rPr>
      </w:pPr>
      <w:r w:rsidRPr="009A1A2E">
        <w:rPr>
          <w:lang w:val="en-AU"/>
        </w:rPr>
        <w:t>Partial hearing loss is the term used to describe types of hearing loss that are mild to severe, thus permitting the person with hearing loss to hear some sounds. In general partial hearing loss affects high-frequency hearing more than low-frequency hearing.</w:t>
      </w:r>
    </w:p>
    <w:p w14:paraId="475BBDE5" w14:textId="77777777" w:rsidR="00A70A66" w:rsidRPr="009A1A2E" w:rsidRDefault="00A70A66" w:rsidP="00CC5316">
      <w:pPr>
        <w:pStyle w:val="Textbody"/>
        <w:rPr>
          <w:lang w:val="en-AU"/>
        </w:rPr>
      </w:pPr>
      <w:r w:rsidRPr="009A1A2E">
        <w:rPr>
          <w:lang w:val="en-AU"/>
        </w:rPr>
        <w:t xml:space="preserve">In children, hearing loss may have a genetic aetiology or have prenatal, perinatal or postnatal causes. The latter include conditions such as meningitis and viral infection of the </w:t>
      </w:r>
      <w:r w:rsidRPr="009A1A2E">
        <w:rPr>
          <w:lang w:val="en-AU"/>
        </w:rPr>
        <w:lastRenderedPageBreak/>
        <w:t>inner ear (for example, rubella or measles), as well as premature birth and congenital infections. Deafness that occurs before the development of language is described as prelingual, whereas deafness that occurs after the development of langua</w:t>
      </w:r>
      <w:r w:rsidR="00A52ABF">
        <w:rPr>
          <w:lang w:val="en-AU"/>
        </w:rPr>
        <w:t>ge is described as postlingual.</w:t>
      </w:r>
    </w:p>
    <w:p w14:paraId="2590CC8A" w14:textId="77777777" w:rsidR="00A70A66" w:rsidRPr="009A1A2E" w:rsidRDefault="00A70A66" w:rsidP="00CC5316">
      <w:pPr>
        <w:pStyle w:val="Textbody"/>
        <w:rPr>
          <w:lang w:val="en-AU"/>
        </w:rPr>
      </w:pPr>
      <w:r w:rsidRPr="009A1A2E">
        <w:rPr>
          <w:lang w:val="en-AU"/>
        </w:rPr>
        <w:t xml:space="preserve">Studies of age-specific differences in speech-recognition performance in noise indicate that there are significant age-related deficits related </w:t>
      </w:r>
      <w:r w:rsidR="00612CA7" w:rsidRPr="009A1A2E">
        <w:rPr>
          <w:lang w:val="en-AU"/>
        </w:rPr>
        <w:t xml:space="preserve">to high frequency hearing loss </w:t>
      </w:r>
      <w:r w:rsidR="00D46B72" w:rsidRPr="009A1A2E">
        <w:rPr>
          <w:lang w:val="en-AU"/>
        </w:rPr>
        <w:fldChar w:fldCharType="begin"/>
      </w:r>
      <w:r w:rsidR="00D85D29">
        <w:rPr>
          <w:lang w:val="en-AU"/>
        </w:rPr>
        <w:instrText xml:space="preserve"> ADDIN REFMGR.CITE &lt;Refman&gt;&lt;Cite&gt;&lt;Author&gt;Dubno&lt;/Author&gt;&lt;Year&gt;1984&lt;/Year&gt;&lt;RecNum&gt;1&lt;/RecNum&gt;&lt;IDText&gt;Effects of age and mild hearing loss on speech recognition in noise&lt;/IDText&gt;&lt;MDL Ref_Type="Journal"&gt;&lt;Ref_Type&gt;Journal&lt;/Ref_Type&gt;&lt;Ref_ID&gt;1&lt;/Ref_ID&gt;&lt;Title_Primary&gt;Effects of age and mild hearing loss on speech recognition in noise&lt;/Title_Primary&gt;&lt;Authors_Primary&gt;Dubno,J.R.&lt;/Authors_Primary&gt;&lt;Authors_Primary&gt;Dirks,D.D.&lt;/Authors_Primary&gt;&lt;Authors_Primary&gt;Morgan,D.E.&lt;/Authors_Primary&gt;&lt;Date_Primary&gt;1984/7&lt;/Date_Primary&gt;&lt;Keywords&gt;Adult&lt;/Keywords&gt;&lt;Keywords&gt;Age Factors&lt;/Keywords&gt;&lt;Keywords&gt;Aged&lt;/Keywords&gt;&lt;Keywords&gt;Auditory Threshold&lt;/Keywords&gt;&lt;Keywords&gt;Hearing Loss,Sensorineural&lt;/Keywords&gt;&lt;Keywords&gt;diagnosis&lt;/Keywords&gt;&lt;Keywords&gt;psychology&lt;/Keywords&gt;&lt;Keywords&gt;Humans&lt;/Keywords&gt;&lt;Keywords&gt;Middle Aged&lt;/Keywords&gt;&lt;Keywords&gt;Noise&lt;/Keywords&gt;&lt;Keywords&gt;Perceptual Masking&lt;/Keywords&gt;&lt;Keywords&gt;Psychoacoustics&lt;/Keywords&gt;&lt;Keywords&gt;Speech Perception&lt;/Keywords&gt;&lt;Reprint&gt;Not in File&lt;/Reprint&gt;&lt;Start_Page&gt;87&lt;/Start_Page&gt;&lt;End_Page&gt;96&lt;/End_Page&gt;&lt;Periodical&gt;J.Acoust.Soc.Am.&lt;/Periodical&gt;&lt;Volume&gt;76&lt;/Volume&gt;&lt;Issue&gt;1&lt;/Issue&gt;&lt;Web_URL&gt;PM:6747116&lt;/Web_URL&gt;&lt;ZZ_JournalStdAbbrev&gt;&lt;f name="System"&gt;J.Acoust.Soc.Am.&lt;/f&gt;&lt;/ZZ_JournalStdAbbrev&gt;&lt;ZZ_WorkformID&gt;1&lt;/ZZ_WorkformID&gt;&lt;/MDL&gt;&lt;/Cite&gt;&lt;/Refman&gt;</w:instrText>
      </w:r>
      <w:r w:rsidR="00D46B72" w:rsidRPr="009A1A2E">
        <w:rPr>
          <w:lang w:val="en-AU"/>
        </w:rPr>
        <w:fldChar w:fldCharType="separate"/>
      </w:r>
      <w:r w:rsidR="00D46B72" w:rsidRPr="009A1A2E">
        <w:rPr>
          <w:noProof/>
          <w:lang w:val="en-AU"/>
        </w:rPr>
        <w:t>(Dubno et al., 1984)</w:t>
      </w:r>
      <w:r w:rsidR="00D46B72" w:rsidRPr="009A1A2E">
        <w:rPr>
          <w:lang w:val="en-AU"/>
        </w:rPr>
        <w:fldChar w:fldCharType="end"/>
      </w:r>
      <w:r w:rsidRPr="009A1A2E">
        <w:rPr>
          <w:lang w:val="en-AU"/>
        </w:rPr>
        <w:t>. The Beaver Dam Epidemiology of Hearing Loss Study shows significant age effects in word recognition scores in competing messages for both men and women, with performance consistently poorer in men than in women at all age gro</w:t>
      </w:r>
      <w:r w:rsidR="00612CA7" w:rsidRPr="009A1A2E">
        <w:rPr>
          <w:lang w:val="en-AU"/>
        </w:rPr>
        <w:t>ups and hearing loss categories</w:t>
      </w:r>
      <w:r w:rsidRPr="009A1A2E">
        <w:rPr>
          <w:lang w:val="en-AU"/>
        </w:rPr>
        <w:t xml:space="preserve"> </w:t>
      </w:r>
      <w:r w:rsidR="00CC5316" w:rsidRPr="009A1A2E">
        <w:rPr>
          <w:lang w:val="en-AU"/>
        </w:rPr>
        <w:fldChar w:fldCharType="begin">
          <w:fldData xml:space="preserve">PFJlZm1hbj48Q2l0ZT48QXV0aG9yPkNydWlja3NoYW5rczwvQXV0aG9yPjxZZWFyPjE5OTg8L1ll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</w:fldData>
        </w:fldChar>
      </w:r>
      <w:r w:rsidR="00D85D29">
        <w:rPr>
          <w:lang w:val="en-AU"/>
        </w:rPr>
        <w:instrText xml:space="preserve"> ADDIN REFMGR.CITE </w:instrText>
      </w:r>
      <w:r w:rsidR="00D85D29">
        <w:rPr>
          <w:lang w:val="en-AU"/>
        </w:rPr>
        <w:fldChar w:fldCharType="begin">
          <w:fldData xml:space="preserve">PFJlZm1hbj48Q2l0ZT48QXV0aG9yPkNydWlja3NoYW5rczwvQXV0aG9yPjxZZWFyPjE5OTg8L1ll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</w:fldData>
        </w:fldChar>
      </w:r>
      <w:r w:rsidR="00D85D29">
        <w:rPr>
          <w:lang w:val="en-AU"/>
        </w:rPr>
        <w:instrText xml:space="preserve"> ADDIN EN.CITE.DATA </w:instrText>
      </w:r>
      <w:r w:rsidR="00D85D29">
        <w:rPr>
          <w:lang w:val="en-AU"/>
        </w:rPr>
      </w:r>
      <w:r w:rsidR="00D85D29">
        <w:rPr>
          <w:lang w:val="en-AU"/>
        </w:rPr>
        <w:fldChar w:fldCharType="end"/>
      </w:r>
      <w:r w:rsidR="00CC5316" w:rsidRPr="009A1A2E">
        <w:rPr>
          <w:lang w:val="en-AU"/>
        </w:rPr>
      </w:r>
      <w:r w:rsidR="00CC5316" w:rsidRPr="009A1A2E">
        <w:rPr>
          <w:lang w:val="en-AU"/>
        </w:rPr>
        <w:fldChar w:fldCharType="separate"/>
      </w:r>
      <w:r w:rsidR="00CC5316" w:rsidRPr="009A1A2E">
        <w:rPr>
          <w:noProof/>
          <w:lang w:val="en-AU"/>
        </w:rPr>
        <w:t>(Cruickshanks et al., 1998)</w:t>
      </w:r>
      <w:r w:rsidR="00CC5316" w:rsidRPr="009A1A2E">
        <w:rPr>
          <w:lang w:val="en-AU"/>
        </w:rPr>
        <w:fldChar w:fldCharType="end"/>
      </w:r>
      <w:r w:rsidR="00CC5316" w:rsidRPr="009A1A2E">
        <w:rPr>
          <w:lang w:val="en-AU"/>
        </w:rPr>
        <w:t>.</w:t>
      </w:r>
    </w:p>
    <w:p w14:paraId="3F039583" w14:textId="77777777" w:rsidR="00A70A66" w:rsidRPr="009A1A2E" w:rsidRDefault="00A70A66" w:rsidP="00CC5316">
      <w:pPr>
        <w:pStyle w:val="Textbody"/>
        <w:rPr>
          <w:lang w:val="en-AU"/>
        </w:rPr>
      </w:pPr>
      <w:r w:rsidRPr="009A1A2E">
        <w:rPr>
          <w:lang w:val="en-AU"/>
        </w:rPr>
        <w:t xml:space="preserve">In children, even mild hearing loss can impair speech and language development, have negative effects on academic achievement and impair social and emotional development </w:t>
      </w:r>
      <w:r w:rsidR="00CC5316" w:rsidRPr="009A1A2E">
        <w:rPr>
          <w:lang w:val="en-AU"/>
        </w:rPr>
        <w:fldChar w:fldCharType="begin">
          <w:fldData xml:space="preserve">PFJlZm1hbj48Q2l0ZT48QXV0aG9yPkJvcmc8L0F1dGhvcj48WWVhcj4yMDA3PC9ZZWFyPjxSZWNO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==
</w:fldData>
        </w:fldChar>
      </w:r>
      <w:r w:rsidR="00D85D29">
        <w:rPr>
          <w:lang w:val="en-AU"/>
        </w:rPr>
        <w:instrText xml:space="preserve"> ADDIN REFMGR.CITE </w:instrText>
      </w:r>
      <w:r w:rsidR="00D85D29">
        <w:rPr>
          <w:lang w:val="en-AU"/>
        </w:rPr>
        <w:fldChar w:fldCharType="begin">
          <w:fldData xml:space="preserve">PFJlZm1hbj48Q2l0ZT48QXV0aG9yPkJvcmc8L0F1dGhvcj48WWVhcj4yMDA3PC9ZZWFyPjxSZWNO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==
</w:fldData>
        </w:fldChar>
      </w:r>
      <w:r w:rsidR="00D85D29">
        <w:rPr>
          <w:lang w:val="en-AU"/>
        </w:rPr>
        <w:instrText xml:space="preserve"> ADDIN EN.CITE.DATA </w:instrText>
      </w:r>
      <w:r w:rsidR="00D85D29">
        <w:rPr>
          <w:lang w:val="en-AU"/>
        </w:rPr>
      </w:r>
      <w:r w:rsidR="00D85D29">
        <w:rPr>
          <w:lang w:val="en-AU"/>
        </w:rPr>
        <w:fldChar w:fldCharType="end"/>
      </w:r>
      <w:r w:rsidR="00CC5316" w:rsidRPr="009A1A2E">
        <w:rPr>
          <w:lang w:val="en-AU"/>
        </w:rPr>
      </w:r>
      <w:r w:rsidR="00CC5316" w:rsidRPr="009A1A2E">
        <w:rPr>
          <w:lang w:val="en-AU"/>
        </w:rPr>
        <w:fldChar w:fldCharType="separate"/>
      </w:r>
      <w:r w:rsidR="00CC5316" w:rsidRPr="009A1A2E">
        <w:rPr>
          <w:noProof/>
          <w:lang w:val="en-AU"/>
        </w:rPr>
        <w:t>(Borg et al., 2007;Moeller et al., 2007;Stevenson et al., 2010)</w:t>
      </w:r>
      <w:r w:rsidR="00CC5316" w:rsidRPr="009A1A2E">
        <w:rPr>
          <w:lang w:val="en-AU"/>
        </w:rPr>
        <w:fldChar w:fldCharType="end"/>
      </w:r>
      <w:r w:rsidRPr="009A1A2E">
        <w:rPr>
          <w:lang w:val="en-AU"/>
        </w:rPr>
        <w:t>. In addition to the immediate effects on the ability to hear and understand speech, age-related hearing loss and partial hearing loss can have grave consequences for mental healt</w:t>
      </w:r>
      <w:r w:rsidR="00394122" w:rsidRPr="009A1A2E">
        <w:rPr>
          <w:lang w:val="en-AU"/>
        </w:rPr>
        <w:t xml:space="preserve">h and overall quality of life. </w:t>
      </w:r>
      <w:r w:rsidRPr="009A1A2E">
        <w:rPr>
          <w:lang w:val="en-AU"/>
        </w:rPr>
        <w:t>However, deafness and hearing loss are not typically associated with increased mortality, and need not be associated with significant morbidity. Furthermore, some people who are deaf identify with a cultural model of deafness that does</w:t>
      </w:r>
      <w:r w:rsidR="0064294F" w:rsidRPr="009A1A2E">
        <w:rPr>
          <w:lang w:val="en-AU"/>
        </w:rPr>
        <w:t xml:space="preserve"> not consider deafness to be an </w:t>
      </w:r>
      <w:r w:rsidRPr="009A1A2E">
        <w:rPr>
          <w:lang w:val="en-AU"/>
        </w:rPr>
        <w:t>impairment. For hearing-impaired individuals who use sign language as their preferred language and grow up as members of the 'Deaf Community', deafness may not have a major impact on quality of life. However, for a child who is born deaf within a hearing family or for a person who becomes deaf and is accustomed to functioning in a hearing environment, deafness usually does have a significant impact on quality of life. In children, deafness typically has significant consequences on linguistic, cognitive, emotional, educational and social development. In adults, the loss of hearing affects the ability to hear environmental noises and to understand speech. This, in turn, can affect the ability to take part in daily activities and engage in the accustomed social and professional networks, thus leading to isolation and, in some cases, psychological problems</w:t>
      </w:r>
      <w:r w:rsidR="00CC5316" w:rsidRPr="009A1A2E">
        <w:rPr>
          <w:lang w:val="en-AU"/>
        </w:rPr>
        <w:t xml:space="preserve"> </w:t>
      </w:r>
      <w:r w:rsidR="00CC5316" w:rsidRPr="009A1A2E">
        <w:rPr>
          <w:lang w:val="en-AU"/>
        </w:rPr>
        <w:fldChar w:fldCharType="begin">
          <w:fldData xml:space="preserve">PFJlZm1hbj48Q2l0ZT48QXV0aG9yPk1laW56ZW4tRGVycjwvQXV0aG9yPjxZZWFyPjIwMTE8L1ll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==
</w:fldData>
        </w:fldChar>
      </w:r>
      <w:r w:rsidR="00D85D29">
        <w:rPr>
          <w:lang w:val="en-AU"/>
        </w:rPr>
        <w:instrText xml:space="preserve"> ADDIN REFMGR.CITE </w:instrText>
      </w:r>
      <w:r w:rsidR="00D85D29">
        <w:rPr>
          <w:lang w:val="en-AU"/>
        </w:rPr>
        <w:fldChar w:fldCharType="begin">
          <w:fldData xml:space="preserve">PFJlZm1hbj48Q2l0ZT48QXV0aG9yPk1laW56ZW4tRGVycjwvQXV0aG9yPjxZZWFyPjIwMTE8L1ll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==
</w:fldData>
        </w:fldChar>
      </w:r>
      <w:r w:rsidR="00D85D29">
        <w:rPr>
          <w:lang w:val="en-AU"/>
        </w:rPr>
        <w:instrText xml:space="preserve"> ADDIN EN.CITE.DATA </w:instrText>
      </w:r>
      <w:r w:rsidR="00D85D29">
        <w:rPr>
          <w:lang w:val="en-AU"/>
        </w:rPr>
      </w:r>
      <w:r w:rsidR="00D85D29">
        <w:rPr>
          <w:lang w:val="en-AU"/>
        </w:rPr>
        <w:fldChar w:fldCharType="end"/>
      </w:r>
      <w:r w:rsidR="00CC5316" w:rsidRPr="009A1A2E">
        <w:rPr>
          <w:lang w:val="en-AU"/>
        </w:rPr>
      </w:r>
      <w:r w:rsidR="00CC5316" w:rsidRPr="009A1A2E">
        <w:rPr>
          <w:lang w:val="en-AU"/>
        </w:rPr>
        <w:fldChar w:fldCharType="separate"/>
      </w:r>
      <w:r w:rsidR="00CC5316" w:rsidRPr="009A1A2E">
        <w:rPr>
          <w:noProof/>
          <w:lang w:val="en-AU"/>
        </w:rPr>
        <w:t>(Meinzen-Derr et al., 2011;Stevenson et al., 2010)</w:t>
      </w:r>
      <w:r w:rsidR="00CC5316" w:rsidRPr="009A1A2E">
        <w:rPr>
          <w:lang w:val="en-AU"/>
        </w:rPr>
        <w:fldChar w:fldCharType="end"/>
      </w:r>
      <w:r w:rsidR="00CC5316" w:rsidRPr="009A1A2E">
        <w:rPr>
          <w:lang w:val="en-AU"/>
        </w:rPr>
        <w:t>.</w:t>
      </w:r>
      <w:r w:rsidRPr="009A1A2E">
        <w:rPr>
          <w:lang w:val="en-AU"/>
        </w:rPr>
        <w:t xml:space="preserve"> In the case of partial hearing loss as described above, patients can "hear" but they typically cannot understand voices when they are in a "difficult" acoustic environment; i.e. an environment in which there is background noise. This often leads to social isolation and may have a number of other negative effects on the quality of life as well as on psychological and physical well-being. </w:t>
      </w:r>
    </w:p>
    <w:p w14:paraId="078B9218" w14:textId="77777777" w:rsidR="00A70A66" w:rsidRPr="009A1A2E" w:rsidRDefault="00A70A66" w:rsidP="00757DDD">
      <w:pPr>
        <w:pStyle w:val="Textbody"/>
        <w:rPr>
          <w:lang w:val="en-AU"/>
        </w:rPr>
      </w:pPr>
      <w:r w:rsidRPr="009A1A2E">
        <w:rPr>
          <w:lang w:val="en-AU"/>
        </w:rPr>
        <w:t xml:space="preserve">A recent study of 496 elderly patients (over 85 years) in Linköping, Sweden found that mental health problems and depression were more likely among patients with hearing loss who didn't use their hearing aids than among those who used hearing aids regularly </w:t>
      </w:r>
      <w:r w:rsidR="00F96D02" w:rsidRPr="009A1A2E">
        <w:rPr>
          <w:lang w:val="en-AU"/>
        </w:rPr>
        <w:fldChar w:fldCharType="begin">
          <w:fldData xml:space="preserve">PFJlZm1hbj48Q2l0ZT48QXV0aG9yPk9iZXJnPC9BdXRob3I+PFllYXI+MjAxMjwvWWVhcj48UmVj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</w:fldData>
        </w:fldChar>
      </w:r>
      <w:r w:rsidR="00D85D29">
        <w:rPr>
          <w:lang w:val="en-AU"/>
        </w:rPr>
        <w:instrText xml:space="preserve"> ADDIN REFMGR.CITE </w:instrText>
      </w:r>
      <w:r w:rsidR="00D85D29">
        <w:rPr>
          <w:lang w:val="en-AU"/>
        </w:rPr>
        <w:fldChar w:fldCharType="begin">
          <w:fldData xml:space="preserve">PFJlZm1hbj48Q2l0ZT48QXV0aG9yPk9iZXJnPC9BdXRob3I+PFllYXI+MjAxMjwvWWVhcj48UmVj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</w:fldData>
        </w:fldChar>
      </w:r>
      <w:r w:rsidR="00D85D29">
        <w:rPr>
          <w:lang w:val="en-AU"/>
        </w:rPr>
        <w:instrText xml:space="preserve"> ADDIN EN.CITE.DATA </w:instrText>
      </w:r>
      <w:r w:rsidR="00D85D29">
        <w:rPr>
          <w:lang w:val="en-AU"/>
        </w:rPr>
      </w:r>
      <w:r w:rsidR="00D85D29">
        <w:rPr>
          <w:lang w:val="en-AU"/>
        </w:rPr>
        <w:fldChar w:fldCharType="end"/>
      </w:r>
      <w:r w:rsidR="00F96D02" w:rsidRPr="009A1A2E">
        <w:rPr>
          <w:lang w:val="en-AU"/>
        </w:rPr>
      </w:r>
      <w:r w:rsidR="00F96D02" w:rsidRPr="009A1A2E">
        <w:rPr>
          <w:lang w:val="en-AU"/>
        </w:rPr>
        <w:fldChar w:fldCharType="separate"/>
      </w:r>
      <w:r w:rsidR="00F96D02" w:rsidRPr="009A1A2E">
        <w:rPr>
          <w:noProof/>
          <w:lang w:val="en-AU"/>
        </w:rPr>
        <w:t>(Oberg et al., 2012)</w:t>
      </w:r>
      <w:r w:rsidR="00F96D02" w:rsidRPr="009A1A2E">
        <w:rPr>
          <w:lang w:val="en-AU"/>
        </w:rPr>
        <w:fldChar w:fldCharType="end"/>
      </w:r>
      <w:r w:rsidRPr="009A1A2E">
        <w:rPr>
          <w:lang w:val="en-AU"/>
        </w:rPr>
        <w:t xml:space="preserve">. In a representative cohort study of 604 patients in the 60- to 69-year-old age </w:t>
      </w:r>
      <w:r w:rsidRPr="009A1A2E">
        <w:rPr>
          <w:lang w:val="en-AU"/>
        </w:rPr>
        <w:lastRenderedPageBreak/>
        <w:t xml:space="preserve">group of non-institutionalized subjects who underwent both </w:t>
      </w:r>
      <w:r w:rsidR="00757DDD" w:rsidRPr="009A1A2E">
        <w:rPr>
          <w:lang w:val="en-AU"/>
        </w:rPr>
        <w:t>aud</w:t>
      </w:r>
      <w:r w:rsidR="00612CA7" w:rsidRPr="009A1A2E">
        <w:rPr>
          <w:lang w:val="en-AU"/>
        </w:rPr>
        <w:t>iometric and cognitive tests, Lin</w:t>
      </w:r>
      <w:r w:rsidR="00CC5316" w:rsidRPr="009A1A2E">
        <w:rPr>
          <w:lang w:val="en-AU"/>
        </w:rPr>
        <w:t xml:space="preserve"> </w:t>
      </w:r>
      <w:r w:rsidR="00CC5316" w:rsidRPr="009A1A2E">
        <w:rPr>
          <w:lang w:val="en-AU"/>
        </w:rPr>
        <w:fldChar w:fldCharType="begin"/>
      </w:r>
      <w:r w:rsidR="00D85D29">
        <w:rPr>
          <w:lang w:val="en-AU"/>
        </w:rPr>
        <w:instrText xml:space="preserve"> ADDIN REFMGR.CITE &lt;Refman&gt;&lt;Cite&gt;&lt;Author&gt;Lin&lt;/Author&gt;&lt;Year&gt;2011&lt;/Year&gt;&lt;RecNum&gt;662&lt;/RecNum&gt;&lt;IDText&gt;Hearing loss prevalence in the United States&lt;/IDText&gt;&lt;MDL Ref_Type="Journal"&gt;&lt;Ref_Type&gt;Journal&lt;/Ref_Type&gt;&lt;Ref_ID&gt;662&lt;/Ref_ID&gt;&lt;Title_Primary&gt;Hearing loss prevalence in the United States&lt;/Title_Primary&gt;&lt;Authors_Primary&gt;Lin,F.R.&lt;/Authors_Primary&gt;&lt;Authors_Primary&gt;Niparko,J.K.&lt;/Authors_Primary&gt;&lt;Authors_Primary&gt;Ferrucci,L.&lt;/Authors_Primary&gt;&lt;Date_Primary&gt;2011/11/14&lt;/Date_Primary&gt;&lt;Keywords&gt;Adolescent&lt;/Keywords&gt;&lt;Keywords&gt;Adult&lt;/Keywords&gt;&lt;Keywords&gt;Aged&lt;/Keywords&gt;&lt;Keywords&gt;Audiometry&lt;/Keywords&gt;&lt;Keywords&gt;Child&lt;/Keywords&gt;&lt;Keywords&gt;Communication Disorders&lt;/Keywords&gt;&lt;Keywords&gt;complications&lt;/Keywords&gt;&lt;Keywords&gt;diagnosis&lt;/Keywords&gt;&lt;Keywords&gt;epidemiology&lt;/Keywords&gt;&lt;Keywords&gt;Ethnic Groups&lt;/Keywords&gt;&lt;Keywords&gt;etiology&lt;/Keywords&gt;&lt;Keywords&gt;Female&lt;/Keywords&gt;&lt;Keywords&gt;Health Surveys&lt;/Keywords&gt;&lt;Keywords&gt;Hearing&lt;/Keywords&gt;&lt;Keywords&gt;Hearing Loss&lt;/Keywords&gt;&lt;Keywords&gt;Humans&lt;/Keywords&gt;&lt;Keywords&gt;Male&lt;/Keywords&gt;&lt;Keywords&gt;Middle Aged&lt;/Keywords&gt;&lt;Keywords&gt;Prevalence&lt;/Keywords&gt;&lt;Keywords&gt;Severity of Illness Index&lt;/Keywords&gt;&lt;Keywords&gt;statistics &amp;amp; numerical data&lt;/Keywords&gt;&lt;Keywords&gt;United States&lt;/Keywords&gt;&lt;Reprint&gt;Not in File&lt;/Reprint&gt;&lt;Start_Page&gt;1851&lt;/Start_Page&gt;&lt;End_Page&gt;1852&lt;/End_Page&gt;&lt;Periodical&gt;Arch.Intern.Med.&lt;/Periodical&gt;&lt;Volume&gt;171&lt;/Volume&gt;&lt;Issue&gt;20&lt;/Issue&gt;&lt;User_Def_5&gt;PMC3564588&lt;/User_Def_5&gt;&lt;Misc_3&gt;171/20/1851 [pii];10.1001/archinternmed.2011.506 [doi]&lt;/Misc_3&gt;&lt;Web_URL&gt;PM:22083573&lt;/Web_URL&gt;&lt;ZZ_JournalFull&gt;&lt;f name="System"&gt;Arch.Intern.Med.&lt;/f&gt;&lt;/ZZ_JournalFull&gt;&lt;ZZ_WorkformID&gt;1&lt;/ZZ_WorkformID&gt;&lt;/MDL&gt;&lt;/Cite&gt;&lt;/Refman&gt;</w:instrText>
      </w:r>
      <w:r w:rsidR="00CC5316" w:rsidRPr="009A1A2E">
        <w:rPr>
          <w:lang w:val="en-AU"/>
        </w:rPr>
        <w:fldChar w:fldCharType="separate"/>
      </w:r>
      <w:r w:rsidR="00CC5316" w:rsidRPr="009A1A2E">
        <w:rPr>
          <w:noProof/>
          <w:lang w:val="en-AU"/>
        </w:rPr>
        <w:t>(Lin et al., 2011)</w:t>
      </w:r>
      <w:r w:rsidR="00CC5316" w:rsidRPr="009A1A2E">
        <w:rPr>
          <w:lang w:val="en-AU"/>
        </w:rPr>
        <w:fldChar w:fldCharType="end"/>
      </w:r>
      <w:r w:rsidRPr="009A1A2E">
        <w:rPr>
          <w:lang w:val="en-AU"/>
        </w:rPr>
        <w:t xml:space="preserve"> found that greater hearing loss is associated with poorer cognitive functioning: a 25 dB increase in hearing loss is associated with a reduction in cognitive performance of 7 years. In a larger prospective study of a cohort of 1985 elderly patients (mean age = 77.8 years), hearing loss was found to be independently associated with accelerated cognitive de</w:t>
      </w:r>
      <w:r w:rsidR="00612CA7" w:rsidRPr="009A1A2E">
        <w:rPr>
          <w:lang w:val="en-AU"/>
        </w:rPr>
        <w:t>cline and cognitive impairment</w:t>
      </w:r>
      <w:r w:rsidR="00CC5316" w:rsidRPr="009A1A2E">
        <w:rPr>
          <w:lang w:val="en-AU"/>
        </w:rPr>
        <w:t xml:space="preserve"> </w:t>
      </w:r>
      <w:r w:rsidR="00CC5316" w:rsidRPr="009A1A2E">
        <w:rPr>
          <w:lang w:val="en-AU"/>
        </w:rPr>
        <w:fldChar w:fldCharType="begin"/>
      </w:r>
      <w:r w:rsidR="00D85D29">
        <w:rPr>
          <w:lang w:val="en-AU"/>
        </w:rPr>
        <w:instrText xml:space="preserve"> ADDIN REFMGR.CITE &lt;Refman&gt;&lt;Cite&gt;&lt;Author&gt;Lin&lt;/Author&gt;&lt;Year&gt;2011&lt;/Year&gt;&lt;RecNum&gt;662&lt;/RecNum&gt;&lt;IDText&gt;Hearing loss prevalence in the United States&lt;/IDText&gt;&lt;MDL Ref_Type="Journal"&gt;&lt;Ref_Type&gt;Journal&lt;/Ref_Type&gt;&lt;Ref_ID&gt;662&lt;/Ref_ID&gt;&lt;Title_Primary&gt;Hearing loss prevalence in the United States&lt;/Title_Primary&gt;&lt;Authors_Primary&gt;Lin,F.R.&lt;/Authors_Primary&gt;&lt;Authors_Primary&gt;Niparko,J.K.&lt;/Authors_Primary&gt;&lt;Authors_Primary&gt;Ferrucci,L.&lt;/Authors_Primary&gt;&lt;Date_Primary&gt;2011/11/14&lt;/Date_Primary&gt;&lt;Keywords&gt;Adolescent&lt;/Keywords&gt;&lt;Keywords&gt;Adult&lt;/Keywords&gt;&lt;Keywords&gt;Aged&lt;/Keywords&gt;&lt;Keywords&gt;Audiometry&lt;/Keywords&gt;&lt;Keywords&gt;Child&lt;/Keywords&gt;&lt;Keywords&gt;Communication Disorders&lt;/Keywords&gt;&lt;Keywords&gt;complications&lt;/Keywords&gt;&lt;Keywords&gt;diagnosis&lt;/Keywords&gt;&lt;Keywords&gt;epidemiology&lt;/Keywords&gt;&lt;Keywords&gt;Ethnic Groups&lt;/Keywords&gt;&lt;Keywords&gt;etiology&lt;/Keywords&gt;&lt;Keywords&gt;Female&lt;/Keywords&gt;&lt;Keywords&gt;Health Surveys&lt;/Keywords&gt;&lt;Keywords&gt;Hearing&lt;/Keywords&gt;&lt;Keywords&gt;Hearing Loss&lt;/Keywords&gt;&lt;Keywords&gt;Humans&lt;/Keywords&gt;&lt;Keywords&gt;Male&lt;/Keywords&gt;&lt;Keywords&gt;Middle Aged&lt;/Keywords&gt;&lt;Keywords&gt;Prevalence&lt;/Keywords&gt;&lt;Keywords&gt;Severity of Illness Index&lt;/Keywords&gt;&lt;Keywords&gt;statistics &amp;amp; numerical data&lt;/Keywords&gt;&lt;Keywords&gt;United States&lt;/Keywords&gt;&lt;Reprint&gt;Not in File&lt;/Reprint&gt;&lt;Start_Page&gt;1851&lt;/Start_Page&gt;&lt;End_Page&gt;1852&lt;/End_Page&gt;&lt;Periodical&gt;Arch.Intern.Med.&lt;/Periodical&gt;&lt;Volume&gt;171&lt;/Volume&gt;&lt;Issue&gt;20&lt;/Issue&gt;&lt;User_Def_5&gt;PMC3564588&lt;/User_Def_5&gt;&lt;Misc_3&gt;171/20/1851 [pii];10.1001/archinternmed.2011.506 [doi]&lt;/Misc_3&gt;&lt;Web_URL&gt;PM:22083573&lt;/Web_URL&gt;&lt;ZZ_JournalFull&gt;&lt;f name="System"&gt;Arch.Intern.Med.&lt;/f&gt;&lt;/ZZ_JournalFull&gt;&lt;ZZ_WorkformID&gt;1&lt;/ZZ_WorkformID&gt;&lt;/MDL&gt;&lt;/Cite&gt;&lt;/Refman&gt;</w:instrText>
      </w:r>
      <w:r w:rsidR="00CC5316" w:rsidRPr="009A1A2E">
        <w:rPr>
          <w:lang w:val="en-AU"/>
        </w:rPr>
        <w:fldChar w:fldCharType="separate"/>
      </w:r>
      <w:r w:rsidR="00CC5316" w:rsidRPr="009A1A2E">
        <w:rPr>
          <w:noProof/>
          <w:lang w:val="en-AU"/>
        </w:rPr>
        <w:t>(Lin et al., 2011)</w:t>
      </w:r>
      <w:r w:rsidR="00CC5316" w:rsidRPr="009A1A2E">
        <w:rPr>
          <w:lang w:val="en-AU"/>
        </w:rPr>
        <w:fldChar w:fldCharType="end"/>
      </w:r>
      <w:r w:rsidRPr="009A1A2E">
        <w:rPr>
          <w:lang w:val="en-AU"/>
        </w:rPr>
        <w:t>. Other studies have found that adults with acquired hearing loss report a significantly lower quality of life th</w:t>
      </w:r>
      <w:r w:rsidR="00612CA7" w:rsidRPr="009A1A2E">
        <w:rPr>
          <w:lang w:val="en-AU"/>
        </w:rPr>
        <w:t xml:space="preserve">an persons with normal hearing </w:t>
      </w:r>
      <w:r w:rsidR="00CC5316" w:rsidRPr="009A1A2E">
        <w:rPr>
          <w:lang w:val="en-AU"/>
        </w:rPr>
        <w:fldChar w:fldCharType="begin">
          <w:fldData xml:space="preserve">PFJlZm1hbj48Q2l0ZT48QXV0aG9yPkZlbGxpbmdlcjwvQXV0aG9yPjxZZWFyPjIwMDc8L1llYXI+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</w:fldData>
        </w:fldChar>
      </w:r>
      <w:r w:rsidR="00D85D29">
        <w:rPr>
          <w:lang w:val="en-AU"/>
        </w:rPr>
        <w:instrText xml:space="preserve"> ADDIN REFMGR.CITE </w:instrText>
      </w:r>
      <w:r w:rsidR="00D85D29">
        <w:rPr>
          <w:lang w:val="en-AU"/>
        </w:rPr>
        <w:fldChar w:fldCharType="begin">
          <w:fldData xml:space="preserve">PFJlZm1hbj48Q2l0ZT48QXV0aG9yPkZlbGxpbmdlcjwvQXV0aG9yPjxZZWFyPjIwMDc8L1llYXI+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</w:fldData>
        </w:fldChar>
      </w:r>
      <w:r w:rsidR="00D85D29">
        <w:rPr>
          <w:lang w:val="en-AU"/>
        </w:rPr>
        <w:instrText xml:space="preserve"> ADDIN EN.CITE.DATA </w:instrText>
      </w:r>
      <w:r w:rsidR="00D85D29">
        <w:rPr>
          <w:lang w:val="en-AU"/>
        </w:rPr>
      </w:r>
      <w:r w:rsidR="00D85D29">
        <w:rPr>
          <w:lang w:val="en-AU"/>
        </w:rPr>
        <w:fldChar w:fldCharType="end"/>
      </w:r>
      <w:r w:rsidR="00CC5316" w:rsidRPr="009A1A2E">
        <w:rPr>
          <w:lang w:val="en-AU"/>
        </w:rPr>
      </w:r>
      <w:r w:rsidR="00CC5316" w:rsidRPr="009A1A2E">
        <w:rPr>
          <w:lang w:val="en-AU"/>
        </w:rPr>
        <w:fldChar w:fldCharType="separate"/>
      </w:r>
      <w:r w:rsidR="00CC5316" w:rsidRPr="009A1A2E">
        <w:rPr>
          <w:noProof/>
          <w:lang w:val="en-AU"/>
        </w:rPr>
        <w:t>(Fellinger et al., 2007;Hallberg et al., 2008)</w:t>
      </w:r>
      <w:r w:rsidR="00CC5316" w:rsidRPr="009A1A2E">
        <w:rPr>
          <w:lang w:val="en-AU"/>
        </w:rPr>
        <w:fldChar w:fldCharType="end"/>
      </w:r>
      <w:r w:rsidRPr="009A1A2E">
        <w:rPr>
          <w:lang w:val="en-AU"/>
        </w:rPr>
        <w:t xml:space="preserve">. </w:t>
      </w:r>
      <w:r w:rsidR="00612CA7" w:rsidRPr="009A1A2E">
        <w:rPr>
          <w:lang w:val="en-AU"/>
        </w:rPr>
        <w:t>"The literature … clearly demon</w:t>
      </w:r>
      <w:r w:rsidRPr="009A1A2E">
        <w:rPr>
          <w:lang w:val="en-AU"/>
        </w:rPr>
        <w:t>stra</w:t>
      </w:r>
      <w:r w:rsidR="00612CA7" w:rsidRPr="009A1A2E">
        <w:rPr>
          <w:lang w:val="en-AU"/>
        </w:rPr>
        <w:t>tes that hearing loss is associ</w:t>
      </w:r>
      <w:r w:rsidRPr="009A1A2E">
        <w:rPr>
          <w:lang w:val="en-AU"/>
        </w:rPr>
        <w:t>ated with physical, emotional, m</w:t>
      </w:r>
      <w:r w:rsidR="00612CA7" w:rsidRPr="009A1A2E">
        <w:rPr>
          <w:lang w:val="en-AU"/>
        </w:rPr>
        <w:t>ental and social well-being. Depression, anxiety, emotional in</w:t>
      </w:r>
      <w:r w:rsidRPr="009A1A2E">
        <w:rPr>
          <w:lang w:val="en-AU"/>
        </w:rPr>
        <w:t>stability, phobias, withdrawal, isolation, lessened health status and lessened self-esteem are not “just quality of life” issues. For many people, uncorrected hearing loss is a se</w:t>
      </w:r>
      <w:r w:rsidR="00612CA7" w:rsidRPr="009A1A2E">
        <w:rPr>
          <w:lang w:val="en-AU"/>
        </w:rPr>
        <w:t xml:space="preserve">rious “life or death” issue." </w:t>
      </w:r>
      <w:r w:rsidR="00CC5316" w:rsidRPr="009A1A2E">
        <w:rPr>
          <w:lang w:val="en-AU"/>
        </w:rPr>
        <w:fldChar w:fldCharType="begin"/>
      </w:r>
      <w:r w:rsidR="00D85D29">
        <w:rPr>
          <w:lang w:val="en-AU"/>
        </w:rPr>
        <w:instrText xml:space="preserve"> ADDIN REFMGR.CITE &lt;Refman&gt;&lt;Cite&gt;&lt;Author&gt;Kochkin&lt;/Author&gt;&lt;Year&gt;2010&lt;/Year&gt;&lt;RecNum&gt;657&lt;/RecNum&gt;&lt;IDText&gt;Quantifying the obvious: The impact of hearing aids on quality of life&lt;/IDText&gt;&lt;MDL Ref_Type="Generic"&gt;&lt;Ref_Type&gt;Generic&lt;/Ref_Type&gt;&lt;Ref_ID&gt;657&lt;/Ref_ID&gt;&lt;Title_Primary&gt;Quantifying the obvious: The impact of hearing aids on quality of life&lt;/Title_Primary&gt;&lt;Authors_Primary&gt;Kochkin,S.&lt;/Authors_Primary&gt;&lt;Date_Primary&gt;2010&lt;/Date_Primary&gt;&lt;Keywords&gt;Hearing&lt;/Keywords&gt;&lt;Keywords&gt;Hearing Aids&lt;/Keywords&gt;&lt;Keywords&gt;Quality of Life&lt;/Keywords&gt;&lt;Reprint&gt;Not in File&lt;/Reprint&gt;&lt;ZZ_WorkformID&gt;33&lt;/ZZ_WorkformID&gt;&lt;/MDL&gt;&lt;/Cite&gt;&lt;/Refman&gt;</w:instrText>
      </w:r>
      <w:r w:rsidR="00CC5316" w:rsidRPr="009A1A2E">
        <w:rPr>
          <w:lang w:val="en-AU"/>
        </w:rPr>
        <w:fldChar w:fldCharType="separate"/>
      </w:r>
      <w:r w:rsidR="00CC5316" w:rsidRPr="009A1A2E">
        <w:rPr>
          <w:noProof/>
          <w:lang w:val="en-AU"/>
        </w:rPr>
        <w:t>(Kochkin, 2010)</w:t>
      </w:r>
      <w:r w:rsidR="00CC5316" w:rsidRPr="009A1A2E">
        <w:rPr>
          <w:lang w:val="en-AU"/>
        </w:rPr>
        <w:fldChar w:fldCharType="end"/>
      </w:r>
      <w:r w:rsidRPr="009A1A2E">
        <w:rPr>
          <w:lang w:val="en-AU"/>
        </w:rPr>
        <w:t>.</w:t>
      </w:r>
    </w:p>
    <w:p w14:paraId="10704B7C" w14:textId="77777777" w:rsidR="00A70A66" w:rsidRPr="009A1A2E" w:rsidRDefault="00A70A66" w:rsidP="00757DDD">
      <w:pPr>
        <w:pStyle w:val="Textbody"/>
        <w:rPr>
          <w:lang w:val="en-AU"/>
        </w:rPr>
      </w:pPr>
      <w:r w:rsidRPr="009A1A2E">
        <w:rPr>
          <w:lang w:val="en-AU"/>
        </w:rPr>
        <w:t xml:space="preserve">The loss of hearing at adult age also results in the degradation of the peripheral and central nervous system; including the degeneration of spiral ganglion cells, changes in the sensitivity of neurons and the reorganization of sound representation </w:t>
      </w:r>
      <w:r w:rsidR="00CC5316" w:rsidRPr="009A1A2E">
        <w:rPr>
          <w:lang w:val="en-AU"/>
        </w:rPr>
        <w:fldChar w:fldCharType="begin">
          <w:fldData xml:space="preserve">PFJlZm1hbj48Q2l0ZT48QXV0aG9yPkxlYWtlPC9BdXRob3I+PFllYXI+MTk5OTwvWWVhcj48UmVj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</w:fldData>
        </w:fldChar>
      </w:r>
      <w:r w:rsidR="00D85D29">
        <w:rPr>
          <w:lang w:val="en-AU"/>
        </w:rPr>
        <w:instrText xml:space="preserve"> ADDIN REFMGR.CITE </w:instrText>
      </w:r>
      <w:r w:rsidR="00D85D29">
        <w:rPr>
          <w:lang w:val="en-AU"/>
        </w:rPr>
        <w:fldChar w:fldCharType="begin">
          <w:fldData xml:space="preserve">PFJlZm1hbj48Q2l0ZT48QXV0aG9yPkxlYWtlPC9BdXRob3I+PFllYXI+MTk5OTwvWWVhcj48UmVj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</w:fldData>
        </w:fldChar>
      </w:r>
      <w:r w:rsidR="00D85D29">
        <w:rPr>
          <w:lang w:val="en-AU"/>
        </w:rPr>
        <w:instrText xml:space="preserve"> ADDIN EN.CITE.DATA </w:instrText>
      </w:r>
      <w:r w:rsidR="00D85D29">
        <w:rPr>
          <w:lang w:val="en-AU"/>
        </w:rPr>
      </w:r>
      <w:r w:rsidR="00D85D29">
        <w:rPr>
          <w:lang w:val="en-AU"/>
        </w:rPr>
        <w:fldChar w:fldCharType="end"/>
      </w:r>
      <w:r w:rsidR="00CC5316" w:rsidRPr="009A1A2E">
        <w:rPr>
          <w:lang w:val="en-AU"/>
        </w:rPr>
      </w:r>
      <w:r w:rsidR="00CC5316" w:rsidRPr="009A1A2E">
        <w:rPr>
          <w:lang w:val="en-AU"/>
        </w:rPr>
        <w:fldChar w:fldCharType="separate"/>
      </w:r>
      <w:r w:rsidR="00CC5316" w:rsidRPr="009A1A2E">
        <w:rPr>
          <w:noProof/>
          <w:lang w:val="en-AU"/>
        </w:rPr>
        <w:t>(Leake et al., 1999;Leake et al., 2008)</w:t>
      </w:r>
      <w:r w:rsidR="00CC5316" w:rsidRPr="009A1A2E">
        <w:rPr>
          <w:lang w:val="en-AU"/>
        </w:rPr>
        <w:fldChar w:fldCharType="end"/>
      </w:r>
      <w:r w:rsidRPr="009A1A2E">
        <w:rPr>
          <w:lang w:val="en-AU"/>
        </w:rPr>
        <w:t xml:space="preserve">. Numerous studies show that the degree of degradation in the nervous system and other negative effects on the neural system and cognitive ability are correlated with the duration of deafness or hearing loss </w:t>
      </w:r>
      <w:r w:rsidR="00CC5316" w:rsidRPr="009A1A2E">
        <w:rPr>
          <w:lang w:val="en-AU"/>
        </w:rPr>
        <w:fldChar w:fldCharType="begin">
          <w:fldData xml:space="preserve">PFJlZm1hbj48Q2l0ZT48QXV0aG9yPkJsYW1leTwvQXV0aG9yPjxZZWFyPjE5OTc8L1llYXI+PFJl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</w:fldData>
        </w:fldChar>
      </w:r>
      <w:r w:rsidR="00D85D29">
        <w:rPr>
          <w:lang w:val="en-AU"/>
        </w:rPr>
        <w:instrText xml:space="preserve"> ADDIN REFMGR.CITE </w:instrText>
      </w:r>
      <w:r w:rsidR="00D85D29">
        <w:rPr>
          <w:lang w:val="en-AU"/>
        </w:rPr>
        <w:fldChar w:fldCharType="begin">
          <w:fldData xml:space="preserve">PFJlZm1hbj48Q2l0ZT48QXV0aG9yPkJsYW1leTwvQXV0aG9yPjxZZWFyPjE5OTc8L1llYXI+PFJl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</w:fldData>
        </w:fldChar>
      </w:r>
      <w:r w:rsidR="00D85D29">
        <w:rPr>
          <w:lang w:val="en-AU"/>
        </w:rPr>
        <w:instrText xml:space="preserve"> ADDIN EN.CITE.DATA </w:instrText>
      </w:r>
      <w:r w:rsidR="00D85D29">
        <w:rPr>
          <w:lang w:val="en-AU"/>
        </w:rPr>
      </w:r>
      <w:r w:rsidR="00D85D29">
        <w:rPr>
          <w:lang w:val="en-AU"/>
        </w:rPr>
        <w:fldChar w:fldCharType="end"/>
      </w:r>
      <w:r w:rsidR="00CC5316" w:rsidRPr="009A1A2E">
        <w:rPr>
          <w:lang w:val="en-AU"/>
        </w:rPr>
      </w:r>
      <w:r w:rsidR="00CC5316" w:rsidRPr="009A1A2E">
        <w:rPr>
          <w:lang w:val="en-AU"/>
        </w:rPr>
        <w:fldChar w:fldCharType="separate"/>
      </w:r>
      <w:r w:rsidR="00CC5316" w:rsidRPr="009A1A2E">
        <w:rPr>
          <w:noProof/>
          <w:lang w:val="en-AU"/>
        </w:rPr>
        <w:t>(Blamey, 1997;Blamey et al., 2013)</w:t>
      </w:r>
      <w:r w:rsidR="00CC5316" w:rsidRPr="009A1A2E">
        <w:rPr>
          <w:lang w:val="en-AU"/>
        </w:rPr>
        <w:fldChar w:fldCharType="end"/>
      </w:r>
      <w:r w:rsidRPr="009A1A2E">
        <w:rPr>
          <w:lang w:val="en-AU"/>
        </w:rPr>
        <w:t xml:space="preserve">. </w:t>
      </w:r>
    </w:p>
    <w:p w14:paraId="3F0C8054" w14:textId="77777777" w:rsidR="00A70A66" w:rsidRPr="009A1A2E" w:rsidRDefault="00A70A66" w:rsidP="00757DDD">
      <w:pPr>
        <w:pStyle w:val="Textbody"/>
        <w:rPr>
          <w:lang w:val="en-AU"/>
        </w:rPr>
      </w:pPr>
      <w:r w:rsidRPr="009A1A2E">
        <w:rPr>
          <w:lang w:val="en-AU"/>
        </w:rPr>
        <w:t>Hearing loss in general has been related to a number of quality of life issues:</w:t>
      </w:r>
    </w:p>
    <w:p w14:paraId="5DA3FDC4" w14:textId="77777777" w:rsidR="00A70A66" w:rsidRPr="009A1A2E" w:rsidRDefault="00A70A66" w:rsidP="00B853EF">
      <w:pPr>
        <w:pStyle w:val="Textbody"/>
        <w:numPr>
          <w:ilvl w:val="0"/>
          <w:numId w:val="52"/>
        </w:numPr>
        <w:rPr>
          <w:lang w:val="en-AU"/>
        </w:rPr>
      </w:pPr>
      <w:r w:rsidRPr="009A1A2E">
        <w:rPr>
          <w:lang w:val="en-AU"/>
        </w:rPr>
        <w:t>lower earning power, especially among persons with severe to profound hearing loss;</w:t>
      </w:r>
    </w:p>
    <w:p w14:paraId="774B2D94" w14:textId="77777777" w:rsidR="00A70A66" w:rsidRPr="009A1A2E" w:rsidRDefault="00A70A66" w:rsidP="00B853EF">
      <w:pPr>
        <w:pStyle w:val="Textbody"/>
        <w:numPr>
          <w:ilvl w:val="0"/>
          <w:numId w:val="52"/>
        </w:numPr>
        <w:rPr>
          <w:lang w:val="en-AU"/>
        </w:rPr>
      </w:pPr>
      <w:r w:rsidRPr="009A1A2E">
        <w:rPr>
          <w:lang w:val="en-AU"/>
        </w:rPr>
        <w:t>strained personal relationships (especially for age-related mild-moderate hearing loss) and negative dysfunctional communication;</w:t>
      </w:r>
    </w:p>
    <w:p w14:paraId="1A207DC1" w14:textId="77777777" w:rsidR="00A70A66" w:rsidRPr="009A1A2E" w:rsidRDefault="00A70A66" w:rsidP="00B853EF">
      <w:pPr>
        <w:pStyle w:val="Textbody"/>
        <w:numPr>
          <w:ilvl w:val="0"/>
          <w:numId w:val="52"/>
        </w:numPr>
        <w:rPr>
          <w:lang w:val="en-AU"/>
        </w:rPr>
      </w:pPr>
      <w:r w:rsidRPr="009A1A2E">
        <w:rPr>
          <w:lang w:val="en-AU"/>
        </w:rPr>
        <w:t>discrimination;</w:t>
      </w:r>
    </w:p>
    <w:p w14:paraId="6B8519AC" w14:textId="77777777" w:rsidR="00A70A66" w:rsidRPr="009A1A2E" w:rsidRDefault="00A70A66" w:rsidP="00B853EF">
      <w:pPr>
        <w:pStyle w:val="Textbody"/>
        <w:numPr>
          <w:ilvl w:val="0"/>
          <w:numId w:val="52"/>
        </w:numPr>
        <w:rPr>
          <w:lang w:val="en-AU"/>
        </w:rPr>
      </w:pPr>
      <w:r w:rsidRPr="009A1A2E">
        <w:rPr>
          <w:lang w:val="en-AU"/>
        </w:rPr>
        <w:t>communication problems</w:t>
      </w:r>
    </w:p>
    <w:p w14:paraId="6C36BD0A" w14:textId="77777777" w:rsidR="00A70A66" w:rsidRPr="009A1A2E" w:rsidRDefault="00A70A66" w:rsidP="00B853EF">
      <w:pPr>
        <w:pStyle w:val="Textbody"/>
        <w:numPr>
          <w:ilvl w:val="0"/>
          <w:numId w:val="52"/>
        </w:numPr>
        <w:rPr>
          <w:lang w:val="en-AU"/>
        </w:rPr>
      </w:pPr>
      <w:r w:rsidRPr="009A1A2E">
        <w:rPr>
          <w:lang w:val="en-AU"/>
        </w:rPr>
        <w:t>behaviors to compensate hearing loss;</w:t>
      </w:r>
    </w:p>
    <w:p w14:paraId="0AFF15A8" w14:textId="77777777" w:rsidR="00A70A66" w:rsidRPr="009A1A2E" w:rsidRDefault="00A70A66" w:rsidP="00B853EF">
      <w:pPr>
        <w:pStyle w:val="Textbody"/>
        <w:numPr>
          <w:ilvl w:val="0"/>
          <w:numId w:val="52"/>
        </w:numPr>
        <w:rPr>
          <w:lang w:val="en-AU"/>
        </w:rPr>
      </w:pPr>
      <w:r w:rsidRPr="009A1A2E">
        <w:rPr>
          <w:lang w:val="en-AU"/>
        </w:rPr>
        <w:t>increased incidence of depression and depressive symptoms;</w:t>
      </w:r>
    </w:p>
    <w:p w14:paraId="76EE8C98" w14:textId="77777777" w:rsidR="00A70A66" w:rsidRPr="009A1A2E" w:rsidRDefault="00A70A66" w:rsidP="00B853EF">
      <w:pPr>
        <w:pStyle w:val="Textbody"/>
        <w:numPr>
          <w:ilvl w:val="0"/>
          <w:numId w:val="52"/>
        </w:numPr>
        <w:rPr>
          <w:lang w:val="en-AU"/>
        </w:rPr>
      </w:pPr>
      <w:r w:rsidRPr="009A1A2E">
        <w:rPr>
          <w:lang w:val="en-AU"/>
        </w:rPr>
        <w:t>reduced emotional stability;</w:t>
      </w:r>
    </w:p>
    <w:p w14:paraId="389496C2" w14:textId="77777777" w:rsidR="00A70A66" w:rsidRPr="009A1A2E" w:rsidRDefault="00A70A66" w:rsidP="00B853EF">
      <w:pPr>
        <w:pStyle w:val="Textbody"/>
        <w:numPr>
          <w:ilvl w:val="0"/>
          <w:numId w:val="52"/>
        </w:numPr>
        <w:rPr>
          <w:lang w:val="en-AU"/>
        </w:rPr>
      </w:pPr>
      <w:r w:rsidRPr="009A1A2E">
        <w:rPr>
          <w:lang w:val="en-AU"/>
        </w:rPr>
        <w:t>increased anxiety and social phobias;</w:t>
      </w:r>
    </w:p>
    <w:p w14:paraId="37686DEA" w14:textId="77777777" w:rsidR="00A70A66" w:rsidRPr="009A1A2E" w:rsidRDefault="00A70A66" w:rsidP="00B853EF">
      <w:pPr>
        <w:pStyle w:val="Textbody"/>
        <w:numPr>
          <w:ilvl w:val="0"/>
          <w:numId w:val="52"/>
        </w:numPr>
        <w:rPr>
          <w:lang w:val="en-AU"/>
        </w:rPr>
      </w:pPr>
      <w:r w:rsidRPr="009A1A2E">
        <w:rPr>
          <w:lang w:val="en-AU"/>
        </w:rPr>
        <w:t>poorer cognitive functioning;</w:t>
      </w:r>
    </w:p>
    <w:p w14:paraId="3C4D70E4" w14:textId="77777777" w:rsidR="00A70A66" w:rsidRPr="009A1A2E" w:rsidRDefault="00A70A66" w:rsidP="00B853EF">
      <w:pPr>
        <w:pStyle w:val="Textbody"/>
        <w:numPr>
          <w:ilvl w:val="0"/>
          <w:numId w:val="52"/>
        </w:numPr>
        <w:rPr>
          <w:lang w:val="en-AU"/>
        </w:rPr>
      </w:pPr>
      <w:r w:rsidRPr="009A1A2E">
        <w:rPr>
          <w:lang w:val="en-AU"/>
        </w:rPr>
        <w:t>poorer health status;</w:t>
      </w:r>
    </w:p>
    <w:p w14:paraId="01F0AE3A" w14:textId="77777777" w:rsidR="00A70A66" w:rsidRPr="009A1A2E" w:rsidRDefault="00E37EA7" w:rsidP="00B853EF">
      <w:pPr>
        <w:pStyle w:val="Textbody"/>
        <w:numPr>
          <w:ilvl w:val="0"/>
          <w:numId w:val="52"/>
        </w:numPr>
        <w:rPr>
          <w:lang w:val="en-AU"/>
        </w:rPr>
      </w:pPr>
      <w:r w:rsidRPr="009A1A2E">
        <w:rPr>
          <w:lang w:val="en-AU"/>
        </w:rPr>
        <w:t>societal</w:t>
      </w:r>
      <w:r w:rsidR="00A70A66" w:rsidRPr="009A1A2E">
        <w:rPr>
          <w:lang w:val="en-AU"/>
        </w:rPr>
        <w:t xml:space="preserve"> isolation.</w:t>
      </w:r>
    </w:p>
    <w:p w14:paraId="0958A0EB" w14:textId="77777777" w:rsidR="00A70A66" w:rsidRPr="009A1A2E" w:rsidRDefault="00A70A66" w:rsidP="00757DDD">
      <w:pPr>
        <w:pStyle w:val="Textbody"/>
        <w:rPr>
          <w:lang w:val="en-AU"/>
        </w:rPr>
      </w:pPr>
      <w:r w:rsidRPr="009A1A2E">
        <w:rPr>
          <w:lang w:val="en-AU"/>
        </w:rPr>
        <w:t>In light of the aging of the population in almost all countries, hearing loss will pose an ever greater problem at individual level and in a public health framework.</w:t>
      </w:r>
    </w:p>
    <w:p w14:paraId="2822138B" w14:textId="77777777" w:rsidR="00A70A66" w:rsidRPr="009A1A2E" w:rsidRDefault="00A70A66" w:rsidP="00757DDD">
      <w:pPr>
        <w:pStyle w:val="Textbody"/>
        <w:rPr>
          <w:lang w:val="en-AU"/>
        </w:rPr>
      </w:pPr>
      <w:r w:rsidRPr="009A1A2E">
        <w:rPr>
          <w:lang w:val="en-AU"/>
        </w:rPr>
        <w:t xml:space="preserve">Statistics Canada’s 2006 Participation and Activity Limitation Survey found that hearing impairment may affect an individual’s education in various ways, including the choice of educational and training options, the time required to complete courses, and the level of </w:t>
      </w:r>
      <w:r w:rsidRPr="009A1A2E">
        <w:rPr>
          <w:lang w:val="en-AU"/>
        </w:rPr>
        <w:lastRenderedPageBreak/>
        <w:t>education attained</w:t>
      </w:r>
      <w:r w:rsidR="00692E63" w:rsidRPr="009A1A2E">
        <w:rPr>
          <w:lang w:val="en-AU"/>
        </w:rPr>
        <w:t>.</w:t>
      </w:r>
      <w:r w:rsidRPr="009A1A2E">
        <w:rPr>
          <w:lang w:val="en-AU"/>
        </w:rPr>
        <w:t xml:space="preserve"> One out of five people who reported hearing limitations said that they had discontinued their education because of their condition. People with severe hearing difficulties were much more likely than those with mild hearing impairment (43.5% versus 16.8%) to withdraw from schoo</w:t>
      </w:r>
      <w:r w:rsidR="00692E63" w:rsidRPr="009A1A2E">
        <w:rPr>
          <w:lang w:val="en-AU"/>
        </w:rPr>
        <w:t xml:space="preserve">l. </w:t>
      </w:r>
      <w:r w:rsidRPr="009A1A2E">
        <w:rPr>
          <w:lang w:val="en-AU"/>
        </w:rPr>
        <w:t>The survey responses also indicated that hearing difficulties limited both the type of work and number of hours worked. Many individuals with hearing limitations believed that their condition made it more difficult for them to advance in their career, change jobs, or find work</w:t>
      </w:r>
      <w:r w:rsidR="00692E63" w:rsidRPr="009A1A2E">
        <w:rPr>
          <w:lang w:val="en-AU"/>
        </w:rPr>
        <w:t xml:space="preserve"> </w:t>
      </w:r>
      <w:r w:rsidR="00692E63" w:rsidRPr="009A1A2E">
        <w:rPr>
          <w:lang w:val="en-AU"/>
        </w:rPr>
        <w:fldChar w:fldCharType="begin"/>
      </w:r>
      <w:r w:rsidR="00D85D29">
        <w:rPr>
          <w:lang w:val="en-AU"/>
        </w:rPr>
        <w:instrText xml:space="preserve"> ADDIN REFMGR.CITE &lt;Refman&gt;&lt;Cite&gt;&lt;Author&gt;Brennan&lt;/Author&gt;&lt;Year&gt;2009&lt;/Year&gt;&lt;RecNum&gt;626&lt;/RecNum&gt;&lt;IDText&gt;Facts on hearing limitations&lt;/IDText&gt;&lt;MDL Ref_Type="Generic"&gt;&lt;Ref_Type&gt;Generic&lt;/Ref_Type&gt;&lt;Ref_ID&gt;626&lt;/Ref_ID&gt;&lt;Title_Primary&gt;Facts on hearing limitations&lt;/Title_Primary&gt;&lt;Authors_Primary&gt;Brennan,S.&lt;/Authors_Primary&gt;&lt;Authors_Primary&gt;Gombac,I.&lt;/Authors_Primary&gt;&lt;Authors_Primary&gt;leightholm,M.&lt;/Authors_Primary&gt;&lt;Date_Primary&gt;2009&lt;/Date_Primary&gt;&lt;Keywords&gt;Hearing&lt;/Keywords&gt;&lt;Reprint&gt;Not in File&lt;/Reprint&gt;&lt;Periodical&gt;Participation and Activity Limitation Survey 2006; No.1&lt;/Periodical&gt;&lt;Volume&gt;Ottawa: Statistics Canada&lt;/Volume&gt;&lt;ZZ_JournalStdAbbrev&gt;&lt;f name="System"&gt;Participation and Activity Limitation Survey 2006; No.1&lt;/f&gt;&lt;/ZZ_JournalStdAbbrev&gt;&lt;ZZ_WorkformID&gt;33&lt;/ZZ_WorkformID&gt;&lt;/MDL&gt;&lt;/Cite&gt;&lt;/Refman&gt;</w:instrText>
      </w:r>
      <w:r w:rsidR="00692E63" w:rsidRPr="009A1A2E">
        <w:rPr>
          <w:lang w:val="en-AU"/>
        </w:rPr>
        <w:fldChar w:fldCharType="separate"/>
      </w:r>
      <w:r w:rsidR="00692E63" w:rsidRPr="009A1A2E">
        <w:rPr>
          <w:noProof/>
          <w:lang w:val="en-AU"/>
        </w:rPr>
        <w:t>(Brennan et al., 2009)</w:t>
      </w:r>
      <w:r w:rsidR="00692E63" w:rsidRPr="009A1A2E">
        <w:rPr>
          <w:lang w:val="en-AU"/>
        </w:rPr>
        <w:fldChar w:fldCharType="end"/>
      </w:r>
      <w:r w:rsidRPr="009A1A2E">
        <w:rPr>
          <w:lang w:val="en-AU"/>
        </w:rPr>
        <w:t>.</w:t>
      </w:r>
      <w:r w:rsidR="00692E63" w:rsidRPr="009A1A2E">
        <w:rPr>
          <w:lang w:val="en-AU"/>
        </w:rPr>
        <w:t xml:space="preserve"> </w:t>
      </w:r>
      <w:r w:rsidRPr="009A1A2E">
        <w:rPr>
          <w:lang w:val="en-AU"/>
        </w:rPr>
        <w:t>A recent Australian study found an association between hearing loss and walking ability. The authors speculated that this may be due to problems with balance caused by hearing problems, together with a fear of falling, and a decline in physical and social involvement. Limited social interactions may also affect the cognitive decline associated with hearing loss</w:t>
      </w:r>
      <w:r w:rsidR="00692E63" w:rsidRPr="009A1A2E">
        <w:rPr>
          <w:lang w:val="en-AU"/>
        </w:rPr>
        <w:t xml:space="preserve"> </w:t>
      </w:r>
      <w:r w:rsidR="00692E63" w:rsidRPr="009A1A2E">
        <w:rPr>
          <w:lang w:val="en-AU"/>
        </w:rPr>
        <w:fldChar w:fldCharType="begin"/>
      </w:r>
      <w:r w:rsidR="00D85D29">
        <w:rPr>
          <w:lang w:val="en-AU"/>
        </w:rPr>
        <w:instrText xml:space="preserve"> ADDIN REFMGR.CITE &lt;Refman&gt;&lt;Cite&gt;&lt;Author&gt;Karpa&lt;/Author&gt;&lt;Year&gt;2010&lt;/Year&gt;&lt;RecNum&gt;627&lt;/RecNum&gt;&lt;IDText&gt;Associations between hearing impairment and mortality risk in older persons: the Blue Mountains Hearing Study&lt;/IDText&gt;&lt;MDL Ref_Type="Journal"&gt;&lt;Ref_Type&gt;Journal&lt;/Ref_Type&gt;&lt;Ref_ID&gt;627&lt;/Ref_ID&gt;&lt;Title_Primary&gt;Associations between hearing impairment and mortality risk in older persons: the Blue Mountains Hearing Study&lt;/Title_Primary&gt;&lt;Authors_Primary&gt;Karpa,M.J.&lt;/Authors_Primary&gt;&lt;Authors_Primary&gt;Gopinath,B.&lt;/Authors_Primary&gt;&lt;Authors_Primary&gt;Beath,K.&lt;/Authors_Primary&gt;&lt;Authors_Primary&gt;Rochtchina,E.&lt;/Authors_Primary&gt;&lt;Authors_Primary&gt;Cumming,R.G.&lt;/Authors_Primary&gt;&lt;Authors_Primary&gt;Wang,J.J.&lt;/Authors_Primary&gt;&lt;Authors_Primary&gt;Mitchell,P.&lt;/Authors_Primary&gt;&lt;Date_Primary&gt;2010/6&lt;/Date_Primary&gt;&lt;Keywords&gt;Age Factors&lt;/Keywords&gt;&lt;Keywords&gt;Aged&lt;/Keywords&gt;&lt;Keywords&gt;Australia&lt;/Keywords&gt;&lt;Keywords&gt;Cardiovascular Diseases&lt;/Keywords&gt;&lt;Keywords&gt;Confidence Intervals&lt;/Keywords&gt;&lt;Keywords&gt;epidemiology&lt;/Keywords&gt;&lt;Keywords&gt;Female&lt;/Keywords&gt;&lt;Keywords&gt;Health Surveys&lt;/Keywords&gt;&lt;Keywords&gt;Hearing&lt;/Keywords&gt;&lt;Keywords&gt;Hearing Loss&lt;/Keywords&gt;&lt;Keywords&gt;Humans&lt;/Keywords&gt;&lt;Keywords&gt;Male&lt;/Keywords&gt;&lt;Keywords&gt;methods&lt;/Keywords&gt;&lt;Keywords&gt;Middle Aged&lt;/Keywords&gt;&lt;Keywords&gt;mortality&lt;/Keywords&gt;&lt;Keywords&gt;Multivariate Analysis&lt;/Keywords&gt;&lt;Keywords&gt;Proportional Hazards Models&lt;/Keywords&gt;&lt;Keywords&gt;Risk Assessment&lt;/Keywords&gt;&lt;Keywords&gt;Risk Factors&lt;/Keywords&gt;&lt;Keywords&gt;trends&lt;/Keywords&gt;&lt;Reprint&gt;Not in File&lt;/Reprint&gt;&lt;Start_Page&gt;452&lt;/Start_Page&gt;&lt;End_Page&gt;459&lt;/End_Page&gt;&lt;Periodical&gt;Ann.Epidemiol.&lt;/Periodical&gt;&lt;Volume&gt;20&lt;/Volume&gt;&lt;Issue&gt;6&lt;/Issue&gt;&lt;Misc_3&gt;S1047-2797(10)00057-8 [pii];10.1016/j.annepidem.2010.03.011 [doi]&lt;/Misc_3&gt;&lt;Address&gt;Centre for Vision Research, Department of Ophthalmology, Westmead Millennium Institute, University of Sydney, Sydney, Australia&lt;/Address&gt;&lt;Web_URL&gt;PM:20470972&lt;/Web_URL&gt;&lt;ZZ_JournalFull&gt;&lt;f name="System"&gt;Ann.Epidemiol.&lt;/f&gt;&lt;/ZZ_JournalFull&gt;&lt;ZZ_WorkformID&gt;1&lt;/ZZ_WorkformID&gt;&lt;/MDL&gt;&lt;/Cite&gt;&lt;/Refman&gt;</w:instrText>
      </w:r>
      <w:r w:rsidR="00692E63" w:rsidRPr="009A1A2E">
        <w:rPr>
          <w:lang w:val="en-AU"/>
        </w:rPr>
        <w:fldChar w:fldCharType="separate"/>
      </w:r>
      <w:r w:rsidR="00692E63" w:rsidRPr="009A1A2E">
        <w:rPr>
          <w:noProof/>
          <w:lang w:val="en-AU"/>
        </w:rPr>
        <w:t>(Karpa et al., 2010)</w:t>
      </w:r>
      <w:r w:rsidR="00692E63" w:rsidRPr="009A1A2E">
        <w:rPr>
          <w:lang w:val="en-AU"/>
        </w:rPr>
        <w:fldChar w:fldCharType="end"/>
      </w:r>
      <w:r w:rsidRPr="009A1A2E">
        <w:rPr>
          <w:lang w:val="en-AU"/>
        </w:rPr>
        <w:t>. A systematic review of health-related quality of life in individuals with sensorineural hearing loss and hearing aids concluded that most studies which used a disease-specific quality of life measure (i.e., specific to hearing loss as opposed to generic health measures) found improved emotional and social well-being in hearing aid users. However, findings from studies that used generic quality of life measures varied. Nevertheless, the authors concluded that hearing aids provide a low-risk, relatively non-invasive treatment that improves quality of life by reducing “psychological, social and emotional effects of SNHL”</w:t>
      </w:r>
      <w:r w:rsidR="002508CC" w:rsidRPr="009A1A2E">
        <w:rPr>
          <w:lang w:val="en-AU"/>
        </w:rPr>
        <w:t xml:space="preserve"> </w:t>
      </w:r>
      <w:r w:rsidR="002508CC" w:rsidRPr="009A1A2E">
        <w:rPr>
          <w:lang w:val="en-AU"/>
        </w:rPr>
        <w:fldChar w:fldCharType="begin">
          <w:fldData xml:space="preserve">PFJlZm1hbj48Q2l0ZT48QXV0aG9yPkNoaXNvbG08L0F1dGhvcj48WWVhcj4yMDA3PC9ZZWFyPjxS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</w:fldData>
        </w:fldChar>
      </w:r>
      <w:r w:rsidR="00D85D29">
        <w:rPr>
          <w:lang w:val="en-AU"/>
        </w:rPr>
        <w:instrText xml:space="preserve"> ADDIN REFMGR.CITE </w:instrText>
      </w:r>
      <w:r w:rsidR="00D85D29">
        <w:rPr>
          <w:lang w:val="en-AU"/>
        </w:rPr>
        <w:fldChar w:fldCharType="begin">
          <w:fldData xml:space="preserve">PFJlZm1hbj48Q2l0ZT48QXV0aG9yPkNoaXNvbG08L0F1dGhvcj48WWVhcj4yMDA3PC9ZZWFyPjxS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</w:fldData>
        </w:fldChar>
      </w:r>
      <w:r w:rsidR="00D85D29">
        <w:rPr>
          <w:lang w:val="en-AU"/>
        </w:rPr>
        <w:instrText xml:space="preserve"> ADDIN EN.CITE.DATA </w:instrText>
      </w:r>
      <w:r w:rsidR="00D85D29">
        <w:rPr>
          <w:lang w:val="en-AU"/>
        </w:rPr>
      </w:r>
      <w:r w:rsidR="00D85D29">
        <w:rPr>
          <w:lang w:val="en-AU"/>
        </w:rPr>
        <w:fldChar w:fldCharType="end"/>
      </w:r>
      <w:r w:rsidR="002508CC" w:rsidRPr="009A1A2E">
        <w:rPr>
          <w:lang w:val="en-AU"/>
        </w:rPr>
      </w:r>
      <w:r w:rsidR="002508CC" w:rsidRPr="009A1A2E">
        <w:rPr>
          <w:lang w:val="en-AU"/>
        </w:rPr>
        <w:fldChar w:fldCharType="separate"/>
      </w:r>
      <w:r w:rsidR="002508CC" w:rsidRPr="009A1A2E">
        <w:rPr>
          <w:noProof/>
          <w:lang w:val="en-AU"/>
        </w:rPr>
        <w:t>(Chisolm et al., 2007)</w:t>
      </w:r>
      <w:r w:rsidR="002508CC" w:rsidRPr="009A1A2E">
        <w:rPr>
          <w:lang w:val="en-AU"/>
        </w:rPr>
        <w:fldChar w:fldCharType="end"/>
      </w:r>
      <w:r w:rsidRPr="009A1A2E">
        <w:rPr>
          <w:lang w:val="en-AU"/>
        </w:rPr>
        <w:t>. A systematic review of bone-anchored hearing aids found similar differences in quality of life reported by studies that used generic versus disease-specific measures</w:t>
      </w:r>
      <w:r w:rsidR="00EA3CB3" w:rsidRPr="009A1A2E">
        <w:rPr>
          <w:lang w:val="en-AU"/>
        </w:rPr>
        <w:t xml:space="preserve"> </w:t>
      </w:r>
      <w:r w:rsidR="00EA3CB3" w:rsidRPr="009A1A2E">
        <w:rPr>
          <w:lang w:val="en-AU"/>
        </w:rPr>
        <w:fldChar w:fldCharType="begin">
          <w:fldData xml:space="preserve">PFJlZm1hbj48Q2l0ZT48QXV0aG9yPkNvbHF1aXR0PC9BdXRob3I+PFllYXI+MjAxMTwvWWVhcj48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==
</w:fldData>
        </w:fldChar>
      </w:r>
      <w:r w:rsidR="00D85D29">
        <w:rPr>
          <w:lang w:val="en-AU"/>
        </w:rPr>
        <w:instrText xml:space="preserve"> ADDIN REFMGR.CITE </w:instrText>
      </w:r>
      <w:r w:rsidR="00D85D29">
        <w:rPr>
          <w:lang w:val="en-AU"/>
        </w:rPr>
        <w:fldChar w:fldCharType="begin">
          <w:fldData xml:space="preserve">PFJlZm1hbj48Q2l0ZT48QXV0aG9yPkNvbHF1aXR0PC9BdXRob3I+PFllYXI+MjAxMTwvWWVhcj48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==
</w:fldData>
        </w:fldChar>
      </w:r>
      <w:r w:rsidR="00D85D29">
        <w:rPr>
          <w:lang w:val="en-AU"/>
        </w:rPr>
        <w:instrText xml:space="preserve"> ADDIN EN.CITE.DATA </w:instrText>
      </w:r>
      <w:r w:rsidR="00D85D29">
        <w:rPr>
          <w:lang w:val="en-AU"/>
        </w:rPr>
      </w:r>
      <w:r w:rsidR="00D85D29">
        <w:rPr>
          <w:lang w:val="en-AU"/>
        </w:rPr>
        <w:fldChar w:fldCharType="end"/>
      </w:r>
      <w:r w:rsidR="00EA3CB3" w:rsidRPr="009A1A2E">
        <w:rPr>
          <w:lang w:val="en-AU"/>
        </w:rPr>
      </w:r>
      <w:r w:rsidR="00EA3CB3" w:rsidRPr="009A1A2E">
        <w:rPr>
          <w:lang w:val="en-AU"/>
        </w:rPr>
        <w:fldChar w:fldCharType="separate"/>
      </w:r>
      <w:r w:rsidR="00EA3CB3" w:rsidRPr="009A1A2E">
        <w:rPr>
          <w:noProof/>
          <w:lang w:val="en-AU"/>
        </w:rPr>
        <w:t>(Colquitt et al., 2011)</w:t>
      </w:r>
      <w:r w:rsidR="00EA3CB3" w:rsidRPr="009A1A2E">
        <w:rPr>
          <w:lang w:val="en-AU"/>
        </w:rPr>
        <w:fldChar w:fldCharType="end"/>
      </w:r>
      <w:r w:rsidRPr="009A1A2E">
        <w:rPr>
          <w:lang w:val="en-AU"/>
        </w:rPr>
        <w:t>.</w:t>
      </w:r>
    </w:p>
    <w:p w14:paraId="3E54807F" w14:textId="77777777" w:rsidR="00A70A66" w:rsidRPr="009A1A2E" w:rsidRDefault="00A70A66" w:rsidP="00757DDD">
      <w:pPr>
        <w:pStyle w:val="Textbody"/>
        <w:rPr>
          <w:lang w:val="en-AU"/>
        </w:rPr>
      </w:pPr>
    </w:p>
    <w:p w14:paraId="4AD25DE4" w14:textId="77777777" w:rsidR="00E5193D" w:rsidRPr="009A1A2E" w:rsidRDefault="00E5193D" w:rsidP="00757DDD">
      <w:pPr>
        <w:pStyle w:val="Textbody"/>
        <w:rPr>
          <w:lang w:val="en-AU"/>
        </w:rPr>
      </w:pPr>
      <w:r w:rsidRPr="009A1A2E">
        <w:rPr>
          <w:lang w:val="en-AU"/>
        </w:rPr>
        <w:t>There are many causes of acquired sensorineural hearing loss after birth. The majority are listed below:</w:t>
      </w:r>
    </w:p>
    <w:p w14:paraId="0368DC95" w14:textId="77777777" w:rsidR="00E5193D" w:rsidRPr="009A1A2E" w:rsidRDefault="00E5193D" w:rsidP="00B853EF">
      <w:pPr>
        <w:pStyle w:val="Textbody"/>
        <w:numPr>
          <w:ilvl w:val="0"/>
          <w:numId w:val="54"/>
        </w:numPr>
        <w:rPr>
          <w:lang w:val="en-AU"/>
        </w:rPr>
      </w:pPr>
      <w:r w:rsidRPr="009A1A2E">
        <w:rPr>
          <w:lang w:val="en-AU"/>
        </w:rPr>
        <w:t>Meningitis, malaria, cytomegalovirus, or other infections such as mumps, toxoplasmosis and measles occur. These are particularly common in poor developing countries.</w:t>
      </w:r>
    </w:p>
    <w:p w14:paraId="68E2F10E" w14:textId="77777777" w:rsidR="00E5193D" w:rsidRPr="009A1A2E" w:rsidRDefault="00E5193D" w:rsidP="00B853EF">
      <w:pPr>
        <w:pStyle w:val="Textbody"/>
        <w:numPr>
          <w:ilvl w:val="0"/>
          <w:numId w:val="54"/>
        </w:numPr>
        <w:rPr>
          <w:lang w:val="en-AU"/>
        </w:rPr>
      </w:pPr>
      <w:r w:rsidRPr="009A1A2E">
        <w:rPr>
          <w:lang w:val="en-AU"/>
        </w:rPr>
        <w:t>Iodine deficiency leading to endemic cretinism – one sixth of the world population is at risk of iodine deficiency; the numbers with related hearing loss are not known.</w:t>
      </w:r>
    </w:p>
    <w:p w14:paraId="65469760" w14:textId="77777777" w:rsidR="00E5193D" w:rsidRPr="009A1A2E" w:rsidRDefault="00E5193D" w:rsidP="00B853EF">
      <w:pPr>
        <w:pStyle w:val="Textbody"/>
        <w:numPr>
          <w:ilvl w:val="0"/>
          <w:numId w:val="54"/>
        </w:numPr>
        <w:rPr>
          <w:lang w:val="en-AU"/>
        </w:rPr>
      </w:pPr>
      <w:r w:rsidRPr="009A1A2E">
        <w:rPr>
          <w:lang w:val="en-AU"/>
        </w:rPr>
        <w:t>Noise induced hearing loss (NIHL) due to excessive noise exposure, either social or industrial. Most developed countries have legislation limiting the noise exposure at work to no more than 90dB. In recent years, the impact of social noise has become apparent and studies indicate that young people are losing some high frequency hearing from loud music in enclosed places such as dance clubs, or when using personal stereos. Much talk is made about the need to raise awareness of the problem but very few countries have sufficiently robust legislation to protect the public.</w:t>
      </w:r>
    </w:p>
    <w:p w14:paraId="602A304A" w14:textId="77777777" w:rsidR="00E5193D" w:rsidRPr="009A1A2E" w:rsidRDefault="00E5193D" w:rsidP="00B853EF">
      <w:pPr>
        <w:pStyle w:val="Textbody"/>
        <w:numPr>
          <w:ilvl w:val="0"/>
          <w:numId w:val="54"/>
        </w:numPr>
        <w:rPr>
          <w:lang w:val="en-AU"/>
        </w:rPr>
      </w:pPr>
      <w:r w:rsidRPr="009A1A2E">
        <w:rPr>
          <w:lang w:val="en-AU"/>
        </w:rPr>
        <w:lastRenderedPageBreak/>
        <w:t xml:space="preserve">Ototoxicity is a common cause of hearing loss. It is well known that many powerful drugs such as some antibiotics, or cytotoxics (anti-cancer drugs) can damage the hearing with some people being more susceptible than others. However, in life threatening conditions hearing loss may be a lesser consideration. </w:t>
      </w:r>
    </w:p>
    <w:p w14:paraId="4D8B6EBC" w14:textId="77777777" w:rsidR="00E5193D" w:rsidRPr="009A1A2E" w:rsidRDefault="00E5193D" w:rsidP="00B853EF">
      <w:pPr>
        <w:pStyle w:val="Textbody"/>
        <w:numPr>
          <w:ilvl w:val="0"/>
          <w:numId w:val="54"/>
        </w:numPr>
        <w:rPr>
          <w:lang w:val="en-AU"/>
        </w:rPr>
      </w:pPr>
      <w:r w:rsidRPr="009A1A2E">
        <w:rPr>
          <w:lang w:val="en-AU"/>
        </w:rPr>
        <w:t>Presbyacusis is the hearing impairment caused by aging of hair cells in the cochlea. There is no direct cause and there is no specific treatment apart from hearing rehabilitation. Since the world population is aging, more and more adults are affected.</w:t>
      </w:r>
    </w:p>
    <w:p w14:paraId="7923F2B1" w14:textId="77777777" w:rsidR="00E5193D" w:rsidRPr="009A1A2E" w:rsidRDefault="00E5193D" w:rsidP="00B853EF">
      <w:pPr>
        <w:pStyle w:val="Textbody"/>
        <w:numPr>
          <w:ilvl w:val="0"/>
          <w:numId w:val="54"/>
        </w:numPr>
        <w:rPr>
          <w:lang w:val="en-AU"/>
        </w:rPr>
      </w:pPr>
      <w:r w:rsidRPr="009A1A2E">
        <w:rPr>
          <w:lang w:val="en-AU"/>
        </w:rPr>
        <w:t xml:space="preserve">Sudden hearing loss, sporadic occurrence often idiopathic. </w:t>
      </w:r>
    </w:p>
    <w:p w14:paraId="73226CAE" w14:textId="77777777" w:rsidR="00E5193D" w:rsidRPr="009A1A2E" w:rsidRDefault="00E5193D" w:rsidP="00B853EF">
      <w:pPr>
        <w:pStyle w:val="Textbody"/>
        <w:numPr>
          <w:ilvl w:val="0"/>
          <w:numId w:val="53"/>
        </w:numPr>
        <w:rPr>
          <w:lang w:val="en-AU"/>
        </w:rPr>
      </w:pPr>
      <w:r w:rsidRPr="009A1A2E">
        <w:rPr>
          <w:lang w:val="en-AU"/>
        </w:rPr>
        <w:t>A recent syst</w:t>
      </w:r>
      <w:r w:rsidR="00612CA7" w:rsidRPr="009A1A2E">
        <w:rPr>
          <w:lang w:val="en-AU"/>
        </w:rPr>
        <w:t>ematic review estimated that 30% of European men, and 20</w:t>
      </w:r>
      <w:r w:rsidRPr="009A1A2E">
        <w:rPr>
          <w:lang w:val="en-AU"/>
        </w:rPr>
        <w:t xml:space="preserve">% of European women over the age of 70, had </w:t>
      </w:r>
      <w:r w:rsidR="00612CA7" w:rsidRPr="009A1A2E">
        <w:rPr>
          <w:lang w:val="en-AU"/>
        </w:rPr>
        <w:t xml:space="preserve">age-related hearing loss (of 30 </w:t>
      </w:r>
      <w:r w:rsidRPr="009A1A2E">
        <w:rPr>
          <w:lang w:val="en-AU"/>
        </w:rPr>
        <w:t>dB HL or more in their better ear), and by the age of 80, th</w:t>
      </w:r>
      <w:r w:rsidR="00612CA7" w:rsidRPr="009A1A2E">
        <w:rPr>
          <w:lang w:val="en-AU"/>
        </w:rPr>
        <w:t>is increased to 55% of men and 45</w:t>
      </w:r>
      <w:r w:rsidR="00EA3CB3" w:rsidRPr="009A1A2E">
        <w:rPr>
          <w:lang w:val="en-AU"/>
        </w:rPr>
        <w:t xml:space="preserve">% of women </w:t>
      </w:r>
      <w:r w:rsidR="00EA3CB3" w:rsidRPr="009A1A2E">
        <w:rPr>
          <w:lang w:val="en-AU"/>
        </w:rPr>
        <w:fldChar w:fldCharType="begin"/>
      </w:r>
      <w:r w:rsidR="00D85D29">
        <w:rPr>
          <w:lang w:val="en-AU"/>
        </w:rPr>
        <w:instrText xml:space="preserve"> ADDIN REFMGR.CITE &lt;Refman&gt;&lt;Cite&gt;&lt;Author&gt;Roth&lt;/Author&gt;&lt;Year&gt;2011&lt;/Year&gt;&lt;RecNum&gt;628&lt;/RecNum&gt;&lt;IDText&gt;Prevalence of age-related hearing loss in Europe: a review&lt;/IDText&gt;&lt;MDL Ref_Type="Journal"&gt;&lt;Ref_Type&gt;Journal&lt;/Ref_Type&gt;&lt;Ref_ID&gt;628&lt;/Ref_ID&gt;&lt;Title_Primary&gt;Prevalence of age-related hearing loss in Europe: a review&lt;/Title_Primary&gt;&lt;Authors_Primary&gt;Roth,T.N.&lt;/Authors_Primary&gt;&lt;Authors_Primary&gt;Hanebuth,D.&lt;/Authors_Primary&gt;&lt;Authors_Primary&gt;Probst,R.&lt;/Authors_Primary&gt;&lt;Date_Primary&gt;2011/8&lt;/Date_Primary&gt;&lt;Keywords&gt;Aged&lt;/Keywords&gt;&lt;Keywords&gt;Aging&lt;/Keywords&gt;&lt;Keywords&gt;classification&lt;/Keywords&gt;&lt;Keywords&gt;epidemiology&lt;/Keywords&gt;&lt;Keywords&gt;Europe&lt;/Keywords&gt;&lt;Keywords&gt;Health Surveys&lt;/Keywords&gt;&lt;Keywords&gt;Hearing&lt;/Keywords&gt;&lt;Keywords&gt;Hearing Loss&lt;/Keywords&gt;&lt;Keywords&gt;Humans&lt;/Keywords&gt;&lt;Keywords&gt;Language&lt;/Keywords&gt;&lt;Keywords&gt;Prevalence&lt;/Keywords&gt;&lt;Keywords&gt;surgery&lt;/Keywords&gt;&lt;Keywords&gt;Time&lt;/Keywords&gt;&lt;Reprint&gt;Not in File&lt;/Reprint&gt;&lt;Start_Page&gt;1101&lt;/Start_Page&gt;&lt;End_Page&gt;1107&lt;/End_Page&gt;&lt;Periodical&gt;Eur.Arch.Otorhinolaryngol.&lt;/Periodical&gt;&lt;Volume&gt;268&lt;/Volume&gt;&lt;Issue&gt;8&lt;/Issue&gt;&lt;User_Def_5&gt;PMC3132411&lt;/User_Def_5&gt;&lt;Misc_3&gt;10.1007/s00405-011-1597-8 [doi]&lt;/Misc_3&gt;&lt;Address&gt;Department of Otorhinolaryngology, Head and Neck Surgery, University Hospital of Zurich, Frauenklinikstr. 24, 8091 Zurich, Switzerland. thomas.roth@usz.ch&lt;/Address&gt;&lt;Web_URL&gt;PM:21499871&lt;/Web_URL&gt;&lt;ZZ_JournalStdAbbrev&gt;&lt;f name="System"&gt;Eur.Arch.Otorhinolaryngol.&lt;/f&gt;&lt;/ZZ_JournalStdAbbrev&gt;&lt;ZZ_WorkformID&gt;1&lt;/ZZ_WorkformID&gt;&lt;/MDL&gt;&lt;/Cite&gt;&lt;/Refman&gt;</w:instrText>
      </w:r>
      <w:r w:rsidR="00EA3CB3" w:rsidRPr="009A1A2E">
        <w:rPr>
          <w:lang w:val="en-AU"/>
        </w:rPr>
        <w:fldChar w:fldCharType="separate"/>
      </w:r>
      <w:r w:rsidR="00CC5316" w:rsidRPr="009A1A2E">
        <w:rPr>
          <w:noProof/>
          <w:lang w:val="en-AU"/>
        </w:rPr>
        <w:t>(Roth et al., 2011)</w:t>
      </w:r>
      <w:r w:rsidR="00EA3CB3" w:rsidRPr="009A1A2E">
        <w:rPr>
          <w:lang w:val="en-AU"/>
        </w:rPr>
        <w:fldChar w:fldCharType="end"/>
      </w:r>
      <w:r w:rsidRPr="009A1A2E">
        <w:rPr>
          <w:lang w:val="en-AU"/>
        </w:rPr>
        <w:t>. In the US, one study found a prevalence rate of hearing l</w:t>
      </w:r>
      <w:r w:rsidR="00612CA7" w:rsidRPr="009A1A2E">
        <w:rPr>
          <w:lang w:val="en-AU"/>
        </w:rPr>
        <w:t>oss (of 25 dB HL or more) of 63</w:t>
      </w:r>
      <w:r w:rsidRPr="009A1A2E">
        <w:rPr>
          <w:lang w:val="en-AU"/>
        </w:rPr>
        <w:t xml:space="preserve">% in US adults over the age of 70 </w:t>
      </w:r>
      <w:r w:rsidR="00CC5316" w:rsidRPr="009A1A2E">
        <w:rPr>
          <w:lang w:val="en-AU"/>
        </w:rPr>
        <w:fldChar w:fldCharType="begin"/>
      </w:r>
      <w:r w:rsidR="00D85D29">
        <w:rPr>
          <w:lang w:val="en-AU"/>
        </w:rPr>
        <w:instrText xml:space="preserve"> ADDIN REFMGR.CITE &lt;Refman&gt;&lt;Cite&gt;&lt;Author&gt;Lin&lt;/Author&gt;&lt;Year&gt;2011&lt;/Year&gt;&lt;RecNum&gt;662&lt;/RecNum&gt;&lt;IDText&gt;Hearing loss prevalence in the United States&lt;/IDText&gt;&lt;MDL Ref_Type="Journal"&gt;&lt;Ref_Type&gt;Journal&lt;/Ref_Type&gt;&lt;Ref_ID&gt;662&lt;/Ref_ID&gt;&lt;Title_Primary&gt;Hearing loss prevalence in the United States&lt;/Title_Primary&gt;&lt;Authors_Primary&gt;Lin,F.R.&lt;/Authors_Primary&gt;&lt;Authors_Primary&gt;Niparko,J.K.&lt;/Authors_Primary&gt;&lt;Authors_Primary&gt;Ferrucci,L.&lt;/Authors_Primary&gt;&lt;Date_Primary&gt;2011/11/14&lt;/Date_Primary&gt;&lt;Keywords&gt;Adolescent&lt;/Keywords&gt;&lt;Keywords&gt;Adult&lt;/Keywords&gt;&lt;Keywords&gt;Aged&lt;/Keywords&gt;&lt;Keywords&gt;Audiometry&lt;/Keywords&gt;&lt;Keywords&gt;Child&lt;/Keywords&gt;&lt;Keywords&gt;Communication Disorders&lt;/Keywords&gt;&lt;Keywords&gt;complications&lt;/Keywords&gt;&lt;Keywords&gt;diagnosis&lt;/Keywords&gt;&lt;Keywords&gt;epidemiology&lt;/Keywords&gt;&lt;Keywords&gt;Ethnic Groups&lt;/Keywords&gt;&lt;Keywords&gt;etiology&lt;/Keywords&gt;&lt;Keywords&gt;Female&lt;/Keywords&gt;&lt;Keywords&gt;Health Surveys&lt;/Keywords&gt;&lt;Keywords&gt;Hearing&lt;/Keywords&gt;&lt;Keywords&gt;Hearing Loss&lt;/Keywords&gt;&lt;Keywords&gt;Humans&lt;/Keywords&gt;&lt;Keywords&gt;Male&lt;/Keywords&gt;&lt;Keywords&gt;Middle Aged&lt;/Keywords&gt;&lt;Keywords&gt;Prevalence&lt;/Keywords&gt;&lt;Keywords&gt;Severity of Illness Index&lt;/Keywords&gt;&lt;Keywords&gt;statistics &amp;amp; numerical data&lt;/Keywords&gt;&lt;Keywords&gt;United States&lt;/Keywords&gt;&lt;Reprint&gt;Not in File&lt;/Reprint&gt;&lt;Start_Page&gt;1851&lt;/Start_Page&gt;&lt;End_Page&gt;1852&lt;/End_Page&gt;&lt;Periodical&gt;Arch.Intern.Med.&lt;/Periodical&gt;&lt;Volume&gt;171&lt;/Volume&gt;&lt;Issue&gt;20&lt;/Issue&gt;&lt;User_Def_5&gt;PMC3564588&lt;/User_Def_5&gt;&lt;Misc_3&gt;171/20/1851 [pii];10.1001/archinternmed.2011.506 [doi]&lt;/Misc_3&gt;&lt;Web_URL&gt;PM:22083573&lt;/Web_URL&gt;&lt;ZZ_JournalFull&gt;&lt;f name="System"&gt;Arch.Intern.Med.&lt;/f&gt;&lt;/ZZ_JournalFull&gt;&lt;ZZ_WorkformID&gt;1&lt;/ZZ_WorkformID&gt;&lt;/MDL&gt;&lt;/Cite&gt;&lt;/Refman&gt;</w:instrText>
      </w:r>
      <w:r w:rsidR="00CC5316" w:rsidRPr="009A1A2E">
        <w:rPr>
          <w:lang w:val="en-AU"/>
        </w:rPr>
        <w:fldChar w:fldCharType="separate"/>
      </w:r>
      <w:r w:rsidR="00CC5316" w:rsidRPr="009A1A2E">
        <w:rPr>
          <w:noProof/>
          <w:lang w:val="en-AU"/>
        </w:rPr>
        <w:t>(Lin et al., 2011)</w:t>
      </w:r>
      <w:r w:rsidR="00CC5316" w:rsidRPr="009A1A2E">
        <w:rPr>
          <w:lang w:val="en-AU"/>
        </w:rPr>
        <w:fldChar w:fldCharType="end"/>
      </w:r>
      <w:r w:rsidRPr="009A1A2E">
        <w:rPr>
          <w:lang w:val="en-AU"/>
        </w:rPr>
        <w:t xml:space="preserve">. Inconsistencies in the definitions of hearing loss, ear (better ear or worse ear) in which the hearing level is measured, and the age ranges used to distinguish age-related hearing loss exist across the few available studies on adult onset hearing loss, making it difficult to determine the prevalence of hearing loss more precisely </w:t>
      </w:r>
      <w:r w:rsidR="00CC5316" w:rsidRPr="009A1A2E">
        <w:rPr>
          <w:lang w:val="en-AU"/>
        </w:rPr>
        <w:fldChar w:fldCharType="begin">
          <w:fldData xml:space="preserve">PFJlZm1hbj48Q2l0ZT48QXV0aG9yPkxpbjwvQXV0aG9yPjxZZWFyPjIwMTE8L1llYXI+PFJlY051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</w:fldData>
        </w:fldChar>
      </w:r>
      <w:r w:rsidR="00D85D29">
        <w:rPr>
          <w:lang w:val="en-AU"/>
        </w:rPr>
        <w:instrText xml:space="preserve"> ADDIN REFMGR.CITE </w:instrText>
      </w:r>
      <w:r w:rsidR="00D85D29">
        <w:rPr>
          <w:lang w:val="en-AU"/>
        </w:rPr>
        <w:fldChar w:fldCharType="begin">
          <w:fldData xml:space="preserve">PFJlZm1hbj48Q2l0ZT48QXV0aG9yPkxpbjwvQXV0aG9yPjxZZWFyPjIwMTE8L1llYXI+PFJlY051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</w:fldData>
        </w:fldChar>
      </w:r>
      <w:r w:rsidR="00D85D29">
        <w:rPr>
          <w:lang w:val="en-AU"/>
        </w:rPr>
        <w:instrText xml:space="preserve"> ADDIN EN.CITE.DATA </w:instrText>
      </w:r>
      <w:r w:rsidR="00D85D29">
        <w:rPr>
          <w:lang w:val="en-AU"/>
        </w:rPr>
      </w:r>
      <w:r w:rsidR="00D85D29">
        <w:rPr>
          <w:lang w:val="en-AU"/>
        </w:rPr>
        <w:fldChar w:fldCharType="end"/>
      </w:r>
      <w:r w:rsidR="00CC5316" w:rsidRPr="009A1A2E">
        <w:rPr>
          <w:lang w:val="en-AU"/>
        </w:rPr>
      </w:r>
      <w:r w:rsidR="00CC5316" w:rsidRPr="009A1A2E">
        <w:rPr>
          <w:lang w:val="en-AU"/>
        </w:rPr>
        <w:fldChar w:fldCharType="separate"/>
      </w:r>
      <w:r w:rsidR="005C5FFC">
        <w:rPr>
          <w:noProof/>
          <w:lang w:val="en-AU"/>
        </w:rPr>
        <w:t>(Lin et al., 2011</w:t>
      </w:r>
      <w:r w:rsidR="00CC5316" w:rsidRPr="009A1A2E">
        <w:rPr>
          <w:noProof/>
          <w:lang w:val="en-AU"/>
        </w:rPr>
        <w:t>)</w:t>
      </w:r>
      <w:r w:rsidR="00CC5316" w:rsidRPr="009A1A2E">
        <w:rPr>
          <w:lang w:val="en-AU"/>
        </w:rPr>
        <w:fldChar w:fldCharType="end"/>
      </w:r>
      <w:r w:rsidRPr="009A1A2E">
        <w:rPr>
          <w:lang w:val="en-AU"/>
        </w:rPr>
        <w:t>.</w:t>
      </w:r>
    </w:p>
    <w:p w14:paraId="0AB03D22" w14:textId="77777777" w:rsidR="00E5193D" w:rsidRPr="009A1A2E" w:rsidRDefault="00E5193D" w:rsidP="00B853EF">
      <w:pPr>
        <w:pStyle w:val="Textbody"/>
        <w:numPr>
          <w:ilvl w:val="0"/>
          <w:numId w:val="53"/>
        </w:numPr>
        <w:rPr>
          <w:lang w:val="en-AU"/>
        </w:rPr>
      </w:pPr>
      <w:r w:rsidRPr="009A1A2E">
        <w:rPr>
          <w:lang w:val="en-AU"/>
        </w:rPr>
        <w:t xml:space="preserve">In children, the prevalence of </w:t>
      </w:r>
      <w:r w:rsidR="00612CA7" w:rsidRPr="009A1A2E">
        <w:rPr>
          <w:lang w:val="en-AU"/>
        </w:rPr>
        <w:t>sensorineural hearing loss (&gt;40</w:t>
      </w:r>
      <w:r w:rsidRPr="009A1A2E">
        <w:rPr>
          <w:lang w:val="en-AU"/>
        </w:rPr>
        <w:t xml:space="preserve">dB) is estimated to be 1 in 1,000 live births </w:t>
      </w:r>
      <w:r w:rsidR="00CC5316" w:rsidRPr="009A1A2E">
        <w:rPr>
          <w:lang w:val="en-AU"/>
        </w:rPr>
        <w:fldChar w:fldCharType="begin"/>
      </w:r>
      <w:r w:rsidR="00D85D29">
        <w:rPr>
          <w:lang w:val="en-AU"/>
        </w:rPr>
        <w:instrText xml:space="preserve"> ADDIN REFMGR.CITE &lt;Refman&gt;&lt;Cite&gt;&lt;Author&gt;Carney&lt;/Author&gt;&lt;Year&gt;1998&lt;/Year&gt;&lt;RecNum&gt;664&lt;/RecNum&gt;&lt;IDText&gt;Treatment efficacy: hearing loss in children&lt;/IDText&gt;&lt;MDL Ref_Type="Journal"&gt;&lt;Ref_Type&gt;Journal&lt;/Ref_Type&gt;&lt;Ref_ID&gt;664&lt;/Ref_ID&gt;&lt;Title_Primary&gt;Treatment efficacy: hearing loss in children&lt;/Title_Primary&gt;&lt;Authors_Primary&gt;Carney,A.E.&lt;/Authors_Primary&gt;&lt;Authors_Primary&gt;Moeller,M.P.&lt;/Authors_Primary&gt;&lt;Date_Primary&gt;1998/2&lt;/Date_Primary&gt;&lt;Keywords&gt;Child Language&lt;/Keywords&gt;&lt;Keywords&gt;Cochlear Implantation&lt;/Keywords&gt;&lt;Keywords&gt;Cochlear Implants&lt;/Keywords&gt;&lt;Keywords&gt;Communication&lt;/Keywords&gt;&lt;Keywords&gt;complications&lt;/Keywords&gt;&lt;Keywords&gt;etiology&lt;/Keywords&gt;&lt;Keywords&gt;Female&lt;/Keywords&gt;&lt;Keywords&gt;Hearing&lt;/Keywords&gt;&lt;Keywords&gt;Hearing Aids&lt;/Keywords&gt;&lt;Keywords&gt;Hearing Loss&lt;/Keywords&gt;&lt;Keywords&gt;Hearing Loss,Sensorineural&lt;/Keywords&gt;&lt;Keywords&gt;Humans&lt;/Keywords&gt;&lt;Keywords&gt;Incidence&lt;/Keywords&gt;&lt;Keywords&gt;Infant&lt;/Keywords&gt;&lt;Keywords&gt;Language&lt;/Keywords&gt;&lt;Keywords&gt;Language Development&lt;/Keywords&gt;&lt;Keywords&gt;Language Disorders&lt;/Keywords&gt;&lt;Keywords&gt;Perception&lt;/Keywords&gt;&lt;Keywords&gt;Prevalence&lt;/Keywords&gt;&lt;Keywords&gt;rehabilitation&lt;/Keywords&gt;&lt;Keywords&gt;Socialization&lt;/Keywords&gt;&lt;Keywords&gt;Speech&lt;/Keywords&gt;&lt;Keywords&gt;Speech Perception&lt;/Keywords&gt;&lt;Keywords&gt;Treatment Outcome&lt;/Keywords&gt;&lt;Reprint&gt;Not in File&lt;/Reprint&gt;&lt;Start_Page&gt;S61&lt;/Start_Page&gt;&lt;End_Page&gt;S84&lt;/End_Page&gt;&lt;Periodical&gt;J.Speech Lang Hear.Res.&lt;/Periodical&gt;&lt;Volume&gt;41&lt;/Volume&gt;&lt;Issue&gt;1&lt;/Issue&gt;&lt;Address&gt;University of Minnesota, Minneapolis 55455, USA. carne005@tc.umn.edu&lt;/Address&gt;&lt;Web_URL&gt;PM:9493747&lt;/Web_URL&gt;&lt;ZZ_JournalStdAbbrev&gt;&lt;f name="System"&gt;J.Speech Lang Hear.Res.&lt;/f&gt;&lt;/ZZ_JournalStdAbbrev&gt;&lt;ZZ_WorkformID&gt;1&lt;/ZZ_WorkformID&gt;&lt;/MDL&gt;&lt;/Cite&gt;&lt;/Refman&gt;</w:instrText>
      </w:r>
      <w:r w:rsidR="00CC5316" w:rsidRPr="009A1A2E">
        <w:rPr>
          <w:lang w:val="en-AU"/>
        </w:rPr>
        <w:fldChar w:fldCharType="separate"/>
      </w:r>
      <w:r w:rsidR="00CC5316" w:rsidRPr="009A1A2E">
        <w:rPr>
          <w:noProof/>
          <w:lang w:val="en-AU"/>
        </w:rPr>
        <w:t>(Carney and Moeller, 1998)</w:t>
      </w:r>
      <w:r w:rsidR="00CC5316" w:rsidRPr="009A1A2E">
        <w:rPr>
          <w:lang w:val="en-AU"/>
        </w:rPr>
        <w:fldChar w:fldCharType="end"/>
      </w:r>
      <w:r w:rsidRPr="009A1A2E">
        <w:rPr>
          <w:lang w:val="en-AU"/>
        </w:rPr>
        <w:t xml:space="preserve">. Children seem to be developing noise-induced hearing loss at increasing rates, possibly due to the use of musical instruments, </w:t>
      </w:r>
      <w:r w:rsidR="00944F5B" w:rsidRPr="009A1A2E">
        <w:rPr>
          <w:lang w:val="en-AU"/>
        </w:rPr>
        <w:t>aud</w:t>
      </w:r>
      <w:r w:rsidRPr="009A1A2E">
        <w:rPr>
          <w:lang w:val="en-AU"/>
        </w:rPr>
        <w:t>io equipment, fireworks, toy guns and telephones.</w:t>
      </w:r>
    </w:p>
    <w:p w14:paraId="262606D0" w14:textId="77777777" w:rsidR="00E5193D" w:rsidRPr="009A1A2E" w:rsidRDefault="00E5193D" w:rsidP="00B853EF">
      <w:pPr>
        <w:pStyle w:val="Textbody"/>
        <w:numPr>
          <w:ilvl w:val="0"/>
          <w:numId w:val="53"/>
        </w:numPr>
        <w:rPr>
          <w:lang w:val="en-AU"/>
        </w:rPr>
      </w:pPr>
      <w:r w:rsidRPr="009A1A2E">
        <w:rPr>
          <w:lang w:val="en-AU"/>
        </w:rPr>
        <w:t>Middle ear implants are significantly more expensive than external hearing aids and involve a technically difficult surgical procedure – as a result they may not appeal to many</w:t>
      </w:r>
      <w:r w:rsidR="00B616F2" w:rsidRPr="009A1A2E">
        <w:rPr>
          <w:lang w:val="en-AU"/>
        </w:rPr>
        <w:t xml:space="preserve"> patients </w:t>
      </w:r>
      <w:r w:rsidR="00B616F2" w:rsidRPr="009A1A2E">
        <w:rPr>
          <w:lang w:val="en-AU"/>
        </w:rPr>
        <w:fldChar w:fldCharType="begin"/>
      </w:r>
      <w:r w:rsidR="00D85D29">
        <w:rPr>
          <w:lang w:val="en-AU"/>
        </w:rPr>
        <w:instrText xml:space="preserve"> ADDIN REFMGR.CITE &lt;Refman&gt;&lt;Cite&gt;&lt;Author&gt;Shohet&lt;/Author&gt;&lt;Year&gt;2011&lt;/Year&gt;&lt;RecNum&gt;629&lt;/RecNum&gt;&lt;IDText&gt;Profound high-frequency sensorineural hearing loss treatment with a totally implantable hearing system&lt;/IDText&gt;&lt;MDL Ref_Type="Journal"&gt;&lt;Ref_Type&gt;Journal&lt;/Ref_Type&gt;&lt;Ref_ID&gt;629&lt;/Ref_ID&gt;&lt;Title_Primary&gt;Profound high-frequency sensorineural hearing loss treatment with a totally implantable hearing system&lt;/Title_Primary&gt;&lt;Authors_Primary&gt;Shohet,J.A.&lt;/Authors_Primary&gt;&lt;Authors_Primary&gt;Kraus,E.M.&lt;/Authors_Primary&gt;&lt;Authors_Primary&gt;Catalano,P.J.&lt;/Authors_Primary&gt;&lt;Date_Primary&gt;2011/12&lt;/Date_Primary&gt;&lt;Keywords&gt;Adult&lt;/Keywords&gt;&lt;Keywords&gt;Auditory Threshold&lt;/Keywords&gt;&lt;Keywords&gt;Bone Conduction&lt;/Keywords&gt;&lt;Keywords&gt;Ear&lt;/Keywords&gt;&lt;Keywords&gt;Ear,Middle&lt;/Keywords&gt;&lt;Keywords&gt;Hearing&lt;/Keywords&gt;&lt;Keywords&gt;Hearing Loss&lt;/Keywords&gt;&lt;Keywords&gt;Hearing Loss,High-Frequency&lt;/Keywords&gt;&lt;Keywords&gt;Hearing Loss,Sensorineural&lt;/Keywords&gt;&lt;Keywords&gt;Humans&lt;/Keywords&gt;&lt;Keywords&gt;Ossicular Prosthesis&lt;/Keywords&gt;&lt;Keywords&gt;Prospective Studies&lt;/Keywords&gt;&lt;Keywords&gt;Prosthesis Design&lt;/Keywords&gt;&lt;Keywords&gt;Prosthesis Implantation&lt;/Keywords&gt;&lt;Keywords&gt;Speech&lt;/Keywords&gt;&lt;Keywords&gt;surgery&lt;/Keywords&gt;&lt;Keywords&gt;Treatment Outcome&lt;/Keywords&gt;&lt;Reprint&gt;Not in File&lt;/Reprint&gt;&lt;Start_Page&gt;1428&lt;/Start_Page&gt;&lt;End_Page&gt;1431&lt;/End_Page&gt;&lt;Periodical&gt;Otol.Neurotol.&lt;/Periodical&gt;&lt;Volume&gt;32&lt;/Volume&gt;&lt;Issue&gt;9&lt;/Issue&gt;&lt;Misc_3&gt;10.1097/MAO.0b013e3182382bc8 [doi]&lt;/Misc_3&gt;&lt;Address&gt;Shohet Ear Associates, Newport Beach, California, USA. JShohet@eardoctor.org&lt;/Address&gt;&lt;Web_URL&gt;PM:22072264&lt;/Web_URL&gt;&lt;ZZ_JournalStdAbbrev&gt;&lt;f name="System"&gt;Otol.Neurotol.&lt;/f&gt;&lt;/ZZ_JournalStdAbbrev&gt;&lt;ZZ_WorkformID&gt;1&lt;/ZZ_WorkformID&gt;&lt;/MDL&gt;&lt;/Cite&gt;&lt;/Refman&gt;</w:instrText>
      </w:r>
      <w:r w:rsidR="00B616F2" w:rsidRPr="009A1A2E">
        <w:rPr>
          <w:lang w:val="en-AU"/>
        </w:rPr>
        <w:fldChar w:fldCharType="separate"/>
      </w:r>
      <w:r w:rsidR="00B616F2" w:rsidRPr="009A1A2E">
        <w:rPr>
          <w:noProof/>
          <w:lang w:val="en-AU"/>
        </w:rPr>
        <w:t>(Shohet et al., 2011)</w:t>
      </w:r>
      <w:r w:rsidR="00B616F2" w:rsidRPr="009A1A2E">
        <w:rPr>
          <w:lang w:val="en-AU"/>
        </w:rPr>
        <w:fldChar w:fldCharType="end"/>
      </w:r>
      <w:r w:rsidRPr="009A1A2E">
        <w:rPr>
          <w:lang w:val="en-AU"/>
        </w:rPr>
        <w:t>.</w:t>
      </w:r>
    </w:p>
    <w:p w14:paraId="1BE01BA7" w14:textId="77777777" w:rsidR="0046488B" w:rsidRPr="009A1A2E" w:rsidRDefault="0046488B" w:rsidP="00757DDD">
      <w:pPr>
        <w:pStyle w:val="Textbody"/>
        <w:rPr>
          <w:lang w:val="en-AU"/>
        </w:rPr>
      </w:pPr>
    </w:p>
    <w:p w14:paraId="7F919115" w14:textId="77777777" w:rsidR="0046488B" w:rsidRPr="009A1A2E" w:rsidRDefault="00583406" w:rsidP="00A52ABF">
      <w:pPr>
        <w:pStyle w:val="Heading30"/>
        <w:rPr>
          <w:lang w:val="en-AU"/>
        </w:rPr>
      </w:pPr>
      <w:bookmarkStart w:id="337" w:name="_Toc400549401"/>
      <w:bookmarkStart w:id="338" w:name="_Toc431917554"/>
      <w:r w:rsidRPr="009A1A2E">
        <w:rPr>
          <w:lang w:val="en-AU"/>
        </w:rPr>
        <w:t>A.2.</w:t>
      </w:r>
      <w:r w:rsidR="0046488B" w:rsidRPr="009A1A2E">
        <w:rPr>
          <w:lang w:val="en-AU"/>
        </w:rPr>
        <w:t>3</w:t>
      </w:r>
      <w:r w:rsidRPr="009A1A2E">
        <w:rPr>
          <w:lang w:val="en-AU"/>
        </w:rPr>
        <w:t>.</w:t>
      </w:r>
      <w:r w:rsidRPr="009A1A2E">
        <w:rPr>
          <w:lang w:val="en-AU"/>
        </w:rPr>
        <w:tab/>
        <w:t>Existing arrangements</w:t>
      </w:r>
      <w:bookmarkEnd w:id="337"/>
      <w:bookmarkEnd w:id="338"/>
    </w:p>
    <w:p w14:paraId="0E77D468" w14:textId="77777777" w:rsidR="009508D4" w:rsidRPr="009A1A2E" w:rsidRDefault="001F3C37" w:rsidP="00757DDD">
      <w:pPr>
        <w:pStyle w:val="Textbody"/>
        <w:rPr>
          <w:lang w:val="en-AU"/>
        </w:rPr>
      </w:pPr>
      <w:bookmarkStart w:id="339" w:name="_Ref335579829"/>
      <w:bookmarkStart w:id="340" w:name="_Toc331766446"/>
      <w:bookmarkStart w:id="341" w:name="_Toc335665971"/>
      <w:r w:rsidRPr="009A1A2E">
        <w:rPr>
          <w:lang w:val="en-AU"/>
        </w:rPr>
        <w:t xml:space="preserve">Individuals are identified through </w:t>
      </w:r>
      <w:r w:rsidR="00944F5B" w:rsidRPr="009A1A2E">
        <w:rPr>
          <w:lang w:val="en-AU"/>
        </w:rPr>
        <w:t>aud</w:t>
      </w:r>
      <w:r w:rsidRPr="009A1A2E">
        <w:rPr>
          <w:lang w:val="en-AU"/>
        </w:rPr>
        <w:t>iometric testing to identify mild to severe sensorineural hearing loss with a PTA4 below 80 dB HL, unaided speech recognition above 65</w:t>
      </w:r>
      <w:r w:rsidR="0054599A" w:rsidRPr="009A1A2E">
        <w:rPr>
          <w:lang w:val="en-AU"/>
        </w:rPr>
        <w:t>%</w:t>
      </w:r>
      <w:r w:rsidRPr="009A1A2E">
        <w:rPr>
          <w:lang w:val="en-AU"/>
        </w:rPr>
        <w:t xml:space="preserve">, and the presence of an outer ear pathology. Outer ear pathologies are treated conservatively by an ENT doctor, even though the results may not always be successful. </w:t>
      </w:r>
      <w:r w:rsidR="00B92DD7" w:rsidRPr="009A1A2E">
        <w:rPr>
          <w:lang w:val="en-AU"/>
        </w:rPr>
        <w:t xml:space="preserve">Patients with sensorineural hearing loss are usually treated by conventional HAs, or by a cochlear implant when amplification is insufficient. </w:t>
      </w:r>
    </w:p>
    <w:p w14:paraId="261C6456" w14:textId="77777777" w:rsidR="009508D4" w:rsidRPr="009A1A2E" w:rsidRDefault="00B92DD7" w:rsidP="00757DDD">
      <w:pPr>
        <w:pStyle w:val="Textbody"/>
        <w:rPr>
          <w:lang w:val="en-AU"/>
        </w:rPr>
      </w:pPr>
      <w:r w:rsidRPr="009A1A2E">
        <w:rPr>
          <w:lang w:val="en-AU"/>
        </w:rPr>
        <w:t>The patient population being proposed in this application consists of individuals who have</w:t>
      </w:r>
      <w:r w:rsidR="00E231FD" w:rsidRPr="009A1A2E">
        <w:rPr>
          <w:lang w:val="en-AU"/>
        </w:rPr>
        <w:t xml:space="preserve"> </w:t>
      </w:r>
      <w:r w:rsidR="00E231FD" w:rsidRPr="009A1A2E">
        <w:rPr>
          <w:lang w:val="en-AU"/>
        </w:rPr>
        <w:lastRenderedPageBreak/>
        <w:t xml:space="preserve">moderate to severe </w:t>
      </w:r>
      <w:r w:rsidRPr="009A1A2E">
        <w:rPr>
          <w:lang w:val="en-AU"/>
        </w:rPr>
        <w:t xml:space="preserve">sensorineural hearing </w:t>
      </w:r>
      <w:r w:rsidR="00E231FD" w:rsidRPr="009A1A2E">
        <w:rPr>
          <w:lang w:val="en-AU"/>
        </w:rPr>
        <w:t>l</w:t>
      </w:r>
      <w:r w:rsidRPr="009A1A2E">
        <w:rPr>
          <w:lang w:val="en-AU"/>
        </w:rPr>
        <w:t xml:space="preserve">oss and a medical condition precluding the use of conventional hearing aids. </w:t>
      </w:r>
      <w:r w:rsidR="00E231FD" w:rsidRPr="009A1A2E">
        <w:rPr>
          <w:lang w:val="en-AU"/>
        </w:rPr>
        <w:t>T</w:t>
      </w:r>
      <w:r w:rsidRPr="009A1A2E">
        <w:rPr>
          <w:lang w:val="en-AU"/>
        </w:rPr>
        <w:t xml:space="preserve">hese patients need to be aided, but their hearing is not at a level which requires a cochlear implant. </w:t>
      </w:r>
    </w:p>
    <w:p w14:paraId="2A4206D1" w14:textId="77777777" w:rsidR="00B92DD7" w:rsidRPr="009A1A2E" w:rsidRDefault="00B92DD7" w:rsidP="00757DDD">
      <w:pPr>
        <w:pStyle w:val="Textbody"/>
        <w:rPr>
          <w:lang w:val="en-AU"/>
        </w:rPr>
      </w:pPr>
      <w:r w:rsidRPr="009A1A2E">
        <w:rPr>
          <w:lang w:val="en-AU"/>
        </w:rPr>
        <w:t>Also, bone conduction implants are not indicated for this degree and type of hearing loss. Therefore an active middle ear implant represents their only alternative for restoring hearing.</w:t>
      </w:r>
    </w:p>
    <w:p w14:paraId="420C5605" w14:textId="77777777" w:rsidR="001F3C37" w:rsidRPr="009A1A2E" w:rsidRDefault="001F3C37" w:rsidP="00757DDD">
      <w:pPr>
        <w:pStyle w:val="Textbody"/>
        <w:rPr>
          <w:lang w:val="en-AU"/>
        </w:rPr>
      </w:pPr>
      <w:r w:rsidRPr="009A1A2E">
        <w:rPr>
          <w:lang w:val="en-AU"/>
        </w:rPr>
        <w:t xml:space="preserve">Without public funding, these patients who would be respective AMEI candidates are currently left untreated. </w:t>
      </w:r>
    </w:p>
    <w:p w14:paraId="6E4CCC57" w14:textId="77777777" w:rsidR="001F3C37" w:rsidRPr="009A1A2E" w:rsidRDefault="001F3C37" w:rsidP="00757DDD">
      <w:pPr>
        <w:pStyle w:val="Textbody"/>
        <w:rPr>
          <w:lang w:val="en-AU"/>
        </w:rPr>
      </w:pPr>
      <w:r w:rsidRPr="009A1A2E">
        <w:rPr>
          <w:lang w:val="en-AU"/>
        </w:rPr>
        <w:t>Otherwise the MEI treatment option is either self-funded or funded through exgratia private health funding.</w:t>
      </w:r>
    </w:p>
    <w:p w14:paraId="13480D3C" w14:textId="77777777" w:rsidR="001F3C37" w:rsidRPr="009A1A2E" w:rsidRDefault="001F3C37" w:rsidP="00757DDD">
      <w:pPr>
        <w:pStyle w:val="Textbody"/>
        <w:rPr>
          <w:lang w:val="en-AU"/>
        </w:rPr>
      </w:pPr>
    </w:p>
    <w:p w14:paraId="4E30725D" w14:textId="77777777" w:rsidR="00E231FD" w:rsidRPr="009A1A2E" w:rsidRDefault="00615EEC" w:rsidP="00757DDD">
      <w:pPr>
        <w:pStyle w:val="Textbody"/>
        <w:rPr>
          <w:lang w:val="en-AU"/>
        </w:rPr>
      </w:pPr>
      <w:r w:rsidRPr="009A1A2E">
        <w:rPr>
          <w:lang w:val="en-AU"/>
        </w:rPr>
        <w:t xml:space="preserve">Other devices </w:t>
      </w:r>
      <w:r w:rsidR="00E231FD" w:rsidRPr="009A1A2E">
        <w:rPr>
          <w:lang w:val="en-AU"/>
        </w:rPr>
        <w:t xml:space="preserve">as the Vibrant Soundbridge, </w:t>
      </w:r>
      <w:r w:rsidRPr="009A1A2E">
        <w:rPr>
          <w:lang w:val="en-AU"/>
        </w:rPr>
        <w:t>classified as an active middle ear implant indicated for</w:t>
      </w:r>
      <w:r w:rsidR="00BA73AA" w:rsidRPr="009A1A2E">
        <w:rPr>
          <w:lang w:val="en-AU"/>
        </w:rPr>
        <w:t xml:space="preserve"> sensorineural hearing loss</w:t>
      </w:r>
      <w:r w:rsidRPr="009A1A2E">
        <w:rPr>
          <w:lang w:val="en-AU"/>
        </w:rPr>
        <w:t xml:space="preserve"> are the Esteem (Envoy) and Carina (Otologics)</w:t>
      </w:r>
      <w:r w:rsidR="00213B3B" w:rsidRPr="009A1A2E">
        <w:rPr>
          <w:lang w:val="en-AU"/>
        </w:rPr>
        <w:t xml:space="preserve"> and are</w:t>
      </w:r>
      <w:r w:rsidRPr="009A1A2E">
        <w:rPr>
          <w:lang w:val="en-AU"/>
        </w:rPr>
        <w:t xml:space="preserve"> fully implantable hearing implants</w:t>
      </w:r>
      <w:r w:rsidR="00A04319" w:rsidRPr="009A1A2E">
        <w:rPr>
          <w:lang w:val="en-AU"/>
        </w:rPr>
        <w:t xml:space="preserve"> and as such excluded from thi</w:t>
      </w:r>
      <w:r w:rsidR="00213B3B" w:rsidRPr="009A1A2E">
        <w:rPr>
          <w:lang w:val="en-AU"/>
        </w:rPr>
        <w:t>s application</w:t>
      </w:r>
      <w:r w:rsidRPr="009A1A2E">
        <w:rPr>
          <w:lang w:val="en-AU"/>
        </w:rPr>
        <w:t xml:space="preserve">. </w:t>
      </w:r>
      <w:r w:rsidR="00BA73AA" w:rsidRPr="009A1A2E">
        <w:rPr>
          <w:lang w:val="en-AU"/>
        </w:rPr>
        <w:t>All of the</w:t>
      </w:r>
      <w:r w:rsidRPr="009A1A2E">
        <w:rPr>
          <w:lang w:val="en-AU"/>
        </w:rPr>
        <w:t xml:space="preserve"> device systems</w:t>
      </w:r>
      <w:r w:rsidR="00BA73AA" w:rsidRPr="009A1A2E">
        <w:rPr>
          <w:lang w:val="en-AU"/>
        </w:rPr>
        <w:t xml:space="preserve"> are</w:t>
      </w:r>
      <w:r w:rsidRPr="009A1A2E">
        <w:rPr>
          <w:lang w:val="en-AU"/>
        </w:rPr>
        <w:t xml:space="preserve"> on the Australian Register of Therapeutic Goods (ARTG). All of these devices have received CE Mark approval as well as United States Food and Drug Administration (FDA) approval, but </w:t>
      </w:r>
      <w:r w:rsidR="00BA73AA" w:rsidRPr="009A1A2E">
        <w:rPr>
          <w:lang w:val="en-AU"/>
        </w:rPr>
        <w:t>for none o</w:t>
      </w:r>
      <w:r w:rsidRPr="009A1A2E">
        <w:rPr>
          <w:lang w:val="en-AU"/>
        </w:rPr>
        <w:t>f the</w:t>
      </w:r>
      <w:r w:rsidR="00BA73AA" w:rsidRPr="009A1A2E">
        <w:rPr>
          <w:lang w:val="en-AU"/>
        </w:rPr>
        <w:t xml:space="preserve"> </w:t>
      </w:r>
      <w:r w:rsidRPr="009A1A2E">
        <w:rPr>
          <w:lang w:val="en-AU"/>
        </w:rPr>
        <w:t>system</w:t>
      </w:r>
      <w:r w:rsidR="00BA73AA" w:rsidRPr="009A1A2E">
        <w:rPr>
          <w:lang w:val="en-AU"/>
        </w:rPr>
        <w:t>s</w:t>
      </w:r>
      <w:r w:rsidRPr="009A1A2E">
        <w:rPr>
          <w:lang w:val="en-AU"/>
        </w:rPr>
        <w:t xml:space="preserve"> </w:t>
      </w:r>
      <w:r w:rsidR="00BA73AA" w:rsidRPr="009A1A2E">
        <w:rPr>
          <w:lang w:val="en-AU"/>
        </w:rPr>
        <w:t>a</w:t>
      </w:r>
      <w:r w:rsidRPr="009A1A2E">
        <w:rPr>
          <w:lang w:val="en-AU"/>
        </w:rPr>
        <w:t xml:space="preserve"> MBS item descriptor has been assigned</w:t>
      </w:r>
      <w:r w:rsidR="00BA73AA" w:rsidRPr="009A1A2E">
        <w:rPr>
          <w:lang w:val="en-AU"/>
        </w:rPr>
        <w:t xml:space="preserve"> yet</w:t>
      </w:r>
      <w:r w:rsidRPr="009A1A2E">
        <w:rPr>
          <w:lang w:val="en-AU"/>
        </w:rPr>
        <w:t>.</w:t>
      </w:r>
      <w:r w:rsidR="00BA73AA" w:rsidRPr="009A1A2E">
        <w:rPr>
          <w:lang w:val="en-AU"/>
        </w:rPr>
        <w:t xml:space="preserve"> </w:t>
      </w:r>
    </w:p>
    <w:p w14:paraId="33A04323" w14:textId="77777777" w:rsidR="00E231FD" w:rsidRPr="009A1A2E" w:rsidRDefault="00E231FD" w:rsidP="00757DDD">
      <w:pPr>
        <w:pStyle w:val="Textbody"/>
        <w:rPr>
          <w:lang w:val="en-AU"/>
        </w:rPr>
      </w:pPr>
    </w:p>
    <w:p w14:paraId="263C5807" w14:textId="77777777" w:rsidR="0046488B" w:rsidRPr="009A1A2E" w:rsidRDefault="0046488B" w:rsidP="00757DDD">
      <w:pPr>
        <w:pStyle w:val="Textbody"/>
        <w:rPr>
          <w:lang w:val="en-AU"/>
        </w:rPr>
      </w:pPr>
      <w:r w:rsidRPr="009A1A2E">
        <w:rPr>
          <w:lang w:val="en-AU"/>
        </w:rPr>
        <w:t>Relevant existing MBS item that the proposed medical service would most closely resemble in terms of complexity and time:</w:t>
      </w:r>
    </w:p>
    <w:tbl>
      <w:tblPr>
        <w:tblStyle w:val="Tabellenraster1"/>
        <w:tblW w:w="5000" w:type="pct"/>
        <w:tblLook w:val="04A0" w:firstRow="1" w:lastRow="0" w:firstColumn="1" w:lastColumn="0" w:noHBand="0" w:noVBand="1"/>
        <w:tblDescription w:val="Relevant existing MBS item that the proposed medical service would most closely resemble in terms of complexity and time"/>
      </w:tblPr>
      <w:tblGrid>
        <w:gridCol w:w="9243"/>
      </w:tblGrid>
      <w:tr w:rsidR="00583406" w:rsidRPr="009A1A2E" w14:paraId="383817B3" w14:textId="77777777" w:rsidTr="00D8568C">
        <w:trPr>
          <w:tblHeader/>
        </w:trPr>
        <w:tc>
          <w:tcPr>
            <w:tcW w:w="5000" w:type="pct"/>
          </w:tcPr>
          <w:bookmarkEnd w:id="339"/>
          <w:bookmarkEnd w:id="340"/>
          <w:bookmarkEnd w:id="341"/>
          <w:p w14:paraId="7409D4DD" w14:textId="77777777" w:rsidR="00583406" w:rsidRPr="00D8568C" w:rsidRDefault="0046488B" w:rsidP="00757DDD">
            <w:pPr>
              <w:pStyle w:val="Textbody"/>
              <w:rPr>
                <w:rFonts w:ascii="Arial" w:hAnsi="Arial"/>
                <w:highlight w:val="lightGray"/>
                <w:lang w:val="en-AU"/>
              </w:rPr>
            </w:pPr>
            <w:r w:rsidRPr="00D8568C">
              <w:rPr>
                <w:rFonts w:ascii="Arial" w:hAnsi="Arial"/>
                <w:lang w:val="en-AU"/>
              </w:rPr>
              <w:t>Category [3 ] – [Therapeutic Procedures]</w:t>
            </w:r>
          </w:p>
        </w:tc>
      </w:tr>
      <w:tr w:rsidR="00583406" w:rsidRPr="009A1A2E" w14:paraId="2AFBECD1" w14:textId="77777777" w:rsidTr="00D8568C">
        <w:tc>
          <w:tcPr>
            <w:tcW w:w="5000" w:type="pct"/>
          </w:tcPr>
          <w:p w14:paraId="5AF1F9C7" w14:textId="77777777" w:rsidR="00583406" w:rsidRPr="00D8568C" w:rsidRDefault="0046488B" w:rsidP="00757DDD">
            <w:pPr>
              <w:pStyle w:val="Textbody"/>
              <w:rPr>
                <w:rFonts w:ascii="Arial" w:hAnsi="Arial"/>
                <w:lang w:val="en-AU"/>
              </w:rPr>
            </w:pPr>
            <w:r w:rsidRPr="00D8568C">
              <w:rPr>
                <w:rFonts w:ascii="Arial" w:hAnsi="Arial"/>
                <w:lang w:val="en-AU"/>
              </w:rPr>
              <w:t>MBS 41554 MASTOIDECTOMY, intact wall technique, with myringoplasty and ossicular chain reconstruction</w:t>
            </w:r>
          </w:p>
          <w:p w14:paraId="100839A3" w14:textId="77777777" w:rsidR="0046488B" w:rsidRPr="00D8568C" w:rsidRDefault="0046488B" w:rsidP="00757DDD">
            <w:pPr>
              <w:pStyle w:val="Textbody"/>
              <w:rPr>
                <w:rFonts w:ascii="Arial" w:hAnsi="Arial"/>
                <w:lang w:val="en-AU"/>
              </w:rPr>
            </w:pPr>
            <w:r w:rsidRPr="00D8568C">
              <w:rPr>
                <w:rFonts w:ascii="Arial" w:hAnsi="Arial"/>
                <w:lang w:val="en-AU"/>
              </w:rPr>
              <w:t>(Anaes.) (Assist.)</w:t>
            </w:r>
          </w:p>
          <w:p w14:paraId="2697DCBC" w14:textId="77777777" w:rsidR="0046488B" w:rsidRPr="00D8568C" w:rsidRDefault="0046488B" w:rsidP="00757DDD">
            <w:pPr>
              <w:pStyle w:val="Textbody"/>
              <w:rPr>
                <w:rFonts w:ascii="Arial" w:hAnsi="Arial"/>
                <w:lang w:val="en-AU"/>
              </w:rPr>
            </w:pPr>
            <w:r w:rsidRPr="00D8568C">
              <w:rPr>
                <w:rFonts w:ascii="Arial" w:hAnsi="Arial"/>
                <w:lang w:val="en-AU"/>
              </w:rPr>
              <w:t xml:space="preserve">Fee: $1,876.95 Benefit: 75% = $1,407.75 </w:t>
            </w:r>
          </w:p>
        </w:tc>
      </w:tr>
    </w:tbl>
    <w:p w14:paraId="1DB8E392" w14:textId="77777777" w:rsidR="00583406" w:rsidRPr="009A1A2E" w:rsidRDefault="00583406" w:rsidP="00757DDD">
      <w:pPr>
        <w:pStyle w:val="Textbody"/>
        <w:rPr>
          <w:highlight w:val="lightGray"/>
          <w:lang w:val="en-AU"/>
        </w:rPr>
      </w:pPr>
    </w:p>
    <w:p w14:paraId="58FF231E" w14:textId="77777777" w:rsidR="00583406" w:rsidRPr="009A1A2E" w:rsidRDefault="00583406" w:rsidP="00CC5316">
      <w:pPr>
        <w:pStyle w:val="Heading30"/>
        <w:rPr>
          <w:lang w:val="en-AU"/>
        </w:rPr>
      </w:pPr>
      <w:bookmarkStart w:id="342" w:name="_Toc316369886"/>
      <w:bookmarkStart w:id="343" w:name="_Toc400549402"/>
      <w:bookmarkStart w:id="344" w:name="_Toc431917555"/>
      <w:r w:rsidRPr="009A1A2E">
        <w:rPr>
          <w:lang w:val="en-AU"/>
        </w:rPr>
        <w:t>A.2.</w:t>
      </w:r>
      <w:r w:rsidR="00213B3B" w:rsidRPr="009A1A2E">
        <w:rPr>
          <w:lang w:val="en-AU"/>
        </w:rPr>
        <w:t>4</w:t>
      </w:r>
      <w:r w:rsidR="00A04319" w:rsidRPr="009A1A2E">
        <w:rPr>
          <w:lang w:val="en-AU"/>
        </w:rPr>
        <w:tab/>
        <w:t>Market</w:t>
      </w:r>
      <w:r w:rsidR="0001407B" w:rsidRPr="009A1A2E">
        <w:rPr>
          <w:lang w:val="en-AU"/>
        </w:rPr>
        <w:t xml:space="preserve"> </w:t>
      </w:r>
      <w:r w:rsidR="00A04319" w:rsidRPr="009A1A2E">
        <w:rPr>
          <w:lang w:val="en-AU"/>
        </w:rPr>
        <w:t>approval</w:t>
      </w:r>
      <w:r w:rsidRPr="009A1A2E">
        <w:rPr>
          <w:lang w:val="en-AU"/>
        </w:rPr>
        <w:t xml:space="preserve"> status</w:t>
      </w:r>
      <w:bookmarkEnd w:id="342"/>
      <w:r w:rsidRPr="009A1A2E">
        <w:rPr>
          <w:lang w:val="en-AU"/>
        </w:rPr>
        <w:t xml:space="preserve"> of </w:t>
      </w:r>
      <w:r w:rsidR="00596152" w:rsidRPr="009A1A2E">
        <w:rPr>
          <w:lang w:val="en-AU"/>
        </w:rPr>
        <w:t>Vibrant Soundbridge</w:t>
      </w:r>
      <w:bookmarkEnd w:id="343"/>
      <w:bookmarkEnd w:id="344"/>
    </w:p>
    <w:p w14:paraId="4EF30FE3" w14:textId="77777777" w:rsidR="00596152" w:rsidRPr="009A1A2E" w:rsidRDefault="00596152" w:rsidP="00CC5316">
      <w:pPr>
        <w:pStyle w:val="Textbody"/>
        <w:rPr>
          <w:lang w:val="en-AU"/>
        </w:rPr>
      </w:pPr>
      <w:r w:rsidRPr="009A1A2E">
        <w:rPr>
          <w:lang w:val="en-AU"/>
        </w:rPr>
        <w:t>The VSB System is a long-standing technology: in 1998, the VSB was approved for mild to severe sensorineural hearing loss in the European Union and markets accepting the CE mark. The respective clinical data were collected in the course of two multicenter studies, one performed in the United States of America</w:t>
      </w:r>
      <w:r w:rsidR="00CC5316" w:rsidRPr="009A1A2E">
        <w:rPr>
          <w:lang w:val="en-AU"/>
        </w:rPr>
        <w:t xml:space="preserve"> </w:t>
      </w:r>
      <w:r w:rsidR="00CC5316" w:rsidRPr="009A1A2E">
        <w:rPr>
          <w:lang w:val="en-AU"/>
        </w:rPr>
        <w:fldChar w:fldCharType="begin">
          <w:fldData xml:space="preserve">PFJlZm1hbj48Q2l0ZT48QXV0aG9yPkx1ZXRqZTwvQXV0aG9yPjxZZWFyPjIwMDI8L1llYXI+PFJl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</w:fldData>
        </w:fldChar>
      </w:r>
      <w:r w:rsidR="00D85D29">
        <w:rPr>
          <w:lang w:val="en-AU"/>
        </w:rPr>
        <w:instrText xml:space="preserve"> ADDIN REFMGR.CITE </w:instrText>
      </w:r>
      <w:r w:rsidR="00D85D29">
        <w:rPr>
          <w:lang w:val="en-AU"/>
        </w:rPr>
        <w:fldChar w:fldCharType="begin">
          <w:fldData xml:space="preserve">PFJlZm1hbj48Q2l0ZT48QXV0aG9yPkx1ZXRqZTwvQXV0aG9yPjxZZWFyPjIwMDI8L1llYXI+PFJl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</w:fldData>
        </w:fldChar>
      </w:r>
      <w:r w:rsidR="00D85D29">
        <w:rPr>
          <w:lang w:val="en-AU"/>
        </w:rPr>
        <w:instrText xml:space="preserve"> ADDIN EN.CITE.DATA </w:instrText>
      </w:r>
      <w:r w:rsidR="00D85D29">
        <w:rPr>
          <w:lang w:val="en-AU"/>
        </w:rPr>
      </w:r>
      <w:r w:rsidR="00D85D29">
        <w:rPr>
          <w:lang w:val="en-AU"/>
        </w:rPr>
        <w:fldChar w:fldCharType="end"/>
      </w:r>
      <w:r w:rsidR="00CC5316" w:rsidRPr="009A1A2E">
        <w:rPr>
          <w:lang w:val="en-AU"/>
        </w:rPr>
      </w:r>
      <w:r w:rsidR="00CC5316" w:rsidRPr="009A1A2E">
        <w:rPr>
          <w:lang w:val="en-AU"/>
        </w:rPr>
        <w:fldChar w:fldCharType="separate"/>
      </w:r>
      <w:r w:rsidR="00CC5316" w:rsidRPr="009A1A2E">
        <w:rPr>
          <w:noProof/>
          <w:lang w:val="en-AU"/>
        </w:rPr>
        <w:t>(Luetje et al., 2002)</w:t>
      </w:r>
      <w:r w:rsidR="00CC5316" w:rsidRPr="009A1A2E">
        <w:rPr>
          <w:lang w:val="en-AU"/>
        </w:rPr>
        <w:fldChar w:fldCharType="end"/>
      </w:r>
      <w:r w:rsidRPr="009A1A2E">
        <w:rPr>
          <w:lang w:val="en-AU"/>
        </w:rPr>
        <w:t>, the other one performed in Europe</w:t>
      </w:r>
      <w:r w:rsidR="006012CF" w:rsidRPr="009A1A2E">
        <w:rPr>
          <w:lang w:val="en-AU"/>
        </w:rPr>
        <w:t xml:space="preserve"> </w:t>
      </w:r>
      <w:r w:rsidR="00CC5316" w:rsidRPr="009A1A2E">
        <w:rPr>
          <w:lang w:val="en-AU"/>
        </w:rPr>
        <w:fldChar w:fldCharType="begin">
          <w:fldData xml:space="preserve">PFJlZm1hbj48Q2l0ZT48QXV0aG9yPkZpc2NoPC9BdXRob3I+PFllYXI+MjAwMTwvWWVhcj48UmVj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</w:fldData>
        </w:fldChar>
      </w:r>
      <w:r w:rsidR="00D85D29">
        <w:rPr>
          <w:lang w:val="en-AU"/>
        </w:rPr>
        <w:instrText xml:space="preserve"> ADDIN REFMGR.CITE </w:instrText>
      </w:r>
      <w:r w:rsidR="00D85D29">
        <w:rPr>
          <w:lang w:val="en-AU"/>
        </w:rPr>
        <w:fldChar w:fldCharType="begin">
          <w:fldData xml:space="preserve">PFJlZm1hbj48Q2l0ZT48QXV0aG9yPkZpc2NoPC9BdXRob3I+PFllYXI+MjAwMTwvWWVhcj48UmVj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</w:fldData>
        </w:fldChar>
      </w:r>
      <w:r w:rsidR="00D85D29">
        <w:rPr>
          <w:lang w:val="en-AU"/>
        </w:rPr>
        <w:instrText xml:space="preserve"> ADDIN EN.CITE.DATA </w:instrText>
      </w:r>
      <w:r w:rsidR="00D85D29">
        <w:rPr>
          <w:lang w:val="en-AU"/>
        </w:rPr>
      </w:r>
      <w:r w:rsidR="00D85D29">
        <w:rPr>
          <w:lang w:val="en-AU"/>
        </w:rPr>
        <w:fldChar w:fldCharType="end"/>
      </w:r>
      <w:r w:rsidR="00CC5316" w:rsidRPr="009A1A2E">
        <w:rPr>
          <w:lang w:val="en-AU"/>
        </w:rPr>
      </w:r>
      <w:r w:rsidR="00CC5316" w:rsidRPr="009A1A2E">
        <w:rPr>
          <w:lang w:val="en-AU"/>
        </w:rPr>
        <w:fldChar w:fldCharType="separate"/>
      </w:r>
      <w:r w:rsidR="00CC5316" w:rsidRPr="009A1A2E">
        <w:rPr>
          <w:noProof/>
          <w:lang w:val="en-AU"/>
        </w:rPr>
        <w:t>(Fisch et al., 2001;Snik et al., 2001)</w:t>
      </w:r>
      <w:r w:rsidR="00CC5316" w:rsidRPr="009A1A2E">
        <w:rPr>
          <w:lang w:val="en-AU"/>
        </w:rPr>
        <w:fldChar w:fldCharType="end"/>
      </w:r>
      <w:r w:rsidRPr="009A1A2E">
        <w:rPr>
          <w:lang w:val="en-AU"/>
        </w:rPr>
        <w:t>. Subsequent to the VSB-approval for patients younger than 18 years of age in the European Union and all other countries a</w:t>
      </w:r>
      <w:r w:rsidR="006012CF" w:rsidRPr="009A1A2E">
        <w:rPr>
          <w:lang w:val="en-AU"/>
        </w:rPr>
        <w:t>ccepting the CE marking in 2009</w:t>
      </w:r>
      <w:r w:rsidR="004A62A2" w:rsidRPr="009A1A2E">
        <w:rPr>
          <w:lang w:val="en-AU"/>
        </w:rPr>
        <w:t>. As of November 2008, the VSB has been implanted in more than 60 children and adolescents in countries throughout the world with favourable results</w:t>
      </w:r>
      <w:r w:rsidR="00CC5316" w:rsidRPr="009A1A2E">
        <w:rPr>
          <w:lang w:val="en-AU"/>
        </w:rPr>
        <w:t xml:space="preserve"> </w:t>
      </w:r>
      <w:r w:rsidR="00CC5316" w:rsidRPr="009A1A2E">
        <w:rPr>
          <w:lang w:val="en-AU"/>
        </w:rPr>
        <w:fldChar w:fldCharType="begin">
          <w:fldData xml:space="preserve">PFJlZm1hbj48Q2l0ZT48QXV0aG9yPkNyZW1lcnM8L0F1dGhvcj48WWVhcj4yMDEwPC9ZZWFyPjxS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</w:fldData>
        </w:fldChar>
      </w:r>
      <w:r w:rsidR="00D85D29">
        <w:rPr>
          <w:lang w:val="en-AU"/>
        </w:rPr>
        <w:instrText xml:space="preserve"> ADDIN REFMGR.CITE </w:instrText>
      </w:r>
      <w:r w:rsidR="00D85D29">
        <w:rPr>
          <w:lang w:val="en-AU"/>
        </w:rPr>
        <w:fldChar w:fldCharType="begin">
          <w:fldData xml:space="preserve">PFJlZm1hbj48Q2l0ZT48QXV0aG9yPkNyZW1lcnM8L0F1dGhvcj48WWVhcj4yMDEwPC9ZZWFyPjxS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</w:fldData>
        </w:fldChar>
      </w:r>
      <w:r w:rsidR="00D85D29">
        <w:rPr>
          <w:lang w:val="en-AU"/>
        </w:rPr>
        <w:instrText xml:space="preserve"> ADDIN EN.CITE.DATA </w:instrText>
      </w:r>
      <w:r w:rsidR="00D85D29">
        <w:rPr>
          <w:lang w:val="en-AU"/>
        </w:rPr>
      </w:r>
      <w:r w:rsidR="00D85D29">
        <w:rPr>
          <w:lang w:val="en-AU"/>
        </w:rPr>
        <w:fldChar w:fldCharType="end"/>
      </w:r>
      <w:r w:rsidR="00CC5316" w:rsidRPr="009A1A2E">
        <w:rPr>
          <w:lang w:val="en-AU"/>
        </w:rPr>
      </w:r>
      <w:r w:rsidR="00CC5316" w:rsidRPr="009A1A2E">
        <w:rPr>
          <w:lang w:val="en-AU"/>
        </w:rPr>
        <w:fldChar w:fldCharType="separate"/>
      </w:r>
      <w:r w:rsidR="00CC5316" w:rsidRPr="009A1A2E">
        <w:rPr>
          <w:noProof/>
          <w:lang w:val="en-AU"/>
        </w:rPr>
        <w:t xml:space="preserve">(Cremers </w:t>
      </w:r>
      <w:r w:rsidR="00CC5316" w:rsidRPr="009A1A2E">
        <w:rPr>
          <w:noProof/>
          <w:lang w:val="en-AU"/>
        </w:rPr>
        <w:lastRenderedPageBreak/>
        <w:t>et al., 2010;Mandala et al., 2011;Sia, 2012)</w:t>
      </w:r>
      <w:r w:rsidR="00CC5316" w:rsidRPr="009A1A2E">
        <w:rPr>
          <w:lang w:val="en-AU"/>
        </w:rPr>
        <w:fldChar w:fldCharType="end"/>
      </w:r>
      <w:r w:rsidR="00CC5316" w:rsidRPr="009A1A2E">
        <w:rPr>
          <w:lang w:val="en-AU"/>
        </w:rPr>
        <w:t>.</w:t>
      </w:r>
    </w:p>
    <w:p w14:paraId="5DB55712" w14:textId="77777777" w:rsidR="00205A44" w:rsidRPr="009A1A2E" w:rsidRDefault="00205A44" w:rsidP="00CC5316">
      <w:pPr>
        <w:pStyle w:val="Textbody"/>
        <w:rPr>
          <w:highlight w:val="lightGray"/>
          <w:lang w:val="en-AU"/>
        </w:rPr>
      </w:pPr>
    </w:p>
    <w:p w14:paraId="10DA450E" w14:textId="77777777" w:rsidR="00205A44" w:rsidRPr="009A1A2E" w:rsidRDefault="0037031D" w:rsidP="00A52ABF">
      <w:pPr>
        <w:pStyle w:val="Heading30"/>
        <w:rPr>
          <w:lang w:val="en-AU"/>
        </w:rPr>
      </w:pPr>
      <w:bookmarkStart w:id="345" w:name="_Toc400549403"/>
      <w:bookmarkStart w:id="346" w:name="_Toc431917556"/>
      <w:r w:rsidRPr="009A1A2E">
        <w:rPr>
          <w:lang w:val="en-AU"/>
        </w:rPr>
        <w:t>A.2.</w:t>
      </w:r>
      <w:r w:rsidR="00213B3B" w:rsidRPr="009A1A2E">
        <w:rPr>
          <w:lang w:val="en-AU"/>
        </w:rPr>
        <w:t>5</w:t>
      </w:r>
      <w:r w:rsidRPr="009A1A2E">
        <w:rPr>
          <w:lang w:val="en-AU"/>
        </w:rPr>
        <w:tab/>
        <w:t xml:space="preserve">Reimbursement status of </w:t>
      </w:r>
      <w:r w:rsidR="000658EE" w:rsidRPr="009A1A2E">
        <w:rPr>
          <w:lang w:val="en-AU"/>
        </w:rPr>
        <w:t>middle ear implants</w:t>
      </w:r>
      <w:bookmarkEnd w:id="345"/>
      <w:bookmarkEnd w:id="346"/>
    </w:p>
    <w:p w14:paraId="2097D2B3" w14:textId="77777777" w:rsidR="00630DCF" w:rsidRPr="009A1A2E" w:rsidRDefault="000658EE" w:rsidP="00B616F2">
      <w:pPr>
        <w:pStyle w:val="Textbody"/>
        <w:rPr>
          <w:lang w:val="en-AU"/>
        </w:rPr>
      </w:pPr>
      <w:r w:rsidRPr="009A1A2E">
        <w:rPr>
          <w:lang w:val="en-AU"/>
        </w:rPr>
        <w:t>The insertion of a</w:t>
      </w:r>
      <w:r w:rsidR="009454B1" w:rsidRPr="009A1A2E">
        <w:rPr>
          <w:lang w:val="en-AU"/>
        </w:rPr>
        <w:t xml:space="preserve">n active </w:t>
      </w:r>
      <w:r w:rsidRPr="009A1A2E">
        <w:rPr>
          <w:lang w:val="en-AU"/>
        </w:rPr>
        <w:t>middle ear implant (</w:t>
      </w:r>
      <w:r w:rsidR="009454B1" w:rsidRPr="009A1A2E">
        <w:rPr>
          <w:lang w:val="en-AU"/>
        </w:rPr>
        <w:t>A</w:t>
      </w:r>
      <w:r w:rsidRPr="009A1A2E">
        <w:rPr>
          <w:lang w:val="en-AU"/>
        </w:rPr>
        <w:t>MEI)</w:t>
      </w:r>
      <w:r w:rsidR="00583406" w:rsidRPr="009A1A2E">
        <w:rPr>
          <w:lang w:val="en-AU"/>
        </w:rPr>
        <w:t xml:space="preserve"> by any method is not </w:t>
      </w:r>
      <w:r w:rsidR="0037031D" w:rsidRPr="009A1A2E">
        <w:rPr>
          <w:lang w:val="en-AU"/>
        </w:rPr>
        <w:t xml:space="preserve">reimbursed </w:t>
      </w:r>
      <w:r w:rsidR="00F25250" w:rsidRPr="009A1A2E">
        <w:rPr>
          <w:lang w:val="en-AU"/>
        </w:rPr>
        <w:t>on the MBS</w:t>
      </w:r>
      <w:r w:rsidR="00630DCF" w:rsidRPr="009A1A2E">
        <w:rPr>
          <w:lang w:val="en-AU"/>
        </w:rPr>
        <w:t xml:space="preserve"> and the device is not listed on the Prosthesis List (PL)</w:t>
      </w:r>
      <w:r w:rsidR="00F25250" w:rsidRPr="009A1A2E">
        <w:rPr>
          <w:lang w:val="en-AU"/>
        </w:rPr>
        <w:t xml:space="preserve">. </w:t>
      </w:r>
      <w:r w:rsidR="00630DCF" w:rsidRPr="009A1A2E">
        <w:rPr>
          <w:lang w:val="en-AU"/>
        </w:rPr>
        <w:t>AMEI’s however are currently registered under the Australian Register of Therapeutic Goods (ARTG) and the implantation procedure is performed in public and private hospitals throughout Australia and may be funded by public hospital surgical budgets, private health fund ex-gratia payments and occasiona</w:t>
      </w:r>
      <w:r w:rsidR="00757DDD" w:rsidRPr="009A1A2E">
        <w:rPr>
          <w:lang w:val="en-AU"/>
        </w:rPr>
        <w:t>lly is self-funded by patients.</w:t>
      </w:r>
    </w:p>
    <w:p w14:paraId="7B7AE1BC" w14:textId="77777777" w:rsidR="00757DDD" w:rsidRPr="009A1A2E" w:rsidRDefault="00757DDD" w:rsidP="00B616F2">
      <w:pPr>
        <w:pStyle w:val="Textbody"/>
        <w:rPr>
          <w:lang w:val="en-AU"/>
        </w:rPr>
      </w:pPr>
    </w:p>
    <w:p w14:paraId="3432D8CB" w14:textId="77777777" w:rsidR="00757DDD" w:rsidRPr="009A1A2E" w:rsidRDefault="00757DDD" w:rsidP="00757DDD">
      <w:pPr>
        <w:pStyle w:val="Caption"/>
        <w:rPr>
          <w:rFonts w:ascii="Arial" w:hAnsi="Arial" w:cs="Arial"/>
          <w:lang w:val="en-AU"/>
        </w:rPr>
      </w:pPr>
      <w:bookmarkStart w:id="347" w:name="_Toc400395539"/>
      <w:bookmarkStart w:id="348" w:name="_Toc431917465"/>
      <w:r w:rsidRPr="009A1A2E">
        <w:rPr>
          <w:rFonts w:ascii="Arial" w:hAnsi="Arial" w:cs="Arial"/>
          <w:lang w:val="en-AU"/>
        </w:rPr>
        <w:t xml:space="preserve">Table </w:t>
      </w:r>
      <w:r w:rsidRPr="009A1A2E">
        <w:rPr>
          <w:rFonts w:ascii="Arial" w:hAnsi="Arial" w:cs="Arial"/>
          <w:lang w:val="en-AU"/>
        </w:rPr>
        <w:fldChar w:fldCharType="begin"/>
      </w:r>
      <w:r w:rsidRPr="009A1A2E">
        <w:rPr>
          <w:rFonts w:ascii="Arial" w:hAnsi="Arial" w:cs="Arial"/>
          <w:lang w:val="en-AU"/>
        </w:rPr>
        <w:instrText xml:space="preserve"> SEQ Table \* ARABIC </w:instrText>
      </w:r>
      <w:r w:rsidRPr="009A1A2E">
        <w:rPr>
          <w:rFonts w:ascii="Arial" w:hAnsi="Arial" w:cs="Arial"/>
          <w:lang w:val="en-AU"/>
        </w:rPr>
        <w:fldChar w:fldCharType="separate"/>
      </w:r>
      <w:r w:rsidR="00016592">
        <w:rPr>
          <w:rFonts w:ascii="Arial" w:hAnsi="Arial" w:cs="Arial"/>
          <w:noProof/>
          <w:lang w:val="en-AU"/>
        </w:rPr>
        <w:t>5</w:t>
      </w:r>
      <w:r w:rsidRPr="009A1A2E">
        <w:rPr>
          <w:rFonts w:ascii="Arial" w:hAnsi="Arial" w:cs="Arial"/>
          <w:lang w:val="en-AU"/>
        </w:rPr>
        <w:fldChar w:fldCharType="end"/>
      </w:r>
      <w:r w:rsidR="002778A8" w:rsidRPr="009A1A2E">
        <w:rPr>
          <w:rFonts w:ascii="Arial" w:hAnsi="Arial" w:cs="Arial"/>
          <w:lang w:val="en-AU"/>
        </w:rPr>
        <w:t xml:space="preserve"> -</w:t>
      </w:r>
      <w:r w:rsidRPr="009A1A2E">
        <w:rPr>
          <w:rFonts w:ascii="Arial" w:hAnsi="Arial" w:cs="Arial"/>
          <w:lang w:val="en-AU"/>
        </w:rPr>
        <w:t xml:space="preserve"> MEI components listed on the ARTG</w:t>
      </w:r>
      <w:bookmarkEnd w:id="347"/>
      <w:bookmarkEnd w:id="348"/>
    </w:p>
    <w:tbl>
      <w:tblPr>
        <w:tblStyle w:val="TableGrid"/>
        <w:tblW w:w="0" w:type="auto"/>
        <w:tblLook w:val="04A0" w:firstRow="1" w:lastRow="0" w:firstColumn="1" w:lastColumn="0" w:noHBand="0" w:noVBand="1"/>
        <w:tblDescription w:val="MEI components listed on the ARTG"/>
      </w:tblPr>
      <w:tblGrid>
        <w:gridCol w:w="1101"/>
        <w:gridCol w:w="2268"/>
        <w:gridCol w:w="5873"/>
      </w:tblGrid>
      <w:tr w:rsidR="00A63E8A" w:rsidRPr="009A1A2E" w14:paraId="63BBD4E9" w14:textId="77777777" w:rsidTr="001C2E0E">
        <w:trPr>
          <w:tblHeader/>
        </w:trPr>
        <w:tc>
          <w:tcPr>
            <w:tcW w:w="1101" w:type="dxa"/>
            <w:tcBorders>
              <w:top w:val="single" w:sz="4" w:space="0" w:color="auto"/>
              <w:bottom w:val="single" w:sz="4" w:space="0" w:color="auto"/>
            </w:tcBorders>
            <w:vAlign w:val="center"/>
          </w:tcPr>
          <w:p w14:paraId="1DB3A204" w14:textId="77777777" w:rsidR="00A63E8A" w:rsidRPr="009A1A2E" w:rsidRDefault="00A63E8A" w:rsidP="00757DDD">
            <w:pPr>
              <w:jc w:val="center"/>
              <w:rPr>
                <w:rFonts w:ascii="Arial" w:hAnsi="Arial" w:cs="Arial"/>
                <w:b/>
                <w:sz w:val="20"/>
                <w:szCs w:val="20"/>
                <w:lang w:eastAsia="ja-JP"/>
              </w:rPr>
            </w:pPr>
            <w:r w:rsidRPr="009A1A2E">
              <w:rPr>
                <w:rFonts w:ascii="Arial" w:hAnsi="Arial" w:cs="Arial"/>
                <w:b/>
                <w:sz w:val="20"/>
                <w:szCs w:val="20"/>
                <w:lang w:eastAsia="ja-JP"/>
              </w:rPr>
              <w:t>ARTG No</w:t>
            </w:r>
          </w:p>
        </w:tc>
        <w:tc>
          <w:tcPr>
            <w:tcW w:w="2268" w:type="dxa"/>
            <w:tcBorders>
              <w:top w:val="single" w:sz="4" w:space="0" w:color="auto"/>
              <w:bottom w:val="single" w:sz="4" w:space="0" w:color="auto"/>
            </w:tcBorders>
            <w:vAlign w:val="center"/>
          </w:tcPr>
          <w:p w14:paraId="0F5B24C2" w14:textId="77777777" w:rsidR="00A63E8A" w:rsidRPr="009A1A2E" w:rsidRDefault="00A63E8A" w:rsidP="00757DDD">
            <w:pPr>
              <w:jc w:val="center"/>
              <w:rPr>
                <w:rFonts w:ascii="Arial" w:hAnsi="Arial" w:cs="Arial"/>
                <w:b/>
                <w:sz w:val="20"/>
                <w:szCs w:val="20"/>
                <w:lang w:eastAsia="ja-JP"/>
              </w:rPr>
            </w:pPr>
            <w:r w:rsidRPr="009A1A2E">
              <w:rPr>
                <w:rFonts w:ascii="Arial" w:hAnsi="Arial" w:cs="Arial"/>
                <w:b/>
                <w:sz w:val="20"/>
                <w:szCs w:val="20"/>
                <w:lang w:eastAsia="ja-JP"/>
              </w:rPr>
              <w:t>Product</w:t>
            </w:r>
          </w:p>
        </w:tc>
        <w:tc>
          <w:tcPr>
            <w:tcW w:w="5873" w:type="dxa"/>
            <w:tcBorders>
              <w:top w:val="single" w:sz="4" w:space="0" w:color="auto"/>
              <w:bottom w:val="single" w:sz="4" w:space="0" w:color="auto"/>
            </w:tcBorders>
            <w:vAlign w:val="center"/>
          </w:tcPr>
          <w:p w14:paraId="369DEDE2" w14:textId="77777777" w:rsidR="00A63E8A" w:rsidRPr="009A1A2E" w:rsidRDefault="00A63E8A" w:rsidP="00757DDD">
            <w:pPr>
              <w:jc w:val="center"/>
              <w:rPr>
                <w:rFonts w:ascii="Arial" w:hAnsi="Arial" w:cs="Arial"/>
                <w:b/>
                <w:sz w:val="20"/>
                <w:szCs w:val="20"/>
                <w:lang w:eastAsia="ja-JP"/>
              </w:rPr>
            </w:pPr>
            <w:r w:rsidRPr="009A1A2E">
              <w:rPr>
                <w:rFonts w:ascii="Arial" w:hAnsi="Arial" w:cs="Arial"/>
                <w:b/>
                <w:sz w:val="20"/>
                <w:szCs w:val="20"/>
                <w:lang w:eastAsia="ja-JP"/>
              </w:rPr>
              <w:t>Indication</w:t>
            </w:r>
          </w:p>
        </w:tc>
      </w:tr>
      <w:tr w:rsidR="00A63E8A" w:rsidRPr="009A1A2E" w14:paraId="2BA77103" w14:textId="77777777" w:rsidTr="001C2E0E">
        <w:tc>
          <w:tcPr>
            <w:tcW w:w="1101" w:type="dxa"/>
            <w:tcBorders>
              <w:top w:val="single" w:sz="4" w:space="0" w:color="auto"/>
              <w:bottom w:val="nil"/>
            </w:tcBorders>
            <w:vAlign w:val="center"/>
          </w:tcPr>
          <w:p w14:paraId="37E3D85F" w14:textId="77777777" w:rsidR="00A63E8A" w:rsidRPr="009A1A2E" w:rsidRDefault="00A63E8A" w:rsidP="00757DDD">
            <w:pPr>
              <w:jc w:val="center"/>
              <w:rPr>
                <w:rFonts w:ascii="Arial" w:hAnsi="Arial" w:cs="Arial"/>
                <w:sz w:val="20"/>
                <w:szCs w:val="20"/>
                <w:lang w:eastAsia="ja-JP"/>
              </w:rPr>
            </w:pPr>
            <w:r w:rsidRPr="009A1A2E">
              <w:rPr>
                <w:rFonts w:ascii="Arial" w:hAnsi="Arial" w:cs="Arial"/>
                <w:sz w:val="20"/>
                <w:szCs w:val="20"/>
                <w:lang w:eastAsia="ja-JP"/>
              </w:rPr>
              <w:t>170179</w:t>
            </w:r>
          </w:p>
        </w:tc>
        <w:tc>
          <w:tcPr>
            <w:tcW w:w="2268" w:type="dxa"/>
            <w:tcBorders>
              <w:top w:val="single" w:sz="4" w:space="0" w:color="auto"/>
              <w:bottom w:val="nil"/>
            </w:tcBorders>
            <w:vAlign w:val="center"/>
          </w:tcPr>
          <w:p w14:paraId="3AF0734D" w14:textId="77777777" w:rsidR="00A63E8A" w:rsidRPr="009A1A2E" w:rsidRDefault="00A63E8A" w:rsidP="00757DDD">
            <w:pPr>
              <w:jc w:val="center"/>
              <w:rPr>
                <w:rFonts w:ascii="Arial" w:hAnsi="Arial" w:cs="Arial"/>
                <w:sz w:val="20"/>
                <w:szCs w:val="20"/>
                <w:lang w:eastAsia="ja-JP"/>
              </w:rPr>
            </w:pPr>
            <w:r w:rsidRPr="009A1A2E">
              <w:rPr>
                <w:rFonts w:ascii="Arial" w:hAnsi="Arial" w:cs="Arial"/>
                <w:sz w:val="20"/>
                <w:szCs w:val="20"/>
                <w:lang w:eastAsia="ja-JP"/>
              </w:rPr>
              <w:t xml:space="preserve">Amade </w:t>
            </w:r>
            <w:r w:rsidR="00757DDD" w:rsidRPr="009A1A2E">
              <w:rPr>
                <w:rFonts w:ascii="Arial" w:hAnsi="Arial" w:cs="Arial"/>
                <w:sz w:val="20"/>
                <w:szCs w:val="20"/>
                <w:lang w:eastAsia="ja-JP"/>
              </w:rPr>
              <w:t>aud</w:t>
            </w:r>
            <w:r w:rsidRPr="009A1A2E">
              <w:rPr>
                <w:rFonts w:ascii="Arial" w:hAnsi="Arial" w:cs="Arial"/>
                <w:sz w:val="20"/>
                <w:szCs w:val="20"/>
                <w:lang w:eastAsia="ja-JP"/>
              </w:rPr>
              <w:t>io processor - Middle ear implant system sound processor</w:t>
            </w:r>
          </w:p>
        </w:tc>
        <w:tc>
          <w:tcPr>
            <w:tcW w:w="5873" w:type="dxa"/>
            <w:tcBorders>
              <w:top w:val="single" w:sz="4" w:space="0" w:color="auto"/>
              <w:bottom w:val="nil"/>
            </w:tcBorders>
            <w:vAlign w:val="center"/>
          </w:tcPr>
          <w:p w14:paraId="3584330E" w14:textId="77777777" w:rsidR="00A63E8A" w:rsidRPr="009A1A2E" w:rsidRDefault="00A63E8A" w:rsidP="00757DDD">
            <w:pPr>
              <w:jc w:val="both"/>
              <w:rPr>
                <w:rFonts w:ascii="Arial" w:hAnsi="Arial" w:cs="Arial"/>
                <w:sz w:val="20"/>
                <w:szCs w:val="20"/>
                <w:lang w:eastAsia="ja-JP"/>
              </w:rPr>
            </w:pPr>
            <w:r w:rsidRPr="009A1A2E">
              <w:rPr>
                <w:rFonts w:ascii="Arial" w:hAnsi="Arial" w:cs="Arial"/>
                <w:sz w:val="20"/>
                <w:szCs w:val="20"/>
                <w:lang w:eastAsia="ja-JP"/>
              </w:rPr>
              <w:t xml:space="preserve">The Amade </w:t>
            </w:r>
            <w:r w:rsidR="00944F5B" w:rsidRPr="009A1A2E">
              <w:rPr>
                <w:rFonts w:ascii="Arial" w:hAnsi="Arial" w:cs="Arial"/>
                <w:sz w:val="20"/>
                <w:szCs w:val="20"/>
                <w:lang w:eastAsia="ja-JP"/>
              </w:rPr>
              <w:t>aud</w:t>
            </w:r>
            <w:r w:rsidRPr="009A1A2E">
              <w:rPr>
                <w:rFonts w:ascii="Arial" w:hAnsi="Arial" w:cs="Arial"/>
                <w:sz w:val="20"/>
                <w:szCs w:val="20"/>
                <w:lang w:eastAsia="ja-JP"/>
              </w:rPr>
              <w:t>io processor is an external part of the Vibrant Soundbridge system. The Vibrant Soundbridge system is indicated for use in patients who have mild to severe hearing impairment and cannot achieve success or adequate benefit from traditional therapy.</w:t>
            </w:r>
          </w:p>
        </w:tc>
      </w:tr>
      <w:tr w:rsidR="00A63E8A" w:rsidRPr="009A1A2E" w14:paraId="7D791746" w14:textId="77777777" w:rsidTr="001C2E0E">
        <w:tc>
          <w:tcPr>
            <w:tcW w:w="1101" w:type="dxa"/>
            <w:tcBorders>
              <w:top w:val="nil"/>
            </w:tcBorders>
            <w:vAlign w:val="center"/>
          </w:tcPr>
          <w:p w14:paraId="51A73A29" w14:textId="77777777" w:rsidR="00A63E8A" w:rsidRPr="009A1A2E" w:rsidRDefault="00A63E8A" w:rsidP="00757DDD">
            <w:pPr>
              <w:jc w:val="center"/>
              <w:rPr>
                <w:rFonts w:ascii="Arial" w:hAnsi="Arial" w:cs="Arial"/>
                <w:sz w:val="20"/>
                <w:szCs w:val="20"/>
                <w:lang w:eastAsia="ja-JP"/>
              </w:rPr>
            </w:pPr>
            <w:r w:rsidRPr="009A1A2E">
              <w:rPr>
                <w:rFonts w:ascii="Arial" w:hAnsi="Arial" w:cs="Arial"/>
                <w:sz w:val="20"/>
                <w:szCs w:val="20"/>
                <w:lang w:eastAsia="ja-JP"/>
              </w:rPr>
              <w:t>161702</w:t>
            </w:r>
          </w:p>
        </w:tc>
        <w:tc>
          <w:tcPr>
            <w:tcW w:w="2268" w:type="dxa"/>
            <w:tcBorders>
              <w:top w:val="nil"/>
            </w:tcBorders>
            <w:vAlign w:val="center"/>
          </w:tcPr>
          <w:p w14:paraId="176F07F8" w14:textId="77777777" w:rsidR="00A63E8A" w:rsidRPr="009A1A2E" w:rsidRDefault="00A63E8A" w:rsidP="00757DDD">
            <w:pPr>
              <w:jc w:val="center"/>
              <w:rPr>
                <w:rFonts w:ascii="Arial" w:hAnsi="Arial" w:cs="Arial"/>
                <w:sz w:val="20"/>
                <w:szCs w:val="20"/>
                <w:lang w:eastAsia="ja-JP"/>
              </w:rPr>
            </w:pPr>
            <w:r w:rsidRPr="009A1A2E">
              <w:rPr>
                <w:rFonts w:ascii="Arial" w:hAnsi="Arial" w:cs="Arial"/>
                <w:sz w:val="20"/>
                <w:szCs w:val="20"/>
                <w:lang w:eastAsia="ja-JP"/>
              </w:rPr>
              <w:t>Vibrating Ossicular Prosthesis (VORP) 502X - Hearing aid, middle ear implant.</w:t>
            </w:r>
          </w:p>
        </w:tc>
        <w:tc>
          <w:tcPr>
            <w:tcW w:w="5873" w:type="dxa"/>
            <w:tcBorders>
              <w:top w:val="nil"/>
            </w:tcBorders>
            <w:vAlign w:val="center"/>
          </w:tcPr>
          <w:p w14:paraId="19917D1A" w14:textId="77777777" w:rsidR="00A63E8A" w:rsidRPr="009A1A2E" w:rsidRDefault="00A63E8A" w:rsidP="00757DDD">
            <w:pPr>
              <w:jc w:val="both"/>
              <w:rPr>
                <w:rFonts w:ascii="Arial" w:hAnsi="Arial" w:cs="Arial"/>
                <w:sz w:val="20"/>
                <w:szCs w:val="20"/>
                <w:lang w:eastAsia="ja-JP"/>
              </w:rPr>
            </w:pPr>
            <w:r w:rsidRPr="009A1A2E">
              <w:rPr>
                <w:rFonts w:ascii="Arial" w:hAnsi="Arial" w:cs="Arial"/>
                <w:sz w:val="20"/>
                <w:szCs w:val="20"/>
                <w:lang w:eastAsia="ja-JP"/>
              </w:rPr>
              <w:t>For use in adults, adolescents and children who have mild to severe hearing impairment and cannot achieve success or adequate benefit from traditional therapy. For sensorineural HL, the VORP is crimped to the long process of the incus to directly drive the ossicular chain.</w:t>
            </w:r>
          </w:p>
        </w:tc>
      </w:tr>
      <w:tr w:rsidR="00A63E8A" w:rsidRPr="009A1A2E" w14:paraId="3B5E98C5" w14:textId="77777777" w:rsidTr="001C2E0E">
        <w:tc>
          <w:tcPr>
            <w:tcW w:w="1101" w:type="dxa"/>
            <w:vAlign w:val="center"/>
          </w:tcPr>
          <w:p w14:paraId="297EC78D" w14:textId="77777777" w:rsidR="00A63E8A" w:rsidRPr="009A1A2E" w:rsidRDefault="00A63E8A" w:rsidP="00757DDD">
            <w:pPr>
              <w:jc w:val="center"/>
              <w:rPr>
                <w:rFonts w:ascii="Arial" w:hAnsi="Arial" w:cs="Arial"/>
                <w:sz w:val="20"/>
                <w:szCs w:val="20"/>
                <w:lang w:eastAsia="ja-JP"/>
              </w:rPr>
            </w:pPr>
            <w:r w:rsidRPr="009A1A2E">
              <w:rPr>
                <w:rFonts w:ascii="Arial" w:hAnsi="Arial" w:cs="Arial"/>
                <w:sz w:val="20"/>
                <w:szCs w:val="20"/>
                <w:lang w:eastAsia="ja-JP"/>
              </w:rPr>
              <w:t>185533</w:t>
            </w:r>
          </w:p>
        </w:tc>
        <w:tc>
          <w:tcPr>
            <w:tcW w:w="2268" w:type="dxa"/>
            <w:vAlign w:val="center"/>
          </w:tcPr>
          <w:p w14:paraId="7FBA2E15" w14:textId="77777777" w:rsidR="00A63E8A" w:rsidRPr="009A1A2E" w:rsidRDefault="00A63E8A" w:rsidP="00757DDD">
            <w:pPr>
              <w:jc w:val="center"/>
              <w:rPr>
                <w:rFonts w:ascii="Arial" w:hAnsi="Arial" w:cs="Arial"/>
                <w:sz w:val="20"/>
                <w:szCs w:val="20"/>
                <w:lang w:eastAsia="ja-JP"/>
              </w:rPr>
            </w:pPr>
            <w:r w:rsidRPr="009A1A2E">
              <w:rPr>
                <w:rFonts w:ascii="Arial" w:hAnsi="Arial" w:cs="Arial"/>
                <w:sz w:val="20"/>
                <w:szCs w:val="20"/>
                <w:lang w:eastAsia="ja-JP"/>
              </w:rPr>
              <w:t>Vibroplasty Coupler -Hearing aid, middle ear implant.</w:t>
            </w:r>
          </w:p>
          <w:p w14:paraId="2486CEDF" w14:textId="77777777" w:rsidR="00A63E8A" w:rsidRPr="009A1A2E" w:rsidRDefault="00A63E8A" w:rsidP="00757DDD">
            <w:pPr>
              <w:jc w:val="center"/>
              <w:rPr>
                <w:rFonts w:ascii="Arial" w:hAnsi="Arial" w:cs="Arial"/>
                <w:sz w:val="20"/>
                <w:szCs w:val="20"/>
                <w:lang w:eastAsia="ja-JP"/>
              </w:rPr>
            </w:pPr>
          </w:p>
        </w:tc>
        <w:tc>
          <w:tcPr>
            <w:tcW w:w="5873" w:type="dxa"/>
            <w:vAlign w:val="center"/>
          </w:tcPr>
          <w:p w14:paraId="62BB0292" w14:textId="77777777" w:rsidR="00A63E8A" w:rsidRPr="009A1A2E" w:rsidRDefault="00A63E8A" w:rsidP="00757DDD">
            <w:pPr>
              <w:jc w:val="both"/>
              <w:rPr>
                <w:rFonts w:ascii="Arial" w:hAnsi="Arial" w:cs="Arial"/>
                <w:sz w:val="20"/>
                <w:szCs w:val="20"/>
                <w:lang w:eastAsia="ja-JP"/>
              </w:rPr>
            </w:pPr>
            <w:r w:rsidRPr="009A1A2E">
              <w:rPr>
                <w:rFonts w:ascii="Arial" w:hAnsi="Arial" w:cs="Arial"/>
                <w:sz w:val="20"/>
                <w:szCs w:val="20"/>
                <w:lang w:eastAsia="ja-JP"/>
              </w:rPr>
              <w:t>The Vibroplasty Couplers are intended to be used in combination with the Vibrant Soundbridge to facilitate the coupling between the FMT and a Vibratory Structure of the middle ear. The prosthesis type is chosen on the basis of the ossicular remnants once all primary disease has been removed from the middle ear.</w:t>
            </w:r>
          </w:p>
        </w:tc>
      </w:tr>
    </w:tbl>
    <w:p w14:paraId="37178F77" w14:textId="77777777" w:rsidR="00630DCF" w:rsidRDefault="00630DCF" w:rsidP="00213B3B">
      <w:pPr>
        <w:jc w:val="both"/>
      </w:pPr>
    </w:p>
    <w:p w14:paraId="1DE7902A" w14:textId="77777777" w:rsidR="00A52ABF" w:rsidRPr="009A1A2E" w:rsidRDefault="00A52ABF" w:rsidP="00213B3B">
      <w:pPr>
        <w:jc w:val="both"/>
      </w:pPr>
    </w:p>
    <w:p w14:paraId="57925D1E" w14:textId="77777777" w:rsidR="0037031D" w:rsidRPr="009A1A2E" w:rsidRDefault="0037031D" w:rsidP="00757DDD">
      <w:pPr>
        <w:pStyle w:val="Heading30"/>
        <w:rPr>
          <w:lang w:val="en-AU"/>
        </w:rPr>
      </w:pPr>
      <w:bookmarkStart w:id="349" w:name="_Toc400549404"/>
      <w:bookmarkStart w:id="350" w:name="_Toc431917557"/>
      <w:r w:rsidRPr="009A1A2E">
        <w:rPr>
          <w:lang w:val="en-AU"/>
        </w:rPr>
        <w:t>A.2.</w:t>
      </w:r>
      <w:r w:rsidR="00213B3B" w:rsidRPr="009A1A2E">
        <w:rPr>
          <w:lang w:val="en-AU"/>
        </w:rPr>
        <w:t>6</w:t>
      </w:r>
      <w:r w:rsidR="00CF76B3" w:rsidRPr="009A1A2E">
        <w:rPr>
          <w:lang w:val="en-AU"/>
        </w:rPr>
        <w:tab/>
      </w:r>
      <w:r w:rsidRPr="009A1A2E">
        <w:rPr>
          <w:lang w:val="en-AU"/>
        </w:rPr>
        <w:t xml:space="preserve">Proposed listing of </w:t>
      </w:r>
      <w:r w:rsidR="009454B1" w:rsidRPr="009A1A2E">
        <w:rPr>
          <w:lang w:val="en-AU"/>
        </w:rPr>
        <w:t>partially implantable active middle ear implants</w:t>
      </w:r>
      <w:bookmarkEnd w:id="349"/>
      <w:bookmarkEnd w:id="350"/>
    </w:p>
    <w:p w14:paraId="250B3B24" w14:textId="77777777" w:rsidR="0037031D" w:rsidRPr="009A1A2E" w:rsidRDefault="0037031D" w:rsidP="00757DDD">
      <w:pPr>
        <w:pStyle w:val="Textbody"/>
        <w:rPr>
          <w:b/>
          <w:u w:val="single"/>
          <w:lang w:val="en-AU"/>
        </w:rPr>
      </w:pPr>
      <w:r w:rsidRPr="009A1A2E">
        <w:rPr>
          <w:b/>
          <w:u w:val="single"/>
          <w:lang w:val="en-AU"/>
        </w:rPr>
        <w:t>Rationale for the proposed listing</w:t>
      </w:r>
    </w:p>
    <w:p w14:paraId="3AE8957E" w14:textId="77777777" w:rsidR="00213B3B" w:rsidRPr="009A1A2E" w:rsidRDefault="00213B3B" w:rsidP="00757DDD">
      <w:pPr>
        <w:pStyle w:val="Textbody"/>
        <w:rPr>
          <w:color w:val="000000"/>
          <w:lang w:val="en-AU"/>
        </w:rPr>
      </w:pPr>
      <w:r w:rsidRPr="009A1A2E">
        <w:rPr>
          <w:lang w:val="en-AU"/>
        </w:rPr>
        <w:t>Adult onset hearing loss ranked eighth in the 20 leading specific causes of burden of disease and injury in Australia in 2003. This burden of disease is calculated using an estimate of years of healthy life lost due to disability caused by disease and is measured in Disease Adjusted Life Years (DALYs). One DALY represents the loss of the equivalent of one year of full health. Using DALYs, the burden of diseases that cause early death but li</w:t>
      </w:r>
      <w:r w:rsidR="00612CA7" w:rsidRPr="009A1A2E">
        <w:rPr>
          <w:lang w:val="en-AU"/>
        </w:rPr>
        <w:t>ttle disability (e</w:t>
      </w:r>
      <w:r w:rsidR="0001407B" w:rsidRPr="009A1A2E">
        <w:rPr>
          <w:lang w:val="en-AU"/>
        </w:rPr>
        <w:t>.</w:t>
      </w:r>
      <w:r w:rsidR="00612CA7" w:rsidRPr="009A1A2E">
        <w:rPr>
          <w:lang w:val="en-AU"/>
        </w:rPr>
        <w:t>g. drowning or measles) can be compared to that of diseases that do not cause death but do cause disability</w:t>
      </w:r>
      <w:r w:rsidRPr="009A1A2E">
        <w:rPr>
          <w:lang w:val="en-AU"/>
        </w:rPr>
        <w:t xml:space="preserve"> (e.g</w:t>
      </w:r>
      <w:r w:rsidR="00612CA7" w:rsidRPr="009A1A2E">
        <w:rPr>
          <w:lang w:val="en-AU"/>
        </w:rPr>
        <w:t xml:space="preserve">. cataract causing blindness). </w:t>
      </w:r>
      <w:r w:rsidRPr="009A1A2E">
        <w:rPr>
          <w:lang w:val="en-AU"/>
        </w:rPr>
        <w:t xml:space="preserve">In 2003, Adult onset hearing loss contributed to 64,853 DALYs, equating to 2.5% of the total DALYs for Australia that year. For </w:t>
      </w:r>
      <w:r w:rsidRPr="009A1A2E">
        <w:rPr>
          <w:lang w:val="en-AU"/>
        </w:rPr>
        <w:lastRenderedPageBreak/>
        <w:t>2005, Access Economics reported an estimated 95,005 DALYs were lost due to hearing loss, representing 3.8% of the total burden of disease from all causes of disability and premature death (WHO report; Global Burden</w:t>
      </w:r>
      <w:r w:rsidR="00B616F2" w:rsidRPr="009A1A2E">
        <w:rPr>
          <w:lang w:val="en-AU"/>
        </w:rPr>
        <w:t xml:space="preserve"> of Disease:DALYs, Part 4 (2004</w:t>
      </w:r>
      <w:r w:rsidRPr="009A1A2E">
        <w:rPr>
          <w:lang w:val="en-AU"/>
        </w:rPr>
        <w:t>).</w:t>
      </w:r>
    </w:p>
    <w:p w14:paraId="07BBCC35" w14:textId="77777777" w:rsidR="00A63E8A" w:rsidRPr="009A1A2E" w:rsidRDefault="00213B3B" w:rsidP="00757DDD">
      <w:pPr>
        <w:pStyle w:val="Textbody"/>
        <w:rPr>
          <w:lang w:val="en-AU"/>
        </w:rPr>
      </w:pPr>
      <w:r w:rsidRPr="009A1A2E">
        <w:rPr>
          <w:lang w:val="en-AU"/>
        </w:rPr>
        <w:t>Prevalence of hearing loss in the better ear (Hearing thresholds ≥ 25 dB) in Australia was reported i</w:t>
      </w:r>
      <w:r w:rsidR="00B616F2" w:rsidRPr="009A1A2E">
        <w:rPr>
          <w:lang w:val="en-AU"/>
        </w:rPr>
        <w:t xml:space="preserve">n a study of Wilson et al </w:t>
      </w:r>
      <w:r w:rsidR="00B616F2" w:rsidRPr="009A1A2E">
        <w:rPr>
          <w:lang w:val="en-AU"/>
        </w:rPr>
        <w:fldChar w:fldCharType="begin">
          <w:fldData xml:space="preserve">PFJlZm1hbj48Q2l0ZT48QXV0aG9yPldpbHNvbjwvQXV0aG9yPjxZZWFyPjE5OTk8L1llYXI+PFJl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</w:fldData>
        </w:fldChar>
      </w:r>
      <w:r w:rsidR="00D85D29">
        <w:rPr>
          <w:lang w:val="en-AU"/>
        </w:rPr>
        <w:instrText xml:space="preserve"> ADDIN REFMGR.CITE </w:instrText>
      </w:r>
      <w:r w:rsidR="00D85D29">
        <w:rPr>
          <w:lang w:val="en-AU"/>
        </w:rPr>
        <w:fldChar w:fldCharType="begin">
          <w:fldData xml:space="preserve">PFJlZm1hbj48Q2l0ZT48QXV0aG9yPldpbHNvbjwvQXV0aG9yPjxZZWFyPjE5OTk8L1llYXI+PFJl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</w:fldData>
        </w:fldChar>
      </w:r>
      <w:r w:rsidR="00D85D29">
        <w:rPr>
          <w:lang w:val="en-AU"/>
        </w:rPr>
        <w:instrText xml:space="preserve"> ADDIN EN.CITE.DATA </w:instrText>
      </w:r>
      <w:r w:rsidR="00D85D29">
        <w:rPr>
          <w:lang w:val="en-AU"/>
        </w:rPr>
      </w:r>
      <w:r w:rsidR="00D85D29">
        <w:rPr>
          <w:lang w:val="en-AU"/>
        </w:rPr>
        <w:fldChar w:fldCharType="end"/>
      </w:r>
      <w:r w:rsidR="00B616F2" w:rsidRPr="009A1A2E">
        <w:rPr>
          <w:lang w:val="en-AU"/>
        </w:rPr>
      </w:r>
      <w:r w:rsidR="00B616F2" w:rsidRPr="009A1A2E">
        <w:rPr>
          <w:lang w:val="en-AU"/>
        </w:rPr>
        <w:fldChar w:fldCharType="separate"/>
      </w:r>
      <w:r w:rsidR="00B616F2" w:rsidRPr="009A1A2E">
        <w:rPr>
          <w:noProof/>
          <w:lang w:val="en-AU"/>
        </w:rPr>
        <w:t>(Wilson et al., 1999)</w:t>
      </w:r>
      <w:r w:rsidR="00B616F2" w:rsidRPr="009A1A2E">
        <w:rPr>
          <w:lang w:val="en-AU"/>
        </w:rPr>
        <w:fldChar w:fldCharType="end"/>
      </w:r>
      <w:r w:rsidRPr="009A1A2E">
        <w:rPr>
          <w:lang w:val="en-AU"/>
        </w:rPr>
        <w:t xml:space="preserve"> to be on the overall population 22.2%. </w:t>
      </w:r>
      <w:r w:rsidR="00A63E8A" w:rsidRPr="009A1A2E">
        <w:rPr>
          <w:lang w:val="en-AU"/>
        </w:rPr>
        <w:t>Treatment options for sensorineural hearing loss involve amplifying the incoming sound through a range of conservative management therapies including hearing aids. However, when patients also have a medical condition in their outer ear they a</w:t>
      </w:r>
      <w:r w:rsidR="00B616F2" w:rsidRPr="009A1A2E">
        <w:rPr>
          <w:lang w:val="en-AU"/>
        </w:rPr>
        <w:t>re unable to wear hearing aids -</w:t>
      </w:r>
      <w:r w:rsidR="00A63E8A" w:rsidRPr="009A1A2E">
        <w:rPr>
          <w:lang w:val="en-AU"/>
        </w:rPr>
        <w:t xml:space="preserve"> HA use has been proven to exacerbate their conditions. Current treatment options for such patients include </w:t>
      </w:r>
      <w:r w:rsidR="00A63E8A" w:rsidRPr="009A1A2E">
        <w:rPr>
          <w:u w:val="single"/>
          <w:lang w:val="en-AU"/>
        </w:rPr>
        <w:t>no treatment</w:t>
      </w:r>
      <w:r w:rsidR="00A63E8A" w:rsidRPr="009A1A2E">
        <w:rPr>
          <w:lang w:val="en-AU"/>
        </w:rPr>
        <w:t xml:space="preserve"> or </w:t>
      </w:r>
      <w:r w:rsidR="00A63E8A" w:rsidRPr="009A1A2E">
        <w:rPr>
          <w:u w:val="single"/>
          <w:lang w:val="en-AU"/>
        </w:rPr>
        <w:t>treatment with an active middle ear implant</w:t>
      </w:r>
      <w:r w:rsidR="00A63E8A" w:rsidRPr="009A1A2E">
        <w:rPr>
          <w:lang w:val="en-AU"/>
        </w:rPr>
        <w:t xml:space="preserve">. </w:t>
      </w:r>
    </w:p>
    <w:p w14:paraId="4A95C107" w14:textId="77777777" w:rsidR="00A63E8A" w:rsidRPr="009A1A2E" w:rsidRDefault="00B92DD7" w:rsidP="00757DDD">
      <w:pPr>
        <w:pStyle w:val="Textbody"/>
        <w:rPr>
          <w:color w:val="000000"/>
          <w:lang w:val="en-AU"/>
        </w:rPr>
      </w:pPr>
      <w:r w:rsidRPr="009A1A2E">
        <w:rPr>
          <w:lang w:val="en-AU"/>
        </w:rPr>
        <w:t>The only</w:t>
      </w:r>
      <w:r w:rsidR="00B22945" w:rsidRPr="009A1A2E">
        <w:rPr>
          <w:lang w:val="en-AU"/>
        </w:rPr>
        <w:t xml:space="preserve"> partially implantable</w:t>
      </w:r>
      <w:r w:rsidRPr="009A1A2E">
        <w:rPr>
          <w:lang w:val="en-AU"/>
        </w:rPr>
        <w:t xml:space="preserve"> active middle ear implant that offers management for the target population is the Vibrant Soundbridge</w:t>
      </w:r>
      <w:r w:rsidR="00213B3B" w:rsidRPr="009A1A2E">
        <w:rPr>
          <w:lang w:val="en-AU"/>
        </w:rPr>
        <w:t>.</w:t>
      </w:r>
    </w:p>
    <w:p w14:paraId="6E1B1716" w14:textId="77777777" w:rsidR="00ED6F62" w:rsidRPr="00B55968" w:rsidRDefault="00ED6F62" w:rsidP="00334C92">
      <w:pPr>
        <w:pStyle w:val="Textbody"/>
        <w:rPr>
          <w:sz w:val="16"/>
          <w:szCs w:val="16"/>
          <w:lang w:val="en-AU"/>
        </w:rPr>
      </w:pPr>
    </w:p>
    <w:p w14:paraId="20519643" w14:textId="77777777" w:rsidR="001E35F4" w:rsidRPr="009A1A2E" w:rsidRDefault="001E35F4" w:rsidP="00334C92">
      <w:pPr>
        <w:pStyle w:val="Textbody"/>
        <w:rPr>
          <w:lang w:val="en-AU"/>
        </w:rPr>
      </w:pPr>
      <w:r w:rsidRPr="009A1A2E">
        <w:rPr>
          <w:lang w:val="en-AU"/>
        </w:rPr>
        <w:t>Proposed MBS listing(s)</w:t>
      </w:r>
    </w:p>
    <w:p w14:paraId="74FE5823" w14:textId="77777777" w:rsidR="0059654D" w:rsidRPr="009A1A2E" w:rsidRDefault="0059654D" w:rsidP="00334C92">
      <w:pPr>
        <w:pStyle w:val="Textbody"/>
        <w:rPr>
          <w:lang w:val="en-AU"/>
        </w:rPr>
      </w:pPr>
      <w:r w:rsidRPr="009A1A2E">
        <w:rPr>
          <w:lang w:val="en-AU"/>
        </w:rPr>
        <w:t>The details of the MBS listing agreed by PASC are as follows: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Description w:val="details of the MBS listing agreed by PASC. Proposed MBS item descriptor for partially implantable MIDDLE EAR IMPLANT, Insertion of, including a mastoidectomy"/>
      </w:tblPr>
      <w:tblGrid>
        <w:gridCol w:w="9243"/>
      </w:tblGrid>
      <w:tr w:rsidR="003D6434" w:rsidRPr="009A1A2E" w14:paraId="6D822BA4" w14:textId="77777777" w:rsidTr="00AD51F5">
        <w:tc>
          <w:tcPr>
            <w:tcW w:w="9243" w:type="dxa"/>
          </w:tcPr>
          <w:p w14:paraId="5C8821B6" w14:textId="77777777" w:rsidR="003D6434" w:rsidRPr="009A1A2E" w:rsidRDefault="003D6434" w:rsidP="00B55968">
            <w:pPr>
              <w:pStyle w:val="Textbody"/>
              <w:spacing w:line="240" w:lineRule="auto"/>
              <w:rPr>
                <w:lang w:val="en-AU"/>
              </w:rPr>
            </w:pPr>
            <w:r w:rsidRPr="009A1A2E">
              <w:rPr>
                <w:b/>
                <w:lang w:val="en-AU"/>
              </w:rPr>
              <w:t>Proposed MBS item descriptor for partially implantable MIDDLE EAR IMPLANT</w:t>
            </w:r>
            <w:r w:rsidRPr="009A1A2E">
              <w:rPr>
                <w:lang w:val="en-AU"/>
              </w:rPr>
              <w:t>, Insertion of, including a mastoidectomy</w:t>
            </w:r>
          </w:p>
        </w:tc>
      </w:tr>
      <w:tr w:rsidR="003D6434" w:rsidRPr="009A1A2E" w14:paraId="713C6A1A" w14:textId="77777777" w:rsidTr="00AD51F5">
        <w:tc>
          <w:tcPr>
            <w:tcW w:w="9243" w:type="dxa"/>
          </w:tcPr>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909"/>
            </w:tblGrid>
            <w:tr w:rsidR="003D6434" w:rsidRPr="009A1A2E" w14:paraId="32123CF5" w14:textId="77777777" w:rsidTr="003340EF">
              <w:tc>
                <w:tcPr>
                  <w:tcW w:w="9134" w:type="dxa"/>
                </w:tcPr>
                <w:p w14:paraId="35D11B54" w14:textId="77777777" w:rsidR="003D6434" w:rsidRPr="009A1A2E" w:rsidRDefault="003D6434" w:rsidP="00334C92">
                  <w:pPr>
                    <w:pStyle w:val="Textbody"/>
                    <w:rPr>
                      <w:lang w:val="en-AU"/>
                    </w:rPr>
                  </w:pPr>
                  <w:r w:rsidRPr="009A1A2E">
                    <w:rPr>
                      <w:lang w:val="en-AU"/>
                    </w:rPr>
                    <w:t>Category 3 – Therapeutic Procedures</w:t>
                  </w:r>
                </w:p>
              </w:tc>
            </w:tr>
            <w:tr w:rsidR="003D6434" w:rsidRPr="009A1A2E" w14:paraId="2EDCD153" w14:textId="77777777" w:rsidTr="003340EF">
              <w:tc>
                <w:tcPr>
                  <w:tcW w:w="9134" w:type="dxa"/>
                </w:tcPr>
                <w:p w14:paraId="00B95BE0" w14:textId="77777777" w:rsidR="003D6434" w:rsidRPr="009A1A2E" w:rsidRDefault="003D6434" w:rsidP="00334C92">
                  <w:pPr>
                    <w:pStyle w:val="Textbody"/>
                    <w:rPr>
                      <w:lang w:val="en-AU"/>
                    </w:rPr>
                  </w:pPr>
                  <w:r w:rsidRPr="009A1A2E">
                    <w:rPr>
                      <w:lang w:val="en-AU"/>
                    </w:rPr>
                    <w:t>MBS [item number]</w:t>
                  </w:r>
                </w:p>
                <w:p w14:paraId="62063DD2" w14:textId="77777777" w:rsidR="003D6434" w:rsidRPr="009A1A2E" w:rsidRDefault="00B22945" w:rsidP="00334C92">
                  <w:pPr>
                    <w:pStyle w:val="Textbody"/>
                    <w:rPr>
                      <w:lang w:val="en-AU"/>
                    </w:rPr>
                  </w:pPr>
                  <w:r w:rsidRPr="009A1A2E">
                    <w:rPr>
                      <w:lang w:val="en-AU"/>
                    </w:rPr>
                    <w:t>partially implantable MIDDLE EAR IMPLANT</w:t>
                  </w:r>
                  <w:r w:rsidR="003D6434" w:rsidRPr="009A1A2E">
                    <w:rPr>
                      <w:lang w:val="en-AU"/>
                    </w:rPr>
                    <w:t>, insertion of, including mastoidectomy, for patients with:</w:t>
                  </w:r>
                </w:p>
                <w:p w14:paraId="247E89E4" w14:textId="77777777" w:rsidR="0059654D" w:rsidRPr="00B55968" w:rsidRDefault="0059654D" w:rsidP="00334C92">
                  <w:pPr>
                    <w:pStyle w:val="Textbody"/>
                    <w:rPr>
                      <w:sz w:val="16"/>
                      <w:szCs w:val="16"/>
                      <w:lang w:val="en-AU"/>
                    </w:rPr>
                  </w:pPr>
                </w:p>
                <w:p w14:paraId="257CC4A6" w14:textId="77777777" w:rsidR="003D6434" w:rsidRPr="009A1A2E" w:rsidRDefault="003D6434" w:rsidP="00334C92">
                  <w:pPr>
                    <w:pStyle w:val="Textbody"/>
                    <w:rPr>
                      <w:lang w:val="en-AU"/>
                    </w:rPr>
                  </w:pPr>
                  <w:r w:rsidRPr="009A1A2E">
                    <w:rPr>
                      <w:lang w:val="en-AU"/>
                    </w:rPr>
                    <w:t>sensorineural hearing loss that is stable, bilateral and symmetrical; and</w:t>
                  </w:r>
                </w:p>
                <w:p w14:paraId="3E90DF75" w14:textId="77777777" w:rsidR="003D6434" w:rsidRPr="009A1A2E" w:rsidRDefault="003D6434" w:rsidP="00334C92">
                  <w:pPr>
                    <w:pStyle w:val="Textbody"/>
                    <w:rPr>
                      <w:lang w:val="en-AU"/>
                    </w:rPr>
                  </w:pPr>
                  <w:r w:rsidRPr="009A1A2E">
                    <w:rPr>
                      <w:lang w:val="en-AU"/>
                    </w:rPr>
                    <w:t>air conduction thresholds in the mild to severe range with PTA4 below 80 dB HL; and</w:t>
                  </w:r>
                </w:p>
                <w:p w14:paraId="56D96C76" w14:textId="77777777" w:rsidR="003D6434" w:rsidRPr="009A1A2E" w:rsidRDefault="003D6434" w:rsidP="00334C92">
                  <w:pPr>
                    <w:pStyle w:val="Textbody"/>
                    <w:rPr>
                      <w:lang w:val="en-AU"/>
                    </w:rPr>
                  </w:pPr>
                  <w:r w:rsidRPr="009A1A2E">
                    <w:rPr>
                      <w:lang w:val="en-AU"/>
                    </w:rPr>
                    <w:t xml:space="preserve">have speech perception discrimination of </w:t>
                  </w:r>
                  <w:r w:rsidRPr="009A1A2E">
                    <w:rPr>
                      <w:rFonts w:ascii="Cambria Math" w:hAnsi="Cambria Math" w:cs="Cambria Math"/>
                      <w:lang w:val="en-AU"/>
                    </w:rPr>
                    <w:t>≧</w:t>
                  </w:r>
                  <w:r w:rsidRPr="009A1A2E">
                    <w:rPr>
                      <w:lang w:val="en-AU"/>
                    </w:rPr>
                    <w:t>65% correct with appropriately amplified sound; and</w:t>
                  </w:r>
                </w:p>
                <w:p w14:paraId="6E22C65A" w14:textId="77777777" w:rsidR="003D6434" w:rsidRPr="009A1A2E" w:rsidRDefault="003D6434" w:rsidP="00334C92">
                  <w:pPr>
                    <w:pStyle w:val="Textbody"/>
                    <w:rPr>
                      <w:lang w:val="en-AU"/>
                    </w:rPr>
                  </w:pPr>
                  <w:r w:rsidRPr="009A1A2E">
                    <w:rPr>
                      <w:lang w:val="en-AU"/>
                    </w:rPr>
                    <w:t>cannot wear conventional hearing aid because of outer ear pathology; and</w:t>
                  </w:r>
                </w:p>
                <w:p w14:paraId="47206295" w14:textId="77777777" w:rsidR="003D6434" w:rsidRPr="009A1A2E" w:rsidRDefault="003D6434" w:rsidP="00334C92">
                  <w:pPr>
                    <w:pStyle w:val="Textbody"/>
                    <w:rPr>
                      <w:lang w:val="en-AU"/>
                    </w:rPr>
                  </w:pPr>
                  <w:r w:rsidRPr="009A1A2E">
                    <w:rPr>
                      <w:lang w:val="en-AU"/>
                    </w:rPr>
                    <w:t>no history of inner ear disorders such as Meniere’s syndrome</w:t>
                  </w:r>
                </w:p>
                <w:p w14:paraId="4072B995" w14:textId="77777777" w:rsidR="003D6434" w:rsidRPr="009A1A2E" w:rsidRDefault="003D6434" w:rsidP="00334C92">
                  <w:pPr>
                    <w:pStyle w:val="Textbody"/>
                    <w:rPr>
                      <w:lang w:val="en-AU"/>
                    </w:rPr>
                  </w:pPr>
                  <w:r w:rsidRPr="009A1A2E">
                    <w:rPr>
                      <w:lang w:val="en-AU"/>
                    </w:rPr>
                    <w:t xml:space="preserve">a normal middle ear (no history of middle ear surgery or of post-adolescent, chronic middle ear infections; and normal tympanometry; and on </w:t>
                  </w:r>
                  <w:r w:rsidR="00944F5B" w:rsidRPr="009A1A2E">
                    <w:rPr>
                      <w:lang w:val="en-AU"/>
                    </w:rPr>
                    <w:t>aud</w:t>
                  </w:r>
                  <w:r w:rsidRPr="009A1A2E">
                    <w:rPr>
                      <w:lang w:val="en-AU"/>
                    </w:rPr>
                    <w:t xml:space="preserve">iometry the air-bone gap is </w:t>
                  </w:r>
                  <w:r w:rsidRPr="009A1A2E">
                    <w:rPr>
                      <w:rFonts w:ascii="Cambria Math" w:hAnsi="Cambria Math" w:cs="Cambria Math"/>
                      <w:lang w:val="en-AU"/>
                    </w:rPr>
                    <w:t>≦</w:t>
                  </w:r>
                  <w:r w:rsidRPr="009A1A2E">
                    <w:rPr>
                      <w:lang w:val="en-AU"/>
                    </w:rPr>
                    <w:t>10 dBHL at two or more of the following frequencies: 0.5, 1, 2 and 4 kHz).</w:t>
                  </w:r>
                </w:p>
                <w:p w14:paraId="0C465F9A" w14:textId="77777777" w:rsidR="003D6434" w:rsidRPr="00B55968" w:rsidRDefault="003D6434" w:rsidP="00334C92">
                  <w:pPr>
                    <w:pStyle w:val="Textbody"/>
                    <w:rPr>
                      <w:sz w:val="16"/>
                      <w:szCs w:val="16"/>
                      <w:lang w:val="en-AU"/>
                    </w:rPr>
                  </w:pPr>
                </w:p>
                <w:p w14:paraId="02CE3B97" w14:textId="77777777" w:rsidR="003D6434" w:rsidRPr="009A1A2E" w:rsidRDefault="003D6434" w:rsidP="00334C92">
                  <w:pPr>
                    <w:pStyle w:val="Textbody"/>
                    <w:rPr>
                      <w:lang w:val="en-AU"/>
                    </w:rPr>
                  </w:pPr>
                  <w:r w:rsidRPr="009A1A2E">
                    <w:rPr>
                      <w:lang w:val="en-AU"/>
                    </w:rPr>
                    <w:t>Fee: $1,876.59 (based on mastoidectomy item).</w:t>
                  </w:r>
                </w:p>
                <w:p w14:paraId="3CD0BC83" w14:textId="77777777" w:rsidR="003D6434" w:rsidRPr="009A1A2E" w:rsidRDefault="003D6434" w:rsidP="00334C92">
                  <w:pPr>
                    <w:pStyle w:val="Textbody"/>
                    <w:rPr>
                      <w:lang w:val="en-AU"/>
                    </w:rPr>
                  </w:pPr>
                  <w:r w:rsidRPr="009A1A2E">
                    <w:rPr>
                      <w:lang w:val="en-AU"/>
                    </w:rPr>
                    <w:t>(Anaes)</w:t>
                  </w:r>
                </w:p>
              </w:tc>
            </w:tr>
          </w:tbl>
          <w:p w14:paraId="68571E90" w14:textId="77777777" w:rsidR="003D6434" w:rsidRPr="009A1A2E" w:rsidRDefault="003D6434" w:rsidP="00334C92">
            <w:pPr>
              <w:pStyle w:val="Textbody"/>
              <w:rPr>
                <w:lang w:val="en-AU"/>
              </w:rPr>
            </w:pPr>
          </w:p>
        </w:tc>
      </w:tr>
    </w:tbl>
    <w:p w14:paraId="35BF67F3" w14:textId="77777777" w:rsidR="00B60787" w:rsidRPr="009A1A2E" w:rsidRDefault="00B60787" w:rsidP="00BC4DE0">
      <w:pPr>
        <w:pStyle w:val="Heading20"/>
        <w:rPr>
          <w:lang w:val="en-AU"/>
        </w:rPr>
      </w:pPr>
      <w:bookmarkStart w:id="351" w:name="_Toc400549405"/>
      <w:bookmarkStart w:id="352" w:name="_Toc431917558"/>
      <w:r w:rsidRPr="009A1A2E">
        <w:rPr>
          <w:lang w:val="en-AU"/>
        </w:rPr>
        <w:lastRenderedPageBreak/>
        <w:t>A.3</w:t>
      </w:r>
      <w:r w:rsidRPr="009A1A2E">
        <w:rPr>
          <w:lang w:val="en-AU"/>
        </w:rPr>
        <w:tab/>
        <w:t>Intervention details</w:t>
      </w:r>
      <w:bookmarkEnd w:id="351"/>
      <w:bookmarkEnd w:id="352"/>
    </w:p>
    <w:p w14:paraId="0B039C8A" w14:textId="77777777" w:rsidR="00583406" w:rsidRPr="009A1A2E" w:rsidRDefault="006B2F62" w:rsidP="00BC4DE0">
      <w:pPr>
        <w:pStyle w:val="Heading30"/>
        <w:rPr>
          <w:lang w:val="en-AU"/>
        </w:rPr>
      </w:pPr>
      <w:bookmarkStart w:id="353" w:name="_Toc400549406"/>
      <w:bookmarkStart w:id="354" w:name="_Toc431917559"/>
      <w:r w:rsidRPr="009A1A2E">
        <w:rPr>
          <w:lang w:val="en-AU"/>
        </w:rPr>
        <w:t>A.3.1</w:t>
      </w:r>
      <w:r w:rsidRPr="009A1A2E">
        <w:rPr>
          <w:lang w:val="en-AU"/>
        </w:rPr>
        <w:tab/>
      </w:r>
      <w:r w:rsidR="00CB2F52" w:rsidRPr="009A1A2E">
        <w:rPr>
          <w:lang w:val="en-AU"/>
        </w:rPr>
        <w:t>Clinical management pre-intervention</w:t>
      </w:r>
      <w:bookmarkEnd w:id="353"/>
      <w:bookmarkEnd w:id="354"/>
    </w:p>
    <w:p w14:paraId="249903A5" w14:textId="77777777" w:rsidR="00CB2F52" w:rsidRPr="009A1A2E" w:rsidRDefault="00CB2F52" w:rsidP="00BC4DE0">
      <w:pPr>
        <w:pStyle w:val="Textbody"/>
        <w:rPr>
          <w:lang w:val="en-AU"/>
        </w:rPr>
      </w:pPr>
      <w:r w:rsidRPr="009A1A2E">
        <w:rPr>
          <w:lang w:val="en-AU"/>
        </w:rPr>
        <w:t xml:space="preserve">Individuals suspected of having a hearing loss are referred for a full </w:t>
      </w:r>
      <w:r w:rsidR="00BC4DE0" w:rsidRPr="009A1A2E">
        <w:rPr>
          <w:lang w:val="en-AU"/>
        </w:rPr>
        <w:t>aud</w:t>
      </w:r>
      <w:r w:rsidRPr="009A1A2E">
        <w:rPr>
          <w:lang w:val="en-AU"/>
        </w:rPr>
        <w:t xml:space="preserve">iometric evaluation of their hearing. This evaluation consists of pure tone </w:t>
      </w:r>
      <w:r w:rsidR="00BC4DE0" w:rsidRPr="009A1A2E">
        <w:rPr>
          <w:lang w:val="en-AU"/>
        </w:rPr>
        <w:t>aud</w:t>
      </w:r>
      <w:r w:rsidRPr="009A1A2E">
        <w:rPr>
          <w:lang w:val="en-AU"/>
        </w:rPr>
        <w:t xml:space="preserve">iometry and speech testing. Pure tone </w:t>
      </w:r>
      <w:r w:rsidR="00BC4DE0" w:rsidRPr="009A1A2E">
        <w:rPr>
          <w:lang w:val="en-AU"/>
        </w:rPr>
        <w:t>aud</w:t>
      </w:r>
      <w:r w:rsidRPr="009A1A2E">
        <w:rPr>
          <w:lang w:val="en-AU"/>
        </w:rPr>
        <w:t xml:space="preserve">iometry is divided into air conduction and bone conduction testing where the first indicates the sensitivity of the entire hearing system, and the latter indicates the sensitivity of the inner ear only. Thresholds of </w:t>
      </w:r>
      <w:r w:rsidR="00BC4DE0" w:rsidRPr="009A1A2E">
        <w:rPr>
          <w:lang w:val="en-AU"/>
        </w:rPr>
        <w:t>aud</w:t>
      </w:r>
      <w:r w:rsidRPr="009A1A2E">
        <w:rPr>
          <w:lang w:val="en-AU"/>
        </w:rPr>
        <w:t xml:space="preserve">ibility, also named hearing thresholds, are determined at frequencies from 250 to 8000 Hz which is the range of sound that the human ear is most sensitive to. Normal hearing is represented by air and bone conduction thresholds below </w:t>
      </w:r>
      <w:r w:rsidR="00FD63ED" w:rsidRPr="009A1A2E">
        <w:rPr>
          <w:lang w:val="en-AU"/>
        </w:rPr>
        <w:t>25 </w:t>
      </w:r>
      <w:r w:rsidRPr="009A1A2E">
        <w:rPr>
          <w:lang w:val="en-AU"/>
        </w:rPr>
        <w:t xml:space="preserve">dB. Anything greater than 25 dB HL represents various levels of hearing loss. Sensorineural hearing loss is indicated by equal air and bone conduction thresholds above 25 dB, and means that the outer hair cells of the cochlea are damaged. Speech testing is carried out to support the </w:t>
      </w:r>
      <w:r w:rsidR="00BC4DE0" w:rsidRPr="009A1A2E">
        <w:rPr>
          <w:lang w:val="en-AU"/>
        </w:rPr>
        <w:t>aud</w:t>
      </w:r>
      <w:r w:rsidRPr="009A1A2E">
        <w:rPr>
          <w:lang w:val="en-AU"/>
        </w:rPr>
        <w:t>iological results in determining treatment options for hearing loss.</w:t>
      </w:r>
    </w:p>
    <w:p w14:paraId="1D2D9C8C" w14:textId="77777777" w:rsidR="00CB2F52" w:rsidRPr="009A1A2E" w:rsidRDefault="00CB2F52" w:rsidP="00BC4DE0">
      <w:pPr>
        <w:pStyle w:val="Textbody"/>
        <w:rPr>
          <w:lang w:val="en-AU"/>
        </w:rPr>
      </w:pPr>
      <w:r w:rsidRPr="009A1A2E">
        <w:rPr>
          <w:lang w:val="en-AU"/>
        </w:rPr>
        <w:t>Treatment options for sensorineural hearing loss involve amplifying the incoming sound through a range of conservative management therapies including hearing aids. However, when patients also have a medical condition in their outer ear they a</w:t>
      </w:r>
      <w:r w:rsidR="009C1DEA" w:rsidRPr="009A1A2E">
        <w:rPr>
          <w:lang w:val="en-AU"/>
        </w:rPr>
        <w:t>re unable to wear hearing aids. Hearing aid</w:t>
      </w:r>
      <w:r w:rsidRPr="009A1A2E">
        <w:rPr>
          <w:lang w:val="en-AU"/>
        </w:rPr>
        <w:t xml:space="preserve"> use has been proven to exacerbate their conditions. Current treatment options for such patients include no treatment or treatment with an active middle ear implant. The only active MEI currently available and indicated for this population is the Vibrant Soundbridge.</w:t>
      </w:r>
    </w:p>
    <w:p w14:paraId="79DB64E6" w14:textId="77777777" w:rsidR="00AD351D" w:rsidRPr="009A1A2E" w:rsidRDefault="00AD351D" w:rsidP="00BC4DE0">
      <w:pPr>
        <w:pStyle w:val="Textbody"/>
        <w:rPr>
          <w:lang w:val="en-AU"/>
        </w:rPr>
      </w:pPr>
    </w:p>
    <w:p w14:paraId="70BAB4AD" w14:textId="77777777" w:rsidR="00D74C42" w:rsidRPr="009A1A2E" w:rsidRDefault="00CB2F52" w:rsidP="00BC4DE0">
      <w:pPr>
        <w:pStyle w:val="Textbody"/>
        <w:rPr>
          <w:b/>
          <w:lang w:val="en-AU"/>
        </w:rPr>
      </w:pPr>
      <w:r w:rsidRPr="009A1A2E">
        <w:rPr>
          <w:b/>
          <w:lang w:val="en-AU"/>
        </w:rPr>
        <w:t xml:space="preserve">Indications for </w:t>
      </w:r>
      <w:r w:rsidR="00562738" w:rsidRPr="009A1A2E">
        <w:rPr>
          <w:b/>
          <w:lang w:val="en-AU"/>
        </w:rPr>
        <w:t xml:space="preserve">other </w:t>
      </w:r>
      <w:r w:rsidRPr="009A1A2E">
        <w:rPr>
          <w:b/>
          <w:lang w:val="en-AU"/>
        </w:rPr>
        <w:t>active middle ear implants</w:t>
      </w:r>
    </w:p>
    <w:p w14:paraId="45B24B0E" w14:textId="77777777" w:rsidR="00CB2F52" w:rsidRPr="009A1A2E" w:rsidRDefault="00AD351D" w:rsidP="00BC4DE0">
      <w:pPr>
        <w:pStyle w:val="Textbody"/>
        <w:rPr>
          <w:lang w:val="en-AU"/>
        </w:rPr>
      </w:pPr>
      <w:r w:rsidRPr="009A1A2E">
        <w:rPr>
          <w:lang w:val="en-AU"/>
        </w:rPr>
        <w:t>Currently, t</w:t>
      </w:r>
      <w:r w:rsidR="00B22945" w:rsidRPr="009A1A2E">
        <w:rPr>
          <w:lang w:val="en-AU"/>
        </w:rPr>
        <w:t>here are</w:t>
      </w:r>
      <w:r w:rsidR="00CB2F52" w:rsidRPr="009A1A2E">
        <w:rPr>
          <w:lang w:val="en-AU"/>
        </w:rPr>
        <w:t xml:space="preserve"> t</w:t>
      </w:r>
      <w:r w:rsidR="00B22945" w:rsidRPr="009A1A2E">
        <w:rPr>
          <w:lang w:val="en-AU"/>
        </w:rPr>
        <w:t xml:space="preserve">hree active middle ear implants: </w:t>
      </w:r>
      <w:r w:rsidR="00CB2F52" w:rsidRPr="009A1A2E">
        <w:rPr>
          <w:lang w:val="en-AU"/>
        </w:rPr>
        <w:t>Esteem and the Carina are both indicated for adults who have:</w:t>
      </w:r>
    </w:p>
    <w:p w14:paraId="63F63BD0" w14:textId="77777777" w:rsidR="00CB2F52" w:rsidRPr="009A1A2E" w:rsidRDefault="00CB2F52" w:rsidP="00B853EF">
      <w:pPr>
        <w:pStyle w:val="Textbody"/>
        <w:numPr>
          <w:ilvl w:val="0"/>
          <w:numId w:val="55"/>
        </w:numPr>
        <w:rPr>
          <w:lang w:val="en-AU"/>
        </w:rPr>
      </w:pPr>
      <w:r w:rsidRPr="009A1A2E">
        <w:rPr>
          <w:lang w:val="en-AU"/>
        </w:rPr>
        <w:t>Stable bilateral moderate to severe sensorineural hearing loss</w:t>
      </w:r>
    </w:p>
    <w:p w14:paraId="786191B2" w14:textId="77777777" w:rsidR="00CB2F52" w:rsidRPr="009A1A2E" w:rsidRDefault="00CB2F52" w:rsidP="00B853EF">
      <w:pPr>
        <w:pStyle w:val="Textbody"/>
        <w:numPr>
          <w:ilvl w:val="0"/>
          <w:numId w:val="55"/>
        </w:numPr>
        <w:rPr>
          <w:lang w:val="en-AU"/>
        </w:rPr>
      </w:pPr>
      <w:r w:rsidRPr="009A1A2E">
        <w:rPr>
          <w:lang w:val="en-AU"/>
        </w:rPr>
        <w:t>Unaided speech discrimination tests score greater than or equal to 40%</w:t>
      </w:r>
    </w:p>
    <w:p w14:paraId="521F5286" w14:textId="77777777" w:rsidR="00CB2F52" w:rsidRPr="009A1A2E" w:rsidRDefault="00CB2F52" w:rsidP="00B853EF">
      <w:pPr>
        <w:pStyle w:val="Textbody"/>
        <w:numPr>
          <w:ilvl w:val="0"/>
          <w:numId w:val="55"/>
        </w:numPr>
        <w:rPr>
          <w:lang w:val="en-AU"/>
        </w:rPr>
      </w:pPr>
      <w:r w:rsidRPr="009A1A2E">
        <w:rPr>
          <w:lang w:val="en-AU"/>
        </w:rPr>
        <w:t>Normal middle ear function and anatomy</w:t>
      </w:r>
    </w:p>
    <w:p w14:paraId="16ADB812" w14:textId="77777777" w:rsidR="00CB2F52" w:rsidRPr="009A1A2E" w:rsidRDefault="00CB2F52" w:rsidP="00B853EF">
      <w:pPr>
        <w:pStyle w:val="Textbody"/>
        <w:numPr>
          <w:ilvl w:val="0"/>
          <w:numId w:val="55"/>
        </w:numPr>
        <w:rPr>
          <w:lang w:val="en-AU"/>
        </w:rPr>
      </w:pPr>
      <w:r w:rsidRPr="009A1A2E">
        <w:rPr>
          <w:lang w:val="en-AU"/>
        </w:rPr>
        <w:t>Minimum 30 days of experience with appropriately fit hearing aids</w:t>
      </w:r>
    </w:p>
    <w:p w14:paraId="217B58C4" w14:textId="77777777" w:rsidR="00CB2F52" w:rsidRPr="009A1A2E" w:rsidRDefault="00CB2F52" w:rsidP="00BC4DE0">
      <w:pPr>
        <w:pStyle w:val="Textbody"/>
        <w:rPr>
          <w:lang w:val="en-AU"/>
        </w:rPr>
      </w:pPr>
    </w:p>
    <w:p w14:paraId="140922F5" w14:textId="77777777" w:rsidR="00CB2F52" w:rsidRPr="009A1A2E" w:rsidRDefault="00CB2F52" w:rsidP="00BC4DE0">
      <w:pPr>
        <w:pStyle w:val="Textbody"/>
        <w:rPr>
          <w:lang w:val="en-AU"/>
        </w:rPr>
      </w:pPr>
      <w:r w:rsidRPr="009A1A2E">
        <w:rPr>
          <w:lang w:val="en-AU"/>
        </w:rPr>
        <w:t xml:space="preserve">Both of these devices are contraindicated in patients who present with chronic outer, middle or inner ear pathologies. </w:t>
      </w:r>
    </w:p>
    <w:p w14:paraId="3D8EDCFB" w14:textId="77777777" w:rsidR="00562738" w:rsidRPr="009A1A2E" w:rsidRDefault="00CB2F52" w:rsidP="00BC4DE0">
      <w:pPr>
        <w:pStyle w:val="Textbody"/>
        <w:rPr>
          <w:lang w:val="en-AU"/>
        </w:rPr>
      </w:pPr>
      <w:r w:rsidRPr="009A1A2E">
        <w:rPr>
          <w:lang w:val="en-AU"/>
        </w:rPr>
        <w:t xml:space="preserve">These criteria represent a population who could alternatively be treated by conventional HAs, or by a cochlear implant when amplification is insufficient. The only active middle ear implant that offers management for the target population is the Vibrant Soundbridge. </w:t>
      </w:r>
    </w:p>
    <w:p w14:paraId="2CC06A11" w14:textId="77777777" w:rsidR="007049DE" w:rsidRPr="009A1A2E" w:rsidRDefault="00562738" w:rsidP="00BC4DE0">
      <w:pPr>
        <w:pStyle w:val="Textbody"/>
        <w:rPr>
          <w:b/>
          <w:lang w:val="en-AU"/>
        </w:rPr>
      </w:pPr>
      <w:r w:rsidRPr="009A1A2E">
        <w:rPr>
          <w:b/>
          <w:lang w:val="en-AU"/>
        </w:rPr>
        <w:lastRenderedPageBreak/>
        <w:t>I</w:t>
      </w:r>
      <w:r w:rsidR="00CB2F52" w:rsidRPr="009A1A2E">
        <w:rPr>
          <w:b/>
          <w:lang w:val="en-AU"/>
        </w:rPr>
        <w:t>ndications for the Vibrant Soundbridge:</w:t>
      </w:r>
    </w:p>
    <w:p w14:paraId="6CB1E2B1" w14:textId="77777777" w:rsidR="00CB2F52" w:rsidRPr="009A1A2E" w:rsidRDefault="00CB2F52" w:rsidP="00B853EF">
      <w:pPr>
        <w:pStyle w:val="Textbody"/>
        <w:numPr>
          <w:ilvl w:val="0"/>
          <w:numId w:val="56"/>
        </w:numPr>
        <w:rPr>
          <w:lang w:val="en-AU"/>
        </w:rPr>
      </w:pPr>
      <w:r w:rsidRPr="009A1A2E">
        <w:rPr>
          <w:lang w:val="en-AU"/>
        </w:rPr>
        <w:t>Pure-tone air-conduction threshold levels at or within the levels listed below in</w:t>
      </w:r>
      <w:r w:rsidR="00187734">
        <w:rPr>
          <w:lang w:val="en-AU"/>
        </w:rPr>
        <w:t xml:space="preserve"> </w:t>
      </w:r>
      <w:r w:rsidR="00187734">
        <w:rPr>
          <w:lang w:val="en-AU"/>
        </w:rPr>
        <w:fldChar w:fldCharType="begin"/>
      </w:r>
      <w:r w:rsidR="00187734">
        <w:rPr>
          <w:lang w:val="en-AU"/>
        </w:rPr>
        <w:instrText xml:space="preserve"> REF _Ref431223383 \h </w:instrText>
      </w:r>
      <w:r w:rsidR="00187734">
        <w:rPr>
          <w:lang w:val="en-AU"/>
        </w:rPr>
      </w:r>
      <w:r w:rsidR="00187734">
        <w:rPr>
          <w:lang w:val="en-AU"/>
        </w:rPr>
        <w:fldChar w:fldCharType="separate"/>
      </w:r>
      <w:r w:rsidR="00016592" w:rsidRPr="009A1A2E">
        <w:rPr>
          <w:lang w:val="en-AU"/>
        </w:rPr>
        <w:t xml:space="preserve">Table </w:t>
      </w:r>
      <w:r w:rsidR="00016592">
        <w:rPr>
          <w:noProof/>
          <w:lang w:val="en-AU"/>
        </w:rPr>
        <w:t>1</w:t>
      </w:r>
      <w:r w:rsidR="00187734">
        <w:rPr>
          <w:lang w:val="en-AU"/>
        </w:rPr>
        <w:fldChar w:fldCharType="end"/>
      </w:r>
      <w:r w:rsidRPr="009A1A2E">
        <w:rPr>
          <w:lang w:val="en-AU"/>
        </w:rPr>
        <w:t xml:space="preserve"> .Pure-tone air-conduction thresholds for both ears within 20 dB HL of each other at frequencies </w:t>
      </w:r>
      <w:r w:rsidR="00FD63ED" w:rsidRPr="009A1A2E">
        <w:rPr>
          <w:lang w:val="en-AU"/>
        </w:rPr>
        <w:t>0</w:t>
      </w:r>
      <w:r w:rsidRPr="009A1A2E">
        <w:rPr>
          <w:lang w:val="en-AU"/>
        </w:rPr>
        <w:t>.5 to 4 kHz Air-bone gap at 0.5, 1, 2 and 4 kHz no greater than 10 dB HL at two or more of these frequencies.</w:t>
      </w:r>
    </w:p>
    <w:p w14:paraId="7F529C4E" w14:textId="77777777" w:rsidR="00CB2F52" w:rsidRPr="009A1A2E" w:rsidRDefault="00CB2F52" w:rsidP="00B853EF">
      <w:pPr>
        <w:pStyle w:val="Textbody"/>
        <w:numPr>
          <w:ilvl w:val="0"/>
          <w:numId w:val="56"/>
        </w:numPr>
        <w:rPr>
          <w:lang w:val="en-AU"/>
        </w:rPr>
      </w:pPr>
      <w:r w:rsidRPr="009A1A2E">
        <w:rPr>
          <w:lang w:val="en-AU"/>
        </w:rPr>
        <w:t>Normal tympanometry.</w:t>
      </w:r>
    </w:p>
    <w:p w14:paraId="1F434DDB" w14:textId="77777777" w:rsidR="00CB2F52" w:rsidRPr="009A1A2E" w:rsidRDefault="00CB2F52" w:rsidP="00B853EF">
      <w:pPr>
        <w:pStyle w:val="Textbody"/>
        <w:numPr>
          <w:ilvl w:val="0"/>
          <w:numId w:val="56"/>
        </w:numPr>
        <w:rPr>
          <w:lang w:val="en-AU"/>
        </w:rPr>
      </w:pPr>
      <w:r w:rsidRPr="009A1A2E">
        <w:rPr>
          <w:lang w:val="en-AU"/>
        </w:rPr>
        <w:t>No previous middle ear surgery.</w:t>
      </w:r>
    </w:p>
    <w:p w14:paraId="740E8539" w14:textId="77777777" w:rsidR="00CB2F52" w:rsidRPr="009A1A2E" w:rsidRDefault="00CB2F52" w:rsidP="00B853EF">
      <w:pPr>
        <w:pStyle w:val="Textbody"/>
        <w:numPr>
          <w:ilvl w:val="0"/>
          <w:numId w:val="56"/>
        </w:numPr>
        <w:rPr>
          <w:lang w:val="en-AU"/>
        </w:rPr>
      </w:pPr>
      <w:r w:rsidRPr="009A1A2E">
        <w:rPr>
          <w:lang w:val="en-AU"/>
        </w:rPr>
        <w:t>The patient shall have no history of post-adolescent, chronic middle ear infections or inner ear disorders such as vertigo or Meniere’s syndrome.</w:t>
      </w:r>
    </w:p>
    <w:p w14:paraId="6C19E486" w14:textId="77777777" w:rsidR="00CB2F52" w:rsidRPr="009A1A2E" w:rsidRDefault="00CB2F52" w:rsidP="00B853EF">
      <w:pPr>
        <w:pStyle w:val="Textbody"/>
        <w:numPr>
          <w:ilvl w:val="0"/>
          <w:numId w:val="56"/>
        </w:numPr>
        <w:rPr>
          <w:lang w:val="en-AU"/>
        </w:rPr>
      </w:pPr>
      <w:r w:rsidRPr="009A1A2E">
        <w:rPr>
          <w:lang w:val="en-AU"/>
        </w:rPr>
        <w:t xml:space="preserve">Speech </w:t>
      </w:r>
      <w:r w:rsidR="00944F5B" w:rsidRPr="009A1A2E">
        <w:rPr>
          <w:lang w:val="en-AU"/>
        </w:rPr>
        <w:t>aud</w:t>
      </w:r>
      <w:r w:rsidRPr="009A1A2E">
        <w:rPr>
          <w:lang w:val="en-AU"/>
        </w:rPr>
        <w:t>iometry curve adequate to the respective PTA. Speech understanding</w:t>
      </w:r>
      <w:r w:rsidR="00612CA7" w:rsidRPr="009A1A2E">
        <w:rPr>
          <w:lang w:val="en-AU"/>
        </w:rPr>
        <w:t xml:space="preserve"> &gt;65% (at 65</w:t>
      </w:r>
      <w:r w:rsidRPr="009A1A2E">
        <w:rPr>
          <w:lang w:val="en-AU"/>
        </w:rPr>
        <w:t>dB SPL) for word lists with amplification or at most comfortable level under earphones.</w:t>
      </w:r>
    </w:p>
    <w:p w14:paraId="3860DC98" w14:textId="77777777" w:rsidR="00CB2F52" w:rsidRPr="009A1A2E" w:rsidRDefault="00CB2F52" w:rsidP="00B853EF">
      <w:pPr>
        <w:pStyle w:val="Textbody"/>
        <w:numPr>
          <w:ilvl w:val="0"/>
          <w:numId w:val="56"/>
        </w:numPr>
        <w:rPr>
          <w:lang w:val="en-AU"/>
        </w:rPr>
      </w:pPr>
      <w:r w:rsidRPr="009A1A2E">
        <w:rPr>
          <w:lang w:val="en-AU"/>
        </w:rPr>
        <w:t>Unable to wear or benefit from a conventional hearing aid for medical reasons.</w:t>
      </w:r>
    </w:p>
    <w:p w14:paraId="76FB8D0E" w14:textId="77777777" w:rsidR="00CB2F52" w:rsidRPr="009A1A2E" w:rsidRDefault="00CB2F52" w:rsidP="00B853EF">
      <w:pPr>
        <w:pStyle w:val="Textbody"/>
        <w:numPr>
          <w:ilvl w:val="0"/>
          <w:numId w:val="56"/>
        </w:numPr>
        <w:rPr>
          <w:lang w:val="en-AU"/>
        </w:rPr>
      </w:pPr>
      <w:r w:rsidRPr="009A1A2E">
        <w:rPr>
          <w:lang w:val="en-AU"/>
        </w:rPr>
        <w:t>The ear selected for implantation of the VSB shall be equal to or worse than the un-implanted ear.</w:t>
      </w:r>
    </w:p>
    <w:p w14:paraId="2B5F4A1F" w14:textId="77777777" w:rsidR="00CB2F52" w:rsidRPr="009A1A2E" w:rsidRDefault="00CB2F52" w:rsidP="00BC4DE0">
      <w:pPr>
        <w:pStyle w:val="Textbody"/>
        <w:rPr>
          <w:lang w:val="en-AU"/>
        </w:rPr>
      </w:pPr>
    </w:p>
    <w:p w14:paraId="01AB60CE" w14:textId="77777777" w:rsidR="00BC4DE0" w:rsidRPr="009A1A2E" w:rsidRDefault="00BC4DE0" w:rsidP="00BC4DE0">
      <w:pPr>
        <w:pStyle w:val="Caption"/>
        <w:rPr>
          <w:rFonts w:ascii="Arial" w:hAnsi="Arial" w:cs="Arial"/>
          <w:lang w:val="en-AU"/>
        </w:rPr>
      </w:pPr>
      <w:bookmarkStart w:id="355" w:name="_Toc400395540"/>
      <w:bookmarkStart w:id="356" w:name="_Toc431917466"/>
      <w:r w:rsidRPr="009A1A2E">
        <w:rPr>
          <w:rFonts w:ascii="Arial" w:hAnsi="Arial" w:cs="Arial"/>
          <w:lang w:val="en-AU"/>
        </w:rPr>
        <w:t xml:space="preserve">Table </w:t>
      </w:r>
      <w:r w:rsidRPr="009A1A2E">
        <w:rPr>
          <w:rFonts w:ascii="Arial" w:hAnsi="Arial" w:cs="Arial"/>
          <w:lang w:val="en-AU"/>
        </w:rPr>
        <w:fldChar w:fldCharType="begin"/>
      </w:r>
      <w:r w:rsidRPr="009A1A2E">
        <w:rPr>
          <w:rFonts w:ascii="Arial" w:hAnsi="Arial" w:cs="Arial"/>
          <w:lang w:val="en-AU"/>
        </w:rPr>
        <w:instrText xml:space="preserve"> SEQ Table \* ARABIC </w:instrText>
      </w:r>
      <w:r w:rsidRPr="009A1A2E">
        <w:rPr>
          <w:rFonts w:ascii="Arial" w:hAnsi="Arial" w:cs="Arial"/>
          <w:lang w:val="en-AU"/>
        </w:rPr>
        <w:fldChar w:fldCharType="separate"/>
      </w:r>
      <w:r w:rsidR="00016592">
        <w:rPr>
          <w:rFonts w:ascii="Arial" w:hAnsi="Arial" w:cs="Arial"/>
          <w:noProof/>
          <w:lang w:val="en-AU"/>
        </w:rPr>
        <w:t>6</w:t>
      </w:r>
      <w:r w:rsidRPr="009A1A2E">
        <w:rPr>
          <w:rFonts w:ascii="Arial" w:hAnsi="Arial" w:cs="Arial"/>
          <w:lang w:val="en-AU"/>
        </w:rPr>
        <w:fldChar w:fldCharType="end"/>
      </w:r>
      <w:r w:rsidRPr="009A1A2E">
        <w:rPr>
          <w:rFonts w:ascii="Arial" w:hAnsi="Arial" w:cs="Arial"/>
          <w:lang w:val="en-AU"/>
        </w:rPr>
        <w:t xml:space="preserve"> - Air conduction threshold levels for SNHL indication (CE marked countries)</w:t>
      </w:r>
      <w:bookmarkEnd w:id="355"/>
      <w:bookmarkEnd w:id="356"/>
    </w:p>
    <w:tbl>
      <w:tblPr>
        <w:tblW w:w="39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Air conduction threshold levels for SNHL indication (CE marked countries)"/>
      </w:tblPr>
      <w:tblGrid>
        <w:gridCol w:w="2386"/>
        <w:gridCol w:w="824"/>
        <w:gridCol w:w="831"/>
        <w:gridCol w:w="831"/>
        <w:gridCol w:w="831"/>
        <w:gridCol w:w="831"/>
        <w:gridCol w:w="831"/>
      </w:tblGrid>
      <w:tr w:rsidR="00CB2F52" w:rsidRPr="009A1A2E" w14:paraId="62DB5507" w14:textId="77777777" w:rsidTr="00F66939">
        <w:trPr>
          <w:jc w:val="center"/>
        </w:trPr>
        <w:tc>
          <w:tcPr>
            <w:tcW w:w="2386" w:type="dxa"/>
            <w:shd w:val="clear" w:color="auto" w:fill="auto"/>
            <w:vAlign w:val="center"/>
          </w:tcPr>
          <w:p w14:paraId="26AD74A3" w14:textId="77777777" w:rsidR="00CB2F52" w:rsidRPr="009A1A2E" w:rsidRDefault="00CB2F52" w:rsidP="00213B3B">
            <w:pPr>
              <w:jc w:val="both"/>
              <w:rPr>
                <w:rFonts w:cs="Arial"/>
                <w:b/>
                <w:sz w:val="20"/>
                <w:szCs w:val="20"/>
                <w:lang w:eastAsia="de-AT"/>
              </w:rPr>
            </w:pPr>
            <w:r w:rsidRPr="009A1A2E">
              <w:rPr>
                <w:rFonts w:cs="Arial"/>
                <w:b/>
                <w:sz w:val="20"/>
                <w:szCs w:val="20"/>
                <w:lang w:eastAsia="de-AT"/>
              </w:rPr>
              <w:t>Frequency (kHz)</w:t>
            </w:r>
          </w:p>
        </w:tc>
        <w:tc>
          <w:tcPr>
            <w:tcW w:w="824" w:type="dxa"/>
            <w:shd w:val="clear" w:color="auto" w:fill="auto"/>
          </w:tcPr>
          <w:p w14:paraId="676054BA" w14:textId="77777777" w:rsidR="00CB2F52" w:rsidRPr="009A1A2E" w:rsidRDefault="00CB2F52" w:rsidP="00213B3B">
            <w:pPr>
              <w:keepNext/>
              <w:keepLines/>
              <w:tabs>
                <w:tab w:val="left" w:pos="60"/>
                <w:tab w:val="left" w:pos="10085"/>
                <w:tab w:val="left" w:pos="10105"/>
              </w:tabs>
              <w:spacing w:before="120" w:after="120"/>
              <w:jc w:val="both"/>
              <w:rPr>
                <w:rFonts w:cs="Arial"/>
                <w:sz w:val="20"/>
                <w:szCs w:val="20"/>
                <w:lang w:eastAsia="de-AT"/>
              </w:rPr>
            </w:pPr>
            <w:r w:rsidRPr="009A1A2E">
              <w:rPr>
                <w:rFonts w:cs="Arial"/>
                <w:sz w:val="20"/>
                <w:szCs w:val="20"/>
                <w:lang w:eastAsia="de-AT"/>
              </w:rPr>
              <w:t>0.5</w:t>
            </w:r>
          </w:p>
        </w:tc>
        <w:tc>
          <w:tcPr>
            <w:tcW w:w="831" w:type="dxa"/>
            <w:shd w:val="clear" w:color="auto" w:fill="auto"/>
          </w:tcPr>
          <w:p w14:paraId="759F474C" w14:textId="77777777" w:rsidR="00CB2F52" w:rsidRPr="009A1A2E" w:rsidRDefault="00CB2F52" w:rsidP="00213B3B">
            <w:pPr>
              <w:keepNext/>
              <w:keepLines/>
              <w:tabs>
                <w:tab w:val="left" w:pos="60"/>
                <w:tab w:val="left" w:pos="10085"/>
                <w:tab w:val="left" w:pos="10105"/>
              </w:tabs>
              <w:spacing w:before="120" w:after="120"/>
              <w:jc w:val="both"/>
              <w:rPr>
                <w:rFonts w:cs="Arial"/>
                <w:sz w:val="20"/>
                <w:szCs w:val="20"/>
                <w:lang w:eastAsia="de-AT"/>
              </w:rPr>
            </w:pPr>
            <w:r w:rsidRPr="009A1A2E">
              <w:rPr>
                <w:rFonts w:cs="Arial"/>
                <w:sz w:val="20"/>
                <w:szCs w:val="20"/>
                <w:lang w:eastAsia="de-AT"/>
              </w:rPr>
              <w:t>1</w:t>
            </w:r>
          </w:p>
        </w:tc>
        <w:tc>
          <w:tcPr>
            <w:tcW w:w="831" w:type="dxa"/>
          </w:tcPr>
          <w:p w14:paraId="7A7F25BE" w14:textId="77777777" w:rsidR="00CB2F52" w:rsidRPr="009A1A2E" w:rsidRDefault="00CB2F52" w:rsidP="00213B3B">
            <w:pPr>
              <w:keepNext/>
              <w:keepLines/>
              <w:tabs>
                <w:tab w:val="left" w:pos="60"/>
                <w:tab w:val="left" w:pos="10085"/>
                <w:tab w:val="left" w:pos="10105"/>
              </w:tabs>
              <w:spacing w:before="120" w:after="120"/>
              <w:jc w:val="both"/>
              <w:rPr>
                <w:rFonts w:cs="Arial"/>
                <w:sz w:val="20"/>
                <w:szCs w:val="20"/>
                <w:lang w:eastAsia="de-AT"/>
              </w:rPr>
            </w:pPr>
            <w:r w:rsidRPr="009A1A2E">
              <w:rPr>
                <w:rFonts w:cs="Arial"/>
                <w:sz w:val="20"/>
                <w:szCs w:val="20"/>
                <w:lang w:eastAsia="de-AT"/>
              </w:rPr>
              <w:t>1.5</w:t>
            </w:r>
          </w:p>
        </w:tc>
        <w:tc>
          <w:tcPr>
            <w:tcW w:w="831" w:type="dxa"/>
            <w:shd w:val="clear" w:color="auto" w:fill="auto"/>
          </w:tcPr>
          <w:p w14:paraId="7AD7E308" w14:textId="77777777" w:rsidR="00CB2F52" w:rsidRPr="009A1A2E" w:rsidRDefault="00CB2F52" w:rsidP="00213B3B">
            <w:pPr>
              <w:keepNext/>
              <w:keepLines/>
              <w:tabs>
                <w:tab w:val="left" w:pos="60"/>
                <w:tab w:val="left" w:pos="10085"/>
                <w:tab w:val="left" w:pos="10105"/>
              </w:tabs>
              <w:spacing w:before="120" w:after="120"/>
              <w:jc w:val="both"/>
              <w:rPr>
                <w:rFonts w:cs="Arial"/>
                <w:sz w:val="20"/>
                <w:szCs w:val="20"/>
                <w:lang w:eastAsia="de-AT"/>
              </w:rPr>
            </w:pPr>
            <w:r w:rsidRPr="009A1A2E">
              <w:rPr>
                <w:rFonts w:cs="Arial"/>
                <w:sz w:val="20"/>
                <w:szCs w:val="20"/>
                <w:lang w:eastAsia="de-AT"/>
              </w:rPr>
              <w:t>2</w:t>
            </w:r>
          </w:p>
        </w:tc>
        <w:tc>
          <w:tcPr>
            <w:tcW w:w="831" w:type="dxa"/>
            <w:shd w:val="clear" w:color="auto" w:fill="auto"/>
          </w:tcPr>
          <w:p w14:paraId="472D913B" w14:textId="77777777" w:rsidR="00CB2F52" w:rsidRPr="009A1A2E" w:rsidRDefault="00CB2F52" w:rsidP="00213B3B">
            <w:pPr>
              <w:keepNext/>
              <w:keepLines/>
              <w:tabs>
                <w:tab w:val="left" w:pos="60"/>
                <w:tab w:val="left" w:pos="10085"/>
                <w:tab w:val="left" w:pos="10105"/>
              </w:tabs>
              <w:spacing w:before="120" w:after="120"/>
              <w:jc w:val="both"/>
              <w:rPr>
                <w:rFonts w:cs="Arial"/>
                <w:sz w:val="20"/>
                <w:szCs w:val="20"/>
                <w:lang w:eastAsia="de-AT"/>
              </w:rPr>
            </w:pPr>
            <w:r w:rsidRPr="009A1A2E">
              <w:rPr>
                <w:rFonts w:cs="Arial"/>
                <w:sz w:val="20"/>
                <w:szCs w:val="20"/>
                <w:lang w:eastAsia="de-AT"/>
              </w:rPr>
              <w:t>3</w:t>
            </w:r>
          </w:p>
        </w:tc>
        <w:tc>
          <w:tcPr>
            <w:tcW w:w="831" w:type="dxa"/>
            <w:shd w:val="clear" w:color="auto" w:fill="auto"/>
          </w:tcPr>
          <w:p w14:paraId="3A2970DB" w14:textId="77777777" w:rsidR="00CB2F52" w:rsidRPr="009A1A2E" w:rsidRDefault="00CB2F52" w:rsidP="00213B3B">
            <w:pPr>
              <w:keepNext/>
              <w:keepLines/>
              <w:tabs>
                <w:tab w:val="left" w:pos="60"/>
                <w:tab w:val="left" w:pos="10085"/>
                <w:tab w:val="left" w:pos="10105"/>
              </w:tabs>
              <w:spacing w:before="120" w:after="120"/>
              <w:jc w:val="both"/>
              <w:rPr>
                <w:rFonts w:cs="Arial"/>
                <w:sz w:val="20"/>
                <w:szCs w:val="20"/>
                <w:lang w:eastAsia="de-AT"/>
              </w:rPr>
            </w:pPr>
            <w:r w:rsidRPr="009A1A2E">
              <w:rPr>
                <w:rFonts w:cs="Arial"/>
                <w:sz w:val="20"/>
                <w:szCs w:val="20"/>
                <w:lang w:eastAsia="de-AT"/>
              </w:rPr>
              <w:t>4</w:t>
            </w:r>
          </w:p>
        </w:tc>
      </w:tr>
      <w:tr w:rsidR="00CB2F52" w:rsidRPr="009A1A2E" w14:paraId="3F5EB9FF" w14:textId="77777777" w:rsidTr="00F66939">
        <w:trPr>
          <w:jc w:val="center"/>
        </w:trPr>
        <w:tc>
          <w:tcPr>
            <w:tcW w:w="2386" w:type="dxa"/>
            <w:shd w:val="clear" w:color="auto" w:fill="auto"/>
            <w:vAlign w:val="center"/>
          </w:tcPr>
          <w:p w14:paraId="1359D4B9" w14:textId="77777777" w:rsidR="00CB2F52" w:rsidRPr="009A1A2E" w:rsidRDefault="00CB2F52" w:rsidP="00213B3B">
            <w:pPr>
              <w:jc w:val="both"/>
              <w:rPr>
                <w:rFonts w:cs="Arial"/>
                <w:b/>
                <w:sz w:val="20"/>
                <w:szCs w:val="20"/>
                <w:lang w:eastAsia="de-AT"/>
              </w:rPr>
            </w:pPr>
            <w:r w:rsidRPr="009A1A2E">
              <w:rPr>
                <w:rFonts w:cs="Arial"/>
                <w:b/>
                <w:sz w:val="20"/>
                <w:szCs w:val="20"/>
                <w:lang w:eastAsia="de-AT"/>
              </w:rPr>
              <w:t>Lower Limit (dB HL)</w:t>
            </w:r>
          </w:p>
        </w:tc>
        <w:tc>
          <w:tcPr>
            <w:tcW w:w="824" w:type="dxa"/>
            <w:shd w:val="clear" w:color="auto" w:fill="auto"/>
          </w:tcPr>
          <w:p w14:paraId="78427540" w14:textId="77777777" w:rsidR="00CB2F52" w:rsidRPr="009A1A2E" w:rsidRDefault="00CB2F52" w:rsidP="00213B3B">
            <w:pPr>
              <w:keepNext/>
              <w:keepLines/>
              <w:tabs>
                <w:tab w:val="left" w:pos="60"/>
                <w:tab w:val="left" w:pos="10085"/>
                <w:tab w:val="left" w:pos="10105"/>
              </w:tabs>
              <w:spacing w:before="120" w:after="120"/>
              <w:jc w:val="both"/>
              <w:rPr>
                <w:rFonts w:cs="Arial"/>
                <w:sz w:val="20"/>
                <w:szCs w:val="20"/>
                <w:lang w:eastAsia="de-AT"/>
              </w:rPr>
            </w:pPr>
            <w:r w:rsidRPr="009A1A2E">
              <w:rPr>
                <w:rFonts w:cs="Arial"/>
                <w:sz w:val="20"/>
                <w:szCs w:val="20"/>
                <w:lang w:eastAsia="de-AT"/>
              </w:rPr>
              <w:t>10</w:t>
            </w:r>
          </w:p>
        </w:tc>
        <w:tc>
          <w:tcPr>
            <w:tcW w:w="831" w:type="dxa"/>
            <w:shd w:val="clear" w:color="auto" w:fill="auto"/>
          </w:tcPr>
          <w:p w14:paraId="2899135C" w14:textId="77777777" w:rsidR="00CB2F52" w:rsidRPr="009A1A2E" w:rsidRDefault="00CB2F52" w:rsidP="00213B3B">
            <w:pPr>
              <w:keepNext/>
              <w:keepLines/>
              <w:tabs>
                <w:tab w:val="left" w:pos="60"/>
                <w:tab w:val="left" w:pos="10085"/>
                <w:tab w:val="left" w:pos="10105"/>
              </w:tabs>
              <w:spacing w:before="120" w:after="120"/>
              <w:jc w:val="both"/>
              <w:rPr>
                <w:rFonts w:cs="Arial"/>
                <w:sz w:val="20"/>
                <w:szCs w:val="20"/>
                <w:lang w:eastAsia="de-AT"/>
              </w:rPr>
            </w:pPr>
            <w:r w:rsidRPr="009A1A2E">
              <w:rPr>
                <w:rFonts w:cs="Arial"/>
                <w:sz w:val="20"/>
                <w:szCs w:val="20"/>
                <w:lang w:eastAsia="de-AT"/>
              </w:rPr>
              <w:t>10</w:t>
            </w:r>
          </w:p>
        </w:tc>
        <w:tc>
          <w:tcPr>
            <w:tcW w:w="831" w:type="dxa"/>
          </w:tcPr>
          <w:p w14:paraId="138874AF" w14:textId="77777777" w:rsidR="00CB2F52" w:rsidRPr="009A1A2E" w:rsidRDefault="00CB2F52" w:rsidP="00213B3B">
            <w:pPr>
              <w:keepNext/>
              <w:keepLines/>
              <w:tabs>
                <w:tab w:val="left" w:pos="60"/>
                <w:tab w:val="left" w:pos="10085"/>
                <w:tab w:val="left" w:pos="10105"/>
              </w:tabs>
              <w:spacing w:before="120" w:after="120"/>
              <w:jc w:val="both"/>
              <w:rPr>
                <w:rFonts w:cs="Arial"/>
                <w:sz w:val="20"/>
                <w:szCs w:val="20"/>
                <w:lang w:eastAsia="de-AT"/>
              </w:rPr>
            </w:pPr>
            <w:r w:rsidRPr="009A1A2E">
              <w:rPr>
                <w:rFonts w:cs="Arial"/>
                <w:sz w:val="20"/>
                <w:szCs w:val="20"/>
                <w:lang w:eastAsia="de-AT"/>
              </w:rPr>
              <w:t>10</w:t>
            </w:r>
          </w:p>
        </w:tc>
        <w:tc>
          <w:tcPr>
            <w:tcW w:w="831" w:type="dxa"/>
            <w:shd w:val="clear" w:color="auto" w:fill="auto"/>
          </w:tcPr>
          <w:p w14:paraId="74F12341" w14:textId="77777777" w:rsidR="00CB2F52" w:rsidRPr="009A1A2E" w:rsidRDefault="00CB2F52" w:rsidP="00213B3B">
            <w:pPr>
              <w:keepNext/>
              <w:keepLines/>
              <w:tabs>
                <w:tab w:val="left" w:pos="60"/>
                <w:tab w:val="left" w:pos="10085"/>
                <w:tab w:val="left" w:pos="10105"/>
              </w:tabs>
              <w:spacing w:before="120" w:after="120"/>
              <w:jc w:val="both"/>
              <w:rPr>
                <w:rFonts w:cs="Arial"/>
                <w:sz w:val="20"/>
                <w:szCs w:val="20"/>
                <w:lang w:eastAsia="de-AT"/>
              </w:rPr>
            </w:pPr>
            <w:r w:rsidRPr="009A1A2E">
              <w:rPr>
                <w:rFonts w:cs="Arial"/>
                <w:sz w:val="20"/>
                <w:szCs w:val="20"/>
                <w:lang w:eastAsia="de-AT"/>
              </w:rPr>
              <w:t>15</w:t>
            </w:r>
          </w:p>
        </w:tc>
        <w:tc>
          <w:tcPr>
            <w:tcW w:w="831" w:type="dxa"/>
            <w:shd w:val="clear" w:color="auto" w:fill="auto"/>
          </w:tcPr>
          <w:p w14:paraId="61E271F7" w14:textId="77777777" w:rsidR="00CB2F52" w:rsidRPr="009A1A2E" w:rsidRDefault="00CB2F52" w:rsidP="00213B3B">
            <w:pPr>
              <w:keepNext/>
              <w:keepLines/>
              <w:tabs>
                <w:tab w:val="left" w:pos="60"/>
                <w:tab w:val="left" w:pos="10085"/>
                <w:tab w:val="left" w:pos="10105"/>
              </w:tabs>
              <w:spacing w:before="120" w:after="120"/>
              <w:jc w:val="both"/>
              <w:rPr>
                <w:rFonts w:cs="Arial"/>
                <w:sz w:val="20"/>
                <w:szCs w:val="20"/>
                <w:lang w:eastAsia="de-AT"/>
              </w:rPr>
            </w:pPr>
            <w:r w:rsidRPr="009A1A2E">
              <w:rPr>
                <w:rFonts w:cs="Arial"/>
                <w:sz w:val="20"/>
                <w:szCs w:val="20"/>
                <w:lang w:eastAsia="de-AT"/>
              </w:rPr>
              <w:t>25</w:t>
            </w:r>
          </w:p>
        </w:tc>
        <w:tc>
          <w:tcPr>
            <w:tcW w:w="831" w:type="dxa"/>
            <w:shd w:val="clear" w:color="auto" w:fill="auto"/>
          </w:tcPr>
          <w:p w14:paraId="473B0C96" w14:textId="77777777" w:rsidR="00CB2F52" w:rsidRPr="009A1A2E" w:rsidRDefault="00CB2F52" w:rsidP="00213B3B">
            <w:pPr>
              <w:keepNext/>
              <w:keepLines/>
              <w:tabs>
                <w:tab w:val="left" w:pos="60"/>
                <w:tab w:val="left" w:pos="10085"/>
                <w:tab w:val="left" w:pos="10105"/>
              </w:tabs>
              <w:spacing w:before="120" w:after="120"/>
              <w:jc w:val="both"/>
              <w:rPr>
                <w:rFonts w:cs="Arial"/>
                <w:sz w:val="20"/>
                <w:szCs w:val="20"/>
                <w:lang w:eastAsia="de-AT"/>
              </w:rPr>
            </w:pPr>
            <w:r w:rsidRPr="009A1A2E">
              <w:rPr>
                <w:rFonts w:cs="Arial"/>
                <w:sz w:val="20"/>
                <w:szCs w:val="20"/>
                <w:lang w:eastAsia="de-AT"/>
              </w:rPr>
              <w:t>40</w:t>
            </w:r>
          </w:p>
        </w:tc>
      </w:tr>
      <w:tr w:rsidR="00CB2F52" w:rsidRPr="009A1A2E" w14:paraId="7B05778F" w14:textId="77777777" w:rsidTr="00F66939">
        <w:trPr>
          <w:jc w:val="center"/>
        </w:trPr>
        <w:tc>
          <w:tcPr>
            <w:tcW w:w="2386" w:type="dxa"/>
            <w:shd w:val="clear" w:color="auto" w:fill="auto"/>
            <w:vAlign w:val="center"/>
          </w:tcPr>
          <w:p w14:paraId="30124DDE" w14:textId="77777777" w:rsidR="00CB2F52" w:rsidRPr="009A1A2E" w:rsidRDefault="00CB2F52" w:rsidP="00213B3B">
            <w:pPr>
              <w:jc w:val="both"/>
              <w:rPr>
                <w:rFonts w:cs="Arial"/>
                <w:b/>
                <w:sz w:val="20"/>
                <w:szCs w:val="20"/>
                <w:lang w:eastAsia="de-AT"/>
              </w:rPr>
            </w:pPr>
            <w:r w:rsidRPr="009A1A2E">
              <w:rPr>
                <w:rFonts w:cs="Arial"/>
                <w:b/>
                <w:sz w:val="20"/>
                <w:szCs w:val="20"/>
                <w:lang w:eastAsia="de-AT"/>
              </w:rPr>
              <w:t>Upper Limit (dB HL)</w:t>
            </w:r>
          </w:p>
        </w:tc>
        <w:tc>
          <w:tcPr>
            <w:tcW w:w="824" w:type="dxa"/>
            <w:shd w:val="clear" w:color="auto" w:fill="auto"/>
          </w:tcPr>
          <w:p w14:paraId="49421C82" w14:textId="77777777" w:rsidR="00CB2F52" w:rsidRPr="009A1A2E" w:rsidRDefault="00CB2F52" w:rsidP="00213B3B">
            <w:pPr>
              <w:keepNext/>
              <w:keepLines/>
              <w:tabs>
                <w:tab w:val="left" w:pos="60"/>
                <w:tab w:val="left" w:pos="10085"/>
                <w:tab w:val="left" w:pos="10105"/>
              </w:tabs>
              <w:spacing w:before="120" w:after="120"/>
              <w:jc w:val="both"/>
              <w:rPr>
                <w:rFonts w:cs="Arial"/>
                <w:sz w:val="20"/>
                <w:szCs w:val="20"/>
                <w:lang w:eastAsia="de-AT"/>
              </w:rPr>
            </w:pPr>
            <w:r w:rsidRPr="009A1A2E">
              <w:rPr>
                <w:rFonts w:cs="Arial"/>
                <w:sz w:val="20"/>
                <w:szCs w:val="20"/>
                <w:lang w:eastAsia="de-AT"/>
              </w:rPr>
              <w:t>65</w:t>
            </w:r>
          </w:p>
        </w:tc>
        <w:tc>
          <w:tcPr>
            <w:tcW w:w="831" w:type="dxa"/>
            <w:shd w:val="clear" w:color="auto" w:fill="auto"/>
          </w:tcPr>
          <w:p w14:paraId="084C7F6C" w14:textId="77777777" w:rsidR="00CB2F52" w:rsidRPr="009A1A2E" w:rsidRDefault="00CB2F52" w:rsidP="00213B3B">
            <w:pPr>
              <w:keepNext/>
              <w:keepLines/>
              <w:tabs>
                <w:tab w:val="left" w:pos="60"/>
                <w:tab w:val="left" w:pos="10085"/>
                <w:tab w:val="left" w:pos="10105"/>
              </w:tabs>
              <w:spacing w:before="120" w:after="120"/>
              <w:jc w:val="both"/>
              <w:rPr>
                <w:rFonts w:cs="Arial"/>
                <w:sz w:val="20"/>
                <w:szCs w:val="20"/>
                <w:lang w:eastAsia="de-AT"/>
              </w:rPr>
            </w:pPr>
            <w:r w:rsidRPr="009A1A2E">
              <w:rPr>
                <w:rFonts w:cs="Arial"/>
                <w:sz w:val="20"/>
                <w:szCs w:val="20"/>
                <w:lang w:eastAsia="de-AT"/>
              </w:rPr>
              <w:t>75</w:t>
            </w:r>
          </w:p>
        </w:tc>
        <w:tc>
          <w:tcPr>
            <w:tcW w:w="831" w:type="dxa"/>
          </w:tcPr>
          <w:p w14:paraId="79C0FDB1" w14:textId="77777777" w:rsidR="00CB2F52" w:rsidRPr="009A1A2E" w:rsidRDefault="00CB2F52" w:rsidP="00213B3B">
            <w:pPr>
              <w:keepNext/>
              <w:keepLines/>
              <w:tabs>
                <w:tab w:val="left" w:pos="60"/>
                <w:tab w:val="left" w:pos="10085"/>
                <w:tab w:val="left" w:pos="10105"/>
              </w:tabs>
              <w:spacing w:before="120" w:after="120"/>
              <w:jc w:val="both"/>
              <w:rPr>
                <w:rFonts w:cs="Arial"/>
                <w:sz w:val="20"/>
                <w:szCs w:val="20"/>
                <w:lang w:eastAsia="de-AT"/>
              </w:rPr>
            </w:pPr>
            <w:r w:rsidRPr="009A1A2E">
              <w:rPr>
                <w:rFonts w:cs="Arial"/>
                <w:sz w:val="20"/>
                <w:szCs w:val="20"/>
                <w:lang w:eastAsia="de-AT"/>
              </w:rPr>
              <w:t>80</w:t>
            </w:r>
          </w:p>
        </w:tc>
        <w:tc>
          <w:tcPr>
            <w:tcW w:w="831" w:type="dxa"/>
            <w:shd w:val="clear" w:color="auto" w:fill="auto"/>
          </w:tcPr>
          <w:p w14:paraId="7BD156A0" w14:textId="77777777" w:rsidR="00CB2F52" w:rsidRPr="009A1A2E" w:rsidRDefault="00CB2F52" w:rsidP="00213B3B">
            <w:pPr>
              <w:keepNext/>
              <w:keepLines/>
              <w:tabs>
                <w:tab w:val="left" w:pos="60"/>
                <w:tab w:val="left" w:pos="10085"/>
                <w:tab w:val="left" w:pos="10105"/>
              </w:tabs>
              <w:spacing w:before="120" w:after="120"/>
              <w:jc w:val="both"/>
              <w:rPr>
                <w:rFonts w:cs="Arial"/>
                <w:sz w:val="20"/>
                <w:szCs w:val="20"/>
                <w:lang w:eastAsia="de-AT"/>
              </w:rPr>
            </w:pPr>
            <w:r w:rsidRPr="009A1A2E">
              <w:rPr>
                <w:rFonts w:cs="Arial"/>
                <w:sz w:val="20"/>
                <w:szCs w:val="20"/>
                <w:lang w:eastAsia="de-AT"/>
              </w:rPr>
              <w:t>80</w:t>
            </w:r>
          </w:p>
        </w:tc>
        <w:tc>
          <w:tcPr>
            <w:tcW w:w="831" w:type="dxa"/>
            <w:shd w:val="clear" w:color="auto" w:fill="auto"/>
          </w:tcPr>
          <w:p w14:paraId="28F5248C" w14:textId="77777777" w:rsidR="00CB2F52" w:rsidRPr="009A1A2E" w:rsidRDefault="00CB2F52" w:rsidP="00213B3B">
            <w:pPr>
              <w:keepNext/>
              <w:keepLines/>
              <w:tabs>
                <w:tab w:val="left" w:pos="60"/>
                <w:tab w:val="left" w:pos="10085"/>
                <w:tab w:val="left" w:pos="10105"/>
              </w:tabs>
              <w:spacing w:before="120" w:after="120"/>
              <w:jc w:val="both"/>
              <w:rPr>
                <w:rFonts w:cs="Arial"/>
                <w:sz w:val="20"/>
                <w:szCs w:val="20"/>
                <w:lang w:eastAsia="de-AT"/>
              </w:rPr>
            </w:pPr>
            <w:r w:rsidRPr="009A1A2E">
              <w:rPr>
                <w:rFonts w:cs="Arial"/>
                <w:sz w:val="20"/>
                <w:szCs w:val="20"/>
                <w:lang w:eastAsia="de-AT"/>
              </w:rPr>
              <w:t>85</w:t>
            </w:r>
          </w:p>
        </w:tc>
        <w:tc>
          <w:tcPr>
            <w:tcW w:w="831" w:type="dxa"/>
            <w:shd w:val="clear" w:color="auto" w:fill="auto"/>
          </w:tcPr>
          <w:p w14:paraId="5F87E267" w14:textId="77777777" w:rsidR="00CB2F52" w:rsidRPr="009A1A2E" w:rsidRDefault="00CB2F52" w:rsidP="00213B3B">
            <w:pPr>
              <w:keepNext/>
              <w:keepLines/>
              <w:tabs>
                <w:tab w:val="left" w:pos="60"/>
                <w:tab w:val="left" w:pos="10085"/>
                <w:tab w:val="left" w:pos="10105"/>
              </w:tabs>
              <w:spacing w:before="120" w:after="120"/>
              <w:jc w:val="both"/>
              <w:rPr>
                <w:rFonts w:cs="Arial"/>
                <w:sz w:val="20"/>
                <w:szCs w:val="20"/>
                <w:lang w:eastAsia="de-AT"/>
              </w:rPr>
            </w:pPr>
            <w:r w:rsidRPr="009A1A2E">
              <w:rPr>
                <w:rFonts w:cs="Arial"/>
                <w:sz w:val="20"/>
                <w:szCs w:val="20"/>
                <w:lang w:eastAsia="de-AT"/>
              </w:rPr>
              <w:t>85</w:t>
            </w:r>
          </w:p>
        </w:tc>
      </w:tr>
    </w:tbl>
    <w:p w14:paraId="1BC8A99B" w14:textId="77777777" w:rsidR="00CB2F52" w:rsidRPr="009A1A2E" w:rsidRDefault="00CB2F52" w:rsidP="00BC4DE0">
      <w:pPr>
        <w:pStyle w:val="Textbody"/>
        <w:rPr>
          <w:lang w:val="en-AU"/>
        </w:rPr>
      </w:pPr>
    </w:p>
    <w:p w14:paraId="7C1F4E23" w14:textId="77777777" w:rsidR="00CB2F52" w:rsidRPr="009A1A2E" w:rsidRDefault="00CB2F52" w:rsidP="00BC4DE0">
      <w:pPr>
        <w:pStyle w:val="Textbody"/>
        <w:rPr>
          <w:lang w:val="en-AU"/>
        </w:rPr>
      </w:pPr>
      <w:r w:rsidRPr="009A1A2E">
        <w:rPr>
          <w:lang w:val="en-AU"/>
        </w:rPr>
        <w:t>Vibrant Soundbridge candidates cannot use conventional hearing aids for a variety of medical reasons. These may include but are not limited to conditions such as chronic otitis externa, psoriasis, exostosis of the ear canal, persistent excessive cerumen blocking the ear canal, absent or deformed pinnas following skin cancer, unusual morphology affecting the ear canal or pinna that prevent the use of conventional hearing aids.</w:t>
      </w:r>
    </w:p>
    <w:p w14:paraId="580582B5" w14:textId="77777777" w:rsidR="00CB2F52" w:rsidRPr="009A1A2E" w:rsidRDefault="00CB2F52" w:rsidP="00BC4DE0">
      <w:pPr>
        <w:pStyle w:val="Textbody"/>
        <w:rPr>
          <w:lang w:val="en-AU"/>
        </w:rPr>
      </w:pPr>
    </w:p>
    <w:p w14:paraId="66744C78" w14:textId="77777777" w:rsidR="00C34A42" w:rsidRPr="009A1A2E" w:rsidRDefault="00C34A42" w:rsidP="00BC4DE0">
      <w:pPr>
        <w:pStyle w:val="Textbody"/>
        <w:rPr>
          <w:lang w:val="en-AU"/>
        </w:rPr>
      </w:pPr>
    </w:p>
    <w:p w14:paraId="16A674F5" w14:textId="77777777" w:rsidR="003E4058" w:rsidRPr="009A1A2E" w:rsidRDefault="006B2F62" w:rsidP="00A52ABF">
      <w:pPr>
        <w:pStyle w:val="Heading30"/>
        <w:rPr>
          <w:highlight w:val="lightGray"/>
          <w:lang w:val="en-AU"/>
        </w:rPr>
      </w:pPr>
      <w:bookmarkStart w:id="357" w:name="_Toc400549407"/>
      <w:bookmarkStart w:id="358" w:name="_Toc431917560"/>
      <w:r w:rsidRPr="009A1A2E">
        <w:rPr>
          <w:lang w:val="en-AU"/>
        </w:rPr>
        <w:t>A.3.2</w:t>
      </w:r>
      <w:r w:rsidRPr="009A1A2E">
        <w:rPr>
          <w:lang w:val="en-AU"/>
        </w:rPr>
        <w:tab/>
      </w:r>
      <w:r w:rsidR="00CB2F52" w:rsidRPr="009A1A2E">
        <w:rPr>
          <w:lang w:val="en-AU"/>
        </w:rPr>
        <w:t>Clinical management intervention</w:t>
      </w:r>
      <w:bookmarkEnd w:id="357"/>
      <w:bookmarkEnd w:id="358"/>
      <w:r w:rsidR="00247BCE" w:rsidRPr="009A1A2E">
        <w:rPr>
          <w:highlight w:val="lightGray"/>
          <w:lang w:val="en-AU"/>
        </w:rPr>
        <w:t xml:space="preserve"> </w:t>
      </w:r>
    </w:p>
    <w:p w14:paraId="0AE19AEC" w14:textId="77777777" w:rsidR="00B22945" w:rsidRPr="009A1A2E" w:rsidRDefault="00B22945" w:rsidP="00BC4DE0">
      <w:pPr>
        <w:pStyle w:val="Textbody"/>
        <w:rPr>
          <w:lang w:val="en-AU"/>
        </w:rPr>
      </w:pPr>
      <w:r w:rsidRPr="009A1A2E">
        <w:rPr>
          <w:lang w:val="en-AU"/>
        </w:rPr>
        <w:t xml:space="preserve">The </w:t>
      </w:r>
      <w:r w:rsidRPr="009A1A2E">
        <w:rPr>
          <w:b/>
          <w:lang w:val="en-AU"/>
        </w:rPr>
        <w:t>only partially implantable</w:t>
      </w:r>
      <w:r w:rsidRPr="009A1A2E">
        <w:rPr>
          <w:lang w:val="en-AU"/>
        </w:rPr>
        <w:t xml:space="preserve"> active middle ear implant indicated for sensorineural hearing loss plus medical condition is the Vibrant Soundbridge. This hearing implant syst</w:t>
      </w:r>
      <w:r w:rsidR="007049DE" w:rsidRPr="009A1A2E">
        <w:rPr>
          <w:lang w:val="en-AU"/>
        </w:rPr>
        <w:t>em comprises of two components:</w:t>
      </w:r>
    </w:p>
    <w:p w14:paraId="0C0100E4" w14:textId="77777777" w:rsidR="00B22945" w:rsidRPr="009A1A2E" w:rsidRDefault="00B22945" w:rsidP="00F02470">
      <w:pPr>
        <w:pStyle w:val="Textbody"/>
        <w:rPr>
          <w:lang w:val="en-AU"/>
        </w:rPr>
      </w:pPr>
      <w:r w:rsidRPr="009A1A2E">
        <w:rPr>
          <w:lang w:val="en-AU"/>
        </w:rPr>
        <w:t xml:space="preserve">An internal component that includes a magnet, an electronics housing, and a transducer; and an external </w:t>
      </w:r>
      <w:r w:rsidR="00944F5B" w:rsidRPr="009A1A2E">
        <w:rPr>
          <w:lang w:val="en-AU"/>
        </w:rPr>
        <w:t>aud</w:t>
      </w:r>
      <w:r w:rsidRPr="009A1A2E">
        <w:rPr>
          <w:lang w:val="en-AU"/>
        </w:rPr>
        <w:t xml:space="preserve">io processor containing a power source (battery), microphone and digital </w:t>
      </w:r>
      <w:r w:rsidRPr="009A1A2E">
        <w:rPr>
          <w:lang w:val="en-AU"/>
        </w:rPr>
        <w:lastRenderedPageBreak/>
        <w:t xml:space="preserve">signal processor. The signal from the </w:t>
      </w:r>
      <w:r w:rsidR="00944F5B" w:rsidRPr="009A1A2E">
        <w:rPr>
          <w:lang w:val="en-AU"/>
        </w:rPr>
        <w:t>aud</w:t>
      </w:r>
      <w:r w:rsidRPr="009A1A2E">
        <w:rPr>
          <w:lang w:val="en-AU"/>
        </w:rPr>
        <w:t xml:space="preserve">io processor is transmitted to the internal component and transformed into vibrations. The transducer which is called the Floating Mass Transducer (FMT) is crimped or otherwise attached to the long process of the incus at a single point and mechanically drives the ossicular chain. The amplified vibrations can be adjusted via an external </w:t>
      </w:r>
      <w:r w:rsidR="00944F5B" w:rsidRPr="009A1A2E">
        <w:rPr>
          <w:lang w:val="en-AU"/>
        </w:rPr>
        <w:t>aud</w:t>
      </w:r>
      <w:r w:rsidRPr="009A1A2E">
        <w:rPr>
          <w:lang w:val="en-AU"/>
        </w:rPr>
        <w:t xml:space="preserve">itory processor (AP) to suit different degrees of hearing losses. Battery life of the AP is 6 days. Patients can place new batteries in or charge their existing batteries. </w:t>
      </w:r>
    </w:p>
    <w:p w14:paraId="1D8BE44D" w14:textId="77777777" w:rsidR="00B22945" w:rsidRPr="009A1A2E" w:rsidRDefault="00B22945" w:rsidP="00F02470">
      <w:pPr>
        <w:pStyle w:val="Textbody"/>
        <w:rPr>
          <w:lang w:val="en-AU"/>
        </w:rPr>
      </w:pPr>
    </w:p>
    <w:p w14:paraId="1AC21DAA" w14:textId="77777777" w:rsidR="00B22945" w:rsidRPr="009A1A2E" w:rsidRDefault="00B22945" w:rsidP="00F02470">
      <w:pPr>
        <w:pStyle w:val="Textbody"/>
        <w:rPr>
          <w:lang w:val="en-AU"/>
        </w:rPr>
      </w:pPr>
      <w:r w:rsidRPr="009A1A2E">
        <w:rPr>
          <w:lang w:val="en-AU"/>
        </w:rPr>
        <w:t>Implantation of the proposed Vibrant Soundbridge for SNHL + medical condition is carried out by an otolaryngologist (ENT surgeon) under general anaesthesia on an outpatient or inpatient basis. The surgical procedure lasts 1.5 to 2 hours after preparing the patient. This involves administering anaesthetics and intravenous antibiotics 30 minutes before surgery, marking the incision site and shaving the hair over the expected incision site. The surgery involves the following steps:</w:t>
      </w:r>
    </w:p>
    <w:p w14:paraId="23F8C55F" w14:textId="77777777" w:rsidR="00B22945" w:rsidRPr="009A1A2E" w:rsidRDefault="00B22945" w:rsidP="00F02470">
      <w:pPr>
        <w:pStyle w:val="Textbody"/>
        <w:rPr>
          <w:lang w:val="en-AU"/>
        </w:rPr>
      </w:pPr>
    </w:p>
    <w:p w14:paraId="19B89359" w14:textId="77777777" w:rsidR="00B22945" w:rsidRPr="009A1A2E" w:rsidRDefault="00B22945" w:rsidP="00B853EF">
      <w:pPr>
        <w:pStyle w:val="Textbody"/>
        <w:numPr>
          <w:ilvl w:val="0"/>
          <w:numId w:val="57"/>
        </w:numPr>
        <w:rPr>
          <w:lang w:val="en-AU"/>
        </w:rPr>
      </w:pPr>
      <w:r w:rsidRPr="009A1A2E">
        <w:rPr>
          <w:lang w:val="en-AU"/>
        </w:rPr>
        <w:t>Creating the incision behind the ear in a posterior-superior direction</w:t>
      </w:r>
    </w:p>
    <w:p w14:paraId="58F97BE5" w14:textId="77777777" w:rsidR="00B22945" w:rsidRPr="009A1A2E" w:rsidRDefault="00B22945" w:rsidP="00B853EF">
      <w:pPr>
        <w:pStyle w:val="Textbody"/>
        <w:numPr>
          <w:ilvl w:val="0"/>
          <w:numId w:val="57"/>
        </w:numPr>
        <w:rPr>
          <w:lang w:val="en-AU"/>
        </w:rPr>
      </w:pPr>
      <w:r w:rsidRPr="009A1A2E">
        <w:rPr>
          <w:lang w:val="en-AU"/>
        </w:rPr>
        <w:t>Performing a full or partial mastoidectomy via the facial recess route or the transmeatal route (depends on the medical status of the patient`s ear and on the surgeon`s preferences)</w:t>
      </w:r>
    </w:p>
    <w:p w14:paraId="7612F3BA" w14:textId="77777777" w:rsidR="00B22945" w:rsidRPr="009A1A2E" w:rsidRDefault="00B22945" w:rsidP="00B853EF">
      <w:pPr>
        <w:pStyle w:val="Textbody"/>
        <w:numPr>
          <w:ilvl w:val="0"/>
          <w:numId w:val="57"/>
        </w:numPr>
        <w:rPr>
          <w:lang w:val="en-AU"/>
        </w:rPr>
      </w:pPr>
      <w:r w:rsidRPr="009A1A2E">
        <w:rPr>
          <w:lang w:val="en-AU"/>
        </w:rPr>
        <w:t>Drilling a bone bed and tie-down holes for placing the implant, the transition to the FMT and the demodulator</w:t>
      </w:r>
    </w:p>
    <w:p w14:paraId="501D2A38" w14:textId="77777777" w:rsidR="00B22945" w:rsidRPr="009A1A2E" w:rsidRDefault="00B22945" w:rsidP="00B853EF">
      <w:pPr>
        <w:pStyle w:val="Textbody"/>
        <w:numPr>
          <w:ilvl w:val="0"/>
          <w:numId w:val="57"/>
        </w:numPr>
        <w:rPr>
          <w:lang w:val="en-AU"/>
        </w:rPr>
      </w:pPr>
      <w:r w:rsidRPr="009A1A2E">
        <w:rPr>
          <w:lang w:val="en-AU"/>
        </w:rPr>
        <w:t>Accessing and visualising the middle ear by either posterior tympanotomy through the facial recess, or by lifting the tympanomeatal flap of the outer ear canal (depends on surgical approach used)</w:t>
      </w:r>
    </w:p>
    <w:p w14:paraId="09E985BB" w14:textId="77777777" w:rsidR="00B22945" w:rsidRPr="009A1A2E" w:rsidRDefault="00B22945" w:rsidP="00B853EF">
      <w:pPr>
        <w:pStyle w:val="Textbody"/>
        <w:numPr>
          <w:ilvl w:val="0"/>
          <w:numId w:val="57"/>
        </w:numPr>
        <w:rPr>
          <w:lang w:val="en-AU"/>
        </w:rPr>
      </w:pPr>
      <w:r w:rsidRPr="009A1A2E">
        <w:rPr>
          <w:lang w:val="en-AU"/>
        </w:rPr>
        <w:t>Fixing the implant, transition and the demodulator  into the previously drilled bone bed</w:t>
      </w:r>
    </w:p>
    <w:p w14:paraId="5EBC132D" w14:textId="77777777" w:rsidR="00B22945" w:rsidRPr="009A1A2E" w:rsidRDefault="00B22945" w:rsidP="00B853EF">
      <w:pPr>
        <w:pStyle w:val="Textbody"/>
        <w:numPr>
          <w:ilvl w:val="0"/>
          <w:numId w:val="57"/>
        </w:numPr>
        <w:rPr>
          <w:lang w:val="en-AU"/>
        </w:rPr>
      </w:pPr>
      <w:r w:rsidRPr="009A1A2E">
        <w:rPr>
          <w:lang w:val="en-AU"/>
        </w:rPr>
        <w:t>Placing/crimping the FMT on to the long process of the incus</w:t>
      </w:r>
    </w:p>
    <w:p w14:paraId="703880AF" w14:textId="77777777" w:rsidR="00B22945" w:rsidRPr="009A1A2E" w:rsidRDefault="00B22945" w:rsidP="00B853EF">
      <w:pPr>
        <w:pStyle w:val="Textbody"/>
        <w:numPr>
          <w:ilvl w:val="0"/>
          <w:numId w:val="57"/>
        </w:numPr>
        <w:rPr>
          <w:lang w:val="en-AU"/>
        </w:rPr>
      </w:pPr>
      <w:r w:rsidRPr="009A1A2E">
        <w:rPr>
          <w:lang w:val="en-AU"/>
        </w:rPr>
        <w:t>Placing the excess conductor link in the excavated mastoid</w:t>
      </w:r>
    </w:p>
    <w:p w14:paraId="42ADA386" w14:textId="77777777" w:rsidR="00B22945" w:rsidRPr="009A1A2E" w:rsidRDefault="00B22945" w:rsidP="00B853EF">
      <w:pPr>
        <w:pStyle w:val="Textbody"/>
        <w:numPr>
          <w:ilvl w:val="0"/>
          <w:numId w:val="57"/>
        </w:numPr>
        <w:rPr>
          <w:lang w:val="en-AU"/>
        </w:rPr>
      </w:pPr>
      <w:r w:rsidRPr="009A1A2E">
        <w:rPr>
          <w:lang w:val="en-AU"/>
        </w:rPr>
        <w:t>Closing the wound</w:t>
      </w:r>
    </w:p>
    <w:p w14:paraId="1A671F87" w14:textId="77777777" w:rsidR="00B22945" w:rsidRPr="009A1A2E" w:rsidRDefault="00B22945" w:rsidP="00F02470">
      <w:pPr>
        <w:pStyle w:val="Textbody"/>
        <w:rPr>
          <w:lang w:val="en-AU"/>
        </w:rPr>
      </w:pPr>
    </w:p>
    <w:p w14:paraId="01313B57" w14:textId="77777777" w:rsidR="00B22945" w:rsidRPr="009A1A2E" w:rsidRDefault="00B22945" w:rsidP="00F02470">
      <w:pPr>
        <w:pStyle w:val="Textbody"/>
        <w:rPr>
          <w:lang w:val="en-AU"/>
        </w:rPr>
      </w:pPr>
      <w:r w:rsidRPr="009A1A2E">
        <w:rPr>
          <w:lang w:val="en-AU"/>
        </w:rPr>
        <w:t xml:space="preserve">6 to 8 weeks after surgery the patient is fitted with the </w:t>
      </w:r>
      <w:r w:rsidR="00944F5B" w:rsidRPr="009A1A2E">
        <w:rPr>
          <w:lang w:val="en-AU"/>
        </w:rPr>
        <w:t>aud</w:t>
      </w:r>
      <w:r w:rsidRPr="009A1A2E">
        <w:rPr>
          <w:lang w:val="en-AU"/>
        </w:rPr>
        <w:t>io processor (AP) and initial programming is carried out. The patient is followed-up on a regular basis and the AP is re-programmed when necessary.</w:t>
      </w:r>
    </w:p>
    <w:p w14:paraId="58BE1C0C" w14:textId="77777777" w:rsidR="00B22945" w:rsidRPr="009A1A2E" w:rsidRDefault="00B22945" w:rsidP="00F02470">
      <w:pPr>
        <w:pStyle w:val="Textbody"/>
        <w:rPr>
          <w:lang w:val="en-AU"/>
        </w:rPr>
      </w:pPr>
    </w:p>
    <w:p w14:paraId="1046CEFB" w14:textId="77777777" w:rsidR="00CB2F52" w:rsidRPr="00A52ABF" w:rsidRDefault="00CB2F52" w:rsidP="00A52ABF">
      <w:pPr>
        <w:pStyle w:val="Heading30"/>
        <w:rPr>
          <w:highlight w:val="lightGray"/>
        </w:rPr>
      </w:pPr>
      <w:bookmarkStart w:id="359" w:name="_Toc400549408"/>
      <w:bookmarkStart w:id="360" w:name="_Toc431917561"/>
      <w:r w:rsidRPr="00A52ABF">
        <w:lastRenderedPageBreak/>
        <w:t>A.3.3</w:t>
      </w:r>
      <w:r w:rsidRPr="00A52ABF">
        <w:tab/>
        <w:t>Clinical management post-intervention</w:t>
      </w:r>
      <w:bookmarkEnd w:id="359"/>
      <w:bookmarkEnd w:id="360"/>
    </w:p>
    <w:p w14:paraId="077F313A" w14:textId="77777777" w:rsidR="00F02470" w:rsidRPr="009A1A2E" w:rsidRDefault="00B22945" w:rsidP="00F02470">
      <w:pPr>
        <w:pStyle w:val="Textbody"/>
        <w:rPr>
          <w:lang w:val="en-AU"/>
        </w:rPr>
      </w:pPr>
      <w:r w:rsidRPr="009A1A2E">
        <w:rPr>
          <w:b/>
          <w:lang w:val="en-AU"/>
        </w:rPr>
        <w:t>Post-Implantation of the Vibrant Soundbridge</w:t>
      </w:r>
    </w:p>
    <w:p w14:paraId="359040D5" w14:textId="77777777" w:rsidR="00B22945" w:rsidRPr="009A1A2E" w:rsidRDefault="00B22945" w:rsidP="00F02470">
      <w:pPr>
        <w:pStyle w:val="Textbody"/>
        <w:rPr>
          <w:rFonts w:eastAsia="SimSun"/>
          <w:lang w:val="en-AU"/>
        </w:rPr>
      </w:pPr>
      <w:r w:rsidRPr="009A1A2E">
        <w:rPr>
          <w:lang w:val="en-AU"/>
        </w:rPr>
        <w:t xml:space="preserve">Activation of </w:t>
      </w:r>
      <w:r w:rsidR="00F02470" w:rsidRPr="009A1A2E">
        <w:rPr>
          <w:rFonts w:eastAsia="SimSun"/>
          <w:lang w:val="en-AU"/>
        </w:rPr>
        <w:t>aud</w:t>
      </w:r>
      <w:r w:rsidRPr="009A1A2E">
        <w:rPr>
          <w:rFonts w:eastAsia="SimSun"/>
          <w:lang w:val="en-AU"/>
        </w:rPr>
        <w:t>io Processor</w:t>
      </w:r>
      <w:r w:rsidRPr="009A1A2E">
        <w:rPr>
          <w:lang w:val="en-AU"/>
        </w:rPr>
        <w:t xml:space="preserve"> (AP) and Follow-up Fittings with </w:t>
      </w:r>
      <w:r w:rsidR="00F02470" w:rsidRPr="009A1A2E">
        <w:rPr>
          <w:lang w:val="en-AU"/>
        </w:rPr>
        <w:t>aud</w:t>
      </w:r>
      <w:r w:rsidRPr="009A1A2E">
        <w:rPr>
          <w:lang w:val="en-AU"/>
        </w:rPr>
        <w:t xml:space="preserve">iologists take place </w:t>
      </w:r>
      <w:r w:rsidRPr="009A1A2E">
        <w:rPr>
          <w:rFonts w:eastAsia="SimSun"/>
          <w:lang w:val="en-AU"/>
        </w:rPr>
        <w:t xml:space="preserve">approximately eight weeks after implantation of the AMEI. The AP fitting is performed </w:t>
      </w:r>
      <w:r w:rsidR="0054599A" w:rsidRPr="009A1A2E">
        <w:rPr>
          <w:rFonts w:eastAsia="SimSun"/>
          <w:lang w:val="en-AU"/>
        </w:rPr>
        <w:t xml:space="preserve">using the VIBRANT MED-EL SYMFIT </w:t>
      </w:r>
      <w:r w:rsidR="00CA176E">
        <w:rPr>
          <w:rFonts w:eastAsia="SimSun"/>
          <w:lang w:val="en-AU"/>
        </w:rPr>
        <w:t>6</w:t>
      </w:r>
      <w:r w:rsidRPr="009A1A2E">
        <w:rPr>
          <w:rFonts w:eastAsia="SimSun"/>
          <w:lang w:val="en-AU"/>
        </w:rPr>
        <w:t>.0 software and off-the-shelf hearing instr</w:t>
      </w:r>
      <w:r w:rsidR="0054599A" w:rsidRPr="009A1A2E">
        <w:rPr>
          <w:rFonts w:eastAsia="SimSun"/>
          <w:lang w:val="en-AU"/>
        </w:rPr>
        <w:t xml:space="preserve">ument fitting software, CONNEXX </w:t>
      </w:r>
      <w:r w:rsidRPr="009A1A2E">
        <w:rPr>
          <w:rFonts w:eastAsia="SimSun"/>
          <w:lang w:val="en-AU"/>
        </w:rPr>
        <w:t xml:space="preserve">6.4 (Siemens) or higher version. The fitting software products are used in conjunction with an off-the-shelf hearing aid interface modem, Hi-Pro Box or the Noah Link (GN Otometrics) and a Personal Computer. The VIBRANT MED-EL SYMFIT </w:t>
      </w:r>
      <w:r w:rsidR="00CA176E">
        <w:rPr>
          <w:rFonts w:eastAsia="SimSun"/>
          <w:lang w:val="en-AU"/>
        </w:rPr>
        <w:t>6</w:t>
      </w:r>
      <w:r w:rsidRPr="009A1A2E">
        <w:rPr>
          <w:rFonts w:eastAsia="SimSun"/>
          <w:lang w:val="en-AU"/>
        </w:rPr>
        <w:t xml:space="preserve">.0 software provides a parameter database, which enables the </w:t>
      </w:r>
      <w:r w:rsidR="00F02470" w:rsidRPr="009A1A2E">
        <w:rPr>
          <w:rFonts w:eastAsia="SimSun"/>
          <w:lang w:val="en-AU"/>
        </w:rPr>
        <w:t>aud</w:t>
      </w:r>
      <w:r w:rsidRPr="009A1A2E">
        <w:rPr>
          <w:rFonts w:eastAsia="SimSun"/>
          <w:lang w:val="en-AU"/>
        </w:rPr>
        <w:t>io Processor to be programed with the CONNEXX software. The programming process is performed by a trained hearing professional (</w:t>
      </w:r>
      <w:r w:rsidR="00F02470" w:rsidRPr="009A1A2E">
        <w:rPr>
          <w:rFonts w:eastAsia="SimSun"/>
          <w:lang w:val="en-AU"/>
        </w:rPr>
        <w:t>aud</w:t>
      </w:r>
      <w:r w:rsidRPr="009A1A2E">
        <w:rPr>
          <w:rFonts w:eastAsia="SimSun"/>
          <w:lang w:val="en-AU"/>
        </w:rPr>
        <w:t xml:space="preserve">iologist) and typically takes about 30 minutes. The workflow during the activation visit is as follows: The patient’s </w:t>
      </w:r>
      <w:r w:rsidR="00F02470" w:rsidRPr="009A1A2E">
        <w:rPr>
          <w:rFonts w:eastAsia="SimSun"/>
          <w:lang w:val="en-AU"/>
        </w:rPr>
        <w:t>aud</w:t>
      </w:r>
      <w:r w:rsidRPr="009A1A2E">
        <w:rPr>
          <w:rFonts w:eastAsia="SimSun"/>
          <w:lang w:val="en-AU"/>
        </w:rPr>
        <w:t xml:space="preserve">iogram is entered in the CONNEXX software. </w:t>
      </w:r>
    </w:p>
    <w:p w14:paraId="7A13FF25" w14:textId="77777777" w:rsidR="00B22945" w:rsidRPr="009A1A2E" w:rsidRDefault="00B22945" w:rsidP="00F02470">
      <w:pPr>
        <w:pStyle w:val="Textbody"/>
        <w:rPr>
          <w:rFonts w:eastAsia="SimSun"/>
          <w:lang w:val="en-AU"/>
        </w:rPr>
      </w:pPr>
    </w:p>
    <w:p w14:paraId="6C30317D" w14:textId="77777777" w:rsidR="00B22945" w:rsidRPr="009A1A2E" w:rsidRDefault="00B22945" w:rsidP="00B853EF">
      <w:pPr>
        <w:pStyle w:val="Textbody"/>
        <w:numPr>
          <w:ilvl w:val="0"/>
          <w:numId w:val="58"/>
        </w:numPr>
        <w:rPr>
          <w:rFonts w:eastAsia="SimSun"/>
          <w:lang w:val="en-AU"/>
        </w:rPr>
      </w:pPr>
      <w:r w:rsidRPr="009A1A2E">
        <w:rPr>
          <w:rFonts w:eastAsia="SimSun"/>
          <w:lang w:val="en-AU"/>
        </w:rPr>
        <w:t xml:space="preserve">CONNEXX uses the </w:t>
      </w:r>
      <w:r w:rsidR="00CA176E">
        <w:rPr>
          <w:rFonts w:eastAsia="SimSun"/>
          <w:lang w:val="en-AU"/>
        </w:rPr>
        <w:t>air</w:t>
      </w:r>
      <w:r w:rsidR="00CA176E" w:rsidRPr="009A1A2E">
        <w:rPr>
          <w:rFonts w:eastAsia="SimSun"/>
          <w:lang w:val="en-AU"/>
        </w:rPr>
        <w:t xml:space="preserve"> </w:t>
      </w:r>
      <w:r w:rsidRPr="009A1A2E">
        <w:rPr>
          <w:rFonts w:eastAsia="SimSun"/>
          <w:lang w:val="en-AU"/>
        </w:rPr>
        <w:t xml:space="preserve">conduction thresholds to propose a “first fit” based on the DSL I/O gain prescription rule (Select the appropriate acclimatization level 1 to </w:t>
      </w:r>
      <w:r w:rsidR="00CA176E">
        <w:rPr>
          <w:rFonts w:eastAsia="SimSun"/>
          <w:lang w:val="en-AU"/>
        </w:rPr>
        <w:t>4</w:t>
      </w:r>
      <w:r w:rsidRPr="009A1A2E">
        <w:rPr>
          <w:rFonts w:eastAsia="SimSun"/>
          <w:lang w:val="en-AU"/>
        </w:rPr>
        <w:t>; based on the level of experience with hearing aids).</w:t>
      </w:r>
    </w:p>
    <w:p w14:paraId="0FE77CC7" w14:textId="77777777" w:rsidR="00B22945" w:rsidRPr="009A1A2E" w:rsidRDefault="00B22945" w:rsidP="00B853EF">
      <w:pPr>
        <w:pStyle w:val="Textbody"/>
        <w:numPr>
          <w:ilvl w:val="0"/>
          <w:numId w:val="58"/>
        </w:numPr>
        <w:rPr>
          <w:rFonts w:eastAsia="SimSun"/>
          <w:lang w:val="en-AU"/>
        </w:rPr>
      </w:pPr>
      <w:r w:rsidRPr="009A1A2E">
        <w:rPr>
          <w:rFonts w:eastAsia="SimSun"/>
          <w:lang w:val="en-AU"/>
        </w:rPr>
        <w:t xml:space="preserve">The </w:t>
      </w:r>
      <w:r w:rsidR="00F02470" w:rsidRPr="009A1A2E">
        <w:rPr>
          <w:rFonts w:eastAsia="SimSun"/>
          <w:lang w:val="en-AU"/>
        </w:rPr>
        <w:t>aud</w:t>
      </w:r>
      <w:r w:rsidRPr="009A1A2E">
        <w:rPr>
          <w:rFonts w:eastAsia="SimSun"/>
          <w:lang w:val="en-AU"/>
        </w:rPr>
        <w:t>iologist has the opportunity to fine-tune the settings (frequency response and dynamic range compression) and enable features to enhance listening comfort (e.g., wind noise reduction), keeping in mind that it may be too early to obtain objective measurements as the healing may not be</w:t>
      </w:r>
      <w:r w:rsidR="00CA176E">
        <w:rPr>
          <w:rFonts w:eastAsia="SimSun"/>
          <w:lang w:val="en-AU"/>
        </w:rPr>
        <w:t xml:space="preserve"> </w:t>
      </w:r>
      <w:r w:rsidRPr="009A1A2E">
        <w:rPr>
          <w:rFonts w:eastAsia="SimSun"/>
          <w:lang w:val="en-AU"/>
        </w:rPr>
        <w:t>complete.</w:t>
      </w:r>
    </w:p>
    <w:p w14:paraId="3EAA9537" w14:textId="77777777" w:rsidR="00B22945" w:rsidRPr="009A1A2E" w:rsidRDefault="00B22945" w:rsidP="00F02470">
      <w:pPr>
        <w:pStyle w:val="Textbody"/>
        <w:rPr>
          <w:rFonts w:eastAsia="SimSun"/>
          <w:lang w:val="en-AU"/>
        </w:rPr>
      </w:pPr>
    </w:p>
    <w:p w14:paraId="312B3E4A" w14:textId="77777777" w:rsidR="00F02470" w:rsidRPr="009A1A2E" w:rsidRDefault="00B22945" w:rsidP="00F02470">
      <w:pPr>
        <w:pStyle w:val="Textbody"/>
        <w:rPr>
          <w:lang w:val="en-AU"/>
        </w:rPr>
      </w:pPr>
      <w:r w:rsidRPr="009A1A2E">
        <w:rPr>
          <w:lang w:val="en-AU"/>
        </w:rPr>
        <w:t>All follow up visits (FU) are referred to the activation visit and take place at 1, 6 and 12 months post activation.</w:t>
      </w:r>
    </w:p>
    <w:p w14:paraId="63017885" w14:textId="77777777" w:rsidR="00B22945" w:rsidRPr="009A1A2E" w:rsidRDefault="00B22945" w:rsidP="00F02470">
      <w:pPr>
        <w:pStyle w:val="Textbody"/>
        <w:rPr>
          <w:lang w:val="en-AU"/>
        </w:rPr>
      </w:pPr>
      <w:r w:rsidRPr="009A1A2E">
        <w:rPr>
          <w:b/>
          <w:lang w:val="en-AU"/>
        </w:rPr>
        <w:t>One month post activation</w:t>
      </w:r>
      <w:r w:rsidRPr="009A1A2E">
        <w:rPr>
          <w:lang w:val="en-AU"/>
        </w:rPr>
        <w:t xml:space="preserve"> aims to optimize the first fitting and to achieve quick information about the </w:t>
      </w:r>
      <w:r w:rsidR="00F02470" w:rsidRPr="009A1A2E">
        <w:rPr>
          <w:lang w:val="en-AU"/>
        </w:rPr>
        <w:t>aud</w:t>
      </w:r>
      <w:r w:rsidRPr="009A1A2E">
        <w:rPr>
          <w:lang w:val="en-AU"/>
        </w:rPr>
        <w:t>iological benefit from the devices:</w:t>
      </w:r>
    </w:p>
    <w:p w14:paraId="4A7965C6" w14:textId="77777777" w:rsidR="00B22945" w:rsidRPr="009A1A2E" w:rsidRDefault="00B22945" w:rsidP="00F02470">
      <w:pPr>
        <w:pStyle w:val="Textbody"/>
        <w:rPr>
          <w:lang w:val="en-AU"/>
        </w:rPr>
      </w:pPr>
    </w:p>
    <w:p w14:paraId="2E424681" w14:textId="77777777" w:rsidR="00B22945" w:rsidRPr="009A1A2E" w:rsidRDefault="00B22945" w:rsidP="00B853EF">
      <w:pPr>
        <w:pStyle w:val="Textbody"/>
        <w:numPr>
          <w:ilvl w:val="0"/>
          <w:numId w:val="59"/>
        </w:numPr>
        <w:rPr>
          <w:lang w:val="en-AU"/>
        </w:rPr>
      </w:pPr>
      <w:r w:rsidRPr="009A1A2E">
        <w:rPr>
          <w:lang w:val="en-AU"/>
        </w:rPr>
        <w:t xml:space="preserve">AC and BC pure tone </w:t>
      </w:r>
      <w:r w:rsidR="00F02470" w:rsidRPr="009A1A2E">
        <w:rPr>
          <w:lang w:val="en-AU"/>
        </w:rPr>
        <w:t>aud</w:t>
      </w:r>
      <w:r w:rsidRPr="009A1A2E">
        <w:rPr>
          <w:lang w:val="en-AU"/>
        </w:rPr>
        <w:t>iometry to control the hearing thresholds</w:t>
      </w:r>
    </w:p>
    <w:p w14:paraId="3F979A15" w14:textId="77777777" w:rsidR="00B22945" w:rsidRPr="009A1A2E" w:rsidRDefault="00B22945" w:rsidP="00B853EF">
      <w:pPr>
        <w:pStyle w:val="Textbody"/>
        <w:numPr>
          <w:ilvl w:val="0"/>
          <w:numId w:val="59"/>
        </w:numPr>
        <w:rPr>
          <w:lang w:val="en-AU"/>
        </w:rPr>
      </w:pPr>
      <w:r w:rsidRPr="009A1A2E">
        <w:rPr>
          <w:lang w:val="en-AU"/>
        </w:rPr>
        <w:t>Optimization of the fitting</w:t>
      </w:r>
    </w:p>
    <w:p w14:paraId="35FEDB97" w14:textId="77777777" w:rsidR="00F02470" w:rsidRPr="009A1A2E" w:rsidRDefault="00B22945" w:rsidP="00B853EF">
      <w:pPr>
        <w:pStyle w:val="Textbody"/>
        <w:numPr>
          <w:ilvl w:val="0"/>
          <w:numId w:val="59"/>
        </w:numPr>
        <w:rPr>
          <w:lang w:val="en-AU"/>
        </w:rPr>
      </w:pPr>
      <w:r w:rsidRPr="009A1A2E">
        <w:rPr>
          <w:lang w:val="en-AU"/>
        </w:rPr>
        <w:t>Warble tone thresholds in sound field in unaided and aided conditions at 500, 750, 1000, 1500, 2000, 3000, 4000, 6000, and 8000 Hz. If necessary, the contralateral ear has to be masked (not plugged; to avoid the occlusion effect) by using a second loudspeaker.</w:t>
      </w:r>
    </w:p>
    <w:p w14:paraId="0D3B0008" w14:textId="77777777" w:rsidR="00F02470" w:rsidRPr="009A1A2E" w:rsidRDefault="00F02470" w:rsidP="00F02470">
      <w:pPr>
        <w:pStyle w:val="Textbody"/>
        <w:rPr>
          <w:lang w:val="en-AU"/>
        </w:rPr>
      </w:pPr>
    </w:p>
    <w:p w14:paraId="2B7CF405" w14:textId="77777777" w:rsidR="00B22945" w:rsidRPr="009A1A2E" w:rsidRDefault="00B22945" w:rsidP="00F02470">
      <w:pPr>
        <w:pStyle w:val="Textbody"/>
        <w:rPr>
          <w:b/>
          <w:lang w:val="en-AU"/>
        </w:rPr>
      </w:pPr>
      <w:r w:rsidRPr="009A1A2E">
        <w:rPr>
          <w:b/>
          <w:lang w:val="en-AU"/>
        </w:rPr>
        <w:t>Six months post activation</w:t>
      </w:r>
    </w:p>
    <w:p w14:paraId="73AA37BC" w14:textId="77777777" w:rsidR="00B22945" w:rsidRPr="009A1A2E" w:rsidRDefault="00B22945" w:rsidP="00B853EF">
      <w:pPr>
        <w:pStyle w:val="Textbody"/>
        <w:numPr>
          <w:ilvl w:val="0"/>
          <w:numId w:val="60"/>
        </w:numPr>
        <w:rPr>
          <w:lang w:val="en-AU"/>
        </w:rPr>
      </w:pPr>
      <w:r w:rsidRPr="009A1A2E">
        <w:rPr>
          <w:lang w:val="en-AU"/>
        </w:rPr>
        <w:t xml:space="preserve">AC and BC pure tone </w:t>
      </w:r>
      <w:r w:rsidR="00F02470" w:rsidRPr="009A1A2E">
        <w:rPr>
          <w:lang w:val="en-AU"/>
        </w:rPr>
        <w:t>aud</w:t>
      </w:r>
      <w:r w:rsidRPr="009A1A2E">
        <w:rPr>
          <w:lang w:val="en-AU"/>
        </w:rPr>
        <w:t>iometry</w:t>
      </w:r>
    </w:p>
    <w:p w14:paraId="642911EB" w14:textId="77777777" w:rsidR="00B22945" w:rsidRPr="009A1A2E" w:rsidRDefault="00B22945" w:rsidP="00B853EF">
      <w:pPr>
        <w:pStyle w:val="Textbody"/>
        <w:numPr>
          <w:ilvl w:val="0"/>
          <w:numId w:val="60"/>
        </w:numPr>
        <w:rPr>
          <w:lang w:val="en-AU"/>
        </w:rPr>
      </w:pPr>
      <w:r w:rsidRPr="009A1A2E">
        <w:rPr>
          <w:lang w:val="en-AU"/>
        </w:rPr>
        <w:lastRenderedPageBreak/>
        <w:t xml:space="preserve">Warble tone thresholds in sound field in unaided and aided conditions at 500, 750, 1000, 1500, 2000, 3000, 4000, 6000, and 8000 Hz. Free field masking if necessary </w:t>
      </w:r>
    </w:p>
    <w:p w14:paraId="16A1507F" w14:textId="77777777" w:rsidR="00B22945" w:rsidRPr="009A1A2E" w:rsidRDefault="00B22945" w:rsidP="00B853EF">
      <w:pPr>
        <w:pStyle w:val="Textbody"/>
        <w:numPr>
          <w:ilvl w:val="0"/>
          <w:numId w:val="60"/>
        </w:numPr>
        <w:rPr>
          <w:lang w:val="en-AU"/>
        </w:rPr>
      </w:pPr>
      <w:r w:rsidRPr="009A1A2E">
        <w:rPr>
          <w:lang w:val="en-AU"/>
        </w:rPr>
        <w:t>Unaided/ aided speech perception in quiet: SRT for 50% speech understanding and WRS in sound field. If required, the contralateral ear is masked, using a free field speech noise.</w:t>
      </w:r>
    </w:p>
    <w:p w14:paraId="4599CFBC" w14:textId="77777777" w:rsidR="00B22945" w:rsidRPr="009A1A2E" w:rsidRDefault="00B22945" w:rsidP="00B853EF">
      <w:pPr>
        <w:pStyle w:val="Textbody"/>
        <w:numPr>
          <w:ilvl w:val="0"/>
          <w:numId w:val="60"/>
        </w:numPr>
        <w:rPr>
          <w:lang w:val="en-AU"/>
        </w:rPr>
      </w:pPr>
      <w:r w:rsidRPr="009A1A2E">
        <w:rPr>
          <w:lang w:val="en-AU"/>
        </w:rPr>
        <w:t>Unaided/ aided speech in noise: to find out the signal-to-noise ratio where 50% of the presented test material is understood (SNR50) in unaided vs. aided condition. The measurement is performed at 1 meter away in front of the subject (S0N0)</w:t>
      </w:r>
    </w:p>
    <w:p w14:paraId="38C33098" w14:textId="77777777" w:rsidR="00F02470" w:rsidRDefault="00B22945" w:rsidP="00F02470">
      <w:pPr>
        <w:pStyle w:val="Textbody"/>
        <w:numPr>
          <w:ilvl w:val="0"/>
          <w:numId w:val="60"/>
        </w:numPr>
        <w:rPr>
          <w:lang w:val="en-AU"/>
        </w:rPr>
      </w:pPr>
      <w:r w:rsidRPr="009A1A2E">
        <w:rPr>
          <w:lang w:val="en-AU"/>
        </w:rPr>
        <w:t xml:space="preserve">Optimization of fitting: only if necessary </w:t>
      </w:r>
    </w:p>
    <w:p w14:paraId="332C1422" w14:textId="77777777" w:rsidR="004B68D2" w:rsidRPr="004B68D2" w:rsidRDefault="004B68D2" w:rsidP="004B68D2">
      <w:pPr>
        <w:pStyle w:val="Textbody"/>
        <w:ind w:left="720"/>
        <w:rPr>
          <w:lang w:val="en-AU"/>
        </w:rPr>
      </w:pPr>
    </w:p>
    <w:p w14:paraId="3D0D18D2" w14:textId="77777777" w:rsidR="00B22945" w:rsidRPr="009A1A2E" w:rsidRDefault="00B22945" w:rsidP="00F02470">
      <w:pPr>
        <w:pStyle w:val="Textbody"/>
        <w:rPr>
          <w:b/>
          <w:lang w:val="en-AU"/>
        </w:rPr>
      </w:pPr>
      <w:r w:rsidRPr="009A1A2E">
        <w:rPr>
          <w:b/>
          <w:lang w:val="en-AU"/>
        </w:rPr>
        <w:t>Twelve months post activation</w:t>
      </w:r>
    </w:p>
    <w:p w14:paraId="3A7DFA2B" w14:textId="77777777" w:rsidR="00B22945" w:rsidRPr="009A1A2E" w:rsidRDefault="00B22945" w:rsidP="00B853EF">
      <w:pPr>
        <w:pStyle w:val="Textbody"/>
        <w:numPr>
          <w:ilvl w:val="0"/>
          <w:numId w:val="61"/>
        </w:numPr>
        <w:rPr>
          <w:lang w:val="en-AU"/>
        </w:rPr>
      </w:pPr>
      <w:r w:rsidRPr="009A1A2E">
        <w:rPr>
          <w:lang w:val="en-AU"/>
        </w:rPr>
        <w:t xml:space="preserve">AC and BC pure tone </w:t>
      </w:r>
      <w:r w:rsidR="00F02470" w:rsidRPr="009A1A2E">
        <w:rPr>
          <w:lang w:val="en-AU"/>
        </w:rPr>
        <w:t>Aud</w:t>
      </w:r>
      <w:r w:rsidRPr="009A1A2E">
        <w:rPr>
          <w:lang w:val="en-AU"/>
        </w:rPr>
        <w:t>iometry</w:t>
      </w:r>
    </w:p>
    <w:p w14:paraId="0DF32136" w14:textId="77777777" w:rsidR="003E4058" w:rsidRPr="004B68D2" w:rsidRDefault="00B22945" w:rsidP="00F02470">
      <w:pPr>
        <w:pStyle w:val="Textbody"/>
        <w:numPr>
          <w:ilvl w:val="0"/>
          <w:numId w:val="61"/>
        </w:numPr>
        <w:rPr>
          <w:lang w:val="en-AU"/>
        </w:rPr>
      </w:pPr>
      <w:r w:rsidRPr="009A1A2E">
        <w:rPr>
          <w:lang w:val="en-AU"/>
        </w:rPr>
        <w:t xml:space="preserve">Warble tone thresholds in sound field in unaided and aided condition at 500, 750, 1000, 1500, 2000, 3000, 4000, 6000, and 8000 Hz. Free field masking if necessary speech </w:t>
      </w:r>
      <w:r w:rsidR="00944F5B" w:rsidRPr="009A1A2E">
        <w:rPr>
          <w:lang w:val="en-AU"/>
        </w:rPr>
        <w:t>aud</w:t>
      </w:r>
      <w:r w:rsidRPr="009A1A2E">
        <w:rPr>
          <w:lang w:val="en-AU"/>
        </w:rPr>
        <w:t>iometry with headphones</w:t>
      </w:r>
    </w:p>
    <w:p w14:paraId="434DC313" w14:textId="77777777" w:rsidR="00B60787" w:rsidRPr="009A1A2E" w:rsidRDefault="00B60787" w:rsidP="00F02470">
      <w:pPr>
        <w:pStyle w:val="Heading20"/>
        <w:rPr>
          <w:lang w:val="en-AU"/>
        </w:rPr>
      </w:pPr>
      <w:bookmarkStart w:id="361" w:name="_Toc400549409"/>
      <w:bookmarkStart w:id="362" w:name="_Toc431917562"/>
      <w:r w:rsidRPr="009A1A2E">
        <w:rPr>
          <w:lang w:val="en-AU"/>
        </w:rPr>
        <w:t>A.4</w:t>
      </w:r>
      <w:r w:rsidRPr="009A1A2E">
        <w:rPr>
          <w:lang w:val="en-AU"/>
        </w:rPr>
        <w:tab/>
        <w:t>Main comparator</w:t>
      </w:r>
      <w:bookmarkEnd w:id="361"/>
      <w:bookmarkEnd w:id="362"/>
    </w:p>
    <w:p w14:paraId="19417B0F" w14:textId="77777777" w:rsidR="0036119E" w:rsidRPr="009A1A2E" w:rsidRDefault="0036119E" w:rsidP="00B17D0F">
      <w:pPr>
        <w:pStyle w:val="Textbody"/>
        <w:pBdr>
          <w:top w:val="single" w:sz="4" w:space="1" w:color="auto"/>
          <w:left w:val="single" w:sz="4" w:space="4" w:color="auto"/>
          <w:bottom w:val="single" w:sz="4" w:space="1" w:color="auto"/>
          <w:right w:val="single" w:sz="4" w:space="4" w:color="auto"/>
        </w:pBdr>
        <w:rPr>
          <w:lang w:val="en-AU"/>
        </w:rPr>
      </w:pPr>
      <w:r w:rsidRPr="009A1A2E">
        <w:rPr>
          <w:lang w:val="en-AU"/>
        </w:rPr>
        <w:t xml:space="preserve">PASC agreed in the latest “1365 Ratified meeting outcomes from the August 2014 PASC meeting” protocol, that the comparator is no treatment for the proposed subgroup of patients with SNHL. PASC advised that eligible partially implantable active middle ear implants should also be compared with each other in order to assess whether they achieve similar safety and clinical effectiveness outcomes. </w:t>
      </w:r>
    </w:p>
    <w:p w14:paraId="001AA90C" w14:textId="77777777" w:rsidR="0036119E" w:rsidRPr="009A1A2E" w:rsidRDefault="0036119E" w:rsidP="00B17D0F">
      <w:pPr>
        <w:pStyle w:val="Textbody"/>
        <w:pBdr>
          <w:top w:val="single" w:sz="4" w:space="1" w:color="auto"/>
          <w:left w:val="single" w:sz="4" w:space="4" w:color="auto"/>
          <w:bottom w:val="single" w:sz="4" w:space="1" w:color="auto"/>
          <w:right w:val="single" w:sz="4" w:space="4" w:color="auto"/>
        </w:pBdr>
        <w:rPr>
          <w:lang w:val="en-AU"/>
        </w:rPr>
      </w:pPr>
      <w:r w:rsidRPr="009A1A2E">
        <w:rPr>
          <w:lang w:val="en-AU"/>
        </w:rPr>
        <w:t xml:space="preserve">To our opinion, the only partially implantable, active middle ear implant that offers management for the target population is the Vibrant Soundbridge, but for the sake of completeness and to compile a generic assessment of the evidence for the medical service associated with Middle Ear Implants we extended our evaluation to the following comparators: partially implanted middle ear implant, (Maxum, Ototronix/Soundtec) as well as fully implantable middle ear devices such as Carina (Otologics LLC) </w:t>
      </w:r>
      <w:r w:rsidR="00204F87" w:rsidRPr="009A1A2E">
        <w:rPr>
          <w:lang w:val="en-AU"/>
        </w:rPr>
        <w:t xml:space="preserve">and Esteem (Envoy Medical). </w:t>
      </w:r>
    </w:p>
    <w:p w14:paraId="19D3E67C" w14:textId="77777777" w:rsidR="0036119E" w:rsidRPr="009A1A2E" w:rsidRDefault="0036119E" w:rsidP="00B17D0F">
      <w:pPr>
        <w:pStyle w:val="Textbody"/>
        <w:pBdr>
          <w:top w:val="single" w:sz="4" w:space="1" w:color="auto"/>
          <w:left w:val="single" w:sz="4" w:space="4" w:color="auto"/>
          <w:bottom w:val="single" w:sz="4" w:space="1" w:color="auto"/>
          <w:right w:val="single" w:sz="4" w:space="4" w:color="auto"/>
        </w:pBdr>
        <w:shd w:val="clear" w:color="auto" w:fill="BFBFBF" w:themeFill="background1" w:themeFillShade="BF"/>
        <w:rPr>
          <w:lang w:val="en-AU"/>
        </w:rPr>
      </w:pPr>
      <w:r w:rsidRPr="009A1A2E">
        <w:rPr>
          <w:lang w:val="en-AU"/>
        </w:rPr>
        <w:t>Furthermore, we do feel the need to point out that</w:t>
      </w:r>
      <w:r w:rsidR="00B17D0F" w:rsidRPr="009A1A2E">
        <w:rPr>
          <w:lang w:val="en-AU"/>
        </w:rPr>
        <w:t>, although having included the M</w:t>
      </w:r>
      <w:r w:rsidRPr="009A1A2E">
        <w:rPr>
          <w:lang w:val="en-AU"/>
        </w:rPr>
        <w:t>axum system in this assessment report, the device set-up is a contraindication to our intended treatment group. This is based on the fact that the Maxum system is placing the so</w:t>
      </w:r>
      <w:r w:rsidR="00204F87" w:rsidRPr="009A1A2E">
        <w:rPr>
          <w:lang w:val="en-AU"/>
        </w:rPr>
        <w:t>und processor in the ear canal.</w:t>
      </w:r>
      <w:r w:rsidRPr="009A1A2E">
        <w:rPr>
          <w:lang w:val="en-AU"/>
        </w:rPr>
        <w:t xml:space="preserve"> As stated by the company itself the system comprises of an ‘</w:t>
      </w:r>
      <w:r w:rsidRPr="009A1A2E">
        <w:rPr>
          <w:rStyle w:val="Strong"/>
          <w:b w:val="0"/>
          <w:bCs w:val="0"/>
          <w:lang w:val="en-AU"/>
        </w:rPr>
        <w:t xml:space="preserve">External component: a </w:t>
      </w:r>
      <w:r w:rsidRPr="009A1A2E">
        <w:rPr>
          <w:lang w:val="en-AU"/>
        </w:rPr>
        <w:t xml:space="preserve">deep insertion, completely-in-the-canal, open-fit, electromagnetic sound processor (IPC) that is worn in the external auditory canal, similar </w:t>
      </w:r>
      <w:r w:rsidR="00B17D0F" w:rsidRPr="009A1A2E">
        <w:rPr>
          <w:lang w:val="en-AU"/>
        </w:rPr>
        <w:t>to a conventional hearing aid’.</w:t>
      </w:r>
    </w:p>
    <w:p w14:paraId="713DF491" w14:textId="77777777" w:rsidR="00B17D0F" w:rsidRPr="009A1A2E" w:rsidRDefault="0036119E" w:rsidP="00B17D0F">
      <w:pPr>
        <w:pStyle w:val="Textbody"/>
        <w:rPr>
          <w:lang w:val="en-AU"/>
        </w:rPr>
      </w:pPr>
      <w:r w:rsidRPr="009A1A2E">
        <w:rPr>
          <w:lang w:val="en-AU"/>
        </w:rPr>
        <w:lastRenderedPageBreak/>
        <w:t xml:space="preserve">The </w:t>
      </w:r>
      <w:r w:rsidRPr="009A1A2E">
        <w:rPr>
          <w:b/>
          <w:lang w:val="en-AU"/>
        </w:rPr>
        <w:t>Vibrant Soundbridge</w:t>
      </w:r>
      <w:r w:rsidRPr="009A1A2E">
        <w:rPr>
          <w:lang w:val="en-AU"/>
        </w:rPr>
        <w:t xml:space="preserve"> is for Patients with stable, sensorineural hearing loss with an outer ear pathology that prevents the wearing of a hearing aid and who have</w:t>
      </w:r>
      <w:r w:rsidR="00B17D0F" w:rsidRPr="009A1A2E">
        <w:rPr>
          <w:lang w:val="en-AU"/>
        </w:rPr>
        <w:t>:</w:t>
      </w:r>
    </w:p>
    <w:p w14:paraId="70DC5EDB" w14:textId="77777777" w:rsidR="0036119E" w:rsidRPr="009A1A2E" w:rsidRDefault="0036119E" w:rsidP="00B17D0F">
      <w:pPr>
        <w:pStyle w:val="Textbody"/>
        <w:rPr>
          <w:lang w:val="en-AU"/>
        </w:rPr>
      </w:pPr>
      <w:r w:rsidRPr="009A1A2E">
        <w:rPr>
          <w:lang w:val="en-AU"/>
        </w:rPr>
        <w:t>PTA4 below 80 dB</w:t>
      </w:r>
      <w:r w:rsidR="00CA176E">
        <w:rPr>
          <w:lang w:val="en-AU"/>
        </w:rPr>
        <w:t xml:space="preserve"> </w:t>
      </w:r>
      <w:r w:rsidRPr="009A1A2E">
        <w:rPr>
          <w:lang w:val="en-AU"/>
        </w:rPr>
        <w:t>HL with one of the following air conduction thresholds:</w:t>
      </w:r>
    </w:p>
    <w:p w14:paraId="512FF776" w14:textId="77777777" w:rsidR="0036119E" w:rsidRPr="009A1A2E" w:rsidRDefault="0036119E" w:rsidP="00B853EF">
      <w:pPr>
        <w:pStyle w:val="Textbody"/>
        <w:numPr>
          <w:ilvl w:val="0"/>
          <w:numId w:val="70"/>
        </w:numPr>
        <w:rPr>
          <w:lang w:val="en-AU"/>
        </w:rPr>
      </w:pPr>
      <w:r w:rsidRPr="009A1A2E">
        <w:rPr>
          <w:lang w:val="en-AU"/>
        </w:rPr>
        <w:t>mild hearing loss - 25 dB ≤ BEHL</w:t>
      </w:r>
      <w:r w:rsidRPr="009A1A2E">
        <w:rPr>
          <w:vertAlign w:val="subscript"/>
          <w:lang w:val="en-AU"/>
        </w:rPr>
        <w:t>0.5-4kHz</w:t>
      </w:r>
      <w:r w:rsidRPr="009A1A2E">
        <w:rPr>
          <w:lang w:val="en-AU"/>
        </w:rPr>
        <w:t xml:space="preserve"> &lt; 40 dB; or</w:t>
      </w:r>
    </w:p>
    <w:p w14:paraId="3835461B" w14:textId="77777777" w:rsidR="0036119E" w:rsidRPr="009A1A2E" w:rsidRDefault="0036119E" w:rsidP="00B853EF">
      <w:pPr>
        <w:pStyle w:val="Textbody"/>
        <w:numPr>
          <w:ilvl w:val="0"/>
          <w:numId w:val="70"/>
        </w:numPr>
        <w:rPr>
          <w:lang w:val="en-AU"/>
        </w:rPr>
      </w:pPr>
      <w:r w:rsidRPr="009A1A2E">
        <w:rPr>
          <w:lang w:val="en-AU"/>
        </w:rPr>
        <w:t>moderate hearing loss - 40 dB ≤ BEHL</w:t>
      </w:r>
      <w:r w:rsidRPr="009A1A2E">
        <w:rPr>
          <w:vertAlign w:val="subscript"/>
          <w:lang w:val="en-AU"/>
        </w:rPr>
        <w:t>0.5–4 kHz</w:t>
      </w:r>
      <w:r w:rsidRPr="009A1A2E">
        <w:rPr>
          <w:lang w:val="en-AU"/>
        </w:rPr>
        <w:t xml:space="preserve"> &lt; 70 dB; or</w:t>
      </w:r>
    </w:p>
    <w:p w14:paraId="6ECF4449" w14:textId="77777777" w:rsidR="0036119E" w:rsidRPr="009A1A2E" w:rsidRDefault="0036119E" w:rsidP="00B853EF">
      <w:pPr>
        <w:pStyle w:val="Textbody"/>
        <w:numPr>
          <w:ilvl w:val="0"/>
          <w:numId w:val="70"/>
        </w:numPr>
        <w:rPr>
          <w:lang w:val="en-AU"/>
        </w:rPr>
      </w:pPr>
      <w:r w:rsidRPr="009A1A2E">
        <w:rPr>
          <w:lang w:val="en-AU"/>
        </w:rPr>
        <w:t>severe hearing loss - 70 dB ≤ BEHL</w:t>
      </w:r>
      <w:r w:rsidRPr="009A1A2E">
        <w:rPr>
          <w:vertAlign w:val="subscript"/>
          <w:lang w:val="en-AU"/>
        </w:rPr>
        <w:t>0.5–4 kHz</w:t>
      </w:r>
      <w:r w:rsidRPr="009A1A2E">
        <w:rPr>
          <w:lang w:val="en-AU"/>
        </w:rPr>
        <w:t xml:space="preserve"> &lt; 95 dB; and</w:t>
      </w:r>
    </w:p>
    <w:p w14:paraId="207B937E" w14:textId="77777777" w:rsidR="0036119E" w:rsidRPr="009A1A2E" w:rsidRDefault="0036119E" w:rsidP="00B853EF">
      <w:pPr>
        <w:pStyle w:val="Textbody"/>
        <w:numPr>
          <w:ilvl w:val="0"/>
          <w:numId w:val="70"/>
        </w:numPr>
        <w:rPr>
          <w:lang w:val="en-AU"/>
        </w:rPr>
      </w:pPr>
      <w:r w:rsidRPr="009A1A2E">
        <w:rPr>
          <w:lang w:val="en-AU"/>
        </w:rPr>
        <w:t xml:space="preserve">speech perception discrimination of </w:t>
      </w:r>
      <w:r w:rsidRPr="009A1A2E">
        <w:rPr>
          <w:rFonts w:ascii="Cambria Math" w:hAnsi="Cambria Math" w:cs="Cambria Math"/>
          <w:lang w:val="en-AU"/>
        </w:rPr>
        <w:t>≧</w:t>
      </w:r>
      <w:r w:rsidRPr="009A1A2E">
        <w:rPr>
          <w:lang w:val="en-AU"/>
        </w:rPr>
        <w:t>65% correct with appropriately amplified sound; and</w:t>
      </w:r>
    </w:p>
    <w:p w14:paraId="3FD5FCB3" w14:textId="77777777" w:rsidR="0036119E" w:rsidRPr="009A1A2E" w:rsidRDefault="0036119E" w:rsidP="00B853EF">
      <w:pPr>
        <w:pStyle w:val="Textbody"/>
        <w:numPr>
          <w:ilvl w:val="0"/>
          <w:numId w:val="70"/>
        </w:numPr>
        <w:rPr>
          <w:lang w:val="en-AU"/>
        </w:rPr>
      </w:pPr>
      <w:r w:rsidRPr="009A1A2E">
        <w:rPr>
          <w:lang w:val="en-AU"/>
        </w:rPr>
        <w:t xml:space="preserve">bilateral, symmetrical hearing loss with PTA thresholds in both ears within 20 </w:t>
      </w:r>
      <w:r w:rsidR="00CA176E" w:rsidRPr="009A1A2E">
        <w:rPr>
          <w:lang w:val="en-AU"/>
        </w:rPr>
        <w:t>d</w:t>
      </w:r>
      <w:r w:rsidR="00CA176E">
        <w:rPr>
          <w:lang w:val="en-AU"/>
        </w:rPr>
        <w:t>B</w:t>
      </w:r>
      <w:r w:rsidR="00CA176E" w:rsidRPr="009A1A2E">
        <w:rPr>
          <w:lang w:val="en-AU"/>
        </w:rPr>
        <w:t>HL</w:t>
      </w:r>
      <w:r w:rsidR="00CA176E" w:rsidRPr="009A1A2E">
        <w:rPr>
          <w:vertAlign w:val="subscript"/>
          <w:lang w:val="en-AU"/>
        </w:rPr>
        <w:t>0</w:t>
      </w:r>
      <w:r w:rsidRPr="009A1A2E">
        <w:rPr>
          <w:vertAlign w:val="subscript"/>
          <w:lang w:val="en-AU"/>
        </w:rPr>
        <w:t>.5-4</w:t>
      </w:r>
      <w:r w:rsidRPr="009A1A2E">
        <w:rPr>
          <w:lang w:val="en-AU"/>
        </w:rPr>
        <w:t xml:space="preserve"> kHz of each other; and</w:t>
      </w:r>
    </w:p>
    <w:p w14:paraId="0F4C3426" w14:textId="77777777" w:rsidR="0036119E" w:rsidRPr="009A1A2E" w:rsidRDefault="0036119E" w:rsidP="00B853EF">
      <w:pPr>
        <w:pStyle w:val="Textbody"/>
        <w:numPr>
          <w:ilvl w:val="0"/>
          <w:numId w:val="70"/>
        </w:numPr>
        <w:rPr>
          <w:lang w:val="en-AU"/>
        </w:rPr>
      </w:pPr>
      <w:r w:rsidRPr="009A1A2E">
        <w:rPr>
          <w:lang w:val="en-AU"/>
        </w:rPr>
        <w:t xml:space="preserve">a normal middle ear (no history of middle ear surgery or of post-adolescent, chronic middle ear infections); and </w:t>
      </w:r>
    </w:p>
    <w:p w14:paraId="79795677" w14:textId="77777777" w:rsidR="0036119E" w:rsidRPr="009A1A2E" w:rsidRDefault="0036119E" w:rsidP="00B853EF">
      <w:pPr>
        <w:pStyle w:val="Textbody"/>
        <w:numPr>
          <w:ilvl w:val="0"/>
          <w:numId w:val="70"/>
        </w:numPr>
        <w:rPr>
          <w:lang w:val="en-AU"/>
        </w:rPr>
      </w:pPr>
      <w:r w:rsidRPr="009A1A2E">
        <w:rPr>
          <w:lang w:val="en-AU"/>
        </w:rPr>
        <w:t>normal tympanometry;</w:t>
      </w:r>
    </w:p>
    <w:p w14:paraId="3EF70A11" w14:textId="77777777" w:rsidR="0036119E" w:rsidRPr="009A1A2E" w:rsidRDefault="0036119E" w:rsidP="00B853EF">
      <w:pPr>
        <w:pStyle w:val="Textbody"/>
        <w:numPr>
          <w:ilvl w:val="0"/>
          <w:numId w:val="70"/>
        </w:numPr>
        <w:rPr>
          <w:lang w:val="en-AU"/>
        </w:rPr>
      </w:pPr>
      <w:r w:rsidRPr="009A1A2E">
        <w:rPr>
          <w:lang w:val="en-AU"/>
        </w:rPr>
        <w:t xml:space="preserve">on audiometry, the air-bone gap is </w:t>
      </w:r>
      <w:r w:rsidRPr="009A1A2E">
        <w:rPr>
          <w:rFonts w:ascii="Cambria Math" w:hAnsi="Cambria Math" w:cs="Cambria Math"/>
          <w:lang w:val="en-AU"/>
        </w:rPr>
        <w:t>≦</w:t>
      </w:r>
      <w:r w:rsidRPr="009A1A2E">
        <w:rPr>
          <w:lang w:val="en-AU"/>
        </w:rPr>
        <w:t>10 dBHL</w:t>
      </w:r>
      <w:r w:rsidRPr="009A1A2E">
        <w:rPr>
          <w:vertAlign w:val="subscript"/>
          <w:lang w:val="en-AU"/>
        </w:rPr>
        <w:t>0.5-4</w:t>
      </w:r>
      <w:r w:rsidRPr="009A1A2E">
        <w:rPr>
          <w:lang w:val="en-AU"/>
        </w:rPr>
        <w:t xml:space="preserve"> kHz at two or more frequencies.</w:t>
      </w:r>
    </w:p>
    <w:p w14:paraId="264A0B50" w14:textId="77777777" w:rsidR="0036119E" w:rsidRPr="009A1A2E" w:rsidRDefault="0036119E" w:rsidP="00B853EF">
      <w:pPr>
        <w:pStyle w:val="Textbody"/>
        <w:numPr>
          <w:ilvl w:val="0"/>
          <w:numId w:val="70"/>
        </w:numPr>
        <w:rPr>
          <w:lang w:val="en-AU"/>
        </w:rPr>
      </w:pPr>
      <w:r w:rsidRPr="009A1A2E">
        <w:rPr>
          <w:lang w:val="en-AU"/>
        </w:rPr>
        <w:t>no history of other inner ear disor</w:t>
      </w:r>
      <w:r w:rsidR="00B17D0F" w:rsidRPr="009A1A2E">
        <w:rPr>
          <w:lang w:val="en-AU"/>
        </w:rPr>
        <w:t>ders such as Meniere’s disease.</w:t>
      </w:r>
    </w:p>
    <w:p w14:paraId="01A0CD70" w14:textId="77777777" w:rsidR="00B17D0F" w:rsidRPr="009A1A2E" w:rsidRDefault="00B17D0F" w:rsidP="00B17D0F">
      <w:pPr>
        <w:pStyle w:val="Textbody"/>
        <w:rPr>
          <w:lang w:val="en-AU"/>
        </w:rPr>
      </w:pPr>
    </w:p>
    <w:p w14:paraId="10F5FF35" w14:textId="77777777" w:rsidR="0036119E" w:rsidRPr="009A1A2E" w:rsidRDefault="0036119E" w:rsidP="00B17D0F">
      <w:pPr>
        <w:pStyle w:val="Textbody"/>
        <w:rPr>
          <w:lang w:val="en-AU"/>
        </w:rPr>
      </w:pPr>
      <w:r w:rsidRPr="009A1A2E">
        <w:rPr>
          <w:lang w:val="en-AU"/>
        </w:rPr>
        <w:t>Patient Contraindications:</w:t>
      </w:r>
    </w:p>
    <w:p w14:paraId="484C4C9A" w14:textId="77777777" w:rsidR="0036119E" w:rsidRPr="009A1A2E" w:rsidRDefault="0036119E" w:rsidP="00B853EF">
      <w:pPr>
        <w:pStyle w:val="Textbody"/>
        <w:numPr>
          <w:ilvl w:val="0"/>
          <w:numId w:val="71"/>
        </w:numPr>
        <w:rPr>
          <w:lang w:val="en-AU"/>
        </w:rPr>
      </w:pPr>
      <w:r w:rsidRPr="009A1A2E">
        <w:rPr>
          <w:lang w:val="en-AU"/>
        </w:rPr>
        <w:t>A patient is known to be intolerant of the materials used in the implant (medical grade silicone elastomer, medical grade epoxy and titanium).</w:t>
      </w:r>
    </w:p>
    <w:p w14:paraId="322385B4" w14:textId="77777777" w:rsidR="0036119E" w:rsidRPr="009A1A2E" w:rsidRDefault="0036119E" w:rsidP="00B853EF">
      <w:pPr>
        <w:pStyle w:val="Textbody"/>
        <w:numPr>
          <w:ilvl w:val="0"/>
          <w:numId w:val="71"/>
        </w:numPr>
        <w:rPr>
          <w:lang w:val="en-AU"/>
        </w:rPr>
      </w:pPr>
      <w:r w:rsidRPr="009A1A2E">
        <w:rPr>
          <w:lang w:val="en-AU"/>
        </w:rPr>
        <w:t>A patient with retrocochlear, or central auditory disorders.</w:t>
      </w:r>
    </w:p>
    <w:p w14:paraId="17CD0CC8" w14:textId="77777777" w:rsidR="0036119E" w:rsidRPr="009A1A2E" w:rsidRDefault="0036119E" w:rsidP="00B853EF">
      <w:pPr>
        <w:pStyle w:val="Textbody"/>
        <w:numPr>
          <w:ilvl w:val="0"/>
          <w:numId w:val="71"/>
        </w:numPr>
        <w:rPr>
          <w:lang w:val="en-AU"/>
        </w:rPr>
      </w:pPr>
      <w:r w:rsidRPr="009A1A2E">
        <w:rPr>
          <w:lang w:val="en-AU"/>
        </w:rPr>
        <w:t>A patient with nonresponsive active ear infection and/or chronic fluid in or about the ear.</w:t>
      </w:r>
    </w:p>
    <w:p w14:paraId="30700596" w14:textId="77777777" w:rsidR="0036119E" w:rsidRPr="009A1A2E" w:rsidRDefault="0036119E" w:rsidP="00B853EF">
      <w:pPr>
        <w:pStyle w:val="Textbody"/>
        <w:numPr>
          <w:ilvl w:val="0"/>
          <w:numId w:val="71"/>
        </w:numPr>
        <w:rPr>
          <w:lang w:val="en-AU"/>
        </w:rPr>
      </w:pPr>
      <w:r w:rsidRPr="009A1A2E">
        <w:rPr>
          <w:lang w:val="en-AU"/>
        </w:rPr>
        <w:t xml:space="preserve">A patient whose hearing loss has demonstrated an improving and decreasing fluctuation over a two year period of 15 </w:t>
      </w:r>
      <w:r w:rsidR="00592448" w:rsidRPr="009A1A2E">
        <w:rPr>
          <w:lang w:val="en-AU"/>
        </w:rPr>
        <w:t>d</w:t>
      </w:r>
      <w:r w:rsidR="00592448">
        <w:rPr>
          <w:lang w:val="en-AU"/>
        </w:rPr>
        <w:t xml:space="preserve">B </w:t>
      </w:r>
      <w:r w:rsidRPr="009A1A2E">
        <w:rPr>
          <w:lang w:val="en-AU"/>
        </w:rPr>
        <w:t>in either direction.</w:t>
      </w:r>
    </w:p>
    <w:p w14:paraId="5493166B" w14:textId="77777777" w:rsidR="0036119E" w:rsidRPr="009A1A2E" w:rsidRDefault="0036119E" w:rsidP="00B853EF">
      <w:pPr>
        <w:pStyle w:val="Textbody"/>
        <w:numPr>
          <w:ilvl w:val="0"/>
          <w:numId w:val="71"/>
        </w:numPr>
        <w:rPr>
          <w:lang w:val="en-AU"/>
        </w:rPr>
      </w:pPr>
      <w:r w:rsidRPr="009A1A2E">
        <w:rPr>
          <w:lang w:val="en-AU"/>
        </w:rPr>
        <w:t>A patient with any physical, psychological, or emotional disorder that would interfere with surgery or the ability to perform on test and rehabilitation procedures.</w:t>
      </w:r>
    </w:p>
    <w:p w14:paraId="29CFF94A" w14:textId="77777777" w:rsidR="003E4058" w:rsidRPr="00592448" w:rsidRDefault="0036119E" w:rsidP="00592448">
      <w:pPr>
        <w:pStyle w:val="Textbody"/>
        <w:numPr>
          <w:ilvl w:val="0"/>
          <w:numId w:val="71"/>
        </w:numPr>
        <w:rPr>
          <w:lang w:val="en-AU"/>
        </w:rPr>
      </w:pPr>
      <w:r w:rsidRPr="00592448">
        <w:rPr>
          <w:lang w:val="en-AU"/>
        </w:rPr>
        <w:t xml:space="preserve">A patient with a skin or scalp condition that may preclude attachment of the </w:t>
      </w:r>
      <w:r w:rsidR="00592448">
        <w:rPr>
          <w:lang w:val="en-AU"/>
        </w:rPr>
        <w:t>A</w:t>
      </w:r>
      <w:r w:rsidR="00592448" w:rsidRPr="00592448">
        <w:rPr>
          <w:lang w:val="en-AU"/>
        </w:rPr>
        <w:t>udio</w:t>
      </w:r>
      <w:r w:rsidR="00592448">
        <w:rPr>
          <w:lang w:val="en-AU"/>
        </w:rPr>
        <w:t xml:space="preserve"> </w:t>
      </w:r>
      <w:r w:rsidR="00592448" w:rsidRPr="00592448">
        <w:rPr>
          <w:lang w:val="en-AU"/>
        </w:rPr>
        <w:t xml:space="preserve">Processor </w:t>
      </w:r>
      <w:r w:rsidRPr="00592448">
        <w:rPr>
          <w:lang w:val="en-AU"/>
        </w:rPr>
        <w:t>with a magnet.</w:t>
      </w:r>
    </w:p>
    <w:p w14:paraId="2A9B4D5F" w14:textId="77777777" w:rsidR="0036119E" w:rsidRPr="009A1A2E" w:rsidRDefault="0036119E" w:rsidP="00F02470">
      <w:pPr>
        <w:pStyle w:val="Textbody"/>
        <w:rPr>
          <w:highlight w:val="yellow"/>
          <w:lang w:val="en-AU"/>
        </w:rPr>
        <w:sectPr w:rsidR="0036119E" w:rsidRPr="009A1A2E" w:rsidSect="008846BA">
          <w:headerReference w:type="default" r:id="rId49"/>
          <w:pgSz w:w="11907" w:h="16840" w:code="9"/>
          <w:pgMar w:top="1440" w:right="1440" w:bottom="1440" w:left="1440" w:header="720" w:footer="720" w:gutter="0"/>
          <w:paperSrc w:first="7" w:other="7"/>
          <w:pgNumType w:start="1"/>
          <w:cols w:space="720"/>
          <w:noEndnote/>
          <w:docGrid w:linePitch="299"/>
        </w:sectPr>
      </w:pPr>
    </w:p>
    <w:p w14:paraId="22F405E9" w14:textId="77777777" w:rsidR="00F02470" w:rsidRPr="009A1A2E" w:rsidRDefault="00F02470" w:rsidP="00F02470">
      <w:pPr>
        <w:pStyle w:val="Caption"/>
        <w:rPr>
          <w:rFonts w:ascii="Arial" w:hAnsi="Arial" w:cs="Arial"/>
          <w:lang w:val="en-AU"/>
        </w:rPr>
      </w:pPr>
      <w:bookmarkStart w:id="363" w:name="_Ref400572868"/>
      <w:bookmarkStart w:id="364" w:name="_Toc400395541"/>
      <w:bookmarkStart w:id="365" w:name="_Toc431917467"/>
      <w:r w:rsidRPr="009A1A2E">
        <w:rPr>
          <w:rFonts w:ascii="Arial" w:hAnsi="Arial" w:cs="Arial"/>
          <w:lang w:val="en-AU"/>
        </w:rPr>
        <w:lastRenderedPageBreak/>
        <w:t xml:space="preserve">Table </w:t>
      </w:r>
      <w:r w:rsidRPr="009A1A2E">
        <w:rPr>
          <w:rFonts w:ascii="Arial" w:hAnsi="Arial" w:cs="Arial"/>
          <w:lang w:val="en-AU"/>
        </w:rPr>
        <w:fldChar w:fldCharType="begin"/>
      </w:r>
      <w:r w:rsidRPr="009A1A2E">
        <w:rPr>
          <w:rFonts w:ascii="Arial" w:hAnsi="Arial" w:cs="Arial"/>
          <w:lang w:val="en-AU"/>
        </w:rPr>
        <w:instrText xml:space="preserve"> SEQ Table \* ARABIC </w:instrText>
      </w:r>
      <w:r w:rsidRPr="009A1A2E">
        <w:rPr>
          <w:rFonts w:ascii="Arial" w:hAnsi="Arial" w:cs="Arial"/>
          <w:lang w:val="en-AU"/>
        </w:rPr>
        <w:fldChar w:fldCharType="separate"/>
      </w:r>
      <w:r w:rsidR="00016592">
        <w:rPr>
          <w:rFonts w:ascii="Arial" w:hAnsi="Arial" w:cs="Arial"/>
          <w:noProof/>
          <w:lang w:val="en-AU"/>
        </w:rPr>
        <w:t>7</w:t>
      </w:r>
      <w:r w:rsidRPr="009A1A2E">
        <w:rPr>
          <w:rFonts w:ascii="Arial" w:hAnsi="Arial" w:cs="Arial"/>
          <w:lang w:val="en-AU"/>
        </w:rPr>
        <w:fldChar w:fldCharType="end"/>
      </w:r>
      <w:bookmarkEnd w:id="363"/>
      <w:r w:rsidR="001F1F03" w:rsidRPr="009A1A2E">
        <w:rPr>
          <w:rFonts w:ascii="Arial" w:hAnsi="Arial" w:cs="Arial"/>
          <w:lang w:val="en-AU"/>
        </w:rPr>
        <w:t xml:space="preserve"> -</w:t>
      </w:r>
      <w:r w:rsidRPr="009A1A2E">
        <w:rPr>
          <w:rFonts w:ascii="Arial" w:hAnsi="Arial" w:cs="Arial"/>
          <w:lang w:val="en-AU"/>
        </w:rPr>
        <w:t xml:space="preserve"> Summary of </w:t>
      </w:r>
      <w:bookmarkEnd w:id="364"/>
      <w:r w:rsidR="00706F78" w:rsidRPr="009A1A2E">
        <w:rPr>
          <w:rFonts w:ascii="Arial" w:hAnsi="Arial" w:cs="Arial"/>
          <w:lang w:val="en-AU"/>
        </w:rPr>
        <w:t>indications and contraindications for the Vibrant Soundbridge</w:t>
      </w:r>
      <w:bookmarkEnd w:id="365"/>
    </w:p>
    <w:tbl>
      <w:tblPr>
        <w:tblW w:w="5000" w:type="pct"/>
        <w:tblCellMar>
          <w:left w:w="70" w:type="dxa"/>
          <w:right w:w="70" w:type="dxa"/>
        </w:tblCellMar>
        <w:tblLook w:val="04A0" w:firstRow="1" w:lastRow="0" w:firstColumn="1" w:lastColumn="0" w:noHBand="0" w:noVBand="1"/>
        <w:tblDescription w:val="Summary of indications and contraindications for the Vibrant Soundbridge"/>
      </w:tblPr>
      <w:tblGrid>
        <w:gridCol w:w="1776"/>
        <w:gridCol w:w="3777"/>
        <w:gridCol w:w="4188"/>
        <w:gridCol w:w="4359"/>
      </w:tblGrid>
      <w:tr w:rsidR="001F3C37" w:rsidRPr="009A1A2E" w14:paraId="1B6B5531" w14:textId="77777777" w:rsidTr="00E5582B">
        <w:trPr>
          <w:trHeight w:val="290"/>
        </w:trPr>
        <w:tc>
          <w:tcPr>
            <w:tcW w:w="840" w:type="pct"/>
            <w:tcBorders>
              <w:top w:val="single" w:sz="4" w:space="0" w:color="auto"/>
              <w:left w:val="single" w:sz="4" w:space="0" w:color="auto"/>
              <w:bottom w:val="nil"/>
              <w:right w:val="nil"/>
            </w:tcBorders>
            <w:shd w:val="clear" w:color="auto" w:fill="auto"/>
            <w:noWrap/>
            <w:vAlign w:val="center"/>
            <w:hideMark/>
          </w:tcPr>
          <w:p w14:paraId="069391AB" w14:textId="77777777" w:rsidR="001F3C37" w:rsidRPr="009A1A2E" w:rsidRDefault="001F3C37" w:rsidP="003E4058">
            <w:pPr>
              <w:rPr>
                <w:rFonts w:cs="Arial"/>
                <w:color w:val="000000"/>
                <w:sz w:val="20"/>
                <w:szCs w:val="20"/>
              </w:rPr>
            </w:pPr>
            <w:r w:rsidRPr="009A1A2E">
              <w:rPr>
                <w:rFonts w:cs="Arial"/>
                <w:color w:val="000000"/>
                <w:sz w:val="20"/>
                <w:szCs w:val="20"/>
              </w:rPr>
              <w:t> </w:t>
            </w:r>
          </w:p>
        </w:tc>
        <w:tc>
          <w:tcPr>
            <w:tcW w:w="1309" w:type="pct"/>
            <w:tcBorders>
              <w:top w:val="single" w:sz="4" w:space="0" w:color="auto"/>
              <w:left w:val="nil"/>
              <w:bottom w:val="nil"/>
              <w:right w:val="nil"/>
            </w:tcBorders>
            <w:shd w:val="clear" w:color="auto" w:fill="auto"/>
            <w:noWrap/>
            <w:vAlign w:val="center"/>
            <w:hideMark/>
          </w:tcPr>
          <w:p w14:paraId="6647EE50" w14:textId="77777777" w:rsidR="001F3C37" w:rsidRPr="009A1A2E" w:rsidRDefault="001F3C37" w:rsidP="003E4058">
            <w:pPr>
              <w:rPr>
                <w:rFonts w:cs="Arial"/>
                <w:b/>
                <w:color w:val="000000"/>
                <w:sz w:val="20"/>
                <w:szCs w:val="20"/>
              </w:rPr>
            </w:pPr>
            <w:r w:rsidRPr="009A1A2E">
              <w:rPr>
                <w:rFonts w:cs="Arial"/>
                <w:b/>
                <w:color w:val="000000"/>
                <w:sz w:val="20"/>
                <w:szCs w:val="20"/>
              </w:rPr>
              <w:t>Targets of the proposed medical service</w:t>
            </w:r>
          </w:p>
        </w:tc>
        <w:tc>
          <w:tcPr>
            <w:tcW w:w="1316" w:type="pct"/>
            <w:tcBorders>
              <w:top w:val="single" w:sz="4" w:space="0" w:color="auto"/>
              <w:left w:val="nil"/>
              <w:bottom w:val="nil"/>
              <w:right w:val="single" w:sz="4" w:space="0" w:color="auto"/>
            </w:tcBorders>
            <w:shd w:val="clear" w:color="auto" w:fill="auto"/>
            <w:noWrap/>
            <w:vAlign w:val="center"/>
            <w:hideMark/>
          </w:tcPr>
          <w:p w14:paraId="708E5ECF" w14:textId="77777777" w:rsidR="001F3C37" w:rsidRPr="009A1A2E" w:rsidRDefault="001F3C37" w:rsidP="003E4058">
            <w:pPr>
              <w:rPr>
                <w:rFonts w:cs="Arial"/>
                <w:b/>
                <w:color w:val="000000"/>
                <w:sz w:val="20"/>
                <w:szCs w:val="20"/>
              </w:rPr>
            </w:pPr>
            <w:r w:rsidRPr="009A1A2E">
              <w:rPr>
                <w:rFonts w:cs="Arial"/>
                <w:b/>
                <w:color w:val="000000"/>
                <w:sz w:val="20"/>
                <w:szCs w:val="20"/>
              </w:rPr>
              <w:t>Excluded medical services within AMEI criteria</w:t>
            </w:r>
          </w:p>
        </w:tc>
        <w:tc>
          <w:tcPr>
            <w:tcW w:w="1534" w:type="pct"/>
            <w:tcBorders>
              <w:top w:val="single" w:sz="4" w:space="0" w:color="auto"/>
              <w:left w:val="nil"/>
              <w:bottom w:val="single" w:sz="4" w:space="0" w:color="auto"/>
              <w:right w:val="single" w:sz="4" w:space="0" w:color="auto"/>
            </w:tcBorders>
            <w:shd w:val="clear" w:color="auto" w:fill="auto"/>
            <w:noWrap/>
            <w:vAlign w:val="center"/>
            <w:hideMark/>
          </w:tcPr>
          <w:p w14:paraId="20D80CAF" w14:textId="77777777" w:rsidR="001F3C37" w:rsidRPr="009A1A2E" w:rsidRDefault="001F3C37" w:rsidP="003E4058">
            <w:pPr>
              <w:rPr>
                <w:rFonts w:cs="Arial"/>
                <w:b/>
                <w:color w:val="000000"/>
                <w:sz w:val="20"/>
                <w:szCs w:val="20"/>
              </w:rPr>
            </w:pPr>
            <w:r w:rsidRPr="009A1A2E">
              <w:rPr>
                <w:rFonts w:cs="Arial"/>
                <w:b/>
                <w:color w:val="000000"/>
                <w:sz w:val="20"/>
                <w:szCs w:val="20"/>
              </w:rPr>
              <w:t>Excluded medical  services beyond AMEI criteria</w:t>
            </w:r>
          </w:p>
        </w:tc>
      </w:tr>
      <w:tr w:rsidR="001F3C37" w:rsidRPr="009A1A2E" w14:paraId="3C26E2C6" w14:textId="77777777" w:rsidTr="00E5582B">
        <w:trPr>
          <w:trHeight w:val="290"/>
        </w:trPr>
        <w:tc>
          <w:tcPr>
            <w:tcW w:w="840"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FAFF471" w14:textId="77777777" w:rsidR="001F3C37" w:rsidRPr="009A1A2E" w:rsidRDefault="001F3C37" w:rsidP="003E4058">
            <w:pPr>
              <w:rPr>
                <w:rFonts w:cs="Arial"/>
                <w:b/>
                <w:color w:val="000000"/>
                <w:sz w:val="20"/>
                <w:szCs w:val="20"/>
              </w:rPr>
            </w:pPr>
            <w:r w:rsidRPr="009A1A2E">
              <w:rPr>
                <w:rFonts w:cs="Arial"/>
                <w:b/>
                <w:color w:val="000000"/>
                <w:sz w:val="20"/>
                <w:szCs w:val="20"/>
              </w:rPr>
              <w:t>Population</w:t>
            </w:r>
          </w:p>
        </w:tc>
        <w:tc>
          <w:tcPr>
            <w:tcW w:w="1309" w:type="pct"/>
            <w:tcBorders>
              <w:top w:val="single" w:sz="4" w:space="0" w:color="auto"/>
              <w:left w:val="nil"/>
              <w:bottom w:val="nil"/>
              <w:right w:val="single" w:sz="4" w:space="0" w:color="auto"/>
            </w:tcBorders>
            <w:shd w:val="clear" w:color="auto" w:fill="auto"/>
            <w:noWrap/>
            <w:vAlign w:val="center"/>
            <w:hideMark/>
          </w:tcPr>
          <w:p w14:paraId="1C41835F" w14:textId="77777777" w:rsidR="001F3C37" w:rsidRPr="009A1A2E" w:rsidRDefault="001F3C37" w:rsidP="003E4058">
            <w:pPr>
              <w:rPr>
                <w:rFonts w:cs="Arial"/>
                <w:color w:val="000000"/>
                <w:sz w:val="20"/>
                <w:szCs w:val="20"/>
              </w:rPr>
            </w:pPr>
            <w:r w:rsidRPr="009A1A2E">
              <w:rPr>
                <w:rFonts w:cs="Arial"/>
                <w:color w:val="000000"/>
                <w:sz w:val="20"/>
                <w:szCs w:val="20"/>
              </w:rPr>
              <w:t>Individuals who have</w:t>
            </w:r>
            <w:r w:rsidR="00592448">
              <w:rPr>
                <w:rFonts w:cs="Arial"/>
                <w:color w:val="000000"/>
                <w:sz w:val="20"/>
                <w:szCs w:val="20"/>
              </w:rPr>
              <w:t>:</w:t>
            </w:r>
            <w:r w:rsidRPr="009A1A2E">
              <w:rPr>
                <w:rFonts w:cs="Arial"/>
                <w:color w:val="000000"/>
                <w:sz w:val="20"/>
                <w:szCs w:val="20"/>
              </w:rPr>
              <w:t xml:space="preserve"> </w:t>
            </w:r>
          </w:p>
        </w:tc>
        <w:tc>
          <w:tcPr>
            <w:tcW w:w="1316" w:type="pct"/>
            <w:tcBorders>
              <w:top w:val="single" w:sz="4" w:space="0" w:color="auto"/>
              <w:left w:val="nil"/>
              <w:bottom w:val="nil"/>
              <w:right w:val="single" w:sz="4" w:space="0" w:color="auto"/>
            </w:tcBorders>
            <w:shd w:val="clear" w:color="auto" w:fill="auto"/>
            <w:noWrap/>
            <w:vAlign w:val="center"/>
            <w:hideMark/>
          </w:tcPr>
          <w:p w14:paraId="185991C8" w14:textId="77777777" w:rsidR="001F3C37" w:rsidRPr="009A1A2E" w:rsidRDefault="001F3C37" w:rsidP="00592448">
            <w:pPr>
              <w:rPr>
                <w:rFonts w:cs="Arial"/>
                <w:color w:val="000000"/>
                <w:sz w:val="20"/>
                <w:szCs w:val="20"/>
              </w:rPr>
            </w:pPr>
            <w:r w:rsidRPr="009A1A2E">
              <w:rPr>
                <w:rFonts w:cs="Arial"/>
                <w:color w:val="000000"/>
                <w:sz w:val="20"/>
                <w:szCs w:val="20"/>
              </w:rPr>
              <w:t>Individuals who have</w:t>
            </w:r>
            <w:r w:rsidR="00592448">
              <w:rPr>
                <w:rFonts w:cs="Arial"/>
                <w:color w:val="000000"/>
                <w:sz w:val="20"/>
                <w:szCs w:val="20"/>
              </w:rPr>
              <w:t>:</w:t>
            </w:r>
          </w:p>
        </w:tc>
        <w:tc>
          <w:tcPr>
            <w:tcW w:w="1534" w:type="pct"/>
            <w:tcBorders>
              <w:top w:val="nil"/>
              <w:left w:val="nil"/>
              <w:bottom w:val="nil"/>
              <w:right w:val="single" w:sz="4" w:space="0" w:color="auto"/>
            </w:tcBorders>
            <w:shd w:val="clear" w:color="auto" w:fill="auto"/>
            <w:noWrap/>
            <w:vAlign w:val="center"/>
            <w:hideMark/>
          </w:tcPr>
          <w:p w14:paraId="3F3A56F6" w14:textId="77777777" w:rsidR="001F3C37" w:rsidRPr="009A1A2E" w:rsidRDefault="001F3C37" w:rsidP="003E4058">
            <w:pPr>
              <w:rPr>
                <w:rFonts w:cs="Arial"/>
                <w:color w:val="000000"/>
                <w:sz w:val="20"/>
                <w:szCs w:val="20"/>
              </w:rPr>
            </w:pPr>
            <w:r w:rsidRPr="009A1A2E">
              <w:rPr>
                <w:rFonts w:cs="Arial"/>
                <w:color w:val="000000"/>
                <w:sz w:val="20"/>
                <w:szCs w:val="20"/>
              </w:rPr>
              <w:t>Individuals who have:</w:t>
            </w:r>
          </w:p>
        </w:tc>
      </w:tr>
      <w:tr w:rsidR="001F3C37" w:rsidRPr="009A1A2E" w14:paraId="36419816" w14:textId="77777777" w:rsidTr="00E5582B">
        <w:trPr>
          <w:trHeight w:val="290"/>
        </w:trPr>
        <w:tc>
          <w:tcPr>
            <w:tcW w:w="840" w:type="pct"/>
            <w:vMerge/>
            <w:tcBorders>
              <w:top w:val="single" w:sz="4" w:space="0" w:color="auto"/>
              <w:left w:val="single" w:sz="4" w:space="0" w:color="auto"/>
              <w:bottom w:val="single" w:sz="4" w:space="0" w:color="000000"/>
              <w:right w:val="single" w:sz="4" w:space="0" w:color="auto"/>
            </w:tcBorders>
            <w:vAlign w:val="center"/>
            <w:hideMark/>
          </w:tcPr>
          <w:p w14:paraId="3AD6A3BE" w14:textId="77777777" w:rsidR="001F3C37" w:rsidRPr="009A1A2E" w:rsidRDefault="001F3C37" w:rsidP="003E4058">
            <w:pPr>
              <w:rPr>
                <w:rFonts w:cs="Arial"/>
                <w:color w:val="000000"/>
                <w:sz w:val="20"/>
                <w:szCs w:val="20"/>
              </w:rPr>
            </w:pPr>
          </w:p>
        </w:tc>
        <w:tc>
          <w:tcPr>
            <w:tcW w:w="1309" w:type="pct"/>
            <w:tcBorders>
              <w:top w:val="nil"/>
              <w:left w:val="nil"/>
              <w:bottom w:val="nil"/>
              <w:right w:val="single" w:sz="4" w:space="0" w:color="auto"/>
            </w:tcBorders>
            <w:shd w:val="clear" w:color="auto" w:fill="auto"/>
            <w:noWrap/>
            <w:vAlign w:val="center"/>
            <w:hideMark/>
          </w:tcPr>
          <w:p w14:paraId="57547362" w14:textId="77777777" w:rsidR="001F3C37" w:rsidRPr="009A1A2E" w:rsidRDefault="001F3C37" w:rsidP="003E4058">
            <w:pPr>
              <w:rPr>
                <w:rFonts w:cs="Arial"/>
                <w:color w:val="000000"/>
                <w:sz w:val="20"/>
                <w:szCs w:val="20"/>
              </w:rPr>
            </w:pPr>
            <w:r w:rsidRPr="009A1A2E">
              <w:rPr>
                <w:rFonts w:cs="Arial"/>
                <w:color w:val="000000"/>
                <w:sz w:val="20"/>
                <w:szCs w:val="20"/>
              </w:rPr>
              <w:t>• mild to moderate sensorineural hearing loss</w:t>
            </w:r>
          </w:p>
        </w:tc>
        <w:tc>
          <w:tcPr>
            <w:tcW w:w="1316" w:type="pct"/>
            <w:tcBorders>
              <w:top w:val="nil"/>
              <w:left w:val="nil"/>
              <w:bottom w:val="nil"/>
              <w:right w:val="single" w:sz="4" w:space="0" w:color="auto"/>
            </w:tcBorders>
            <w:shd w:val="clear" w:color="auto" w:fill="auto"/>
            <w:noWrap/>
            <w:vAlign w:val="center"/>
            <w:hideMark/>
          </w:tcPr>
          <w:p w14:paraId="5DDB5BC1" w14:textId="77777777" w:rsidR="001F3C37" w:rsidRPr="009A1A2E" w:rsidRDefault="001F3C37" w:rsidP="003E4058">
            <w:pPr>
              <w:rPr>
                <w:rFonts w:cs="Arial"/>
                <w:color w:val="000000"/>
                <w:sz w:val="20"/>
                <w:szCs w:val="20"/>
              </w:rPr>
            </w:pPr>
            <w:r w:rsidRPr="009A1A2E">
              <w:rPr>
                <w:rFonts w:cs="Arial"/>
                <w:color w:val="000000"/>
                <w:sz w:val="20"/>
                <w:szCs w:val="20"/>
              </w:rPr>
              <w:t>• up to severe sensorineural hearing loss</w:t>
            </w:r>
          </w:p>
        </w:tc>
        <w:tc>
          <w:tcPr>
            <w:tcW w:w="1534" w:type="pct"/>
            <w:tcBorders>
              <w:top w:val="nil"/>
              <w:left w:val="nil"/>
              <w:bottom w:val="nil"/>
              <w:right w:val="single" w:sz="4" w:space="0" w:color="auto"/>
            </w:tcBorders>
            <w:shd w:val="clear" w:color="auto" w:fill="auto"/>
            <w:noWrap/>
            <w:vAlign w:val="center"/>
            <w:hideMark/>
          </w:tcPr>
          <w:p w14:paraId="435BDD32" w14:textId="77777777" w:rsidR="001F3C37" w:rsidRPr="009A1A2E" w:rsidRDefault="001F3C37" w:rsidP="003E4058">
            <w:pPr>
              <w:rPr>
                <w:rFonts w:cs="Arial"/>
                <w:color w:val="000000"/>
                <w:sz w:val="20"/>
                <w:szCs w:val="20"/>
              </w:rPr>
            </w:pPr>
            <w:r w:rsidRPr="009A1A2E">
              <w:rPr>
                <w:rFonts w:cs="Arial"/>
                <w:color w:val="000000"/>
                <w:sz w:val="20"/>
                <w:szCs w:val="20"/>
              </w:rPr>
              <w:t>• severe to profound sensorineural hearing loss</w:t>
            </w:r>
          </w:p>
        </w:tc>
      </w:tr>
      <w:tr w:rsidR="001F3C37" w:rsidRPr="009A1A2E" w14:paraId="527FA510" w14:textId="77777777" w:rsidTr="00E5582B">
        <w:trPr>
          <w:trHeight w:val="630"/>
        </w:trPr>
        <w:tc>
          <w:tcPr>
            <w:tcW w:w="840" w:type="pct"/>
            <w:vMerge/>
            <w:tcBorders>
              <w:top w:val="single" w:sz="4" w:space="0" w:color="auto"/>
              <w:left w:val="single" w:sz="4" w:space="0" w:color="auto"/>
              <w:bottom w:val="single" w:sz="4" w:space="0" w:color="000000"/>
              <w:right w:val="single" w:sz="4" w:space="0" w:color="auto"/>
            </w:tcBorders>
            <w:vAlign w:val="center"/>
            <w:hideMark/>
          </w:tcPr>
          <w:p w14:paraId="0D74646E" w14:textId="77777777" w:rsidR="001F3C37" w:rsidRPr="009A1A2E" w:rsidRDefault="001F3C37" w:rsidP="003E4058">
            <w:pPr>
              <w:rPr>
                <w:rFonts w:cs="Arial"/>
                <w:color w:val="000000"/>
                <w:sz w:val="20"/>
                <w:szCs w:val="20"/>
              </w:rPr>
            </w:pPr>
          </w:p>
        </w:tc>
        <w:tc>
          <w:tcPr>
            <w:tcW w:w="1309" w:type="pct"/>
            <w:tcBorders>
              <w:top w:val="nil"/>
              <w:left w:val="nil"/>
              <w:bottom w:val="nil"/>
              <w:right w:val="single" w:sz="4" w:space="0" w:color="auto"/>
            </w:tcBorders>
            <w:shd w:val="clear" w:color="auto" w:fill="auto"/>
            <w:vAlign w:val="center"/>
            <w:hideMark/>
          </w:tcPr>
          <w:p w14:paraId="453D7AAC" w14:textId="77777777" w:rsidR="001F3C37" w:rsidRPr="009A1A2E" w:rsidRDefault="001F3C37" w:rsidP="003E4058">
            <w:pPr>
              <w:rPr>
                <w:rFonts w:cs="Arial"/>
                <w:color w:val="000000"/>
                <w:sz w:val="20"/>
                <w:szCs w:val="20"/>
              </w:rPr>
            </w:pPr>
            <w:r w:rsidRPr="009A1A2E">
              <w:rPr>
                <w:rFonts w:cs="Arial"/>
                <w:color w:val="000000"/>
                <w:sz w:val="20"/>
                <w:szCs w:val="20"/>
              </w:rPr>
              <w:t xml:space="preserve">• stable bilateral symmetrical hearing loss </w:t>
            </w:r>
          </w:p>
        </w:tc>
        <w:tc>
          <w:tcPr>
            <w:tcW w:w="1316" w:type="pct"/>
            <w:tcBorders>
              <w:top w:val="nil"/>
              <w:left w:val="nil"/>
              <w:bottom w:val="nil"/>
              <w:right w:val="single" w:sz="4" w:space="0" w:color="auto"/>
            </w:tcBorders>
            <w:shd w:val="clear" w:color="auto" w:fill="auto"/>
            <w:vAlign w:val="center"/>
            <w:hideMark/>
          </w:tcPr>
          <w:p w14:paraId="6297E07D" w14:textId="77777777" w:rsidR="001F3C37" w:rsidRPr="009A1A2E" w:rsidRDefault="001F3C37" w:rsidP="003E4058">
            <w:pPr>
              <w:rPr>
                <w:rFonts w:cs="Arial"/>
                <w:color w:val="000000"/>
                <w:sz w:val="20"/>
                <w:szCs w:val="20"/>
              </w:rPr>
            </w:pPr>
            <w:r w:rsidRPr="009A1A2E">
              <w:rPr>
                <w:rFonts w:cs="Arial"/>
                <w:color w:val="000000"/>
                <w:sz w:val="20"/>
                <w:szCs w:val="20"/>
              </w:rPr>
              <w:t>• stable unilateral or bilateral symmetrical hearing loss</w:t>
            </w:r>
          </w:p>
        </w:tc>
        <w:tc>
          <w:tcPr>
            <w:tcW w:w="1534" w:type="pct"/>
            <w:tcBorders>
              <w:top w:val="nil"/>
              <w:left w:val="nil"/>
              <w:bottom w:val="nil"/>
              <w:right w:val="single" w:sz="4" w:space="0" w:color="auto"/>
            </w:tcBorders>
            <w:shd w:val="clear" w:color="auto" w:fill="auto"/>
            <w:vAlign w:val="center"/>
            <w:hideMark/>
          </w:tcPr>
          <w:p w14:paraId="778C0A9A" w14:textId="77777777" w:rsidR="001F3C37" w:rsidRPr="009A1A2E" w:rsidRDefault="001F3C37" w:rsidP="003E4058">
            <w:pPr>
              <w:rPr>
                <w:rFonts w:cs="Arial"/>
                <w:color w:val="000000"/>
                <w:sz w:val="20"/>
                <w:szCs w:val="20"/>
              </w:rPr>
            </w:pPr>
            <w:r w:rsidRPr="009A1A2E">
              <w:rPr>
                <w:rFonts w:cs="Arial"/>
                <w:color w:val="000000"/>
                <w:sz w:val="20"/>
                <w:szCs w:val="20"/>
              </w:rPr>
              <w:t>• stable unilateral or bilateral, symmetrical or asymmetrical hearing loss</w:t>
            </w:r>
          </w:p>
        </w:tc>
      </w:tr>
      <w:tr w:rsidR="001F3C37" w:rsidRPr="009A1A2E" w14:paraId="06BCBEE3" w14:textId="77777777" w:rsidTr="00E5582B">
        <w:trPr>
          <w:trHeight w:val="580"/>
        </w:trPr>
        <w:tc>
          <w:tcPr>
            <w:tcW w:w="840" w:type="pct"/>
            <w:vMerge/>
            <w:tcBorders>
              <w:top w:val="single" w:sz="4" w:space="0" w:color="auto"/>
              <w:left w:val="single" w:sz="4" w:space="0" w:color="auto"/>
              <w:bottom w:val="single" w:sz="4" w:space="0" w:color="000000"/>
              <w:right w:val="single" w:sz="4" w:space="0" w:color="auto"/>
            </w:tcBorders>
            <w:vAlign w:val="center"/>
            <w:hideMark/>
          </w:tcPr>
          <w:p w14:paraId="05EC3F0B" w14:textId="77777777" w:rsidR="001F3C37" w:rsidRPr="009A1A2E" w:rsidRDefault="001F3C37" w:rsidP="003E4058">
            <w:pPr>
              <w:rPr>
                <w:rFonts w:cs="Arial"/>
                <w:color w:val="000000"/>
                <w:sz w:val="20"/>
                <w:szCs w:val="20"/>
              </w:rPr>
            </w:pPr>
          </w:p>
        </w:tc>
        <w:tc>
          <w:tcPr>
            <w:tcW w:w="1309" w:type="pct"/>
            <w:tcBorders>
              <w:top w:val="nil"/>
              <w:left w:val="nil"/>
              <w:bottom w:val="nil"/>
              <w:right w:val="single" w:sz="4" w:space="0" w:color="auto"/>
            </w:tcBorders>
            <w:shd w:val="clear" w:color="auto" w:fill="auto"/>
            <w:vAlign w:val="center"/>
            <w:hideMark/>
          </w:tcPr>
          <w:p w14:paraId="533B2F82" w14:textId="77777777" w:rsidR="001F3C37" w:rsidRPr="009A1A2E" w:rsidRDefault="001F3C37" w:rsidP="003E4058">
            <w:pPr>
              <w:rPr>
                <w:rFonts w:cs="Arial"/>
                <w:color w:val="000000"/>
                <w:sz w:val="20"/>
                <w:szCs w:val="20"/>
              </w:rPr>
            </w:pPr>
            <w:r w:rsidRPr="009A1A2E">
              <w:rPr>
                <w:rFonts w:cs="Arial"/>
                <w:color w:val="000000"/>
                <w:sz w:val="20"/>
                <w:szCs w:val="20"/>
              </w:rPr>
              <w:t>• a medical condition in the outer ear and a normal middle ear</w:t>
            </w:r>
          </w:p>
        </w:tc>
        <w:tc>
          <w:tcPr>
            <w:tcW w:w="1316" w:type="pct"/>
            <w:tcBorders>
              <w:top w:val="nil"/>
              <w:left w:val="nil"/>
              <w:bottom w:val="nil"/>
              <w:right w:val="single" w:sz="4" w:space="0" w:color="auto"/>
            </w:tcBorders>
            <w:shd w:val="clear" w:color="auto" w:fill="auto"/>
            <w:noWrap/>
            <w:vAlign w:val="center"/>
            <w:hideMark/>
          </w:tcPr>
          <w:p w14:paraId="209A7601" w14:textId="77777777" w:rsidR="001F3C37" w:rsidRPr="009A1A2E" w:rsidRDefault="001F3C37" w:rsidP="003E4058">
            <w:pPr>
              <w:rPr>
                <w:rFonts w:cs="Arial"/>
                <w:color w:val="000000"/>
                <w:sz w:val="20"/>
                <w:szCs w:val="20"/>
              </w:rPr>
            </w:pPr>
            <w:r w:rsidRPr="009A1A2E">
              <w:rPr>
                <w:rFonts w:cs="Arial"/>
                <w:color w:val="000000"/>
                <w:sz w:val="20"/>
                <w:szCs w:val="20"/>
              </w:rPr>
              <w:t>• normal outer and middle ear</w:t>
            </w:r>
          </w:p>
        </w:tc>
        <w:tc>
          <w:tcPr>
            <w:tcW w:w="1534" w:type="pct"/>
            <w:tcBorders>
              <w:top w:val="nil"/>
              <w:left w:val="nil"/>
              <w:bottom w:val="nil"/>
              <w:right w:val="single" w:sz="4" w:space="0" w:color="auto"/>
            </w:tcBorders>
            <w:shd w:val="clear" w:color="auto" w:fill="auto"/>
            <w:vAlign w:val="center"/>
            <w:hideMark/>
          </w:tcPr>
          <w:p w14:paraId="60ADCDCB" w14:textId="77777777" w:rsidR="001F3C37" w:rsidRPr="009A1A2E" w:rsidRDefault="001F3C37" w:rsidP="003E4058">
            <w:pPr>
              <w:rPr>
                <w:rFonts w:cs="Arial"/>
                <w:color w:val="000000"/>
                <w:sz w:val="20"/>
                <w:szCs w:val="20"/>
              </w:rPr>
            </w:pPr>
            <w:r w:rsidRPr="009A1A2E">
              <w:rPr>
                <w:rFonts w:cs="Arial"/>
                <w:color w:val="000000"/>
                <w:sz w:val="20"/>
                <w:szCs w:val="20"/>
              </w:rPr>
              <w:t>• normal outer and middle ear for CI; normal or pathological outer or middle ears for BCI</w:t>
            </w:r>
          </w:p>
        </w:tc>
      </w:tr>
      <w:tr w:rsidR="001F3C37" w:rsidRPr="009A1A2E" w14:paraId="779B997F" w14:textId="77777777" w:rsidTr="00E5582B">
        <w:trPr>
          <w:trHeight w:val="590"/>
        </w:trPr>
        <w:tc>
          <w:tcPr>
            <w:tcW w:w="840" w:type="pct"/>
            <w:vMerge/>
            <w:tcBorders>
              <w:top w:val="single" w:sz="4" w:space="0" w:color="auto"/>
              <w:left w:val="single" w:sz="4" w:space="0" w:color="auto"/>
              <w:bottom w:val="single" w:sz="4" w:space="0" w:color="000000"/>
              <w:right w:val="single" w:sz="4" w:space="0" w:color="auto"/>
            </w:tcBorders>
            <w:vAlign w:val="center"/>
            <w:hideMark/>
          </w:tcPr>
          <w:p w14:paraId="11F3D1A6" w14:textId="77777777" w:rsidR="001F3C37" w:rsidRPr="009A1A2E" w:rsidRDefault="001F3C37" w:rsidP="003E4058">
            <w:pPr>
              <w:rPr>
                <w:rFonts w:cs="Arial"/>
                <w:color w:val="000000"/>
                <w:sz w:val="20"/>
                <w:szCs w:val="20"/>
              </w:rPr>
            </w:pPr>
          </w:p>
        </w:tc>
        <w:tc>
          <w:tcPr>
            <w:tcW w:w="1309" w:type="pct"/>
            <w:tcBorders>
              <w:top w:val="nil"/>
              <w:left w:val="nil"/>
              <w:bottom w:val="nil"/>
              <w:right w:val="single" w:sz="4" w:space="0" w:color="auto"/>
            </w:tcBorders>
            <w:shd w:val="clear" w:color="auto" w:fill="auto"/>
            <w:vAlign w:val="center"/>
            <w:hideMark/>
          </w:tcPr>
          <w:p w14:paraId="51BE9636" w14:textId="77777777" w:rsidR="001F3C37" w:rsidRPr="009A1A2E" w:rsidRDefault="001F3C37" w:rsidP="003E4058">
            <w:pPr>
              <w:rPr>
                <w:rFonts w:cs="Arial"/>
                <w:color w:val="000000"/>
                <w:sz w:val="20"/>
                <w:szCs w:val="20"/>
              </w:rPr>
            </w:pPr>
            <w:r w:rsidRPr="009A1A2E">
              <w:rPr>
                <w:rFonts w:cs="Arial"/>
                <w:color w:val="000000"/>
                <w:sz w:val="20"/>
                <w:szCs w:val="20"/>
              </w:rPr>
              <w:t>•  unable to wear or benefit from HAs due to medical reasons</w:t>
            </w:r>
          </w:p>
        </w:tc>
        <w:tc>
          <w:tcPr>
            <w:tcW w:w="1316" w:type="pct"/>
            <w:tcBorders>
              <w:top w:val="nil"/>
              <w:left w:val="nil"/>
              <w:bottom w:val="nil"/>
              <w:right w:val="single" w:sz="4" w:space="0" w:color="auto"/>
            </w:tcBorders>
            <w:shd w:val="clear" w:color="auto" w:fill="auto"/>
            <w:vAlign w:val="center"/>
            <w:hideMark/>
          </w:tcPr>
          <w:p w14:paraId="17956558" w14:textId="77777777" w:rsidR="001F3C37" w:rsidRPr="009A1A2E" w:rsidRDefault="001F3C37" w:rsidP="003E4058">
            <w:pPr>
              <w:rPr>
                <w:rFonts w:cs="Arial"/>
                <w:color w:val="000000"/>
                <w:sz w:val="20"/>
                <w:szCs w:val="20"/>
              </w:rPr>
            </w:pPr>
            <w:r w:rsidRPr="009A1A2E">
              <w:rPr>
                <w:rFonts w:cs="Arial"/>
                <w:color w:val="000000"/>
                <w:sz w:val="20"/>
                <w:szCs w:val="20"/>
              </w:rPr>
              <w:t>• previously used HAs but received no or limited benefit</w:t>
            </w:r>
          </w:p>
        </w:tc>
        <w:tc>
          <w:tcPr>
            <w:tcW w:w="1534" w:type="pct"/>
            <w:tcBorders>
              <w:top w:val="nil"/>
              <w:left w:val="nil"/>
              <w:bottom w:val="nil"/>
              <w:right w:val="single" w:sz="4" w:space="0" w:color="auto"/>
            </w:tcBorders>
            <w:shd w:val="clear" w:color="auto" w:fill="auto"/>
            <w:vAlign w:val="center"/>
            <w:hideMark/>
          </w:tcPr>
          <w:p w14:paraId="595D9EA2" w14:textId="77777777" w:rsidR="001F3C37" w:rsidRPr="009A1A2E" w:rsidRDefault="001F3C37" w:rsidP="003E4058">
            <w:pPr>
              <w:rPr>
                <w:rFonts w:cs="Arial"/>
                <w:color w:val="000000"/>
                <w:sz w:val="20"/>
                <w:szCs w:val="20"/>
              </w:rPr>
            </w:pPr>
            <w:r w:rsidRPr="009A1A2E">
              <w:rPr>
                <w:rFonts w:cs="Arial"/>
                <w:color w:val="000000"/>
                <w:sz w:val="20"/>
                <w:szCs w:val="20"/>
              </w:rPr>
              <w:t>• previously used HAs but received no or limited benefit</w:t>
            </w:r>
          </w:p>
        </w:tc>
      </w:tr>
      <w:tr w:rsidR="001F3C37" w:rsidRPr="009A1A2E" w14:paraId="4C1F8C96" w14:textId="77777777" w:rsidTr="00E5582B">
        <w:trPr>
          <w:trHeight w:val="610"/>
        </w:trPr>
        <w:tc>
          <w:tcPr>
            <w:tcW w:w="840" w:type="pct"/>
            <w:vMerge/>
            <w:tcBorders>
              <w:top w:val="single" w:sz="4" w:space="0" w:color="auto"/>
              <w:left w:val="single" w:sz="4" w:space="0" w:color="auto"/>
              <w:bottom w:val="single" w:sz="4" w:space="0" w:color="000000"/>
              <w:right w:val="single" w:sz="4" w:space="0" w:color="auto"/>
            </w:tcBorders>
            <w:vAlign w:val="center"/>
            <w:hideMark/>
          </w:tcPr>
          <w:p w14:paraId="275C8583" w14:textId="77777777" w:rsidR="001F3C37" w:rsidRPr="009A1A2E" w:rsidRDefault="001F3C37" w:rsidP="003E4058">
            <w:pPr>
              <w:rPr>
                <w:rFonts w:cs="Arial"/>
                <w:color w:val="000000"/>
                <w:sz w:val="20"/>
                <w:szCs w:val="20"/>
              </w:rPr>
            </w:pPr>
          </w:p>
        </w:tc>
        <w:tc>
          <w:tcPr>
            <w:tcW w:w="1309" w:type="pct"/>
            <w:tcBorders>
              <w:top w:val="nil"/>
              <w:left w:val="nil"/>
              <w:bottom w:val="nil"/>
              <w:right w:val="single" w:sz="4" w:space="0" w:color="auto"/>
            </w:tcBorders>
            <w:shd w:val="clear" w:color="auto" w:fill="auto"/>
            <w:vAlign w:val="center"/>
            <w:hideMark/>
          </w:tcPr>
          <w:p w14:paraId="237ACD7B" w14:textId="77777777" w:rsidR="001F3C37" w:rsidRPr="009A1A2E" w:rsidRDefault="001F3C37" w:rsidP="003E4058">
            <w:pPr>
              <w:rPr>
                <w:rFonts w:cs="Arial"/>
                <w:color w:val="000000"/>
                <w:sz w:val="20"/>
                <w:szCs w:val="20"/>
              </w:rPr>
            </w:pPr>
            <w:r w:rsidRPr="009A1A2E">
              <w:rPr>
                <w:rFonts w:cs="Arial"/>
                <w:color w:val="000000"/>
                <w:sz w:val="20"/>
                <w:szCs w:val="20"/>
              </w:rPr>
              <w:t>• no previous middle ear surgery</w:t>
            </w:r>
          </w:p>
        </w:tc>
        <w:tc>
          <w:tcPr>
            <w:tcW w:w="1316" w:type="pct"/>
            <w:tcBorders>
              <w:top w:val="nil"/>
              <w:left w:val="nil"/>
              <w:bottom w:val="nil"/>
              <w:right w:val="single" w:sz="4" w:space="0" w:color="auto"/>
            </w:tcBorders>
            <w:shd w:val="clear" w:color="auto" w:fill="auto"/>
            <w:vAlign w:val="center"/>
            <w:hideMark/>
          </w:tcPr>
          <w:p w14:paraId="3929A7D3" w14:textId="77777777" w:rsidR="001F3C37" w:rsidRPr="009A1A2E" w:rsidRDefault="001F3C37" w:rsidP="003E4058">
            <w:pPr>
              <w:rPr>
                <w:rFonts w:cs="Arial"/>
                <w:color w:val="000000"/>
                <w:sz w:val="20"/>
                <w:szCs w:val="20"/>
              </w:rPr>
            </w:pPr>
            <w:r w:rsidRPr="009A1A2E">
              <w:rPr>
                <w:rFonts w:cs="Arial"/>
                <w:color w:val="000000"/>
                <w:sz w:val="20"/>
                <w:szCs w:val="20"/>
              </w:rPr>
              <w:t>• no history of otitis externa or eczema for the outer ear canal</w:t>
            </w:r>
          </w:p>
        </w:tc>
        <w:tc>
          <w:tcPr>
            <w:tcW w:w="1534" w:type="pct"/>
            <w:tcBorders>
              <w:top w:val="nil"/>
              <w:left w:val="nil"/>
              <w:bottom w:val="nil"/>
              <w:right w:val="single" w:sz="4" w:space="0" w:color="auto"/>
            </w:tcBorders>
            <w:shd w:val="clear" w:color="auto" w:fill="auto"/>
            <w:vAlign w:val="center"/>
            <w:hideMark/>
          </w:tcPr>
          <w:p w14:paraId="0E180FB7" w14:textId="77777777" w:rsidR="001F3C37" w:rsidRPr="009A1A2E" w:rsidRDefault="001F3C37" w:rsidP="003E4058">
            <w:pPr>
              <w:rPr>
                <w:rFonts w:cs="Arial"/>
                <w:color w:val="000000"/>
                <w:sz w:val="20"/>
                <w:szCs w:val="20"/>
              </w:rPr>
            </w:pPr>
            <w:r w:rsidRPr="009A1A2E">
              <w:rPr>
                <w:rFonts w:cs="Arial"/>
                <w:color w:val="000000"/>
                <w:sz w:val="20"/>
                <w:szCs w:val="20"/>
              </w:rPr>
              <w:t>• no previous middle ear surgery</w:t>
            </w:r>
          </w:p>
        </w:tc>
      </w:tr>
      <w:tr w:rsidR="001F3C37" w:rsidRPr="009A1A2E" w14:paraId="1414B6C7" w14:textId="77777777" w:rsidTr="00E5582B">
        <w:trPr>
          <w:trHeight w:val="870"/>
        </w:trPr>
        <w:tc>
          <w:tcPr>
            <w:tcW w:w="840" w:type="pct"/>
            <w:vMerge/>
            <w:tcBorders>
              <w:top w:val="single" w:sz="4" w:space="0" w:color="auto"/>
              <w:left w:val="single" w:sz="4" w:space="0" w:color="auto"/>
              <w:bottom w:val="single" w:sz="4" w:space="0" w:color="000000"/>
              <w:right w:val="single" w:sz="4" w:space="0" w:color="auto"/>
            </w:tcBorders>
            <w:vAlign w:val="center"/>
            <w:hideMark/>
          </w:tcPr>
          <w:p w14:paraId="71613DAA" w14:textId="77777777" w:rsidR="001F3C37" w:rsidRPr="009A1A2E" w:rsidRDefault="001F3C37" w:rsidP="003E4058">
            <w:pPr>
              <w:rPr>
                <w:rFonts w:cs="Arial"/>
                <w:color w:val="000000"/>
                <w:sz w:val="20"/>
                <w:szCs w:val="20"/>
              </w:rPr>
            </w:pPr>
          </w:p>
        </w:tc>
        <w:tc>
          <w:tcPr>
            <w:tcW w:w="1309" w:type="pct"/>
            <w:tcBorders>
              <w:top w:val="nil"/>
              <w:left w:val="nil"/>
              <w:bottom w:val="nil"/>
              <w:right w:val="single" w:sz="4" w:space="0" w:color="auto"/>
            </w:tcBorders>
            <w:shd w:val="clear" w:color="auto" w:fill="auto"/>
            <w:vAlign w:val="center"/>
            <w:hideMark/>
          </w:tcPr>
          <w:p w14:paraId="3A87A788" w14:textId="77777777" w:rsidR="001F3C37" w:rsidRPr="009A1A2E" w:rsidRDefault="001F3C37" w:rsidP="003E4058">
            <w:pPr>
              <w:rPr>
                <w:rFonts w:cs="Arial"/>
                <w:color w:val="000000"/>
                <w:sz w:val="20"/>
                <w:szCs w:val="20"/>
              </w:rPr>
            </w:pPr>
            <w:r w:rsidRPr="009A1A2E">
              <w:rPr>
                <w:rFonts w:cs="Arial"/>
                <w:color w:val="000000"/>
                <w:sz w:val="20"/>
                <w:szCs w:val="20"/>
              </w:rPr>
              <w:t>• no history of post-adolescent, chronic middle ear infections or inner ear disorders such as vertigo or Meniere’s syndrome.</w:t>
            </w:r>
          </w:p>
        </w:tc>
        <w:tc>
          <w:tcPr>
            <w:tcW w:w="1316" w:type="pct"/>
            <w:tcBorders>
              <w:top w:val="nil"/>
              <w:left w:val="nil"/>
              <w:bottom w:val="nil"/>
              <w:right w:val="single" w:sz="4" w:space="0" w:color="auto"/>
            </w:tcBorders>
            <w:shd w:val="clear" w:color="auto" w:fill="auto"/>
            <w:vAlign w:val="center"/>
            <w:hideMark/>
          </w:tcPr>
          <w:p w14:paraId="0132E128" w14:textId="77777777" w:rsidR="001F3C37" w:rsidRPr="009A1A2E" w:rsidRDefault="001F3C37" w:rsidP="003E4058">
            <w:pPr>
              <w:rPr>
                <w:rFonts w:cs="Arial"/>
                <w:color w:val="000000"/>
                <w:sz w:val="20"/>
                <w:szCs w:val="20"/>
              </w:rPr>
            </w:pPr>
            <w:r w:rsidRPr="009A1A2E">
              <w:rPr>
                <w:rFonts w:cs="Arial"/>
                <w:color w:val="000000"/>
                <w:sz w:val="20"/>
                <w:szCs w:val="20"/>
              </w:rPr>
              <w:t>• no history of post-adolescent, chronic middle ear infections or inner ear disorders such as vertigo or Meniere’s syndrome.</w:t>
            </w:r>
          </w:p>
        </w:tc>
        <w:tc>
          <w:tcPr>
            <w:tcW w:w="1534" w:type="pct"/>
            <w:tcBorders>
              <w:top w:val="nil"/>
              <w:left w:val="nil"/>
              <w:bottom w:val="nil"/>
              <w:right w:val="single" w:sz="4" w:space="0" w:color="auto"/>
            </w:tcBorders>
            <w:shd w:val="clear" w:color="auto" w:fill="auto"/>
            <w:vAlign w:val="center"/>
            <w:hideMark/>
          </w:tcPr>
          <w:p w14:paraId="17F4595B" w14:textId="77777777" w:rsidR="001F3C37" w:rsidRPr="009A1A2E" w:rsidRDefault="001F3C37" w:rsidP="003E4058">
            <w:pPr>
              <w:rPr>
                <w:rFonts w:cs="Arial"/>
                <w:color w:val="000000"/>
                <w:sz w:val="20"/>
                <w:szCs w:val="20"/>
              </w:rPr>
            </w:pPr>
            <w:r w:rsidRPr="009A1A2E">
              <w:rPr>
                <w:rFonts w:cs="Arial"/>
                <w:color w:val="000000"/>
                <w:sz w:val="20"/>
                <w:szCs w:val="20"/>
              </w:rPr>
              <w:t>• no history of post-adolescent, chronic middle ear infections or retrocochlear disorders</w:t>
            </w:r>
          </w:p>
        </w:tc>
      </w:tr>
      <w:tr w:rsidR="001F3C37" w:rsidRPr="009A1A2E" w14:paraId="0D5B54C8" w14:textId="77777777" w:rsidTr="00E5582B">
        <w:trPr>
          <w:trHeight w:val="580"/>
        </w:trPr>
        <w:tc>
          <w:tcPr>
            <w:tcW w:w="840" w:type="pct"/>
            <w:vMerge/>
            <w:tcBorders>
              <w:top w:val="single" w:sz="4" w:space="0" w:color="auto"/>
              <w:left w:val="single" w:sz="4" w:space="0" w:color="auto"/>
              <w:bottom w:val="single" w:sz="4" w:space="0" w:color="000000"/>
              <w:right w:val="single" w:sz="4" w:space="0" w:color="auto"/>
            </w:tcBorders>
            <w:vAlign w:val="center"/>
            <w:hideMark/>
          </w:tcPr>
          <w:p w14:paraId="79B4B08A" w14:textId="77777777" w:rsidR="001F3C37" w:rsidRPr="009A1A2E" w:rsidRDefault="001F3C37" w:rsidP="003E4058">
            <w:pPr>
              <w:rPr>
                <w:rFonts w:cs="Arial"/>
                <w:color w:val="000000"/>
                <w:sz w:val="20"/>
                <w:szCs w:val="20"/>
              </w:rPr>
            </w:pPr>
          </w:p>
        </w:tc>
        <w:tc>
          <w:tcPr>
            <w:tcW w:w="1309" w:type="pct"/>
            <w:tcBorders>
              <w:top w:val="nil"/>
              <w:left w:val="nil"/>
              <w:bottom w:val="single" w:sz="4" w:space="0" w:color="auto"/>
              <w:right w:val="single" w:sz="4" w:space="0" w:color="auto"/>
            </w:tcBorders>
            <w:shd w:val="clear" w:color="auto" w:fill="auto"/>
            <w:noWrap/>
            <w:vAlign w:val="center"/>
            <w:hideMark/>
          </w:tcPr>
          <w:p w14:paraId="23E5A831" w14:textId="77777777" w:rsidR="001F3C37" w:rsidRPr="009A1A2E" w:rsidRDefault="001F3C37" w:rsidP="003E4058">
            <w:pPr>
              <w:rPr>
                <w:rFonts w:cs="Arial"/>
                <w:color w:val="000000"/>
                <w:sz w:val="20"/>
                <w:szCs w:val="20"/>
              </w:rPr>
            </w:pPr>
            <w:r w:rsidRPr="009A1A2E">
              <w:rPr>
                <w:rFonts w:cs="Arial"/>
                <w:color w:val="000000"/>
                <w:sz w:val="20"/>
                <w:szCs w:val="20"/>
              </w:rPr>
              <w:t>• unaided speech recognition above 65%</w:t>
            </w:r>
          </w:p>
        </w:tc>
        <w:tc>
          <w:tcPr>
            <w:tcW w:w="1316" w:type="pct"/>
            <w:tcBorders>
              <w:top w:val="nil"/>
              <w:left w:val="nil"/>
              <w:bottom w:val="single" w:sz="4" w:space="0" w:color="auto"/>
              <w:right w:val="single" w:sz="4" w:space="0" w:color="auto"/>
            </w:tcBorders>
            <w:shd w:val="clear" w:color="auto" w:fill="auto"/>
            <w:vAlign w:val="center"/>
            <w:hideMark/>
          </w:tcPr>
          <w:p w14:paraId="3C721A05" w14:textId="77777777" w:rsidR="001F3C37" w:rsidRPr="009A1A2E" w:rsidRDefault="001F3C37" w:rsidP="003E4058">
            <w:pPr>
              <w:rPr>
                <w:rFonts w:cs="Arial"/>
                <w:color w:val="000000"/>
                <w:sz w:val="20"/>
                <w:szCs w:val="20"/>
              </w:rPr>
            </w:pPr>
            <w:r w:rsidRPr="009A1A2E">
              <w:rPr>
                <w:rFonts w:cs="Arial"/>
                <w:color w:val="000000"/>
                <w:sz w:val="20"/>
                <w:szCs w:val="20"/>
              </w:rPr>
              <w:t>• unaided speech recognition above 40 dB for AMEI</w:t>
            </w:r>
          </w:p>
        </w:tc>
        <w:tc>
          <w:tcPr>
            <w:tcW w:w="1534" w:type="pct"/>
            <w:tcBorders>
              <w:top w:val="nil"/>
              <w:left w:val="nil"/>
              <w:bottom w:val="single" w:sz="4" w:space="0" w:color="auto"/>
              <w:right w:val="single" w:sz="4" w:space="0" w:color="auto"/>
            </w:tcBorders>
            <w:shd w:val="clear" w:color="auto" w:fill="auto"/>
            <w:noWrap/>
            <w:vAlign w:val="center"/>
            <w:hideMark/>
          </w:tcPr>
          <w:p w14:paraId="005D10D4" w14:textId="77777777" w:rsidR="001F3C37" w:rsidRPr="009A1A2E" w:rsidRDefault="001F3C37" w:rsidP="003E4058">
            <w:pPr>
              <w:rPr>
                <w:rFonts w:cs="Arial"/>
                <w:color w:val="000000"/>
                <w:sz w:val="20"/>
                <w:szCs w:val="20"/>
              </w:rPr>
            </w:pPr>
            <w:r w:rsidRPr="009A1A2E">
              <w:rPr>
                <w:rFonts w:cs="Arial"/>
                <w:color w:val="000000"/>
                <w:sz w:val="20"/>
                <w:szCs w:val="20"/>
              </w:rPr>
              <w:t>• unaided speech recognition below 65</w:t>
            </w:r>
            <w:r w:rsidR="0054599A" w:rsidRPr="009A1A2E">
              <w:rPr>
                <w:rFonts w:cs="Arial"/>
                <w:color w:val="000000"/>
                <w:sz w:val="20"/>
                <w:szCs w:val="20"/>
              </w:rPr>
              <w:t>%</w:t>
            </w:r>
          </w:p>
        </w:tc>
      </w:tr>
      <w:tr w:rsidR="001F3C37" w:rsidRPr="009A1A2E" w14:paraId="41AB4128" w14:textId="77777777" w:rsidTr="00E5582B">
        <w:trPr>
          <w:trHeight w:val="290"/>
        </w:trPr>
        <w:tc>
          <w:tcPr>
            <w:tcW w:w="840" w:type="pct"/>
            <w:tcBorders>
              <w:top w:val="nil"/>
              <w:left w:val="single" w:sz="4" w:space="0" w:color="auto"/>
              <w:bottom w:val="nil"/>
              <w:right w:val="nil"/>
            </w:tcBorders>
            <w:shd w:val="clear" w:color="auto" w:fill="auto"/>
            <w:noWrap/>
            <w:vAlign w:val="center"/>
            <w:hideMark/>
          </w:tcPr>
          <w:p w14:paraId="03D0463E" w14:textId="77777777" w:rsidR="001F3C37" w:rsidRPr="009A1A2E" w:rsidRDefault="001F3C37" w:rsidP="003E4058">
            <w:pPr>
              <w:rPr>
                <w:rFonts w:cs="Arial"/>
                <w:b/>
                <w:color w:val="000000"/>
                <w:sz w:val="20"/>
                <w:szCs w:val="20"/>
              </w:rPr>
            </w:pPr>
            <w:r w:rsidRPr="009A1A2E">
              <w:rPr>
                <w:rFonts w:cs="Arial"/>
                <w:b/>
                <w:color w:val="000000"/>
                <w:sz w:val="20"/>
                <w:szCs w:val="20"/>
              </w:rPr>
              <w:t>Intervention</w:t>
            </w:r>
          </w:p>
        </w:tc>
        <w:tc>
          <w:tcPr>
            <w:tcW w:w="1309" w:type="pct"/>
            <w:tcBorders>
              <w:top w:val="nil"/>
              <w:left w:val="nil"/>
              <w:bottom w:val="nil"/>
              <w:right w:val="nil"/>
            </w:tcBorders>
            <w:shd w:val="clear" w:color="auto" w:fill="auto"/>
            <w:noWrap/>
            <w:vAlign w:val="center"/>
            <w:hideMark/>
          </w:tcPr>
          <w:p w14:paraId="6823623D" w14:textId="77777777" w:rsidR="001F3C37" w:rsidRPr="009A1A2E" w:rsidRDefault="001F3C37" w:rsidP="003E4058">
            <w:pPr>
              <w:rPr>
                <w:rFonts w:cs="Arial"/>
                <w:color w:val="000000"/>
                <w:sz w:val="20"/>
                <w:szCs w:val="20"/>
              </w:rPr>
            </w:pPr>
            <w:r w:rsidRPr="009A1A2E">
              <w:rPr>
                <w:rFonts w:cs="Arial"/>
                <w:color w:val="000000"/>
                <w:sz w:val="20"/>
                <w:szCs w:val="20"/>
              </w:rPr>
              <w:t>AMEI</w:t>
            </w:r>
          </w:p>
        </w:tc>
        <w:tc>
          <w:tcPr>
            <w:tcW w:w="1316" w:type="pct"/>
            <w:tcBorders>
              <w:top w:val="nil"/>
              <w:left w:val="nil"/>
              <w:bottom w:val="nil"/>
              <w:right w:val="single" w:sz="4" w:space="0" w:color="auto"/>
            </w:tcBorders>
            <w:shd w:val="clear" w:color="auto" w:fill="auto"/>
            <w:noWrap/>
            <w:vAlign w:val="center"/>
            <w:hideMark/>
          </w:tcPr>
          <w:p w14:paraId="307CA685" w14:textId="77777777" w:rsidR="001F3C37" w:rsidRPr="009A1A2E" w:rsidRDefault="001F3C37" w:rsidP="003E4058">
            <w:pPr>
              <w:rPr>
                <w:rFonts w:cs="Arial"/>
                <w:color w:val="000000"/>
                <w:sz w:val="20"/>
                <w:szCs w:val="20"/>
              </w:rPr>
            </w:pPr>
            <w:r w:rsidRPr="009A1A2E">
              <w:rPr>
                <w:rFonts w:cs="Arial"/>
                <w:color w:val="000000"/>
                <w:sz w:val="20"/>
                <w:szCs w:val="20"/>
              </w:rPr>
              <w:t>Hearing aids, AMEI</w:t>
            </w:r>
          </w:p>
        </w:tc>
        <w:tc>
          <w:tcPr>
            <w:tcW w:w="1534" w:type="pct"/>
            <w:tcBorders>
              <w:top w:val="nil"/>
              <w:left w:val="nil"/>
              <w:bottom w:val="single" w:sz="4" w:space="0" w:color="auto"/>
              <w:right w:val="single" w:sz="4" w:space="0" w:color="auto"/>
            </w:tcBorders>
            <w:shd w:val="clear" w:color="auto" w:fill="auto"/>
            <w:noWrap/>
            <w:vAlign w:val="center"/>
            <w:hideMark/>
          </w:tcPr>
          <w:p w14:paraId="390CF8A2" w14:textId="77777777" w:rsidR="001F3C37" w:rsidRPr="009A1A2E" w:rsidRDefault="001F3C37" w:rsidP="003E4058">
            <w:pPr>
              <w:rPr>
                <w:rFonts w:cs="Arial"/>
                <w:color w:val="000000"/>
                <w:sz w:val="20"/>
                <w:szCs w:val="20"/>
              </w:rPr>
            </w:pPr>
            <w:r w:rsidRPr="009A1A2E">
              <w:rPr>
                <w:rFonts w:cs="Arial"/>
                <w:color w:val="000000"/>
                <w:sz w:val="20"/>
                <w:szCs w:val="20"/>
              </w:rPr>
              <w:t>CI, BCI</w:t>
            </w:r>
          </w:p>
        </w:tc>
      </w:tr>
      <w:tr w:rsidR="001F3C37" w:rsidRPr="009A1A2E" w14:paraId="54F2F54B" w14:textId="77777777" w:rsidTr="00E5582B">
        <w:trPr>
          <w:trHeight w:val="290"/>
        </w:trPr>
        <w:tc>
          <w:tcPr>
            <w:tcW w:w="8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EF815B" w14:textId="77777777" w:rsidR="001F3C37" w:rsidRPr="009A1A2E" w:rsidRDefault="001F3C37" w:rsidP="003E4058">
            <w:pPr>
              <w:rPr>
                <w:rFonts w:cs="Arial"/>
                <w:b/>
                <w:color w:val="000000"/>
                <w:sz w:val="20"/>
                <w:szCs w:val="20"/>
              </w:rPr>
            </w:pPr>
            <w:r w:rsidRPr="009A1A2E">
              <w:rPr>
                <w:rFonts w:cs="Arial"/>
                <w:b/>
                <w:color w:val="000000"/>
                <w:sz w:val="20"/>
                <w:szCs w:val="20"/>
              </w:rPr>
              <w:t>Comparator(s)</w:t>
            </w:r>
          </w:p>
        </w:tc>
        <w:tc>
          <w:tcPr>
            <w:tcW w:w="1309" w:type="pct"/>
            <w:tcBorders>
              <w:top w:val="single" w:sz="4" w:space="0" w:color="auto"/>
              <w:left w:val="nil"/>
              <w:bottom w:val="single" w:sz="4" w:space="0" w:color="auto"/>
              <w:right w:val="single" w:sz="4" w:space="0" w:color="auto"/>
            </w:tcBorders>
            <w:shd w:val="clear" w:color="auto" w:fill="auto"/>
            <w:noWrap/>
            <w:vAlign w:val="center"/>
            <w:hideMark/>
          </w:tcPr>
          <w:p w14:paraId="3C427A7E" w14:textId="77777777" w:rsidR="001F3C37" w:rsidRPr="009A1A2E" w:rsidRDefault="001F3C37" w:rsidP="003E4058">
            <w:pPr>
              <w:rPr>
                <w:rFonts w:cs="Arial"/>
                <w:color w:val="000000"/>
                <w:sz w:val="20"/>
                <w:szCs w:val="20"/>
              </w:rPr>
            </w:pPr>
            <w:r w:rsidRPr="009A1A2E">
              <w:rPr>
                <w:rFonts w:cs="Arial"/>
                <w:color w:val="000000"/>
                <w:sz w:val="20"/>
                <w:szCs w:val="20"/>
              </w:rPr>
              <w:t>No treatment</w:t>
            </w:r>
          </w:p>
        </w:tc>
        <w:tc>
          <w:tcPr>
            <w:tcW w:w="1316" w:type="pct"/>
            <w:tcBorders>
              <w:top w:val="single" w:sz="4" w:space="0" w:color="auto"/>
              <w:left w:val="nil"/>
              <w:bottom w:val="single" w:sz="4" w:space="0" w:color="auto"/>
              <w:right w:val="single" w:sz="4" w:space="0" w:color="auto"/>
            </w:tcBorders>
            <w:shd w:val="clear" w:color="auto" w:fill="auto"/>
            <w:noWrap/>
            <w:vAlign w:val="center"/>
          </w:tcPr>
          <w:p w14:paraId="5D6205F8" w14:textId="77777777" w:rsidR="001F3C37" w:rsidRPr="009A1A2E" w:rsidRDefault="001F3C37" w:rsidP="003E4058">
            <w:pPr>
              <w:rPr>
                <w:rFonts w:cs="Arial"/>
                <w:color w:val="000000"/>
                <w:sz w:val="20"/>
                <w:szCs w:val="20"/>
              </w:rPr>
            </w:pPr>
            <w:r w:rsidRPr="009A1A2E">
              <w:rPr>
                <w:rFonts w:cs="Arial"/>
                <w:color w:val="000000"/>
                <w:sz w:val="20"/>
                <w:szCs w:val="20"/>
              </w:rPr>
              <w:t>-</w:t>
            </w:r>
          </w:p>
        </w:tc>
        <w:tc>
          <w:tcPr>
            <w:tcW w:w="1534" w:type="pct"/>
            <w:tcBorders>
              <w:top w:val="nil"/>
              <w:left w:val="nil"/>
              <w:bottom w:val="single" w:sz="4" w:space="0" w:color="auto"/>
              <w:right w:val="single" w:sz="4" w:space="0" w:color="auto"/>
            </w:tcBorders>
            <w:shd w:val="clear" w:color="auto" w:fill="auto"/>
            <w:noWrap/>
            <w:vAlign w:val="center"/>
          </w:tcPr>
          <w:p w14:paraId="148BDEE7" w14:textId="77777777" w:rsidR="001F3C37" w:rsidRPr="009A1A2E" w:rsidRDefault="001F3C37" w:rsidP="003E4058">
            <w:pPr>
              <w:rPr>
                <w:rFonts w:cs="Arial"/>
                <w:color w:val="000000"/>
                <w:sz w:val="20"/>
                <w:szCs w:val="20"/>
              </w:rPr>
            </w:pPr>
            <w:r w:rsidRPr="009A1A2E">
              <w:rPr>
                <w:rFonts w:cs="Arial"/>
                <w:color w:val="000000"/>
                <w:sz w:val="20"/>
                <w:szCs w:val="20"/>
              </w:rPr>
              <w:t>-</w:t>
            </w:r>
          </w:p>
        </w:tc>
      </w:tr>
      <w:tr w:rsidR="001F3C37" w:rsidRPr="009A1A2E" w14:paraId="506FD821" w14:textId="77777777" w:rsidTr="00E5582B">
        <w:trPr>
          <w:trHeight w:val="870"/>
        </w:trPr>
        <w:tc>
          <w:tcPr>
            <w:tcW w:w="840" w:type="pct"/>
            <w:tcBorders>
              <w:top w:val="nil"/>
              <w:left w:val="single" w:sz="4" w:space="0" w:color="auto"/>
              <w:bottom w:val="single" w:sz="4" w:space="0" w:color="auto"/>
              <w:right w:val="nil"/>
            </w:tcBorders>
            <w:shd w:val="clear" w:color="auto" w:fill="auto"/>
            <w:noWrap/>
            <w:vAlign w:val="center"/>
            <w:hideMark/>
          </w:tcPr>
          <w:p w14:paraId="07B932FD" w14:textId="77777777" w:rsidR="001F3C37" w:rsidRPr="009A1A2E" w:rsidRDefault="001F3C37" w:rsidP="003E4058">
            <w:pPr>
              <w:rPr>
                <w:rFonts w:cs="Arial"/>
                <w:b/>
                <w:color w:val="000000"/>
                <w:sz w:val="20"/>
                <w:szCs w:val="20"/>
              </w:rPr>
            </w:pPr>
            <w:r w:rsidRPr="009A1A2E">
              <w:rPr>
                <w:rFonts w:cs="Arial"/>
                <w:b/>
                <w:color w:val="000000"/>
                <w:sz w:val="20"/>
                <w:szCs w:val="20"/>
              </w:rPr>
              <w:t>Outcomes affected</w:t>
            </w:r>
          </w:p>
        </w:tc>
        <w:tc>
          <w:tcPr>
            <w:tcW w:w="1309" w:type="pct"/>
            <w:tcBorders>
              <w:top w:val="nil"/>
              <w:left w:val="nil"/>
              <w:bottom w:val="single" w:sz="4" w:space="0" w:color="auto"/>
              <w:right w:val="nil"/>
            </w:tcBorders>
            <w:shd w:val="clear" w:color="auto" w:fill="auto"/>
            <w:vAlign w:val="center"/>
            <w:hideMark/>
          </w:tcPr>
          <w:p w14:paraId="66E5C73C" w14:textId="77777777" w:rsidR="001F3C37" w:rsidRPr="009A1A2E" w:rsidRDefault="001F3C37" w:rsidP="003E4058">
            <w:pPr>
              <w:rPr>
                <w:rFonts w:cs="Arial"/>
                <w:color w:val="000000"/>
                <w:sz w:val="20"/>
                <w:szCs w:val="20"/>
              </w:rPr>
            </w:pPr>
            <w:r w:rsidRPr="009A1A2E">
              <w:rPr>
                <w:rFonts w:cs="Arial"/>
                <w:color w:val="000000"/>
                <w:sz w:val="20"/>
                <w:szCs w:val="20"/>
              </w:rPr>
              <w:t>Hearing thresholds, speech perception in quiet and noise, sound localisation, quality of life and other subjective benefits</w:t>
            </w:r>
          </w:p>
        </w:tc>
        <w:tc>
          <w:tcPr>
            <w:tcW w:w="1316" w:type="pct"/>
            <w:tcBorders>
              <w:top w:val="nil"/>
              <w:left w:val="nil"/>
              <w:bottom w:val="single" w:sz="4" w:space="0" w:color="auto"/>
              <w:right w:val="single" w:sz="4" w:space="0" w:color="auto"/>
            </w:tcBorders>
            <w:shd w:val="clear" w:color="auto" w:fill="auto"/>
            <w:vAlign w:val="center"/>
            <w:hideMark/>
          </w:tcPr>
          <w:p w14:paraId="181932E6" w14:textId="77777777" w:rsidR="001F3C37" w:rsidRPr="009A1A2E" w:rsidRDefault="001F3C37" w:rsidP="003E4058">
            <w:pPr>
              <w:rPr>
                <w:rFonts w:cs="Arial"/>
                <w:color w:val="000000"/>
                <w:sz w:val="20"/>
                <w:szCs w:val="20"/>
              </w:rPr>
            </w:pPr>
            <w:r w:rsidRPr="009A1A2E">
              <w:rPr>
                <w:rFonts w:cs="Arial"/>
                <w:color w:val="000000"/>
                <w:sz w:val="20"/>
                <w:szCs w:val="20"/>
              </w:rPr>
              <w:t>Hearing thresholds, speech perception in quiet and noise, sound localisation, quality of life and other subjective benefits</w:t>
            </w:r>
          </w:p>
        </w:tc>
        <w:tc>
          <w:tcPr>
            <w:tcW w:w="1534" w:type="pct"/>
            <w:tcBorders>
              <w:top w:val="nil"/>
              <w:left w:val="nil"/>
              <w:bottom w:val="single" w:sz="4" w:space="0" w:color="auto"/>
              <w:right w:val="single" w:sz="4" w:space="0" w:color="auto"/>
            </w:tcBorders>
            <w:shd w:val="clear" w:color="auto" w:fill="auto"/>
            <w:vAlign w:val="center"/>
            <w:hideMark/>
          </w:tcPr>
          <w:p w14:paraId="19C25CD3" w14:textId="77777777" w:rsidR="001F3C37" w:rsidRPr="009A1A2E" w:rsidRDefault="001F3C37" w:rsidP="003E4058">
            <w:pPr>
              <w:rPr>
                <w:rFonts w:cs="Arial"/>
                <w:color w:val="000000"/>
                <w:sz w:val="20"/>
                <w:szCs w:val="20"/>
              </w:rPr>
            </w:pPr>
            <w:r w:rsidRPr="009A1A2E">
              <w:rPr>
                <w:rFonts w:cs="Arial"/>
                <w:color w:val="000000"/>
                <w:sz w:val="20"/>
                <w:szCs w:val="20"/>
              </w:rPr>
              <w:t xml:space="preserve">Hearing thresholds, speech perception in quiet and noise, sound localisation, quality of life and other </w:t>
            </w:r>
            <w:r w:rsidR="00592448" w:rsidRPr="009A1A2E">
              <w:rPr>
                <w:rFonts w:cs="Arial"/>
                <w:color w:val="000000"/>
                <w:sz w:val="20"/>
                <w:szCs w:val="20"/>
              </w:rPr>
              <w:t>subjective</w:t>
            </w:r>
            <w:r w:rsidRPr="009A1A2E">
              <w:rPr>
                <w:rFonts w:cs="Arial"/>
                <w:color w:val="000000"/>
                <w:sz w:val="20"/>
                <w:szCs w:val="20"/>
              </w:rPr>
              <w:t xml:space="preserve"> </w:t>
            </w:r>
            <w:r w:rsidR="00592448" w:rsidRPr="009A1A2E">
              <w:rPr>
                <w:rFonts w:cs="Arial"/>
                <w:color w:val="000000"/>
                <w:sz w:val="20"/>
                <w:szCs w:val="20"/>
              </w:rPr>
              <w:t>benefits</w:t>
            </w:r>
          </w:p>
        </w:tc>
      </w:tr>
    </w:tbl>
    <w:p w14:paraId="6DC33CC8" w14:textId="77777777" w:rsidR="009B1F1B" w:rsidRPr="009A1A2E" w:rsidRDefault="009B1F1B" w:rsidP="00213B3B">
      <w:pPr>
        <w:jc w:val="both"/>
        <w:sectPr w:rsidR="009B1F1B" w:rsidRPr="009A1A2E" w:rsidSect="008846BA">
          <w:pgSz w:w="16840" w:h="11907" w:orient="landscape" w:code="9"/>
          <w:pgMar w:top="1440" w:right="1440" w:bottom="1440" w:left="1440" w:header="720" w:footer="720" w:gutter="0"/>
          <w:paperSrc w:first="7" w:other="7"/>
          <w:cols w:space="720"/>
          <w:noEndnote/>
          <w:docGrid w:linePitch="299"/>
        </w:sectPr>
      </w:pPr>
    </w:p>
    <w:p w14:paraId="75FFB9D7" w14:textId="77777777" w:rsidR="0036119E" w:rsidRPr="009A1A2E" w:rsidRDefault="0036119E" w:rsidP="00B17D0F">
      <w:pPr>
        <w:pStyle w:val="Textbody"/>
        <w:rPr>
          <w:lang w:val="en-AU"/>
        </w:rPr>
      </w:pPr>
      <w:r w:rsidRPr="009A1A2E">
        <w:rPr>
          <w:lang w:val="en-AU"/>
        </w:rPr>
        <w:lastRenderedPageBreak/>
        <w:t xml:space="preserve">The only other partially implantable middle ear devise is the </w:t>
      </w:r>
      <w:r w:rsidRPr="009A1A2E">
        <w:rPr>
          <w:b/>
          <w:lang w:val="en-AU"/>
        </w:rPr>
        <w:t>Maxum Systems, Ototronix/Soundtec</w:t>
      </w:r>
    </w:p>
    <w:p w14:paraId="6E89709A" w14:textId="77777777" w:rsidR="0036119E" w:rsidRPr="009A1A2E" w:rsidRDefault="0036119E" w:rsidP="00B853EF">
      <w:pPr>
        <w:pStyle w:val="Textbody"/>
        <w:numPr>
          <w:ilvl w:val="0"/>
          <w:numId w:val="72"/>
        </w:numPr>
        <w:rPr>
          <w:lang w:val="en-AU"/>
        </w:rPr>
      </w:pPr>
      <w:r w:rsidRPr="009A1A2E">
        <w:rPr>
          <w:lang w:val="en-AU"/>
        </w:rPr>
        <w:t>Manufactured by Ototronix®, LLC, Houston, TX</w:t>
      </w:r>
    </w:p>
    <w:p w14:paraId="29B1BBC2" w14:textId="77777777" w:rsidR="0036119E" w:rsidRPr="009A1A2E" w:rsidRDefault="0036119E" w:rsidP="00B853EF">
      <w:pPr>
        <w:pStyle w:val="Textbody"/>
        <w:numPr>
          <w:ilvl w:val="0"/>
          <w:numId w:val="72"/>
        </w:numPr>
        <w:rPr>
          <w:lang w:val="en-AU"/>
        </w:rPr>
      </w:pPr>
      <w:r w:rsidRPr="009A1A2E">
        <w:rPr>
          <w:lang w:val="en-AU"/>
        </w:rPr>
        <w:t>Based on original SoundTec™ technology and FDA approved</w:t>
      </w:r>
    </w:p>
    <w:p w14:paraId="227CC60A" w14:textId="77777777" w:rsidR="0036119E" w:rsidRPr="009A1A2E" w:rsidRDefault="0036119E" w:rsidP="00B17D0F">
      <w:pPr>
        <w:pStyle w:val="Textbody"/>
        <w:rPr>
          <w:lang w:val="en-AU"/>
        </w:rPr>
      </w:pPr>
      <w:r w:rsidRPr="009A1A2E">
        <w:rPr>
          <w:lang w:val="en-AU"/>
        </w:rPr>
        <w:t xml:space="preserve">The Maxum system uses a rare-earth magnet implanted on the middle ear bones, and a sound processor worn in the ear canal. The minimally invasive implant procedure can be performed in a procedure room or outpatient clinic under a local </w:t>
      </w:r>
      <w:r w:rsidR="00592448" w:rsidRPr="009A1A2E">
        <w:rPr>
          <w:lang w:val="en-AU"/>
        </w:rPr>
        <w:t>anaesthetic</w:t>
      </w:r>
      <w:r w:rsidRPr="009A1A2E">
        <w:rPr>
          <w:lang w:val="en-AU"/>
        </w:rPr>
        <w:t xml:space="preserve">. The sound processor sends electric signals to a transceiver coil and these signals are transferred by electromagnetic energy across the eardrum to the MAXUM implant which causes the ossicles to vibrate, thereby directly stimulating the cochlea (inner ear). </w:t>
      </w:r>
    </w:p>
    <w:p w14:paraId="27C628D4" w14:textId="77777777" w:rsidR="0036119E" w:rsidRPr="009A1A2E" w:rsidRDefault="0036119E" w:rsidP="00B17D0F">
      <w:pPr>
        <w:pStyle w:val="Textbody"/>
        <w:rPr>
          <w:lang w:val="en-AU"/>
        </w:rPr>
      </w:pPr>
      <w:r w:rsidRPr="009A1A2E">
        <w:rPr>
          <w:lang w:val="en-AU"/>
        </w:rPr>
        <w:t>Patient Indications:</w:t>
      </w:r>
    </w:p>
    <w:p w14:paraId="78191385" w14:textId="77777777" w:rsidR="0036119E" w:rsidRPr="009A1A2E" w:rsidRDefault="0036119E" w:rsidP="00B853EF">
      <w:pPr>
        <w:pStyle w:val="Textbody"/>
        <w:numPr>
          <w:ilvl w:val="0"/>
          <w:numId w:val="73"/>
        </w:numPr>
        <w:rPr>
          <w:lang w:val="en-AU"/>
        </w:rPr>
      </w:pPr>
      <w:r w:rsidRPr="009A1A2E">
        <w:rPr>
          <w:lang w:val="en-AU"/>
        </w:rPr>
        <w:t xml:space="preserve">For use in adults, 18 years of age or older, </w:t>
      </w:r>
    </w:p>
    <w:p w14:paraId="750ED298" w14:textId="77777777" w:rsidR="0036119E" w:rsidRPr="009A1A2E" w:rsidRDefault="0036119E" w:rsidP="00B853EF">
      <w:pPr>
        <w:pStyle w:val="Textbody"/>
        <w:numPr>
          <w:ilvl w:val="0"/>
          <w:numId w:val="73"/>
        </w:numPr>
        <w:rPr>
          <w:lang w:val="en-AU"/>
        </w:rPr>
      </w:pPr>
      <w:r w:rsidRPr="009A1A2E">
        <w:rPr>
          <w:lang w:val="en-AU"/>
        </w:rPr>
        <w:t>Present with a moderate to severe sensorineural hearing loss</w:t>
      </w:r>
    </w:p>
    <w:p w14:paraId="54B20608" w14:textId="77777777" w:rsidR="0036119E" w:rsidRPr="009A1A2E" w:rsidRDefault="0036119E" w:rsidP="00B853EF">
      <w:pPr>
        <w:pStyle w:val="Textbody"/>
        <w:numPr>
          <w:ilvl w:val="0"/>
          <w:numId w:val="73"/>
        </w:numPr>
        <w:rPr>
          <w:lang w:val="en-AU"/>
        </w:rPr>
      </w:pPr>
      <w:r w:rsidRPr="009A1A2E">
        <w:rPr>
          <w:lang w:val="en-AU"/>
        </w:rPr>
        <w:t xml:space="preserve">unaided word recognition score of 60% or greater </w:t>
      </w:r>
    </w:p>
    <w:p w14:paraId="4C9E41A3" w14:textId="77777777" w:rsidR="0036119E" w:rsidRPr="009A1A2E" w:rsidRDefault="0036119E" w:rsidP="00B853EF">
      <w:pPr>
        <w:pStyle w:val="Textbody"/>
        <w:numPr>
          <w:ilvl w:val="0"/>
          <w:numId w:val="73"/>
        </w:numPr>
        <w:rPr>
          <w:lang w:val="en-AU"/>
        </w:rPr>
      </w:pPr>
      <w:r w:rsidRPr="009A1A2E">
        <w:rPr>
          <w:lang w:val="en-AU"/>
        </w:rPr>
        <w:t>Desire an alternative to an acoustic hearing aid.</w:t>
      </w:r>
    </w:p>
    <w:p w14:paraId="6E48F728" w14:textId="77777777" w:rsidR="0036119E" w:rsidRPr="009A1A2E" w:rsidRDefault="0036119E" w:rsidP="00B853EF">
      <w:pPr>
        <w:pStyle w:val="Textbody"/>
        <w:numPr>
          <w:ilvl w:val="0"/>
          <w:numId w:val="73"/>
        </w:numPr>
        <w:rPr>
          <w:lang w:val="en-AU"/>
        </w:rPr>
      </w:pPr>
      <w:r w:rsidRPr="009A1A2E">
        <w:rPr>
          <w:lang w:val="en-AU"/>
        </w:rPr>
        <w:t>Experience with appropriately fit hearing aids.</w:t>
      </w:r>
    </w:p>
    <w:p w14:paraId="003EBDC9" w14:textId="77777777" w:rsidR="0036119E" w:rsidRPr="009A1A2E" w:rsidRDefault="0036119E" w:rsidP="00B17D0F">
      <w:pPr>
        <w:pStyle w:val="Textbody"/>
        <w:rPr>
          <w:lang w:val="en-AU"/>
        </w:rPr>
      </w:pPr>
    </w:p>
    <w:p w14:paraId="02036C10" w14:textId="77777777" w:rsidR="0036119E" w:rsidRPr="009A1A2E" w:rsidRDefault="0036119E" w:rsidP="00B17D0F">
      <w:pPr>
        <w:pStyle w:val="Textbody"/>
        <w:rPr>
          <w:lang w:val="en-AU"/>
        </w:rPr>
      </w:pPr>
      <w:r w:rsidRPr="009A1A2E">
        <w:rPr>
          <w:lang w:val="en-AU"/>
        </w:rPr>
        <w:t>Patient Contraindications:</w:t>
      </w:r>
    </w:p>
    <w:p w14:paraId="58556373" w14:textId="77777777" w:rsidR="0036119E" w:rsidRPr="009A1A2E" w:rsidRDefault="0036119E" w:rsidP="00B853EF">
      <w:pPr>
        <w:pStyle w:val="Textbody"/>
        <w:numPr>
          <w:ilvl w:val="0"/>
          <w:numId w:val="73"/>
        </w:numPr>
        <w:rPr>
          <w:lang w:val="en-AU"/>
        </w:rPr>
      </w:pPr>
      <w:r w:rsidRPr="009A1A2E">
        <w:rPr>
          <w:lang w:val="en-AU"/>
        </w:rPr>
        <w:t xml:space="preserve">For subjects who have conductive hearing loss, </w:t>
      </w:r>
    </w:p>
    <w:p w14:paraId="5ED51F7C" w14:textId="77777777" w:rsidR="0036119E" w:rsidRPr="009A1A2E" w:rsidRDefault="0036119E" w:rsidP="00B853EF">
      <w:pPr>
        <w:pStyle w:val="Textbody"/>
        <w:numPr>
          <w:ilvl w:val="0"/>
          <w:numId w:val="73"/>
        </w:numPr>
        <w:rPr>
          <w:lang w:val="en-AU"/>
        </w:rPr>
      </w:pPr>
      <w:r w:rsidRPr="009A1A2E">
        <w:rPr>
          <w:lang w:val="en-AU"/>
        </w:rPr>
        <w:t xml:space="preserve">Retrocochlear or central auditory disorder, </w:t>
      </w:r>
    </w:p>
    <w:p w14:paraId="3125C777" w14:textId="77777777" w:rsidR="0036119E" w:rsidRPr="009A1A2E" w:rsidRDefault="0036119E" w:rsidP="00B853EF">
      <w:pPr>
        <w:pStyle w:val="Textbody"/>
        <w:numPr>
          <w:ilvl w:val="0"/>
          <w:numId w:val="73"/>
        </w:numPr>
        <w:rPr>
          <w:lang w:val="en-AU"/>
        </w:rPr>
      </w:pPr>
      <w:r w:rsidRPr="009A1A2E">
        <w:rPr>
          <w:lang w:val="en-AU"/>
        </w:rPr>
        <w:t xml:space="preserve">Active middle ear infections, </w:t>
      </w:r>
    </w:p>
    <w:p w14:paraId="1161FDE5" w14:textId="77777777" w:rsidR="0036119E" w:rsidRPr="009A1A2E" w:rsidRDefault="0036119E" w:rsidP="00B853EF">
      <w:pPr>
        <w:pStyle w:val="Textbody"/>
        <w:numPr>
          <w:ilvl w:val="0"/>
          <w:numId w:val="73"/>
        </w:numPr>
        <w:rPr>
          <w:lang w:val="en-AU"/>
        </w:rPr>
      </w:pPr>
      <w:r w:rsidRPr="009A1A2E">
        <w:rPr>
          <w:lang w:val="en-AU"/>
        </w:rPr>
        <w:t xml:space="preserve">Tympanic membrane perforations associated with recurrent middle ear infections, </w:t>
      </w:r>
    </w:p>
    <w:p w14:paraId="7755EF9D" w14:textId="77777777" w:rsidR="0036119E" w:rsidRPr="009A1A2E" w:rsidRDefault="0036119E" w:rsidP="00B853EF">
      <w:pPr>
        <w:pStyle w:val="Textbody"/>
        <w:numPr>
          <w:ilvl w:val="0"/>
          <w:numId w:val="73"/>
        </w:numPr>
        <w:rPr>
          <w:lang w:val="en-AU"/>
        </w:rPr>
      </w:pPr>
      <w:r w:rsidRPr="009A1A2E">
        <w:rPr>
          <w:lang w:val="en-AU"/>
        </w:rPr>
        <w:t>Disabling tinnitus.</w:t>
      </w:r>
    </w:p>
    <w:p w14:paraId="36D6476E" w14:textId="77777777" w:rsidR="0036119E" w:rsidRPr="009A1A2E" w:rsidRDefault="0036119E" w:rsidP="00B17D0F">
      <w:pPr>
        <w:pStyle w:val="Textbody"/>
        <w:rPr>
          <w:lang w:val="en-AU"/>
        </w:rPr>
      </w:pPr>
    </w:p>
    <w:p w14:paraId="557F284B" w14:textId="77777777" w:rsidR="0036119E" w:rsidRPr="009A1A2E" w:rsidRDefault="0036119E" w:rsidP="00B17D0F">
      <w:pPr>
        <w:pStyle w:val="Textbody"/>
        <w:rPr>
          <w:lang w:val="en-AU"/>
        </w:rPr>
      </w:pPr>
      <w:r w:rsidRPr="009A1A2E">
        <w:rPr>
          <w:lang w:val="en-AU"/>
        </w:rPr>
        <w:t xml:space="preserve">Other, but </w:t>
      </w:r>
      <w:r w:rsidRPr="009A1A2E">
        <w:rPr>
          <w:b/>
          <w:lang w:val="en-AU"/>
        </w:rPr>
        <w:t>fully implantable</w:t>
      </w:r>
      <w:r w:rsidRPr="009A1A2E">
        <w:rPr>
          <w:lang w:val="en-AU"/>
        </w:rPr>
        <w:t xml:space="preserve"> active middle ear implants are the Esteem and the Carina system, both are indicated for adults who have:</w:t>
      </w:r>
    </w:p>
    <w:p w14:paraId="0A399D37" w14:textId="77777777" w:rsidR="0036119E" w:rsidRPr="009A1A2E" w:rsidRDefault="0036119E" w:rsidP="00B853EF">
      <w:pPr>
        <w:pStyle w:val="Textbody"/>
        <w:numPr>
          <w:ilvl w:val="0"/>
          <w:numId w:val="74"/>
        </w:numPr>
        <w:rPr>
          <w:lang w:val="en-AU"/>
        </w:rPr>
      </w:pPr>
      <w:r w:rsidRPr="009A1A2E">
        <w:rPr>
          <w:lang w:val="en-AU"/>
        </w:rPr>
        <w:t>Stable bilateral moderate to severe sensorineural hearing loss</w:t>
      </w:r>
    </w:p>
    <w:p w14:paraId="5F5103E5" w14:textId="77777777" w:rsidR="0036119E" w:rsidRPr="009A1A2E" w:rsidRDefault="0036119E" w:rsidP="00B853EF">
      <w:pPr>
        <w:pStyle w:val="Textbody"/>
        <w:numPr>
          <w:ilvl w:val="0"/>
          <w:numId w:val="74"/>
        </w:numPr>
        <w:rPr>
          <w:lang w:val="en-AU"/>
        </w:rPr>
      </w:pPr>
      <w:r w:rsidRPr="009A1A2E">
        <w:rPr>
          <w:lang w:val="en-AU"/>
        </w:rPr>
        <w:t>Unaided speech discrimination tests score greater than or equal to 40%</w:t>
      </w:r>
    </w:p>
    <w:p w14:paraId="420F5BE2" w14:textId="77777777" w:rsidR="0036119E" w:rsidRPr="009A1A2E" w:rsidRDefault="0036119E" w:rsidP="00B853EF">
      <w:pPr>
        <w:pStyle w:val="Textbody"/>
        <w:numPr>
          <w:ilvl w:val="0"/>
          <w:numId w:val="74"/>
        </w:numPr>
        <w:rPr>
          <w:lang w:val="en-AU"/>
        </w:rPr>
      </w:pPr>
      <w:r w:rsidRPr="009A1A2E">
        <w:rPr>
          <w:lang w:val="en-AU"/>
        </w:rPr>
        <w:t>Normal middle ear function and anatomy</w:t>
      </w:r>
    </w:p>
    <w:p w14:paraId="6244B1F5" w14:textId="77777777" w:rsidR="0036119E" w:rsidRPr="009A1A2E" w:rsidRDefault="0036119E" w:rsidP="00B853EF">
      <w:pPr>
        <w:pStyle w:val="Textbody"/>
        <w:numPr>
          <w:ilvl w:val="0"/>
          <w:numId w:val="74"/>
        </w:numPr>
        <w:rPr>
          <w:lang w:val="en-AU"/>
        </w:rPr>
      </w:pPr>
      <w:r w:rsidRPr="009A1A2E">
        <w:rPr>
          <w:lang w:val="en-AU"/>
        </w:rPr>
        <w:t>Minimum 30 days of experience with appropriately fit hearing aids</w:t>
      </w:r>
    </w:p>
    <w:p w14:paraId="006C0170" w14:textId="77777777" w:rsidR="0036119E" w:rsidRPr="009A1A2E" w:rsidRDefault="0036119E" w:rsidP="00B17D0F">
      <w:pPr>
        <w:pStyle w:val="Textbody"/>
        <w:rPr>
          <w:lang w:val="en-AU"/>
        </w:rPr>
      </w:pPr>
    </w:p>
    <w:p w14:paraId="4A7FDBB6" w14:textId="77777777" w:rsidR="0036119E" w:rsidRPr="009A1A2E" w:rsidRDefault="0036119E" w:rsidP="00B17D0F">
      <w:pPr>
        <w:pStyle w:val="Textbody"/>
        <w:rPr>
          <w:lang w:val="en-AU"/>
        </w:rPr>
      </w:pPr>
      <w:r w:rsidRPr="009A1A2E">
        <w:rPr>
          <w:lang w:val="en-AU"/>
        </w:rPr>
        <w:t>Both of these devices are contraindicated in patients who present with chronic outer, middle or inner ear pathologies. These criteria represent a population who could alternatively be treated by conventional HAs, or by a cochlear implant when amplification is insufficient. MEI implants are an important option for a small group of patients who cannot wear conventional hearing aids or other p</w:t>
      </w:r>
      <w:r w:rsidR="00B17D0F" w:rsidRPr="009A1A2E">
        <w:rPr>
          <w:lang w:val="en-AU"/>
        </w:rPr>
        <w:t>rosthesis for medical reasons.</w:t>
      </w:r>
    </w:p>
    <w:p w14:paraId="261CAD89" w14:textId="77777777" w:rsidR="0036119E" w:rsidRPr="009A1A2E" w:rsidRDefault="0036119E" w:rsidP="00B17D0F">
      <w:pPr>
        <w:pStyle w:val="Textbody"/>
        <w:rPr>
          <w:lang w:val="en-AU"/>
        </w:rPr>
      </w:pPr>
    </w:p>
    <w:p w14:paraId="353A2C99" w14:textId="77777777" w:rsidR="0036119E" w:rsidRPr="009A1A2E" w:rsidRDefault="00AE5AB0" w:rsidP="00AE5AB0">
      <w:pPr>
        <w:pStyle w:val="Caption"/>
        <w:rPr>
          <w:rFonts w:ascii="Arial" w:hAnsi="Arial" w:cs="Arial"/>
          <w:lang w:val="en-AU"/>
        </w:rPr>
      </w:pPr>
      <w:bookmarkStart w:id="366" w:name="_Toc431917468"/>
      <w:r w:rsidRPr="009A1A2E">
        <w:rPr>
          <w:rFonts w:ascii="Arial" w:hAnsi="Arial" w:cs="Arial"/>
          <w:lang w:val="en-AU"/>
        </w:rPr>
        <w:t xml:space="preserve">Table </w:t>
      </w:r>
      <w:r w:rsidRPr="009A1A2E">
        <w:rPr>
          <w:rFonts w:ascii="Arial" w:hAnsi="Arial" w:cs="Arial"/>
          <w:lang w:val="en-AU"/>
        </w:rPr>
        <w:fldChar w:fldCharType="begin"/>
      </w:r>
      <w:r w:rsidRPr="009A1A2E">
        <w:rPr>
          <w:rFonts w:ascii="Arial" w:hAnsi="Arial" w:cs="Arial"/>
          <w:lang w:val="en-AU"/>
        </w:rPr>
        <w:instrText xml:space="preserve"> SEQ Table \* ARABIC </w:instrText>
      </w:r>
      <w:r w:rsidRPr="009A1A2E">
        <w:rPr>
          <w:rFonts w:ascii="Arial" w:hAnsi="Arial" w:cs="Arial"/>
          <w:lang w:val="en-AU"/>
        </w:rPr>
        <w:fldChar w:fldCharType="separate"/>
      </w:r>
      <w:r w:rsidR="00016592">
        <w:rPr>
          <w:rFonts w:ascii="Arial" w:hAnsi="Arial" w:cs="Arial"/>
          <w:noProof/>
          <w:lang w:val="en-AU"/>
        </w:rPr>
        <w:t>8</w:t>
      </w:r>
      <w:r w:rsidRPr="009A1A2E">
        <w:rPr>
          <w:rFonts w:ascii="Arial" w:hAnsi="Arial" w:cs="Arial"/>
          <w:lang w:val="en-AU"/>
        </w:rPr>
        <w:fldChar w:fldCharType="end"/>
      </w:r>
      <w:r w:rsidRPr="009A1A2E">
        <w:rPr>
          <w:rFonts w:ascii="Arial" w:hAnsi="Arial" w:cs="Arial"/>
          <w:lang w:val="en-AU"/>
        </w:rPr>
        <w:t xml:space="preserve"> - Summary of research questions that the assessment will investigate</w:t>
      </w:r>
      <w:bookmarkEnd w:id="366"/>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Summary of research questions that the assessment will investigate"/>
        <w:tblDescription w:val="Populations, Intervention, Comparator and Outcomes summary table"/>
      </w:tblPr>
      <w:tblGrid>
        <w:gridCol w:w="4361"/>
        <w:gridCol w:w="1276"/>
        <w:gridCol w:w="1134"/>
        <w:gridCol w:w="2976"/>
      </w:tblGrid>
      <w:tr w:rsidR="0036119E" w:rsidRPr="009A1A2E" w14:paraId="76A3E7EB" w14:textId="77777777" w:rsidTr="00B17D0F">
        <w:tc>
          <w:tcPr>
            <w:tcW w:w="4361" w:type="dxa"/>
            <w:tcBorders>
              <w:bottom w:val="single" w:sz="4" w:space="0" w:color="auto"/>
            </w:tcBorders>
            <w:vAlign w:val="center"/>
          </w:tcPr>
          <w:p w14:paraId="13CDBC88" w14:textId="77777777" w:rsidR="0036119E" w:rsidRPr="009A1A2E" w:rsidRDefault="0036119E" w:rsidP="00B17D0F">
            <w:pPr>
              <w:jc w:val="center"/>
              <w:rPr>
                <w:rFonts w:cs="Arial"/>
                <w:b/>
                <w:sz w:val="20"/>
                <w:szCs w:val="20"/>
              </w:rPr>
            </w:pPr>
            <w:r w:rsidRPr="009A1A2E">
              <w:rPr>
                <w:rFonts w:cs="Arial"/>
                <w:b/>
                <w:sz w:val="20"/>
                <w:szCs w:val="20"/>
              </w:rPr>
              <w:t>Population</w:t>
            </w:r>
          </w:p>
        </w:tc>
        <w:tc>
          <w:tcPr>
            <w:tcW w:w="1276" w:type="dxa"/>
            <w:tcBorders>
              <w:bottom w:val="single" w:sz="4" w:space="0" w:color="auto"/>
            </w:tcBorders>
            <w:vAlign w:val="center"/>
          </w:tcPr>
          <w:p w14:paraId="56C663CE" w14:textId="77777777" w:rsidR="0036119E" w:rsidRPr="009A1A2E" w:rsidRDefault="0036119E" w:rsidP="00B17D0F">
            <w:pPr>
              <w:jc w:val="center"/>
              <w:rPr>
                <w:rFonts w:cs="Arial"/>
                <w:b/>
                <w:sz w:val="18"/>
                <w:szCs w:val="18"/>
              </w:rPr>
            </w:pPr>
            <w:r w:rsidRPr="009A1A2E">
              <w:rPr>
                <w:rFonts w:cs="Arial"/>
                <w:b/>
                <w:sz w:val="18"/>
                <w:szCs w:val="18"/>
              </w:rPr>
              <w:t>Intervention</w:t>
            </w:r>
          </w:p>
        </w:tc>
        <w:tc>
          <w:tcPr>
            <w:tcW w:w="1134" w:type="dxa"/>
            <w:tcBorders>
              <w:bottom w:val="single" w:sz="4" w:space="0" w:color="auto"/>
            </w:tcBorders>
            <w:vAlign w:val="center"/>
          </w:tcPr>
          <w:p w14:paraId="13EFAABC" w14:textId="77777777" w:rsidR="0036119E" w:rsidRPr="009A1A2E" w:rsidRDefault="0036119E" w:rsidP="00B17D0F">
            <w:pPr>
              <w:jc w:val="center"/>
              <w:rPr>
                <w:rFonts w:cs="Arial"/>
                <w:b/>
                <w:sz w:val="18"/>
                <w:szCs w:val="18"/>
              </w:rPr>
            </w:pPr>
            <w:r w:rsidRPr="009A1A2E">
              <w:rPr>
                <w:rFonts w:cs="Arial"/>
                <w:b/>
                <w:sz w:val="18"/>
                <w:szCs w:val="18"/>
              </w:rPr>
              <w:t>Comparator</w:t>
            </w:r>
          </w:p>
        </w:tc>
        <w:tc>
          <w:tcPr>
            <w:tcW w:w="2976" w:type="dxa"/>
            <w:tcBorders>
              <w:bottom w:val="single" w:sz="4" w:space="0" w:color="auto"/>
            </w:tcBorders>
            <w:vAlign w:val="center"/>
          </w:tcPr>
          <w:p w14:paraId="6C759A0D" w14:textId="77777777" w:rsidR="0036119E" w:rsidRPr="009A1A2E" w:rsidRDefault="0036119E" w:rsidP="00B17D0F">
            <w:pPr>
              <w:jc w:val="center"/>
              <w:rPr>
                <w:rFonts w:cs="Arial"/>
                <w:b/>
                <w:sz w:val="20"/>
                <w:szCs w:val="20"/>
              </w:rPr>
            </w:pPr>
            <w:r w:rsidRPr="009A1A2E">
              <w:rPr>
                <w:rFonts w:cs="Arial"/>
                <w:b/>
                <w:sz w:val="20"/>
                <w:szCs w:val="20"/>
              </w:rPr>
              <w:t>Outcomes to be assessed</w:t>
            </w:r>
          </w:p>
        </w:tc>
      </w:tr>
      <w:tr w:rsidR="0036119E" w:rsidRPr="009A1A2E" w14:paraId="3B0B9223" w14:textId="77777777" w:rsidTr="00B17D0F">
        <w:tc>
          <w:tcPr>
            <w:tcW w:w="4361" w:type="dxa"/>
          </w:tcPr>
          <w:p w14:paraId="090524AD" w14:textId="77777777" w:rsidR="0036119E" w:rsidRPr="009A1A2E" w:rsidRDefault="0036119E" w:rsidP="00B17D0F">
            <w:pPr>
              <w:rPr>
                <w:rFonts w:cs="Arial"/>
                <w:sz w:val="20"/>
                <w:szCs w:val="20"/>
              </w:rPr>
            </w:pPr>
            <w:r w:rsidRPr="009A1A2E">
              <w:rPr>
                <w:rFonts w:cs="Arial"/>
                <w:sz w:val="20"/>
                <w:szCs w:val="20"/>
              </w:rPr>
              <w:t>Patients with stable, sensorineural hearing loss with an outer ear pathology that prevents the wearing of a hearing aid and who have:</w:t>
            </w:r>
          </w:p>
          <w:p w14:paraId="255CAF88" w14:textId="77777777" w:rsidR="0036119E" w:rsidRPr="009A1A2E" w:rsidRDefault="0036119E" w:rsidP="00B853EF">
            <w:pPr>
              <w:pStyle w:val="ListParagraph"/>
              <w:numPr>
                <w:ilvl w:val="0"/>
                <w:numId w:val="69"/>
              </w:numPr>
              <w:contextualSpacing/>
              <w:rPr>
                <w:rFonts w:cs="Arial"/>
                <w:sz w:val="20"/>
                <w:szCs w:val="20"/>
                <w:lang w:val="en-AU"/>
              </w:rPr>
            </w:pPr>
            <w:r w:rsidRPr="009A1A2E">
              <w:rPr>
                <w:rFonts w:cs="Arial"/>
                <w:sz w:val="20"/>
                <w:szCs w:val="20"/>
                <w:lang w:val="en-AU"/>
              </w:rPr>
              <w:t xml:space="preserve">a </w:t>
            </w:r>
            <w:r w:rsidRPr="009A1A2E">
              <w:rPr>
                <w:rFonts w:cs="Arial"/>
                <w:sz w:val="20"/>
                <w:szCs w:val="20"/>
                <w:lang w:val="en-AU" w:eastAsia="ja-JP"/>
              </w:rPr>
              <w:t>PTA</w:t>
            </w:r>
            <w:r w:rsidRPr="009A1A2E">
              <w:rPr>
                <w:rFonts w:cs="Arial"/>
                <w:sz w:val="20"/>
                <w:szCs w:val="20"/>
                <w:vertAlign w:val="subscript"/>
                <w:lang w:val="en-AU" w:eastAsia="ja-JP"/>
              </w:rPr>
              <w:t>4</w:t>
            </w:r>
            <w:r w:rsidRPr="009A1A2E">
              <w:rPr>
                <w:rFonts w:cs="Arial"/>
                <w:sz w:val="20"/>
                <w:szCs w:val="20"/>
                <w:lang w:val="en-AU" w:eastAsia="ja-JP"/>
              </w:rPr>
              <w:t xml:space="preserve"> below 80 dBHL</w:t>
            </w:r>
            <w:r w:rsidRPr="009A1A2E">
              <w:rPr>
                <w:rFonts w:cs="Arial"/>
                <w:sz w:val="20"/>
                <w:szCs w:val="20"/>
                <w:lang w:val="en-AU"/>
              </w:rPr>
              <w:t xml:space="preserve"> with one of the following air conduction thresholds:</w:t>
            </w:r>
          </w:p>
          <w:p w14:paraId="6FC6AE19" w14:textId="77777777" w:rsidR="0036119E" w:rsidRPr="009A1A2E" w:rsidRDefault="0036119E" w:rsidP="00B17D0F">
            <w:pPr>
              <w:tabs>
                <w:tab w:val="left" w:pos="412"/>
              </w:tabs>
              <w:ind w:left="360"/>
              <w:rPr>
                <w:rFonts w:cs="Arial"/>
                <w:sz w:val="20"/>
                <w:szCs w:val="20"/>
              </w:rPr>
            </w:pPr>
            <w:r w:rsidRPr="009A1A2E">
              <w:rPr>
                <w:rFonts w:cs="Arial"/>
                <w:sz w:val="20"/>
                <w:szCs w:val="20"/>
              </w:rPr>
              <w:t>- mild HL - 25 dB ≤ BEHL</w:t>
            </w:r>
            <w:r w:rsidRPr="009A1A2E">
              <w:rPr>
                <w:rFonts w:cs="Arial"/>
                <w:sz w:val="20"/>
                <w:szCs w:val="20"/>
                <w:vertAlign w:val="subscript"/>
              </w:rPr>
              <w:t xml:space="preserve">0.5-4kHz </w:t>
            </w:r>
            <w:r w:rsidRPr="009A1A2E">
              <w:rPr>
                <w:rFonts w:cs="Arial"/>
                <w:sz w:val="20"/>
                <w:szCs w:val="20"/>
              </w:rPr>
              <w:t>&lt; 40 dB; or</w:t>
            </w:r>
          </w:p>
          <w:p w14:paraId="3411F00A" w14:textId="77777777" w:rsidR="0036119E" w:rsidRPr="009A1A2E" w:rsidRDefault="0036119E" w:rsidP="00B17D0F">
            <w:pPr>
              <w:tabs>
                <w:tab w:val="left" w:pos="412"/>
              </w:tabs>
              <w:ind w:left="360"/>
              <w:rPr>
                <w:rFonts w:cs="Arial"/>
                <w:sz w:val="20"/>
                <w:szCs w:val="20"/>
              </w:rPr>
            </w:pPr>
            <w:r w:rsidRPr="009A1A2E">
              <w:rPr>
                <w:rFonts w:cs="Arial"/>
                <w:color w:val="222222"/>
                <w:sz w:val="20"/>
                <w:szCs w:val="20"/>
              </w:rPr>
              <w:t>- moderate HL - 40 dB ≤ BEHL</w:t>
            </w:r>
            <w:r w:rsidRPr="009A1A2E">
              <w:rPr>
                <w:rFonts w:cs="Arial"/>
                <w:color w:val="222222"/>
                <w:sz w:val="20"/>
                <w:szCs w:val="20"/>
                <w:vertAlign w:val="subscript"/>
              </w:rPr>
              <w:t>0.5–4 kHz</w:t>
            </w:r>
            <w:r w:rsidRPr="009A1A2E">
              <w:rPr>
                <w:rFonts w:cs="Arial"/>
                <w:color w:val="222222"/>
                <w:sz w:val="20"/>
                <w:szCs w:val="20"/>
              </w:rPr>
              <w:t xml:space="preserve"> &lt; 70 dB; or</w:t>
            </w:r>
          </w:p>
          <w:p w14:paraId="2F328C52" w14:textId="77777777" w:rsidR="0036119E" w:rsidRPr="009A1A2E" w:rsidRDefault="0036119E" w:rsidP="00B17D0F">
            <w:pPr>
              <w:tabs>
                <w:tab w:val="left" w:pos="412"/>
              </w:tabs>
              <w:ind w:left="360"/>
              <w:rPr>
                <w:rFonts w:cs="Arial"/>
                <w:sz w:val="20"/>
                <w:szCs w:val="20"/>
              </w:rPr>
            </w:pPr>
            <w:r w:rsidRPr="009A1A2E">
              <w:rPr>
                <w:rFonts w:cs="Arial"/>
                <w:color w:val="222222"/>
                <w:sz w:val="20"/>
                <w:szCs w:val="20"/>
              </w:rPr>
              <w:t>-  severe HL - 70 dB ≤ BEHL</w:t>
            </w:r>
            <w:r w:rsidRPr="009A1A2E">
              <w:rPr>
                <w:rFonts w:cs="Arial"/>
                <w:color w:val="222222"/>
                <w:sz w:val="20"/>
                <w:szCs w:val="20"/>
                <w:vertAlign w:val="subscript"/>
              </w:rPr>
              <w:t>0.5–4 kHz</w:t>
            </w:r>
            <w:r w:rsidRPr="009A1A2E">
              <w:rPr>
                <w:rFonts w:cs="Arial"/>
                <w:color w:val="222222"/>
                <w:sz w:val="20"/>
                <w:szCs w:val="20"/>
              </w:rPr>
              <w:t xml:space="preserve"> &lt; 95 dB; AND</w:t>
            </w:r>
          </w:p>
          <w:p w14:paraId="413DF3B7" w14:textId="77777777" w:rsidR="0036119E" w:rsidRPr="009A1A2E" w:rsidRDefault="0036119E" w:rsidP="00B853EF">
            <w:pPr>
              <w:pStyle w:val="ListParagraph"/>
              <w:numPr>
                <w:ilvl w:val="0"/>
                <w:numId w:val="69"/>
              </w:numPr>
              <w:tabs>
                <w:tab w:val="left" w:pos="412"/>
              </w:tabs>
              <w:spacing w:after="200"/>
              <w:contextualSpacing/>
              <w:rPr>
                <w:rFonts w:cs="Arial"/>
                <w:sz w:val="20"/>
                <w:szCs w:val="20"/>
                <w:lang w:val="en-AU" w:eastAsia="ja-JP"/>
              </w:rPr>
            </w:pPr>
            <w:r w:rsidRPr="009A1A2E">
              <w:rPr>
                <w:rFonts w:cs="Arial"/>
                <w:sz w:val="20"/>
                <w:szCs w:val="20"/>
                <w:lang w:val="en-AU" w:eastAsia="ja-JP"/>
              </w:rPr>
              <w:t xml:space="preserve">have speech perception discrimination of </w:t>
            </w:r>
            <w:r w:rsidRPr="009A1A2E">
              <w:rPr>
                <w:rFonts w:ascii="Cambria Math" w:hAnsi="Cambria Math" w:cs="Cambria Math"/>
                <w:sz w:val="20"/>
                <w:szCs w:val="20"/>
                <w:lang w:val="en-AU" w:eastAsia="ja-JP"/>
              </w:rPr>
              <w:t>≧</w:t>
            </w:r>
            <w:r w:rsidRPr="009A1A2E">
              <w:rPr>
                <w:rFonts w:cs="Arial"/>
                <w:sz w:val="20"/>
                <w:szCs w:val="20"/>
                <w:lang w:val="en-AU" w:eastAsia="ja-JP"/>
              </w:rPr>
              <w:t>65% correct with appropriately amplified sound</w:t>
            </w:r>
            <w:r w:rsidRPr="009A1A2E">
              <w:rPr>
                <w:rFonts w:cs="Arial"/>
                <w:sz w:val="20"/>
                <w:szCs w:val="20"/>
                <w:lang w:val="en-AU"/>
              </w:rPr>
              <w:t>; and</w:t>
            </w:r>
          </w:p>
          <w:p w14:paraId="00BB89BA" w14:textId="77777777" w:rsidR="0036119E" w:rsidRPr="009A1A2E" w:rsidRDefault="0036119E" w:rsidP="00B853EF">
            <w:pPr>
              <w:pStyle w:val="ListParagraph"/>
              <w:numPr>
                <w:ilvl w:val="0"/>
                <w:numId w:val="69"/>
              </w:numPr>
              <w:tabs>
                <w:tab w:val="left" w:pos="412"/>
              </w:tabs>
              <w:spacing w:after="200"/>
              <w:contextualSpacing/>
              <w:rPr>
                <w:rFonts w:cs="Arial"/>
                <w:sz w:val="20"/>
                <w:szCs w:val="20"/>
                <w:lang w:val="en-AU" w:eastAsia="ja-JP"/>
              </w:rPr>
            </w:pPr>
            <w:r w:rsidRPr="009A1A2E">
              <w:rPr>
                <w:rFonts w:cs="Arial"/>
                <w:sz w:val="20"/>
                <w:szCs w:val="20"/>
                <w:lang w:val="en-AU"/>
              </w:rPr>
              <w:t>bilateral, symmetrical SNHL with PTA thresholds in both ears within 20 dBHL</w:t>
            </w:r>
            <w:r w:rsidRPr="009A1A2E">
              <w:rPr>
                <w:rFonts w:cs="Arial"/>
                <w:sz w:val="20"/>
                <w:szCs w:val="20"/>
                <w:vertAlign w:val="subscript"/>
                <w:lang w:val="en-AU"/>
              </w:rPr>
              <w:t>0.5-4kHz</w:t>
            </w:r>
            <w:r w:rsidRPr="009A1A2E">
              <w:rPr>
                <w:rFonts w:cs="Arial"/>
                <w:sz w:val="20"/>
                <w:szCs w:val="20"/>
                <w:lang w:val="en-AU"/>
              </w:rPr>
              <w:t xml:space="preserve"> of each other; and</w:t>
            </w:r>
          </w:p>
          <w:p w14:paraId="359F5AAB" w14:textId="77777777" w:rsidR="0036119E" w:rsidRPr="009A1A2E" w:rsidRDefault="0036119E" w:rsidP="00B853EF">
            <w:pPr>
              <w:pStyle w:val="ListParagraph"/>
              <w:widowControl w:val="0"/>
              <w:numPr>
                <w:ilvl w:val="0"/>
                <w:numId w:val="69"/>
              </w:numPr>
              <w:autoSpaceDE w:val="0"/>
              <w:autoSpaceDN w:val="0"/>
              <w:adjustRightInd w:val="0"/>
              <w:contextualSpacing/>
              <w:rPr>
                <w:rFonts w:eastAsia="Calibri" w:cs="Arial"/>
                <w:sz w:val="20"/>
                <w:szCs w:val="20"/>
                <w:lang w:val="en-AU"/>
              </w:rPr>
            </w:pPr>
            <w:r w:rsidRPr="009A1A2E">
              <w:rPr>
                <w:rFonts w:cs="Arial"/>
                <w:sz w:val="20"/>
                <w:szCs w:val="20"/>
                <w:lang w:val="en-AU"/>
              </w:rPr>
              <w:t>a normal middle ear (</w:t>
            </w:r>
            <w:r w:rsidRPr="009A1A2E">
              <w:rPr>
                <w:rFonts w:eastAsia="Calibri" w:cs="Arial"/>
                <w:sz w:val="20"/>
                <w:szCs w:val="20"/>
                <w:lang w:val="en-AU"/>
              </w:rPr>
              <w:t>no history of middle ear surgery or of post-adolescent, chronic middle ear infections); and</w:t>
            </w:r>
          </w:p>
          <w:p w14:paraId="3D663182" w14:textId="77777777" w:rsidR="0036119E" w:rsidRPr="009A1A2E" w:rsidRDefault="0036119E" w:rsidP="00B853EF">
            <w:pPr>
              <w:pStyle w:val="ListParagraph"/>
              <w:widowControl w:val="0"/>
              <w:numPr>
                <w:ilvl w:val="0"/>
                <w:numId w:val="69"/>
              </w:numPr>
              <w:autoSpaceDE w:val="0"/>
              <w:autoSpaceDN w:val="0"/>
              <w:adjustRightInd w:val="0"/>
              <w:contextualSpacing/>
              <w:rPr>
                <w:rFonts w:cs="Arial"/>
                <w:sz w:val="20"/>
                <w:szCs w:val="20"/>
                <w:lang w:val="en-AU"/>
              </w:rPr>
            </w:pPr>
            <w:r w:rsidRPr="009A1A2E">
              <w:rPr>
                <w:rFonts w:cs="Arial"/>
                <w:sz w:val="20"/>
                <w:szCs w:val="20"/>
                <w:lang w:val="en-AU"/>
              </w:rPr>
              <w:t xml:space="preserve">normal tympanometry; and </w:t>
            </w:r>
          </w:p>
          <w:p w14:paraId="14860FF0" w14:textId="77777777" w:rsidR="0036119E" w:rsidRPr="009A1A2E" w:rsidRDefault="0036119E" w:rsidP="00B853EF">
            <w:pPr>
              <w:pStyle w:val="ListParagraph"/>
              <w:numPr>
                <w:ilvl w:val="0"/>
                <w:numId w:val="69"/>
              </w:numPr>
              <w:contextualSpacing/>
              <w:rPr>
                <w:rFonts w:cs="Arial"/>
                <w:sz w:val="20"/>
                <w:szCs w:val="20"/>
                <w:lang w:val="en-AU"/>
              </w:rPr>
            </w:pPr>
            <w:r w:rsidRPr="009A1A2E">
              <w:rPr>
                <w:rFonts w:cs="Arial"/>
                <w:sz w:val="20"/>
                <w:szCs w:val="20"/>
                <w:lang w:val="en-AU"/>
              </w:rPr>
              <w:t xml:space="preserve">on audiometry the air-bone gap is </w:t>
            </w:r>
            <w:r w:rsidRPr="009A1A2E">
              <w:rPr>
                <w:rFonts w:ascii="Cambria Math" w:hAnsi="Cambria Math" w:cs="Cambria Math"/>
                <w:sz w:val="20"/>
                <w:szCs w:val="20"/>
                <w:lang w:val="en-AU"/>
              </w:rPr>
              <w:t>≦</w:t>
            </w:r>
            <w:r w:rsidRPr="009A1A2E">
              <w:rPr>
                <w:rFonts w:cs="Arial"/>
                <w:sz w:val="20"/>
                <w:szCs w:val="20"/>
                <w:lang w:val="en-AU"/>
              </w:rPr>
              <w:t>10 dBHL</w:t>
            </w:r>
            <w:r w:rsidRPr="009A1A2E">
              <w:rPr>
                <w:rFonts w:cs="Arial"/>
                <w:sz w:val="20"/>
                <w:szCs w:val="20"/>
                <w:vertAlign w:val="subscript"/>
                <w:lang w:val="en-AU"/>
              </w:rPr>
              <w:t>0.5-4kHz</w:t>
            </w:r>
            <w:r w:rsidRPr="009A1A2E">
              <w:rPr>
                <w:rFonts w:cs="Arial"/>
                <w:sz w:val="20"/>
                <w:szCs w:val="20"/>
                <w:lang w:val="en-AU"/>
              </w:rPr>
              <w:t xml:space="preserve"> at two or more frequencies); and</w:t>
            </w:r>
          </w:p>
          <w:p w14:paraId="761E1724" w14:textId="77777777" w:rsidR="0036119E" w:rsidRPr="009A1A2E" w:rsidRDefault="0036119E" w:rsidP="00B853EF">
            <w:pPr>
              <w:pStyle w:val="ListParagraph"/>
              <w:numPr>
                <w:ilvl w:val="0"/>
                <w:numId w:val="69"/>
              </w:numPr>
              <w:contextualSpacing/>
              <w:rPr>
                <w:rFonts w:cs="Arial"/>
                <w:sz w:val="20"/>
                <w:szCs w:val="20"/>
                <w:lang w:val="en-AU"/>
              </w:rPr>
            </w:pPr>
            <w:r w:rsidRPr="009A1A2E">
              <w:rPr>
                <w:rFonts w:cs="Arial"/>
                <w:sz w:val="20"/>
                <w:szCs w:val="20"/>
                <w:lang w:val="en-AU"/>
              </w:rPr>
              <w:t>no history of other inner ear disorders such as Meniere’s disease.</w:t>
            </w:r>
          </w:p>
        </w:tc>
        <w:tc>
          <w:tcPr>
            <w:tcW w:w="1276" w:type="dxa"/>
          </w:tcPr>
          <w:p w14:paraId="7B6ABFAD" w14:textId="77777777" w:rsidR="0036119E" w:rsidRPr="009A1A2E" w:rsidRDefault="0036119E" w:rsidP="00B17D0F">
            <w:pPr>
              <w:rPr>
                <w:rFonts w:cs="Arial"/>
                <w:sz w:val="20"/>
                <w:szCs w:val="20"/>
              </w:rPr>
            </w:pPr>
            <w:r w:rsidRPr="009A1A2E">
              <w:rPr>
                <w:rFonts w:cs="Arial"/>
                <w:sz w:val="20"/>
                <w:szCs w:val="20"/>
              </w:rPr>
              <w:t>Middle ear implant</w:t>
            </w:r>
          </w:p>
          <w:p w14:paraId="49485CF0" w14:textId="77777777" w:rsidR="0036119E" w:rsidRPr="009A1A2E" w:rsidRDefault="0036119E" w:rsidP="00B17D0F">
            <w:pPr>
              <w:rPr>
                <w:rFonts w:cs="Arial"/>
                <w:sz w:val="20"/>
                <w:szCs w:val="20"/>
              </w:rPr>
            </w:pPr>
          </w:p>
        </w:tc>
        <w:tc>
          <w:tcPr>
            <w:tcW w:w="1134" w:type="dxa"/>
          </w:tcPr>
          <w:p w14:paraId="78223E39" w14:textId="77777777" w:rsidR="0036119E" w:rsidRPr="009A1A2E" w:rsidRDefault="0036119E" w:rsidP="00B17D0F">
            <w:pPr>
              <w:rPr>
                <w:rFonts w:cs="Arial"/>
                <w:sz w:val="20"/>
                <w:szCs w:val="20"/>
              </w:rPr>
            </w:pPr>
            <w:r w:rsidRPr="009A1A2E">
              <w:rPr>
                <w:rFonts w:cs="Arial"/>
                <w:sz w:val="20"/>
                <w:szCs w:val="20"/>
              </w:rPr>
              <w:t>No treatment</w:t>
            </w:r>
          </w:p>
          <w:p w14:paraId="54BA0525" w14:textId="77777777" w:rsidR="0036119E" w:rsidRPr="009A1A2E" w:rsidRDefault="0036119E" w:rsidP="00B17D0F">
            <w:pPr>
              <w:rPr>
                <w:rFonts w:cs="Arial"/>
                <w:sz w:val="20"/>
                <w:szCs w:val="20"/>
              </w:rPr>
            </w:pPr>
          </w:p>
        </w:tc>
        <w:tc>
          <w:tcPr>
            <w:tcW w:w="2976" w:type="dxa"/>
          </w:tcPr>
          <w:p w14:paraId="7F6440C4" w14:textId="77777777" w:rsidR="0036119E" w:rsidRPr="009A1A2E" w:rsidRDefault="0036119E" w:rsidP="00B17D0F">
            <w:pPr>
              <w:rPr>
                <w:rFonts w:cs="Arial"/>
                <w:sz w:val="20"/>
                <w:szCs w:val="20"/>
              </w:rPr>
            </w:pPr>
            <w:r w:rsidRPr="009A1A2E">
              <w:rPr>
                <w:rFonts w:cs="Arial"/>
                <w:sz w:val="20"/>
                <w:szCs w:val="20"/>
                <w:u w:val="single"/>
              </w:rPr>
              <w:t>Effectiveness outcomes</w:t>
            </w:r>
            <w:r w:rsidRPr="009A1A2E">
              <w:rPr>
                <w:rFonts w:cs="Arial"/>
                <w:sz w:val="20"/>
                <w:szCs w:val="20"/>
              </w:rPr>
              <w:t>:</w:t>
            </w:r>
          </w:p>
          <w:p w14:paraId="4415A7B9" w14:textId="77777777" w:rsidR="0036119E" w:rsidRPr="009A1A2E" w:rsidRDefault="0036119E" w:rsidP="00B17D0F">
            <w:pPr>
              <w:rPr>
                <w:rFonts w:cs="Arial"/>
                <w:sz w:val="20"/>
                <w:szCs w:val="20"/>
              </w:rPr>
            </w:pPr>
            <w:r w:rsidRPr="009A1A2E">
              <w:rPr>
                <w:rFonts w:cs="Arial"/>
                <w:sz w:val="20"/>
                <w:szCs w:val="20"/>
              </w:rPr>
              <w:t xml:space="preserve">- Abbreviated Profile of Hearing Aid Benefit </w:t>
            </w:r>
          </w:p>
          <w:p w14:paraId="0DD03C40" w14:textId="77777777" w:rsidR="0036119E" w:rsidRPr="009A1A2E" w:rsidRDefault="0036119E" w:rsidP="00B17D0F">
            <w:pPr>
              <w:rPr>
                <w:rFonts w:cs="Arial"/>
                <w:sz w:val="20"/>
                <w:szCs w:val="20"/>
              </w:rPr>
            </w:pPr>
            <w:r w:rsidRPr="009A1A2E">
              <w:rPr>
                <w:rFonts w:cs="Arial"/>
                <w:sz w:val="20"/>
                <w:szCs w:val="20"/>
              </w:rPr>
              <w:t>- Client-orientated scale of improvement</w:t>
            </w:r>
          </w:p>
          <w:p w14:paraId="08A42724" w14:textId="77777777" w:rsidR="0036119E" w:rsidRPr="009A1A2E" w:rsidRDefault="0036119E" w:rsidP="00B17D0F">
            <w:pPr>
              <w:rPr>
                <w:rFonts w:cs="Arial"/>
                <w:sz w:val="20"/>
                <w:szCs w:val="20"/>
              </w:rPr>
            </w:pPr>
            <w:r w:rsidRPr="009A1A2E">
              <w:rPr>
                <w:rFonts w:cs="Arial"/>
                <w:sz w:val="20"/>
                <w:szCs w:val="20"/>
              </w:rPr>
              <w:t>- Functional gain</w:t>
            </w:r>
          </w:p>
          <w:p w14:paraId="1C7E32EC" w14:textId="77777777" w:rsidR="0036119E" w:rsidRPr="009A1A2E" w:rsidRDefault="0036119E" w:rsidP="00B17D0F">
            <w:pPr>
              <w:rPr>
                <w:rFonts w:cs="Arial"/>
                <w:sz w:val="20"/>
                <w:szCs w:val="20"/>
              </w:rPr>
            </w:pPr>
            <w:r w:rsidRPr="009A1A2E">
              <w:rPr>
                <w:rFonts w:cs="Arial"/>
                <w:sz w:val="20"/>
                <w:szCs w:val="20"/>
              </w:rPr>
              <w:t>- Speech recognition</w:t>
            </w:r>
          </w:p>
          <w:p w14:paraId="30744CF8" w14:textId="77777777" w:rsidR="0036119E" w:rsidRPr="009A1A2E" w:rsidRDefault="0036119E" w:rsidP="00B17D0F">
            <w:pPr>
              <w:rPr>
                <w:rFonts w:cs="Arial"/>
                <w:sz w:val="20"/>
                <w:szCs w:val="20"/>
              </w:rPr>
            </w:pPr>
            <w:r w:rsidRPr="009A1A2E">
              <w:rPr>
                <w:rFonts w:cs="Arial"/>
                <w:sz w:val="20"/>
                <w:szCs w:val="20"/>
              </w:rPr>
              <w:t>- Sound-field assessment</w:t>
            </w:r>
          </w:p>
          <w:p w14:paraId="78B999A3" w14:textId="77777777" w:rsidR="0036119E" w:rsidRPr="009A1A2E" w:rsidRDefault="0036119E" w:rsidP="00B17D0F">
            <w:pPr>
              <w:rPr>
                <w:rFonts w:cs="Arial"/>
                <w:sz w:val="20"/>
                <w:szCs w:val="20"/>
              </w:rPr>
            </w:pPr>
            <w:r w:rsidRPr="009A1A2E">
              <w:rPr>
                <w:rFonts w:cs="Arial"/>
                <w:sz w:val="20"/>
                <w:szCs w:val="20"/>
              </w:rPr>
              <w:t>- Speech comprehension scores</w:t>
            </w:r>
          </w:p>
          <w:p w14:paraId="0347F05D" w14:textId="77777777" w:rsidR="0036119E" w:rsidRPr="009A1A2E" w:rsidRDefault="0036119E" w:rsidP="00B17D0F">
            <w:pPr>
              <w:rPr>
                <w:rFonts w:cs="Arial"/>
                <w:sz w:val="20"/>
                <w:szCs w:val="20"/>
              </w:rPr>
            </w:pPr>
            <w:r w:rsidRPr="009A1A2E">
              <w:rPr>
                <w:rFonts w:cs="Arial"/>
                <w:sz w:val="20"/>
                <w:szCs w:val="20"/>
              </w:rPr>
              <w:t>- Self-assessment scales</w:t>
            </w:r>
          </w:p>
          <w:p w14:paraId="79DCD3DB" w14:textId="77777777" w:rsidR="0036119E" w:rsidRPr="009A1A2E" w:rsidRDefault="0036119E" w:rsidP="00B17D0F">
            <w:pPr>
              <w:rPr>
                <w:rFonts w:cs="Arial"/>
                <w:sz w:val="20"/>
                <w:szCs w:val="20"/>
              </w:rPr>
            </w:pPr>
            <w:r w:rsidRPr="009A1A2E">
              <w:rPr>
                <w:rFonts w:cs="Arial"/>
                <w:sz w:val="20"/>
                <w:szCs w:val="20"/>
              </w:rPr>
              <w:t xml:space="preserve">- Patient preference </w:t>
            </w:r>
          </w:p>
          <w:p w14:paraId="27B881FB" w14:textId="77777777" w:rsidR="0036119E" w:rsidRPr="009A1A2E" w:rsidRDefault="0036119E" w:rsidP="00B17D0F">
            <w:pPr>
              <w:rPr>
                <w:rFonts w:cs="Arial"/>
                <w:sz w:val="20"/>
                <w:szCs w:val="20"/>
                <w:u w:val="single"/>
              </w:rPr>
            </w:pPr>
          </w:p>
          <w:p w14:paraId="6C5F49AE" w14:textId="77777777" w:rsidR="0036119E" w:rsidRPr="009A1A2E" w:rsidRDefault="0036119E" w:rsidP="00B17D0F">
            <w:pPr>
              <w:rPr>
                <w:rFonts w:cs="Arial"/>
                <w:sz w:val="20"/>
                <w:szCs w:val="20"/>
              </w:rPr>
            </w:pPr>
            <w:r w:rsidRPr="009A1A2E">
              <w:rPr>
                <w:rFonts w:cs="Arial"/>
                <w:sz w:val="20"/>
                <w:szCs w:val="20"/>
                <w:u w:val="single"/>
              </w:rPr>
              <w:t>Safety outcomes</w:t>
            </w:r>
            <w:r w:rsidRPr="009A1A2E">
              <w:rPr>
                <w:rFonts w:cs="Arial"/>
                <w:sz w:val="20"/>
                <w:szCs w:val="20"/>
              </w:rPr>
              <w:t>:</w:t>
            </w:r>
          </w:p>
          <w:p w14:paraId="1E9A8DB3" w14:textId="77777777" w:rsidR="0036119E" w:rsidRPr="009A1A2E" w:rsidRDefault="0036119E" w:rsidP="00B17D0F">
            <w:pPr>
              <w:rPr>
                <w:rFonts w:cs="Arial"/>
                <w:sz w:val="20"/>
                <w:szCs w:val="20"/>
              </w:rPr>
            </w:pPr>
            <w:r w:rsidRPr="009A1A2E">
              <w:rPr>
                <w:rFonts w:cs="Arial"/>
                <w:sz w:val="20"/>
                <w:szCs w:val="20"/>
              </w:rPr>
              <w:t>- Complications</w:t>
            </w:r>
          </w:p>
          <w:p w14:paraId="2A3ADEAD" w14:textId="77777777" w:rsidR="0036119E" w:rsidRPr="009A1A2E" w:rsidRDefault="0036119E" w:rsidP="00B17D0F">
            <w:pPr>
              <w:rPr>
                <w:rFonts w:cs="Arial"/>
                <w:sz w:val="20"/>
                <w:szCs w:val="20"/>
              </w:rPr>
            </w:pPr>
            <w:r w:rsidRPr="009A1A2E">
              <w:rPr>
                <w:rFonts w:cs="Arial"/>
                <w:sz w:val="20"/>
                <w:szCs w:val="20"/>
              </w:rPr>
              <w:t>- Adverse events</w:t>
            </w:r>
          </w:p>
          <w:p w14:paraId="2F7D53BD" w14:textId="77777777" w:rsidR="0036119E" w:rsidRPr="009A1A2E" w:rsidRDefault="0036119E" w:rsidP="00B17D0F">
            <w:pPr>
              <w:rPr>
                <w:rFonts w:cs="Arial"/>
                <w:sz w:val="20"/>
                <w:szCs w:val="20"/>
              </w:rPr>
            </w:pPr>
            <w:r w:rsidRPr="009A1A2E">
              <w:rPr>
                <w:rFonts w:cs="Arial"/>
                <w:sz w:val="20"/>
                <w:szCs w:val="20"/>
              </w:rPr>
              <w:t>- Infection rates</w:t>
            </w:r>
          </w:p>
          <w:p w14:paraId="760238AC" w14:textId="77777777" w:rsidR="0036119E" w:rsidRPr="009A1A2E" w:rsidRDefault="0036119E" w:rsidP="00B17D0F">
            <w:pPr>
              <w:rPr>
                <w:rFonts w:cs="Arial"/>
                <w:sz w:val="20"/>
                <w:szCs w:val="20"/>
              </w:rPr>
            </w:pPr>
            <w:r w:rsidRPr="009A1A2E">
              <w:rPr>
                <w:rFonts w:cs="Arial"/>
                <w:sz w:val="20"/>
                <w:szCs w:val="20"/>
              </w:rPr>
              <w:t>- Taste disturbance</w:t>
            </w:r>
          </w:p>
          <w:p w14:paraId="4E451578" w14:textId="77777777" w:rsidR="0036119E" w:rsidRPr="009A1A2E" w:rsidRDefault="0036119E" w:rsidP="00B17D0F">
            <w:pPr>
              <w:rPr>
                <w:rFonts w:cs="Arial"/>
                <w:sz w:val="20"/>
                <w:szCs w:val="20"/>
              </w:rPr>
            </w:pPr>
            <w:r w:rsidRPr="009A1A2E">
              <w:rPr>
                <w:rFonts w:cs="Arial"/>
                <w:sz w:val="20"/>
                <w:szCs w:val="20"/>
              </w:rPr>
              <w:t>- Fibrosis</w:t>
            </w:r>
          </w:p>
          <w:p w14:paraId="4B558784" w14:textId="77777777" w:rsidR="0036119E" w:rsidRPr="009A1A2E" w:rsidRDefault="0036119E" w:rsidP="00B17D0F">
            <w:pPr>
              <w:rPr>
                <w:rFonts w:cs="Arial"/>
                <w:sz w:val="20"/>
                <w:szCs w:val="20"/>
              </w:rPr>
            </w:pPr>
            <w:r w:rsidRPr="009A1A2E">
              <w:rPr>
                <w:rFonts w:cs="Arial"/>
                <w:sz w:val="20"/>
                <w:szCs w:val="20"/>
              </w:rPr>
              <w:t>- Aural fullness</w:t>
            </w:r>
          </w:p>
          <w:p w14:paraId="2B3CB483" w14:textId="77777777" w:rsidR="0036119E" w:rsidRPr="009A1A2E" w:rsidRDefault="0036119E" w:rsidP="00B17D0F">
            <w:pPr>
              <w:rPr>
                <w:rFonts w:cs="Arial"/>
                <w:sz w:val="20"/>
                <w:szCs w:val="20"/>
              </w:rPr>
            </w:pPr>
            <w:r w:rsidRPr="009A1A2E">
              <w:rPr>
                <w:rFonts w:cs="Arial"/>
                <w:sz w:val="20"/>
                <w:szCs w:val="20"/>
              </w:rPr>
              <w:t>- Acoustic trauma</w:t>
            </w:r>
          </w:p>
          <w:p w14:paraId="52E5CC19" w14:textId="77777777" w:rsidR="0036119E" w:rsidRPr="009A1A2E" w:rsidRDefault="0036119E" w:rsidP="00B17D0F">
            <w:pPr>
              <w:rPr>
                <w:rFonts w:cs="Arial"/>
                <w:sz w:val="20"/>
                <w:szCs w:val="20"/>
              </w:rPr>
            </w:pPr>
            <w:r w:rsidRPr="009A1A2E">
              <w:rPr>
                <w:rFonts w:cs="Arial"/>
                <w:sz w:val="20"/>
                <w:szCs w:val="20"/>
              </w:rPr>
              <w:t>- Dizziness</w:t>
            </w:r>
          </w:p>
          <w:p w14:paraId="54D3B1FF" w14:textId="77777777" w:rsidR="0036119E" w:rsidRPr="009A1A2E" w:rsidRDefault="0036119E" w:rsidP="00B17D0F">
            <w:pPr>
              <w:rPr>
                <w:rFonts w:cs="Arial"/>
                <w:sz w:val="20"/>
                <w:szCs w:val="20"/>
              </w:rPr>
            </w:pPr>
            <w:r w:rsidRPr="009A1A2E">
              <w:rPr>
                <w:rFonts w:cs="Arial"/>
                <w:sz w:val="20"/>
                <w:szCs w:val="20"/>
              </w:rPr>
              <w:t>- Damage to the middle ear</w:t>
            </w:r>
          </w:p>
          <w:p w14:paraId="58607873" w14:textId="77777777" w:rsidR="0036119E" w:rsidRPr="009A1A2E" w:rsidRDefault="0036119E" w:rsidP="00B17D0F">
            <w:pPr>
              <w:rPr>
                <w:rFonts w:cs="Arial"/>
                <w:sz w:val="20"/>
                <w:szCs w:val="20"/>
              </w:rPr>
            </w:pPr>
            <w:r w:rsidRPr="009A1A2E">
              <w:rPr>
                <w:rFonts w:cs="Arial"/>
                <w:sz w:val="20"/>
                <w:szCs w:val="20"/>
              </w:rPr>
              <w:t>- Revision surgery</w:t>
            </w:r>
          </w:p>
          <w:p w14:paraId="07F9B470" w14:textId="77777777" w:rsidR="0036119E" w:rsidRPr="009A1A2E" w:rsidRDefault="0036119E" w:rsidP="00B17D0F">
            <w:pPr>
              <w:rPr>
                <w:rFonts w:cs="Arial"/>
                <w:sz w:val="20"/>
                <w:szCs w:val="20"/>
              </w:rPr>
            </w:pPr>
            <w:r w:rsidRPr="009A1A2E">
              <w:rPr>
                <w:rFonts w:cs="Arial"/>
                <w:sz w:val="20"/>
                <w:szCs w:val="20"/>
              </w:rPr>
              <w:t>- Explant rate</w:t>
            </w:r>
          </w:p>
          <w:p w14:paraId="118BEC4E" w14:textId="77777777" w:rsidR="0036119E" w:rsidRPr="009A1A2E" w:rsidRDefault="0036119E" w:rsidP="00B17D0F">
            <w:pPr>
              <w:rPr>
                <w:rFonts w:cs="Arial"/>
                <w:sz w:val="20"/>
                <w:szCs w:val="20"/>
              </w:rPr>
            </w:pPr>
            <w:r w:rsidRPr="009A1A2E">
              <w:rPr>
                <w:rFonts w:cs="Arial"/>
                <w:sz w:val="20"/>
                <w:szCs w:val="20"/>
              </w:rPr>
              <w:t>- Device failure</w:t>
            </w:r>
          </w:p>
          <w:p w14:paraId="3FF527FB" w14:textId="77777777" w:rsidR="0036119E" w:rsidRPr="009A1A2E" w:rsidRDefault="0036119E" w:rsidP="00B17D0F">
            <w:pPr>
              <w:rPr>
                <w:rFonts w:cs="Arial"/>
                <w:sz w:val="20"/>
                <w:szCs w:val="20"/>
              </w:rPr>
            </w:pPr>
            <w:r w:rsidRPr="009A1A2E">
              <w:rPr>
                <w:rFonts w:cs="Arial"/>
                <w:sz w:val="20"/>
                <w:szCs w:val="20"/>
              </w:rPr>
              <w:t>- Mortality</w:t>
            </w:r>
          </w:p>
        </w:tc>
      </w:tr>
      <w:tr w:rsidR="0036119E" w:rsidRPr="009A1A2E" w14:paraId="6B899A16" w14:textId="77777777" w:rsidTr="00B17D0F">
        <w:tc>
          <w:tcPr>
            <w:tcW w:w="9747" w:type="dxa"/>
            <w:gridSpan w:val="4"/>
            <w:tcBorders>
              <w:bottom w:val="single" w:sz="4" w:space="0" w:color="auto"/>
            </w:tcBorders>
          </w:tcPr>
          <w:p w14:paraId="45F22D45" w14:textId="77777777" w:rsidR="0036119E" w:rsidRPr="009A1A2E" w:rsidRDefault="0036119E" w:rsidP="00B17D0F">
            <w:pPr>
              <w:pStyle w:val="Textbody"/>
              <w:rPr>
                <w:b/>
                <w:sz w:val="20"/>
                <w:szCs w:val="20"/>
                <w:lang w:val="en-AU"/>
              </w:rPr>
            </w:pPr>
            <w:bookmarkStart w:id="367" w:name="_Toc398117475"/>
            <w:r w:rsidRPr="009A1A2E">
              <w:rPr>
                <w:b/>
                <w:sz w:val="20"/>
                <w:szCs w:val="20"/>
                <w:lang w:val="en-AU"/>
              </w:rPr>
              <w:t>Clinical Questions</w:t>
            </w:r>
            <w:bookmarkEnd w:id="367"/>
          </w:p>
          <w:p w14:paraId="76BF80C3" w14:textId="77777777" w:rsidR="0036119E" w:rsidRPr="009A1A2E" w:rsidRDefault="0036119E" w:rsidP="00B17D0F">
            <w:pPr>
              <w:rPr>
                <w:rFonts w:cs="Arial"/>
                <w:sz w:val="20"/>
                <w:szCs w:val="20"/>
              </w:rPr>
            </w:pPr>
          </w:p>
          <w:p w14:paraId="2BBBAABB" w14:textId="77777777" w:rsidR="0036119E" w:rsidRPr="009A1A2E" w:rsidRDefault="0036119E" w:rsidP="00B17D0F">
            <w:pPr>
              <w:widowControl w:val="0"/>
              <w:autoSpaceDE w:val="0"/>
              <w:autoSpaceDN w:val="0"/>
              <w:adjustRightInd w:val="0"/>
              <w:ind w:right="-20"/>
              <w:rPr>
                <w:rFonts w:cs="Arial"/>
                <w:color w:val="000000"/>
                <w:sz w:val="20"/>
                <w:szCs w:val="20"/>
              </w:rPr>
            </w:pPr>
            <w:r w:rsidRPr="009A1A2E">
              <w:rPr>
                <w:rFonts w:cs="Arial"/>
                <w:color w:val="000000"/>
                <w:sz w:val="20"/>
                <w:szCs w:val="20"/>
              </w:rPr>
              <w:t>1.</w:t>
            </w:r>
            <w:r w:rsidRPr="009A1A2E">
              <w:rPr>
                <w:rFonts w:cs="Arial"/>
                <w:color w:val="000000"/>
                <w:spacing w:val="-2"/>
                <w:sz w:val="20"/>
                <w:szCs w:val="20"/>
              </w:rPr>
              <w:t xml:space="preserve"> </w:t>
            </w:r>
            <w:r w:rsidRPr="009A1A2E">
              <w:rPr>
                <w:rFonts w:cs="Arial"/>
                <w:color w:val="000000"/>
                <w:sz w:val="20"/>
                <w:szCs w:val="20"/>
              </w:rPr>
              <w:t>In patients</w:t>
            </w:r>
            <w:r w:rsidRPr="009A1A2E">
              <w:rPr>
                <w:rFonts w:cs="Arial"/>
                <w:color w:val="000000"/>
                <w:spacing w:val="-7"/>
                <w:sz w:val="20"/>
                <w:szCs w:val="20"/>
              </w:rPr>
              <w:t xml:space="preserve"> </w:t>
            </w:r>
            <w:r w:rsidRPr="009A1A2E">
              <w:rPr>
                <w:rFonts w:cs="Arial"/>
                <w:color w:val="000000"/>
                <w:sz w:val="20"/>
                <w:szCs w:val="20"/>
              </w:rPr>
              <w:t>with</w:t>
            </w:r>
            <w:r w:rsidRPr="009A1A2E">
              <w:rPr>
                <w:rFonts w:cs="Arial"/>
                <w:color w:val="000000"/>
                <w:spacing w:val="-4"/>
                <w:sz w:val="20"/>
                <w:szCs w:val="20"/>
              </w:rPr>
              <w:t xml:space="preserve"> outer ear pathology th</w:t>
            </w:r>
            <w:r w:rsidR="00306C4C">
              <w:rPr>
                <w:rFonts w:cs="Arial"/>
                <w:color w:val="000000"/>
                <w:spacing w:val="-4"/>
                <w:sz w:val="20"/>
                <w:szCs w:val="20"/>
              </w:rPr>
              <w:t>at</w:t>
            </w:r>
            <w:r w:rsidRPr="009A1A2E">
              <w:rPr>
                <w:rFonts w:cs="Arial"/>
                <w:color w:val="000000"/>
                <w:spacing w:val="-4"/>
                <w:sz w:val="20"/>
                <w:szCs w:val="20"/>
              </w:rPr>
              <w:t xml:space="preserve"> prevents use of a conventional hearing aid, who have mild, </w:t>
            </w:r>
            <w:r w:rsidRPr="009A1A2E">
              <w:rPr>
                <w:rFonts w:cs="Arial"/>
                <w:color w:val="000000"/>
                <w:sz w:val="20"/>
                <w:szCs w:val="20"/>
              </w:rPr>
              <w:t>moderate</w:t>
            </w:r>
            <w:r w:rsidRPr="009A1A2E">
              <w:rPr>
                <w:rFonts w:cs="Arial"/>
                <w:color w:val="000000"/>
                <w:spacing w:val="-9"/>
                <w:sz w:val="20"/>
                <w:szCs w:val="20"/>
              </w:rPr>
              <w:t xml:space="preserve"> or severe </w:t>
            </w:r>
            <w:r w:rsidRPr="009A1A2E">
              <w:rPr>
                <w:rFonts w:cs="Arial"/>
                <w:color w:val="000000"/>
                <w:spacing w:val="1"/>
                <w:sz w:val="20"/>
                <w:szCs w:val="20"/>
              </w:rPr>
              <w:t>S</w:t>
            </w:r>
            <w:r w:rsidRPr="009A1A2E">
              <w:rPr>
                <w:rFonts w:cs="Arial"/>
                <w:color w:val="000000"/>
                <w:sz w:val="20"/>
                <w:szCs w:val="20"/>
              </w:rPr>
              <w:t>NHL</w:t>
            </w:r>
            <w:r w:rsidRPr="009A1A2E">
              <w:rPr>
                <w:rFonts w:cs="Arial"/>
                <w:color w:val="000000"/>
                <w:spacing w:val="-2"/>
                <w:sz w:val="20"/>
                <w:szCs w:val="20"/>
              </w:rPr>
              <w:t xml:space="preserve"> that is stable, bilateral and symmetrical and who meet all other criteria set out in </w:t>
            </w:r>
            <w:r w:rsidRPr="00632AB0">
              <w:rPr>
                <w:rFonts w:cs="Arial"/>
                <w:color w:val="000000"/>
                <w:spacing w:val="-2"/>
                <w:sz w:val="20"/>
                <w:szCs w:val="20"/>
              </w:rPr>
              <w:t xml:space="preserve">Table </w:t>
            </w:r>
            <w:r w:rsidR="00306C4C" w:rsidRPr="00632AB0">
              <w:rPr>
                <w:rFonts w:cs="Arial"/>
                <w:color w:val="000000"/>
                <w:spacing w:val="-2"/>
                <w:sz w:val="20"/>
                <w:szCs w:val="20"/>
              </w:rPr>
              <w:t>7</w:t>
            </w:r>
            <w:r w:rsidRPr="009A1A2E">
              <w:rPr>
                <w:rFonts w:cs="Arial"/>
                <w:color w:val="000000"/>
                <w:spacing w:val="-2"/>
                <w:sz w:val="20"/>
                <w:szCs w:val="20"/>
              </w:rPr>
              <w:t xml:space="preserve">, </w:t>
            </w:r>
            <w:r w:rsidRPr="009A1A2E">
              <w:rPr>
                <w:rFonts w:cs="Arial"/>
                <w:color w:val="000000"/>
                <w:sz w:val="20"/>
                <w:szCs w:val="20"/>
              </w:rPr>
              <w:t>is</w:t>
            </w:r>
            <w:r w:rsidRPr="009A1A2E">
              <w:rPr>
                <w:rFonts w:cs="Arial"/>
                <w:color w:val="000000"/>
                <w:spacing w:val="-1"/>
                <w:sz w:val="20"/>
                <w:szCs w:val="20"/>
              </w:rPr>
              <w:t xml:space="preserve"> </w:t>
            </w:r>
            <w:r w:rsidRPr="009A1A2E">
              <w:rPr>
                <w:rFonts w:cs="Arial"/>
                <w:color w:val="000000"/>
                <w:sz w:val="20"/>
                <w:szCs w:val="20"/>
              </w:rPr>
              <w:t>the</w:t>
            </w:r>
            <w:r w:rsidRPr="009A1A2E">
              <w:rPr>
                <w:rFonts w:cs="Arial"/>
                <w:color w:val="000000"/>
                <w:spacing w:val="-3"/>
                <w:sz w:val="20"/>
                <w:szCs w:val="20"/>
              </w:rPr>
              <w:t xml:space="preserve"> </w:t>
            </w:r>
            <w:r w:rsidRPr="009A1A2E">
              <w:rPr>
                <w:rFonts w:cs="Arial"/>
                <w:color w:val="000000"/>
                <w:sz w:val="20"/>
                <w:szCs w:val="20"/>
              </w:rPr>
              <w:t xml:space="preserve">MEI </w:t>
            </w:r>
            <w:r w:rsidRPr="009A1A2E">
              <w:rPr>
                <w:rFonts w:cs="Arial"/>
                <w:b/>
                <w:sz w:val="20"/>
                <w:szCs w:val="20"/>
              </w:rPr>
              <w:t>more effective</w:t>
            </w:r>
            <w:r w:rsidRPr="009A1A2E">
              <w:rPr>
                <w:rFonts w:cs="Arial"/>
                <w:spacing w:val="-7"/>
                <w:sz w:val="20"/>
                <w:szCs w:val="20"/>
              </w:rPr>
              <w:t xml:space="preserve"> </w:t>
            </w:r>
            <w:r w:rsidRPr="009A1A2E">
              <w:rPr>
                <w:rFonts w:cs="Arial"/>
                <w:color w:val="000000"/>
                <w:sz w:val="20"/>
                <w:szCs w:val="20"/>
              </w:rPr>
              <w:t>compared to no treatment?</w:t>
            </w:r>
          </w:p>
          <w:p w14:paraId="5991A55E" w14:textId="77777777" w:rsidR="0036119E" w:rsidRPr="009A1A2E" w:rsidRDefault="0036119E" w:rsidP="00B17D0F">
            <w:pPr>
              <w:widowControl w:val="0"/>
              <w:autoSpaceDE w:val="0"/>
              <w:autoSpaceDN w:val="0"/>
              <w:adjustRightInd w:val="0"/>
              <w:rPr>
                <w:rFonts w:cs="Arial"/>
                <w:color w:val="000000"/>
                <w:sz w:val="20"/>
                <w:szCs w:val="20"/>
              </w:rPr>
            </w:pPr>
          </w:p>
          <w:p w14:paraId="4381F465" w14:textId="77777777" w:rsidR="0036119E" w:rsidRPr="009A1A2E" w:rsidRDefault="0036119E" w:rsidP="00306C4C">
            <w:pPr>
              <w:widowControl w:val="0"/>
              <w:autoSpaceDE w:val="0"/>
              <w:autoSpaceDN w:val="0"/>
              <w:adjustRightInd w:val="0"/>
              <w:ind w:right="-20"/>
              <w:rPr>
                <w:rFonts w:cs="Arial"/>
                <w:color w:val="000000"/>
                <w:sz w:val="20"/>
                <w:szCs w:val="20"/>
              </w:rPr>
            </w:pPr>
            <w:r w:rsidRPr="009A1A2E">
              <w:rPr>
                <w:rFonts w:cs="Arial"/>
                <w:color w:val="000000"/>
                <w:sz w:val="20"/>
                <w:szCs w:val="20"/>
              </w:rPr>
              <w:t>2.</w:t>
            </w:r>
            <w:r w:rsidRPr="009A1A2E">
              <w:rPr>
                <w:rFonts w:cs="Arial"/>
                <w:color w:val="000000"/>
                <w:spacing w:val="-2"/>
                <w:sz w:val="20"/>
                <w:szCs w:val="20"/>
              </w:rPr>
              <w:t xml:space="preserve"> </w:t>
            </w:r>
            <w:r w:rsidRPr="009A1A2E">
              <w:rPr>
                <w:rFonts w:cs="Arial"/>
                <w:color w:val="000000"/>
                <w:sz w:val="20"/>
                <w:szCs w:val="20"/>
              </w:rPr>
              <w:t>In patients</w:t>
            </w:r>
            <w:r w:rsidRPr="009A1A2E">
              <w:rPr>
                <w:rFonts w:cs="Arial"/>
                <w:color w:val="000000"/>
                <w:spacing w:val="-7"/>
                <w:sz w:val="20"/>
                <w:szCs w:val="20"/>
              </w:rPr>
              <w:t xml:space="preserve"> </w:t>
            </w:r>
            <w:r w:rsidRPr="009A1A2E">
              <w:rPr>
                <w:rFonts w:cs="Arial"/>
                <w:color w:val="000000"/>
                <w:sz w:val="20"/>
                <w:szCs w:val="20"/>
              </w:rPr>
              <w:t>with</w:t>
            </w:r>
            <w:r w:rsidRPr="009A1A2E">
              <w:rPr>
                <w:rFonts w:cs="Arial"/>
                <w:color w:val="000000"/>
                <w:spacing w:val="-4"/>
                <w:sz w:val="20"/>
                <w:szCs w:val="20"/>
              </w:rPr>
              <w:t xml:space="preserve"> outer ear pathology the prevents use of a conventional hearing aid, who have mild, </w:t>
            </w:r>
            <w:r w:rsidRPr="009A1A2E">
              <w:rPr>
                <w:rFonts w:cs="Arial"/>
                <w:color w:val="000000"/>
                <w:sz w:val="20"/>
                <w:szCs w:val="20"/>
              </w:rPr>
              <w:t>moderate</w:t>
            </w:r>
            <w:r w:rsidRPr="009A1A2E">
              <w:rPr>
                <w:rFonts w:cs="Arial"/>
                <w:color w:val="000000"/>
                <w:spacing w:val="-9"/>
                <w:sz w:val="20"/>
                <w:szCs w:val="20"/>
              </w:rPr>
              <w:t xml:space="preserve"> or severe </w:t>
            </w:r>
            <w:r w:rsidRPr="009A1A2E">
              <w:rPr>
                <w:rFonts w:cs="Arial"/>
                <w:color w:val="000000"/>
                <w:spacing w:val="1"/>
                <w:sz w:val="20"/>
                <w:szCs w:val="20"/>
              </w:rPr>
              <w:t>S</w:t>
            </w:r>
            <w:r w:rsidRPr="009A1A2E">
              <w:rPr>
                <w:rFonts w:cs="Arial"/>
                <w:color w:val="000000"/>
                <w:sz w:val="20"/>
                <w:szCs w:val="20"/>
              </w:rPr>
              <w:t>NHL</w:t>
            </w:r>
            <w:r w:rsidRPr="009A1A2E">
              <w:rPr>
                <w:rFonts w:cs="Arial"/>
                <w:color w:val="000000"/>
                <w:spacing w:val="-2"/>
                <w:sz w:val="20"/>
                <w:szCs w:val="20"/>
              </w:rPr>
              <w:t xml:space="preserve"> that is stable, bilateral and symmetrical and who meet all other criteria set out in </w:t>
            </w:r>
            <w:r w:rsidRPr="00632AB0">
              <w:rPr>
                <w:rFonts w:cs="Arial"/>
                <w:color w:val="000000"/>
                <w:spacing w:val="-2"/>
                <w:sz w:val="20"/>
                <w:szCs w:val="20"/>
              </w:rPr>
              <w:t xml:space="preserve">Table </w:t>
            </w:r>
            <w:r w:rsidR="00306C4C" w:rsidRPr="00632AB0">
              <w:rPr>
                <w:rFonts w:cs="Arial"/>
                <w:color w:val="000000"/>
                <w:spacing w:val="-2"/>
                <w:sz w:val="20"/>
                <w:szCs w:val="20"/>
              </w:rPr>
              <w:t>7</w:t>
            </w:r>
            <w:r w:rsidRPr="009A1A2E">
              <w:rPr>
                <w:rFonts w:cs="Arial"/>
                <w:color w:val="000000"/>
                <w:spacing w:val="-2"/>
                <w:sz w:val="20"/>
                <w:szCs w:val="20"/>
              </w:rPr>
              <w:t xml:space="preserve">, is the middle ear implant </w:t>
            </w:r>
            <w:r w:rsidRPr="009A1A2E">
              <w:rPr>
                <w:rFonts w:cs="Arial"/>
                <w:b/>
                <w:color w:val="000000"/>
                <w:spacing w:val="-2"/>
                <w:sz w:val="20"/>
                <w:szCs w:val="20"/>
              </w:rPr>
              <w:t>as safe</w:t>
            </w:r>
            <w:r w:rsidRPr="009A1A2E">
              <w:rPr>
                <w:rFonts w:cs="Arial"/>
                <w:color w:val="000000"/>
                <w:spacing w:val="-2"/>
                <w:sz w:val="20"/>
                <w:szCs w:val="20"/>
              </w:rPr>
              <w:t xml:space="preserve"> as no treatment?</w:t>
            </w:r>
          </w:p>
        </w:tc>
      </w:tr>
    </w:tbl>
    <w:p w14:paraId="18E91E34" w14:textId="77777777" w:rsidR="0036119E" w:rsidRPr="009A1A2E" w:rsidRDefault="0036119E" w:rsidP="00B52DA0">
      <w:pPr>
        <w:pStyle w:val="Textbody"/>
        <w:rPr>
          <w:lang w:val="en-AU"/>
        </w:rPr>
      </w:pPr>
    </w:p>
    <w:p w14:paraId="42386D0F" w14:textId="77777777" w:rsidR="0036119E" w:rsidRPr="009A1A2E" w:rsidRDefault="0036119E" w:rsidP="00B52DA0">
      <w:pPr>
        <w:pStyle w:val="Textbody"/>
        <w:rPr>
          <w:lang w:val="en-AU"/>
        </w:rPr>
      </w:pPr>
      <w:r w:rsidRPr="009A1A2E">
        <w:rPr>
          <w:lang w:val="en-AU"/>
        </w:rPr>
        <w:t xml:space="preserve">In terms of overall clinical claims for the proposed medical service against its main comparator presenting consequences for health outcomes VSB compared to no treatment, the following can be summarised: </w:t>
      </w:r>
    </w:p>
    <w:p w14:paraId="09BCACD2" w14:textId="77777777" w:rsidR="0036119E" w:rsidRPr="009A1A2E" w:rsidRDefault="0036119E" w:rsidP="00B52DA0">
      <w:pPr>
        <w:pStyle w:val="Textbody"/>
        <w:numPr>
          <w:ilvl w:val="0"/>
          <w:numId w:val="77"/>
        </w:numPr>
        <w:rPr>
          <w:lang w:val="en-AU"/>
        </w:rPr>
      </w:pPr>
      <w:r w:rsidRPr="009A1A2E">
        <w:rPr>
          <w:lang w:val="en-AU"/>
        </w:rPr>
        <w:t>Bone conduction thresholds after VSB implantation are no worse than before. The mean change in thresholds is 1-3 dB which is clinically non-significant.</w:t>
      </w:r>
    </w:p>
    <w:p w14:paraId="263EBBFF" w14:textId="77777777" w:rsidR="0036119E" w:rsidRPr="009A1A2E" w:rsidRDefault="0036119E" w:rsidP="00B52DA0">
      <w:pPr>
        <w:pStyle w:val="Textbody"/>
        <w:numPr>
          <w:ilvl w:val="0"/>
          <w:numId w:val="77"/>
        </w:numPr>
        <w:rPr>
          <w:lang w:val="en-AU"/>
        </w:rPr>
      </w:pPr>
      <w:r w:rsidRPr="009A1A2E">
        <w:rPr>
          <w:lang w:val="en-AU"/>
        </w:rPr>
        <w:t>Air conduction hearing thresholds are superior with the VSB. The functional gain with the VSB ranges from 12,5 dB HL to 33 dB HL.</w:t>
      </w:r>
    </w:p>
    <w:p w14:paraId="4FBEF8F5" w14:textId="77777777" w:rsidR="0036119E" w:rsidRPr="009A1A2E" w:rsidRDefault="0036119E" w:rsidP="00B52DA0">
      <w:pPr>
        <w:pStyle w:val="Textbody"/>
        <w:numPr>
          <w:ilvl w:val="0"/>
          <w:numId w:val="77"/>
        </w:numPr>
        <w:rPr>
          <w:lang w:val="en-AU"/>
        </w:rPr>
      </w:pPr>
      <w:r w:rsidRPr="009A1A2E">
        <w:rPr>
          <w:lang w:val="en-AU"/>
        </w:rPr>
        <w:t>VSB is superior in terms of speech understanding, especially in noisy indications. Compared to no treatment the VSB provides 30 to 50% improvement, depending on</w:t>
      </w:r>
      <w:r w:rsidR="00C34A42" w:rsidRPr="009A1A2E">
        <w:rPr>
          <w:lang w:val="en-AU"/>
        </w:rPr>
        <w:t xml:space="preserve"> </w:t>
      </w:r>
      <w:r w:rsidRPr="009A1A2E">
        <w:rPr>
          <w:lang w:val="en-AU"/>
        </w:rPr>
        <w:t>the test u</w:t>
      </w:r>
      <w:r w:rsidR="00C34A42" w:rsidRPr="009A1A2E">
        <w:rPr>
          <w:lang w:val="en-AU"/>
        </w:rPr>
        <w:t>sed and the presentation level.</w:t>
      </w:r>
    </w:p>
    <w:p w14:paraId="6C61A83E" w14:textId="77777777" w:rsidR="0036119E" w:rsidRPr="009A1A2E" w:rsidRDefault="0036119E" w:rsidP="00C34A42">
      <w:pPr>
        <w:pStyle w:val="Textbody"/>
        <w:numPr>
          <w:ilvl w:val="0"/>
          <w:numId w:val="77"/>
        </w:numPr>
        <w:rPr>
          <w:lang w:val="en-AU"/>
        </w:rPr>
      </w:pPr>
      <w:r w:rsidRPr="009A1A2E">
        <w:rPr>
          <w:lang w:val="en-AU"/>
        </w:rPr>
        <w:lastRenderedPageBreak/>
        <w:t>Long-term postoperative patient satisfaction and quality of life results are superior to no treatment.</w:t>
      </w:r>
    </w:p>
    <w:p w14:paraId="7980392C" w14:textId="77777777" w:rsidR="0036119E" w:rsidRPr="009A1A2E" w:rsidRDefault="0036119E" w:rsidP="00B853EF">
      <w:pPr>
        <w:pStyle w:val="Textbody"/>
        <w:rPr>
          <w:lang w:val="en-AU"/>
        </w:rPr>
      </w:pPr>
    </w:p>
    <w:p w14:paraId="471E477E" w14:textId="77777777" w:rsidR="0036119E" w:rsidRPr="009A1A2E" w:rsidRDefault="0036119E" w:rsidP="00B853EF">
      <w:pPr>
        <w:pStyle w:val="Textbody"/>
        <w:rPr>
          <w:lang w:val="en-AU"/>
        </w:rPr>
      </w:pPr>
      <w:r w:rsidRPr="009A1A2E">
        <w:rPr>
          <w:lang w:val="en-AU"/>
        </w:rPr>
        <w:t>In the previous MSAC assessment (application 1137, Conductive, Mixed and Sensorineural Hearing Loss) CI (item 41617) and BCI (items 41603 and 41604 – osseo-integration procedures) were used as comparators.  However, the intended population hearing is not at a level which requires a cochlear implant and is out of criteria of the BCI treatment range (Ref.: Cochlear website: BAHA not indicated for pure SNHL). Thus the population intended for MEI would otherwise be left untreated. In contrast to cochlear implants, an active middle ear implant is not inserted into the inner ear. Instead, the direct drive amplification process maximizes the potential of an individual's residual cochlear function via the middle ear. Unlike bone conduction hearing implants (where sound is routed to the cochlear with the best cochlear reserve), an active middle ear implant can improve the hearing in the implanted ear thus providing true binaural hearing. Binaural hearing is essential to optimize hearing potential and develop auditory skills such as sound localization, hearing in background noise and spatial awareness.</w:t>
      </w:r>
    </w:p>
    <w:p w14:paraId="6FA98603" w14:textId="77777777" w:rsidR="0036119E" w:rsidRPr="009A1A2E" w:rsidRDefault="0036119E" w:rsidP="00B853EF">
      <w:pPr>
        <w:pStyle w:val="Textbody"/>
        <w:rPr>
          <w:lang w:val="en-AU"/>
        </w:rPr>
      </w:pPr>
    </w:p>
    <w:p w14:paraId="558707BE" w14:textId="77777777" w:rsidR="0036119E" w:rsidRPr="00F04254" w:rsidRDefault="0036119E" w:rsidP="00A2646B">
      <w:pPr>
        <w:pStyle w:val="Textbody"/>
        <w:rPr>
          <w:lang w:val="en-AU"/>
        </w:rPr>
      </w:pPr>
      <w:bookmarkStart w:id="368" w:name="_Toc398117450"/>
      <w:r w:rsidRPr="009A1A2E">
        <w:rPr>
          <w:lang w:val="en-AU"/>
        </w:rPr>
        <w:t>MSAC’s Recommendation in 2010 for 1137</w:t>
      </w:r>
      <w:bookmarkEnd w:id="368"/>
      <w:r w:rsidRPr="009A1A2E">
        <w:rPr>
          <w:lang w:val="en-AU"/>
        </w:rPr>
        <w:t xml:space="preserve"> after considering the then in force compiled evidence was that</w:t>
      </w:r>
      <w:r w:rsidRPr="00F04254">
        <w:rPr>
          <w:lang w:val="en-AU"/>
        </w:rPr>
        <w:t xml:space="preserve"> MEI was </w:t>
      </w:r>
      <w:r w:rsidRPr="009A1A2E">
        <w:rPr>
          <w:lang w:val="en-AU"/>
        </w:rPr>
        <w:t>for</w:t>
      </w:r>
      <w:r w:rsidRPr="00F04254">
        <w:rPr>
          <w:lang w:val="en-AU"/>
        </w:rPr>
        <w:t xml:space="preserve"> people w</w:t>
      </w:r>
      <w:r w:rsidRPr="009A1A2E">
        <w:rPr>
          <w:lang w:val="en-AU"/>
        </w:rPr>
        <w:t>ho</w:t>
      </w:r>
      <w:r w:rsidRPr="00F04254">
        <w:rPr>
          <w:lang w:val="en-AU"/>
        </w:rPr>
        <w:t xml:space="preserve"> </w:t>
      </w:r>
      <w:r w:rsidRPr="009A1A2E">
        <w:rPr>
          <w:lang w:val="en-AU"/>
        </w:rPr>
        <w:t>could not</w:t>
      </w:r>
      <w:r w:rsidRPr="00F04254">
        <w:rPr>
          <w:lang w:val="en-AU"/>
        </w:rPr>
        <w:t xml:space="preserve"> to</w:t>
      </w:r>
      <w:r w:rsidRPr="009A1A2E">
        <w:rPr>
          <w:lang w:val="en-AU"/>
        </w:rPr>
        <w:t>le</w:t>
      </w:r>
      <w:r w:rsidRPr="00F04254">
        <w:rPr>
          <w:lang w:val="en-AU"/>
        </w:rPr>
        <w:t>ra</w:t>
      </w:r>
      <w:r w:rsidRPr="009A1A2E">
        <w:rPr>
          <w:lang w:val="en-AU"/>
        </w:rPr>
        <w:t>te</w:t>
      </w:r>
      <w:r w:rsidRPr="00F04254">
        <w:rPr>
          <w:lang w:val="en-AU"/>
        </w:rPr>
        <w:t xml:space="preserve"> oc</w:t>
      </w:r>
      <w:r w:rsidRPr="009A1A2E">
        <w:rPr>
          <w:lang w:val="en-AU"/>
        </w:rPr>
        <w:t>c</w:t>
      </w:r>
      <w:r w:rsidRPr="00F04254">
        <w:rPr>
          <w:lang w:val="en-AU"/>
        </w:rPr>
        <w:t>lus</w:t>
      </w:r>
      <w:r w:rsidRPr="009A1A2E">
        <w:rPr>
          <w:lang w:val="en-AU"/>
        </w:rPr>
        <w:t>ion</w:t>
      </w:r>
      <w:r w:rsidRPr="00F04254">
        <w:rPr>
          <w:lang w:val="en-AU"/>
        </w:rPr>
        <w:t xml:space="preserve"> </w:t>
      </w:r>
      <w:r w:rsidRPr="009A1A2E">
        <w:rPr>
          <w:lang w:val="en-AU"/>
        </w:rPr>
        <w:t>of</w:t>
      </w:r>
      <w:r w:rsidRPr="00F04254">
        <w:rPr>
          <w:lang w:val="en-AU"/>
        </w:rPr>
        <w:t xml:space="preserve"> </w:t>
      </w:r>
      <w:r w:rsidRPr="009A1A2E">
        <w:rPr>
          <w:lang w:val="en-AU"/>
        </w:rPr>
        <w:t>the</w:t>
      </w:r>
      <w:r w:rsidRPr="00F04254">
        <w:rPr>
          <w:lang w:val="en-AU"/>
        </w:rPr>
        <w:t xml:space="preserve"> ear </w:t>
      </w:r>
      <w:r w:rsidRPr="009A1A2E">
        <w:rPr>
          <w:lang w:val="en-AU"/>
        </w:rPr>
        <w:t>c</w:t>
      </w:r>
      <w:r w:rsidRPr="00F04254">
        <w:rPr>
          <w:lang w:val="en-AU"/>
        </w:rPr>
        <w:t>a</w:t>
      </w:r>
      <w:r w:rsidRPr="009A1A2E">
        <w:rPr>
          <w:lang w:val="en-AU"/>
        </w:rPr>
        <w:t>n</w:t>
      </w:r>
      <w:r w:rsidRPr="00F04254">
        <w:rPr>
          <w:lang w:val="en-AU"/>
        </w:rPr>
        <w:t>a</w:t>
      </w:r>
      <w:r w:rsidRPr="009A1A2E">
        <w:rPr>
          <w:lang w:val="en-AU"/>
        </w:rPr>
        <w:t>l.</w:t>
      </w:r>
      <w:r w:rsidRPr="00F04254">
        <w:rPr>
          <w:lang w:val="en-AU"/>
        </w:rPr>
        <w:t xml:space="preserve"> It was agreed on that patients may opt for the </w:t>
      </w:r>
      <w:r w:rsidRPr="009A1A2E">
        <w:rPr>
          <w:lang w:val="en-AU"/>
        </w:rPr>
        <w:t>MEI</w:t>
      </w:r>
      <w:r w:rsidRPr="00F04254">
        <w:rPr>
          <w:lang w:val="en-AU"/>
        </w:rPr>
        <w:t xml:space="preserve"> </w:t>
      </w:r>
      <w:r w:rsidRPr="009A1A2E">
        <w:rPr>
          <w:lang w:val="en-AU"/>
        </w:rPr>
        <w:t>out of convenience</w:t>
      </w:r>
      <w:r w:rsidRPr="00F04254">
        <w:rPr>
          <w:lang w:val="en-AU"/>
        </w:rPr>
        <w:t xml:space="preserve">. It was concluded that, </w:t>
      </w:r>
      <w:r w:rsidRPr="009A1A2E">
        <w:rPr>
          <w:lang w:val="en-AU"/>
        </w:rPr>
        <w:t xml:space="preserve">substituting the MEI for the BCI and CI services would </w:t>
      </w:r>
      <w:r w:rsidR="00A2646B" w:rsidRPr="009A1A2E">
        <w:rPr>
          <w:lang w:val="en-AU"/>
        </w:rPr>
        <w:t>lead to an overall cost saving.</w:t>
      </w:r>
      <w:r w:rsidRPr="009A1A2E">
        <w:rPr>
          <w:lang w:val="en-AU"/>
        </w:rPr>
        <w:t xml:space="preserve"> MSAC agreed that </w:t>
      </w:r>
      <w:r w:rsidRPr="00F04254">
        <w:rPr>
          <w:lang w:val="en-AU"/>
        </w:rPr>
        <w:t>the M</w:t>
      </w:r>
      <w:r w:rsidRPr="009A1A2E">
        <w:rPr>
          <w:lang w:val="en-AU"/>
        </w:rPr>
        <w:t>EI</w:t>
      </w:r>
      <w:r w:rsidRPr="00F04254">
        <w:rPr>
          <w:lang w:val="en-AU"/>
        </w:rPr>
        <w:t xml:space="preserve"> </w:t>
      </w:r>
      <w:r w:rsidRPr="009A1A2E">
        <w:rPr>
          <w:lang w:val="en-AU"/>
        </w:rPr>
        <w:t>was</w:t>
      </w:r>
      <w:r w:rsidRPr="00F04254">
        <w:rPr>
          <w:lang w:val="en-AU"/>
        </w:rPr>
        <w:t xml:space="preserve"> m</w:t>
      </w:r>
      <w:r w:rsidRPr="009A1A2E">
        <w:rPr>
          <w:lang w:val="en-AU"/>
        </w:rPr>
        <w:t>ore</w:t>
      </w:r>
      <w:r w:rsidRPr="00F04254">
        <w:rPr>
          <w:lang w:val="en-AU"/>
        </w:rPr>
        <w:t xml:space="preserve"> </w:t>
      </w:r>
      <w:r w:rsidRPr="009A1A2E">
        <w:rPr>
          <w:lang w:val="en-AU"/>
        </w:rPr>
        <w:t>ex</w:t>
      </w:r>
      <w:r w:rsidRPr="00F04254">
        <w:rPr>
          <w:lang w:val="en-AU"/>
        </w:rPr>
        <w:t>pe</w:t>
      </w:r>
      <w:r w:rsidRPr="009A1A2E">
        <w:rPr>
          <w:lang w:val="en-AU"/>
        </w:rPr>
        <w:t>n</w:t>
      </w:r>
      <w:r w:rsidRPr="00F04254">
        <w:rPr>
          <w:lang w:val="en-AU"/>
        </w:rPr>
        <w:t>s</w:t>
      </w:r>
      <w:r w:rsidRPr="009A1A2E">
        <w:rPr>
          <w:lang w:val="en-AU"/>
        </w:rPr>
        <w:t>i</w:t>
      </w:r>
      <w:r w:rsidRPr="00F04254">
        <w:rPr>
          <w:lang w:val="en-AU"/>
        </w:rPr>
        <w:t>v</w:t>
      </w:r>
      <w:r w:rsidRPr="009A1A2E">
        <w:rPr>
          <w:lang w:val="en-AU"/>
        </w:rPr>
        <w:t>e</w:t>
      </w:r>
      <w:r w:rsidRPr="00F04254">
        <w:rPr>
          <w:lang w:val="en-AU"/>
        </w:rPr>
        <w:t xml:space="preserve"> </w:t>
      </w:r>
      <w:r w:rsidRPr="009A1A2E">
        <w:rPr>
          <w:lang w:val="en-AU"/>
        </w:rPr>
        <w:t>t</w:t>
      </w:r>
      <w:r w:rsidRPr="00F04254">
        <w:rPr>
          <w:lang w:val="en-AU"/>
        </w:rPr>
        <w:t>ha</w:t>
      </w:r>
      <w:r w:rsidRPr="009A1A2E">
        <w:rPr>
          <w:lang w:val="en-AU"/>
        </w:rPr>
        <w:t>n</w:t>
      </w:r>
      <w:r w:rsidRPr="00F04254">
        <w:rPr>
          <w:lang w:val="en-AU"/>
        </w:rPr>
        <w:t xml:space="preserve"> the </w:t>
      </w:r>
      <w:r w:rsidRPr="009A1A2E">
        <w:rPr>
          <w:lang w:val="en-AU"/>
        </w:rPr>
        <w:t>B</w:t>
      </w:r>
      <w:r w:rsidRPr="00F04254">
        <w:rPr>
          <w:lang w:val="en-AU"/>
        </w:rPr>
        <w:t>CI</w:t>
      </w:r>
      <w:r w:rsidRPr="009A1A2E">
        <w:rPr>
          <w:lang w:val="en-AU"/>
        </w:rPr>
        <w:t>,</w:t>
      </w:r>
      <w:r w:rsidRPr="00F04254">
        <w:rPr>
          <w:lang w:val="en-AU"/>
        </w:rPr>
        <w:t xml:space="preserve"> </w:t>
      </w:r>
      <w:r w:rsidRPr="009A1A2E">
        <w:rPr>
          <w:lang w:val="en-AU"/>
        </w:rPr>
        <w:t>but</w:t>
      </w:r>
      <w:r w:rsidRPr="00F04254">
        <w:rPr>
          <w:lang w:val="en-AU"/>
        </w:rPr>
        <w:t xml:space="preserve"> </w:t>
      </w:r>
      <w:r w:rsidRPr="009A1A2E">
        <w:rPr>
          <w:lang w:val="en-AU"/>
        </w:rPr>
        <w:t>less</w:t>
      </w:r>
      <w:r w:rsidRPr="00F04254">
        <w:rPr>
          <w:lang w:val="en-AU"/>
        </w:rPr>
        <w:t xml:space="preserve"> </w:t>
      </w:r>
      <w:r w:rsidRPr="009A1A2E">
        <w:rPr>
          <w:lang w:val="en-AU"/>
        </w:rPr>
        <w:t>ex</w:t>
      </w:r>
      <w:r w:rsidRPr="00F04254">
        <w:rPr>
          <w:lang w:val="en-AU"/>
        </w:rPr>
        <w:t>pe</w:t>
      </w:r>
      <w:r w:rsidRPr="009A1A2E">
        <w:rPr>
          <w:lang w:val="en-AU"/>
        </w:rPr>
        <w:t>n</w:t>
      </w:r>
      <w:r w:rsidRPr="00F04254">
        <w:rPr>
          <w:lang w:val="en-AU"/>
        </w:rPr>
        <w:t>s</w:t>
      </w:r>
      <w:r w:rsidRPr="009A1A2E">
        <w:rPr>
          <w:lang w:val="en-AU"/>
        </w:rPr>
        <w:t>ive</w:t>
      </w:r>
      <w:r w:rsidRPr="00F04254">
        <w:rPr>
          <w:lang w:val="en-AU"/>
        </w:rPr>
        <w:t xml:space="preserve"> </w:t>
      </w:r>
      <w:r w:rsidRPr="009A1A2E">
        <w:rPr>
          <w:lang w:val="en-AU"/>
        </w:rPr>
        <w:t>t</w:t>
      </w:r>
      <w:r w:rsidRPr="00F04254">
        <w:rPr>
          <w:lang w:val="en-AU"/>
        </w:rPr>
        <w:t>h</w:t>
      </w:r>
      <w:r w:rsidRPr="009A1A2E">
        <w:rPr>
          <w:lang w:val="en-AU"/>
        </w:rPr>
        <w:t>an</w:t>
      </w:r>
      <w:r w:rsidRPr="00F04254">
        <w:rPr>
          <w:lang w:val="en-AU"/>
        </w:rPr>
        <w:t xml:space="preserve"> the CI. MSAC furthermore concluded that </w:t>
      </w:r>
      <w:r w:rsidRPr="009A1A2E">
        <w:rPr>
          <w:lang w:val="en-AU"/>
        </w:rPr>
        <w:t>substituting the MEI for the CI would lead to a cost saving but the outcome may be less effective; and that the MEI for the BCI would lead to a cost increase but with no increase in effectiveness.</w:t>
      </w:r>
    </w:p>
    <w:p w14:paraId="3840D82B" w14:textId="77777777" w:rsidR="00A52ABF" w:rsidRDefault="00A52ABF">
      <w:pPr>
        <w:rPr>
          <w:rFonts w:cs="Arial"/>
          <w:lang w:eastAsia="de-AT"/>
        </w:rPr>
      </w:pPr>
      <w:r>
        <w:br w:type="page"/>
      </w:r>
    </w:p>
    <w:p w14:paraId="2AB1C2CA" w14:textId="77777777" w:rsidR="00B60787" w:rsidRPr="009A1A2E" w:rsidRDefault="00B60787" w:rsidP="00F02470">
      <w:pPr>
        <w:pStyle w:val="Heading20"/>
        <w:rPr>
          <w:lang w:val="en-AU"/>
        </w:rPr>
      </w:pPr>
      <w:bookmarkStart w:id="369" w:name="_Toc400549410"/>
      <w:bookmarkStart w:id="370" w:name="_Toc431917563"/>
      <w:r w:rsidRPr="009A1A2E">
        <w:rPr>
          <w:lang w:val="en-AU"/>
        </w:rPr>
        <w:lastRenderedPageBreak/>
        <w:t>A.5</w:t>
      </w:r>
      <w:r w:rsidRPr="009A1A2E">
        <w:rPr>
          <w:lang w:val="en-AU"/>
        </w:rPr>
        <w:tab/>
        <w:t>Clinical management algorithm</w:t>
      </w:r>
      <w:bookmarkEnd w:id="369"/>
      <w:bookmarkEnd w:id="370"/>
    </w:p>
    <w:p w14:paraId="008A78B5" w14:textId="77777777" w:rsidR="003E4058" w:rsidRPr="009A1A2E" w:rsidRDefault="003E4058" w:rsidP="00F02470">
      <w:pPr>
        <w:pStyle w:val="Textbody"/>
        <w:rPr>
          <w:lang w:val="en-AU"/>
        </w:rPr>
      </w:pPr>
      <w:r w:rsidRPr="009A1A2E">
        <w:rPr>
          <w:lang w:val="en-AU"/>
        </w:rPr>
        <w:t xml:space="preserve">The proposed medical service is highlighted presenting the only treatment option for the target population. </w:t>
      </w:r>
    </w:p>
    <w:p w14:paraId="5B456981" w14:textId="77777777" w:rsidR="003E4058" w:rsidRPr="009A1A2E" w:rsidRDefault="003E4058" w:rsidP="00F02470">
      <w:pPr>
        <w:pStyle w:val="Textbody"/>
        <w:rPr>
          <w:lang w:val="en-AU"/>
        </w:rPr>
      </w:pPr>
      <w:r w:rsidRPr="009A1A2E">
        <w:rPr>
          <w:lang w:val="en-AU"/>
        </w:rPr>
        <w:t xml:space="preserve">These individuals are identified through </w:t>
      </w:r>
      <w:r w:rsidR="00F02470" w:rsidRPr="009A1A2E">
        <w:rPr>
          <w:lang w:val="en-AU"/>
        </w:rPr>
        <w:t>aud</w:t>
      </w:r>
      <w:r w:rsidRPr="009A1A2E">
        <w:rPr>
          <w:lang w:val="en-AU"/>
        </w:rPr>
        <w:t>iometric testing to identify mild to severe sensorineural hearing loss with a PTA4 below 80 dB HL, unaided speech recognition above 65</w:t>
      </w:r>
      <w:r w:rsidR="0054599A" w:rsidRPr="009A1A2E">
        <w:rPr>
          <w:lang w:val="en-AU"/>
        </w:rPr>
        <w:t>%</w:t>
      </w:r>
      <w:r w:rsidRPr="009A1A2E">
        <w:rPr>
          <w:lang w:val="en-AU"/>
        </w:rPr>
        <w:t>, and the presence of an outer ear pathology. Outer ear pathologies are treated conservatively by an ENT doctor, even though the results may not always be successful. As a result the respective AMEI, the Vibrant Soundbridge, is provided. When conservative treatment is successful it can be followed by a Hearing Aid trial which may exacerbate the previous ear pathology, leading again to the treatment options of the respective AMEI or no treatment. Hearing aids may not provide sufficient benefit for all patients, who could then receive an AMEI for pure moderate to severe sensorineural hearing loss or have to be left untreated.</w:t>
      </w:r>
    </w:p>
    <w:p w14:paraId="10ED6B16" w14:textId="77777777" w:rsidR="00941EC6" w:rsidRPr="009A1A2E" w:rsidRDefault="003E4058" w:rsidP="00F02470">
      <w:pPr>
        <w:pStyle w:val="Textbody"/>
        <w:rPr>
          <w:lang w:val="en-AU"/>
        </w:rPr>
      </w:pPr>
      <w:r w:rsidRPr="009A1A2E">
        <w:rPr>
          <w:lang w:val="en-AU"/>
        </w:rPr>
        <w:t>Without public funding, these patients who would be respective AMEI candidates are currently left untreated. Otherwise the MEI treatment option is either self-funded or funded through exgratia private health funding.</w:t>
      </w:r>
    </w:p>
    <w:p w14:paraId="7F31D52C" w14:textId="77777777" w:rsidR="00F02470" w:rsidRPr="009A1A2E" w:rsidRDefault="003E4058" w:rsidP="00F02470">
      <w:pPr>
        <w:keepNext/>
        <w:tabs>
          <w:tab w:val="left" w:pos="513"/>
          <w:tab w:val="left" w:pos="540"/>
        </w:tabs>
        <w:spacing w:after="120"/>
        <w:ind w:right="58"/>
      </w:pPr>
      <w:r w:rsidRPr="009A1A2E">
        <w:rPr>
          <w:noProof/>
        </w:rPr>
        <w:lastRenderedPageBreak/>
        <w:drawing>
          <wp:inline distT="0" distB="0" distL="0" distR="0" wp14:anchorId="64142CC2" wp14:editId="771C236D">
            <wp:extent cx="5076825" cy="7038975"/>
            <wp:effectExtent l="0" t="0" r="9525" b="9525"/>
            <wp:docPr id="1" name="Grafik 1" descr="Clinical Management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076825" cy="7038975"/>
                    </a:xfrm>
                    <a:prstGeom prst="rect">
                      <a:avLst/>
                    </a:prstGeom>
                  </pic:spPr>
                </pic:pic>
              </a:graphicData>
            </a:graphic>
          </wp:inline>
        </w:drawing>
      </w:r>
    </w:p>
    <w:p w14:paraId="35CC034E" w14:textId="77777777" w:rsidR="00954431" w:rsidRPr="009A1A2E" w:rsidRDefault="00F02470" w:rsidP="00F02470">
      <w:pPr>
        <w:pStyle w:val="Caption"/>
        <w:rPr>
          <w:rFonts w:ascii="Arial" w:hAnsi="Arial" w:cs="Arial"/>
          <w:u w:val="single"/>
          <w:lang w:val="en-AU"/>
        </w:rPr>
      </w:pPr>
      <w:bookmarkStart w:id="371" w:name="_Ref400561415"/>
      <w:bookmarkStart w:id="372" w:name="_Toc400393966"/>
      <w:bookmarkStart w:id="373" w:name="_Toc400395267"/>
      <w:bookmarkStart w:id="374" w:name="_Toc431653917"/>
      <w:r w:rsidRPr="009A1A2E">
        <w:rPr>
          <w:rFonts w:ascii="Arial" w:hAnsi="Arial" w:cs="Arial"/>
          <w:u w:val="single"/>
          <w:lang w:val="en-AU"/>
        </w:rPr>
        <w:t xml:space="preserve">Fig </w:t>
      </w:r>
      <w:r w:rsidRPr="009A1A2E">
        <w:rPr>
          <w:rFonts w:ascii="Arial" w:hAnsi="Arial" w:cs="Arial"/>
          <w:u w:val="single"/>
          <w:lang w:val="en-AU"/>
        </w:rPr>
        <w:fldChar w:fldCharType="begin"/>
      </w:r>
      <w:r w:rsidRPr="009A1A2E">
        <w:rPr>
          <w:rFonts w:ascii="Arial" w:hAnsi="Arial" w:cs="Arial"/>
          <w:u w:val="single"/>
          <w:lang w:val="en-AU"/>
        </w:rPr>
        <w:instrText xml:space="preserve"> SEQ Fig \* ARABIC </w:instrText>
      </w:r>
      <w:r w:rsidRPr="009A1A2E">
        <w:rPr>
          <w:rFonts w:ascii="Arial" w:hAnsi="Arial" w:cs="Arial"/>
          <w:u w:val="single"/>
          <w:lang w:val="en-AU"/>
        </w:rPr>
        <w:fldChar w:fldCharType="separate"/>
      </w:r>
      <w:r w:rsidR="00016592">
        <w:rPr>
          <w:rFonts w:ascii="Arial" w:hAnsi="Arial" w:cs="Arial"/>
          <w:noProof/>
          <w:u w:val="single"/>
          <w:lang w:val="en-AU"/>
        </w:rPr>
        <w:t>8</w:t>
      </w:r>
      <w:r w:rsidRPr="009A1A2E">
        <w:rPr>
          <w:rFonts w:ascii="Arial" w:hAnsi="Arial" w:cs="Arial"/>
          <w:u w:val="single"/>
          <w:lang w:val="en-AU"/>
        </w:rPr>
        <w:fldChar w:fldCharType="end"/>
      </w:r>
      <w:bookmarkEnd w:id="371"/>
      <w:r w:rsidR="00B0519F" w:rsidRPr="009A1A2E">
        <w:rPr>
          <w:rFonts w:ascii="Arial" w:hAnsi="Arial" w:cs="Arial"/>
          <w:u w:val="single"/>
          <w:lang w:val="en-AU"/>
        </w:rPr>
        <w:t xml:space="preserve"> -</w:t>
      </w:r>
      <w:r w:rsidRPr="009A1A2E">
        <w:rPr>
          <w:rFonts w:ascii="Arial" w:hAnsi="Arial" w:cs="Arial"/>
          <w:u w:val="single"/>
          <w:lang w:val="en-AU"/>
        </w:rPr>
        <w:t xml:space="preserve"> Clinical Management Algorithm</w:t>
      </w:r>
      <w:bookmarkEnd w:id="372"/>
      <w:bookmarkEnd w:id="373"/>
      <w:bookmarkEnd w:id="374"/>
    </w:p>
    <w:p w14:paraId="6EA786CC" w14:textId="77777777" w:rsidR="00F02470" w:rsidRPr="009A1A2E" w:rsidRDefault="00F02470" w:rsidP="00F02470">
      <w:pPr>
        <w:rPr>
          <w:highlight w:val="lightGray"/>
        </w:rPr>
      </w:pPr>
    </w:p>
    <w:p w14:paraId="2BEB3A8B" w14:textId="77777777" w:rsidR="00B60787" w:rsidRPr="009A1A2E" w:rsidRDefault="00B60787" w:rsidP="00F02470">
      <w:pPr>
        <w:pStyle w:val="Heading20"/>
        <w:rPr>
          <w:lang w:val="en-AU"/>
        </w:rPr>
      </w:pPr>
      <w:bookmarkStart w:id="375" w:name="_Toc400549411"/>
      <w:bookmarkStart w:id="376" w:name="_Toc431917564"/>
      <w:r w:rsidRPr="009A1A2E">
        <w:rPr>
          <w:lang w:val="en-AU"/>
        </w:rPr>
        <w:t>A.6</w:t>
      </w:r>
      <w:r w:rsidRPr="009A1A2E">
        <w:rPr>
          <w:lang w:val="en-AU"/>
        </w:rPr>
        <w:tab/>
        <w:t>Differences between the proposed intervention and main comparator</w:t>
      </w:r>
      <w:bookmarkEnd w:id="375"/>
      <w:bookmarkEnd w:id="376"/>
    </w:p>
    <w:p w14:paraId="7A31B8D7" w14:textId="77777777" w:rsidR="009E545F" w:rsidRPr="009A1A2E" w:rsidRDefault="00185D18" w:rsidP="00F02470">
      <w:pPr>
        <w:pStyle w:val="Textbody"/>
        <w:rPr>
          <w:lang w:val="en-AU"/>
        </w:rPr>
      </w:pPr>
      <w:r w:rsidRPr="009A1A2E">
        <w:rPr>
          <w:lang w:val="en-AU"/>
        </w:rPr>
        <w:t>As the only comparator is NO TREATMENT</w:t>
      </w:r>
      <w:r w:rsidR="006012CF" w:rsidRPr="009A1A2E">
        <w:rPr>
          <w:lang w:val="en-AU"/>
        </w:rPr>
        <w:t xml:space="preserve"> this section is not applicable.</w:t>
      </w:r>
    </w:p>
    <w:p w14:paraId="608D01D8" w14:textId="77777777" w:rsidR="009E545F" w:rsidRPr="009A1A2E" w:rsidRDefault="009E545F" w:rsidP="00213B3B">
      <w:pPr>
        <w:jc w:val="both"/>
      </w:pPr>
    </w:p>
    <w:p w14:paraId="1C8CB17C" w14:textId="77777777" w:rsidR="00294C0A" w:rsidRPr="009A1A2E" w:rsidRDefault="00294C0A" w:rsidP="00213B3B">
      <w:pPr>
        <w:jc w:val="both"/>
        <w:sectPr w:rsidR="00294C0A" w:rsidRPr="009A1A2E" w:rsidSect="008846BA">
          <w:pgSz w:w="11907" w:h="16840" w:code="9"/>
          <w:pgMar w:top="1440" w:right="1440" w:bottom="1440" w:left="1440" w:header="720" w:footer="720" w:gutter="0"/>
          <w:paperSrc w:first="7" w:other="7"/>
          <w:cols w:space="720"/>
          <w:noEndnote/>
          <w:docGrid w:linePitch="299"/>
        </w:sectPr>
      </w:pPr>
    </w:p>
    <w:p w14:paraId="5C8198BE" w14:textId="77777777" w:rsidR="004347D3" w:rsidRPr="009A1A2E" w:rsidRDefault="000D59CC" w:rsidP="008C31A4">
      <w:pPr>
        <w:pStyle w:val="Heading1"/>
        <w:rPr>
          <w:lang w:val="en-AU"/>
        </w:rPr>
      </w:pPr>
      <w:bookmarkStart w:id="377" w:name="_Toc191822151"/>
      <w:bookmarkStart w:id="378" w:name="_Toc191822201"/>
      <w:bookmarkStart w:id="379" w:name="_Toc191822251"/>
      <w:bookmarkStart w:id="380" w:name="_Toc258501772"/>
      <w:bookmarkStart w:id="381" w:name="_Toc273301454"/>
      <w:bookmarkStart w:id="382" w:name="_Toc400549412"/>
      <w:bookmarkStart w:id="383" w:name="_Toc431917565"/>
      <w:r w:rsidRPr="009A1A2E">
        <w:rPr>
          <w:lang w:val="en-AU"/>
        </w:rPr>
        <w:lastRenderedPageBreak/>
        <w:t>B.</w:t>
      </w:r>
      <w:r w:rsidRPr="009A1A2E">
        <w:rPr>
          <w:lang w:val="en-AU"/>
        </w:rPr>
        <w:tab/>
      </w:r>
      <w:bookmarkEnd w:id="377"/>
      <w:bookmarkEnd w:id="378"/>
      <w:bookmarkEnd w:id="379"/>
      <w:bookmarkEnd w:id="380"/>
      <w:bookmarkEnd w:id="381"/>
      <w:r w:rsidR="008C31A4" w:rsidRPr="009A1A2E">
        <w:rPr>
          <w:lang w:val="en-AU"/>
        </w:rPr>
        <w:t>Systematic evaluation of the evidence for the proposed medical device</w:t>
      </w:r>
      <w:bookmarkEnd w:id="382"/>
      <w:bookmarkEnd w:id="383"/>
    </w:p>
    <w:p w14:paraId="72CDA1CA" w14:textId="77777777" w:rsidR="0046239C" w:rsidRPr="009A1A2E" w:rsidRDefault="0046239C" w:rsidP="008C31A4">
      <w:pPr>
        <w:pStyle w:val="Textbody"/>
        <w:rPr>
          <w:lang w:val="en-AU"/>
        </w:rPr>
      </w:pPr>
    </w:p>
    <w:p w14:paraId="55C4AA62" w14:textId="77777777" w:rsidR="008C31A4" w:rsidRPr="009A1A2E" w:rsidRDefault="008C31A4" w:rsidP="008C31A4">
      <w:pPr>
        <w:pStyle w:val="Textbody"/>
        <w:rPr>
          <w:lang w:val="en-AU"/>
        </w:rPr>
      </w:pPr>
      <w:r w:rsidRPr="009A1A2E">
        <w:rPr>
          <w:lang w:val="en-AU"/>
        </w:rPr>
        <w:t>A systematic review of the literature was carried out to evaluate the following questions;</w:t>
      </w:r>
    </w:p>
    <w:p w14:paraId="74C94FEF" w14:textId="77777777" w:rsidR="008C31A4" w:rsidRPr="009A1A2E" w:rsidRDefault="008C31A4" w:rsidP="008C31A4">
      <w:pPr>
        <w:pStyle w:val="Textbody"/>
        <w:rPr>
          <w:lang w:val="en-AU"/>
        </w:rPr>
      </w:pPr>
    </w:p>
    <w:p w14:paraId="6A0C77F6" w14:textId="77777777" w:rsidR="008C31A4" w:rsidRPr="009A1A2E" w:rsidRDefault="008C31A4" w:rsidP="008C31A4">
      <w:pPr>
        <w:pStyle w:val="Textbody"/>
        <w:rPr>
          <w:lang w:val="en-AU"/>
        </w:rPr>
      </w:pPr>
      <w:r w:rsidRPr="009A1A2E">
        <w:rPr>
          <w:lang w:val="en-AU"/>
        </w:rPr>
        <w:t>1. In patients with outer ear pathology preventing the use of a conventional hearing aid, who have mild, moderate or severe SNHL that is stable, bilateral and symmetrical and who meet all other indication criteria, is the MEI more effective compared to no treatment?</w:t>
      </w:r>
    </w:p>
    <w:p w14:paraId="7B63072F" w14:textId="77777777" w:rsidR="008C31A4" w:rsidRPr="009A1A2E" w:rsidRDefault="008C31A4" w:rsidP="008C31A4">
      <w:pPr>
        <w:pStyle w:val="Textbody"/>
        <w:rPr>
          <w:lang w:val="en-AU"/>
        </w:rPr>
      </w:pPr>
    </w:p>
    <w:p w14:paraId="211788B7" w14:textId="77777777" w:rsidR="008C31A4" w:rsidRPr="009A1A2E" w:rsidRDefault="008C31A4" w:rsidP="008C31A4">
      <w:pPr>
        <w:pStyle w:val="Textbody"/>
        <w:rPr>
          <w:lang w:val="en-AU"/>
        </w:rPr>
      </w:pPr>
      <w:r w:rsidRPr="009A1A2E">
        <w:rPr>
          <w:lang w:val="en-AU"/>
        </w:rPr>
        <w:t>2. In patients with outer ear pathology preventing the use of a conventional hearing aid, who have mild, moderate or severe SNHL that is stable, bilateral and symmetrical and who meet all other indication criteria, is the middle ear implant as safe as no treatment?</w:t>
      </w:r>
    </w:p>
    <w:p w14:paraId="1EE4AB06" w14:textId="77777777" w:rsidR="008C31A4" w:rsidRPr="009A1A2E" w:rsidRDefault="008C31A4" w:rsidP="008C31A4">
      <w:pPr>
        <w:pStyle w:val="Textbody"/>
        <w:rPr>
          <w:lang w:val="en-AU"/>
        </w:rPr>
      </w:pPr>
    </w:p>
    <w:p w14:paraId="4581D727" w14:textId="77777777" w:rsidR="008C31A4" w:rsidRPr="009A1A2E" w:rsidRDefault="008C31A4" w:rsidP="008C31A4">
      <w:pPr>
        <w:pStyle w:val="Textbody"/>
        <w:rPr>
          <w:lang w:val="en-AU"/>
        </w:rPr>
      </w:pPr>
      <w:r w:rsidRPr="009A1A2E">
        <w:rPr>
          <w:lang w:val="en-AU"/>
        </w:rPr>
        <w:t>Other middle ear implant systems that are FDA approved or CE marked for patients with moderate or severe SNHL that is stable, bilateral and symmetrical and who meet all other relevant indication criteria, were included in the review to provide a better picture of the performance of the proposed medical service.</w:t>
      </w:r>
    </w:p>
    <w:p w14:paraId="2127C212" w14:textId="77777777" w:rsidR="008C31A4" w:rsidRPr="009A1A2E" w:rsidRDefault="008C31A4" w:rsidP="008C31A4">
      <w:pPr>
        <w:pStyle w:val="Textbody"/>
        <w:rPr>
          <w:lang w:val="en-AU"/>
        </w:rPr>
      </w:pPr>
    </w:p>
    <w:p w14:paraId="0D4CEA49" w14:textId="77777777" w:rsidR="008C31A4" w:rsidRPr="009A1A2E" w:rsidRDefault="008C31A4" w:rsidP="008C31A4">
      <w:pPr>
        <w:pStyle w:val="Heading20"/>
        <w:rPr>
          <w:lang w:val="en-AU"/>
        </w:rPr>
      </w:pPr>
      <w:bookmarkStart w:id="384" w:name="_Toc400549413"/>
      <w:bookmarkStart w:id="385" w:name="_Toc431917566"/>
      <w:r w:rsidRPr="009A1A2E">
        <w:rPr>
          <w:lang w:val="en-AU"/>
        </w:rPr>
        <w:t>B.1</w:t>
      </w:r>
      <w:r w:rsidRPr="009A1A2E">
        <w:rPr>
          <w:lang w:val="en-AU"/>
        </w:rPr>
        <w:tab/>
        <w:t>Description of the search strategy</w:t>
      </w:r>
      <w:bookmarkEnd w:id="384"/>
      <w:bookmarkEnd w:id="385"/>
    </w:p>
    <w:p w14:paraId="5AC49968" w14:textId="77777777" w:rsidR="008C31A4" w:rsidRPr="009A1A2E" w:rsidRDefault="008C31A4" w:rsidP="008C31A4">
      <w:pPr>
        <w:pStyle w:val="Textbody"/>
        <w:rPr>
          <w:lang w:val="en-AU"/>
        </w:rPr>
      </w:pPr>
      <w:r w:rsidRPr="009A1A2E">
        <w:rPr>
          <w:lang w:val="en-AU"/>
        </w:rPr>
        <w:t>A structured search strategy was developed (</w:t>
      </w:r>
      <w:r w:rsidR="0080769D" w:rsidRPr="0099355D">
        <w:rPr>
          <w:lang w:val="en-AU"/>
        </w:rPr>
        <w:fldChar w:fldCharType="begin"/>
      </w:r>
      <w:r w:rsidR="0080769D" w:rsidRPr="0099355D">
        <w:rPr>
          <w:lang w:val="en-AU"/>
        </w:rPr>
        <w:instrText xml:space="preserve"> REF _Ref400547248 \h </w:instrText>
      </w:r>
      <w:r w:rsidR="0099355D">
        <w:rPr>
          <w:lang w:val="en-AU"/>
        </w:rPr>
        <w:instrText xml:space="preserve"> \* MERGEFORMAT </w:instrText>
      </w:r>
      <w:r w:rsidR="0080769D" w:rsidRPr="0099355D">
        <w:rPr>
          <w:lang w:val="en-AU"/>
        </w:rPr>
      </w:r>
      <w:r w:rsidR="0080769D" w:rsidRPr="0099355D">
        <w:rPr>
          <w:lang w:val="en-AU"/>
        </w:rPr>
        <w:fldChar w:fldCharType="separate"/>
      </w:r>
      <w:r w:rsidR="00016592" w:rsidRPr="009A1A2E">
        <w:rPr>
          <w:lang w:val="en-AU"/>
        </w:rPr>
        <w:t xml:space="preserve">Table </w:t>
      </w:r>
      <w:r w:rsidR="00016592">
        <w:rPr>
          <w:noProof/>
          <w:lang w:val="en-AU"/>
        </w:rPr>
        <w:t>9</w:t>
      </w:r>
      <w:r w:rsidR="0080769D" w:rsidRPr="0099355D">
        <w:rPr>
          <w:lang w:val="en-AU"/>
        </w:rPr>
        <w:fldChar w:fldCharType="end"/>
      </w:r>
      <w:r w:rsidRPr="0099355D">
        <w:rPr>
          <w:lang w:val="en-AU"/>
        </w:rPr>
        <w:t>) to sear</w:t>
      </w:r>
      <w:r w:rsidRPr="009A1A2E">
        <w:rPr>
          <w:lang w:val="en-AU"/>
        </w:rPr>
        <w:t>ch several online databases to identify studies published before the study inception date of 17.09.2014. The databases searched included Pubmed and OVIDSP (MEDLINE); Embase, BIOSIS Previews, Deutsche Arzteblatt and SciSearch from the German Institute of Medical Documentation and Information (DIMDI); the Cochrane Library, and The Centre of Reviews and Dissemination (CRD) database. The search was extended to full texts of articles and included papers published in English or German; and excluded studies published before 1996. The list of study titles was supplemented with potentially relevant publications already known by the research team; and the bibliographic references of reviews were searched to locate additional relevant materials.</w:t>
      </w:r>
    </w:p>
    <w:p w14:paraId="433E0F09" w14:textId="77777777" w:rsidR="008C31A4" w:rsidRPr="009A1A2E" w:rsidRDefault="008C31A4" w:rsidP="008C31A4">
      <w:pPr>
        <w:pStyle w:val="Textbody"/>
        <w:rPr>
          <w:lang w:val="en-AU"/>
        </w:rPr>
      </w:pPr>
    </w:p>
    <w:tbl>
      <w:tblPr>
        <w:tblW w:w="9087" w:type="dxa"/>
        <w:tblInd w:w="55" w:type="dxa"/>
        <w:tblCellMar>
          <w:left w:w="70" w:type="dxa"/>
          <w:right w:w="70" w:type="dxa"/>
        </w:tblCellMar>
        <w:tblLook w:val="04A0" w:firstRow="1" w:lastRow="0" w:firstColumn="1" w:lastColumn="0" w:noHBand="0" w:noVBand="1"/>
        <w:tblDescription w:val="Search strategy for identifying studies on middle ear implants in treating sensorineural hearing loss"/>
      </w:tblPr>
      <w:tblGrid>
        <w:gridCol w:w="724"/>
        <w:gridCol w:w="8363"/>
      </w:tblGrid>
      <w:tr w:rsidR="008C31A4" w:rsidRPr="009A1A2E" w14:paraId="58CC0F84" w14:textId="77777777" w:rsidTr="008E5D58">
        <w:trPr>
          <w:trHeight w:val="290"/>
        </w:trPr>
        <w:tc>
          <w:tcPr>
            <w:tcW w:w="9087" w:type="dxa"/>
            <w:gridSpan w:val="2"/>
            <w:tcBorders>
              <w:top w:val="nil"/>
              <w:left w:val="nil"/>
              <w:bottom w:val="nil"/>
              <w:right w:val="nil"/>
            </w:tcBorders>
            <w:shd w:val="clear" w:color="auto" w:fill="auto"/>
            <w:noWrap/>
            <w:vAlign w:val="bottom"/>
            <w:hideMark/>
          </w:tcPr>
          <w:p w14:paraId="3ED3A775" w14:textId="77777777" w:rsidR="008C31A4" w:rsidRPr="009A1A2E" w:rsidRDefault="000A6A60" w:rsidP="001F1F03">
            <w:pPr>
              <w:pStyle w:val="Caption"/>
              <w:rPr>
                <w:rFonts w:ascii="Arial" w:hAnsi="Arial" w:cs="Arial"/>
                <w:lang w:val="en-AU"/>
              </w:rPr>
            </w:pPr>
            <w:bookmarkStart w:id="386" w:name="_Ref400547248"/>
            <w:bookmarkStart w:id="387" w:name="_Ref400547243"/>
            <w:bookmarkStart w:id="388" w:name="_Toc431917469"/>
            <w:r w:rsidRPr="009A1A2E">
              <w:rPr>
                <w:rFonts w:ascii="Arial" w:hAnsi="Arial" w:cs="Arial"/>
                <w:lang w:val="en-AU"/>
              </w:rPr>
              <w:lastRenderedPageBreak/>
              <w:t xml:space="preserve">Table </w:t>
            </w:r>
            <w:r w:rsidRPr="009A1A2E">
              <w:rPr>
                <w:rFonts w:ascii="Arial" w:hAnsi="Arial" w:cs="Arial"/>
                <w:lang w:val="en-AU"/>
              </w:rPr>
              <w:fldChar w:fldCharType="begin"/>
            </w:r>
            <w:r w:rsidRPr="009A1A2E">
              <w:rPr>
                <w:rFonts w:ascii="Arial" w:hAnsi="Arial" w:cs="Arial"/>
                <w:lang w:val="en-AU"/>
              </w:rPr>
              <w:instrText xml:space="preserve"> SEQ Table \* ARABIC </w:instrText>
            </w:r>
            <w:r w:rsidRPr="009A1A2E">
              <w:rPr>
                <w:rFonts w:ascii="Arial" w:hAnsi="Arial" w:cs="Arial"/>
                <w:lang w:val="en-AU"/>
              </w:rPr>
              <w:fldChar w:fldCharType="separate"/>
            </w:r>
            <w:r w:rsidR="00016592">
              <w:rPr>
                <w:rFonts w:ascii="Arial" w:hAnsi="Arial" w:cs="Arial"/>
                <w:noProof/>
                <w:lang w:val="en-AU"/>
              </w:rPr>
              <w:t>9</w:t>
            </w:r>
            <w:r w:rsidRPr="009A1A2E">
              <w:rPr>
                <w:rFonts w:ascii="Arial" w:hAnsi="Arial" w:cs="Arial"/>
                <w:lang w:val="en-AU"/>
              </w:rPr>
              <w:fldChar w:fldCharType="end"/>
            </w:r>
            <w:bookmarkEnd w:id="386"/>
            <w:r w:rsidRPr="009A1A2E">
              <w:rPr>
                <w:rFonts w:ascii="Arial" w:hAnsi="Arial" w:cs="Arial"/>
                <w:lang w:val="en-AU"/>
              </w:rPr>
              <w:t xml:space="preserve"> - Search strategy for identifying studies on middle ear implants in treating sensorineural hearing loss</w:t>
            </w:r>
            <w:bookmarkEnd w:id="387"/>
            <w:bookmarkEnd w:id="388"/>
          </w:p>
        </w:tc>
      </w:tr>
      <w:tr w:rsidR="008C31A4" w:rsidRPr="009A1A2E" w14:paraId="7BC35432" w14:textId="77777777" w:rsidTr="008C31A4">
        <w:trPr>
          <w:trHeight w:val="300"/>
        </w:trPr>
        <w:tc>
          <w:tcPr>
            <w:tcW w:w="724" w:type="dxa"/>
            <w:tcBorders>
              <w:top w:val="single" w:sz="4" w:space="0" w:color="auto"/>
              <w:left w:val="nil"/>
              <w:bottom w:val="double" w:sz="6" w:space="0" w:color="auto"/>
              <w:right w:val="nil"/>
            </w:tcBorders>
            <w:shd w:val="clear" w:color="auto" w:fill="auto"/>
            <w:noWrap/>
            <w:vAlign w:val="bottom"/>
            <w:hideMark/>
          </w:tcPr>
          <w:p w14:paraId="277C16E4" w14:textId="77777777" w:rsidR="008C31A4" w:rsidRPr="009A1A2E" w:rsidRDefault="008C31A4" w:rsidP="008C31A4">
            <w:pPr>
              <w:pStyle w:val="Textbody"/>
              <w:rPr>
                <w:b/>
                <w:lang w:val="en-AU"/>
              </w:rPr>
            </w:pPr>
            <w:r w:rsidRPr="009A1A2E">
              <w:rPr>
                <w:b/>
                <w:lang w:val="en-AU"/>
              </w:rPr>
              <w:t> </w:t>
            </w:r>
          </w:p>
        </w:tc>
        <w:tc>
          <w:tcPr>
            <w:tcW w:w="8363" w:type="dxa"/>
            <w:tcBorders>
              <w:top w:val="single" w:sz="4" w:space="0" w:color="auto"/>
              <w:left w:val="nil"/>
              <w:bottom w:val="double" w:sz="6" w:space="0" w:color="auto"/>
              <w:right w:val="nil"/>
            </w:tcBorders>
            <w:shd w:val="clear" w:color="auto" w:fill="auto"/>
            <w:noWrap/>
            <w:vAlign w:val="bottom"/>
            <w:hideMark/>
          </w:tcPr>
          <w:p w14:paraId="5E86FDCC" w14:textId="77777777" w:rsidR="008C31A4" w:rsidRPr="009A1A2E" w:rsidRDefault="008C31A4" w:rsidP="008C31A4">
            <w:pPr>
              <w:pStyle w:val="Textbody"/>
              <w:rPr>
                <w:b/>
                <w:sz w:val="20"/>
                <w:szCs w:val="20"/>
                <w:lang w:val="en-AU"/>
              </w:rPr>
            </w:pPr>
            <w:r w:rsidRPr="009A1A2E">
              <w:rPr>
                <w:b/>
                <w:sz w:val="20"/>
                <w:szCs w:val="20"/>
                <w:lang w:val="en-AU"/>
              </w:rPr>
              <w:t>Search term</w:t>
            </w:r>
          </w:p>
        </w:tc>
      </w:tr>
      <w:tr w:rsidR="008C31A4" w:rsidRPr="009A1A2E" w14:paraId="22A99A52" w14:textId="77777777" w:rsidTr="008C31A4">
        <w:trPr>
          <w:trHeight w:val="300"/>
        </w:trPr>
        <w:tc>
          <w:tcPr>
            <w:tcW w:w="724" w:type="dxa"/>
            <w:tcBorders>
              <w:top w:val="nil"/>
              <w:left w:val="nil"/>
              <w:bottom w:val="nil"/>
              <w:right w:val="nil"/>
            </w:tcBorders>
            <w:shd w:val="clear" w:color="auto" w:fill="auto"/>
            <w:noWrap/>
            <w:vAlign w:val="bottom"/>
            <w:hideMark/>
          </w:tcPr>
          <w:p w14:paraId="0F82013F" w14:textId="77777777" w:rsidR="008C31A4" w:rsidRPr="009A1A2E" w:rsidRDefault="008C31A4" w:rsidP="008C31A4">
            <w:pPr>
              <w:pStyle w:val="Textbody"/>
              <w:rPr>
                <w:sz w:val="20"/>
                <w:szCs w:val="20"/>
                <w:lang w:val="en-AU"/>
              </w:rPr>
            </w:pPr>
            <w:r w:rsidRPr="009A1A2E">
              <w:rPr>
                <w:sz w:val="20"/>
                <w:szCs w:val="20"/>
                <w:lang w:val="en-AU"/>
              </w:rPr>
              <w:t>1</w:t>
            </w:r>
          </w:p>
        </w:tc>
        <w:tc>
          <w:tcPr>
            <w:tcW w:w="8363" w:type="dxa"/>
            <w:tcBorders>
              <w:top w:val="nil"/>
              <w:left w:val="nil"/>
              <w:bottom w:val="nil"/>
              <w:right w:val="nil"/>
            </w:tcBorders>
            <w:shd w:val="clear" w:color="auto" w:fill="auto"/>
            <w:noWrap/>
            <w:vAlign w:val="bottom"/>
            <w:hideMark/>
          </w:tcPr>
          <w:p w14:paraId="097683C4" w14:textId="77777777" w:rsidR="008C31A4" w:rsidRPr="009A1A2E" w:rsidRDefault="008C31A4" w:rsidP="008C31A4">
            <w:pPr>
              <w:pStyle w:val="Textbody"/>
              <w:rPr>
                <w:sz w:val="20"/>
                <w:szCs w:val="20"/>
                <w:lang w:val="en-AU"/>
              </w:rPr>
            </w:pPr>
            <w:r w:rsidRPr="009A1A2E">
              <w:rPr>
                <w:sz w:val="20"/>
                <w:szCs w:val="20"/>
                <w:lang w:val="en-AU"/>
              </w:rPr>
              <w:t>Soundbridge.tw</w:t>
            </w:r>
          </w:p>
        </w:tc>
      </w:tr>
      <w:tr w:rsidR="008C31A4" w:rsidRPr="009A1A2E" w14:paraId="6E5B426E" w14:textId="77777777" w:rsidTr="008C31A4">
        <w:trPr>
          <w:trHeight w:val="290"/>
        </w:trPr>
        <w:tc>
          <w:tcPr>
            <w:tcW w:w="724" w:type="dxa"/>
            <w:tcBorders>
              <w:top w:val="nil"/>
              <w:left w:val="nil"/>
              <w:bottom w:val="nil"/>
              <w:right w:val="nil"/>
            </w:tcBorders>
            <w:shd w:val="clear" w:color="auto" w:fill="auto"/>
            <w:noWrap/>
            <w:vAlign w:val="bottom"/>
            <w:hideMark/>
          </w:tcPr>
          <w:p w14:paraId="5F920465" w14:textId="77777777" w:rsidR="008C31A4" w:rsidRPr="009A1A2E" w:rsidRDefault="008C31A4" w:rsidP="008C31A4">
            <w:pPr>
              <w:pStyle w:val="Textbody"/>
              <w:rPr>
                <w:sz w:val="20"/>
                <w:szCs w:val="20"/>
                <w:lang w:val="en-AU"/>
              </w:rPr>
            </w:pPr>
            <w:r w:rsidRPr="009A1A2E">
              <w:rPr>
                <w:sz w:val="20"/>
                <w:szCs w:val="20"/>
                <w:lang w:val="en-AU"/>
              </w:rPr>
              <w:t>2</w:t>
            </w:r>
          </w:p>
        </w:tc>
        <w:tc>
          <w:tcPr>
            <w:tcW w:w="8363" w:type="dxa"/>
            <w:tcBorders>
              <w:top w:val="nil"/>
              <w:left w:val="nil"/>
              <w:bottom w:val="nil"/>
              <w:right w:val="nil"/>
            </w:tcBorders>
            <w:shd w:val="clear" w:color="auto" w:fill="auto"/>
            <w:noWrap/>
            <w:vAlign w:val="bottom"/>
            <w:hideMark/>
          </w:tcPr>
          <w:p w14:paraId="7FBF70E7" w14:textId="77777777" w:rsidR="008C31A4" w:rsidRPr="009A1A2E" w:rsidRDefault="008C31A4" w:rsidP="008C31A4">
            <w:pPr>
              <w:pStyle w:val="Textbody"/>
              <w:rPr>
                <w:sz w:val="20"/>
                <w:szCs w:val="20"/>
                <w:lang w:val="en-AU"/>
              </w:rPr>
            </w:pPr>
            <w:r w:rsidRPr="009A1A2E">
              <w:rPr>
                <w:sz w:val="20"/>
                <w:szCs w:val="20"/>
                <w:lang w:val="en-AU"/>
              </w:rPr>
              <w:t>floating mass transducer.tw</w:t>
            </w:r>
          </w:p>
        </w:tc>
      </w:tr>
      <w:tr w:rsidR="008C31A4" w:rsidRPr="009A1A2E" w14:paraId="16536457" w14:textId="77777777" w:rsidTr="008C31A4">
        <w:trPr>
          <w:trHeight w:val="290"/>
        </w:trPr>
        <w:tc>
          <w:tcPr>
            <w:tcW w:w="724" w:type="dxa"/>
            <w:tcBorders>
              <w:top w:val="nil"/>
              <w:left w:val="nil"/>
              <w:bottom w:val="nil"/>
              <w:right w:val="nil"/>
            </w:tcBorders>
            <w:shd w:val="clear" w:color="auto" w:fill="auto"/>
            <w:noWrap/>
            <w:vAlign w:val="bottom"/>
            <w:hideMark/>
          </w:tcPr>
          <w:p w14:paraId="3E10612F" w14:textId="77777777" w:rsidR="008C31A4" w:rsidRPr="009A1A2E" w:rsidRDefault="008C31A4" w:rsidP="008C31A4">
            <w:pPr>
              <w:pStyle w:val="Textbody"/>
              <w:rPr>
                <w:sz w:val="20"/>
                <w:szCs w:val="20"/>
                <w:lang w:val="en-AU"/>
              </w:rPr>
            </w:pPr>
            <w:r w:rsidRPr="009A1A2E">
              <w:rPr>
                <w:sz w:val="20"/>
                <w:szCs w:val="20"/>
                <w:lang w:val="en-AU"/>
              </w:rPr>
              <w:t>3</w:t>
            </w:r>
          </w:p>
        </w:tc>
        <w:tc>
          <w:tcPr>
            <w:tcW w:w="8363" w:type="dxa"/>
            <w:tcBorders>
              <w:top w:val="nil"/>
              <w:left w:val="nil"/>
              <w:bottom w:val="nil"/>
              <w:right w:val="nil"/>
            </w:tcBorders>
            <w:shd w:val="clear" w:color="auto" w:fill="auto"/>
            <w:noWrap/>
            <w:vAlign w:val="bottom"/>
            <w:hideMark/>
          </w:tcPr>
          <w:p w14:paraId="156D1F38" w14:textId="77777777" w:rsidR="008C31A4" w:rsidRPr="009A1A2E" w:rsidRDefault="008C31A4" w:rsidP="008C31A4">
            <w:pPr>
              <w:pStyle w:val="Textbody"/>
              <w:rPr>
                <w:sz w:val="20"/>
                <w:szCs w:val="20"/>
                <w:lang w:val="en-AU"/>
              </w:rPr>
            </w:pPr>
            <w:r w:rsidRPr="009A1A2E">
              <w:rPr>
                <w:sz w:val="20"/>
                <w:szCs w:val="20"/>
                <w:lang w:val="en-AU"/>
              </w:rPr>
              <w:t>middle ear implant</w:t>
            </w:r>
          </w:p>
        </w:tc>
      </w:tr>
      <w:tr w:rsidR="008C31A4" w:rsidRPr="009A1A2E" w14:paraId="3AB3DB74" w14:textId="77777777" w:rsidTr="008C31A4">
        <w:trPr>
          <w:trHeight w:val="290"/>
        </w:trPr>
        <w:tc>
          <w:tcPr>
            <w:tcW w:w="724" w:type="dxa"/>
            <w:tcBorders>
              <w:top w:val="nil"/>
              <w:left w:val="nil"/>
              <w:bottom w:val="nil"/>
              <w:right w:val="nil"/>
            </w:tcBorders>
            <w:shd w:val="clear" w:color="auto" w:fill="auto"/>
            <w:noWrap/>
            <w:vAlign w:val="bottom"/>
            <w:hideMark/>
          </w:tcPr>
          <w:p w14:paraId="183D0B8A" w14:textId="77777777" w:rsidR="008C31A4" w:rsidRPr="009A1A2E" w:rsidRDefault="008C31A4" w:rsidP="008C31A4">
            <w:pPr>
              <w:pStyle w:val="Textbody"/>
              <w:rPr>
                <w:sz w:val="20"/>
                <w:szCs w:val="20"/>
                <w:lang w:val="en-AU"/>
              </w:rPr>
            </w:pPr>
            <w:r w:rsidRPr="009A1A2E">
              <w:rPr>
                <w:sz w:val="20"/>
                <w:szCs w:val="20"/>
                <w:lang w:val="en-AU"/>
              </w:rPr>
              <w:t>4</w:t>
            </w:r>
          </w:p>
        </w:tc>
        <w:tc>
          <w:tcPr>
            <w:tcW w:w="8363" w:type="dxa"/>
            <w:tcBorders>
              <w:top w:val="nil"/>
              <w:left w:val="nil"/>
              <w:bottom w:val="nil"/>
              <w:right w:val="nil"/>
            </w:tcBorders>
            <w:shd w:val="clear" w:color="auto" w:fill="auto"/>
            <w:noWrap/>
            <w:vAlign w:val="bottom"/>
            <w:hideMark/>
          </w:tcPr>
          <w:p w14:paraId="78F06DDE" w14:textId="77777777" w:rsidR="008C31A4" w:rsidRPr="009A1A2E" w:rsidRDefault="008C31A4" w:rsidP="008C31A4">
            <w:pPr>
              <w:pStyle w:val="Textbody"/>
              <w:rPr>
                <w:sz w:val="20"/>
                <w:szCs w:val="20"/>
                <w:lang w:val="en-AU"/>
              </w:rPr>
            </w:pPr>
            <w:r w:rsidRPr="009A1A2E">
              <w:rPr>
                <w:sz w:val="20"/>
                <w:szCs w:val="20"/>
                <w:lang w:val="en-AU"/>
              </w:rPr>
              <w:t>implantable hearing aid</w:t>
            </w:r>
          </w:p>
        </w:tc>
      </w:tr>
      <w:tr w:rsidR="008C31A4" w:rsidRPr="009A1A2E" w14:paraId="186D4443" w14:textId="77777777" w:rsidTr="008C31A4">
        <w:trPr>
          <w:trHeight w:val="290"/>
        </w:trPr>
        <w:tc>
          <w:tcPr>
            <w:tcW w:w="724" w:type="dxa"/>
            <w:tcBorders>
              <w:top w:val="nil"/>
              <w:left w:val="nil"/>
              <w:bottom w:val="nil"/>
              <w:right w:val="nil"/>
            </w:tcBorders>
            <w:shd w:val="clear" w:color="auto" w:fill="auto"/>
            <w:noWrap/>
            <w:vAlign w:val="bottom"/>
            <w:hideMark/>
          </w:tcPr>
          <w:p w14:paraId="20F6CA15" w14:textId="77777777" w:rsidR="008C31A4" w:rsidRPr="009A1A2E" w:rsidRDefault="008C31A4" w:rsidP="008C31A4">
            <w:pPr>
              <w:pStyle w:val="Textbody"/>
              <w:rPr>
                <w:sz w:val="20"/>
                <w:szCs w:val="20"/>
                <w:lang w:val="en-AU"/>
              </w:rPr>
            </w:pPr>
            <w:r w:rsidRPr="009A1A2E">
              <w:rPr>
                <w:sz w:val="20"/>
                <w:szCs w:val="20"/>
                <w:lang w:val="en-AU"/>
              </w:rPr>
              <w:t>5</w:t>
            </w:r>
          </w:p>
        </w:tc>
        <w:tc>
          <w:tcPr>
            <w:tcW w:w="8363" w:type="dxa"/>
            <w:tcBorders>
              <w:top w:val="nil"/>
              <w:left w:val="nil"/>
              <w:bottom w:val="nil"/>
              <w:right w:val="nil"/>
            </w:tcBorders>
            <w:shd w:val="clear" w:color="auto" w:fill="auto"/>
            <w:noWrap/>
            <w:vAlign w:val="bottom"/>
            <w:hideMark/>
          </w:tcPr>
          <w:p w14:paraId="36B35269" w14:textId="77777777" w:rsidR="008C31A4" w:rsidRPr="009A1A2E" w:rsidRDefault="008C31A4" w:rsidP="008C31A4">
            <w:pPr>
              <w:pStyle w:val="Textbody"/>
              <w:rPr>
                <w:sz w:val="20"/>
                <w:szCs w:val="20"/>
                <w:lang w:val="en-AU"/>
              </w:rPr>
            </w:pPr>
            <w:r w:rsidRPr="009A1A2E">
              <w:rPr>
                <w:sz w:val="20"/>
                <w:szCs w:val="20"/>
                <w:lang w:val="en-AU"/>
              </w:rPr>
              <w:t>implantable hearing device</w:t>
            </w:r>
          </w:p>
        </w:tc>
      </w:tr>
      <w:tr w:rsidR="008C31A4" w:rsidRPr="009A1A2E" w14:paraId="6BB5107F" w14:textId="77777777" w:rsidTr="008C31A4">
        <w:trPr>
          <w:trHeight w:val="290"/>
        </w:trPr>
        <w:tc>
          <w:tcPr>
            <w:tcW w:w="724" w:type="dxa"/>
            <w:tcBorders>
              <w:top w:val="nil"/>
              <w:left w:val="nil"/>
              <w:bottom w:val="nil"/>
              <w:right w:val="nil"/>
            </w:tcBorders>
            <w:shd w:val="clear" w:color="auto" w:fill="auto"/>
            <w:noWrap/>
            <w:vAlign w:val="bottom"/>
            <w:hideMark/>
          </w:tcPr>
          <w:p w14:paraId="32E08812" w14:textId="77777777" w:rsidR="008C31A4" w:rsidRPr="009A1A2E" w:rsidRDefault="008C31A4" w:rsidP="008C31A4">
            <w:pPr>
              <w:pStyle w:val="Textbody"/>
              <w:rPr>
                <w:sz w:val="20"/>
                <w:szCs w:val="20"/>
                <w:lang w:val="en-AU"/>
              </w:rPr>
            </w:pPr>
            <w:r w:rsidRPr="009A1A2E">
              <w:rPr>
                <w:sz w:val="20"/>
                <w:szCs w:val="20"/>
                <w:lang w:val="en-AU"/>
              </w:rPr>
              <w:t>6</w:t>
            </w:r>
          </w:p>
        </w:tc>
        <w:tc>
          <w:tcPr>
            <w:tcW w:w="8363" w:type="dxa"/>
            <w:tcBorders>
              <w:top w:val="nil"/>
              <w:left w:val="nil"/>
              <w:bottom w:val="nil"/>
              <w:right w:val="nil"/>
            </w:tcBorders>
            <w:shd w:val="clear" w:color="auto" w:fill="auto"/>
            <w:noWrap/>
            <w:vAlign w:val="bottom"/>
            <w:hideMark/>
          </w:tcPr>
          <w:p w14:paraId="6AD0EA30" w14:textId="77777777" w:rsidR="008C31A4" w:rsidRPr="009A1A2E" w:rsidRDefault="008C31A4" w:rsidP="008C31A4">
            <w:pPr>
              <w:pStyle w:val="Textbody"/>
              <w:rPr>
                <w:sz w:val="20"/>
                <w:szCs w:val="20"/>
                <w:lang w:val="en-AU"/>
              </w:rPr>
            </w:pPr>
            <w:r w:rsidRPr="009A1A2E">
              <w:rPr>
                <w:sz w:val="20"/>
                <w:szCs w:val="20"/>
                <w:lang w:val="en-AU"/>
              </w:rPr>
              <w:t>1 or 2 or 3 or 4 or 5</w:t>
            </w:r>
          </w:p>
        </w:tc>
      </w:tr>
      <w:tr w:rsidR="008C31A4" w:rsidRPr="009A1A2E" w14:paraId="12FC225C" w14:textId="77777777" w:rsidTr="008C31A4">
        <w:trPr>
          <w:trHeight w:val="300"/>
        </w:trPr>
        <w:tc>
          <w:tcPr>
            <w:tcW w:w="724" w:type="dxa"/>
            <w:tcBorders>
              <w:top w:val="nil"/>
              <w:left w:val="nil"/>
              <w:bottom w:val="single" w:sz="8" w:space="0" w:color="auto"/>
              <w:right w:val="nil"/>
            </w:tcBorders>
            <w:shd w:val="clear" w:color="auto" w:fill="auto"/>
            <w:noWrap/>
            <w:vAlign w:val="bottom"/>
            <w:hideMark/>
          </w:tcPr>
          <w:p w14:paraId="1C46C90E" w14:textId="77777777" w:rsidR="008C31A4" w:rsidRPr="009A1A2E" w:rsidRDefault="008C31A4" w:rsidP="008C31A4">
            <w:pPr>
              <w:pStyle w:val="Textbody"/>
              <w:rPr>
                <w:sz w:val="20"/>
                <w:szCs w:val="20"/>
                <w:lang w:val="en-AU"/>
              </w:rPr>
            </w:pPr>
            <w:r w:rsidRPr="009A1A2E">
              <w:rPr>
                <w:sz w:val="20"/>
                <w:szCs w:val="20"/>
                <w:lang w:val="en-AU"/>
              </w:rPr>
              <w:t>7</w:t>
            </w:r>
          </w:p>
        </w:tc>
        <w:tc>
          <w:tcPr>
            <w:tcW w:w="8363" w:type="dxa"/>
            <w:tcBorders>
              <w:top w:val="nil"/>
              <w:left w:val="nil"/>
              <w:bottom w:val="single" w:sz="8" w:space="0" w:color="auto"/>
              <w:right w:val="nil"/>
            </w:tcBorders>
            <w:shd w:val="clear" w:color="auto" w:fill="auto"/>
            <w:noWrap/>
            <w:vAlign w:val="bottom"/>
            <w:hideMark/>
          </w:tcPr>
          <w:p w14:paraId="629BEDBC" w14:textId="77777777" w:rsidR="008C31A4" w:rsidRPr="009A1A2E" w:rsidRDefault="008C31A4" w:rsidP="008C31A4">
            <w:pPr>
              <w:pStyle w:val="Textbody"/>
              <w:rPr>
                <w:sz w:val="20"/>
                <w:szCs w:val="20"/>
                <w:lang w:val="en-AU"/>
              </w:rPr>
            </w:pPr>
            <w:r w:rsidRPr="009A1A2E">
              <w:rPr>
                <w:sz w:val="20"/>
                <w:szCs w:val="20"/>
                <w:lang w:val="en-AU"/>
              </w:rPr>
              <w:t>6 AND hearing loss, sensorineural[MeSH Terms]</w:t>
            </w:r>
          </w:p>
        </w:tc>
      </w:tr>
    </w:tbl>
    <w:p w14:paraId="6DBEEDD3" w14:textId="77777777" w:rsidR="008C31A4" w:rsidRPr="009A1A2E" w:rsidRDefault="008C31A4" w:rsidP="008C31A4">
      <w:pPr>
        <w:pStyle w:val="Textbody"/>
        <w:rPr>
          <w:lang w:val="en-AU"/>
        </w:rPr>
      </w:pPr>
    </w:p>
    <w:p w14:paraId="50B69FA7" w14:textId="77777777" w:rsidR="008C31A4" w:rsidRPr="009A1A2E" w:rsidRDefault="008C31A4" w:rsidP="008C31A4">
      <w:pPr>
        <w:pStyle w:val="Heading20"/>
        <w:rPr>
          <w:lang w:val="en-AU"/>
        </w:rPr>
      </w:pPr>
      <w:bookmarkStart w:id="389" w:name="_Toc400549414"/>
      <w:bookmarkStart w:id="390" w:name="_Toc431917567"/>
      <w:r w:rsidRPr="009A1A2E">
        <w:rPr>
          <w:lang w:val="en-AU"/>
        </w:rPr>
        <w:t>B.2</w:t>
      </w:r>
      <w:r w:rsidRPr="009A1A2E">
        <w:rPr>
          <w:lang w:val="en-AU"/>
        </w:rPr>
        <w:tab/>
        <w:t>Listing of included non-randomised studies</w:t>
      </w:r>
      <w:bookmarkEnd w:id="389"/>
      <w:bookmarkEnd w:id="390"/>
    </w:p>
    <w:p w14:paraId="0917A802" w14:textId="77777777" w:rsidR="008C31A4" w:rsidRPr="009A1A2E" w:rsidRDefault="008C31A4" w:rsidP="008C31A4">
      <w:pPr>
        <w:pStyle w:val="Textbody"/>
        <w:rPr>
          <w:lang w:val="en-AU"/>
        </w:rPr>
      </w:pPr>
      <w:r w:rsidRPr="009A1A2E">
        <w:rPr>
          <w:lang w:val="en-AU"/>
        </w:rPr>
        <w:t>The citations identified by the literature search were evaluated against the PICOS criteria detailed below. Unrelated citations were removed and the full texts of the remaining were obtained for further screening. Studies were excluded if they still did not fulfil the eligibility criteria, or if the study design or reporting was of low quality. Screening of citations and of the full texts was conducted by two reviewers working independently from each other, with any uncertainties resolved by discussion or through consultation with a third researcher.</w:t>
      </w:r>
    </w:p>
    <w:p w14:paraId="6B94FC23" w14:textId="77777777" w:rsidR="008C31A4" w:rsidRPr="009A1A2E" w:rsidRDefault="008C31A4" w:rsidP="008C31A4">
      <w:pPr>
        <w:pStyle w:val="Textbody"/>
        <w:rPr>
          <w:lang w:val="en-AU"/>
        </w:rPr>
      </w:pPr>
    </w:p>
    <w:p w14:paraId="4D99B962" w14:textId="77777777" w:rsidR="008C31A4" w:rsidRPr="009A1A2E" w:rsidRDefault="008C31A4" w:rsidP="008C31A4">
      <w:pPr>
        <w:pStyle w:val="Textbody"/>
        <w:rPr>
          <w:lang w:val="en-AU"/>
        </w:rPr>
      </w:pPr>
      <w:r w:rsidRPr="009A1A2E">
        <w:rPr>
          <w:b/>
          <w:lang w:val="en-AU"/>
        </w:rPr>
        <w:t>Participants</w:t>
      </w:r>
      <w:r w:rsidRPr="009A1A2E">
        <w:rPr>
          <w:lang w:val="en-AU"/>
        </w:rPr>
        <w:t>: Subjects of any age, gender or ethnicity; with mild, moderate or severe sensorineural hearing loss of any aetiology in one or both ear(s), who have failed all other conservative medical, surgical, pharmaceutical treatment and could not benefit from conventional hearing aids (CHA) were included in this review. Subjects with a mixed or conductive hearing loss, or with a profound unilateral hearing loss were excluded.</w:t>
      </w:r>
    </w:p>
    <w:p w14:paraId="1D69C962" w14:textId="77777777" w:rsidR="008C31A4" w:rsidRPr="009A1A2E" w:rsidRDefault="008C31A4" w:rsidP="008C31A4">
      <w:pPr>
        <w:pStyle w:val="Textbody"/>
        <w:rPr>
          <w:lang w:val="en-AU"/>
        </w:rPr>
      </w:pPr>
    </w:p>
    <w:p w14:paraId="7E5F73D6" w14:textId="77777777" w:rsidR="008C31A4" w:rsidRPr="009A1A2E" w:rsidRDefault="008C31A4" w:rsidP="008C31A4">
      <w:pPr>
        <w:pStyle w:val="Textbody"/>
        <w:rPr>
          <w:lang w:val="en-AU"/>
        </w:rPr>
      </w:pPr>
      <w:r w:rsidRPr="009A1A2E">
        <w:rPr>
          <w:b/>
          <w:lang w:val="en-AU"/>
        </w:rPr>
        <w:t>Intervention</w:t>
      </w:r>
      <w:r w:rsidRPr="009A1A2E">
        <w:rPr>
          <w:lang w:val="en-AU"/>
        </w:rPr>
        <w:t>: The intervention included was unilateral implantation with the Vibrant Soundbridge middle ear implant by means of incus Vibroplasty. Any surgical approach was considered. Bilateral VSB implantation was excluded.</w:t>
      </w:r>
    </w:p>
    <w:p w14:paraId="2EEBE4A2" w14:textId="77777777" w:rsidR="008C31A4" w:rsidRPr="009A1A2E" w:rsidRDefault="008C31A4" w:rsidP="008C31A4">
      <w:pPr>
        <w:pStyle w:val="Textbody"/>
        <w:rPr>
          <w:lang w:val="en-AU"/>
        </w:rPr>
      </w:pPr>
    </w:p>
    <w:p w14:paraId="2AAEF97D" w14:textId="77777777" w:rsidR="008C31A4" w:rsidRPr="009A1A2E" w:rsidRDefault="008C31A4" w:rsidP="008C31A4">
      <w:pPr>
        <w:pStyle w:val="Textbody"/>
        <w:rPr>
          <w:lang w:val="en-AU"/>
        </w:rPr>
      </w:pPr>
      <w:r w:rsidRPr="009A1A2E">
        <w:rPr>
          <w:b/>
          <w:lang w:val="en-AU"/>
        </w:rPr>
        <w:t>Comparators</w:t>
      </w:r>
      <w:r w:rsidRPr="009A1A2E">
        <w:rPr>
          <w:lang w:val="en-AU"/>
        </w:rPr>
        <w:t xml:space="preserve">: Unilateral VSB implantation was compared to receiving no surgical intervention; and presented against the Maxum (formerly SOUNDTEC Direct Drive) partially implantable MEI, and the Esteem and Carina fully implantable hearing devices. </w:t>
      </w:r>
    </w:p>
    <w:p w14:paraId="15A5F3B3" w14:textId="77777777" w:rsidR="008C31A4" w:rsidRPr="009A1A2E" w:rsidRDefault="008C31A4" w:rsidP="008C31A4">
      <w:pPr>
        <w:pStyle w:val="Textbody"/>
        <w:rPr>
          <w:lang w:val="en-AU"/>
        </w:rPr>
      </w:pPr>
      <w:r w:rsidRPr="009A1A2E">
        <w:rPr>
          <w:lang w:val="en-AU"/>
        </w:rPr>
        <w:t xml:space="preserve">Outcomes: Data was searched on safety, efficacy and economical outcomes with the VSB. Safety-oriented outcomes included complication/adverse event rates, damage to the middle ear / inner ear revision surgery/explant rate/device failure and mortality. Efficacy </w:t>
      </w:r>
      <w:r w:rsidRPr="009A1A2E">
        <w:rPr>
          <w:lang w:val="en-AU"/>
        </w:rPr>
        <w:lastRenderedPageBreak/>
        <w:t>outcomes were divided into audiological outcomes including hearing thresholds, functional gain, speech perception in quiet and noise, speech recognition thresholds; and subjective outcomes determined by questionnaires, patient-oriented scales of improvement and satisfaction scales. Data related to quality of life (QALY, ICER) were considered under economical outcomes.</w:t>
      </w:r>
    </w:p>
    <w:p w14:paraId="1A82D1DA" w14:textId="77777777" w:rsidR="008C31A4" w:rsidRPr="009A1A2E" w:rsidRDefault="008C31A4" w:rsidP="008C31A4">
      <w:pPr>
        <w:pStyle w:val="Textbody"/>
        <w:rPr>
          <w:lang w:val="en-AU"/>
        </w:rPr>
      </w:pPr>
    </w:p>
    <w:p w14:paraId="27B95809" w14:textId="77777777" w:rsidR="008C31A4" w:rsidRPr="009A1A2E" w:rsidRDefault="008C31A4" w:rsidP="008C31A4">
      <w:pPr>
        <w:pStyle w:val="Textbody"/>
        <w:rPr>
          <w:lang w:val="en-AU"/>
        </w:rPr>
      </w:pPr>
      <w:r w:rsidRPr="009A1A2E">
        <w:rPr>
          <w:b/>
          <w:lang w:val="en-AU"/>
        </w:rPr>
        <w:t>Study Design</w:t>
      </w:r>
      <w:r w:rsidRPr="009A1A2E">
        <w:rPr>
          <w:lang w:val="en-AU"/>
        </w:rPr>
        <w:t>: Systematic reviews and meta-analyses, clinical studies including randomized or nonrandomized comparative studies, case series, case-control studies, controlled/not controlled before-and-after studies (CBAs and nCBAs) and interrupted time series (ITS) analyses) were included in this review. Non-systematic reviews, case reports, letters, editorials; and animal, in-vitro and laboratory studies were excluded. Clinical studies with sample sizes less than 5 were also excluded.</w:t>
      </w:r>
    </w:p>
    <w:p w14:paraId="0C7321D2" w14:textId="77777777" w:rsidR="008C31A4" w:rsidRPr="009A1A2E" w:rsidRDefault="008C31A4" w:rsidP="008C31A4">
      <w:pPr>
        <w:pStyle w:val="Textbody"/>
        <w:rPr>
          <w:lang w:val="en-AU"/>
        </w:rPr>
      </w:pPr>
    </w:p>
    <w:p w14:paraId="37E532E2" w14:textId="77777777" w:rsidR="008C31A4" w:rsidRPr="009A1A2E" w:rsidRDefault="008C31A4" w:rsidP="008C31A4">
      <w:pPr>
        <w:pStyle w:val="Textbody"/>
        <w:rPr>
          <w:lang w:val="en-AU"/>
        </w:rPr>
      </w:pPr>
      <w:r w:rsidRPr="009A1A2E">
        <w:rPr>
          <w:lang w:val="en-AU"/>
        </w:rPr>
        <w:t xml:space="preserve">The results of the database search and study selection is depicted in </w:t>
      </w:r>
      <w:r w:rsidR="000A6A60" w:rsidRPr="009A1A2E">
        <w:rPr>
          <w:lang w:val="en-AU"/>
        </w:rPr>
        <w:fldChar w:fldCharType="begin"/>
      </w:r>
      <w:r w:rsidR="000A6A60" w:rsidRPr="009A1A2E">
        <w:rPr>
          <w:lang w:val="en-AU"/>
        </w:rPr>
        <w:instrText xml:space="preserve"> REF _Ref400547155 \h </w:instrText>
      </w:r>
      <w:r w:rsidR="000A6A60" w:rsidRPr="009A1A2E">
        <w:rPr>
          <w:lang w:val="en-AU"/>
        </w:rPr>
      </w:r>
      <w:r w:rsidR="000A6A60" w:rsidRPr="009A1A2E">
        <w:rPr>
          <w:lang w:val="en-AU"/>
        </w:rPr>
        <w:fldChar w:fldCharType="separate"/>
      </w:r>
      <w:r w:rsidR="00016592" w:rsidRPr="009A1A2E">
        <w:rPr>
          <w:u w:val="single"/>
          <w:lang w:val="en-AU"/>
        </w:rPr>
        <w:t xml:space="preserve">Fig </w:t>
      </w:r>
      <w:r w:rsidR="00016592">
        <w:rPr>
          <w:noProof/>
          <w:u w:val="single"/>
          <w:lang w:val="en-AU"/>
        </w:rPr>
        <w:t>9</w:t>
      </w:r>
      <w:r w:rsidR="000A6A60" w:rsidRPr="009A1A2E">
        <w:rPr>
          <w:lang w:val="en-AU"/>
        </w:rPr>
        <w:fldChar w:fldCharType="end"/>
      </w:r>
      <w:r w:rsidRPr="009A1A2E">
        <w:rPr>
          <w:lang w:val="en-AU"/>
        </w:rPr>
        <w:t>. Out of a total of 670 citations, 86 were found to be matching the PICOS criteria. Upon screening the full-texts 39 were were excluded due to: unavailable full-tests (2), overlapping samples (5), small sample size (5), sample out of criteria (3), wrong study design (5), wrong comparator (1), low quality data reporting (9), unrelated outcomes (4), no outcome data (3), data col</w:t>
      </w:r>
      <w:r w:rsidR="00B23BCE" w:rsidRPr="009A1A2E">
        <w:rPr>
          <w:lang w:val="en-AU"/>
        </w:rPr>
        <w:t>lapsed across conditions (1). 4</w:t>
      </w:r>
      <w:r w:rsidR="00031697" w:rsidRPr="009A1A2E">
        <w:rPr>
          <w:lang w:val="en-AU"/>
        </w:rPr>
        <w:t>2</w:t>
      </w:r>
      <w:r w:rsidRPr="009A1A2E">
        <w:rPr>
          <w:lang w:val="en-AU"/>
        </w:rPr>
        <w:t xml:space="preserve"> studies remained to be included in the </w:t>
      </w:r>
      <w:r w:rsidR="000A6A60" w:rsidRPr="009A1A2E">
        <w:rPr>
          <w:lang w:val="en-AU"/>
        </w:rPr>
        <w:t>submission. These are listed in</w:t>
      </w:r>
      <w:r w:rsidR="008E5D58" w:rsidRPr="009A1A2E">
        <w:rPr>
          <w:lang w:val="en-AU"/>
        </w:rPr>
        <w:t xml:space="preserve"> </w:t>
      </w:r>
      <w:r w:rsidR="00495817" w:rsidRPr="009A1A2E">
        <w:rPr>
          <w:highlight w:val="yellow"/>
          <w:lang w:val="en-AU"/>
        </w:rPr>
        <w:fldChar w:fldCharType="begin"/>
      </w:r>
      <w:r w:rsidR="00495817" w:rsidRPr="009A1A2E">
        <w:rPr>
          <w:lang w:val="en-AU"/>
        </w:rPr>
        <w:instrText xml:space="preserve"> REF _Ref400565997 \h </w:instrText>
      </w:r>
      <w:r w:rsidR="00495817" w:rsidRPr="009A1A2E">
        <w:rPr>
          <w:highlight w:val="yellow"/>
          <w:lang w:val="en-AU"/>
        </w:rPr>
      </w:r>
      <w:r w:rsidR="00495817" w:rsidRPr="009A1A2E">
        <w:rPr>
          <w:highlight w:val="yellow"/>
          <w:lang w:val="en-AU"/>
        </w:rPr>
        <w:fldChar w:fldCharType="separate"/>
      </w:r>
      <w:r w:rsidR="00016592" w:rsidRPr="009A1A2E">
        <w:rPr>
          <w:lang w:val="en-AU"/>
        </w:rPr>
        <w:t xml:space="preserve">Table </w:t>
      </w:r>
      <w:r w:rsidR="00016592">
        <w:rPr>
          <w:noProof/>
          <w:lang w:val="en-AU"/>
        </w:rPr>
        <w:t>10</w:t>
      </w:r>
      <w:r w:rsidR="00495817" w:rsidRPr="009A1A2E">
        <w:rPr>
          <w:highlight w:val="yellow"/>
          <w:lang w:val="en-AU"/>
        </w:rPr>
        <w:fldChar w:fldCharType="end"/>
      </w:r>
      <w:r w:rsidRPr="009A1A2E">
        <w:rPr>
          <w:lang w:val="en-AU"/>
        </w:rPr>
        <w:t>.</w:t>
      </w:r>
    </w:p>
    <w:p w14:paraId="6EDDC76A" w14:textId="77777777" w:rsidR="008C31A4" w:rsidRPr="009A1A2E" w:rsidRDefault="008C31A4" w:rsidP="008C31A4">
      <w:pPr>
        <w:pStyle w:val="Textbody"/>
        <w:rPr>
          <w:lang w:val="en-AU"/>
        </w:rPr>
      </w:pPr>
      <w:r w:rsidRPr="009A1A2E">
        <w:rPr>
          <w:lang w:val="en-AU"/>
        </w:rPr>
        <w:t>The manual search for relevant studi</w:t>
      </w:r>
      <w:r w:rsidR="007B621A">
        <w:rPr>
          <w:lang w:val="en-AU"/>
        </w:rPr>
        <w:t>es yielded in the inclusion of 6</w:t>
      </w:r>
      <w:r w:rsidRPr="009A1A2E">
        <w:rPr>
          <w:lang w:val="en-AU"/>
        </w:rPr>
        <w:t xml:space="preserve"> more publications.  Four of these were identified </w:t>
      </w:r>
      <w:r w:rsidR="008E5D58" w:rsidRPr="009A1A2E">
        <w:rPr>
          <w:lang w:val="en-AU"/>
        </w:rPr>
        <w:t xml:space="preserve">from study bibliographies; one </w:t>
      </w:r>
      <w:r w:rsidRPr="009A1A2E">
        <w:rPr>
          <w:lang w:val="en-AU"/>
        </w:rPr>
        <w:t>was a recent publication not picked up by the database search; and another was a HTA report from Alberta, Canada. Overall, the data from 47 studies are presented in this submission.</w:t>
      </w:r>
    </w:p>
    <w:p w14:paraId="4D381A01" w14:textId="77777777" w:rsidR="008C31A4" w:rsidRPr="009A1A2E" w:rsidRDefault="008C31A4" w:rsidP="008C31A4">
      <w:pPr>
        <w:pStyle w:val="Textbody"/>
        <w:rPr>
          <w:lang w:val="en-AU"/>
        </w:rPr>
      </w:pPr>
    </w:p>
    <w:p w14:paraId="7C4A72CC" w14:textId="77777777" w:rsidR="008C31A4" w:rsidRPr="009A1A2E" w:rsidRDefault="007450F5" w:rsidP="008C31A4">
      <w:pPr>
        <w:pStyle w:val="Textbody"/>
        <w:rPr>
          <w:lang w:val="en-AU"/>
        </w:rPr>
      </w:pPr>
      <w:r w:rsidRPr="009A1A2E">
        <w:rPr>
          <w:noProof/>
          <w:lang w:val="en-AU" w:eastAsia="en-AU"/>
        </w:rPr>
        <w:lastRenderedPageBreak/>
        <w:drawing>
          <wp:inline distT="0" distB="0" distL="0" distR="0" wp14:anchorId="02547312" wp14:editId="3807924A">
            <wp:extent cx="5858510" cy="5753735"/>
            <wp:effectExtent l="0" t="0" r="8890" b="0"/>
            <wp:docPr id="12" name="Grafik 12" descr="Flow chart of data selection. Identification, Screening, Eligibility and Included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58510" cy="5753735"/>
                    </a:xfrm>
                    <a:prstGeom prst="rect">
                      <a:avLst/>
                    </a:prstGeom>
                    <a:noFill/>
                  </pic:spPr>
                </pic:pic>
              </a:graphicData>
            </a:graphic>
          </wp:inline>
        </w:drawing>
      </w:r>
    </w:p>
    <w:p w14:paraId="4F230587" w14:textId="77777777" w:rsidR="000A6A60" w:rsidRPr="009A1A2E" w:rsidRDefault="000A6A60" w:rsidP="000A6A60">
      <w:pPr>
        <w:pStyle w:val="Caption"/>
        <w:jc w:val="both"/>
        <w:rPr>
          <w:rFonts w:ascii="Arial" w:hAnsi="Arial" w:cs="Arial"/>
          <w:u w:val="single"/>
          <w:lang w:val="en-AU"/>
        </w:rPr>
      </w:pPr>
      <w:bookmarkStart w:id="391" w:name="_Ref400547155"/>
      <w:bookmarkStart w:id="392" w:name="_Toc431653918"/>
      <w:r w:rsidRPr="009A1A2E">
        <w:rPr>
          <w:rFonts w:ascii="Arial" w:hAnsi="Arial" w:cs="Arial"/>
          <w:u w:val="single"/>
          <w:lang w:val="en-AU"/>
        </w:rPr>
        <w:t xml:space="preserve">Fig </w:t>
      </w:r>
      <w:r w:rsidRPr="009A1A2E">
        <w:rPr>
          <w:rFonts w:ascii="Arial" w:hAnsi="Arial" w:cs="Arial"/>
          <w:u w:val="single"/>
          <w:lang w:val="en-AU"/>
        </w:rPr>
        <w:fldChar w:fldCharType="begin"/>
      </w:r>
      <w:r w:rsidRPr="009A1A2E">
        <w:rPr>
          <w:rFonts w:ascii="Arial" w:hAnsi="Arial" w:cs="Arial"/>
          <w:u w:val="single"/>
          <w:lang w:val="en-AU"/>
        </w:rPr>
        <w:instrText xml:space="preserve"> SEQ Fig \* ARABIC </w:instrText>
      </w:r>
      <w:r w:rsidRPr="009A1A2E">
        <w:rPr>
          <w:rFonts w:ascii="Arial" w:hAnsi="Arial" w:cs="Arial"/>
          <w:u w:val="single"/>
          <w:lang w:val="en-AU"/>
        </w:rPr>
        <w:fldChar w:fldCharType="separate"/>
      </w:r>
      <w:r w:rsidR="00016592">
        <w:rPr>
          <w:rFonts w:ascii="Arial" w:hAnsi="Arial" w:cs="Arial"/>
          <w:noProof/>
          <w:u w:val="single"/>
          <w:lang w:val="en-AU"/>
        </w:rPr>
        <w:t>9</w:t>
      </w:r>
      <w:r w:rsidRPr="009A1A2E">
        <w:rPr>
          <w:rFonts w:ascii="Arial" w:hAnsi="Arial" w:cs="Arial"/>
          <w:u w:val="single"/>
          <w:lang w:val="en-AU"/>
        </w:rPr>
        <w:fldChar w:fldCharType="end"/>
      </w:r>
      <w:bookmarkEnd w:id="391"/>
      <w:r w:rsidR="00A247F1" w:rsidRPr="009A1A2E">
        <w:rPr>
          <w:rFonts w:ascii="Arial" w:hAnsi="Arial" w:cs="Arial"/>
          <w:u w:val="single"/>
          <w:lang w:val="en-AU"/>
        </w:rPr>
        <w:t xml:space="preserve"> -</w:t>
      </w:r>
      <w:r w:rsidRPr="009A1A2E">
        <w:rPr>
          <w:rFonts w:ascii="Arial" w:hAnsi="Arial" w:cs="Arial"/>
          <w:u w:val="single"/>
          <w:lang w:val="en-AU"/>
        </w:rPr>
        <w:t xml:space="preserve"> Flow chart of data selection</w:t>
      </w:r>
      <w:bookmarkEnd w:id="392"/>
    </w:p>
    <w:p w14:paraId="0D97EAFB" w14:textId="77777777" w:rsidR="008E5D58" w:rsidRPr="009A1A2E" w:rsidRDefault="008E5D58" w:rsidP="008E5D58">
      <w:pPr>
        <w:pStyle w:val="Textbody"/>
        <w:rPr>
          <w:lang w:val="en-AU"/>
        </w:rPr>
      </w:pPr>
    </w:p>
    <w:p w14:paraId="181E57FB" w14:textId="77777777" w:rsidR="008E5D58" w:rsidRPr="009A1A2E" w:rsidRDefault="008E5D58" w:rsidP="008E5D58">
      <w:pPr>
        <w:pStyle w:val="Textbody"/>
        <w:rPr>
          <w:lang w:val="en-AU"/>
        </w:rPr>
      </w:pPr>
    </w:p>
    <w:p w14:paraId="5F2205E2" w14:textId="77777777" w:rsidR="008E5D58" w:rsidRPr="009A1A2E" w:rsidRDefault="008E5D58" w:rsidP="008E5D58">
      <w:pPr>
        <w:pStyle w:val="Textbody"/>
        <w:rPr>
          <w:b/>
          <w:u w:val="single"/>
          <w:lang w:val="en-AU"/>
        </w:rPr>
      </w:pPr>
      <w:r w:rsidRPr="009A1A2E">
        <w:rPr>
          <w:b/>
          <w:u w:val="single"/>
          <w:lang w:val="en-AU"/>
        </w:rPr>
        <w:t>Non-randomised studies</w:t>
      </w:r>
    </w:p>
    <w:p w14:paraId="374896CE" w14:textId="77777777" w:rsidR="008E5D58" w:rsidRPr="009A1A2E" w:rsidRDefault="008E5D58" w:rsidP="008E5D58">
      <w:pPr>
        <w:pStyle w:val="Textbody"/>
        <w:rPr>
          <w:lang w:val="en-AU"/>
        </w:rPr>
      </w:pPr>
      <w:r w:rsidRPr="009A1A2E">
        <w:rPr>
          <w:lang w:val="en-AU"/>
        </w:rPr>
        <w:t xml:space="preserve">A list of all non-randomised studies is presented in </w:t>
      </w:r>
      <w:r w:rsidR="00A318E3" w:rsidRPr="009A1A2E">
        <w:rPr>
          <w:highlight w:val="yellow"/>
          <w:lang w:val="en-AU"/>
        </w:rPr>
        <w:fldChar w:fldCharType="begin"/>
      </w:r>
      <w:r w:rsidR="00A318E3" w:rsidRPr="009A1A2E">
        <w:rPr>
          <w:lang w:val="en-AU"/>
        </w:rPr>
        <w:instrText xml:space="preserve"> REF _Ref400565997 \h </w:instrText>
      </w:r>
      <w:r w:rsidR="00A318E3" w:rsidRPr="009A1A2E">
        <w:rPr>
          <w:highlight w:val="yellow"/>
          <w:lang w:val="en-AU"/>
        </w:rPr>
        <w:instrText xml:space="preserve"> \* MERGEFORMAT </w:instrText>
      </w:r>
      <w:r w:rsidR="00A318E3" w:rsidRPr="009A1A2E">
        <w:rPr>
          <w:highlight w:val="yellow"/>
          <w:lang w:val="en-AU"/>
        </w:rPr>
      </w:r>
      <w:r w:rsidR="00A318E3" w:rsidRPr="009A1A2E">
        <w:rPr>
          <w:highlight w:val="yellow"/>
          <w:lang w:val="en-AU"/>
        </w:rPr>
        <w:fldChar w:fldCharType="separate"/>
      </w:r>
      <w:r w:rsidR="00016592" w:rsidRPr="009A1A2E">
        <w:rPr>
          <w:lang w:val="en-AU"/>
        </w:rPr>
        <w:t xml:space="preserve">Table </w:t>
      </w:r>
      <w:r w:rsidR="00016592">
        <w:rPr>
          <w:lang w:val="en-AU"/>
        </w:rPr>
        <w:t>10</w:t>
      </w:r>
      <w:r w:rsidR="00A318E3" w:rsidRPr="009A1A2E">
        <w:rPr>
          <w:highlight w:val="yellow"/>
          <w:lang w:val="en-AU"/>
        </w:rPr>
        <w:fldChar w:fldCharType="end"/>
      </w:r>
      <w:r w:rsidRPr="009A1A2E">
        <w:rPr>
          <w:lang w:val="en-AU"/>
        </w:rPr>
        <w:t>. Most studies compare MEI performance against that obtained in the unaided condition pre- or post-operatively. Some studies have included a baseline condition aided with hearing aids; this data has however been excluded from the submission. Results of the individual studies are summarised through the following sections.</w:t>
      </w:r>
    </w:p>
    <w:p w14:paraId="76CE1F4B" w14:textId="77777777" w:rsidR="008E5D58" w:rsidRPr="009A1A2E" w:rsidRDefault="008E5D58" w:rsidP="008E5D58">
      <w:pPr>
        <w:pStyle w:val="Textbody"/>
        <w:rPr>
          <w:lang w:val="en-AU"/>
        </w:rPr>
      </w:pPr>
    </w:p>
    <w:p w14:paraId="5C9384DE" w14:textId="77777777" w:rsidR="00A318E3" w:rsidRPr="009A1A2E" w:rsidRDefault="00A318E3" w:rsidP="008E5D58">
      <w:pPr>
        <w:pStyle w:val="Textbody"/>
        <w:rPr>
          <w:lang w:val="en-AU"/>
        </w:rPr>
        <w:sectPr w:rsidR="00A318E3" w:rsidRPr="009A1A2E" w:rsidSect="008846BA">
          <w:headerReference w:type="default" r:id="rId51"/>
          <w:pgSz w:w="11907" w:h="16839" w:code="9"/>
          <w:pgMar w:top="1701" w:right="1418" w:bottom="1418" w:left="1701" w:header="720" w:footer="720" w:gutter="0"/>
          <w:paperSrc w:first="4035" w:other="4035"/>
          <w:cols w:space="720"/>
          <w:noEndnote/>
        </w:sectPr>
      </w:pPr>
    </w:p>
    <w:p w14:paraId="225D25F9" w14:textId="77777777" w:rsidR="00A318E3" w:rsidRPr="009A1A2E" w:rsidRDefault="00A318E3" w:rsidP="00A318E3">
      <w:pPr>
        <w:pStyle w:val="Caption"/>
        <w:rPr>
          <w:rFonts w:ascii="Arial" w:hAnsi="Arial" w:cs="Arial"/>
          <w:lang w:val="en-AU"/>
        </w:rPr>
      </w:pPr>
      <w:bookmarkStart w:id="393" w:name="_Ref400565997"/>
      <w:bookmarkStart w:id="394" w:name="_Toc431917470"/>
      <w:r w:rsidRPr="009A1A2E">
        <w:rPr>
          <w:rFonts w:ascii="Arial" w:hAnsi="Arial" w:cs="Arial"/>
          <w:lang w:val="en-AU"/>
        </w:rPr>
        <w:lastRenderedPageBreak/>
        <w:t xml:space="preserve">Table </w:t>
      </w:r>
      <w:r w:rsidRPr="009A1A2E">
        <w:rPr>
          <w:rFonts w:ascii="Arial" w:hAnsi="Arial" w:cs="Arial"/>
          <w:lang w:val="en-AU"/>
        </w:rPr>
        <w:fldChar w:fldCharType="begin"/>
      </w:r>
      <w:r w:rsidRPr="009A1A2E">
        <w:rPr>
          <w:rFonts w:ascii="Arial" w:hAnsi="Arial" w:cs="Arial"/>
          <w:lang w:val="en-AU"/>
        </w:rPr>
        <w:instrText xml:space="preserve"> SEQ Table \* ARABIC </w:instrText>
      </w:r>
      <w:r w:rsidRPr="009A1A2E">
        <w:rPr>
          <w:rFonts w:ascii="Arial" w:hAnsi="Arial" w:cs="Arial"/>
          <w:lang w:val="en-AU"/>
        </w:rPr>
        <w:fldChar w:fldCharType="separate"/>
      </w:r>
      <w:r w:rsidR="00016592">
        <w:rPr>
          <w:rFonts w:ascii="Arial" w:hAnsi="Arial" w:cs="Arial"/>
          <w:noProof/>
          <w:lang w:val="en-AU"/>
        </w:rPr>
        <w:t>10</w:t>
      </w:r>
      <w:r w:rsidRPr="009A1A2E">
        <w:rPr>
          <w:rFonts w:ascii="Arial" w:hAnsi="Arial" w:cs="Arial"/>
          <w:lang w:val="en-AU"/>
        </w:rPr>
        <w:fldChar w:fldCharType="end"/>
      </w:r>
      <w:bookmarkEnd w:id="393"/>
      <w:r w:rsidRPr="009A1A2E">
        <w:rPr>
          <w:rFonts w:ascii="Arial" w:hAnsi="Arial" w:cs="Arial"/>
          <w:lang w:val="en-AU"/>
        </w:rPr>
        <w:t xml:space="preserve"> - Non-randomised studies assessing the safety and efficacy of middle ear implants</w:t>
      </w:r>
      <w:bookmarkEnd w:id="394"/>
    </w:p>
    <w:tbl>
      <w:tblPr>
        <w:tblW w:w="13765" w:type="dxa"/>
        <w:tblInd w:w="93" w:type="dxa"/>
        <w:tblLook w:val="04A0" w:firstRow="1" w:lastRow="0" w:firstColumn="1" w:lastColumn="0" w:noHBand="0" w:noVBand="1"/>
        <w:tblDescription w:val="Non-randomised studies assessing the safety and efficacy of middle ear implants"/>
      </w:tblPr>
      <w:tblGrid>
        <w:gridCol w:w="1716"/>
        <w:gridCol w:w="12049"/>
      </w:tblGrid>
      <w:tr w:rsidR="00A318E3" w:rsidRPr="009A1A2E" w14:paraId="2AF8B4C3" w14:textId="77777777" w:rsidTr="005D140A">
        <w:trPr>
          <w:trHeight w:val="450"/>
        </w:trPr>
        <w:tc>
          <w:tcPr>
            <w:tcW w:w="1716"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6A867574" w14:textId="77777777" w:rsidR="00A318E3" w:rsidRPr="009A1A2E" w:rsidRDefault="00A318E3" w:rsidP="005D140A">
            <w:pPr>
              <w:rPr>
                <w:rFonts w:cs="Arial"/>
                <w:b/>
                <w:bCs/>
                <w:color w:val="000000"/>
                <w:sz w:val="20"/>
                <w:szCs w:val="20"/>
              </w:rPr>
            </w:pPr>
            <w:r w:rsidRPr="009A1A2E">
              <w:rPr>
                <w:rFonts w:cs="Arial"/>
                <w:b/>
                <w:bCs/>
                <w:color w:val="000000"/>
                <w:sz w:val="20"/>
                <w:szCs w:val="20"/>
              </w:rPr>
              <w:t>Author</w:t>
            </w:r>
          </w:p>
        </w:tc>
        <w:tc>
          <w:tcPr>
            <w:tcW w:w="12049" w:type="dxa"/>
            <w:tcBorders>
              <w:top w:val="single" w:sz="8" w:space="0" w:color="auto"/>
              <w:left w:val="nil"/>
              <w:bottom w:val="single" w:sz="4" w:space="0" w:color="auto"/>
              <w:right w:val="single" w:sz="8" w:space="0" w:color="000000"/>
            </w:tcBorders>
            <w:shd w:val="clear" w:color="auto" w:fill="auto"/>
            <w:vAlign w:val="center"/>
            <w:hideMark/>
          </w:tcPr>
          <w:p w14:paraId="4354E597" w14:textId="77777777" w:rsidR="00A318E3" w:rsidRPr="009A1A2E" w:rsidRDefault="00A318E3" w:rsidP="005D140A">
            <w:pPr>
              <w:jc w:val="center"/>
              <w:rPr>
                <w:rFonts w:cs="Arial"/>
                <w:b/>
                <w:bCs/>
                <w:color w:val="000000"/>
                <w:sz w:val="20"/>
                <w:szCs w:val="20"/>
              </w:rPr>
            </w:pPr>
            <w:r w:rsidRPr="009A1A2E">
              <w:rPr>
                <w:rFonts w:cs="Arial"/>
                <w:b/>
                <w:bCs/>
                <w:color w:val="000000"/>
                <w:sz w:val="20"/>
                <w:szCs w:val="20"/>
              </w:rPr>
              <w:t>Reports</w:t>
            </w:r>
          </w:p>
        </w:tc>
      </w:tr>
      <w:tr w:rsidR="00A318E3" w:rsidRPr="009A1A2E" w14:paraId="5CEBD267" w14:textId="77777777" w:rsidTr="005D140A">
        <w:trPr>
          <w:trHeight w:val="300"/>
        </w:trPr>
        <w:tc>
          <w:tcPr>
            <w:tcW w:w="13765"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223B6DB1" w14:textId="77777777" w:rsidR="00A318E3" w:rsidRPr="009A1A2E" w:rsidRDefault="00A318E3" w:rsidP="005D140A">
            <w:pPr>
              <w:jc w:val="center"/>
              <w:rPr>
                <w:rFonts w:cs="Arial"/>
                <w:color w:val="000000"/>
                <w:sz w:val="20"/>
                <w:szCs w:val="20"/>
              </w:rPr>
            </w:pPr>
            <w:r w:rsidRPr="009A1A2E">
              <w:rPr>
                <w:rFonts w:cs="Arial"/>
                <w:color w:val="000000"/>
                <w:sz w:val="20"/>
                <w:szCs w:val="20"/>
              </w:rPr>
              <w:t>Fully implantable device: ESTEEM</w:t>
            </w:r>
          </w:p>
        </w:tc>
      </w:tr>
      <w:tr w:rsidR="00A318E3" w:rsidRPr="009A1A2E" w14:paraId="60FB4079" w14:textId="77777777" w:rsidTr="005D140A">
        <w:trPr>
          <w:trHeight w:val="405"/>
        </w:trPr>
        <w:tc>
          <w:tcPr>
            <w:tcW w:w="1716" w:type="dxa"/>
            <w:tcBorders>
              <w:top w:val="nil"/>
              <w:left w:val="single" w:sz="8" w:space="0" w:color="auto"/>
              <w:bottom w:val="single" w:sz="4" w:space="0" w:color="auto"/>
              <w:right w:val="single" w:sz="4" w:space="0" w:color="auto"/>
            </w:tcBorders>
            <w:shd w:val="clear" w:color="auto" w:fill="auto"/>
            <w:vAlign w:val="center"/>
            <w:hideMark/>
          </w:tcPr>
          <w:p w14:paraId="5DF38E9C" w14:textId="77777777" w:rsidR="00A318E3" w:rsidRPr="009A1A2E" w:rsidRDefault="00A318E3" w:rsidP="005D140A">
            <w:pPr>
              <w:rPr>
                <w:rFonts w:cs="Arial"/>
                <w:color w:val="000000"/>
                <w:sz w:val="20"/>
                <w:szCs w:val="20"/>
              </w:rPr>
            </w:pPr>
            <w:r w:rsidRPr="009A1A2E">
              <w:rPr>
                <w:rFonts w:cs="Arial"/>
                <w:color w:val="000000"/>
                <w:sz w:val="20"/>
                <w:szCs w:val="20"/>
              </w:rPr>
              <w:t>Barbara (2014)</w:t>
            </w:r>
          </w:p>
        </w:tc>
        <w:tc>
          <w:tcPr>
            <w:tcW w:w="12049" w:type="dxa"/>
            <w:tcBorders>
              <w:top w:val="single" w:sz="4" w:space="0" w:color="auto"/>
              <w:left w:val="nil"/>
              <w:bottom w:val="single" w:sz="4" w:space="0" w:color="auto"/>
              <w:right w:val="single" w:sz="8" w:space="0" w:color="000000"/>
            </w:tcBorders>
            <w:shd w:val="clear" w:color="auto" w:fill="auto"/>
            <w:vAlign w:val="center"/>
            <w:hideMark/>
          </w:tcPr>
          <w:p w14:paraId="63B2E4AA" w14:textId="77777777" w:rsidR="00A318E3" w:rsidRPr="009A1A2E" w:rsidRDefault="00A318E3" w:rsidP="005D140A">
            <w:pPr>
              <w:rPr>
                <w:rFonts w:cs="Arial"/>
                <w:color w:val="000000"/>
                <w:sz w:val="20"/>
                <w:szCs w:val="20"/>
              </w:rPr>
            </w:pPr>
            <w:r w:rsidRPr="009A1A2E">
              <w:rPr>
                <w:rFonts w:cs="Arial"/>
                <w:color w:val="000000"/>
                <w:sz w:val="20"/>
                <w:szCs w:val="20"/>
              </w:rPr>
              <w:t>Delayed facial nerve palsy after surgery for the Esteem. Acta Otolaryngol., Early Online, 1–4, 2014.</w:t>
            </w:r>
          </w:p>
        </w:tc>
      </w:tr>
      <w:tr w:rsidR="00A318E3" w:rsidRPr="009A1A2E" w14:paraId="08178CE9" w14:textId="77777777" w:rsidTr="005D140A">
        <w:trPr>
          <w:trHeight w:val="600"/>
        </w:trPr>
        <w:tc>
          <w:tcPr>
            <w:tcW w:w="1716" w:type="dxa"/>
            <w:tcBorders>
              <w:top w:val="nil"/>
              <w:left w:val="single" w:sz="8" w:space="0" w:color="auto"/>
              <w:bottom w:val="single" w:sz="4" w:space="0" w:color="auto"/>
              <w:right w:val="single" w:sz="4" w:space="0" w:color="auto"/>
            </w:tcBorders>
            <w:shd w:val="clear" w:color="auto" w:fill="auto"/>
            <w:noWrap/>
            <w:vAlign w:val="center"/>
            <w:hideMark/>
          </w:tcPr>
          <w:p w14:paraId="21E53F52" w14:textId="77777777" w:rsidR="00A318E3" w:rsidRPr="009A1A2E" w:rsidRDefault="00A318E3" w:rsidP="005D140A">
            <w:pPr>
              <w:rPr>
                <w:rFonts w:cs="Arial"/>
                <w:color w:val="000000"/>
                <w:sz w:val="20"/>
                <w:szCs w:val="20"/>
              </w:rPr>
            </w:pPr>
            <w:r w:rsidRPr="009A1A2E">
              <w:rPr>
                <w:rFonts w:cs="Arial"/>
                <w:color w:val="000000"/>
                <w:sz w:val="20"/>
                <w:szCs w:val="20"/>
              </w:rPr>
              <w:t>Chen (2004)</w:t>
            </w:r>
          </w:p>
        </w:tc>
        <w:tc>
          <w:tcPr>
            <w:tcW w:w="12049" w:type="dxa"/>
            <w:tcBorders>
              <w:top w:val="single" w:sz="4" w:space="0" w:color="auto"/>
              <w:left w:val="nil"/>
              <w:bottom w:val="single" w:sz="4" w:space="0" w:color="auto"/>
              <w:right w:val="single" w:sz="8" w:space="0" w:color="000000"/>
            </w:tcBorders>
            <w:shd w:val="clear" w:color="auto" w:fill="auto"/>
            <w:vAlign w:val="center"/>
            <w:hideMark/>
          </w:tcPr>
          <w:p w14:paraId="72BAECB3" w14:textId="77777777" w:rsidR="00A318E3" w:rsidRPr="009A1A2E" w:rsidRDefault="00A318E3" w:rsidP="005D140A">
            <w:pPr>
              <w:rPr>
                <w:rFonts w:cs="Arial"/>
                <w:color w:val="000000"/>
                <w:sz w:val="20"/>
                <w:szCs w:val="20"/>
              </w:rPr>
            </w:pPr>
            <w:r w:rsidRPr="009A1A2E">
              <w:rPr>
                <w:rFonts w:cs="Arial"/>
                <w:color w:val="000000"/>
                <w:sz w:val="20"/>
                <w:szCs w:val="20"/>
              </w:rPr>
              <w:t>Phase 1 clinical trial results of the Envoy System: a totally implantable middle ear device for sensorineural hearing loss. Otolaryngol.Head Neck Surg. 131 (6):904-916, 2004.</w:t>
            </w:r>
          </w:p>
        </w:tc>
      </w:tr>
      <w:tr w:rsidR="00A318E3" w:rsidRPr="009A1A2E" w14:paraId="51EC6977" w14:textId="77777777" w:rsidTr="005D140A">
        <w:trPr>
          <w:trHeight w:val="345"/>
        </w:trPr>
        <w:tc>
          <w:tcPr>
            <w:tcW w:w="1716" w:type="dxa"/>
            <w:tcBorders>
              <w:top w:val="nil"/>
              <w:left w:val="single" w:sz="8" w:space="0" w:color="auto"/>
              <w:bottom w:val="single" w:sz="4" w:space="0" w:color="auto"/>
              <w:right w:val="single" w:sz="4" w:space="0" w:color="auto"/>
            </w:tcBorders>
            <w:shd w:val="clear" w:color="auto" w:fill="auto"/>
            <w:noWrap/>
            <w:vAlign w:val="center"/>
            <w:hideMark/>
          </w:tcPr>
          <w:p w14:paraId="0A85801E" w14:textId="77777777" w:rsidR="00A318E3" w:rsidRPr="009A1A2E" w:rsidRDefault="00A318E3" w:rsidP="005D140A">
            <w:pPr>
              <w:rPr>
                <w:rFonts w:cs="Arial"/>
                <w:color w:val="000000"/>
                <w:sz w:val="20"/>
                <w:szCs w:val="20"/>
              </w:rPr>
            </w:pPr>
            <w:r w:rsidRPr="009A1A2E">
              <w:rPr>
                <w:rFonts w:cs="Arial"/>
                <w:color w:val="000000"/>
                <w:sz w:val="20"/>
                <w:szCs w:val="20"/>
              </w:rPr>
              <w:t>Gerard (2012)</w:t>
            </w:r>
          </w:p>
        </w:tc>
        <w:tc>
          <w:tcPr>
            <w:tcW w:w="12049" w:type="dxa"/>
            <w:tcBorders>
              <w:top w:val="single" w:sz="4" w:space="0" w:color="auto"/>
              <w:left w:val="nil"/>
              <w:bottom w:val="single" w:sz="4" w:space="0" w:color="auto"/>
              <w:right w:val="single" w:sz="8" w:space="0" w:color="000000"/>
            </w:tcBorders>
            <w:shd w:val="clear" w:color="auto" w:fill="auto"/>
            <w:vAlign w:val="center"/>
            <w:hideMark/>
          </w:tcPr>
          <w:p w14:paraId="3E90BE97" w14:textId="77777777" w:rsidR="00A318E3" w:rsidRPr="009A1A2E" w:rsidRDefault="00A318E3" w:rsidP="005D140A">
            <w:pPr>
              <w:rPr>
                <w:rFonts w:cs="Arial"/>
                <w:color w:val="000000"/>
                <w:sz w:val="20"/>
                <w:szCs w:val="20"/>
              </w:rPr>
            </w:pPr>
            <w:r w:rsidRPr="009A1A2E">
              <w:rPr>
                <w:rFonts w:cs="Arial"/>
                <w:color w:val="000000"/>
                <w:sz w:val="20"/>
                <w:szCs w:val="20"/>
              </w:rPr>
              <w:t>Esteem 2 middle ear implant: our experience. Audiol.Neurootol. 17 (4):267-274, 2012.</w:t>
            </w:r>
          </w:p>
        </w:tc>
      </w:tr>
      <w:tr w:rsidR="00A318E3" w:rsidRPr="009A1A2E" w14:paraId="20A3B04C" w14:textId="77777777" w:rsidTr="005D140A">
        <w:trPr>
          <w:trHeight w:val="675"/>
        </w:trPr>
        <w:tc>
          <w:tcPr>
            <w:tcW w:w="1716" w:type="dxa"/>
            <w:tcBorders>
              <w:top w:val="nil"/>
              <w:left w:val="single" w:sz="8" w:space="0" w:color="auto"/>
              <w:bottom w:val="single" w:sz="4" w:space="0" w:color="auto"/>
              <w:right w:val="single" w:sz="4" w:space="0" w:color="auto"/>
            </w:tcBorders>
            <w:shd w:val="clear" w:color="auto" w:fill="auto"/>
            <w:noWrap/>
            <w:vAlign w:val="center"/>
            <w:hideMark/>
          </w:tcPr>
          <w:p w14:paraId="7596E66D" w14:textId="77777777" w:rsidR="00A318E3" w:rsidRPr="009A1A2E" w:rsidRDefault="00A318E3" w:rsidP="005D140A">
            <w:pPr>
              <w:rPr>
                <w:rFonts w:cs="Arial"/>
                <w:color w:val="000000"/>
                <w:sz w:val="20"/>
                <w:szCs w:val="20"/>
              </w:rPr>
            </w:pPr>
            <w:r w:rsidRPr="009A1A2E">
              <w:rPr>
                <w:rFonts w:cs="Arial"/>
                <w:color w:val="000000"/>
                <w:sz w:val="20"/>
                <w:szCs w:val="20"/>
              </w:rPr>
              <w:t>Kraus (2011)</w:t>
            </w:r>
          </w:p>
        </w:tc>
        <w:tc>
          <w:tcPr>
            <w:tcW w:w="12049" w:type="dxa"/>
            <w:tcBorders>
              <w:top w:val="single" w:sz="4" w:space="0" w:color="auto"/>
              <w:left w:val="nil"/>
              <w:bottom w:val="single" w:sz="4" w:space="0" w:color="auto"/>
              <w:right w:val="single" w:sz="8" w:space="0" w:color="000000"/>
            </w:tcBorders>
            <w:shd w:val="clear" w:color="auto" w:fill="auto"/>
            <w:vAlign w:val="center"/>
            <w:hideMark/>
          </w:tcPr>
          <w:p w14:paraId="3912C887" w14:textId="77777777" w:rsidR="00A318E3" w:rsidRPr="009A1A2E" w:rsidRDefault="00A318E3" w:rsidP="005D140A">
            <w:pPr>
              <w:rPr>
                <w:rFonts w:cs="Arial"/>
                <w:color w:val="000000"/>
                <w:sz w:val="20"/>
                <w:szCs w:val="20"/>
              </w:rPr>
            </w:pPr>
            <w:r w:rsidRPr="009A1A2E">
              <w:rPr>
                <w:rFonts w:cs="Arial"/>
                <w:color w:val="000000"/>
                <w:sz w:val="20"/>
                <w:szCs w:val="20"/>
              </w:rPr>
              <w:t>Envoy Esteem Totally Implantable Hearing System: phase 2 trial, 1-year hearing results. Otolaryngol.Head Neck Surg. 145 (1):100-109, 2011.</w:t>
            </w:r>
          </w:p>
        </w:tc>
      </w:tr>
      <w:tr w:rsidR="00A318E3" w:rsidRPr="009A1A2E" w14:paraId="0121D9F4" w14:textId="77777777" w:rsidTr="005D140A">
        <w:trPr>
          <w:trHeight w:val="710"/>
        </w:trPr>
        <w:tc>
          <w:tcPr>
            <w:tcW w:w="1716" w:type="dxa"/>
            <w:tcBorders>
              <w:top w:val="nil"/>
              <w:left w:val="single" w:sz="8" w:space="0" w:color="auto"/>
              <w:bottom w:val="single" w:sz="4" w:space="0" w:color="auto"/>
              <w:right w:val="single" w:sz="4" w:space="0" w:color="auto"/>
            </w:tcBorders>
            <w:shd w:val="clear" w:color="auto" w:fill="auto"/>
            <w:noWrap/>
            <w:vAlign w:val="center"/>
            <w:hideMark/>
          </w:tcPr>
          <w:p w14:paraId="42AF1180" w14:textId="77777777" w:rsidR="00A318E3" w:rsidRPr="009A1A2E" w:rsidRDefault="00A318E3" w:rsidP="005D140A">
            <w:pPr>
              <w:rPr>
                <w:rFonts w:cs="Arial"/>
                <w:color w:val="000000"/>
                <w:sz w:val="20"/>
                <w:szCs w:val="20"/>
              </w:rPr>
            </w:pPr>
            <w:r w:rsidRPr="009A1A2E">
              <w:rPr>
                <w:rFonts w:cs="Arial"/>
                <w:color w:val="000000"/>
                <w:sz w:val="20"/>
                <w:szCs w:val="20"/>
              </w:rPr>
              <w:t xml:space="preserve">Llanos-Méndez (2013) </w:t>
            </w:r>
          </w:p>
        </w:tc>
        <w:tc>
          <w:tcPr>
            <w:tcW w:w="12049" w:type="dxa"/>
            <w:tcBorders>
              <w:top w:val="single" w:sz="4" w:space="0" w:color="auto"/>
              <w:left w:val="nil"/>
              <w:bottom w:val="single" w:sz="4" w:space="0" w:color="auto"/>
              <w:right w:val="single" w:sz="8" w:space="0" w:color="000000"/>
            </w:tcBorders>
            <w:shd w:val="clear" w:color="auto" w:fill="auto"/>
            <w:vAlign w:val="center"/>
            <w:hideMark/>
          </w:tcPr>
          <w:p w14:paraId="513F36B0" w14:textId="77777777" w:rsidR="00A318E3" w:rsidRPr="009A1A2E" w:rsidRDefault="00A318E3" w:rsidP="005D140A">
            <w:pPr>
              <w:rPr>
                <w:rFonts w:cs="Arial"/>
                <w:color w:val="000000"/>
                <w:sz w:val="20"/>
                <w:szCs w:val="20"/>
              </w:rPr>
            </w:pPr>
            <w:r w:rsidRPr="009A1A2E">
              <w:rPr>
                <w:rFonts w:cs="Arial"/>
                <w:color w:val="000000"/>
                <w:sz w:val="20"/>
                <w:szCs w:val="20"/>
              </w:rPr>
              <w:t xml:space="preserve">Esteem® totally implantable hearing device for treatment of sensorineural hearing loss. Systematic review. ISBN:978-84-15600-26-8, 2013. </w:t>
            </w:r>
          </w:p>
        </w:tc>
      </w:tr>
      <w:tr w:rsidR="00A318E3" w:rsidRPr="009A1A2E" w14:paraId="59140BDE" w14:textId="77777777" w:rsidTr="005D140A">
        <w:trPr>
          <w:trHeight w:val="615"/>
        </w:trPr>
        <w:tc>
          <w:tcPr>
            <w:tcW w:w="1716" w:type="dxa"/>
            <w:tcBorders>
              <w:top w:val="nil"/>
              <w:left w:val="single" w:sz="8" w:space="0" w:color="auto"/>
              <w:bottom w:val="single" w:sz="4" w:space="0" w:color="auto"/>
              <w:right w:val="single" w:sz="4" w:space="0" w:color="auto"/>
            </w:tcBorders>
            <w:shd w:val="clear" w:color="auto" w:fill="auto"/>
            <w:noWrap/>
            <w:vAlign w:val="center"/>
            <w:hideMark/>
          </w:tcPr>
          <w:p w14:paraId="0AB31B38" w14:textId="77777777" w:rsidR="00A318E3" w:rsidRPr="009A1A2E" w:rsidRDefault="00A318E3" w:rsidP="005D140A">
            <w:pPr>
              <w:rPr>
                <w:rFonts w:cs="Arial"/>
                <w:color w:val="000000"/>
                <w:sz w:val="20"/>
                <w:szCs w:val="20"/>
              </w:rPr>
            </w:pPr>
            <w:r w:rsidRPr="009A1A2E">
              <w:rPr>
                <w:rFonts w:cs="Arial"/>
                <w:color w:val="000000"/>
                <w:sz w:val="20"/>
                <w:szCs w:val="20"/>
              </w:rPr>
              <w:t>Memari (2011)</w:t>
            </w:r>
          </w:p>
        </w:tc>
        <w:tc>
          <w:tcPr>
            <w:tcW w:w="12049" w:type="dxa"/>
            <w:tcBorders>
              <w:top w:val="single" w:sz="4" w:space="0" w:color="auto"/>
              <w:left w:val="nil"/>
              <w:bottom w:val="single" w:sz="4" w:space="0" w:color="auto"/>
              <w:right w:val="single" w:sz="8" w:space="0" w:color="000000"/>
            </w:tcBorders>
            <w:shd w:val="clear" w:color="auto" w:fill="auto"/>
            <w:vAlign w:val="center"/>
            <w:hideMark/>
          </w:tcPr>
          <w:p w14:paraId="1427E1F4" w14:textId="77777777" w:rsidR="00A318E3" w:rsidRPr="009A1A2E" w:rsidRDefault="00A318E3" w:rsidP="005D140A">
            <w:pPr>
              <w:rPr>
                <w:rFonts w:cs="Arial"/>
                <w:color w:val="000000"/>
                <w:sz w:val="20"/>
                <w:szCs w:val="20"/>
              </w:rPr>
            </w:pPr>
            <w:r w:rsidRPr="009A1A2E">
              <w:rPr>
                <w:rFonts w:cs="Arial"/>
                <w:color w:val="000000"/>
                <w:sz w:val="20"/>
                <w:szCs w:val="20"/>
              </w:rPr>
              <w:t>Safety and patient selection of totally implantable hearing aid surgery: Envoy system, Esteem. Eur.Arch.Otorhinolaryngol. 268 (10):1421-1425, 2011.</w:t>
            </w:r>
          </w:p>
        </w:tc>
      </w:tr>
      <w:tr w:rsidR="00A318E3" w:rsidRPr="009A1A2E" w14:paraId="2170365A" w14:textId="77777777" w:rsidTr="005D140A">
        <w:trPr>
          <w:trHeight w:val="630"/>
        </w:trPr>
        <w:tc>
          <w:tcPr>
            <w:tcW w:w="1716" w:type="dxa"/>
            <w:tcBorders>
              <w:top w:val="nil"/>
              <w:left w:val="single" w:sz="8" w:space="0" w:color="auto"/>
              <w:bottom w:val="single" w:sz="4" w:space="0" w:color="auto"/>
              <w:right w:val="single" w:sz="4" w:space="0" w:color="auto"/>
            </w:tcBorders>
            <w:shd w:val="clear" w:color="auto" w:fill="auto"/>
            <w:noWrap/>
            <w:vAlign w:val="center"/>
            <w:hideMark/>
          </w:tcPr>
          <w:p w14:paraId="71182B02" w14:textId="77777777" w:rsidR="00A318E3" w:rsidRPr="009A1A2E" w:rsidRDefault="00A318E3" w:rsidP="005D140A">
            <w:pPr>
              <w:rPr>
                <w:rFonts w:cs="Arial"/>
                <w:color w:val="000000"/>
                <w:sz w:val="20"/>
                <w:szCs w:val="20"/>
              </w:rPr>
            </w:pPr>
            <w:r w:rsidRPr="009A1A2E">
              <w:rPr>
                <w:rFonts w:cs="Arial"/>
                <w:color w:val="000000"/>
                <w:sz w:val="20"/>
                <w:szCs w:val="20"/>
              </w:rPr>
              <w:t>Monini (2013)</w:t>
            </w:r>
          </w:p>
        </w:tc>
        <w:tc>
          <w:tcPr>
            <w:tcW w:w="12049" w:type="dxa"/>
            <w:tcBorders>
              <w:top w:val="single" w:sz="4" w:space="0" w:color="auto"/>
              <w:left w:val="nil"/>
              <w:bottom w:val="single" w:sz="4" w:space="0" w:color="auto"/>
              <w:right w:val="single" w:sz="8" w:space="0" w:color="000000"/>
            </w:tcBorders>
            <w:shd w:val="clear" w:color="auto" w:fill="auto"/>
            <w:vAlign w:val="center"/>
            <w:hideMark/>
          </w:tcPr>
          <w:p w14:paraId="4736EEB3" w14:textId="77777777" w:rsidR="00A318E3" w:rsidRPr="009A1A2E" w:rsidRDefault="00A318E3" w:rsidP="005D140A">
            <w:pPr>
              <w:rPr>
                <w:rFonts w:cs="Arial"/>
                <w:color w:val="000000"/>
                <w:sz w:val="20"/>
                <w:szCs w:val="20"/>
              </w:rPr>
            </w:pPr>
            <w:r w:rsidRPr="009A1A2E">
              <w:rPr>
                <w:rFonts w:cs="Arial"/>
                <w:color w:val="000000"/>
                <w:sz w:val="20"/>
                <w:szCs w:val="20"/>
              </w:rPr>
              <w:t>Esteem middle ear device versus conventional hearing aids for rehabilitation of bilateral sensorineural hearing loss. Eur.Arch.Otorhinolaryngol. 270 (7):2027-2033, 2013.</w:t>
            </w:r>
          </w:p>
        </w:tc>
      </w:tr>
      <w:tr w:rsidR="00A318E3" w:rsidRPr="009A1A2E" w14:paraId="39C35EC0" w14:textId="77777777" w:rsidTr="005D140A">
        <w:trPr>
          <w:trHeight w:val="300"/>
        </w:trPr>
        <w:tc>
          <w:tcPr>
            <w:tcW w:w="13765"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68E1CEB2" w14:textId="77777777" w:rsidR="00A318E3" w:rsidRPr="009A1A2E" w:rsidRDefault="00A318E3" w:rsidP="005D140A">
            <w:pPr>
              <w:jc w:val="center"/>
              <w:rPr>
                <w:rFonts w:cs="Arial"/>
                <w:color w:val="000000"/>
                <w:sz w:val="20"/>
                <w:szCs w:val="20"/>
              </w:rPr>
            </w:pPr>
            <w:r w:rsidRPr="009A1A2E">
              <w:rPr>
                <w:rFonts w:cs="Arial"/>
                <w:color w:val="000000"/>
                <w:sz w:val="20"/>
                <w:szCs w:val="20"/>
              </w:rPr>
              <w:t>Fully implantable device: CARINA</w:t>
            </w:r>
          </w:p>
        </w:tc>
      </w:tr>
      <w:tr w:rsidR="00A318E3" w:rsidRPr="009A1A2E" w14:paraId="44873834" w14:textId="77777777" w:rsidTr="005D140A">
        <w:trPr>
          <w:trHeight w:val="615"/>
        </w:trPr>
        <w:tc>
          <w:tcPr>
            <w:tcW w:w="1716" w:type="dxa"/>
            <w:tcBorders>
              <w:top w:val="nil"/>
              <w:left w:val="single" w:sz="8" w:space="0" w:color="auto"/>
              <w:bottom w:val="single" w:sz="4" w:space="0" w:color="auto"/>
              <w:right w:val="single" w:sz="4" w:space="0" w:color="auto"/>
            </w:tcBorders>
            <w:shd w:val="clear" w:color="auto" w:fill="auto"/>
            <w:vAlign w:val="center"/>
            <w:hideMark/>
          </w:tcPr>
          <w:p w14:paraId="1716CEA8" w14:textId="77777777" w:rsidR="00A318E3" w:rsidRPr="009A1A2E" w:rsidRDefault="00A318E3" w:rsidP="005D140A">
            <w:pPr>
              <w:rPr>
                <w:rFonts w:cs="Arial"/>
                <w:color w:val="000000"/>
                <w:sz w:val="20"/>
                <w:szCs w:val="20"/>
              </w:rPr>
            </w:pPr>
            <w:r w:rsidRPr="009A1A2E">
              <w:rPr>
                <w:rFonts w:cs="Arial"/>
                <w:color w:val="000000"/>
                <w:sz w:val="20"/>
                <w:szCs w:val="20"/>
              </w:rPr>
              <w:t>Bruschini (2010)</w:t>
            </w:r>
          </w:p>
        </w:tc>
        <w:tc>
          <w:tcPr>
            <w:tcW w:w="12049" w:type="dxa"/>
            <w:tcBorders>
              <w:top w:val="single" w:sz="4" w:space="0" w:color="auto"/>
              <w:left w:val="nil"/>
              <w:bottom w:val="single" w:sz="4" w:space="0" w:color="auto"/>
              <w:right w:val="single" w:sz="8" w:space="0" w:color="000000"/>
            </w:tcBorders>
            <w:shd w:val="clear" w:color="auto" w:fill="auto"/>
            <w:vAlign w:val="center"/>
            <w:hideMark/>
          </w:tcPr>
          <w:p w14:paraId="6102D3E1" w14:textId="77777777" w:rsidR="00A318E3" w:rsidRPr="009A1A2E" w:rsidRDefault="00A318E3" w:rsidP="005D140A">
            <w:pPr>
              <w:rPr>
                <w:rFonts w:cs="Arial"/>
                <w:color w:val="000000"/>
                <w:sz w:val="20"/>
                <w:szCs w:val="20"/>
              </w:rPr>
            </w:pPr>
            <w:r w:rsidRPr="009A1A2E">
              <w:rPr>
                <w:rFonts w:cs="Arial"/>
                <w:color w:val="000000"/>
                <w:sz w:val="20"/>
                <w:szCs w:val="20"/>
              </w:rPr>
              <w:t>Fully implantable Otologics MET Carina device for the treatment of sensorineural and mixed hearing loss: Audio-otological results. Acta Otolaryngol. 130 (10):1147-1153, 2010.</w:t>
            </w:r>
          </w:p>
        </w:tc>
      </w:tr>
      <w:tr w:rsidR="00A318E3" w:rsidRPr="009A1A2E" w14:paraId="5283657A" w14:textId="77777777" w:rsidTr="005D140A">
        <w:trPr>
          <w:trHeight w:val="483"/>
        </w:trPr>
        <w:tc>
          <w:tcPr>
            <w:tcW w:w="1716" w:type="dxa"/>
            <w:tcBorders>
              <w:top w:val="nil"/>
              <w:left w:val="single" w:sz="8" w:space="0" w:color="auto"/>
              <w:bottom w:val="single" w:sz="4" w:space="0" w:color="auto"/>
              <w:right w:val="single" w:sz="4" w:space="0" w:color="auto"/>
            </w:tcBorders>
            <w:shd w:val="clear" w:color="auto" w:fill="auto"/>
            <w:noWrap/>
            <w:vAlign w:val="center"/>
            <w:hideMark/>
          </w:tcPr>
          <w:p w14:paraId="1283F816" w14:textId="77777777" w:rsidR="00A318E3" w:rsidRPr="009A1A2E" w:rsidRDefault="00A318E3" w:rsidP="005D140A">
            <w:pPr>
              <w:rPr>
                <w:rFonts w:cs="Arial"/>
                <w:color w:val="000000"/>
                <w:sz w:val="20"/>
                <w:szCs w:val="20"/>
              </w:rPr>
            </w:pPr>
            <w:r w:rsidRPr="009A1A2E">
              <w:rPr>
                <w:rFonts w:cs="Arial"/>
                <w:color w:val="000000"/>
                <w:sz w:val="20"/>
                <w:szCs w:val="20"/>
              </w:rPr>
              <w:t>Jenkins</w:t>
            </w:r>
          </w:p>
        </w:tc>
        <w:tc>
          <w:tcPr>
            <w:tcW w:w="12049" w:type="dxa"/>
            <w:tcBorders>
              <w:top w:val="single" w:sz="4" w:space="0" w:color="auto"/>
              <w:left w:val="nil"/>
              <w:bottom w:val="single" w:sz="4" w:space="0" w:color="auto"/>
              <w:right w:val="single" w:sz="8" w:space="0" w:color="000000"/>
            </w:tcBorders>
            <w:shd w:val="clear" w:color="auto" w:fill="auto"/>
            <w:vAlign w:val="center"/>
            <w:hideMark/>
          </w:tcPr>
          <w:p w14:paraId="6BD12B9F" w14:textId="77777777" w:rsidR="00A318E3" w:rsidRPr="009A1A2E" w:rsidRDefault="00A318E3" w:rsidP="005D140A">
            <w:pPr>
              <w:rPr>
                <w:rFonts w:cs="Arial"/>
                <w:color w:val="000000"/>
                <w:sz w:val="20"/>
                <w:szCs w:val="20"/>
              </w:rPr>
            </w:pPr>
            <w:r w:rsidRPr="009A1A2E">
              <w:rPr>
                <w:rFonts w:cs="Arial"/>
                <w:color w:val="000000"/>
                <w:sz w:val="20"/>
                <w:szCs w:val="20"/>
              </w:rPr>
              <w:t>Otologics fully implantable hearing system: Phase I trial 1-year results. Otol.Neurotol. 29 (4):534-541, 2008.</w:t>
            </w:r>
          </w:p>
        </w:tc>
      </w:tr>
      <w:tr w:rsidR="00A318E3" w:rsidRPr="009A1A2E" w14:paraId="16C277D2" w14:textId="77777777" w:rsidTr="005D140A">
        <w:trPr>
          <w:trHeight w:val="660"/>
        </w:trPr>
        <w:tc>
          <w:tcPr>
            <w:tcW w:w="1716" w:type="dxa"/>
            <w:tcBorders>
              <w:top w:val="nil"/>
              <w:left w:val="single" w:sz="8" w:space="0" w:color="auto"/>
              <w:bottom w:val="single" w:sz="4" w:space="0" w:color="auto"/>
              <w:right w:val="single" w:sz="4" w:space="0" w:color="auto"/>
            </w:tcBorders>
            <w:shd w:val="clear" w:color="auto" w:fill="auto"/>
            <w:noWrap/>
            <w:vAlign w:val="center"/>
            <w:hideMark/>
          </w:tcPr>
          <w:p w14:paraId="15D8D6C2" w14:textId="77777777" w:rsidR="00A318E3" w:rsidRPr="009A1A2E" w:rsidRDefault="00A318E3" w:rsidP="005D140A">
            <w:pPr>
              <w:rPr>
                <w:rFonts w:cs="Arial"/>
                <w:color w:val="000000"/>
                <w:sz w:val="20"/>
                <w:szCs w:val="20"/>
              </w:rPr>
            </w:pPr>
            <w:r w:rsidRPr="009A1A2E">
              <w:rPr>
                <w:rFonts w:cs="Arial"/>
                <w:color w:val="000000"/>
                <w:sz w:val="20"/>
                <w:szCs w:val="20"/>
              </w:rPr>
              <w:t>Tringali (2010)</w:t>
            </w:r>
          </w:p>
        </w:tc>
        <w:tc>
          <w:tcPr>
            <w:tcW w:w="12049" w:type="dxa"/>
            <w:tcBorders>
              <w:top w:val="single" w:sz="4" w:space="0" w:color="auto"/>
              <w:left w:val="nil"/>
              <w:bottom w:val="single" w:sz="4" w:space="0" w:color="auto"/>
              <w:right w:val="single" w:sz="8" w:space="0" w:color="000000"/>
            </w:tcBorders>
            <w:shd w:val="clear" w:color="auto" w:fill="auto"/>
            <w:vAlign w:val="center"/>
            <w:hideMark/>
          </w:tcPr>
          <w:p w14:paraId="3AB3975C" w14:textId="77777777" w:rsidR="00A318E3" w:rsidRPr="009A1A2E" w:rsidRDefault="00A318E3" w:rsidP="005D140A">
            <w:pPr>
              <w:rPr>
                <w:rFonts w:cs="Arial"/>
                <w:color w:val="000000"/>
                <w:sz w:val="20"/>
                <w:szCs w:val="20"/>
              </w:rPr>
            </w:pPr>
            <w:r w:rsidRPr="009A1A2E">
              <w:rPr>
                <w:rFonts w:cs="Arial"/>
                <w:color w:val="000000"/>
                <w:sz w:val="20"/>
                <w:szCs w:val="20"/>
              </w:rPr>
              <w:t>Otologics middle ear transducer with contralateral conventional hearing aid in severe sensorineural hearing loss: evolution during the first 24 months. Otol.Neurotol. 31 (4):630-636, 2010.</w:t>
            </w:r>
          </w:p>
        </w:tc>
      </w:tr>
      <w:tr w:rsidR="00A318E3" w:rsidRPr="009A1A2E" w14:paraId="431693E2" w14:textId="77777777" w:rsidTr="005D140A">
        <w:trPr>
          <w:trHeight w:val="300"/>
        </w:trPr>
        <w:tc>
          <w:tcPr>
            <w:tcW w:w="13765"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3D7B6D22" w14:textId="77777777" w:rsidR="00A318E3" w:rsidRPr="009A1A2E" w:rsidRDefault="00A318E3" w:rsidP="005D140A">
            <w:pPr>
              <w:jc w:val="center"/>
              <w:rPr>
                <w:rFonts w:cs="Arial"/>
                <w:color w:val="000000"/>
                <w:sz w:val="20"/>
                <w:szCs w:val="20"/>
              </w:rPr>
            </w:pPr>
            <w:r w:rsidRPr="009A1A2E">
              <w:rPr>
                <w:rFonts w:cs="Arial"/>
                <w:color w:val="000000"/>
                <w:sz w:val="20"/>
                <w:szCs w:val="20"/>
              </w:rPr>
              <w:t>Partially implantable device: VIBRANT SOUNDBRIDGE</w:t>
            </w:r>
          </w:p>
        </w:tc>
      </w:tr>
      <w:tr w:rsidR="00A318E3" w:rsidRPr="009A1A2E" w14:paraId="46539314" w14:textId="77777777" w:rsidTr="005D140A">
        <w:trPr>
          <w:trHeight w:val="612"/>
        </w:trPr>
        <w:tc>
          <w:tcPr>
            <w:tcW w:w="1716" w:type="dxa"/>
            <w:tcBorders>
              <w:top w:val="nil"/>
              <w:left w:val="single" w:sz="8" w:space="0" w:color="auto"/>
              <w:bottom w:val="single" w:sz="4" w:space="0" w:color="auto"/>
              <w:right w:val="single" w:sz="4" w:space="0" w:color="auto"/>
            </w:tcBorders>
            <w:shd w:val="clear" w:color="auto" w:fill="auto"/>
            <w:vAlign w:val="center"/>
            <w:hideMark/>
          </w:tcPr>
          <w:p w14:paraId="54341978" w14:textId="77777777" w:rsidR="00A318E3" w:rsidRPr="009A1A2E" w:rsidRDefault="00A318E3" w:rsidP="005D140A">
            <w:pPr>
              <w:rPr>
                <w:rFonts w:cs="Arial"/>
                <w:color w:val="000000"/>
                <w:sz w:val="20"/>
                <w:szCs w:val="20"/>
              </w:rPr>
            </w:pPr>
            <w:r w:rsidRPr="009A1A2E">
              <w:rPr>
                <w:rFonts w:cs="Arial"/>
                <w:color w:val="000000"/>
                <w:sz w:val="20"/>
                <w:szCs w:val="20"/>
              </w:rPr>
              <w:t>Boeheim (2010)</w:t>
            </w:r>
          </w:p>
        </w:tc>
        <w:tc>
          <w:tcPr>
            <w:tcW w:w="12049" w:type="dxa"/>
            <w:tcBorders>
              <w:top w:val="single" w:sz="4" w:space="0" w:color="auto"/>
              <w:left w:val="nil"/>
              <w:bottom w:val="single" w:sz="4" w:space="0" w:color="auto"/>
              <w:right w:val="single" w:sz="8" w:space="0" w:color="000000"/>
            </w:tcBorders>
            <w:shd w:val="clear" w:color="auto" w:fill="auto"/>
            <w:vAlign w:val="center"/>
            <w:hideMark/>
          </w:tcPr>
          <w:p w14:paraId="6DC1FEA9" w14:textId="77777777" w:rsidR="00A318E3" w:rsidRPr="009A1A2E" w:rsidRDefault="00A318E3" w:rsidP="005D140A">
            <w:pPr>
              <w:rPr>
                <w:rFonts w:cs="Arial"/>
                <w:color w:val="000000"/>
                <w:sz w:val="20"/>
                <w:szCs w:val="20"/>
              </w:rPr>
            </w:pPr>
            <w:r w:rsidRPr="009A1A2E">
              <w:rPr>
                <w:rFonts w:cs="Arial"/>
                <w:color w:val="000000"/>
                <w:sz w:val="20"/>
                <w:szCs w:val="20"/>
              </w:rPr>
              <w:t>Active middle ear implant compared with open-fit hearing aid in sloping high-frequency sensorineural hearing loss. Otol.Neurotol. 31 (3):424-429, 2010.</w:t>
            </w:r>
          </w:p>
        </w:tc>
      </w:tr>
      <w:tr w:rsidR="00A318E3" w:rsidRPr="009A1A2E" w14:paraId="2BFA81F3" w14:textId="77777777" w:rsidTr="005D140A">
        <w:trPr>
          <w:trHeight w:val="600"/>
        </w:trPr>
        <w:tc>
          <w:tcPr>
            <w:tcW w:w="1716" w:type="dxa"/>
            <w:tcBorders>
              <w:top w:val="nil"/>
              <w:left w:val="single" w:sz="8" w:space="0" w:color="auto"/>
              <w:bottom w:val="single" w:sz="4" w:space="0" w:color="auto"/>
              <w:right w:val="single" w:sz="4" w:space="0" w:color="auto"/>
            </w:tcBorders>
            <w:shd w:val="clear" w:color="auto" w:fill="auto"/>
            <w:noWrap/>
            <w:vAlign w:val="center"/>
            <w:hideMark/>
          </w:tcPr>
          <w:p w14:paraId="0F3E3F82" w14:textId="77777777" w:rsidR="00A318E3" w:rsidRPr="009A1A2E" w:rsidRDefault="00A318E3" w:rsidP="005D140A">
            <w:pPr>
              <w:rPr>
                <w:rFonts w:cs="Arial"/>
                <w:color w:val="000000"/>
                <w:sz w:val="20"/>
                <w:szCs w:val="20"/>
              </w:rPr>
            </w:pPr>
            <w:r w:rsidRPr="009A1A2E">
              <w:rPr>
                <w:rFonts w:cs="Arial"/>
                <w:color w:val="000000"/>
                <w:sz w:val="20"/>
                <w:szCs w:val="20"/>
              </w:rPr>
              <w:t>Boheim (2007)</w:t>
            </w:r>
          </w:p>
        </w:tc>
        <w:tc>
          <w:tcPr>
            <w:tcW w:w="12049" w:type="dxa"/>
            <w:tcBorders>
              <w:top w:val="single" w:sz="4" w:space="0" w:color="auto"/>
              <w:left w:val="nil"/>
              <w:bottom w:val="single" w:sz="4" w:space="0" w:color="auto"/>
              <w:right w:val="single" w:sz="8" w:space="0" w:color="000000"/>
            </w:tcBorders>
            <w:shd w:val="clear" w:color="auto" w:fill="auto"/>
            <w:vAlign w:val="center"/>
            <w:hideMark/>
          </w:tcPr>
          <w:p w14:paraId="62171E83" w14:textId="77777777" w:rsidR="00A318E3" w:rsidRPr="009A1A2E" w:rsidRDefault="00A318E3" w:rsidP="005D140A">
            <w:pPr>
              <w:rPr>
                <w:rFonts w:cs="Arial"/>
                <w:color w:val="000000"/>
                <w:sz w:val="20"/>
                <w:szCs w:val="20"/>
              </w:rPr>
            </w:pPr>
            <w:r w:rsidRPr="009A1A2E">
              <w:rPr>
                <w:rFonts w:cs="Arial"/>
                <w:color w:val="000000"/>
                <w:sz w:val="20"/>
                <w:szCs w:val="20"/>
              </w:rPr>
              <w:t>Rehabilitation of high frequency hearing loss: use of an active middle ear implant]. HNO 55 (9):690-695, 2007.</w:t>
            </w:r>
          </w:p>
        </w:tc>
      </w:tr>
      <w:tr w:rsidR="00A318E3" w:rsidRPr="009A1A2E" w14:paraId="5B390ABF" w14:textId="77777777" w:rsidTr="005D140A">
        <w:trPr>
          <w:trHeight w:val="645"/>
        </w:trPr>
        <w:tc>
          <w:tcPr>
            <w:tcW w:w="1716" w:type="dxa"/>
            <w:tcBorders>
              <w:top w:val="nil"/>
              <w:left w:val="single" w:sz="8" w:space="0" w:color="auto"/>
              <w:bottom w:val="single" w:sz="4" w:space="0" w:color="auto"/>
              <w:right w:val="single" w:sz="4" w:space="0" w:color="auto"/>
            </w:tcBorders>
            <w:shd w:val="clear" w:color="auto" w:fill="auto"/>
            <w:vAlign w:val="center"/>
            <w:hideMark/>
          </w:tcPr>
          <w:p w14:paraId="44581281" w14:textId="77777777" w:rsidR="00A318E3" w:rsidRPr="009A1A2E" w:rsidRDefault="00A318E3" w:rsidP="005D140A">
            <w:pPr>
              <w:rPr>
                <w:rFonts w:cs="Arial"/>
                <w:color w:val="000000"/>
                <w:sz w:val="20"/>
                <w:szCs w:val="20"/>
              </w:rPr>
            </w:pPr>
            <w:r w:rsidRPr="009A1A2E">
              <w:rPr>
                <w:rFonts w:cs="Arial"/>
                <w:color w:val="000000"/>
                <w:sz w:val="20"/>
                <w:szCs w:val="20"/>
              </w:rPr>
              <w:lastRenderedPageBreak/>
              <w:t>Bruschini (2009)</w:t>
            </w:r>
          </w:p>
        </w:tc>
        <w:tc>
          <w:tcPr>
            <w:tcW w:w="12049" w:type="dxa"/>
            <w:tcBorders>
              <w:top w:val="single" w:sz="4" w:space="0" w:color="auto"/>
              <w:left w:val="nil"/>
              <w:bottom w:val="single" w:sz="4" w:space="0" w:color="auto"/>
              <w:right w:val="single" w:sz="8" w:space="0" w:color="000000"/>
            </w:tcBorders>
            <w:shd w:val="clear" w:color="auto" w:fill="auto"/>
            <w:vAlign w:val="center"/>
            <w:hideMark/>
          </w:tcPr>
          <w:p w14:paraId="01CAC6CB" w14:textId="77777777" w:rsidR="00A318E3" w:rsidRPr="009A1A2E" w:rsidRDefault="00A318E3" w:rsidP="005D140A">
            <w:pPr>
              <w:rPr>
                <w:rFonts w:cs="Arial"/>
                <w:color w:val="000000"/>
                <w:sz w:val="20"/>
                <w:szCs w:val="20"/>
              </w:rPr>
            </w:pPr>
            <w:r w:rsidRPr="009A1A2E">
              <w:rPr>
                <w:rFonts w:cs="Arial"/>
                <w:color w:val="000000"/>
                <w:sz w:val="20"/>
                <w:szCs w:val="20"/>
              </w:rPr>
              <w:t>Exclusive Transcanal Surgical Approach for Vibrant Soundbridge Implantation: Surgical and Functional Results.[Miscellaneous Article]. Otology &amp; Neurotology 30 (7):950-955, 2009.</w:t>
            </w:r>
          </w:p>
        </w:tc>
      </w:tr>
      <w:tr w:rsidR="00A318E3" w:rsidRPr="009A1A2E" w14:paraId="59362751" w14:textId="77777777" w:rsidTr="005D140A">
        <w:trPr>
          <w:trHeight w:val="645"/>
        </w:trPr>
        <w:tc>
          <w:tcPr>
            <w:tcW w:w="1716" w:type="dxa"/>
            <w:tcBorders>
              <w:top w:val="nil"/>
              <w:left w:val="single" w:sz="8" w:space="0" w:color="auto"/>
              <w:bottom w:val="single" w:sz="4" w:space="0" w:color="auto"/>
              <w:right w:val="single" w:sz="4" w:space="0" w:color="auto"/>
            </w:tcBorders>
            <w:shd w:val="clear" w:color="auto" w:fill="auto"/>
            <w:noWrap/>
            <w:vAlign w:val="center"/>
            <w:hideMark/>
          </w:tcPr>
          <w:p w14:paraId="365E39A6" w14:textId="77777777" w:rsidR="00A318E3" w:rsidRPr="009A1A2E" w:rsidRDefault="00A318E3" w:rsidP="005D140A">
            <w:pPr>
              <w:rPr>
                <w:rFonts w:cs="Arial"/>
                <w:color w:val="000000"/>
                <w:sz w:val="20"/>
                <w:szCs w:val="20"/>
              </w:rPr>
            </w:pPr>
            <w:r w:rsidRPr="009A1A2E">
              <w:rPr>
                <w:rFonts w:cs="Arial"/>
                <w:color w:val="000000"/>
                <w:sz w:val="20"/>
                <w:szCs w:val="20"/>
              </w:rPr>
              <w:t>Edfeldt (2014)</w:t>
            </w:r>
          </w:p>
        </w:tc>
        <w:tc>
          <w:tcPr>
            <w:tcW w:w="12049" w:type="dxa"/>
            <w:tcBorders>
              <w:top w:val="single" w:sz="4" w:space="0" w:color="auto"/>
              <w:left w:val="nil"/>
              <w:bottom w:val="single" w:sz="4" w:space="0" w:color="auto"/>
              <w:right w:val="single" w:sz="8" w:space="0" w:color="000000"/>
            </w:tcBorders>
            <w:shd w:val="clear" w:color="auto" w:fill="auto"/>
            <w:vAlign w:val="center"/>
            <w:hideMark/>
          </w:tcPr>
          <w:p w14:paraId="57D6743D" w14:textId="77777777" w:rsidR="00A318E3" w:rsidRPr="009A1A2E" w:rsidRDefault="00A318E3" w:rsidP="005D140A">
            <w:pPr>
              <w:rPr>
                <w:rFonts w:cs="Arial"/>
                <w:color w:val="000000"/>
                <w:sz w:val="20"/>
                <w:szCs w:val="20"/>
              </w:rPr>
            </w:pPr>
            <w:r w:rsidRPr="009A1A2E">
              <w:rPr>
                <w:rFonts w:cs="Arial"/>
                <w:color w:val="000000"/>
                <w:sz w:val="20"/>
                <w:szCs w:val="20"/>
              </w:rPr>
              <w:t>Evaluation of cost-utility in middle ear implantation in the Nordic School. Acta Otolaryngol. 2014 Jan;134(1):19-25., 2014.</w:t>
            </w:r>
          </w:p>
        </w:tc>
      </w:tr>
      <w:tr w:rsidR="00A318E3" w:rsidRPr="009A1A2E" w14:paraId="4EF623FF" w14:textId="77777777" w:rsidTr="005D140A">
        <w:trPr>
          <w:trHeight w:val="345"/>
        </w:trPr>
        <w:tc>
          <w:tcPr>
            <w:tcW w:w="1716" w:type="dxa"/>
            <w:tcBorders>
              <w:top w:val="nil"/>
              <w:left w:val="single" w:sz="8" w:space="0" w:color="auto"/>
              <w:bottom w:val="single" w:sz="4" w:space="0" w:color="auto"/>
              <w:right w:val="single" w:sz="4" w:space="0" w:color="auto"/>
            </w:tcBorders>
            <w:shd w:val="clear" w:color="auto" w:fill="auto"/>
            <w:noWrap/>
            <w:vAlign w:val="center"/>
            <w:hideMark/>
          </w:tcPr>
          <w:p w14:paraId="0D8F427E" w14:textId="77777777" w:rsidR="00A318E3" w:rsidRPr="009A1A2E" w:rsidRDefault="00A318E3" w:rsidP="005D140A">
            <w:pPr>
              <w:rPr>
                <w:rFonts w:cs="Arial"/>
                <w:color w:val="000000"/>
                <w:sz w:val="20"/>
                <w:szCs w:val="20"/>
              </w:rPr>
            </w:pPr>
            <w:r w:rsidRPr="009A1A2E">
              <w:rPr>
                <w:rFonts w:cs="Arial"/>
                <w:color w:val="000000"/>
                <w:sz w:val="20"/>
                <w:szCs w:val="20"/>
              </w:rPr>
              <w:t>Fisch (2001)</w:t>
            </w:r>
          </w:p>
        </w:tc>
        <w:tc>
          <w:tcPr>
            <w:tcW w:w="12049" w:type="dxa"/>
            <w:tcBorders>
              <w:top w:val="single" w:sz="4" w:space="0" w:color="auto"/>
              <w:left w:val="nil"/>
              <w:bottom w:val="single" w:sz="4" w:space="0" w:color="auto"/>
              <w:right w:val="single" w:sz="8" w:space="0" w:color="000000"/>
            </w:tcBorders>
            <w:shd w:val="clear" w:color="auto" w:fill="auto"/>
            <w:vAlign w:val="center"/>
            <w:hideMark/>
          </w:tcPr>
          <w:p w14:paraId="4BF69D1C" w14:textId="77777777" w:rsidR="00A318E3" w:rsidRPr="009A1A2E" w:rsidRDefault="00A318E3" w:rsidP="005D140A">
            <w:pPr>
              <w:rPr>
                <w:rFonts w:cs="Arial"/>
                <w:color w:val="000000"/>
                <w:sz w:val="20"/>
                <w:szCs w:val="20"/>
              </w:rPr>
            </w:pPr>
            <w:r w:rsidRPr="009A1A2E">
              <w:rPr>
                <w:rFonts w:cs="Arial"/>
                <w:color w:val="000000"/>
                <w:sz w:val="20"/>
                <w:szCs w:val="20"/>
              </w:rPr>
              <w:t>Clinical experience with the Vibrant Soundbridge implant device. Otol.Neurotol. 22 (6):962-972, 2001.</w:t>
            </w:r>
          </w:p>
        </w:tc>
      </w:tr>
      <w:tr w:rsidR="00A318E3" w:rsidRPr="009A1A2E" w14:paraId="2A7DA537" w14:textId="77777777" w:rsidTr="005D140A">
        <w:trPr>
          <w:trHeight w:val="585"/>
        </w:trPr>
        <w:tc>
          <w:tcPr>
            <w:tcW w:w="1716" w:type="dxa"/>
            <w:tcBorders>
              <w:top w:val="nil"/>
              <w:left w:val="single" w:sz="8" w:space="0" w:color="auto"/>
              <w:bottom w:val="single" w:sz="4" w:space="0" w:color="auto"/>
              <w:right w:val="single" w:sz="4" w:space="0" w:color="auto"/>
            </w:tcBorders>
            <w:shd w:val="clear" w:color="auto" w:fill="auto"/>
            <w:noWrap/>
            <w:vAlign w:val="center"/>
            <w:hideMark/>
          </w:tcPr>
          <w:p w14:paraId="53CFCBE5" w14:textId="77777777" w:rsidR="00A318E3" w:rsidRPr="009A1A2E" w:rsidRDefault="00A318E3" w:rsidP="005D140A">
            <w:pPr>
              <w:rPr>
                <w:rFonts w:cs="Arial"/>
                <w:color w:val="000000"/>
                <w:sz w:val="20"/>
                <w:szCs w:val="20"/>
              </w:rPr>
            </w:pPr>
            <w:r w:rsidRPr="009A1A2E">
              <w:rPr>
                <w:rFonts w:cs="Arial"/>
                <w:color w:val="000000"/>
                <w:sz w:val="20"/>
                <w:szCs w:val="20"/>
              </w:rPr>
              <w:t>Fraysse (2001)</w:t>
            </w:r>
          </w:p>
        </w:tc>
        <w:tc>
          <w:tcPr>
            <w:tcW w:w="12049" w:type="dxa"/>
            <w:tcBorders>
              <w:top w:val="single" w:sz="4" w:space="0" w:color="auto"/>
              <w:left w:val="nil"/>
              <w:bottom w:val="single" w:sz="4" w:space="0" w:color="auto"/>
              <w:right w:val="single" w:sz="8" w:space="0" w:color="000000"/>
            </w:tcBorders>
            <w:shd w:val="clear" w:color="auto" w:fill="auto"/>
            <w:vAlign w:val="center"/>
            <w:hideMark/>
          </w:tcPr>
          <w:p w14:paraId="65CDFD5C" w14:textId="77777777" w:rsidR="00A318E3" w:rsidRPr="009A1A2E" w:rsidRDefault="00A318E3" w:rsidP="005D140A">
            <w:pPr>
              <w:rPr>
                <w:rFonts w:cs="Arial"/>
                <w:color w:val="000000"/>
                <w:sz w:val="20"/>
                <w:szCs w:val="20"/>
              </w:rPr>
            </w:pPr>
            <w:r w:rsidRPr="009A1A2E">
              <w:rPr>
                <w:rFonts w:cs="Arial"/>
                <w:color w:val="000000"/>
                <w:sz w:val="20"/>
                <w:szCs w:val="20"/>
              </w:rPr>
              <w:t>A multicenter study of the Vibrant Soundbridge middle ear implant: early clinical results and experience. Otol.Neurotol. 22 (6):952-961, 2001.</w:t>
            </w:r>
          </w:p>
        </w:tc>
      </w:tr>
      <w:tr w:rsidR="00A318E3" w:rsidRPr="009A1A2E" w14:paraId="49B2A46E" w14:textId="77777777" w:rsidTr="005D140A">
        <w:trPr>
          <w:trHeight w:val="825"/>
        </w:trPr>
        <w:tc>
          <w:tcPr>
            <w:tcW w:w="1716" w:type="dxa"/>
            <w:tcBorders>
              <w:top w:val="nil"/>
              <w:left w:val="single" w:sz="8" w:space="0" w:color="auto"/>
              <w:bottom w:val="single" w:sz="4" w:space="0" w:color="auto"/>
              <w:right w:val="single" w:sz="4" w:space="0" w:color="auto"/>
            </w:tcBorders>
            <w:shd w:val="clear" w:color="auto" w:fill="auto"/>
            <w:noWrap/>
            <w:vAlign w:val="center"/>
            <w:hideMark/>
          </w:tcPr>
          <w:p w14:paraId="3137ECF3" w14:textId="77777777" w:rsidR="00A318E3" w:rsidRPr="009A1A2E" w:rsidRDefault="00A318E3" w:rsidP="005D140A">
            <w:pPr>
              <w:rPr>
                <w:rFonts w:cs="Arial"/>
                <w:color w:val="000000"/>
                <w:sz w:val="20"/>
                <w:szCs w:val="20"/>
              </w:rPr>
            </w:pPr>
            <w:r w:rsidRPr="009A1A2E">
              <w:rPr>
                <w:rFonts w:cs="Arial"/>
                <w:color w:val="000000"/>
                <w:sz w:val="20"/>
                <w:szCs w:val="20"/>
              </w:rPr>
              <w:t>Garin (2005)</w:t>
            </w:r>
          </w:p>
        </w:tc>
        <w:tc>
          <w:tcPr>
            <w:tcW w:w="12049" w:type="dxa"/>
            <w:tcBorders>
              <w:top w:val="single" w:sz="4" w:space="0" w:color="auto"/>
              <w:left w:val="nil"/>
              <w:bottom w:val="single" w:sz="4" w:space="0" w:color="auto"/>
              <w:right w:val="single" w:sz="8" w:space="0" w:color="000000"/>
            </w:tcBorders>
            <w:shd w:val="clear" w:color="auto" w:fill="auto"/>
            <w:vAlign w:val="center"/>
            <w:hideMark/>
          </w:tcPr>
          <w:p w14:paraId="4989E212" w14:textId="77777777" w:rsidR="00A318E3" w:rsidRPr="009A1A2E" w:rsidRDefault="00A318E3" w:rsidP="005D140A">
            <w:pPr>
              <w:rPr>
                <w:rFonts w:cs="Arial"/>
                <w:color w:val="000000"/>
                <w:sz w:val="20"/>
                <w:szCs w:val="20"/>
              </w:rPr>
            </w:pPr>
            <w:r w:rsidRPr="009A1A2E">
              <w:rPr>
                <w:rFonts w:cs="Arial"/>
                <w:color w:val="000000"/>
                <w:sz w:val="20"/>
                <w:szCs w:val="20"/>
              </w:rPr>
              <w:t xml:space="preserve">Hearing in noise with the Vibrant Soundbridge middle-ear implant. </w:t>
            </w:r>
            <w:r w:rsidRPr="009A1A2E">
              <w:rPr>
                <w:rFonts w:cs="Arial"/>
                <w:bCs/>
                <w:color w:val="000000"/>
                <w:sz w:val="20"/>
                <w:szCs w:val="20"/>
              </w:rPr>
              <w:t xml:space="preserve">Proceedings </w:t>
            </w:r>
            <w:r w:rsidRPr="009A1A2E">
              <w:rPr>
                <w:rFonts w:cs="Arial"/>
                <w:color w:val="000000"/>
                <w:sz w:val="20"/>
                <w:szCs w:val="20"/>
              </w:rPr>
              <w:t>of the 4th International Symposium on Electronic Implants in Otology, pg 72-73, 2005</w:t>
            </w:r>
          </w:p>
        </w:tc>
      </w:tr>
      <w:tr w:rsidR="00A318E3" w:rsidRPr="009A1A2E" w14:paraId="30D91E39" w14:textId="77777777" w:rsidTr="005D140A">
        <w:trPr>
          <w:trHeight w:val="570"/>
        </w:trPr>
        <w:tc>
          <w:tcPr>
            <w:tcW w:w="1716" w:type="dxa"/>
            <w:tcBorders>
              <w:top w:val="nil"/>
              <w:left w:val="single" w:sz="8" w:space="0" w:color="auto"/>
              <w:bottom w:val="single" w:sz="4" w:space="0" w:color="auto"/>
              <w:right w:val="single" w:sz="4" w:space="0" w:color="auto"/>
            </w:tcBorders>
            <w:shd w:val="clear" w:color="auto" w:fill="auto"/>
            <w:noWrap/>
            <w:vAlign w:val="center"/>
            <w:hideMark/>
          </w:tcPr>
          <w:p w14:paraId="655AEC45" w14:textId="77777777" w:rsidR="00A318E3" w:rsidRPr="009A1A2E" w:rsidRDefault="00A318E3" w:rsidP="005D140A">
            <w:pPr>
              <w:rPr>
                <w:rFonts w:cs="Arial"/>
                <w:color w:val="000000"/>
                <w:sz w:val="20"/>
                <w:szCs w:val="20"/>
              </w:rPr>
            </w:pPr>
            <w:r w:rsidRPr="009A1A2E">
              <w:rPr>
                <w:rFonts w:cs="Arial"/>
                <w:color w:val="000000"/>
                <w:sz w:val="20"/>
                <w:szCs w:val="20"/>
              </w:rPr>
              <w:t xml:space="preserve">Ihler (2013) </w:t>
            </w:r>
          </w:p>
        </w:tc>
        <w:tc>
          <w:tcPr>
            <w:tcW w:w="12049" w:type="dxa"/>
            <w:tcBorders>
              <w:top w:val="single" w:sz="4" w:space="0" w:color="auto"/>
              <w:left w:val="nil"/>
              <w:bottom w:val="single" w:sz="4" w:space="0" w:color="auto"/>
              <w:right w:val="single" w:sz="8" w:space="0" w:color="000000"/>
            </w:tcBorders>
            <w:shd w:val="clear" w:color="auto" w:fill="auto"/>
            <w:vAlign w:val="center"/>
            <w:hideMark/>
          </w:tcPr>
          <w:p w14:paraId="6C270AE0" w14:textId="77777777" w:rsidR="00A318E3" w:rsidRPr="009A1A2E" w:rsidRDefault="00A318E3" w:rsidP="005D140A">
            <w:pPr>
              <w:rPr>
                <w:rFonts w:cs="Arial"/>
                <w:color w:val="000000"/>
                <w:sz w:val="20"/>
                <w:szCs w:val="20"/>
              </w:rPr>
            </w:pPr>
            <w:r w:rsidRPr="009A1A2E">
              <w:rPr>
                <w:rFonts w:cs="Arial"/>
                <w:color w:val="000000"/>
                <w:sz w:val="20"/>
                <w:szCs w:val="20"/>
              </w:rPr>
              <w:t>Mastoid cavity obliteration and vibrant soundbridge implantation for patients with mixed hearing loss. Laryngoscope, DOI: 10.1002/lary.24180, 2013.</w:t>
            </w:r>
          </w:p>
        </w:tc>
      </w:tr>
      <w:tr w:rsidR="00A318E3" w:rsidRPr="009A1A2E" w14:paraId="1E4A677C" w14:textId="77777777" w:rsidTr="005D140A">
        <w:trPr>
          <w:trHeight w:val="896"/>
        </w:trPr>
        <w:tc>
          <w:tcPr>
            <w:tcW w:w="1716" w:type="dxa"/>
            <w:tcBorders>
              <w:top w:val="nil"/>
              <w:left w:val="single" w:sz="8" w:space="0" w:color="auto"/>
              <w:bottom w:val="single" w:sz="4" w:space="0" w:color="auto"/>
              <w:right w:val="single" w:sz="4" w:space="0" w:color="auto"/>
            </w:tcBorders>
            <w:shd w:val="clear" w:color="auto" w:fill="auto"/>
            <w:noWrap/>
            <w:vAlign w:val="center"/>
            <w:hideMark/>
          </w:tcPr>
          <w:p w14:paraId="14694B73" w14:textId="77777777" w:rsidR="00A318E3" w:rsidRPr="009A1A2E" w:rsidRDefault="00A318E3" w:rsidP="005D140A">
            <w:pPr>
              <w:rPr>
                <w:rFonts w:cs="Arial"/>
                <w:color w:val="000000"/>
                <w:sz w:val="20"/>
                <w:szCs w:val="20"/>
              </w:rPr>
            </w:pPr>
            <w:r w:rsidRPr="009A1A2E">
              <w:rPr>
                <w:rFonts w:cs="Arial"/>
                <w:color w:val="000000"/>
                <w:sz w:val="20"/>
                <w:szCs w:val="20"/>
              </w:rPr>
              <w:t xml:space="preserve">Ihler (2014) </w:t>
            </w:r>
          </w:p>
        </w:tc>
        <w:tc>
          <w:tcPr>
            <w:tcW w:w="12049" w:type="dxa"/>
            <w:tcBorders>
              <w:top w:val="single" w:sz="4" w:space="0" w:color="auto"/>
              <w:left w:val="nil"/>
              <w:bottom w:val="single" w:sz="4" w:space="0" w:color="auto"/>
              <w:right w:val="single" w:sz="8" w:space="0" w:color="000000"/>
            </w:tcBorders>
            <w:shd w:val="clear" w:color="auto" w:fill="auto"/>
            <w:vAlign w:val="center"/>
            <w:hideMark/>
          </w:tcPr>
          <w:p w14:paraId="26802CFB" w14:textId="77777777" w:rsidR="00A318E3" w:rsidRPr="009A1A2E" w:rsidRDefault="00A318E3" w:rsidP="005D140A">
            <w:pPr>
              <w:rPr>
                <w:rFonts w:cs="Arial"/>
                <w:color w:val="000000"/>
                <w:sz w:val="20"/>
                <w:szCs w:val="20"/>
              </w:rPr>
            </w:pPr>
            <w:r w:rsidRPr="009A1A2E">
              <w:rPr>
                <w:rFonts w:cs="Arial"/>
                <w:color w:val="000000"/>
                <w:sz w:val="20"/>
                <w:szCs w:val="20"/>
              </w:rPr>
              <w:t xml:space="preserve">Long-term functional outcome and satisfaction of patients with an active middle ear implant for sensorineural hearing loss compared to a matched population with conventional hearing aids. Otology &amp; Neurotology, 35:211-215. 2014 </w:t>
            </w:r>
          </w:p>
        </w:tc>
      </w:tr>
      <w:tr w:rsidR="00A318E3" w:rsidRPr="009A1A2E" w14:paraId="3187EB7E" w14:textId="77777777" w:rsidTr="005D140A">
        <w:trPr>
          <w:trHeight w:val="570"/>
        </w:trPr>
        <w:tc>
          <w:tcPr>
            <w:tcW w:w="1716" w:type="dxa"/>
            <w:tcBorders>
              <w:top w:val="nil"/>
              <w:left w:val="single" w:sz="8" w:space="0" w:color="auto"/>
              <w:bottom w:val="single" w:sz="4" w:space="0" w:color="auto"/>
              <w:right w:val="single" w:sz="4" w:space="0" w:color="auto"/>
            </w:tcBorders>
            <w:shd w:val="clear" w:color="auto" w:fill="auto"/>
            <w:noWrap/>
            <w:vAlign w:val="center"/>
            <w:hideMark/>
          </w:tcPr>
          <w:p w14:paraId="2770D2C5" w14:textId="77777777" w:rsidR="00A318E3" w:rsidRPr="009A1A2E" w:rsidRDefault="00A318E3" w:rsidP="005D140A">
            <w:pPr>
              <w:rPr>
                <w:rFonts w:cs="Arial"/>
                <w:color w:val="000000"/>
                <w:sz w:val="20"/>
                <w:szCs w:val="20"/>
              </w:rPr>
            </w:pPr>
            <w:r w:rsidRPr="009A1A2E">
              <w:rPr>
                <w:rFonts w:cs="Arial"/>
                <w:color w:val="000000"/>
                <w:sz w:val="20"/>
                <w:szCs w:val="20"/>
              </w:rPr>
              <w:t>Labassi (2005)</w:t>
            </w:r>
          </w:p>
        </w:tc>
        <w:tc>
          <w:tcPr>
            <w:tcW w:w="12049" w:type="dxa"/>
            <w:tcBorders>
              <w:top w:val="single" w:sz="4" w:space="0" w:color="auto"/>
              <w:left w:val="nil"/>
              <w:bottom w:val="single" w:sz="4" w:space="0" w:color="auto"/>
              <w:right w:val="single" w:sz="8" w:space="0" w:color="000000"/>
            </w:tcBorders>
            <w:shd w:val="clear" w:color="auto" w:fill="auto"/>
            <w:vAlign w:val="center"/>
            <w:hideMark/>
          </w:tcPr>
          <w:p w14:paraId="2E52976D" w14:textId="77777777" w:rsidR="00A318E3" w:rsidRPr="009A1A2E" w:rsidRDefault="00A318E3" w:rsidP="005D140A">
            <w:pPr>
              <w:rPr>
                <w:rFonts w:cs="Arial"/>
                <w:color w:val="000000"/>
                <w:sz w:val="20"/>
                <w:szCs w:val="20"/>
              </w:rPr>
            </w:pPr>
            <w:r w:rsidRPr="009A1A2E">
              <w:rPr>
                <w:rFonts w:cs="Arial"/>
                <w:color w:val="000000"/>
                <w:sz w:val="20"/>
                <w:szCs w:val="20"/>
              </w:rPr>
              <w:t xml:space="preserve">Retrospective of 1000 patients implanted with a Vibrant Soundbridge middle-ear implant. </w:t>
            </w:r>
            <w:r w:rsidRPr="009A1A2E">
              <w:rPr>
                <w:rFonts w:cs="Arial"/>
                <w:b/>
                <w:bCs/>
                <w:color w:val="000000"/>
                <w:sz w:val="20"/>
                <w:szCs w:val="20"/>
              </w:rPr>
              <w:t>Proceedings</w:t>
            </w:r>
            <w:r w:rsidRPr="009A1A2E">
              <w:rPr>
                <w:rFonts w:cs="Arial"/>
                <w:color w:val="000000"/>
                <w:sz w:val="20"/>
                <w:szCs w:val="20"/>
              </w:rPr>
              <w:t xml:space="preserve"> of the 4th International Symposium on Electronic Implants in Otology, pg 74-75. 2005</w:t>
            </w:r>
          </w:p>
        </w:tc>
      </w:tr>
      <w:tr w:rsidR="00A318E3" w:rsidRPr="009A1A2E" w14:paraId="1E2F8C0C" w14:textId="77777777" w:rsidTr="005D140A">
        <w:trPr>
          <w:trHeight w:val="675"/>
        </w:trPr>
        <w:tc>
          <w:tcPr>
            <w:tcW w:w="1716" w:type="dxa"/>
            <w:tcBorders>
              <w:top w:val="nil"/>
              <w:left w:val="single" w:sz="8" w:space="0" w:color="auto"/>
              <w:bottom w:val="single" w:sz="4" w:space="0" w:color="auto"/>
              <w:right w:val="single" w:sz="4" w:space="0" w:color="auto"/>
            </w:tcBorders>
            <w:shd w:val="clear" w:color="auto" w:fill="auto"/>
            <w:noWrap/>
            <w:vAlign w:val="center"/>
            <w:hideMark/>
          </w:tcPr>
          <w:p w14:paraId="466211C5" w14:textId="77777777" w:rsidR="00A318E3" w:rsidRPr="009A1A2E" w:rsidRDefault="00A318E3" w:rsidP="005D140A">
            <w:pPr>
              <w:rPr>
                <w:rFonts w:cs="Arial"/>
                <w:color w:val="000000"/>
                <w:sz w:val="20"/>
                <w:szCs w:val="20"/>
              </w:rPr>
            </w:pPr>
            <w:r w:rsidRPr="009A1A2E">
              <w:rPr>
                <w:rFonts w:cs="Arial"/>
                <w:color w:val="000000"/>
                <w:sz w:val="20"/>
                <w:szCs w:val="20"/>
              </w:rPr>
              <w:t>Lenarz (2001)</w:t>
            </w:r>
          </w:p>
        </w:tc>
        <w:tc>
          <w:tcPr>
            <w:tcW w:w="12049" w:type="dxa"/>
            <w:tcBorders>
              <w:top w:val="single" w:sz="4" w:space="0" w:color="auto"/>
              <w:left w:val="nil"/>
              <w:bottom w:val="single" w:sz="4" w:space="0" w:color="auto"/>
              <w:right w:val="single" w:sz="8" w:space="0" w:color="000000"/>
            </w:tcBorders>
            <w:shd w:val="clear" w:color="auto" w:fill="auto"/>
            <w:vAlign w:val="center"/>
            <w:hideMark/>
          </w:tcPr>
          <w:p w14:paraId="3B5099F8" w14:textId="77777777" w:rsidR="00A318E3" w:rsidRPr="009A1A2E" w:rsidRDefault="00A318E3" w:rsidP="005D140A">
            <w:pPr>
              <w:rPr>
                <w:rFonts w:cs="Arial"/>
                <w:color w:val="000000"/>
                <w:sz w:val="20"/>
                <w:szCs w:val="20"/>
              </w:rPr>
            </w:pPr>
            <w:r w:rsidRPr="009A1A2E">
              <w:rPr>
                <w:rFonts w:cs="Arial"/>
                <w:color w:val="000000"/>
                <w:sz w:val="20"/>
                <w:szCs w:val="20"/>
              </w:rPr>
              <w:t>Vibrant Sound Bridge System. A new kind hearing prosthesis for patients with sensorineural hearing loss. 2. Audiological results]. Laryngorhinootologie 80 (7):370-380, 2001.</w:t>
            </w:r>
          </w:p>
        </w:tc>
      </w:tr>
      <w:tr w:rsidR="00A318E3" w:rsidRPr="009A1A2E" w14:paraId="264D0D65" w14:textId="77777777" w:rsidTr="005D140A">
        <w:trPr>
          <w:trHeight w:val="735"/>
        </w:trPr>
        <w:tc>
          <w:tcPr>
            <w:tcW w:w="1716" w:type="dxa"/>
            <w:tcBorders>
              <w:top w:val="nil"/>
              <w:left w:val="single" w:sz="8" w:space="0" w:color="auto"/>
              <w:bottom w:val="single" w:sz="4" w:space="0" w:color="auto"/>
              <w:right w:val="single" w:sz="4" w:space="0" w:color="auto"/>
            </w:tcBorders>
            <w:shd w:val="clear" w:color="auto" w:fill="auto"/>
            <w:noWrap/>
            <w:vAlign w:val="center"/>
            <w:hideMark/>
          </w:tcPr>
          <w:p w14:paraId="211C70BE" w14:textId="77777777" w:rsidR="00A318E3" w:rsidRPr="009A1A2E" w:rsidRDefault="00A318E3" w:rsidP="005D140A">
            <w:pPr>
              <w:rPr>
                <w:rFonts w:cs="Arial"/>
                <w:color w:val="000000"/>
                <w:sz w:val="20"/>
                <w:szCs w:val="20"/>
              </w:rPr>
            </w:pPr>
            <w:r w:rsidRPr="009A1A2E">
              <w:rPr>
                <w:rFonts w:cs="Arial"/>
                <w:color w:val="000000"/>
                <w:sz w:val="20"/>
                <w:szCs w:val="20"/>
              </w:rPr>
              <w:t>Luetje (2002)</w:t>
            </w:r>
          </w:p>
        </w:tc>
        <w:tc>
          <w:tcPr>
            <w:tcW w:w="12049" w:type="dxa"/>
            <w:tcBorders>
              <w:top w:val="single" w:sz="4" w:space="0" w:color="auto"/>
              <w:left w:val="nil"/>
              <w:bottom w:val="single" w:sz="4" w:space="0" w:color="auto"/>
              <w:right w:val="single" w:sz="8" w:space="0" w:color="000000"/>
            </w:tcBorders>
            <w:shd w:val="clear" w:color="auto" w:fill="auto"/>
            <w:vAlign w:val="center"/>
            <w:hideMark/>
          </w:tcPr>
          <w:p w14:paraId="5B1DEE55" w14:textId="77777777" w:rsidR="00A318E3" w:rsidRPr="009A1A2E" w:rsidRDefault="00A318E3" w:rsidP="005D140A">
            <w:pPr>
              <w:rPr>
                <w:rFonts w:cs="Arial"/>
                <w:color w:val="000000"/>
                <w:sz w:val="20"/>
                <w:szCs w:val="20"/>
              </w:rPr>
            </w:pPr>
            <w:r w:rsidRPr="009A1A2E">
              <w:rPr>
                <w:rFonts w:cs="Arial"/>
                <w:color w:val="000000"/>
                <w:sz w:val="20"/>
                <w:szCs w:val="20"/>
              </w:rPr>
              <w:t>Phase III clinical trial results with the Vibrant Soundbridge implantable middle ear hearing device: a prospective controlled multicenter study. Otolaryngol.Head Neck Surg. 126 (2):97-107, 2002.</w:t>
            </w:r>
          </w:p>
        </w:tc>
      </w:tr>
      <w:tr w:rsidR="00A318E3" w:rsidRPr="009A1A2E" w14:paraId="00F50D2C" w14:textId="77777777" w:rsidTr="005D140A">
        <w:trPr>
          <w:trHeight w:val="660"/>
        </w:trPr>
        <w:tc>
          <w:tcPr>
            <w:tcW w:w="1716" w:type="dxa"/>
            <w:tcBorders>
              <w:top w:val="nil"/>
              <w:left w:val="single" w:sz="8" w:space="0" w:color="auto"/>
              <w:bottom w:val="single" w:sz="4" w:space="0" w:color="auto"/>
              <w:right w:val="single" w:sz="4" w:space="0" w:color="auto"/>
            </w:tcBorders>
            <w:shd w:val="clear" w:color="auto" w:fill="auto"/>
            <w:noWrap/>
            <w:vAlign w:val="center"/>
            <w:hideMark/>
          </w:tcPr>
          <w:p w14:paraId="75079F59" w14:textId="77777777" w:rsidR="00A318E3" w:rsidRPr="009A1A2E" w:rsidRDefault="00A318E3" w:rsidP="005D140A">
            <w:pPr>
              <w:rPr>
                <w:rFonts w:cs="Arial"/>
                <w:color w:val="000000"/>
                <w:sz w:val="20"/>
                <w:szCs w:val="20"/>
              </w:rPr>
            </w:pPr>
            <w:r w:rsidRPr="009A1A2E">
              <w:rPr>
                <w:rFonts w:cs="Arial"/>
                <w:color w:val="000000"/>
                <w:sz w:val="20"/>
                <w:szCs w:val="20"/>
              </w:rPr>
              <w:t>Luetje (2010)</w:t>
            </w:r>
          </w:p>
        </w:tc>
        <w:tc>
          <w:tcPr>
            <w:tcW w:w="12049" w:type="dxa"/>
            <w:tcBorders>
              <w:top w:val="single" w:sz="4" w:space="0" w:color="auto"/>
              <w:left w:val="nil"/>
              <w:bottom w:val="single" w:sz="4" w:space="0" w:color="auto"/>
              <w:right w:val="single" w:sz="8" w:space="0" w:color="000000"/>
            </w:tcBorders>
            <w:shd w:val="clear" w:color="auto" w:fill="auto"/>
            <w:vAlign w:val="center"/>
            <w:hideMark/>
          </w:tcPr>
          <w:p w14:paraId="40791A5C" w14:textId="77777777" w:rsidR="00A318E3" w:rsidRPr="009A1A2E" w:rsidRDefault="00A318E3" w:rsidP="005D140A">
            <w:pPr>
              <w:rPr>
                <w:rFonts w:cs="Arial"/>
                <w:color w:val="000000"/>
                <w:sz w:val="20"/>
                <w:szCs w:val="20"/>
              </w:rPr>
            </w:pPr>
            <w:r w:rsidRPr="009A1A2E">
              <w:rPr>
                <w:rFonts w:cs="Arial"/>
                <w:color w:val="000000"/>
                <w:sz w:val="20"/>
                <w:szCs w:val="20"/>
              </w:rPr>
              <w:t>Vibrant Soundbridge implantable hearing device: critical review and single-surgeon short- and long-term results. Ear Nose Throat J. 89 (9):E9-E14, 2010.</w:t>
            </w:r>
          </w:p>
        </w:tc>
      </w:tr>
      <w:tr w:rsidR="00A318E3" w:rsidRPr="009A1A2E" w14:paraId="199A337A" w14:textId="77777777" w:rsidTr="005D140A">
        <w:trPr>
          <w:trHeight w:val="585"/>
        </w:trPr>
        <w:tc>
          <w:tcPr>
            <w:tcW w:w="1716" w:type="dxa"/>
            <w:tcBorders>
              <w:top w:val="nil"/>
              <w:left w:val="single" w:sz="8" w:space="0" w:color="auto"/>
              <w:bottom w:val="single" w:sz="4" w:space="0" w:color="auto"/>
              <w:right w:val="single" w:sz="4" w:space="0" w:color="auto"/>
            </w:tcBorders>
            <w:shd w:val="clear" w:color="auto" w:fill="auto"/>
            <w:noWrap/>
            <w:vAlign w:val="center"/>
            <w:hideMark/>
          </w:tcPr>
          <w:p w14:paraId="54070AFA" w14:textId="77777777" w:rsidR="00A318E3" w:rsidRPr="009A1A2E" w:rsidRDefault="00A318E3" w:rsidP="005D140A">
            <w:pPr>
              <w:rPr>
                <w:rFonts w:cs="Arial"/>
                <w:color w:val="000000"/>
                <w:sz w:val="20"/>
                <w:szCs w:val="20"/>
              </w:rPr>
            </w:pPr>
            <w:r w:rsidRPr="009A1A2E">
              <w:rPr>
                <w:rFonts w:cs="Arial"/>
                <w:color w:val="000000"/>
                <w:sz w:val="20"/>
                <w:szCs w:val="20"/>
              </w:rPr>
              <w:t>Mosnier (2008)</w:t>
            </w:r>
          </w:p>
        </w:tc>
        <w:tc>
          <w:tcPr>
            <w:tcW w:w="12049" w:type="dxa"/>
            <w:tcBorders>
              <w:top w:val="single" w:sz="4" w:space="0" w:color="auto"/>
              <w:left w:val="nil"/>
              <w:bottom w:val="single" w:sz="4" w:space="0" w:color="auto"/>
              <w:right w:val="single" w:sz="8" w:space="0" w:color="000000"/>
            </w:tcBorders>
            <w:shd w:val="clear" w:color="auto" w:fill="auto"/>
            <w:vAlign w:val="center"/>
            <w:hideMark/>
          </w:tcPr>
          <w:p w14:paraId="2D3D094A" w14:textId="77777777" w:rsidR="00A318E3" w:rsidRPr="009A1A2E" w:rsidRDefault="00A318E3" w:rsidP="005D140A">
            <w:pPr>
              <w:rPr>
                <w:rFonts w:cs="Arial"/>
                <w:color w:val="000000"/>
                <w:sz w:val="20"/>
                <w:szCs w:val="20"/>
              </w:rPr>
            </w:pPr>
            <w:r w:rsidRPr="009A1A2E">
              <w:rPr>
                <w:rFonts w:cs="Arial"/>
                <w:color w:val="000000"/>
                <w:sz w:val="20"/>
                <w:szCs w:val="20"/>
              </w:rPr>
              <w:t>Benefit of the Vibrant Soundbridge Device in Patients Implanted For 5 to 8 Years.[Report]. Ear &amp; Hearing 29 (2):281-284, 2008.</w:t>
            </w:r>
          </w:p>
        </w:tc>
      </w:tr>
      <w:tr w:rsidR="00A318E3" w:rsidRPr="009A1A2E" w14:paraId="60B26A21" w14:textId="77777777" w:rsidTr="005D140A">
        <w:trPr>
          <w:trHeight w:val="645"/>
        </w:trPr>
        <w:tc>
          <w:tcPr>
            <w:tcW w:w="1716" w:type="dxa"/>
            <w:tcBorders>
              <w:top w:val="nil"/>
              <w:left w:val="single" w:sz="8" w:space="0" w:color="auto"/>
              <w:bottom w:val="single" w:sz="4" w:space="0" w:color="auto"/>
              <w:right w:val="single" w:sz="4" w:space="0" w:color="auto"/>
            </w:tcBorders>
            <w:shd w:val="clear" w:color="auto" w:fill="auto"/>
            <w:noWrap/>
            <w:vAlign w:val="center"/>
            <w:hideMark/>
          </w:tcPr>
          <w:p w14:paraId="4BB58FC2" w14:textId="77777777" w:rsidR="00A318E3" w:rsidRPr="009A1A2E" w:rsidRDefault="00A318E3" w:rsidP="005D140A">
            <w:pPr>
              <w:rPr>
                <w:rFonts w:cs="Arial"/>
                <w:color w:val="000000"/>
                <w:sz w:val="20"/>
                <w:szCs w:val="20"/>
              </w:rPr>
            </w:pPr>
            <w:r w:rsidRPr="009A1A2E">
              <w:rPr>
                <w:rFonts w:cs="Arial"/>
                <w:color w:val="000000"/>
                <w:sz w:val="20"/>
                <w:szCs w:val="20"/>
              </w:rPr>
              <w:t>Pok (2010)</w:t>
            </w:r>
          </w:p>
        </w:tc>
        <w:tc>
          <w:tcPr>
            <w:tcW w:w="12049" w:type="dxa"/>
            <w:tcBorders>
              <w:top w:val="single" w:sz="4" w:space="0" w:color="auto"/>
              <w:left w:val="nil"/>
              <w:bottom w:val="single" w:sz="4" w:space="0" w:color="auto"/>
              <w:right w:val="single" w:sz="8" w:space="0" w:color="000000"/>
            </w:tcBorders>
            <w:shd w:val="clear" w:color="auto" w:fill="auto"/>
            <w:vAlign w:val="center"/>
            <w:hideMark/>
          </w:tcPr>
          <w:p w14:paraId="0F58E769" w14:textId="77777777" w:rsidR="00A318E3" w:rsidRPr="009A1A2E" w:rsidRDefault="00A318E3" w:rsidP="005D140A">
            <w:pPr>
              <w:rPr>
                <w:rFonts w:cs="Arial"/>
                <w:color w:val="000000"/>
                <w:sz w:val="20"/>
                <w:szCs w:val="20"/>
              </w:rPr>
            </w:pPr>
            <w:r w:rsidRPr="009A1A2E">
              <w:rPr>
                <w:rFonts w:cs="Arial"/>
                <w:color w:val="000000"/>
                <w:sz w:val="20"/>
                <w:szCs w:val="20"/>
              </w:rPr>
              <w:t>Clinical experience with the active middle ear implant Vibrant Soundbridge in sensorineural hearing loss. Adv.Otorhinolaryngol. 69:51-58, 2010.</w:t>
            </w:r>
          </w:p>
        </w:tc>
      </w:tr>
      <w:tr w:rsidR="00A318E3" w:rsidRPr="009A1A2E" w14:paraId="603712AD" w14:textId="77777777" w:rsidTr="005D140A">
        <w:trPr>
          <w:trHeight w:val="915"/>
        </w:trPr>
        <w:tc>
          <w:tcPr>
            <w:tcW w:w="1716" w:type="dxa"/>
            <w:tcBorders>
              <w:top w:val="nil"/>
              <w:left w:val="single" w:sz="8" w:space="0" w:color="auto"/>
              <w:bottom w:val="single" w:sz="4" w:space="0" w:color="auto"/>
              <w:right w:val="single" w:sz="4" w:space="0" w:color="auto"/>
            </w:tcBorders>
            <w:shd w:val="clear" w:color="auto" w:fill="auto"/>
            <w:noWrap/>
            <w:vAlign w:val="center"/>
            <w:hideMark/>
          </w:tcPr>
          <w:p w14:paraId="379E5CAA" w14:textId="77777777" w:rsidR="00A318E3" w:rsidRPr="009A1A2E" w:rsidRDefault="00A318E3" w:rsidP="005D140A">
            <w:pPr>
              <w:rPr>
                <w:rFonts w:cs="Arial"/>
                <w:color w:val="000000"/>
                <w:sz w:val="20"/>
                <w:szCs w:val="20"/>
              </w:rPr>
            </w:pPr>
            <w:r w:rsidRPr="009A1A2E">
              <w:rPr>
                <w:rFonts w:cs="Arial"/>
                <w:color w:val="000000"/>
                <w:sz w:val="20"/>
                <w:szCs w:val="20"/>
              </w:rPr>
              <w:lastRenderedPageBreak/>
              <w:t>Saliba (2005)</w:t>
            </w:r>
          </w:p>
        </w:tc>
        <w:tc>
          <w:tcPr>
            <w:tcW w:w="12049" w:type="dxa"/>
            <w:tcBorders>
              <w:top w:val="single" w:sz="4" w:space="0" w:color="auto"/>
              <w:left w:val="nil"/>
              <w:bottom w:val="single" w:sz="4" w:space="0" w:color="auto"/>
              <w:right w:val="single" w:sz="8" w:space="0" w:color="000000"/>
            </w:tcBorders>
            <w:shd w:val="clear" w:color="auto" w:fill="auto"/>
            <w:vAlign w:val="center"/>
            <w:hideMark/>
          </w:tcPr>
          <w:p w14:paraId="5155B615" w14:textId="77777777" w:rsidR="00A318E3" w:rsidRPr="009A1A2E" w:rsidRDefault="00A318E3" w:rsidP="005D140A">
            <w:pPr>
              <w:rPr>
                <w:rFonts w:cs="Arial"/>
                <w:color w:val="000000"/>
                <w:sz w:val="20"/>
                <w:szCs w:val="20"/>
              </w:rPr>
            </w:pPr>
            <w:r w:rsidRPr="009A1A2E">
              <w:rPr>
                <w:rFonts w:cs="Arial"/>
                <w:color w:val="000000"/>
                <w:sz w:val="20"/>
                <w:szCs w:val="20"/>
              </w:rPr>
              <w:t>Binaural hearing, Digital hearing aid, Middle ear implant, Stereophony, and Vibrant Soundbridge. Binaurality in Middle Ear Implant Recipients  Using Contralateral Digital Hearing Aids.[Miscellaneous Article]. Otology &amp; Neurotology 26 (4):680-685, 2005.</w:t>
            </w:r>
          </w:p>
        </w:tc>
      </w:tr>
      <w:tr w:rsidR="00A318E3" w:rsidRPr="009A1A2E" w14:paraId="554171BF" w14:textId="77777777" w:rsidTr="005D140A">
        <w:trPr>
          <w:trHeight w:val="570"/>
        </w:trPr>
        <w:tc>
          <w:tcPr>
            <w:tcW w:w="1716" w:type="dxa"/>
            <w:tcBorders>
              <w:top w:val="nil"/>
              <w:left w:val="single" w:sz="8" w:space="0" w:color="auto"/>
              <w:bottom w:val="single" w:sz="4" w:space="0" w:color="auto"/>
              <w:right w:val="single" w:sz="4" w:space="0" w:color="auto"/>
            </w:tcBorders>
            <w:shd w:val="clear" w:color="auto" w:fill="auto"/>
            <w:noWrap/>
            <w:vAlign w:val="center"/>
            <w:hideMark/>
          </w:tcPr>
          <w:p w14:paraId="3BD468E4" w14:textId="77777777" w:rsidR="00A318E3" w:rsidRPr="009A1A2E" w:rsidRDefault="00A318E3" w:rsidP="005D140A">
            <w:pPr>
              <w:rPr>
                <w:rFonts w:cs="Arial"/>
                <w:color w:val="000000"/>
                <w:sz w:val="20"/>
                <w:szCs w:val="20"/>
              </w:rPr>
            </w:pPr>
            <w:r w:rsidRPr="009A1A2E">
              <w:rPr>
                <w:rFonts w:cs="Arial"/>
                <w:color w:val="000000"/>
                <w:sz w:val="20"/>
                <w:szCs w:val="20"/>
              </w:rPr>
              <w:t>Schmutziger (2006)</w:t>
            </w:r>
          </w:p>
        </w:tc>
        <w:tc>
          <w:tcPr>
            <w:tcW w:w="12049" w:type="dxa"/>
            <w:tcBorders>
              <w:top w:val="single" w:sz="4" w:space="0" w:color="auto"/>
              <w:left w:val="nil"/>
              <w:bottom w:val="single" w:sz="4" w:space="0" w:color="auto"/>
              <w:right w:val="single" w:sz="8" w:space="0" w:color="000000"/>
            </w:tcBorders>
            <w:shd w:val="clear" w:color="auto" w:fill="auto"/>
            <w:vAlign w:val="center"/>
            <w:hideMark/>
          </w:tcPr>
          <w:p w14:paraId="5EC8B7D6" w14:textId="77777777" w:rsidR="00A318E3" w:rsidRPr="009A1A2E" w:rsidRDefault="00A318E3" w:rsidP="005D140A">
            <w:pPr>
              <w:rPr>
                <w:rFonts w:cs="Arial"/>
                <w:color w:val="000000"/>
                <w:sz w:val="20"/>
                <w:szCs w:val="20"/>
              </w:rPr>
            </w:pPr>
            <w:r w:rsidRPr="009A1A2E">
              <w:rPr>
                <w:rFonts w:cs="Arial"/>
                <w:color w:val="000000"/>
                <w:sz w:val="20"/>
                <w:szCs w:val="20"/>
              </w:rPr>
              <w:t>Long-Term Assessment after Implantation of the Vibrant Soundbridge Device. Otology &amp; Neurotology 27:183–188 2006.</w:t>
            </w:r>
          </w:p>
        </w:tc>
      </w:tr>
      <w:tr w:rsidR="00A318E3" w:rsidRPr="009A1A2E" w14:paraId="0CD252BA" w14:textId="77777777" w:rsidTr="005D140A">
        <w:trPr>
          <w:trHeight w:val="660"/>
        </w:trPr>
        <w:tc>
          <w:tcPr>
            <w:tcW w:w="1716" w:type="dxa"/>
            <w:tcBorders>
              <w:top w:val="nil"/>
              <w:left w:val="single" w:sz="8" w:space="0" w:color="auto"/>
              <w:bottom w:val="single" w:sz="4" w:space="0" w:color="auto"/>
              <w:right w:val="single" w:sz="4" w:space="0" w:color="auto"/>
            </w:tcBorders>
            <w:shd w:val="clear" w:color="auto" w:fill="auto"/>
            <w:noWrap/>
            <w:vAlign w:val="center"/>
            <w:hideMark/>
          </w:tcPr>
          <w:p w14:paraId="4AB58088" w14:textId="77777777" w:rsidR="00A318E3" w:rsidRPr="009A1A2E" w:rsidRDefault="00A318E3" w:rsidP="005D140A">
            <w:pPr>
              <w:rPr>
                <w:rFonts w:cs="Arial"/>
                <w:color w:val="000000"/>
                <w:sz w:val="20"/>
                <w:szCs w:val="20"/>
              </w:rPr>
            </w:pPr>
            <w:r w:rsidRPr="009A1A2E">
              <w:rPr>
                <w:rFonts w:cs="Arial"/>
                <w:color w:val="000000"/>
                <w:sz w:val="20"/>
                <w:szCs w:val="20"/>
              </w:rPr>
              <w:t>Snik (1999)</w:t>
            </w:r>
          </w:p>
        </w:tc>
        <w:tc>
          <w:tcPr>
            <w:tcW w:w="12049" w:type="dxa"/>
            <w:tcBorders>
              <w:top w:val="single" w:sz="4" w:space="0" w:color="auto"/>
              <w:left w:val="nil"/>
              <w:bottom w:val="single" w:sz="4" w:space="0" w:color="auto"/>
              <w:right w:val="single" w:sz="8" w:space="0" w:color="000000"/>
            </w:tcBorders>
            <w:shd w:val="clear" w:color="auto" w:fill="auto"/>
            <w:vAlign w:val="center"/>
            <w:hideMark/>
          </w:tcPr>
          <w:p w14:paraId="3010BA92" w14:textId="77777777" w:rsidR="00A318E3" w:rsidRPr="009A1A2E" w:rsidRDefault="00A318E3" w:rsidP="005D140A">
            <w:pPr>
              <w:rPr>
                <w:rFonts w:cs="Arial"/>
                <w:color w:val="000000"/>
                <w:sz w:val="20"/>
                <w:szCs w:val="20"/>
              </w:rPr>
            </w:pPr>
            <w:r w:rsidRPr="009A1A2E">
              <w:rPr>
                <w:rFonts w:cs="Arial"/>
                <w:color w:val="000000"/>
                <w:sz w:val="20"/>
                <w:szCs w:val="20"/>
              </w:rPr>
              <w:t>First audiometric results with the Vibrant soundbridge, a semi-implantable hearing device for sensorineural hearing loss. Audiology 38 (6):335-338, 1999.</w:t>
            </w:r>
          </w:p>
        </w:tc>
      </w:tr>
      <w:tr w:rsidR="00A318E3" w:rsidRPr="009A1A2E" w14:paraId="4D0BF3E3" w14:textId="77777777" w:rsidTr="005D140A">
        <w:trPr>
          <w:trHeight w:val="600"/>
        </w:trPr>
        <w:tc>
          <w:tcPr>
            <w:tcW w:w="1716" w:type="dxa"/>
            <w:tcBorders>
              <w:top w:val="nil"/>
              <w:left w:val="single" w:sz="8" w:space="0" w:color="auto"/>
              <w:bottom w:val="single" w:sz="4" w:space="0" w:color="auto"/>
              <w:right w:val="single" w:sz="4" w:space="0" w:color="auto"/>
            </w:tcBorders>
            <w:shd w:val="clear" w:color="auto" w:fill="auto"/>
            <w:noWrap/>
            <w:vAlign w:val="center"/>
            <w:hideMark/>
          </w:tcPr>
          <w:p w14:paraId="7BBC5B52" w14:textId="77777777" w:rsidR="00A318E3" w:rsidRPr="009A1A2E" w:rsidRDefault="00A318E3" w:rsidP="005D140A">
            <w:pPr>
              <w:rPr>
                <w:rFonts w:cs="Arial"/>
                <w:color w:val="000000"/>
                <w:sz w:val="20"/>
                <w:szCs w:val="20"/>
              </w:rPr>
            </w:pPr>
            <w:r w:rsidRPr="009A1A2E">
              <w:rPr>
                <w:rFonts w:cs="Arial"/>
                <w:color w:val="000000"/>
                <w:sz w:val="20"/>
                <w:szCs w:val="20"/>
              </w:rPr>
              <w:t xml:space="preserve">Snik (2001) </w:t>
            </w:r>
          </w:p>
        </w:tc>
        <w:tc>
          <w:tcPr>
            <w:tcW w:w="12049" w:type="dxa"/>
            <w:tcBorders>
              <w:top w:val="single" w:sz="4" w:space="0" w:color="auto"/>
              <w:left w:val="nil"/>
              <w:bottom w:val="single" w:sz="4" w:space="0" w:color="auto"/>
              <w:right w:val="single" w:sz="8" w:space="0" w:color="000000"/>
            </w:tcBorders>
            <w:shd w:val="clear" w:color="auto" w:fill="auto"/>
            <w:vAlign w:val="center"/>
            <w:hideMark/>
          </w:tcPr>
          <w:p w14:paraId="04084A02" w14:textId="77777777" w:rsidR="00A318E3" w:rsidRPr="009A1A2E" w:rsidRDefault="00A318E3" w:rsidP="005D140A">
            <w:pPr>
              <w:rPr>
                <w:rFonts w:cs="Arial"/>
                <w:color w:val="000000"/>
                <w:sz w:val="20"/>
                <w:szCs w:val="20"/>
              </w:rPr>
            </w:pPr>
            <w:r w:rsidRPr="009A1A2E">
              <w:rPr>
                <w:rFonts w:cs="Arial"/>
                <w:color w:val="000000"/>
                <w:sz w:val="20"/>
                <w:szCs w:val="20"/>
              </w:rPr>
              <w:t>Multicenter audiometric results with the Vibrant Soundbridge, a semi-implantable hearing device for sensorineural hearing impairment. Otolaryngol.Clin.North Am. 34 (2):373-388, 2001.</w:t>
            </w:r>
          </w:p>
        </w:tc>
      </w:tr>
      <w:tr w:rsidR="00A318E3" w:rsidRPr="009A1A2E" w14:paraId="0B573679" w14:textId="77777777" w:rsidTr="005D140A">
        <w:trPr>
          <w:trHeight w:val="585"/>
        </w:trPr>
        <w:tc>
          <w:tcPr>
            <w:tcW w:w="1716" w:type="dxa"/>
            <w:tcBorders>
              <w:top w:val="nil"/>
              <w:left w:val="single" w:sz="8" w:space="0" w:color="auto"/>
              <w:bottom w:val="single" w:sz="4" w:space="0" w:color="auto"/>
              <w:right w:val="single" w:sz="4" w:space="0" w:color="auto"/>
            </w:tcBorders>
            <w:shd w:val="clear" w:color="auto" w:fill="auto"/>
            <w:noWrap/>
            <w:vAlign w:val="center"/>
            <w:hideMark/>
          </w:tcPr>
          <w:p w14:paraId="5E98180A" w14:textId="77777777" w:rsidR="00A318E3" w:rsidRPr="009A1A2E" w:rsidRDefault="00A318E3" w:rsidP="005D140A">
            <w:pPr>
              <w:rPr>
                <w:rFonts w:cs="Arial"/>
                <w:color w:val="000000"/>
                <w:sz w:val="20"/>
                <w:szCs w:val="20"/>
              </w:rPr>
            </w:pPr>
            <w:r w:rsidRPr="009A1A2E">
              <w:rPr>
                <w:rFonts w:cs="Arial"/>
                <w:color w:val="000000"/>
                <w:sz w:val="20"/>
                <w:szCs w:val="20"/>
              </w:rPr>
              <w:t>Snik (2001)</w:t>
            </w:r>
          </w:p>
        </w:tc>
        <w:tc>
          <w:tcPr>
            <w:tcW w:w="12049" w:type="dxa"/>
            <w:tcBorders>
              <w:top w:val="single" w:sz="4" w:space="0" w:color="auto"/>
              <w:left w:val="nil"/>
              <w:bottom w:val="single" w:sz="4" w:space="0" w:color="auto"/>
              <w:right w:val="single" w:sz="8" w:space="0" w:color="000000"/>
            </w:tcBorders>
            <w:shd w:val="clear" w:color="auto" w:fill="auto"/>
            <w:vAlign w:val="center"/>
            <w:hideMark/>
          </w:tcPr>
          <w:p w14:paraId="0BDF29E7" w14:textId="77777777" w:rsidR="00A318E3" w:rsidRPr="009A1A2E" w:rsidRDefault="00A318E3" w:rsidP="005D140A">
            <w:pPr>
              <w:rPr>
                <w:rFonts w:cs="Arial"/>
                <w:color w:val="000000"/>
                <w:sz w:val="20"/>
                <w:szCs w:val="20"/>
              </w:rPr>
            </w:pPr>
            <w:r w:rsidRPr="009A1A2E">
              <w:rPr>
                <w:rFonts w:cs="Arial"/>
                <w:color w:val="000000"/>
                <w:sz w:val="20"/>
                <w:szCs w:val="20"/>
              </w:rPr>
              <w:t>Vibrant semi-implantable hearing device with digital sound processing: effective gain and speech perception. Arch.Otolaryngol.Head Neck Surg. 127 (12):1433-1437, 2001.</w:t>
            </w:r>
          </w:p>
        </w:tc>
      </w:tr>
      <w:tr w:rsidR="00A318E3" w:rsidRPr="009A1A2E" w14:paraId="45EB83C7" w14:textId="77777777" w:rsidTr="005D140A">
        <w:trPr>
          <w:trHeight w:val="630"/>
        </w:trPr>
        <w:tc>
          <w:tcPr>
            <w:tcW w:w="1716" w:type="dxa"/>
            <w:tcBorders>
              <w:top w:val="nil"/>
              <w:left w:val="single" w:sz="8" w:space="0" w:color="auto"/>
              <w:bottom w:val="single" w:sz="4" w:space="0" w:color="auto"/>
              <w:right w:val="single" w:sz="4" w:space="0" w:color="auto"/>
            </w:tcBorders>
            <w:shd w:val="clear" w:color="auto" w:fill="auto"/>
            <w:noWrap/>
            <w:vAlign w:val="center"/>
            <w:hideMark/>
          </w:tcPr>
          <w:p w14:paraId="2BD1723C" w14:textId="77777777" w:rsidR="00A318E3" w:rsidRPr="009A1A2E" w:rsidRDefault="00A318E3" w:rsidP="005D140A">
            <w:pPr>
              <w:rPr>
                <w:rFonts w:cs="Arial"/>
                <w:color w:val="000000"/>
                <w:sz w:val="20"/>
                <w:szCs w:val="20"/>
              </w:rPr>
            </w:pPr>
            <w:r w:rsidRPr="009A1A2E">
              <w:rPr>
                <w:rFonts w:cs="Arial"/>
                <w:color w:val="000000"/>
                <w:sz w:val="20"/>
                <w:szCs w:val="20"/>
              </w:rPr>
              <w:t>Snik (2006)</w:t>
            </w:r>
          </w:p>
        </w:tc>
        <w:tc>
          <w:tcPr>
            <w:tcW w:w="12049" w:type="dxa"/>
            <w:tcBorders>
              <w:top w:val="single" w:sz="4" w:space="0" w:color="auto"/>
              <w:left w:val="nil"/>
              <w:bottom w:val="single" w:sz="4" w:space="0" w:color="auto"/>
              <w:right w:val="single" w:sz="8" w:space="0" w:color="000000"/>
            </w:tcBorders>
            <w:shd w:val="clear" w:color="auto" w:fill="auto"/>
            <w:vAlign w:val="center"/>
            <w:hideMark/>
          </w:tcPr>
          <w:p w14:paraId="1D183D11" w14:textId="77777777" w:rsidR="00A318E3" w:rsidRPr="009A1A2E" w:rsidRDefault="00A318E3" w:rsidP="005D140A">
            <w:pPr>
              <w:rPr>
                <w:rFonts w:cs="Arial"/>
                <w:color w:val="000000"/>
                <w:sz w:val="20"/>
                <w:szCs w:val="20"/>
              </w:rPr>
            </w:pPr>
            <w:r w:rsidRPr="009A1A2E">
              <w:rPr>
                <w:rFonts w:cs="Arial"/>
                <w:color w:val="000000"/>
                <w:sz w:val="20"/>
                <w:szCs w:val="20"/>
              </w:rPr>
              <w:t>Estimated cost-effectiveness of active middle-ear implantation in hearing-impaired patients with severe external otitis. Arch.Otolaryngol.Head Neck Surg. 132 (11):1210-1215, 2006.</w:t>
            </w:r>
          </w:p>
        </w:tc>
      </w:tr>
      <w:tr w:rsidR="00A318E3" w:rsidRPr="009A1A2E" w14:paraId="5D172856" w14:textId="77777777" w:rsidTr="005D140A">
        <w:trPr>
          <w:trHeight w:val="615"/>
        </w:trPr>
        <w:tc>
          <w:tcPr>
            <w:tcW w:w="1716" w:type="dxa"/>
            <w:tcBorders>
              <w:top w:val="nil"/>
              <w:left w:val="single" w:sz="8" w:space="0" w:color="auto"/>
              <w:bottom w:val="single" w:sz="4" w:space="0" w:color="auto"/>
              <w:right w:val="single" w:sz="4" w:space="0" w:color="auto"/>
            </w:tcBorders>
            <w:shd w:val="clear" w:color="auto" w:fill="auto"/>
            <w:noWrap/>
            <w:vAlign w:val="center"/>
            <w:hideMark/>
          </w:tcPr>
          <w:p w14:paraId="772B3185" w14:textId="77777777" w:rsidR="00A318E3" w:rsidRPr="009A1A2E" w:rsidRDefault="00A318E3" w:rsidP="005D140A">
            <w:pPr>
              <w:rPr>
                <w:rFonts w:cs="Arial"/>
                <w:color w:val="000000"/>
                <w:sz w:val="20"/>
                <w:szCs w:val="20"/>
              </w:rPr>
            </w:pPr>
            <w:r w:rsidRPr="009A1A2E">
              <w:rPr>
                <w:rFonts w:cs="Arial"/>
                <w:color w:val="000000"/>
                <w:sz w:val="20"/>
                <w:szCs w:val="20"/>
              </w:rPr>
              <w:t>Sterkers (2003)</w:t>
            </w:r>
          </w:p>
        </w:tc>
        <w:tc>
          <w:tcPr>
            <w:tcW w:w="12049" w:type="dxa"/>
            <w:tcBorders>
              <w:top w:val="single" w:sz="4" w:space="0" w:color="auto"/>
              <w:left w:val="nil"/>
              <w:bottom w:val="single" w:sz="4" w:space="0" w:color="auto"/>
              <w:right w:val="single" w:sz="8" w:space="0" w:color="000000"/>
            </w:tcBorders>
            <w:shd w:val="clear" w:color="auto" w:fill="auto"/>
            <w:vAlign w:val="center"/>
            <w:hideMark/>
          </w:tcPr>
          <w:p w14:paraId="4F17BF6A" w14:textId="77777777" w:rsidR="00A318E3" w:rsidRPr="009A1A2E" w:rsidRDefault="00A318E3" w:rsidP="005D140A">
            <w:pPr>
              <w:rPr>
                <w:rFonts w:cs="Arial"/>
                <w:color w:val="000000"/>
                <w:sz w:val="20"/>
                <w:szCs w:val="20"/>
              </w:rPr>
            </w:pPr>
            <w:r w:rsidRPr="009A1A2E">
              <w:rPr>
                <w:rFonts w:cs="Arial"/>
                <w:color w:val="000000"/>
                <w:sz w:val="20"/>
                <w:szCs w:val="20"/>
              </w:rPr>
              <w:t>A middle ear implant, the Symphonix Vibrant Soundbridge: retrospective study of the first 125 patients implanted in France. Otol.Neurotol. 24 (3):427-436, 2003.</w:t>
            </w:r>
          </w:p>
        </w:tc>
      </w:tr>
      <w:tr w:rsidR="00A318E3" w:rsidRPr="009A1A2E" w14:paraId="463EF8AC" w14:textId="77777777" w:rsidTr="005D140A">
        <w:trPr>
          <w:trHeight w:val="585"/>
        </w:trPr>
        <w:tc>
          <w:tcPr>
            <w:tcW w:w="1716" w:type="dxa"/>
            <w:tcBorders>
              <w:top w:val="nil"/>
              <w:left w:val="single" w:sz="8" w:space="0" w:color="auto"/>
              <w:bottom w:val="single" w:sz="4" w:space="0" w:color="auto"/>
              <w:right w:val="single" w:sz="4" w:space="0" w:color="auto"/>
            </w:tcBorders>
            <w:shd w:val="clear" w:color="auto" w:fill="auto"/>
            <w:noWrap/>
            <w:vAlign w:val="center"/>
            <w:hideMark/>
          </w:tcPr>
          <w:p w14:paraId="5C735B7C" w14:textId="77777777" w:rsidR="00A318E3" w:rsidRPr="009A1A2E" w:rsidRDefault="00A318E3" w:rsidP="005D140A">
            <w:pPr>
              <w:rPr>
                <w:rFonts w:cs="Arial"/>
                <w:color w:val="000000"/>
                <w:sz w:val="20"/>
                <w:szCs w:val="20"/>
              </w:rPr>
            </w:pPr>
            <w:r w:rsidRPr="009A1A2E">
              <w:rPr>
                <w:rFonts w:cs="Arial"/>
                <w:color w:val="000000"/>
                <w:sz w:val="20"/>
                <w:szCs w:val="20"/>
              </w:rPr>
              <w:t>Sziklai (2014)</w:t>
            </w:r>
          </w:p>
        </w:tc>
        <w:tc>
          <w:tcPr>
            <w:tcW w:w="12049" w:type="dxa"/>
            <w:tcBorders>
              <w:top w:val="single" w:sz="4" w:space="0" w:color="auto"/>
              <w:left w:val="nil"/>
              <w:bottom w:val="single" w:sz="4" w:space="0" w:color="auto"/>
              <w:right w:val="single" w:sz="8" w:space="0" w:color="000000"/>
            </w:tcBorders>
            <w:shd w:val="clear" w:color="auto" w:fill="auto"/>
            <w:vAlign w:val="center"/>
            <w:hideMark/>
          </w:tcPr>
          <w:p w14:paraId="508981A2" w14:textId="77777777" w:rsidR="00A318E3" w:rsidRPr="009A1A2E" w:rsidRDefault="00A318E3" w:rsidP="005D140A">
            <w:pPr>
              <w:rPr>
                <w:rFonts w:cs="Arial"/>
                <w:color w:val="000000"/>
                <w:sz w:val="20"/>
                <w:szCs w:val="20"/>
              </w:rPr>
            </w:pPr>
            <w:r w:rsidRPr="009A1A2E">
              <w:rPr>
                <w:rFonts w:cs="Arial"/>
                <w:color w:val="000000"/>
                <w:sz w:val="20"/>
                <w:szCs w:val="20"/>
              </w:rPr>
              <w:t xml:space="preserve"> Functional gain and speech understanding obtained by Vibrant Soundbridge or by open-fit hearing aids. Acta Otolaryngol., Acta Oto-Laryngologica; 131: 428–433. 2014.</w:t>
            </w:r>
          </w:p>
        </w:tc>
      </w:tr>
      <w:tr w:rsidR="00A318E3" w:rsidRPr="009A1A2E" w14:paraId="73847A9E" w14:textId="77777777" w:rsidTr="005D140A">
        <w:trPr>
          <w:trHeight w:val="630"/>
        </w:trPr>
        <w:tc>
          <w:tcPr>
            <w:tcW w:w="1716" w:type="dxa"/>
            <w:tcBorders>
              <w:top w:val="nil"/>
              <w:left w:val="single" w:sz="8" w:space="0" w:color="auto"/>
              <w:bottom w:val="single" w:sz="4" w:space="0" w:color="auto"/>
              <w:right w:val="single" w:sz="4" w:space="0" w:color="auto"/>
            </w:tcBorders>
            <w:shd w:val="clear" w:color="auto" w:fill="auto"/>
            <w:noWrap/>
            <w:vAlign w:val="center"/>
            <w:hideMark/>
          </w:tcPr>
          <w:p w14:paraId="78D6A9A2" w14:textId="77777777" w:rsidR="00A318E3" w:rsidRPr="009A1A2E" w:rsidRDefault="00A318E3" w:rsidP="005D140A">
            <w:pPr>
              <w:rPr>
                <w:rFonts w:cs="Arial"/>
                <w:color w:val="000000"/>
                <w:sz w:val="20"/>
                <w:szCs w:val="20"/>
              </w:rPr>
            </w:pPr>
            <w:r w:rsidRPr="009A1A2E">
              <w:rPr>
                <w:rFonts w:cs="Arial"/>
                <w:color w:val="000000"/>
                <w:sz w:val="20"/>
                <w:szCs w:val="20"/>
              </w:rPr>
              <w:t>Todt (2002)</w:t>
            </w:r>
          </w:p>
        </w:tc>
        <w:tc>
          <w:tcPr>
            <w:tcW w:w="12049" w:type="dxa"/>
            <w:tcBorders>
              <w:top w:val="single" w:sz="4" w:space="0" w:color="auto"/>
              <w:left w:val="nil"/>
              <w:bottom w:val="single" w:sz="4" w:space="0" w:color="auto"/>
              <w:right w:val="single" w:sz="8" w:space="0" w:color="000000"/>
            </w:tcBorders>
            <w:shd w:val="clear" w:color="auto" w:fill="auto"/>
            <w:vAlign w:val="center"/>
            <w:hideMark/>
          </w:tcPr>
          <w:p w14:paraId="5E36B32C" w14:textId="77777777" w:rsidR="00A318E3" w:rsidRPr="009A1A2E" w:rsidRDefault="00A318E3" w:rsidP="005D140A">
            <w:pPr>
              <w:rPr>
                <w:rFonts w:cs="Arial"/>
                <w:color w:val="000000"/>
                <w:sz w:val="20"/>
                <w:szCs w:val="20"/>
              </w:rPr>
            </w:pPr>
            <w:r w:rsidRPr="009A1A2E">
              <w:rPr>
                <w:rFonts w:cs="Arial"/>
                <w:color w:val="000000"/>
                <w:sz w:val="20"/>
                <w:szCs w:val="20"/>
              </w:rPr>
              <w:t>Comparison of different vibrant soundbridge audioprocessors with conventional hearing AIDS. Otol.Neurotol. 23 (5):669-673, 2002.</w:t>
            </w:r>
          </w:p>
        </w:tc>
      </w:tr>
      <w:tr w:rsidR="00A318E3" w:rsidRPr="009A1A2E" w14:paraId="5F3EB454" w14:textId="77777777" w:rsidTr="005D140A">
        <w:trPr>
          <w:trHeight w:val="570"/>
        </w:trPr>
        <w:tc>
          <w:tcPr>
            <w:tcW w:w="1716" w:type="dxa"/>
            <w:tcBorders>
              <w:top w:val="nil"/>
              <w:left w:val="single" w:sz="8" w:space="0" w:color="auto"/>
              <w:bottom w:val="single" w:sz="4" w:space="0" w:color="auto"/>
              <w:right w:val="single" w:sz="4" w:space="0" w:color="auto"/>
            </w:tcBorders>
            <w:shd w:val="clear" w:color="auto" w:fill="auto"/>
            <w:noWrap/>
            <w:vAlign w:val="center"/>
            <w:hideMark/>
          </w:tcPr>
          <w:p w14:paraId="3C610539" w14:textId="77777777" w:rsidR="00A318E3" w:rsidRPr="009A1A2E" w:rsidRDefault="00A318E3" w:rsidP="005D140A">
            <w:pPr>
              <w:rPr>
                <w:rFonts w:cs="Arial"/>
                <w:color w:val="000000"/>
                <w:sz w:val="20"/>
                <w:szCs w:val="20"/>
              </w:rPr>
            </w:pPr>
            <w:r w:rsidRPr="009A1A2E">
              <w:rPr>
                <w:rFonts w:cs="Arial"/>
                <w:color w:val="000000"/>
                <w:sz w:val="20"/>
                <w:szCs w:val="20"/>
              </w:rPr>
              <w:t>Todt (2005)</w:t>
            </w:r>
          </w:p>
        </w:tc>
        <w:tc>
          <w:tcPr>
            <w:tcW w:w="12049" w:type="dxa"/>
            <w:tcBorders>
              <w:top w:val="single" w:sz="4" w:space="0" w:color="auto"/>
              <w:left w:val="nil"/>
              <w:bottom w:val="single" w:sz="4" w:space="0" w:color="auto"/>
              <w:right w:val="single" w:sz="8" w:space="0" w:color="000000"/>
            </w:tcBorders>
            <w:shd w:val="clear" w:color="auto" w:fill="auto"/>
            <w:vAlign w:val="center"/>
            <w:hideMark/>
          </w:tcPr>
          <w:p w14:paraId="71121F11" w14:textId="77777777" w:rsidR="00A318E3" w:rsidRPr="009A1A2E" w:rsidRDefault="00A318E3" w:rsidP="005D140A">
            <w:pPr>
              <w:rPr>
                <w:rFonts w:cs="Arial"/>
                <w:color w:val="000000"/>
                <w:sz w:val="20"/>
                <w:szCs w:val="20"/>
              </w:rPr>
            </w:pPr>
            <w:r w:rsidRPr="009A1A2E">
              <w:rPr>
                <w:rFonts w:cs="Arial"/>
                <w:color w:val="000000"/>
                <w:sz w:val="20"/>
                <w:szCs w:val="20"/>
              </w:rPr>
              <w:t>Hearing benefit of patients after Vibrant Soundbridge implantation. ORL J.Otorhinolaryngol.Relat Spec. 67 (4):203-206, 2005.</w:t>
            </w:r>
          </w:p>
        </w:tc>
      </w:tr>
      <w:tr w:rsidR="00A318E3" w:rsidRPr="009A1A2E" w14:paraId="734DCB13" w14:textId="77777777" w:rsidTr="005D140A">
        <w:trPr>
          <w:trHeight w:val="645"/>
        </w:trPr>
        <w:tc>
          <w:tcPr>
            <w:tcW w:w="1716" w:type="dxa"/>
            <w:tcBorders>
              <w:top w:val="nil"/>
              <w:left w:val="single" w:sz="8" w:space="0" w:color="auto"/>
              <w:bottom w:val="single" w:sz="4" w:space="0" w:color="auto"/>
              <w:right w:val="single" w:sz="4" w:space="0" w:color="auto"/>
            </w:tcBorders>
            <w:shd w:val="clear" w:color="auto" w:fill="auto"/>
            <w:noWrap/>
            <w:vAlign w:val="center"/>
            <w:hideMark/>
          </w:tcPr>
          <w:p w14:paraId="0398DCC0" w14:textId="77777777" w:rsidR="00A318E3" w:rsidRPr="009A1A2E" w:rsidRDefault="00A318E3" w:rsidP="005D140A">
            <w:pPr>
              <w:rPr>
                <w:rFonts w:cs="Arial"/>
                <w:color w:val="000000"/>
                <w:sz w:val="20"/>
                <w:szCs w:val="20"/>
              </w:rPr>
            </w:pPr>
            <w:r w:rsidRPr="009A1A2E">
              <w:rPr>
                <w:rFonts w:cs="Arial"/>
                <w:color w:val="000000"/>
                <w:sz w:val="20"/>
                <w:szCs w:val="20"/>
              </w:rPr>
              <w:t>Truy (2008)</w:t>
            </w:r>
          </w:p>
        </w:tc>
        <w:tc>
          <w:tcPr>
            <w:tcW w:w="12049" w:type="dxa"/>
            <w:tcBorders>
              <w:top w:val="single" w:sz="4" w:space="0" w:color="auto"/>
              <w:left w:val="nil"/>
              <w:bottom w:val="single" w:sz="4" w:space="0" w:color="auto"/>
              <w:right w:val="single" w:sz="8" w:space="0" w:color="000000"/>
            </w:tcBorders>
            <w:shd w:val="clear" w:color="auto" w:fill="auto"/>
            <w:vAlign w:val="center"/>
            <w:hideMark/>
          </w:tcPr>
          <w:p w14:paraId="1A596A40" w14:textId="77777777" w:rsidR="00A318E3" w:rsidRPr="009A1A2E" w:rsidRDefault="00A318E3" w:rsidP="005D140A">
            <w:pPr>
              <w:rPr>
                <w:rFonts w:cs="Arial"/>
                <w:color w:val="000000"/>
                <w:sz w:val="20"/>
                <w:szCs w:val="20"/>
              </w:rPr>
            </w:pPr>
            <w:r w:rsidRPr="009A1A2E">
              <w:rPr>
                <w:rFonts w:cs="Arial"/>
                <w:color w:val="000000"/>
                <w:sz w:val="20"/>
                <w:szCs w:val="20"/>
              </w:rPr>
              <w:t>Vibrant soundbridge versus conventional hearing aid in sensorineural high-frequency hearing loss: a prospective study. Otol.Neurotol. 29 (5):684-687, 2008.</w:t>
            </w:r>
          </w:p>
        </w:tc>
      </w:tr>
      <w:tr w:rsidR="00A318E3" w:rsidRPr="009A1A2E" w14:paraId="0B62A6C7" w14:textId="77777777" w:rsidTr="005D140A">
        <w:trPr>
          <w:trHeight w:val="983"/>
        </w:trPr>
        <w:tc>
          <w:tcPr>
            <w:tcW w:w="1716" w:type="dxa"/>
            <w:tcBorders>
              <w:top w:val="nil"/>
              <w:left w:val="single" w:sz="8" w:space="0" w:color="auto"/>
              <w:bottom w:val="single" w:sz="4" w:space="0" w:color="auto"/>
              <w:right w:val="single" w:sz="4" w:space="0" w:color="auto"/>
            </w:tcBorders>
            <w:shd w:val="clear" w:color="auto" w:fill="auto"/>
            <w:noWrap/>
            <w:vAlign w:val="center"/>
            <w:hideMark/>
          </w:tcPr>
          <w:p w14:paraId="0A749017" w14:textId="77777777" w:rsidR="00A318E3" w:rsidRPr="009A1A2E" w:rsidRDefault="00A318E3" w:rsidP="005D140A">
            <w:pPr>
              <w:rPr>
                <w:rFonts w:cs="Arial"/>
                <w:color w:val="000000"/>
                <w:sz w:val="20"/>
                <w:szCs w:val="20"/>
              </w:rPr>
            </w:pPr>
            <w:r w:rsidRPr="009A1A2E">
              <w:rPr>
                <w:rFonts w:cs="Arial"/>
                <w:color w:val="000000"/>
                <w:sz w:val="20"/>
                <w:szCs w:val="20"/>
              </w:rPr>
              <w:t>Uziel (2003)</w:t>
            </w:r>
          </w:p>
        </w:tc>
        <w:tc>
          <w:tcPr>
            <w:tcW w:w="12049" w:type="dxa"/>
            <w:tcBorders>
              <w:top w:val="single" w:sz="4" w:space="0" w:color="auto"/>
              <w:left w:val="nil"/>
              <w:bottom w:val="single" w:sz="4" w:space="0" w:color="auto"/>
              <w:right w:val="single" w:sz="8" w:space="0" w:color="000000"/>
            </w:tcBorders>
            <w:shd w:val="clear" w:color="auto" w:fill="auto"/>
            <w:vAlign w:val="center"/>
            <w:hideMark/>
          </w:tcPr>
          <w:p w14:paraId="34C88352" w14:textId="77777777" w:rsidR="00A318E3" w:rsidRPr="009A1A2E" w:rsidRDefault="00A318E3" w:rsidP="005D140A">
            <w:pPr>
              <w:rPr>
                <w:rFonts w:cs="Arial"/>
                <w:color w:val="000000"/>
                <w:sz w:val="20"/>
                <w:szCs w:val="20"/>
              </w:rPr>
            </w:pPr>
            <w:r w:rsidRPr="009A1A2E">
              <w:rPr>
                <w:rFonts w:cs="Arial"/>
                <w:color w:val="000000"/>
                <w:sz w:val="20"/>
                <w:szCs w:val="20"/>
              </w:rPr>
              <w:t>High-frequency sensorineural hearing loss, Middle ear implant, Rehabilitation, SIGNIA, and Symphonix Vibrant Soundbridge. Rehabilitation for High-Frequency Sensorineural Hearing Impairment in Adults with the Symphonix Vibrant Soundbridge: A Comparative Study.[Miscellaneous Article].  Otology &amp; Neurotology 24 (5):775-783, 2003.</w:t>
            </w:r>
          </w:p>
        </w:tc>
      </w:tr>
      <w:tr w:rsidR="00A318E3" w:rsidRPr="009A1A2E" w14:paraId="259CA303" w14:textId="77777777" w:rsidTr="005D140A">
        <w:trPr>
          <w:trHeight w:val="585"/>
        </w:trPr>
        <w:tc>
          <w:tcPr>
            <w:tcW w:w="1716" w:type="dxa"/>
            <w:tcBorders>
              <w:top w:val="nil"/>
              <w:left w:val="single" w:sz="8" w:space="0" w:color="auto"/>
              <w:bottom w:val="single" w:sz="4" w:space="0" w:color="auto"/>
              <w:right w:val="single" w:sz="4" w:space="0" w:color="auto"/>
            </w:tcBorders>
            <w:shd w:val="clear" w:color="auto" w:fill="auto"/>
            <w:noWrap/>
            <w:vAlign w:val="center"/>
            <w:hideMark/>
          </w:tcPr>
          <w:p w14:paraId="62A4C66E" w14:textId="77777777" w:rsidR="00A318E3" w:rsidRPr="009A1A2E" w:rsidRDefault="00A318E3" w:rsidP="005D140A">
            <w:pPr>
              <w:rPr>
                <w:rFonts w:cs="Arial"/>
                <w:color w:val="000000"/>
                <w:sz w:val="20"/>
                <w:szCs w:val="20"/>
              </w:rPr>
            </w:pPr>
            <w:r w:rsidRPr="009A1A2E">
              <w:rPr>
                <w:rFonts w:cs="Arial"/>
                <w:color w:val="000000"/>
                <w:sz w:val="20"/>
                <w:szCs w:val="20"/>
              </w:rPr>
              <w:t xml:space="preserve">Vincent (2004) </w:t>
            </w:r>
          </w:p>
        </w:tc>
        <w:tc>
          <w:tcPr>
            <w:tcW w:w="12049" w:type="dxa"/>
            <w:tcBorders>
              <w:top w:val="single" w:sz="4" w:space="0" w:color="auto"/>
              <w:left w:val="nil"/>
              <w:bottom w:val="single" w:sz="4" w:space="0" w:color="auto"/>
              <w:right w:val="single" w:sz="8" w:space="0" w:color="000000"/>
            </w:tcBorders>
            <w:shd w:val="clear" w:color="auto" w:fill="auto"/>
            <w:vAlign w:val="center"/>
            <w:hideMark/>
          </w:tcPr>
          <w:p w14:paraId="665D5542" w14:textId="77777777" w:rsidR="00A318E3" w:rsidRPr="009A1A2E" w:rsidRDefault="00A318E3" w:rsidP="005D140A">
            <w:pPr>
              <w:rPr>
                <w:rFonts w:cs="Arial"/>
                <w:color w:val="000000"/>
                <w:sz w:val="20"/>
                <w:szCs w:val="20"/>
              </w:rPr>
            </w:pPr>
            <w:r w:rsidRPr="009A1A2E">
              <w:rPr>
                <w:rFonts w:cs="Arial"/>
                <w:color w:val="000000"/>
                <w:sz w:val="20"/>
                <w:szCs w:val="20"/>
              </w:rPr>
              <w:t>A longitudinal study on postoperative hearing thresholds with the Vibrant Soundbridge device. Eur.Arch.Otorhinolaryngol.  261 (9):493-496, 2004.</w:t>
            </w:r>
          </w:p>
        </w:tc>
      </w:tr>
      <w:tr w:rsidR="00A318E3" w:rsidRPr="009A1A2E" w14:paraId="3163B5DA" w14:textId="77777777" w:rsidTr="005D140A">
        <w:trPr>
          <w:trHeight w:val="345"/>
        </w:trPr>
        <w:tc>
          <w:tcPr>
            <w:tcW w:w="13765"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0526825C" w14:textId="77777777" w:rsidR="00A318E3" w:rsidRPr="009A1A2E" w:rsidRDefault="00A318E3" w:rsidP="005D140A">
            <w:pPr>
              <w:jc w:val="center"/>
              <w:rPr>
                <w:rFonts w:cs="Arial"/>
                <w:color w:val="000000"/>
                <w:sz w:val="20"/>
                <w:szCs w:val="20"/>
              </w:rPr>
            </w:pPr>
            <w:r w:rsidRPr="009A1A2E">
              <w:rPr>
                <w:rFonts w:cs="Arial"/>
                <w:color w:val="000000"/>
                <w:sz w:val="20"/>
                <w:szCs w:val="20"/>
              </w:rPr>
              <w:lastRenderedPageBreak/>
              <w:t>Partially implantable device: MAXUM</w:t>
            </w:r>
          </w:p>
        </w:tc>
      </w:tr>
      <w:tr w:rsidR="00A318E3" w:rsidRPr="009A1A2E" w14:paraId="26E72AFE" w14:textId="77777777" w:rsidTr="005D140A">
        <w:trPr>
          <w:trHeight w:val="420"/>
        </w:trPr>
        <w:tc>
          <w:tcPr>
            <w:tcW w:w="13765"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14:paraId="59442909" w14:textId="77777777" w:rsidR="00A318E3" w:rsidRPr="009A1A2E" w:rsidRDefault="00A318E3" w:rsidP="005D140A">
            <w:pPr>
              <w:rPr>
                <w:rFonts w:cs="Arial"/>
                <w:color w:val="000000"/>
                <w:sz w:val="20"/>
                <w:szCs w:val="20"/>
              </w:rPr>
            </w:pPr>
            <w:r w:rsidRPr="009A1A2E">
              <w:rPr>
                <w:rFonts w:cs="Arial"/>
                <w:color w:val="000000"/>
                <w:sz w:val="20"/>
                <w:szCs w:val="20"/>
              </w:rPr>
              <w:t>NO LITERATURE AVAILABLE FOR THE MAXUM DEVICE</w:t>
            </w:r>
          </w:p>
        </w:tc>
      </w:tr>
      <w:tr w:rsidR="00A318E3" w:rsidRPr="009A1A2E" w14:paraId="1447634F" w14:textId="77777777" w:rsidTr="005D140A">
        <w:trPr>
          <w:trHeight w:val="375"/>
        </w:trPr>
        <w:tc>
          <w:tcPr>
            <w:tcW w:w="13765"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0D691B42" w14:textId="77777777" w:rsidR="00A318E3" w:rsidRPr="009A1A2E" w:rsidRDefault="00A318E3" w:rsidP="005D140A">
            <w:pPr>
              <w:jc w:val="center"/>
              <w:rPr>
                <w:rFonts w:cs="Arial"/>
                <w:color w:val="000000"/>
                <w:sz w:val="20"/>
                <w:szCs w:val="20"/>
              </w:rPr>
            </w:pPr>
            <w:r w:rsidRPr="009A1A2E">
              <w:rPr>
                <w:rFonts w:cs="Arial"/>
                <w:color w:val="000000"/>
                <w:sz w:val="20"/>
                <w:szCs w:val="20"/>
              </w:rPr>
              <w:t>Partially implantable device: SOUNDTEC</w:t>
            </w:r>
          </w:p>
        </w:tc>
      </w:tr>
      <w:tr w:rsidR="00A318E3" w:rsidRPr="009A1A2E" w14:paraId="5AB3B359" w14:textId="77777777" w:rsidTr="005D140A">
        <w:trPr>
          <w:trHeight w:val="472"/>
        </w:trPr>
        <w:tc>
          <w:tcPr>
            <w:tcW w:w="1716" w:type="dxa"/>
            <w:tcBorders>
              <w:top w:val="nil"/>
              <w:left w:val="single" w:sz="8" w:space="0" w:color="auto"/>
              <w:bottom w:val="single" w:sz="4" w:space="0" w:color="auto"/>
              <w:right w:val="single" w:sz="4" w:space="0" w:color="auto"/>
            </w:tcBorders>
            <w:shd w:val="clear" w:color="auto" w:fill="auto"/>
            <w:noWrap/>
            <w:vAlign w:val="center"/>
            <w:hideMark/>
          </w:tcPr>
          <w:p w14:paraId="11B9873F" w14:textId="77777777" w:rsidR="00A318E3" w:rsidRPr="009A1A2E" w:rsidRDefault="00A318E3" w:rsidP="005D140A">
            <w:pPr>
              <w:rPr>
                <w:rFonts w:cs="Arial"/>
                <w:color w:val="000000"/>
                <w:sz w:val="20"/>
                <w:szCs w:val="20"/>
              </w:rPr>
            </w:pPr>
            <w:r w:rsidRPr="009A1A2E">
              <w:rPr>
                <w:rFonts w:cs="Arial"/>
                <w:color w:val="000000"/>
                <w:sz w:val="20"/>
                <w:szCs w:val="20"/>
              </w:rPr>
              <w:t>Hough (2002)</w:t>
            </w:r>
          </w:p>
        </w:tc>
        <w:tc>
          <w:tcPr>
            <w:tcW w:w="12049" w:type="dxa"/>
            <w:tcBorders>
              <w:top w:val="single" w:sz="4" w:space="0" w:color="auto"/>
              <w:left w:val="nil"/>
              <w:bottom w:val="single" w:sz="4" w:space="0" w:color="auto"/>
              <w:right w:val="single" w:sz="8" w:space="0" w:color="000000"/>
            </w:tcBorders>
            <w:shd w:val="clear" w:color="auto" w:fill="auto"/>
            <w:vAlign w:val="center"/>
            <w:hideMark/>
          </w:tcPr>
          <w:p w14:paraId="1586428C" w14:textId="77777777" w:rsidR="00A318E3" w:rsidRPr="009A1A2E" w:rsidRDefault="00A318E3" w:rsidP="005D140A">
            <w:pPr>
              <w:rPr>
                <w:rFonts w:cs="Arial"/>
                <w:color w:val="000000"/>
                <w:sz w:val="20"/>
                <w:szCs w:val="20"/>
              </w:rPr>
            </w:pPr>
            <w:r w:rsidRPr="009A1A2E">
              <w:rPr>
                <w:rFonts w:cs="Arial"/>
                <w:color w:val="000000"/>
                <w:sz w:val="20"/>
                <w:szCs w:val="20"/>
              </w:rPr>
              <w:t>Middle ear electromagnetic semi-implantable hearing device: results of the phase II SOUNDTEC direct system clinical trial. Otol.Neurotol. 23 (6):895-903, 2002.</w:t>
            </w:r>
          </w:p>
        </w:tc>
      </w:tr>
      <w:tr w:rsidR="00A318E3" w:rsidRPr="009A1A2E" w14:paraId="22E6C317" w14:textId="77777777" w:rsidTr="005D140A">
        <w:trPr>
          <w:trHeight w:val="552"/>
        </w:trPr>
        <w:tc>
          <w:tcPr>
            <w:tcW w:w="1716" w:type="dxa"/>
            <w:tcBorders>
              <w:top w:val="nil"/>
              <w:left w:val="single" w:sz="8" w:space="0" w:color="auto"/>
              <w:bottom w:val="single" w:sz="4" w:space="0" w:color="auto"/>
              <w:right w:val="single" w:sz="4" w:space="0" w:color="auto"/>
            </w:tcBorders>
            <w:shd w:val="clear" w:color="auto" w:fill="auto"/>
            <w:noWrap/>
            <w:vAlign w:val="center"/>
            <w:hideMark/>
          </w:tcPr>
          <w:p w14:paraId="3AF449E7" w14:textId="77777777" w:rsidR="00A318E3" w:rsidRPr="009A1A2E" w:rsidRDefault="00A318E3" w:rsidP="005D140A">
            <w:pPr>
              <w:rPr>
                <w:rFonts w:cs="Arial"/>
                <w:color w:val="000000"/>
                <w:sz w:val="20"/>
                <w:szCs w:val="20"/>
              </w:rPr>
            </w:pPr>
            <w:r w:rsidRPr="009A1A2E">
              <w:rPr>
                <w:rFonts w:cs="Arial"/>
                <w:color w:val="000000"/>
                <w:sz w:val="20"/>
                <w:szCs w:val="20"/>
              </w:rPr>
              <w:t>Roland (2001)</w:t>
            </w:r>
          </w:p>
        </w:tc>
        <w:tc>
          <w:tcPr>
            <w:tcW w:w="12049" w:type="dxa"/>
            <w:tcBorders>
              <w:top w:val="single" w:sz="4" w:space="0" w:color="auto"/>
              <w:left w:val="nil"/>
              <w:bottom w:val="single" w:sz="4" w:space="0" w:color="auto"/>
              <w:right w:val="single" w:sz="8" w:space="0" w:color="000000"/>
            </w:tcBorders>
            <w:shd w:val="clear" w:color="auto" w:fill="auto"/>
            <w:vAlign w:val="center"/>
            <w:hideMark/>
          </w:tcPr>
          <w:p w14:paraId="48C40453" w14:textId="77777777" w:rsidR="00A318E3" w:rsidRPr="009A1A2E" w:rsidRDefault="00A318E3" w:rsidP="005D140A">
            <w:pPr>
              <w:rPr>
                <w:rFonts w:cs="Arial"/>
                <w:color w:val="000000"/>
                <w:sz w:val="20"/>
                <w:szCs w:val="20"/>
              </w:rPr>
            </w:pPr>
            <w:r w:rsidRPr="009A1A2E">
              <w:rPr>
                <w:rFonts w:cs="Arial"/>
                <w:color w:val="000000"/>
                <w:sz w:val="20"/>
                <w:szCs w:val="20"/>
              </w:rPr>
              <w:t>Verification of improved patient outcomes with a partially implantable hearing aid, The SOUNDTEC direct hearing system. Laryngoscope 111 (10):1682-1686, 2001.</w:t>
            </w:r>
          </w:p>
        </w:tc>
      </w:tr>
      <w:tr w:rsidR="00A318E3" w:rsidRPr="009A1A2E" w14:paraId="29BCAF5A" w14:textId="77777777" w:rsidTr="005D140A">
        <w:trPr>
          <w:trHeight w:val="747"/>
        </w:trPr>
        <w:tc>
          <w:tcPr>
            <w:tcW w:w="1716" w:type="dxa"/>
            <w:tcBorders>
              <w:top w:val="nil"/>
              <w:left w:val="single" w:sz="8" w:space="0" w:color="auto"/>
              <w:bottom w:val="single" w:sz="4" w:space="0" w:color="auto"/>
              <w:right w:val="single" w:sz="4" w:space="0" w:color="auto"/>
            </w:tcBorders>
            <w:shd w:val="clear" w:color="auto" w:fill="auto"/>
            <w:noWrap/>
            <w:vAlign w:val="center"/>
            <w:hideMark/>
          </w:tcPr>
          <w:p w14:paraId="09D70228" w14:textId="77777777" w:rsidR="00A318E3" w:rsidRPr="009A1A2E" w:rsidRDefault="00A318E3" w:rsidP="005D140A">
            <w:pPr>
              <w:rPr>
                <w:rFonts w:cs="Arial"/>
                <w:color w:val="000000"/>
                <w:sz w:val="20"/>
                <w:szCs w:val="20"/>
              </w:rPr>
            </w:pPr>
            <w:r w:rsidRPr="009A1A2E">
              <w:rPr>
                <w:rFonts w:cs="Arial"/>
                <w:color w:val="000000"/>
                <w:sz w:val="20"/>
                <w:szCs w:val="20"/>
              </w:rPr>
              <w:t>Silverstein (2005)</w:t>
            </w:r>
          </w:p>
        </w:tc>
        <w:tc>
          <w:tcPr>
            <w:tcW w:w="12049" w:type="dxa"/>
            <w:tcBorders>
              <w:top w:val="single" w:sz="4" w:space="0" w:color="auto"/>
              <w:left w:val="nil"/>
              <w:bottom w:val="single" w:sz="4" w:space="0" w:color="auto"/>
              <w:right w:val="single" w:sz="8" w:space="0" w:color="000000"/>
            </w:tcBorders>
            <w:shd w:val="clear" w:color="auto" w:fill="auto"/>
            <w:vAlign w:val="center"/>
            <w:hideMark/>
          </w:tcPr>
          <w:p w14:paraId="187A5FDF" w14:textId="77777777" w:rsidR="00A318E3" w:rsidRPr="009A1A2E" w:rsidRDefault="00A318E3" w:rsidP="005D140A">
            <w:pPr>
              <w:rPr>
                <w:rFonts w:cs="Arial"/>
                <w:color w:val="000000"/>
                <w:sz w:val="20"/>
                <w:szCs w:val="20"/>
              </w:rPr>
            </w:pPr>
            <w:r w:rsidRPr="009A1A2E">
              <w:rPr>
                <w:rFonts w:cs="Arial"/>
                <w:color w:val="000000"/>
                <w:sz w:val="20"/>
                <w:szCs w:val="20"/>
              </w:rPr>
              <w:t>Electromagnetic hearing device, Ossicular magnet, Semi-implantable hearing device, and SOUNDTEC. Experience with the SOUNDTEC Implantable Hearing Aid.[Miscellaneous Article]. Otology &amp; Neurotology 26 (2):211-217, 2005.</w:t>
            </w:r>
          </w:p>
        </w:tc>
      </w:tr>
    </w:tbl>
    <w:p w14:paraId="469FD228" w14:textId="77777777" w:rsidR="00A318E3" w:rsidRPr="009A1A2E" w:rsidRDefault="00A318E3" w:rsidP="00A318E3">
      <w:pPr>
        <w:rPr>
          <w:rFonts w:cs="Arial"/>
        </w:rPr>
        <w:sectPr w:rsidR="00A318E3" w:rsidRPr="009A1A2E" w:rsidSect="00B23BCE">
          <w:pgSz w:w="16839" w:h="11907" w:orient="landscape" w:code="9"/>
          <w:pgMar w:top="1440" w:right="1440" w:bottom="1440" w:left="1440" w:header="720" w:footer="720" w:gutter="0"/>
          <w:paperSrc w:first="7" w:other="7"/>
          <w:cols w:space="720"/>
          <w:docGrid w:linePitch="299"/>
        </w:sectPr>
      </w:pPr>
    </w:p>
    <w:p w14:paraId="7C4E26CA" w14:textId="77777777" w:rsidR="008C31A4" w:rsidRPr="009A1A2E" w:rsidRDefault="008C31A4" w:rsidP="008E5D58">
      <w:pPr>
        <w:pStyle w:val="Textbody"/>
        <w:rPr>
          <w:b/>
          <w:u w:val="single"/>
          <w:lang w:val="en-AU"/>
        </w:rPr>
      </w:pPr>
      <w:r w:rsidRPr="009A1A2E">
        <w:rPr>
          <w:b/>
          <w:u w:val="single"/>
          <w:lang w:val="en-AU"/>
        </w:rPr>
        <w:lastRenderedPageBreak/>
        <w:t>Systematic reviews and HTA reports</w:t>
      </w:r>
    </w:p>
    <w:p w14:paraId="5D33008D" w14:textId="77777777" w:rsidR="008C31A4" w:rsidRPr="009A1A2E" w:rsidRDefault="008C31A4" w:rsidP="008E5D58">
      <w:pPr>
        <w:pStyle w:val="Textbody"/>
        <w:rPr>
          <w:lang w:val="en-AU"/>
        </w:rPr>
      </w:pPr>
      <w:r w:rsidRPr="009A1A2E">
        <w:rPr>
          <w:lang w:val="en-AU"/>
        </w:rPr>
        <w:t xml:space="preserve">Citation details of the systematic reviews and HTA reports identified in the literature search are provided in </w:t>
      </w:r>
      <w:r w:rsidR="00D64AB0" w:rsidRPr="009A1A2E">
        <w:rPr>
          <w:highlight w:val="yellow"/>
          <w:lang w:val="en-AU"/>
        </w:rPr>
        <w:fldChar w:fldCharType="begin"/>
      </w:r>
      <w:r w:rsidR="00D64AB0" w:rsidRPr="009A1A2E">
        <w:rPr>
          <w:lang w:val="en-AU"/>
        </w:rPr>
        <w:instrText xml:space="preserve"> REF _Ref400569374 \h </w:instrText>
      </w:r>
      <w:r w:rsidR="00D64AB0" w:rsidRPr="009A1A2E">
        <w:rPr>
          <w:highlight w:val="yellow"/>
          <w:lang w:val="en-AU"/>
        </w:rPr>
        <w:instrText xml:space="preserve"> \* MERGEFORMAT </w:instrText>
      </w:r>
      <w:r w:rsidR="00D64AB0" w:rsidRPr="009A1A2E">
        <w:rPr>
          <w:highlight w:val="yellow"/>
          <w:lang w:val="en-AU"/>
        </w:rPr>
      </w:r>
      <w:r w:rsidR="00D64AB0" w:rsidRPr="009A1A2E">
        <w:rPr>
          <w:highlight w:val="yellow"/>
          <w:lang w:val="en-AU"/>
        </w:rPr>
        <w:fldChar w:fldCharType="separate"/>
      </w:r>
      <w:r w:rsidR="00016592" w:rsidRPr="009A1A2E">
        <w:rPr>
          <w:lang w:val="en-AU"/>
        </w:rPr>
        <w:t xml:space="preserve">Table </w:t>
      </w:r>
      <w:r w:rsidR="00016592">
        <w:rPr>
          <w:lang w:val="en-AU"/>
        </w:rPr>
        <w:t>11</w:t>
      </w:r>
      <w:r w:rsidR="00D64AB0" w:rsidRPr="009A1A2E">
        <w:rPr>
          <w:highlight w:val="yellow"/>
          <w:lang w:val="en-AU"/>
        </w:rPr>
        <w:fldChar w:fldCharType="end"/>
      </w:r>
      <w:r w:rsidR="008E5D58" w:rsidRPr="009A1A2E">
        <w:rPr>
          <w:lang w:val="en-AU"/>
        </w:rPr>
        <w:t>.</w:t>
      </w:r>
      <w:r w:rsidRPr="009A1A2E">
        <w:rPr>
          <w:lang w:val="en-AU"/>
        </w:rPr>
        <w:t xml:space="preserve"> Due to the heterogeneity in the data collected by the included studies a meta-analysis was not possible in any systematic review. Only the economical data available from the HTA reports are included in this submission.</w:t>
      </w:r>
    </w:p>
    <w:p w14:paraId="08A91417" w14:textId="77777777" w:rsidR="00771FF1" w:rsidRPr="009A1A2E" w:rsidRDefault="00771FF1" w:rsidP="008E5D58">
      <w:pPr>
        <w:pStyle w:val="Textbody"/>
        <w:rPr>
          <w:lang w:val="en-AU"/>
        </w:rPr>
      </w:pPr>
    </w:p>
    <w:p w14:paraId="59747B4A" w14:textId="77777777" w:rsidR="00771FF1" w:rsidRPr="009A1A2E" w:rsidRDefault="00771FF1" w:rsidP="00771FF1">
      <w:pPr>
        <w:pStyle w:val="Caption"/>
        <w:rPr>
          <w:rFonts w:ascii="Arial" w:hAnsi="Arial" w:cs="Arial"/>
          <w:lang w:val="en-AU"/>
        </w:rPr>
      </w:pPr>
      <w:bookmarkStart w:id="395" w:name="_Ref400569374"/>
      <w:bookmarkStart w:id="396" w:name="_Toc431917471"/>
      <w:r w:rsidRPr="009A1A2E">
        <w:rPr>
          <w:rFonts w:ascii="Arial" w:hAnsi="Arial" w:cs="Arial"/>
          <w:lang w:val="en-AU"/>
        </w:rPr>
        <w:t xml:space="preserve">Table </w:t>
      </w:r>
      <w:r w:rsidRPr="009A1A2E">
        <w:rPr>
          <w:rFonts w:ascii="Arial" w:hAnsi="Arial" w:cs="Arial"/>
          <w:lang w:val="en-AU"/>
        </w:rPr>
        <w:fldChar w:fldCharType="begin"/>
      </w:r>
      <w:r w:rsidRPr="009A1A2E">
        <w:rPr>
          <w:rFonts w:ascii="Arial" w:hAnsi="Arial" w:cs="Arial"/>
          <w:lang w:val="en-AU"/>
        </w:rPr>
        <w:instrText xml:space="preserve"> SEQ Table \* ARABIC </w:instrText>
      </w:r>
      <w:r w:rsidRPr="009A1A2E">
        <w:rPr>
          <w:rFonts w:ascii="Arial" w:hAnsi="Arial" w:cs="Arial"/>
          <w:lang w:val="en-AU"/>
        </w:rPr>
        <w:fldChar w:fldCharType="separate"/>
      </w:r>
      <w:r w:rsidR="00016592">
        <w:rPr>
          <w:rFonts w:ascii="Arial" w:hAnsi="Arial" w:cs="Arial"/>
          <w:noProof/>
          <w:lang w:val="en-AU"/>
        </w:rPr>
        <w:t>11</w:t>
      </w:r>
      <w:r w:rsidRPr="009A1A2E">
        <w:rPr>
          <w:rFonts w:ascii="Arial" w:hAnsi="Arial" w:cs="Arial"/>
          <w:lang w:val="en-AU"/>
        </w:rPr>
        <w:fldChar w:fldCharType="end"/>
      </w:r>
      <w:bookmarkEnd w:id="395"/>
      <w:r w:rsidR="00D64AB0" w:rsidRPr="009A1A2E">
        <w:rPr>
          <w:rFonts w:ascii="Arial" w:hAnsi="Arial" w:cs="Arial"/>
          <w:lang w:val="en-AU"/>
        </w:rPr>
        <w:t xml:space="preserve"> -</w:t>
      </w:r>
      <w:r w:rsidRPr="009A1A2E">
        <w:rPr>
          <w:rFonts w:ascii="Arial" w:hAnsi="Arial" w:cs="Arial"/>
          <w:lang w:val="en-AU"/>
        </w:rPr>
        <w:t xml:space="preserve"> Systematic revi</w:t>
      </w:r>
      <w:r w:rsidR="00E07D12" w:rsidRPr="009A1A2E">
        <w:rPr>
          <w:rFonts w:ascii="Arial" w:hAnsi="Arial" w:cs="Arial"/>
          <w:lang w:val="en-AU"/>
        </w:rPr>
        <w:t>e</w:t>
      </w:r>
      <w:r w:rsidRPr="009A1A2E">
        <w:rPr>
          <w:rFonts w:ascii="Arial" w:hAnsi="Arial" w:cs="Arial"/>
          <w:lang w:val="en-AU"/>
        </w:rPr>
        <w:t>ws and HTA reports</w:t>
      </w:r>
      <w:bookmarkEnd w:id="396"/>
    </w:p>
    <w:tbl>
      <w:tblPr>
        <w:tblStyle w:val="TableGrid"/>
        <w:tblW w:w="0" w:type="auto"/>
        <w:tblLook w:val="04A0" w:firstRow="1" w:lastRow="0" w:firstColumn="1" w:lastColumn="0" w:noHBand="0" w:noVBand="1"/>
        <w:tblCaption w:val="Systematic reviews and HTA reports"/>
        <w:tblDescription w:val="Systematic reviews and HTA reports"/>
      </w:tblPr>
      <w:tblGrid>
        <w:gridCol w:w="2438"/>
        <w:gridCol w:w="6566"/>
      </w:tblGrid>
      <w:tr w:rsidR="002738DD" w:rsidRPr="009A1A2E" w14:paraId="015F46A4" w14:textId="1FC9EA0F" w:rsidTr="002738DD">
        <w:trPr>
          <w:trHeight w:val="300"/>
          <w:tblHeader/>
        </w:trPr>
        <w:tc>
          <w:tcPr>
            <w:tcW w:w="2429" w:type="dxa"/>
            <w:tcBorders>
              <w:right w:val="nil"/>
            </w:tcBorders>
            <w:shd w:val="clear" w:color="auto" w:fill="D9D9D9" w:themeFill="background1" w:themeFillShade="D9"/>
            <w:vAlign w:val="bottom"/>
            <w:hideMark/>
          </w:tcPr>
          <w:p w14:paraId="64AAA3EA" w14:textId="7ADF5DB8" w:rsidR="002738DD" w:rsidRPr="009A1A2E" w:rsidRDefault="002738DD" w:rsidP="002738DD">
            <w:pPr>
              <w:pStyle w:val="Textbody"/>
              <w:jc w:val="center"/>
              <w:rPr>
                <w:rFonts w:ascii="Arial" w:hAnsi="Arial"/>
                <w:b/>
                <w:sz w:val="20"/>
                <w:szCs w:val="20"/>
                <w:lang w:val="en-AU"/>
              </w:rPr>
            </w:pPr>
          </w:p>
        </w:tc>
        <w:tc>
          <w:tcPr>
            <w:tcW w:w="6575" w:type="dxa"/>
            <w:tcBorders>
              <w:left w:val="nil"/>
            </w:tcBorders>
            <w:shd w:val="clear" w:color="auto" w:fill="D9D9D9" w:themeFill="background1" w:themeFillShade="D9"/>
            <w:vAlign w:val="bottom"/>
          </w:tcPr>
          <w:p w14:paraId="20250D21" w14:textId="5C566EA3" w:rsidR="002738DD" w:rsidRPr="009A1A2E" w:rsidRDefault="002738DD" w:rsidP="00D64AB0">
            <w:pPr>
              <w:pStyle w:val="Textbody"/>
              <w:jc w:val="center"/>
              <w:rPr>
                <w:b/>
                <w:sz w:val="20"/>
                <w:szCs w:val="20"/>
                <w:lang w:val="en-AU"/>
              </w:rPr>
            </w:pPr>
            <w:r w:rsidRPr="009A1A2E">
              <w:rPr>
                <w:rFonts w:ascii="Arial" w:hAnsi="Arial"/>
                <w:b/>
                <w:sz w:val="20"/>
                <w:szCs w:val="20"/>
                <w:lang w:val="en-AU"/>
              </w:rPr>
              <w:t>SYSTEMATIC REVIEW</w:t>
            </w:r>
          </w:p>
        </w:tc>
      </w:tr>
      <w:tr w:rsidR="00771FF1" w:rsidRPr="009A1A2E" w14:paraId="14B34BDD" w14:textId="77777777" w:rsidTr="00D64AB0">
        <w:trPr>
          <w:trHeight w:val="300"/>
        </w:trPr>
        <w:tc>
          <w:tcPr>
            <w:tcW w:w="0" w:type="auto"/>
            <w:noWrap/>
            <w:vAlign w:val="center"/>
            <w:hideMark/>
          </w:tcPr>
          <w:p w14:paraId="3F25B401" w14:textId="77777777" w:rsidR="00771FF1" w:rsidRPr="009A1A2E" w:rsidRDefault="00771FF1" w:rsidP="00771FF1">
            <w:pPr>
              <w:pStyle w:val="Textbody"/>
              <w:jc w:val="left"/>
              <w:rPr>
                <w:rFonts w:ascii="Arial" w:hAnsi="Arial"/>
                <w:sz w:val="20"/>
                <w:szCs w:val="20"/>
                <w:lang w:val="en-AU"/>
              </w:rPr>
            </w:pPr>
            <w:r w:rsidRPr="009A1A2E">
              <w:rPr>
                <w:rFonts w:ascii="Arial" w:hAnsi="Arial"/>
                <w:sz w:val="20"/>
                <w:szCs w:val="20"/>
                <w:lang w:val="en-AU"/>
              </w:rPr>
              <w:t>Kahue (2014)</w:t>
            </w:r>
          </w:p>
        </w:tc>
        <w:tc>
          <w:tcPr>
            <w:tcW w:w="0" w:type="auto"/>
            <w:vAlign w:val="center"/>
            <w:hideMark/>
          </w:tcPr>
          <w:p w14:paraId="24776D92" w14:textId="77777777" w:rsidR="00771FF1" w:rsidRPr="009A1A2E" w:rsidRDefault="00771FF1" w:rsidP="00D64AB0">
            <w:pPr>
              <w:pStyle w:val="Textbody"/>
              <w:jc w:val="left"/>
              <w:rPr>
                <w:rFonts w:ascii="Arial" w:hAnsi="Arial"/>
                <w:sz w:val="20"/>
                <w:szCs w:val="20"/>
                <w:lang w:val="en-AU"/>
              </w:rPr>
            </w:pPr>
            <w:r w:rsidRPr="009A1A2E">
              <w:rPr>
                <w:rFonts w:ascii="Arial" w:hAnsi="Arial"/>
                <w:sz w:val="20"/>
                <w:szCs w:val="20"/>
                <w:lang w:val="en-AU"/>
              </w:rPr>
              <w:t>Middle ear implants for rehabilitation of sensorineural hearing loss: a systematic review of FDA approved devices (Provisional abstract). Otol Neurotol. Aug;35(7):1228-37, 2014.</w:t>
            </w:r>
          </w:p>
        </w:tc>
      </w:tr>
      <w:tr w:rsidR="00771FF1" w:rsidRPr="009A1A2E" w14:paraId="24C3214D" w14:textId="77777777" w:rsidTr="00D64AB0">
        <w:trPr>
          <w:trHeight w:val="300"/>
        </w:trPr>
        <w:tc>
          <w:tcPr>
            <w:tcW w:w="0" w:type="auto"/>
            <w:noWrap/>
            <w:vAlign w:val="center"/>
            <w:hideMark/>
          </w:tcPr>
          <w:p w14:paraId="3D721E40" w14:textId="77777777" w:rsidR="00771FF1" w:rsidRPr="009A1A2E" w:rsidRDefault="00771FF1" w:rsidP="00771FF1">
            <w:pPr>
              <w:pStyle w:val="Textbody"/>
              <w:jc w:val="left"/>
              <w:rPr>
                <w:rFonts w:ascii="Arial" w:hAnsi="Arial"/>
                <w:sz w:val="20"/>
                <w:szCs w:val="20"/>
                <w:lang w:val="en-AU"/>
              </w:rPr>
            </w:pPr>
            <w:r w:rsidRPr="009A1A2E">
              <w:rPr>
                <w:rFonts w:ascii="Arial" w:hAnsi="Arial"/>
                <w:sz w:val="20"/>
                <w:szCs w:val="20"/>
                <w:lang w:val="en-AU"/>
              </w:rPr>
              <w:t>Butler (2013)</w:t>
            </w:r>
          </w:p>
        </w:tc>
        <w:tc>
          <w:tcPr>
            <w:tcW w:w="0" w:type="auto"/>
            <w:vAlign w:val="center"/>
            <w:hideMark/>
          </w:tcPr>
          <w:p w14:paraId="5DFF433B" w14:textId="77777777" w:rsidR="00771FF1" w:rsidRPr="009A1A2E" w:rsidRDefault="00771FF1" w:rsidP="00D64AB0">
            <w:pPr>
              <w:pStyle w:val="Textbody"/>
              <w:jc w:val="left"/>
              <w:rPr>
                <w:rFonts w:ascii="Arial" w:hAnsi="Arial"/>
                <w:sz w:val="20"/>
                <w:szCs w:val="20"/>
                <w:lang w:val="en-AU"/>
              </w:rPr>
            </w:pPr>
            <w:r w:rsidRPr="009A1A2E">
              <w:rPr>
                <w:rFonts w:ascii="Arial" w:hAnsi="Arial"/>
                <w:sz w:val="20"/>
                <w:szCs w:val="20"/>
                <w:lang w:val="en-AU"/>
              </w:rPr>
              <w:t>Efficacy of the active middle-ear implant in patients with sensorineural hearing loss. J.Laryngol.Otol. 127 Suppl 2:S8-16, 2013.</w:t>
            </w:r>
          </w:p>
        </w:tc>
      </w:tr>
      <w:tr w:rsidR="00771FF1" w:rsidRPr="009A1A2E" w14:paraId="53B5B8C4" w14:textId="77777777" w:rsidTr="00D64AB0">
        <w:trPr>
          <w:trHeight w:val="300"/>
        </w:trPr>
        <w:tc>
          <w:tcPr>
            <w:tcW w:w="0" w:type="auto"/>
            <w:noWrap/>
            <w:vAlign w:val="center"/>
            <w:hideMark/>
          </w:tcPr>
          <w:p w14:paraId="6CE14BE7" w14:textId="77777777" w:rsidR="00771FF1" w:rsidRPr="009A1A2E" w:rsidRDefault="00771FF1" w:rsidP="00771FF1">
            <w:pPr>
              <w:pStyle w:val="Textbody"/>
              <w:jc w:val="left"/>
              <w:rPr>
                <w:rFonts w:ascii="Arial" w:hAnsi="Arial"/>
                <w:sz w:val="20"/>
                <w:szCs w:val="20"/>
                <w:lang w:val="en-AU"/>
              </w:rPr>
            </w:pPr>
            <w:r w:rsidRPr="009A1A2E">
              <w:rPr>
                <w:rFonts w:ascii="Arial" w:hAnsi="Arial"/>
                <w:sz w:val="20"/>
                <w:szCs w:val="20"/>
                <w:lang w:val="en-AU"/>
              </w:rPr>
              <w:t xml:space="preserve">Klein (2012) </w:t>
            </w:r>
          </w:p>
        </w:tc>
        <w:tc>
          <w:tcPr>
            <w:tcW w:w="0" w:type="auto"/>
            <w:vAlign w:val="center"/>
            <w:hideMark/>
          </w:tcPr>
          <w:p w14:paraId="1A29E152" w14:textId="77777777" w:rsidR="00771FF1" w:rsidRPr="009A1A2E" w:rsidRDefault="00771FF1" w:rsidP="00D64AB0">
            <w:pPr>
              <w:pStyle w:val="Textbody"/>
              <w:jc w:val="left"/>
              <w:rPr>
                <w:rFonts w:ascii="Arial" w:hAnsi="Arial"/>
                <w:sz w:val="20"/>
                <w:szCs w:val="20"/>
                <w:lang w:val="en-AU"/>
              </w:rPr>
            </w:pPr>
            <w:r w:rsidRPr="009A1A2E">
              <w:rPr>
                <w:rFonts w:ascii="Arial" w:hAnsi="Arial"/>
                <w:sz w:val="20"/>
                <w:szCs w:val="20"/>
                <w:lang w:val="en-AU"/>
              </w:rPr>
              <w:t>Hearing aid, Hearing loss, and Middle ear implant. A Systematic Review of the Safety and Effectiveness of Fully Implantable Middle Ear Hearing Devices: The Carina and Esteem Systems.[Review]. Otology &amp; Neurotology 33 (6):916-921, 2012.</w:t>
            </w:r>
          </w:p>
        </w:tc>
      </w:tr>
      <w:tr w:rsidR="00771FF1" w:rsidRPr="009A1A2E" w14:paraId="6654BAF2" w14:textId="77777777" w:rsidTr="00D64AB0">
        <w:trPr>
          <w:trHeight w:val="600"/>
        </w:trPr>
        <w:tc>
          <w:tcPr>
            <w:tcW w:w="0" w:type="auto"/>
            <w:vAlign w:val="center"/>
            <w:hideMark/>
          </w:tcPr>
          <w:p w14:paraId="7D7E16F5" w14:textId="77777777" w:rsidR="00771FF1" w:rsidRPr="009A1A2E" w:rsidRDefault="00771FF1" w:rsidP="00771FF1">
            <w:pPr>
              <w:pStyle w:val="Textbody"/>
              <w:jc w:val="left"/>
              <w:rPr>
                <w:rFonts w:ascii="Arial" w:hAnsi="Arial"/>
                <w:sz w:val="20"/>
                <w:szCs w:val="20"/>
                <w:lang w:val="en-AU"/>
              </w:rPr>
            </w:pPr>
            <w:r w:rsidRPr="009A1A2E">
              <w:rPr>
                <w:rFonts w:ascii="Arial" w:hAnsi="Arial"/>
                <w:sz w:val="20"/>
                <w:szCs w:val="20"/>
                <w:lang w:val="en-AU"/>
              </w:rPr>
              <w:t>Alberta Health and Wellness (2011)</w:t>
            </w:r>
          </w:p>
        </w:tc>
        <w:tc>
          <w:tcPr>
            <w:tcW w:w="0" w:type="auto"/>
            <w:vAlign w:val="center"/>
            <w:hideMark/>
          </w:tcPr>
          <w:p w14:paraId="6943BA73" w14:textId="77777777" w:rsidR="00771FF1" w:rsidRPr="009A1A2E" w:rsidRDefault="00771FF1" w:rsidP="00D64AB0">
            <w:pPr>
              <w:pStyle w:val="Textbody"/>
              <w:jc w:val="left"/>
              <w:rPr>
                <w:rFonts w:ascii="Arial" w:hAnsi="Arial"/>
                <w:sz w:val="20"/>
                <w:szCs w:val="20"/>
                <w:lang w:val="en-AU"/>
              </w:rPr>
            </w:pPr>
            <w:r w:rsidRPr="009A1A2E">
              <w:rPr>
                <w:rFonts w:ascii="Arial" w:hAnsi="Arial"/>
                <w:sz w:val="20"/>
                <w:szCs w:val="20"/>
                <w:lang w:val="en-AU"/>
              </w:rPr>
              <w:t>Middle Ear Implants for the Treatment of Hearing Loss, Final STE Report: December 2011</w:t>
            </w:r>
          </w:p>
        </w:tc>
      </w:tr>
      <w:tr w:rsidR="00771FF1" w:rsidRPr="009A1A2E" w14:paraId="5AEAC600" w14:textId="77777777" w:rsidTr="00D64AB0">
        <w:trPr>
          <w:trHeight w:val="900"/>
        </w:trPr>
        <w:tc>
          <w:tcPr>
            <w:tcW w:w="0" w:type="auto"/>
            <w:vAlign w:val="center"/>
            <w:hideMark/>
          </w:tcPr>
          <w:p w14:paraId="5B94C8B4" w14:textId="77777777" w:rsidR="00771FF1" w:rsidRPr="00464D25" w:rsidRDefault="00771FF1" w:rsidP="00771FF1">
            <w:pPr>
              <w:pStyle w:val="Textbody"/>
              <w:jc w:val="left"/>
              <w:rPr>
                <w:rFonts w:ascii="Arial" w:hAnsi="Arial"/>
                <w:sz w:val="20"/>
                <w:szCs w:val="20"/>
                <w:lang w:val="en-AU"/>
              </w:rPr>
            </w:pPr>
            <w:r w:rsidRPr="00464D25">
              <w:rPr>
                <w:rFonts w:ascii="Arial" w:hAnsi="Arial"/>
                <w:sz w:val="20"/>
                <w:szCs w:val="20"/>
                <w:lang w:val="en-AU"/>
              </w:rPr>
              <w:t>Medical Services Advisory Committee (2010)</w:t>
            </w:r>
          </w:p>
        </w:tc>
        <w:tc>
          <w:tcPr>
            <w:tcW w:w="0" w:type="auto"/>
            <w:vAlign w:val="center"/>
            <w:hideMark/>
          </w:tcPr>
          <w:p w14:paraId="75E485B7" w14:textId="77777777" w:rsidR="00771FF1" w:rsidRPr="00464D25" w:rsidRDefault="00771FF1" w:rsidP="00D64AB0">
            <w:pPr>
              <w:pStyle w:val="Textbody"/>
              <w:jc w:val="left"/>
              <w:rPr>
                <w:rFonts w:ascii="Arial" w:hAnsi="Arial"/>
                <w:sz w:val="20"/>
                <w:szCs w:val="20"/>
                <w:lang w:val="en-AU"/>
              </w:rPr>
            </w:pPr>
            <w:r w:rsidRPr="00464D25">
              <w:rPr>
                <w:rFonts w:ascii="Arial" w:hAnsi="Arial"/>
                <w:sz w:val="20"/>
                <w:szCs w:val="20"/>
                <w:lang w:val="en-AU"/>
              </w:rPr>
              <w:t>Middle ear implant for sensorineural, conductive and mixed hearing losses.MSAC, 2010</w:t>
            </w:r>
          </w:p>
        </w:tc>
      </w:tr>
      <w:tr w:rsidR="00771FF1" w:rsidRPr="009A1A2E" w14:paraId="56D44275" w14:textId="77777777" w:rsidTr="00D64AB0">
        <w:trPr>
          <w:trHeight w:val="1215"/>
        </w:trPr>
        <w:tc>
          <w:tcPr>
            <w:tcW w:w="0" w:type="auto"/>
            <w:vAlign w:val="center"/>
            <w:hideMark/>
          </w:tcPr>
          <w:p w14:paraId="7BBAC60A" w14:textId="77777777" w:rsidR="00771FF1" w:rsidRPr="000B7EA5" w:rsidRDefault="00771FF1" w:rsidP="00771FF1">
            <w:pPr>
              <w:pStyle w:val="Textbody"/>
              <w:jc w:val="left"/>
              <w:rPr>
                <w:rFonts w:ascii="Arial" w:hAnsi="Arial"/>
                <w:sz w:val="20"/>
                <w:lang w:val="fr-FR"/>
              </w:rPr>
            </w:pPr>
            <w:r w:rsidRPr="000B7EA5">
              <w:rPr>
                <w:sz w:val="20"/>
                <w:lang w:val="fr-FR"/>
              </w:rPr>
              <w:t>Comite d'Evaluation et de Diffusion des Innovations Technologiques (2002)</w:t>
            </w:r>
          </w:p>
        </w:tc>
        <w:tc>
          <w:tcPr>
            <w:tcW w:w="0" w:type="auto"/>
            <w:vAlign w:val="center"/>
            <w:hideMark/>
          </w:tcPr>
          <w:p w14:paraId="474C57E2" w14:textId="77777777" w:rsidR="00771FF1" w:rsidRPr="00464D25" w:rsidRDefault="00771FF1" w:rsidP="00D64AB0">
            <w:pPr>
              <w:pStyle w:val="Textbody"/>
              <w:jc w:val="left"/>
              <w:rPr>
                <w:rFonts w:ascii="Arial" w:hAnsi="Arial"/>
                <w:sz w:val="20"/>
                <w:szCs w:val="20"/>
                <w:lang w:val="en-AU"/>
              </w:rPr>
            </w:pPr>
            <w:r w:rsidRPr="00464D25">
              <w:rPr>
                <w:rFonts w:ascii="Arial" w:hAnsi="Arial"/>
                <w:sz w:val="20"/>
                <w:szCs w:val="20"/>
                <w:lang w:val="en-AU"/>
              </w:rPr>
              <w:t xml:space="preserve">Middle ear implants - systematic review, expert panel. Anonymous.  2002.  </w:t>
            </w:r>
          </w:p>
        </w:tc>
      </w:tr>
    </w:tbl>
    <w:p w14:paraId="280655AD" w14:textId="77777777" w:rsidR="008E5D58" w:rsidRPr="009A1A2E" w:rsidRDefault="008E5D58" w:rsidP="008E5D58">
      <w:pPr>
        <w:pStyle w:val="Textbody"/>
        <w:rPr>
          <w:lang w:val="en-AU"/>
        </w:rPr>
      </w:pPr>
    </w:p>
    <w:p w14:paraId="16119927" w14:textId="77777777" w:rsidR="008C31A4" w:rsidRPr="009A1A2E" w:rsidRDefault="008E5D58" w:rsidP="008E5D58">
      <w:pPr>
        <w:pStyle w:val="Textbody"/>
        <w:rPr>
          <w:u w:val="single"/>
          <w:lang w:val="en-AU"/>
        </w:rPr>
      </w:pPr>
      <w:r w:rsidRPr="009A1A2E">
        <w:rPr>
          <w:u w:val="single"/>
          <w:lang w:val="en-AU"/>
        </w:rPr>
        <w:t>Kahue (2014)</w:t>
      </w:r>
    </w:p>
    <w:p w14:paraId="3C2D35B3" w14:textId="77777777" w:rsidR="008C31A4" w:rsidRPr="009A1A2E" w:rsidRDefault="008C31A4" w:rsidP="008E5D58">
      <w:pPr>
        <w:pStyle w:val="Textbody"/>
        <w:rPr>
          <w:lang w:val="en-AU"/>
        </w:rPr>
      </w:pPr>
      <w:r w:rsidRPr="009A1A2E">
        <w:rPr>
          <w:lang w:val="en-AU"/>
        </w:rPr>
        <w:t>This systematic review by Kahue 2014 evaluates safety and efficacy of middle ear implant (MEI) systems for the rehabilitatio</w:t>
      </w:r>
      <w:r w:rsidR="008E5D58" w:rsidRPr="009A1A2E">
        <w:rPr>
          <w:lang w:val="en-AU"/>
        </w:rPr>
        <w:t>n of sensorineural hearing loss</w:t>
      </w:r>
      <w:r w:rsidRPr="009A1A2E">
        <w:rPr>
          <w:lang w:val="en-AU"/>
        </w:rPr>
        <w:t xml:space="preserve">. Systematic data search used MEDLINE and Cochrane Library databases. Initial study inclusion required the publication to be in the English language; the use of the Vibrant Soundbridge, SOUNDTEC Direct, or Esteem MEI; independent reporting of patients with purely SNHL; at least 5 implanted ears; and comparative data between preoperative and postoperative audiometric performance. An initial search yielded 3,020 articles that were screened based on title and abstract. A full manuscript review of the remaining 80 articles was performed, of which 17 unique studies satisfied inclusion criteria and were evaluated. Variables including functional gain, speech recognition score improvement, audiometric </w:t>
      </w:r>
      <w:r w:rsidRPr="009A1A2E">
        <w:rPr>
          <w:lang w:val="en-AU"/>
        </w:rPr>
        <w:lastRenderedPageBreak/>
        <w:t>threshold shift following surgery, adverse events, and patient reported outcome measures were recorded. Study quality was appraised according to author conflict of interest, prospective or retrospective study design, inclusion criteria, number of patients, proper use of study controls, outcome measures reported, length of follow-up, and level of evidence. Heterogeneous outcome reporting precluded meta-analysis; instead a structured review was performed using best available data. Kahue 2014 concluded that the majority of studies evaluating the safety and efficacy of MEIs are retrospective in nature with limited follow-up. To date, no prospective randomized controlled trial exists comparing contemporary air conduction hearing aid performance and MEI outcomes. Furthermore he concluded that, middle ear implants offer an effective method of rehabilitating moderate-to-severe SNHL. Functional gain and speech recognition improvement appears on par with optimally fitted HAs, whereas patient-perceived outcome measures suggest that MEIs provide enhanced sound quality while reducing occlusion effect. Kahue 2014 summarizes that the future of MEIs is promising; however, further improvements in device reliability, safety, and insurance coverage are needed.</w:t>
      </w:r>
    </w:p>
    <w:p w14:paraId="2D71E746" w14:textId="77777777" w:rsidR="008C31A4" w:rsidRPr="009A1A2E" w:rsidRDefault="008C31A4" w:rsidP="008E5D58">
      <w:pPr>
        <w:pStyle w:val="Textbody"/>
        <w:rPr>
          <w:lang w:val="en-AU"/>
        </w:rPr>
      </w:pPr>
    </w:p>
    <w:p w14:paraId="05C23AB4" w14:textId="77777777" w:rsidR="008C31A4" w:rsidRPr="009A1A2E" w:rsidRDefault="008E5D58" w:rsidP="008E5D58">
      <w:pPr>
        <w:pStyle w:val="Textbody"/>
        <w:rPr>
          <w:u w:val="single"/>
          <w:lang w:val="en-AU"/>
        </w:rPr>
      </w:pPr>
      <w:r w:rsidRPr="009A1A2E">
        <w:rPr>
          <w:u w:val="single"/>
          <w:lang w:val="en-AU"/>
        </w:rPr>
        <w:t>Butler (2013)</w:t>
      </w:r>
    </w:p>
    <w:p w14:paraId="0752CFCE" w14:textId="77777777" w:rsidR="008C31A4" w:rsidRPr="009A1A2E" w:rsidRDefault="008C31A4" w:rsidP="008E5D58">
      <w:pPr>
        <w:pStyle w:val="Textbody"/>
        <w:rPr>
          <w:lang w:val="en-AU"/>
        </w:rPr>
      </w:pPr>
      <w:r w:rsidRPr="009A1A2E">
        <w:rPr>
          <w:lang w:val="en-AU"/>
        </w:rPr>
        <w:t>A systematic review was conducted by Butler et al (2013) to advise on the effectiveness of the active middle-ear implant in patients with sensorineural hearing loss, compared with external hearing aids. Several electronic databases, PubMed, Embase Cochrane Library and Current Contents databases, in order to identify relevant studies and reviews for the period between database inception and March 2012 have been screened. Only comparative studies were eligible for inclusion. Initial eligibility on the basis of study citation was conservatively determined by one reviewer (if unclear from the abstract, the full text paper was obtained). The bibliographies of all included studies were hand searched for any relevant references which may have been mi</w:t>
      </w:r>
      <w:r w:rsidR="00464D25">
        <w:rPr>
          <w:lang w:val="en-AU"/>
        </w:rPr>
        <w:t xml:space="preserve">ssed by the literature search. </w:t>
      </w:r>
      <w:r w:rsidRPr="009A1A2E">
        <w:rPr>
          <w:lang w:val="en-AU"/>
        </w:rPr>
        <w:t xml:space="preserve">The Literature search resulted in fourteen comparative studies identified for inclusion, employing a variety of middle-ear implant devices, including the Envoy Esteem, Otologics Middle Ear Transducer, Soundtec Direct Drive Hearing System and Vibrant Soundbridge. Nine studies reported on the primary outcome of functional gain: one found that the middle-ear implant was significantly better than external hearing aids (p&lt;0.001), while another found that external hearing aids were generally significantly better than middle-ear implants (p&lt;0.05). Six of the seven remaining studies found that middle-ear implants were better than external hearing aids, although generally no clinically significant difference (i.e.≥10 dB) was seen. Commonly reported adverse events following device implantation included middle-ear effusion, haematoma of the ear canal or tympanic </w:t>
      </w:r>
      <w:r w:rsidRPr="009A1A2E">
        <w:rPr>
          <w:lang w:val="en-AU"/>
        </w:rPr>
        <w:lastRenderedPageBreak/>
        <w:t>membrane, and pain. In the three studies reporting adverse events, device malfunction occurred in 5.7 per cent of patients. Butler 2013 concluded from evidence compiled in this review that the active middle-ear implant is as effective as the external hearing aid in improving hearing outcomes in patients with SNHL.</w:t>
      </w:r>
    </w:p>
    <w:p w14:paraId="0EFABF19" w14:textId="77777777" w:rsidR="008E5D58" w:rsidRPr="009A1A2E" w:rsidRDefault="008E5D58" w:rsidP="008E5D58">
      <w:pPr>
        <w:pStyle w:val="Textbody"/>
        <w:rPr>
          <w:lang w:val="en-AU"/>
        </w:rPr>
      </w:pPr>
    </w:p>
    <w:p w14:paraId="4481CA78" w14:textId="77777777" w:rsidR="008C31A4" w:rsidRPr="009A1A2E" w:rsidRDefault="008E5D58" w:rsidP="008E5D58">
      <w:pPr>
        <w:pStyle w:val="Textbody"/>
        <w:rPr>
          <w:u w:val="single"/>
          <w:lang w:val="en-AU"/>
        </w:rPr>
      </w:pPr>
      <w:r w:rsidRPr="009A1A2E">
        <w:rPr>
          <w:u w:val="single"/>
          <w:lang w:val="en-AU"/>
        </w:rPr>
        <w:t xml:space="preserve">Klein (2012) </w:t>
      </w:r>
    </w:p>
    <w:p w14:paraId="424133C3" w14:textId="77777777" w:rsidR="008C31A4" w:rsidRPr="009A1A2E" w:rsidRDefault="008C31A4" w:rsidP="008E5D58">
      <w:pPr>
        <w:pStyle w:val="Textbody"/>
        <w:rPr>
          <w:lang w:val="en-AU"/>
        </w:rPr>
      </w:pPr>
      <w:r w:rsidRPr="009A1A2E">
        <w:rPr>
          <w:lang w:val="en-AU"/>
        </w:rPr>
        <w:t>Klein 2012 performed a systematic review of evidence from existing research on the safety and efficacy of the Esteem Hearing System (Envoy, Minneapolis, MN, USA) and the Carina Fully Implantable Hearing Device (Otologics, Boulder, CO, USA). Systematic search was performed after The Cochrane Collaboration guidelines and the PRISMA statement.  Sources used were MEDLINE, EMBASE, The Cochrane Library, Web of Science, CINAHL, PsycINFO, and the Centre for Reviews and Dissemination. Titles and abstracts of 7,700 citations were screened, and 30 articles were selected for full review, of which, 7 articles on the Esteem and 13 on the Carina met the study’s eligibility criteria. Information was extracted using a pretested data abstraction form, and study quality was assessed using the Oxford Centre for Evidence-Based Medicine Levels of Evidence. Klein 2014 concluded that the majority of studies were quasi-experimental, pre- post comparisons of aided and unaided conditions. Complication rates with the Esteem were higher than with the Carina, and most commonly included taste disturbance. However, device failure was common with the Carina, predominately related to charging difficulties. For both devices, clinically significant improvements in functional gain, speech reception, and speech recognition over the unaided condition were found. In studies comparing the Esteem or Carina to hearing aids, findings were mixed. Although improvements in functional gain were similar to those for hearing aids, speech recognition and quality of life were greater with the implants. Despite limited evidence, these devices seem to offer a relatively safe and effective treatment option, particularly for patients who are medically unable to wear conventional hearing aids.</w:t>
      </w:r>
    </w:p>
    <w:p w14:paraId="5A6B9555" w14:textId="77777777" w:rsidR="00771FF1" w:rsidRPr="009A1A2E" w:rsidRDefault="00771FF1" w:rsidP="008E5D58">
      <w:pPr>
        <w:pStyle w:val="Textbody"/>
        <w:rPr>
          <w:lang w:val="en-AU"/>
        </w:rPr>
      </w:pPr>
    </w:p>
    <w:p w14:paraId="6C4CC162" w14:textId="77777777" w:rsidR="00771FF1" w:rsidRPr="009A1A2E" w:rsidRDefault="00771FF1" w:rsidP="00771FF1">
      <w:pPr>
        <w:pStyle w:val="Textbody"/>
        <w:rPr>
          <w:u w:val="single"/>
          <w:lang w:val="en-AU"/>
        </w:rPr>
      </w:pPr>
      <w:r w:rsidRPr="009A1A2E">
        <w:rPr>
          <w:u w:val="single"/>
          <w:lang w:val="en-AU"/>
        </w:rPr>
        <w:t>Alberta Health and Wellness (2011)</w:t>
      </w:r>
    </w:p>
    <w:p w14:paraId="57A3AED5" w14:textId="77777777" w:rsidR="00771FF1" w:rsidRPr="009A1A2E" w:rsidRDefault="00771FF1" w:rsidP="00771FF1">
      <w:pPr>
        <w:pStyle w:val="Textbody"/>
        <w:rPr>
          <w:lang w:val="en-AU"/>
        </w:rPr>
      </w:pPr>
      <w:r w:rsidRPr="009A1A2E">
        <w:rPr>
          <w:lang w:val="en-AU"/>
        </w:rPr>
        <w:t xml:space="preserve">This STE report is a systematic review of the evidence on middle ear implants (MEI) for the treatment of hearing loss. The objectives of this review were to determine the safety, effectiveness and cost-effectiveness of MEI in comparison to external hearing aids, bone anchored hearing aids (BAHA), or cochlear implants; to identify particular sub-groups of patients who might benefit most from MEI, and to summarize the current criteria for using MEI versus alternative treatments for hearing loss. A budget impact analysis and economic decision model were also prepared based on the published literature, </w:t>
      </w:r>
      <w:r w:rsidRPr="009A1A2E">
        <w:rPr>
          <w:lang w:val="en-AU"/>
        </w:rPr>
        <w:lastRenderedPageBreak/>
        <w:t xml:space="preserve">information provided by the manufacturers, expert clinical opinion, and Alberta Health and Wellness administrative data.  MEIs reviewed and licensed by Health Canada were the Vibrant Soundbridge® (Med-El) and the Esteem® (Envoy Medical). A third MEI, the Carina® fully implantable hearing aid (Otologics), was still in the process of obtaining licensing in Canada. All three devices are included in this assessment.  A literature search was conducted for published and unpublished studies on middle ear implants, bone-anchored hearing aids and cochlear implants in the international literature before September 2011. The review of the Vibrant Soundbridge (VSB), Esteem, and Carina middle ear implants included 60 studies representing a total of 1009 patients. There were 25 studies meeting the inclusion criteria for BAHA, which collectively included 638 patients. The compiled Evidence of Safety data on the partially implantable Vibrant Soundbridge and fully implantable Carina appear to be relatively safe.  There were few reports of major complications, and these occurred at rates similar to those with BAHA. A greater number of major complications were reported with the fully implantable Esteem, including high rates of nerve damage. Revision surgeries and explanations were more frequent with the Esteem and Carina MEIs. No significant safety issues associated with conventional hearing aids were found. While in this review, the safety of MEI was not specifically compared to that of cochlear implants because of differences in eligible patient populations (cochlear implants are typically indicated for more severe hearing loss), based on previously published reviews of cochlear implants, MEI appears to be at least as safe as cochlear implants. The Evidence of Effectiveness showed for middle ear implants offer comparable functional gains to those achieved with hearing aids. Based on the limited evidence, MEIs appear to provide greater improvements in the perception of speech in noisy situations and in sound quality. MEI also appears to be at least as effective as BAHA in patients who may be eligible for both devices. Due to differences in the severity of hearing loss in patients eligible for cochlear implants and those eligible for MEI, the comparative effectiveness of these two devices could not be assessed.  A cost-effectiveness analysis could not be conducted because for patients who are not medically able to wear a hearing aid, and who are ineligible for a BAHA, there were no alternative treatment options. Only three economic evaluations have been published on MEIs. The quality of these studies was low. They also differed in the assumptions made, conditions around the use of comparators, and sources of cost data. Budget Impact calculations were based on an estimated 20 patients receiving MEI per year in Alberta (based on Expert Advisory Group discussions), the total budget impact over 5 years would be $2,677,497. Concluding remarks were that, although the technology has been in use for over 10 years, good quality evidence on MEI is still lacking. In patients medically able to </w:t>
      </w:r>
      <w:r w:rsidRPr="009A1A2E">
        <w:rPr>
          <w:lang w:val="en-AU"/>
        </w:rPr>
        <w:lastRenderedPageBreak/>
        <w:t>wear conventional hearing aids, the evidence indicates that MEI offers a similar improvement in functional gain to that achieved with conventional hearing aids, but may offer greater improvement with respect to perception of speech in noise and sound quality. In the small group of patients who are medically unable to use conventional hearing aids, MEI appears to offer a viable treatment option.</w:t>
      </w:r>
    </w:p>
    <w:p w14:paraId="3D770050" w14:textId="77777777" w:rsidR="008E5D58" w:rsidRPr="009A1A2E" w:rsidRDefault="008E5D58" w:rsidP="008E5D58">
      <w:pPr>
        <w:pStyle w:val="Textbody"/>
        <w:rPr>
          <w:lang w:val="en-AU"/>
        </w:rPr>
      </w:pPr>
    </w:p>
    <w:p w14:paraId="1953DC39" w14:textId="77777777" w:rsidR="008C31A4" w:rsidRPr="009A1A2E" w:rsidRDefault="008C31A4" w:rsidP="008E5D58">
      <w:pPr>
        <w:pStyle w:val="Textbody"/>
        <w:rPr>
          <w:u w:val="single"/>
          <w:lang w:val="en-AU"/>
        </w:rPr>
      </w:pPr>
      <w:r w:rsidRPr="009A1A2E">
        <w:rPr>
          <w:u w:val="single"/>
          <w:lang w:val="en-AU"/>
        </w:rPr>
        <w:t>Medical Serv</w:t>
      </w:r>
      <w:r w:rsidR="008E5D58" w:rsidRPr="009A1A2E">
        <w:rPr>
          <w:u w:val="single"/>
          <w:lang w:val="en-AU"/>
        </w:rPr>
        <w:t>ices Advisory Committee (2010)</w:t>
      </w:r>
    </w:p>
    <w:p w14:paraId="41344468" w14:textId="77777777" w:rsidR="008C31A4" w:rsidRPr="009A1A2E" w:rsidRDefault="008C31A4" w:rsidP="008E5D58">
      <w:pPr>
        <w:pStyle w:val="Textbody"/>
        <w:rPr>
          <w:lang w:val="en-AU"/>
        </w:rPr>
      </w:pPr>
      <w:r w:rsidRPr="009A1A2E">
        <w:rPr>
          <w:lang w:val="en-AU"/>
        </w:rPr>
        <w:t xml:space="preserve">The Medical Service Advisory Committee 2010 performed a systematic review on clinical comparators for MEI according to the type and severity of hearing loss: In patients with mild or moderate sensorineural, conductive or mixed hearing losses, the comparator is the bone anchored hearing aid (BAHA). In patients with severe sensorineural or mixed hearing losses, the comparator is the cochlear implant (CI). In patients with severe conductive hearing loss, the comparator is the BAHA.  The evidence presented in the selected studies was assessed and classified using the dimensions of evidence defined by the National Health and Medical Research Council (NHMRC 2000) including strength of the evidence, size of the effect and relevance of the evidence.  The included studies presented a variety of MEI devices. While most studies assessed the VSB MEI, the Otologics MET, Envoy Esteem, Rion device, SOUNDTEC DDHS, and TICA MEIs were also assessed. Additionally, some studies described instances in which the MEI attachment method or the devices themselves had been modified to permit implantation. Hence, differences in components and attachment occurred between the six identified different MEI devices and also between patients receiving the same MEI. MSAC concluded for the MEI device safety outcomes, drawn from comparative, case series and case report data for a total of 1222 patients. There were no deaths associated with MEI implantation. Most adverse events were relatively rare and of low severity with the Vibrant Soundbridge (VSB). Residual hearing loss (RHL) after implantation was an important adverse event which was only reported in MEI patients. Most of the evidence for the effectiveness of the MEI has been derived from level IV evidence. Generally, MEI implantation and/or activation led to improvements in patients with mild, moderate and severe sensorineural hearing loss (SNHL); SNHL of undefined severity; mild, moderate and severe mixed hearing loss (MHL); MHL of undefined severity; and CHL. The MEI appears to be at least as effective as the HA. While most studies assessed the VSB MEI, the Otologics middle ear transducer (MET), Envoy Esteem, Rion device, SOUNDTEC Direct Drive Hearing System (DDHS) and TICA MEIs were also assessed. Expert opinion of the Advisory Panel stated that although there were slight differences between the MEI devices, their method of implantation was similar enough for pooled outcomes to be </w:t>
      </w:r>
      <w:r w:rsidRPr="009A1A2E">
        <w:rPr>
          <w:lang w:val="en-AU"/>
        </w:rPr>
        <w:lastRenderedPageBreak/>
        <w:t>reported. The majority of the available studies assessed the MEI in patients with SNHL. This is reflective of the anticipated Australian practice suggested by clinical experts. The reporting of effectiveness outcomes was compromised by the lack of uniform outcome measurements. The economic evaluation was to performed to compare the cost-effectiveness of MEI relative to BAHA and CI. In the absence of conclusive effectiveness data, a cost analysis was conducted to compare the different costs associated with each of the three procedures on which MSAC noted that MEI is more expensive than BAHA, but MEI is less expensive than CI.</w:t>
      </w:r>
    </w:p>
    <w:p w14:paraId="0D31317C" w14:textId="77777777" w:rsidR="008E5D58" w:rsidRPr="009A1A2E" w:rsidRDefault="008E5D58" w:rsidP="008E5D58">
      <w:pPr>
        <w:pStyle w:val="Textbody"/>
        <w:rPr>
          <w:lang w:val="en-AU"/>
        </w:rPr>
      </w:pPr>
    </w:p>
    <w:p w14:paraId="33442482" w14:textId="77777777" w:rsidR="008C31A4" w:rsidRPr="000B7EA5" w:rsidRDefault="008C31A4" w:rsidP="008E5D58">
      <w:pPr>
        <w:pStyle w:val="Textbody"/>
        <w:rPr>
          <w:u w:val="single"/>
          <w:lang w:val="fr-FR"/>
        </w:rPr>
      </w:pPr>
      <w:r w:rsidRPr="000B7EA5">
        <w:rPr>
          <w:u w:val="single"/>
          <w:lang w:val="fr-FR"/>
        </w:rPr>
        <w:t>Comite d'Evaluation et de Diffusion des In</w:t>
      </w:r>
      <w:r w:rsidR="008E5D58" w:rsidRPr="000B7EA5">
        <w:rPr>
          <w:u w:val="single"/>
          <w:lang w:val="fr-FR"/>
        </w:rPr>
        <w:t>novations Technologiques (2002)</w:t>
      </w:r>
    </w:p>
    <w:p w14:paraId="58396D7C" w14:textId="77777777" w:rsidR="008C31A4" w:rsidRPr="009A1A2E" w:rsidRDefault="008C31A4" w:rsidP="008E5D58">
      <w:pPr>
        <w:pStyle w:val="Textbody"/>
        <w:rPr>
          <w:lang w:val="en-AU"/>
        </w:rPr>
      </w:pPr>
      <w:r w:rsidRPr="009A1A2E">
        <w:rPr>
          <w:lang w:val="en-AU"/>
        </w:rPr>
        <w:t>This review was performed by horizon scanning documents and gives a concise overview of the MEIs which were available in that market at the time (CEDIT 2002). Neither a search strategy nor a list of references was provided. The devices considered were the Vibrant Soundbridge, the Otologics Middle Ear Transducer and the SOUNDTEC Direct Drive Hearing System. The population considered by this document is limited. A simple economic analysis was performed which stated that the cost of hospital based management of the MEI in adults is approximately €10,000, of which 56 per cent was the cost of the device itself. This document noted that the undebatable medical indications for receiving the MEI are skin pathology or anatomical abnormality in the ear canal, due to the fact that this makes the use of the HA more difficult. It recommended the establishment of the defined audiological parameters for the use of the MEI.</w:t>
      </w:r>
    </w:p>
    <w:p w14:paraId="2E2A1B38" w14:textId="77777777" w:rsidR="00F62A44" w:rsidRDefault="00F62A44" w:rsidP="0046239C">
      <w:pPr>
        <w:pStyle w:val="Textbody"/>
        <w:rPr>
          <w:lang w:val="en-AU"/>
        </w:rPr>
      </w:pPr>
    </w:p>
    <w:p w14:paraId="2062FFC6" w14:textId="77777777" w:rsidR="0099355D" w:rsidRPr="009A1A2E" w:rsidRDefault="0099355D" w:rsidP="0046239C">
      <w:pPr>
        <w:pStyle w:val="Textbody"/>
        <w:rPr>
          <w:lang w:val="en-AU"/>
        </w:rPr>
      </w:pPr>
    </w:p>
    <w:p w14:paraId="10FB0CE6" w14:textId="6C28C4C8" w:rsidR="00653313" w:rsidRPr="009A1A2E" w:rsidRDefault="0099355D" w:rsidP="001F54EF">
      <w:pPr>
        <w:pStyle w:val="Heading20"/>
        <w:jc w:val="both"/>
        <w:rPr>
          <w:highlight w:val="lightGray"/>
          <w:lang w:val="en-AU"/>
        </w:rPr>
      </w:pPr>
      <w:bookmarkStart w:id="397" w:name="_Toc400549415"/>
      <w:bookmarkStart w:id="398" w:name="_Toc431917568"/>
      <w:bookmarkStart w:id="399" w:name="_Toc191822155"/>
      <w:bookmarkStart w:id="400" w:name="_Toc191822205"/>
      <w:bookmarkStart w:id="401" w:name="_Toc191822255"/>
      <w:bookmarkStart w:id="402" w:name="_Toc258501776"/>
      <w:bookmarkStart w:id="403" w:name="_Toc312340155"/>
      <w:r>
        <w:rPr>
          <w:rFonts w:eastAsiaTheme="minorHAnsi"/>
          <w:lang w:val="en-AU"/>
        </w:rPr>
        <w:t>B.3</w:t>
      </w:r>
      <w:r>
        <w:rPr>
          <w:rFonts w:eastAsiaTheme="minorHAnsi"/>
          <w:lang w:val="en-AU"/>
        </w:rPr>
        <w:tab/>
      </w:r>
      <w:r w:rsidR="00653313" w:rsidRPr="009A1A2E">
        <w:rPr>
          <w:lang w:val="en-AU"/>
        </w:rPr>
        <w:t xml:space="preserve">Assessment of the </w:t>
      </w:r>
      <w:r w:rsidR="001F54EF">
        <w:rPr>
          <w:lang w:val="en-AU"/>
        </w:rPr>
        <w:t xml:space="preserve">measures taken by investigators </w:t>
      </w:r>
      <w:r w:rsidR="00653313" w:rsidRPr="009A1A2E">
        <w:rPr>
          <w:lang w:val="en-AU"/>
        </w:rPr>
        <w:t>to minimise bias in the direct randomised trials</w:t>
      </w:r>
      <w:bookmarkEnd w:id="397"/>
      <w:bookmarkEnd w:id="398"/>
    </w:p>
    <w:p w14:paraId="0A2A8F5A" w14:textId="77777777" w:rsidR="00653313" w:rsidRPr="009A1A2E" w:rsidRDefault="00653313" w:rsidP="00653313">
      <w:pPr>
        <w:pStyle w:val="Textbody"/>
        <w:rPr>
          <w:lang w:val="en-AU"/>
        </w:rPr>
      </w:pPr>
      <w:r w:rsidRPr="009A1A2E">
        <w:rPr>
          <w:lang w:val="en-AU"/>
        </w:rPr>
        <w:t xml:space="preserve">Bias is any systematic error in the design, conduct or analysis of a study which results in estimates which depart from true values. An unbiased study is free from systematic error. Many types of bias have been named, but three general types can be identified which were screened for: selection bias, information bias and </w:t>
      </w:r>
      <w:hyperlink r:id="rId52" w:history="1">
        <w:r w:rsidRPr="009A1A2E">
          <w:rPr>
            <w:lang w:val="en-AU"/>
          </w:rPr>
          <w:t>confounding</w:t>
        </w:r>
      </w:hyperlink>
      <w:r w:rsidRPr="009A1A2E">
        <w:rPr>
          <w:lang w:val="en-AU"/>
        </w:rPr>
        <w:t xml:space="preserve"> bias. Selection bias is a systematic error in a study caused by the individuals selected into the study being different from the entire target population in an important way (ie the instance of selecting or the fact of having been selected is insufficient or not stated at all; a carefully chosen or representative collection of patients with beneficial outcomes regarding study hypothesis). </w:t>
      </w:r>
      <w:r w:rsidR="00E1565D" w:rsidRPr="009A1A2E">
        <w:rPr>
          <w:lang w:val="en-AU"/>
        </w:rPr>
        <w:t>The</w:t>
      </w:r>
      <w:r w:rsidRPr="009A1A2E">
        <w:rPr>
          <w:lang w:val="en-AU"/>
        </w:rPr>
        <w:t xml:space="preserve"> </w:t>
      </w:r>
      <w:hyperlink r:id="rId53" w:history="1">
        <w:r w:rsidRPr="009A1A2E">
          <w:rPr>
            <w:lang w:val="en-AU"/>
          </w:rPr>
          <w:t>Berkson's bias</w:t>
        </w:r>
      </w:hyperlink>
      <w:r w:rsidRPr="009A1A2E">
        <w:rPr>
          <w:lang w:val="en-AU"/>
        </w:rPr>
        <w:t xml:space="preserve">, is a type of selection bias which may occur in case-control studies </w:t>
      </w:r>
      <w:r w:rsidRPr="009A1A2E">
        <w:rPr>
          <w:lang w:val="en-AU"/>
        </w:rPr>
        <w:lastRenderedPageBreak/>
        <w:t>which are based entirely on hospital studies. Information bias is a systematic error in a study caused by errors in the data which are collected in the study, or in the analysis of the data (ie details derived from study, experience, or instructions are insufficient; knowledge of specific events or situations are insufficiently reported; a collection of facts or data (statistical information) presented insufficient or not at all or data is published several times; a numerical measure of the uncertainty of an experimental outcome). The converse of an unpublished study is a study that is published several times. This is often, but not always, obviou</w:t>
      </w:r>
      <w:r w:rsidRPr="00596935">
        <w:rPr>
          <w:lang w:val="en-AU"/>
        </w:rPr>
        <w:t>s</w:t>
      </w:r>
      <w:r w:rsidR="00596935" w:rsidRPr="00596935">
        <w:rPr>
          <w:color w:val="0D0D0D" w:themeColor="text1" w:themeTint="F2"/>
        </w:rPr>
        <w:t xml:space="preserve"> (ie Barbara et al 2009, 2011 and 2014; excluded)</w:t>
      </w:r>
      <w:r w:rsidR="008378B1" w:rsidRPr="009A1A2E">
        <w:rPr>
          <w:lang w:val="en-AU"/>
        </w:rPr>
        <w:t xml:space="preserve"> </w:t>
      </w:r>
      <w:r w:rsidRPr="009A1A2E">
        <w:rPr>
          <w:lang w:val="en-AU"/>
        </w:rPr>
        <w:t>If duplicate publications represent several updates of the data, then the most recent was used. Uncertainty’ covers concepts such as inadequate minimization of important sources of bias, lack of statistical significance in an underpowered trial, detecting clinically unimportant therapeutic differences, inconsistent results across trials, and trade</w:t>
      </w:r>
      <w:r w:rsidRPr="009A1A2E">
        <w:rPr>
          <w:rFonts w:ascii="Cambria Math" w:hAnsi="Cambria Math" w:cs="Cambria Math"/>
          <w:lang w:val="en-AU"/>
        </w:rPr>
        <w:t>‐</w:t>
      </w:r>
      <w:r w:rsidRPr="009A1A2E">
        <w:rPr>
          <w:lang w:val="en-AU"/>
        </w:rPr>
        <w:t xml:space="preserve">offs within the comparative effectiveness and/or the comparative safety considerations. </w:t>
      </w:r>
      <w:bookmarkStart w:id="404" w:name="OLE_LINK1"/>
      <w:r w:rsidRPr="009A1A2E">
        <w:rPr>
          <w:lang w:val="en-AU"/>
        </w:rPr>
        <w:t xml:space="preserve">Various </w:t>
      </w:r>
      <w:r w:rsidRPr="00596935">
        <w:rPr>
          <w:lang w:val="en-AU"/>
        </w:rPr>
        <w:t>randomization procedures /collapse of data or patient groups were used ac</w:t>
      </w:r>
      <w:r w:rsidR="00E1565D" w:rsidRPr="00596935">
        <w:rPr>
          <w:lang w:val="en-AU"/>
        </w:rPr>
        <w:t xml:space="preserve">ross the trials </w:t>
      </w:r>
      <w:r w:rsidR="00596935" w:rsidRPr="00596935">
        <w:t>Zwartenkot 2013; excluded).</w:t>
      </w:r>
      <w:r w:rsidR="00596935" w:rsidRPr="006850D7">
        <w:rPr>
          <w:rFonts w:ascii="Times New Roman" w:hAnsi="Times New Roman"/>
          <w:sz w:val="24"/>
          <w:szCs w:val="24"/>
        </w:rPr>
        <w:t xml:space="preserve"> </w:t>
      </w:r>
      <w:r w:rsidRPr="009A1A2E">
        <w:rPr>
          <w:lang w:val="en-AU"/>
        </w:rPr>
        <w:t xml:space="preserve"> </w:t>
      </w:r>
      <w:bookmarkEnd w:id="404"/>
      <w:r w:rsidRPr="009A1A2E">
        <w:rPr>
          <w:lang w:val="en-AU"/>
        </w:rPr>
        <w:t xml:space="preserve">An uneven distribution of patients between the studies can be reported for almost all studies, but does not result in biased outcomes. Whether the differences were significant or whether statistical adjustments of results were conducted was only reported in few trials. Not all evidence carries the same weight of truth that is systematically collected from a carefully crafted sufficient sample that decreases biases and promotes generalization. For example in none of the studies the outcome assessor, </w:t>
      </w:r>
      <w:r w:rsidR="00F02470" w:rsidRPr="009A1A2E">
        <w:rPr>
          <w:lang w:val="en-AU"/>
        </w:rPr>
        <w:t>aud</w:t>
      </w:r>
      <w:r w:rsidRPr="009A1A2E">
        <w:rPr>
          <w:lang w:val="en-AU"/>
        </w:rPr>
        <w:t xml:space="preserve">iologist or ENT surgeon, was blinded to the post-operative </w:t>
      </w:r>
      <w:r w:rsidR="00F02470" w:rsidRPr="009A1A2E">
        <w:rPr>
          <w:lang w:val="en-AU"/>
        </w:rPr>
        <w:t>aud</w:t>
      </w:r>
      <w:r w:rsidRPr="009A1A2E">
        <w:rPr>
          <w:lang w:val="en-AU"/>
        </w:rPr>
        <w:t>iological or subjective test evaluations, which is in this application not relevant as outcomes cannot be biased. Not all evidence tests a hypothesis in the most relevant and effective way that demonstrates that differences seen did not happen by chance alone.</w:t>
      </w:r>
    </w:p>
    <w:p w14:paraId="6E696404" w14:textId="77777777" w:rsidR="00653313" w:rsidRPr="009A1A2E" w:rsidRDefault="00653313" w:rsidP="00F62A44">
      <w:pPr>
        <w:pStyle w:val="Textbody"/>
        <w:rPr>
          <w:lang w:val="en-AU"/>
        </w:rPr>
      </w:pPr>
      <w:r w:rsidRPr="009A1A2E">
        <w:rPr>
          <w:lang w:val="en-AU"/>
        </w:rPr>
        <w:t xml:space="preserve">The methodological quality of each included study was critically appraised. Each study was assessed according to the likelihood that bias, confounding and/or chance may have influenced its results. To evaluative the rigor and weight of the evidence necessary for evidence based practice and independent research we used the Cochrane Consumers &amp; Communication review group, study quality guidelines, quality criteria levels as summarized </w:t>
      </w:r>
      <w:r w:rsidRPr="00596935">
        <w:rPr>
          <w:lang w:val="en-AU"/>
        </w:rPr>
        <w:t xml:space="preserve">in </w:t>
      </w:r>
      <w:r w:rsidR="00596935" w:rsidRPr="00596935">
        <w:rPr>
          <w:lang w:val="en-AU"/>
        </w:rPr>
        <w:fldChar w:fldCharType="begin"/>
      </w:r>
      <w:r w:rsidR="00596935" w:rsidRPr="00596935">
        <w:rPr>
          <w:lang w:val="en-AU"/>
        </w:rPr>
        <w:instrText xml:space="preserve"> REF _Ref400564613 \h  \* MERGEFORMAT </w:instrText>
      </w:r>
      <w:r w:rsidR="00596935" w:rsidRPr="00596935">
        <w:rPr>
          <w:lang w:val="en-AU"/>
        </w:rPr>
      </w:r>
      <w:r w:rsidR="00596935" w:rsidRPr="00596935">
        <w:rPr>
          <w:lang w:val="en-AU"/>
        </w:rPr>
        <w:fldChar w:fldCharType="separate"/>
      </w:r>
      <w:r w:rsidR="00016592" w:rsidRPr="009A1A2E">
        <w:rPr>
          <w:lang w:val="en-AU"/>
        </w:rPr>
        <w:t xml:space="preserve">Table </w:t>
      </w:r>
      <w:r w:rsidR="00016592">
        <w:rPr>
          <w:noProof/>
          <w:lang w:val="en-AU"/>
        </w:rPr>
        <w:t>12</w:t>
      </w:r>
      <w:r w:rsidR="00596935" w:rsidRPr="00596935">
        <w:rPr>
          <w:lang w:val="en-AU"/>
        </w:rPr>
        <w:fldChar w:fldCharType="end"/>
      </w:r>
      <w:r w:rsidR="00685E75" w:rsidRPr="009A1A2E">
        <w:rPr>
          <w:lang w:val="en-AU"/>
        </w:rPr>
        <w:t xml:space="preserve"> and </w:t>
      </w:r>
      <w:r w:rsidR="00685E75" w:rsidRPr="009A1A2E">
        <w:rPr>
          <w:lang w:val="en-AU"/>
        </w:rPr>
        <w:fldChar w:fldCharType="begin"/>
      </w:r>
      <w:r w:rsidR="00685E75" w:rsidRPr="009A1A2E">
        <w:rPr>
          <w:lang w:val="en-AU"/>
        </w:rPr>
        <w:instrText xml:space="preserve"> REF _Ref400564617 \h  \* MERGEFORMAT </w:instrText>
      </w:r>
      <w:r w:rsidR="00685E75" w:rsidRPr="009A1A2E">
        <w:rPr>
          <w:lang w:val="en-AU"/>
        </w:rPr>
      </w:r>
      <w:r w:rsidR="00685E75" w:rsidRPr="009A1A2E">
        <w:rPr>
          <w:lang w:val="en-AU"/>
        </w:rPr>
        <w:fldChar w:fldCharType="separate"/>
      </w:r>
      <w:r w:rsidR="00016592" w:rsidRPr="009A1A2E">
        <w:rPr>
          <w:lang w:val="en-AU"/>
        </w:rPr>
        <w:t xml:space="preserve">Table </w:t>
      </w:r>
      <w:r w:rsidR="00016592">
        <w:rPr>
          <w:lang w:val="en-AU"/>
        </w:rPr>
        <w:t>13</w:t>
      </w:r>
      <w:r w:rsidR="00685E75" w:rsidRPr="009A1A2E">
        <w:rPr>
          <w:lang w:val="en-AU"/>
        </w:rPr>
        <w:fldChar w:fldCharType="end"/>
      </w:r>
      <w:r w:rsidR="00685E75" w:rsidRPr="009A1A2E">
        <w:rPr>
          <w:lang w:val="en-AU"/>
        </w:rPr>
        <w:t>.</w:t>
      </w:r>
    </w:p>
    <w:p w14:paraId="0E1E2644" w14:textId="77777777" w:rsidR="00E13546" w:rsidRPr="009A1A2E" w:rsidRDefault="00E13546" w:rsidP="00F62A44">
      <w:pPr>
        <w:pStyle w:val="Textbody"/>
        <w:rPr>
          <w:lang w:val="en-AU"/>
        </w:rPr>
        <w:sectPr w:rsidR="00E13546" w:rsidRPr="009A1A2E" w:rsidSect="008846BA">
          <w:pgSz w:w="11907" w:h="16839" w:code="9"/>
          <w:pgMar w:top="1701" w:right="1418" w:bottom="1418" w:left="1701" w:header="720" w:footer="720" w:gutter="0"/>
          <w:paperSrc w:first="4035" w:other="4035"/>
          <w:cols w:space="720"/>
          <w:noEndnote/>
        </w:sectPr>
      </w:pPr>
      <w:bookmarkStart w:id="405" w:name="_Toc337546887"/>
      <w:bookmarkStart w:id="406" w:name="_Toc170017614"/>
      <w:bookmarkStart w:id="407" w:name="_Toc191822160"/>
      <w:bookmarkStart w:id="408" w:name="_Toc191822210"/>
      <w:bookmarkStart w:id="409" w:name="_Toc191822260"/>
      <w:bookmarkStart w:id="410" w:name="_Toc258501781"/>
      <w:bookmarkStart w:id="411" w:name="_Toc312340160"/>
      <w:bookmarkEnd w:id="399"/>
      <w:bookmarkEnd w:id="400"/>
      <w:bookmarkEnd w:id="401"/>
      <w:bookmarkEnd w:id="402"/>
      <w:bookmarkEnd w:id="403"/>
    </w:p>
    <w:p w14:paraId="0B1E7311" w14:textId="77777777" w:rsidR="00E13546" w:rsidRPr="009A1A2E" w:rsidRDefault="0043287C" w:rsidP="004C6FF9">
      <w:pPr>
        <w:pStyle w:val="Caption"/>
        <w:ind w:left="0" w:firstLine="0"/>
        <w:rPr>
          <w:rFonts w:ascii="Arial" w:hAnsi="Arial" w:cs="Arial"/>
          <w:lang w:val="en-AU"/>
        </w:rPr>
      </w:pPr>
      <w:bookmarkStart w:id="412" w:name="_Ref400564613"/>
      <w:bookmarkStart w:id="413" w:name="_Toc431917472"/>
      <w:r w:rsidRPr="009A1A2E">
        <w:rPr>
          <w:rFonts w:ascii="Arial" w:hAnsi="Arial" w:cs="Arial"/>
          <w:lang w:val="en-AU"/>
        </w:rPr>
        <w:lastRenderedPageBreak/>
        <w:t xml:space="preserve">Table </w:t>
      </w:r>
      <w:r w:rsidRPr="009A1A2E">
        <w:rPr>
          <w:rFonts w:ascii="Arial" w:hAnsi="Arial" w:cs="Arial"/>
          <w:lang w:val="en-AU"/>
        </w:rPr>
        <w:fldChar w:fldCharType="begin"/>
      </w:r>
      <w:r w:rsidRPr="009A1A2E">
        <w:rPr>
          <w:rFonts w:ascii="Arial" w:hAnsi="Arial" w:cs="Arial"/>
          <w:lang w:val="en-AU"/>
        </w:rPr>
        <w:instrText xml:space="preserve"> SEQ Table \* ARABIC </w:instrText>
      </w:r>
      <w:r w:rsidRPr="009A1A2E">
        <w:rPr>
          <w:rFonts w:ascii="Arial" w:hAnsi="Arial" w:cs="Arial"/>
          <w:lang w:val="en-AU"/>
        </w:rPr>
        <w:fldChar w:fldCharType="separate"/>
      </w:r>
      <w:r w:rsidR="00016592">
        <w:rPr>
          <w:rFonts w:ascii="Arial" w:hAnsi="Arial" w:cs="Arial"/>
          <w:noProof/>
          <w:lang w:val="en-AU"/>
        </w:rPr>
        <w:t>12</w:t>
      </w:r>
      <w:r w:rsidRPr="009A1A2E">
        <w:rPr>
          <w:rFonts w:ascii="Arial" w:hAnsi="Arial" w:cs="Arial"/>
          <w:lang w:val="en-AU"/>
        </w:rPr>
        <w:fldChar w:fldCharType="end"/>
      </w:r>
      <w:bookmarkEnd w:id="412"/>
      <w:r w:rsidR="00C25752" w:rsidRPr="009A1A2E">
        <w:rPr>
          <w:rFonts w:ascii="Arial" w:hAnsi="Arial" w:cs="Arial"/>
          <w:lang w:val="en-AU"/>
        </w:rPr>
        <w:t xml:space="preserve"> -</w:t>
      </w:r>
      <w:r w:rsidRPr="009A1A2E">
        <w:rPr>
          <w:rFonts w:ascii="Arial" w:hAnsi="Arial" w:cs="Arial"/>
          <w:lang w:val="en-AU"/>
        </w:rPr>
        <w:t xml:space="preserve"> Summary of comparator study characteristics included in the evaluation</w:t>
      </w:r>
      <w:bookmarkEnd w:id="413"/>
    </w:p>
    <w:tbl>
      <w:tblPr>
        <w:tblStyle w:val="Tabellenraster1"/>
        <w:tblW w:w="5000" w:type="pct"/>
        <w:tblLook w:val="04A0" w:firstRow="1" w:lastRow="0" w:firstColumn="1" w:lastColumn="0" w:noHBand="0" w:noVBand="1"/>
        <w:tblDescription w:val="Summary of comparator study characteristics included in the evaluation"/>
      </w:tblPr>
      <w:tblGrid>
        <w:gridCol w:w="2069"/>
        <w:gridCol w:w="528"/>
        <w:gridCol w:w="598"/>
        <w:gridCol w:w="782"/>
        <w:gridCol w:w="928"/>
        <w:gridCol w:w="3586"/>
        <w:gridCol w:w="5445"/>
      </w:tblGrid>
      <w:tr w:rsidR="00E13546" w:rsidRPr="009A1A2E" w14:paraId="689E1887" w14:textId="77777777" w:rsidTr="002738DD">
        <w:trPr>
          <w:trHeight w:val="480"/>
          <w:tblHeader/>
        </w:trPr>
        <w:tc>
          <w:tcPr>
            <w:tcW w:w="743" w:type="pct"/>
            <w:vMerge w:val="restart"/>
            <w:tcBorders>
              <w:bottom w:val="nil"/>
            </w:tcBorders>
            <w:vAlign w:val="center"/>
            <w:hideMark/>
          </w:tcPr>
          <w:p w14:paraId="2A3103BB" w14:textId="77777777" w:rsidR="00E13546" w:rsidRPr="009A1A2E" w:rsidRDefault="00E13546" w:rsidP="00E13546">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Study</w:t>
            </w:r>
          </w:p>
        </w:tc>
        <w:tc>
          <w:tcPr>
            <w:tcW w:w="404" w:type="pct"/>
            <w:gridSpan w:val="2"/>
            <w:tcBorders>
              <w:bottom w:val="single" w:sz="4" w:space="0" w:color="auto"/>
            </w:tcBorders>
            <w:vAlign w:val="center"/>
            <w:hideMark/>
          </w:tcPr>
          <w:p w14:paraId="3568EB62" w14:textId="77777777" w:rsidR="00E13546" w:rsidRPr="009A1A2E" w:rsidRDefault="00E13546" w:rsidP="00E13546">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level of evidence</w:t>
            </w:r>
          </w:p>
        </w:tc>
        <w:tc>
          <w:tcPr>
            <w:tcW w:w="281" w:type="pct"/>
            <w:vMerge w:val="restart"/>
            <w:tcBorders>
              <w:bottom w:val="nil"/>
            </w:tcBorders>
            <w:vAlign w:val="center"/>
            <w:hideMark/>
          </w:tcPr>
          <w:p w14:paraId="151AEF43" w14:textId="77777777" w:rsidR="00E13546" w:rsidRPr="009A1A2E" w:rsidRDefault="00E13546" w:rsidP="00E13546">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n</w:t>
            </w:r>
          </w:p>
        </w:tc>
        <w:tc>
          <w:tcPr>
            <w:tcW w:w="330" w:type="pct"/>
            <w:vMerge w:val="restart"/>
            <w:tcBorders>
              <w:bottom w:val="nil"/>
            </w:tcBorders>
            <w:vAlign w:val="center"/>
            <w:hideMark/>
          </w:tcPr>
          <w:p w14:paraId="45599CF4" w14:textId="77777777" w:rsidR="00E13546" w:rsidRPr="009A1A2E" w:rsidRDefault="00E13546" w:rsidP="00E13546">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Follow-up</w:t>
            </w:r>
          </w:p>
        </w:tc>
        <w:tc>
          <w:tcPr>
            <w:tcW w:w="1287" w:type="pct"/>
            <w:vMerge w:val="restart"/>
            <w:tcBorders>
              <w:bottom w:val="nil"/>
            </w:tcBorders>
            <w:vAlign w:val="center"/>
            <w:hideMark/>
          </w:tcPr>
          <w:p w14:paraId="19E71EA6" w14:textId="77777777" w:rsidR="00E13546" w:rsidRPr="009A1A2E" w:rsidRDefault="00E13546" w:rsidP="00E13546">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Outcomes</w:t>
            </w:r>
          </w:p>
        </w:tc>
        <w:tc>
          <w:tcPr>
            <w:tcW w:w="1955" w:type="pct"/>
            <w:vMerge w:val="restart"/>
            <w:tcBorders>
              <w:bottom w:val="nil"/>
            </w:tcBorders>
            <w:vAlign w:val="center"/>
            <w:hideMark/>
          </w:tcPr>
          <w:p w14:paraId="528F9042" w14:textId="77777777" w:rsidR="00E13546" w:rsidRPr="009A1A2E" w:rsidRDefault="00E13546" w:rsidP="00E13546">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Conclusion</w:t>
            </w:r>
          </w:p>
        </w:tc>
      </w:tr>
      <w:tr w:rsidR="00E13546" w:rsidRPr="009A1A2E" w14:paraId="4DA729F4" w14:textId="77777777" w:rsidTr="002738DD">
        <w:trPr>
          <w:trHeight w:val="873"/>
          <w:tblHeader/>
        </w:trPr>
        <w:tc>
          <w:tcPr>
            <w:tcW w:w="743" w:type="pct"/>
            <w:vMerge/>
            <w:tcBorders>
              <w:top w:val="nil"/>
              <w:bottom w:val="single" w:sz="4" w:space="0" w:color="auto"/>
            </w:tcBorders>
            <w:vAlign w:val="center"/>
            <w:hideMark/>
          </w:tcPr>
          <w:p w14:paraId="141FEA1B" w14:textId="77777777" w:rsidR="00E13546" w:rsidRPr="009A1A2E" w:rsidRDefault="00E13546" w:rsidP="00E13546">
            <w:pPr>
              <w:jc w:val="center"/>
              <w:rPr>
                <w:rFonts w:ascii="Arial" w:hAnsi="Arial" w:cs="Arial"/>
                <w:color w:val="000000"/>
                <w:sz w:val="20"/>
                <w:szCs w:val="20"/>
                <w:lang w:val="en-AU" w:eastAsia="de-AT"/>
              </w:rPr>
            </w:pPr>
          </w:p>
        </w:tc>
        <w:tc>
          <w:tcPr>
            <w:tcW w:w="190" w:type="pct"/>
            <w:tcBorders>
              <w:top w:val="single" w:sz="4" w:space="0" w:color="auto"/>
              <w:bottom w:val="single" w:sz="4" w:space="0" w:color="auto"/>
            </w:tcBorders>
            <w:textDirection w:val="btLr"/>
            <w:vAlign w:val="center"/>
            <w:hideMark/>
          </w:tcPr>
          <w:p w14:paraId="2764D957" w14:textId="77777777" w:rsidR="00E13546" w:rsidRPr="009A1A2E" w:rsidRDefault="00E13546" w:rsidP="00E13546">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Oxford ebM</w:t>
            </w:r>
          </w:p>
        </w:tc>
        <w:tc>
          <w:tcPr>
            <w:tcW w:w="215" w:type="pct"/>
            <w:tcBorders>
              <w:top w:val="single" w:sz="4" w:space="0" w:color="auto"/>
              <w:bottom w:val="single" w:sz="4" w:space="0" w:color="auto"/>
            </w:tcBorders>
            <w:noWrap/>
            <w:textDirection w:val="btLr"/>
            <w:vAlign w:val="center"/>
            <w:hideMark/>
          </w:tcPr>
          <w:p w14:paraId="62F295AD" w14:textId="77777777" w:rsidR="00E13546" w:rsidRPr="009A1A2E" w:rsidRDefault="00E13546" w:rsidP="00E13546">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NHMRC</w:t>
            </w:r>
          </w:p>
        </w:tc>
        <w:tc>
          <w:tcPr>
            <w:tcW w:w="281" w:type="pct"/>
            <w:vMerge/>
            <w:tcBorders>
              <w:top w:val="nil"/>
              <w:bottom w:val="single" w:sz="4" w:space="0" w:color="auto"/>
            </w:tcBorders>
            <w:vAlign w:val="center"/>
            <w:hideMark/>
          </w:tcPr>
          <w:p w14:paraId="0F64FB19" w14:textId="77777777" w:rsidR="00E13546" w:rsidRPr="009A1A2E" w:rsidRDefault="00E13546" w:rsidP="00E13546">
            <w:pPr>
              <w:jc w:val="center"/>
              <w:rPr>
                <w:rFonts w:ascii="Arial" w:hAnsi="Arial" w:cs="Arial"/>
                <w:color w:val="000000"/>
                <w:sz w:val="20"/>
                <w:szCs w:val="20"/>
                <w:lang w:val="en-AU" w:eastAsia="de-AT"/>
              </w:rPr>
            </w:pPr>
          </w:p>
        </w:tc>
        <w:tc>
          <w:tcPr>
            <w:tcW w:w="330" w:type="pct"/>
            <w:vMerge/>
            <w:tcBorders>
              <w:top w:val="nil"/>
              <w:bottom w:val="single" w:sz="4" w:space="0" w:color="auto"/>
            </w:tcBorders>
            <w:vAlign w:val="center"/>
            <w:hideMark/>
          </w:tcPr>
          <w:p w14:paraId="30019B1E" w14:textId="77777777" w:rsidR="00E13546" w:rsidRPr="009A1A2E" w:rsidRDefault="00E13546" w:rsidP="00E13546">
            <w:pPr>
              <w:jc w:val="center"/>
              <w:rPr>
                <w:rFonts w:ascii="Arial" w:hAnsi="Arial" w:cs="Arial"/>
                <w:color w:val="000000"/>
                <w:sz w:val="20"/>
                <w:szCs w:val="20"/>
                <w:lang w:val="en-AU" w:eastAsia="de-AT"/>
              </w:rPr>
            </w:pPr>
          </w:p>
        </w:tc>
        <w:tc>
          <w:tcPr>
            <w:tcW w:w="1287" w:type="pct"/>
            <w:vMerge/>
            <w:tcBorders>
              <w:top w:val="nil"/>
              <w:bottom w:val="single" w:sz="4" w:space="0" w:color="auto"/>
            </w:tcBorders>
            <w:vAlign w:val="center"/>
            <w:hideMark/>
          </w:tcPr>
          <w:p w14:paraId="48A887BE" w14:textId="77777777" w:rsidR="00E13546" w:rsidRPr="009A1A2E" w:rsidRDefault="00E13546" w:rsidP="00E13546">
            <w:pPr>
              <w:jc w:val="center"/>
              <w:rPr>
                <w:rFonts w:ascii="Arial" w:hAnsi="Arial" w:cs="Arial"/>
                <w:color w:val="000000"/>
                <w:sz w:val="20"/>
                <w:szCs w:val="20"/>
                <w:lang w:val="en-AU" w:eastAsia="de-AT"/>
              </w:rPr>
            </w:pPr>
          </w:p>
        </w:tc>
        <w:tc>
          <w:tcPr>
            <w:tcW w:w="1955" w:type="pct"/>
            <w:vMerge/>
            <w:tcBorders>
              <w:top w:val="nil"/>
              <w:bottom w:val="single" w:sz="4" w:space="0" w:color="auto"/>
            </w:tcBorders>
            <w:vAlign w:val="center"/>
            <w:hideMark/>
          </w:tcPr>
          <w:p w14:paraId="046C668F" w14:textId="77777777" w:rsidR="00E13546" w:rsidRPr="009A1A2E" w:rsidRDefault="00E13546" w:rsidP="00E13546">
            <w:pPr>
              <w:jc w:val="center"/>
              <w:rPr>
                <w:rFonts w:ascii="Arial" w:hAnsi="Arial" w:cs="Arial"/>
                <w:color w:val="000000"/>
                <w:sz w:val="20"/>
                <w:szCs w:val="20"/>
                <w:lang w:val="en-AU" w:eastAsia="de-AT"/>
              </w:rPr>
            </w:pPr>
          </w:p>
        </w:tc>
      </w:tr>
      <w:tr w:rsidR="00E13546" w:rsidRPr="009A1A2E" w14:paraId="4D5B1070" w14:textId="77777777" w:rsidTr="002738DD">
        <w:trPr>
          <w:trHeight w:val="330"/>
        </w:trPr>
        <w:tc>
          <w:tcPr>
            <w:tcW w:w="5000" w:type="pct"/>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0163B6" w14:textId="77777777" w:rsidR="00E13546" w:rsidRPr="009A1A2E" w:rsidRDefault="00E13546" w:rsidP="00E13546">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Fully implantable device: ESTEEM</w:t>
            </w:r>
          </w:p>
        </w:tc>
      </w:tr>
      <w:tr w:rsidR="00E13546" w:rsidRPr="009A1A2E" w14:paraId="3C943DFD" w14:textId="77777777" w:rsidTr="002738DD">
        <w:trPr>
          <w:trHeight w:val="480"/>
        </w:trPr>
        <w:tc>
          <w:tcPr>
            <w:tcW w:w="743" w:type="pct"/>
            <w:tcBorders>
              <w:top w:val="single" w:sz="4" w:space="0" w:color="auto"/>
            </w:tcBorders>
            <w:vAlign w:val="center"/>
            <w:hideMark/>
          </w:tcPr>
          <w:p w14:paraId="399271EE" w14:textId="33AE3B4F" w:rsidR="00E13546" w:rsidRPr="009A1A2E" w:rsidRDefault="00E13546" w:rsidP="003733D2">
            <w:pPr>
              <w:rPr>
                <w:rFonts w:ascii="Arial" w:hAnsi="Arial" w:cs="Arial"/>
                <w:color w:val="000000"/>
                <w:sz w:val="20"/>
                <w:szCs w:val="20"/>
                <w:lang w:val="en-AU" w:eastAsia="de-AT"/>
              </w:rPr>
            </w:pPr>
            <w:r w:rsidRPr="009A1A2E">
              <w:rPr>
                <w:rFonts w:ascii="Arial" w:hAnsi="Arial" w:cs="Arial"/>
                <w:color w:val="000000"/>
                <w:sz w:val="20"/>
                <w:szCs w:val="20"/>
                <w:lang w:val="en-AU" w:eastAsia="de-AT"/>
              </w:rPr>
              <w:t>Barbara et al. 2011</w:t>
            </w:r>
            <w:r w:rsidR="003733D2">
              <w:rPr>
                <w:rFonts w:ascii="Arial" w:hAnsi="Arial" w:cs="Arial"/>
                <w:color w:val="000000"/>
                <w:sz w:val="20"/>
                <w:szCs w:val="20"/>
                <w:lang w:val="en-AU" w:eastAsia="de-AT"/>
              </w:rPr>
              <w:t xml:space="preserve"> </w:t>
            </w:r>
            <w:r w:rsidRPr="009A1A2E">
              <w:rPr>
                <w:rFonts w:ascii="Arial" w:hAnsi="Arial" w:cs="Arial"/>
                <w:color w:val="000000"/>
                <w:sz w:val="20"/>
                <w:szCs w:val="20"/>
                <w:lang w:val="en-AU" w:eastAsia="de-AT"/>
              </w:rPr>
              <w:t>Italy</w:t>
            </w:r>
          </w:p>
        </w:tc>
        <w:tc>
          <w:tcPr>
            <w:tcW w:w="190" w:type="pct"/>
            <w:vMerge w:val="restart"/>
            <w:tcBorders>
              <w:top w:val="single" w:sz="4" w:space="0" w:color="auto"/>
            </w:tcBorders>
            <w:vAlign w:val="center"/>
            <w:hideMark/>
          </w:tcPr>
          <w:p w14:paraId="422977C0" w14:textId="77777777" w:rsidR="00E13546" w:rsidRPr="009A1A2E" w:rsidRDefault="00E13546" w:rsidP="00E13546">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III</w:t>
            </w:r>
          </w:p>
        </w:tc>
        <w:tc>
          <w:tcPr>
            <w:tcW w:w="215" w:type="pct"/>
            <w:vMerge w:val="restart"/>
            <w:tcBorders>
              <w:top w:val="single" w:sz="4" w:space="0" w:color="auto"/>
            </w:tcBorders>
            <w:vAlign w:val="center"/>
            <w:hideMark/>
          </w:tcPr>
          <w:p w14:paraId="4BE3D4BF" w14:textId="77777777" w:rsidR="00E13546" w:rsidRPr="009A1A2E" w:rsidRDefault="00E13546" w:rsidP="00E13546">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III-3</w:t>
            </w:r>
          </w:p>
        </w:tc>
        <w:tc>
          <w:tcPr>
            <w:tcW w:w="281" w:type="pct"/>
            <w:vMerge w:val="restart"/>
            <w:tcBorders>
              <w:top w:val="single" w:sz="4" w:space="0" w:color="auto"/>
            </w:tcBorders>
            <w:vAlign w:val="center"/>
            <w:hideMark/>
          </w:tcPr>
          <w:p w14:paraId="7E656E9C" w14:textId="77777777" w:rsidR="00E13546" w:rsidRPr="009A1A2E" w:rsidRDefault="00E13546" w:rsidP="00E13546">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18 adults</w:t>
            </w:r>
          </w:p>
        </w:tc>
        <w:tc>
          <w:tcPr>
            <w:tcW w:w="330" w:type="pct"/>
            <w:vMerge w:val="restart"/>
            <w:tcBorders>
              <w:top w:val="single" w:sz="4" w:space="0" w:color="auto"/>
            </w:tcBorders>
            <w:vAlign w:val="center"/>
            <w:hideMark/>
          </w:tcPr>
          <w:p w14:paraId="145164F7" w14:textId="77777777" w:rsidR="00E13546" w:rsidRPr="009A1A2E" w:rsidRDefault="00E13546" w:rsidP="00E13546">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1.5-2 months</w:t>
            </w:r>
          </w:p>
        </w:tc>
        <w:tc>
          <w:tcPr>
            <w:tcW w:w="1287" w:type="pct"/>
            <w:vMerge w:val="restart"/>
            <w:tcBorders>
              <w:top w:val="single" w:sz="4" w:space="0" w:color="auto"/>
            </w:tcBorders>
            <w:vAlign w:val="center"/>
            <w:hideMark/>
          </w:tcPr>
          <w:p w14:paraId="54D1A29E" w14:textId="77777777" w:rsidR="003733D2" w:rsidRDefault="00E13546" w:rsidP="003733D2">
            <w:pPr>
              <w:rPr>
                <w:rFonts w:ascii="Arial" w:hAnsi="Arial" w:cs="Arial"/>
                <w:color w:val="000000"/>
                <w:sz w:val="20"/>
                <w:szCs w:val="20"/>
                <w:lang w:val="en-AU" w:eastAsia="de-AT"/>
              </w:rPr>
            </w:pPr>
            <w:r w:rsidRPr="009A1A2E">
              <w:rPr>
                <w:rFonts w:ascii="Arial" w:hAnsi="Arial" w:cs="Arial"/>
                <w:color w:val="000000"/>
                <w:sz w:val="20"/>
                <w:szCs w:val="20"/>
                <w:lang w:val="en-AU" w:eastAsia="de-AT"/>
              </w:rPr>
              <w:t>AC and BC pure tone thresholds, Speech recognition in quiet,</w:t>
            </w:r>
          </w:p>
          <w:p w14:paraId="119B08D0" w14:textId="20F8976B" w:rsidR="00E13546" w:rsidRPr="009A1A2E" w:rsidRDefault="00E13546" w:rsidP="003733D2">
            <w:pPr>
              <w:rPr>
                <w:rFonts w:ascii="Arial" w:hAnsi="Arial" w:cs="Arial"/>
                <w:color w:val="000000"/>
                <w:sz w:val="20"/>
                <w:szCs w:val="20"/>
                <w:lang w:val="en-AU" w:eastAsia="de-AT"/>
              </w:rPr>
            </w:pPr>
            <w:r w:rsidRPr="009A1A2E">
              <w:rPr>
                <w:rFonts w:ascii="Arial" w:hAnsi="Arial" w:cs="Arial"/>
                <w:color w:val="000000"/>
                <w:sz w:val="20"/>
                <w:szCs w:val="20"/>
                <w:lang w:val="en-AU" w:eastAsia="de-AT"/>
              </w:rPr>
              <w:t>Quality of life</w:t>
            </w:r>
          </w:p>
        </w:tc>
        <w:tc>
          <w:tcPr>
            <w:tcW w:w="1955" w:type="pct"/>
            <w:vMerge w:val="restart"/>
            <w:tcBorders>
              <w:top w:val="single" w:sz="4" w:space="0" w:color="auto"/>
            </w:tcBorders>
            <w:vAlign w:val="center"/>
            <w:hideMark/>
          </w:tcPr>
          <w:p w14:paraId="03ADC611" w14:textId="77777777" w:rsidR="00E13546" w:rsidRPr="009A1A2E" w:rsidRDefault="00E13546" w:rsidP="00E13546">
            <w:pPr>
              <w:rPr>
                <w:rFonts w:ascii="Arial" w:hAnsi="Arial" w:cs="Arial"/>
                <w:color w:val="000000"/>
                <w:sz w:val="20"/>
                <w:szCs w:val="20"/>
                <w:lang w:val="en-AU" w:eastAsia="de-AT"/>
              </w:rPr>
            </w:pPr>
            <w:r w:rsidRPr="009A1A2E">
              <w:rPr>
                <w:rFonts w:ascii="Arial" w:hAnsi="Arial" w:cs="Arial"/>
                <w:color w:val="000000"/>
                <w:sz w:val="20"/>
                <w:szCs w:val="20"/>
                <w:lang w:val="en-AU" w:eastAsia="de-AT"/>
              </w:rPr>
              <w:t>beneficial results in subjects suffering from high frequency, severe bilateral sensorineural hearing loss (SNHL)</w:t>
            </w:r>
          </w:p>
        </w:tc>
      </w:tr>
      <w:tr w:rsidR="00E13546" w:rsidRPr="009A1A2E" w14:paraId="64EB1260" w14:textId="77777777" w:rsidTr="00E13546">
        <w:trPr>
          <w:trHeight w:val="480"/>
        </w:trPr>
        <w:tc>
          <w:tcPr>
            <w:tcW w:w="743" w:type="pct"/>
            <w:vAlign w:val="center"/>
            <w:hideMark/>
          </w:tcPr>
          <w:p w14:paraId="1E1AD526" w14:textId="77777777" w:rsidR="00E13546" w:rsidRPr="009A1A2E" w:rsidRDefault="00E13546" w:rsidP="00E13546">
            <w:pPr>
              <w:rPr>
                <w:rFonts w:ascii="Arial" w:hAnsi="Arial" w:cs="Arial"/>
                <w:color w:val="000000"/>
                <w:sz w:val="20"/>
                <w:szCs w:val="20"/>
                <w:lang w:val="en-AU" w:eastAsia="de-AT"/>
              </w:rPr>
            </w:pPr>
            <w:r w:rsidRPr="009A1A2E">
              <w:rPr>
                <w:rFonts w:ascii="Arial" w:hAnsi="Arial" w:cs="Arial"/>
                <w:color w:val="000000"/>
                <w:sz w:val="20"/>
                <w:szCs w:val="20"/>
                <w:lang w:val="en-AU" w:eastAsia="de-AT"/>
              </w:rPr>
              <w:t>Prospective, pre/post study</w:t>
            </w:r>
          </w:p>
        </w:tc>
        <w:tc>
          <w:tcPr>
            <w:tcW w:w="190" w:type="pct"/>
            <w:vMerge/>
            <w:vAlign w:val="center"/>
            <w:hideMark/>
          </w:tcPr>
          <w:p w14:paraId="066FDC2A" w14:textId="77777777" w:rsidR="00E13546" w:rsidRPr="009A1A2E" w:rsidRDefault="00E13546" w:rsidP="00E13546">
            <w:pPr>
              <w:jc w:val="center"/>
              <w:rPr>
                <w:rFonts w:ascii="Arial" w:hAnsi="Arial" w:cs="Arial"/>
                <w:color w:val="000000"/>
                <w:sz w:val="20"/>
                <w:szCs w:val="20"/>
                <w:lang w:val="en-AU" w:eastAsia="de-AT"/>
              </w:rPr>
            </w:pPr>
          </w:p>
        </w:tc>
        <w:tc>
          <w:tcPr>
            <w:tcW w:w="215" w:type="pct"/>
            <w:vMerge/>
            <w:vAlign w:val="center"/>
            <w:hideMark/>
          </w:tcPr>
          <w:p w14:paraId="0C5DE412" w14:textId="77777777" w:rsidR="00E13546" w:rsidRPr="009A1A2E" w:rsidRDefault="00E13546" w:rsidP="00E13546">
            <w:pPr>
              <w:jc w:val="center"/>
              <w:rPr>
                <w:rFonts w:ascii="Arial" w:hAnsi="Arial" w:cs="Arial"/>
                <w:color w:val="000000"/>
                <w:sz w:val="20"/>
                <w:szCs w:val="20"/>
                <w:lang w:val="en-AU" w:eastAsia="de-AT"/>
              </w:rPr>
            </w:pPr>
          </w:p>
        </w:tc>
        <w:tc>
          <w:tcPr>
            <w:tcW w:w="281" w:type="pct"/>
            <w:vMerge/>
            <w:vAlign w:val="center"/>
            <w:hideMark/>
          </w:tcPr>
          <w:p w14:paraId="09032B7B" w14:textId="77777777" w:rsidR="00E13546" w:rsidRPr="009A1A2E" w:rsidRDefault="00E13546" w:rsidP="00E13546">
            <w:pPr>
              <w:jc w:val="center"/>
              <w:rPr>
                <w:rFonts w:ascii="Arial" w:hAnsi="Arial" w:cs="Arial"/>
                <w:color w:val="000000"/>
                <w:sz w:val="20"/>
                <w:szCs w:val="20"/>
                <w:lang w:val="en-AU" w:eastAsia="de-AT"/>
              </w:rPr>
            </w:pPr>
          </w:p>
        </w:tc>
        <w:tc>
          <w:tcPr>
            <w:tcW w:w="330" w:type="pct"/>
            <w:vMerge/>
            <w:vAlign w:val="center"/>
            <w:hideMark/>
          </w:tcPr>
          <w:p w14:paraId="59A7D637" w14:textId="77777777" w:rsidR="00E13546" w:rsidRPr="009A1A2E" w:rsidRDefault="00E13546" w:rsidP="00E13546">
            <w:pPr>
              <w:jc w:val="center"/>
              <w:rPr>
                <w:rFonts w:ascii="Arial" w:hAnsi="Arial" w:cs="Arial"/>
                <w:color w:val="000000"/>
                <w:sz w:val="20"/>
                <w:szCs w:val="20"/>
                <w:lang w:val="en-AU" w:eastAsia="de-AT"/>
              </w:rPr>
            </w:pPr>
          </w:p>
        </w:tc>
        <w:tc>
          <w:tcPr>
            <w:tcW w:w="1287" w:type="pct"/>
            <w:vMerge/>
            <w:vAlign w:val="center"/>
            <w:hideMark/>
          </w:tcPr>
          <w:p w14:paraId="16D1CF3B" w14:textId="77777777" w:rsidR="00E13546" w:rsidRPr="009A1A2E" w:rsidRDefault="00E13546" w:rsidP="00E13546">
            <w:pPr>
              <w:rPr>
                <w:rFonts w:ascii="Arial" w:hAnsi="Arial" w:cs="Arial"/>
                <w:color w:val="000000"/>
                <w:sz w:val="20"/>
                <w:szCs w:val="20"/>
                <w:lang w:val="en-AU" w:eastAsia="de-AT"/>
              </w:rPr>
            </w:pPr>
          </w:p>
        </w:tc>
        <w:tc>
          <w:tcPr>
            <w:tcW w:w="1955" w:type="pct"/>
            <w:vMerge/>
            <w:vAlign w:val="center"/>
            <w:hideMark/>
          </w:tcPr>
          <w:p w14:paraId="0A07B658" w14:textId="77777777" w:rsidR="00E13546" w:rsidRPr="009A1A2E" w:rsidRDefault="00E13546" w:rsidP="00E13546">
            <w:pPr>
              <w:rPr>
                <w:rFonts w:ascii="Arial" w:hAnsi="Arial" w:cs="Arial"/>
                <w:color w:val="000000"/>
                <w:sz w:val="20"/>
                <w:szCs w:val="20"/>
                <w:lang w:val="en-AU" w:eastAsia="de-AT"/>
              </w:rPr>
            </w:pPr>
          </w:p>
        </w:tc>
      </w:tr>
      <w:tr w:rsidR="00E13546" w:rsidRPr="009A1A2E" w14:paraId="032633BB" w14:textId="77777777" w:rsidTr="00E13546">
        <w:trPr>
          <w:trHeight w:val="480"/>
        </w:trPr>
        <w:tc>
          <w:tcPr>
            <w:tcW w:w="743" w:type="pct"/>
            <w:vAlign w:val="center"/>
            <w:hideMark/>
          </w:tcPr>
          <w:p w14:paraId="4D5834C7" w14:textId="77777777" w:rsidR="003733D2" w:rsidRDefault="00E13546" w:rsidP="003733D2">
            <w:pPr>
              <w:rPr>
                <w:rFonts w:ascii="Arial" w:hAnsi="Arial" w:cs="Arial"/>
                <w:color w:val="000000"/>
                <w:sz w:val="20"/>
                <w:szCs w:val="20"/>
                <w:lang w:val="en-AU" w:eastAsia="de-AT"/>
              </w:rPr>
            </w:pPr>
            <w:r w:rsidRPr="009A1A2E">
              <w:rPr>
                <w:rFonts w:ascii="Arial" w:hAnsi="Arial" w:cs="Arial"/>
                <w:color w:val="000000"/>
                <w:sz w:val="20"/>
                <w:szCs w:val="20"/>
                <w:lang w:val="en-AU" w:eastAsia="de-AT"/>
              </w:rPr>
              <w:t>Barbaraet al. 2014</w:t>
            </w:r>
          </w:p>
          <w:p w14:paraId="292CE6DC" w14:textId="4BED96BA" w:rsidR="00E13546" w:rsidRPr="009A1A2E" w:rsidRDefault="00E13546" w:rsidP="003733D2">
            <w:pPr>
              <w:rPr>
                <w:rFonts w:ascii="Arial" w:hAnsi="Arial" w:cs="Arial"/>
                <w:color w:val="000000"/>
                <w:sz w:val="20"/>
                <w:szCs w:val="20"/>
                <w:lang w:val="en-AU" w:eastAsia="de-AT"/>
              </w:rPr>
            </w:pPr>
            <w:r w:rsidRPr="009A1A2E">
              <w:rPr>
                <w:rFonts w:ascii="Arial" w:hAnsi="Arial" w:cs="Arial"/>
                <w:color w:val="000000"/>
                <w:sz w:val="20"/>
                <w:szCs w:val="20"/>
                <w:lang w:val="en-AU" w:eastAsia="de-AT"/>
              </w:rPr>
              <w:t>Italy</w:t>
            </w:r>
          </w:p>
        </w:tc>
        <w:tc>
          <w:tcPr>
            <w:tcW w:w="190" w:type="pct"/>
            <w:vMerge w:val="restart"/>
            <w:vAlign w:val="center"/>
            <w:hideMark/>
          </w:tcPr>
          <w:p w14:paraId="3AA154AC" w14:textId="77777777" w:rsidR="00E13546" w:rsidRPr="009A1A2E" w:rsidRDefault="00E13546" w:rsidP="00E13546">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IV</w:t>
            </w:r>
          </w:p>
        </w:tc>
        <w:tc>
          <w:tcPr>
            <w:tcW w:w="215" w:type="pct"/>
            <w:vMerge w:val="restart"/>
            <w:vAlign w:val="center"/>
            <w:hideMark/>
          </w:tcPr>
          <w:p w14:paraId="5A3A20A7" w14:textId="77777777" w:rsidR="00E13546" w:rsidRPr="009A1A2E" w:rsidRDefault="00E13546" w:rsidP="00E13546">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IV</w:t>
            </w:r>
          </w:p>
        </w:tc>
        <w:tc>
          <w:tcPr>
            <w:tcW w:w="281" w:type="pct"/>
            <w:vMerge w:val="restart"/>
            <w:vAlign w:val="center"/>
            <w:hideMark/>
          </w:tcPr>
          <w:p w14:paraId="03037C2A" w14:textId="77777777" w:rsidR="00E13546" w:rsidRPr="009A1A2E" w:rsidRDefault="00E13546" w:rsidP="00E13546">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34 adults</w:t>
            </w:r>
          </w:p>
        </w:tc>
        <w:tc>
          <w:tcPr>
            <w:tcW w:w="330" w:type="pct"/>
            <w:vMerge w:val="restart"/>
            <w:vAlign w:val="center"/>
            <w:hideMark/>
          </w:tcPr>
          <w:p w14:paraId="37BF1466" w14:textId="77777777" w:rsidR="00E13546" w:rsidRPr="009A1A2E" w:rsidRDefault="00E13546" w:rsidP="00E13546">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3 months</w:t>
            </w:r>
          </w:p>
        </w:tc>
        <w:tc>
          <w:tcPr>
            <w:tcW w:w="1287" w:type="pct"/>
            <w:vMerge w:val="restart"/>
            <w:vAlign w:val="center"/>
            <w:hideMark/>
          </w:tcPr>
          <w:p w14:paraId="387E6F4A" w14:textId="77777777" w:rsidR="00E13546" w:rsidRPr="009A1A2E" w:rsidRDefault="00E13546" w:rsidP="00E13546">
            <w:pPr>
              <w:rPr>
                <w:rFonts w:ascii="Arial" w:hAnsi="Arial" w:cs="Arial"/>
                <w:color w:val="000000"/>
                <w:sz w:val="20"/>
                <w:szCs w:val="20"/>
                <w:lang w:val="en-AU" w:eastAsia="de-AT"/>
              </w:rPr>
            </w:pPr>
            <w:r w:rsidRPr="009A1A2E">
              <w:rPr>
                <w:rFonts w:ascii="Arial" w:hAnsi="Arial" w:cs="Arial"/>
                <w:color w:val="000000"/>
                <w:sz w:val="20"/>
                <w:szCs w:val="20"/>
                <w:lang w:val="en-AU" w:eastAsia="de-AT"/>
              </w:rPr>
              <w:t>Adverse events</w:t>
            </w:r>
          </w:p>
        </w:tc>
        <w:tc>
          <w:tcPr>
            <w:tcW w:w="1955" w:type="pct"/>
            <w:vMerge w:val="restart"/>
            <w:vAlign w:val="center"/>
            <w:hideMark/>
          </w:tcPr>
          <w:p w14:paraId="65803961" w14:textId="77777777" w:rsidR="00E13546" w:rsidRPr="009A1A2E" w:rsidRDefault="00E13546" w:rsidP="00E13546">
            <w:pPr>
              <w:rPr>
                <w:rFonts w:ascii="Arial" w:hAnsi="Arial" w:cs="Arial"/>
                <w:color w:val="000000"/>
                <w:sz w:val="20"/>
                <w:szCs w:val="20"/>
                <w:lang w:val="en-AU" w:eastAsia="de-AT"/>
              </w:rPr>
            </w:pPr>
            <w:r w:rsidRPr="009A1A2E">
              <w:rPr>
                <w:rFonts w:ascii="Arial" w:hAnsi="Arial" w:cs="Arial"/>
                <w:color w:val="000000"/>
                <w:sz w:val="20"/>
                <w:szCs w:val="20"/>
                <w:lang w:val="en-AU" w:eastAsia="de-AT"/>
              </w:rPr>
              <w:t>delayed facial nerve (FN) impairment and taste disturbances were found in a limited number of subjects.</w:t>
            </w:r>
          </w:p>
        </w:tc>
      </w:tr>
      <w:tr w:rsidR="00E13546" w:rsidRPr="009A1A2E" w14:paraId="11348397" w14:textId="77777777" w:rsidTr="00E13546">
        <w:trPr>
          <w:trHeight w:val="480"/>
        </w:trPr>
        <w:tc>
          <w:tcPr>
            <w:tcW w:w="743" w:type="pct"/>
            <w:vAlign w:val="center"/>
            <w:hideMark/>
          </w:tcPr>
          <w:p w14:paraId="6B9B3937" w14:textId="77777777" w:rsidR="00E13546" w:rsidRPr="009A1A2E" w:rsidRDefault="00E13546" w:rsidP="00E13546">
            <w:pPr>
              <w:rPr>
                <w:rFonts w:ascii="Arial" w:hAnsi="Arial" w:cs="Arial"/>
                <w:color w:val="000000"/>
                <w:sz w:val="20"/>
                <w:szCs w:val="20"/>
                <w:lang w:val="en-AU" w:eastAsia="de-AT"/>
              </w:rPr>
            </w:pPr>
            <w:r w:rsidRPr="009A1A2E">
              <w:rPr>
                <w:rFonts w:ascii="Arial" w:hAnsi="Arial" w:cs="Arial"/>
                <w:color w:val="000000"/>
                <w:sz w:val="20"/>
                <w:szCs w:val="20"/>
                <w:lang w:val="en-AU" w:eastAsia="de-AT"/>
              </w:rPr>
              <w:t>Prospective, cross-sectional study</w:t>
            </w:r>
          </w:p>
        </w:tc>
        <w:tc>
          <w:tcPr>
            <w:tcW w:w="190" w:type="pct"/>
            <w:vMerge/>
            <w:vAlign w:val="center"/>
            <w:hideMark/>
          </w:tcPr>
          <w:p w14:paraId="3CEEDA3C" w14:textId="77777777" w:rsidR="00E13546" w:rsidRPr="009A1A2E" w:rsidRDefault="00E13546" w:rsidP="00E13546">
            <w:pPr>
              <w:jc w:val="center"/>
              <w:rPr>
                <w:rFonts w:ascii="Arial" w:hAnsi="Arial" w:cs="Arial"/>
                <w:color w:val="000000"/>
                <w:sz w:val="20"/>
                <w:szCs w:val="20"/>
                <w:lang w:val="en-AU" w:eastAsia="de-AT"/>
              </w:rPr>
            </w:pPr>
          </w:p>
        </w:tc>
        <w:tc>
          <w:tcPr>
            <w:tcW w:w="215" w:type="pct"/>
            <w:vMerge/>
            <w:vAlign w:val="center"/>
            <w:hideMark/>
          </w:tcPr>
          <w:p w14:paraId="323705E4" w14:textId="77777777" w:rsidR="00E13546" w:rsidRPr="009A1A2E" w:rsidRDefault="00E13546" w:rsidP="00E13546">
            <w:pPr>
              <w:jc w:val="center"/>
              <w:rPr>
                <w:rFonts w:ascii="Arial" w:hAnsi="Arial" w:cs="Arial"/>
                <w:color w:val="000000"/>
                <w:sz w:val="20"/>
                <w:szCs w:val="20"/>
                <w:lang w:val="en-AU" w:eastAsia="de-AT"/>
              </w:rPr>
            </w:pPr>
          </w:p>
        </w:tc>
        <w:tc>
          <w:tcPr>
            <w:tcW w:w="281" w:type="pct"/>
            <w:vMerge/>
            <w:vAlign w:val="center"/>
            <w:hideMark/>
          </w:tcPr>
          <w:p w14:paraId="03E9CA5B" w14:textId="77777777" w:rsidR="00E13546" w:rsidRPr="009A1A2E" w:rsidRDefault="00E13546" w:rsidP="00E13546">
            <w:pPr>
              <w:jc w:val="center"/>
              <w:rPr>
                <w:rFonts w:ascii="Arial" w:hAnsi="Arial" w:cs="Arial"/>
                <w:color w:val="000000"/>
                <w:sz w:val="20"/>
                <w:szCs w:val="20"/>
                <w:lang w:val="en-AU" w:eastAsia="de-AT"/>
              </w:rPr>
            </w:pPr>
          </w:p>
        </w:tc>
        <w:tc>
          <w:tcPr>
            <w:tcW w:w="330" w:type="pct"/>
            <w:vMerge/>
            <w:vAlign w:val="center"/>
            <w:hideMark/>
          </w:tcPr>
          <w:p w14:paraId="3B04C652" w14:textId="77777777" w:rsidR="00E13546" w:rsidRPr="009A1A2E" w:rsidRDefault="00E13546" w:rsidP="00E13546">
            <w:pPr>
              <w:jc w:val="center"/>
              <w:rPr>
                <w:rFonts w:ascii="Arial" w:hAnsi="Arial" w:cs="Arial"/>
                <w:color w:val="000000"/>
                <w:sz w:val="20"/>
                <w:szCs w:val="20"/>
                <w:lang w:val="en-AU" w:eastAsia="de-AT"/>
              </w:rPr>
            </w:pPr>
          </w:p>
        </w:tc>
        <w:tc>
          <w:tcPr>
            <w:tcW w:w="1287" w:type="pct"/>
            <w:vMerge/>
            <w:vAlign w:val="center"/>
            <w:hideMark/>
          </w:tcPr>
          <w:p w14:paraId="413919A5" w14:textId="77777777" w:rsidR="00E13546" w:rsidRPr="009A1A2E" w:rsidRDefault="00E13546" w:rsidP="00E13546">
            <w:pPr>
              <w:rPr>
                <w:rFonts w:ascii="Arial" w:hAnsi="Arial" w:cs="Arial"/>
                <w:color w:val="000000"/>
                <w:sz w:val="20"/>
                <w:szCs w:val="20"/>
                <w:lang w:val="en-AU" w:eastAsia="de-AT"/>
              </w:rPr>
            </w:pPr>
          </w:p>
        </w:tc>
        <w:tc>
          <w:tcPr>
            <w:tcW w:w="1955" w:type="pct"/>
            <w:vMerge/>
            <w:vAlign w:val="center"/>
            <w:hideMark/>
          </w:tcPr>
          <w:p w14:paraId="4699B152" w14:textId="77777777" w:rsidR="00E13546" w:rsidRPr="009A1A2E" w:rsidRDefault="00E13546" w:rsidP="00E13546">
            <w:pPr>
              <w:rPr>
                <w:rFonts w:ascii="Arial" w:hAnsi="Arial" w:cs="Arial"/>
                <w:color w:val="000000"/>
                <w:sz w:val="20"/>
                <w:szCs w:val="20"/>
                <w:lang w:val="en-AU" w:eastAsia="de-AT"/>
              </w:rPr>
            </w:pPr>
          </w:p>
        </w:tc>
      </w:tr>
      <w:tr w:rsidR="00E13546" w:rsidRPr="009A1A2E" w14:paraId="39D58C88" w14:textId="77777777" w:rsidTr="00E13546">
        <w:trPr>
          <w:trHeight w:val="480"/>
        </w:trPr>
        <w:tc>
          <w:tcPr>
            <w:tcW w:w="743" w:type="pct"/>
            <w:vAlign w:val="center"/>
            <w:hideMark/>
          </w:tcPr>
          <w:p w14:paraId="725637F2" w14:textId="77777777" w:rsidR="003733D2" w:rsidRDefault="00E13546" w:rsidP="003733D2">
            <w:pPr>
              <w:rPr>
                <w:rFonts w:ascii="Arial" w:hAnsi="Arial" w:cs="Arial"/>
                <w:color w:val="000000"/>
                <w:sz w:val="20"/>
                <w:szCs w:val="20"/>
                <w:lang w:val="en-AU" w:eastAsia="de-AT"/>
              </w:rPr>
            </w:pPr>
            <w:r w:rsidRPr="009A1A2E">
              <w:rPr>
                <w:rFonts w:ascii="Arial" w:hAnsi="Arial" w:cs="Arial"/>
                <w:color w:val="000000"/>
                <w:sz w:val="20"/>
                <w:szCs w:val="20"/>
                <w:lang w:val="en-AU" w:eastAsia="de-AT"/>
              </w:rPr>
              <w:t>Chen et al. 2004</w:t>
            </w:r>
          </w:p>
          <w:p w14:paraId="26A8E171" w14:textId="70AD2E2E" w:rsidR="00E13546" w:rsidRPr="009A1A2E" w:rsidRDefault="00E13546" w:rsidP="003733D2">
            <w:pPr>
              <w:rPr>
                <w:rFonts w:ascii="Arial" w:hAnsi="Arial" w:cs="Arial"/>
                <w:color w:val="000000"/>
                <w:sz w:val="20"/>
                <w:szCs w:val="20"/>
                <w:lang w:val="en-AU" w:eastAsia="de-AT"/>
              </w:rPr>
            </w:pPr>
            <w:r w:rsidRPr="009A1A2E">
              <w:rPr>
                <w:rFonts w:ascii="Arial" w:hAnsi="Arial" w:cs="Arial"/>
                <w:color w:val="000000"/>
                <w:sz w:val="20"/>
                <w:szCs w:val="20"/>
                <w:lang w:val="en-AU" w:eastAsia="de-AT"/>
              </w:rPr>
              <w:t>USA</w:t>
            </w:r>
          </w:p>
        </w:tc>
        <w:tc>
          <w:tcPr>
            <w:tcW w:w="190" w:type="pct"/>
            <w:vMerge w:val="restart"/>
            <w:vAlign w:val="center"/>
            <w:hideMark/>
          </w:tcPr>
          <w:p w14:paraId="37DD7E9F" w14:textId="77777777" w:rsidR="00E13546" w:rsidRPr="009A1A2E" w:rsidRDefault="00E13546" w:rsidP="00E13546">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III</w:t>
            </w:r>
          </w:p>
        </w:tc>
        <w:tc>
          <w:tcPr>
            <w:tcW w:w="215" w:type="pct"/>
            <w:vMerge w:val="restart"/>
            <w:vAlign w:val="center"/>
            <w:hideMark/>
          </w:tcPr>
          <w:p w14:paraId="474F7A0B" w14:textId="77777777" w:rsidR="00E13546" w:rsidRPr="009A1A2E" w:rsidRDefault="00E13546" w:rsidP="00E13546">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III-2</w:t>
            </w:r>
          </w:p>
        </w:tc>
        <w:tc>
          <w:tcPr>
            <w:tcW w:w="281" w:type="pct"/>
            <w:vMerge w:val="restart"/>
            <w:vAlign w:val="center"/>
            <w:hideMark/>
          </w:tcPr>
          <w:p w14:paraId="4F09E17F" w14:textId="77777777" w:rsidR="00E13546" w:rsidRPr="009A1A2E" w:rsidRDefault="00E13546" w:rsidP="00E13546">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7 adults</w:t>
            </w:r>
          </w:p>
        </w:tc>
        <w:tc>
          <w:tcPr>
            <w:tcW w:w="330" w:type="pct"/>
            <w:vMerge w:val="restart"/>
            <w:vAlign w:val="center"/>
            <w:hideMark/>
          </w:tcPr>
          <w:p w14:paraId="491C9562" w14:textId="77777777" w:rsidR="00E13546" w:rsidRPr="009A1A2E" w:rsidRDefault="00E13546" w:rsidP="00E13546">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4 months</w:t>
            </w:r>
          </w:p>
        </w:tc>
        <w:tc>
          <w:tcPr>
            <w:tcW w:w="1287" w:type="pct"/>
            <w:vMerge w:val="restart"/>
            <w:vAlign w:val="center"/>
            <w:hideMark/>
          </w:tcPr>
          <w:p w14:paraId="689BBF0B" w14:textId="77777777" w:rsidR="00E13546" w:rsidRPr="009A1A2E" w:rsidRDefault="00E13546" w:rsidP="00E13546">
            <w:pPr>
              <w:rPr>
                <w:rFonts w:ascii="Arial" w:hAnsi="Arial" w:cs="Arial"/>
                <w:color w:val="000000"/>
                <w:sz w:val="20"/>
                <w:szCs w:val="20"/>
                <w:lang w:val="en-AU" w:eastAsia="de-AT"/>
              </w:rPr>
            </w:pPr>
            <w:r w:rsidRPr="009A1A2E">
              <w:rPr>
                <w:rFonts w:ascii="Arial" w:hAnsi="Arial" w:cs="Arial"/>
                <w:color w:val="000000"/>
                <w:sz w:val="20"/>
                <w:szCs w:val="20"/>
                <w:lang w:val="en-AU" w:eastAsia="de-AT"/>
              </w:rPr>
              <w:t>AC and BC pure tone thresholds, Functional gain,  Speech recognition in quiet and noise, Quality of life, Adverse events</w:t>
            </w:r>
          </w:p>
        </w:tc>
        <w:tc>
          <w:tcPr>
            <w:tcW w:w="1955" w:type="pct"/>
            <w:vMerge w:val="restart"/>
            <w:vAlign w:val="center"/>
            <w:hideMark/>
          </w:tcPr>
          <w:p w14:paraId="39FCFF29" w14:textId="77777777" w:rsidR="00E13546" w:rsidRPr="009A1A2E" w:rsidRDefault="00E13546" w:rsidP="00E13546">
            <w:pPr>
              <w:rPr>
                <w:rFonts w:ascii="Arial" w:hAnsi="Arial" w:cs="Arial"/>
                <w:color w:val="000000"/>
                <w:sz w:val="20"/>
                <w:szCs w:val="20"/>
                <w:lang w:val="en-AU" w:eastAsia="de-AT"/>
              </w:rPr>
            </w:pPr>
            <w:r w:rsidRPr="009A1A2E">
              <w:rPr>
                <w:rFonts w:ascii="Arial" w:hAnsi="Arial" w:cs="Arial"/>
                <w:color w:val="000000"/>
                <w:sz w:val="20"/>
                <w:szCs w:val="20"/>
                <w:lang w:val="en-AU" w:eastAsia="de-AT"/>
              </w:rPr>
              <w:t>feasibility of a totally implantable middle-ear device for sensorineural hearing loss was proven</w:t>
            </w:r>
          </w:p>
        </w:tc>
      </w:tr>
      <w:tr w:rsidR="00E13546" w:rsidRPr="009A1A2E" w14:paraId="1D8BD29E" w14:textId="77777777" w:rsidTr="00E13546">
        <w:trPr>
          <w:trHeight w:val="480"/>
        </w:trPr>
        <w:tc>
          <w:tcPr>
            <w:tcW w:w="743" w:type="pct"/>
            <w:vAlign w:val="center"/>
            <w:hideMark/>
          </w:tcPr>
          <w:p w14:paraId="507CFF91" w14:textId="77777777" w:rsidR="00E13546" w:rsidRPr="009A1A2E" w:rsidRDefault="00E13546" w:rsidP="00E13546">
            <w:pPr>
              <w:rPr>
                <w:rFonts w:ascii="Arial" w:hAnsi="Arial" w:cs="Arial"/>
                <w:color w:val="000000"/>
                <w:sz w:val="20"/>
                <w:szCs w:val="20"/>
                <w:lang w:val="en-AU" w:eastAsia="de-AT"/>
              </w:rPr>
            </w:pPr>
            <w:r w:rsidRPr="009A1A2E">
              <w:rPr>
                <w:rFonts w:ascii="Arial" w:hAnsi="Arial" w:cs="Arial"/>
                <w:color w:val="000000"/>
                <w:sz w:val="20"/>
                <w:szCs w:val="20"/>
                <w:lang w:val="en-AU" w:eastAsia="de-AT"/>
              </w:rPr>
              <w:t>Prospective, multicenter study</w:t>
            </w:r>
          </w:p>
        </w:tc>
        <w:tc>
          <w:tcPr>
            <w:tcW w:w="190" w:type="pct"/>
            <w:vMerge/>
            <w:vAlign w:val="center"/>
            <w:hideMark/>
          </w:tcPr>
          <w:p w14:paraId="6665466C" w14:textId="77777777" w:rsidR="00E13546" w:rsidRPr="009A1A2E" w:rsidRDefault="00E13546" w:rsidP="00E13546">
            <w:pPr>
              <w:jc w:val="center"/>
              <w:rPr>
                <w:rFonts w:ascii="Arial" w:hAnsi="Arial" w:cs="Arial"/>
                <w:color w:val="000000"/>
                <w:sz w:val="20"/>
                <w:szCs w:val="20"/>
                <w:lang w:val="en-AU" w:eastAsia="de-AT"/>
              </w:rPr>
            </w:pPr>
          </w:p>
        </w:tc>
        <w:tc>
          <w:tcPr>
            <w:tcW w:w="215" w:type="pct"/>
            <w:vMerge/>
            <w:vAlign w:val="center"/>
            <w:hideMark/>
          </w:tcPr>
          <w:p w14:paraId="564B9AE3" w14:textId="77777777" w:rsidR="00E13546" w:rsidRPr="009A1A2E" w:rsidRDefault="00E13546" w:rsidP="00E13546">
            <w:pPr>
              <w:jc w:val="center"/>
              <w:rPr>
                <w:rFonts w:ascii="Arial" w:hAnsi="Arial" w:cs="Arial"/>
                <w:color w:val="000000"/>
                <w:sz w:val="20"/>
                <w:szCs w:val="20"/>
                <w:lang w:val="en-AU" w:eastAsia="de-AT"/>
              </w:rPr>
            </w:pPr>
          </w:p>
        </w:tc>
        <w:tc>
          <w:tcPr>
            <w:tcW w:w="281" w:type="pct"/>
            <w:vMerge/>
            <w:vAlign w:val="center"/>
            <w:hideMark/>
          </w:tcPr>
          <w:p w14:paraId="2D81E7C2" w14:textId="77777777" w:rsidR="00E13546" w:rsidRPr="009A1A2E" w:rsidRDefault="00E13546" w:rsidP="00E13546">
            <w:pPr>
              <w:jc w:val="center"/>
              <w:rPr>
                <w:rFonts w:ascii="Arial" w:hAnsi="Arial" w:cs="Arial"/>
                <w:color w:val="000000"/>
                <w:sz w:val="20"/>
                <w:szCs w:val="20"/>
                <w:lang w:val="en-AU" w:eastAsia="de-AT"/>
              </w:rPr>
            </w:pPr>
          </w:p>
        </w:tc>
        <w:tc>
          <w:tcPr>
            <w:tcW w:w="330" w:type="pct"/>
            <w:vMerge/>
            <w:vAlign w:val="center"/>
            <w:hideMark/>
          </w:tcPr>
          <w:p w14:paraId="6BA4C987" w14:textId="77777777" w:rsidR="00E13546" w:rsidRPr="009A1A2E" w:rsidRDefault="00E13546" w:rsidP="00E13546">
            <w:pPr>
              <w:jc w:val="center"/>
              <w:rPr>
                <w:rFonts w:ascii="Arial" w:hAnsi="Arial" w:cs="Arial"/>
                <w:color w:val="000000"/>
                <w:sz w:val="20"/>
                <w:szCs w:val="20"/>
                <w:lang w:val="en-AU" w:eastAsia="de-AT"/>
              </w:rPr>
            </w:pPr>
          </w:p>
        </w:tc>
        <w:tc>
          <w:tcPr>
            <w:tcW w:w="1287" w:type="pct"/>
            <w:vMerge/>
            <w:vAlign w:val="center"/>
            <w:hideMark/>
          </w:tcPr>
          <w:p w14:paraId="2BD427E5" w14:textId="77777777" w:rsidR="00E13546" w:rsidRPr="009A1A2E" w:rsidRDefault="00E13546" w:rsidP="00E13546">
            <w:pPr>
              <w:rPr>
                <w:rFonts w:ascii="Arial" w:hAnsi="Arial" w:cs="Arial"/>
                <w:color w:val="000000"/>
                <w:sz w:val="20"/>
                <w:szCs w:val="20"/>
                <w:lang w:val="en-AU" w:eastAsia="de-AT"/>
              </w:rPr>
            </w:pPr>
          </w:p>
        </w:tc>
        <w:tc>
          <w:tcPr>
            <w:tcW w:w="1955" w:type="pct"/>
            <w:vMerge/>
            <w:vAlign w:val="center"/>
            <w:hideMark/>
          </w:tcPr>
          <w:p w14:paraId="050B4CBE" w14:textId="77777777" w:rsidR="00E13546" w:rsidRPr="009A1A2E" w:rsidRDefault="00E13546" w:rsidP="00E13546">
            <w:pPr>
              <w:rPr>
                <w:rFonts w:ascii="Arial" w:hAnsi="Arial" w:cs="Arial"/>
                <w:color w:val="000000"/>
                <w:sz w:val="20"/>
                <w:szCs w:val="20"/>
                <w:lang w:val="en-AU" w:eastAsia="de-AT"/>
              </w:rPr>
            </w:pPr>
          </w:p>
        </w:tc>
      </w:tr>
      <w:tr w:rsidR="00E13546" w:rsidRPr="009A1A2E" w14:paraId="083DE301" w14:textId="77777777" w:rsidTr="00E13546">
        <w:trPr>
          <w:trHeight w:val="480"/>
        </w:trPr>
        <w:tc>
          <w:tcPr>
            <w:tcW w:w="743" w:type="pct"/>
            <w:vAlign w:val="center"/>
            <w:hideMark/>
          </w:tcPr>
          <w:p w14:paraId="181BB6B7" w14:textId="77777777" w:rsidR="00E13546" w:rsidRPr="009A1A2E" w:rsidRDefault="00E13546" w:rsidP="00E13546">
            <w:pPr>
              <w:rPr>
                <w:rFonts w:ascii="Arial" w:hAnsi="Arial" w:cs="Arial"/>
                <w:color w:val="000000"/>
                <w:sz w:val="20"/>
                <w:szCs w:val="20"/>
                <w:lang w:val="en-AU" w:eastAsia="de-AT"/>
              </w:rPr>
            </w:pPr>
            <w:r w:rsidRPr="009A1A2E">
              <w:rPr>
                <w:rFonts w:ascii="Arial" w:hAnsi="Arial" w:cs="Arial"/>
                <w:color w:val="000000"/>
                <w:sz w:val="20"/>
                <w:szCs w:val="20"/>
                <w:lang w:val="en-AU" w:eastAsia="de-AT"/>
              </w:rPr>
              <w:t>Gerard et al. 2012  Belgium</w:t>
            </w:r>
          </w:p>
        </w:tc>
        <w:tc>
          <w:tcPr>
            <w:tcW w:w="190" w:type="pct"/>
            <w:vMerge w:val="restart"/>
            <w:vAlign w:val="center"/>
            <w:hideMark/>
          </w:tcPr>
          <w:p w14:paraId="7A3D509C" w14:textId="77777777" w:rsidR="00E13546" w:rsidRPr="009A1A2E" w:rsidRDefault="00E13546" w:rsidP="00E13546">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III</w:t>
            </w:r>
          </w:p>
        </w:tc>
        <w:tc>
          <w:tcPr>
            <w:tcW w:w="215" w:type="pct"/>
            <w:vMerge w:val="restart"/>
            <w:vAlign w:val="center"/>
            <w:hideMark/>
          </w:tcPr>
          <w:p w14:paraId="1D4A717A" w14:textId="77777777" w:rsidR="00E13546" w:rsidRPr="009A1A2E" w:rsidRDefault="00E13546" w:rsidP="00E13546">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III-3</w:t>
            </w:r>
          </w:p>
        </w:tc>
        <w:tc>
          <w:tcPr>
            <w:tcW w:w="281" w:type="pct"/>
            <w:vMerge w:val="restart"/>
            <w:vAlign w:val="center"/>
            <w:hideMark/>
          </w:tcPr>
          <w:p w14:paraId="4BF01216" w14:textId="77777777" w:rsidR="00E13546" w:rsidRPr="009A1A2E" w:rsidRDefault="00E13546" w:rsidP="00E13546">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13 adults</w:t>
            </w:r>
          </w:p>
        </w:tc>
        <w:tc>
          <w:tcPr>
            <w:tcW w:w="330" w:type="pct"/>
            <w:vMerge w:val="restart"/>
            <w:vAlign w:val="center"/>
            <w:hideMark/>
          </w:tcPr>
          <w:p w14:paraId="53F2BBBE" w14:textId="77777777" w:rsidR="00E13546" w:rsidRPr="009A1A2E" w:rsidRDefault="00E13546" w:rsidP="00E13546">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not stated</w:t>
            </w:r>
          </w:p>
        </w:tc>
        <w:tc>
          <w:tcPr>
            <w:tcW w:w="1287" w:type="pct"/>
            <w:vMerge w:val="restart"/>
            <w:vAlign w:val="center"/>
            <w:hideMark/>
          </w:tcPr>
          <w:p w14:paraId="22195B7D" w14:textId="77777777" w:rsidR="00E13546" w:rsidRPr="009A1A2E" w:rsidRDefault="00E13546" w:rsidP="00E13546">
            <w:pPr>
              <w:rPr>
                <w:rFonts w:ascii="Arial" w:hAnsi="Arial" w:cs="Arial"/>
                <w:color w:val="000000"/>
                <w:sz w:val="20"/>
                <w:szCs w:val="20"/>
                <w:lang w:val="en-AU" w:eastAsia="de-AT"/>
              </w:rPr>
            </w:pPr>
            <w:r w:rsidRPr="009A1A2E">
              <w:rPr>
                <w:rFonts w:ascii="Arial" w:hAnsi="Arial" w:cs="Arial"/>
                <w:color w:val="000000"/>
                <w:sz w:val="20"/>
                <w:szCs w:val="20"/>
                <w:lang w:val="en-AU" w:eastAsia="de-AT"/>
              </w:rPr>
              <w:t>AC and BC pure tone thresholds, Functional gain, Speech recognition in quiet and noise, Quality of Life, Adverse events</w:t>
            </w:r>
          </w:p>
        </w:tc>
        <w:tc>
          <w:tcPr>
            <w:tcW w:w="1955" w:type="pct"/>
            <w:vMerge w:val="restart"/>
            <w:vAlign w:val="center"/>
            <w:hideMark/>
          </w:tcPr>
          <w:p w14:paraId="41D7A0BA" w14:textId="77777777" w:rsidR="00E13546" w:rsidRPr="009A1A2E" w:rsidRDefault="00E13546" w:rsidP="00E13546">
            <w:pPr>
              <w:rPr>
                <w:rFonts w:ascii="Arial" w:hAnsi="Arial" w:cs="Arial"/>
                <w:color w:val="000000"/>
                <w:sz w:val="20"/>
                <w:szCs w:val="20"/>
                <w:lang w:val="en-AU" w:eastAsia="de-AT"/>
              </w:rPr>
            </w:pPr>
            <w:r w:rsidRPr="009A1A2E">
              <w:rPr>
                <w:rFonts w:ascii="Arial" w:hAnsi="Arial" w:cs="Arial"/>
                <w:color w:val="000000"/>
                <w:sz w:val="20"/>
                <w:szCs w:val="20"/>
                <w:lang w:val="en-AU" w:eastAsia="de-AT"/>
              </w:rPr>
              <w:t>offers good functional and satisfaction results; however, careful selection of patients is required. The implant is safe and only associated with classic auditory implant complications</w:t>
            </w:r>
          </w:p>
        </w:tc>
      </w:tr>
      <w:tr w:rsidR="00E13546" w:rsidRPr="009A1A2E" w14:paraId="4754FD95" w14:textId="77777777" w:rsidTr="00E13546">
        <w:trPr>
          <w:trHeight w:val="480"/>
        </w:trPr>
        <w:tc>
          <w:tcPr>
            <w:tcW w:w="743" w:type="pct"/>
            <w:vAlign w:val="center"/>
            <w:hideMark/>
          </w:tcPr>
          <w:p w14:paraId="493A5243" w14:textId="77777777" w:rsidR="00E13546" w:rsidRPr="009A1A2E" w:rsidRDefault="00E13546" w:rsidP="00E13546">
            <w:pPr>
              <w:rPr>
                <w:rFonts w:ascii="Arial" w:hAnsi="Arial" w:cs="Arial"/>
                <w:color w:val="000000"/>
                <w:sz w:val="20"/>
                <w:szCs w:val="20"/>
                <w:lang w:val="en-AU" w:eastAsia="de-AT"/>
              </w:rPr>
            </w:pPr>
            <w:r w:rsidRPr="009A1A2E">
              <w:rPr>
                <w:rFonts w:ascii="Arial" w:hAnsi="Arial" w:cs="Arial"/>
                <w:color w:val="000000"/>
                <w:sz w:val="20"/>
                <w:szCs w:val="20"/>
                <w:lang w:val="en-AU" w:eastAsia="de-AT"/>
              </w:rPr>
              <w:t>Retrospective, pre/post study</w:t>
            </w:r>
          </w:p>
        </w:tc>
        <w:tc>
          <w:tcPr>
            <w:tcW w:w="190" w:type="pct"/>
            <w:vMerge/>
            <w:vAlign w:val="center"/>
            <w:hideMark/>
          </w:tcPr>
          <w:p w14:paraId="5D72B752" w14:textId="77777777" w:rsidR="00E13546" w:rsidRPr="009A1A2E" w:rsidRDefault="00E13546" w:rsidP="00E13546">
            <w:pPr>
              <w:jc w:val="center"/>
              <w:rPr>
                <w:rFonts w:ascii="Arial" w:hAnsi="Arial" w:cs="Arial"/>
                <w:color w:val="000000"/>
                <w:sz w:val="20"/>
                <w:szCs w:val="20"/>
                <w:lang w:val="en-AU" w:eastAsia="de-AT"/>
              </w:rPr>
            </w:pPr>
          </w:p>
        </w:tc>
        <w:tc>
          <w:tcPr>
            <w:tcW w:w="215" w:type="pct"/>
            <w:vMerge/>
            <w:vAlign w:val="center"/>
            <w:hideMark/>
          </w:tcPr>
          <w:p w14:paraId="14EF9C9C" w14:textId="77777777" w:rsidR="00E13546" w:rsidRPr="009A1A2E" w:rsidRDefault="00E13546" w:rsidP="00E13546">
            <w:pPr>
              <w:jc w:val="center"/>
              <w:rPr>
                <w:rFonts w:ascii="Arial" w:hAnsi="Arial" w:cs="Arial"/>
                <w:color w:val="000000"/>
                <w:sz w:val="20"/>
                <w:szCs w:val="20"/>
                <w:lang w:val="en-AU" w:eastAsia="de-AT"/>
              </w:rPr>
            </w:pPr>
          </w:p>
        </w:tc>
        <w:tc>
          <w:tcPr>
            <w:tcW w:w="281" w:type="pct"/>
            <w:vMerge/>
            <w:vAlign w:val="center"/>
            <w:hideMark/>
          </w:tcPr>
          <w:p w14:paraId="4757BBA7" w14:textId="77777777" w:rsidR="00E13546" w:rsidRPr="009A1A2E" w:rsidRDefault="00E13546" w:rsidP="00E13546">
            <w:pPr>
              <w:jc w:val="center"/>
              <w:rPr>
                <w:rFonts w:ascii="Arial" w:hAnsi="Arial" w:cs="Arial"/>
                <w:color w:val="000000"/>
                <w:sz w:val="20"/>
                <w:szCs w:val="20"/>
                <w:lang w:val="en-AU" w:eastAsia="de-AT"/>
              </w:rPr>
            </w:pPr>
          </w:p>
        </w:tc>
        <w:tc>
          <w:tcPr>
            <w:tcW w:w="330" w:type="pct"/>
            <w:vMerge/>
            <w:vAlign w:val="center"/>
            <w:hideMark/>
          </w:tcPr>
          <w:p w14:paraId="0BC6CB3D" w14:textId="77777777" w:rsidR="00E13546" w:rsidRPr="009A1A2E" w:rsidRDefault="00E13546" w:rsidP="00E13546">
            <w:pPr>
              <w:jc w:val="center"/>
              <w:rPr>
                <w:rFonts w:ascii="Arial" w:hAnsi="Arial" w:cs="Arial"/>
                <w:color w:val="000000"/>
                <w:sz w:val="20"/>
                <w:szCs w:val="20"/>
                <w:lang w:val="en-AU" w:eastAsia="de-AT"/>
              </w:rPr>
            </w:pPr>
          </w:p>
        </w:tc>
        <w:tc>
          <w:tcPr>
            <w:tcW w:w="1287" w:type="pct"/>
            <w:vMerge/>
            <w:vAlign w:val="center"/>
            <w:hideMark/>
          </w:tcPr>
          <w:p w14:paraId="646FA745" w14:textId="77777777" w:rsidR="00E13546" w:rsidRPr="009A1A2E" w:rsidRDefault="00E13546" w:rsidP="00E13546">
            <w:pPr>
              <w:rPr>
                <w:rFonts w:ascii="Arial" w:hAnsi="Arial" w:cs="Arial"/>
                <w:color w:val="000000"/>
                <w:sz w:val="20"/>
                <w:szCs w:val="20"/>
                <w:lang w:val="en-AU" w:eastAsia="de-AT"/>
              </w:rPr>
            </w:pPr>
          </w:p>
        </w:tc>
        <w:tc>
          <w:tcPr>
            <w:tcW w:w="1955" w:type="pct"/>
            <w:vMerge/>
            <w:vAlign w:val="center"/>
            <w:hideMark/>
          </w:tcPr>
          <w:p w14:paraId="2A70E02E" w14:textId="77777777" w:rsidR="00E13546" w:rsidRPr="009A1A2E" w:rsidRDefault="00E13546" w:rsidP="00E13546">
            <w:pPr>
              <w:rPr>
                <w:rFonts w:ascii="Arial" w:hAnsi="Arial" w:cs="Arial"/>
                <w:color w:val="000000"/>
                <w:sz w:val="20"/>
                <w:szCs w:val="20"/>
                <w:lang w:val="en-AU" w:eastAsia="de-AT"/>
              </w:rPr>
            </w:pPr>
          </w:p>
        </w:tc>
      </w:tr>
      <w:tr w:rsidR="00E13546" w:rsidRPr="009A1A2E" w14:paraId="6EB3FC0E" w14:textId="77777777" w:rsidTr="00E13546">
        <w:trPr>
          <w:trHeight w:val="480"/>
        </w:trPr>
        <w:tc>
          <w:tcPr>
            <w:tcW w:w="743" w:type="pct"/>
            <w:vAlign w:val="center"/>
            <w:hideMark/>
          </w:tcPr>
          <w:p w14:paraId="229111CD" w14:textId="77777777" w:rsidR="00E13546" w:rsidRPr="009A1A2E" w:rsidRDefault="00E13546" w:rsidP="00E13546">
            <w:pPr>
              <w:rPr>
                <w:rFonts w:ascii="Arial" w:hAnsi="Arial" w:cs="Arial"/>
                <w:color w:val="000000"/>
                <w:sz w:val="20"/>
                <w:szCs w:val="20"/>
                <w:lang w:val="en-AU" w:eastAsia="de-AT"/>
              </w:rPr>
            </w:pPr>
            <w:r w:rsidRPr="009A1A2E">
              <w:rPr>
                <w:rFonts w:ascii="Arial" w:hAnsi="Arial" w:cs="Arial"/>
                <w:color w:val="000000"/>
                <w:sz w:val="20"/>
                <w:szCs w:val="20"/>
                <w:lang w:val="en-AU" w:eastAsia="de-AT"/>
              </w:rPr>
              <w:t>Monini et al. 2013 Germany</w:t>
            </w:r>
          </w:p>
        </w:tc>
        <w:tc>
          <w:tcPr>
            <w:tcW w:w="190" w:type="pct"/>
            <w:vMerge w:val="restart"/>
            <w:vAlign w:val="center"/>
            <w:hideMark/>
          </w:tcPr>
          <w:p w14:paraId="3264A2B1" w14:textId="77777777" w:rsidR="00E13546" w:rsidRPr="009A1A2E" w:rsidRDefault="00E13546" w:rsidP="00E13546">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III</w:t>
            </w:r>
          </w:p>
        </w:tc>
        <w:tc>
          <w:tcPr>
            <w:tcW w:w="215" w:type="pct"/>
            <w:vMerge w:val="restart"/>
            <w:vAlign w:val="center"/>
            <w:hideMark/>
          </w:tcPr>
          <w:p w14:paraId="59C22323" w14:textId="77777777" w:rsidR="00E13546" w:rsidRPr="009A1A2E" w:rsidRDefault="00E13546" w:rsidP="00E13546">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III-3</w:t>
            </w:r>
          </w:p>
        </w:tc>
        <w:tc>
          <w:tcPr>
            <w:tcW w:w="281" w:type="pct"/>
            <w:vMerge w:val="restart"/>
            <w:vAlign w:val="center"/>
            <w:hideMark/>
          </w:tcPr>
          <w:p w14:paraId="07CAD075" w14:textId="77777777" w:rsidR="00E13546" w:rsidRPr="009A1A2E" w:rsidRDefault="00E13546" w:rsidP="00E13546">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15 adults</w:t>
            </w:r>
          </w:p>
        </w:tc>
        <w:tc>
          <w:tcPr>
            <w:tcW w:w="330" w:type="pct"/>
            <w:vMerge w:val="restart"/>
            <w:vAlign w:val="center"/>
            <w:hideMark/>
          </w:tcPr>
          <w:p w14:paraId="0AABCAB6" w14:textId="77777777" w:rsidR="00E13546" w:rsidRPr="009A1A2E" w:rsidRDefault="00E13546" w:rsidP="00E13546">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3 months</w:t>
            </w:r>
          </w:p>
        </w:tc>
        <w:tc>
          <w:tcPr>
            <w:tcW w:w="1287" w:type="pct"/>
            <w:vMerge w:val="restart"/>
            <w:vAlign w:val="center"/>
            <w:hideMark/>
          </w:tcPr>
          <w:p w14:paraId="7B8C500D" w14:textId="77777777" w:rsidR="00E13546" w:rsidRPr="009A1A2E" w:rsidRDefault="00E13546" w:rsidP="00E13546">
            <w:pPr>
              <w:rPr>
                <w:rFonts w:ascii="Arial" w:hAnsi="Arial" w:cs="Arial"/>
                <w:color w:val="000000"/>
                <w:sz w:val="20"/>
                <w:szCs w:val="20"/>
                <w:lang w:val="en-AU" w:eastAsia="de-AT"/>
              </w:rPr>
            </w:pPr>
            <w:r w:rsidRPr="009A1A2E">
              <w:rPr>
                <w:rFonts w:ascii="Arial" w:hAnsi="Arial" w:cs="Arial"/>
                <w:color w:val="000000"/>
                <w:sz w:val="20"/>
                <w:szCs w:val="20"/>
                <w:lang w:val="en-AU" w:eastAsia="de-AT"/>
              </w:rPr>
              <w:t>Functional gain, Speech recognition in quiet, Quality of life</w:t>
            </w:r>
          </w:p>
        </w:tc>
        <w:tc>
          <w:tcPr>
            <w:tcW w:w="1955" w:type="pct"/>
            <w:vMerge w:val="restart"/>
            <w:vAlign w:val="center"/>
            <w:hideMark/>
          </w:tcPr>
          <w:p w14:paraId="50E7FBCE" w14:textId="77777777" w:rsidR="00E13546" w:rsidRPr="009A1A2E" w:rsidRDefault="00E13546" w:rsidP="00E13546">
            <w:pPr>
              <w:rPr>
                <w:rFonts w:ascii="Arial" w:hAnsi="Arial" w:cs="Arial"/>
                <w:color w:val="000000"/>
                <w:sz w:val="20"/>
                <w:szCs w:val="20"/>
                <w:lang w:val="en-AU" w:eastAsia="de-AT"/>
              </w:rPr>
            </w:pPr>
            <w:r w:rsidRPr="009A1A2E">
              <w:rPr>
                <w:rFonts w:ascii="Arial" w:hAnsi="Arial" w:cs="Arial"/>
                <w:color w:val="000000"/>
                <w:sz w:val="20"/>
                <w:szCs w:val="20"/>
                <w:lang w:val="en-AU" w:eastAsia="de-AT"/>
              </w:rPr>
              <w:t>possible beneficial role for rehabilitation of SNHL in selected candidates and improvement of quality of life was concluded</w:t>
            </w:r>
          </w:p>
        </w:tc>
      </w:tr>
      <w:tr w:rsidR="00E13546" w:rsidRPr="009A1A2E" w14:paraId="3CEDC848" w14:textId="77777777" w:rsidTr="007A0B01">
        <w:trPr>
          <w:trHeight w:val="769"/>
        </w:trPr>
        <w:tc>
          <w:tcPr>
            <w:tcW w:w="743" w:type="pct"/>
            <w:vAlign w:val="center"/>
            <w:hideMark/>
          </w:tcPr>
          <w:p w14:paraId="09D98659" w14:textId="77777777" w:rsidR="00E13546" w:rsidRPr="009A1A2E" w:rsidRDefault="00E13546" w:rsidP="00E13546">
            <w:pPr>
              <w:rPr>
                <w:rFonts w:ascii="Arial" w:hAnsi="Arial" w:cs="Arial"/>
                <w:color w:val="000000"/>
                <w:sz w:val="20"/>
                <w:szCs w:val="20"/>
                <w:lang w:val="en-AU" w:eastAsia="de-AT"/>
              </w:rPr>
            </w:pPr>
            <w:r w:rsidRPr="009A1A2E">
              <w:rPr>
                <w:rFonts w:ascii="Arial" w:hAnsi="Arial" w:cs="Arial"/>
                <w:color w:val="000000"/>
                <w:sz w:val="20"/>
                <w:szCs w:val="20"/>
                <w:lang w:val="en-AU" w:eastAsia="de-AT"/>
              </w:rPr>
              <w:t>Retrospective, cohort study</w:t>
            </w:r>
          </w:p>
        </w:tc>
        <w:tc>
          <w:tcPr>
            <w:tcW w:w="190" w:type="pct"/>
            <w:vMerge/>
            <w:vAlign w:val="center"/>
            <w:hideMark/>
          </w:tcPr>
          <w:p w14:paraId="7903AF1D" w14:textId="77777777" w:rsidR="00E13546" w:rsidRPr="009A1A2E" w:rsidRDefault="00E13546" w:rsidP="00E13546">
            <w:pPr>
              <w:jc w:val="center"/>
              <w:rPr>
                <w:rFonts w:ascii="Arial" w:hAnsi="Arial" w:cs="Arial"/>
                <w:color w:val="000000"/>
                <w:sz w:val="20"/>
                <w:szCs w:val="20"/>
                <w:lang w:val="en-AU" w:eastAsia="de-AT"/>
              </w:rPr>
            </w:pPr>
          </w:p>
        </w:tc>
        <w:tc>
          <w:tcPr>
            <w:tcW w:w="215" w:type="pct"/>
            <w:vMerge/>
            <w:vAlign w:val="center"/>
            <w:hideMark/>
          </w:tcPr>
          <w:p w14:paraId="1D61E0E0" w14:textId="77777777" w:rsidR="00E13546" w:rsidRPr="009A1A2E" w:rsidRDefault="00E13546" w:rsidP="00E13546">
            <w:pPr>
              <w:jc w:val="center"/>
              <w:rPr>
                <w:rFonts w:ascii="Arial" w:hAnsi="Arial" w:cs="Arial"/>
                <w:color w:val="000000"/>
                <w:sz w:val="20"/>
                <w:szCs w:val="20"/>
                <w:lang w:val="en-AU" w:eastAsia="de-AT"/>
              </w:rPr>
            </w:pPr>
          </w:p>
        </w:tc>
        <w:tc>
          <w:tcPr>
            <w:tcW w:w="281" w:type="pct"/>
            <w:vMerge/>
            <w:vAlign w:val="center"/>
            <w:hideMark/>
          </w:tcPr>
          <w:p w14:paraId="4EFCB63C" w14:textId="77777777" w:rsidR="00E13546" w:rsidRPr="009A1A2E" w:rsidRDefault="00E13546" w:rsidP="00E13546">
            <w:pPr>
              <w:jc w:val="center"/>
              <w:rPr>
                <w:rFonts w:ascii="Arial" w:hAnsi="Arial" w:cs="Arial"/>
                <w:color w:val="000000"/>
                <w:sz w:val="20"/>
                <w:szCs w:val="20"/>
                <w:lang w:val="en-AU" w:eastAsia="de-AT"/>
              </w:rPr>
            </w:pPr>
          </w:p>
        </w:tc>
        <w:tc>
          <w:tcPr>
            <w:tcW w:w="330" w:type="pct"/>
            <w:vMerge/>
            <w:vAlign w:val="center"/>
            <w:hideMark/>
          </w:tcPr>
          <w:p w14:paraId="4FE7F2DD" w14:textId="77777777" w:rsidR="00E13546" w:rsidRPr="009A1A2E" w:rsidRDefault="00E13546" w:rsidP="00E13546">
            <w:pPr>
              <w:jc w:val="center"/>
              <w:rPr>
                <w:rFonts w:ascii="Arial" w:hAnsi="Arial" w:cs="Arial"/>
                <w:color w:val="000000"/>
                <w:sz w:val="20"/>
                <w:szCs w:val="20"/>
                <w:lang w:val="en-AU" w:eastAsia="de-AT"/>
              </w:rPr>
            </w:pPr>
          </w:p>
        </w:tc>
        <w:tc>
          <w:tcPr>
            <w:tcW w:w="1287" w:type="pct"/>
            <w:vMerge/>
            <w:vAlign w:val="center"/>
            <w:hideMark/>
          </w:tcPr>
          <w:p w14:paraId="105CE4AD" w14:textId="77777777" w:rsidR="00E13546" w:rsidRPr="009A1A2E" w:rsidRDefault="00E13546" w:rsidP="00E13546">
            <w:pPr>
              <w:rPr>
                <w:rFonts w:ascii="Arial" w:hAnsi="Arial" w:cs="Arial"/>
                <w:color w:val="000000"/>
                <w:sz w:val="20"/>
                <w:szCs w:val="20"/>
                <w:lang w:val="en-AU" w:eastAsia="de-AT"/>
              </w:rPr>
            </w:pPr>
          </w:p>
        </w:tc>
        <w:tc>
          <w:tcPr>
            <w:tcW w:w="1955" w:type="pct"/>
            <w:vMerge/>
            <w:vAlign w:val="center"/>
            <w:hideMark/>
          </w:tcPr>
          <w:p w14:paraId="56BD72E6" w14:textId="77777777" w:rsidR="00E13546" w:rsidRPr="009A1A2E" w:rsidRDefault="00E13546" w:rsidP="00E13546">
            <w:pPr>
              <w:rPr>
                <w:rFonts w:ascii="Arial" w:hAnsi="Arial" w:cs="Arial"/>
                <w:color w:val="000000"/>
                <w:sz w:val="20"/>
                <w:szCs w:val="20"/>
                <w:lang w:val="en-AU" w:eastAsia="de-AT"/>
              </w:rPr>
            </w:pPr>
          </w:p>
        </w:tc>
      </w:tr>
      <w:tr w:rsidR="00E13546" w:rsidRPr="009A1A2E" w14:paraId="15323C2C" w14:textId="77777777" w:rsidTr="00E13546">
        <w:trPr>
          <w:trHeight w:val="480"/>
        </w:trPr>
        <w:tc>
          <w:tcPr>
            <w:tcW w:w="743" w:type="pct"/>
            <w:vAlign w:val="center"/>
            <w:hideMark/>
          </w:tcPr>
          <w:p w14:paraId="09294D1F" w14:textId="77777777" w:rsidR="00E13546" w:rsidRPr="009A1A2E" w:rsidRDefault="00E13546" w:rsidP="00E13546">
            <w:pPr>
              <w:rPr>
                <w:rFonts w:ascii="Arial" w:hAnsi="Arial" w:cs="Arial"/>
                <w:color w:val="000000"/>
                <w:sz w:val="20"/>
                <w:szCs w:val="20"/>
                <w:lang w:val="en-AU" w:eastAsia="de-AT"/>
              </w:rPr>
            </w:pPr>
            <w:r w:rsidRPr="009A1A2E">
              <w:rPr>
                <w:rFonts w:ascii="Arial" w:hAnsi="Arial" w:cs="Arial"/>
                <w:color w:val="000000"/>
                <w:sz w:val="20"/>
                <w:szCs w:val="20"/>
                <w:lang w:val="en-AU" w:eastAsia="de-AT"/>
              </w:rPr>
              <w:t>Memari et al. 2011 Iran</w:t>
            </w:r>
          </w:p>
        </w:tc>
        <w:tc>
          <w:tcPr>
            <w:tcW w:w="190" w:type="pct"/>
            <w:vMerge w:val="restart"/>
            <w:vAlign w:val="center"/>
            <w:hideMark/>
          </w:tcPr>
          <w:p w14:paraId="1080655F" w14:textId="77777777" w:rsidR="00E13546" w:rsidRPr="009A1A2E" w:rsidRDefault="00E13546" w:rsidP="00E13546">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III</w:t>
            </w:r>
          </w:p>
        </w:tc>
        <w:tc>
          <w:tcPr>
            <w:tcW w:w="215" w:type="pct"/>
            <w:vMerge w:val="restart"/>
            <w:vAlign w:val="center"/>
            <w:hideMark/>
          </w:tcPr>
          <w:p w14:paraId="28BDAF73" w14:textId="77777777" w:rsidR="00E13546" w:rsidRPr="009A1A2E" w:rsidRDefault="00E13546" w:rsidP="00E13546">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III-2</w:t>
            </w:r>
          </w:p>
        </w:tc>
        <w:tc>
          <w:tcPr>
            <w:tcW w:w="281" w:type="pct"/>
            <w:vMerge w:val="restart"/>
            <w:vAlign w:val="center"/>
            <w:hideMark/>
          </w:tcPr>
          <w:p w14:paraId="1000A2A0" w14:textId="77777777" w:rsidR="00E13546" w:rsidRPr="009A1A2E" w:rsidRDefault="00E13546" w:rsidP="00E13546">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10 adults</w:t>
            </w:r>
          </w:p>
        </w:tc>
        <w:tc>
          <w:tcPr>
            <w:tcW w:w="330" w:type="pct"/>
            <w:vMerge w:val="restart"/>
            <w:vAlign w:val="center"/>
            <w:hideMark/>
          </w:tcPr>
          <w:p w14:paraId="036B916C" w14:textId="77777777" w:rsidR="00E13546" w:rsidRPr="009A1A2E" w:rsidRDefault="00E13546" w:rsidP="00E13546">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19-40 months</w:t>
            </w:r>
          </w:p>
        </w:tc>
        <w:tc>
          <w:tcPr>
            <w:tcW w:w="1287" w:type="pct"/>
            <w:vMerge w:val="restart"/>
            <w:vAlign w:val="center"/>
            <w:hideMark/>
          </w:tcPr>
          <w:p w14:paraId="50B67FAD" w14:textId="77777777" w:rsidR="00E13546" w:rsidRPr="009A1A2E" w:rsidRDefault="00E13546" w:rsidP="00E13546">
            <w:pPr>
              <w:rPr>
                <w:rFonts w:ascii="Arial" w:hAnsi="Arial" w:cs="Arial"/>
                <w:color w:val="000000"/>
                <w:sz w:val="20"/>
                <w:szCs w:val="20"/>
                <w:lang w:val="en-AU" w:eastAsia="de-AT"/>
              </w:rPr>
            </w:pPr>
            <w:r w:rsidRPr="009A1A2E">
              <w:rPr>
                <w:rFonts w:ascii="Arial" w:hAnsi="Arial" w:cs="Arial"/>
                <w:color w:val="000000"/>
                <w:sz w:val="20"/>
                <w:szCs w:val="20"/>
                <w:lang w:val="en-AU" w:eastAsia="de-AT"/>
              </w:rPr>
              <w:t>AC and BC pure tone thresholds, Functional gain, Adverse events</w:t>
            </w:r>
          </w:p>
        </w:tc>
        <w:tc>
          <w:tcPr>
            <w:tcW w:w="1955" w:type="pct"/>
            <w:vMerge w:val="restart"/>
            <w:vAlign w:val="center"/>
            <w:hideMark/>
          </w:tcPr>
          <w:p w14:paraId="044CE678" w14:textId="77777777" w:rsidR="00E13546" w:rsidRPr="009A1A2E" w:rsidRDefault="00E13546" w:rsidP="00E13546">
            <w:pPr>
              <w:rPr>
                <w:rFonts w:ascii="Arial" w:hAnsi="Arial" w:cs="Arial"/>
                <w:color w:val="000000"/>
                <w:sz w:val="20"/>
                <w:szCs w:val="20"/>
                <w:lang w:val="en-AU" w:eastAsia="de-AT"/>
              </w:rPr>
            </w:pPr>
            <w:r w:rsidRPr="009A1A2E">
              <w:rPr>
                <w:rFonts w:ascii="Arial" w:hAnsi="Arial" w:cs="Arial"/>
                <w:color w:val="000000"/>
                <w:sz w:val="20"/>
                <w:szCs w:val="20"/>
                <w:lang w:val="en-AU" w:eastAsia="de-AT"/>
              </w:rPr>
              <w:t>surgery seems to be realtively safe. Correct selection of patients is very important and infuences postoperative results. Hearing gain in current devices is similar to conventional hearing aids, but with better subjective hearing quality.</w:t>
            </w:r>
          </w:p>
        </w:tc>
      </w:tr>
      <w:tr w:rsidR="00E13546" w:rsidRPr="009A1A2E" w14:paraId="6B11972B" w14:textId="77777777" w:rsidTr="00E13546">
        <w:trPr>
          <w:trHeight w:val="480"/>
        </w:trPr>
        <w:tc>
          <w:tcPr>
            <w:tcW w:w="743" w:type="pct"/>
            <w:vAlign w:val="center"/>
            <w:hideMark/>
          </w:tcPr>
          <w:p w14:paraId="433B2EC3" w14:textId="77777777" w:rsidR="00E13546" w:rsidRPr="009A1A2E" w:rsidRDefault="00E13546" w:rsidP="00E13546">
            <w:pPr>
              <w:rPr>
                <w:rFonts w:ascii="Arial" w:hAnsi="Arial" w:cs="Arial"/>
                <w:color w:val="000000"/>
                <w:sz w:val="20"/>
                <w:szCs w:val="20"/>
                <w:lang w:val="en-AU" w:eastAsia="de-AT"/>
              </w:rPr>
            </w:pPr>
            <w:r w:rsidRPr="009A1A2E">
              <w:rPr>
                <w:rFonts w:ascii="Arial" w:hAnsi="Arial" w:cs="Arial"/>
                <w:color w:val="000000"/>
                <w:sz w:val="20"/>
                <w:szCs w:val="20"/>
                <w:lang w:val="en-AU" w:eastAsia="de-AT"/>
              </w:rPr>
              <w:t>Prospective, pre/post study</w:t>
            </w:r>
          </w:p>
        </w:tc>
        <w:tc>
          <w:tcPr>
            <w:tcW w:w="190" w:type="pct"/>
            <w:vMerge/>
            <w:vAlign w:val="center"/>
            <w:hideMark/>
          </w:tcPr>
          <w:p w14:paraId="507DD351" w14:textId="77777777" w:rsidR="00E13546" w:rsidRPr="009A1A2E" w:rsidRDefault="00E13546" w:rsidP="00E13546">
            <w:pPr>
              <w:jc w:val="center"/>
              <w:rPr>
                <w:rFonts w:ascii="Arial" w:hAnsi="Arial" w:cs="Arial"/>
                <w:color w:val="000000"/>
                <w:sz w:val="20"/>
                <w:szCs w:val="20"/>
                <w:lang w:val="en-AU" w:eastAsia="de-AT"/>
              </w:rPr>
            </w:pPr>
          </w:p>
        </w:tc>
        <w:tc>
          <w:tcPr>
            <w:tcW w:w="215" w:type="pct"/>
            <w:vMerge/>
            <w:vAlign w:val="center"/>
            <w:hideMark/>
          </w:tcPr>
          <w:p w14:paraId="0620BA86" w14:textId="77777777" w:rsidR="00E13546" w:rsidRPr="009A1A2E" w:rsidRDefault="00E13546" w:rsidP="00E13546">
            <w:pPr>
              <w:jc w:val="center"/>
              <w:rPr>
                <w:rFonts w:ascii="Arial" w:hAnsi="Arial" w:cs="Arial"/>
                <w:color w:val="000000"/>
                <w:sz w:val="20"/>
                <w:szCs w:val="20"/>
                <w:lang w:val="en-AU" w:eastAsia="de-AT"/>
              </w:rPr>
            </w:pPr>
          </w:p>
        </w:tc>
        <w:tc>
          <w:tcPr>
            <w:tcW w:w="281" w:type="pct"/>
            <w:vMerge/>
            <w:vAlign w:val="center"/>
            <w:hideMark/>
          </w:tcPr>
          <w:p w14:paraId="30A04FF7" w14:textId="77777777" w:rsidR="00E13546" w:rsidRPr="009A1A2E" w:rsidRDefault="00E13546" w:rsidP="00E13546">
            <w:pPr>
              <w:jc w:val="center"/>
              <w:rPr>
                <w:rFonts w:ascii="Arial" w:hAnsi="Arial" w:cs="Arial"/>
                <w:color w:val="000000"/>
                <w:sz w:val="20"/>
                <w:szCs w:val="20"/>
                <w:lang w:val="en-AU" w:eastAsia="de-AT"/>
              </w:rPr>
            </w:pPr>
          </w:p>
        </w:tc>
        <w:tc>
          <w:tcPr>
            <w:tcW w:w="330" w:type="pct"/>
            <w:vMerge/>
            <w:vAlign w:val="center"/>
            <w:hideMark/>
          </w:tcPr>
          <w:p w14:paraId="112893CB" w14:textId="77777777" w:rsidR="00E13546" w:rsidRPr="009A1A2E" w:rsidRDefault="00E13546" w:rsidP="00E13546">
            <w:pPr>
              <w:jc w:val="center"/>
              <w:rPr>
                <w:rFonts w:ascii="Arial" w:hAnsi="Arial" w:cs="Arial"/>
                <w:color w:val="000000"/>
                <w:sz w:val="20"/>
                <w:szCs w:val="20"/>
                <w:lang w:val="en-AU" w:eastAsia="de-AT"/>
              </w:rPr>
            </w:pPr>
          </w:p>
        </w:tc>
        <w:tc>
          <w:tcPr>
            <w:tcW w:w="1287" w:type="pct"/>
            <w:vMerge/>
            <w:vAlign w:val="center"/>
            <w:hideMark/>
          </w:tcPr>
          <w:p w14:paraId="5CBA9D26" w14:textId="77777777" w:rsidR="00E13546" w:rsidRPr="009A1A2E" w:rsidRDefault="00E13546" w:rsidP="00E13546">
            <w:pPr>
              <w:rPr>
                <w:rFonts w:ascii="Arial" w:hAnsi="Arial" w:cs="Arial"/>
                <w:color w:val="000000"/>
                <w:sz w:val="20"/>
                <w:szCs w:val="20"/>
                <w:lang w:val="en-AU" w:eastAsia="de-AT"/>
              </w:rPr>
            </w:pPr>
          </w:p>
        </w:tc>
        <w:tc>
          <w:tcPr>
            <w:tcW w:w="1955" w:type="pct"/>
            <w:vMerge/>
            <w:vAlign w:val="center"/>
            <w:hideMark/>
          </w:tcPr>
          <w:p w14:paraId="7E2BA2CD" w14:textId="77777777" w:rsidR="00E13546" w:rsidRPr="009A1A2E" w:rsidRDefault="00E13546" w:rsidP="00E13546">
            <w:pPr>
              <w:rPr>
                <w:rFonts w:ascii="Arial" w:hAnsi="Arial" w:cs="Arial"/>
                <w:color w:val="000000"/>
                <w:sz w:val="20"/>
                <w:szCs w:val="20"/>
                <w:lang w:val="en-AU" w:eastAsia="de-AT"/>
              </w:rPr>
            </w:pPr>
          </w:p>
        </w:tc>
      </w:tr>
      <w:tr w:rsidR="00E13546" w:rsidRPr="009A1A2E" w14:paraId="04E9442D" w14:textId="77777777" w:rsidTr="00E13546">
        <w:trPr>
          <w:trHeight w:val="480"/>
        </w:trPr>
        <w:tc>
          <w:tcPr>
            <w:tcW w:w="743" w:type="pct"/>
            <w:vAlign w:val="center"/>
            <w:hideMark/>
          </w:tcPr>
          <w:p w14:paraId="08AFA617" w14:textId="77777777" w:rsidR="003733D2" w:rsidRDefault="00E13546" w:rsidP="003733D2">
            <w:pPr>
              <w:rPr>
                <w:rFonts w:ascii="Arial" w:hAnsi="Arial" w:cs="Arial"/>
                <w:color w:val="000000"/>
                <w:sz w:val="20"/>
                <w:szCs w:val="20"/>
                <w:lang w:val="en-AU" w:eastAsia="de-AT"/>
              </w:rPr>
            </w:pPr>
            <w:r w:rsidRPr="009A1A2E">
              <w:rPr>
                <w:rFonts w:ascii="Arial" w:hAnsi="Arial" w:cs="Arial"/>
                <w:color w:val="000000"/>
                <w:sz w:val="20"/>
                <w:szCs w:val="20"/>
                <w:lang w:val="en-AU" w:eastAsia="de-AT"/>
              </w:rPr>
              <w:lastRenderedPageBreak/>
              <w:t>Kraus et al.2011</w:t>
            </w:r>
          </w:p>
          <w:p w14:paraId="1CE140D6" w14:textId="5583631F" w:rsidR="00E13546" w:rsidRPr="009A1A2E" w:rsidRDefault="00E13546" w:rsidP="003733D2">
            <w:pPr>
              <w:rPr>
                <w:rFonts w:ascii="Arial" w:hAnsi="Arial" w:cs="Arial"/>
                <w:color w:val="000000"/>
                <w:sz w:val="20"/>
                <w:szCs w:val="20"/>
                <w:lang w:val="en-AU" w:eastAsia="de-AT"/>
              </w:rPr>
            </w:pPr>
            <w:r w:rsidRPr="009A1A2E">
              <w:rPr>
                <w:rFonts w:ascii="Arial" w:hAnsi="Arial" w:cs="Arial"/>
                <w:color w:val="000000"/>
                <w:sz w:val="20"/>
                <w:szCs w:val="20"/>
                <w:lang w:val="en-AU" w:eastAsia="de-AT"/>
              </w:rPr>
              <w:t>USA</w:t>
            </w:r>
          </w:p>
        </w:tc>
        <w:tc>
          <w:tcPr>
            <w:tcW w:w="190" w:type="pct"/>
            <w:vMerge w:val="restart"/>
            <w:vAlign w:val="center"/>
            <w:hideMark/>
          </w:tcPr>
          <w:p w14:paraId="08812118" w14:textId="77777777" w:rsidR="00E13546" w:rsidRPr="009A1A2E" w:rsidRDefault="00E13546" w:rsidP="00E13546">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III</w:t>
            </w:r>
          </w:p>
        </w:tc>
        <w:tc>
          <w:tcPr>
            <w:tcW w:w="215" w:type="pct"/>
            <w:vMerge w:val="restart"/>
            <w:vAlign w:val="center"/>
            <w:hideMark/>
          </w:tcPr>
          <w:p w14:paraId="5CDF56E8" w14:textId="77777777" w:rsidR="00E13546" w:rsidRPr="009A1A2E" w:rsidRDefault="00E13546" w:rsidP="00E13546">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III-2</w:t>
            </w:r>
          </w:p>
        </w:tc>
        <w:tc>
          <w:tcPr>
            <w:tcW w:w="281" w:type="pct"/>
            <w:vMerge w:val="restart"/>
            <w:vAlign w:val="center"/>
            <w:hideMark/>
          </w:tcPr>
          <w:p w14:paraId="7F15DD2A" w14:textId="77777777" w:rsidR="00E13546" w:rsidRPr="009A1A2E" w:rsidRDefault="00E13546" w:rsidP="00E13546">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57 adults</w:t>
            </w:r>
          </w:p>
        </w:tc>
        <w:tc>
          <w:tcPr>
            <w:tcW w:w="330" w:type="pct"/>
            <w:vMerge w:val="restart"/>
            <w:vAlign w:val="center"/>
            <w:hideMark/>
          </w:tcPr>
          <w:p w14:paraId="04D2A120" w14:textId="77777777" w:rsidR="00E13546" w:rsidRPr="009A1A2E" w:rsidRDefault="00E13546" w:rsidP="00E13546">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12 months</w:t>
            </w:r>
          </w:p>
        </w:tc>
        <w:tc>
          <w:tcPr>
            <w:tcW w:w="1287" w:type="pct"/>
            <w:vMerge w:val="restart"/>
            <w:vAlign w:val="center"/>
            <w:hideMark/>
          </w:tcPr>
          <w:p w14:paraId="1F7C0EAF" w14:textId="77777777" w:rsidR="00E13546" w:rsidRPr="009A1A2E" w:rsidRDefault="00E13546" w:rsidP="00E13546">
            <w:pPr>
              <w:rPr>
                <w:rFonts w:ascii="Arial" w:hAnsi="Arial" w:cs="Arial"/>
                <w:color w:val="000000"/>
                <w:sz w:val="20"/>
                <w:szCs w:val="20"/>
                <w:lang w:val="en-AU" w:eastAsia="de-AT"/>
              </w:rPr>
            </w:pPr>
            <w:r w:rsidRPr="009A1A2E">
              <w:rPr>
                <w:rFonts w:ascii="Arial" w:hAnsi="Arial" w:cs="Arial"/>
                <w:color w:val="000000"/>
                <w:sz w:val="20"/>
                <w:szCs w:val="20"/>
                <w:lang w:val="en-AU" w:eastAsia="de-AT"/>
              </w:rPr>
              <w:t>AC and BC pure tone thresholds, Functional gain, Speech recognition in quiet and noise, Quality of life, Adverse events</w:t>
            </w:r>
          </w:p>
        </w:tc>
        <w:tc>
          <w:tcPr>
            <w:tcW w:w="1955" w:type="pct"/>
            <w:vMerge w:val="restart"/>
            <w:vAlign w:val="center"/>
            <w:hideMark/>
          </w:tcPr>
          <w:p w14:paraId="754C230B" w14:textId="77777777" w:rsidR="00E13546" w:rsidRPr="009A1A2E" w:rsidRDefault="00E13546" w:rsidP="00E13546">
            <w:pPr>
              <w:rPr>
                <w:rFonts w:ascii="Arial" w:hAnsi="Arial" w:cs="Arial"/>
                <w:color w:val="000000"/>
                <w:sz w:val="20"/>
                <w:szCs w:val="20"/>
                <w:lang w:val="en-AU" w:eastAsia="de-AT"/>
              </w:rPr>
            </w:pPr>
            <w:r w:rsidRPr="009A1A2E">
              <w:rPr>
                <w:rFonts w:ascii="Arial" w:hAnsi="Arial" w:cs="Arial"/>
                <w:color w:val="000000"/>
                <w:sz w:val="20"/>
                <w:szCs w:val="20"/>
                <w:lang w:val="en-AU" w:eastAsia="de-AT"/>
              </w:rPr>
              <w:t>hearing results are statistically superior to baseline, best-fit HAs for SRT and WRS and the Esteem system is safe.</w:t>
            </w:r>
          </w:p>
        </w:tc>
      </w:tr>
      <w:tr w:rsidR="00E13546" w:rsidRPr="009A1A2E" w14:paraId="6F4EAFD6" w14:textId="77777777" w:rsidTr="00E13546">
        <w:trPr>
          <w:trHeight w:val="480"/>
        </w:trPr>
        <w:tc>
          <w:tcPr>
            <w:tcW w:w="743" w:type="pct"/>
            <w:vAlign w:val="center"/>
            <w:hideMark/>
          </w:tcPr>
          <w:p w14:paraId="03E92A79" w14:textId="77777777" w:rsidR="00E13546" w:rsidRPr="009A1A2E" w:rsidRDefault="00E13546" w:rsidP="00E13546">
            <w:pPr>
              <w:rPr>
                <w:rFonts w:ascii="Arial" w:hAnsi="Arial" w:cs="Arial"/>
                <w:color w:val="000000"/>
                <w:sz w:val="20"/>
                <w:szCs w:val="20"/>
                <w:lang w:val="en-AU" w:eastAsia="de-AT"/>
              </w:rPr>
            </w:pPr>
            <w:r w:rsidRPr="009A1A2E">
              <w:rPr>
                <w:rFonts w:ascii="Arial" w:hAnsi="Arial" w:cs="Arial"/>
                <w:color w:val="000000"/>
                <w:sz w:val="20"/>
                <w:szCs w:val="20"/>
                <w:lang w:val="en-AU" w:eastAsia="de-AT"/>
              </w:rPr>
              <w:t>Prospective, multicenter study</w:t>
            </w:r>
          </w:p>
        </w:tc>
        <w:tc>
          <w:tcPr>
            <w:tcW w:w="190" w:type="pct"/>
            <w:vMerge/>
            <w:vAlign w:val="center"/>
            <w:hideMark/>
          </w:tcPr>
          <w:p w14:paraId="230F194F" w14:textId="77777777" w:rsidR="00E13546" w:rsidRPr="009A1A2E" w:rsidRDefault="00E13546" w:rsidP="00E13546">
            <w:pPr>
              <w:jc w:val="center"/>
              <w:rPr>
                <w:rFonts w:ascii="Arial" w:hAnsi="Arial" w:cs="Arial"/>
                <w:color w:val="000000"/>
                <w:sz w:val="20"/>
                <w:szCs w:val="20"/>
                <w:lang w:val="en-AU" w:eastAsia="de-AT"/>
              </w:rPr>
            </w:pPr>
          </w:p>
        </w:tc>
        <w:tc>
          <w:tcPr>
            <w:tcW w:w="215" w:type="pct"/>
            <w:vMerge/>
            <w:vAlign w:val="center"/>
            <w:hideMark/>
          </w:tcPr>
          <w:p w14:paraId="154AABC4" w14:textId="77777777" w:rsidR="00E13546" w:rsidRPr="009A1A2E" w:rsidRDefault="00E13546" w:rsidP="00E13546">
            <w:pPr>
              <w:jc w:val="center"/>
              <w:rPr>
                <w:rFonts w:ascii="Arial" w:hAnsi="Arial" w:cs="Arial"/>
                <w:color w:val="000000"/>
                <w:sz w:val="20"/>
                <w:szCs w:val="20"/>
                <w:lang w:val="en-AU" w:eastAsia="de-AT"/>
              </w:rPr>
            </w:pPr>
          </w:p>
        </w:tc>
        <w:tc>
          <w:tcPr>
            <w:tcW w:w="281" w:type="pct"/>
            <w:vMerge/>
            <w:vAlign w:val="center"/>
            <w:hideMark/>
          </w:tcPr>
          <w:p w14:paraId="6CAC3D4A" w14:textId="77777777" w:rsidR="00E13546" w:rsidRPr="009A1A2E" w:rsidRDefault="00E13546" w:rsidP="00E13546">
            <w:pPr>
              <w:jc w:val="center"/>
              <w:rPr>
                <w:rFonts w:ascii="Arial" w:hAnsi="Arial" w:cs="Arial"/>
                <w:color w:val="000000"/>
                <w:sz w:val="20"/>
                <w:szCs w:val="20"/>
                <w:lang w:val="en-AU" w:eastAsia="de-AT"/>
              </w:rPr>
            </w:pPr>
          </w:p>
        </w:tc>
        <w:tc>
          <w:tcPr>
            <w:tcW w:w="330" w:type="pct"/>
            <w:vMerge/>
            <w:vAlign w:val="center"/>
            <w:hideMark/>
          </w:tcPr>
          <w:p w14:paraId="26B83DD7" w14:textId="77777777" w:rsidR="00E13546" w:rsidRPr="009A1A2E" w:rsidRDefault="00E13546" w:rsidP="00E13546">
            <w:pPr>
              <w:jc w:val="center"/>
              <w:rPr>
                <w:rFonts w:ascii="Arial" w:hAnsi="Arial" w:cs="Arial"/>
                <w:color w:val="000000"/>
                <w:sz w:val="20"/>
                <w:szCs w:val="20"/>
                <w:lang w:val="en-AU" w:eastAsia="de-AT"/>
              </w:rPr>
            </w:pPr>
          </w:p>
        </w:tc>
        <w:tc>
          <w:tcPr>
            <w:tcW w:w="1287" w:type="pct"/>
            <w:vMerge/>
            <w:vAlign w:val="center"/>
            <w:hideMark/>
          </w:tcPr>
          <w:p w14:paraId="0529219F" w14:textId="77777777" w:rsidR="00E13546" w:rsidRPr="009A1A2E" w:rsidRDefault="00E13546" w:rsidP="00E13546">
            <w:pPr>
              <w:jc w:val="center"/>
              <w:rPr>
                <w:rFonts w:ascii="Arial" w:hAnsi="Arial" w:cs="Arial"/>
                <w:color w:val="000000"/>
                <w:sz w:val="20"/>
                <w:szCs w:val="20"/>
                <w:lang w:val="en-AU" w:eastAsia="de-AT"/>
              </w:rPr>
            </w:pPr>
          </w:p>
        </w:tc>
        <w:tc>
          <w:tcPr>
            <w:tcW w:w="1955" w:type="pct"/>
            <w:vMerge/>
            <w:vAlign w:val="center"/>
            <w:hideMark/>
          </w:tcPr>
          <w:p w14:paraId="15FB934D" w14:textId="77777777" w:rsidR="00E13546" w:rsidRPr="009A1A2E" w:rsidRDefault="00E13546" w:rsidP="00E13546">
            <w:pPr>
              <w:jc w:val="center"/>
              <w:rPr>
                <w:rFonts w:ascii="Arial" w:hAnsi="Arial" w:cs="Arial"/>
                <w:color w:val="000000"/>
                <w:sz w:val="20"/>
                <w:szCs w:val="20"/>
                <w:lang w:val="en-AU" w:eastAsia="de-AT"/>
              </w:rPr>
            </w:pPr>
          </w:p>
        </w:tc>
      </w:tr>
      <w:tr w:rsidR="00E13546" w:rsidRPr="009A1A2E" w14:paraId="349871B3" w14:textId="77777777" w:rsidTr="00E13546">
        <w:trPr>
          <w:trHeight w:val="300"/>
        </w:trPr>
        <w:tc>
          <w:tcPr>
            <w:tcW w:w="5000" w:type="pct"/>
            <w:gridSpan w:val="7"/>
            <w:shd w:val="clear" w:color="auto" w:fill="D9D9D9" w:themeFill="background1" w:themeFillShade="D9"/>
            <w:vAlign w:val="center"/>
            <w:hideMark/>
          </w:tcPr>
          <w:p w14:paraId="38BC8DCB" w14:textId="77777777" w:rsidR="00E13546" w:rsidRPr="009A1A2E" w:rsidRDefault="00E13546" w:rsidP="00E13546">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Fully implantable device: CARINA</w:t>
            </w:r>
          </w:p>
        </w:tc>
      </w:tr>
      <w:tr w:rsidR="00E13546" w:rsidRPr="009A1A2E" w14:paraId="7A7C8B88" w14:textId="77777777" w:rsidTr="00E13546">
        <w:trPr>
          <w:trHeight w:val="480"/>
        </w:trPr>
        <w:tc>
          <w:tcPr>
            <w:tcW w:w="743" w:type="pct"/>
            <w:vAlign w:val="center"/>
            <w:hideMark/>
          </w:tcPr>
          <w:p w14:paraId="574EA868" w14:textId="77777777" w:rsidR="00E13546" w:rsidRPr="009A1A2E" w:rsidRDefault="00E13546" w:rsidP="00E13546">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Bruschini et al. 2010 Italy</w:t>
            </w:r>
          </w:p>
        </w:tc>
        <w:tc>
          <w:tcPr>
            <w:tcW w:w="190" w:type="pct"/>
            <w:vMerge w:val="restart"/>
            <w:vAlign w:val="center"/>
            <w:hideMark/>
          </w:tcPr>
          <w:p w14:paraId="7F9F8973" w14:textId="77777777" w:rsidR="00E13546" w:rsidRPr="009A1A2E" w:rsidRDefault="00E13546" w:rsidP="00E13546">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IV</w:t>
            </w:r>
          </w:p>
        </w:tc>
        <w:tc>
          <w:tcPr>
            <w:tcW w:w="215" w:type="pct"/>
            <w:vMerge w:val="restart"/>
            <w:vAlign w:val="center"/>
            <w:hideMark/>
          </w:tcPr>
          <w:p w14:paraId="266901A8" w14:textId="77777777" w:rsidR="00E13546" w:rsidRPr="009A1A2E" w:rsidRDefault="00E13546" w:rsidP="00E13546">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III-3</w:t>
            </w:r>
          </w:p>
        </w:tc>
        <w:tc>
          <w:tcPr>
            <w:tcW w:w="281" w:type="pct"/>
            <w:vMerge w:val="restart"/>
            <w:vAlign w:val="center"/>
            <w:hideMark/>
          </w:tcPr>
          <w:p w14:paraId="25714DB2" w14:textId="77777777" w:rsidR="00E13546" w:rsidRPr="009A1A2E" w:rsidRDefault="00E13546" w:rsidP="00E13546">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7 adults</w:t>
            </w:r>
          </w:p>
        </w:tc>
        <w:tc>
          <w:tcPr>
            <w:tcW w:w="330" w:type="pct"/>
            <w:vMerge w:val="restart"/>
            <w:vAlign w:val="center"/>
            <w:hideMark/>
          </w:tcPr>
          <w:p w14:paraId="06BE59F8" w14:textId="77777777" w:rsidR="00E13546" w:rsidRPr="009A1A2E" w:rsidRDefault="00E13546" w:rsidP="00E13546">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12-21 months</w:t>
            </w:r>
          </w:p>
        </w:tc>
        <w:tc>
          <w:tcPr>
            <w:tcW w:w="1287" w:type="pct"/>
            <w:vMerge w:val="restart"/>
            <w:vAlign w:val="center"/>
            <w:hideMark/>
          </w:tcPr>
          <w:p w14:paraId="4F8E2A54" w14:textId="77777777" w:rsidR="00E13546" w:rsidRPr="009A1A2E" w:rsidRDefault="00E13546" w:rsidP="00E13546">
            <w:pPr>
              <w:rPr>
                <w:rFonts w:ascii="Arial" w:hAnsi="Arial" w:cs="Arial"/>
                <w:color w:val="000000"/>
                <w:sz w:val="20"/>
                <w:szCs w:val="20"/>
                <w:lang w:val="en-AU" w:eastAsia="de-AT"/>
              </w:rPr>
            </w:pPr>
            <w:r w:rsidRPr="009A1A2E">
              <w:rPr>
                <w:rFonts w:ascii="Arial" w:hAnsi="Arial" w:cs="Arial"/>
                <w:color w:val="000000"/>
                <w:sz w:val="20"/>
                <w:szCs w:val="20"/>
                <w:lang w:val="en-AU" w:eastAsia="de-AT"/>
              </w:rPr>
              <w:t>AC and BC pure tone thresholds, Functional gain, Speech recognition in quiet, Quality of life</w:t>
            </w:r>
          </w:p>
        </w:tc>
        <w:tc>
          <w:tcPr>
            <w:tcW w:w="1955" w:type="pct"/>
            <w:vMerge w:val="restart"/>
            <w:vAlign w:val="center"/>
            <w:hideMark/>
          </w:tcPr>
          <w:p w14:paraId="1BFAAAF0" w14:textId="77777777" w:rsidR="00E13546" w:rsidRPr="009A1A2E" w:rsidRDefault="00E13546" w:rsidP="00E13546">
            <w:pPr>
              <w:rPr>
                <w:rFonts w:ascii="Arial" w:hAnsi="Arial" w:cs="Arial"/>
                <w:color w:val="000000"/>
                <w:sz w:val="20"/>
                <w:szCs w:val="20"/>
                <w:lang w:val="en-AU" w:eastAsia="de-AT"/>
              </w:rPr>
            </w:pPr>
            <w:r w:rsidRPr="009A1A2E">
              <w:rPr>
                <w:rFonts w:ascii="Arial" w:hAnsi="Arial" w:cs="Arial"/>
                <w:color w:val="000000"/>
                <w:sz w:val="20"/>
                <w:szCs w:val="20"/>
                <w:lang w:val="en-AU" w:eastAsia="de-AT"/>
              </w:rPr>
              <w:t>is a viable treatment for moderate to severe SNHL and for mixed hearing loss and that in selected cases it could represent an alternative to conventional hearing aids. Implantation without affecting residual cochlear hearing levels and auditory performance could be shown to be similar or better than that reported with Ha's. Device proved to be well tolerated.</w:t>
            </w:r>
          </w:p>
        </w:tc>
      </w:tr>
      <w:tr w:rsidR="00E13546" w:rsidRPr="009A1A2E" w14:paraId="7ABFE059" w14:textId="77777777" w:rsidTr="00E13546">
        <w:trPr>
          <w:trHeight w:val="480"/>
        </w:trPr>
        <w:tc>
          <w:tcPr>
            <w:tcW w:w="743" w:type="pct"/>
            <w:vAlign w:val="center"/>
            <w:hideMark/>
          </w:tcPr>
          <w:p w14:paraId="1701D226" w14:textId="77777777" w:rsidR="00E13546" w:rsidRPr="009A1A2E" w:rsidRDefault="00E13546" w:rsidP="00E13546">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Prospective, pre/post study</w:t>
            </w:r>
          </w:p>
        </w:tc>
        <w:tc>
          <w:tcPr>
            <w:tcW w:w="190" w:type="pct"/>
            <w:vMerge/>
            <w:vAlign w:val="center"/>
            <w:hideMark/>
          </w:tcPr>
          <w:p w14:paraId="3BE7CB74" w14:textId="77777777" w:rsidR="00E13546" w:rsidRPr="009A1A2E" w:rsidRDefault="00E13546" w:rsidP="00E13546">
            <w:pPr>
              <w:jc w:val="center"/>
              <w:rPr>
                <w:rFonts w:ascii="Arial" w:hAnsi="Arial" w:cs="Arial"/>
                <w:color w:val="000000"/>
                <w:sz w:val="20"/>
                <w:szCs w:val="20"/>
                <w:lang w:val="en-AU" w:eastAsia="de-AT"/>
              </w:rPr>
            </w:pPr>
          </w:p>
        </w:tc>
        <w:tc>
          <w:tcPr>
            <w:tcW w:w="215" w:type="pct"/>
            <w:vMerge/>
            <w:vAlign w:val="center"/>
            <w:hideMark/>
          </w:tcPr>
          <w:p w14:paraId="4674FE34" w14:textId="77777777" w:rsidR="00E13546" w:rsidRPr="009A1A2E" w:rsidRDefault="00E13546" w:rsidP="00E13546">
            <w:pPr>
              <w:jc w:val="center"/>
              <w:rPr>
                <w:rFonts w:ascii="Arial" w:hAnsi="Arial" w:cs="Arial"/>
                <w:color w:val="000000"/>
                <w:sz w:val="20"/>
                <w:szCs w:val="20"/>
                <w:lang w:val="en-AU" w:eastAsia="de-AT"/>
              </w:rPr>
            </w:pPr>
          </w:p>
        </w:tc>
        <w:tc>
          <w:tcPr>
            <w:tcW w:w="281" w:type="pct"/>
            <w:vMerge/>
            <w:vAlign w:val="center"/>
            <w:hideMark/>
          </w:tcPr>
          <w:p w14:paraId="1148DB4C" w14:textId="77777777" w:rsidR="00E13546" w:rsidRPr="009A1A2E" w:rsidRDefault="00E13546" w:rsidP="00E13546">
            <w:pPr>
              <w:jc w:val="center"/>
              <w:rPr>
                <w:rFonts w:ascii="Arial" w:hAnsi="Arial" w:cs="Arial"/>
                <w:color w:val="000000"/>
                <w:sz w:val="20"/>
                <w:szCs w:val="20"/>
                <w:lang w:val="en-AU" w:eastAsia="de-AT"/>
              </w:rPr>
            </w:pPr>
          </w:p>
        </w:tc>
        <w:tc>
          <w:tcPr>
            <w:tcW w:w="330" w:type="pct"/>
            <w:vMerge/>
            <w:vAlign w:val="center"/>
            <w:hideMark/>
          </w:tcPr>
          <w:p w14:paraId="3311B43F" w14:textId="77777777" w:rsidR="00E13546" w:rsidRPr="009A1A2E" w:rsidRDefault="00E13546" w:rsidP="00E13546">
            <w:pPr>
              <w:jc w:val="center"/>
              <w:rPr>
                <w:rFonts w:ascii="Arial" w:hAnsi="Arial" w:cs="Arial"/>
                <w:color w:val="000000"/>
                <w:sz w:val="20"/>
                <w:szCs w:val="20"/>
                <w:lang w:val="en-AU" w:eastAsia="de-AT"/>
              </w:rPr>
            </w:pPr>
          </w:p>
        </w:tc>
        <w:tc>
          <w:tcPr>
            <w:tcW w:w="1287" w:type="pct"/>
            <w:vMerge/>
            <w:vAlign w:val="center"/>
            <w:hideMark/>
          </w:tcPr>
          <w:p w14:paraId="493CB339" w14:textId="77777777" w:rsidR="00E13546" w:rsidRPr="009A1A2E" w:rsidRDefault="00E13546" w:rsidP="00E13546">
            <w:pPr>
              <w:rPr>
                <w:rFonts w:ascii="Arial" w:hAnsi="Arial" w:cs="Arial"/>
                <w:color w:val="000000"/>
                <w:sz w:val="20"/>
                <w:szCs w:val="20"/>
                <w:lang w:val="en-AU" w:eastAsia="de-AT"/>
              </w:rPr>
            </w:pPr>
          </w:p>
        </w:tc>
        <w:tc>
          <w:tcPr>
            <w:tcW w:w="1955" w:type="pct"/>
            <w:vMerge/>
            <w:vAlign w:val="center"/>
            <w:hideMark/>
          </w:tcPr>
          <w:p w14:paraId="38B45F7C" w14:textId="77777777" w:rsidR="00E13546" w:rsidRPr="009A1A2E" w:rsidRDefault="00E13546" w:rsidP="00E13546">
            <w:pPr>
              <w:rPr>
                <w:rFonts w:ascii="Arial" w:hAnsi="Arial" w:cs="Arial"/>
                <w:color w:val="000000"/>
                <w:sz w:val="20"/>
                <w:szCs w:val="20"/>
                <w:lang w:val="en-AU" w:eastAsia="de-AT"/>
              </w:rPr>
            </w:pPr>
          </w:p>
        </w:tc>
      </w:tr>
      <w:tr w:rsidR="00E13546" w:rsidRPr="009A1A2E" w14:paraId="64DA5F7E" w14:textId="77777777" w:rsidTr="00E13546">
        <w:trPr>
          <w:trHeight w:val="480"/>
        </w:trPr>
        <w:tc>
          <w:tcPr>
            <w:tcW w:w="743" w:type="pct"/>
            <w:vAlign w:val="center"/>
            <w:hideMark/>
          </w:tcPr>
          <w:p w14:paraId="2E0EC166" w14:textId="77777777" w:rsidR="00E13546" w:rsidRPr="009A1A2E" w:rsidRDefault="00E13546" w:rsidP="00E13546">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Jenkins et al. 2008   USA</w:t>
            </w:r>
          </w:p>
        </w:tc>
        <w:tc>
          <w:tcPr>
            <w:tcW w:w="190" w:type="pct"/>
            <w:vMerge w:val="restart"/>
            <w:vAlign w:val="center"/>
            <w:hideMark/>
          </w:tcPr>
          <w:p w14:paraId="071E44B1" w14:textId="77777777" w:rsidR="00E13546" w:rsidRPr="009A1A2E" w:rsidRDefault="00E13546" w:rsidP="00E13546">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III</w:t>
            </w:r>
          </w:p>
        </w:tc>
        <w:tc>
          <w:tcPr>
            <w:tcW w:w="215" w:type="pct"/>
            <w:vMerge w:val="restart"/>
            <w:vAlign w:val="center"/>
            <w:hideMark/>
          </w:tcPr>
          <w:p w14:paraId="2F3DFD96" w14:textId="77777777" w:rsidR="00E13546" w:rsidRPr="009A1A2E" w:rsidRDefault="00E13546" w:rsidP="00E13546">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III-1</w:t>
            </w:r>
          </w:p>
        </w:tc>
        <w:tc>
          <w:tcPr>
            <w:tcW w:w="281" w:type="pct"/>
            <w:vMerge w:val="restart"/>
            <w:vAlign w:val="center"/>
            <w:hideMark/>
          </w:tcPr>
          <w:p w14:paraId="783641AD" w14:textId="77777777" w:rsidR="00E13546" w:rsidRPr="009A1A2E" w:rsidRDefault="00E13546" w:rsidP="00E13546">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20 adults</w:t>
            </w:r>
          </w:p>
        </w:tc>
        <w:tc>
          <w:tcPr>
            <w:tcW w:w="330" w:type="pct"/>
            <w:vMerge w:val="restart"/>
            <w:vAlign w:val="center"/>
            <w:hideMark/>
          </w:tcPr>
          <w:p w14:paraId="5482700D" w14:textId="77777777" w:rsidR="00E13546" w:rsidRPr="009A1A2E" w:rsidRDefault="00E13546" w:rsidP="00E13546">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12 months</w:t>
            </w:r>
          </w:p>
        </w:tc>
        <w:tc>
          <w:tcPr>
            <w:tcW w:w="1287" w:type="pct"/>
            <w:vMerge w:val="restart"/>
            <w:vAlign w:val="center"/>
            <w:hideMark/>
          </w:tcPr>
          <w:p w14:paraId="2B117346" w14:textId="77777777" w:rsidR="00E13546" w:rsidRPr="009A1A2E" w:rsidRDefault="00E13546" w:rsidP="00E13546">
            <w:pPr>
              <w:rPr>
                <w:rFonts w:ascii="Arial" w:hAnsi="Arial" w:cs="Arial"/>
                <w:color w:val="000000"/>
                <w:sz w:val="20"/>
                <w:szCs w:val="20"/>
                <w:lang w:val="en-AU" w:eastAsia="de-AT"/>
              </w:rPr>
            </w:pPr>
            <w:r w:rsidRPr="009A1A2E">
              <w:rPr>
                <w:rFonts w:ascii="Arial" w:hAnsi="Arial" w:cs="Arial"/>
                <w:color w:val="000000"/>
                <w:sz w:val="20"/>
                <w:szCs w:val="20"/>
                <w:lang w:val="en-AU" w:eastAsia="de-AT"/>
              </w:rPr>
              <w:t>AC and BC pure tone thresholds, Functional gain, Speech recognition in quiet and noise, Quality of life, Adverse events</w:t>
            </w:r>
          </w:p>
        </w:tc>
        <w:tc>
          <w:tcPr>
            <w:tcW w:w="1955" w:type="pct"/>
            <w:vMerge w:val="restart"/>
            <w:vAlign w:val="center"/>
            <w:hideMark/>
          </w:tcPr>
          <w:p w14:paraId="57800205" w14:textId="77777777" w:rsidR="00E13546" w:rsidRPr="009A1A2E" w:rsidRDefault="00E13546" w:rsidP="00E13546">
            <w:pPr>
              <w:rPr>
                <w:rFonts w:ascii="Arial" w:hAnsi="Arial" w:cs="Arial"/>
                <w:color w:val="000000"/>
                <w:sz w:val="20"/>
                <w:szCs w:val="20"/>
                <w:lang w:val="en-AU" w:eastAsia="de-AT"/>
              </w:rPr>
            </w:pPr>
            <w:r w:rsidRPr="009A1A2E">
              <w:rPr>
                <w:rFonts w:ascii="Arial" w:hAnsi="Arial" w:cs="Arial"/>
                <w:color w:val="000000"/>
                <w:sz w:val="20"/>
                <w:szCs w:val="20"/>
                <w:lang w:val="en-AU" w:eastAsia="de-AT"/>
              </w:rPr>
              <w:t>feasibility and lack of deleterious effects on native hearing was shown. Significant challenges in its clinical application have been encountered, and the company is addressing these issues in design revisions. Patient subjective questionnaires demonstrated improved naturalness of sound and functional hearing that are similar to their baseline hearing aids.</w:t>
            </w:r>
          </w:p>
        </w:tc>
      </w:tr>
      <w:tr w:rsidR="00E13546" w:rsidRPr="009A1A2E" w14:paraId="727B77A7" w14:textId="77777777" w:rsidTr="00E13546">
        <w:trPr>
          <w:trHeight w:val="480"/>
        </w:trPr>
        <w:tc>
          <w:tcPr>
            <w:tcW w:w="743" w:type="pct"/>
            <w:vAlign w:val="center"/>
            <w:hideMark/>
          </w:tcPr>
          <w:p w14:paraId="288E5145" w14:textId="77777777" w:rsidR="00E13546" w:rsidRPr="009A1A2E" w:rsidRDefault="00E13546" w:rsidP="00E13546">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Prospective multicenter study</w:t>
            </w:r>
          </w:p>
        </w:tc>
        <w:tc>
          <w:tcPr>
            <w:tcW w:w="190" w:type="pct"/>
            <w:vMerge/>
            <w:vAlign w:val="center"/>
            <w:hideMark/>
          </w:tcPr>
          <w:p w14:paraId="76D09E80" w14:textId="77777777" w:rsidR="00E13546" w:rsidRPr="009A1A2E" w:rsidRDefault="00E13546" w:rsidP="00E13546">
            <w:pPr>
              <w:jc w:val="center"/>
              <w:rPr>
                <w:rFonts w:ascii="Arial" w:hAnsi="Arial" w:cs="Arial"/>
                <w:color w:val="000000"/>
                <w:sz w:val="20"/>
                <w:szCs w:val="20"/>
                <w:lang w:val="en-AU" w:eastAsia="de-AT"/>
              </w:rPr>
            </w:pPr>
          </w:p>
        </w:tc>
        <w:tc>
          <w:tcPr>
            <w:tcW w:w="215" w:type="pct"/>
            <w:vMerge/>
            <w:vAlign w:val="center"/>
            <w:hideMark/>
          </w:tcPr>
          <w:p w14:paraId="3C5D9DEB" w14:textId="77777777" w:rsidR="00E13546" w:rsidRPr="009A1A2E" w:rsidRDefault="00E13546" w:rsidP="00E13546">
            <w:pPr>
              <w:jc w:val="center"/>
              <w:rPr>
                <w:rFonts w:ascii="Arial" w:hAnsi="Arial" w:cs="Arial"/>
                <w:color w:val="000000"/>
                <w:sz w:val="20"/>
                <w:szCs w:val="20"/>
                <w:lang w:val="en-AU" w:eastAsia="de-AT"/>
              </w:rPr>
            </w:pPr>
          </w:p>
        </w:tc>
        <w:tc>
          <w:tcPr>
            <w:tcW w:w="281" w:type="pct"/>
            <w:vMerge/>
            <w:vAlign w:val="center"/>
            <w:hideMark/>
          </w:tcPr>
          <w:p w14:paraId="6E801F4D" w14:textId="77777777" w:rsidR="00E13546" w:rsidRPr="009A1A2E" w:rsidRDefault="00E13546" w:rsidP="00E13546">
            <w:pPr>
              <w:jc w:val="center"/>
              <w:rPr>
                <w:rFonts w:ascii="Arial" w:hAnsi="Arial" w:cs="Arial"/>
                <w:color w:val="000000"/>
                <w:sz w:val="20"/>
                <w:szCs w:val="20"/>
                <w:lang w:val="en-AU" w:eastAsia="de-AT"/>
              </w:rPr>
            </w:pPr>
          </w:p>
        </w:tc>
        <w:tc>
          <w:tcPr>
            <w:tcW w:w="330" w:type="pct"/>
            <w:vMerge/>
            <w:vAlign w:val="center"/>
            <w:hideMark/>
          </w:tcPr>
          <w:p w14:paraId="443DD27F" w14:textId="77777777" w:rsidR="00E13546" w:rsidRPr="009A1A2E" w:rsidRDefault="00E13546" w:rsidP="00E13546">
            <w:pPr>
              <w:jc w:val="center"/>
              <w:rPr>
                <w:rFonts w:ascii="Arial" w:hAnsi="Arial" w:cs="Arial"/>
                <w:color w:val="000000"/>
                <w:sz w:val="20"/>
                <w:szCs w:val="20"/>
                <w:lang w:val="en-AU" w:eastAsia="de-AT"/>
              </w:rPr>
            </w:pPr>
          </w:p>
        </w:tc>
        <w:tc>
          <w:tcPr>
            <w:tcW w:w="1287" w:type="pct"/>
            <w:vMerge/>
            <w:vAlign w:val="center"/>
            <w:hideMark/>
          </w:tcPr>
          <w:p w14:paraId="12C11FFE" w14:textId="77777777" w:rsidR="00E13546" w:rsidRPr="009A1A2E" w:rsidRDefault="00E13546" w:rsidP="00E13546">
            <w:pPr>
              <w:rPr>
                <w:rFonts w:ascii="Arial" w:hAnsi="Arial" w:cs="Arial"/>
                <w:color w:val="000000"/>
                <w:sz w:val="20"/>
                <w:szCs w:val="20"/>
                <w:lang w:val="en-AU" w:eastAsia="de-AT"/>
              </w:rPr>
            </w:pPr>
          </w:p>
        </w:tc>
        <w:tc>
          <w:tcPr>
            <w:tcW w:w="1955" w:type="pct"/>
            <w:vMerge/>
            <w:vAlign w:val="center"/>
            <w:hideMark/>
          </w:tcPr>
          <w:p w14:paraId="15F4FC30" w14:textId="77777777" w:rsidR="00E13546" w:rsidRPr="009A1A2E" w:rsidRDefault="00E13546" w:rsidP="00E13546">
            <w:pPr>
              <w:rPr>
                <w:rFonts w:ascii="Arial" w:hAnsi="Arial" w:cs="Arial"/>
                <w:color w:val="000000"/>
                <w:sz w:val="20"/>
                <w:szCs w:val="20"/>
                <w:lang w:val="en-AU" w:eastAsia="de-AT"/>
              </w:rPr>
            </w:pPr>
          </w:p>
        </w:tc>
      </w:tr>
      <w:tr w:rsidR="00E13546" w:rsidRPr="009A1A2E" w14:paraId="4A36B021" w14:textId="77777777" w:rsidTr="00E13546">
        <w:trPr>
          <w:trHeight w:val="300"/>
        </w:trPr>
        <w:tc>
          <w:tcPr>
            <w:tcW w:w="743" w:type="pct"/>
            <w:vAlign w:val="center"/>
            <w:hideMark/>
          </w:tcPr>
          <w:p w14:paraId="05AA470B" w14:textId="77777777" w:rsidR="00E13546" w:rsidRPr="009A1A2E" w:rsidRDefault="00E13546" w:rsidP="00E13546">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Tringali et al. 2010 France</w:t>
            </w:r>
          </w:p>
        </w:tc>
        <w:tc>
          <w:tcPr>
            <w:tcW w:w="190" w:type="pct"/>
            <w:vMerge w:val="restart"/>
            <w:vAlign w:val="center"/>
            <w:hideMark/>
          </w:tcPr>
          <w:p w14:paraId="707430C2" w14:textId="77777777" w:rsidR="00E13546" w:rsidRPr="009A1A2E" w:rsidRDefault="00E13546" w:rsidP="00E13546">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III</w:t>
            </w:r>
          </w:p>
        </w:tc>
        <w:tc>
          <w:tcPr>
            <w:tcW w:w="215" w:type="pct"/>
            <w:vMerge w:val="restart"/>
            <w:vAlign w:val="center"/>
            <w:hideMark/>
          </w:tcPr>
          <w:p w14:paraId="347F726C" w14:textId="77777777" w:rsidR="00E13546" w:rsidRPr="009A1A2E" w:rsidRDefault="00E13546" w:rsidP="00E13546">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III-2</w:t>
            </w:r>
          </w:p>
        </w:tc>
        <w:tc>
          <w:tcPr>
            <w:tcW w:w="281" w:type="pct"/>
            <w:vMerge w:val="restart"/>
            <w:vAlign w:val="center"/>
            <w:hideMark/>
          </w:tcPr>
          <w:p w14:paraId="18555B19" w14:textId="77777777" w:rsidR="00E13546" w:rsidRPr="009A1A2E" w:rsidRDefault="00E13546" w:rsidP="00E13546">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7 adults</w:t>
            </w:r>
          </w:p>
        </w:tc>
        <w:tc>
          <w:tcPr>
            <w:tcW w:w="330" w:type="pct"/>
            <w:vMerge w:val="restart"/>
            <w:vAlign w:val="center"/>
            <w:hideMark/>
          </w:tcPr>
          <w:p w14:paraId="1D949AF6" w14:textId="77777777" w:rsidR="00E13546" w:rsidRPr="009A1A2E" w:rsidRDefault="00E13546" w:rsidP="00E13546">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24 montths</w:t>
            </w:r>
          </w:p>
        </w:tc>
        <w:tc>
          <w:tcPr>
            <w:tcW w:w="1287" w:type="pct"/>
            <w:vMerge w:val="restart"/>
            <w:vAlign w:val="center"/>
            <w:hideMark/>
          </w:tcPr>
          <w:p w14:paraId="690990C7" w14:textId="77777777" w:rsidR="00E13546" w:rsidRPr="009A1A2E" w:rsidRDefault="00E13546" w:rsidP="00E13546">
            <w:pPr>
              <w:rPr>
                <w:rFonts w:ascii="Arial" w:hAnsi="Arial" w:cs="Arial"/>
                <w:color w:val="000000"/>
                <w:sz w:val="20"/>
                <w:szCs w:val="20"/>
                <w:lang w:val="en-AU" w:eastAsia="de-AT"/>
              </w:rPr>
            </w:pPr>
            <w:r w:rsidRPr="009A1A2E">
              <w:rPr>
                <w:rFonts w:ascii="Arial" w:hAnsi="Arial" w:cs="Arial"/>
                <w:color w:val="000000"/>
                <w:sz w:val="20"/>
                <w:szCs w:val="20"/>
                <w:lang w:val="en-AU" w:eastAsia="de-AT"/>
              </w:rPr>
              <w:t>AC and BC pure tone thresholds, Functional gain, Speech recognition in quiet, Quality of life</w:t>
            </w:r>
          </w:p>
        </w:tc>
        <w:tc>
          <w:tcPr>
            <w:tcW w:w="1955" w:type="pct"/>
            <w:vMerge w:val="restart"/>
            <w:vAlign w:val="center"/>
            <w:hideMark/>
          </w:tcPr>
          <w:p w14:paraId="2F041216" w14:textId="77777777" w:rsidR="00E13546" w:rsidRPr="009A1A2E" w:rsidRDefault="00E13546" w:rsidP="00E13546">
            <w:pPr>
              <w:rPr>
                <w:rFonts w:ascii="Arial" w:hAnsi="Arial" w:cs="Arial"/>
                <w:color w:val="000000"/>
                <w:sz w:val="20"/>
                <w:szCs w:val="20"/>
                <w:lang w:val="en-AU" w:eastAsia="de-AT"/>
              </w:rPr>
            </w:pPr>
            <w:r w:rsidRPr="009A1A2E">
              <w:rPr>
                <w:rFonts w:ascii="Arial" w:hAnsi="Arial" w:cs="Arial"/>
                <w:color w:val="000000"/>
                <w:sz w:val="20"/>
                <w:szCs w:val="20"/>
                <w:lang w:val="en-AU" w:eastAsia="de-AT"/>
              </w:rPr>
              <w:t>MET seems to be a suitable and successful treatment</w:t>
            </w:r>
            <w:r w:rsidRPr="009A1A2E">
              <w:rPr>
                <w:rFonts w:ascii="Arial" w:hAnsi="Arial" w:cs="Arial"/>
                <w:color w:val="000000"/>
                <w:sz w:val="20"/>
                <w:szCs w:val="20"/>
                <w:lang w:val="en-AU" w:eastAsia="de-AT"/>
              </w:rPr>
              <w:br/>
              <w:t>option resulting in significant improvement in speech</w:t>
            </w:r>
            <w:r w:rsidRPr="009A1A2E">
              <w:rPr>
                <w:rFonts w:ascii="Arial" w:hAnsi="Arial" w:cs="Arial"/>
                <w:color w:val="000000"/>
                <w:sz w:val="20"/>
                <w:szCs w:val="20"/>
                <w:lang w:val="en-AU" w:eastAsia="de-AT"/>
              </w:rPr>
              <w:br/>
              <w:t>comprehension, especially after 6 months, in patients with severe sensorineural hearing loss. During the 24-month follow-up of this study, the MET has been a safe and effective treatment for severe hearing loss</w:t>
            </w:r>
          </w:p>
        </w:tc>
      </w:tr>
      <w:tr w:rsidR="00E13546" w:rsidRPr="009A1A2E" w14:paraId="0F9DB885" w14:textId="77777777" w:rsidTr="00E13546">
        <w:trPr>
          <w:trHeight w:val="480"/>
        </w:trPr>
        <w:tc>
          <w:tcPr>
            <w:tcW w:w="743" w:type="pct"/>
            <w:vAlign w:val="center"/>
            <w:hideMark/>
          </w:tcPr>
          <w:p w14:paraId="2F0FCF89" w14:textId="77777777" w:rsidR="00E13546" w:rsidRPr="009A1A2E" w:rsidRDefault="00E13546" w:rsidP="00E13546">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Prospective, longitudional study</w:t>
            </w:r>
          </w:p>
        </w:tc>
        <w:tc>
          <w:tcPr>
            <w:tcW w:w="190" w:type="pct"/>
            <w:vMerge/>
            <w:vAlign w:val="center"/>
            <w:hideMark/>
          </w:tcPr>
          <w:p w14:paraId="0C9983AE" w14:textId="77777777" w:rsidR="00E13546" w:rsidRPr="009A1A2E" w:rsidRDefault="00E13546" w:rsidP="00E13546">
            <w:pPr>
              <w:jc w:val="center"/>
              <w:rPr>
                <w:rFonts w:ascii="Arial" w:hAnsi="Arial" w:cs="Arial"/>
                <w:color w:val="000000"/>
                <w:sz w:val="20"/>
                <w:szCs w:val="20"/>
                <w:lang w:val="en-AU" w:eastAsia="de-AT"/>
              </w:rPr>
            </w:pPr>
          </w:p>
        </w:tc>
        <w:tc>
          <w:tcPr>
            <w:tcW w:w="215" w:type="pct"/>
            <w:vMerge/>
            <w:vAlign w:val="center"/>
            <w:hideMark/>
          </w:tcPr>
          <w:p w14:paraId="785D5391" w14:textId="77777777" w:rsidR="00E13546" w:rsidRPr="009A1A2E" w:rsidRDefault="00E13546" w:rsidP="00E13546">
            <w:pPr>
              <w:jc w:val="center"/>
              <w:rPr>
                <w:rFonts w:ascii="Arial" w:hAnsi="Arial" w:cs="Arial"/>
                <w:color w:val="000000"/>
                <w:sz w:val="20"/>
                <w:szCs w:val="20"/>
                <w:lang w:val="en-AU" w:eastAsia="de-AT"/>
              </w:rPr>
            </w:pPr>
          </w:p>
        </w:tc>
        <w:tc>
          <w:tcPr>
            <w:tcW w:w="281" w:type="pct"/>
            <w:vMerge/>
            <w:vAlign w:val="center"/>
            <w:hideMark/>
          </w:tcPr>
          <w:p w14:paraId="2F5BEC12" w14:textId="77777777" w:rsidR="00E13546" w:rsidRPr="009A1A2E" w:rsidRDefault="00E13546" w:rsidP="00E13546">
            <w:pPr>
              <w:jc w:val="center"/>
              <w:rPr>
                <w:rFonts w:ascii="Arial" w:hAnsi="Arial" w:cs="Arial"/>
                <w:color w:val="000000"/>
                <w:sz w:val="20"/>
                <w:szCs w:val="20"/>
                <w:lang w:val="en-AU" w:eastAsia="de-AT"/>
              </w:rPr>
            </w:pPr>
          </w:p>
        </w:tc>
        <w:tc>
          <w:tcPr>
            <w:tcW w:w="330" w:type="pct"/>
            <w:vMerge/>
            <w:vAlign w:val="center"/>
            <w:hideMark/>
          </w:tcPr>
          <w:p w14:paraId="747C34E5" w14:textId="77777777" w:rsidR="00E13546" w:rsidRPr="009A1A2E" w:rsidRDefault="00E13546" w:rsidP="00E13546">
            <w:pPr>
              <w:jc w:val="center"/>
              <w:rPr>
                <w:rFonts w:ascii="Arial" w:hAnsi="Arial" w:cs="Arial"/>
                <w:color w:val="000000"/>
                <w:sz w:val="20"/>
                <w:szCs w:val="20"/>
                <w:lang w:val="en-AU" w:eastAsia="de-AT"/>
              </w:rPr>
            </w:pPr>
          </w:p>
        </w:tc>
        <w:tc>
          <w:tcPr>
            <w:tcW w:w="1287" w:type="pct"/>
            <w:vMerge/>
            <w:vAlign w:val="center"/>
            <w:hideMark/>
          </w:tcPr>
          <w:p w14:paraId="5C062489" w14:textId="77777777" w:rsidR="00E13546" w:rsidRPr="009A1A2E" w:rsidRDefault="00E13546" w:rsidP="00E13546">
            <w:pPr>
              <w:rPr>
                <w:rFonts w:ascii="Arial" w:hAnsi="Arial" w:cs="Arial"/>
                <w:color w:val="000000"/>
                <w:sz w:val="20"/>
                <w:szCs w:val="20"/>
                <w:lang w:val="en-AU" w:eastAsia="de-AT"/>
              </w:rPr>
            </w:pPr>
          </w:p>
        </w:tc>
        <w:tc>
          <w:tcPr>
            <w:tcW w:w="1955" w:type="pct"/>
            <w:vMerge/>
            <w:vAlign w:val="center"/>
            <w:hideMark/>
          </w:tcPr>
          <w:p w14:paraId="72B4729C" w14:textId="77777777" w:rsidR="00E13546" w:rsidRPr="009A1A2E" w:rsidRDefault="00E13546" w:rsidP="00E13546">
            <w:pPr>
              <w:rPr>
                <w:rFonts w:ascii="Arial" w:hAnsi="Arial" w:cs="Arial"/>
                <w:color w:val="000000"/>
                <w:sz w:val="20"/>
                <w:szCs w:val="20"/>
                <w:lang w:val="en-AU" w:eastAsia="de-AT"/>
              </w:rPr>
            </w:pPr>
          </w:p>
        </w:tc>
      </w:tr>
      <w:tr w:rsidR="00E13546" w:rsidRPr="009A1A2E" w14:paraId="4B429F47" w14:textId="77777777" w:rsidTr="00E13546">
        <w:trPr>
          <w:trHeight w:val="300"/>
        </w:trPr>
        <w:tc>
          <w:tcPr>
            <w:tcW w:w="5000" w:type="pct"/>
            <w:gridSpan w:val="7"/>
            <w:shd w:val="clear" w:color="auto" w:fill="D9D9D9" w:themeFill="background1" w:themeFillShade="D9"/>
            <w:vAlign w:val="center"/>
            <w:hideMark/>
          </w:tcPr>
          <w:p w14:paraId="30BC84E2" w14:textId="77777777" w:rsidR="00E13546" w:rsidRPr="009A1A2E" w:rsidRDefault="00E13546" w:rsidP="00E13546">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Partially implantable device: SOUNDTEC</w:t>
            </w:r>
          </w:p>
        </w:tc>
      </w:tr>
      <w:tr w:rsidR="00E13546" w:rsidRPr="009A1A2E" w14:paraId="64818B28" w14:textId="77777777" w:rsidTr="00E13546">
        <w:trPr>
          <w:trHeight w:val="480"/>
        </w:trPr>
        <w:tc>
          <w:tcPr>
            <w:tcW w:w="743" w:type="pct"/>
            <w:vAlign w:val="center"/>
            <w:hideMark/>
          </w:tcPr>
          <w:p w14:paraId="55E54414" w14:textId="77777777" w:rsidR="00E13546" w:rsidRPr="009A1A2E" w:rsidRDefault="00E13546" w:rsidP="00E13546">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Hough et al. 2002 USA</w:t>
            </w:r>
          </w:p>
        </w:tc>
        <w:tc>
          <w:tcPr>
            <w:tcW w:w="190" w:type="pct"/>
            <w:vMerge w:val="restart"/>
            <w:noWrap/>
            <w:vAlign w:val="center"/>
            <w:hideMark/>
          </w:tcPr>
          <w:p w14:paraId="57719293" w14:textId="77777777" w:rsidR="00E13546" w:rsidRPr="009A1A2E" w:rsidRDefault="00E13546" w:rsidP="00E13546">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III</w:t>
            </w:r>
          </w:p>
        </w:tc>
        <w:tc>
          <w:tcPr>
            <w:tcW w:w="215" w:type="pct"/>
            <w:vMerge w:val="restart"/>
            <w:noWrap/>
            <w:vAlign w:val="center"/>
            <w:hideMark/>
          </w:tcPr>
          <w:p w14:paraId="3B10ED0A" w14:textId="77777777" w:rsidR="00E13546" w:rsidRPr="009A1A2E" w:rsidRDefault="00E13546" w:rsidP="00E13546">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III-2</w:t>
            </w:r>
          </w:p>
        </w:tc>
        <w:tc>
          <w:tcPr>
            <w:tcW w:w="281" w:type="pct"/>
            <w:vMerge w:val="restart"/>
            <w:vAlign w:val="center"/>
            <w:hideMark/>
          </w:tcPr>
          <w:p w14:paraId="13627818" w14:textId="77777777" w:rsidR="00E13546" w:rsidRPr="009A1A2E" w:rsidRDefault="00E13546" w:rsidP="00E13546">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103 adults</w:t>
            </w:r>
          </w:p>
        </w:tc>
        <w:tc>
          <w:tcPr>
            <w:tcW w:w="330" w:type="pct"/>
            <w:vMerge w:val="restart"/>
            <w:vAlign w:val="center"/>
            <w:hideMark/>
          </w:tcPr>
          <w:p w14:paraId="43A5F3EE" w14:textId="77777777" w:rsidR="00E13546" w:rsidRPr="009A1A2E" w:rsidRDefault="00E13546" w:rsidP="00E13546">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4-5 months</w:t>
            </w:r>
          </w:p>
        </w:tc>
        <w:tc>
          <w:tcPr>
            <w:tcW w:w="1287" w:type="pct"/>
            <w:vMerge w:val="restart"/>
            <w:vAlign w:val="center"/>
            <w:hideMark/>
          </w:tcPr>
          <w:p w14:paraId="0C23827F" w14:textId="77777777" w:rsidR="003733D2" w:rsidRDefault="00E13546" w:rsidP="003733D2">
            <w:pPr>
              <w:rPr>
                <w:rFonts w:ascii="Arial" w:hAnsi="Arial" w:cs="Arial"/>
                <w:color w:val="000000"/>
                <w:sz w:val="20"/>
                <w:szCs w:val="20"/>
                <w:lang w:val="en-AU" w:eastAsia="de-AT"/>
              </w:rPr>
            </w:pPr>
            <w:r w:rsidRPr="009A1A2E">
              <w:rPr>
                <w:rFonts w:ascii="Arial" w:hAnsi="Arial" w:cs="Arial"/>
                <w:color w:val="000000"/>
                <w:sz w:val="20"/>
                <w:szCs w:val="20"/>
                <w:lang w:val="en-AU" w:eastAsia="de-AT"/>
              </w:rPr>
              <w:t>AC and BC pure tone thresholds, Functional gain,</w:t>
            </w:r>
          </w:p>
          <w:p w14:paraId="065C05AE" w14:textId="77777777" w:rsidR="003733D2" w:rsidRDefault="00E13546" w:rsidP="003733D2">
            <w:pPr>
              <w:rPr>
                <w:rFonts w:ascii="Arial" w:hAnsi="Arial" w:cs="Arial"/>
                <w:color w:val="000000"/>
                <w:sz w:val="20"/>
                <w:szCs w:val="20"/>
                <w:lang w:val="en-AU" w:eastAsia="de-AT"/>
              </w:rPr>
            </w:pPr>
            <w:r w:rsidRPr="009A1A2E">
              <w:rPr>
                <w:rFonts w:ascii="Arial" w:hAnsi="Arial" w:cs="Arial"/>
                <w:color w:val="000000"/>
                <w:sz w:val="20"/>
                <w:szCs w:val="20"/>
                <w:lang w:val="en-AU" w:eastAsia="de-AT"/>
              </w:rPr>
              <w:t>Speech recognition in quiet and noise, Quality of life,</w:t>
            </w:r>
          </w:p>
          <w:p w14:paraId="508BC8AD" w14:textId="64D9925B" w:rsidR="00E13546" w:rsidRPr="009A1A2E" w:rsidRDefault="00E13546" w:rsidP="003733D2">
            <w:pPr>
              <w:rPr>
                <w:rFonts w:ascii="Arial" w:hAnsi="Arial" w:cs="Arial"/>
                <w:color w:val="000000"/>
                <w:sz w:val="20"/>
                <w:szCs w:val="20"/>
                <w:lang w:val="en-AU" w:eastAsia="de-AT"/>
              </w:rPr>
            </w:pPr>
            <w:r w:rsidRPr="009A1A2E">
              <w:rPr>
                <w:rFonts w:ascii="Arial" w:hAnsi="Arial" w:cs="Arial"/>
                <w:color w:val="000000"/>
                <w:sz w:val="20"/>
                <w:szCs w:val="20"/>
                <w:lang w:val="en-AU" w:eastAsia="de-AT"/>
              </w:rPr>
              <w:t>Adverse events</w:t>
            </w:r>
          </w:p>
        </w:tc>
        <w:tc>
          <w:tcPr>
            <w:tcW w:w="1955" w:type="pct"/>
            <w:vMerge w:val="restart"/>
            <w:shd w:val="clear" w:color="auto" w:fill="auto"/>
            <w:vAlign w:val="center"/>
            <w:hideMark/>
          </w:tcPr>
          <w:p w14:paraId="1D9E7F2C" w14:textId="77777777" w:rsidR="00E13546" w:rsidRPr="009A1A2E" w:rsidRDefault="00E13546" w:rsidP="00E13546">
            <w:pPr>
              <w:rPr>
                <w:rFonts w:ascii="Arial" w:hAnsi="Arial" w:cs="Arial"/>
                <w:color w:val="000000"/>
                <w:sz w:val="20"/>
                <w:szCs w:val="20"/>
                <w:lang w:val="en-AU" w:eastAsia="de-AT"/>
              </w:rPr>
            </w:pPr>
            <w:r w:rsidRPr="009A1A2E">
              <w:rPr>
                <w:rFonts w:ascii="Arial" w:hAnsi="Arial" w:cs="Arial"/>
                <w:color w:val="000000"/>
                <w:sz w:val="20"/>
                <w:szCs w:val="20"/>
                <w:lang w:val="en-AU" w:eastAsia="de-AT"/>
              </w:rPr>
              <w:t>significant improvement in outcomes</w:t>
            </w:r>
          </w:p>
        </w:tc>
      </w:tr>
      <w:tr w:rsidR="00E13546" w:rsidRPr="009A1A2E" w14:paraId="788ED86D" w14:textId="77777777" w:rsidTr="002738DD">
        <w:trPr>
          <w:trHeight w:val="480"/>
        </w:trPr>
        <w:tc>
          <w:tcPr>
            <w:tcW w:w="743" w:type="pct"/>
            <w:tcBorders>
              <w:bottom w:val="single" w:sz="4" w:space="0" w:color="auto"/>
            </w:tcBorders>
            <w:vAlign w:val="center"/>
            <w:hideMark/>
          </w:tcPr>
          <w:p w14:paraId="58C46502" w14:textId="77777777" w:rsidR="00E13546" w:rsidRPr="009A1A2E" w:rsidRDefault="00E13546" w:rsidP="00E13546">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Prospective, multicenter trial</w:t>
            </w:r>
          </w:p>
        </w:tc>
        <w:tc>
          <w:tcPr>
            <w:tcW w:w="190" w:type="pct"/>
            <w:vMerge/>
            <w:tcBorders>
              <w:bottom w:val="single" w:sz="4" w:space="0" w:color="auto"/>
            </w:tcBorders>
            <w:vAlign w:val="center"/>
            <w:hideMark/>
          </w:tcPr>
          <w:p w14:paraId="0163D1A7" w14:textId="77777777" w:rsidR="00E13546" w:rsidRPr="009A1A2E" w:rsidRDefault="00E13546" w:rsidP="00E13546">
            <w:pPr>
              <w:jc w:val="center"/>
              <w:rPr>
                <w:rFonts w:ascii="Arial" w:hAnsi="Arial" w:cs="Arial"/>
                <w:color w:val="000000"/>
                <w:sz w:val="20"/>
                <w:szCs w:val="20"/>
                <w:lang w:val="en-AU" w:eastAsia="de-AT"/>
              </w:rPr>
            </w:pPr>
          </w:p>
        </w:tc>
        <w:tc>
          <w:tcPr>
            <w:tcW w:w="215" w:type="pct"/>
            <w:vMerge/>
            <w:tcBorders>
              <w:bottom w:val="single" w:sz="4" w:space="0" w:color="auto"/>
            </w:tcBorders>
            <w:vAlign w:val="center"/>
            <w:hideMark/>
          </w:tcPr>
          <w:p w14:paraId="6D6E9190" w14:textId="77777777" w:rsidR="00E13546" w:rsidRPr="009A1A2E" w:rsidRDefault="00E13546" w:rsidP="00E13546">
            <w:pPr>
              <w:jc w:val="center"/>
              <w:rPr>
                <w:rFonts w:ascii="Arial" w:hAnsi="Arial" w:cs="Arial"/>
                <w:color w:val="000000"/>
                <w:sz w:val="20"/>
                <w:szCs w:val="20"/>
                <w:lang w:val="en-AU" w:eastAsia="de-AT"/>
              </w:rPr>
            </w:pPr>
          </w:p>
        </w:tc>
        <w:tc>
          <w:tcPr>
            <w:tcW w:w="281" w:type="pct"/>
            <w:vMerge/>
            <w:tcBorders>
              <w:bottom w:val="single" w:sz="4" w:space="0" w:color="auto"/>
            </w:tcBorders>
            <w:vAlign w:val="center"/>
            <w:hideMark/>
          </w:tcPr>
          <w:p w14:paraId="45D32D5C" w14:textId="77777777" w:rsidR="00E13546" w:rsidRPr="009A1A2E" w:rsidRDefault="00E13546" w:rsidP="00E13546">
            <w:pPr>
              <w:jc w:val="center"/>
              <w:rPr>
                <w:rFonts w:ascii="Arial" w:hAnsi="Arial" w:cs="Arial"/>
                <w:color w:val="000000"/>
                <w:sz w:val="20"/>
                <w:szCs w:val="20"/>
                <w:lang w:val="en-AU" w:eastAsia="de-AT"/>
              </w:rPr>
            </w:pPr>
          </w:p>
        </w:tc>
        <w:tc>
          <w:tcPr>
            <w:tcW w:w="330" w:type="pct"/>
            <w:vMerge/>
            <w:tcBorders>
              <w:bottom w:val="single" w:sz="4" w:space="0" w:color="auto"/>
            </w:tcBorders>
            <w:vAlign w:val="center"/>
            <w:hideMark/>
          </w:tcPr>
          <w:p w14:paraId="518004F4" w14:textId="77777777" w:rsidR="00E13546" w:rsidRPr="009A1A2E" w:rsidRDefault="00E13546" w:rsidP="00E13546">
            <w:pPr>
              <w:jc w:val="center"/>
              <w:rPr>
                <w:rFonts w:ascii="Arial" w:hAnsi="Arial" w:cs="Arial"/>
                <w:color w:val="000000"/>
                <w:sz w:val="20"/>
                <w:szCs w:val="20"/>
                <w:lang w:val="en-AU" w:eastAsia="de-AT"/>
              </w:rPr>
            </w:pPr>
          </w:p>
        </w:tc>
        <w:tc>
          <w:tcPr>
            <w:tcW w:w="1287" w:type="pct"/>
            <w:vMerge/>
            <w:tcBorders>
              <w:bottom w:val="single" w:sz="4" w:space="0" w:color="auto"/>
            </w:tcBorders>
            <w:vAlign w:val="center"/>
            <w:hideMark/>
          </w:tcPr>
          <w:p w14:paraId="374AD903" w14:textId="77777777" w:rsidR="00E13546" w:rsidRPr="009A1A2E" w:rsidRDefault="00E13546" w:rsidP="00E13546">
            <w:pPr>
              <w:rPr>
                <w:rFonts w:ascii="Arial" w:hAnsi="Arial" w:cs="Arial"/>
                <w:color w:val="000000"/>
                <w:sz w:val="20"/>
                <w:szCs w:val="20"/>
                <w:lang w:val="en-AU" w:eastAsia="de-AT"/>
              </w:rPr>
            </w:pPr>
          </w:p>
        </w:tc>
        <w:tc>
          <w:tcPr>
            <w:tcW w:w="1955" w:type="pct"/>
            <w:vMerge/>
            <w:tcBorders>
              <w:bottom w:val="single" w:sz="4" w:space="0" w:color="auto"/>
            </w:tcBorders>
            <w:shd w:val="clear" w:color="auto" w:fill="auto"/>
            <w:vAlign w:val="center"/>
            <w:hideMark/>
          </w:tcPr>
          <w:p w14:paraId="4D740FCC" w14:textId="77777777" w:rsidR="00E13546" w:rsidRPr="009A1A2E" w:rsidRDefault="00E13546" w:rsidP="00E13546">
            <w:pPr>
              <w:rPr>
                <w:rFonts w:ascii="Arial" w:hAnsi="Arial" w:cs="Arial"/>
                <w:color w:val="000000"/>
                <w:sz w:val="20"/>
                <w:szCs w:val="20"/>
                <w:lang w:val="en-AU" w:eastAsia="de-AT"/>
              </w:rPr>
            </w:pPr>
          </w:p>
        </w:tc>
      </w:tr>
      <w:tr w:rsidR="00E13546" w:rsidRPr="009A1A2E" w14:paraId="6EFFAAFD" w14:textId="77777777" w:rsidTr="00FF3B57">
        <w:trPr>
          <w:cantSplit/>
          <w:trHeight w:val="465"/>
        </w:trPr>
        <w:tc>
          <w:tcPr>
            <w:tcW w:w="743" w:type="pct"/>
            <w:tcBorders>
              <w:top w:val="single" w:sz="4" w:space="0" w:color="auto"/>
              <w:left w:val="single" w:sz="4" w:space="0" w:color="auto"/>
              <w:bottom w:val="single" w:sz="4" w:space="0" w:color="auto"/>
            </w:tcBorders>
            <w:vAlign w:val="center"/>
            <w:hideMark/>
          </w:tcPr>
          <w:p w14:paraId="4B53C34F" w14:textId="77777777" w:rsidR="00FF3B57" w:rsidRDefault="00FF3B57" w:rsidP="00E13546">
            <w:pPr>
              <w:jc w:val="center"/>
              <w:rPr>
                <w:rFonts w:ascii="Arial" w:hAnsi="Arial" w:cs="Arial"/>
                <w:color w:val="000000"/>
                <w:sz w:val="20"/>
                <w:szCs w:val="20"/>
                <w:lang w:val="en-AU" w:eastAsia="de-AT"/>
              </w:rPr>
            </w:pPr>
          </w:p>
          <w:p w14:paraId="1B11CD34" w14:textId="77777777" w:rsidR="00E13546" w:rsidRPr="009A1A2E" w:rsidRDefault="00E13546" w:rsidP="00E13546">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Roland et al. 2001 USA</w:t>
            </w:r>
          </w:p>
        </w:tc>
        <w:tc>
          <w:tcPr>
            <w:tcW w:w="190" w:type="pct"/>
            <w:vMerge w:val="restart"/>
            <w:tcBorders>
              <w:top w:val="single" w:sz="4" w:space="0" w:color="auto"/>
              <w:bottom w:val="single" w:sz="4" w:space="0" w:color="auto"/>
            </w:tcBorders>
            <w:noWrap/>
            <w:vAlign w:val="center"/>
            <w:hideMark/>
          </w:tcPr>
          <w:p w14:paraId="14FA0442" w14:textId="77777777" w:rsidR="00E13546" w:rsidRPr="009A1A2E" w:rsidRDefault="00E13546" w:rsidP="00E13546">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III</w:t>
            </w:r>
          </w:p>
        </w:tc>
        <w:tc>
          <w:tcPr>
            <w:tcW w:w="215" w:type="pct"/>
            <w:vMerge w:val="restart"/>
            <w:tcBorders>
              <w:top w:val="single" w:sz="4" w:space="0" w:color="auto"/>
              <w:bottom w:val="single" w:sz="4" w:space="0" w:color="auto"/>
            </w:tcBorders>
            <w:noWrap/>
            <w:vAlign w:val="center"/>
            <w:hideMark/>
          </w:tcPr>
          <w:p w14:paraId="56820C93" w14:textId="77777777" w:rsidR="00E13546" w:rsidRPr="009A1A2E" w:rsidRDefault="00E13546" w:rsidP="00E13546">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III-3</w:t>
            </w:r>
          </w:p>
        </w:tc>
        <w:tc>
          <w:tcPr>
            <w:tcW w:w="281" w:type="pct"/>
            <w:vMerge w:val="restart"/>
            <w:tcBorders>
              <w:top w:val="single" w:sz="4" w:space="0" w:color="auto"/>
              <w:bottom w:val="single" w:sz="4" w:space="0" w:color="auto"/>
            </w:tcBorders>
            <w:vAlign w:val="center"/>
            <w:hideMark/>
          </w:tcPr>
          <w:p w14:paraId="562950DF" w14:textId="77777777" w:rsidR="00E13546" w:rsidRPr="009A1A2E" w:rsidRDefault="00E13546" w:rsidP="00E13546">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23 adults</w:t>
            </w:r>
          </w:p>
        </w:tc>
        <w:tc>
          <w:tcPr>
            <w:tcW w:w="330" w:type="pct"/>
            <w:vMerge w:val="restart"/>
            <w:tcBorders>
              <w:top w:val="single" w:sz="4" w:space="0" w:color="auto"/>
              <w:bottom w:val="single" w:sz="4" w:space="0" w:color="auto"/>
            </w:tcBorders>
            <w:vAlign w:val="center"/>
            <w:hideMark/>
          </w:tcPr>
          <w:p w14:paraId="0A106351" w14:textId="77777777" w:rsidR="00E13546" w:rsidRPr="009A1A2E" w:rsidRDefault="00E13546" w:rsidP="00E13546">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6 months</w:t>
            </w:r>
          </w:p>
        </w:tc>
        <w:tc>
          <w:tcPr>
            <w:tcW w:w="1287" w:type="pct"/>
            <w:vMerge w:val="restart"/>
            <w:tcBorders>
              <w:top w:val="single" w:sz="4" w:space="0" w:color="auto"/>
              <w:bottom w:val="single" w:sz="4" w:space="0" w:color="auto"/>
            </w:tcBorders>
            <w:vAlign w:val="center"/>
            <w:hideMark/>
          </w:tcPr>
          <w:p w14:paraId="20DF4B34" w14:textId="77777777" w:rsidR="003733D2" w:rsidRDefault="00E13546" w:rsidP="003733D2">
            <w:pPr>
              <w:rPr>
                <w:rFonts w:ascii="Arial" w:hAnsi="Arial" w:cs="Arial"/>
                <w:color w:val="000000"/>
                <w:sz w:val="20"/>
                <w:szCs w:val="20"/>
                <w:lang w:val="en-AU" w:eastAsia="de-AT"/>
              </w:rPr>
            </w:pPr>
            <w:r w:rsidRPr="009A1A2E">
              <w:rPr>
                <w:rFonts w:ascii="Arial" w:hAnsi="Arial" w:cs="Arial"/>
                <w:color w:val="000000"/>
                <w:sz w:val="20"/>
                <w:szCs w:val="20"/>
                <w:lang w:val="en-AU" w:eastAsia="de-AT"/>
              </w:rPr>
              <w:t>AC pure tone threshold,</w:t>
            </w:r>
          </w:p>
          <w:p w14:paraId="31BEC7E9" w14:textId="014353F3" w:rsidR="00E13546" w:rsidRPr="009A1A2E" w:rsidRDefault="00E13546" w:rsidP="002738DD">
            <w:pPr>
              <w:rPr>
                <w:rFonts w:ascii="Arial" w:hAnsi="Arial" w:cs="Arial"/>
                <w:color w:val="000000"/>
                <w:sz w:val="20"/>
                <w:szCs w:val="20"/>
                <w:lang w:val="en-AU" w:eastAsia="de-AT"/>
              </w:rPr>
            </w:pPr>
            <w:r w:rsidRPr="009A1A2E">
              <w:rPr>
                <w:rFonts w:ascii="Arial" w:hAnsi="Arial" w:cs="Arial"/>
                <w:color w:val="000000"/>
                <w:sz w:val="20"/>
                <w:szCs w:val="20"/>
                <w:lang w:val="en-AU" w:eastAsia="de-AT"/>
              </w:rPr>
              <w:t>Functional gain,Quality of life</w:t>
            </w:r>
          </w:p>
        </w:tc>
        <w:tc>
          <w:tcPr>
            <w:tcW w:w="1955" w:type="pct"/>
            <w:vMerge w:val="restart"/>
            <w:tcBorders>
              <w:top w:val="single" w:sz="4" w:space="0" w:color="auto"/>
              <w:bottom w:val="single" w:sz="4" w:space="0" w:color="auto"/>
              <w:right w:val="single" w:sz="4" w:space="0" w:color="auto"/>
            </w:tcBorders>
            <w:vAlign w:val="center"/>
            <w:hideMark/>
          </w:tcPr>
          <w:p w14:paraId="7F07F2EF" w14:textId="77777777" w:rsidR="00E13546" w:rsidRPr="009A1A2E" w:rsidRDefault="00E13546" w:rsidP="00E13546">
            <w:pPr>
              <w:rPr>
                <w:rFonts w:ascii="Arial" w:hAnsi="Arial" w:cs="Arial"/>
                <w:color w:val="000000"/>
                <w:sz w:val="20"/>
                <w:szCs w:val="20"/>
                <w:lang w:val="en-AU" w:eastAsia="de-AT"/>
              </w:rPr>
            </w:pPr>
            <w:r w:rsidRPr="009A1A2E">
              <w:rPr>
                <w:rFonts w:ascii="Arial" w:hAnsi="Arial" w:cs="Arial"/>
                <w:color w:val="000000"/>
                <w:sz w:val="20"/>
                <w:szCs w:val="20"/>
                <w:lang w:val="en-AU" w:eastAsia="de-AT"/>
              </w:rPr>
              <w:t>increased high-frequency gain without feedback. Patient satisfaction</w:t>
            </w:r>
          </w:p>
        </w:tc>
      </w:tr>
      <w:tr w:rsidR="00E13546" w:rsidRPr="009A1A2E" w14:paraId="4CE4F072" w14:textId="77777777" w:rsidTr="00FF3B57">
        <w:trPr>
          <w:cantSplit/>
          <w:trHeight w:val="465"/>
        </w:trPr>
        <w:tc>
          <w:tcPr>
            <w:tcW w:w="743" w:type="pct"/>
            <w:tcBorders>
              <w:top w:val="single" w:sz="4" w:space="0" w:color="auto"/>
            </w:tcBorders>
            <w:vAlign w:val="center"/>
            <w:hideMark/>
          </w:tcPr>
          <w:p w14:paraId="614FA8F7" w14:textId="77777777" w:rsidR="00E13546" w:rsidRPr="009A1A2E" w:rsidRDefault="00E13546" w:rsidP="00E13546">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Prospective, pre/post study</w:t>
            </w:r>
          </w:p>
        </w:tc>
        <w:tc>
          <w:tcPr>
            <w:tcW w:w="190" w:type="pct"/>
            <w:vMerge/>
            <w:tcBorders>
              <w:top w:val="single" w:sz="4" w:space="0" w:color="auto"/>
            </w:tcBorders>
            <w:vAlign w:val="center"/>
            <w:hideMark/>
          </w:tcPr>
          <w:p w14:paraId="4811EBB7" w14:textId="77777777" w:rsidR="00E13546" w:rsidRPr="009A1A2E" w:rsidRDefault="00E13546" w:rsidP="00E13546">
            <w:pPr>
              <w:jc w:val="center"/>
              <w:rPr>
                <w:rFonts w:ascii="Arial" w:hAnsi="Arial" w:cs="Arial"/>
                <w:color w:val="000000"/>
                <w:sz w:val="20"/>
                <w:szCs w:val="20"/>
                <w:lang w:val="en-AU" w:eastAsia="de-AT"/>
              </w:rPr>
            </w:pPr>
          </w:p>
        </w:tc>
        <w:tc>
          <w:tcPr>
            <w:tcW w:w="215" w:type="pct"/>
            <w:vMerge/>
            <w:tcBorders>
              <w:top w:val="single" w:sz="4" w:space="0" w:color="auto"/>
            </w:tcBorders>
            <w:vAlign w:val="center"/>
            <w:hideMark/>
          </w:tcPr>
          <w:p w14:paraId="728C991A" w14:textId="77777777" w:rsidR="00E13546" w:rsidRPr="009A1A2E" w:rsidRDefault="00E13546" w:rsidP="00E13546">
            <w:pPr>
              <w:jc w:val="center"/>
              <w:rPr>
                <w:rFonts w:ascii="Arial" w:hAnsi="Arial" w:cs="Arial"/>
                <w:color w:val="000000"/>
                <w:sz w:val="20"/>
                <w:szCs w:val="20"/>
                <w:lang w:val="en-AU" w:eastAsia="de-AT"/>
              </w:rPr>
            </w:pPr>
          </w:p>
        </w:tc>
        <w:tc>
          <w:tcPr>
            <w:tcW w:w="281" w:type="pct"/>
            <w:vMerge/>
            <w:tcBorders>
              <w:top w:val="single" w:sz="4" w:space="0" w:color="auto"/>
            </w:tcBorders>
            <w:vAlign w:val="center"/>
            <w:hideMark/>
          </w:tcPr>
          <w:p w14:paraId="16DA818B" w14:textId="77777777" w:rsidR="00E13546" w:rsidRPr="009A1A2E" w:rsidRDefault="00E13546" w:rsidP="00E13546">
            <w:pPr>
              <w:jc w:val="center"/>
              <w:rPr>
                <w:rFonts w:ascii="Arial" w:hAnsi="Arial" w:cs="Arial"/>
                <w:color w:val="000000"/>
                <w:sz w:val="20"/>
                <w:szCs w:val="20"/>
                <w:lang w:val="en-AU" w:eastAsia="de-AT"/>
              </w:rPr>
            </w:pPr>
          </w:p>
        </w:tc>
        <w:tc>
          <w:tcPr>
            <w:tcW w:w="330" w:type="pct"/>
            <w:vMerge/>
            <w:tcBorders>
              <w:top w:val="single" w:sz="4" w:space="0" w:color="auto"/>
            </w:tcBorders>
            <w:vAlign w:val="center"/>
            <w:hideMark/>
          </w:tcPr>
          <w:p w14:paraId="57A87827" w14:textId="77777777" w:rsidR="00E13546" w:rsidRPr="009A1A2E" w:rsidRDefault="00E13546" w:rsidP="00E13546">
            <w:pPr>
              <w:jc w:val="center"/>
              <w:rPr>
                <w:rFonts w:ascii="Arial" w:hAnsi="Arial" w:cs="Arial"/>
                <w:color w:val="000000"/>
                <w:sz w:val="20"/>
                <w:szCs w:val="20"/>
                <w:lang w:val="en-AU" w:eastAsia="de-AT"/>
              </w:rPr>
            </w:pPr>
          </w:p>
        </w:tc>
        <w:tc>
          <w:tcPr>
            <w:tcW w:w="1287" w:type="pct"/>
            <w:vMerge/>
            <w:tcBorders>
              <w:top w:val="single" w:sz="4" w:space="0" w:color="auto"/>
            </w:tcBorders>
            <w:vAlign w:val="center"/>
            <w:hideMark/>
          </w:tcPr>
          <w:p w14:paraId="75165505" w14:textId="77777777" w:rsidR="00E13546" w:rsidRPr="009A1A2E" w:rsidRDefault="00E13546" w:rsidP="00E13546">
            <w:pPr>
              <w:rPr>
                <w:rFonts w:ascii="Arial" w:hAnsi="Arial" w:cs="Arial"/>
                <w:color w:val="000000"/>
                <w:sz w:val="20"/>
                <w:szCs w:val="20"/>
                <w:lang w:val="en-AU" w:eastAsia="de-AT"/>
              </w:rPr>
            </w:pPr>
          </w:p>
        </w:tc>
        <w:tc>
          <w:tcPr>
            <w:tcW w:w="1955" w:type="pct"/>
            <w:vMerge/>
            <w:tcBorders>
              <w:top w:val="single" w:sz="4" w:space="0" w:color="auto"/>
            </w:tcBorders>
            <w:vAlign w:val="center"/>
            <w:hideMark/>
          </w:tcPr>
          <w:p w14:paraId="74C88D62" w14:textId="77777777" w:rsidR="00E13546" w:rsidRPr="009A1A2E" w:rsidRDefault="00E13546" w:rsidP="00E13546">
            <w:pPr>
              <w:rPr>
                <w:rFonts w:ascii="Arial" w:hAnsi="Arial" w:cs="Arial"/>
                <w:color w:val="000000"/>
                <w:sz w:val="20"/>
                <w:szCs w:val="20"/>
                <w:lang w:val="en-AU" w:eastAsia="de-AT"/>
              </w:rPr>
            </w:pPr>
          </w:p>
        </w:tc>
      </w:tr>
      <w:tr w:rsidR="00E13546" w:rsidRPr="009A1A2E" w14:paraId="44FF4494" w14:textId="77777777" w:rsidTr="00E13546">
        <w:trPr>
          <w:trHeight w:val="480"/>
        </w:trPr>
        <w:tc>
          <w:tcPr>
            <w:tcW w:w="743" w:type="pct"/>
            <w:vAlign w:val="center"/>
            <w:hideMark/>
          </w:tcPr>
          <w:p w14:paraId="05E92B65" w14:textId="77777777" w:rsidR="00E13546" w:rsidRPr="009A1A2E" w:rsidRDefault="00E13546" w:rsidP="00E13546">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Silverstein et al. 2005 USA</w:t>
            </w:r>
          </w:p>
        </w:tc>
        <w:tc>
          <w:tcPr>
            <w:tcW w:w="190" w:type="pct"/>
            <w:vMerge w:val="restart"/>
            <w:noWrap/>
            <w:vAlign w:val="center"/>
            <w:hideMark/>
          </w:tcPr>
          <w:p w14:paraId="5D327D55" w14:textId="77777777" w:rsidR="00E13546" w:rsidRPr="009A1A2E" w:rsidRDefault="00E13546" w:rsidP="00E13546">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III</w:t>
            </w:r>
          </w:p>
        </w:tc>
        <w:tc>
          <w:tcPr>
            <w:tcW w:w="215" w:type="pct"/>
            <w:vMerge w:val="restart"/>
            <w:noWrap/>
            <w:vAlign w:val="center"/>
            <w:hideMark/>
          </w:tcPr>
          <w:p w14:paraId="74FF1632" w14:textId="77777777" w:rsidR="00E13546" w:rsidRPr="009A1A2E" w:rsidRDefault="00E13546" w:rsidP="00E13546">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III-3</w:t>
            </w:r>
          </w:p>
        </w:tc>
        <w:tc>
          <w:tcPr>
            <w:tcW w:w="281" w:type="pct"/>
            <w:vMerge w:val="restart"/>
            <w:vAlign w:val="center"/>
            <w:hideMark/>
          </w:tcPr>
          <w:p w14:paraId="790360B7" w14:textId="77777777" w:rsidR="00E13546" w:rsidRPr="009A1A2E" w:rsidRDefault="00E13546" w:rsidP="00E13546">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64 adults</w:t>
            </w:r>
          </w:p>
        </w:tc>
        <w:tc>
          <w:tcPr>
            <w:tcW w:w="330" w:type="pct"/>
            <w:vMerge w:val="restart"/>
            <w:vAlign w:val="center"/>
            <w:hideMark/>
          </w:tcPr>
          <w:p w14:paraId="11A243B2" w14:textId="77777777" w:rsidR="00E13546" w:rsidRPr="009A1A2E" w:rsidRDefault="00E13546" w:rsidP="00E13546">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3 months</w:t>
            </w:r>
          </w:p>
        </w:tc>
        <w:tc>
          <w:tcPr>
            <w:tcW w:w="1287" w:type="pct"/>
            <w:vMerge w:val="restart"/>
            <w:vAlign w:val="center"/>
            <w:hideMark/>
          </w:tcPr>
          <w:p w14:paraId="7E440B31" w14:textId="77777777" w:rsidR="003733D2" w:rsidRDefault="00E13546" w:rsidP="003733D2">
            <w:pPr>
              <w:rPr>
                <w:rFonts w:ascii="Arial" w:hAnsi="Arial" w:cs="Arial"/>
                <w:color w:val="000000"/>
                <w:sz w:val="20"/>
                <w:szCs w:val="20"/>
                <w:lang w:val="en-AU" w:eastAsia="de-AT"/>
              </w:rPr>
            </w:pPr>
            <w:r w:rsidRPr="009A1A2E">
              <w:rPr>
                <w:rFonts w:ascii="Arial" w:hAnsi="Arial" w:cs="Arial"/>
                <w:color w:val="000000"/>
                <w:sz w:val="20"/>
                <w:szCs w:val="20"/>
                <w:lang w:val="en-AU" w:eastAsia="de-AT"/>
              </w:rPr>
              <w:t>AC and BC pure tone thresholds, Functional gain,</w:t>
            </w:r>
          </w:p>
          <w:p w14:paraId="6170BA9E" w14:textId="77777777" w:rsidR="003733D2" w:rsidRDefault="00E13546" w:rsidP="003733D2">
            <w:pPr>
              <w:rPr>
                <w:rFonts w:ascii="Arial" w:hAnsi="Arial" w:cs="Arial"/>
                <w:color w:val="000000"/>
                <w:sz w:val="20"/>
                <w:szCs w:val="20"/>
                <w:lang w:val="en-AU" w:eastAsia="de-AT"/>
              </w:rPr>
            </w:pPr>
            <w:r w:rsidRPr="009A1A2E">
              <w:rPr>
                <w:rFonts w:ascii="Arial" w:hAnsi="Arial" w:cs="Arial"/>
                <w:color w:val="000000"/>
                <w:sz w:val="20"/>
                <w:szCs w:val="20"/>
                <w:lang w:val="en-AU" w:eastAsia="de-AT"/>
              </w:rPr>
              <w:t>Speech recognition in quiet.</w:t>
            </w:r>
          </w:p>
          <w:p w14:paraId="190BB6D8" w14:textId="67669D3C" w:rsidR="00E13546" w:rsidRPr="009A1A2E" w:rsidRDefault="00E13546" w:rsidP="003733D2">
            <w:pPr>
              <w:rPr>
                <w:rFonts w:ascii="Arial" w:hAnsi="Arial" w:cs="Arial"/>
                <w:color w:val="000000"/>
                <w:sz w:val="20"/>
                <w:szCs w:val="20"/>
                <w:lang w:val="en-AU" w:eastAsia="de-AT"/>
              </w:rPr>
            </w:pPr>
            <w:r w:rsidRPr="009A1A2E">
              <w:rPr>
                <w:rFonts w:ascii="Arial" w:hAnsi="Arial" w:cs="Arial"/>
                <w:color w:val="000000"/>
                <w:sz w:val="20"/>
                <w:szCs w:val="20"/>
                <w:lang w:val="en-AU" w:eastAsia="de-AT"/>
              </w:rPr>
              <w:t>Quality of life</w:t>
            </w:r>
          </w:p>
        </w:tc>
        <w:tc>
          <w:tcPr>
            <w:tcW w:w="1955" w:type="pct"/>
            <w:vMerge w:val="restart"/>
            <w:vAlign w:val="center"/>
            <w:hideMark/>
          </w:tcPr>
          <w:p w14:paraId="71723244" w14:textId="77777777" w:rsidR="00E13546" w:rsidRPr="009A1A2E" w:rsidRDefault="00E13546" w:rsidP="00E13546">
            <w:pPr>
              <w:rPr>
                <w:rFonts w:ascii="Arial" w:hAnsi="Arial" w:cs="Arial"/>
                <w:color w:val="000000"/>
                <w:sz w:val="20"/>
                <w:szCs w:val="20"/>
                <w:lang w:val="en-AU" w:eastAsia="de-AT"/>
              </w:rPr>
            </w:pPr>
            <w:r w:rsidRPr="009A1A2E">
              <w:rPr>
                <w:rFonts w:ascii="Arial" w:hAnsi="Arial" w:cs="Arial"/>
                <w:color w:val="000000"/>
                <w:sz w:val="20"/>
                <w:szCs w:val="20"/>
                <w:lang w:val="en-AU" w:eastAsia="de-AT"/>
              </w:rPr>
              <w:t>well tolerated in the majority of patients, with a significant increase in functional gain over conventional hearing aids and reduces occlusion effect and feedback. Magnet instability and noise were the most frequent complaints.</w:t>
            </w:r>
          </w:p>
        </w:tc>
      </w:tr>
      <w:tr w:rsidR="00E13546" w:rsidRPr="009A1A2E" w14:paraId="68EADD93" w14:textId="77777777" w:rsidTr="00E13546">
        <w:trPr>
          <w:trHeight w:val="480"/>
        </w:trPr>
        <w:tc>
          <w:tcPr>
            <w:tcW w:w="743" w:type="pct"/>
            <w:vAlign w:val="center"/>
            <w:hideMark/>
          </w:tcPr>
          <w:p w14:paraId="0FF6AE92" w14:textId="77777777" w:rsidR="00E13546" w:rsidRPr="009A1A2E" w:rsidRDefault="00E13546" w:rsidP="00E13546">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Retrospective, pre/post study</w:t>
            </w:r>
          </w:p>
        </w:tc>
        <w:tc>
          <w:tcPr>
            <w:tcW w:w="190" w:type="pct"/>
            <w:vMerge/>
            <w:vAlign w:val="center"/>
            <w:hideMark/>
          </w:tcPr>
          <w:p w14:paraId="0593D17D" w14:textId="77777777" w:rsidR="00E13546" w:rsidRPr="009A1A2E" w:rsidRDefault="00E13546" w:rsidP="00E13546">
            <w:pPr>
              <w:jc w:val="center"/>
              <w:rPr>
                <w:rFonts w:ascii="Arial" w:hAnsi="Arial" w:cs="Arial"/>
                <w:color w:val="000000"/>
                <w:sz w:val="20"/>
                <w:szCs w:val="20"/>
                <w:lang w:val="en-AU" w:eastAsia="de-AT"/>
              </w:rPr>
            </w:pPr>
          </w:p>
        </w:tc>
        <w:tc>
          <w:tcPr>
            <w:tcW w:w="215" w:type="pct"/>
            <w:vMerge/>
            <w:vAlign w:val="center"/>
            <w:hideMark/>
          </w:tcPr>
          <w:p w14:paraId="12D84F9A" w14:textId="77777777" w:rsidR="00E13546" w:rsidRPr="009A1A2E" w:rsidRDefault="00E13546" w:rsidP="00E13546">
            <w:pPr>
              <w:jc w:val="center"/>
              <w:rPr>
                <w:rFonts w:ascii="Arial" w:hAnsi="Arial" w:cs="Arial"/>
                <w:color w:val="000000"/>
                <w:sz w:val="20"/>
                <w:szCs w:val="20"/>
                <w:lang w:val="en-AU" w:eastAsia="de-AT"/>
              </w:rPr>
            </w:pPr>
          </w:p>
        </w:tc>
        <w:tc>
          <w:tcPr>
            <w:tcW w:w="281" w:type="pct"/>
            <w:vMerge/>
            <w:vAlign w:val="center"/>
            <w:hideMark/>
          </w:tcPr>
          <w:p w14:paraId="0F727A59" w14:textId="77777777" w:rsidR="00E13546" w:rsidRPr="009A1A2E" w:rsidRDefault="00E13546" w:rsidP="00E13546">
            <w:pPr>
              <w:jc w:val="center"/>
              <w:rPr>
                <w:rFonts w:ascii="Arial" w:hAnsi="Arial" w:cs="Arial"/>
                <w:color w:val="000000"/>
                <w:sz w:val="20"/>
                <w:szCs w:val="20"/>
                <w:lang w:val="en-AU" w:eastAsia="de-AT"/>
              </w:rPr>
            </w:pPr>
          </w:p>
        </w:tc>
        <w:tc>
          <w:tcPr>
            <w:tcW w:w="330" w:type="pct"/>
            <w:vMerge/>
            <w:vAlign w:val="center"/>
            <w:hideMark/>
          </w:tcPr>
          <w:p w14:paraId="35CC7309" w14:textId="77777777" w:rsidR="00E13546" w:rsidRPr="009A1A2E" w:rsidRDefault="00E13546" w:rsidP="00E13546">
            <w:pPr>
              <w:jc w:val="center"/>
              <w:rPr>
                <w:rFonts w:ascii="Arial" w:hAnsi="Arial" w:cs="Arial"/>
                <w:color w:val="000000"/>
                <w:sz w:val="20"/>
                <w:szCs w:val="20"/>
                <w:lang w:val="en-AU" w:eastAsia="de-AT"/>
              </w:rPr>
            </w:pPr>
          </w:p>
        </w:tc>
        <w:tc>
          <w:tcPr>
            <w:tcW w:w="1287" w:type="pct"/>
            <w:vMerge/>
            <w:vAlign w:val="center"/>
            <w:hideMark/>
          </w:tcPr>
          <w:p w14:paraId="7F65FDC7" w14:textId="77777777" w:rsidR="00E13546" w:rsidRPr="009A1A2E" w:rsidRDefault="00E13546" w:rsidP="00E13546">
            <w:pPr>
              <w:jc w:val="center"/>
              <w:rPr>
                <w:rFonts w:ascii="Arial" w:hAnsi="Arial" w:cs="Arial"/>
                <w:color w:val="000000"/>
                <w:sz w:val="20"/>
                <w:szCs w:val="20"/>
                <w:lang w:val="en-AU" w:eastAsia="de-AT"/>
              </w:rPr>
            </w:pPr>
          </w:p>
        </w:tc>
        <w:tc>
          <w:tcPr>
            <w:tcW w:w="1955" w:type="pct"/>
            <w:vMerge/>
            <w:vAlign w:val="center"/>
            <w:hideMark/>
          </w:tcPr>
          <w:p w14:paraId="06C5AF83" w14:textId="77777777" w:rsidR="00E13546" w:rsidRPr="009A1A2E" w:rsidRDefault="00E13546" w:rsidP="00E13546">
            <w:pPr>
              <w:jc w:val="center"/>
              <w:rPr>
                <w:rFonts w:ascii="Arial" w:hAnsi="Arial" w:cs="Arial"/>
                <w:color w:val="000000"/>
                <w:sz w:val="20"/>
                <w:szCs w:val="20"/>
                <w:lang w:val="en-AU" w:eastAsia="de-AT"/>
              </w:rPr>
            </w:pPr>
          </w:p>
        </w:tc>
      </w:tr>
    </w:tbl>
    <w:p w14:paraId="154337F5" w14:textId="77777777" w:rsidR="00685E75" w:rsidRPr="0099355D" w:rsidRDefault="00685E75" w:rsidP="00F62A44">
      <w:pPr>
        <w:pStyle w:val="Textbody"/>
        <w:rPr>
          <w:sz w:val="16"/>
          <w:szCs w:val="16"/>
          <w:lang w:val="en-AU"/>
        </w:rPr>
      </w:pPr>
    </w:p>
    <w:p w14:paraId="4EC66687" w14:textId="77777777" w:rsidR="00685E75" w:rsidRPr="009A1A2E" w:rsidRDefault="00685E75" w:rsidP="00AB05A7">
      <w:pPr>
        <w:pStyle w:val="Caption"/>
        <w:rPr>
          <w:rFonts w:ascii="Arial" w:hAnsi="Arial" w:cs="Arial"/>
          <w:lang w:val="en-AU"/>
        </w:rPr>
      </w:pPr>
      <w:bookmarkStart w:id="414" w:name="_Ref400564617"/>
      <w:bookmarkStart w:id="415" w:name="_Toc431917473"/>
      <w:r w:rsidRPr="009A1A2E">
        <w:rPr>
          <w:rFonts w:ascii="Arial" w:hAnsi="Arial" w:cs="Arial"/>
          <w:lang w:val="en-AU"/>
        </w:rPr>
        <w:t xml:space="preserve">Table </w:t>
      </w:r>
      <w:r w:rsidRPr="009A1A2E">
        <w:rPr>
          <w:rFonts w:ascii="Arial" w:hAnsi="Arial" w:cs="Arial"/>
          <w:lang w:val="en-AU"/>
        </w:rPr>
        <w:fldChar w:fldCharType="begin"/>
      </w:r>
      <w:r w:rsidRPr="009A1A2E">
        <w:rPr>
          <w:rFonts w:ascii="Arial" w:hAnsi="Arial" w:cs="Arial"/>
          <w:lang w:val="en-AU"/>
        </w:rPr>
        <w:instrText xml:space="preserve"> SEQ Table \* ARABIC </w:instrText>
      </w:r>
      <w:r w:rsidRPr="009A1A2E">
        <w:rPr>
          <w:rFonts w:ascii="Arial" w:hAnsi="Arial" w:cs="Arial"/>
          <w:lang w:val="en-AU"/>
        </w:rPr>
        <w:fldChar w:fldCharType="separate"/>
      </w:r>
      <w:r w:rsidR="00016592">
        <w:rPr>
          <w:rFonts w:ascii="Arial" w:hAnsi="Arial" w:cs="Arial"/>
          <w:noProof/>
          <w:lang w:val="en-AU"/>
        </w:rPr>
        <w:t>13</w:t>
      </w:r>
      <w:r w:rsidRPr="009A1A2E">
        <w:rPr>
          <w:rFonts w:ascii="Arial" w:hAnsi="Arial" w:cs="Arial"/>
          <w:lang w:val="en-AU"/>
        </w:rPr>
        <w:fldChar w:fldCharType="end"/>
      </w:r>
      <w:bookmarkEnd w:id="414"/>
      <w:r w:rsidR="00AB05A7" w:rsidRPr="009A1A2E">
        <w:rPr>
          <w:rFonts w:ascii="Arial" w:hAnsi="Arial" w:cs="Arial"/>
          <w:lang w:val="en-AU"/>
        </w:rPr>
        <w:t xml:space="preserve"> - Summary of Vibrant Soundbridge study characteristics included in the evaluation</w:t>
      </w:r>
      <w:bookmarkEnd w:id="415"/>
    </w:p>
    <w:tbl>
      <w:tblPr>
        <w:tblStyle w:val="Tabellenraster1"/>
        <w:tblW w:w="5000" w:type="pct"/>
        <w:tblLook w:val="04A0" w:firstRow="1" w:lastRow="0" w:firstColumn="1" w:lastColumn="0" w:noHBand="0" w:noVBand="1"/>
        <w:tblDescription w:val="Summary of Vibrant Soundbridge study characteristics included in the evaluation"/>
      </w:tblPr>
      <w:tblGrid>
        <w:gridCol w:w="2144"/>
        <w:gridCol w:w="1570"/>
        <w:gridCol w:w="1544"/>
        <w:gridCol w:w="1644"/>
        <w:gridCol w:w="1842"/>
        <w:gridCol w:w="2274"/>
        <w:gridCol w:w="2918"/>
      </w:tblGrid>
      <w:tr w:rsidR="00685E75" w:rsidRPr="009A1A2E" w14:paraId="03295450" w14:textId="77777777" w:rsidTr="00FF3B57">
        <w:trPr>
          <w:trHeight w:val="300"/>
          <w:tblHeader/>
        </w:trPr>
        <w:tc>
          <w:tcPr>
            <w:tcW w:w="769" w:type="pct"/>
            <w:vMerge w:val="restart"/>
            <w:vAlign w:val="center"/>
            <w:hideMark/>
          </w:tcPr>
          <w:p w14:paraId="2C582F8C" w14:textId="77777777" w:rsidR="00685E75" w:rsidRPr="009A1A2E" w:rsidRDefault="00685E75" w:rsidP="00AB05A7">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Study</w:t>
            </w:r>
          </w:p>
        </w:tc>
        <w:tc>
          <w:tcPr>
            <w:tcW w:w="1117" w:type="pct"/>
            <w:gridSpan w:val="2"/>
            <w:vAlign w:val="center"/>
            <w:hideMark/>
          </w:tcPr>
          <w:p w14:paraId="4E24D3EB" w14:textId="77777777" w:rsidR="00685E75" w:rsidRPr="009A1A2E" w:rsidRDefault="00685E75" w:rsidP="00AB05A7">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level of evidence</w:t>
            </w:r>
          </w:p>
        </w:tc>
        <w:tc>
          <w:tcPr>
            <w:tcW w:w="590" w:type="pct"/>
            <w:vMerge w:val="restart"/>
            <w:vAlign w:val="center"/>
            <w:hideMark/>
          </w:tcPr>
          <w:p w14:paraId="75E2B1D7" w14:textId="77777777" w:rsidR="00685E75" w:rsidRPr="009A1A2E" w:rsidRDefault="00685E75" w:rsidP="00AB05A7">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n</w:t>
            </w:r>
          </w:p>
        </w:tc>
        <w:tc>
          <w:tcPr>
            <w:tcW w:w="661" w:type="pct"/>
            <w:vMerge w:val="restart"/>
            <w:vAlign w:val="center"/>
            <w:hideMark/>
          </w:tcPr>
          <w:p w14:paraId="14CD6C49" w14:textId="77777777" w:rsidR="00685E75" w:rsidRPr="009A1A2E" w:rsidRDefault="00685E75" w:rsidP="00AB05A7">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Follow-up/Testing interval</w:t>
            </w:r>
          </w:p>
        </w:tc>
        <w:tc>
          <w:tcPr>
            <w:tcW w:w="816" w:type="pct"/>
            <w:vMerge w:val="restart"/>
            <w:vAlign w:val="center"/>
            <w:hideMark/>
          </w:tcPr>
          <w:p w14:paraId="27BFE4A5" w14:textId="77777777" w:rsidR="00685E75" w:rsidRPr="009A1A2E" w:rsidRDefault="00685E75" w:rsidP="00AB05A7">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Outcomes</w:t>
            </w:r>
          </w:p>
        </w:tc>
        <w:tc>
          <w:tcPr>
            <w:tcW w:w="1047" w:type="pct"/>
            <w:vMerge w:val="restart"/>
            <w:vAlign w:val="center"/>
            <w:hideMark/>
          </w:tcPr>
          <w:p w14:paraId="07B3434B" w14:textId="77777777" w:rsidR="00685E75" w:rsidRPr="009A1A2E" w:rsidRDefault="00685E75" w:rsidP="00FF3B57">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Conclusions</w:t>
            </w:r>
          </w:p>
        </w:tc>
      </w:tr>
      <w:tr w:rsidR="00685E75" w:rsidRPr="009A1A2E" w14:paraId="656F0228" w14:textId="77777777" w:rsidTr="001C2E0E">
        <w:trPr>
          <w:trHeight w:val="300"/>
          <w:tblHeader/>
        </w:trPr>
        <w:tc>
          <w:tcPr>
            <w:tcW w:w="769" w:type="pct"/>
            <w:vMerge/>
            <w:vAlign w:val="center"/>
            <w:hideMark/>
          </w:tcPr>
          <w:p w14:paraId="63944026" w14:textId="77777777" w:rsidR="00685E75" w:rsidRPr="009A1A2E" w:rsidRDefault="00685E75" w:rsidP="00AB05A7">
            <w:pPr>
              <w:jc w:val="center"/>
              <w:rPr>
                <w:rFonts w:ascii="Arial" w:hAnsi="Arial" w:cs="Arial"/>
                <w:color w:val="000000"/>
                <w:sz w:val="20"/>
                <w:szCs w:val="20"/>
                <w:lang w:val="en-AU" w:eastAsia="de-AT"/>
              </w:rPr>
            </w:pPr>
          </w:p>
        </w:tc>
        <w:tc>
          <w:tcPr>
            <w:tcW w:w="563" w:type="pct"/>
            <w:vMerge w:val="restart"/>
            <w:textDirection w:val="btLr"/>
            <w:vAlign w:val="center"/>
            <w:hideMark/>
          </w:tcPr>
          <w:p w14:paraId="496DEFC3" w14:textId="77777777" w:rsidR="00685E75" w:rsidRPr="009A1A2E" w:rsidRDefault="00685E75" w:rsidP="00AB05A7">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Oxford EbM</w:t>
            </w:r>
          </w:p>
        </w:tc>
        <w:tc>
          <w:tcPr>
            <w:tcW w:w="554" w:type="pct"/>
            <w:vMerge w:val="restart"/>
            <w:textDirection w:val="btLr"/>
            <w:vAlign w:val="center"/>
            <w:hideMark/>
          </w:tcPr>
          <w:p w14:paraId="1993E349" w14:textId="77777777" w:rsidR="00685E75" w:rsidRPr="009A1A2E" w:rsidRDefault="00685E75" w:rsidP="00AB05A7">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NHMRC</w:t>
            </w:r>
          </w:p>
        </w:tc>
        <w:tc>
          <w:tcPr>
            <w:tcW w:w="590" w:type="pct"/>
            <w:vMerge/>
            <w:vAlign w:val="center"/>
            <w:hideMark/>
          </w:tcPr>
          <w:p w14:paraId="59831A05" w14:textId="77777777" w:rsidR="00685E75" w:rsidRPr="009A1A2E" w:rsidRDefault="00685E75" w:rsidP="00AB05A7">
            <w:pPr>
              <w:jc w:val="center"/>
              <w:rPr>
                <w:rFonts w:ascii="Arial" w:hAnsi="Arial" w:cs="Arial"/>
                <w:color w:val="000000"/>
                <w:sz w:val="20"/>
                <w:szCs w:val="20"/>
                <w:lang w:val="en-AU" w:eastAsia="de-AT"/>
              </w:rPr>
            </w:pPr>
          </w:p>
        </w:tc>
        <w:tc>
          <w:tcPr>
            <w:tcW w:w="661" w:type="pct"/>
            <w:vMerge/>
            <w:vAlign w:val="center"/>
            <w:hideMark/>
          </w:tcPr>
          <w:p w14:paraId="158A1BFE" w14:textId="77777777" w:rsidR="00685E75" w:rsidRPr="009A1A2E" w:rsidRDefault="00685E75" w:rsidP="00AB05A7">
            <w:pPr>
              <w:jc w:val="center"/>
              <w:rPr>
                <w:rFonts w:ascii="Arial" w:hAnsi="Arial" w:cs="Arial"/>
                <w:color w:val="000000"/>
                <w:sz w:val="20"/>
                <w:szCs w:val="20"/>
                <w:lang w:val="en-AU" w:eastAsia="de-AT"/>
              </w:rPr>
            </w:pPr>
          </w:p>
        </w:tc>
        <w:tc>
          <w:tcPr>
            <w:tcW w:w="816" w:type="pct"/>
            <w:vMerge/>
            <w:vAlign w:val="center"/>
            <w:hideMark/>
          </w:tcPr>
          <w:p w14:paraId="6E60A182" w14:textId="77777777" w:rsidR="00685E75" w:rsidRPr="009A1A2E" w:rsidRDefault="00685E75" w:rsidP="00AB05A7">
            <w:pPr>
              <w:jc w:val="center"/>
              <w:rPr>
                <w:rFonts w:ascii="Arial" w:hAnsi="Arial" w:cs="Arial"/>
                <w:color w:val="000000"/>
                <w:sz w:val="20"/>
                <w:szCs w:val="20"/>
                <w:lang w:val="en-AU" w:eastAsia="de-AT"/>
              </w:rPr>
            </w:pPr>
          </w:p>
        </w:tc>
        <w:tc>
          <w:tcPr>
            <w:tcW w:w="1047" w:type="pct"/>
            <w:vMerge/>
            <w:hideMark/>
          </w:tcPr>
          <w:p w14:paraId="0C20E7F3" w14:textId="77777777" w:rsidR="00685E75" w:rsidRPr="009A1A2E" w:rsidRDefault="00685E75" w:rsidP="00685E75">
            <w:pPr>
              <w:rPr>
                <w:rFonts w:ascii="Arial" w:hAnsi="Arial" w:cs="Arial"/>
                <w:color w:val="000000"/>
                <w:sz w:val="20"/>
                <w:szCs w:val="20"/>
                <w:lang w:val="en-AU" w:eastAsia="de-AT"/>
              </w:rPr>
            </w:pPr>
          </w:p>
        </w:tc>
      </w:tr>
      <w:tr w:rsidR="00685E75" w:rsidRPr="009A1A2E" w14:paraId="3AD26280" w14:textId="77777777" w:rsidTr="00FF3B57">
        <w:trPr>
          <w:trHeight w:val="617"/>
          <w:tblHeader/>
        </w:trPr>
        <w:tc>
          <w:tcPr>
            <w:tcW w:w="769" w:type="pct"/>
            <w:vMerge/>
            <w:vAlign w:val="center"/>
            <w:hideMark/>
          </w:tcPr>
          <w:p w14:paraId="6EB2B12A" w14:textId="77777777" w:rsidR="00685E75" w:rsidRPr="009A1A2E" w:rsidRDefault="00685E75" w:rsidP="00AB05A7">
            <w:pPr>
              <w:jc w:val="center"/>
              <w:rPr>
                <w:rFonts w:ascii="Arial" w:hAnsi="Arial" w:cs="Arial"/>
                <w:color w:val="000000"/>
                <w:sz w:val="20"/>
                <w:szCs w:val="20"/>
                <w:lang w:val="en-AU" w:eastAsia="de-AT"/>
              </w:rPr>
            </w:pPr>
          </w:p>
        </w:tc>
        <w:tc>
          <w:tcPr>
            <w:tcW w:w="563" w:type="pct"/>
            <w:vMerge/>
            <w:vAlign w:val="center"/>
            <w:hideMark/>
          </w:tcPr>
          <w:p w14:paraId="58438308" w14:textId="77777777" w:rsidR="00685E75" w:rsidRPr="009A1A2E" w:rsidRDefault="00685E75" w:rsidP="00AB05A7">
            <w:pPr>
              <w:jc w:val="center"/>
              <w:rPr>
                <w:rFonts w:ascii="Arial" w:hAnsi="Arial" w:cs="Arial"/>
                <w:color w:val="000000"/>
                <w:sz w:val="20"/>
                <w:szCs w:val="20"/>
                <w:lang w:val="en-AU" w:eastAsia="de-AT"/>
              </w:rPr>
            </w:pPr>
          </w:p>
        </w:tc>
        <w:tc>
          <w:tcPr>
            <w:tcW w:w="554" w:type="pct"/>
            <w:vMerge/>
            <w:vAlign w:val="center"/>
            <w:hideMark/>
          </w:tcPr>
          <w:p w14:paraId="31069D9A" w14:textId="77777777" w:rsidR="00685E75" w:rsidRPr="009A1A2E" w:rsidRDefault="00685E75" w:rsidP="00AB05A7">
            <w:pPr>
              <w:jc w:val="center"/>
              <w:rPr>
                <w:rFonts w:ascii="Arial" w:hAnsi="Arial" w:cs="Arial"/>
                <w:color w:val="000000"/>
                <w:sz w:val="20"/>
                <w:szCs w:val="20"/>
                <w:lang w:val="en-AU" w:eastAsia="de-AT"/>
              </w:rPr>
            </w:pPr>
          </w:p>
        </w:tc>
        <w:tc>
          <w:tcPr>
            <w:tcW w:w="590" w:type="pct"/>
            <w:vMerge/>
            <w:vAlign w:val="center"/>
            <w:hideMark/>
          </w:tcPr>
          <w:p w14:paraId="65D8F2A9" w14:textId="77777777" w:rsidR="00685E75" w:rsidRPr="009A1A2E" w:rsidRDefault="00685E75" w:rsidP="00AB05A7">
            <w:pPr>
              <w:jc w:val="center"/>
              <w:rPr>
                <w:rFonts w:ascii="Arial" w:hAnsi="Arial" w:cs="Arial"/>
                <w:color w:val="000000"/>
                <w:sz w:val="20"/>
                <w:szCs w:val="20"/>
                <w:lang w:val="en-AU" w:eastAsia="de-AT"/>
              </w:rPr>
            </w:pPr>
          </w:p>
        </w:tc>
        <w:tc>
          <w:tcPr>
            <w:tcW w:w="661" w:type="pct"/>
            <w:vMerge/>
            <w:vAlign w:val="center"/>
            <w:hideMark/>
          </w:tcPr>
          <w:p w14:paraId="4EE235CE" w14:textId="77777777" w:rsidR="00685E75" w:rsidRPr="009A1A2E" w:rsidRDefault="00685E75" w:rsidP="00AB05A7">
            <w:pPr>
              <w:jc w:val="center"/>
              <w:rPr>
                <w:rFonts w:ascii="Arial" w:hAnsi="Arial" w:cs="Arial"/>
                <w:color w:val="000000"/>
                <w:sz w:val="20"/>
                <w:szCs w:val="20"/>
                <w:lang w:val="en-AU" w:eastAsia="de-AT"/>
              </w:rPr>
            </w:pPr>
          </w:p>
        </w:tc>
        <w:tc>
          <w:tcPr>
            <w:tcW w:w="816" w:type="pct"/>
            <w:vMerge/>
            <w:vAlign w:val="center"/>
            <w:hideMark/>
          </w:tcPr>
          <w:p w14:paraId="5736F5B4" w14:textId="77777777" w:rsidR="00685E75" w:rsidRPr="009A1A2E" w:rsidRDefault="00685E75" w:rsidP="00AB05A7">
            <w:pPr>
              <w:jc w:val="center"/>
              <w:rPr>
                <w:rFonts w:ascii="Arial" w:hAnsi="Arial" w:cs="Arial"/>
                <w:color w:val="000000"/>
                <w:sz w:val="20"/>
                <w:szCs w:val="20"/>
                <w:lang w:val="en-AU" w:eastAsia="de-AT"/>
              </w:rPr>
            </w:pPr>
          </w:p>
        </w:tc>
        <w:tc>
          <w:tcPr>
            <w:tcW w:w="1047" w:type="pct"/>
            <w:vMerge/>
            <w:hideMark/>
          </w:tcPr>
          <w:p w14:paraId="727CDA5F" w14:textId="77777777" w:rsidR="00685E75" w:rsidRPr="009A1A2E" w:rsidRDefault="00685E75" w:rsidP="00685E75">
            <w:pPr>
              <w:rPr>
                <w:rFonts w:ascii="Arial" w:hAnsi="Arial" w:cs="Arial"/>
                <w:color w:val="000000"/>
                <w:sz w:val="20"/>
                <w:szCs w:val="20"/>
                <w:lang w:val="en-AU" w:eastAsia="de-AT"/>
              </w:rPr>
            </w:pPr>
          </w:p>
        </w:tc>
      </w:tr>
      <w:tr w:rsidR="00685E75" w:rsidRPr="009A1A2E" w14:paraId="577E2961" w14:textId="77777777" w:rsidTr="00AB05A7">
        <w:trPr>
          <w:trHeight w:val="300"/>
        </w:trPr>
        <w:tc>
          <w:tcPr>
            <w:tcW w:w="5000" w:type="pct"/>
            <w:gridSpan w:val="7"/>
            <w:shd w:val="clear" w:color="auto" w:fill="D9D9D9" w:themeFill="background1" w:themeFillShade="D9"/>
            <w:vAlign w:val="center"/>
            <w:hideMark/>
          </w:tcPr>
          <w:p w14:paraId="3419A93C" w14:textId="77777777" w:rsidR="00685E75" w:rsidRPr="009A1A2E" w:rsidRDefault="00685E75" w:rsidP="00AB05A7">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Partially implantable device: VIBRANT SOUNDBRIDGE</w:t>
            </w:r>
          </w:p>
        </w:tc>
      </w:tr>
      <w:tr w:rsidR="00685E75" w:rsidRPr="009A1A2E" w14:paraId="5DF3A435" w14:textId="77777777" w:rsidTr="00FF3B57">
        <w:trPr>
          <w:trHeight w:val="720"/>
        </w:trPr>
        <w:tc>
          <w:tcPr>
            <w:tcW w:w="769" w:type="pct"/>
            <w:vAlign w:val="center"/>
            <w:hideMark/>
          </w:tcPr>
          <w:p w14:paraId="1E064C20" w14:textId="77777777" w:rsidR="00685E75" w:rsidRPr="009A1A2E" w:rsidRDefault="00685E75" w:rsidP="00AB05A7">
            <w:pPr>
              <w:rPr>
                <w:rFonts w:ascii="Arial" w:hAnsi="Arial" w:cs="Arial"/>
                <w:color w:val="000000"/>
                <w:sz w:val="20"/>
                <w:szCs w:val="20"/>
                <w:lang w:val="en-AU" w:eastAsia="de-AT"/>
              </w:rPr>
            </w:pPr>
            <w:r w:rsidRPr="009A1A2E">
              <w:rPr>
                <w:rFonts w:ascii="Arial" w:hAnsi="Arial" w:cs="Arial"/>
                <w:color w:val="000000"/>
                <w:sz w:val="20"/>
                <w:szCs w:val="20"/>
                <w:lang w:val="en-AU" w:eastAsia="de-AT"/>
              </w:rPr>
              <w:t>Boeheim et al. 2010 Austria</w:t>
            </w:r>
          </w:p>
        </w:tc>
        <w:tc>
          <w:tcPr>
            <w:tcW w:w="563" w:type="pct"/>
            <w:vMerge w:val="restart"/>
            <w:vAlign w:val="center"/>
            <w:hideMark/>
          </w:tcPr>
          <w:p w14:paraId="72A331F3" w14:textId="77777777" w:rsidR="00685E75" w:rsidRPr="009A1A2E" w:rsidRDefault="00685E75" w:rsidP="00AB05A7">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IV</w:t>
            </w:r>
          </w:p>
        </w:tc>
        <w:tc>
          <w:tcPr>
            <w:tcW w:w="554" w:type="pct"/>
            <w:vMerge w:val="restart"/>
            <w:vAlign w:val="center"/>
            <w:hideMark/>
          </w:tcPr>
          <w:p w14:paraId="79C03EAB" w14:textId="77777777" w:rsidR="00685E75" w:rsidRPr="009A1A2E" w:rsidRDefault="00685E75" w:rsidP="00AB05A7">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III-3</w:t>
            </w:r>
          </w:p>
        </w:tc>
        <w:tc>
          <w:tcPr>
            <w:tcW w:w="590" w:type="pct"/>
            <w:vMerge w:val="restart"/>
            <w:vAlign w:val="center"/>
            <w:hideMark/>
          </w:tcPr>
          <w:p w14:paraId="5F312F03" w14:textId="77777777" w:rsidR="00685E75" w:rsidRPr="009A1A2E" w:rsidRDefault="00685E75" w:rsidP="00AB05A7">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10 adults</w:t>
            </w:r>
          </w:p>
        </w:tc>
        <w:tc>
          <w:tcPr>
            <w:tcW w:w="661" w:type="pct"/>
            <w:vMerge w:val="restart"/>
            <w:vAlign w:val="center"/>
            <w:hideMark/>
          </w:tcPr>
          <w:p w14:paraId="7CE580E5" w14:textId="77777777" w:rsidR="00685E75" w:rsidRPr="009A1A2E" w:rsidRDefault="00685E75" w:rsidP="00AB05A7">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5-56 months</w:t>
            </w:r>
          </w:p>
        </w:tc>
        <w:tc>
          <w:tcPr>
            <w:tcW w:w="816" w:type="pct"/>
            <w:vMerge w:val="restart"/>
            <w:vAlign w:val="center"/>
            <w:hideMark/>
          </w:tcPr>
          <w:p w14:paraId="0B8EC63C" w14:textId="66AAEE1F" w:rsidR="00685E75" w:rsidRPr="009A1A2E" w:rsidRDefault="00685E75" w:rsidP="003733D2">
            <w:pPr>
              <w:rPr>
                <w:rFonts w:ascii="Arial" w:hAnsi="Arial" w:cs="Arial"/>
                <w:color w:val="000000"/>
                <w:sz w:val="20"/>
                <w:szCs w:val="20"/>
                <w:lang w:val="en-AU" w:eastAsia="de-AT"/>
              </w:rPr>
            </w:pPr>
            <w:r w:rsidRPr="009A1A2E">
              <w:rPr>
                <w:rFonts w:ascii="Arial" w:hAnsi="Arial" w:cs="Arial"/>
                <w:color w:val="000000"/>
                <w:sz w:val="20"/>
                <w:szCs w:val="20"/>
                <w:lang w:val="en-AU" w:eastAsia="de-AT"/>
              </w:rPr>
              <w:t>Unaided and aided sound field thresholds, Speech recognition in quiet and noise</w:t>
            </w:r>
          </w:p>
        </w:tc>
        <w:tc>
          <w:tcPr>
            <w:tcW w:w="1047" w:type="pct"/>
            <w:vMerge w:val="restart"/>
            <w:vAlign w:val="center"/>
            <w:hideMark/>
          </w:tcPr>
          <w:p w14:paraId="7F5794C7" w14:textId="77777777" w:rsidR="00685E75" w:rsidRPr="009A1A2E" w:rsidRDefault="00685E75" w:rsidP="00FF3B57">
            <w:pPr>
              <w:rPr>
                <w:rFonts w:ascii="Arial" w:hAnsi="Arial" w:cs="Arial"/>
                <w:color w:val="000000"/>
                <w:sz w:val="20"/>
                <w:szCs w:val="20"/>
                <w:lang w:val="en-AU" w:eastAsia="de-AT"/>
              </w:rPr>
            </w:pPr>
            <w:r w:rsidRPr="009A1A2E">
              <w:rPr>
                <w:rFonts w:ascii="Arial" w:hAnsi="Arial" w:cs="Arial"/>
                <w:color w:val="000000"/>
                <w:sz w:val="20"/>
                <w:szCs w:val="20"/>
                <w:lang w:val="en-AU" w:eastAsia="de-AT"/>
              </w:rPr>
              <w:t>Significant improvement</w:t>
            </w:r>
          </w:p>
        </w:tc>
      </w:tr>
      <w:tr w:rsidR="00685E75" w:rsidRPr="009A1A2E" w14:paraId="3EE63125" w14:textId="77777777" w:rsidTr="00FF3B57">
        <w:trPr>
          <w:trHeight w:val="480"/>
        </w:trPr>
        <w:tc>
          <w:tcPr>
            <w:tcW w:w="769" w:type="pct"/>
            <w:vAlign w:val="center"/>
            <w:hideMark/>
          </w:tcPr>
          <w:p w14:paraId="66EF604A" w14:textId="77777777" w:rsidR="00685E75" w:rsidRPr="009A1A2E" w:rsidRDefault="00685E75" w:rsidP="00AB05A7">
            <w:pPr>
              <w:rPr>
                <w:rFonts w:ascii="Arial" w:hAnsi="Arial" w:cs="Arial"/>
                <w:color w:val="000000"/>
                <w:sz w:val="20"/>
                <w:szCs w:val="20"/>
                <w:lang w:val="en-AU" w:eastAsia="de-AT"/>
              </w:rPr>
            </w:pPr>
            <w:r w:rsidRPr="009A1A2E">
              <w:rPr>
                <w:rFonts w:ascii="Arial" w:hAnsi="Arial" w:cs="Arial"/>
                <w:color w:val="000000"/>
                <w:sz w:val="20"/>
                <w:szCs w:val="20"/>
                <w:lang w:val="en-AU" w:eastAsia="de-AT"/>
              </w:rPr>
              <w:t>Prospective, with/without</w:t>
            </w:r>
          </w:p>
        </w:tc>
        <w:tc>
          <w:tcPr>
            <w:tcW w:w="563" w:type="pct"/>
            <w:vMerge/>
            <w:vAlign w:val="center"/>
            <w:hideMark/>
          </w:tcPr>
          <w:p w14:paraId="084DEB53" w14:textId="77777777" w:rsidR="00685E75" w:rsidRPr="009A1A2E" w:rsidRDefault="00685E75" w:rsidP="00AB05A7">
            <w:pPr>
              <w:jc w:val="center"/>
              <w:rPr>
                <w:rFonts w:ascii="Arial" w:hAnsi="Arial" w:cs="Arial"/>
                <w:color w:val="000000"/>
                <w:sz w:val="20"/>
                <w:szCs w:val="20"/>
                <w:lang w:val="en-AU" w:eastAsia="de-AT"/>
              </w:rPr>
            </w:pPr>
          </w:p>
        </w:tc>
        <w:tc>
          <w:tcPr>
            <w:tcW w:w="554" w:type="pct"/>
            <w:vMerge/>
            <w:vAlign w:val="center"/>
            <w:hideMark/>
          </w:tcPr>
          <w:p w14:paraId="30498CF8" w14:textId="77777777" w:rsidR="00685E75" w:rsidRPr="009A1A2E" w:rsidRDefault="00685E75" w:rsidP="00AB05A7">
            <w:pPr>
              <w:jc w:val="center"/>
              <w:rPr>
                <w:rFonts w:ascii="Arial" w:hAnsi="Arial" w:cs="Arial"/>
                <w:color w:val="000000"/>
                <w:sz w:val="20"/>
                <w:szCs w:val="20"/>
                <w:lang w:val="en-AU" w:eastAsia="de-AT"/>
              </w:rPr>
            </w:pPr>
          </w:p>
        </w:tc>
        <w:tc>
          <w:tcPr>
            <w:tcW w:w="590" w:type="pct"/>
            <w:vMerge/>
            <w:vAlign w:val="center"/>
            <w:hideMark/>
          </w:tcPr>
          <w:p w14:paraId="10B1DA51" w14:textId="77777777" w:rsidR="00685E75" w:rsidRPr="009A1A2E" w:rsidRDefault="00685E75" w:rsidP="00AB05A7">
            <w:pPr>
              <w:jc w:val="center"/>
              <w:rPr>
                <w:rFonts w:ascii="Arial" w:hAnsi="Arial" w:cs="Arial"/>
                <w:color w:val="000000"/>
                <w:sz w:val="20"/>
                <w:szCs w:val="20"/>
                <w:lang w:val="en-AU" w:eastAsia="de-AT"/>
              </w:rPr>
            </w:pPr>
          </w:p>
        </w:tc>
        <w:tc>
          <w:tcPr>
            <w:tcW w:w="661" w:type="pct"/>
            <w:vMerge/>
            <w:vAlign w:val="center"/>
            <w:hideMark/>
          </w:tcPr>
          <w:p w14:paraId="12110F33" w14:textId="77777777" w:rsidR="00685E75" w:rsidRPr="009A1A2E" w:rsidRDefault="00685E75" w:rsidP="00AB05A7">
            <w:pPr>
              <w:jc w:val="center"/>
              <w:rPr>
                <w:rFonts w:ascii="Arial" w:hAnsi="Arial" w:cs="Arial"/>
                <w:color w:val="000000"/>
                <w:sz w:val="20"/>
                <w:szCs w:val="20"/>
                <w:lang w:val="en-AU" w:eastAsia="de-AT"/>
              </w:rPr>
            </w:pPr>
          </w:p>
        </w:tc>
        <w:tc>
          <w:tcPr>
            <w:tcW w:w="816" w:type="pct"/>
            <w:vMerge/>
            <w:vAlign w:val="center"/>
            <w:hideMark/>
          </w:tcPr>
          <w:p w14:paraId="3380CCBA" w14:textId="77777777" w:rsidR="00685E75" w:rsidRPr="009A1A2E" w:rsidRDefault="00685E75" w:rsidP="00AB05A7">
            <w:pPr>
              <w:rPr>
                <w:rFonts w:ascii="Arial" w:hAnsi="Arial" w:cs="Arial"/>
                <w:color w:val="000000"/>
                <w:sz w:val="20"/>
                <w:szCs w:val="20"/>
                <w:lang w:val="en-AU" w:eastAsia="de-AT"/>
              </w:rPr>
            </w:pPr>
          </w:p>
        </w:tc>
        <w:tc>
          <w:tcPr>
            <w:tcW w:w="1047" w:type="pct"/>
            <w:vMerge/>
            <w:vAlign w:val="center"/>
            <w:hideMark/>
          </w:tcPr>
          <w:p w14:paraId="6F3AD40F" w14:textId="77777777" w:rsidR="00685E75" w:rsidRPr="009A1A2E" w:rsidRDefault="00685E75" w:rsidP="00FF3B57">
            <w:pPr>
              <w:rPr>
                <w:rFonts w:ascii="Arial" w:hAnsi="Arial" w:cs="Arial"/>
                <w:color w:val="000000"/>
                <w:sz w:val="20"/>
                <w:szCs w:val="20"/>
                <w:lang w:val="en-AU" w:eastAsia="de-AT"/>
              </w:rPr>
            </w:pPr>
          </w:p>
        </w:tc>
      </w:tr>
      <w:tr w:rsidR="00685E75" w:rsidRPr="009A1A2E" w14:paraId="025D8064" w14:textId="77777777" w:rsidTr="00FF3B57">
        <w:trPr>
          <w:trHeight w:val="480"/>
        </w:trPr>
        <w:tc>
          <w:tcPr>
            <w:tcW w:w="769" w:type="pct"/>
            <w:vAlign w:val="center"/>
            <w:hideMark/>
          </w:tcPr>
          <w:p w14:paraId="1FF82F49" w14:textId="77777777" w:rsidR="00685E75" w:rsidRPr="009A1A2E" w:rsidRDefault="00685E75" w:rsidP="00AB05A7">
            <w:pPr>
              <w:rPr>
                <w:rFonts w:ascii="Arial" w:hAnsi="Arial" w:cs="Arial"/>
                <w:color w:val="000000"/>
                <w:sz w:val="20"/>
                <w:szCs w:val="20"/>
                <w:lang w:val="en-AU" w:eastAsia="de-AT"/>
              </w:rPr>
            </w:pPr>
            <w:r w:rsidRPr="009A1A2E">
              <w:rPr>
                <w:rFonts w:ascii="Arial" w:hAnsi="Arial" w:cs="Arial"/>
                <w:color w:val="000000"/>
                <w:sz w:val="20"/>
                <w:szCs w:val="20"/>
                <w:lang w:val="en-AU" w:eastAsia="de-AT"/>
              </w:rPr>
              <w:t>Böheim et al. 2007 Austria</w:t>
            </w:r>
          </w:p>
        </w:tc>
        <w:tc>
          <w:tcPr>
            <w:tcW w:w="563" w:type="pct"/>
            <w:vMerge w:val="restart"/>
            <w:vAlign w:val="center"/>
            <w:hideMark/>
          </w:tcPr>
          <w:p w14:paraId="0F3ACB01" w14:textId="77777777" w:rsidR="00685E75" w:rsidRPr="009A1A2E" w:rsidRDefault="00685E75" w:rsidP="00AB05A7">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IV</w:t>
            </w:r>
          </w:p>
        </w:tc>
        <w:tc>
          <w:tcPr>
            <w:tcW w:w="554" w:type="pct"/>
            <w:vMerge w:val="restart"/>
            <w:vAlign w:val="center"/>
            <w:hideMark/>
          </w:tcPr>
          <w:p w14:paraId="5D8AA3C7" w14:textId="77777777" w:rsidR="00685E75" w:rsidRPr="009A1A2E" w:rsidRDefault="00685E75" w:rsidP="00AB05A7">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III-3</w:t>
            </w:r>
          </w:p>
        </w:tc>
        <w:tc>
          <w:tcPr>
            <w:tcW w:w="590" w:type="pct"/>
            <w:vMerge w:val="restart"/>
            <w:vAlign w:val="center"/>
            <w:hideMark/>
          </w:tcPr>
          <w:p w14:paraId="2AB9EEE6" w14:textId="77777777" w:rsidR="00685E75" w:rsidRPr="009A1A2E" w:rsidRDefault="00685E75" w:rsidP="00AB05A7">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9 adults</w:t>
            </w:r>
          </w:p>
        </w:tc>
        <w:tc>
          <w:tcPr>
            <w:tcW w:w="661" w:type="pct"/>
            <w:vMerge w:val="restart"/>
            <w:vAlign w:val="center"/>
            <w:hideMark/>
          </w:tcPr>
          <w:p w14:paraId="3A0EACB8" w14:textId="77777777" w:rsidR="00685E75" w:rsidRPr="009A1A2E" w:rsidRDefault="00685E75" w:rsidP="00AB05A7">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6 months</w:t>
            </w:r>
          </w:p>
        </w:tc>
        <w:tc>
          <w:tcPr>
            <w:tcW w:w="816" w:type="pct"/>
            <w:vMerge w:val="restart"/>
            <w:vAlign w:val="center"/>
            <w:hideMark/>
          </w:tcPr>
          <w:p w14:paraId="6004ED67" w14:textId="77777777" w:rsidR="00685E75" w:rsidRPr="009A1A2E" w:rsidRDefault="00685E75" w:rsidP="00AB05A7">
            <w:pPr>
              <w:rPr>
                <w:rFonts w:ascii="Arial" w:hAnsi="Arial" w:cs="Arial"/>
                <w:color w:val="000000"/>
                <w:sz w:val="20"/>
                <w:szCs w:val="20"/>
                <w:lang w:val="en-AU" w:eastAsia="de-AT"/>
              </w:rPr>
            </w:pPr>
            <w:r w:rsidRPr="009A1A2E">
              <w:rPr>
                <w:rFonts w:ascii="Arial" w:hAnsi="Arial" w:cs="Arial"/>
                <w:color w:val="000000"/>
                <w:sz w:val="20"/>
                <w:szCs w:val="20"/>
                <w:lang w:val="en-AU" w:eastAsia="de-AT"/>
              </w:rPr>
              <w:t>Unaided and aided PTA4 , Speech recognition in quiet and noise</w:t>
            </w:r>
          </w:p>
        </w:tc>
        <w:tc>
          <w:tcPr>
            <w:tcW w:w="1047" w:type="pct"/>
            <w:vMerge w:val="restart"/>
            <w:vAlign w:val="center"/>
            <w:hideMark/>
          </w:tcPr>
          <w:p w14:paraId="38146B19" w14:textId="77777777" w:rsidR="00685E75" w:rsidRPr="009A1A2E" w:rsidRDefault="00685E75" w:rsidP="00FF3B57">
            <w:pPr>
              <w:rPr>
                <w:rFonts w:ascii="Arial" w:hAnsi="Arial" w:cs="Arial"/>
                <w:color w:val="000000"/>
                <w:sz w:val="20"/>
                <w:szCs w:val="20"/>
                <w:lang w:val="en-AU" w:eastAsia="de-AT"/>
              </w:rPr>
            </w:pPr>
            <w:r w:rsidRPr="009A1A2E">
              <w:rPr>
                <w:rFonts w:ascii="Arial" w:hAnsi="Arial" w:cs="Arial"/>
                <w:color w:val="000000"/>
                <w:sz w:val="20"/>
                <w:szCs w:val="20"/>
                <w:lang w:val="en-AU" w:eastAsia="de-AT"/>
              </w:rPr>
              <w:t>Significant Improvement</w:t>
            </w:r>
          </w:p>
        </w:tc>
      </w:tr>
      <w:tr w:rsidR="00685E75" w:rsidRPr="009A1A2E" w14:paraId="20B1FB48" w14:textId="77777777" w:rsidTr="00FF3B57">
        <w:trPr>
          <w:trHeight w:val="720"/>
        </w:trPr>
        <w:tc>
          <w:tcPr>
            <w:tcW w:w="769" w:type="pct"/>
            <w:vAlign w:val="center"/>
            <w:hideMark/>
          </w:tcPr>
          <w:p w14:paraId="58133BCB" w14:textId="77777777" w:rsidR="00685E75" w:rsidRPr="009A1A2E" w:rsidRDefault="00685E75" w:rsidP="00AB05A7">
            <w:pPr>
              <w:rPr>
                <w:rFonts w:ascii="Arial" w:hAnsi="Arial" w:cs="Arial"/>
                <w:color w:val="000000"/>
                <w:sz w:val="20"/>
                <w:szCs w:val="20"/>
                <w:lang w:val="en-AU" w:eastAsia="de-AT"/>
              </w:rPr>
            </w:pPr>
            <w:r w:rsidRPr="009A1A2E">
              <w:rPr>
                <w:rFonts w:ascii="Arial" w:hAnsi="Arial" w:cs="Arial"/>
                <w:color w:val="000000"/>
                <w:sz w:val="20"/>
                <w:szCs w:val="20"/>
                <w:lang w:val="en-AU" w:eastAsia="de-AT"/>
              </w:rPr>
              <w:t>Retrospective pre/post study</w:t>
            </w:r>
          </w:p>
        </w:tc>
        <w:tc>
          <w:tcPr>
            <w:tcW w:w="563" w:type="pct"/>
            <w:vMerge/>
            <w:vAlign w:val="center"/>
            <w:hideMark/>
          </w:tcPr>
          <w:p w14:paraId="74E9AED1" w14:textId="77777777" w:rsidR="00685E75" w:rsidRPr="009A1A2E" w:rsidRDefault="00685E75" w:rsidP="00AB05A7">
            <w:pPr>
              <w:jc w:val="center"/>
              <w:rPr>
                <w:rFonts w:ascii="Arial" w:hAnsi="Arial" w:cs="Arial"/>
                <w:color w:val="000000"/>
                <w:sz w:val="20"/>
                <w:szCs w:val="20"/>
                <w:lang w:val="en-AU" w:eastAsia="de-AT"/>
              </w:rPr>
            </w:pPr>
          </w:p>
        </w:tc>
        <w:tc>
          <w:tcPr>
            <w:tcW w:w="554" w:type="pct"/>
            <w:vMerge/>
            <w:vAlign w:val="center"/>
            <w:hideMark/>
          </w:tcPr>
          <w:p w14:paraId="43E47120" w14:textId="77777777" w:rsidR="00685E75" w:rsidRPr="009A1A2E" w:rsidRDefault="00685E75" w:rsidP="00AB05A7">
            <w:pPr>
              <w:jc w:val="center"/>
              <w:rPr>
                <w:rFonts w:ascii="Arial" w:hAnsi="Arial" w:cs="Arial"/>
                <w:color w:val="000000"/>
                <w:sz w:val="20"/>
                <w:szCs w:val="20"/>
                <w:lang w:val="en-AU" w:eastAsia="de-AT"/>
              </w:rPr>
            </w:pPr>
          </w:p>
        </w:tc>
        <w:tc>
          <w:tcPr>
            <w:tcW w:w="590" w:type="pct"/>
            <w:vMerge/>
            <w:vAlign w:val="center"/>
            <w:hideMark/>
          </w:tcPr>
          <w:p w14:paraId="2DD4B35D" w14:textId="77777777" w:rsidR="00685E75" w:rsidRPr="009A1A2E" w:rsidRDefault="00685E75" w:rsidP="00AB05A7">
            <w:pPr>
              <w:jc w:val="center"/>
              <w:rPr>
                <w:rFonts w:ascii="Arial" w:hAnsi="Arial" w:cs="Arial"/>
                <w:color w:val="000000"/>
                <w:sz w:val="20"/>
                <w:szCs w:val="20"/>
                <w:lang w:val="en-AU" w:eastAsia="de-AT"/>
              </w:rPr>
            </w:pPr>
          </w:p>
        </w:tc>
        <w:tc>
          <w:tcPr>
            <w:tcW w:w="661" w:type="pct"/>
            <w:vMerge/>
            <w:vAlign w:val="center"/>
            <w:hideMark/>
          </w:tcPr>
          <w:p w14:paraId="53F1CF59" w14:textId="77777777" w:rsidR="00685E75" w:rsidRPr="009A1A2E" w:rsidRDefault="00685E75" w:rsidP="00AB05A7">
            <w:pPr>
              <w:jc w:val="center"/>
              <w:rPr>
                <w:rFonts w:ascii="Arial" w:hAnsi="Arial" w:cs="Arial"/>
                <w:color w:val="000000"/>
                <w:sz w:val="20"/>
                <w:szCs w:val="20"/>
                <w:lang w:val="en-AU" w:eastAsia="de-AT"/>
              </w:rPr>
            </w:pPr>
          </w:p>
        </w:tc>
        <w:tc>
          <w:tcPr>
            <w:tcW w:w="816" w:type="pct"/>
            <w:vMerge/>
            <w:vAlign w:val="center"/>
            <w:hideMark/>
          </w:tcPr>
          <w:p w14:paraId="7EAC7DFE" w14:textId="77777777" w:rsidR="00685E75" w:rsidRPr="009A1A2E" w:rsidRDefault="00685E75" w:rsidP="00AB05A7">
            <w:pPr>
              <w:rPr>
                <w:rFonts w:ascii="Arial" w:hAnsi="Arial" w:cs="Arial"/>
                <w:color w:val="000000"/>
                <w:sz w:val="20"/>
                <w:szCs w:val="20"/>
                <w:lang w:val="en-AU" w:eastAsia="de-AT"/>
              </w:rPr>
            </w:pPr>
          </w:p>
        </w:tc>
        <w:tc>
          <w:tcPr>
            <w:tcW w:w="1047" w:type="pct"/>
            <w:vMerge/>
            <w:vAlign w:val="center"/>
            <w:hideMark/>
          </w:tcPr>
          <w:p w14:paraId="3A6A725C" w14:textId="77777777" w:rsidR="00685E75" w:rsidRPr="009A1A2E" w:rsidRDefault="00685E75" w:rsidP="00FF3B57">
            <w:pPr>
              <w:jc w:val="center"/>
              <w:rPr>
                <w:rFonts w:ascii="Arial" w:hAnsi="Arial" w:cs="Arial"/>
                <w:color w:val="000000"/>
                <w:sz w:val="20"/>
                <w:szCs w:val="20"/>
                <w:lang w:val="en-AU" w:eastAsia="de-AT"/>
              </w:rPr>
            </w:pPr>
          </w:p>
        </w:tc>
      </w:tr>
      <w:tr w:rsidR="00685E75" w:rsidRPr="009A1A2E" w14:paraId="1B693416" w14:textId="77777777" w:rsidTr="00FF3B57">
        <w:trPr>
          <w:cantSplit/>
          <w:trHeight w:val="480"/>
        </w:trPr>
        <w:tc>
          <w:tcPr>
            <w:tcW w:w="769" w:type="pct"/>
            <w:vAlign w:val="center"/>
            <w:hideMark/>
          </w:tcPr>
          <w:p w14:paraId="0ACF239E" w14:textId="77777777" w:rsidR="00FF3B57" w:rsidRDefault="00FF3B57" w:rsidP="00AB05A7">
            <w:pPr>
              <w:rPr>
                <w:rFonts w:ascii="Arial" w:hAnsi="Arial" w:cs="Arial"/>
                <w:color w:val="000000"/>
                <w:sz w:val="20"/>
                <w:szCs w:val="20"/>
                <w:lang w:val="en-AU" w:eastAsia="de-AT"/>
              </w:rPr>
            </w:pPr>
          </w:p>
          <w:p w14:paraId="6701B40C" w14:textId="77777777" w:rsidR="00685E75" w:rsidRPr="009A1A2E" w:rsidRDefault="00685E75" w:rsidP="00AB05A7">
            <w:pPr>
              <w:rPr>
                <w:rFonts w:ascii="Arial" w:hAnsi="Arial" w:cs="Arial"/>
                <w:color w:val="000000"/>
                <w:sz w:val="20"/>
                <w:szCs w:val="20"/>
                <w:lang w:val="en-AU" w:eastAsia="de-AT"/>
              </w:rPr>
            </w:pPr>
            <w:r w:rsidRPr="009A1A2E">
              <w:rPr>
                <w:rFonts w:ascii="Arial" w:hAnsi="Arial" w:cs="Arial"/>
                <w:color w:val="000000"/>
                <w:sz w:val="20"/>
                <w:szCs w:val="20"/>
                <w:lang w:val="en-AU" w:eastAsia="de-AT"/>
              </w:rPr>
              <w:t>Fisch et al. 2001 Europe</w:t>
            </w:r>
          </w:p>
        </w:tc>
        <w:tc>
          <w:tcPr>
            <w:tcW w:w="563" w:type="pct"/>
            <w:vMerge w:val="restart"/>
            <w:vAlign w:val="center"/>
            <w:hideMark/>
          </w:tcPr>
          <w:p w14:paraId="476527B8" w14:textId="77777777" w:rsidR="00685E75" w:rsidRPr="009A1A2E" w:rsidRDefault="00685E75" w:rsidP="00AB05A7">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III</w:t>
            </w:r>
          </w:p>
        </w:tc>
        <w:tc>
          <w:tcPr>
            <w:tcW w:w="554" w:type="pct"/>
            <w:vMerge w:val="restart"/>
            <w:vAlign w:val="center"/>
            <w:hideMark/>
          </w:tcPr>
          <w:p w14:paraId="0EB1A540" w14:textId="77777777" w:rsidR="00685E75" w:rsidRPr="009A1A2E" w:rsidRDefault="00685E75" w:rsidP="00AB05A7">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III-2</w:t>
            </w:r>
          </w:p>
        </w:tc>
        <w:tc>
          <w:tcPr>
            <w:tcW w:w="590" w:type="pct"/>
            <w:vMerge w:val="restart"/>
            <w:vAlign w:val="center"/>
            <w:hideMark/>
          </w:tcPr>
          <w:p w14:paraId="501D2ED6" w14:textId="77777777" w:rsidR="00685E75" w:rsidRPr="009A1A2E" w:rsidRDefault="00685E75" w:rsidP="00AB05A7">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47 adults</w:t>
            </w:r>
          </w:p>
        </w:tc>
        <w:tc>
          <w:tcPr>
            <w:tcW w:w="661" w:type="pct"/>
            <w:vMerge w:val="restart"/>
            <w:vAlign w:val="center"/>
            <w:hideMark/>
          </w:tcPr>
          <w:p w14:paraId="0A9AB67D" w14:textId="77777777" w:rsidR="00685E75" w:rsidRPr="009A1A2E" w:rsidRDefault="00685E75" w:rsidP="00AB05A7">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3 months</w:t>
            </w:r>
          </w:p>
        </w:tc>
        <w:tc>
          <w:tcPr>
            <w:tcW w:w="816" w:type="pct"/>
            <w:vMerge w:val="restart"/>
            <w:vAlign w:val="center"/>
            <w:hideMark/>
          </w:tcPr>
          <w:p w14:paraId="6C579EB7" w14:textId="77777777" w:rsidR="00685E75" w:rsidRPr="009A1A2E" w:rsidRDefault="00685E75" w:rsidP="00AB05A7">
            <w:pPr>
              <w:rPr>
                <w:rFonts w:ascii="Arial" w:hAnsi="Arial" w:cs="Arial"/>
                <w:color w:val="000000"/>
                <w:sz w:val="20"/>
                <w:szCs w:val="20"/>
                <w:lang w:val="en-AU" w:eastAsia="de-AT"/>
              </w:rPr>
            </w:pPr>
            <w:r w:rsidRPr="009A1A2E">
              <w:rPr>
                <w:rFonts w:ascii="Arial" w:hAnsi="Arial" w:cs="Arial"/>
                <w:color w:val="000000"/>
                <w:sz w:val="20"/>
                <w:szCs w:val="20"/>
                <w:lang w:val="en-AU" w:eastAsia="de-AT"/>
              </w:rPr>
              <w:t>Unaided pure tone audiometry, Subjective impressions of sound quality - not reported</w:t>
            </w:r>
          </w:p>
        </w:tc>
        <w:tc>
          <w:tcPr>
            <w:tcW w:w="1047" w:type="pct"/>
            <w:vMerge w:val="restart"/>
            <w:vAlign w:val="center"/>
            <w:hideMark/>
          </w:tcPr>
          <w:p w14:paraId="7870D35B" w14:textId="77777777" w:rsidR="00685E75" w:rsidRPr="009A1A2E" w:rsidRDefault="00685E75" w:rsidP="00FF3B57">
            <w:pPr>
              <w:rPr>
                <w:rFonts w:ascii="Arial" w:hAnsi="Arial" w:cs="Arial"/>
                <w:color w:val="000000"/>
                <w:sz w:val="20"/>
                <w:szCs w:val="20"/>
                <w:lang w:val="en-AU" w:eastAsia="de-AT"/>
              </w:rPr>
            </w:pPr>
            <w:r w:rsidRPr="009A1A2E">
              <w:rPr>
                <w:rFonts w:ascii="Arial" w:hAnsi="Arial" w:cs="Arial"/>
                <w:color w:val="000000"/>
                <w:sz w:val="20"/>
                <w:szCs w:val="20"/>
                <w:lang w:val="en-AU" w:eastAsia="de-AT"/>
              </w:rPr>
              <w:t>Safety of the surgical procedure was demonstrated</w:t>
            </w:r>
          </w:p>
        </w:tc>
      </w:tr>
      <w:tr w:rsidR="00685E75" w:rsidRPr="009A1A2E" w14:paraId="0FDBF955" w14:textId="77777777" w:rsidTr="00FF3B57">
        <w:trPr>
          <w:cantSplit/>
          <w:trHeight w:val="720"/>
        </w:trPr>
        <w:tc>
          <w:tcPr>
            <w:tcW w:w="769" w:type="pct"/>
            <w:vAlign w:val="center"/>
            <w:hideMark/>
          </w:tcPr>
          <w:p w14:paraId="2DFFE45E" w14:textId="77777777" w:rsidR="00685E75" w:rsidRPr="009A1A2E" w:rsidRDefault="00685E75" w:rsidP="00AB05A7">
            <w:pPr>
              <w:rPr>
                <w:rFonts w:ascii="Arial" w:hAnsi="Arial" w:cs="Arial"/>
                <w:color w:val="000000"/>
                <w:sz w:val="20"/>
                <w:szCs w:val="20"/>
                <w:lang w:val="en-AU" w:eastAsia="de-AT"/>
              </w:rPr>
            </w:pPr>
            <w:r w:rsidRPr="009A1A2E">
              <w:rPr>
                <w:rFonts w:ascii="Arial" w:hAnsi="Arial" w:cs="Arial"/>
                <w:color w:val="000000"/>
                <w:sz w:val="20"/>
                <w:szCs w:val="20"/>
                <w:lang w:val="en-AU" w:eastAsia="de-AT"/>
              </w:rPr>
              <w:t>Prospective, single arm trial</w:t>
            </w:r>
          </w:p>
        </w:tc>
        <w:tc>
          <w:tcPr>
            <w:tcW w:w="563" w:type="pct"/>
            <w:vMerge/>
            <w:vAlign w:val="center"/>
            <w:hideMark/>
          </w:tcPr>
          <w:p w14:paraId="4CE8C2B7" w14:textId="77777777" w:rsidR="00685E75" w:rsidRPr="009A1A2E" w:rsidRDefault="00685E75" w:rsidP="00AB05A7">
            <w:pPr>
              <w:jc w:val="center"/>
              <w:rPr>
                <w:rFonts w:ascii="Arial" w:hAnsi="Arial" w:cs="Arial"/>
                <w:color w:val="000000"/>
                <w:sz w:val="20"/>
                <w:szCs w:val="20"/>
                <w:lang w:val="en-AU" w:eastAsia="de-AT"/>
              </w:rPr>
            </w:pPr>
          </w:p>
        </w:tc>
        <w:tc>
          <w:tcPr>
            <w:tcW w:w="554" w:type="pct"/>
            <w:vMerge/>
            <w:vAlign w:val="center"/>
            <w:hideMark/>
          </w:tcPr>
          <w:p w14:paraId="1882B4C9" w14:textId="77777777" w:rsidR="00685E75" w:rsidRPr="009A1A2E" w:rsidRDefault="00685E75" w:rsidP="00AB05A7">
            <w:pPr>
              <w:jc w:val="center"/>
              <w:rPr>
                <w:rFonts w:ascii="Arial" w:hAnsi="Arial" w:cs="Arial"/>
                <w:color w:val="000000"/>
                <w:sz w:val="20"/>
                <w:szCs w:val="20"/>
                <w:lang w:val="en-AU" w:eastAsia="de-AT"/>
              </w:rPr>
            </w:pPr>
          </w:p>
        </w:tc>
        <w:tc>
          <w:tcPr>
            <w:tcW w:w="590" w:type="pct"/>
            <w:vMerge/>
            <w:vAlign w:val="center"/>
            <w:hideMark/>
          </w:tcPr>
          <w:p w14:paraId="695E2F60" w14:textId="77777777" w:rsidR="00685E75" w:rsidRPr="009A1A2E" w:rsidRDefault="00685E75" w:rsidP="00AB05A7">
            <w:pPr>
              <w:jc w:val="center"/>
              <w:rPr>
                <w:rFonts w:ascii="Arial" w:hAnsi="Arial" w:cs="Arial"/>
                <w:color w:val="000000"/>
                <w:sz w:val="20"/>
                <w:szCs w:val="20"/>
                <w:lang w:val="en-AU" w:eastAsia="de-AT"/>
              </w:rPr>
            </w:pPr>
          </w:p>
        </w:tc>
        <w:tc>
          <w:tcPr>
            <w:tcW w:w="661" w:type="pct"/>
            <w:vMerge/>
            <w:vAlign w:val="center"/>
            <w:hideMark/>
          </w:tcPr>
          <w:p w14:paraId="5D4C6418" w14:textId="77777777" w:rsidR="00685E75" w:rsidRPr="009A1A2E" w:rsidRDefault="00685E75" w:rsidP="00AB05A7">
            <w:pPr>
              <w:jc w:val="center"/>
              <w:rPr>
                <w:rFonts w:ascii="Arial" w:hAnsi="Arial" w:cs="Arial"/>
                <w:color w:val="000000"/>
                <w:sz w:val="20"/>
                <w:szCs w:val="20"/>
                <w:lang w:val="en-AU" w:eastAsia="de-AT"/>
              </w:rPr>
            </w:pPr>
          </w:p>
        </w:tc>
        <w:tc>
          <w:tcPr>
            <w:tcW w:w="816" w:type="pct"/>
            <w:vMerge/>
            <w:vAlign w:val="center"/>
            <w:hideMark/>
          </w:tcPr>
          <w:p w14:paraId="56A8CDFA" w14:textId="77777777" w:rsidR="00685E75" w:rsidRPr="009A1A2E" w:rsidRDefault="00685E75" w:rsidP="00AB05A7">
            <w:pPr>
              <w:rPr>
                <w:rFonts w:ascii="Arial" w:hAnsi="Arial" w:cs="Arial"/>
                <w:color w:val="000000"/>
                <w:sz w:val="20"/>
                <w:szCs w:val="20"/>
                <w:lang w:val="en-AU" w:eastAsia="de-AT"/>
              </w:rPr>
            </w:pPr>
          </w:p>
        </w:tc>
        <w:tc>
          <w:tcPr>
            <w:tcW w:w="1047" w:type="pct"/>
            <w:vMerge/>
            <w:hideMark/>
          </w:tcPr>
          <w:p w14:paraId="24F2C0D2" w14:textId="77777777" w:rsidR="00685E75" w:rsidRPr="009A1A2E" w:rsidRDefault="00685E75" w:rsidP="00AB05A7">
            <w:pPr>
              <w:rPr>
                <w:rFonts w:ascii="Arial" w:hAnsi="Arial" w:cs="Arial"/>
                <w:color w:val="000000"/>
                <w:sz w:val="20"/>
                <w:szCs w:val="20"/>
                <w:lang w:val="en-AU" w:eastAsia="de-AT"/>
              </w:rPr>
            </w:pPr>
          </w:p>
        </w:tc>
      </w:tr>
      <w:tr w:rsidR="00685E75" w:rsidRPr="009A1A2E" w14:paraId="51604DFD" w14:textId="77777777" w:rsidTr="00AB05A7">
        <w:trPr>
          <w:trHeight w:val="480"/>
        </w:trPr>
        <w:tc>
          <w:tcPr>
            <w:tcW w:w="769" w:type="pct"/>
            <w:vAlign w:val="center"/>
            <w:hideMark/>
          </w:tcPr>
          <w:p w14:paraId="04F8D879" w14:textId="77777777" w:rsidR="00685E75" w:rsidRPr="009A1A2E" w:rsidRDefault="00685E75" w:rsidP="00AB05A7">
            <w:pPr>
              <w:rPr>
                <w:rFonts w:ascii="Arial" w:hAnsi="Arial" w:cs="Arial"/>
                <w:color w:val="000000"/>
                <w:sz w:val="20"/>
                <w:szCs w:val="20"/>
                <w:lang w:val="en-AU" w:eastAsia="de-AT"/>
              </w:rPr>
            </w:pPr>
            <w:r w:rsidRPr="009A1A2E">
              <w:rPr>
                <w:rFonts w:ascii="Arial" w:hAnsi="Arial" w:cs="Arial"/>
                <w:color w:val="000000"/>
                <w:sz w:val="20"/>
                <w:szCs w:val="20"/>
                <w:lang w:val="en-AU" w:eastAsia="de-AT"/>
              </w:rPr>
              <w:t>Fraysse et al. 2001 France</w:t>
            </w:r>
          </w:p>
        </w:tc>
        <w:tc>
          <w:tcPr>
            <w:tcW w:w="563" w:type="pct"/>
            <w:vMerge w:val="restart"/>
            <w:vAlign w:val="center"/>
            <w:hideMark/>
          </w:tcPr>
          <w:p w14:paraId="59953BF9" w14:textId="77777777" w:rsidR="00685E75" w:rsidRPr="009A1A2E" w:rsidRDefault="00685E75" w:rsidP="00AB05A7">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IV</w:t>
            </w:r>
          </w:p>
        </w:tc>
        <w:tc>
          <w:tcPr>
            <w:tcW w:w="554" w:type="pct"/>
            <w:vMerge w:val="restart"/>
            <w:vAlign w:val="center"/>
            <w:hideMark/>
          </w:tcPr>
          <w:p w14:paraId="4D2AAB21" w14:textId="77777777" w:rsidR="00685E75" w:rsidRPr="009A1A2E" w:rsidRDefault="00685E75" w:rsidP="00AB05A7">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III-2</w:t>
            </w:r>
          </w:p>
        </w:tc>
        <w:tc>
          <w:tcPr>
            <w:tcW w:w="590" w:type="pct"/>
            <w:vMerge w:val="restart"/>
            <w:vAlign w:val="center"/>
            <w:hideMark/>
          </w:tcPr>
          <w:p w14:paraId="78F3EB80" w14:textId="77777777" w:rsidR="00685E75" w:rsidRPr="009A1A2E" w:rsidRDefault="00685E75" w:rsidP="00AB05A7">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25 adults</w:t>
            </w:r>
          </w:p>
        </w:tc>
        <w:tc>
          <w:tcPr>
            <w:tcW w:w="661" w:type="pct"/>
            <w:vMerge w:val="restart"/>
            <w:vAlign w:val="center"/>
            <w:hideMark/>
          </w:tcPr>
          <w:p w14:paraId="409E7786" w14:textId="77777777" w:rsidR="00685E75" w:rsidRPr="009A1A2E" w:rsidRDefault="00685E75" w:rsidP="00AB05A7">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22 months</w:t>
            </w:r>
          </w:p>
        </w:tc>
        <w:tc>
          <w:tcPr>
            <w:tcW w:w="816" w:type="pct"/>
            <w:vMerge w:val="restart"/>
            <w:vAlign w:val="center"/>
            <w:hideMark/>
          </w:tcPr>
          <w:p w14:paraId="1A5C2A6C" w14:textId="77777777" w:rsidR="00685E75" w:rsidRPr="009A1A2E" w:rsidRDefault="00685E75" w:rsidP="00AB05A7">
            <w:pPr>
              <w:rPr>
                <w:rFonts w:ascii="Arial" w:hAnsi="Arial" w:cs="Arial"/>
                <w:color w:val="000000"/>
                <w:sz w:val="20"/>
                <w:szCs w:val="20"/>
                <w:lang w:val="en-AU" w:eastAsia="de-AT"/>
              </w:rPr>
            </w:pPr>
            <w:r w:rsidRPr="009A1A2E">
              <w:rPr>
                <w:rFonts w:ascii="Arial" w:hAnsi="Arial" w:cs="Arial"/>
                <w:color w:val="000000"/>
                <w:sz w:val="20"/>
                <w:szCs w:val="20"/>
                <w:lang w:val="en-AU" w:eastAsia="de-AT"/>
              </w:rPr>
              <w:t>Unaided and aided sound field thresholds (PTA4), Speech recognition, Subjective outcomes using the APHAB</w:t>
            </w:r>
          </w:p>
        </w:tc>
        <w:tc>
          <w:tcPr>
            <w:tcW w:w="1047" w:type="pct"/>
            <w:vMerge w:val="restart"/>
            <w:hideMark/>
          </w:tcPr>
          <w:p w14:paraId="5CD4236F" w14:textId="77777777" w:rsidR="00685E75" w:rsidRPr="009A1A2E" w:rsidRDefault="00685E75" w:rsidP="00AB05A7">
            <w:pPr>
              <w:rPr>
                <w:rFonts w:ascii="Arial" w:hAnsi="Arial" w:cs="Arial"/>
                <w:color w:val="000000"/>
                <w:sz w:val="20"/>
                <w:szCs w:val="20"/>
                <w:lang w:val="en-AU" w:eastAsia="de-AT"/>
              </w:rPr>
            </w:pPr>
            <w:r w:rsidRPr="009A1A2E">
              <w:rPr>
                <w:rFonts w:ascii="Arial" w:hAnsi="Arial" w:cs="Arial"/>
                <w:color w:val="000000"/>
                <w:sz w:val="20"/>
                <w:szCs w:val="20"/>
                <w:lang w:val="en-AU" w:eastAsia="de-AT"/>
              </w:rPr>
              <w:t>Measurable benefit from the VBS in comparison with HA (superior amplification,greater ease in communication in noise)</w:t>
            </w:r>
          </w:p>
        </w:tc>
      </w:tr>
      <w:tr w:rsidR="00685E75" w:rsidRPr="009A1A2E" w14:paraId="63D08B63" w14:textId="77777777" w:rsidTr="00AB05A7">
        <w:trPr>
          <w:trHeight w:val="720"/>
        </w:trPr>
        <w:tc>
          <w:tcPr>
            <w:tcW w:w="769" w:type="pct"/>
            <w:vAlign w:val="center"/>
            <w:hideMark/>
          </w:tcPr>
          <w:p w14:paraId="769CB5A1" w14:textId="77777777" w:rsidR="00685E75" w:rsidRPr="009A1A2E" w:rsidRDefault="00685E75" w:rsidP="00AB05A7">
            <w:pPr>
              <w:rPr>
                <w:rFonts w:ascii="Arial" w:hAnsi="Arial" w:cs="Arial"/>
                <w:color w:val="000000"/>
                <w:sz w:val="20"/>
                <w:szCs w:val="20"/>
                <w:lang w:val="en-AU" w:eastAsia="de-AT"/>
              </w:rPr>
            </w:pPr>
            <w:r w:rsidRPr="009A1A2E">
              <w:rPr>
                <w:rFonts w:ascii="Arial" w:hAnsi="Arial" w:cs="Arial"/>
                <w:color w:val="000000"/>
                <w:sz w:val="20"/>
                <w:szCs w:val="20"/>
                <w:lang w:val="en-AU" w:eastAsia="de-AT"/>
              </w:rPr>
              <w:t>Prospective, pre/post study</w:t>
            </w:r>
          </w:p>
        </w:tc>
        <w:tc>
          <w:tcPr>
            <w:tcW w:w="563" w:type="pct"/>
            <w:vMerge/>
            <w:vAlign w:val="center"/>
            <w:hideMark/>
          </w:tcPr>
          <w:p w14:paraId="74F0CFB4" w14:textId="77777777" w:rsidR="00685E75" w:rsidRPr="009A1A2E" w:rsidRDefault="00685E75" w:rsidP="00AB05A7">
            <w:pPr>
              <w:jc w:val="center"/>
              <w:rPr>
                <w:rFonts w:ascii="Arial" w:hAnsi="Arial" w:cs="Arial"/>
                <w:color w:val="000000"/>
                <w:sz w:val="20"/>
                <w:szCs w:val="20"/>
                <w:lang w:val="en-AU" w:eastAsia="de-AT"/>
              </w:rPr>
            </w:pPr>
          </w:p>
        </w:tc>
        <w:tc>
          <w:tcPr>
            <w:tcW w:w="554" w:type="pct"/>
            <w:vMerge/>
            <w:vAlign w:val="center"/>
            <w:hideMark/>
          </w:tcPr>
          <w:p w14:paraId="555D3416" w14:textId="77777777" w:rsidR="00685E75" w:rsidRPr="009A1A2E" w:rsidRDefault="00685E75" w:rsidP="00AB05A7">
            <w:pPr>
              <w:jc w:val="center"/>
              <w:rPr>
                <w:rFonts w:ascii="Arial" w:hAnsi="Arial" w:cs="Arial"/>
                <w:color w:val="000000"/>
                <w:sz w:val="20"/>
                <w:szCs w:val="20"/>
                <w:lang w:val="en-AU" w:eastAsia="de-AT"/>
              </w:rPr>
            </w:pPr>
          </w:p>
        </w:tc>
        <w:tc>
          <w:tcPr>
            <w:tcW w:w="590" w:type="pct"/>
            <w:vMerge/>
            <w:vAlign w:val="center"/>
            <w:hideMark/>
          </w:tcPr>
          <w:p w14:paraId="73A40808" w14:textId="77777777" w:rsidR="00685E75" w:rsidRPr="009A1A2E" w:rsidRDefault="00685E75" w:rsidP="00AB05A7">
            <w:pPr>
              <w:jc w:val="center"/>
              <w:rPr>
                <w:rFonts w:ascii="Arial" w:hAnsi="Arial" w:cs="Arial"/>
                <w:color w:val="000000"/>
                <w:sz w:val="20"/>
                <w:szCs w:val="20"/>
                <w:lang w:val="en-AU" w:eastAsia="de-AT"/>
              </w:rPr>
            </w:pPr>
          </w:p>
        </w:tc>
        <w:tc>
          <w:tcPr>
            <w:tcW w:w="661" w:type="pct"/>
            <w:vMerge/>
            <w:vAlign w:val="center"/>
            <w:hideMark/>
          </w:tcPr>
          <w:p w14:paraId="76D50527" w14:textId="77777777" w:rsidR="00685E75" w:rsidRPr="009A1A2E" w:rsidRDefault="00685E75" w:rsidP="00AB05A7">
            <w:pPr>
              <w:jc w:val="center"/>
              <w:rPr>
                <w:rFonts w:ascii="Arial" w:hAnsi="Arial" w:cs="Arial"/>
                <w:color w:val="000000"/>
                <w:sz w:val="20"/>
                <w:szCs w:val="20"/>
                <w:lang w:val="en-AU" w:eastAsia="de-AT"/>
              </w:rPr>
            </w:pPr>
          </w:p>
        </w:tc>
        <w:tc>
          <w:tcPr>
            <w:tcW w:w="816" w:type="pct"/>
            <w:vMerge/>
            <w:vAlign w:val="center"/>
            <w:hideMark/>
          </w:tcPr>
          <w:p w14:paraId="653398E2" w14:textId="77777777" w:rsidR="00685E75" w:rsidRPr="009A1A2E" w:rsidRDefault="00685E75" w:rsidP="00AB05A7">
            <w:pPr>
              <w:rPr>
                <w:rFonts w:ascii="Arial" w:hAnsi="Arial" w:cs="Arial"/>
                <w:color w:val="000000"/>
                <w:sz w:val="20"/>
                <w:szCs w:val="20"/>
                <w:lang w:val="en-AU" w:eastAsia="de-AT"/>
              </w:rPr>
            </w:pPr>
          </w:p>
        </w:tc>
        <w:tc>
          <w:tcPr>
            <w:tcW w:w="1047" w:type="pct"/>
            <w:vMerge/>
            <w:hideMark/>
          </w:tcPr>
          <w:p w14:paraId="077D0FB7" w14:textId="77777777" w:rsidR="00685E75" w:rsidRPr="009A1A2E" w:rsidRDefault="00685E75" w:rsidP="00AB05A7">
            <w:pPr>
              <w:rPr>
                <w:rFonts w:ascii="Arial" w:hAnsi="Arial" w:cs="Arial"/>
                <w:color w:val="000000"/>
                <w:sz w:val="20"/>
                <w:szCs w:val="20"/>
                <w:lang w:val="en-AU" w:eastAsia="de-AT"/>
              </w:rPr>
            </w:pPr>
          </w:p>
        </w:tc>
      </w:tr>
      <w:tr w:rsidR="00685E75" w:rsidRPr="009A1A2E" w14:paraId="55BC3EED" w14:textId="77777777" w:rsidTr="00FF3B57">
        <w:trPr>
          <w:trHeight w:val="720"/>
        </w:trPr>
        <w:tc>
          <w:tcPr>
            <w:tcW w:w="769" w:type="pct"/>
            <w:vAlign w:val="center"/>
            <w:hideMark/>
          </w:tcPr>
          <w:p w14:paraId="52803FBD" w14:textId="77777777" w:rsidR="00685E75" w:rsidRPr="009A1A2E" w:rsidRDefault="00685E75" w:rsidP="00AB05A7">
            <w:pPr>
              <w:rPr>
                <w:rFonts w:ascii="Arial" w:hAnsi="Arial" w:cs="Arial"/>
                <w:color w:val="000000"/>
                <w:sz w:val="20"/>
                <w:szCs w:val="20"/>
                <w:lang w:val="en-AU" w:eastAsia="de-AT"/>
              </w:rPr>
            </w:pPr>
            <w:r w:rsidRPr="009A1A2E">
              <w:rPr>
                <w:rFonts w:ascii="Arial" w:hAnsi="Arial" w:cs="Arial"/>
                <w:color w:val="000000"/>
                <w:sz w:val="20"/>
                <w:szCs w:val="20"/>
                <w:lang w:val="en-AU" w:eastAsia="de-AT"/>
              </w:rPr>
              <w:t>Garin et al. 2005 Belgium</w:t>
            </w:r>
          </w:p>
        </w:tc>
        <w:tc>
          <w:tcPr>
            <w:tcW w:w="563" w:type="pct"/>
            <w:vMerge w:val="restart"/>
            <w:vAlign w:val="center"/>
            <w:hideMark/>
          </w:tcPr>
          <w:p w14:paraId="1D1A0948" w14:textId="77777777" w:rsidR="00685E75" w:rsidRPr="009A1A2E" w:rsidRDefault="00685E75" w:rsidP="00AB05A7">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III</w:t>
            </w:r>
          </w:p>
        </w:tc>
        <w:tc>
          <w:tcPr>
            <w:tcW w:w="554" w:type="pct"/>
            <w:vMerge w:val="restart"/>
            <w:vAlign w:val="center"/>
            <w:hideMark/>
          </w:tcPr>
          <w:p w14:paraId="0AE2DDE9" w14:textId="77777777" w:rsidR="00685E75" w:rsidRPr="009A1A2E" w:rsidRDefault="00685E75" w:rsidP="00AB05A7">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III-2</w:t>
            </w:r>
          </w:p>
        </w:tc>
        <w:tc>
          <w:tcPr>
            <w:tcW w:w="590" w:type="pct"/>
            <w:vMerge w:val="restart"/>
            <w:vAlign w:val="center"/>
            <w:hideMark/>
          </w:tcPr>
          <w:p w14:paraId="3C67E373" w14:textId="77777777" w:rsidR="00685E75" w:rsidRPr="009A1A2E" w:rsidRDefault="00685E75" w:rsidP="00AB05A7">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11 adults</w:t>
            </w:r>
          </w:p>
        </w:tc>
        <w:tc>
          <w:tcPr>
            <w:tcW w:w="661" w:type="pct"/>
            <w:vMerge w:val="restart"/>
            <w:vAlign w:val="center"/>
            <w:hideMark/>
          </w:tcPr>
          <w:p w14:paraId="788D8844" w14:textId="77777777" w:rsidR="00685E75" w:rsidRPr="009A1A2E" w:rsidRDefault="00685E75" w:rsidP="00AB05A7">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9-24 months</w:t>
            </w:r>
          </w:p>
        </w:tc>
        <w:tc>
          <w:tcPr>
            <w:tcW w:w="816" w:type="pct"/>
            <w:vMerge w:val="restart"/>
            <w:vAlign w:val="center"/>
            <w:hideMark/>
          </w:tcPr>
          <w:p w14:paraId="68B1A292" w14:textId="77777777" w:rsidR="00685E75" w:rsidRPr="009A1A2E" w:rsidRDefault="00685E75" w:rsidP="00AB05A7">
            <w:pPr>
              <w:rPr>
                <w:rFonts w:ascii="Arial" w:hAnsi="Arial" w:cs="Arial"/>
                <w:color w:val="000000"/>
                <w:sz w:val="20"/>
                <w:szCs w:val="20"/>
                <w:lang w:val="en-AU" w:eastAsia="de-AT"/>
              </w:rPr>
            </w:pPr>
            <w:r w:rsidRPr="009A1A2E">
              <w:rPr>
                <w:rFonts w:ascii="Arial" w:hAnsi="Arial" w:cs="Arial"/>
                <w:color w:val="000000"/>
                <w:sz w:val="20"/>
                <w:szCs w:val="20"/>
                <w:lang w:val="en-AU" w:eastAsia="de-AT"/>
              </w:rPr>
              <w:t>Speech intelligibility in noise (55 dB)</w:t>
            </w:r>
          </w:p>
        </w:tc>
        <w:tc>
          <w:tcPr>
            <w:tcW w:w="1047" w:type="pct"/>
            <w:vMerge w:val="restart"/>
            <w:vAlign w:val="center"/>
            <w:hideMark/>
          </w:tcPr>
          <w:p w14:paraId="01B69D46" w14:textId="77777777" w:rsidR="00685E75" w:rsidRPr="009A1A2E" w:rsidRDefault="00685E75" w:rsidP="00FF3B57">
            <w:pPr>
              <w:rPr>
                <w:rFonts w:ascii="Arial" w:hAnsi="Arial" w:cs="Arial"/>
                <w:color w:val="000000"/>
                <w:sz w:val="20"/>
                <w:szCs w:val="20"/>
                <w:lang w:val="en-AU" w:eastAsia="de-AT"/>
              </w:rPr>
            </w:pPr>
            <w:r w:rsidRPr="009A1A2E">
              <w:rPr>
                <w:rFonts w:ascii="Arial" w:hAnsi="Arial" w:cs="Arial"/>
                <w:color w:val="000000"/>
                <w:sz w:val="20"/>
                <w:szCs w:val="20"/>
                <w:lang w:val="en-AU" w:eastAsia="de-AT"/>
              </w:rPr>
              <w:t>Improvement in Outcomes</w:t>
            </w:r>
          </w:p>
        </w:tc>
      </w:tr>
      <w:tr w:rsidR="00685E75" w:rsidRPr="009A1A2E" w14:paraId="5E218334" w14:textId="77777777" w:rsidTr="00FF3B57">
        <w:trPr>
          <w:trHeight w:val="720"/>
        </w:trPr>
        <w:tc>
          <w:tcPr>
            <w:tcW w:w="769" w:type="pct"/>
            <w:vAlign w:val="center"/>
            <w:hideMark/>
          </w:tcPr>
          <w:p w14:paraId="31C6E24B" w14:textId="77777777" w:rsidR="00685E75" w:rsidRPr="009A1A2E" w:rsidRDefault="00685E75" w:rsidP="00AB05A7">
            <w:pPr>
              <w:rPr>
                <w:rFonts w:ascii="Arial" w:hAnsi="Arial" w:cs="Arial"/>
                <w:color w:val="000000"/>
                <w:sz w:val="20"/>
                <w:szCs w:val="20"/>
                <w:lang w:val="en-AU" w:eastAsia="de-AT"/>
              </w:rPr>
            </w:pPr>
            <w:r w:rsidRPr="009A1A2E">
              <w:rPr>
                <w:rFonts w:ascii="Arial" w:hAnsi="Arial" w:cs="Arial"/>
                <w:color w:val="000000"/>
                <w:sz w:val="20"/>
                <w:szCs w:val="20"/>
                <w:lang w:val="en-AU" w:eastAsia="de-AT"/>
              </w:rPr>
              <w:t>Retrospective, with/without</w:t>
            </w:r>
          </w:p>
        </w:tc>
        <w:tc>
          <w:tcPr>
            <w:tcW w:w="563" w:type="pct"/>
            <w:vMerge/>
            <w:vAlign w:val="center"/>
            <w:hideMark/>
          </w:tcPr>
          <w:p w14:paraId="35E419B5" w14:textId="77777777" w:rsidR="00685E75" w:rsidRPr="009A1A2E" w:rsidRDefault="00685E75" w:rsidP="00AB05A7">
            <w:pPr>
              <w:jc w:val="center"/>
              <w:rPr>
                <w:rFonts w:ascii="Arial" w:hAnsi="Arial" w:cs="Arial"/>
                <w:color w:val="000000"/>
                <w:sz w:val="20"/>
                <w:szCs w:val="20"/>
                <w:lang w:val="en-AU" w:eastAsia="de-AT"/>
              </w:rPr>
            </w:pPr>
          </w:p>
        </w:tc>
        <w:tc>
          <w:tcPr>
            <w:tcW w:w="554" w:type="pct"/>
            <w:vMerge/>
            <w:vAlign w:val="center"/>
            <w:hideMark/>
          </w:tcPr>
          <w:p w14:paraId="0ABB1304" w14:textId="77777777" w:rsidR="00685E75" w:rsidRPr="009A1A2E" w:rsidRDefault="00685E75" w:rsidP="00AB05A7">
            <w:pPr>
              <w:jc w:val="center"/>
              <w:rPr>
                <w:rFonts w:ascii="Arial" w:hAnsi="Arial" w:cs="Arial"/>
                <w:color w:val="000000"/>
                <w:sz w:val="20"/>
                <w:szCs w:val="20"/>
                <w:lang w:val="en-AU" w:eastAsia="de-AT"/>
              </w:rPr>
            </w:pPr>
          </w:p>
        </w:tc>
        <w:tc>
          <w:tcPr>
            <w:tcW w:w="590" w:type="pct"/>
            <w:vMerge/>
            <w:vAlign w:val="center"/>
            <w:hideMark/>
          </w:tcPr>
          <w:p w14:paraId="45D54743" w14:textId="77777777" w:rsidR="00685E75" w:rsidRPr="009A1A2E" w:rsidRDefault="00685E75" w:rsidP="00AB05A7">
            <w:pPr>
              <w:jc w:val="center"/>
              <w:rPr>
                <w:rFonts w:ascii="Arial" w:hAnsi="Arial" w:cs="Arial"/>
                <w:color w:val="000000"/>
                <w:sz w:val="20"/>
                <w:szCs w:val="20"/>
                <w:lang w:val="en-AU" w:eastAsia="de-AT"/>
              </w:rPr>
            </w:pPr>
          </w:p>
        </w:tc>
        <w:tc>
          <w:tcPr>
            <w:tcW w:w="661" w:type="pct"/>
            <w:vMerge/>
            <w:vAlign w:val="center"/>
            <w:hideMark/>
          </w:tcPr>
          <w:p w14:paraId="221BA1C5" w14:textId="77777777" w:rsidR="00685E75" w:rsidRPr="009A1A2E" w:rsidRDefault="00685E75" w:rsidP="00AB05A7">
            <w:pPr>
              <w:jc w:val="center"/>
              <w:rPr>
                <w:rFonts w:ascii="Arial" w:hAnsi="Arial" w:cs="Arial"/>
                <w:color w:val="000000"/>
                <w:sz w:val="20"/>
                <w:szCs w:val="20"/>
                <w:lang w:val="en-AU" w:eastAsia="de-AT"/>
              </w:rPr>
            </w:pPr>
          </w:p>
        </w:tc>
        <w:tc>
          <w:tcPr>
            <w:tcW w:w="816" w:type="pct"/>
            <w:vMerge/>
            <w:vAlign w:val="center"/>
            <w:hideMark/>
          </w:tcPr>
          <w:p w14:paraId="1919C089" w14:textId="77777777" w:rsidR="00685E75" w:rsidRPr="009A1A2E" w:rsidRDefault="00685E75" w:rsidP="00AB05A7">
            <w:pPr>
              <w:rPr>
                <w:rFonts w:ascii="Arial" w:hAnsi="Arial" w:cs="Arial"/>
                <w:color w:val="000000"/>
                <w:sz w:val="20"/>
                <w:szCs w:val="20"/>
                <w:lang w:val="en-AU" w:eastAsia="de-AT"/>
              </w:rPr>
            </w:pPr>
          </w:p>
        </w:tc>
        <w:tc>
          <w:tcPr>
            <w:tcW w:w="1047" w:type="pct"/>
            <w:vMerge/>
            <w:vAlign w:val="center"/>
            <w:hideMark/>
          </w:tcPr>
          <w:p w14:paraId="0BFC0391" w14:textId="77777777" w:rsidR="00685E75" w:rsidRPr="009A1A2E" w:rsidRDefault="00685E75" w:rsidP="00FF3B57">
            <w:pPr>
              <w:rPr>
                <w:rFonts w:ascii="Arial" w:hAnsi="Arial" w:cs="Arial"/>
                <w:color w:val="000000"/>
                <w:sz w:val="20"/>
                <w:szCs w:val="20"/>
                <w:lang w:val="en-AU" w:eastAsia="de-AT"/>
              </w:rPr>
            </w:pPr>
          </w:p>
        </w:tc>
      </w:tr>
      <w:tr w:rsidR="00685E75" w:rsidRPr="009A1A2E" w14:paraId="73981335" w14:textId="77777777" w:rsidTr="00FF3B57">
        <w:trPr>
          <w:trHeight w:val="480"/>
        </w:trPr>
        <w:tc>
          <w:tcPr>
            <w:tcW w:w="769" w:type="pct"/>
            <w:vAlign w:val="center"/>
            <w:hideMark/>
          </w:tcPr>
          <w:p w14:paraId="46B33E34" w14:textId="77777777" w:rsidR="00685E75" w:rsidRPr="009A1A2E" w:rsidRDefault="00685E75" w:rsidP="00AB05A7">
            <w:pPr>
              <w:rPr>
                <w:rFonts w:ascii="Arial" w:hAnsi="Arial" w:cs="Arial"/>
                <w:color w:val="000000"/>
                <w:sz w:val="20"/>
                <w:szCs w:val="20"/>
                <w:lang w:val="en-AU" w:eastAsia="de-AT"/>
              </w:rPr>
            </w:pPr>
            <w:r w:rsidRPr="009A1A2E">
              <w:rPr>
                <w:rFonts w:ascii="Arial" w:hAnsi="Arial" w:cs="Arial"/>
                <w:color w:val="000000"/>
                <w:sz w:val="20"/>
                <w:szCs w:val="20"/>
                <w:lang w:val="en-AU" w:eastAsia="de-AT"/>
              </w:rPr>
              <w:t>Labassi et al 2005 France</w:t>
            </w:r>
          </w:p>
        </w:tc>
        <w:tc>
          <w:tcPr>
            <w:tcW w:w="563" w:type="pct"/>
            <w:vMerge w:val="restart"/>
            <w:vAlign w:val="center"/>
            <w:hideMark/>
          </w:tcPr>
          <w:p w14:paraId="65662256" w14:textId="77777777" w:rsidR="00685E75" w:rsidRPr="009A1A2E" w:rsidRDefault="00685E75" w:rsidP="00AB05A7">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IV</w:t>
            </w:r>
          </w:p>
        </w:tc>
        <w:tc>
          <w:tcPr>
            <w:tcW w:w="554" w:type="pct"/>
            <w:vMerge w:val="restart"/>
            <w:vAlign w:val="center"/>
            <w:hideMark/>
          </w:tcPr>
          <w:p w14:paraId="1A402818" w14:textId="77777777" w:rsidR="00685E75" w:rsidRPr="009A1A2E" w:rsidRDefault="00685E75" w:rsidP="00AB05A7">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IV</w:t>
            </w:r>
          </w:p>
        </w:tc>
        <w:tc>
          <w:tcPr>
            <w:tcW w:w="590" w:type="pct"/>
            <w:vMerge w:val="restart"/>
            <w:vAlign w:val="center"/>
            <w:hideMark/>
          </w:tcPr>
          <w:p w14:paraId="2A4ED4F2" w14:textId="77777777" w:rsidR="00685E75" w:rsidRPr="009A1A2E" w:rsidRDefault="00685E75" w:rsidP="00AB05A7">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1100 adults</w:t>
            </w:r>
          </w:p>
        </w:tc>
        <w:tc>
          <w:tcPr>
            <w:tcW w:w="661" w:type="pct"/>
            <w:vMerge w:val="restart"/>
            <w:vAlign w:val="center"/>
            <w:hideMark/>
          </w:tcPr>
          <w:p w14:paraId="2D4C128B" w14:textId="77777777" w:rsidR="00685E75" w:rsidRPr="009A1A2E" w:rsidRDefault="00685E75" w:rsidP="00AB05A7">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7 years</w:t>
            </w:r>
          </w:p>
        </w:tc>
        <w:tc>
          <w:tcPr>
            <w:tcW w:w="816" w:type="pct"/>
            <w:vMerge w:val="restart"/>
            <w:vAlign w:val="center"/>
            <w:hideMark/>
          </w:tcPr>
          <w:p w14:paraId="5A703509" w14:textId="77777777" w:rsidR="00685E75" w:rsidRPr="009A1A2E" w:rsidRDefault="00685E75" w:rsidP="00AB05A7">
            <w:pPr>
              <w:rPr>
                <w:rFonts w:ascii="Arial" w:hAnsi="Arial" w:cs="Arial"/>
                <w:color w:val="000000"/>
                <w:sz w:val="20"/>
                <w:szCs w:val="20"/>
                <w:lang w:val="en-AU" w:eastAsia="de-AT"/>
              </w:rPr>
            </w:pPr>
            <w:r w:rsidRPr="009A1A2E">
              <w:rPr>
                <w:rFonts w:ascii="Arial" w:hAnsi="Arial" w:cs="Arial"/>
                <w:color w:val="000000"/>
                <w:sz w:val="20"/>
                <w:szCs w:val="20"/>
                <w:lang w:val="en-AU" w:eastAsia="de-AT"/>
              </w:rPr>
              <w:t>Adverse events during/after surgery</w:t>
            </w:r>
          </w:p>
        </w:tc>
        <w:tc>
          <w:tcPr>
            <w:tcW w:w="1047" w:type="pct"/>
            <w:vMerge w:val="restart"/>
            <w:vAlign w:val="center"/>
            <w:hideMark/>
          </w:tcPr>
          <w:p w14:paraId="1DAF929B" w14:textId="77777777" w:rsidR="00685E75" w:rsidRPr="009A1A2E" w:rsidRDefault="00685E75" w:rsidP="00FF3B57">
            <w:pPr>
              <w:rPr>
                <w:rFonts w:ascii="Arial" w:hAnsi="Arial" w:cs="Arial"/>
                <w:color w:val="000000"/>
                <w:sz w:val="20"/>
                <w:szCs w:val="20"/>
                <w:lang w:val="en-AU" w:eastAsia="de-AT"/>
              </w:rPr>
            </w:pPr>
            <w:r w:rsidRPr="009A1A2E">
              <w:rPr>
                <w:rFonts w:ascii="Arial" w:hAnsi="Arial" w:cs="Arial"/>
                <w:color w:val="000000"/>
                <w:sz w:val="20"/>
                <w:szCs w:val="20"/>
                <w:lang w:val="en-AU" w:eastAsia="de-AT"/>
              </w:rPr>
              <w:t>Reliable middle ear implant</w:t>
            </w:r>
          </w:p>
        </w:tc>
      </w:tr>
      <w:tr w:rsidR="00685E75" w:rsidRPr="009A1A2E" w14:paraId="2A639BB6" w14:textId="77777777" w:rsidTr="00FF3B57">
        <w:trPr>
          <w:trHeight w:val="480"/>
        </w:trPr>
        <w:tc>
          <w:tcPr>
            <w:tcW w:w="769" w:type="pct"/>
            <w:vAlign w:val="center"/>
            <w:hideMark/>
          </w:tcPr>
          <w:p w14:paraId="2C25BC5C" w14:textId="77777777" w:rsidR="00685E75" w:rsidRPr="009A1A2E" w:rsidRDefault="00685E75" w:rsidP="00AB05A7">
            <w:pPr>
              <w:rPr>
                <w:rFonts w:ascii="Arial" w:hAnsi="Arial" w:cs="Arial"/>
                <w:color w:val="000000"/>
                <w:sz w:val="20"/>
                <w:szCs w:val="20"/>
                <w:lang w:val="en-AU" w:eastAsia="de-AT"/>
              </w:rPr>
            </w:pPr>
            <w:r w:rsidRPr="009A1A2E">
              <w:rPr>
                <w:rFonts w:ascii="Arial" w:hAnsi="Arial" w:cs="Arial"/>
                <w:color w:val="000000"/>
                <w:sz w:val="20"/>
                <w:szCs w:val="20"/>
                <w:lang w:val="en-AU" w:eastAsia="de-AT"/>
              </w:rPr>
              <w:t>Retrospective study</w:t>
            </w:r>
          </w:p>
        </w:tc>
        <w:tc>
          <w:tcPr>
            <w:tcW w:w="563" w:type="pct"/>
            <w:vMerge/>
            <w:vAlign w:val="center"/>
            <w:hideMark/>
          </w:tcPr>
          <w:p w14:paraId="3EB7E2AC" w14:textId="77777777" w:rsidR="00685E75" w:rsidRPr="009A1A2E" w:rsidRDefault="00685E75" w:rsidP="00AB05A7">
            <w:pPr>
              <w:jc w:val="center"/>
              <w:rPr>
                <w:rFonts w:ascii="Arial" w:hAnsi="Arial" w:cs="Arial"/>
                <w:color w:val="000000"/>
                <w:sz w:val="20"/>
                <w:szCs w:val="20"/>
                <w:lang w:val="en-AU" w:eastAsia="de-AT"/>
              </w:rPr>
            </w:pPr>
          </w:p>
        </w:tc>
        <w:tc>
          <w:tcPr>
            <w:tcW w:w="554" w:type="pct"/>
            <w:vMerge/>
            <w:vAlign w:val="center"/>
            <w:hideMark/>
          </w:tcPr>
          <w:p w14:paraId="2F7FC4BD" w14:textId="77777777" w:rsidR="00685E75" w:rsidRPr="009A1A2E" w:rsidRDefault="00685E75" w:rsidP="00AB05A7">
            <w:pPr>
              <w:jc w:val="center"/>
              <w:rPr>
                <w:rFonts w:ascii="Arial" w:hAnsi="Arial" w:cs="Arial"/>
                <w:color w:val="000000"/>
                <w:sz w:val="20"/>
                <w:szCs w:val="20"/>
                <w:lang w:val="en-AU" w:eastAsia="de-AT"/>
              </w:rPr>
            </w:pPr>
          </w:p>
        </w:tc>
        <w:tc>
          <w:tcPr>
            <w:tcW w:w="590" w:type="pct"/>
            <w:vMerge/>
            <w:vAlign w:val="center"/>
            <w:hideMark/>
          </w:tcPr>
          <w:p w14:paraId="53AB61D9" w14:textId="77777777" w:rsidR="00685E75" w:rsidRPr="009A1A2E" w:rsidRDefault="00685E75" w:rsidP="00AB05A7">
            <w:pPr>
              <w:jc w:val="center"/>
              <w:rPr>
                <w:rFonts w:ascii="Arial" w:hAnsi="Arial" w:cs="Arial"/>
                <w:color w:val="000000"/>
                <w:sz w:val="20"/>
                <w:szCs w:val="20"/>
                <w:lang w:val="en-AU" w:eastAsia="de-AT"/>
              </w:rPr>
            </w:pPr>
          </w:p>
        </w:tc>
        <w:tc>
          <w:tcPr>
            <w:tcW w:w="661" w:type="pct"/>
            <w:vMerge/>
            <w:vAlign w:val="center"/>
            <w:hideMark/>
          </w:tcPr>
          <w:p w14:paraId="70D59DD7" w14:textId="77777777" w:rsidR="00685E75" w:rsidRPr="009A1A2E" w:rsidRDefault="00685E75" w:rsidP="00AB05A7">
            <w:pPr>
              <w:jc w:val="center"/>
              <w:rPr>
                <w:rFonts w:ascii="Arial" w:hAnsi="Arial" w:cs="Arial"/>
                <w:color w:val="000000"/>
                <w:sz w:val="20"/>
                <w:szCs w:val="20"/>
                <w:lang w:val="en-AU" w:eastAsia="de-AT"/>
              </w:rPr>
            </w:pPr>
          </w:p>
        </w:tc>
        <w:tc>
          <w:tcPr>
            <w:tcW w:w="816" w:type="pct"/>
            <w:vMerge/>
            <w:vAlign w:val="center"/>
            <w:hideMark/>
          </w:tcPr>
          <w:p w14:paraId="4E154368" w14:textId="77777777" w:rsidR="00685E75" w:rsidRPr="009A1A2E" w:rsidRDefault="00685E75" w:rsidP="00AB05A7">
            <w:pPr>
              <w:rPr>
                <w:rFonts w:ascii="Arial" w:hAnsi="Arial" w:cs="Arial"/>
                <w:color w:val="000000"/>
                <w:sz w:val="20"/>
                <w:szCs w:val="20"/>
                <w:lang w:val="en-AU" w:eastAsia="de-AT"/>
              </w:rPr>
            </w:pPr>
          </w:p>
        </w:tc>
        <w:tc>
          <w:tcPr>
            <w:tcW w:w="1047" w:type="pct"/>
            <w:vMerge/>
            <w:vAlign w:val="center"/>
            <w:hideMark/>
          </w:tcPr>
          <w:p w14:paraId="20C7C1D4" w14:textId="77777777" w:rsidR="00685E75" w:rsidRPr="009A1A2E" w:rsidRDefault="00685E75" w:rsidP="00FF3B57">
            <w:pPr>
              <w:rPr>
                <w:rFonts w:ascii="Arial" w:hAnsi="Arial" w:cs="Arial"/>
                <w:color w:val="000000"/>
                <w:sz w:val="20"/>
                <w:szCs w:val="20"/>
                <w:lang w:val="en-AU" w:eastAsia="de-AT"/>
              </w:rPr>
            </w:pPr>
          </w:p>
        </w:tc>
      </w:tr>
      <w:tr w:rsidR="00685E75" w:rsidRPr="009A1A2E" w14:paraId="3DBA99E3" w14:textId="77777777" w:rsidTr="00FF3B57">
        <w:trPr>
          <w:trHeight w:val="720"/>
        </w:trPr>
        <w:tc>
          <w:tcPr>
            <w:tcW w:w="769" w:type="pct"/>
            <w:vAlign w:val="center"/>
            <w:hideMark/>
          </w:tcPr>
          <w:p w14:paraId="4A5969B6" w14:textId="77777777" w:rsidR="00685E75" w:rsidRPr="009A1A2E" w:rsidRDefault="00685E75" w:rsidP="00AB05A7">
            <w:pPr>
              <w:rPr>
                <w:rFonts w:ascii="Arial" w:hAnsi="Arial" w:cs="Arial"/>
                <w:color w:val="000000"/>
                <w:sz w:val="20"/>
                <w:szCs w:val="20"/>
                <w:lang w:val="en-AU" w:eastAsia="de-AT"/>
              </w:rPr>
            </w:pPr>
            <w:r w:rsidRPr="009A1A2E">
              <w:rPr>
                <w:rFonts w:ascii="Arial" w:hAnsi="Arial" w:cs="Arial"/>
                <w:color w:val="000000"/>
                <w:sz w:val="20"/>
                <w:szCs w:val="20"/>
                <w:lang w:val="en-AU" w:eastAsia="de-AT"/>
              </w:rPr>
              <w:t>Lenarz et 2001 Germany</w:t>
            </w:r>
          </w:p>
        </w:tc>
        <w:tc>
          <w:tcPr>
            <w:tcW w:w="563" w:type="pct"/>
            <w:vMerge w:val="restart"/>
            <w:vAlign w:val="center"/>
            <w:hideMark/>
          </w:tcPr>
          <w:p w14:paraId="633947BA" w14:textId="77777777" w:rsidR="00685E75" w:rsidRPr="009A1A2E" w:rsidRDefault="00685E75" w:rsidP="00AB05A7">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IV</w:t>
            </w:r>
          </w:p>
        </w:tc>
        <w:tc>
          <w:tcPr>
            <w:tcW w:w="554" w:type="pct"/>
            <w:vMerge w:val="restart"/>
            <w:vAlign w:val="center"/>
            <w:hideMark/>
          </w:tcPr>
          <w:p w14:paraId="278197E4" w14:textId="77777777" w:rsidR="00685E75" w:rsidRPr="009A1A2E" w:rsidRDefault="00685E75" w:rsidP="00AB05A7">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III-3</w:t>
            </w:r>
          </w:p>
        </w:tc>
        <w:tc>
          <w:tcPr>
            <w:tcW w:w="590" w:type="pct"/>
            <w:vMerge w:val="restart"/>
            <w:vAlign w:val="center"/>
            <w:hideMark/>
          </w:tcPr>
          <w:p w14:paraId="31ACE031" w14:textId="77777777" w:rsidR="00685E75" w:rsidRPr="009A1A2E" w:rsidRDefault="00685E75" w:rsidP="00AB05A7">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34 adults</w:t>
            </w:r>
          </w:p>
        </w:tc>
        <w:tc>
          <w:tcPr>
            <w:tcW w:w="661" w:type="pct"/>
            <w:vMerge w:val="restart"/>
            <w:vAlign w:val="center"/>
            <w:hideMark/>
          </w:tcPr>
          <w:p w14:paraId="502193E3" w14:textId="77777777" w:rsidR="00685E75" w:rsidRPr="009A1A2E" w:rsidRDefault="00685E75" w:rsidP="00AB05A7">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6 months</w:t>
            </w:r>
          </w:p>
        </w:tc>
        <w:tc>
          <w:tcPr>
            <w:tcW w:w="816" w:type="pct"/>
            <w:vMerge w:val="restart"/>
            <w:vAlign w:val="center"/>
            <w:hideMark/>
          </w:tcPr>
          <w:p w14:paraId="33334E5F" w14:textId="77777777" w:rsidR="00685E75" w:rsidRPr="009A1A2E" w:rsidRDefault="00685E75" w:rsidP="00AB05A7">
            <w:pPr>
              <w:rPr>
                <w:rFonts w:ascii="Arial" w:hAnsi="Arial" w:cs="Arial"/>
                <w:color w:val="000000"/>
                <w:sz w:val="20"/>
                <w:szCs w:val="20"/>
                <w:lang w:val="en-AU" w:eastAsia="de-AT"/>
              </w:rPr>
            </w:pPr>
            <w:r w:rsidRPr="009A1A2E">
              <w:rPr>
                <w:rFonts w:ascii="Arial" w:hAnsi="Arial" w:cs="Arial"/>
                <w:color w:val="000000"/>
                <w:sz w:val="20"/>
                <w:szCs w:val="20"/>
                <w:lang w:val="en-AU" w:eastAsia="de-AT"/>
              </w:rPr>
              <w:t>Unaided and aided sound field audiometry, Speech intelligibility in quiet and noise, Subjective outcomes using the PHAB questionnaire</w:t>
            </w:r>
          </w:p>
        </w:tc>
        <w:tc>
          <w:tcPr>
            <w:tcW w:w="1047" w:type="pct"/>
            <w:vMerge w:val="restart"/>
            <w:vAlign w:val="center"/>
            <w:hideMark/>
          </w:tcPr>
          <w:p w14:paraId="5252635C" w14:textId="77777777" w:rsidR="00685E75" w:rsidRPr="009A1A2E" w:rsidRDefault="00685E75" w:rsidP="00FF3B57">
            <w:pPr>
              <w:rPr>
                <w:rFonts w:ascii="Arial" w:hAnsi="Arial" w:cs="Arial"/>
                <w:color w:val="000000"/>
                <w:sz w:val="20"/>
                <w:szCs w:val="20"/>
                <w:lang w:val="en-AU" w:eastAsia="de-AT"/>
              </w:rPr>
            </w:pPr>
            <w:r w:rsidRPr="009A1A2E">
              <w:rPr>
                <w:rFonts w:ascii="Arial" w:hAnsi="Arial" w:cs="Arial"/>
                <w:color w:val="000000"/>
                <w:sz w:val="20"/>
                <w:szCs w:val="20"/>
                <w:lang w:val="en-AU" w:eastAsia="de-AT"/>
              </w:rPr>
              <w:t>Significant improvement</w:t>
            </w:r>
          </w:p>
        </w:tc>
      </w:tr>
      <w:tr w:rsidR="00685E75" w:rsidRPr="009A1A2E" w14:paraId="7708D3A5" w14:textId="77777777" w:rsidTr="007A0B01">
        <w:trPr>
          <w:trHeight w:val="1118"/>
        </w:trPr>
        <w:tc>
          <w:tcPr>
            <w:tcW w:w="769" w:type="pct"/>
            <w:vAlign w:val="center"/>
            <w:hideMark/>
          </w:tcPr>
          <w:p w14:paraId="3AAE6EA9" w14:textId="77777777" w:rsidR="00685E75" w:rsidRPr="009A1A2E" w:rsidRDefault="00685E75" w:rsidP="00AB05A7">
            <w:pPr>
              <w:rPr>
                <w:rFonts w:ascii="Arial" w:hAnsi="Arial" w:cs="Arial"/>
                <w:color w:val="000000"/>
                <w:sz w:val="20"/>
                <w:szCs w:val="20"/>
                <w:lang w:val="en-AU" w:eastAsia="de-AT"/>
              </w:rPr>
            </w:pPr>
            <w:r w:rsidRPr="009A1A2E">
              <w:rPr>
                <w:rFonts w:ascii="Arial" w:hAnsi="Arial" w:cs="Arial"/>
                <w:color w:val="000000"/>
                <w:sz w:val="20"/>
                <w:szCs w:val="20"/>
                <w:lang w:val="en-AU" w:eastAsia="de-AT"/>
              </w:rPr>
              <w:t>Retrospective, pre/post study</w:t>
            </w:r>
          </w:p>
        </w:tc>
        <w:tc>
          <w:tcPr>
            <w:tcW w:w="563" w:type="pct"/>
            <w:vMerge/>
            <w:vAlign w:val="center"/>
            <w:hideMark/>
          </w:tcPr>
          <w:p w14:paraId="50D81106" w14:textId="77777777" w:rsidR="00685E75" w:rsidRPr="009A1A2E" w:rsidRDefault="00685E75" w:rsidP="00AB05A7">
            <w:pPr>
              <w:jc w:val="center"/>
              <w:rPr>
                <w:rFonts w:ascii="Arial" w:hAnsi="Arial" w:cs="Arial"/>
                <w:color w:val="000000"/>
                <w:sz w:val="20"/>
                <w:szCs w:val="20"/>
                <w:lang w:val="en-AU" w:eastAsia="de-AT"/>
              </w:rPr>
            </w:pPr>
          </w:p>
        </w:tc>
        <w:tc>
          <w:tcPr>
            <w:tcW w:w="554" w:type="pct"/>
            <w:vMerge/>
            <w:vAlign w:val="center"/>
            <w:hideMark/>
          </w:tcPr>
          <w:p w14:paraId="0C1205E6" w14:textId="77777777" w:rsidR="00685E75" w:rsidRPr="009A1A2E" w:rsidRDefault="00685E75" w:rsidP="00AB05A7">
            <w:pPr>
              <w:jc w:val="center"/>
              <w:rPr>
                <w:rFonts w:ascii="Arial" w:hAnsi="Arial" w:cs="Arial"/>
                <w:color w:val="000000"/>
                <w:sz w:val="20"/>
                <w:szCs w:val="20"/>
                <w:lang w:val="en-AU" w:eastAsia="de-AT"/>
              </w:rPr>
            </w:pPr>
          </w:p>
        </w:tc>
        <w:tc>
          <w:tcPr>
            <w:tcW w:w="590" w:type="pct"/>
            <w:vMerge/>
            <w:vAlign w:val="center"/>
            <w:hideMark/>
          </w:tcPr>
          <w:p w14:paraId="2A78FF8E" w14:textId="77777777" w:rsidR="00685E75" w:rsidRPr="009A1A2E" w:rsidRDefault="00685E75" w:rsidP="00AB05A7">
            <w:pPr>
              <w:jc w:val="center"/>
              <w:rPr>
                <w:rFonts w:ascii="Arial" w:hAnsi="Arial" w:cs="Arial"/>
                <w:color w:val="000000"/>
                <w:sz w:val="20"/>
                <w:szCs w:val="20"/>
                <w:lang w:val="en-AU" w:eastAsia="de-AT"/>
              </w:rPr>
            </w:pPr>
          </w:p>
        </w:tc>
        <w:tc>
          <w:tcPr>
            <w:tcW w:w="661" w:type="pct"/>
            <w:vMerge/>
            <w:vAlign w:val="center"/>
            <w:hideMark/>
          </w:tcPr>
          <w:p w14:paraId="7EF0AA7F" w14:textId="77777777" w:rsidR="00685E75" w:rsidRPr="009A1A2E" w:rsidRDefault="00685E75" w:rsidP="00AB05A7">
            <w:pPr>
              <w:jc w:val="center"/>
              <w:rPr>
                <w:rFonts w:ascii="Arial" w:hAnsi="Arial" w:cs="Arial"/>
                <w:color w:val="000000"/>
                <w:sz w:val="20"/>
                <w:szCs w:val="20"/>
                <w:lang w:val="en-AU" w:eastAsia="de-AT"/>
              </w:rPr>
            </w:pPr>
          </w:p>
        </w:tc>
        <w:tc>
          <w:tcPr>
            <w:tcW w:w="816" w:type="pct"/>
            <w:vMerge/>
            <w:vAlign w:val="center"/>
            <w:hideMark/>
          </w:tcPr>
          <w:p w14:paraId="71C9C803" w14:textId="77777777" w:rsidR="00685E75" w:rsidRPr="009A1A2E" w:rsidRDefault="00685E75" w:rsidP="00AB05A7">
            <w:pPr>
              <w:rPr>
                <w:rFonts w:ascii="Arial" w:hAnsi="Arial" w:cs="Arial"/>
                <w:color w:val="000000"/>
                <w:sz w:val="20"/>
                <w:szCs w:val="20"/>
                <w:lang w:val="en-AU" w:eastAsia="de-AT"/>
              </w:rPr>
            </w:pPr>
          </w:p>
        </w:tc>
        <w:tc>
          <w:tcPr>
            <w:tcW w:w="1047" w:type="pct"/>
            <w:vMerge/>
            <w:vAlign w:val="center"/>
            <w:hideMark/>
          </w:tcPr>
          <w:p w14:paraId="650B2149" w14:textId="77777777" w:rsidR="00685E75" w:rsidRPr="009A1A2E" w:rsidRDefault="00685E75" w:rsidP="00FF3B57">
            <w:pPr>
              <w:rPr>
                <w:rFonts w:ascii="Arial" w:hAnsi="Arial" w:cs="Arial"/>
                <w:color w:val="000000"/>
                <w:sz w:val="20"/>
                <w:szCs w:val="20"/>
                <w:lang w:val="en-AU" w:eastAsia="de-AT"/>
              </w:rPr>
            </w:pPr>
          </w:p>
        </w:tc>
      </w:tr>
      <w:tr w:rsidR="00685E75" w:rsidRPr="009A1A2E" w14:paraId="44B02B2D" w14:textId="77777777" w:rsidTr="00FF3B57">
        <w:trPr>
          <w:cantSplit/>
          <w:trHeight w:val="480"/>
        </w:trPr>
        <w:tc>
          <w:tcPr>
            <w:tcW w:w="769" w:type="pct"/>
            <w:vAlign w:val="center"/>
            <w:hideMark/>
          </w:tcPr>
          <w:p w14:paraId="28AC50E3" w14:textId="77777777" w:rsidR="00685E75" w:rsidRPr="009A1A2E" w:rsidRDefault="00685E75" w:rsidP="00AB05A7">
            <w:pPr>
              <w:rPr>
                <w:rFonts w:ascii="Arial" w:hAnsi="Arial" w:cs="Arial"/>
                <w:color w:val="000000"/>
                <w:sz w:val="20"/>
                <w:szCs w:val="20"/>
                <w:lang w:val="en-AU" w:eastAsia="de-AT"/>
              </w:rPr>
            </w:pPr>
            <w:r w:rsidRPr="009A1A2E">
              <w:rPr>
                <w:rFonts w:ascii="Arial" w:hAnsi="Arial" w:cs="Arial"/>
                <w:color w:val="000000"/>
                <w:sz w:val="20"/>
                <w:szCs w:val="20"/>
                <w:lang w:val="en-AU" w:eastAsia="de-AT"/>
              </w:rPr>
              <w:lastRenderedPageBreak/>
              <w:t>Luetje et al 2002 USA</w:t>
            </w:r>
          </w:p>
        </w:tc>
        <w:tc>
          <w:tcPr>
            <w:tcW w:w="563" w:type="pct"/>
            <w:vMerge w:val="restart"/>
            <w:vAlign w:val="center"/>
            <w:hideMark/>
          </w:tcPr>
          <w:p w14:paraId="75A7D653" w14:textId="77777777" w:rsidR="00685E75" w:rsidRPr="009A1A2E" w:rsidRDefault="00685E75" w:rsidP="00AB05A7">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III</w:t>
            </w:r>
          </w:p>
        </w:tc>
        <w:tc>
          <w:tcPr>
            <w:tcW w:w="554" w:type="pct"/>
            <w:vMerge w:val="restart"/>
            <w:vAlign w:val="center"/>
            <w:hideMark/>
          </w:tcPr>
          <w:p w14:paraId="42D62164" w14:textId="77777777" w:rsidR="00685E75" w:rsidRPr="009A1A2E" w:rsidRDefault="00685E75" w:rsidP="00AB05A7">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III-2</w:t>
            </w:r>
          </w:p>
        </w:tc>
        <w:tc>
          <w:tcPr>
            <w:tcW w:w="590" w:type="pct"/>
            <w:vMerge w:val="restart"/>
            <w:vAlign w:val="center"/>
            <w:hideMark/>
          </w:tcPr>
          <w:p w14:paraId="2BCBE141" w14:textId="77777777" w:rsidR="00685E75" w:rsidRPr="009A1A2E" w:rsidRDefault="00685E75" w:rsidP="00AB05A7">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53 adults</w:t>
            </w:r>
          </w:p>
        </w:tc>
        <w:tc>
          <w:tcPr>
            <w:tcW w:w="661" w:type="pct"/>
            <w:vMerge w:val="restart"/>
            <w:vAlign w:val="center"/>
            <w:hideMark/>
          </w:tcPr>
          <w:p w14:paraId="478D51FB" w14:textId="77777777" w:rsidR="00685E75" w:rsidRPr="009A1A2E" w:rsidRDefault="00685E75" w:rsidP="00AB05A7">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18 weeks</w:t>
            </w:r>
          </w:p>
        </w:tc>
        <w:tc>
          <w:tcPr>
            <w:tcW w:w="816" w:type="pct"/>
            <w:vMerge w:val="restart"/>
            <w:vAlign w:val="center"/>
            <w:hideMark/>
          </w:tcPr>
          <w:p w14:paraId="138EDC15" w14:textId="77777777" w:rsidR="00685E75" w:rsidRPr="009A1A2E" w:rsidRDefault="00685E75" w:rsidP="00AB05A7">
            <w:pPr>
              <w:rPr>
                <w:rFonts w:ascii="Arial" w:hAnsi="Arial" w:cs="Arial"/>
                <w:color w:val="000000"/>
                <w:sz w:val="20"/>
                <w:szCs w:val="20"/>
                <w:lang w:val="en-AU" w:eastAsia="de-AT"/>
              </w:rPr>
            </w:pPr>
            <w:r w:rsidRPr="009A1A2E">
              <w:rPr>
                <w:rFonts w:ascii="Arial" w:hAnsi="Arial" w:cs="Arial"/>
                <w:color w:val="000000"/>
                <w:sz w:val="20"/>
                <w:szCs w:val="20"/>
                <w:lang w:val="en-AU" w:eastAsia="de-AT"/>
              </w:rPr>
              <w:t>Unaided and aided pure tone audiometry, Tympanometry and acoustic reflex measurement, Speech reception in quiet and noise, Subjective outcomes using APHAB, HDSS and SHACQ</w:t>
            </w:r>
          </w:p>
        </w:tc>
        <w:tc>
          <w:tcPr>
            <w:tcW w:w="1047" w:type="pct"/>
            <w:vMerge w:val="restart"/>
            <w:vAlign w:val="center"/>
            <w:hideMark/>
          </w:tcPr>
          <w:p w14:paraId="6A9DD98F" w14:textId="77777777" w:rsidR="00685E75" w:rsidRPr="009A1A2E" w:rsidRDefault="00685E75" w:rsidP="00FF3B57">
            <w:pPr>
              <w:rPr>
                <w:rFonts w:ascii="Arial" w:hAnsi="Arial" w:cs="Arial"/>
                <w:color w:val="000000"/>
                <w:sz w:val="20"/>
                <w:szCs w:val="20"/>
                <w:lang w:val="en-AU" w:eastAsia="de-AT"/>
              </w:rPr>
            </w:pPr>
            <w:r w:rsidRPr="009A1A2E">
              <w:rPr>
                <w:rFonts w:ascii="Arial" w:hAnsi="Arial" w:cs="Arial"/>
                <w:color w:val="000000"/>
                <w:sz w:val="20"/>
                <w:szCs w:val="20"/>
                <w:lang w:val="en-AU" w:eastAsia="de-AT"/>
              </w:rPr>
              <w:t>Safe and effective treatment</w:t>
            </w:r>
          </w:p>
        </w:tc>
      </w:tr>
      <w:tr w:rsidR="00685E75" w:rsidRPr="009A1A2E" w14:paraId="6893429C" w14:textId="77777777" w:rsidTr="00FF3B57">
        <w:trPr>
          <w:cantSplit/>
          <w:trHeight w:val="720"/>
        </w:trPr>
        <w:tc>
          <w:tcPr>
            <w:tcW w:w="769" w:type="pct"/>
            <w:vAlign w:val="center"/>
            <w:hideMark/>
          </w:tcPr>
          <w:p w14:paraId="35752A3A" w14:textId="77777777" w:rsidR="00685E75" w:rsidRPr="009A1A2E" w:rsidRDefault="00685E75" w:rsidP="00AB05A7">
            <w:pPr>
              <w:rPr>
                <w:rFonts w:ascii="Arial" w:hAnsi="Arial" w:cs="Arial"/>
                <w:color w:val="000000"/>
                <w:sz w:val="20"/>
                <w:szCs w:val="20"/>
                <w:lang w:val="en-AU" w:eastAsia="de-AT"/>
              </w:rPr>
            </w:pPr>
            <w:r w:rsidRPr="009A1A2E">
              <w:rPr>
                <w:rFonts w:ascii="Arial" w:hAnsi="Arial" w:cs="Arial"/>
                <w:color w:val="000000"/>
                <w:sz w:val="20"/>
                <w:szCs w:val="20"/>
                <w:lang w:val="en-AU" w:eastAsia="de-AT"/>
              </w:rPr>
              <w:t>Prospective, single arm trial</w:t>
            </w:r>
          </w:p>
        </w:tc>
        <w:tc>
          <w:tcPr>
            <w:tcW w:w="563" w:type="pct"/>
            <w:vMerge/>
            <w:vAlign w:val="center"/>
            <w:hideMark/>
          </w:tcPr>
          <w:p w14:paraId="6AE1B47B" w14:textId="77777777" w:rsidR="00685E75" w:rsidRPr="009A1A2E" w:rsidRDefault="00685E75" w:rsidP="00AB05A7">
            <w:pPr>
              <w:jc w:val="center"/>
              <w:rPr>
                <w:rFonts w:ascii="Arial" w:hAnsi="Arial" w:cs="Arial"/>
                <w:color w:val="000000"/>
                <w:sz w:val="20"/>
                <w:szCs w:val="20"/>
                <w:lang w:val="en-AU" w:eastAsia="de-AT"/>
              </w:rPr>
            </w:pPr>
          </w:p>
        </w:tc>
        <w:tc>
          <w:tcPr>
            <w:tcW w:w="554" w:type="pct"/>
            <w:vMerge/>
            <w:vAlign w:val="center"/>
            <w:hideMark/>
          </w:tcPr>
          <w:p w14:paraId="6FD5C279" w14:textId="77777777" w:rsidR="00685E75" w:rsidRPr="009A1A2E" w:rsidRDefault="00685E75" w:rsidP="00AB05A7">
            <w:pPr>
              <w:jc w:val="center"/>
              <w:rPr>
                <w:rFonts w:ascii="Arial" w:hAnsi="Arial" w:cs="Arial"/>
                <w:color w:val="000000"/>
                <w:sz w:val="20"/>
                <w:szCs w:val="20"/>
                <w:lang w:val="en-AU" w:eastAsia="de-AT"/>
              </w:rPr>
            </w:pPr>
          </w:p>
        </w:tc>
        <w:tc>
          <w:tcPr>
            <w:tcW w:w="590" w:type="pct"/>
            <w:vMerge/>
            <w:vAlign w:val="center"/>
            <w:hideMark/>
          </w:tcPr>
          <w:p w14:paraId="76929C75" w14:textId="77777777" w:rsidR="00685E75" w:rsidRPr="009A1A2E" w:rsidRDefault="00685E75" w:rsidP="00AB05A7">
            <w:pPr>
              <w:jc w:val="center"/>
              <w:rPr>
                <w:rFonts w:ascii="Arial" w:hAnsi="Arial" w:cs="Arial"/>
                <w:color w:val="000000"/>
                <w:sz w:val="20"/>
                <w:szCs w:val="20"/>
                <w:lang w:val="en-AU" w:eastAsia="de-AT"/>
              </w:rPr>
            </w:pPr>
          </w:p>
        </w:tc>
        <w:tc>
          <w:tcPr>
            <w:tcW w:w="661" w:type="pct"/>
            <w:vMerge/>
            <w:vAlign w:val="center"/>
            <w:hideMark/>
          </w:tcPr>
          <w:p w14:paraId="7189221F" w14:textId="77777777" w:rsidR="00685E75" w:rsidRPr="009A1A2E" w:rsidRDefault="00685E75" w:rsidP="00AB05A7">
            <w:pPr>
              <w:jc w:val="center"/>
              <w:rPr>
                <w:rFonts w:ascii="Arial" w:hAnsi="Arial" w:cs="Arial"/>
                <w:color w:val="000000"/>
                <w:sz w:val="20"/>
                <w:szCs w:val="20"/>
                <w:lang w:val="en-AU" w:eastAsia="de-AT"/>
              </w:rPr>
            </w:pPr>
          </w:p>
        </w:tc>
        <w:tc>
          <w:tcPr>
            <w:tcW w:w="816" w:type="pct"/>
            <w:vMerge/>
            <w:vAlign w:val="center"/>
            <w:hideMark/>
          </w:tcPr>
          <w:p w14:paraId="34EEF593" w14:textId="77777777" w:rsidR="00685E75" w:rsidRPr="009A1A2E" w:rsidRDefault="00685E75" w:rsidP="00AB05A7">
            <w:pPr>
              <w:rPr>
                <w:rFonts w:ascii="Arial" w:hAnsi="Arial" w:cs="Arial"/>
                <w:color w:val="000000"/>
                <w:sz w:val="20"/>
                <w:szCs w:val="20"/>
                <w:lang w:val="en-AU" w:eastAsia="de-AT"/>
              </w:rPr>
            </w:pPr>
          </w:p>
        </w:tc>
        <w:tc>
          <w:tcPr>
            <w:tcW w:w="1047" w:type="pct"/>
            <w:vMerge/>
            <w:hideMark/>
          </w:tcPr>
          <w:p w14:paraId="4E4FDB0C" w14:textId="77777777" w:rsidR="00685E75" w:rsidRPr="009A1A2E" w:rsidRDefault="00685E75" w:rsidP="00AB05A7">
            <w:pPr>
              <w:rPr>
                <w:rFonts w:ascii="Arial" w:hAnsi="Arial" w:cs="Arial"/>
                <w:color w:val="000000"/>
                <w:sz w:val="20"/>
                <w:szCs w:val="20"/>
                <w:lang w:val="en-AU" w:eastAsia="de-AT"/>
              </w:rPr>
            </w:pPr>
          </w:p>
        </w:tc>
      </w:tr>
      <w:tr w:rsidR="00685E75" w:rsidRPr="009A1A2E" w14:paraId="261F16E2" w14:textId="77777777" w:rsidTr="00FF3B57">
        <w:trPr>
          <w:trHeight w:val="480"/>
        </w:trPr>
        <w:tc>
          <w:tcPr>
            <w:tcW w:w="769" w:type="pct"/>
            <w:vAlign w:val="center"/>
            <w:hideMark/>
          </w:tcPr>
          <w:p w14:paraId="746F400C" w14:textId="77777777" w:rsidR="00685E75" w:rsidRPr="009A1A2E" w:rsidRDefault="00685E75" w:rsidP="00AB05A7">
            <w:pPr>
              <w:rPr>
                <w:rFonts w:ascii="Arial" w:hAnsi="Arial" w:cs="Arial"/>
                <w:color w:val="000000"/>
                <w:sz w:val="20"/>
                <w:szCs w:val="20"/>
                <w:lang w:val="en-AU" w:eastAsia="de-AT"/>
              </w:rPr>
            </w:pPr>
            <w:r w:rsidRPr="009A1A2E">
              <w:rPr>
                <w:rFonts w:ascii="Arial" w:hAnsi="Arial" w:cs="Arial"/>
                <w:color w:val="000000"/>
                <w:sz w:val="20"/>
                <w:szCs w:val="20"/>
                <w:lang w:val="en-AU" w:eastAsia="de-AT"/>
              </w:rPr>
              <w:t>Luetje et al. 2010 USA</w:t>
            </w:r>
          </w:p>
        </w:tc>
        <w:tc>
          <w:tcPr>
            <w:tcW w:w="563" w:type="pct"/>
            <w:vMerge w:val="restart"/>
            <w:vAlign w:val="center"/>
            <w:hideMark/>
          </w:tcPr>
          <w:p w14:paraId="6AF90358" w14:textId="77777777" w:rsidR="00685E75" w:rsidRPr="009A1A2E" w:rsidRDefault="00685E75" w:rsidP="00AB05A7">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III</w:t>
            </w:r>
          </w:p>
        </w:tc>
        <w:tc>
          <w:tcPr>
            <w:tcW w:w="554" w:type="pct"/>
            <w:vMerge w:val="restart"/>
            <w:vAlign w:val="center"/>
            <w:hideMark/>
          </w:tcPr>
          <w:p w14:paraId="6E0231E4" w14:textId="77777777" w:rsidR="00685E75" w:rsidRPr="009A1A2E" w:rsidRDefault="00685E75" w:rsidP="00AB05A7">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III-3</w:t>
            </w:r>
          </w:p>
        </w:tc>
        <w:tc>
          <w:tcPr>
            <w:tcW w:w="590" w:type="pct"/>
            <w:vMerge w:val="restart"/>
            <w:vAlign w:val="center"/>
            <w:hideMark/>
          </w:tcPr>
          <w:p w14:paraId="6540D975" w14:textId="77777777" w:rsidR="00685E75" w:rsidRPr="009A1A2E" w:rsidRDefault="00685E75" w:rsidP="00AB05A7">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31 adults</w:t>
            </w:r>
          </w:p>
        </w:tc>
        <w:tc>
          <w:tcPr>
            <w:tcW w:w="661" w:type="pct"/>
            <w:vMerge w:val="restart"/>
            <w:vAlign w:val="center"/>
            <w:hideMark/>
          </w:tcPr>
          <w:p w14:paraId="03E3516C" w14:textId="77777777" w:rsidR="00685E75" w:rsidRPr="009A1A2E" w:rsidRDefault="00685E75" w:rsidP="00AB05A7">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1-11 years</w:t>
            </w:r>
          </w:p>
        </w:tc>
        <w:tc>
          <w:tcPr>
            <w:tcW w:w="816" w:type="pct"/>
            <w:vMerge w:val="restart"/>
            <w:vAlign w:val="center"/>
            <w:hideMark/>
          </w:tcPr>
          <w:p w14:paraId="42B74FA3" w14:textId="77777777" w:rsidR="00685E75" w:rsidRPr="009A1A2E" w:rsidRDefault="00685E75" w:rsidP="00AB05A7">
            <w:pPr>
              <w:rPr>
                <w:rFonts w:ascii="Arial" w:hAnsi="Arial" w:cs="Arial"/>
                <w:color w:val="000000"/>
                <w:sz w:val="20"/>
                <w:szCs w:val="20"/>
                <w:lang w:val="en-AU" w:eastAsia="de-AT"/>
              </w:rPr>
            </w:pPr>
            <w:r w:rsidRPr="009A1A2E">
              <w:rPr>
                <w:rFonts w:ascii="Arial" w:hAnsi="Arial" w:cs="Arial"/>
                <w:color w:val="000000"/>
                <w:sz w:val="20"/>
                <w:szCs w:val="20"/>
                <w:lang w:val="en-AU" w:eastAsia="de-AT"/>
              </w:rPr>
              <w:t>Unaided and aided pure tone audiometry, Degree of device use using a questionnaire</w:t>
            </w:r>
          </w:p>
        </w:tc>
        <w:tc>
          <w:tcPr>
            <w:tcW w:w="1047" w:type="pct"/>
            <w:vMerge w:val="restart"/>
            <w:vAlign w:val="center"/>
            <w:hideMark/>
          </w:tcPr>
          <w:p w14:paraId="0D76EAEC" w14:textId="77777777" w:rsidR="00685E75" w:rsidRPr="009A1A2E" w:rsidRDefault="00685E75" w:rsidP="00FF3B57">
            <w:pPr>
              <w:rPr>
                <w:rFonts w:ascii="Arial" w:hAnsi="Arial" w:cs="Arial"/>
                <w:color w:val="000000"/>
                <w:sz w:val="20"/>
                <w:szCs w:val="20"/>
                <w:lang w:val="en-AU" w:eastAsia="de-AT"/>
              </w:rPr>
            </w:pPr>
            <w:r w:rsidRPr="009A1A2E">
              <w:rPr>
                <w:rFonts w:ascii="Arial" w:hAnsi="Arial" w:cs="Arial"/>
                <w:color w:val="000000"/>
                <w:sz w:val="20"/>
                <w:szCs w:val="20"/>
                <w:lang w:val="en-AU" w:eastAsia="de-AT"/>
              </w:rPr>
              <w:t>Sustained gain</w:t>
            </w:r>
          </w:p>
        </w:tc>
      </w:tr>
      <w:tr w:rsidR="00685E75" w:rsidRPr="009A1A2E" w14:paraId="0159657C" w14:textId="77777777" w:rsidTr="00FF3B57">
        <w:trPr>
          <w:trHeight w:val="720"/>
        </w:trPr>
        <w:tc>
          <w:tcPr>
            <w:tcW w:w="769" w:type="pct"/>
            <w:vAlign w:val="center"/>
            <w:hideMark/>
          </w:tcPr>
          <w:p w14:paraId="11BDA9F5" w14:textId="77777777" w:rsidR="00685E75" w:rsidRPr="009A1A2E" w:rsidRDefault="00685E75" w:rsidP="00AB05A7">
            <w:pPr>
              <w:rPr>
                <w:rFonts w:ascii="Arial" w:hAnsi="Arial" w:cs="Arial"/>
                <w:color w:val="000000"/>
                <w:sz w:val="20"/>
                <w:szCs w:val="20"/>
                <w:lang w:val="en-AU" w:eastAsia="de-AT"/>
              </w:rPr>
            </w:pPr>
            <w:r w:rsidRPr="009A1A2E">
              <w:rPr>
                <w:rFonts w:ascii="Arial" w:hAnsi="Arial" w:cs="Arial"/>
                <w:color w:val="000000"/>
                <w:sz w:val="20"/>
                <w:szCs w:val="20"/>
                <w:lang w:val="en-AU" w:eastAsia="de-AT"/>
              </w:rPr>
              <w:t>Retrospective, pre/post study</w:t>
            </w:r>
          </w:p>
        </w:tc>
        <w:tc>
          <w:tcPr>
            <w:tcW w:w="563" w:type="pct"/>
            <w:vMerge/>
            <w:vAlign w:val="center"/>
            <w:hideMark/>
          </w:tcPr>
          <w:p w14:paraId="342DC4EA" w14:textId="77777777" w:rsidR="00685E75" w:rsidRPr="009A1A2E" w:rsidRDefault="00685E75" w:rsidP="00AB05A7">
            <w:pPr>
              <w:jc w:val="center"/>
              <w:rPr>
                <w:rFonts w:ascii="Arial" w:hAnsi="Arial" w:cs="Arial"/>
                <w:color w:val="000000"/>
                <w:sz w:val="20"/>
                <w:szCs w:val="20"/>
                <w:lang w:val="en-AU" w:eastAsia="de-AT"/>
              </w:rPr>
            </w:pPr>
          </w:p>
        </w:tc>
        <w:tc>
          <w:tcPr>
            <w:tcW w:w="554" w:type="pct"/>
            <w:vMerge/>
            <w:vAlign w:val="center"/>
            <w:hideMark/>
          </w:tcPr>
          <w:p w14:paraId="5AE82597" w14:textId="77777777" w:rsidR="00685E75" w:rsidRPr="009A1A2E" w:rsidRDefault="00685E75" w:rsidP="00AB05A7">
            <w:pPr>
              <w:jc w:val="center"/>
              <w:rPr>
                <w:rFonts w:ascii="Arial" w:hAnsi="Arial" w:cs="Arial"/>
                <w:color w:val="000000"/>
                <w:sz w:val="20"/>
                <w:szCs w:val="20"/>
                <w:lang w:val="en-AU" w:eastAsia="de-AT"/>
              </w:rPr>
            </w:pPr>
          </w:p>
        </w:tc>
        <w:tc>
          <w:tcPr>
            <w:tcW w:w="590" w:type="pct"/>
            <w:vMerge/>
            <w:vAlign w:val="center"/>
            <w:hideMark/>
          </w:tcPr>
          <w:p w14:paraId="16F6F0DE" w14:textId="77777777" w:rsidR="00685E75" w:rsidRPr="009A1A2E" w:rsidRDefault="00685E75" w:rsidP="00AB05A7">
            <w:pPr>
              <w:jc w:val="center"/>
              <w:rPr>
                <w:rFonts w:ascii="Arial" w:hAnsi="Arial" w:cs="Arial"/>
                <w:color w:val="000000"/>
                <w:sz w:val="20"/>
                <w:szCs w:val="20"/>
                <w:lang w:val="en-AU" w:eastAsia="de-AT"/>
              </w:rPr>
            </w:pPr>
          </w:p>
        </w:tc>
        <w:tc>
          <w:tcPr>
            <w:tcW w:w="661" w:type="pct"/>
            <w:vMerge/>
            <w:vAlign w:val="center"/>
            <w:hideMark/>
          </w:tcPr>
          <w:p w14:paraId="1A83346A" w14:textId="77777777" w:rsidR="00685E75" w:rsidRPr="009A1A2E" w:rsidRDefault="00685E75" w:rsidP="00AB05A7">
            <w:pPr>
              <w:jc w:val="center"/>
              <w:rPr>
                <w:rFonts w:ascii="Arial" w:hAnsi="Arial" w:cs="Arial"/>
                <w:color w:val="000000"/>
                <w:sz w:val="20"/>
                <w:szCs w:val="20"/>
                <w:lang w:val="en-AU" w:eastAsia="de-AT"/>
              </w:rPr>
            </w:pPr>
          </w:p>
        </w:tc>
        <w:tc>
          <w:tcPr>
            <w:tcW w:w="816" w:type="pct"/>
            <w:vMerge/>
            <w:vAlign w:val="center"/>
            <w:hideMark/>
          </w:tcPr>
          <w:p w14:paraId="367E9017" w14:textId="77777777" w:rsidR="00685E75" w:rsidRPr="009A1A2E" w:rsidRDefault="00685E75" w:rsidP="00AB05A7">
            <w:pPr>
              <w:rPr>
                <w:rFonts w:ascii="Arial" w:hAnsi="Arial" w:cs="Arial"/>
                <w:color w:val="000000"/>
                <w:sz w:val="20"/>
                <w:szCs w:val="20"/>
                <w:lang w:val="en-AU" w:eastAsia="de-AT"/>
              </w:rPr>
            </w:pPr>
          </w:p>
        </w:tc>
        <w:tc>
          <w:tcPr>
            <w:tcW w:w="1047" w:type="pct"/>
            <w:vMerge/>
            <w:vAlign w:val="center"/>
            <w:hideMark/>
          </w:tcPr>
          <w:p w14:paraId="306A8412" w14:textId="77777777" w:rsidR="00685E75" w:rsidRPr="009A1A2E" w:rsidRDefault="00685E75" w:rsidP="00FF3B57">
            <w:pPr>
              <w:rPr>
                <w:rFonts w:ascii="Arial" w:hAnsi="Arial" w:cs="Arial"/>
                <w:color w:val="000000"/>
                <w:sz w:val="20"/>
                <w:szCs w:val="20"/>
                <w:lang w:val="en-AU" w:eastAsia="de-AT"/>
              </w:rPr>
            </w:pPr>
          </w:p>
        </w:tc>
      </w:tr>
      <w:tr w:rsidR="00685E75" w:rsidRPr="009A1A2E" w14:paraId="3BBA67E6" w14:textId="77777777" w:rsidTr="00FF3B57">
        <w:trPr>
          <w:trHeight w:val="480"/>
        </w:trPr>
        <w:tc>
          <w:tcPr>
            <w:tcW w:w="769" w:type="pct"/>
            <w:vAlign w:val="center"/>
            <w:hideMark/>
          </w:tcPr>
          <w:p w14:paraId="5D96E956" w14:textId="77777777" w:rsidR="00685E75" w:rsidRPr="009A1A2E" w:rsidRDefault="00685E75" w:rsidP="00AB05A7">
            <w:pPr>
              <w:rPr>
                <w:rFonts w:ascii="Arial" w:hAnsi="Arial" w:cs="Arial"/>
                <w:color w:val="000000"/>
                <w:sz w:val="20"/>
                <w:szCs w:val="20"/>
                <w:lang w:val="en-AU" w:eastAsia="de-AT"/>
              </w:rPr>
            </w:pPr>
            <w:r w:rsidRPr="009A1A2E">
              <w:rPr>
                <w:rFonts w:ascii="Arial" w:hAnsi="Arial" w:cs="Arial"/>
                <w:color w:val="000000"/>
                <w:sz w:val="20"/>
                <w:szCs w:val="20"/>
                <w:lang w:val="en-AU" w:eastAsia="de-AT"/>
              </w:rPr>
              <w:t>Mosnier et al 2008 France</w:t>
            </w:r>
          </w:p>
        </w:tc>
        <w:tc>
          <w:tcPr>
            <w:tcW w:w="563" w:type="pct"/>
            <w:vMerge w:val="restart"/>
            <w:vAlign w:val="center"/>
            <w:hideMark/>
          </w:tcPr>
          <w:p w14:paraId="0182774B" w14:textId="77777777" w:rsidR="00685E75" w:rsidRPr="009A1A2E" w:rsidRDefault="00685E75" w:rsidP="00AB05A7">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III</w:t>
            </w:r>
          </w:p>
        </w:tc>
        <w:tc>
          <w:tcPr>
            <w:tcW w:w="554" w:type="pct"/>
            <w:vMerge w:val="restart"/>
            <w:vAlign w:val="center"/>
            <w:hideMark/>
          </w:tcPr>
          <w:p w14:paraId="0527182B" w14:textId="77777777" w:rsidR="00685E75" w:rsidRPr="009A1A2E" w:rsidRDefault="00685E75" w:rsidP="00AB05A7">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III-2</w:t>
            </w:r>
          </w:p>
        </w:tc>
        <w:tc>
          <w:tcPr>
            <w:tcW w:w="590" w:type="pct"/>
            <w:vMerge w:val="restart"/>
            <w:vAlign w:val="center"/>
            <w:hideMark/>
          </w:tcPr>
          <w:p w14:paraId="47D6EBA2" w14:textId="77777777" w:rsidR="00685E75" w:rsidRPr="009A1A2E" w:rsidRDefault="00685E75" w:rsidP="00AB05A7">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100 adults</w:t>
            </w:r>
          </w:p>
        </w:tc>
        <w:tc>
          <w:tcPr>
            <w:tcW w:w="661" w:type="pct"/>
            <w:vMerge w:val="restart"/>
            <w:vAlign w:val="center"/>
            <w:hideMark/>
          </w:tcPr>
          <w:p w14:paraId="1B1A8C2A" w14:textId="77777777" w:rsidR="00685E75" w:rsidRPr="009A1A2E" w:rsidRDefault="00685E75" w:rsidP="00AB05A7">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5-8 years</w:t>
            </w:r>
          </w:p>
        </w:tc>
        <w:tc>
          <w:tcPr>
            <w:tcW w:w="816" w:type="pct"/>
            <w:vMerge w:val="restart"/>
            <w:vAlign w:val="center"/>
            <w:hideMark/>
          </w:tcPr>
          <w:p w14:paraId="647FE778" w14:textId="77777777" w:rsidR="00685E75" w:rsidRPr="009A1A2E" w:rsidRDefault="00685E75" w:rsidP="00AB05A7">
            <w:pPr>
              <w:rPr>
                <w:rFonts w:ascii="Arial" w:hAnsi="Arial" w:cs="Arial"/>
                <w:color w:val="000000"/>
                <w:sz w:val="20"/>
                <w:szCs w:val="20"/>
                <w:lang w:val="en-AU" w:eastAsia="de-AT"/>
              </w:rPr>
            </w:pPr>
            <w:r w:rsidRPr="009A1A2E">
              <w:rPr>
                <w:rFonts w:ascii="Arial" w:hAnsi="Arial" w:cs="Arial"/>
                <w:color w:val="000000"/>
                <w:sz w:val="20"/>
                <w:szCs w:val="20"/>
                <w:lang w:val="en-AU" w:eastAsia="de-AT"/>
              </w:rPr>
              <w:t>Unaided and aided sound field audiometry, Speech intelligibility in quiet (65 dB), Subjective outcomes using Vibrant Questionnaire and GBI, Adverse events</w:t>
            </w:r>
          </w:p>
        </w:tc>
        <w:tc>
          <w:tcPr>
            <w:tcW w:w="1047" w:type="pct"/>
            <w:vMerge w:val="restart"/>
            <w:vAlign w:val="center"/>
            <w:hideMark/>
          </w:tcPr>
          <w:p w14:paraId="19DFD9FC" w14:textId="77777777" w:rsidR="00685E75" w:rsidRPr="009A1A2E" w:rsidRDefault="00685E75" w:rsidP="00FF3B57">
            <w:pPr>
              <w:rPr>
                <w:rFonts w:ascii="Arial" w:hAnsi="Arial" w:cs="Arial"/>
                <w:color w:val="000000"/>
                <w:sz w:val="20"/>
                <w:szCs w:val="20"/>
                <w:lang w:val="en-AU" w:eastAsia="de-AT"/>
              </w:rPr>
            </w:pPr>
            <w:r w:rsidRPr="009A1A2E">
              <w:rPr>
                <w:rFonts w:ascii="Arial" w:hAnsi="Arial" w:cs="Arial"/>
                <w:color w:val="000000"/>
                <w:sz w:val="20"/>
                <w:szCs w:val="20"/>
                <w:lang w:val="en-AU" w:eastAsia="de-AT"/>
              </w:rPr>
              <w:t>Safe and effective treatment</w:t>
            </w:r>
          </w:p>
        </w:tc>
      </w:tr>
      <w:tr w:rsidR="00685E75" w:rsidRPr="009A1A2E" w14:paraId="05D3D3E6" w14:textId="77777777" w:rsidTr="00AB05A7">
        <w:trPr>
          <w:trHeight w:val="720"/>
        </w:trPr>
        <w:tc>
          <w:tcPr>
            <w:tcW w:w="769" w:type="pct"/>
            <w:vAlign w:val="center"/>
            <w:hideMark/>
          </w:tcPr>
          <w:p w14:paraId="7930A3BD" w14:textId="77777777" w:rsidR="00685E75" w:rsidRPr="009A1A2E" w:rsidRDefault="00685E75" w:rsidP="00AB05A7">
            <w:pPr>
              <w:rPr>
                <w:rFonts w:ascii="Arial" w:hAnsi="Arial" w:cs="Arial"/>
                <w:color w:val="000000"/>
                <w:sz w:val="20"/>
                <w:szCs w:val="20"/>
                <w:lang w:val="en-AU" w:eastAsia="de-AT"/>
              </w:rPr>
            </w:pPr>
            <w:r w:rsidRPr="009A1A2E">
              <w:rPr>
                <w:rFonts w:ascii="Arial" w:hAnsi="Arial" w:cs="Arial"/>
                <w:color w:val="000000"/>
                <w:sz w:val="20"/>
                <w:szCs w:val="20"/>
                <w:lang w:val="en-AU" w:eastAsia="de-AT"/>
              </w:rPr>
              <w:t>Prospective, single arm trial</w:t>
            </w:r>
          </w:p>
        </w:tc>
        <w:tc>
          <w:tcPr>
            <w:tcW w:w="563" w:type="pct"/>
            <w:vMerge/>
            <w:vAlign w:val="center"/>
            <w:hideMark/>
          </w:tcPr>
          <w:p w14:paraId="5A068AE9" w14:textId="77777777" w:rsidR="00685E75" w:rsidRPr="009A1A2E" w:rsidRDefault="00685E75" w:rsidP="00AB05A7">
            <w:pPr>
              <w:jc w:val="center"/>
              <w:rPr>
                <w:rFonts w:ascii="Arial" w:hAnsi="Arial" w:cs="Arial"/>
                <w:color w:val="000000"/>
                <w:sz w:val="20"/>
                <w:szCs w:val="20"/>
                <w:lang w:val="en-AU" w:eastAsia="de-AT"/>
              </w:rPr>
            </w:pPr>
          </w:p>
        </w:tc>
        <w:tc>
          <w:tcPr>
            <w:tcW w:w="554" w:type="pct"/>
            <w:vMerge/>
            <w:vAlign w:val="center"/>
            <w:hideMark/>
          </w:tcPr>
          <w:p w14:paraId="480BF339" w14:textId="77777777" w:rsidR="00685E75" w:rsidRPr="009A1A2E" w:rsidRDefault="00685E75" w:rsidP="00AB05A7">
            <w:pPr>
              <w:jc w:val="center"/>
              <w:rPr>
                <w:rFonts w:ascii="Arial" w:hAnsi="Arial" w:cs="Arial"/>
                <w:color w:val="000000"/>
                <w:sz w:val="20"/>
                <w:szCs w:val="20"/>
                <w:lang w:val="en-AU" w:eastAsia="de-AT"/>
              </w:rPr>
            </w:pPr>
          </w:p>
        </w:tc>
        <w:tc>
          <w:tcPr>
            <w:tcW w:w="590" w:type="pct"/>
            <w:vMerge/>
            <w:vAlign w:val="center"/>
            <w:hideMark/>
          </w:tcPr>
          <w:p w14:paraId="0D7E9EBD" w14:textId="77777777" w:rsidR="00685E75" w:rsidRPr="009A1A2E" w:rsidRDefault="00685E75" w:rsidP="00AB05A7">
            <w:pPr>
              <w:jc w:val="center"/>
              <w:rPr>
                <w:rFonts w:ascii="Arial" w:hAnsi="Arial" w:cs="Arial"/>
                <w:color w:val="000000"/>
                <w:sz w:val="20"/>
                <w:szCs w:val="20"/>
                <w:lang w:val="en-AU" w:eastAsia="de-AT"/>
              </w:rPr>
            </w:pPr>
          </w:p>
        </w:tc>
        <w:tc>
          <w:tcPr>
            <w:tcW w:w="661" w:type="pct"/>
            <w:vMerge/>
            <w:vAlign w:val="center"/>
            <w:hideMark/>
          </w:tcPr>
          <w:p w14:paraId="4D9C61A5" w14:textId="77777777" w:rsidR="00685E75" w:rsidRPr="009A1A2E" w:rsidRDefault="00685E75" w:rsidP="00AB05A7">
            <w:pPr>
              <w:jc w:val="center"/>
              <w:rPr>
                <w:rFonts w:ascii="Arial" w:hAnsi="Arial" w:cs="Arial"/>
                <w:color w:val="000000"/>
                <w:sz w:val="20"/>
                <w:szCs w:val="20"/>
                <w:lang w:val="en-AU" w:eastAsia="de-AT"/>
              </w:rPr>
            </w:pPr>
          </w:p>
        </w:tc>
        <w:tc>
          <w:tcPr>
            <w:tcW w:w="816" w:type="pct"/>
            <w:vMerge/>
            <w:vAlign w:val="center"/>
            <w:hideMark/>
          </w:tcPr>
          <w:p w14:paraId="035ADE7F" w14:textId="77777777" w:rsidR="00685E75" w:rsidRPr="009A1A2E" w:rsidRDefault="00685E75" w:rsidP="00AB05A7">
            <w:pPr>
              <w:rPr>
                <w:rFonts w:ascii="Arial" w:hAnsi="Arial" w:cs="Arial"/>
                <w:color w:val="000000"/>
                <w:sz w:val="20"/>
                <w:szCs w:val="20"/>
                <w:lang w:val="en-AU" w:eastAsia="de-AT"/>
              </w:rPr>
            </w:pPr>
          </w:p>
        </w:tc>
        <w:tc>
          <w:tcPr>
            <w:tcW w:w="1047" w:type="pct"/>
            <w:vMerge/>
            <w:hideMark/>
          </w:tcPr>
          <w:p w14:paraId="501662A9" w14:textId="77777777" w:rsidR="00685E75" w:rsidRPr="009A1A2E" w:rsidRDefault="00685E75" w:rsidP="00AB05A7">
            <w:pPr>
              <w:rPr>
                <w:rFonts w:ascii="Arial" w:hAnsi="Arial" w:cs="Arial"/>
                <w:color w:val="000000"/>
                <w:sz w:val="20"/>
                <w:szCs w:val="20"/>
                <w:lang w:val="en-AU" w:eastAsia="de-AT"/>
              </w:rPr>
            </w:pPr>
          </w:p>
        </w:tc>
      </w:tr>
      <w:tr w:rsidR="00685E75" w:rsidRPr="009A1A2E" w14:paraId="658564FD" w14:textId="77777777" w:rsidTr="00AB05A7">
        <w:trPr>
          <w:trHeight w:val="480"/>
        </w:trPr>
        <w:tc>
          <w:tcPr>
            <w:tcW w:w="769" w:type="pct"/>
            <w:vAlign w:val="center"/>
            <w:hideMark/>
          </w:tcPr>
          <w:p w14:paraId="2A74E49D" w14:textId="77777777" w:rsidR="00685E75" w:rsidRPr="009A1A2E" w:rsidRDefault="00685E75" w:rsidP="00AB05A7">
            <w:pPr>
              <w:rPr>
                <w:rFonts w:ascii="Arial" w:hAnsi="Arial" w:cs="Arial"/>
                <w:color w:val="000000"/>
                <w:sz w:val="20"/>
                <w:szCs w:val="20"/>
                <w:lang w:val="en-AU" w:eastAsia="de-AT"/>
              </w:rPr>
            </w:pPr>
            <w:r w:rsidRPr="009A1A2E">
              <w:rPr>
                <w:rFonts w:ascii="Arial" w:hAnsi="Arial" w:cs="Arial"/>
                <w:color w:val="000000"/>
                <w:sz w:val="20"/>
                <w:szCs w:val="20"/>
                <w:lang w:val="en-AU" w:eastAsia="de-AT"/>
              </w:rPr>
              <w:t>Pok et al. 2010 Austria</w:t>
            </w:r>
          </w:p>
        </w:tc>
        <w:tc>
          <w:tcPr>
            <w:tcW w:w="563" w:type="pct"/>
            <w:vMerge w:val="restart"/>
            <w:vAlign w:val="center"/>
            <w:hideMark/>
          </w:tcPr>
          <w:p w14:paraId="61732E81" w14:textId="77777777" w:rsidR="00685E75" w:rsidRPr="009A1A2E" w:rsidRDefault="00685E75" w:rsidP="00AB05A7">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IV</w:t>
            </w:r>
          </w:p>
        </w:tc>
        <w:tc>
          <w:tcPr>
            <w:tcW w:w="554" w:type="pct"/>
            <w:vMerge w:val="restart"/>
            <w:vAlign w:val="center"/>
            <w:hideMark/>
          </w:tcPr>
          <w:p w14:paraId="1ACBF20B" w14:textId="77777777" w:rsidR="00685E75" w:rsidRPr="009A1A2E" w:rsidRDefault="00685E75" w:rsidP="00AB05A7">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III-3</w:t>
            </w:r>
          </w:p>
        </w:tc>
        <w:tc>
          <w:tcPr>
            <w:tcW w:w="590" w:type="pct"/>
            <w:vMerge w:val="restart"/>
            <w:vAlign w:val="center"/>
            <w:hideMark/>
          </w:tcPr>
          <w:p w14:paraId="1D11480B" w14:textId="77777777" w:rsidR="00685E75" w:rsidRPr="009A1A2E" w:rsidRDefault="00685E75" w:rsidP="00AB05A7">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54 adults</w:t>
            </w:r>
          </w:p>
        </w:tc>
        <w:tc>
          <w:tcPr>
            <w:tcW w:w="661" w:type="pct"/>
            <w:vMerge w:val="restart"/>
            <w:vAlign w:val="center"/>
            <w:hideMark/>
          </w:tcPr>
          <w:p w14:paraId="3B05A2BE" w14:textId="77777777" w:rsidR="00685E75" w:rsidRPr="009A1A2E" w:rsidRDefault="00685E75" w:rsidP="00AB05A7">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not stated</w:t>
            </w:r>
          </w:p>
        </w:tc>
        <w:tc>
          <w:tcPr>
            <w:tcW w:w="816" w:type="pct"/>
            <w:vMerge w:val="restart"/>
            <w:vAlign w:val="center"/>
            <w:hideMark/>
          </w:tcPr>
          <w:p w14:paraId="62411735" w14:textId="77777777" w:rsidR="00685E75" w:rsidRPr="009A1A2E" w:rsidRDefault="00685E75" w:rsidP="00AB05A7">
            <w:pPr>
              <w:rPr>
                <w:rFonts w:ascii="Arial" w:hAnsi="Arial" w:cs="Arial"/>
                <w:color w:val="000000"/>
                <w:sz w:val="20"/>
                <w:szCs w:val="20"/>
                <w:lang w:val="en-AU" w:eastAsia="de-AT"/>
              </w:rPr>
            </w:pPr>
            <w:r w:rsidRPr="009A1A2E">
              <w:rPr>
                <w:rFonts w:ascii="Arial" w:hAnsi="Arial" w:cs="Arial"/>
                <w:color w:val="000000"/>
                <w:sz w:val="20"/>
                <w:szCs w:val="20"/>
                <w:lang w:val="en-AU" w:eastAsia="de-AT"/>
              </w:rPr>
              <w:t>Unaided and aided pure tone audiometry, unaided and aided sound field audiometry, Speech intelligibility in quiet (65 dB, 80 dB)</w:t>
            </w:r>
          </w:p>
        </w:tc>
        <w:tc>
          <w:tcPr>
            <w:tcW w:w="1047" w:type="pct"/>
            <w:vMerge w:val="restart"/>
            <w:hideMark/>
          </w:tcPr>
          <w:p w14:paraId="76243154" w14:textId="77777777" w:rsidR="00685E75" w:rsidRPr="009A1A2E" w:rsidRDefault="00685E75" w:rsidP="00AB05A7">
            <w:pPr>
              <w:rPr>
                <w:rFonts w:ascii="Arial" w:hAnsi="Arial" w:cs="Arial"/>
                <w:color w:val="000000"/>
                <w:sz w:val="20"/>
                <w:szCs w:val="20"/>
                <w:lang w:val="en-AU" w:eastAsia="de-AT"/>
              </w:rPr>
            </w:pPr>
            <w:r w:rsidRPr="009A1A2E">
              <w:rPr>
                <w:rFonts w:ascii="Arial" w:hAnsi="Arial" w:cs="Arial"/>
                <w:color w:val="000000"/>
                <w:sz w:val="20"/>
                <w:szCs w:val="20"/>
                <w:lang w:val="en-AU" w:eastAsia="de-AT"/>
              </w:rPr>
              <w:t>In cases of SNHL with unsatisfying benefit from conventional HAs, the VSB system offers an attractive and effective hearing solution</w:t>
            </w:r>
          </w:p>
        </w:tc>
      </w:tr>
      <w:tr w:rsidR="00685E75" w:rsidRPr="009A1A2E" w14:paraId="6434FDB4" w14:textId="77777777" w:rsidTr="00AB05A7">
        <w:trPr>
          <w:trHeight w:val="720"/>
        </w:trPr>
        <w:tc>
          <w:tcPr>
            <w:tcW w:w="769" w:type="pct"/>
            <w:vAlign w:val="center"/>
            <w:hideMark/>
          </w:tcPr>
          <w:p w14:paraId="49803951" w14:textId="77777777" w:rsidR="00685E75" w:rsidRPr="009A1A2E" w:rsidRDefault="00685E75" w:rsidP="00AB05A7">
            <w:pPr>
              <w:rPr>
                <w:rFonts w:ascii="Arial" w:hAnsi="Arial" w:cs="Arial"/>
                <w:color w:val="000000"/>
                <w:sz w:val="20"/>
                <w:szCs w:val="20"/>
                <w:lang w:val="en-AU" w:eastAsia="de-AT"/>
              </w:rPr>
            </w:pPr>
            <w:r w:rsidRPr="009A1A2E">
              <w:rPr>
                <w:rFonts w:ascii="Arial" w:hAnsi="Arial" w:cs="Arial"/>
                <w:color w:val="000000"/>
                <w:sz w:val="20"/>
                <w:szCs w:val="20"/>
                <w:lang w:val="en-AU" w:eastAsia="de-AT"/>
              </w:rPr>
              <w:t>Retrospective, with/without</w:t>
            </w:r>
          </w:p>
        </w:tc>
        <w:tc>
          <w:tcPr>
            <w:tcW w:w="563" w:type="pct"/>
            <w:vMerge/>
            <w:vAlign w:val="center"/>
            <w:hideMark/>
          </w:tcPr>
          <w:p w14:paraId="5723B87C" w14:textId="77777777" w:rsidR="00685E75" w:rsidRPr="009A1A2E" w:rsidRDefault="00685E75" w:rsidP="00AB05A7">
            <w:pPr>
              <w:jc w:val="center"/>
              <w:rPr>
                <w:rFonts w:ascii="Arial" w:hAnsi="Arial" w:cs="Arial"/>
                <w:color w:val="000000"/>
                <w:sz w:val="20"/>
                <w:szCs w:val="20"/>
                <w:lang w:val="en-AU" w:eastAsia="de-AT"/>
              </w:rPr>
            </w:pPr>
          </w:p>
        </w:tc>
        <w:tc>
          <w:tcPr>
            <w:tcW w:w="554" w:type="pct"/>
            <w:vMerge/>
            <w:vAlign w:val="center"/>
            <w:hideMark/>
          </w:tcPr>
          <w:p w14:paraId="106941A5" w14:textId="77777777" w:rsidR="00685E75" w:rsidRPr="009A1A2E" w:rsidRDefault="00685E75" w:rsidP="00AB05A7">
            <w:pPr>
              <w:jc w:val="center"/>
              <w:rPr>
                <w:rFonts w:ascii="Arial" w:hAnsi="Arial" w:cs="Arial"/>
                <w:color w:val="000000"/>
                <w:sz w:val="20"/>
                <w:szCs w:val="20"/>
                <w:lang w:val="en-AU" w:eastAsia="de-AT"/>
              </w:rPr>
            </w:pPr>
          </w:p>
        </w:tc>
        <w:tc>
          <w:tcPr>
            <w:tcW w:w="590" w:type="pct"/>
            <w:vMerge/>
            <w:vAlign w:val="center"/>
            <w:hideMark/>
          </w:tcPr>
          <w:p w14:paraId="31080D31" w14:textId="77777777" w:rsidR="00685E75" w:rsidRPr="009A1A2E" w:rsidRDefault="00685E75" w:rsidP="00AB05A7">
            <w:pPr>
              <w:jc w:val="center"/>
              <w:rPr>
                <w:rFonts w:ascii="Arial" w:hAnsi="Arial" w:cs="Arial"/>
                <w:color w:val="000000"/>
                <w:sz w:val="20"/>
                <w:szCs w:val="20"/>
                <w:lang w:val="en-AU" w:eastAsia="de-AT"/>
              </w:rPr>
            </w:pPr>
          </w:p>
        </w:tc>
        <w:tc>
          <w:tcPr>
            <w:tcW w:w="661" w:type="pct"/>
            <w:vMerge/>
            <w:vAlign w:val="center"/>
            <w:hideMark/>
          </w:tcPr>
          <w:p w14:paraId="1CEED7C3" w14:textId="77777777" w:rsidR="00685E75" w:rsidRPr="009A1A2E" w:rsidRDefault="00685E75" w:rsidP="00AB05A7">
            <w:pPr>
              <w:jc w:val="center"/>
              <w:rPr>
                <w:rFonts w:ascii="Arial" w:hAnsi="Arial" w:cs="Arial"/>
                <w:color w:val="000000"/>
                <w:sz w:val="20"/>
                <w:szCs w:val="20"/>
                <w:lang w:val="en-AU" w:eastAsia="de-AT"/>
              </w:rPr>
            </w:pPr>
          </w:p>
        </w:tc>
        <w:tc>
          <w:tcPr>
            <w:tcW w:w="816" w:type="pct"/>
            <w:vMerge/>
            <w:vAlign w:val="center"/>
            <w:hideMark/>
          </w:tcPr>
          <w:p w14:paraId="11D807D8" w14:textId="77777777" w:rsidR="00685E75" w:rsidRPr="009A1A2E" w:rsidRDefault="00685E75" w:rsidP="00AB05A7">
            <w:pPr>
              <w:rPr>
                <w:rFonts w:ascii="Arial" w:hAnsi="Arial" w:cs="Arial"/>
                <w:color w:val="000000"/>
                <w:sz w:val="20"/>
                <w:szCs w:val="20"/>
                <w:lang w:val="en-AU" w:eastAsia="de-AT"/>
              </w:rPr>
            </w:pPr>
          </w:p>
        </w:tc>
        <w:tc>
          <w:tcPr>
            <w:tcW w:w="1047" w:type="pct"/>
            <w:vMerge/>
            <w:hideMark/>
          </w:tcPr>
          <w:p w14:paraId="27B19F32" w14:textId="77777777" w:rsidR="00685E75" w:rsidRPr="009A1A2E" w:rsidRDefault="00685E75" w:rsidP="00AB05A7">
            <w:pPr>
              <w:rPr>
                <w:rFonts w:ascii="Arial" w:hAnsi="Arial" w:cs="Arial"/>
                <w:color w:val="000000"/>
                <w:sz w:val="20"/>
                <w:szCs w:val="20"/>
                <w:lang w:val="en-AU" w:eastAsia="de-AT"/>
              </w:rPr>
            </w:pPr>
          </w:p>
        </w:tc>
      </w:tr>
      <w:tr w:rsidR="00685E75" w:rsidRPr="009A1A2E" w14:paraId="15507479" w14:textId="77777777" w:rsidTr="00AB05A7">
        <w:trPr>
          <w:trHeight w:val="960"/>
        </w:trPr>
        <w:tc>
          <w:tcPr>
            <w:tcW w:w="769" w:type="pct"/>
            <w:vAlign w:val="center"/>
            <w:hideMark/>
          </w:tcPr>
          <w:p w14:paraId="5FF5D99A" w14:textId="77777777" w:rsidR="00685E75" w:rsidRPr="00FF3B57" w:rsidRDefault="00685E75" w:rsidP="00AB05A7">
            <w:pPr>
              <w:rPr>
                <w:rFonts w:ascii="Arial" w:hAnsi="Arial" w:cs="Arial"/>
                <w:color w:val="000000"/>
                <w:sz w:val="20"/>
                <w:lang w:val="es-ES"/>
              </w:rPr>
            </w:pPr>
            <w:r w:rsidRPr="00FF3B57">
              <w:rPr>
                <w:rFonts w:ascii="Arial" w:hAnsi="Arial" w:cs="Arial"/>
                <w:color w:val="000000"/>
                <w:sz w:val="20"/>
                <w:lang w:val="es-ES"/>
              </w:rPr>
              <w:lastRenderedPageBreak/>
              <w:t>Saliba et al. 2005 Canada and France</w:t>
            </w:r>
          </w:p>
        </w:tc>
        <w:tc>
          <w:tcPr>
            <w:tcW w:w="563" w:type="pct"/>
            <w:vMerge w:val="restart"/>
            <w:vAlign w:val="center"/>
            <w:hideMark/>
          </w:tcPr>
          <w:p w14:paraId="75A9C268" w14:textId="77777777" w:rsidR="00685E75" w:rsidRPr="009A1A2E" w:rsidRDefault="00685E75" w:rsidP="00AB05A7">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III</w:t>
            </w:r>
          </w:p>
        </w:tc>
        <w:tc>
          <w:tcPr>
            <w:tcW w:w="554" w:type="pct"/>
            <w:vMerge w:val="restart"/>
            <w:vAlign w:val="center"/>
            <w:hideMark/>
          </w:tcPr>
          <w:p w14:paraId="0C940B57" w14:textId="77777777" w:rsidR="00685E75" w:rsidRPr="009A1A2E" w:rsidRDefault="00685E75" w:rsidP="00AB05A7">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III-3</w:t>
            </w:r>
          </w:p>
        </w:tc>
        <w:tc>
          <w:tcPr>
            <w:tcW w:w="590" w:type="pct"/>
            <w:vMerge w:val="restart"/>
            <w:vAlign w:val="center"/>
            <w:hideMark/>
          </w:tcPr>
          <w:p w14:paraId="2683D050" w14:textId="77777777" w:rsidR="00685E75" w:rsidRPr="009A1A2E" w:rsidRDefault="00685E75" w:rsidP="00AB05A7">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8 adults</w:t>
            </w:r>
          </w:p>
        </w:tc>
        <w:tc>
          <w:tcPr>
            <w:tcW w:w="661" w:type="pct"/>
            <w:vMerge w:val="restart"/>
            <w:vAlign w:val="center"/>
            <w:hideMark/>
          </w:tcPr>
          <w:p w14:paraId="29DB6062" w14:textId="77777777" w:rsidR="00685E75" w:rsidRPr="009A1A2E" w:rsidRDefault="00685E75" w:rsidP="00AB05A7">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5-8 weeks</w:t>
            </w:r>
          </w:p>
        </w:tc>
        <w:tc>
          <w:tcPr>
            <w:tcW w:w="816" w:type="pct"/>
            <w:vMerge w:val="restart"/>
            <w:vAlign w:val="center"/>
            <w:hideMark/>
          </w:tcPr>
          <w:p w14:paraId="600D68D7" w14:textId="77777777" w:rsidR="00685E75" w:rsidRPr="009A1A2E" w:rsidRDefault="00685E75" w:rsidP="00AB05A7">
            <w:pPr>
              <w:rPr>
                <w:rFonts w:ascii="Arial" w:hAnsi="Arial" w:cs="Arial"/>
                <w:color w:val="000000"/>
                <w:sz w:val="20"/>
                <w:szCs w:val="20"/>
                <w:lang w:val="en-AU" w:eastAsia="de-AT"/>
              </w:rPr>
            </w:pPr>
            <w:r w:rsidRPr="009A1A2E">
              <w:rPr>
                <w:rFonts w:ascii="Arial" w:hAnsi="Arial" w:cs="Arial"/>
                <w:color w:val="000000"/>
                <w:sz w:val="20"/>
                <w:szCs w:val="20"/>
                <w:lang w:val="en-AU" w:eastAsia="de-AT"/>
              </w:rPr>
              <w:t>Unaided and aided pure tone audiometry, unaided and aided sound field audiometry, Speech intelligibility in quiet and noise les at various levels with constant noise (65 dB), Subjective outcomes using APHAB</w:t>
            </w:r>
          </w:p>
        </w:tc>
        <w:tc>
          <w:tcPr>
            <w:tcW w:w="1047" w:type="pct"/>
            <w:vMerge w:val="restart"/>
            <w:hideMark/>
          </w:tcPr>
          <w:p w14:paraId="7D7BE6C1" w14:textId="77777777" w:rsidR="00685E75" w:rsidRPr="009A1A2E" w:rsidRDefault="00685E75" w:rsidP="00AB05A7">
            <w:pPr>
              <w:rPr>
                <w:rFonts w:ascii="Arial" w:hAnsi="Arial" w:cs="Arial"/>
                <w:color w:val="000000"/>
                <w:sz w:val="20"/>
                <w:szCs w:val="20"/>
                <w:lang w:val="en-AU" w:eastAsia="de-AT"/>
              </w:rPr>
            </w:pPr>
            <w:r w:rsidRPr="009A1A2E">
              <w:rPr>
                <w:rFonts w:ascii="Arial" w:hAnsi="Arial" w:cs="Arial"/>
                <w:color w:val="000000"/>
                <w:sz w:val="20"/>
                <w:szCs w:val="20"/>
                <w:lang w:val="en-AU" w:eastAsia="de-AT"/>
              </w:rPr>
              <w:t>Improvement in Outcomes</w:t>
            </w:r>
          </w:p>
        </w:tc>
      </w:tr>
      <w:tr w:rsidR="00685E75" w:rsidRPr="009A1A2E" w14:paraId="5F0D1BF2" w14:textId="77777777" w:rsidTr="00DA27BB">
        <w:trPr>
          <w:trHeight w:val="1754"/>
        </w:trPr>
        <w:tc>
          <w:tcPr>
            <w:tcW w:w="769" w:type="pct"/>
            <w:vAlign w:val="center"/>
            <w:hideMark/>
          </w:tcPr>
          <w:p w14:paraId="4A911142" w14:textId="77777777" w:rsidR="00685E75" w:rsidRPr="009A1A2E" w:rsidRDefault="00685E75" w:rsidP="00AB05A7">
            <w:pPr>
              <w:rPr>
                <w:rFonts w:ascii="Arial" w:hAnsi="Arial" w:cs="Arial"/>
                <w:color w:val="000000"/>
                <w:sz w:val="20"/>
                <w:szCs w:val="20"/>
                <w:lang w:val="en-AU" w:eastAsia="de-AT"/>
              </w:rPr>
            </w:pPr>
            <w:r w:rsidRPr="009A1A2E">
              <w:rPr>
                <w:rFonts w:ascii="Arial" w:hAnsi="Arial" w:cs="Arial"/>
                <w:color w:val="000000"/>
                <w:sz w:val="20"/>
                <w:szCs w:val="20"/>
                <w:lang w:val="en-AU" w:eastAsia="de-AT"/>
              </w:rPr>
              <w:t>Prospective, with/without</w:t>
            </w:r>
          </w:p>
        </w:tc>
        <w:tc>
          <w:tcPr>
            <w:tcW w:w="563" w:type="pct"/>
            <w:vMerge/>
            <w:vAlign w:val="center"/>
            <w:hideMark/>
          </w:tcPr>
          <w:p w14:paraId="3A4FFFDF" w14:textId="77777777" w:rsidR="00685E75" w:rsidRPr="009A1A2E" w:rsidRDefault="00685E75" w:rsidP="00AB05A7">
            <w:pPr>
              <w:jc w:val="center"/>
              <w:rPr>
                <w:rFonts w:ascii="Arial" w:hAnsi="Arial" w:cs="Arial"/>
                <w:color w:val="000000"/>
                <w:sz w:val="20"/>
                <w:szCs w:val="20"/>
                <w:lang w:val="en-AU" w:eastAsia="de-AT"/>
              </w:rPr>
            </w:pPr>
          </w:p>
        </w:tc>
        <w:tc>
          <w:tcPr>
            <w:tcW w:w="554" w:type="pct"/>
            <w:vMerge/>
            <w:vAlign w:val="center"/>
            <w:hideMark/>
          </w:tcPr>
          <w:p w14:paraId="2A17E142" w14:textId="77777777" w:rsidR="00685E75" w:rsidRPr="009A1A2E" w:rsidRDefault="00685E75" w:rsidP="00AB05A7">
            <w:pPr>
              <w:jc w:val="center"/>
              <w:rPr>
                <w:rFonts w:ascii="Arial" w:hAnsi="Arial" w:cs="Arial"/>
                <w:color w:val="000000"/>
                <w:sz w:val="20"/>
                <w:szCs w:val="20"/>
                <w:lang w:val="en-AU" w:eastAsia="de-AT"/>
              </w:rPr>
            </w:pPr>
          </w:p>
        </w:tc>
        <w:tc>
          <w:tcPr>
            <w:tcW w:w="590" w:type="pct"/>
            <w:vMerge/>
            <w:vAlign w:val="center"/>
            <w:hideMark/>
          </w:tcPr>
          <w:p w14:paraId="7129733F" w14:textId="77777777" w:rsidR="00685E75" w:rsidRPr="009A1A2E" w:rsidRDefault="00685E75" w:rsidP="00AB05A7">
            <w:pPr>
              <w:jc w:val="center"/>
              <w:rPr>
                <w:rFonts w:ascii="Arial" w:hAnsi="Arial" w:cs="Arial"/>
                <w:color w:val="000000"/>
                <w:sz w:val="20"/>
                <w:szCs w:val="20"/>
                <w:lang w:val="en-AU" w:eastAsia="de-AT"/>
              </w:rPr>
            </w:pPr>
          </w:p>
        </w:tc>
        <w:tc>
          <w:tcPr>
            <w:tcW w:w="661" w:type="pct"/>
            <w:vMerge/>
            <w:vAlign w:val="center"/>
            <w:hideMark/>
          </w:tcPr>
          <w:p w14:paraId="5E3722A8" w14:textId="77777777" w:rsidR="00685E75" w:rsidRPr="009A1A2E" w:rsidRDefault="00685E75" w:rsidP="00AB05A7">
            <w:pPr>
              <w:jc w:val="center"/>
              <w:rPr>
                <w:rFonts w:ascii="Arial" w:hAnsi="Arial" w:cs="Arial"/>
                <w:color w:val="000000"/>
                <w:sz w:val="20"/>
                <w:szCs w:val="20"/>
                <w:lang w:val="en-AU" w:eastAsia="de-AT"/>
              </w:rPr>
            </w:pPr>
          </w:p>
        </w:tc>
        <w:tc>
          <w:tcPr>
            <w:tcW w:w="816" w:type="pct"/>
            <w:vMerge/>
            <w:vAlign w:val="center"/>
            <w:hideMark/>
          </w:tcPr>
          <w:p w14:paraId="04398118" w14:textId="77777777" w:rsidR="00685E75" w:rsidRPr="009A1A2E" w:rsidRDefault="00685E75" w:rsidP="00AB05A7">
            <w:pPr>
              <w:rPr>
                <w:rFonts w:ascii="Arial" w:hAnsi="Arial" w:cs="Arial"/>
                <w:color w:val="000000"/>
                <w:sz w:val="20"/>
                <w:szCs w:val="20"/>
                <w:lang w:val="en-AU" w:eastAsia="de-AT"/>
              </w:rPr>
            </w:pPr>
          </w:p>
        </w:tc>
        <w:tc>
          <w:tcPr>
            <w:tcW w:w="1047" w:type="pct"/>
            <w:vMerge/>
            <w:hideMark/>
          </w:tcPr>
          <w:p w14:paraId="2D1A2513" w14:textId="77777777" w:rsidR="00685E75" w:rsidRPr="009A1A2E" w:rsidRDefault="00685E75" w:rsidP="00AB05A7">
            <w:pPr>
              <w:rPr>
                <w:rFonts w:ascii="Arial" w:hAnsi="Arial" w:cs="Arial"/>
                <w:color w:val="000000"/>
                <w:sz w:val="20"/>
                <w:szCs w:val="20"/>
                <w:lang w:val="en-AU" w:eastAsia="de-AT"/>
              </w:rPr>
            </w:pPr>
          </w:p>
        </w:tc>
      </w:tr>
      <w:tr w:rsidR="00685E75" w:rsidRPr="009A1A2E" w14:paraId="4659EE09" w14:textId="77777777" w:rsidTr="00AB05A7">
        <w:trPr>
          <w:trHeight w:val="720"/>
        </w:trPr>
        <w:tc>
          <w:tcPr>
            <w:tcW w:w="769" w:type="pct"/>
            <w:vAlign w:val="center"/>
            <w:hideMark/>
          </w:tcPr>
          <w:p w14:paraId="14F60F26" w14:textId="77777777" w:rsidR="00685E75" w:rsidRPr="009A1A2E" w:rsidRDefault="00685E75" w:rsidP="00AB05A7">
            <w:pPr>
              <w:rPr>
                <w:rFonts w:ascii="Arial" w:hAnsi="Arial" w:cs="Arial"/>
                <w:color w:val="000000"/>
                <w:sz w:val="20"/>
                <w:szCs w:val="20"/>
                <w:lang w:val="en-AU" w:eastAsia="de-AT"/>
              </w:rPr>
            </w:pPr>
            <w:r w:rsidRPr="009A1A2E">
              <w:rPr>
                <w:rFonts w:ascii="Arial" w:hAnsi="Arial" w:cs="Arial"/>
                <w:color w:val="000000"/>
                <w:sz w:val="20"/>
                <w:szCs w:val="20"/>
                <w:lang w:val="en-AU" w:eastAsia="de-AT"/>
              </w:rPr>
              <w:t>Schmuziger et al. 2006 Switzerland</w:t>
            </w:r>
          </w:p>
        </w:tc>
        <w:tc>
          <w:tcPr>
            <w:tcW w:w="563" w:type="pct"/>
            <w:vMerge w:val="restart"/>
            <w:vAlign w:val="center"/>
            <w:hideMark/>
          </w:tcPr>
          <w:p w14:paraId="3EAFDE6D" w14:textId="77777777" w:rsidR="00685E75" w:rsidRPr="009A1A2E" w:rsidRDefault="00685E75" w:rsidP="00AB05A7">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IV</w:t>
            </w:r>
          </w:p>
        </w:tc>
        <w:tc>
          <w:tcPr>
            <w:tcW w:w="554" w:type="pct"/>
            <w:vMerge w:val="restart"/>
            <w:vAlign w:val="center"/>
            <w:hideMark/>
          </w:tcPr>
          <w:p w14:paraId="7BF4C938" w14:textId="77777777" w:rsidR="00685E75" w:rsidRPr="009A1A2E" w:rsidRDefault="00685E75" w:rsidP="00AB05A7">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III-3</w:t>
            </w:r>
          </w:p>
        </w:tc>
        <w:tc>
          <w:tcPr>
            <w:tcW w:w="590" w:type="pct"/>
            <w:vMerge w:val="restart"/>
            <w:vAlign w:val="center"/>
            <w:hideMark/>
          </w:tcPr>
          <w:p w14:paraId="78D87070" w14:textId="77777777" w:rsidR="00685E75" w:rsidRPr="009A1A2E" w:rsidRDefault="00685E75" w:rsidP="00AB05A7">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20 adults</w:t>
            </w:r>
          </w:p>
        </w:tc>
        <w:tc>
          <w:tcPr>
            <w:tcW w:w="661" w:type="pct"/>
            <w:vMerge w:val="restart"/>
            <w:vAlign w:val="center"/>
            <w:hideMark/>
          </w:tcPr>
          <w:p w14:paraId="225E65B6" w14:textId="77777777" w:rsidR="00685E75" w:rsidRPr="009A1A2E" w:rsidRDefault="00685E75" w:rsidP="00AB05A7">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not stated</w:t>
            </w:r>
          </w:p>
        </w:tc>
        <w:tc>
          <w:tcPr>
            <w:tcW w:w="816" w:type="pct"/>
            <w:vMerge w:val="restart"/>
            <w:vAlign w:val="center"/>
            <w:hideMark/>
          </w:tcPr>
          <w:p w14:paraId="1A70B5AF" w14:textId="77777777" w:rsidR="00685E75" w:rsidRPr="009A1A2E" w:rsidRDefault="00685E75" w:rsidP="00AB05A7">
            <w:pPr>
              <w:rPr>
                <w:rFonts w:ascii="Arial" w:hAnsi="Arial" w:cs="Arial"/>
                <w:color w:val="000000"/>
                <w:sz w:val="20"/>
                <w:szCs w:val="20"/>
                <w:lang w:val="en-AU" w:eastAsia="de-AT"/>
              </w:rPr>
            </w:pPr>
            <w:r w:rsidRPr="009A1A2E">
              <w:rPr>
                <w:rFonts w:ascii="Arial" w:hAnsi="Arial" w:cs="Arial"/>
                <w:color w:val="000000"/>
                <w:sz w:val="20"/>
                <w:szCs w:val="20"/>
                <w:lang w:val="en-AU" w:eastAsia="de-AT"/>
              </w:rPr>
              <w:t>Pre and post op pure tone thresholds, Speech intelligibility in quiet using Freiburger monosyllables at 65 dB, Speech intelligibility in noise (70 dB) SPL, Subjective outcomes using the IOI-HA and GBI and a not validated questionnaire</w:t>
            </w:r>
          </w:p>
        </w:tc>
        <w:tc>
          <w:tcPr>
            <w:tcW w:w="1047" w:type="pct"/>
            <w:vMerge w:val="restart"/>
            <w:hideMark/>
          </w:tcPr>
          <w:p w14:paraId="70F6C7BF" w14:textId="77777777" w:rsidR="00685E75" w:rsidRPr="009A1A2E" w:rsidRDefault="00685E75" w:rsidP="00AB05A7">
            <w:pPr>
              <w:rPr>
                <w:rFonts w:ascii="Arial" w:hAnsi="Arial" w:cs="Arial"/>
                <w:color w:val="000000"/>
                <w:sz w:val="20"/>
                <w:szCs w:val="20"/>
                <w:lang w:val="en-AU" w:eastAsia="de-AT"/>
              </w:rPr>
            </w:pPr>
            <w:r w:rsidRPr="009A1A2E">
              <w:rPr>
                <w:rFonts w:ascii="Arial" w:hAnsi="Arial" w:cs="Arial"/>
                <w:color w:val="000000"/>
                <w:sz w:val="20"/>
                <w:szCs w:val="20"/>
                <w:lang w:val="en-AU" w:eastAsia="de-AT"/>
              </w:rPr>
              <w:t>VSB was not superior to conventional hearing aids in audiologic terms, but should be considered for patients were HA are contraindicated</w:t>
            </w:r>
          </w:p>
        </w:tc>
      </w:tr>
      <w:tr w:rsidR="00685E75" w:rsidRPr="009A1A2E" w14:paraId="00A8F373" w14:textId="77777777" w:rsidTr="00DA27BB">
        <w:trPr>
          <w:trHeight w:val="2255"/>
        </w:trPr>
        <w:tc>
          <w:tcPr>
            <w:tcW w:w="769" w:type="pct"/>
            <w:vAlign w:val="center"/>
            <w:hideMark/>
          </w:tcPr>
          <w:p w14:paraId="030DAEA8" w14:textId="77777777" w:rsidR="00685E75" w:rsidRPr="009A1A2E" w:rsidRDefault="00685E75" w:rsidP="00AB05A7">
            <w:pPr>
              <w:rPr>
                <w:rFonts w:ascii="Arial" w:hAnsi="Arial" w:cs="Arial"/>
                <w:color w:val="000000"/>
                <w:sz w:val="20"/>
                <w:szCs w:val="20"/>
                <w:lang w:val="en-AU" w:eastAsia="de-AT"/>
              </w:rPr>
            </w:pPr>
            <w:r w:rsidRPr="009A1A2E">
              <w:rPr>
                <w:rFonts w:ascii="Arial" w:hAnsi="Arial" w:cs="Arial"/>
                <w:color w:val="000000"/>
                <w:sz w:val="20"/>
                <w:szCs w:val="20"/>
                <w:lang w:val="en-AU" w:eastAsia="de-AT"/>
              </w:rPr>
              <w:t>Retrospective chart review</w:t>
            </w:r>
          </w:p>
        </w:tc>
        <w:tc>
          <w:tcPr>
            <w:tcW w:w="563" w:type="pct"/>
            <w:vMerge/>
            <w:vAlign w:val="center"/>
            <w:hideMark/>
          </w:tcPr>
          <w:p w14:paraId="3EF21F46" w14:textId="77777777" w:rsidR="00685E75" w:rsidRPr="009A1A2E" w:rsidRDefault="00685E75" w:rsidP="00AB05A7">
            <w:pPr>
              <w:jc w:val="center"/>
              <w:rPr>
                <w:rFonts w:ascii="Arial" w:hAnsi="Arial" w:cs="Arial"/>
                <w:color w:val="000000"/>
                <w:sz w:val="20"/>
                <w:szCs w:val="20"/>
                <w:lang w:val="en-AU" w:eastAsia="de-AT"/>
              </w:rPr>
            </w:pPr>
          </w:p>
        </w:tc>
        <w:tc>
          <w:tcPr>
            <w:tcW w:w="554" w:type="pct"/>
            <w:vMerge/>
            <w:vAlign w:val="center"/>
            <w:hideMark/>
          </w:tcPr>
          <w:p w14:paraId="69A69BC4" w14:textId="77777777" w:rsidR="00685E75" w:rsidRPr="009A1A2E" w:rsidRDefault="00685E75" w:rsidP="00AB05A7">
            <w:pPr>
              <w:jc w:val="center"/>
              <w:rPr>
                <w:rFonts w:ascii="Arial" w:hAnsi="Arial" w:cs="Arial"/>
                <w:color w:val="000000"/>
                <w:sz w:val="20"/>
                <w:szCs w:val="20"/>
                <w:lang w:val="en-AU" w:eastAsia="de-AT"/>
              </w:rPr>
            </w:pPr>
          </w:p>
        </w:tc>
        <w:tc>
          <w:tcPr>
            <w:tcW w:w="590" w:type="pct"/>
            <w:vMerge/>
            <w:vAlign w:val="center"/>
            <w:hideMark/>
          </w:tcPr>
          <w:p w14:paraId="37B2AF28" w14:textId="77777777" w:rsidR="00685E75" w:rsidRPr="009A1A2E" w:rsidRDefault="00685E75" w:rsidP="00AB05A7">
            <w:pPr>
              <w:jc w:val="center"/>
              <w:rPr>
                <w:rFonts w:ascii="Arial" w:hAnsi="Arial" w:cs="Arial"/>
                <w:color w:val="000000"/>
                <w:sz w:val="20"/>
                <w:szCs w:val="20"/>
                <w:lang w:val="en-AU" w:eastAsia="de-AT"/>
              </w:rPr>
            </w:pPr>
          </w:p>
        </w:tc>
        <w:tc>
          <w:tcPr>
            <w:tcW w:w="661" w:type="pct"/>
            <w:vMerge/>
            <w:vAlign w:val="center"/>
            <w:hideMark/>
          </w:tcPr>
          <w:p w14:paraId="5CF65C29" w14:textId="77777777" w:rsidR="00685E75" w:rsidRPr="009A1A2E" w:rsidRDefault="00685E75" w:rsidP="00AB05A7">
            <w:pPr>
              <w:jc w:val="center"/>
              <w:rPr>
                <w:rFonts w:ascii="Arial" w:hAnsi="Arial" w:cs="Arial"/>
                <w:color w:val="000000"/>
                <w:sz w:val="20"/>
                <w:szCs w:val="20"/>
                <w:lang w:val="en-AU" w:eastAsia="de-AT"/>
              </w:rPr>
            </w:pPr>
          </w:p>
        </w:tc>
        <w:tc>
          <w:tcPr>
            <w:tcW w:w="816" w:type="pct"/>
            <w:vMerge/>
            <w:vAlign w:val="center"/>
            <w:hideMark/>
          </w:tcPr>
          <w:p w14:paraId="723A676F" w14:textId="77777777" w:rsidR="00685E75" w:rsidRPr="009A1A2E" w:rsidRDefault="00685E75" w:rsidP="00AB05A7">
            <w:pPr>
              <w:rPr>
                <w:rFonts w:ascii="Arial" w:hAnsi="Arial" w:cs="Arial"/>
                <w:color w:val="000000"/>
                <w:sz w:val="20"/>
                <w:szCs w:val="20"/>
                <w:lang w:val="en-AU" w:eastAsia="de-AT"/>
              </w:rPr>
            </w:pPr>
          </w:p>
        </w:tc>
        <w:tc>
          <w:tcPr>
            <w:tcW w:w="1047" w:type="pct"/>
            <w:vMerge/>
            <w:hideMark/>
          </w:tcPr>
          <w:p w14:paraId="459F05A9" w14:textId="77777777" w:rsidR="00685E75" w:rsidRPr="009A1A2E" w:rsidRDefault="00685E75" w:rsidP="00AB05A7">
            <w:pPr>
              <w:rPr>
                <w:rFonts w:ascii="Arial" w:hAnsi="Arial" w:cs="Arial"/>
                <w:color w:val="000000"/>
                <w:sz w:val="20"/>
                <w:szCs w:val="20"/>
                <w:lang w:val="en-AU" w:eastAsia="de-AT"/>
              </w:rPr>
            </w:pPr>
          </w:p>
        </w:tc>
      </w:tr>
      <w:tr w:rsidR="00685E75" w:rsidRPr="009A1A2E" w14:paraId="1A8832EC" w14:textId="77777777" w:rsidTr="00AB05A7">
        <w:trPr>
          <w:trHeight w:val="720"/>
        </w:trPr>
        <w:tc>
          <w:tcPr>
            <w:tcW w:w="769" w:type="pct"/>
            <w:vAlign w:val="center"/>
            <w:hideMark/>
          </w:tcPr>
          <w:p w14:paraId="6C902817" w14:textId="77777777" w:rsidR="00685E75" w:rsidRPr="009A1A2E" w:rsidRDefault="00685E75" w:rsidP="00AB05A7">
            <w:pPr>
              <w:rPr>
                <w:rFonts w:ascii="Arial" w:hAnsi="Arial" w:cs="Arial"/>
                <w:color w:val="000000"/>
                <w:sz w:val="20"/>
                <w:szCs w:val="20"/>
                <w:lang w:val="en-AU" w:eastAsia="de-AT"/>
              </w:rPr>
            </w:pPr>
            <w:r w:rsidRPr="009A1A2E">
              <w:rPr>
                <w:rFonts w:ascii="Arial" w:hAnsi="Arial" w:cs="Arial"/>
                <w:color w:val="000000"/>
                <w:sz w:val="20"/>
                <w:szCs w:val="20"/>
                <w:lang w:val="en-AU" w:eastAsia="de-AT"/>
              </w:rPr>
              <w:t>Snik et al. 2006 Netherlands</w:t>
            </w:r>
          </w:p>
        </w:tc>
        <w:tc>
          <w:tcPr>
            <w:tcW w:w="563" w:type="pct"/>
            <w:vMerge w:val="restart"/>
            <w:vAlign w:val="center"/>
            <w:hideMark/>
          </w:tcPr>
          <w:p w14:paraId="715EE5BA" w14:textId="77777777" w:rsidR="00685E75" w:rsidRPr="009A1A2E" w:rsidRDefault="00685E75" w:rsidP="00AB05A7">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IV</w:t>
            </w:r>
          </w:p>
        </w:tc>
        <w:tc>
          <w:tcPr>
            <w:tcW w:w="554" w:type="pct"/>
            <w:vMerge w:val="restart"/>
            <w:vAlign w:val="center"/>
            <w:hideMark/>
          </w:tcPr>
          <w:p w14:paraId="60A00130" w14:textId="77777777" w:rsidR="00685E75" w:rsidRPr="009A1A2E" w:rsidRDefault="00685E75" w:rsidP="00AB05A7">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III-1</w:t>
            </w:r>
          </w:p>
        </w:tc>
        <w:tc>
          <w:tcPr>
            <w:tcW w:w="590" w:type="pct"/>
            <w:vMerge w:val="restart"/>
            <w:vAlign w:val="center"/>
            <w:hideMark/>
          </w:tcPr>
          <w:p w14:paraId="755A6893" w14:textId="77777777" w:rsidR="00685E75" w:rsidRPr="009A1A2E" w:rsidRDefault="00685E75" w:rsidP="00AB05A7">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13 adults</w:t>
            </w:r>
          </w:p>
        </w:tc>
        <w:tc>
          <w:tcPr>
            <w:tcW w:w="661" w:type="pct"/>
            <w:vMerge w:val="restart"/>
            <w:vAlign w:val="center"/>
            <w:hideMark/>
          </w:tcPr>
          <w:p w14:paraId="286ABCF3" w14:textId="77777777" w:rsidR="00685E75" w:rsidRPr="009A1A2E" w:rsidRDefault="00685E75" w:rsidP="00AB05A7">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6-24 months</w:t>
            </w:r>
          </w:p>
        </w:tc>
        <w:tc>
          <w:tcPr>
            <w:tcW w:w="816" w:type="pct"/>
            <w:vMerge w:val="restart"/>
            <w:vAlign w:val="center"/>
            <w:hideMark/>
          </w:tcPr>
          <w:p w14:paraId="21DF7F56" w14:textId="77777777" w:rsidR="00685E75" w:rsidRPr="009A1A2E" w:rsidRDefault="00685E75" w:rsidP="00AB05A7">
            <w:pPr>
              <w:rPr>
                <w:rFonts w:ascii="Arial" w:hAnsi="Arial" w:cs="Arial"/>
                <w:color w:val="000000"/>
                <w:sz w:val="20"/>
                <w:szCs w:val="20"/>
                <w:lang w:val="en-AU" w:eastAsia="de-AT"/>
              </w:rPr>
            </w:pPr>
            <w:r w:rsidRPr="009A1A2E">
              <w:rPr>
                <w:rFonts w:ascii="Arial" w:hAnsi="Arial" w:cs="Arial"/>
                <w:color w:val="000000"/>
                <w:sz w:val="20"/>
                <w:szCs w:val="20"/>
                <w:lang w:val="en-AU" w:eastAsia="de-AT"/>
              </w:rPr>
              <w:t>Direct cost of the middle ear implant,  Patients satisfaction, Quality adjusted life years, Cost per QALY</w:t>
            </w:r>
          </w:p>
        </w:tc>
        <w:tc>
          <w:tcPr>
            <w:tcW w:w="1047" w:type="pct"/>
            <w:vMerge w:val="restart"/>
            <w:hideMark/>
          </w:tcPr>
          <w:p w14:paraId="1624BD8B" w14:textId="77777777" w:rsidR="00685E75" w:rsidRPr="009A1A2E" w:rsidRDefault="00685E75" w:rsidP="00AB05A7">
            <w:pPr>
              <w:rPr>
                <w:rFonts w:ascii="Arial" w:hAnsi="Arial" w:cs="Arial"/>
                <w:color w:val="000000"/>
                <w:sz w:val="20"/>
                <w:szCs w:val="20"/>
                <w:lang w:val="en-AU" w:eastAsia="de-AT"/>
              </w:rPr>
            </w:pPr>
            <w:r w:rsidRPr="009A1A2E">
              <w:rPr>
                <w:rFonts w:ascii="Arial" w:hAnsi="Arial" w:cs="Arial"/>
                <w:color w:val="000000"/>
                <w:sz w:val="20"/>
                <w:szCs w:val="20"/>
                <w:lang w:val="en-AU" w:eastAsia="de-AT"/>
              </w:rPr>
              <w:t>Based on the cost per QALY, middle-ear implantation proved to be a cost-effective and justified health care intervention in the Netherlands</w:t>
            </w:r>
          </w:p>
        </w:tc>
      </w:tr>
      <w:tr w:rsidR="00685E75" w:rsidRPr="009A1A2E" w14:paraId="766A42AB" w14:textId="77777777" w:rsidTr="00AB05A7">
        <w:trPr>
          <w:trHeight w:val="720"/>
        </w:trPr>
        <w:tc>
          <w:tcPr>
            <w:tcW w:w="769" w:type="pct"/>
            <w:vAlign w:val="center"/>
            <w:hideMark/>
          </w:tcPr>
          <w:p w14:paraId="76164EC3" w14:textId="77777777" w:rsidR="00685E75" w:rsidRPr="009A1A2E" w:rsidRDefault="00685E75" w:rsidP="00AB05A7">
            <w:pPr>
              <w:rPr>
                <w:rFonts w:ascii="Arial" w:hAnsi="Arial" w:cs="Arial"/>
                <w:color w:val="000000"/>
                <w:sz w:val="20"/>
                <w:szCs w:val="20"/>
                <w:lang w:val="en-AU" w:eastAsia="de-AT"/>
              </w:rPr>
            </w:pPr>
            <w:r w:rsidRPr="009A1A2E">
              <w:rPr>
                <w:rFonts w:ascii="Arial" w:hAnsi="Arial" w:cs="Arial"/>
                <w:color w:val="000000"/>
                <w:sz w:val="20"/>
                <w:szCs w:val="20"/>
                <w:lang w:val="en-AU" w:eastAsia="de-AT"/>
              </w:rPr>
              <w:t>Prospective, cost utility study</w:t>
            </w:r>
          </w:p>
        </w:tc>
        <w:tc>
          <w:tcPr>
            <w:tcW w:w="563" w:type="pct"/>
            <w:vMerge/>
            <w:vAlign w:val="center"/>
            <w:hideMark/>
          </w:tcPr>
          <w:p w14:paraId="50D89689" w14:textId="77777777" w:rsidR="00685E75" w:rsidRPr="009A1A2E" w:rsidRDefault="00685E75" w:rsidP="00AB05A7">
            <w:pPr>
              <w:jc w:val="center"/>
              <w:rPr>
                <w:rFonts w:ascii="Arial" w:hAnsi="Arial" w:cs="Arial"/>
                <w:color w:val="000000"/>
                <w:sz w:val="20"/>
                <w:szCs w:val="20"/>
                <w:lang w:val="en-AU" w:eastAsia="de-AT"/>
              </w:rPr>
            </w:pPr>
          </w:p>
        </w:tc>
        <w:tc>
          <w:tcPr>
            <w:tcW w:w="554" w:type="pct"/>
            <w:vMerge/>
            <w:vAlign w:val="center"/>
            <w:hideMark/>
          </w:tcPr>
          <w:p w14:paraId="2013DDD0" w14:textId="77777777" w:rsidR="00685E75" w:rsidRPr="009A1A2E" w:rsidRDefault="00685E75" w:rsidP="00AB05A7">
            <w:pPr>
              <w:jc w:val="center"/>
              <w:rPr>
                <w:rFonts w:ascii="Arial" w:hAnsi="Arial" w:cs="Arial"/>
                <w:color w:val="000000"/>
                <w:sz w:val="20"/>
                <w:szCs w:val="20"/>
                <w:lang w:val="en-AU" w:eastAsia="de-AT"/>
              </w:rPr>
            </w:pPr>
          </w:p>
        </w:tc>
        <w:tc>
          <w:tcPr>
            <w:tcW w:w="590" w:type="pct"/>
            <w:vMerge/>
            <w:vAlign w:val="center"/>
            <w:hideMark/>
          </w:tcPr>
          <w:p w14:paraId="35313873" w14:textId="77777777" w:rsidR="00685E75" w:rsidRPr="009A1A2E" w:rsidRDefault="00685E75" w:rsidP="00AB05A7">
            <w:pPr>
              <w:jc w:val="center"/>
              <w:rPr>
                <w:rFonts w:ascii="Arial" w:hAnsi="Arial" w:cs="Arial"/>
                <w:color w:val="000000"/>
                <w:sz w:val="20"/>
                <w:szCs w:val="20"/>
                <w:lang w:val="en-AU" w:eastAsia="de-AT"/>
              </w:rPr>
            </w:pPr>
          </w:p>
        </w:tc>
        <w:tc>
          <w:tcPr>
            <w:tcW w:w="661" w:type="pct"/>
            <w:vMerge/>
            <w:vAlign w:val="center"/>
            <w:hideMark/>
          </w:tcPr>
          <w:p w14:paraId="3C4F5CFC" w14:textId="77777777" w:rsidR="00685E75" w:rsidRPr="009A1A2E" w:rsidRDefault="00685E75" w:rsidP="00AB05A7">
            <w:pPr>
              <w:jc w:val="center"/>
              <w:rPr>
                <w:rFonts w:ascii="Arial" w:hAnsi="Arial" w:cs="Arial"/>
                <w:color w:val="000000"/>
                <w:sz w:val="20"/>
                <w:szCs w:val="20"/>
                <w:lang w:val="en-AU" w:eastAsia="de-AT"/>
              </w:rPr>
            </w:pPr>
          </w:p>
        </w:tc>
        <w:tc>
          <w:tcPr>
            <w:tcW w:w="816" w:type="pct"/>
            <w:vMerge/>
            <w:vAlign w:val="center"/>
            <w:hideMark/>
          </w:tcPr>
          <w:p w14:paraId="4BAEF4C8" w14:textId="77777777" w:rsidR="00685E75" w:rsidRPr="009A1A2E" w:rsidRDefault="00685E75" w:rsidP="00AB05A7">
            <w:pPr>
              <w:rPr>
                <w:rFonts w:ascii="Arial" w:hAnsi="Arial" w:cs="Arial"/>
                <w:color w:val="000000"/>
                <w:sz w:val="20"/>
                <w:szCs w:val="20"/>
                <w:lang w:val="en-AU" w:eastAsia="de-AT"/>
              </w:rPr>
            </w:pPr>
          </w:p>
        </w:tc>
        <w:tc>
          <w:tcPr>
            <w:tcW w:w="1047" w:type="pct"/>
            <w:vMerge/>
            <w:hideMark/>
          </w:tcPr>
          <w:p w14:paraId="11F17034" w14:textId="77777777" w:rsidR="00685E75" w:rsidRPr="009A1A2E" w:rsidRDefault="00685E75" w:rsidP="00AB05A7">
            <w:pPr>
              <w:rPr>
                <w:rFonts w:ascii="Arial" w:hAnsi="Arial" w:cs="Arial"/>
                <w:color w:val="000000"/>
                <w:sz w:val="20"/>
                <w:szCs w:val="20"/>
                <w:lang w:val="en-AU" w:eastAsia="de-AT"/>
              </w:rPr>
            </w:pPr>
          </w:p>
        </w:tc>
      </w:tr>
      <w:tr w:rsidR="00685E75" w:rsidRPr="009A1A2E" w14:paraId="440B4C5F" w14:textId="77777777" w:rsidTr="00FF3B57">
        <w:trPr>
          <w:cantSplit/>
          <w:trHeight w:val="480"/>
        </w:trPr>
        <w:tc>
          <w:tcPr>
            <w:tcW w:w="769" w:type="pct"/>
            <w:vAlign w:val="center"/>
            <w:hideMark/>
          </w:tcPr>
          <w:p w14:paraId="658C9AC5" w14:textId="77777777" w:rsidR="00685E75" w:rsidRPr="009A1A2E" w:rsidRDefault="00685E75" w:rsidP="00AB05A7">
            <w:pPr>
              <w:rPr>
                <w:rFonts w:ascii="Arial" w:hAnsi="Arial" w:cs="Arial"/>
                <w:color w:val="000000"/>
                <w:sz w:val="20"/>
                <w:szCs w:val="20"/>
                <w:lang w:val="en-AU" w:eastAsia="de-AT"/>
              </w:rPr>
            </w:pPr>
            <w:r w:rsidRPr="009A1A2E">
              <w:rPr>
                <w:rFonts w:ascii="Arial" w:hAnsi="Arial" w:cs="Arial"/>
                <w:color w:val="000000"/>
                <w:sz w:val="20"/>
                <w:szCs w:val="20"/>
                <w:lang w:val="en-AU" w:eastAsia="de-AT"/>
              </w:rPr>
              <w:lastRenderedPageBreak/>
              <w:t>Snik et al. 2001 Europe</w:t>
            </w:r>
          </w:p>
        </w:tc>
        <w:tc>
          <w:tcPr>
            <w:tcW w:w="563" w:type="pct"/>
            <w:vMerge w:val="restart"/>
            <w:vAlign w:val="center"/>
            <w:hideMark/>
          </w:tcPr>
          <w:p w14:paraId="5E1A731F" w14:textId="77777777" w:rsidR="00685E75" w:rsidRPr="009A1A2E" w:rsidRDefault="00685E75" w:rsidP="00AB05A7">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IV</w:t>
            </w:r>
          </w:p>
        </w:tc>
        <w:tc>
          <w:tcPr>
            <w:tcW w:w="554" w:type="pct"/>
            <w:vMerge w:val="restart"/>
            <w:vAlign w:val="center"/>
            <w:hideMark/>
          </w:tcPr>
          <w:p w14:paraId="37BF5A42" w14:textId="77777777" w:rsidR="00685E75" w:rsidRPr="009A1A2E" w:rsidRDefault="00685E75" w:rsidP="00AB05A7">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III-3</w:t>
            </w:r>
          </w:p>
        </w:tc>
        <w:tc>
          <w:tcPr>
            <w:tcW w:w="590" w:type="pct"/>
            <w:vMerge w:val="restart"/>
            <w:vAlign w:val="center"/>
            <w:hideMark/>
          </w:tcPr>
          <w:p w14:paraId="42F66254" w14:textId="77777777" w:rsidR="00685E75" w:rsidRPr="009A1A2E" w:rsidRDefault="00685E75" w:rsidP="00AB05A7">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63 adults</w:t>
            </w:r>
          </w:p>
        </w:tc>
        <w:tc>
          <w:tcPr>
            <w:tcW w:w="661" w:type="pct"/>
            <w:vMerge w:val="restart"/>
            <w:vAlign w:val="center"/>
            <w:hideMark/>
          </w:tcPr>
          <w:p w14:paraId="01270DE1" w14:textId="77777777" w:rsidR="00685E75" w:rsidRPr="009A1A2E" w:rsidRDefault="00685E75" w:rsidP="00AB05A7">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7 months</w:t>
            </w:r>
          </w:p>
        </w:tc>
        <w:tc>
          <w:tcPr>
            <w:tcW w:w="816" w:type="pct"/>
            <w:vMerge w:val="restart"/>
            <w:vAlign w:val="center"/>
            <w:hideMark/>
          </w:tcPr>
          <w:p w14:paraId="524C30A7" w14:textId="77777777" w:rsidR="00685E75" w:rsidRPr="009A1A2E" w:rsidRDefault="00685E75" w:rsidP="00AB05A7">
            <w:pPr>
              <w:rPr>
                <w:rFonts w:ascii="Arial" w:hAnsi="Arial" w:cs="Arial"/>
                <w:color w:val="000000"/>
                <w:sz w:val="20"/>
                <w:szCs w:val="20"/>
                <w:lang w:val="en-AU" w:eastAsia="de-AT"/>
              </w:rPr>
            </w:pPr>
            <w:r w:rsidRPr="009A1A2E">
              <w:rPr>
                <w:rFonts w:ascii="Arial" w:hAnsi="Arial" w:cs="Arial"/>
                <w:color w:val="000000"/>
                <w:sz w:val="20"/>
                <w:szCs w:val="20"/>
                <w:lang w:val="en-AU" w:eastAsia="de-AT"/>
              </w:rPr>
              <w:t>Unaided and aided pure tone audiometry, unaided and aided sound-field speech testing in noise and quite</w:t>
            </w:r>
          </w:p>
        </w:tc>
        <w:tc>
          <w:tcPr>
            <w:tcW w:w="1047" w:type="pct"/>
            <w:vMerge w:val="restart"/>
            <w:vAlign w:val="center"/>
            <w:hideMark/>
          </w:tcPr>
          <w:p w14:paraId="4FF34E2F" w14:textId="77777777" w:rsidR="00685E75" w:rsidRPr="009A1A2E" w:rsidRDefault="00685E75" w:rsidP="00FF3B57">
            <w:pPr>
              <w:rPr>
                <w:rFonts w:ascii="Arial" w:hAnsi="Arial" w:cs="Arial"/>
                <w:color w:val="000000"/>
                <w:sz w:val="20"/>
                <w:szCs w:val="20"/>
                <w:lang w:val="en-AU" w:eastAsia="de-AT"/>
              </w:rPr>
            </w:pPr>
            <w:r w:rsidRPr="009A1A2E">
              <w:rPr>
                <w:rFonts w:ascii="Arial" w:hAnsi="Arial" w:cs="Arial"/>
                <w:color w:val="000000"/>
                <w:sz w:val="20"/>
                <w:szCs w:val="20"/>
                <w:lang w:val="en-AU" w:eastAsia="de-AT"/>
              </w:rPr>
              <w:t>overall benefit from VSB treatment, but subpopulation with no benefit remains</w:t>
            </w:r>
          </w:p>
        </w:tc>
      </w:tr>
      <w:tr w:rsidR="00685E75" w:rsidRPr="009A1A2E" w14:paraId="25AF68A5" w14:textId="77777777" w:rsidTr="00FF3B57">
        <w:trPr>
          <w:cantSplit/>
          <w:trHeight w:val="960"/>
        </w:trPr>
        <w:tc>
          <w:tcPr>
            <w:tcW w:w="769" w:type="pct"/>
            <w:vAlign w:val="center"/>
            <w:hideMark/>
          </w:tcPr>
          <w:p w14:paraId="007DB68D" w14:textId="77777777" w:rsidR="00685E75" w:rsidRPr="009A1A2E" w:rsidRDefault="00685E75" w:rsidP="00AB05A7">
            <w:pPr>
              <w:rPr>
                <w:rFonts w:ascii="Arial" w:hAnsi="Arial" w:cs="Arial"/>
                <w:color w:val="000000"/>
                <w:sz w:val="20"/>
                <w:szCs w:val="20"/>
                <w:lang w:val="en-AU" w:eastAsia="de-AT"/>
              </w:rPr>
            </w:pPr>
            <w:r w:rsidRPr="009A1A2E">
              <w:rPr>
                <w:rFonts w:ascii="Arial" w:hAnsi="Arial" w:cs="Arial"/>
                <w:color w:val="000000"/>
                <w:sz w:val="20"/>
                <w:szCs w:val="20"/>
                <w:lang w:val="en-AU" w:eastAsia="de-AT"/>
              </w:rPr>
              <w:t>Retrospective, multicenter study</w:t>
            </w:r>
          </w:p>
        </w:tc>
        <w:tc>
          <w:tcPr>
            <w:tcW w:w="563" w:type="pct"/>
            <w:vMerge/>
            <w:vAlign w:val="center"/>
            <w:hideMark/>
          </w:tcPr>
          <w:p w14:paraId="71D0F11F" w14:textId="77777777" w:rsidR="00685E75" w:rsidRPr="009A1A2E" w:rsidRDefault="00685E75" w:rsidP="00AB05A7">
            <w:pPr>
              <w:jc w:val="center"/>
              <w:rPr>
                <w:rFonts w:ascii="Arial" w:hAnsi="Arial" w:cs="Arial"/>
                <w:color w:val="000000"/>
                <w:sz w:val="20"/>
                <w:szCs w:val="20"/>
                <w:lang w:val="en-AU" w:eastAsia="de-AT"/>
              </w:rPr>
            </w:pPr>
          </w:p>
        </w:tc>
        <w:tc>
          <w:tcPr>
            <w:tcW w:w="554" w:type="pct"/>
            <w:vMerge/>
            <w:vAlign w:val="center"/>
            <w:hideMark/>
          </w:tcPr>
          <w:p w14:paraId="77BF316A" w14:textId="77777777" w:rsidR="00685E75" w:rsidRPr="009A1A2E" w:rsidRDefault="00685E75" w:rsidP="00AB05A7">
            <w:pPr>
              <w:jc w:val="center"/>
              <w:rPr>
                <w:rFonts w:ascii="Arial" w:hAnsi="Arial" w:cs="Arial"/>
                <w:color w:val="000000"/>
                <w:sz w:val="20"/>
                <w:szCs w:val="20"/>
                <w:lang w:val="en-AU" w:eastAsia="de-AT"/>
              </w:rPr>
            </w:pPr>
          </w:p>
        </w:tc>
        <w:tc>
          <w:tcPr>
            <w:tcW w:w="590" w:type="pct"/>
            <w:vMerge/>
            <w:vAlign w:val="center"/>
            <w:hideMark/>
          </w:tcPr>
          <w:p w14:paraId="7CD79E53" w14:textId="77777777" w:rsidR="00685E75" w:rsidRPr="009A1A2E" w:rsidRDefault="00685E75" w:rsidP="00AB05A7">
            <w:pPr>
              <w:jc w:val="center"/>
              <w:rPr>
                <w:rFonts w:ascii="Arial" w:hAnsi="Arial" w:cs="Arial"/>
                <w:color w:val="000000"/>
                <w:sz w:val="20"/>
                <w:szCs w:val="20"/>
                <w:lang w:val="en-AU" w:eastAsia="de-AT"/>
              </w:rPr>
            </w:pPr>
          </w:p>
        </w:tc>
        <w:tc>
          <w:tcPr>
            <w:tcW w:w="661" w:type="pct"/>
            <w:vMerge/>
            <w:vAlign w:val="center"/>
            <w:hideMark/>
          </w:tcPr>
          <w:p w14:paraId="76E1C8DD" w14:textId="77777777" w:rsidR="00685E75" w:rsidRPr="009A1A2E" w:rsidRDefault="00685E75" w:rsidP="00AB05A7">
            <w:pPr>
              <w:jc w:val="center"/>
              <w:rPr>
                <w:rFonts w:ascii="Arial" w:hAnsi="Arial" w:cs="Arial"/>
                <w:color w:val="000000"/>
                <w:sz w:val="20"/>
                <w:szCs w:val="20"/>
                <w:lang w:val="en-AU" w:eastAsia="de-AT"/>
              </w:rPr>
            </w:pPr>
          </w:p>
        </w:tc>
        <w:tc>
          <w:tcPr>
            <w:tcW w:w="816" w:type="pct"/>
            <w:vMerge/>
            <w:vAlign w:val="center"/>
            <w:hideMark/>
          </w:tcPr>
          <w:p w14:paraId="4EE3CA15" w14:textId="77777777" w:rsidR="00685E75" w:rsidRPr="009A1A2E" w:rsidRDefault="00685E75" w:rsidP="00AB05A7">
            <w:pPr>
              <w:rPr>
                <w:rFonts w:ascii="Arial" w:hAnsi="Arial" w:cs="Arial"/>
                <w:color w:val="000000"/>
                <w:sz w:val="20"/>
                <w:szCs w:val="20"/>
                <w:lang w:val="en-AU" w:eastAsia="de-AT"/>
              </w:rPr>
            </w:pPr>
          </w:p>
        </w:tc>
        <w:tc>
          <w:tcPr>
            <w:tcW w:w="1047" w:type="pct"/>
            <w:vMerge/>
            <w:hideMark/>
          </w:tcPr>
          <w:p w14:paraId="13CC74F4" w14:textId="77777777" w:rsidR="00685E75" w:rsidRPr="009A1A2E" w:rsidRDefault="00685E75" w:rsidP="00AB05A7">
            <w:pPr>
              <w:rPr>
                <w:rFonts w:ascii="Arial" w:hAnsi="Arial" w:cs="Arial"/>
                <w:color w:val="000000"/>
                <w:sz w:val="20"/>
                <w:szCs w:val="20"/>
                <w:lang w:val="en-AU" w:eastAsia="de-AT"/>
              </w:rPr>
            </w:pPr>
          </w:p>
        </w:tc>
      </w:tr>
      <w:tr w:rsidR="00685E75" w:rsidRPr="009A1A2E" w14:paraId="26CB3806" w14:textId="77777777" w:rsidTr="00AB05A7">
        <w:trPr>
          <w:trHeight w:val="720"/>
        </w:trPr>
        <w:tc>
          <w:tcPr>
            <w:tcW w:w="769" w:type="pct"/>
            <w:vAlign w:val="center"/>
            <w:hideMark/>
          </w:tcPr>
          <w:p w14:paraId="554E37AA" w14:textId="77777777" w:rsidR="00685E75" w:rsidRPr="009A1A2E" w:rsidRDefault="00685E75" w:rsidP="00AB05A7">
            <w:pPr>
              <w:rPr>
                <w:rFonts w:ascii="Arial" w:hAnsi="Arial" w:cs="Arial"/>
                <w:color w:val="000000"/>
                <w:sz w:val="20"/>
                <w:szCs w:val="20"/>
                <w:lang w:val="en-AU" w:eastAsia="de-AT"/>
              </w:rPr>
            </w:pPr>
            <w:r w:rsidRPr="009A1A2E">
              <w:rPr>
                <w:rFonts w:ascii="Arial" w:hAnsi="Arial" w:cs="Arial"/>
                <w:color w:val="000000"/>
                <w:sz w:val="20"/>
                <w:szCs w:val="20"/>
                <w:lang w:val="en-AU" w:eastAsia="de-AT"/>
              </w:rPr>
              <w:t>Snik et al. 2001 Netherlands</w:t>
            </w:r>
          </w:p>
        </w:tc>
        <w:tc>
          <w:tcPr>
            <w:tcW w:w="563" w:type="pct"/>
            <w:vMerge w:val="restart"/>
            <w:vAlign w:val="center"/>
            <w:hideMark/>
          </w:tcPr>
          <w:p w14:paraId="34BA57AA" w14:textId="77777777" w:rsidR="00685E75" w:rsidRPr="009A1A2E" w:rsidRDefault="00685E75" w:rsidP="00AB05A7">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IV</w:t>
            </w:r>
          </w:p>
        </w:tc>
        <w:tc>
          <w:tcPr>
            <w:tcW w:w="554" w:type="pct"/>
            <w:vMerge w:val="restart"/>
            <w:vAlign w:val="center"/>
            <w:hideMark/>
          </w:tcPr>
          <w:p w14:paraId="6BC1E59A" w14:textId="77777777" w:rsidR="00685E75" w:rsidRPr="009A1A2E" w:rsidRDefault="00685E75" w:rsidP="00AB05A7">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III-2</w:t>
            </w:r>
          </w:p>
        </w:tc>
        <w:tc>
          <w:tcPr>
            <w:tcW w:w="590" w:type="pct"/>
            <w:vMerge w:val="restart"/>
            <w:vAlign w:val="center"/>
            <w:hideMark/>
          </w:tcPr>
          <w:p w14:paraId="089244C7" w14:textId="77777777" w:rsidR="00685E75" w:rsidRPr="009A1A2E" w:rsidRDefault="00685E75" w:rsidP="00AB05A7">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14 adults</w:t>
            </w:r>
          </w:p>
        </w:tc>
        <w:tc>
          <w:tcPr>
            <w:tcW w:w="661" w:type="pct"/>
            <w:vMerge w:val="restart"/>
            <w:vAlign w:val="center"/>
            <w:hideMark/>
          </w:tcPr>
          <w:p w14:paraId="6E653545" w14:textId="77777777" w:rsidR="00685E75" w:rsidRPr="009A1A2E" w:rsidRDefault="00685E75" w:rsidP="00AB05A7">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7 months</w:t>
            </w:r>
          </w:p>
        </w:tc>
        <w:tc>
          <w:tcPr>
            <w:tcW w:w="816" w:type="pct"/>
            <w:vMerge w:val="restart"/>
            <w:vAlign w:val="center"/>
            <w:hideMark/>
          </w:tcPr>
          <w:p w14:paraId="3BB99400" w14:textId="77777777" w:rsidR="00685E75" w:rsidRPr="009A1A2E" w:rsidRDefault="00685E75" w:rsidP="00AB05A7">
            <w:pPr>
              <w:rPr>
                <w:rFonts w:ascii="Arial" w:hAnsi="Arial" w:cs="Arial"/>
                <w:color w:val="000000"/>
                <w:sz w:val="20"/>
                <w:szCs w:val="20"/>
                <w:lang w:val="en-AU" w:eastAsia="de-AT"/>
              </w:rPr>
            </w:pPr>
            <w:r w:rsidRPr="009A1A2E">
              <w:rPr>
                <w:rFonts w:ascii="Arial" w:hAnsi="Arial" w:cs="Arial"/>
                <w:color w:val="000000"/>
                <w:sz w:val="20"/>
                <w:szCs w:val="20"/>
                <w:lang w:val="en-AU" w:eastAsia="de-AT"/>
              </w:rPr>
              <w:t>Aided and unaided warble tone thresholds, Speech recognition tests</w:t>
            </w:r>
          </w:p>
        </w:tc>
        <w:tc>
          <w:tcPr>
            <w:tcW w:w="1047" w:type="pct"/>
            <w:vMerge w:val="restart"/>
            <w:hideMark/>
          </w:tcPr>
          <w:p w14:paraId="596F8842" w14:textId="77777777" w:rsidR="00685E75" w:rsidRPr="009A1A2E" w:rsidRDefault="00685E75" w:rsidP="00AB05A7">
            <w:pPr>
              <w:rPr>
                <w:rFonts w:ascii="Arial" w:hAnsi="Arial" w:cs="Arial"/>
                <w:color w:val="000000"/>
                <w:sz w:val="20"/>
                <w:szCs w:val="20"/>
                <w:lang w:val="en-AU" w:eastAsia="de-AT"/>
              </w:rPr>
            </w:pPr>
            <w:r w:rsidRPr="009A1A2E">
              <w:rPr>
                <w:rFonts w:ascii="Arial" w:hAnsi="Arial" w:cs="Arial"/>
                <w:color w:val="000000"/>
                <w:sz w:val="20"/>
                <w:szCs w:val="20"/>
                <w:lang w:val="en-AU" w:eastAsia="de-AT"/>
              </w:rPr>
              <w:t>Most of patients benefit from VSB treatment but subgroup presented with low gain</w:t>
            </w:r>
          </w:p>
        </w:tc>
      </w:tr>
      <w:tr w:rsidR="00685E75" w:rsidRPr="009A1A2E" w14:paraId="508D05BD" w14:textId="77777777" w:rsidTr="00AB05A7">
        <w:trPr>
          <w:trHeight w:val="300"/>
        </w:trPr>
        <w:tc>
          <w:tcPr>
            <w:tcW w:w="769" w:type="pct"/>
            <w:vAlign w:val="center"/>
            <w:hideMark/>
          </w:tcPr>
          <w:p w14:paraId="5D31152C" w14:textId="77777777" w:rsidR="00685E75" w:rsidRPr="009A1A2E" w:rsidRDefault="00685E75" w:rsidP="00AB05A7">
            <w:pPr>
              <w:rPr>
                <w:rFonts w:ascii="Arial" w:hAnsi="Arial" w:cs="Arial"/>
                <w:color w:val="000000"/>
                <w:sz w:val="20"/>
                <w:szCs w:val="20"/>
                <w:lang w:val="en-AU" w:eastAsia="de-AT"/>
              </w:rPr>
            </w:pPr>
            <w:r w:rsidRPr="009A1A2E">
              <w:rPr>
                <w:rFonts w:ascii="Arial" w:hAnsi="Arial" w:cs="Arial"/>
                <w:color w:val="000000"/>
                <w:sz w:val="20"/>
                <w:szCs w:val="20"/>
                <w:lang w:val="en-AU" w:eastAsia="de-AT"/>
              </w:rPr>
              <w:t>Prospective</w:t>
            </w:r>
          </w:p>
        </w:tc>
        <w:tc>
          <w:tcPr>
            <w:tcW w:w="563" w:type="pct"/>
            <w:vMerge/>
            <w:vAlign w:val="center"/>
            <w:hideMark/>
          </w:tcPr>
          <w:p w14:paraId="3F060E67" w14:textId="77777777" w:rsidR="00685E75" w:rsidRPr="009A1A2E" w:rsidRDefault="00685E75" w:rsidP="00AB05A7">
            <w:pPr>
              <w:jc w:val="center"/>
              <w:rPr>
                <w:rFonts w:ascii="Arial" w:hAnsi="Arial" w:cs="Arial"/>
                <w:color w:val="000000"/>
                <w:sz w:val="20"/>
                <w:szCs w:val="20"/>
                <w:lang w:val="en-AU" w:eastAsia="de-AT"/>
              </w:rPr>
            </w:pPr>
          </w:p>
        </w:tc>
        <w:tc>
          <w:tcPr>
            <w:tcW w:w="554" w:type="pct"/>
            <w:vMerge/>
            <w:vAlign w:val="center"/>
            <w:hideMark/>
          </w:tcPr>
          <w:p w14:paraId="666361F4" w14:textId="77777777" w:rsidR="00685E75" w:rsidRPr="009A1A2E" w:rsidRDefault="00685E75" w:rsidP="00AB05A7">
            <w:pPr>
              <w:jc w:val="center"/>
              <w:rPr>
                <w:rFonts w:ascii="Arial" w:hAnsi="Arial" w:cs="Arial"/>
                <w:color w:val="000000"/>
                <w:sz w:val="20"/>
                <w:szCs w:val="20"/>
                <w:lang w:val="en-AU" w:eastAsia="de-AT"/>
              </w:rPr>
            </w:pPr>
          </w:p>
        </w:tc>
        <w:tc>
          <w:tcPr>
            <w:tcW w:w="590" w:type="pct"/>
            <w:vMerge/>
            <w:vAlign w:val="center"/>
            <w:hideMark/>
          </w:tcPr>
          <w:p w14:paraId="0DB1B3FF" w14:textId="77777777" w:rsidR="00685E75" w:rsidRPr="009A1A2E" w:rsidRDefault="00685E75" w:rsidP="00AB05A7">
            <w:pPr>
              <w:jc w:val="center"/>
              <w:rPr>
                <w:rFonts w:ascii="Arial" w:hAnsi="Arial" w:cs="Arial"/>
                <w:color w:val="000000"/>
                <w:sz w:val="20"/>
                <w:szCs w:val="20"/>
                <w:lang w:val="en-AU" w:eastAsia="de-AT"/>
              </w:rPr>
            </w:pPr>
          </w:p>
        </w:tc>
        <w:tc>
          <w:tcPr>
            <w:tcW w:w="661" w:type="pct"/>
            <w:vMerge/>
            <w:vAlign w:val="center"/>
            <w:hideMark/>
          </w:tcPr>
          <w:p w14:paraId="7552F5C1" w14:textId="77777777" w:rsidR="00685E75" w:rsidRPr="009A1A2E" w:rsidRDefault="00685E75" w:rsidP="00AB05A7">
            <w:pPr>
              <w:jc w:val="center"/>
              <w:rPr>
                <w:rFonts w:ascii="Arial" w:hAnsi="Arial" w:cs="Arial"/>
                <w:color w:val="000000"/>
                <w:sz w:val="20"/>
                <w:szCs w:val="20"/>
                <w:lang w:val="en-AU" w:eastAsia="de-AT"/>
              </w:rPr>
            </w:pPr>
          </w:p>
        </w:tc>
        <w:tc>
          <w:tcPr>
            <w:tcW w:w="816" w:type="pct"/>
            <w:vMerge/>
            <w:vAlign w:val="center"/>
            <w:hideMark/>
          </w:tcPr>
          <w:p w14:paraId="0AAAEF31" w14:textId="77777777" w:rsidR="00685E75" w:rsidRPr="009A1A2E" w:rsidRDefault="00685E75" w:rsidP="00AB05A7">
            <w:pPr>
              <w:rPr>
                <w:rFonts w:ascii="Arial" w:hAnsi="Arial" w:cs="Arial"/>
                <w:color w:val="000000"/>
                <w:sz w:val="20"/>
                <w:szCs w:val="20"/>
                <w:lang w:val="en-AU" w:eastAsia="de-AT"/>
              </w:rPr>
            </w:pPr>
          </w:p>
        </w:tc>
        <w:tc>
          <w:tcPr>
            <w:tcW w:w="1047" w:type="pct"/>
            <w:vMerge/>
            <w:hideMark/>
          </w:tcPr>
          <w:p w14:paraId="5AA6EADD" w14:textId="77777777" w:rsidR="00685E75" w:rsidRPr="009A1A2E" w:rsidRDefault="00685E75" w:rsidP="00AB05A7">
            <w:pPr>
              <w:rPr>
                <w:rFonts w:ascii="Arial" w:hAnsi="Arial" w:cs="Arial"/>
                <w:color w:val="000000"/>
                <w:sz w:val="20"/>
                <w:szCs w:val="20"/>
                <w:lang w:val="en-AU" w:eastAsia="de-AT"/>
              </w:rPr>
            </w:pPr>
          </w:p>
        </w:tc>
      </w:tr>
      <w:tr w:rsidR="00685E75" w:rsidRPr="009A1A2E" w14:paraId="0D677EFA" w14:textId="77777777" w:rsidTr="00AB05A7">
        <w:trPr>
          <w:trHeight w:val="480"/>
        </w:trPr>
        <w:tc>
          <w:tcPr>
            <w:tcW w:w="769" w:type="pct"/>
            <w:vAlign w:val="center"/>
            <w:hideMark/>
          </w:tcPr>
          <w:p w14:paraId="4D21FB40" w14:textId="77777777" w:rsidR="00685E75" w:rsidRPr="009A1A2E" w:rsidRDefault="00685E75" w:rsidP="00AB05A7">
            <w:pPr>
              <w:rPr>
                <w:rFonts w:ascii="Arial" w:hAnsi="Arial" w:cs="Arial"/>
                <w:color w:val="000000"/>
                <w:sz w:val="20"/>
                <w:szCs w:val="20"/>
                <w:lang w:val="en-AU" w:eastAsia="de-AT"/>
              </w:rPr>
            </w:pPr>
            <w:r w:rsidRPr="009A1A2E">
              <w:rPr>
                <w:rFonts w:ascii="Arial" w:hAnsi="Arial" w:cs="Arial"/>
                <w:color w:val="000000"/>
                <w:sz w:val="20"/>
                <w:szCs w:val="20"/>
                <w:lang w:val="en-AU" w:eastAsia="de-AT"/>
              </w:rPr>
              <w:t>Sterkers 2003 France</w:t>
            </w:r>
          </w:p>
        </w:tc>
        <w:tc>
          <w:tcPr>
            <w:tcW w:w="563" w:type="pct"/>
            <w:vMerge w:val="restart"/>
            <w:vAlign w:val="center"/>
            <w:hideMark/>
          </w:tcPr>
          <w:p w14:paraId="2BB0AD0E" w14:textId="77777777" w:rsidR="00685E75" w:rsidRPr="009A1A2E" w:rsidRDefault="00685E75" w:rsidP="00AB05A7">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IV</w:t>
            </w:r>
          </w:p>
        </w:tc>
        <w:tc>
          <w:tcPr>
            <w:tcW w:w="554" w:type="pct"/>
            <w:vMerge w:val="restart"/>
            <w:vAlign w:val="center"/>
            <w:hideMark/>
          </w:tcPr>
          <w:p w14:paraId="33EBADA8" w14:textId="77777777" w:rsidR="00685E75" w:rsidRPr="009A1A2E" w:rsidRDefault="00685E75" w:rsidP="00AB05A7">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III-2</w:t>
            </w:r>
          </w:p>
        </w:tc>
        <w:tc>
          <w:tcPr>
            <w:tcW w:w="590" w:type="pct"/>
            <w:vMerge w:val="restart"/>
            <w:vAlign w:val="center"/>
            <w:hideMark/>
          </w:tcPr>
          <w:p w14:paraId="7371C904" w14:textId="77777777" w:rsidR="00685E75" w:rsidRPr="009A1A2E" w:rsidRDefault="00685E75" w:rsidP="00AB05A7">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125 adults</w:t>
            </w:r>
          </w:p>
        </w:tc>
        <w:tc>
          <w:tcPr>
            <w:tcW w:w="661" w:type="pct"/>
            <w:vMerge w:val="restart"/>
            <w:vAlign w:val="center"/>
            <w:hideMark/>
          </w:tcPr>
          <w:p w14:paraId="6F398720" w14:textId="77777777" w:rsidR="00685E75" w:rsidRPr="009A1A2E" w:rsidRDefault="00685E75" w:rsidP="00AB05A7">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4 years</w:t>
            </w:r>
          </w:p>
        </w:tc>
        <w:tc>
          <w:tcPr>
            <w:tcW w:w="816" w:type="pct"/>
            <w:vMerge w:val="restart"/>
            <w:vAlign w:val="center"/>
            <w:hideMark/>
          </w:tcPr>
          <w:p w14:paraId="0D01CD64" w14:textId="77777777" w:rsidR="00685E75" w:rsidRPr="009A1A2E" w:rsidRDefault="00685E75" w:rsidP="00AB05A7">
            <w:pPr>
              <w:rPr>
                <w:rFonts w:ascii="Arial" w:hAnsi="Arial" w:cs="Arial"/>
                <w:color w:val="000000"/>
                <w:sz w:val="20"/>
                <w:szCs w:val="20"/>
                <w:lang w:val="en-AU" w:eastAsia="de-AT"/>
              </w:rPr>
            </w:pPr>
            <w:r w:rsidRPr="009A1A2E">
              <w:rPr>
                <w:rFonts w:ascii="Arial" w:hAnsi="Arial" w:cs="Arial"/>
                <w:color w:val="000000"/>
                <w:sz w:val="20"/>
                <w:szCs w:val="20"/>
                <w:lang w:val="en-AU" w:eastAsia="de-AT"/>
              </w:rPr>
              <w:t>Unaided and aided, pre and post surgery pure tone thresholds, Sound Field Warble tone to determine functional gain,  Speech intelligibility in quiet, Subjective outcomes using the GBI and a Vibrant benefit not validated questionnaire</w:t>
            </w:r>
          </w:p>
        </w:tc>
        <w:tc>
          <w:tcPr>
            <w:tcW w:w="1047" w:type="pct"/>
            <w:vMerge w:val="restart"/>
            <w:hideMark/>
          </w:tcPr>
          <w:p w14:paraId="1931250F" w14:textId="77777777" w:rsidR="00685E75" w:rsidRPr="009A1A2E" w:rsidRDefault="00685E75" w:rsidP="00AB05A7">
            <w:pPr>
              <w:rPr>
                <w:rFonts w:ascii="Arial" w:hAnsi="Arial" w:cs="Arial"/>
                <w:color w:val="000000"/>
                <w:sz w:val="20"/>
                <w:szCs w:val="20"/>
                <w:lang w:val="en-AU" w:eastAsia="de-AT"/>
              </w:rPr>
            </w:pPr>
            <w:r w:rsidRPr="009A1A2E">
              <w:rPr>
                <w:rFonts w:ascii="Arial" w:hAnsi="Arial" w:cs="Arial"/>
                <w:color w:val="000000"/>
                <w:sz w:val="20"/>
                <w:szCs w:val="20"/>
                <w:lang w:val="en-AU" w:eastAsia="de-AT"/>
              </w:rPr>
              <w:t>significant improvement, high level of satisfaction with the VSB</w:t>
            </w:r>
          </w:p>
        </w:tc>
      </w:tr>
      <w:tr w:rsidR="00685E75" w:rsidRPr="009A1A2E" w14:paraId="63C5A17D" w14:textId="77777777" w:rsidTr="00DA27BB">
        <w:trPr>
          <w:trHeight w:val="2486"/>
        </w:trPr>
        <w:tc>
          <w:tcPr>
            <w:tcW w:w="769" w:type="pct"/>
            <w:vAlign w:val="center"/>
            <w:hideMark/>
          </w:tcPr>
          <w:p w14:paraId="567EFE15" w14:textId="77777777" w:rsidR="00685E75" w:rsidRPr="009A1A2E" w:rsidRDefault="00685E75" w:rsidP="00AB05A7">
            <w:pPr>
              <w:rPr>
                <w:rFonts w:ascii="Arial" w:hAnsi="Arial" w:cs="Arial"/>
                <w:color w:val="000000"/>
                <w:sz w:val="20"/>
                <w:szCs w:val="20"/>
                <w:lang w:val="en-AU" w:eastAsia="de-AT"/>
              </w:rPr>
            </w:pPr>
            <w:r w:rsidRPr="009A1A2E">
              <w:rPr>
                <w:rFonts w:ascii="Arial" w:hAnsi="Arial" w:cs="Arial"/>
                <w:color w:val="000000"/>
                <w:sz w:val="20"/>
                <w:szCs w:val="20"/>
                <w:lang w:val="en-AU" w:eastAsia="de-AT"/>
              </w:rPr>
              <w:t>Retrospective survey</w:t>
            </w:r>
          </w:p>
        </w:tc>
        <w:tc>
          <w:tcPr>
            <w:tcW w:w="563" w:type="pct"/>
            <w:vMerge/>
            <w:vAlign w:val="center"/>
            <w:hideMark/>
          </w:tcPr>
          <w:p w14:paraId="60E64D7C" w14:textId="77777777" w:rsidR="00685E75" w:rsidRPr="009A1A2E" w:rsidRDefault="00685E75" w:rsidP="00AB05A7">
            <w:pPr>
              <w:jc w:val="center"/>
              <w:rPr>
                <w:rFonts w:ascii="Arial" w:hAnsi="Arial" w:cs="Arial"/>
                <w:color w:val="000000"/>
                <w:sz w:val="20"/>
                <w:szCs w:val="20"/>
                <w:lang w:val="en-AU" w:eastAsia="de-AT"/>
              </w:rPr>
            </w:pPr>
          </w:p>
        </w:tc>
        <w:tc>
          <w:tcPr>
            <w:tcW w:w="554" w:type="pct"/>
            <w:vMerge/>
            <w:vAlign w:val="center"/>
            <w:hideMark/>
          </w:tcPr>
          <w:p w14:paraId="7E37706D" w14:textId="77777777" w:rsidR="00685E75" w:rsidRPr="009A1A2E" w:rsidRDefault="00685E75" w:rsidP="00AB05A7">
            <w:pPr>
              <w:jc w:val="center"/>
              <w:rPr>
                <w:rFonts w:ascii="Arial" w:hAnsi="Arial" w:cs="Arial"/>
                <w:color w:val="000000"/>
                <w:sz w:val="20"/>
                <w:szCs w:val="20"/>
                <w:lang w:val="en-AU" w:eastAsia="de-AT"/>
              </w:rPr>
            </w:pPr>
          </w:p>
        </w:tc>
        <w:tc>
          <w:tcPr>
            <w:tcW w:w="590" w:type="pct"/>
            <w:vMerge/>
            <w:vAlign w:val="center"/>
            <w:hideMark/>
          </w:tcPr>
          <w:p w14:paraId="2FE0F265" w14:textId="77777777" w:rsidR="00685E75" w:rsidRPr="009A1A2E" w:rsidRDefault="00685E75" w:rsidP="00AB05A7">
            <w:pPr>
              <w:jc w:val="center"/>
              <w:rPr>
                <w:rFonts w:ascii="Arial" w:hAnsi="Arial" w:cs="Arial"/>
                <w:color w:val="000000"/>
                <w:sz w:val="20"/>
                <w:szCs w:val="20"/>
                <w:lang w:val="en-AU" w:eastAsia="de-AT"/>
              </w:rPr>
            </w:pPr>
          </w:p>
        </w:tc>
        <w:tc>
          <w:tcPr>
            <w:tcW w:w="661" w:type="pct"/>
            <w:vMerge/>
            <w:vAlign w:val="center"/>
            <w:hideMark/>
          </w:tcPr>
          <w:p w14:paraId="63BFDCA3" w14:textId="77777777" w:rsidR="00685E75" w:rsidRPr="009A1A2E" w:rsidRDefault="00685E75" w:rsidP="00AB05A7">
            <w:pPr>
              <w:jc w:val="center"/>
              <w:rPr>
                <w:rFonts w:ascii="Arial" w:hAnsi="Arial" w:cs="Arial"/>
                <w:color w:val="000000"/>
                <w:sz w:val="20"/>
                <w:szCs w:val="20"/>
                <w:lang w:val="en-AU" w:eastAsia="de-AT"/>
              </w:rPr>
            </w:pPr>
          </w:p>
        </w:tc>
        <w:tc>
          <w:tcPr>
            <w:tcW w:w="816" w:type="pct"/>
            <w:vMerge/>
            <w:vAlign w:val="center"/>
            <w:hideMark/>
          </w:tcPr>
          <w:p w14:paraId="52805226" w14:textId="77777777" w:rsidR="00685E75" w:rsidRPr="009A1A2E" w:rsidRDefault="00685E75" w:rsidP="00AB05A7">
            <w:pPr>
              <w:rPr>
                <w:rFonts w:ascii="Arial" w:hAnsi="Arial" w:cs="Arial"/>
                <w:color w:val="000000"/>
                <w:sz w:val="20"/>
                <w:szCs w:val="20"/>
                <w:lang w:val="en-AU" w:eastAsia="de-AT"/>
              </w:rPr>
            </w:pPr>
          </w:p>
        </w:tc>
        <w:tc>
          <w:tcPr>
            <w:tcW w:w="1047" w:type="pct"/>
            <w:vMerge/>
            <w:hideMark/>
          </w:tcPr>
          <w:p w14:paraId="1FDC5C17" w14:textId="77777777" w:rsidR="00685E75" w:rsidRPr="009A1A2E" w:rsidRDefault="00685E75" w:rsidP="00AB05A7">
            <w:pPr>
              <w:rPr>
                <w:rFonts w:ascii="Arial" w:hAnsi="Arial" w:cs="Arial"/>
                <w:color w:val="000000"/>
                <w:sz w:val="20"/>
                <w:szCs w:val="20"/>
                <w:lang w:val="en-AU" w:eastAsia="de-AT"/>
              </w:rPr>
            </w:pPr>
          </w:p>
        </w:tc>
      </w:tr>
      <w:tr w:rsidR="00685E75" w:rsidRPr="009A1A2E" w14:paraId="00ACCB91" w14:textId="77777777" w:rsidTr="00AB05A7">
        <w:trPr>
          <w:trHeight w:val="720"/>
        </w:trPr>
        <w:tc>
          <w:tcPr>
            <w:tcW w:w="769" w:type="pct"/>
            <w:vAlign w:val="center"/>
            <w:hideMark/>
          </w:tcPr>
          <w:p w14:paraId="2FD12F06" w14:textId="77777777" w:rsidR="00685E75" w:rsidRPr="009A1A2E" w:rsidRDefault="00685E75" w:rsidP="00AB05A7">
            <w:pPr>
              <w:rPr>
                <w:rFonts w:ascii="Arial" w:hAnsi="Arial" w:cs="Arial"/>
                <w:color w:val="000000"/>
                <w:sz w:val="20"/>
                <w:szCs w:val="20"/>
                <w:lang w:val="en-AU" w:eastAsia="de-AT"/>
              </w:rPr>
            </w:pPr>
            <w:r w:rsidRPr="009A1A2E">
              <w:rPr>
                <w:rFonts w:ascii="Arial" w:hAnsi="Arial" w:cs="Arial"/>
                <w:color w:val="000000"/>
                <w:sz w:val="20"/>
                <w:szCs w:val="20"/>
                <w:lang w:val="en-AU" w:eastAsia="de-AT"/>
              </w:rPr>
              <w:t>Sziklai et al. 2011 Hungary</w:t>
            </w:r>
          </w:p>
        </w:tc>
        <w:tc>
          <w:tcPr>
            <w:tcW w:w="563" w:type="pct"/>
            <w:vMerge w:val="restart"/>
            <w:vAlign w:val="center"/>
            <w:hideMark/>
          </w:tcPr>
          <w:p w14:paraId="0705C144" w14:textId="77777777" w:rsidR="00685E75" w:rsidRPr="009A1A2E" w:rsidRDefault="00685E75" w:rsidP="00AB05A7">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III</w:t>
            </w:r>
          </w:p>
        </w:tc>
        <w:tc>
          <w:tcPr>
            <w:tcW w:w="554" w:type="pct"/>
            <w:vMerge w:val="restart"/>
            <w:vAlign w:val="center"/>
            <w:hideMark/>
          </w:tcPr>
          <w:p w14:paraId="02D3F724" w14:textId="77777777" w:rsidR="00685E75" w:rsidRPr="009A1A2E" w:rsidRDefault="00685E75" w:rsidP="00AB05A7">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III-2</w:t>
            </w:r>
          </w:p>
        </w:tc>
        <w:tc>
          <w:tcPr>
            <w:tcW w:w="590" w:type="pct"/>
            <w:vMerge w:val="restart"/>
            <w:vAlign w:val="center"/>
            <w:hideMark/>
          </w:tcPr>
          <w:p w14:paraId="18BCE4B7" w14:textId="77777777" w:rsidR="00685E75" w:rsidRPr="009A1A2E" w:rsidRDefault="00685E75" w:rsidP="00AB05A7">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7 adults</w:t>
            </w:r>
          </w:p>
        </w:tc>
        <w:tc>
          <w:tcPr>
            <w:tcW w:w="661" w:type="pct"/>
            <w:vMerge w:val="restart"/>
            <w:vAlign w:val="center"/>
            <w:hideMark/>
          </w:tcPr>
          <w:p w14:paraId="219F02A6" w14:textId="77777777" w:rsidR="00685E75" w:rsidRPr="009A1A2E" w:rsidRDefault="00685E75" w:rsidP="00AB05A7">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not stated</w:t>
            </w:r>
          </w:p>
        </w:tc>
        <w:tc>
          <w:tcPr>
            <w:tcW w:w="816" w:type="pct"/>
            <w:vMerge w:val="restart"/>
            <w:vAlign w:val="center"/>
            <w:hideMark/>
          </w:tcPr>
          <w:p w14:paraId="6C354D54" w14:textId="77777777" w:rsidR="00685E75" w:rsidRPr="009A1A2E" w:rsidRDefault="00685E75" w:rsidP="00AB05A7">
            <w:pPr>
              <w:rPr>
                <w:rFonts w:ascii="Arial" w:hAnsi="Arial" w:cs="Arial"/>
                <w:color w:val="000000"/>
                <w:sz w:val="20"/>
                <w:szCs w:val="20"/>
                <w:lang w:val="en-AU" w:eastAsia="de-AT"/>
              </w:rPr>
            </w:pPr>
            <w:r w:rsidRPr="009A1A2E">
              <w:rPr>
                <w:rFonts w:ascii="Arial" w:hAnsi="Arial" w:cs="Arial"/>
                <w:color w:val="000000"/>
                <w:sz w:val="20"/>
                <w:szCs w:val="20"/>
                <w:lang w:val="en-AU" w:eastAsia="de-AT"/>
              </w:rPr>
              <w:t>Warble tone functional gain, Speech recognition scores</w:t>
            </w:r>
          </w:p>
        </w:tc>
        <w:tc>
          <w:tcPr>
            <w:tcW w:w="1047" w:type="pct"/>
            <w:vMerge w:val="restart"/>
            <w:hideMark/>
          </w:tcPr>
          <w:p w14:paraId="53E4841A" w14:textId="77777777" w:rsidR="00685E75" w:rsidRPr="009A1A2E" w:rsidRDefault="00685E75" w:rsidP="00AB05A7">
            <w:pPr>
              <w:rPr>
                <w:rFonts w:ascii="Arial" w:hAnsi="Arial" w:cs="Arial"/>
                <w:color w:val="000000"/>
                <w:sz w:val="20"/>
                <w:szCs w:val="20"/>
                <w:lang w:val="en-AU" w:eastAsia="de-AT"/>
              </w:rPr>
            </w:pPr>
            <w:r w:rsidRPr="009A1A2E">
              <w:rPr>
                <w:rFonts w:ascii="Arial" w:hAnsi="Arial" w:cs="Arial"/>
                <w:color w:val="000000"/>
                <w:sz w:val="20"/>
                <w:szCs w:val="20"/>
                <w:lang w:val="en-AU" w:eastAsia="de-AT"/>
              </w:rPr>
              <w:t>no significant difference</w:t>
            </w:r>
          </w:p>
        </w:tc>
      </w:tr>
      <w:tr w:rsidR="00685E75" w:rsidRPr="009A1A2E" w14:paraId="00AE4636" w14:textId="77777777" w:rsidTr="00AB05A7">
        <w:trPr>
          <w:trHeight w:val="720"/>
        </w:trPr>
        <w:tc>
          <w:tcPr>
            <w:tcW w:w="769" w:type="pct"/>
            <w:vAlign w:val="center"/>
            <w:hideMark/>
          </w:tcPr>
          <w:p w14:paraId="000A1F4B" w14:textId="77777777" w:rsidR="00685E75" w:rsidRPr="009A1A2E" w:rsidRDefault="00685E75" w:rsidP="00AB05A7">
            <w:pPr>
              <w:rPr>
                <w:rFonts w:ascii="Arial" w:hAnsi="Arial" w:cs="Arial"/>
                <w:color w:val="000000"/>
                <w:sz w:val="20"/>
                <w:szCs w:val="20"/>
                <w:lang w:val="en-AU" w:eastAsia="de-AT"/>
              </w:rPr>
            </w:pPr>
            <w:r w:rsidRPr="009A1A2E">
              <w:rPr>
                <w:rFonts w:ascii="Arial" w:hAnsi="Arial" w:cs="Arial"/>
                <w:color w:val="000000"/>
                <w:sz w:val="20"/>
                <w:szCs w:val="20"/>
                <w:lang w:val="en-AU" w:eastAsia="de-AT"/>
              </w:rPr>
              <w:t>Self control prospective study</w:t>
            </w:r>
          </w:p>
        </w:tc>
        <w:tc>
          <w:tcPr>
            <w:tcW w:w="563" w:type="pct"/>
            <w:vMerge/>
            <w:vAlign w:val="center"/>
            <w:hideMark/>
          </w:tcPr>
          <w:p w14:paraId="1F5F3AC5" w14:textId="77777777" w:rsidR="00685E75" w:rsidRPr="009A1A2E" w:rsidRDefault="00685E75" w:rsidP="00AB05A7">
            <w:pPr>
              <w:jc w:val="center"/>
              <w:rPr>
                <w:rFonts w:ascii="Arial" w:hAnsi="Arial" w:cs="Arial"/>
                <w:color w:val="000000"/>
                <w:sz w:val="20"/>
                <w:szCs w:val="20"/>
                <w:lang w:val="en-AU" w:eastAsia="de-AT"/>
              </w:rPr>
            </w:pPr>
          </w:p>
        </w:tc>
        <w:tc>
          <w:tcPr>
            <w:tcW w:w="554" w:type="pct"/>
            <w:vMerge/>
            <w:vAlign w:val="center"/>
            <w:hideMark/>
          </w:tcPr>
          <w:p w14:paraId="235E5139" w14:textId="77777777" w:rsidR="00685E75" w:rsidRPr="009A1A2E" w:rsidRDefault="00685E75" w:rsidP="00AB05A7">
            <w:pPr>
              <w:jc w:val="center"/>
              <w:rPr>
                <w:rFonts w:ascii="Arial" w:hAnsi="Arial" w:cs="Arial"/>
                <w:color w:val="000000"/>
                <w:sz w:val="20"/>
                <w:szCs w:val="20"/>
                <w:lang w:val="en-AU" w:eastAsia="de-AT"/>
              </w:rPr>
            </w:pPr>
          </w:p>
        </w:tc>
        <w:tc>
          <w:tcPr>
            <w:tcW w:w="590" w:type="pct"/>
            <w:vMerge/>
            <w:vAlign w:val="center"/>
            <w:hideMark/>
          </w:tcPr>
          <w:p w14:paraId="745EC72A" w14:textId="77777777" w:rsidR="00685E75" w:rsidRPr="009A1A2E" w:rsidRDefault="00685E75" w:rsidP="00AB05A7">
            <w:pPr>
              <w:jc w:val="center"/>
              <w:rPr>
                <w:rFonts w:ascii="Arial" w:hAnsi="Arial" w:cs="Arial"/>
                <w:color w:val="000000"/>
                <w:sz w:val="20"/>
                <w:szCs w:val="20"/>
                <w:lang w:val="en-AU" w:eastAsia="de-AT"/>
              </w:rPr>
            </w:pPr>
          </w:p>
        </w:tc>
        <w:tc>
          <w:tcPr>
            <w:tcW w:w="661" w:type="pct"/>
            <w:vMerge/>
            <w:vAlign w:val="center"/>
            <w:hideMark/>
          </w:tcPr>
          <w:p w14:paraId="730B9B71" w14:textId="77777777" w:rsidR="00685E75" w:rsidRPr="009A1A2E" w:rsidRDefault="00685E75" w:rsidP="00AB05A7">
            <w:pPr>
              <w:jc w:val="center"/>
              <w:rPr>
                <w:rFonts w:ascii="Arial" w:hAnsi="Arial" w:cs="Arial"/>
                <w:color w:val="000000"/>
                <w:sz w:val="20"/>
                <w:szCs w:val="20"/>
                <w:lang w:val="en-AU" w:eastAsia="de-AT"/>
              </w:rPr>
            </w:pPr>
          </w:p>
        </w:tc>
        <w:tc>
          <w:tcPr>
            <w:tcW w:w="816" w:type="pct"/>
            <w:vMerge/>
            <w:vAlign w:val="center"/>
            <w:hideMark/>
          </w:tcPr>
          <w:p w14:paraId="1F5725FB" w14:textId="77777777" w:rsidR="00685E75" w:rsidRPr="009A1A2E" w:rsidRDefault="00685E75" w:rsidP="00AB05A7">
            <w:pPr>
              <w:rPr>
                <w:rFonts w:ascii="Arial" w:hAnsi="Arial" w:cs="Arial"/>
                <w:color w:val="000000"/>
                <w:sz w:val="20"/>
                <w:szCs w:val="20"/>
                <w:lang w:val="en-AU" w:eastAsia="de-AT"/>
              </w:rPr>
            </w:pPr>
          </w:p>
        </w:tc>
        <w:tc>
          <w:tcPr>
            <w:tcW w:w="1047" w:type="pct"/>
            <w:vMerge/>
            <w:hideMark/>
          </w:tcPr>
          <w:p w14:paraId="6D58BF42" w14:textId="77777777" w:rsidR="00685E75" w:rsidRPr="009A1A2E" w:rsidRDefault="00685E75" w:rsidP="00AB05A7">
            <w:pPr>
              <w:rPr>
                <w:rFonts w:ascii="Arial" w:hAnsi="Arial" w:cs="Arial"/>
                <w:color w:val="000000"/>
                <w:sz w:val="20"/>
                <w:szCs w:val="20"/>
                <w:lang w:val="en-AU" w:eastAsia="de-AT"/>
              </w:rPr>
            </w:pPr>
          </w:p>
        </w:tc>
      </w:tr>
      <w:tr w:rsidR="00685E75" w:rsidRPr="009A1A2E" w14:paraId="6479B240" w14:textId="77777777" w:rsidTr="00FF3B57">
        <w:trPr>
          <w:cantSplit/>
          <w:trHeight w:val="720"/>
        </w:trPr>
        <w:tc>
          <w:tcPr>
            <w:tcW w:w="769" w:type="pct"/>
            <w:vAlign w:val="center"/>
            <w:hideMark/>
          </w:tcPr>
          <w:p w14:paraId="38C82337" w14:textId="77777777" w:rsidR="00685E75" w:rsidRPr="009A1A2E" w:rsidRDefault="00685E75" w:rsidP="00AB05A7">
            <w:pPr>
              <w:rPr>
                <w:rFonts w:ascii="Arial" w:hAnsi="Arial" w:cs="Arial"/>
                <w:color w:val="000000"/>
                <w:sz w:val="20"/>
                <w:szCs w:val="20"/>
                <w:lang w:val="en-AU" w:eastAsia="de-AT"/>
              </w:rPr>
            </w:pPr>
            <w:r w:rsidRPr="009A1A2E">
              <w:rPr>
                <w:rFonts w:ascii="Arial" w:hAnsi="Arial" w:cs="Arial"/>
                <w:color w:val="000000"/>
                <w:sz w:val="20"/>
                <w:szCs w:val="20"/>
                <w:lang w:val="en-AU" w:eastAsia="de-AT"/>
              </w:rPr>
              <w:lastRenderedPageBreak/>
              <w:t>Todt et al. 2005 Germany</w:t>
            </w:r>
          </w:p>
        </w:tc>
        <w:tc>
          <w:tcPr>
            <w:tcW w:w="563" w:type="pct"/>
            <w:vMerge w:val="restart"/>
            <w:vAlign w:val="center"/>
            <w:hideMark/>
          </w:tcPr>
          <w:p w14:paraId="70FBC527" w14:textId="77777777" w:rsidR="00685E75" w:rsidRPr="009A1A2E" w:rsidRDefault="00685E75" w:rsidP="00AB05A7">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IV</w:t>
            </w:r>
          </w:p>
        </w:tc>
        <w:tc>
          <w:tcPr>
            <w:tcW w:w="554" w:type="pct"/>
            <w:vMerge w:val="restart"/>
            <w:vAlign w:val="center"/>
            <w:hideMark/>
          </w:tcPr>
          <w:p w14:paraId="05C75C1D" w14:textId="77777777" w:rsidR="00685E75" w:rsidRPr="009A1A2E" w:rsidRDefault="00685E75" w:rsidP="00AB05A7">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III-3</w:t>
            </w:r>
          </w:p>
        </w:tc>
        <w:tc>
          <w:tcPr>
            <w:tcW w:w="590" w:type="pct"/>
            <w:vMerge w:val="restart"/>
            <w:vAlign w:val="center"/>
            <w:hideMark/>
          </w:tcPr>
          <w:p w14:paraId="4C256A39" w14:textId="77777777" w:rsidR="00685E75" w:rsidRPr="009A1A2E" w:rsidRDefault="00685E75" w:rsidP="00AB05A7">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23 adults</w:t>
            </w:r>
          </w:p>
        </w:tc>
        <w:tc>
          <w:tcPr>
            <w:tcW w:w="661" w:type="pct"/>
            <w:vMerge w:val="restart"/>
            <w:vAlign w:val="center"/>
            <w:hideMark/>
          </w:tcPr>
          <w:p w14:paraId="5268F48F" w14:textId="77777777" w:rsidR="00685E75" w:rsidRPr="009A1A2E" w:rsidRDefault="00685E75" w:rsidP="00AB05A7">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5 years</w:t>
            </w:r>
          </w:p>
        </w:tc>
        <w:tc>
          <w:tcPr>
            <w:tcW w:w="816" w:type="pct"/>
            <w:vMerge w:val="restart"/>
            <w:vAlign w:val="center"/>
            <w:hideMark/>
          </w:tcPr>
          <w:p w14:paraId="1F7AE259" w14:textId="77777777" w:rsidR="00685E75" w:rsidRPr="009A1A2E" w:rsidRDefault="00685E75" w:rsidP="00AB05A7">
            <w:pPr>
              <w:rPr>
                <w:rFonts w:ascii="Arial" w:hAnsi="Arial" w:cs="Arial"/>
                <w:color w:val="000000"/>
                <w:sz w:val="20"/>
                <w:szCs w:val="20"/>
                <w:lang w:val="en-AU" w:eastAsia="de-AT"/>
              </w:rPr>
            </w:pPr>
            <w:r w:rsidRPr="009A1A2E">
              <w:rPr>
                <w:rFonts w:ascii="Arial" w:hAnsi="Arial" w:cs="Arial"/>
                <w:color w:val="000000"/>
                <w:sz w:val="20"/>
                <w:szCs w:val="20"/>
                <w:lang w:val="en-AU" w:eastAsia="de-AT"/>
              </w:rPr>
              <w:t>unaided and aided thresholds pre - post implantation,  Speech discrimination in quiet and noise, Subjective outcomes using an open Questionnaire</w:t>
            </w:r>
          </w:p>
        </w:tc>
        <w:tc>
          <w:tcPr>
            <w:tcW w:w="1047" w:type="pct"/>
            <w:vMerge w:val="restart"/>
            <w:hideMark/>
          </w:tcPr>
          <w:p w14:paraId="484A4659" w14:textId="77777777" w:rsidR="00685E75" w:rsidRPr="009A1A2E" w:rsidRDefault="00685E75" w:rsidP="00AB05A7">
            <w:pPr>
              <w:rPr>
                <w:rFonts w:ascii="Arial" w:hAnsi="Arial" w:cs="Arial"/>
                <w:color w:val="000000"/>
                <w:sz w:val="20"/>
                <w:szCs w:val="20"/>
                <w:lang w:val="en-AU" w:eastAsia="de-AT"/>
              </w:rPr>
            </w:pPr>
            <w:r w:rsidRPr="009A1A2E">
              <w:rPr>
                <w:rFonts w:ascii="Arial" w:hAnsi="Arial" w:cs="Arial"/>
                <w:color w:val="000000"/>
                <w:sz w:val="20"/>
                <w:szCs w:val="20"/>
                <w:lang w:val="en-AU" w:eastAsia="de-AT"/>
              </w:rPr>
              <w:t>Improvement in Outcomes</w:t>
            </w:r>
          </w:p>
        </w:tc>
      </w:tr>
      <w:tr w:rsidR="00685E75" w:rsidRPr="009A1A2E" w14:paraId="11FB6837" w14:textId="77777777" w:rsidTr="00FF3B57">
        <w:trPr>
          <w:cantSplit/>
          <w:trHeight w:val="720"/>
        </w:trPr>
        <w:tc>
          <w:tcPr>
            <w:tcW w:w="769" w:type="pct"/>
            <w:vAlign w:val="center"/>
            <w:hideMark/>
          </w:tcPr>
          <w:p w14:paraId="2BB82D00" w14:textId="77777777" w:rsidR="00685E75" w:rsidRPr="009A1A2E" w:rsidRDefault="00685E75" w:rsidP="00AB05A7">
            <w:pPr>
              <w:rPr>
                <w:rFonts w:ascii="Arial" w:hAnsi="Arial" w:cs="Arial"/>
                <w:color w:val="000000"/>
                <w:sz w:val="20"/>
                <w:szCs w:val="20"/>
                <w:lang w:val="en-AU" w:eastAsia="de-AT"/>
              </w:rPr>
            </w:pPr>
            <w:r w:rsidRPr="009A1A2E">
              <w:rPr>
                <w:rFonts w:ascii="Arial" w:hAnsi="Arial" w:cs="Arial"/>
                <w:color w:val="000000"/>
                <w:sz w:val="20"/>
                <w:szCs w:val="20"/>
                <w:lang w:val="en-AU" w:eastAsia="de-AT"/>
              </w:rPr>
              <w:t>Retrospective, with/without</w:t>
            </w:r>
          </w:p>
        </w:tc>
        <w:tc>
          <w:tcPr>
            <w:tcW w:w="563" w:type="pct"/>
            <w:vMerge/>
            <w:vAlign w:val="center"/>
            <w:hideMark/>
          </w:tcPr>
          <w:p w14:paraId="53A3141E" w14:textId="77777777" w:rsidR="00685E75" w:rsidRPr="009A1A2E" w:rsidRDefault="00685E75" w:rsidP="00AB05A7">
            <w:pPr>
              <w:jc w:val="center"/>
              <w:rPr>
                <w:rFonts w:ascii="Arial" w:hAnsi="Arial" w:cs="Arial"/>
                <w:color w:val="000000"/>
                <w:sz w:val="20"/>
                <w:szCs w:val="20"/>
                <w:lang w:val="en-AU" w:eastAsia="de-AT"/>
              </w:rPr>
            </w:pPr>
          </w:p>
        </w:tc>
        <w:tc>
          <w:tcPr>
            <w:tcW w:w="554" w:type="pct"/>
            <w:vMerge/>
            <w:vAlign w:val="center"/>
            <w:hideMark/>
          </w:tcPr>
          <w:p w14:paraId="3247A8CD" w14:textId="77777777" w:rsidR="00685E75" w:rsidRPr="009A1A2E" w:rsidRDefault="00685E75" w:rsidP="00AB05A7">
            <w:pPr>
              <w:jc w:val="center"/>
              <w:rPr>
                <w:rFonts w:ascii="Arial" w:hAnsi="Arial" w:cs="Arial"/>
                <w:color w:val="000000"/>
                <w:sz w:val="20"/>
                <w:szCs w:val="20"/>
                <w:lang w:val="en-AU" w:eastAsia="de-AT"/>
              </w:rPr>
            </w:pPr>
          </w:p>
        </w:tc>
        <w:tc>
          <w:tcPr>
            <w:tcW w:w="590" w:type="pct"/>
            <w:vMerge/>
            <w:vAlign w:val="center"/>
            <w:hideMark/>
          </w:tcPr>
          <w:p w14:paraId="02239B84" w14:textId="77777777" w:rsidR="00685E75" w:rsidRPr="009A1A2E" w:rsidRDefault="00685E75" w:rsidP="00AB05A7">
            <w:pPr>
              <w:jc w:val="center"/>
              <w:rPr>
                <w:rFonts w:ascii="Arial" w:hAnsi="Arial" w:cs="Arial"/>
                <w:color w:val="000000"/>
                <w:sz w:val="20"/>
                <w:szCs w:val="20"/>
                <w:lang w:val="en-AU" w:eastAsia="de-AT"/>
              </w:rPr>
            </w:pPr>
          </w:p>
        </w:tc>
        <w:tc>
          <w:tcPr>
            <w:tcW w:w="661" w:type="pct"/>
            <w:vMerge/>
            <w:vAlign w:val="center"/>
            <w:hideMark/>
          </w:tcPr>
          <w:p w14:paraId="2B11BEAB" w14:textId="77777777" w:rsidR="00685E75" w:rsidRPr="009A1A2E" w:rsidRDefault="00685E75" w:rsidP="00AB05A7">
            <w:pPr>
              <w:jc w:val="center"/>
              <w:rPr>
                <w:rFonts w:ascii="Arial" w:hAnsi="Arial" w:cs="Arial"/>
                <w:color w:val="000000"/>
                <w:sz w:val="20"/>
                <w:szCs w:val="20"/>
                <w:lang w:val="en-AU" w:eastAsia="de-AT"/>
              </w:rPr>
            </w:pPr>
          </w:p>
        </w:tc>
        <w:tc>
          <w:tcPr>
            <w:tcW w:w="816" w:type="pct"/>
            <w:vMerge/>
            <w:vAlign w:val="center"/>
            <w:hideMark/>
          </w:tcPr>
          <w:p w14:paraId="62CC63F0" w14:textId="77777777" w:rsidR="00685E75" w:rsidRPr="009A1A2E" w:rsidRDefault="00685E75" w:rsidP="00AB05A7">
            <w:pPr>
              <w:rPr>
                <w:rFonts w:ascii="Arial" w:hAnsi="Arial" w:cs="Arial"/>
                <w:color w:val="000000"/>
                <w:sz w:val="20"/>
                <w:szCs w:val="20"/>
                <w:lang w:val="en-AU" w:eastAsia="de-AT"/>
              </w:rPr>
            </w:pPr>
          </w:p>
        </w:tc>
        <w:tc>
          <w:tcPr>
            <w:tcW w:w="1047" w:type="pct"/>
            <w:vMerge/>
            <w:hideMark/>
          </w:tcPr>
          <w:p w14:paraId="5622D969" w14:textId="77777777" w:rsidR="00685E75" w:rsidRPr="009A1A2E" w:rsidRDefault="00685E75" w:rsidP="00AB05A7">
            <w:pPr>
              <w:rPr>
                <w:rFonts w:ascii="Arial" w:hAnsi="Arial" w:cs="Arial"/>
                <w:color w:val="000000"/>
                <w:sz w:val="20"/>
                <w:szCs w:val="20"/>
                <w:lang w:val="en-AU" w:eastAsia="de-AT"/>
              </w:rPr>
            </w:pPr>
          </w:p>
        </w:tc>
      </w:tr>
      <w:tr w:rsidR="00685E75" w:rsidRPr="009A1A2E" w14:paraId="7DE2E047" w14:textId="77777777" w:rsidTr="00AB05A7">
        <w:trPr>
          <w:trHeight w:val="720"/>
        </w:trPr>
        <w:tc>
          <w:tcPr>
            <w:tcW w:w="769" w:type="pct"/>
            <w:vAlign w:val="center"/>
            <w:hideMark/>
          </w:tcPr>
          <w:p w14:paraId="74D9BC00" w14:textId="77777777" w:rsidR="00685E75" w:rsidRPr="009A1A2E" w:rsidRDefault="00685E75" w:rsidP="00AB05A7">
            <w:pPr>
              <w:rPr>
                <w:rFonts w:ascii="Arial" w:hAnsi="Arial" w:cs="Arial"/>
                <w:color w:val="000000"/>
                <w:sz w:val="20"/>
                <w:szCs w:val="20"/>
                <w:lang w:val="en-AU" w:eastAsia="de-AT"/>
              </w:rPr>
            </w:pPr>
            <w:r w:rsidRPr="009A1A2E">
              <w:rPr>
                <w:rFonts w:ascii="Arial" w:hAnsi="Arial" w:cs="Arial"/>
                <w:color w:val="000000"/>
                <w:sz w:val="20"/>
                <w:szCs w:val="20"/>
                <w:lang w:val="en-AU" w:eastAsia="de-AT"/>
              </w:rPr>
              <w:t>Todt et al. 2002 Germany</w:t>
            </w:r>
          </w:p>
        </w:tc>
        <w:tc>
          <w:tcPr>
            <w:tcW w:w="563" w:type="pct"/>
            <w:vMerge w:val="restart"/>
            <w:vAlign w:val="center"/>
            <w:hideMark/>
          </w:tcPr>
          <w:p w14:paraId="600E4AC7" w14:textId="77777777" w:rsidR="00685E75" w:rsidRPr="009A1A2E" w:rsidRDefault="00685E75" w:rsidP="00AB05A7">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IV</w:t>
            </w:r>
          </w:p>
        </w:tc>
        <w:tc>
          <w:tcPr>
            <w:tcW w:w="554" w:type="pct"/>
            <w:vMerge w:val="restart"/>
            <w:vAlign w:val="center"/>
            <w:hideMark/>
          </w:tcPr>
          <w:p w14:paraId="1F579B06" w14:textId="77777777" w:rsidR="00685E75" w:rsidRPr="009A1A2E" w:rsidRDefault="00685E75" w:rsidP="00AB05A7">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III-3</w:t>
            </w:r>
          </w:p>
        </w:tc>
        <w:tc>
          <w:tcPr>
            <w:tcW w:w="590" w:type="pct"/>
            <w:vMerge w:val="restart"/>
            <w:vAlign w:val="center"/>
            <w:hideMark/>
          </w:tcPr>
          <w:p w14:paraId="7EE2E9C7" w14:textId="77777777" w:rsidR="00685E75" w:rsidRPr="009A1A2E" w:rsidRDefault="00685E75" w:rsidP="00AB05A7">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5 adults</w:t>
            </w:r>
          </w:p>
        </w:tc>
        <w:tc>
          <w:tcPr>
            <w:tcW w:w="661" w:type="pct"/>
            <w:vMerge w:val="restart"/>
            <w:vAlign w:val="center"/>
            <w:hideMark/>
          </w:tcPr>
          <w:p w14:paraId="622F64C3" w14:textId="77777777" w:rsidR="00685E75" w:rsidRPr="009A1A2E" w:rsidRDefault="00685E75" w:rsidP="00AB05A7">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1 year</w:t>
            </w:r>
          </w:p>
        </w:tc>
        <w:tc>
          <w:tcPr>
            <w:tcW w:w="816" w:type="pct"/>
            <w:vMerge w:val="restart"/>
            <w:vAlign w:val="center"/>
            <w:hideMark/>
          </w:tcPr>
          <w:p w14:paraId="4F397537" w14:textId="77777777" w:rsidR="00685E75" w:rsidRPr="009A1A2E" w:rsidRDefault="00685E75" w:rsidP="00AB05A7">
            <w:pPr>
              <w:rPr>
                <w:rFonts w:ascii="Arial" w:hAnsi="Arial" w:cs="Arial"/>
                <w:color w:val="000000"/>
                <w:sz w:val="20"/>
                <w:szCs w:val="20"/>
                <w:lang w:val="en-AU" w:eastAsia="de-AT"/>
              </w:rPr>
            </w:pPr>
            <w:r w:rsidRPr="009A1A2E">
              <w:rPr>
                <w:rFonts w:ascii="Arial" w:hAnsi="Arial" w:cs="Arial"/>
                <w:color w:val="000000"/>
                <w:sz w:val="20"/>
                <w:szCs w:val="20"/>
                <w:lang w:val="en-AU" w:eastAsia="de-AT"/>
              </w:rPr>
              <w:t>Unaided and aided pure tone thresholds under headphones and BC, pre- post implantation, Speech discrimination in quiet (Freiburger monosyllables test), Speech discrimination in noise, Subjective outcomes using the APHAB Questionnaire</w:t>
            </w:r>
          </w:p>
        </w:tc>
        <w:tc>
          <w:tcPr>
            <w:tcW w:w="1047" w:type="pct"/>
            <w:vMerge w:val="restart"/>
            <w:hideMark/>
          </w:tcPr>
          <w:p w14:paraId="6A5299CB" w14:textId="77777777" w:rsidR="00685E75" w:rsidRPr="009A1A2E" w:rsidRDefault="00685E75" w:rsidP="00AB05A7">
            <w:pPr>
              <w:rPr>
                <w:rFonts w:ascii="Arial" w:hAnsi="Arial" w:cs="Arial"/>
                <w:color w:val="000000"/>
                <w:sz w:val="20"/>
                <w:szCs w:val="20"/>
                <w:lang w:val="en-AU" w:eastAsia="de-AT"/>
              </w:rPr>
            </w:pPr>
            <w:r w:rsidRPr="009A1A2E">
              <w:rPr>
                <w:rFonts w:ascii="Arial" w:hAnsi="Arial" w:cs="Arial"/>
                <w:color w:val="000000"/>
                <w:sz w:val="20"/>
                <w:szCs w:val="20"/>
                <w:lang w:val="en-AU" w:eastAsia="de-AT"/>
              </w:rPr>
              <w:t>The Symphonix Soundbridge device can improve the hearing benefit of moderately to severely hearing handicapped patients—particularly in those with a high-frequency hearing loss—when compared with the conventional hearing aids</w:t>
            </w:r>
          </w:p>
        </w:tc>
      </w:tr>
      <w:tr w:rsidR="00685E75" w:rsidRPr="009A1A2E" w14:paraId="5C0885DA" w14:textId="77777777" w:rsidTr="00AB05A7">
        <w:trPr>
          <w:trHeight w:val="720"/>
        </w:trPr>
        <w:tc>
          <w:tcPr>
            <w:tcW w:w="769" w:type="pct"/>
            <w:vAlign w:val="center"/>
            <w:hideMark/>
          </w:tcPr>
          <w:p w14:paraId="03C2F457" w14:textId="77777777" w:rsidR="00685E75" w:rsidRPr="009A1A2E" w:rsidRDefault="00685E75" w:rsidP="00AB05A7">
            <w:pPr>
              <w:rPr>
                <w:rFonts w:ascii="Arial" w:hAnsi="Arial" w:cs="Arial"/>
                <w:color w:val="000000"/>
                <w:sz w:val="20"/>
                <w:szCs w:val="20"/>
                <w:lang w:val="en-AU" w:eastAsia="de-AT"/>
              </w:rPr>
            </w:pPr>
            <w:r w:rsidRPr="009A1A2E">
              <w:rPr>
                <w:rFonts w:ascii="Arial" w:hAnsi="Arial" w:cs="Arial"/>
                <w:color w:val="000000"/>
                <w:sz w:val="20"/>
                <w:szCs w:val="20"/>
                <w:lang w:val="en-AU" w:eastAsia="de-AT"/>
              </w:rPr>
              <w:t>Prospective within-subjects</w:t>
            </w:r>
          </w:p>
        </w:tc>
        <w:tc>
          <w:tcPr>
            <w:tcW w:w="563" w:type="pct"/>
            <w:vMerge/>
            <w:vAlign w:val="center"/>
            <w:hideMark/>
          </w:tcPr>
          <w:p w14:paraId="69245A7C" w14:textId="77777777" w:rsidR="00685E75" w:rsidRPr="009A1A2E" w:rsidRDefault="00685E75" w:rsidP="00AB05A7">
            <w:pPr>
              <w:jc w:val="center"/>
              <w:rPr>
                <w:rFonts w:ascii="Arial" w:hAnsi="Arial" w:cs="Arial"/>
                <w:color w:val="000000"/>
                <w:sz w:val="20"/>
                <w:szCs w:val="20"/>
                <w:lang w:val="en-AU" w:eastAsia="de-AT"/>
              </w:rPr>
            </w:pPr>
          </w:p>
        </w:tc>
        <w:tc>
          <w:tcPr>
            <w:tcW w:w="554" w:type="pct"/>
            <w:vMerge/>
            <w:vAlign w:val="center"/>
            <w:hideMark/>
          </w:tcPr>
          <w:p w14:paraId="32B03FAF" w14:textId="77777777" w:rsidR="00685E75" w:rsidRPr="009A1A2E" w:rsidRDefault="00685E75" w:rsidP="00AB05A7">
            <w:pPr>
              <w:jc w:val="center"/>
              <w:rPr>
                <w:rFonts w:ascii="Arial" w:hAnsi="Arial" w:cs="Arial"/>
                <w:color w:val="000000"/>
                <w:sz w:val="20"/>
                <w:szCs w:val="20"/>
                <w:lang w:val="en-AU" w:eastAsia="de-AT"/>
              </w:rPr>
            </w:pPr>
          </w:p>
        </w:tc>
        <w:tc>
          <w:tcPr>
            <w:tcW w:w="590" w:type="pct"/>
            <w:vMerge/>
            <w:vAlign w:val="center"/>
            <w:hideMark/>
          </w:tcPr>
          <w:p w14:paraId="2E87E0FC" w14:textId="77777777" w:rsidR="00685E75" w:rsidRPr="009A1A2E" w:rsidRDefault="00685E75" w:rsidP="00AB05A7">
            <w:pPr>
              <w:jc w:val="center"/>
              <w:rPr>
                <w:rFonts w:ascii="Arial" w:hAnsi="Arial" w:cs="Arial"/>
                <w:color w:val="000000"/>
                <w:sz w:val="20"/>
                <w:szCs w:val="20"/>
                <w:lang w:val="en-AU" w:eastAsia="de-AT"/>
              </w:rPr>
            </w:pPr>
          </w:p>
        </w:tc>
        <w:tc>
          <w:tcPr>
            <w:tcW w:w="661" w:type="pct"/>
            <w:vMerge/>
            <w:vAlign w:val="center"/>
            <w:hideMark/>
          </w:tcPr>
          <w:p w14:paraId="2DCEF72B" w14:textId="77777777" w:rsidR="00685E75" w:rsidRPr="009A1A2E" w:rsidRDefault="00685E75" w:rsidP="00AB05A7">
            <w:pPr>
              <w:jc w:val="center"/>
              <w:rPr>
                <w:rFonts w:ascii="Arial" w:hAnsi="Arial" w:cs="Arial"/>
                <w:color w:val="000000"/>
                <w:sz w:val="20"/>
                <w:szCs w:val="20"/>
                <w:lang w:val="en-AU" w:eastAsia="de-AT"/>
              </w:rPr>
            </w:pPr>
          </w:p>
        </w:tc>
        <w:tc>
          <w:tcPr>
            <w:tcW w:w="816" w:type="pct"/>
            <w:vMerge/>
            <w:vAlign w:val="center"/>
            <w:hideMark/>
          </w:tcPr>
          <w:p w14:paraId="77ECFB5E" w14:textId="77777777" w:rsidR="00685E75" w:rsidRPr="009A1A2E" w:rsidRDefault="00685E75" w:rsidP="00AB05A7">
            <w:pPr>
              <w:rPr>
                <w:rFonts w:ascii="Arial" w:hAnsi="Arial" w:cs="Arial"/>
                <w:color w:val="000000"/>
                <w:sz w:val="20"/>
                <w:szCs w:val="20"/>
                <w:lang w:val="en-AU" w:eastAsia="de-AT"/>
              </w:rPr>
            </w:pPr>
          </w:p>
        </w:tc>
        <w:tc>
          <w:tcPr>
            <w:tcW w:w="1047" w:type="pct"/>
            <w:vMerge/>
            <w:hideMark/>
          </w:tcPr>
          <w:p w14:paraId="597441AE" w14:textId="77777777" w:rsidR="00685E75" w:rsidRPr="009A1A2E" w:rsidRDefault="00685E75" w:rsidP="00AB05A7">
            <w:pPr>
              <w:rPr>
                <w:rFonts w:ascii="Arial" w:hAnsi="Arial" w:cs="Arial"/>
                <w:color w:val="000000"/>
                <w:sz w:val="20"/>
                <w:szCs w:val="20"/>
                <w:lang w:val="en-AU" w:eastAsia="de-AT"/>
              </w:rPr>
            </w:pPr>
          </w:p>
        </w:tc>
      </w:tr>
      <w:tr w:rsidR="00685E75" w:rsidRPr="009A1A2E" w14:paraId="44639A20" w14:textId="77777777" w:rsidTr="00AB05A7">
        <w:trPr>
          <w:trHeight w:val="480"/>
        </w:trPr>
        <w:tc>
          <w:tcPr>
            <w:tcW w:w="769" w:type="pct"/>
            <w:vAlign w:val="center"/>
            <w:hideMark/>
          </w:tcPr>
          <w:p w14:paraId="4E03EDA3" w14:textId="77777777" w:rsidR="00685E75" w:rsidRPr="009A1A2E" w:rsidRDefault="00685E75" w:rsidP="00AB05A7">
            <w:pPr>
              <w:rPr>
                <w:rFonts w:ascii="Arial" w:hAnsi="Arial" w:cs="Arial"/>
                <w:color w:val="000000"/>
                <w:sz w:val="20"/>
                <w:szCs w:val="20"/>
                <w:lang w:val="en-AU" w:eastAsia="de-AT"/>
              </w:rPr>
            </w:pPr>
            <w:r w:rsidRPr="009A1A2E">
              <w:rPr>
                <w:rFonts w:ascii="Arial" w:hAnsi="Arial" w:cs="Arial"/>
                <w:color w:val="000000"/>
                <w:sz w:val="20"/>
                <w:szCs w:val="20"/>
                <w:lang w:val="en-AU" w:eastAsia="de-AT"/>
              </w:rPr>
              <w:t>Uziel  et al. 2003 France</w:t>
            </w:r>
          </w:p>
        </w:tc>
        <w:tc>
          <w:tcPr>
            <w:tcW w:w="563" w:type="pct"/>
            <w:vMerge w:val="restart"/>
            <w:vAlign w:val="center"/>
            <w:hideMark/>
          </w:tcPr>
          <w:p w14:paraId="07C06035" w14:textId="77777777" w:rsidR="00685E75" w:rsidRPr="009A1A2E" w:rsidRDefault="00685E75" w:rsidP="00AB05A7">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IV</w:t>
            </w:r>
          </w:p>
        </w:tc>
        <w:tc>
          <w:tcPr>
            <w:tcW w:w="554" w:type="pct"/>
            <w:vMerge w:val="restart"/>
            <w:vAlign w:val="center"/>
            <w:hideMark/>
          </w:tcPr>
          <w:p w14:paraId="7A378A7F" w14:textId="77777777" w:rsidR="00685E75" w:rsidRPr="009A1A2E" w:rsidRDefault="00685E75" w:rsidP="00AB05A7">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III-2</w:t>
            </w:r>
          </w:p>
        </w:tc>
        <w:tc>
          <w:tcPr>
            <w:tcW w:w="590" w:type="pct"/>
            <w:vMerge w:val="restart"/>
            <w:vAlign w:val="center"/>
            <w:hideMark/>
          </w:tcPr>
          <w:p w14:paraId="3FC921A6" w14:textId="77777777" w:rsidR="00685E75" w:rsidRPr="009A1A2E" w:rsidRDefault="00685E75" w:rsidP="00AB05A7">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6 adults</w:t>
            </w:r>
          </w:p>
        </w:tc>
        <w:tc>
          <w:tcPr>
            <w:tcW w:w="661" w:type="pct"/>
            <w:vMerge w:val="restart"/>
            <w:vAlign w:val="center"/>
            <w:hideMark/>
          </w:tcPr>
          <w:p w14:paraId="221CAC5B" w14:textId="77777777" w:rsidR="00685E75" w:rsidRPr="009A1A2E" w:rsidRDefault="00685E75" w:rsidP="00AB05A7">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6 months</w:t>
            </w:r>
          </w:p>
        </w:tc>
        <w:tc>
          <w:tcPr>
            <w:tcW w:w="816" w:type="pct"/>
            <w:vMerge w:val="restart"/>
            <w:vAlign w:val="center"/>
            <w:hideMark/>
          </w:tcPr>
          <w:p w14:paraId="410CEABD" w14:textId="77777777" w:rsidR="00685E75" w:rsidRPr="009A1A2E" w:rsidRDefault="00685E75" w:rsidP="00AB05A7">
            <w:pPr>
              <w:rPr>
                <w:rFonts w:ascii="Arial" w:hAnsi="Arial" w:cs="Arial"/>
                <w:color w:val="000000"/>
                <w:sz w:val="20"/>
                <w:szCs w:val="20"/>
                <w:lang w:val="en-AU" w:eastAsia="de-AT"/>
              </w:rPr>
            </w:pPr>
            <w:r w:rsidRPr="009A1A2E">
              <w:rPr>
                <w:rFonts w:ascii="Arial" w:hAnsi="Arial" w:cs="Arial"/>
                <w:color w:val="000000"/>
                <w:sz w:val="20"/>
                <w:szCs w:val="20"/>
                <w:lang w:val="en-AU" w:eastAsia="de-AT"/>
              </w:rPr>
              <w:t>Warble tone thresholds, Speech comprehension in quiet and noise, Subjective outcomes using the APHAB and HDSS Questionnaire</w:t>
            </w:r>
          </w:p>
        </w:tc>
        <w:tc>
          <w:tcPr>
            <w:tcW w:w="1047" w:type="pct"/>
            <w:vMerge w:val="restart"/>
            <w:hideMark/>
          </w:tcPr>
          <w:p w14:paraId="279619AC" w14:textId="77777777" w:rsidR="00685E75" w:rsidRPr="009A1A2E" w:rsidRDefault="00685E75" w:rsidP="00AB05A7">
            <w:pPr>
              <w:rPr>
                <w:rFonts w:ascii="Arial" w:hAnsi="Arial" w:cs="Arial"/>
                <w:color w:val="000000"/>
                <w:sz w:val="20"/>
                <w:szCs w:val="20"/>
                <w:lang w:val="en-AU" w:eastAsia="de-AT"/>
              </w:rPr>
            </w:pPr>
            <w:r w:rsidRPr="009A1A2E">
              <w:rPr>
                <w:rFonts w:ascii="Arial" w:hAnsi="Arial" w:cs="Arial"/>
                <w:color w:val="000000"/>
                <w:sz w:val="20"/>
                <w:szCs w:val="20"/>
                <w:lang w:val="en-AU" w:eastAsia="de-AT"/>
              </w:rPr>
              <w:t>Suitable treatment option offering advantages over conventional amplification to the hearing-impaired person with a high-frequency hearing loss</w:t>
            </w:r>
          </w:p>
        </w:tc>
      </w:tr>
      <w:tr w:rsidR="00685E75" w:rsidRPr="009A1A2E" w14:paraId="1CDEFD04" w14:textId="77777777" w:rsidTr="00AB05A7">
        <w:trPr>
          <w:trHeight w:val="1200"/>
        </w:trPr>
        <w:tc>
          <w:tcPr>
            <w:tcW w:w="769" w:type="pct"/>
            <w:vAlign w:val="center"/>
            <w:hideMark/>
          </w:tcPr>
          <w:p w14:paraId="3C1C91C5" w14:textId="77777777" w:rsidR="00685E75" w:rsidRPr="009A1A2E" w:rsidRDefault="00685E75" w:rsidP="00AB05A7">
            <w:pPr>
              <w:rPr>
                <w:rFonts w:ascii="Arial" w:hAnsi="Arial" w:cs="Arial"/>
                <w:color w:val="000000"/>
                <w:sz w:val="20"/>
                <w:szCs w:val="20"/>
                <w:lang w:val="en-AU" w:eastAsia="de-AT"/>
              </w:rPr>
            </w:pPr>
            <w:r w:rsidRPr="009A1A2E">
              <w:rPr>
                <w:rFonts w:ascii="Arial" w:hAnsi="Arial" w:cs="Arial"/>
                <w:color w:val="000000"/>
                <w:sz w:val="20"/>
                <w:szCs w:val="20"/>
                <w:lang w:val="en-AU" w:eastAsia="de-AT"/>
              </w:rPr>
              <w:t>Prospective, cross-sectional within-subjects</w:t>
            </w:r>
          </w:p>
        </w:tc>
        <w:tc>
          <w:tcPr>
            <w:tcW w:w="563" w:type="pct"/>
            <w:vMerge/>
            <w:vAlign w:val="center"/>
            <w:hideMark/>
          </w:tcPr>
          <w:p w14:paraId="2F110BBC" w14:textId="77777777" w:rsidR="00685E75" w:rsidRPr="009A1A2E" w:rsidRDefault="00685E75" w:rsidP="00AB05A7">
            <w:pPr>
              <w:jc w:val="center"/>
              <w:rPr>
                <w:rFonts w:ascii="Arial" w:hAnsi="Arial" w:cs="Arial"/>
                <w:color w:val="000000"/>
                <w:sz w:val="20"/>
                <w:szCs w:val="20"/>
                <w:lang w:val="en-AU" w:eastAsia="de-AT"/>
              </w:rPr>
            </w:pPr>
          </w:p>
        </w:tc>
        <w:tc>
          <w:tcPr>
            <w:tcW w:w="554" w:type="pct"/>
            <w:vMerge/>
            <w:vAlign w:val="center"/>
            <w:hideMark/>
          </w:tcPr>
          <w:p w14:paraId="3BFBE49E" w14:textId="77777777" w:rsidR="00685E75" w:rsidRPr="009A1A2E" w:rsidRDefault="00685E75" w:rsidP="00AB05A7">
            <w:pPr>
              <w:jc w:val="center"/>
              <w:rPr>
                <w:rFonts w:ascii="Arial" w:hAnsi="Arial" w:cs="Arial"/>
                <w:color w:val="000000"/>
                <w:sz w:val="20"/>
                <w:szCs w:val="20"/>
                <w:lang w:val="en-AU" w:eastAsia="de-AT"/>
              </w:rPr>
            </w:pPr>
          </w:p>
        </w:tc>
        <w:tc>
          <w:tcPr>
            <w:tcW w:w="590" w:type="pct"/>
            <w:vMerge/>
            <w:vAlign w:val="center"/>
            <w:hideMark/>
          </w:tcPr>
          <w:p w14:paraId="497E5984" w14:textId="77777777" w:rsidR="00685E75" w:rsidRPr="009A1A2E" w:rsidRDefault="00685E75" w:rsidP="00AB05A7">
            <w:pPr>
              <w:jc w:val="center"/>
              <w:rPr>
                <w:rFonts w:ascii="Arial" w:hAnsi="Arial" w:cs="Arial"/>
                <w:color w:val="000000"/>
                <w:sz w:val="20"/>
                <w:szCs w:val="20"/>
                <w:lang w:val="en-AU" w:eastAsia="de-AT"/>
              </w:rPr>
            </w:pPr>
          </w:p>
        </w:tc>
        <w:tc>
          <w:tcPr>
            <w:tcW w:w="661" w:type="pct"/>
            <w:vMerge/>
            <w:vAlign w:val="center"/>
            <w:hideMark/>
          </w:tcPr>
          <w:p w14:paraId="0F3CE7CF" w14:textId="77777777" w:rsidR="00685E75" w:rsidRPr="009A1A2E" w:rsidRDefault="00685E75" w:rsidP="00AB05A7">
            <w:pPr>
              <w:jc w:val="center"/>
              <w:rPr>
                <w:rFonts w:ascii="Arial" w:hAnsi="Arial" w:cs="Arial"/>
                <w:color w:val="000000"/>
                <w:sz w:val="20"/>
                <w:szCs w:val="20"/>
                <w:lang w:val="en-AU" w:eastAsia="de-AT"/>
              </w:rPr>
            </w:pPr>
          </w:p>
        </w:tc>
        <w:tc>
          <w:tcPr>
            <w:tcW w:w="816" w:type="pct"/>
            <w:vMerge/>
            <w:vAlign w:val="center"/>
            <w:hideMark/>
          </w:tcPr>
          <w:p w14:paraId="2E95B549" w14:textId="77777777" w:rsidR="00685E75" w:rsidRPr="009A1A2E" w:rsidRDefault="00685E75" w:rsidP="00AB05A7">
            <w:pPr>
              <w:rPr>
                <w:rFonts w:ascii="Arial" w:hAnsi="Arial" w:cs="Arial"/>
                <w:color w:val="000000"/>
                <w:sz w:val="20"/>
                <w:szCs w:val="20"/>
                <w:lang w:val="en-AU" w:eastAsia="de-AT"/>
              </w:rPr>
            </w:pPr>
          </w:p>
        </w:tc>
        <w:tc>
          <w:tcPr>
            <w:tcW w:w="1047" w:type="pct"/>
            <w:vMerge/>
            <w:hideMark/>
          </w:tcPr>
          <w:p w14:paraId="40587721" w14:textId="77777777" w:rsidR="00685E75" w:rsidRPr="009A1A2E" w:rsidRDefault="00685E75" w:rsidP="00AB05A7">
            <w:pPr>
              <w:rPr>
                <w:rFonts w:ascii="Arial" w:hAnsi="Arial" w:cs="Arial"/>
                <w:color w:val="000000"/>
                <w:sz w:val="20"/>
                <w:szCs w:val="20"/>
                <w:lang w:val="en-AU" w:eastAsia="de-AT"/>
              </w:rPr>
            </w:pPr>
          </w:p>
        </w:tc>
      </w:tr>
      <w:tr w:rsidR="00685E75" w:rsidRPr="009A1A2E" w14:paraId="5EDC2F9B" w14:textId="77777777" w:rsidTr="00AB05A7">
        <w:trPr>
          <w:trHeight w:val="480"/>
        </w:trPr>
        <w:tc>
          <w:tcPr>
            <w:tcW w:w="769" w:type="pct"/>
            <w:vAlign w:val="center"/>
            <w:hideMark/>
          </w:tcPr>
          <w:p w14:paraId="319D35A1" w14:textId="77777777" w:rsidR="00685E75" w:rsidRPr="009A1A2E" w:rsidRDefault="00685E75" w:rsidP="00AB05A7">
            <w:pPr>
              <w:rPr>
                <w:rFonts w:ascii="Arial" w:hAnsi="Arial" w:cs="Arial"/>
                <w:color w:val="000000"/>
                <w:sz w:val="20"/>
                <w:szCs w:val="20"/>
                <w:lang w:val="en-AU" w:eastAsia="de-AT"/>
              </w:rPr>
            </w:pPr>
            <w:r w:rsidRPr="009A1A2E">
              <w:rPr>
                <w:rFonts w:ascii="Arial" w:hAnsi="Arial" w:cs="Arial"/>
                <w:color w:val="000000"/>
                <w:sz w:val="20"/>
                <w:szCs w:val="20"/>
                <w:lang w:val="en-AU" w:eastAsia="de-AT"/>
              </w:rPr>
              <w:t>Vincent et al. 2004 France</w:t>
            </w:r>
          </w:p>
        </w:tc>
        <w:tc>
          <w:tcPr>
            <w:tcW w:w="563" w:type="pct"/>
            <w:vMerge w:val="restart"/>
            <w:vAlign w:val="center"/>
            <w:hideMark/>
          </w:tcPr>
          <w:p w14:paraId="771F3DA6" w14:textId="77777777" w:rsidR="00685E75" w:rsidRPr="009A1A2E" w:rsidRDefault="00685E75" w:rsidP="00AB05A7">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IV</w:t>
            </w:r>
          </w:p>
        </w:tc>
        <w:tc>
          <w:tcPr>
            <w:tcW w:w="554" w:type="pct"/>
            <w:vMerge w:val="restart"/>
            <w:vAlign w:val="center"/>
            <w:hideMark/>
          </w:tcPr>
          <w:p w14:paraId="048CF32F" w14:textId="77777777" w:rsidR="00685E75" w:rsidRPr="009A1A2E" w:rsidRDefault="00685E75" w:rsidP="00AB05A7">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III-2</w:t>
            </w:r>
          </w:p>
        </w:tc>
        <w:tc>
          <w:tcPr>
            <w:tcW w:w="590" w:type="pct"/>
            <w:vMerge w:val="restart"/>
            <w:vAlign w:val="center"/>
            <w:hideMark/>
          </w:tcPr>
          <w:p w14:paraId="2E59F884" w14:textId="77777777" w:rsidR="00685E75" w:rsidRPr="009A1A2E" w:rsidRDefault="00685E75" w:rsidP="00AB05A7">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39 adults</w:t>
            </w:r>
          </w:p>
        </w:tc>
        <w:tc>
          <w:tcPr>
            <w:tcW w:w="661" w:type="pct"/>
            <w:vMerge w:val="restart"/>
            <w:vAlign w:val="center"/>
            <w:hideMark/>
          </w:tcPr>
          <w:p w14:paraId="4C9F9A66" w14:textId="77777777" w:rsidR="00685E75" w:rsidRPr="009A1A2E" w:rsidRDefault="00685E75" w:rsidP="00AB05A7">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2- 24 months</w:t>
            </w:r>
          </w:p>
        </w:tc>
        <w:tc>
          <w:tcPr>
            <w:tcW w:w="816" w:type="pct"/>
            <w:vMerge w:val="restart"/>
            <w:vAlign w:val="center"/>
            <w:hideMark/>
          </w:tcPr>
          <w:p w14:paraId="21F3089C" w14:textId="77777777" w:rsidR="00685E75" w:rsidRPr="009A1A2E" w:rsidRDefault="00685E75" w:rsidP="00AB05A7">
            <w:pPr>
              <w:rPr>
                <w:rFonts w:ascii="Arial" w:hAnsi="Arial" w:cs="Arial"/>
                <w:color w:val="000000"/>
                <w:sz w:val="20"/>
                <w:szCs w:val="20"/>
                <w:lang w:val="en-AU" w:eastAsia="de-AT"/>
              </w:rPr>
            </w:pPr>
            <w:r w:rsidRPr="009A1A2E">
              <w:rPr>
                <w:rFonts w:ascii="Arial" w:hAnsi="Arial" w:cs="Arial"/>
                <w:color w:val="000000"/>
                <w:sz w:val="20"/>
                <w:szCs w:val="20"/>
                <w:lang w:val="en-AU" w:eastAsia="de-AT"/>
              </w:rPr>
              <w:t>Unaided and aided pure tone thresholds, Residual hearing pre- and post implantation</w:t>
            </w:r>
          </w:p>
        </w:tc>
        <w:tc>
          <w:tcPr>
            <w:tcW w:w="1047" w:type="pct"/>
            <w:vMerge w:val="restart"/>
            <w:hideMark/>
          </w:tcPr>
          <w:p w14:paraId="039DFC14" w14:textId="77777777" w:rsidR="00685E75" w:rsidRPr="009A1A2E" w:rsidRDefault="00685E75" w:rsidP="00AB05A7">
            <w:pPr>
              <w:rPr>
                <w:rFonts w:ascii="Arial" w:hAnsi="Arial" w:cs="Arial"/>
                <w:color w:val="000000"/>
                <w:sz w:val="20"/>
                <w:szCs w:val="20"/>
                <w:lang w:val="en-AU" w:eastAsia="de-AT"/>
              </w:rPr>
            </w:pPr>
            <w:r w:rsidRPr="009A1A2E">
              <w:rPr>
                <w:rFonts w:ascii="Arial" w:hAnsi="Arial" w:cs="Arial"/>
                <w:color w:val="000000"/>
                <w:sz w:val="20"/>
                <w:szCs w:val="20"/>
                <w:lang w:val="en-AU" w:eastAsia="de-AT"/>
              </w:rPr>
              <w:t>Significant Improvement</w:t>
            </w:r>
          </w:p>
        </w:tc>
      </w:tr>
      <w:tr w:rsidR="00685E75" w:rsidRPr="009A1A2E" w14:paraId="6E0DB946" w14:textId="77777777" w:rsidTr="00AB05A7">
        <w:trPr>
          <w:trHeight w:val="720"/>
        </w:trPr>
        <w:tc>
          <w:tcPr>
            <w:tcW w:w="769" w:type="pct"/>
            <w:vAlign w:val="center"/>
            <w:hideMark/>
          </w:tcPr>
          <w:p w14:paraId="401B2AD2" w14:textId="77777777" w:rsidR="00685E75" w:rsidRPr="009A1A2E" w:rsidRDefault="00685E75" w:rsidP="00AB05A7">
            <w:pPr>
              <w:rPr>
                <w:rFonts w:ascii="Arial" w:hAnsi="Arial" w:cs="Arial"/>
                <w:color w:val="000000"/>
                <w:sz w:val="20"/>
                <w:szCs w:val="20"/>
                <w:lang w:val="en-AU" w:eastAsia="de-AT"/>
              </w:rPr>
            </w:pPr>
            <w:r w:rsidRPr="009A1A2E">
              <w:rPr>
                <w:rFonts w:ascii="Arial" w:hAnsi="Arial" w:cs="Arial"/>
                <w:color w:val="000000"/>
                <w:sz w:val="20"/>
                <w:szCs w:val="20"/>
                <w:lang w:val="en-AU" w:eastAsia="de-AT"/>
              </w:rPr>
              <w:t>Retrospective, with/without</w:t>
            </w:r>
          </w:p>
        </w:tc>
        <w:tc>
          <w:tcPr>
            <w:tcW w:w="563" w:type="pct"/>
            <w:vMerge/>
            <w:vAlign w:val="center"/>
            <w:hideMark/>
          </w:tcPr>
          <w:p w14:paraId="6D468823" w14:textId="77777777" w:rsidR="00685E75" w:rsidRPr="009A1A2E" w:rsidRDefault="00685E75" w:rsidP="00AB05A7">
            <w:pPr>
              <w:jc w:val="center"/>
              <w:rPr>
                <w:rFonts w:ascii="Arial" w:hAnsi="Arial" w:cs="Arial"/>
                <w:color w:val="000000"/>
                <w:sz w:val="20"/>
                <w:szCs w:val="20"/>
                <w:lang w:val="en-AU" w:eastAsia="de-AT"/>
              </w:rPr>
            </w:pPr>
          </w:p>
        </w:tc>
        <w:tc>
          <w:tcPr>
            <w:tcW w:w="554" w:type="pct"/>
            <w:vMerge/>
            <w:vAlign w:val="center"/>
            <w:hideMark/>
          </w:tcPr>
          <w:p w14:paraId="45E19C5A" w14:textId="77777777" w:rsidR="00685E75" w:rsidRPr="009A1A2E" w:rsidRDefault="00685E75" w:rsidP="00AB05A7">
            <w:pPr>
              <w:jc w:val="center"/>
              <w:rPr>
                <w:rFonts w:ascii="Arial" w:hAnsi="Arial" w:cs="Arial"/>
                <w:color w:val="000000"/>
                <w:sz w:val="20"/>
                <w:szCs w:val="20"/>
                <w:lang w:val="en-AU" w:eastAsia="de-AT"/>
              </w:rPr>
            </w:pPr>
          </w:p>
        </w:tc>
        <w:tc>
          <w:tcPr>
            <w:tcW w:w="590" w:type="pct"/>
            <w:vMerge/>
            <w:vAlign w:val="center"/>
            <w:hideMark/>
          </w:tcPr>
          <w:p w14:paraId="7B38096D" w14:textId="77777777" w:rsidR="00685E75" w:rsidRPr="009A1A2E" w:rsidRDefault="00685E75" w:rsidP="00AB05A7">
            <w:pPr>
              <w:jc w:val="center"/>
              <w:rPr>
                <w:rFonts w:ascii="Arial" w:hAnsi="Arial" w:cs="Arial"/>
                <w:color w:val="000000"/>
                <w:sz w:val="20"/>
                <w:szCs w:val="20"/>
                <w:lang w:val="en-AU" w:eastAsia="de-AT"/>
              </w:rPr>
            </w:pPr>
          </w:p>
        </w:tc>
        <w:tc>
          <w:tcPr>
            <w:tcW w:w="661" w:type="pct"/>
            <w:vMerge/>
            <w:vAlign w:val="center"/>
            <w:hideMark/>
          </w:tcPr>
          <w:p w14:paraId="2FCE878B" w14:textId="77777777" w:rsidR="00685E75" w:rsidRPr="009A1A2E" w:rsidRDefault="00685E75" w:rsidP="00AB05A7">
            <w:pPr>
              <w:jc w:val="center"/>
              <w:rPr>
                <w:rFonts w:ascii="Arial" w:hAnsi="Arial" w:cs="Arial"/>
                <w:color w:val="000000"/>
                <w:sz w:val="20"/>
                <w:szCs w:val="20"/>
                <w:lang w:val="en-AU" w:eastAsia="de-AT"/>
              </w:rPr>
            </w:pPr>
          </w:p>
        </w:tc>
        <w:tc>
          <w:tcPr>
            <w:tcW w:w="816" w:type="pct"/>
            <w:vMerge/>
            <w:vAlign w:val="center"/>
            <w:hideMark/>
          </w:tcPr>
          <w:p w14:paraId="2132BD89" w14:textId="77777777" w:rsidR="00685E75" w:rsidRPr="009A1A2E" w:rsidRDefault="00685E75" w:rsidP="00AB05A7">
            <w:pPr>
              <w:rPr>
                <w:rFonts w:ascii="Arial" w:hAnsi="Arial" w:cs="Arial"/>
                <w:color w:val="000000"/>
                <w:sz w:val="20"/>
                <w:szCs w:val="20"/>
                <w:lang w:val="en-AU" w:eastAsia="de-AT"/>
              </w:rPr>
            </w:pPr>
          </w:p>
        </w:tc>
        <w:tc>
          <w:tcPr>
            <w:tcW w:w="1047" w:type="pct"/>
            <w:vMerge/>
            <w:hideMark/>
          </w:tcPr>
          <w:p w14:paraId="329DE2AC" w14:textId="77777777" w:rsidR="00685E75" w:rsidRPr="009A1A2E" w:rsidRDefault="00685E75" w:rsidP="00AB05A7">
            <w:pPr>
              <w:rPr>
                <w:rFonts w:ascii="Arial" w:hAnsi="Arial" w:cs="Arial"/>
                <w:color w:val="000000"/>
                <w:sz w:val="20"/>
                <w:szCs w:val="20"/>
                <w:lang w:val="en-AU" w:eastAsia="de-AT"/>
              </w:rPr>
            </w:pPr>
          </w:p>
        </w:tc>
      </w:tr>
      <w:tr w:rsidR="00685E75" w:rsidRPr="009A1A2E" w14:paraId="49376865" w14:textId="77777777" w:rsidTr="00AB05A7">
        <w:trPr>
          <w:trHeight w:val="720"/>
        </w:trPr>
        <w:tc>
          <w:tcPr>
            <w:tcW w:w="769" w:type="pct"/>
            <w:vAlign w:val="center"/>
            <w:hideMark/>
          </w:tcPr>
          <w:p w14:paraId="1F8995A3" w14:textId="77777777" w:rsidR="00685E75" w:rsidRPr="009A1A2E" w:rsidRDefault="00685E75" w:rsidP="00AB05A7">
            <w:pPr>
              <w:rPr>
                <w:rFonts w:ascii="Arial" w:hAnsi="Arial" w:cs="Arial"/>
                <w:color w:val="000000"/>
                <w:sz w:val="20"/>
                <w:szCs w:val="20"/>
                <w:lang w:val="en-AU" w:eastAsia="de-AT"/>
              </w:rPr>
            </w:pPr>
            <w:r w:rsidRPr="009A1A2E">
              <w:rPr>
                <w:rFonts w:ascii="Arial" w:hAnsi="Arial" w:cs="Arial"/>
                <w:color w:val="000000"/>
                <w:sz w:val="20"/>
                <w:szCs w:val="20"/>
                <w:lang w:val="en-AU" w:eastAsia="de-AT"/>
              </w:rPr>
              <w:lastRenderedPageBreak/>
              <w:t>Ihler et al  2014 Germany</w:t>
            </w:r>
          </w:p>
        </w:tc>
        <w:tc>
          <w:tcPr>
            <w:tcW w:w="563" w:type="pct"/>
            <w:vMerge w:val="restart"/>
            <w:vAlign w:val="center"/>
            <w:hideMark/>
          </w:tcPr>
          <w:p w14:paraId="7C3E5492" w14:textId="77777777" w:rsidR="00685E75" w:rsidRPr="009A1A2E" w:rsidRDefault="00685E75" w:rsidP="00AB05A7">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IV</w:t>
            </w:r>
          </w:p>
        </w:tc>
        <w:tc>
          <w:tcPr>
            <w:tcW w:w="554" w:type="pct"/>
            <w:vMerge w:val="restart"/>
            <w:vAlign w:val="center"/>
            <w:hideMark/>
          </w:tcPr>
          <w:p w14:paraId="7E3F5461" w14:textId="77777777" w:rsidR="00685E75" w:rsidRPr="009A1A2E" w:rsidRDefault="00685E75" w:rsidP="00AB05A7">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III-2</w:t>
            </w:r>
          </w:p>
        </w:tc>
        <w:tc>
          <w:tcPr>
            <w:tcW w:w="590" w:type="pct"/>
            <w:vMerge w:val="restart"/>
            <w:vAlign w:val="center"/>
            <w:hideMark/>
          </w:tcPr>
          <w:p w14:paraId="5E950A71" w14:textId="77777777" w:rsidR="00685E75" w:rsidRPr="009A1A2E" w:rsidRDefault="00685E75" w:rsidP="00AB05A7">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22 adults</w:t>
            </w:r>
          </w:p>
        </w:tc>
        <w:tc>
          <w:tcPr>
            <w:tcW w:w="661" w:type="pct"/>
            <w:vMerge w:val="restart"/>
            <w:vAlign w:val="center"/>
            <w:hideMark/>
          </w:tcPr>
          <w:p w14:paraId="16BE7EF9" w14:textId="77777777" w:rsidR="00685E75" w:rsidRPr="009A1A2E" w:rsidRDefault="00685E75" w:rsidP="00AB05A7">
            <w:pPr>
              <w:jc w:val="center"/>
              <w:rPr>
                <w:rFonts w:ascii="Arial" w:hAnsi="Arial" w:cs="Arial"/>
                <w:color w:val="000000"/>
                <w:sz w:val="20"/>
                <w:szCs w:val="20"/>
                <w:lang w:val="en-AU" w:eastAsia="de-AT"/>
              </w:rPr>
            </w:pPr>
            <w:r w:rsidRPr="009A1A2E">
              <w:rPr>
                <w:rFonts w:ascii="Arial" w:hAnsi="Arial" w:cs="Arial"/>
                <w:color w:val="000000"/>
                <w:sz w:val="20"/>
                <w:szCs w:val="20"/>
                <w:lang w:val="en-AU" w:eastAsia="de-AT"/>
              </w:rPr>
              <w:t>3-6 months</w:t>
            </w:r>
          </w:p>
        </w:tc>
        <w:tc>
          <w:tcPr>
            <w:tcW w:w="816" w:type="pct"/>
            <w:vMerge w:val="restart"/>
            <w:vAlign w:val="center"/>
            <w:hideMark/>
          </w:tcPr>
          <w:p w14:paraId="2519DBD8" w14:textId="77777777" w:rsidR="00685E75" w:rsidRPr="009A1A2E" w:rsidRDefault="00685E75" w:rsidP="00AB05A7">
            <w:pPr>
              <w:rPr>
                <w:rFonts w:ascii="Arial" w:hAnsi="Arial" w:cs="Arial"/>
                <w:color w:val="000000"/>
                <w:sz w:val="20"/>
                <w:szCs w:val="20"/>
                <w:lang w:val="en-AU" w:eastAsia="de-AT"/>
              </w:rPr>
            </w:pPr>
            <w:r w:rsidRPr="009A1A2E">
              <w:rPr>
                <w:rFonts w:ascii="Arial" w:hAnsi="Arial" w:cs="Arial"/>
                <w:color w:val="000000"/>
                <w:sz w:val="20"/>
                <w:szCs w:val="20"/>
                <w:lang w:val="en-AU" w:eastAsia="de-AT"/>
              </w:rPr>
              <w:t>Pure tone audiometry, Speech Audiometry in quiet and in noise, Subjective outcomes using Quality of life assessment questionnaire GBI</w:t>
            </w:r>
          </w:p>
        </w:tc>
        <w:tc>
          <w:tcPr>
            <w:tcW w:w="1047" w:type="pct"/>
            <w:vMerge w:val="restart"/>
            <w:hideMark/>
          </w:tcPr>
          <w:p w14:paraId="6C13A896" w14:textId="77777777" w:rsidR="00685E75" w:rsidRPr="009A1A2E" w:rsidRDefault="00685E75" w:rsidP="00AB05A7">
            <w:pPr>
              <w:rPr>
                <w:rFonts w:ascii="Arial" w:hAnsi="Arial" w:cs="Arial"/>
                <w:color w:val="000000"/>
                <w:sz w:val="20"/>
                <w:szCs w:val="20"/>
                <w:lang w:val="en-AU" w:eastAsia="de-AT"/>
              </w:rPr>
            </w:pPr>
            <w:r w:rsidRPr="009A1A2E">
              <w:rPr>
                <w:rFonts w:ascii="Arial" w:hAnsi="Arial" w:cs="Arial"/>
                <w:color w:val="000000"/>
                <w:sz w:val="20"/>
                <w:szCs w:val="20"/>
                <w:lang w:val="en-AU" w:eastAsia="de-AT"/>
              </w:rPr>
              <w:t>Improvement in Outcomes compared to HA</w:t>
            </w:r>
          </w:p>
        </w:tc>
      </w:tr>
      <w:tr w:rsidR="00685E75" w:rsidRPr="009A1A2E" w14:paraId="77899937" w14:textId="77777777" w:rsidTr="00AB05A7">
        <w:trPr>
          <w:trHeight w:val="480"/>
        </w:trPr>
        <w:tc>
          <w:tcPr>
            <w:tcW w:w="769" w:type="pct"/>
            <w:hideMark/>
          </w:tcPr>
          <w:p w14:paraId="6DACC5BA" w14:textId="77777777" w:rsidR="00685E75" w:rsidRPr="009A1A2E" w:rsidRDefault="00685E75" w:rsidP="00AB05A7">
            <w:pPr>
              <w:rPr>
                <w:rFonts w:ascii="Arial" w:hAnsi="Arial" w:cs="Arial"/>
                <w:color w:val="000000"/>
                <w:sz w:val="20"/>
                <w:szCs w:val="20"/>
                <w:lang w:val="en-AU" w:eastAsia="de-AT"/>
              </w:rPr>
            </w:pPr>
            <w:r w:rsidRPr="009A1A2E">
              <w:rPr>
                <w:rFonts w:ascii="Arial" w:hAnsi="Arial" w:cs="Arial"/>
                <w:color w:val="000000"/>
                <w:sz w:val="20"/>
                <w:szCs w:val="20"/>
                <w:lang w:val="en-AU" w:eastAsia="de-AT"/>
              </w:rPr>
              <w:t>Retrospective study</w:t>
            </w:r>
          </w:p>
        </w:tc>
        <w:tc>
          <w:tcPr>
            <w:tcW w:w="563" w:type="pct"/>
            <w:vMerge/>
            <w:hideMark/>
          </w:tcPr>
          <w:p w14:paraId="182A6503" w14:textId="77777777" w:rsidR="00685E75" w:rsidRPr="009A1A2E" w:rsidRDefault="00685E75" w:rsidP="00685E75">
            <w:pPr>
              <w:rPr>
                <w:rFonts w:ascii="Arial" w:hAnsi="Arial" w:cs="Arial"/>
                <w:color w:val="000000"/>
                <w:sz w:val="20"/>
                <w:szCs w:val="20"/>
                <w:lang w:val="en-AU" w:eastAsia="de-AT"/>
              </w:rPr>
            </w:pPr>
          </w:p>
        </w:tc>
        <w:tc>
          <w:tcPr>
            <w:tcW w:w="554" w:type="pct"/>
            <w:vMerge/>
            <w:hideMark/>
          </w:tcPr>
          <w:p w14:paraId="2D71E20F" w14:textId="77777777" w:rsidR="00685E75" w:rsidRPr="009A1A2E" w:rsidRDefault="00685E75" w:rsidP="00685E75">
            <w:pPr>
              <w:rPr>
                <w:rFonts w:ascii="Arial" w:hAnsi="Arial" w:cs="Arial"/>
                <w:color w:val="000000"/>
                <w:sz w:val="20"/>
                <w:szCs w:val="20"/>
                <w:lang w:val="en-AU" w:eastAsia="de-AT"/>
              </w:rPr>
            </w:pPr>
          </w:p>
        </w:tc>
        <w:tc>
          <w:tcPr>
            <w:tcW w:w="590" w:type="pct"/>
            <w:vMerge/>
            <w:hideMark/>
          </w:tcPr>
          <w:p w14:paraId="04FA153F" w14:textId="77777777" w:rsidR="00685E75" w:rsidRPr="009A1A2E" w:rsidRDefault="00685E75" w:rsidP="00685E75">
            <w:pPr>
              <w:rPr>
                <w:rFonts w:ascii="Arial" w:hAnsi="Arial" w:cs="Arial"/>
                <w:color w:val="000000"/>
                <w:sz w:val="20"/>
                <w:szCs w:val="20"/>
                <w:lang w:val="en-AU" w:eastAsia="de-AT"/>
              </w:rPr>
            </w:pPr>
          </w:p>
        </w:tc>
        <w:tc>
          <w:tcPr>
            <w:tcW w:w="661" w:type="pct"/>
            <w:vMerge/>
            <w:hideMark/>
          </w:tcPr>
          <w:p w14:paraId="090DC36B" w14:textId="77777777" w:rsidR="00685E75" w:rsidRPr="009A1A2E" w:rsidRDefault="00685E75" w:rsidP="00685E75">
            <w:pPr>
              <w:rPr>
                <w:rFonts w:ascii="Arial" w:hAnsi="Arial" w:cs="Arial"/>
                <w:color w:val="000000"/>
                <w:sz w:val="20"/>
                <w:szCs w:val="20"/>
                <w:lang w:val="en-AU" w:eastAsia="de-AT"/>
              </w:rPr>
            </w:pPr>
          </w:p>
        </w:tc>
        <w:tc>
          <w:tcPr>
            <w:tcW w:w="816" w:type="pct"/>
            <w:vMerge/>
            <w:hideMark/>
          </w:tcPr>
          <w:p w14:paraId="700E95D1" w14:textId="77777777" w:rsidR="00685E75" w:rsidRPr="009A1A2E" w:rsidRDefault="00685E75" w:rsidP="00685E75">
            <w:pPr>
              <w:rPr>
                <w:rFonts w:ascii="Arial" w:hAnsi="Arial" w:cs="Arial"/>
                <w:color w:val="000000"/>
                <w:sz w:val="20"/>
                <w:szCs w:val="20"/>
                <w:lang w:val="en-AU" w:eastAsia="de-AT"/>
              </w:rPr>
            </w:pPr>
          </w:p>
        </w:tc>
        <w:tc>
          <w:tcPr>
            <w:tcW w:w="1047" w:type="pct"/>
            <w:vMerge/>
            <w:hideMark/>
          </w:tcPr>
          <w:p w14:paraId="7A966ABC" w14:textId="77777777" w:rsidR="00685E75" w:rsidRPr="009A1A2E" w:rsidRDefault="00685E75" w:rsidP="00685E75">
            <w:pPr>
              <w:rPr>
                <w:rFonts w:ascii="Arial" w:hAnsi="Arial" w:cs="Arial"/>
                <w:color w:val="000000"/>
                <w:sz w:val="20"/>
                <w:szCs w:val="20"/>
                <w:lang w:val="en-AU" w:eastAsia="de-AT"/>
              </w:rPr>
            </w:pPr>
          </w:p>
        </w:tc>
      </w:tr>
    </w:tbl>
    <w:p w14:paraId="74C7DAF9" w14:textId="77777777" w:rsidR="00E13546" w:rsidRPr="009A1A2E" w:rsidRDefault="00E13546" w:rsidP="00F62A44">
      <w:pPr>
        <w:pStyle w:val="Textbody"/>
        <w:rPr>
          <w:lang w:val="en-AU"/>
        </w:rPr>
      </w:pPr>
    </w:p>
    <w:p w14:paraId="3228765F" w14:textId="77777777" w:rsidR="00685E75" w:rsidRPr="009A1A2E" w:rsidRDefault="00685E75" w:rsidP="00F62A44">
      <w:pPr>
        <w:pStyle w:val="Textbody"/>
        <w:rPr>
          <w:lang w:val="en-AU"/>
        </w:rPr>
        <w:sectPr w:rsidR="00685E75" w:rsidRPr="009A1A2E" w:rsidSect="00E13546">
          <w:pgSz w:w="16839" w:h="11907" w:orient="landscape" w:code="9"/>
          <w:pgMar w:top="1701" w:right="1701" w:bottom="1418" w:left="1418" w:header="720" w:footer="720" w:gutter="0"/>
          <w:paperSrc w:first="4035" w:other="4035"/>
          <w:cols w:space="720"/>
          <w:noEndnote/>
          <w:docGrid w:linePitch="299"/>
        </w:sectPr>
      </w:pPr>
    </w:p>
    <w:p w14:paraId="5551F45A" w14:textId="77777777" w:rsidR="00CE0A9E" w:rsidRPr="00C55B0E" w:rsidRDefault="0099355D" w:rsidP="007F6475">
      <w:pPr>
        <w:pStyle w:val="Heading20"/>
      </w:pPr>
      <w:bookmarkStart w:id="416" w:name="_Toc431917569"/>
      <w:bookmarkStart w:id="417" w:name="_Toc400549416"/>
      <w:r>
        <w:lastRenderedPageBreak/>
        <w:t>B</w:t>
      </w:r>
      <w:r w:rsidRPr="0099355D">
        <w:rPr>
          <w:lang w:val="en-US"/>
        </w:rPr>
        <w:t>.4</w:t>
      </w:r>
      <w:r w:rsidRPr="0099355D">
        <w:rPr>
          <w:lang w:val="en-US"/>
        </w:rPr>
        <w:tab/>
      </w:r>
      <w:r w:rsidR="00CE0A9E" w:rsidRPr="00C55B0E">
        <w:t>Characteristics of the non-randomised studies</w:t>
      </w:r>
      <w:bookmarkEnd w:id="416"/>
    </w:p>
    <w:p w14:paraId="4417F25E" w14:textId="77777777" w:rsidR="00CE0A9E" w:rsidRPr="00C55B0E" w:rsidRDefault="00CE0A9E" w:rsidP="00CE0A9E">
      <w:pPr>
        <w:rPr>
          <w:rFonts w:cs="Arial"/>
          <w:lang w:val="en-GB"/>
        </w:rPr>
      </w:pPr>
    </w:p>
    <w:p w14:paraId="65B9D989" w14:textId="77777777" w:rsidR="00CE0A9E" w:rsidRPr="00C55B0E" w:rsidRDefault="001C7CE7" w:rsidP="00CE0A9E">
      <w:pPr>
        <w:pStyle w:val="Heading30"/>
      </w:pPr>
      <w:bookmarkStart w:id="418" w:name="_Toc431917570"/>
      <w:r>
        <w:t>B4.1</w:t>
      </w:r>
      <w:r w:rsidRPr="004B68D2">
        <w:rPr>
          <w:lang w:val="en-US"/>
        </w:rPr>
        <w:tab/>
      </w:r>
      <w:r w:rsidR="00CE0A9E" w:rsidRPr="00C55B0E">
        <w:t>Eligibility criteria</w:t>
      </w:r>
      <w:bookmarkEnd w:id="418"/>
    </w:p>
    <w:p w14:paraId="25DB515C" w14:textId="77777777" w:rsidR="00CE0A9E" w:rsidRDefault="00CE0A9E" w:rsidP="00CE0A9E">
      <w:pPr>
        <w:pStyle w:val="Textbody"/>
      </w:pPr>
      <w:r w:rsidRPr="00C55B0E">
        <w:t xml:space="preserve">Eligibility for inclusion in a non-randomised trial depended on the candidacy criteria defined by the manufacturers. The candidacy criteria </w:t>
      </w:r>
      <w:r w:rsidR="00C34D88">
        <w:t>are</w:t>
      </w:r>
      <w:r w:rsidRPr="00C55B0E">
        <w:t xml:space="preserve"> </w:t>
      </w:r>
      <w:r w:rsidRPr="00C34D88">
        <w:t>presented in</w:t>
      </w:r>
      <w:r w:rsidR="00C34D88" w:rsidRPr="00C34D88">
        <w:t xml:space="preserve"> </w:t>
      </w:r>
      <w:r w:rsidR="00C34D88" w:rsidRPr="00C34D88">
        <w:fldChar w:fldCharType="begin"/>
      </w:r>
      <w:r w:rsidR="00C34D88" w:rsidRPr="007F6475">
        <w:instrText xml:space="preserve"> REF _Ref400635899 \h  \* MERGEFORMAT </w:instrText>
      </w:r>
      <w:r w:rsidR="00C34D88" w:rsidRPr="00C34D88">
        <w:fldChar w:fldCharType="separate"/>
      </w:r>
      <w:r w:rsidR="00016592" w:rsidRPr="00A83F80">
        <w:t xml:space="preserve">Table </w:t>
      </w:r>
      <w:r w:rsidR="00016592">
        <w:rPr>
          <w:noProof/>
        </w:rPr>
        <w:t>14</w:t>
      </w:r>
      <w:r w:rsidR="00C34D88" w:rsidRPr="00C34D88">
        <w:fldChar w:fldCharType="end"/>
      </w:r>
      <w:r w:rsidRPr="00C34D88">
        <w:t xml:space="preserve"> :</w:t>
      </w:r>
      <w:r w:rsidRPr="00C55B0E">
        <w:t xml:space="preserve"> Accordingly, adults aged 18 years and above were included in the studies. Inclusion was not restricted by age, gender or other demographic variable. Some studies selected patients who were implanted with a middle ear implant within a specified time frame in their clinic.</w:t>
      </w:r>
    </w:p>
    <w:p w14:paraId="69CD022C" w14:textId="77777777" w:rsidR="00CE0A9E" w:rsidRDefault="00CE0A9E" w:rsidP="00CE0A9E">
      <w:pPr>
        <w:pStyle w:val="Textbody"/>
      </w:pPr>
    </w:p>
    <w:p w14:paraId="78D94452" w14:textId="77777777" w:rsidR="00CE0A9E" w:rsidRPr="00A83F80" w:rsidRDefault="00C34D88" w:rsidP="00C34D88">
      <w:pPr>
        <w:pStyle w:val="Caption"/>
        <w:rPr>
          <w:rFonts w:ascii="Arial" w:hAnsi="Arial" w:cs="Arial"/>
          <w:lang w:val="en-GB"/>
        </w:rPr>
      </w:pPr>
      <w:bookmarkStart w:id="419" w:name="_Ref400635899"/>
      <w:bookmarkStart w:id="420" w:name="_Toc431917474"/>
      <w:r w:rsidRPr="00A83F80">
        <w:rPr>
          <w:rFonts w:ascii="Arial" w:hAnsi="Arial" w:cs="Arial"/>
        </w:rPr>
        <w:t xml:space="preserve">Table </w:t>
      </w:r>
      <w:r w:rsidRPr="00A83F80">
        <w:rPr>
          <w:rFonts w:ascii="Arial" w:hAnsi="Arial" w:cs="Arial"/>
        </w:rPr>
        <w:fldChar w:fldCharType="begin"/>
      </w:r>
      <w:r w:rsidRPr="00A83F80">
        <w:rPr>
          <w:rFonts w:ascii="Arial" w:hAnsi="Arial" w:cs="Arial"/>
        </w:rPr>
        <w:instrText xml:space="preserve"> SEQ Table \* ARABIC </w:instrText>
      </w:r>
      <w:r w:rsidRPr="00A83F80">
        <w:rPr>
          <w:rFonts w:ascii="Arial" w:hAnsi="Arial" w:cs="Arial"/>
        </w:rPr>
        <w:fldChar w:fldCharType="separate"/>
      </w:r>
      <w:r w:rsidR="00016592">
        <w:rPr>
          <w:rFonts w:ascii="Arial" w:hAnsi="Arial" w:cs="Arial"/>
          <w:noProof/>
        </w:rPr>
        <w:t>14</w:t>
      </w:r>
      <w:r w:rsidRPr="00A83F80">
        <w:rPr>
          <w:rFonts w:ascii="Arial" w:hAnsi="Arial" w:cs="Arial"/>
        </w:rPr>
        <w:fldChar w:fldCharType="end"/>
      </w:r>
      <w:bookmarkEnd w:id="419"/>
      <w:r w:rsidRPr="00A83F80">
        <w:rPr>
          <w:rFonts w:ascii="Arial" w:hAnsi="Arial" w:cs="Arial"/>
          <w:lang w:val="de-AT"/>
        </w:rPr>
        <w:t xml:space="preserve"> - </w:t>
      </w:r>
      <w:r w:rsidR="00CE0A9E" w:rsidRPr="00A83F80">
        <w:rPr>
          <w:rFonts w:ascii="Arial" w:hAnsi="Arial" w:cs="Arial"/>
          <w:lang w:val="en-GB"/>
        </w:rPr>
        <w:t>Eligibility criteria</w:t>
      </w:r>
      <w:bookmarkEnd w:id="420"/>
    </w:p>
    <w:tbl>
      <w:tblPr>
        <w:tblStyle w:val="TableGrid"/>
        <w:tblW w:w="5000" w:type="pct"/>
        <w:tblLook w:val="04A0" w:firstRow="1" w:lastRow="0" w:firstColumn="1" w:lastColumn="0" w:noHBand="0" w:noVBand="1"/>
        <w:tblDescription w:val="Eligibility criteria and Exclusion criteria by MEI system"/>
      </w:tblPr>
      <w:tblGrid>
        <w:gridCol w:w="435"/>
        <w:gridCol w:w="4571"/>
        <w:gridCol w:w="4282"/>
      </w:tblGrid>
      <w:tr w:rsidR="00CE0A9E" w:rsidRPr="00C55B0E" w14:paraId="3BDC7E83" w14:textId="77777777" w:rsidTr="001C2E0E">
        <w:trPr>
          <w:trHeight w:val="300"/>
          <w:tblHeader/>
        </w:trPr>
        <w:tc>
          <w:tcPr>
            <w:tcW w:w="234" w:type="pct"/>
            <w:hideMark/>
          </w:tcPr>
          <w:p w14:paraId="421F0509" w14:textId="77777777" w:rsidR="00CE0A9E" w:rsidRPr="00C55B0E" w:rsidRDefault="00CE0A9E" w:rsidP="00CE0A9E">
            <w:pPr>
              <w:rPr>
                <w:rFonts w:ascii="Arial" w:hAnsi="Arial" w:cs="Arial"/>
                <w:b/>
                <w:bCs/>
                <w:sz w:val="18"/>
                <w:szCs w:val="18"/>
                <w:lang w:val="de-DE"/>
              </w:rPr>
            </w:pPr>
            <w:r w:rsidRPr="00C55B0E">
              <w:rPr>
                <w:rFonts w:ascii="Arial" w:hAnsi="Arial" w:cs="Arial"/>
                <w:b/>
                <w:bCs/>
                <w:sz w:val="18"/>
                <w:szCs w:val="18"/>
                <w:lang w:val="de-DE"/>
              </w:rPr>
              <w:t> </w:t>
            </w:r>
          </w:p>
        </w:tc>
        <w:tc>
          <w:tcPr>
            <w:tcW w:w="2461" w:type="pct"/>
            <w:noWrap/>
            <w:hideMark/>
          </w:tcPr>
          <w:p w14:paraId="3B10FEDD" w14:textId="77777777" w:rsidR="00CE0A9E" w:rsidRPr="007F6475" w:rsidRDefault="00CE0A9E" w:rsidP="00CE0A9E">
            <w:pPr>
              <w:jc w:val="center"/>
              <w:rPr>
                <w:rFonts w:ascii="Arial" w:hAnsi="Arial" w:cs="Arial"/>
                <w:b/>
                <w:sz w:val="20"/>
                <w:szCs w:val="20"/>
                <w:lang w:val="de-DE"/>
              </w:rPr>
            </w:pPr>
            <w:r w:rsidRPr="007F6475">
              <w:rPr>
                <w:rFonts w:ascii="Arial" w:hAnsi="Arial" w:cs="Arial"/>
                <w:b/>
                <w:sz w:val="20"/>
                <w:szCs w:val="20"/>
              </w:rPr>
              <w:t>E</w:t>
            </w:r>
            <w:r w:rsidRPr="007F6475">
              <w:rPr>
                <w:rFonts w:ascii="Arial" w:hAnsi="Arial" w:cs="Arial"/>
                <w:b/>
                <w:sz w:val="20"/>
                <w:szCs w:val="20"/>
                <w:lang w:val="de-DE"/>
              </w:rPr>
              <w:t>ligibility criteria</w:t>
            </w:r>
          </w:p>
        </w:tc>
        <w:tc>
          <w:tcPr>
            <w:tcW w:w="2305" w:type="pct"/>
            <w:noWrap/>
            <w:hideMark/>
          </w:tcPr>
          <w:p w14:paraId="160E40E6" w14:textId="77777777" w:rsidR="00CE0A9E" w:rsidRPr="007F6475" w:rsidRDefault="00CE0A9E" w:rsidP="00CE0A9E">
            <w:pPr>
              <w:jc w:val="center"/>
              <w:rPr>
                <w:rFonts w:ascii="Arial" w:hAnsi="Arial" w:cs="Arial"/>
                <w:b/>
                <w:sz w:val="20"/>
                <w:szCs w:val="20"/>
                <w:lang w:val="de-DE"/>
              </w:rPr>
            </w:pPr>
            <w:r w:rsidRPr="007F6475">
              <w:rPr>
                <w:rFonts w:ascii="Arial" w:hAnsi="Arial" w:cs="Arial"/>
                <w:b/>
                <w:sz w:val="20"/>
                <w:szCs w:val="20"/>
                <w:lang w:val="de-DE"/>
              </w:rPr>
              <w:t>Exclusion criteria</w:t>
            </w:r>
          </w:p>
        </w:tc>
      </w:tr>
      <w:tr w:rsidR="00CE0A9E" w:rsidRPr="00C55B0E" w14:paraId="0EB2A42C" w14:textId="77777777" w:rsidTr="00CE0A9E">
        <w:trPr>
          <w:cantSplit/>
          <w:trHeight w:val="2743"/>
        </w:trPr>
        <w:tc>
          <w:tcPr>
            <w:tcW w:w="234" w:type="pct"/>
            <w:textDirection w:val="btLr"/>
            <w:hideMark/>
          </w:tcPr>
          <w:p w14:paraId="14EE41F5" w14:textId="77777777" w:rsidR="00CE0A9E" w:rsidRPr="00DC0F64" w:rsidRDefault="00CE0A9E" w:rsidP="00CE0A9E">
            <w:pPr>
              <w:ind w:left="113" w:right="113"/>
              <w:jc w:val="center"/>
              <w:rPr>
                <w:rFonts w:ascii="Arial" w:hAnsi="Arial" w:cs="Arial"/>
                <w:b/>
                <w:sz w:val="18"/>
                <w:szCs w:val="18"/>
                <w:lang w:val="de-DE"/>
              </w:rPr>
            </w:pPr>
            <w:r w:rsidRPr="00DC0F64">
              <w:rPr>
                <w:rFonts w:ascii="Arial" w:hAnsi="Arial" w:cs="Arial"/>
                <w:b/>
                <w:sz w:val="18"/>
                <w:szCs w:val="18"/>
              </w:rPr>
              <w:t>VIBRANT SOUNDBRIDGE</w:t>
            </w:r>
          </w:p>
        </w:tc>
        <w:tc>
          <w:tcPr>
            <w:tcW w:w="2461" w:type="pct"/>
            <w:hideMark/>
          </w:tcPr>
          <w:p w14:paraId="136509BB" w14:textId="77777777" w:rsidR="00CE0A9E" w:rsidRPr="00C55B0E" w:rsidRDefault="00CE0A9E" w:rsidP="00C867CD">
            <w:pPr>
              <w:jc w:val="both"/>
              <w:rPr>
                <w:rFonts w:ascii="Arial" w:hAnsi="Arial" w:cs="Arial"/>
                <w:sz w:val="18"/>
                <w:szCs w:val="18"/>
                <w:lang w:val="en-US"/>
              </w:rPr>
            </w:pPr>
            <w:r w:rsidRPr="00C55B0E">
              <w:rPr>
                <w:rFonts w:ascii="Arial" w:hAnsi="Arial" w:cs="Arial"/>
                <w:sz w:val="18"/>
                <w:szCs w:val="18"/>
                <w:lang w:val="en-US"/>
              </w:rPr>
              <w:t>stable bilateral symmetric sensorineural hearing loss with mild to severe hearing levels; air-bone gap at 500, 1000, 2000, and 4000 Hz was to be no greater than 10 dB at2 or mor</w:t>
            </w:r>
            <w:r>
              <w:rPr>
                <w:rFonts w:ascii="Arial" w:hAnsi="Arial" w:cs="Arial"/>
                <w:sz w:val="18"/>
                <w:szCs w:val="18"/>
                <w:lang w:val="en-US"/>
              </w:rPr>
              <w:t>e frequencies;  air conduction p</w:t>
            </w:r>
            <w:r w:rsidRPr="00C55B0E">
              <w:rPr>
                <w:rFonts w:ascii="Arial" w:hAnsi="Arial" w:cs="Arial"/>
                <w:sz w:val="18"/>
                <w:szCs w:val="18"/>
                <w:lang w:val="en-US"/>
              </w:rPr>
              <w:t>ure tone average at 500, 1000, 2000 and 4000 Hz betwee</w:t>
            </w:r>
            <w:r>
              <w:rPr>
                <w:rFonts w:ascii="Arial" w:hAnsi="Arial" w:cs="Arial"/>
                <w:sz w:val="18"/>
                <w:szCs w:val="18"/>
                <w:lang w:val="en-US"/>
              </w:rPr>
              <w:t>n</w:t>
            </w:r>
            <w:r w:rsidRPr="00C55B0E">
              <w:rPr>
                <w:rFonts w:ascii="Arial" w:hAnsi="Arial" w:cs="Arial"/>
                <w:sz w:val="18"/>
                <w:szCs w:val="18"/>
                <w:lang w:val="en-US"/>
              </w:rPr>
              <w:t xml:space="preserve"> 25 and 80 dB HL; speech understanding of at least 65% for word lists with appropriately amplified sound; normal middle ear with:</w:t>
            </w:r>
            <w:r>
              <w:rPr>
                <w:rFonts w:ascii="Arial" w:hAnsi="Arial" w:cs="Arial"/>
                <w:sz w:val="18"/>
                <w:szCs w:val="18"/>
                <w:lang w:val="en-US"/>
              </w:rPr>
              <w:t xml:space="preserve"> </w:t>
            </w:r>
            <w:r w:rsidRPr="00C55B0E">
              <w:rPr>
                <w:rFonts w:ascii="Arial" w:hAnsi="Arial" w:cs="Arial"/>
                <w:sz w:val="18"/>
                <w:szCs w:val="18"/>
                <w:lang w:val="en-US"/>
              </w:rPr>
              <w:t xml:space="preserve">no </w:t>
            </w:r>
            <w:r>
              <w:rPr>
                <w:rFonts w:ascii="Arial" w:hAnsi="Arial" w:cs="Arial"/>
                <w:sz w:val="18"/>
                <w:szCs w:val="18"/>
                <w:lang w:val="en-US"/>
              </w:rPr>
              <w:t xml:space="preserve">history of middle ear surgery; </w:t>
            </w:r>
            <w:r w:rsidRPr="00C55B0E">
              <w:rPr>
                <w:rFonts w:ascii="Arial" w:hAnsi="Arial" w:cs="Arial"/>
                <w:sz w:val="18"/>
                <w:szCs w:val="18"/>
                <w:lang w:val="en-US"/>
              </w:rPr>
              <w:t>no history of post-adolescent, ch</w:t>
            </w:r>
            <w:r w:rsidR="00C867CD">
              <w:rPr>
                <w:rFonts w:ascii="Arial" w:hAnsi="Arial" w:cs="Arial"/>
                <w:sz w:val="18"/>
                <w:szCs w:val="18"/>
                <w:lang w:val="en-US"/>
              </w:rPr>
              <w:t>ronic middle ear infections</w:t>
            </w:r>
            <w:r w:rsidRPr="00C55B0E">
              <w:rPr>
                <w:rFonts w:ascii="Arial" w:hAnsi="Arial" w:cs="Arial"/>
                <w:sz w:val="18"/>
                <w:szCs w:val="18"/>
                <w:lang w:val="en-US"/>
              </w:rPr>
              <w:t>; and no history of other inner ear disorders  such as Meniere’s disease.</w:t>
            </w:r>
          </w:p>
        </w:tc>
        <w:tc>
          <w:tcPr>
            <w:tcW w:w="2305" w:type="pct"/>
            <w:hideMark/>
          </w:tcPr>
          <w:p w14:paraId="2633077A" w14:textId="77777777" w:rsidR="00CE0A9E" w:rsidRPr="00C55B0E" w:rsidRDefault="00CE0A9E" w:rsidP="00CE0A9E">
            <w:pPr>
              <w:jc w:val="both"/>
              <w:rPr>
                <w:rFonts w:ascii="Arial" w:hAnsi="Arial" w:cs="Arial"/>
                <w:sz w:val="18"/>
                <w:szCs w:val="18"/>
                <w:lang w:val="en-US"/>
              </w:rPr>
            </w:pPr>
            <w:r w:rsidRPr="00C55B0E">
              <w:rPr>
                <w:rFonts w:ascii="Arial" w:hAnsi="Arial" w:cs="Arial"/>
                <w:sz w:val="18"/>
                <w:szCs w:val="18"/>
                <w:lang w:val="en-US"/>
              </w:rPr>
              <w:t>Pure unilateral hearing l</w:t>
            </w:r>
            <w:r>
              <w:rPr>
                <w:rFonts w:ascii="Arial" w:hAnsi="Arial" w:cs="Arial"/>
                <w:sz w:val="18"/>
                <w:szCs w:val="18"/>
                <w:lang w:val="en-US"/>
              </w:rPr>
              <w:t xml:space="preserve">oss; conductive, retrocochlear, </w:t>
            </w:r>
            <w:r w:rsidRPr="00C55B0E">
              <w:rPr>
                <w:rFonts w:ascii="Arial" w:hAnsi="Arial" w:cs="Arial"/>
                <w:sz w:val="18"/>
                <w:szCs w:val="18"/>
                <w:lang w:val="en-US"/>
              </w:rPr>
              <w:t>or central auditory disorders; hearing loss fluctuating more than 15 dB in either direction within a period of 2 years; physical, psychological, or emo</w:t>
            </w:r>
            <w:r>
              <w:rPr>
                <w:rFonts w:ascii="Arial" w:hAnsi="Arial" w:cs="Arial"/>
                <w:sz w:val="18"/>
                <w:szCs w:val="18"/>
                <w:lang w:val="en-US"/>
              </w:rPr>
              <w:t xml:space="preserve">tional disorders that would </w:t>
            </w:r>
            <w:r w:rsidRPr="00C55B0E">
              <w:rPr>
                <w:rFonts w:ascii="Arial" w:hAnsi="Arial" w:cs="Arial"/>
                <w:sz w:val="18"/>
                <w:szCs w:val="18"/>
                <w:lang w:val="en-US"/>
              </w:rPr>
              <w:t>interfere with subjects` ability to undergo testing or surgery; subjects who were mentally retarded or had organic brain disorders</w:t>
            </w:r>
          </w:p>
        </w:tc>
      </w:tr>
      <w:tr w:rsidR="00CE0A9E" w:rsidRPr="00C55B0E" w14:paraId="7A1D17C2" w14:textId="77777777" w:rsidTr="00CE0A9E">
        <w:trPr>
          <w:cantSplit/>
          <w:trHeight w:val="3412"/>
        </w:trPr>
        <w:tc>
          <w:tcPr>
            <w:tcW w:w="234" w:type="pct"/>
            <w:textDirection w:val="btLr"/>
            <w:hideMark/>
          </w:tcPr>
          <w:p w14:paraId="7650DF15" w14:textId="77777777" w:rsidR="00CE0A9E" w:rsidRPr="00DC0F64" w:rsidRDefault="00CE0A9E" w:rsidP="00CE0A9E">
            <w:pPr>
              <w:ind w:left="113" w:right="113"/>
              <w:jc w:val="center"/>
              <w:rPr>
                <w:rFonts w:ascii="Arial" w:hAnsi="Arial" w:cs="Arial"/>
                <w:b/>
                <w:sz w:val="18"/>
                <w:szCs w:val="18"/>
                <w:lang w:val="de-DE"/>
              </w:rPr>
            </w:pPr>
            <w:r w:rsidRPr="00DC0F64">
              <w:rPr>
                <w:rFonts w:ascii="Arial" w:hAnsi="Arial" w:cs="Arial"/>
                <w:b/>
                <w:sz w:val="18"/>
                <w:szCs w:val="18"/>
              </w:rPr>
              <w:t xml:space="preserve">SOUNDTEC </w:t>
            </w:r>
            <w:r w:rsidRPr="00DC0F64">
              <w:rPr>
                <w:rFonts w:ascii="Arial" w:hAnsi="Arial" w:cs="Arial"/>
                <w:b/>
                <w:sz w:val="18"/>
                <w:szCs w:val="18"/>
                <w:lang w:val="de-DE"/>
              </w:rPr>
              <w:t>Direct Drive</w:t>
            </w:r>
          </w:p>
        </w:tc>
        <w:tc>
          <w:tcPr>
            <w:tcW w:w="2461" w:type="pct"/>
            <w:hideMark/>
          </w:tcPr>
          <w:p w14:paraId="178B2430" w14:textId="77777777" w:rsidR="00CE0A9E" w:rsidRPr="00C55B0E" w:rsidRDefault="00CE0A9E" w:rsidP="00CE0A9E">
            <w:pPr>
              <w:jc w:val="both"/>
              <w:rPr>
                <w:rFonts w:ascii="Arial" w:hAnsi="Arial" w:cs="Arial"/>
                <w:sz w:val="18"/>
                <w:szCs w:val="18"/>
                <w:lang w:val="en-US"/>
              </w:rPr>
            </w:pPr>
            <w:r w:rsidRPr="00C55B0E">
              <w:rPr>
                <w:rFonts w:ascii="Arial" w:hAnsi="Arial" w:cs="Arial"/>
                <w:sz w:val="18"/>
                <w:szCs w:val="18"/>
                <w:lang w:val="en-US"/>
              </w:rPr>
              <w:t>bilateral symmetric sensorineural hearing loss with moderate to moderately severe sensorineural hearing impairment; bone conduction thresholds within 10 dB of air thresholds, high-frequency pure tone average of 1000, 2000, and 4000 Hz between 35 and 70 dB hearing level (HL), discrimination scores greater than or equal to 60% for NU-6 words, duration of hearing loss of at least 2 years without fluctuation, at least 6 months of recent hearing aid experience,</w:t>
            </w:r>
            <w:r>
              <w:rPr>
                <w:rFonts w:ascii="Arial" w:hAnsi="Arial" w:cs="Arial"/>
                <w:sz w:val="18"/>
                <w:szCs w:val="18"/>
                <w:lang w:val="en-US"/>
              </w:rPr>
              <w:t xml:space="preserve"> </w:t>
            </w:r>
            <w:r w:rsidRPr="00C55B0E">
              <w:rPr>
                <w:rFonts w:ascii="Arial" w:hAnsi="Arial" w:cs="Arial"/>
                <w:sz w:val="18"/>
                <w:szCs w:val="18"/>
                <w:lang w:val="en-US"/>
              </w:rPr>
              <w:t>use of an optimally fit NAL-R compliant hearing aid for at least 45 days in the ear to be implanted, age 21 to 80 years, sufficient cognitive skills and motivation to participate, adequate ear canal size to accommodate the deep ear</w:t>
            </w:r>
            <w:r>
              <w:rPr>
                <w:rFonts w:ascii="Arial" w:hAnsi="Arial" w:cs="Arial"/>
                <w:sz w:val="18"/>
                <w:szCs w:val="18"/>
                <w:lang w:val="en-US"/>
              </w:rPr>
              <w:t xml:space="preserve"> </w:t>
            </w:r>
            <w:r w:rsidRPr="00C55B0E">
              <w:rPr>
                <w:rFonts w:ascii="Arial" w:hAnsi="Arial" w:cs="Arial"/>
                <w:sz w:val="18"/>
                <w:szCs w:val="18"/>
                <w:lang w:val="en-US"/>
              </w:rPr>
              <w:t>mold coil assembly, dissatisfaction with conventional hearing aids, and absence of otitis externa, otitis media, and retrocochlear pathology</w:t>
            </w:r>
          </w:p>
        </w:tc>
        <w:tc>
          <w:tcPr>
            <w:tcW w:w="2305" w:type="pct"/>
            <w:hideMark/>
          </w:tcPr>
          <w:p w14:paraId="4FF80D25" w14:textId="77777777" w:rsidR="00CE0A9E" w:rsidRPr="00C55B0E" w:rsidRDefault="00CE0A9E" w:rsidP="00CE0A9E">
            <w:pPr>
              <w:jc w:val="both"/>
              <w:rPr>
                <w:rFonts w:ascii="Arial" w:hAnsi="Arial" w:cs="Arial"/>
                <w:sz w:val="18"/>
                <w:szCs w:val="18"/>
                <w:lang w:val="en-US"/>
              </w:rPr>
            </w:pPr>
            <w:r w:rsidRPr="00C55B0E">
              <w:rPr>
                <w:rFonts w:ascii="Arial" w:hAnsi="Arial" w:cs="Arial"/>
                <w:sz w:val="18"/>
                <w:szCs w:val="18"/>
                <w:lang w:val="en-US"/>
              </w:rPr>
              <w:t>Exclusion criteria includ</w:t>
            </w:r>
            <w:r>
              <w:rPr>
                <w:rFonts w:ascii="Arial" w:hAnsi="Arial" w:cs="Arial"/>
                <w:sz w:val="18"/>
                <w:szCs w:val="18"/>
                <w:lang w:val="en-US"/>
              </w:rPr>
              <w:t xml:space="preserve">ed a malformed or inflamed ear, </w:t>
            </w:r>
            <w:r w:rsidRPr="00C55B0E">
              <w:rPr>
                <w:rFonts w:ascii="Arial" w:hAnsi="Arial" w:cs="Arial"/>
                <w:sz w:val="18"/>
                <w:szCs w:val="18"/>
                <w:lang w:val="en-US"/>
              </w:rPr>
              <w:t>perforated tympanic membrane, acute otitis media, otosclerosis, previous middle ear surgery, and disabling tinnitus.</w:t>
            </w:r>
          </w:p>
        </w:tc>
      </w:tr>
      <w:tr w:rsidR="00CE0A9E" w:rsidRPr="00C55B0E" w14:paraId="63E63844" w14:textId="77777777" w:rsidTr="00CE0A9E">
        <w:trPr>
          <w:cantSplit/>
          <w:trHeight w:val="3181"/>
        </w:trPr>
        <w:tc>
          <w:tcPr>
            <w:tcW w:w="234" w:type="pct"/>
            <w:noWrap/>
            <w:textDirection w:val="btLr"/>
            <w:hideMark/>
          </w:tcPr>
          <w:p w14:paraId="49256D14" w14:textId="77777777" w:rsidR="00CE0A9E" w:rsidRPr="00DC0F64" w:rsidRDefault="00CE0A9E" w:rsidP="00CE0A9E">
            <w:pPr>
              <w:ind w:left="113" w:right="113"/>
              <w:jc w:val="center"/>
              <w:rPr>
                <w:rFonts w:ascii="Arial" w:hAnsi="Arial" w:cs="Arial"/>
                <w:b/>
                <w:sz w:val="18"/>
                <w:szCs w:val="18"/>
                <w:lang w:val="de-DE"/>
              </w:rPr>
            </w:pPr>
            <w:r w:rsidRPr="00DC0F64">
              <w:rPr>
                <w:rFonts w:ascii="Arial" w:hAnsi="Arial" w:cs="Arial"/>
                <w:b/>
                <w:sz w:val="18"/>
                <w:szCs w:val="18"/>
              </w:rPr>
              <w:lastRenderedPageBreak/>
              <w:t>ESTEEM</w:t>
            </w:r>
          </w:p>
        </w:tc>
        <w:tc>
          <w:tcPr>
            <w:tcW w:w="2461" w:type="pct"/>
            <w:hideMark/>
          </w:tcPr>
          <w:p w14:paraId="3BD67EFE" w14:textId="77777777" w:rsidR="00CE0A9E" w:rsidRPr="00C55B0E" w:rsidRDefault="00CE0A9E" w:rsidP="00CE0A9E">
            <w:pPr>
              <w:jc w:val="both"/>
              <w:rPr>
                <w:rFonts w:ascii="Arial" w:hAnsi="Arial" w:cs="Arial"/>
                <w:sz w:val="18"/>
                <w:szCs w:val="18"/>
                <w:lang w:val="en-US"/>
              </w:rPr>
            </w:pPr>
            <w:r w:rsidRPr="00C55B0E">
              <w:rPr>
                <w:rFonts w:ascii="Arial" w:hAnsi="Arial" w:cs="Arial"/>
                <w:sz w:val="18"/>
                <w:szCs w:val="18"/>
                <w:lang w:val="en-US"/>
              </w:rPr>
              <w:t>mild to severe sensorineural hearing loss between 500 and 4000 Hz in the ear implanted that is equal to or worse than the nonimplanted ear,</w:t>
            </w:r>
            <w:r>
              <w:rPr>
                <w:rFonts w:ascii="Arial" w:hAnsi="Arial" w:cs="Arial"/>
                <w:sz w:val="18"/>
                <w:szCs w:val="18"/>
                <w:lang w:val="en-US"/>
              </w:rPr>
              <w:t xml:space="preserve"> </w:t>
            </w:r>
            <w:r w:rsidRPr="00C55B0E">
              <w:rPr>
                <w:rFonts w:ascii="Arial" w:hAnsi="Arial" w:cs="Arial"/>
                <w:sz w:val="18"/>
                <w:szCs w:val="18"/>
                <w:lang w:val="en-US"/>
              </w:rPr>
              <w:t>air conduction pure tone average of 500, 1000, 2000, 3000 and 4000 Hz between 38 and 85 dB HL, previous use of a properly functioning hearing aid for at least 4 hours per day in the ear to be implanted for at least 3 months, healthy middle ear with normal middle ear anatomy, normal-functioning eustachian tube, adequate space for the Envoy System via fine cut CT scan, speech discrimination (unaided, in the ear to be implanted) of at least 60% or better with recorded delivery at 80 dB, psychological and emotional stability, with realistic expectations of the benefits and limitations of the device</w:t>
            </w:r>
          </w:p>
        </w:tc>
        <w:tc>
          <w:tcPr>
            <w:tcW w:w="2305" w:type="pct"/>
            <w:hideMark/>
          </w:tcPr>
          <w:p w14:paraId="2ED2B13D" w14:textId="77777777" w:rsidR="00CE0A9E" w:rsidRPr="00C55B0E" w:rsidRDefault="00CE0A9E" w:rsidP="00CE0A9E">
            <w:pPr>
              <w:jc w:val="both"/>
              <w:rPr>
                <w:rFonts w:ascii="Arial" w:hAnsi="Arial" w:cs="Arial"/>
                <w:sz w:val="18"/>
                <w:szCs w:val="18"/>
                <w:lang w:val="en-US"/>
              </w:rPr>
            </w:pPr>
            <w:r w:rsidRPr="00C55B0E">
              <w:rPr>
                <w:rFonts w:ascii="Arial" w:hAnsi="Arial" w:cs="Arial"/>
                <w:sz w:val="18"/>
                <w:szCs w:val="18"/>
                <w:lang w:val="en-US"/>
              </w:rPr>
              <w:t xml:space="preserve">Subjects with </w:t>
            </w:r>
            <w:r>
              <w:rPr>
                <w:rFonts w:ascii="Arial" w:hAnsi="Arial" w:cs="Arial"/>
                <w:sz w:val="18"/>
                <w:szCs w:val="18"/>
                <w:lang w:val="en-US"/>
              </w:rPr>
              <w:t xml:space="preserve">vestibular or osteodegenerative </w:t>
            </w:r>
            <w:r w:rsidRPr="00C55B0E">
              <w:rPr>
                <w:rFonts w:ascii="Arial" w:hAnsi="Arial" w:cs="Arial"/>
                <w:sz w:val="18"/>
                <w:szCs w:val="18"/>
                <w:lang w:val="en-US"/>
              </w:rPr>
              <w:t xml:space="preserve">disorders, </w:t>
            </w:r>
            <w:r>
              <w:rPr>
                <w:rFonts w:ascii="Arial" w:hAnsi="Arial" w:cs="Arial"/>
                <w:sz w:val="18"/>
                <w:szCs w:val="18"/>
                <w:lang w:val="en-US"/>
              </w:rPr>
              <w:t xml:space="preserve">middle ear pathology, a history </w:t>
            </w:r>
            <w:r w:rsidRPr="00C55B0E">
              <w:rPr>
                <w:rFonts w:ascii="Arial" w:hAnsi="Arial" w:cs="Arial"/>
                <w:sz w:val="18"/>
                <w:szCs w:val="18"/>
                <w:lang w:val="en-US"/>
              </w:rPr>
              <w:t>of recurrent otitis media, conductive or mixed hearing loss, nonorganic hearing loss, retrocochlear hearing loss, central auditory nervous system disor</w:t>
            </w:r>
            <w:r>
              <w:rPr>
                <w:rFonts w:ascii="Arial" w:hAnsi="Arial" w:cs="Arial"/>
                <w:sz w:val="18"/>
                <w:szCs w:val="18"/>
                <w:lang w:val="en-US"/>
              </w:rPr>
              <w:t xml:space="preserve">der, and prelinguistic onset of </w:t>
            </w:r>
            <w:r w:rsidRPr="00C55B0E">
              <w:rPr>
                <w:rFonts w:ascii="Arial" w:hAnsi="Arial" w:cs="Arial"/>
                <w:sz w:val="18"/>
                <w:szCs w:val="18"/>
                <w:lang w:val="en-US"/>
              </w:rPr>
              <w:t>hearing loss</w:t>
            </w:r>
          </w:p>
        </w:tc>
      </w:tr>
      <w:tr w:rsidR="00CE0A9E" w:rsidRPr="00C55B0E" w14:paraId="3E723773" w14:textId="77777777" w:rsidTr="00CE0A9E">
        <w:trPr>
          <w:cantSplit/>
          <w:trHeight w:val="1622"/>
        </w:trPr>
        <w:tc>
          <w:tcPr>
            <w:tcW w:w="234" w:type="pct"/>
            <w:noWrap/>
            <w:textDirection w:val="btLr"/>
            <w:hideMark/>
          </w:tcPr>
          <w:p w14:paraId="12097102" w14:textId="77777777" w:rsidR="00CE0A9E" w:rsidRPr="00DC0F64" w:rsidRDefault="00CE0A9E" w:rsidP="00CE0A9E">
            <w:pPr>
              <w:ind w:left="113" w:right="113"/>
              <w:jc w:val="center"/>
              <w:rPr>
                <w:rFonts w:ascii="Arial" w:hAnsi="Arial" w:cs="Arial"/>
                <w:b/>
                <w:sz w:val="18"/>
                <w:szCs w:val="18"/>
                <w:lang w:val="de-DE"/>
              </w:rPr>
            </w:pPr>
            <w:r w:rsidRPr="00DC0F64">
              <w:rPr>
                <w:rFonts w:ascii="Arial" w:hAnsi="Arial" w:cs="Arial"/>
                <w:b/>
                <w:sz w:val="18"/>
                <w:szCs w:val="18"/>
              </w:rPr>
              <w:t>CARINA</w:t>
            </w:r>
          </w:p>
        </w:tc>
        <w:tc>
          <w:tcPr>
            <w:tcW w:w="2461" w:type="pct"/>
            <w:hideMark/>
          </w:tcPr>
          <w:p w14:paraId="0F410736" w14:textId="77777777" w:rsidR="00CE0A9E" w:rsidRPr="00C55B0E" w:rsidRDefault="00CE0A9E" w:rsidP="00CE0A9E">
            <w:pPr>
              <w:jc w:val="both"/>
              <w:rPr>
                <w:rFonts w:ascii="Arial" w:hAnsi="Arial" w:cs="Arial"/>
                <w:sz w:val="18"/>
                <w:szCs w:val="18"/>
                <w:lang w:val="en-US"/>
              </w:rPr>
            </w:pPr>
            <w:r w:rsidRPr="00C55B0E">
              <w:rPr>
                <w:rFonts w:ascii="Arial" w:hAnsi="Arial" w:cs="Arial"/>
                <w:sz w:val="18"/>
                <w:szCs w:val="18"/>
                <w:lang w:val="en-US"/>
              </w:rPr>
              <w:t>bilaterally symmetric sensorineural hearing loss with moderate to moderately severe sensorineural hearing impa</w:t>
            </w:r>
            <w:r>
              <w:rPr>
                <w:rFonts w:ascii="Arial" w:hAnsi="Arial" w:cs="Arial"/>
                <w:sz w:val="18"/>
                <w:szCs w:val="18"/>
                <w:lang w:val="en-US"/>
              </w:rPr>
              <w:t xml:space="preserve">irment;(within 20 dB) hearing, pure-tone </w:t>
            </w:r>
            <w:r w:rsidRPr="00C55B0E">
              <w:rPr>
                <w:rFonts w:ascii="Arial" w:hAnsi="Arial" w:cs="Arial"/>
                <w:sz w:val="18"/>
                <w:szCs w:val="18"/>
                <w:lang w:val="en-US"/>
              </w:rPr>
              <w:t>or high-frequency pure-tone average between 40 and 80 dB hearing level (HL), and NU-6 scores greater than 40% at 80 dB HL or 40 dB sensation level in the ear to be implanted</w:t>
            </w:r>
          </w:p>
        </w:tc>
        <w:tc>
          <w:tcPr>
            <w:tcW w:w="2305" w:type="pct"/>
            <w:hideMark/>
          </w:tcPr>
          <w:p w14:paraId="4CBE5FE8" w14:textId="77777777" w:rsidR="00CE0A9E" w:rsidRPr="00C55B0E" w:rsidRDefault="00CE0A9E" w:rsidP="00CE0A9E">
            <w:pPr>
              <w:jc w:val="both"/>
              <w:rPr>
                <w:rFonts w:ascii="Arial" w:hAnsi="Arial" w:cs="Arial"/>
                <w:sz w:val="18"/>
                <w:szCs w:val="18"/>
                <w:lang w:val="en-US"/>
              </w:rPr>
            </w:pPr>
            <w:r w:rsidRPr="00C55B0E">
              <w:rPr>
                <w:rFonts w:ascii="Arial" w:hAnsi="Arial" w:cs="Arial"/>
                <w:sz w:val="18"/>
                <w:szCs w:val="18"/>
                <w:lang w:val="en-US"/>
              </w:rPr>
              <w:t xml:space="preserve">Subjects with </w:t>
            </w:r>
            <w:r>
              <w:rPr>
                <w:rFonts w:ascii="Arial" w:hAnsi="Arial" w:cs="Arial"/>
                <w:sz w:val="18"/>
                <w:szCs w:val="18"/>
                <w:lang w:val="en-US"/>
              </w:rPr>
              <w:t xml:space="preserve">vestibular or osteodegenerative </w:t>
            </w:r>
            <w:r w:rsidRPr="00C55B0E">
              <w:rPr>
                <w:rFonts w:ascii="Arial" w:hAnsi="Arial" w:cs="Arial"/>
                <w:sz w:val="18"/>
                <w:szCs w:val="18"/>
                <w:lang w:val="en-US"/>
              </w:rPr>
              <w:t>disorders, middle ear pathology, a history of recurrent otitis media, conductive or mixed hearing loss, nonorganic hearing loss, retrocochlear hearing loss, central auditory nervous system disorder, and prelinguistic onset of hearing loss were excluded from the study.</w:t>
            </w:r>
          </w:p>
        </w:tc>
      </w:tr>
    </w:tbl>
    <w:p w14:paraId="3EC60D65" w14:textId="77777777" w:rsidR="00CE0A9E" w:rsidRDefault="00CE0A9E" w:rsidP="00CE0A9E">
      <w:pPr>
        <w:rPr>
          <w:rFonts w:cs="Arial"/>
          <w:lang w:val="en-GB"/>
        </w:rPr>
      </w:pPr>
    </w:p>
    <w:p w14:paraId="4EFCB4A1" w14:textId="77777777" w:rsidR="0099355D" w:rsidRDefault="0099355D" w:rsidP="00CE0A9E">
      <w:pPr>
        <w:rPr>
          <w:rFonts w:cs="Arial"/>
          <w:lang w:val="en-GB"/>
        </w:rPr>
      </w:pPr>
    </w:p>
    <w:p w14:paraId="4FAA75A1" w14:textId="77777777" w:rsidR="00CE0A9E" w:rsidRPr="00C55B0E" w:rsidRDefault="00CE0A9E" w:rsidP="00CE0A9E">
      <w:pPr>
        <w:rPr>
          <w:rFonts w:cs="Arial"/>
          <w:lang w:val="en-GB"/>
        </w:rPr>
      </w:pPr>
    </w:p>
    <w:p w14:paraId="596F85F7" w14:textId="77777777" w:rsidR="00CE0A9E" w:rsidRPr="00CE0A9E" w:rsidRDefault="001C7CE7" w:rsidP="00CE0A9E">
      <w:pPr>
        <w:pStyle w:val="Heading30"/>
      </w:pPr>
      <w:bookmarkStart w:id="421" w:name="_Toc431917571"/>
      <w:r>
        <w:t>B4.2</w:t>
      </w:r>
      <w:r w:rsidRPr="004B68D2">
        <w:rPr>
          <w:lang w:val="en-US"/>
        </w:rPr>
        <w:tab/>
      </w:r>
      <w:r w:rsidR="00CE0A9E" w:rsidRPr="00CE0A9E">
        <w:t>Patient baseline characteristics</w:t>
      </w:r>
      <w:bookmarkEnd w:id="421"/>
    </w:p>
    <w:p w14:paraId="267344D3" w14:textId="77777777" w:rsidR="00CE0A9E" w:rsidRPr="000737E8" w:rsidRDefault="00CE0A9E" w:rsidP="00CE0A9E">
      <w:pPr>
        <w:pStyle w:val="Textbody"/>
      </w:pPr>
      <w:r w:rsidRPr="00CE0A9E">
        <w:t xml:space="preserve">Patient baseline characteristics provided by most studies included age and gender. Some also specified the use of pre-operatively worn hearing aids. Eight studies did not however provide gender information. One longitudinal study on post-operative hearing thresholds by Vincent (2004) and a study by Labassi (2005), which was a conference proceeding, did not specify any patient baseline characteristics. The baseline characteristics can be seen </w:t>
      </w:r>
      <w:r w:rsidRPr="00C34D88">
        <w:t xml:space="preserve">in </w:t>
      </w:r>
      <w:r w:rsidR="00C34D88" w:rsidRPr="0080769D">
        <w:fldChar w:fldCharType="begin"/>
      </w:r>
      <w:r w:rsidR="00C34D88" w:rsidRPr="007F6475">
        <w:instrText xml:space="preserve"> REF _Ref400636012 \h  \* MERGEFORMAT </w:instrText>
      </w:r>
      <w:r w:rsidR="00C34D88" w:rsidRPr="0080769D">
        <w:fldChar w:fldCharType="separate"/>
      </w:r>
      <w:r w:rsidR="00016592" w:rsidRPr="00016592">
        <w:t xml:space="preserve">Table </w:t>
      </w:r>
      <w:r w:rsidR="00016592" w:rsidRPr="00016592">
        <w:rPr>
          <w:noProof/>
        </w:rPr>
        <w:t>15</w:t>
      </w:r>
      <w:r w:rsidR="00C34D88" w:rsidRPr="0080769D">
        <w:fldChar w:fldCharType="end"/>
      </w:r>
      <w:r w:rsidR="00C34D88" w:rsidRPr="007F6475">
        <w:t>.</w:t>
      </w:r>
    </w:p>
    <w:p w14:paraId="2F24224D" w14:textId="77777777" w:rsidR="00C34D88" w:rsidRDefault="00C34D88" w:rsidP="00CE0A9E">
      <w:pPr>
        <w:pStyle w:val="Textbody"/>
      </w:pPr>
    </w:p>
    <w:p w14:paraId="1844C109" w14:textId="77777777" w:rsidR="00CE0A9E" w:rsidRPr="007F6475" w:rsidRDefault="00CE0A9E" w:rsidP="00CE0A9E">
      <w:pPr>
        <w:pStyle w:val="Textbody"/>
        <w:rPr>
          <w:u w:val="single"/>
        </w:rPr>
      </w:pPr>
      <w:r w:rsidRPr="007F6475">
        <w:rPr>
          <w:u w:val="single"/>
        </w:rPr>
        <w:t>Age</w:t>
      </w:r>
    </w:p>
    <w:p w14:paraId="20AE40AD" w14:textId="77777777" w:rsidR="00CE0A9E" w:rsidRDefault="00D215E8" w:rsidP="00CE0A9E">
      <w:pPr>
        <w:pStyle w:val="Textbody"/>
      </w:pPr>
      <w:r>
        <w:t>Patients` age ranged from 18</w:t>
      </w:r>
      <w:r w:rsidR="00CE0A9E" w:rsidRPr="00CE0A9E">
        <w:t xml:space="preserve"> up to 86 years.</w:t>
      </w:r>
    </w:p>
    <w:p w14:paraId="57F3EE7C" w14:textId="77777777" w:rsidR="00CE0A9E" w:rsidRPr="00CE0A9E" w:rsidRDefault="00CE0A9E" w:rsidP="00CE0A9E">
      <w:pPr>
        <w:pStyle w:val="Textbody"/>
      </w:pPr>
    </w:p>
    <w:p w14:paraId="4410E962" w14:textId="77777777" w:rsidR="00CE0A9E" w:rsidRPr="007F6475" w:rsidRDefault="00CE0A9E" w:rsidP="00CE0A9E">
      <w:pPr>
        <w:pStyle w:val="Textbody"/>
        <w:rPr>
          <w:u w:val="single"/>
        </w:rPr>
      </w:pPr>
      <w:r w:rsidRPr="007F6475">
        <w:rPr>
          <w:u w:val="single"/>
        </w:rPr>
        <w:t>Gender</w:t>
      </w:r>
    </w:p>
    <w:p w14:paraId="57D62260" w14:textId="77777777" w:rsidR="00CE0A9E" w:rsidRPr="00CE0A9E" w:rsidRDefault="00CE0A9E" w:rsidP="00CE0A9E">
      <w:pPr>
        <w:pStyle w:val="Textbody"/>
      </w:pPr>
      <w:r w:rsidRPr="00CE0A9E">
        <w:t>The distribution of males to females across all studies was balanced (52% males and 48% females).</w:t>
      </w:r>
    </w:p>
    <w:p w14:paraId="4CF1AB8B" w14:textId="77777777" w:rsidR="0099355D" w:rsidRDefault="0099355D">
      <w:pPr>
        <w:rPr>
          <w:rFonts w:cs="Arial"/>
          <w:lang w:val="en-GB"/>
        </w:rPr>
      </w:pPr>
      <w:r>
        <w:rPr>
          <w:rFonts w:cs="Arial"/>
          <w:lang w:val="en-GB"/>
        </w:rPr>
        <w:br w:type="page"/>
      </w:r>
    </w:p>
    <w:p w14:paraId="6E4ED832" w14:textId="77777777" w:rsidR="00CE0A9E" w:rsidRPr="00A83F80" w:rsidRDefault="00C34D88" w:rsidP="007F6475">
      <w:pPr>
        <w:pStyle w:val="Caption"/>
        <w:rPr>
          <w:rFonts w:ascii="Arial" w:hAnsi="Arial" w:cs="Arial"/>
          <w:sz w:val="18"/>
          <w:szCs w:val="18"/>
          <w:lang w:val="en-GB"/>
        </w:rPr>
      </w:pPr>
      <w:bookmarkStart w:id="422" w:name="_Ref400636012"/>
      <w:bookmarkStart w:id="423" w:name="_Toc431917475"/>
      <w:r w:rsidRPr="00A83F80">
        <w:rPr>
          <w:rFonts w:ascii="Arial" w:hAnsi="Arial" w:cs="Arial"/>
          <w:sz w:val="18"/>
          <w:szCs w:val="18"/>
        </w:rPr>
        <w:lastRenderedPageBreak/>
        <w:t xml:space="preserve">Table </w:t>
      </w:r>
      <w:r w:rsidRPr="00A83F80">
        <w:rPr>
          <w:rFonts w:ascii="Arial" w:hAnsi="Arial" w:cs="Arial"/>
          <w:sz w:val="18"/>
          <w:szCs w:val="18"/>
        </w:rPr>
        <w:fldChar w:fldCharType="begin"/>
      </w:r>
      <w:r w:rsidRPr="00A83F80">
        <w:rPr>
          <w:rFonts w:ascii="Arial" w:hAnsi="Arial" w:cs="Arial"/>
          <w:sz w:val="18"/>
          <w:szCs w:val="18"/>
        </w:rPr>
        <w:instrText xml:space="preserve"> SEQ Table \* ARABIC </w:instrText>
      </w:r>
      <w:r w:rsidRPr="00A83F80">
        <w:rPr>
          <w:rFonts w:ascii="Arial" w:hAnsi="Arial" w:cs="Arial"/>
          <w:sz w:val="18"/>
          <w:szCs w:val="18"/>
        </w:rPr>
        <w:fldChar w:fldCharType="separate"/>
      </w:r>
      <w:r w:rsidR="00016592">
        <w:rPr>
          <w:rFonts w:ascii="Arial" w:hAnsi="Arial" w:cs="Arial"/>
          <w:noProof/>
          <w:sz w:val="18"/>
          <w:szCs w:val="18"/>
        </w:rPr>
        <w:t>15</w:t>
      </w:r>
      <w:r w:rsidRPr="00A83F80">
        <w:rPr>
          <w:rFonts w:ascii="Arial" w:hAnsi="Arial" w:cs="Arial"/>
          <w:sz w:val="18"/>
          <w:szCs w:val="18"/>
        </w:rPr>
        <w:fldChar w:fldCharType="end"/>
      </w:r>
      <w:bookmarkEnd w:id="422"/>
      <w:r w:rsidRPr="00A83F80">
        <w:rPr>
          <w:rFonts w:ascii="Arial" w:hAnsi="Arial" w:cs="Arial"/>
          <w:sz w:val="18"/>
          <w:szCs w:val="18"/>
          <w:lang w:val="en-US"/>
        </w:rPr>
        <w:t xml:space="preserve"> - </w:t>
      </w:r>
      <w:r w:rsidR="00CE0A9E" w:rsidRPr="00A83F80">
        <w:rPr>
          <w:rFonts w:ascii="Arial" w:hAnsi="Arial" w:cs="Arial"/>
          <w:sz w:val="18"/>
          <w:szCs w:val="18"/>
          <w:lang w:val="en-GB"/>
        </w:rPr>
        <w:t>Characteristics of study participants and duration of follow-up compared in trials</w:t>
      </w:r>
      <w:bookmarkEnd w:id="423"/>
    </w:p>
    <w:tbl>
      <w:tblPr>
        <w:tblStyle w:val="TableGrid"/>
        <w:tblW w:w="5000" w:type="pct"/>
        <w:tblLook w:val="04A0" w:firstRow="1" w:lastRow="0" w:firstColumn="1" w:lastColumn="0" w:noHBand="0" w:noVBand="1"/>
        <w:tblCaption w:val="Characteristics of study participants and duration of follow-up compared in trials"/>
        <w:tblDescription w:val="Characteristics of study participants and duration of follow-up compared in trials"/>
      </w:tblPr>
      <w:tblGrid>
        <w:gridCol w:w="2552"/>
        <w:gridCol w:w="723"/>
        <w:gridCol w:w="2047"/>
        <w:gridCol w:w="2422"/>
        <w:gridCol w:w="1544"/>
      </w:tblGrid>
      <w:tr w:rsidR="00CE0A9E" w:rsidRPr="00DC0F64" w14:paraId="47F77757" w14:textId="77777777" w:rsidTr="001C2E0E">
        <w:trPr>
          <w:trHeight w:val="242"/>
          <w:tblHeader/>
        </w:trPr>
        <w:tc>
          <w:tcPr>
            <w:tcW w:w="1374" w:type="pct"/>
            <w:vMerge w:val="restart"/>
            <w:vAlign w:val="center"/>
            <w:hideMark/>
          </w:tcPr>
          <w:p w14:paraId="61C8FB29" w14:textId="77777777" w:rsidR="00CE0A9E" w:rsidRPr="0020192A" w:rsidRDefault="00CE0A9E" w:rsidP="00CE0A9E">
            <w:pPr>
              <w:jc w:val="center"/>
              <w:rPr>
                <w:rFonts w:ascii="Arial" w:hAnsi="Arial" w:cs="Arial"/>
                <w:b/>
                <w:sz w:val="18"/>
                <w:szCs w:val="18"/>
                <w:lang w:val="de-DE"/>
              </w:rPr>
            </w:pPr>
            <w:r w:rsidRPr="0020192A">
              <w:rPr>
                <w:rFonts w:ascii="Arial" w:hAnsi="Arial" w:cs="Arial"/>
                <w:b/>
                <w:sz w:val="18"/>
                <w:szCs w:val="18"/>
                <w:lang w:val="de-DE"/>
              </w:rPr>
              <w:t>Study</w:t>
            </w:r>
          </w:p>
        </w:tc>
        <w:tc>
          <w:tcPr>
            <w:tcW w:w="389" w:type="pct"/>
            <w:vMerge w:val="restart"/>
            <w:vAlign w:val="center"/>
            <w:hideMark/>
          </w:tcPr>
          <w:p w14:paraId="76583D9E" w14:textId="77777777" w:rsidR="00CE0A9E" w:rsidRPr="0020192A" w:rsidRDefault="00CE0A9E" w:rsidP="00CE0A9E">
            <w:pPr>
              <w:jc w:val="center"/>
              <w:rPr>
                <w:rFonts w:ascii="Arial" w:hAnsi="Arial" w:cs="Arial"/>
                <w:b/>
                <w:sz w:val="18"/>
                <w:szCs w:val="18"/>
                <w:lang w:val="de-DE"/>
              </w:rPr>
            </w:pPr>
            <w:r w:rsidRPr="0020192A">
              <w:rPr>
                <w:rFonts w:ascii="Arial" w:hAnsi="Arial" w:cs="Arial"/>
                <w:b/>
                <w:sz w:val="18"/>
                <w:szCs w:val="18"/>
                <w:lang w:val="de-DE"/>
              </w:rPr>
              <w:t>n</w:t>
            </w:r>
          </w:p>
        </w:tc>
        <w:tc>
          <w:tcPr>
            <w:tcW w:w="1102" w:type="pct"/>
            <w:vMerge w:val="restart"/>
            <w:noWrap/>
            <w:vAlign w:val="center"/>
            <w:hideMark/>
          </w:tcPr>
          <w:p w14:paraId="3240BB8E" w14:textId="77777777" w:rsidR="00CE0A9E" w:rsidRPr="0020192A" w:rsidRDefault="00CE0A9E" w:rsidP="00CE0A9E">
            <w:pPr>
              <w:jc w:val="center"/>
              <w:rPr>
                <w:rFonts w:ascii="Arial" w:hAnsi="Arial" w:cs="Arial"/>
                <w:b/>
                <w:sz w:val="18"/>
                <w:szCs w:val="18"/>
                <w:lang w:val="de-DE"/>
              </w:rPr>
            </w:pPr>
            <w:r>
              <w:rPr>
                <w:rFonts w:ascii="Arial" w:hAnsi="Arial" w:cs="Arial"/>
                <w:b/>
                <w:sz w:val="18"/>
                <w:szCs w:val="18"/>
              </w:rPr>
              <w:t>A</w:t>
            </w:r>
            <w:r w:rsidRPr="0020192A">
              <w:rPr>
                <w:rFonts w:ascii="Arial" w:hAnsi="Arial" w:cs="Arial"/>
                <w:b/>
                <w:sz w:val="18"/>
                <w:szCs w:val="18"/>
                <w:lang w:val="de-DE"/>
              </w:rPr>
              <w:t>ge (yrs)</w:t>
            </w:r>
          </w:p>
        </w:tc>
        <w:tc>
          <w:tcPr>
            <w:tcW w:w="1304" w:type="pct"/>
            <w:vMerge w:val="restart"/>
            <w:noWrap/>
            <w:vAlign w:val="center"/>
            <w:hideMark/>
          </w:tcPr>
          <w:p w14:paraId="7867F273" w14:textId="77777777" w:rsidR="00CE0A9E" w:rsidRPr="0020192A" w:rsidRDefault="00CE0A9E" w:rsidP="00CE0A9E">
            <w:pPr>
              <w:jc w:val="center"/>
              <w:rPr>
                <w:rFonts w:ascii="Arial" w:hAnsi="Arial" w:cs="Arial"/>
                <w:b/>
                <w:sz w:val="18"/>
                <w:szCs w:val="18"/>
                <w:lang w:val="de-DE"/>
              </w:rPr>
            </w:pPr>
            <w:r>
              <w:rPr>
                <w:rFonts w:ascii="Arial" w:hAnsi="Arial" w:cs="Arial"/>
                <w:b/>
                <w:sz w:val="18"/>
                <w:szCs w:val="18"/>
              </w:rPr>
              <w:t>S</w:t>
            </w:r>
            <w:r w:rsidRPr="0020192A">
              <w:rPr>
                <w:rFonts w:ascii="Arial" w:hAnsi="Arial" w:cs="Arial"/>
                <w:b/>
                <w:sz w:val="18"/>
                <w:szCs w:val="18"/>
                <w:lang w:val="de-DE"/>
              </w:rPr>
              <w:t>ex</w:t>
            </w:r>
          </w:p>
        </w:tc>
        <w:tc>
          <w:tcPr>
            <w:tcW w:w="831" w:type="pct"/>
            <w:vMerge w:val="restart"/>
            <w:vAlign w:val="center"/>
            <w:hideMark/>
          </w:tcPr>
          <w:p w14:paraId="46CD2B00" w14:textId="77777777" w:rsidR="00CE0A9E" w:rsidRPr="0020192A" w:rsidRDefault="00CE0A9E" w:rsidP="00CE0A9E">
            <w:pPr>
              <w:jc w:val="center"/>
              <w:rPr>
                <w:rFonts w:ascii="Arial" w:hAnsi="Arial" w:cs="Arial"/>
                <w:b/>
                <w:sz w:val="18"/>
                <w:szCs w:val="18"/>
                <w:lang w:val="de-DE"/>
              </w:rPr>
            </w:pPr>
            <w:r>
              <w:rPr>
                <w:rFonts w:ascii="Arial" w:hAnsi="Arial" w:cs="Arial"/>
                <w:b/>
                <w:sz w:val="18"/>
                <w:szCs w:val="18"/>
              </w:rPr>
              <w:t>F</w:t>
            </w:r>
            <w:r w:rsidRPr="0020192A">
              <w:rPr>
                <w:rFonts w:ascii="Arial" w:hAnsi="Arial" w:cs="Arial"/>
                <w:b/>
                <w:sz w:val="18"/>
                <w:szCs w:val="18"/>
                <w:lang w:val="de-DE"/>
              </w:rPr>
              <w:t>ollow-up</w:t>
            </w:r>
          </w:p>
        </w:tc>
      </w:tr>
      <w:tr w:rsidR="00CE0A9E" w:rsidRPr="00DC0F64" w14:paraId="468CD25B" w14:textId="77777777" w:rsidTr="001C2E0E">
        <w:trPr>
          <w:trHeight w:val="242"/>
          <w:tblHeader/>
        </w:trPr>
        <w:tc>
          <w:tcPr>
            <w:tcW w:w="1374" w:type="pct"/>
            <w:vMerge/>
            <w:hideMark/>
          </w:tcPr>
          <w:p w14:paraId="7BAA245C" w14:textId="77777777" w:rsidR="00CE0A9E" w:rsidRPr="00DC0F64" w:rsidRDefault="00CE0A9E" w:rsidP="00CE0A9E">
            <w:pPr>
              <w:rPr>
                <w:rFonts w:ascii="Arial" w:hAnsi="Arial" w:cs="Arial"/>
                <w:sz w:val="18"/>
                <w:szCs w:val="18"/>
                <w:lang w:val="de-DE"/>
              </w:rPr>
            </w:pPr>
          </w:p>
        </w:tc>
        <w:tc>
          <w:tcPr>
            <w:tcW w:w="389" w:type="pct"/>
            <w:vMerge/>
            <w:hideMark/>
          </w:tcPr>
          <w:p w14:paraId="4941E2DE" w14:textId="77777777" w:rsidR="00CE0A9E" w:rsidRPr="00DC0F64" w:rsidRDefault="00CE0A9E" w:rsidP="00CE0A9E">
            <w:pPr>
              <w:rPr>
                <w:rFonts w:ascii="Arial" w:hAnsi="Arial" w:cs="Arial"/>
                <w:sz w:val="18"/>
                <w:szCs w:val="18"/>
                <w:lang w:val="de-DE"/>
              </w:rPr>
            </w:pPr>
          </w:p>
        </w:tc>
        <w:tc>
          <w:tcPr>
            <w:tcW w:w="1102" w:type="pct"/>
            <w:vMerge/>
            <w:hideMark/>
          </w:tcPr>
          <w:p w14:paraId="7FA94BD1" w14:textId="77777777" w:rsidR="00CE0A9E" w:rsidRPr="00DC0F64" w:rsidRDefault="00CE0A9E" w:rsidP="00CE0A9E">
            <w:pPr>
              <w:rPr>
                <w:rFonts w:ascii="Arial" w:hAnsi="Arial" w:cs="Arial"/>
                <w:sz w:val="18"/>
                <w:szCs w:val="18"/>
                <w:lang w:val="de-DE"/>
              </w:rPr>
            </w:pPr>
          </w:p>
        </w:tc>
        <w:tc>
          <w:tcPr>
            <w:tcW w:w="1304" w:type="pct"/>
            <w:vMerge/>
            <w:hideMark/>
          </w:tcPr>
          <w:p w14:paraId="1CCE83B8" w14:textId="77777777" w:rsidR="00CE0A9E" w:rsidRPr="00DC0F64" w:rsidRDefault="00CE0A9E" w:rsidP="00CE0A9E">
            <w:pPr>
              <w:rPr>
                <w:rFonts w:ascii="Arial" w:hAnsi="Arial" w:cs="Arial"/>
                <w:sz w:val="18"/>
                <w:szCs w:val="18"/>
                <w:lang w:val="de-DE"/>
              </w:rPr>
            </w:pPr>
          </w:p>
        </w:tc>
        <w:tc>
          <w:tcPr>
            <w:tcW w:w="831" w:type="pct"/>
            <w:vMerge/>
            <w:hideMark/>
          </w:tcPr>
          <w:p w14:paraId="399FE7CF" w14:textId="77777777" w:rsidR="00CE0A9E" w:rsidRPr="00DC0F64" w:rsidRDefault="00CE0A9E" w:rsidP="00CE0A9E">
            <w:pPr>
              <w:rPr>
                <w:rFonts w:ascii="Arial" w:hAnsi="Arial" w:cs="Arial"/>
                <w:sz w:val="18"/>
                <w:szCs w:val="18"/>
                <w:lang w:val="de-DE"/>
              </w:rPr>
            </w:pPr>
          </w:p>
        </w:tc>
      </w:tr>
      <w:tr w:rsidR="00CE0A9E" w:rsidRPr="00DC0F64" w14:paraId="6B867A96" w14:textId="77777777" w:rsidTr="00CE0A9E">
        <w:trPr>
          <w:trHeight w:val="242"/>
        </w:trPr>
        <w:tc>
          <w:tcPr>
            <w:tcW w:w="5000" w:type="pct"/>
            <w:gridSpan w:val="5"/>
            <w:shd w:val="clear" w:color="auto" w:fill="D9D9D9" w:themeFill="background1" w:themeFillShade="D9"/>
            <w:vAlign w:val="center"/>
            <w:hideMark/>
          </w:tcPr>
          <w:p w14:paraId="236EC4F4" w14:textId="77777777" w:rsidR="00CE0A9E" w:rsidRPr="0020192A" w:rsidRDefault="00CE0A9E" w:rsidP="00CE0A9E">
            <w:pPr>
              <w:jc w:val="center"/>
              <w:rPr>
                <w:rFonts w:ascii="Arial" w:hAnsi="Arial" w:cs="Arial"/>
                <w:b/>
                <w:sz w:val="18"/>
                <w:szCs w:val="18"/>
                <w:lang w:val="de-DE"/>
              </w:rPr>
            </w:pPr>
            <w:r w:rsidRPr="0020192A">
              <w:rPr>
                <w:rFonts w:ascii="Arial" w:hAnsi="Arial" w:cs="Arial"/>
                <w:b/>
                <w:sz w:val="18"/>
                <w:szCs w:val="18"/>
                <w:lang w:val="de-DE"/>
              </w:rPr>
              <w:t>VIBRANT SOUNDBRIDGE</w:t>
            </w:r>
          </w:p>
        </w:tc>
      </w:tr>
      <w:tr w:rsidR="00CE0A9E" w:rsidRPr="00DC0F64" w14:paraId="7DFD936B" w14:textId="77777777" w:rsidTr="00CE0A9E">
        <w:trPr>
          <w:trHeight w:val="242"/>
        </w:trPr>
        <w:tc>
          <w:tcPr>
            <w:tcW w:w="1374" w:type="pct"/>
            <w:hideMark/>
          </w:tcPr>
          <w:p w14:paraId="2119C44E"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Boeheim et al. (2010)</w:t>
            </w:r>
          </w:p>
        </w:tc>
        <w:tc>
          <w:tcPr>
            <w:tcW w:w="389" w:type="pct"/>
            <w:hideMark/>
          </w:tcPr>
          <w:p w14:paraId="748CA8E4"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10</w:t>
            </w:r>
          </w:p>
        </w:tc>
        <w:tc>
          <w:tcPr>
            <w:tcW w:w="1102" w:type="pct"/>
            <w:noWrap/>
            <w:hideMark/>
          </w:tcPr>
          <w:p w14:paraId="53383ABF"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59</w:t>
            </w:r>
            <w:r w:rsidR="0053753A">
              <w:rPr>
                <w:rFonts w:ascii="Arial" w:hAnsi="Arial" w:cs="Arial"/>
                <w:sz w:val="18"/>
                <w:szCs w:val="18"/>
                <w:lang w:val="de-DE"/>
              </w:rPr>
              <w:t xml:space="preserve"> (44-73)</w:t>
            </w:r>
          </w:p>
        </w:tc>
        <w:tc>
          <w:tcPr>
            <w:tcW w:w="1304" w:type="pct"/>
            <w:hideMark/>
          </w:tcPr>
          <w:p w14:paraId="2F329E69"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not stated</w:t>
            </w:r>
          </w:p>
        </w:tc>
        <w:tc>
          <w:tcPr>
            <w:tcW w:w="831" w:type="pct"/>
            <w:hideMark/>
          </w:tcPr>
          <w:p w14:paraId="43F3E0A3"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5-56 months</w:t>
            </w:r>
          </w:p>
        </w:tc>
      </w:tr>
      <w:tr w:rsidR="00CE0A9E" w:rsidRPr="00DC0F64" w14:paraId="0C5FF018" w14:textId="77777777" w:rsidTr="00CE0A9E">
        <w:trPr>
          <w:trHeight w:val="242"/>
        </w:trPr>
        <w:tc>
          <w:tcPr>
            <w:tcW w:w="1374" w:type="pct"/>
            <w:hideMark/>
          </w:tcPr>
          <w:p w14:paraId="040D77A5"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Böheim et al. (2007)</w:t>
            </w:r>
          </w:p>
        </w:tc>
        <w:tc>
          <w:tcPr>
            <w:tcW w:w="389" w:type="pct"/>
            <w:hideMark/>
          </w:tcPr>
          <w:p w14:paraId="13B3AD84"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30</w:t>
            </w:r>
          </w:p>
        </w:tc>
        <w:tc>
          <w:tcPr>
            <w:tcW w:w="1102" w:type="pct"/>
            <w:hideMark/>
          </w:tcPr>
          <w:p w14:paraId="6F1459BF"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52 (30-75)</w:t>
            </w:r>
          </w:p>
        </w:tc>
        <w:tc>
          <w:tcPr>
            <w:tcW w:w="1304" w:type="pct"/>
            <w:hideMark/>
          </w:tcPr>
          <w:p w14:paraId="7AC3E873"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16 male,14 female</w:t>
            </w:r>
          </w:p>
        </w:tc>
        <w:tc>
          <w:tcPr>
            <w:tcW w:w="831" w:type="pct"/>
            <w:hideMark/>
          </w:tcPr>
          <w:p w14:paraId="48B96B8E"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6 months</w:t>
            </w:r>
          </w:p>
        </w:tc>
      </w:tr>
      <w:tr w:rsidR="00CE0A9E" w:rsidRPr="00DC0F64" w14:paraId="030DD501" w14:textId="77777777" w:rsidTr="00CE0A9E">
        <w:trPr>
          <w:trHeight w:val="242"/>
        </w:trPr>
        <w:tc>
          <w:tcPr>
            <w:tcW w:w="1374" w:type="pct"/>
            <w:hideMark/>
          </w:tcPr>
          <w:p w14:paraId="578A8376"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Fisch et al. (2001)</w:t>
            </w:r>
          </w:p>
        </w:tc>
        <w:tc>
          <w:tcPr>
            <w:tcW w:w="389" w:type="pct"/>
            <w:hideMark/>
          </w:tcPr>
          <w:p w14:paraId="77E22F4A"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47</w:t>
            </w:r>
          </w:p>
        </w:tc>
        <w:tc>
          <w:tcPr>
            <w:tcW w:w="1102" w:type="pct"/>
            <w:hideMark/>
          </w:tcPr>
          <w:p w14:paraId="3B3D1987"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48.4 (19-80)</w:t>
            </w:r>
          </w:p>
        </w:tc>
        <w:tc>
          <w:tcPr>
            <w:tcW w:w="1304" w:type="pct"/>
            <w:hideMark/>
          </w:tcPr>
          <w:p w14:paraId="32091C65"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23 male,24 female</w:t>
            </w:r>
          </w:p>
        </w:tc>
        <w:tc>
          <w:tcPr>
            <w:tcW w:w="831" w:type="pct"/>
            <w:hideMark/>
          </w:tcPr>
          <w:p w14:paraId="22932C0E"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8 -12 weeks</w:t>
            </w:r>
          </w:p>
        </w:tc>
      </w:tr>
      <w:tr w:rsidR="00CE0A9E" w:rsidRPr="00DC0F64" w14:paraId="61E96632" w14:textId="77777777" w:rsidTr="00CE0A9E">
        <w:trPr>
          <w:trHeight w:val="242"/>
        </w:trPr>
        <w:tc>
          <w:tcPr>
            <w:tcW w:w="1374" w:type="pct"/>
            <w:hideMark/>
          </w:tcPr>
          <w:p w14:paraId="44B13884"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Fraysse et al. (2001)</w:t>
            </w:r>
          </w:p>
        </w:tc>
        <w:tc>
          <w:tcPr>
            <w:tcW w:w="389" w:type="pct"/>
            <w:hideMark/>
          </w:tcPr>
          <w:p w14:paraId="5DD1FFCA"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25</w:t>
            </w:r>
          </w:p>
        </w:tc>
        <w:tc>
          <w:tcPr>
            <w:tcW w:w="1102" w:type="pct"/>
            <w:hideMark/>
          </w:tcPr>
          <w:p w14:paraId="5C4EBF13"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49.3 (20-73)</w:t>
            </w:r>
          </w:p>
        </w:tc>
        <w:tc>
          <w:tcPr>
            <w:tcW w:w="1304" w:type="pct"/>
            <w:hideMark/>
          </w:tcPr>
          <w:p w14:paraId="54051BCF"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8 male,17 female</w:t>
            </w:r>
          </w:p>
        </w:tc>
        <w:tc>
          <w:tcPr>
            <w:tcW w:w="831" w:type="pct"/>
            <w:hideMark/>
          </w:tcPr>
          <w:p w14:paraId="6308C138"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6-22 months</w:t>
            </w:r>
          </w:p>
        </w:tc>
      </w:tr>
      <w:tr w:rsidR="00CE0A9E" w:rsidRPr="00DC0F64" w14:paraId="5608768A" w14:textId="77777777" w:rsidTr="00CE0A9E">
        <w:trPr>
          <w:trHeight w:val="242"/>
        </w:trPr>
        <w:tc>
          <w:tcPr>
            <w:tcW w:w="1374" w:type="pct"/>
            <w:hideMark/>
          </w:tcPr>
          <w:p w14:paraId="520278BC"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Garin et al. (2005)</w:t>
            </w:r>
          </w:p>
        </w:tc>
        <w:tc>
          <w:tcPr>
            <w:tcW w:w="389" w:type="pct"/>
            <w:hideMark/>
          </w:tcPr>
          <w:p w14:paraId="43DEA5B4"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11</w:t>
            </w:r>
          </w:p>
        </w:tc>
        <w:tc>
          <w:tcPr>
            <w:tcW w:w="1102" w:type="pct"/>
            <w:hideMark/>
          </w:tcPr>
          <w:p w14:paraId="4F87C953"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59 (37-69)</w:t>
            </w:r>
          </w:p>
        </w:tc>
        <w:tc>
          <w:tcPr>
            <w:tcW w:w="1304" w:type="pct"/>
            <w:hideMark/>
          </w:tcPr>
          <w:p w14:paraId="27435450"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7 male,4 female</w:t>
            </w:r>
          </w:p>
        </w:tc>
        <w:tc>
          <w:tcPr>
            <w:tcW w:w="831" w:type="pct"/>
            <w:hideMark/>
          </w:tcPr>
          <w:p w14:paraId="5D064EC3"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9-24 months</w:t>
            </w:r>
          </w:p>
        </w:tc>
      </w:tr>
      <w:tr w:rsidR="00CE0A9E" w:rsidRPr="00DC0F64" w14:paraId="64177DCF" w14:textId="77777777" w:rsidTr="00CE0A9E">
        <w:trPr>
          <w:trHeight w:val="242"/>
        </w:trPr>
        <w:tc>
          <w:tcPr>
            <w:tcW w:w="1374" w:type="pct"/>
            <w:hideMark/>
          </w:tcPr>
          <w:p w14:paraId="1DB874F6"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Garin et al. (2003)</w:t>
            </w:r>
          </w:p>
        </w:tc>
        <w:tc>
          <w:tcPr>
            <w:tcW w:w="389" w:type="pct"/>
            <w:hideMark/>
          </w:tcPr>
          <w:p w14:paraId="486BB943"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9</w:t>
            </w:r>
          </w:p>
        </w:tc>
        <w:tc>
          <w:tcPr>
            <w:tcW w:w="1102" w:type="pct"/>
            <w:hideMark/>
          </w:tcPr>
          <w:p w14:paraId="67AF2C82"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63 (37-72)</w:t>
            </w:r>
          </w:p>
        </w:tc>
        <w:tc>
          <w:tcPr>
            <w:tcW w:w="1304" w:type="pct"/>
            <w:hideMark/>
          </w:tcPr>
          <w:p w14:paraId="464B6A04"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4 male,5 female</w:t>
            </w:r>
          </w:p>
        </w:tc>
        <w:tc>
          <w:tcPr>
            <w:tcW w:w="831" w:type="pct"/>
            <w:hideMark/>
          </w:tcPr>
          <w:p w14:paraId="562EFFC8"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9-24 months</w:t>
            </w:r>
          </w:p>
        </w:tc>
      </w:tr>
      <w:tr w:rsidR="00CE0A9E" w:rsidRPr="00DC0F64" w14:paraId="1E8F02DF" w14:textId="77777777" w:rsidTr="00CE0A9E">
        <w:trPr>
          <w:trHeight w:val="242"/>
        </w:trPr>
        <w:tc>
          <w:tcPr>
            <w:tcW w:w="1374" w:type="pct"/>
            <w:hideMark/>
          </w:tcPr>
          <w:p w14:paraId="74426C73"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Labassi et al. (2005)</w:t>
            </w:r>
          </w:p>
        </w:tc>
        <w:tc>
          <w:tcPr>
            <w:tcW w:w="389" w:type="pct"/>
            <w:hideMark/>
          </w:tcPr>
          <w:p w14:paraId="33477A74"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1450</w:t>
            </w:r>
          </w:p>
        </w:tc>
        <w:tc>
          <w:tcPr>
            <w:tcW w:w="1102" w:type="pct"/>
            <w:hideMark/>
          </w:tcPr>
          <w:p w14:paraId="58318596"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not stated</w:t>
            </w:r>
          </w:p>
        </w:tc>
        <w:tc>
          <w:tcPr>
            <w:tcW w:w="1304" w:type="pct"/>
            <w:hideMark/>
          </w:tcPr>
          <w:p w14:paraId="7EDEB656"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not stated</w:t>
            </w:r>
          </w:p>
        </w:tc>
        <w:tc>
          <w:tcPr>
            <w:tcW w:w="831" w:type="pct"/>
            <w:hideMark/>
          </w:tcPr>
          <w:p w14:paraId="41060232"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not stated</w:t>
            </w:r>
          </w:p>
        </w:tc>
      </w:tr>
      <w:tr w:rsidR="00CE0A9E" w:rsidRPr="00DC0F64" w14:paraId="71E40B16" w14:textId="77777777" w:rsidTr="00CE0A9E">
        <w:trPr>
          <w:trHeight w:val="242"/>
        </w:trPr>
        <w:tc>
          <w:tcPr>
            <w:tcW w:w="1374" w:type="pct"/>
            <w:hideMark/>
          </w:tcPr>
          <w:p w14:paraId="6F6DDC28"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Lenarz et al. (2001)</w:t>
            </w:r>
          </w:p>
        </w:tc>
        <w:tc>
          <w:tcPr>
            <w:tcW w:w="389" w:type="pct"/>
            <w:hideMark/>
          </w:tcPr>
          <w:p w14:paraId="64A3DEBE"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34</w:t>
            </w:r>
          </w:p>
        </w:tc>
        <w:tc>
          <w:tcPr>
            <w:tcW w:w="1102" w:type="pct"/>
            <w:hideMark/>
          </w:tcPr>
          <w:p w14:paraId="7DA514BB"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47.2 (18.9-80.3)</w:t>
            </w:r>
          </w:p>
        </w:tc>
        <w:tc>
          <w:tcPr>
            <w:tcW w:w="1304" w:type="pct"/>
            <w:hideMark/>
          </w:tcPr>
          <w:p w14:paraId="411957D9"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16 male,18 female</w:t>
            </w:r>
          </w:p>
        </w:tc>
        <w:tc>
          <w:tcPr>
            <w:tcW w:w="831" w:type="pct"/>
            <w:hideMark/>
          </w:tcPr>
          <w:p w14:paraId="044BFAE0"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6 months</w:t>
            </w:r>
          </w:p>
        </w:tc>
      </w:tr>
      <w:tr w:rsidR="00CE0A9E" w:rsidRPr="00DC0F64" w14:paraId="3FD362CE" w14:textId="77777777" w:rsidTr="00CE0A9E">
        <w:trPr>
          <w:trHeight w:val="242"/>
        </w:trPr>
        <w:tc>
          <w:tcPr>
            <w:tcW w:w="1374" w:type="pct"/>
            <w:hideMark/>
          </w:tcPr>
          <w:p w14:paraId="548A2F2C"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Luetje et al. (2002)</w:t>
            </w:r>
          </w:p>
        </w:tc>
        <w:tc>
          <w:tcPr>
            <w:tcW w:w="389" w:type="pct"/>
            <w:hideMark/>
          </w:tcPr>
          <w:p w14:paraId="54407F47"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53</w:t>
            </w:r>
          </w:p>
        </w:tc>
        <w:tc>
          <w:tcPr>
            <w:tcW w:w="1102" w:type="pct"/>
            <w:hideMark/>
          </w:tcPr>
          <w:p w14:paraId="495FADE5"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58.8 (28 - 86)</w:t>
            </w:r>
          </w:p>
        </w:tc>
        <w:tc>
          <w:tcPr>
            <w:tcW w:w="1304" w:type="pct"/>
            <w:hideMark/>
          </w:tcPr>
          <w:p w14:paraId="769F01A1"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26 male,27 female</w:t>
            </w:r>
          </w:p>
        </w:tc>
        <w:tc>
          <w:tcPr>
            <w:tcW w:w="831" w:type="pct"/>
            <w:hideMark/>
          </w:tcPr>
          <w:p w14:paraId="4D0E7CB7"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18 weeks</w:t>
            </w:r>
          </w:p>
        </w:tc>
      </w:tr>
      <w:tr w:rsidR="00CE0A9E" w:rsidRPr="00DC0F64" w14:paraId="7CC7D43B" w14:textId="77777777" w:rsidTr="00CE0A9E">
        <w:trPr>
          <w:trHeight w:val="242"/>
        </w:trPr>
        <w:tc>
          <w:tcPr>
            <w:tcW w:w="1374" w:type="pct"/>
            <w:hideMark/>
          </w:tcPr>
          <w:p w14:paraId="2B824903"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Luetje et al. (2010)</w:t>
            </w:r>
          </w:p>
        </w:tc>
        <w:tc>
          <w:tcPr>
            <w:tcW w:w="389" w:type="pct"/>
            <w:hideMark/>
          </w:tcPr>
          <w:p w14:paraId="4037B934"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31</w:t>
            </w:r>
          </w:p>
        </w:tc>
        <w:tc>
          <w:tcPr>
            <w:tcW w:w="1102" w:type="pct"/>
            <w:hideMark/>
          </w:tcPr>
          <w:p w14:paraId="34C8D3D0"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56 (28-74)</w:t>
            </w:r>
          </w:p>
        </w:tc>
        <w:tc>
          <w:tcPr>
            <w:tcW w:w="1304" w:type="pct"/>
            <w:hideMark/>
          </w:tcPr>
          <w:p w14:paraId="177296D3"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19 male,12 female</w:t>
            </w:r>
          </w:p>
        </w:tc>
        <w:tc>
          <w:tcPr>
            <w:tcW w:w="831" w:type="pct"/>
            <w:hideMark/>
          </w:tcPr>
          <w:p w14:paraId="2210E256"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1-11 yrs.</w:t>
            </w:r>
          </w:p>
        </w:tc>
      </w:tr>
      <w:tr w:rsidR="00CE0A9E" w:rsidRPr="00DC0F64" w14:paraId="6EEC936D" w14:textId="77777777" w:rsidTr="00CE0A9E">
        <w:trPr>
          <w:trHeight w:val="242"/>
        </w:trPr>
        <w:tc>
          <w:tcPr>
            <w:tcW w:w="1374" w:type="pct"/>
            <w:hideMark/>
          </w:tcPr>
          <w:p w14:paraId="1925D738"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Mosnier et al. (2008)</w:t>
            </w:r>
          </w:p>
        </w:tc>
        <w:tc>
          <w:tcPr>
            <w:tcW w:w="389" w:type="pct"/>
            <w:hideMark/>
          </w:tcPr>
          <w:p w14:paraId="5BBE3584"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100</w:t>
            </w:r>
          </w:p>
        </w:tc>
        <w:tc>
          <w:tcPr>
            <w:tcW w:w="1102" w:type="pct"/>
            <w:hideMark/>
          </w:tcPr>
          <w:p w14:paraId="2B17EF4F"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51 (19-79)</w:t>
            </w:r>
          </w:p>
        </w:tc>
        <w:tc>
          <w:tcPr>
            <w:tcW w:w="1304" w:type="pct"/>
            <w:hideMark/>
          </w:tcPr>
          <w:p w14:paraId="504461D2"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not stated</w:t>
            </w:r>
          </w:p>
        </w:tc>
        <w:tc>
          <w:tcPr>
            <w:tcW w:w="831" w:type="pct"/>
            <w:hideMark/>
          </w:tcPr>
          <w:p w14:paraId="6A699100"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5-8 yrs.</w:t>
            </w:r>
          </w:p>
        </w:tc>
      </w:tr>
      <w:tr w:rsidR="00CE0A9E" w:rsidRPr="00DC0F64" w14:paraId="630DABED" w14:textId="77777777" w:rsidTr="00CE0A9E">
        <w:trPr>
          <w:trHeight w:val="242"/>
        </w:trPr>
        <w:tc>
          <w:tcPr>
            <w:tcW w:w="1374" w:type="pct"/>
            <w:hideMark/>
          </w:tcPr>
          <w:p w14:paraId="04E0A20E"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Pok et al. (2010)</w:t>
            </w:r>
          </w:p>
        </w:tc>
        <w:tc>
          <w:tcPr>
            <w:tcW w:w="389" w:type="pct"/>
            <w:hideMark/>
          </w:tcPr>
          <w:p w14:paraId="38B5A477"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54</w:t>
            </w:r>
          </w:p>
        </w:tc>
        <w:tc>
          <w:tcPr>
            <w:tcW w:w="1102" w:type="pct"/>
            <w:hideMark/>
          </w:tcPr>
          <w:p w14:paraId="2B73379B"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52.3 (30-75)</w:t>
            </w:r>
          </w:p>
        </w:tc>
        <w:tc>
          <w:tcPr>
            <w:tcW w:w="1304" w:type="pct"/>
            <w:hideMark/>
          </w:tcPr>
          <w:p w14:paraId="7E290EFF"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29 male,25 female</w:t>
            </w:r>
          </w:p>
        </w:tc>
        <w:tc>
          <w:tcPr>
            <w:tcW w:w="831" w:type="pct"/>
            <w:hideMark/>
          </w:tcPr>
          <w:p w14:paraId="083136BD"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not stated</w:t>
            </w:r>
          </w:p>
        </w:tc>
      </w:tr>
      <w:tr w:rsidR="00CE0A9E" w:rsidRPr="00DC0F64" w14:paraId="18218FBB" w14:textId="77777777" w:rsidTr="00CE0A9E">
        <w:trPr>
          <w:trHeight w:val="242"/>
        </w:trPr>
        <w:tc>
          <w:tcPr>
            <w:tcW w:w="1374" w:type="pct"/>
            <w:hideMark/>
          </w:tcPr>
          <w:p w14:paraId="1E8996F0"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Saliba et al. (2005)</w:t>
            </w:r>
          </w:p>
        </w:tc>
        <w:tc>
          <w:tcPr>
            <w:tcW w:w="389" w:type="pct"/>
            <w:hideMark/>
          </w:tcPr>
          <w:p w14:paraId="1F7047FC"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8</w:t>
            </w:r>
          </w:p>
        </w:tc>
        <w:tc>
          <w:tcPr>
            <w:tcW w:w="1102" w:type="pct"/>
            <w:hideMark/>
          </w:tcPr>
          <w:p w14:paraId="31865D5F"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58 (45-68)</w:t>
            </w:r>
          </w:p>
        </w:tc>
        <w:tc>
          <w:tcPr>
            <w:tcW w:w="1304" w:type="pct"/>
            <w:hideMark/>
          </w:tcPr>
          <w:p w14:paraId="0AB8E2A7"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3 male,5 female</w:t>
            </w:r>
          </w:p>
        </w:tc>
        <w:tc>
          <w:tcPr>
            <w:tcW w:w="831" w:type="pct"/>
            <w:hideMark/>
          </w:tcPr>
          <w:p w14:paraId="71DBCBAD"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5-8 weeks</w:t>
            </w:r>
          </w:p>
        </w:tc>
      </w:tr>
      <w:tr w:rsidR="00CE0A9E" w:rsidRPr="00DC0F64" w14:paraId="1BB157EE" w14:textId="77777777" w:rsidTr="00CE0A9E">
        <w:trPr>
          <w:trHeight w:val="242"/>
        </w:trPr>
        <w:tc>
          <w:tcPr>
            <w:tcW w:w="1374" w:type="pct"/>
            <w:hideMark/>
          </w:tcPr>
          <w:p w14:paraId="5A93B15A"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Schmuziger et al. (2006)</w:t>
            </w:r>
          </w:p>
        </w:tc>
        <w:tc>
          <w:tcPr>
            <w:tcW w:w="389" w:type="pct"/>
            <w:hideMark/>
          </w:tcPr>
          <w:p w14:paraId="6F07C147"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20</w:t>
            </w:r>
          </w:p>
        </w:tc>
        <w:tc>
          <w:tcPr>
            <w:tcW w:w="1102" w:type="pct"/>
            <w:hideMark/>
          </w:tcPr>
          <w:p w14:paraId="178EBD1A"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59 (37-75)</w:t>
            </w:r>
          </w:p>
        </w:tc>
        <w:tc>
          <w:tcPr>
            <w:tcW w:w="1304" w:type="pct"/>
            <w:hideMark/>
          </w:tcPr>
          <w:p w14:paraId="59F94F1B"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16 male,4 female</w:t>
            </w:r>
          </w:p>
        </w:tc>
        <w:tc>
          <w:tcPr>
            <w:tcW w:w="831" w:type="pct"/>
            <w:hideMark/>
          </w:tcPr>
          <w:p w14:paraId="4C5CB5A5"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24 month</w:t>
            </w:r>
          </w:p>
        </w:tc>
      </w:tr>
      <w:tr w:rsidR="00CE0A9E" w:rsidRPr="00DC0F64" w14:paraId="15A2A678" w14:textId="77777777" w:rsidTr="00CE0A9E">
        <w:trPr>
          <w:trHeight w:val="242"/>
        </w:trPr>
        <w:tc>
          <w:tcPr>
            <w:tcW w:w="1374" w:type="pct"/>
            <w:hideMark/>
          </w:tcPr>
          <w:p w14:paraId="7D8708E5"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Snik et al. (2006)</w:t>
            </w:r>
          </w:p>
        </w:tc>
        <w:tc>
          <w:tcPr>
            <w:tcW w:w="389" w:type="pct"/>
            <w:hideMark/>
          </w:tcPr>
          <w:p w14:paraId="406D2550"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13</w:t>
            </w:r>
          </w:p>
        </w:tc>
        <w:tc>
          <w:tcPr>
            <w:tcW w:w="1102" w:type="pct"/>
            <w:hideMark/>
          </w:tcPr>
          <w:p w14:paraId="363D4C19"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52.4 ± 13.9 (18-79)</w:t>
            </w:r>
          </w:p>
        </w:tc>
        <w:tc>
          <w:tcPr>
            <w:tcW w:w="1304" w:type="pct"/>
            <w:hideMark/>
          </w:tcPr>
          <w:p w14:paraId="689D3358"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9 male,12 female</w:t>
            </w:r>
          </w:p>
        </w:tc>
        <w:tc>
          <w:tcPr>
            <w:tcW w:w="831" w:type="pct"/>
            <w:hideMark/>
          </w:tcPr>
          <w:p w14:paraId="71C7B61F"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not stated</w:t>
            </w:r>
          </w:p>
        </w:tc>
      </w:tr>
      <w:tr w:rsidR="00CE0A9E" w:rsidRPr="00DC0F64" w14:paraId="4643BCFB" w14:textId="77777777" w:rsidTr="00CE0A9E">
        <w:trPr>
          <w:trHeight w:val="242"/>
        </w:trPr>
        <w:tc>
          <w:tcPr>
            <w:tcW w:w="1374" w:type="pct"/>
            <w:hideMark/>
          </w:tcPr>
          <w:p w14:paraId="1BD90FF4"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Snik et al. (2001)</w:t>
            </w:r>
          </w:p>
        </w:tc>
        <w:tc>
          <w:tcPr>
            <w:tcW w:w="389" w:type="pct"/>
            <w:hideMark/>
          </w:tcPr>
          <w:p w14:paraId="7145CC9E"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14</w:t>
            </w:r>
          </w:p>
        </w:tc>
        <w:tc>
          <w:tcPr>
            <w:tcW w:w="1102" w:type="pct"/>
            <w:hideMark/>
          </w:tcPr>
          <w:p w14:paraId="1DC7C675"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33-67</w:t>
            </w:r>
          </w:p>
        </w:tc>
        <w:tc>
          <w:tcPr>
            <w:tcW w:w="1304" w:type="pct"/>
            <w:hideMark/>
          </w:tcPr>
          <w:p w14:paraId="14153020"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not stated</w:t>
            </w:r>
          </w:p>
        </w:tc>
        <w:tc>
          <w:tcPr>
            <w:tcW w:w="831" w:type="pct"/>
            <w:hideMark/>
          </w:tcPr>
          <w:p w14:paraId="0BE40941"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not stated</w:t>
            </w:r>
          </w:p>
        </w:tc>
      </w:tr>
      <w:tr w:rsidR="00CE0A9E" w:rsidRPr="00DC0F64" w14:paraId="35CD6E93" w14:textId="77777777" w:rsidTr="00CE0A9E">
        <w:trPr>
          <w:trHeight w:val="242"/>
        </w:trPr>
        <w:tc>
          <w:tcPr>
            <w:tcW w:w="1374" w:type="pct"/>
            <w:hideMark/>
          </w:tcPr>
          <w:p w14:paraId="2FB5D621"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Sterkers et al. (2003)</w:t>
            </w:r>
          </w:p>
        </w:tc>
        <w:tc>
          <w:tcPr>
            <w:tcW w:w="389" w:type="pct"/>
            <w:hideMark/>
          </w:tcPr>
          <w:p w14:paraId="6DE48DDF" w14:textId="77777777" w:rsidR="00CE0A9E" w:rsidRPr="00CE0A9E" w:rsidRDefault="00B17FB5" w:rsidP="00CE0A9E">
            <w:pPr>
              <w:rPr>
                <w:rFonts w:ascii="Arial" w:hAnsi="Arial" w:cs="Arial"/>
                <w:sz w:val="18"/>
                <w:szCs w:val="18"/>
                <w:lang w:val="de-DE"/>
              </w:rPr>
            </w:pPr>
            <w:r>
              <w:rPr>
                <w:rFonts w:ascii="Arial" w:hAnsi="Arial" w:cs="Arial"/>
                <w:sz w:val="18"/>
                <w:szCs w:val="18"/>
                <w:lang w:val="de-DE"/>
              </w:rPr>
              <w:t>95</w:t>
            </w:r>
          </w:p>
        </w:tc>
        <w:tc>
          <w:tcPr>
            <w:tcW w:w="1102" w:type="pct"/>
            <w:hideMark/>
          </w:tcPr>
          <w:p w14:paraId="742394B3"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56 ± 13  (24-81)</w:t>
            </w:r>
          </w:p>
        </w:tc>
        <w:tc>
          <w:tcPr>
            <w:tcW w:w="1304" w:type="pct"/>
            <w:hideMark/>
          </w:tcPr>
          <w:p w14:paraId="140C9E6D" w14:textId="77777777" w:rsidR="00CE0A9E" w:rsidRPr="00CE0A9E" w:rsidRDefault="006C4213" w:rsidP="00CE0A9E">
            <w:pPr>
              <w:rPr>
                <w:rFonts w:ascii="Arial" w:hAnsi="Arial" w:cs="Arial"/>
                <w:sz w:val="18"/>
                <w:szCs w:val="18"/>
                <w:lang w:val="de-DE"/>
              </w:rPr>
            </w:pPr>
            <w:r>
              <w:rPr>
                <w:rFonts w:ascii="Arial" w:hAnsi="Arial" w:cs="Arial"/>
                <w:sz w:val="18"/>
                <w:szCs w:val="18"/>
                <w:lang w:val="de-DE"/>
              </w:rPr>
              <w:t>45 male, 50</w:t>
            </w:r>
            <w:r w:rsidR="00CE0A9E" w:rsidRPr="00CE0A9E">
              <w:rPr>
                <w:rFonts w:ascii="Arial" w:hAnsi="Arial" w:cs="Arial"/>
                <w:sz w:val="18"/>
                <w:szCs w:val="18"/>
                <w:lang w:val="de-DE"/>
              </w:rPr>
              <w:t xml:space="preserve"> female</w:t>
            </w:r>
          </w:p>
        </w:tc>
        <w:tc>
          <w:tcPr>
            <w:tcW w:w="831" w:type="pct"/>
            <w:hideMark/>
          </w:tcPr>
          <w:p w14:paraId="432677C4"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not stated</w:t>
            </w:r>
          </w:p>
        </w:tc>
      </w:tr>
      <w:tr w:rsidR="00CE0A9E" w:rsidRPr="00DC0F64" w14:paraId="4FF8820B" w14:textId="77777777" w:rsidTr="00CE0A9E">
        <w:trPr>
          <w:trHeight w:val="242"/>
        </w:trPr>
        <w:tc>
          <w:tcPr>
            <w:tcW w:w="1374" w:type="pct"/>
            <w:hideMark/>
          </w:tcPr>
          <w:p w14:paraId="2517C51C"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Sziklai et al. (2011)</w:t>
            </w:r>
          </w:p>
        </w:tc>
        <w:tc>
          <w:tcPr>
            <w:tcW w:w="389" w:type="pct"/>
            <w:hideMark/>
          </w:tcPr>
          <w:p w14:paraId="1BF1967F"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7</w:t>
            </w:r>
          </w:p>
        </w:tc>
        <w:tc>
          <w:tcPr>
            <w:tcW w:w="1102" w:type="pct"/>
            <w:hideMark/>
          </w:tcPr>
          <w:p w14:paraId="1E273904"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21-62</w:t>
            </w:r>
          </w:p>
        </w:tc>
        <w:tc>
          <w:tcPr>
            <w:tcW w:w="1304" w:type="pct"/>
            <w:hideMark/>
          </w:tcPr>
          <w:p w14:paraId="61C30EBD"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not stated</w:t>
            </w:r>
          </w:p>
        </w:tc>
        <w:tc>
          <w:tcPr>
            <w:tcW w:w="831" w:type="pct"/>
            <w:hideMark/>
          </w:tcPr>
          <w:p w14:paraId="13196305"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not stated</w:t>
            </w:r>
          </w:p>
        </w:tc>
      </w:tr>
      <w:tr w:rsidR="00CE0A9E" w:rsidRPr="00DC0F64" w14:paraId="371B4A89" w14:textId="77777777" w:rsidTr="00CE0A9E">
        <w:trPr>
          <w:trHeight w:val="242"/>
        </w:trPr>
        <w:tc>
          <w:tcPr>
            <w:tcW w:w="1374" w:type="pct"/>
            <w:hideMark/>
          </w:tcPr>
          <w:p w14:paraId="0BA1C7ED"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Todt et al. (2005)</w:t>
            </w:r>
          </w:p>
        </w:tc>
        <w:tc>
          <w:tcPr>
            <w:tcW w:w="389" w:type="pct"/>
            <w:hideMark/>
          </w:tcPr>
          <w:p w14:paraId="587F8019"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23</w:t>
            </w:r>
          </w:p>
        </w:tc>
        <w:tc>
          <w:tcPr>
            <w:tcW w:w="1102" w:type="pct"/>
            <w:hideMark/>
          </w:tcPr>
          <w:p w14:paraId="2E623758"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54-69</w:t>
            </w:r>
          </w:p>
        </w:tc>
        <w:tc>
          <w:tcPr>
            <w:tcW w:w="1304" w:type="pct"/>
            <w:hideMark/>
          </w:tcPr>
          <w:p w14:paraId="08F1F2E7"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not stated</w:t>
            </w:r>
          </w:p>
        </w:tc>
        <w:tc>
          <w:tcPr>
            <w:tcW w:w="831" w:type="pct"/>
            <w:hideMark/>
          </w:tcPr>
          <w:p w14:paraId="450049C8"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not stated</w:t>
            </w:r>
          </w:p>
        </w:tc>
      </w:tr>
      <w:tr w:rsidR="00CE0A9E" w:rsidRPr="00DC0F64" w14:paraId="408AE8ED" w14:textId="77777777" w:rsidTr="00CE0A9E">
        <w:trPr>
          <w:trHeight w:val="242"/>
        </w:trPr>
        <w:tc>
          <w:tcPr>
            <w:tcW w:w="1374" w:type="pct"/>
            <w:hideMark/>
          </w:tcPr>
          <w:p w14:paraId="2D072B2F"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Todt et al. (2002)</w:t>
            </w:r>
          </w:p>
        </w:tc>
        <w:tc>
          <w:tcPr>
            <w:tcW w:w="389" w:type="pct"/>
            <w:hideMark/>
          </w:tcPr>
          <w:p w14:paraId="07107382"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5</w:t>
            </w:r>
          </w:p>
        </w:tc>
        <w:tc>
          <w:tcPr>
            <w:tcW w:w="1102" w:type="pct"/>
            <w:hideMark/>
          </w:tcPr>
          <w:p w14:paraId="1D2BF601"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54-69</w:t>
            </w:r>
          </w:p>
        </w:tc>
        <w:tc>
          <w:tcPr>
            <w:tcW w:w="1304" w:type="pct"/>
            <w:hideMark/>
          </w:tcPr>
          <w:p w14:paraId="3A894B8C"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not stated</w:t>
            </w:r>
          </w:p>
        </w:tc>
        <w:tc>
          <w:tcPr>
            <w:tcW w:w="831" w:type="pct"/>
            <w:hideMark/>
          </w:tcPr>
          <w:p w14:paraId="402402C4"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not stated</w:t>
            </w:r>
          </w:p>
        </w:tc>
      </w:tr>
      <w:tr w:rsidR="00CE0A9E" w:rsidRPr="00DC0F64" w14:paraId="6DE9C95B" w14:textId="77777777" w:rsidTr="00CE0A9E">
        <w:trPr>
          <w:trHeight w:val="242"/>
        </w:trPr>
        <w:tc>
          <w:tcPr>
            <w:tcW w:w="1374" w:type="pct"/>
            <w:hideMark/>
          </w:tcPr>
          <w:p w14:paraId="2C16B021"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Uziel et al. (2003)</w:t>
            </w:r>
          </w:p>
        </w:tc>
        <w:tc>
          <w:tcPr>
            <w:tcW w:w="389" w:type="pct"/>
            <w:hideMark/>
          </w:tcPr>
          <w:p w14:paraId="7D6FA845"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6</w:t>
            </w:r>
          </w:p>
        </w:tc>
        <w:tc>
          <w:tcPr>
            <w:tcW w:w="1102" w:type="pct"/>
            <w:hideMark/>
          </w:tcPr>
          <w:p w14:paraId="3F974771"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56 (32-67)</w:t>
            </w:r>
          </w:p>
        </w:tc>
        <w:tc>
          <w:tcPr>
            <w:tcW w:w="1304" w:type="pct"/>
            <w:hideMark/>
          </w:tcPr>
          <w:p w14:paraId="299C94F1"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4 male,2 female</w:t>
            </w:r>
          </w:p>
        </w:tc>
        <w:tc>
          <w:tcPr>
            <w:tcW w:w="831" w:type="pct"/>
            <w:hideMark/>
          </w:tcPr>
          <w:p w14:paraId="770AA1B0"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not stated</w:t>
            </w:r>
          </w:p>
        </w:tc>
      </w:tr>
      <w:tr w:rsidR="00CE0A9E" w:rsidRPr="00DC0F64" w14:paraId="60ABD242" w14:textId="77777777" w:rsidTr="00CE0A9E">
        <w:trPr>
          <w:trHeight w:val="242"/>
        </w:trPr>
        <w:tc>
          <w:tcPr>
            <w:tcW w:w="1374" w:type="pct"/>
            <w:hideMark/>
          </w:tcPr>
          <w:p w14:paraId="3CDEA1F8"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Vincent et al. (2004)</w:t>
            </w:r>
          </w:p>
        </w:tc>
        <w:tc>
          <w:tcPr>
            <w:tcW w:w="389" w:type="pct"/>
            <w:hideMark/>
          </w:tcPr>
          <w:p w14:paraId="43F86EF3"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39</w:t>
            </w:r>
          </w:p>
        </w:tc>
        <w:tc>
          <w:tcPr>
            <w:tcW w:w="1102" w:type="pct"/>
            <w:hideMark/>
          </w:tcPr>
          <w:p w14:paraId="2CC54189"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not stated</w:t>
            </w:r>
          </w:p>
        </w:tc>
        <w:tc>
          <w:tcPr>
            <w:tcW w:w="1304" w:type="pct"/>
            <w:hideMark/>
          </w:tcPr>
          <w:p w14:paraId="266FF5C5"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not stated</w:t>
            </w:r>
          </w:p>
        </w:tc>
        <w:tc>
          <w:tcPr>
            <w:tcW w:w="831" w:type="pct"/>
            <w:hideMark/>
          </w:tcPr>
          <w:p w14:paraId="3034479B"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not stated</w:t>
            </w:r>
          </w:p>
        </w:tc>
      </w:tr>
      <w:tr w:rsidR="00CE0A9E" w:rsidRPr="00DC0F64" w14:paraId="4490AA84" w14:textId="77777777" w:rsidTr="00CE0A9E">
        <w:trPr>
          <w:trHeight w:val="242"/>
        </w:trPr>
        <w:tc>
          <w:tcPr>
            <w:tcW w:w="5000" w:type="pct"/>
            <w:gridSpan w:val="5"/>
            <w:shd w:val="clear" w:color="auto" w:fill="D9D9D9" w:themeFill="background1" w:themeFillShade="D9"/>
            <w:vAlign w:val="center"/>
            <w:hideMark/>
          </w:tcPr>
          <w:p w14:paraId="3AAE1CB9" w14:textId="77777777" w:rsidR="00CE0A9E" w:rsidRPr="00CE0A9E" w:rsidRDefault="00CE0A9E" w:rsidP="00CE0A9E">
            <w:pPr>
              <w:jc w:val="center"/>
              <w:rPr>
                <w:rFonts w:ascii="Arial" w:hAnsi="Arial" w:cs="Arial"/>
                <w:b/>
                <w:sz w:val="18"/>
                <w:szCs w:val="18"/>
                <w:lang w:val="de-DE"/>
              </w:rPr>
            </w:pPr>
            <w:r w:rsidRPr="00CE0A9E">
              <w:rPr>
                <w:rFonts w:ascii="Arial" w:hAnsi="Arial" w:cs="Arial"/>
                <w:b/>
                <w:sz w:val="18"/>
                <w:szCs w:val="18"/>
                <w:lang w:val="de-DE"/>
              </w:rPr>
              <w:t>ESTEEM</w:t>
            </w:r>
          </w:p>
        </w:tc>
      </w:tr>
      <w:tr w:rsidR="00CE0A9E" w:rsidRPr="00DC0F64" w14:paraId="1182164D" w14:textId="77777777" w:rsidTr="00CE0A9E">
        <w:trPr>
          <w:trHeight w:val="242"/>
        </w:trPr>
        <w:tc>
          <w:tcPr>
            <w:tcW w:w="1374" w:type="pct"/>
            <w:hideMark/>
          </w:tcPr>
          <w:p w14:paraId="7CEA6477"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Barbara et al. (2011)</w:t>
            </w:r>
          </w:p>
        </w:tc>
        <w:tc>
          <w:tcPr>
            <w:tcW w:w="389" w:type="pct"/>
            <w:noWrap/>
            <w:hideMark/>
          </w:tcPr>
          <w:p w14:paraId="471D1341"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18</w:t>
            </w:r>
          </w:p>
        </w:tc>
        <w:tc>
          <w:tcPr>
            <w:tcW w:w="1102" w:type="pct"/>
            <w:hideMark/>
          </w:tcPr>
          <w:p w14:paraId="41787F5A"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not stated</w:t>
            </w:r>
          </w:p>
        </w:tc>
        <w:tc>
          <w:tcPr>
            <w:tcW w:w="1304" w:type="pct"/>
            <w:hideMark/>
          </w:tcPr>
          <w:p w14:paraId="46BA7843"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not stated</w:t>
            </w:r>
          </w:p>
        </w:tc>
        <w:tc>
          <w:tcPr>
            <w:tcW w:w="831" w:type="pct"/>
            <w:noWrap/>
            <w:hideMark/>
          </w:tcPr>
          <w:p w14:paraId="7AA470A3"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1.5-2 months</w:t>
            </w:r>
          </w:p>
        </w:tc>
      </w:tr>
      <w:tr w:rsidR="00CE0A9E" w:rsidRPr="00DC0F64" w14:paraId="79528905" w14:textId="77777777" w:rsidTr="00CE0A9E">
        <w:trPr>
          <w:trHeight w:val="242"/>
        </w:trPr>
        <w:tc>
          <w:tcPr>
            <w:tcW w:w="1374" w:type="pct"/>
            <w:hideMark/>
          </w:tcPr>
          <w:p w14:paraId="469E4FD4"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Barbara et al. (2014)</w:t>
            </w:r>
          </w:p>
        </w:tc>
        <w:tc>
          <w:tcPr>
            <w:tcW w:w="389" w:type="pct"/>
            <w:noWrap/>
            <w:hideMark/>
          </w:tcPr>
          <w:p w14:paraId="42695946"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34</w:t>
            </w:r>
          </w:p>
        </w:tc>
        <w:tc>
          <w:tcPr>
            <w:tcW w:w="1102" w:type="pct"/>
            <w:hideMark/>
          </w:tcPr>
          <w:p w14:paraId="5E92A36D"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not stated</w:t>
            </w:r>
          </w:p>
        </w:tc>
        <w:tc>
          <w:tcPr>
            <w:tcW w:w="1304" w:type="pct"/>
            <w:noWrap/>
            <w:hideMark/>
          </w:tcPr>
          <w:p w14:paraId="3A947400"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23 men, 11 females</w:t>
            </w:r>
          </w:p>
        </w:tc>
        <w:tc>
          <w:tcPr>
            <w:tcW w:w="831" w:type="pct"/>
            <w:noWrap/>
            <w:hideMark/>
          </w:tcPr>
          <w:p w14:paraId="6C32F0F3"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3 months</w:t>
            </w:r>
          </w:p>
        </w:tc>
      </w:tr>
      <w:tr w:rsidR="00CE0A9E" w:rsidRPr="00DC0F64" w14:paraId="7D25D7A6" w14:textId="77777777" w:rsidTr="00CE0A9E">
        <w:trPr>
          <w:trHeight w:val="242"/>
        </w:trPr>
        <w:tc>
          <w:tcPr>
            <w:tcW w:w="1374" w:type="pct"/>
            <w:hideMark/>
          </w:tcPr>
          <w:p w14:paraId="6E5F70A3"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Chen et al. (2004)</w:t>
            </w:r>
          </w:p>
        </w:tc>
        <w:tc>
          <w:tcPr>
            <w:tcW w:w="389" w:type="pct"/>
            <w:noWrap/>
            <w:hideMark/>
          </w:tcPr>
          <w:p w14:paraId="5E7105BD"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7</w:t>
            </w:r>
          </w:p>
        </w:tc>
        <w:tc>
          <w:tcPr>
            <w:tcW w:w="1102" w:type="pct"/>
            <w:noWrap/>
            <w:hideMark/>
          </w:tcPr>
          <w:p w14:paraId="30F60C7C"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64.4 (42 -88 )</w:t>
            </w:r>
          </w:p>
        </w:tc>
        <w:tc>
          <w:tcPr>
            <w:tcW w:w="1304" w:type="pct"/>
            <w:noWrap/>
            <w:hideMark/>
          </w:tcPr>
          <w:p w14:paraId="6A49CF4E"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5 men, 2 women</w:t>
            </w:r>
          </w:p>
        </w:tc>
        <w:tc>
          <w:tcPr>
            <w:tcW w:w="831" w:type="pct"/>
            <w:noWrap/>
            <w:hideMark/>
          </w:tcPr>
          <w:p w14:paraId="2CA2D082"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4 months</w:t>
            </w:r>
          </w:p>
        </w:tc>
      </w:tr>
      <w:tr w:rsidR="00CE0A9E" w:rsidRPr="00DC0F64" w14:paraId="3397B2A1" w14:textId="77777777" w:rsidTr="00CE0A9E">
        <w:trPr>
          <w:trHeight w:val="242"/>
        </w:trPr>
        <w:tc>
          <w:tcPr>
            <w:tcW w:w="1374" w:type="pct"/>
            <w:hideMark/>
          </w:tcPr>
          <w:p w14:paraId="2FCF0600"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Gerard et al. (2012)</w:t>
            </w:r>
          </w:p>
        </w:tc>
        <w:tc>
          <w:tcPr>
            <w:tcW w:w="389" w:type="pct"/>
            <w:noWrap/>
            <w:hideMark/>
          </w:tcPr>
          <w:p w14:paraId="3425E9DE"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13</w:t>
            </w:r>
          </w:p>
        </w:tc>
        <w:tc>
          <w:tcPr>
            <w:tcW w:w="1102" w:type="pct"/>
            <w:noWrap/>
            <w:hideMark/>
          </w:tcPr>
          <w:p w14:paraId="2D89C882"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21-64</w:t>
            </w:r>
          </w:p>
        </w:tc>
        <w:tc>
          <w:tcPr>
            <w:tcW w:w="1304" w:type="pct"/>
            <w:noWrap/>
            <w:hideMark/>
          </w:tcPr>
          <w:p w14:paraId="19DDFB6B"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4 males, 9 females</w:t>
            </w:r>
          </w:p>
        </w:tc>
        <w:tc>
          <w:tcPr>
            <w:tcW w:w="831" w:type="pct"/>
            <w:noWrap/>
            <w:hideMark/>
          </w:tcPr>
          <w:p w14:paraId="740309B1"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not stated</w:t>
            </w:r>
          </w:p>
        </w:tc>
      </w:tr>
      <w:tr w:rsidR="00CE0A9E" w:rsidRPr="00DC0F64" w14:paraId="3A80C778" w14:textId="77777777" w:rsidTr="00CE0A9E">
        <w:trPr>
          <w:trHeight w:val="242"/>
        </w:trPr>
        <w:tc>
          <w:tcPr>
            <w:tcW w:w="1374" w:type="pct"/>
            <w:hideMark/>
          </w:tcPr>
          <w:p w14:paraId="5DAC908B"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Monini et al. (2013)</w:t>
            </w:r>
          </w:p>
        </w:tc>
        <w:tc>
          <w:tcPr>
            <w:tcW w:w="389" w:type="pct"/>
            <w:noWrap/>
            <w:hideMark/>
          </w:tcPr>
          <w:p w14:paraId="40321E54"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15</w:t>
            </w:r>
          </w:p>
        </w:tc>
        <w:tc>
          <w:tcPr>
            <w:tcW w:w="1102" w:type="pct"/>
            <w:noWrap/>
            <w:hideMark/>
          </w:tcPr>
          <w:p w14:paraId="5DC263B1"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18 - 74</w:t>
            </w:r>
          </w:p>
        </w:tc>
        <w:tc>
          <w:tcPr>
            <w:tcW w:w="1304" w:type="pct"/>
            <w:noWrap/>
            <w:hideMark/>
          </w:tcPr>
          <w:p w14:paraId="05775BB7"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7 male, 8 female</w:t>
            </w:r>
          </w:p>
        </w:tc>
        <w:tc>
          <w:tcPr>
            <w:tcW w:w="831" w:type="pct"/>
            <w:noWrap/>
            <w:hideMark/>
          </w:tcPr>
          <w:p w14:paraId="4F0629DC"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3 months</w:t>
            </w:r>
          </w:p>
        </w:tc>
      </w:tr>
      <w:tr w:rsidR="00CE0A9E" w:rsidRPr="00DC0F64" w14:paraId="0545B3D0" w14:textId="77777777" w:rsidTr="00CE0A9E">
        <w:trPr>
          <w:trHeight w:val="242"/>
        </w:trPr>
        <w:tc>
          <w:tcPr>
            <w:tcW w:w="1374" w:type="pct"/>
            <w:hideMark/>
          </w:tcPr>
          <w:p w14:paraId="79712BAB"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Memari et al. (2011)</w:t>
            </w:r>
          </w:p>
        </w:tc>
        <w:tc>
          <w:tcPr>
            <w:tcW w:w="389" w:type="pct"/>
            <w:noWrap/>
            <w:hideMark/>
          </w:tcPr>
          <w:p w14:paraId="05A5409A"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10</w:t>
            </w:r>
          </w:p>
        </w:tc>
        <w:tc>
          <w:tcPr>
            <w:tcW w:w="1102" w:type="pct"/>
            <w:noWrap/>
            <w:hideMark/>
          </w:tcPr>
          <w:p w14:paraId="2FAC02A1"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32.7+/-12.9</w:t>
            </w:r>
          </w:p>
        </w:tc>
        <w:tc>
          <w:tcPr>
            <w:tcW w:w="1304" w:type="pct"/>
            <w:noWrap/>
            <w:hideMark/>
          </w:tcPr>
          <w:p w14:paraId="74ED942E"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3 male, 7 female</w:t>
            </w:r>
          </w:p>
        </w:tc>
        <w:tc>
          <w:tcPr>
            <w:tcW w:w="831" w:type="pct"/>
            <w:noWrap/>
            <w:hideMark/>
          </w:tcPr>
          <w:p w14:paraId="595AA3AB"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19-40 months</w:t>
            </w:r>
          </w:p>
        </w:tc>
      </w:tr>
      <w:tr w:rsidR="00CE0A9E" w:rsidRPr="00DC0F64" w14:paraId="0C4BB624" w14:textId="77777777" w:rsidTr="00CE0A9E">
        <w:trPr>
          <w:trHeight w:val="242"/>
        </w:trPr>
        <w:tc>
          <w:tcPr>
            <w:tcW w:w="1374" w:type="pct"/>
            <w:hideMark/>
          </w:tcPr>
          <w:p w14:paraId="5E0FDA20"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Kraus et al. (2011)</w:t>
            </w:r>
          </w:p>
        </w:tc>
        <w:tc>
          <w:tcPr>
            <w:tcW w:w="389" w:type="pct"/>
            <w:noWrap/>
            <w:hideMark/>
          </w:tcPr>
          <w:p w14:paraId="212FD3DF"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57</w:t>
            </w:r>
          </w:p>
        </w:tc>
        <w:tc>
          <w:tcPr>
            <w:tcW w:w="1102" w:type="pct"/>
            <w:noWrap/>
            <w:hideMark/>
          </w:tcPr>
          <w:p w14:paraId="42DFC81C" w14:textId="77777777" w:rsidR="00CE0A9E" w:rsidRPr="00CE0A9E" w:rsidRDefault="00CE0A9E" w:rsidP="00CE0A9E">
            <w:pPr>
              <w:rPr>
                <w:rFonts w:ascii="Arial" w:hAnsi="Arial" w:cs="Arial"/>
                <w:sz w:val="18"/>
                <w:szCs w:val="18"/>
                <w:lang w:val="de-DE"/>
              </w:rPr>
            </w:pPr>
            <w:r w:rsidRPr="00CE0A9E">
              <w:rPr>
                <w:rFonts w:ascii="Arial" w:hAnsi="Arial" w:cs="Arial"/>
                <w:sz w:val="18"/>
                <w:szCs w:val="18"/>
              </w:rPr>
              <w:t>52.9 (18-77</w:t>
            </w:r>
            <w:r w:rsidRPr="00CE0A9E">
              <w:rPr>
                <w:rFonts w:ascii="Arial" w:hAnsi="Arial" w:cs="Arial"/>
                <w:sz w:val="18"/>
                <w:szCs w:val="18"/>
                <w:lang w:val="de-DE"/>
              </w:rPr>
              <w:t>)</w:t>
            </w:r>
          </w:p>
        </w:tc>
        <w:tc>
          <w:tcPr>
            <w:tcW w:w="1304" w:type="pct"/>
            <w:noWrap/>
            <w:hideMark/>
          </w:tcPr>
          <w:p w14:paraId="1E0CB98F"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38 male, 19 female</w:t>
            </w:r>
          </w:p>
        </w:tc>
        <w:tc>
          <w:tcPr>
            <w:tcW w:w="831" w:type="pct"/>
            <w:noWrap/>
            <w:hideMark/>
          </w:tcPr>
          <w:p w14:paraId="69375F30"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12 months</w:t>
            </w:r>
          </w:p>
        </w:tc>
      </w:tr>
      <w:tr w:rsidR="00CE0A9E" w:rsidRPr="00DC0F64" w14:paraId="797EBB73" w14:textId="77777777" w:rsidTr="00CE0A9E">
        <w:trPr>
          <w:trHeight w:val="242"/>
        </w:trPr>
        <w:tc>
          <w:tcPr>
            <w:tcW w:w="5000" w:type="pct"/>
            <w:gridSpan w:val="5"/>
            <w:shd w:val="clear" w:color="auto" w:fill="D9D9D9" w:themeFill="background1" w:themeFillShade="D9"/>
            <w:vAlign w:val="center"/>
            <w:hideMark/>
          </w:tcPr>
          <w:p w14:paraId="4F9746AA" w14:textId="77777777" w:rsidR="00CE0A9E" w:rsidRPr="00CE0A9E" w:rsidRDefault="00CE0A9E" w:rsidP="00CE0A9E">
            <w:pPr>
              <w:jc w:val="center"/>
              <w:rPr>
                <w:rFonts w:ascii="Arial" w:hAnsi="Arial" w:cs="Arial"/>
                <w:b/>
                <w:sz w:val="18"/>
                <w:szCs w:val="18"/>
                <w:lang w:val="de-DE"/>
              </w:rPr>
            </w:pPr>
            <w:r w:rsidRPr="00CE0A9E">
              <w:rPr>
                <w:rFonts w:ascii="Arial" w:hAnsi="Arial" w:cs="Arial"/>
                <w:b/>
                <w:sz w:val="18"/>
                <w:szCs w:val="18"/>
                <w:lang w:val="de-DE"/>
              </w:rPr>
              <w:t>CARINA</w:t>
            </w:r>
          </w:p>
        </w:tc>
      </w:tr>
      <w:tr w:rsidR="00CE0A9E" w:rsidRPr="00DC0F64" w14:paraId="76E7672C" w14:textId="77777777" w:rsidTr="00CE0A9E">
        <w:trPr>
          <w:trHeight w:val="242"/>
        </w:trPr>
        <w:tc>
          <w:tcPr>
            <w:tcW w:w="1374" w:type="pct"/>
            <w:hideMark/>
          </w:tcPr>
          <w:p w14:paraId="0DEA26DD"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Bruschini et al. (2010)</w:t>
            </w:r>
          </w:p>
        </w:tc>
        <w:tc>
          <w:tcPr>
            <w:tcW w:w="389" w:type="pct"/>
            <w:noWrap/>
            <w:hideMark/>
          </w:tcPr>
          <w:p w14:paraId="6AE197F7"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8</w:t>
            </w:r>
          </w:p>
        </w:tc>
        <w:tc>
          <w:tcPr>
            <w:tcW w:w="1102" w:type="pct"/>
            <w:noWrap/>
            <w:hideMark/>
          </w:tcPr>
          <w:p w14:paraId="6B8FDAF6"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46.4 (34-66)</w:t>
            </w:r>
          </w:p>
        </w:tc>
        <w:tc>
          <w:tcPr>
            <w:tcW w:w="1304" w:type="pct"/>
            <w:noWrap/>
            <w:hideMark/>
          </w:tcPr>
          <w:p w14:paraId="08CFEF81"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7 males, 1 female</w:t>
            </w:r>
          </w:p>
        </w:tc>
        <w:tc>
          <w:tcPr>
            <w:tcW w:w="831" w:type="pct"/>
            <w:noWrap/>
            <w:hideMark/>
          </w:tcPr>
          <w:p w14:paraId="2C23DD24"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12-21 months</w:t>
            </w:r>
          </w:p>
        </w:tc>
      </w:tr>
      <w:tr w:rsidR="00CE0A9E" w:rsidRPr="00DC0F64" w14:paraId="342CF203" w14:textId="77777777" w:rsidTr="00CE0A9E">
        <w:trPr>
          <w:trHeight w:val="242"/>
        </w:trPr>
        <w:tc>
          <w:tcPr>
            <w:tcW w:w="1374" w:type="pct"/>
            <w:hideMark/>
          </w:tcPr>
          <w:p w14:paraId="266DEC8F"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Jenkins et al. (2008)</w:t>
            </w:r>
          </w:p>
        </w:tc>
        <w:tc>
          <w:tcPr>
            <w:tcW w:w="389" w:type="pct"/>
            <w:noWrap/>
            <w:hideMark/>
          </w:tcPr>
          <w:p w14:paraId="6219013D"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20</w:t>
            </w:r>
          </w:p>
        </w:tc>
        <w:tc>
          <w:tcPr>
            <w:tcW w:w="1102" w:type="pct"/>
            <w:noWrap/>
            <w:hideMark/>
          </w:tcPr>
          <w:p w14:paraId="74517273"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62.8 (31.6-82)</w:t>
            </w:r>
          </w:p>
        </w:tc>
        <w:tc>
          <w:tcPr>
            <w:tcW w:w="1304" w:type="pct"/>
            <w:noWrap/>
            <w:hideMark/>
          </w:tcPr>
          <w:p w14:paraId="73A09831"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10 male, 10 female</w:t>
            </w:r>
          </w:p>
        </w:tc>
        <w:tc>
          <w:tcPr>
            <w:tcW w:w="831" w:type="pct"/>
            <w:noWrap/>
            <w:hideMark/>
          </w:tcPr>
          <w:p w14:paraId="72FB77B9"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12 months</w:t>
            </w:r>
          </w:p>
        </w:tc>
      </w:tr>
      <w:tr w:rsidR="00CE0A9E" w:rsidRPr="00DC0F64" w14:paraId="57277476" w14:textId="77777777" w:rsidTr="007F6475">
        <w:trPr>
          <w:trHeight w:val="183"/>
        </w:trPr>
        <w:tc>
          <w:tcPr>
            <w:tcW w:w="1374" w:type="pct"/>
            <w:hideMark/>
          </w:tcPr>
          <w:p w14:paraId="3B4D3608"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Tringali et al. (2010)</w:t>
            </w:r>
          </w:p>
        </w:tc>
        <w:tc>
          <w:tcPr>
            <w:tcW w:w="389" w:type="pct"/>
            <w:noWrap/>
            <w:hideMark/>
          </w:tcPr>
          <w:p w14:paraId="1C1E9BB0"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7</w:t>
            </w:r>
          </w:p>
        </w:tc>
        <w:tc>
          <w:tcPr>
            <w:tcW w:w="1102" w:type="pct"/>
            <w:noWrap/>
            <w:hideMark/>
          </w:tcPr>
          <w:p w14:paraId="5D476D0D"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65 (53-77)</w:t>
            </w:r>
          </w:p>
        </w:tc>
        <w:tc>
          <w:tcPr>
            <w:tcW w:w="1304" w:type="pct"/>
            <w:noWrap/>
            <w:hideMark/>
          </w:tcPr>
          <w:p w14:paraId="182F7BD1"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5 male, 2 female</w:t>
            </w:r>
          </w:p>
        </w:tc>
        <w:tc>
          <w:tcPr>
            <w:tcW w:w="831" w:type="pct"/>
            <w:noWrap/>
            <w:hideMark/>
          </w:tcPr>
          <w:p w14:paraId="70ADD092"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24 months</w:t>
            </w:r>
          </w:p>
        </w:tc>
      </w:tr>
      <w:tr w:rsidR="00CE0A9E" w:rsidRPr="00DC0F64" w14:paraId="1B82C599" w14:textId="77777777" w:rsidTr="00CE0A9E">
        <w:trPr>
          <w:trHeight w:val="242"/>
        </w:trPr>
        <w:tc>
          <w:tcPr>
            <w:tcW w:w="5000" w:type="pct"/>
            <w:gridSpan w:val="5"/>
            <w:shd w:val="clear" w:color="auto" w:fill="D9D9D9" w:themeFill="background1" w:themeFillShade="D9"/>
            <w:vAlign w:val="center"/>
            <w:hideMark/>
          </w:tcPr>
          <w:p w14:paraId="1FABC3C9" w14:textId="77777777" w:rsidR="00CE0A9E" w:rsidRPr="00CE0A9E" w:rsidRDefault="00CE0A9E" w:rsidP="00CE0A9E">
            <w:pPr>
              <w:jc w:val="center"/>
              <w:rPr>
                <w:rFonts w:ascii="Arial" w:hAnsi="Arial" w:cs="Arial"/>
                <w:b/>
                <w:sz w:val="18"/>
                <w:szCs w:val="18"/>
                <w:lang w:val="de-DE"/>
              </w:rPr>
            </w:pPr>
            <w:r w:rsidRPr="00CE0A9E">
              <w:rPr>
                <w:rFonts w:ascii="Arial" w:hAnsi="Arial" w:cs="Arial"/>
                <w:b/>
                <w:sz w:val="18"/>
                <w:szCs w:val="18"/>
                <w:lang w:val="de-DE"/>
              </w:rPr>
              <w:t>SOUN</w:t>
            </w:r>
            <w:r w:rsidR="000E39C5">
              <w:rPr>
                <w:rFonts w:ascii="Arial" w:hAnsi="Arial" w:cs="Arial"/>
                <w:b/>
                <w:sz w:val="18"/>
                <w:szCs w:val="18"/>
                <w:lang w:val="de-DE"/>
              </w:rPr>
              <w:t>DT</w:t>
            </w:r>
            <w:r w:rsidRPr="00CE0A9E">
              <w:rPr>
                <w:rFonts w:ascii="Arial" w:hAnsi="Arial" w:cs="Arial"/>
                <w:b/>
                <w:sz w:val="18"/>
                <w:szCs w:val="18"/>
                <w:lang w:val="de-DE"/>
              </w:rPr>
              <w:t>EC DIREC</w:t>
            </w:r>
            <w:r w:rsidR="000E39C5">
              <w:rPr>
                <w:rFonts w:ascii="Arial" w:hAnsi="Arial" w:cs="Arial"/>
                <w:b/>
                <w:sz w:val="18"/>
                <w:szCs w:val="18"/>
                <w:lang w:val="de-DE"/>
              </w:rPr>
              <w:t>T</w:t>
            </w:r>
            <w:r w:rsidRPr="00CE0A9E">
              <w:rPr>
                <w:rFonts w:ascii="Arial" w:hAnsi="Arial" w:cs="Arial"/>
                <w:b/>
                <w:sz w:val="18"/>
                <w:szCs w:val="18"/>
                <w:lang w:val="de-DE"/>
              </w:rPr>
              <w:t xml:space="preserve"> DRIVE</w:t>
            </w:r>
          </w:p>
        </w:tc>
      </w:tr>
      <w:tr w:rsidR="00CE0A9E" w:rsidRPr="00DC0F64" w14:paraId="52211BDF" w14:textId="77777777" w:rsidTr="00CE0A9E">
        <w:trPr>
          <w:trHeight w:val="242"/>
        </w:trPr>
        <w:tc>
          <w:tcPr>
            <w:tcW w:w="1374" w:type="pct"/>
            <w:hideMark/>
          </w:tcPr>
          <w:p w14:paraId="02E32E51"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Hough et al. (2002)</w:t>
            </w:r>
          </w:p>
        </w:tc>
        <w:tc>
          <w:tcPr>
            <w:tcW w:w="389" w:type="pct"/>
            <w:noWrap/>
            <w:hideMark/>
          </w:tcPr>
          <w:p w14:paraId="60748196"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103</w:t>
            </w:r>
          </w:p>
        </w:tc>
        <w:tc>
          <w:tcPr>
            <w:tcW w:w="1102" w:type="pct"/>
            <w:noWrap/>
            <w:hideMark/>
          </w:tcPr>
          <w:p w14:paraId="709C3F1E"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65.1</w:t>
            </w:r>
          </w:p>
        </w:tc>
        <w:tc>
          <w:tcPr>
            <w:tcW w:w="1304" w:type="pct"/>
            <w:noWrap/>
            <w:hideMark/>
          </w:tcPr>
          <w:p w14:paraId="352E5AC2"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68 male, 35 feamle</w:t>
            </w:r>
          </w:p>
        </w:tc>
        <w:tc>
          <w:tcPr>
            <w:tcW w:w="831" w:type="pct"/>
            <w:noWrap/>
            <w:hideMark/>
          </w:tcPr>
          <w:p w14:paraId="4E5C9DDE"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4-5months</w:t>
            </w:r>
          </w:p>
        </w:tc>
      </w:tr>
      <w:tr w:rsidR="00CE0A9E" w:rsidRPr="00DC0F64" w14:paraId="29CC8567" w14:textId="77777777" w:rsidTr="00CE0A9E">
        <w:trPr>
          <w:trHeight w:val="242"/>
        </w:trPr>
        <w:tc>
          <w:tcPr>
            <w:tcW w:w="1374" w:type="pct"/>
            <w:hideMark/>
          </w:tcPr>
          <w:p w14:paraId="5B372C20"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Roland et al. (2001)</w:t>
            </w:r>
          </w:p>
        </w:tc>
        <w:tc>
          <w:tcPr>
            <w:tcW w:w="389" w:type="pct"/>
            <w:noWrap/>
            <w:hideMark/>
          </w:tcPr>
          <w:p w14:paraId="6EA4B9F7"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23</w:t>
            </w:r>
          </w:p>
        </w:tc>
        <w:tc>
          <w:tcPr>
            <w:tcW w:w="1102" w:type="pct"/>
            <w:noWrap/>
            <w:hideMark/>
          </w:tcPr>
          <w:p w14:paraId="407F199D"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67.1 +/-11.4</w:t>
            </w:r>
          </w:p>
        </w:tc>
        <w:tc>
          <w:tcPr>
            <w:tcW w:w="1304" w:type="pct"/>
            <w:noWrap/>
            <w:hideMark/>
          </w:tcPr>
          <w:p w14:paraId="670670A1"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10 male, 13 female</w:t>
            </w:r>
          </w:p>
        </w:tc>
        <w:tc>
          <w:tcPr>
            <w:tcW w:w="831" w:type="pct"/>
            <w:noWrap/>
            <w:hideMark/>
          </w:tcPr>
          <w:p w14:paraId="7D1BAD19"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6 months</w:t>
            </w:r>
          </w:p>
        </w:tc>
      </w:tr>
      <w:tr w:rsidR="00CE0A9E" w:rsidRPr="00DC0F64" w14:paraId="666F535B" w14:textId="77777777" w:rsidTr="00CE0A9E">
        <w:trPr>
          <w:trHeight w:val="242"/>
        </w:trPr>
        <w:tc>
          <w:tcPr>
            <w:tcW w:w="1374" w:type="pct"/>
            <w:hideMark/>
          </w:tcPr>
          <w:p w14:paraId="26269ADC"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Silverstein et al. (2005)</w:t>
            </w:r>
          </w:p>
        </w:tc>
        <w:tc>
          <w:tcPr>
            <w:tcW w:w="389" w:type="pct"/>
            <w:noWrap/>
            <w:hideMark/>
          </w:tcPr>
          <w:p w14:paraId="320FA69D"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64</w:t>
            </w:r>
          </w:p>
        </w:tc>
        <w:tc>
          <w:tcPr>
            <w:tcW w:w="1102" w:type="pct"/>
            <w:noWrap/>
            <w:hideMark/>
          </w:tcPr>
          <w:p w14:paraId="1D77B3D2"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40-86</w:t>
            </w:r>
          </w:p>
        </w:tc>
        <w:tc>
          <w:tcPr>
            <w:tcW w:w="1304" w:type="pct"/>
            <w:noWrap/>
            <w:hideMark/>
          </w:tcPr>
          <w:p w14:paraId="143A5084"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19 male, 18 female</w:t>
            </w:r>
          </w:p>
        </w:tc>
        <w:tc>
          <w:tcPr>
            <w:tcW w:w="831" w:type="pct"/>
            <w:noWrap/>
            <w:hideMark/>
          </w:tcPr>
          <w:p w14:paraId="1C2F8789" w14:textId="77777777" w:rsidR="00CE0A9E" w:rsidRPr="00CE0A9E" w:rsidRDefault="00CE0A9E" w:rsidP="00CE0A9E">
            <w:pPr>
              <w:rPr>
                <w:rFonts w:ascii="Arial" w:hAnsi="Arial" w:cs="Arial"/>
                <w:sz w:val="18"/>
                <w:szCs w:val="18"/>
                <w:lang w:val="de-DE"/>
              </w:rPr>
            </w:pPr>
            <w:r w:rsidRPr="00CE0A9E">
              <w:rPr>
                <w:rFonts w:ascii="Arial" w:hAnsi="Arial" w:cs="Arial"/>
                <w:sz w:val="18"/>
                <w:szCs w:val="18"/>
                <w:lang w:val="de-DE"/>
              </w:rPr>
              <w:t>3 months</w:t>
            </w:r>
          </w:p>
        </w:tc>
      </w:tr>
    </w:tbl>
    <w:p w14:paraId="57DDB9ED" w14:textId="77777777" w:rsidR="00CE0A9E" w:rsidRPr="0020192A" w:rsidRDefault="00CE0A9E" w:rsidP="000E39C5">
      <w:pPr>
        <w:pStyle w:val="Textbody"/>
      </w:pPr>
    </w:p>
    <w:p w14:paraId="70329A34" w14:textId="77777777" w:rsidR="00CE0A9E" w:rsidRPr="00C55B0E" w:rsidRDefault="0099355D" w:rsidP="000E39C5">
      <w:pPr>
        <w:pStyle w:val="Heading30"/>
      </w:pPr>
      <w:bookmarkStart w:id="424" w:name="_Toc431917572"/>
      <w:r>
        <w:t>B4.3</w:t>
      </w:r>
      <w:r w:rsidR="001C7CE7">
        <w:rPr>
          <w:lang w:val="en-US"/>
        </w:rPr>
        <w:tab/>
      </w:r>
      <w:r w:rsidR="00CE0A9E" w:rsidRPr="00C55B0E">
        <w:t>Interventions in the non-randomised studies</w:t>
      </w:r>
      <w:bookmarkEnd w:id="424"/>
    </w:p>
    <w:p w14:paraId="6052A650" w14:textId="77777777" w:rsidR="0099355D" w:rsidRDefault="00CE0A9E" w:rsidP="000E39C5">
      <w:pPr>
        <w:pStyle w:val="Textbody"/>
      </w:pPr>
      <w:r w:rsidRPr="00C34D88">
        <w:t>In addition to the Vibrant Soundbridge, three comparable middle ear implant systems were included in the systematic review. All MEI were activated, or the sound processor was fitted within 4-8 weeks after the implantation. Audiolog</w:t>
      </w:r>
      <w:r w:rsidRPr="000E39C5">
        <w:t xml:space="preserve">ical testing was carried out on initial fitting and then at regular intervals. The amount follow-up specified by each study is presented in </w:t>
      </w:r>
      <w:r w:rsidR="00C34D88" w:rsidRPr="0080769D">
        <w:fldChar w:fldCharType="begin"/>
      </w:r>
      <w:r w:rsidR="00C34D88" w:rsidRPr="007F6475">
        <w:instrText xml:space="preserve"> REF _Ref400636012 \h  \* MERGEFORMAT </w:instrText>
      </w:r>
      <w:r w:rsidR="00C34D88" w:rsidRPr="0080769D">
        <w:fldChar w:fldCharType="separate"/>
      </w:r>
      <w:r w:rsidR="00016592" w:rsidRPr="00016592">
        <w:t xml:space="preserve">Table </w:t>
      </w:r>
      <w:r w:rsidR="00016592" w:rsidRPr="00016592">
        <w:rPr>
          <w:noProof/>
        </w:rPr>
        <w:t>15</w:t>
      </w:r>
      <w:r w:rsidR="00C34D88" w:rsidRPr="0080769D">
        <w:fldChar w:fldCharType="end"/>
      </w:r>
      <w:r w:rsidR="00C34D88" w:rsidRPr="00596935">
        <w:t>.</w:t>
      </w:r>
    </w:p>
    <w:p w14:paraId="5DC33AC7" w14:textId="77777777" w:rsidR="0099355D" w:rsidRDefault="0099355D" w:rsidP="0099355D">
      <w:pPr>
        <w:rPr>
          <w:rFonts w:cs="Arial"/>
          <w:lang w:val="en-US" w:eastAsia="de-AT"/>
        </w:rPr>
      </w:pPr>
      <w:r>
        <w:br w:type="page"/>
      </w:r>
    </w:p>
    <w:p w14:paraId="25B2DDD4" w14:textId="77777777" w:rsidR="00EE7656" w:rsidRPr="0099355D" w:rsidRDefault="00F62A44" w:rsidP="0099355D">
      <w:pPr>
        <w:pStyle w:val="Heading20"/>
      </w:pPr>
      <w:bookmarkStart w:id="425" w:name="_Toc431917573"/>
      <w:r w:rsidRPr="0099355D">
        <w:lastRenderedPageBreak/>
        <w:t>B.</w:t>
      </w:r>
      <w:r w:rsidR="00CE0A9E" w:rsidRPr="0099355D">
        <w:t>5</w:t>
      </w:r>
      <w:r w:rsidR="00EE7656" w:rsidRPr="0099355D">
        <w:tab/>
        <w:t xml:space="preserve">Outcome measures and analysis of the </w:t>
      </w:r>
      <w:bookmarkEnd w:id="405"/>
      <w:r w:rsidR="00EE7656" w:rsidRPr="0099355D">
        <w:t>literature</w:t>
      </w:r>
      <w:bookmarkEnd w:id="417"/>
      <w:bookmarkEnd w:id="425"/>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64"/>
      </w:tblGrid>
      <w:tr w:rsidR="00EE7656" w:rsidRPr="009A1A2E" w14:paraId="058B800F" w14:textId="77777777" w:rsidTr="002B6A52">
        <w:tc>
          <w:tcPr>
            <w:tcW w:w="9464" w:type="dxa"/>
            <w:shd w:val="clear" w:color="auto" w:fill="auto"/>
          </w:tcPr>
          <w:p w14:paraId="59F4D951" w14:textId="77777777" w:rsidR="00EE7656" w:rsidRPr="009A1A2E" w:rsidRDefault="00EE7656" w:rsidP="00EE7656">
            <w:pPr>
              <w:pStyle w:val="Textbody"/>
              <w:rPr>
                <w:lang w:val="en-AU"/>
              </w:rPr>
            </w:pPr>
            <w:bookmarkStart w:id="426" w:name="_Toc335667807"/>
            <w:r w:rsidRPr="009A1A2E">
              <w:rPr>
                <w:lang w:val="en-AU"/>
              </w:rPr>
              <w:t>A range of outcomes have been identified as relevant to the research questions: The category of outcomes required to address the research questions proposed in the DAP are:</w:t>
            </w:r>
          </w:p>
          <w:p w14:paraId="2141E752" w14:textId="77777777" w:rsidR="00EE7656" w:rsidRPr="009A1A2E" w:rsidRDefault="00EE7656" w:rsidP="00B853EF">
            <w:pPr>
              <w:pStyle w:val="Textbody"/>
              <w:numPr>
                <w:ilvl w:val="0"/>
                <w:numId w:val="68"/>
              </w:numPr>
              <w:rPr>
                <w:lang w:val="en-AU"/>
              </w:rPr>
            </w:pPr>
            <w:r w:rsidRPr="009A1A2E">
              <w:rPr>
                <w:lang w:val="en-AU"/>
              </w:rPr>
              <w:t xml:space="preserve">Is the partially implantable MEI </w:t>
            </w:r>
            <w:r w:rsidRPr="009A1A2E">
              <w:rPr>
                <w:b/>
                <w:lang w:val="en-AU"/>
              </w:rPr>
              <w:t>superior in effectiveness</w:t>
            </w:r>
            <w:r w:rsidRPr="009A1A2E">
              <w:rPr>
                <w:lang w:val="en-AU"/>
              </w:rPr>
              <w:t xml:space="preserve"> compared to no treatment?</w:t>
            </w:r>
          </w:p>
          <w:p w14:paraId="78540808" w14:textId="77777777" w:rsidR="00EE7656" w:rsidRPr="009A1A2E" w:rsidRDefault="00EE7656" w:rsidP="00B853EF">
            <w:pPr>
              <w:pStyle w:val="Textbody"/>
              <w:numPr>
                <w:ilvl w:val="0"/>
                <w:numId w:val="68"/>
              </w:numPr>
              <w:rPr>
                <w:lang w:val="en-AU"/>
              </w:rPr>
            </w:pPr>
            <w:r w:rsidRPr="009A1A2E">
              <w:rPr>
                <w:lang w:val="en-AU"/>
              </w:rPr>
              <w:t xml:space="preserve">Is the partially implantable MEI </w:t>
            </w:r>
            <w:r w:rsidRPr="009A1A2E">
              <w:rPr>
                <w:b/>
                <w:lang w:val="en-AU"/>
              </w:rPr>
              <w:t xml:space="preserve">as safe </w:t>
            </w:r>
            <w:r w:rsidRPr="009A1A2E">
              <w:rPr>
                <w:lang w:val="en-AU"/>
              </w:rPr>
              <w:t>as no treatment?</w:t>
            </w:r>
          </w:p>
          <w:p w14:paraId="4AC5138A" w14:textId="77777777" w:rsidR="00EE7656" w:rsidRPr="009A1A2E" w:rsidRDefault="00EE7656" w:rsidP="00AE5AB0">
            <w:pPr>
              <w:pStyle w:val="Textbody"/>
              <w:rPr>
                <w:lang w:val="en-AU"/>
              </w:rPr>
            </w:pPr>
            <w:r w:rsidRPr="009A1A2E">
              <w:rPr>
                <w:lang w:val="en-AU"/>
              </w:rPr>
              <w:t xml:space="preserve">Because there are no head-to-head comparisons between partially implantable active middle ear implants and no treatment a comparison between partially implanted devices was conducted. We have been seeking data on </w:t>
            </w:r>
            <w:r w:rsidRPr="009A1A2E">
              <w:rPr>
                <w:iCs/>
                <w:lang w:val="en-AU"/>
              </w:rPr>
              <w:t>patient-oriented outcomes, including:</w:t>
            </w:r>
            <w:r w:rsidRPr="009A1A2E">
              <w:rPr>
                <w:i/>
                <w:iCs/>
                <w:lang w:val="en-AU"/>
              </w:rPr>
              <w:t xml:space="preserve"> </w:t>
            </w:r>
            <w:r w:rsidRPr="009A1A2E">
              <w:rPr>
                <w:iCs/>
                <w:lang w:val="en-AU"/>
              </w:rPr>
              <w:t>e</w:t>
            </w:r>
            <w:r w:rsidRPr="009A1A2E">
              <w:rPr>
                <w:lang w:val="en-AU"/>
              </w:rPr>
              <w:t xml:space="preserve">ffectiveness, e.g., the subject perspective determined by questionnaires, patient-oriented scale of improvement, functional gain, speech recognition, real ear insertion gain, sound-field assessment and speech comprehension scores as well as satisfaction with communication and data related to quality of life (QALY, ICER). </w:t>
            </w:r>
            <w:r w:rsidRPr="009A1A2E">
              <w:rPr>
                <w:iCs/>
                <w:lang w:val="en-AU"/>
              </w:rPr>
              <w:t>Safety-oriented outcomes</w:t>
            </w:r>
            <w:r w:rsidRPr="009A1A2E">
              <w:rPr>
                <w:i/>
                <w:iCs/>
                <w:lang w:val="en-AU"/>
              </w:rPr>
              <w:t xml:space="preserve"> </w:t>
            </w:r>
            <w:r w:rsidRPr="009A1A2E">
              <w:rPr>
                <w:iCs/>
                <w:lang w:val="en-AU"/>
              </w:rPr>
              <w:t xml:space="preserve">included </w:t>
            </w:r>
            <w:r w:rsidRPr="009A1A2E">
              <w:rPr>
                <w:lang w:val="en-AU"/>
              </w:rPr>
              <w:t xml:space="preserve">complication/adverse event rates, damage to the middle ear / inner ear revision surgery/explant rate/device failure and mortality. For measurements of safety and effectiveness as well as quality of life related outcomes, systematic reviews and clinical studies including randomized and nonrandomized comparative studies, Case-control studies, controlled/not controlled before-and-after studies (CBAs and nCBAs) and interrupted time series (ITS) analyses) have been included in the analysis. Non-systematic reviews, case reports, letters, editorials, and animal, in-vitro and laboratory studies have been excluded. A summary of the PICOS is presented in </w:t>
            </w:r>
            <w:r w:rsidR="00AE5AB0" w:rsidRPr="009A1A2E">
              <w:rPr>
                <w:lang w:val="en-AU"/>
              </w:rPr>
              <w:fldChar w:fldCharType="begin"/>
            </w:r>
            <w:r w:rsidR="00AE5AB0" w:rsidRPr="009A1A2E">
              <w:rPr>
                <w:lang w:val="en-AU"/>
              </w:rPr>
              <w:instrText xml:space="preserve"> REF _Ref400572868 \h </w:instrText>
            </w:r>
            <w:r w:rsidR="00AE5AB0" w:rsidRPr="009A1A2E">
              <w:rPr>
                <w:lang w:val="en-AU"/>
              </w:rPr>
            </w:r>
            <w:r w:rsidR="00AE5AB0" w:rsidRPr="009A1A2E">
              <w:rPr>
                <w:lang w:val="en-AU"/>
              </w:rPr>
              <w:fldChar w:fldCharType="separate"/>
            </w:r>
            <w:r w:rsidR="00016592" w:rsidRPr="009A1A2E">
              <w:rPr>
                <w:lang w:val="en-AU"/>
              </w:rPr>
              <w:t xml:space="preserve">Table </w:t>
            </w:r>
            <w:r w:rsidR="00016592">
              <w:rPr>
                <w:noProof/>
                <w:lang w:val="en-AU"/>
              </w:rPr>
              <w:t>7</w:t>
            </w:r>
            <w:r w:rsidR="00AE5AB0" w:rsidRPr="009A1A2E">
              <w:rPr>
                <w:lang w:val="en-AU"/>
              </w:rPr>
              <w:fldChar w:fldCharType="end"/>
            </w:r>
            <w:r w:rsidR="00AE5AB0" w:rsidRPr="009A1A2E">
              <w:rPr>
                <w:lang w:val="en-AU"/>
              </w:rPr>
              <w:t>.</w:t>
            </w:r>
            <w:r w:rsidRPr="009A1A2E">
              <w:rPr>
                <w:lang w:val="en-AU"/>
              </w:rPr>
              <w:t xml:space="preserve"> Although non-randomized studies may be more prone to bias, randomized trials may not always be possible or practical. For example, it seemed unlikely that randomized controlled trials (RCT) have been conducted and therefore RCTs were not available for inclusion.</w:t>
            </w:r>
            <w:bookmarkEnd w:id="426"/>
          </w:p>
        </w:tc>
      </w:tr>
    </w:tbl>
    <w:p w14:paraId="53BC7AA4" w14:textId="77777777" w:rsidR="0099355D" w:rsidRDefault="0099355D" w:rsidP="00EE7656">
      <w:pPr>
        <w:pStyle w:val="Textbody"/>
        <w:rPr>
          <w:lang w:val="en-AU"/>
        </w:rPr>
      </w:pPr>
    </w:p>
    <w:p w14:paraId="00B9D274" w14:textId="77777777" w:rsidR="0099355D" w:rsidRDefault="0099355D" w:rsidP="00EE7656">
      <w:pPr>
        <w:pStyle w:val="Textbody"/>
        <w:rPr>
          <w:lang w:val="en-AU"/>
        </w:rPr>
      </w:pPr>
    </w:p>
    <w:p w14:paraId="73CB5CB1" w14:textId="77777777" w:rsidR="00EE7656" w:rsidRDefault="00EE7656" w:rsidP="00EE7656">
      <w:pPr>
        <w:pStyle w:val="Textbody"/>
        <w:rPr>
          <w:lang w:val="en-AU"/>
        </w:rPr>
      </w:pPr>
      <w:r w:rsidRPr="009A1A2E">
        <w:rPr>
          <w:lang w:val="en-AU"/>
        </w:rPr>
        <w:t>As agreed by the Protocol Advisory Subcommittee (PASC) of MSAC in their advice and final DAP (August 2014) the following outcomes are presented in the submission to address the review questions:</w:t>
      </w:r>
    </w:p>
    <w:p w14:paraId="5BAFE71D" w14:textId="77777777" w:rsidR="0099355D" w:rsidRPr="009A1A2E" w:rsidRDefault="0099355D" w:rsidP="00EE7656">
      <w:pPr>
        <w:pStyle w:val="Textbody"/>
        <w:rPr>
          <w:lang w:val="en-AU"/>
        </w:rPr>
      </w:pPr>
    </w:p>
    <w:p w14:paraId="06422FCF" w14:textId="77777777" w:rsidR="00EE7656" w:rsidRDefault="00EE7656" w:rsidP="00EE7656">
      <w:pPr>
        <w:pStyle w:val="Textbody"/>
        <w:rPr>
          <w:b/>
          <w:lang w:val="en-AU"/>
        </w:rPr>
      </w:pPr>
      <w:r w:rsidRPr="009A1A2E">
        <w:rPr>
          <w:b/>
          <w:u w:val="single"/>
          <w:lang w:val="en-AU"/>
        </w:rPr>
        <w:t>Effectiveness outcomes</w:t>
      </w:r>
      <w:r w:rsidRPr="009A1A2E">
        <w:rPr>
          <w:b/>
          <w:lang w:val="en-AU"/>
        </w:rPr>
        <w:t>:</w:t>
      </w:r>
    </w:p>
    <w:p w14:paraId="3430DDBC" w14:textId="77777777" w:rsidR="0099355D" w:rsidRPr="0099355D" w:rsidRDefault="0099355D" w:rsidP="00EE7656">
      <w:pPr>
        <w:pStyle w:val="Textbody"/>
        <w:rPr>
          <w:b/>
          <w:lang w:val="en-AU"/>
        </w:rPr>
      </w:pPr>
    </w:p>
    <w:p w14:paraId="51B73E5A" w14:textId="77777777" w:rsidR="00EE7656" w:rsidRPr="009A1A2E" w:rsidRDefault="00EE7656" w:rsidP="00EE7656">
      <w:pPr>
        <w:pStyle w:val="Textbody"/>
        <w:rPr>
          <w:lang w:val="en-AU"/>
        </w:rPr>
      </w:pPr>
      <w:r w:rsidRPr="009A1A2E">
        <w:rPr>
          <w:lang w:val="en-AU"/>
        </w:rPr>
        <w:t>SUBJECTIVE: (patient outcomes)</w:t>
      </w:r>
    </w:p>
    <w:p w14:paraId="7DDFE05A" w14:textId="77777777" w:rsidR="00EE7656" w:rsidRPr="009A1A2E" w:rsidRDefault="00EE7656" w:rsidP="00B853EF">
      <w:pPr>
        <w:pStyle w:val="Textbody"/>
        <w:numPr>
          <w:ilvl w:val="0"/>
          <w:numId w:val="66"/>
        </w:numPr>
        <w:rPr>
          <w:b/>
          <w:lang w:val="en-AU"/>
        </w:rPr>
      </w:pPr>
      <w:r w:rsidRPr="009A1A2E">
        <w:rPr>
          <w:b/>
          <w:lang w:val="en-AU"/>
        </w:rPr>
        <w:t>Abbreviated Profile of Hearing Aid Benefit (APHAB)</w:t>
      </w:r>
    </w:p>
    <w:p w14:paraId="10AEDED9" w14:textId="4A42918F" w:rsidR="00EE7656" w:rsidRPr="009A1A2E" w:rsidRDefault="00EE7656" w:rsidP="00EE7656">
      <w:pPr>
        <w:pStyle w:val="Textbody"/>
        <w:ind w:left="360"/>
        <w:rPr>
          <w:lang w:val="en-AU"/>
        </w:rPr>
      </w:pPr>
      <w:r w:rsidRPr="009A1A2E">
        <w:rPr>
          <w:lang w:val="en-AU"/>
        </w:rPr>
        <w:t xml:space="preserve">quantifies the disability caused by hearing loss, and the reduction of that disability achieved with hearing aids. The APHAB uses 24 items covering 4 subscales: ease of communication, reverberation, background noise, and aversiveness to sounds. The </w:t>
      </w:r>
      <w:r w:rsidRPr="009A1A2E">
        <w:rPr>
          <w:lang w:val="en-AU"/>
        </w:rPr>
        <w:lastRenderedPageBreak/>
        <w:t>APHAB has been normed on 128 elderly adults with mild to moderate hearing loss. The APHAB can be downloaded from the University of Memphis Hearing Aid Research Lab (HARL) web site (</w:t>
      </w:r>
      <w:hyperlink r:id="rId54" w:tgtFrame="top" w:tooltip="University of Memphis Hearing Aid Research Lab (HARL) web site " w:history="1">
        <w:r w:rsidRPr="009A1A2E">
          <w:rPr>
            <w:rStyle w:val="Hyperlink"/>
            <w:color w:val="auto"/>
            <w:u w:val="none"/>
            <w:shd w:val="clear" w:color="auto" w:fill="auto"/>
            <w:lang w:val="en-AU"/>
          </w:rPr>
          <w:t>www.ausp.memphis.edu/harl/applications.html</w:t>
        </w:r>
      </w:hyperlink>
      <w:r w:rsidRPr="009A1A2E">
        <w:rPr>
          <w:lang w:val="en-AU"/>
        </w:rPr>
        <w:t>).</w:t>
      </w:r>
    </w:p>
    <w:p w14:paraId="1FA7F1F1" w14:textId="77777777" w:rsidR="00EE7656" w:rsidRPr="009A1A2E" w:rsidRDefault="00EE7656" w:rsidP="00EE7656">
      <w:pPr>
        <w:pStyle w:val="Textbody"/>
        <w:rPr>
          <w:lang w:val="en-AU"/>
        </w:rPr>
      </w:pPr>
    </w:p>
    <w:p w14:paraId="08F96C7E" w14:textId="77777777" w:rsidR="00EE7656" w:rsidRPr="009A1A2E" w:rsidRDefault="00EE7656" w:rsidP="00B853EF">
      <w:pPr>
        <w:pStyle w:val="Textbody"/>
        <w:numPr>
          <w:ilvl w:val="0"/>
          <w:numId w:val="65"/>
        </w:numPr>
        <w:rPr>
          <w:b/>
          <w:lang w:val="en-AU"/>
        </w:rPr>
      </w:pPr>
      <w:r w:rsidRPr="009A1A2E">
        <w:rPr>
          <w:b/>
          <w:lang w:val="en-AU"/>
        </w:rPr>
        <w:t>Client-orientated scale of improvement (COSI)</w:t>
      </w:r>
    </w:p>
    <w:p w14:paraId="63C3CB41" w14:textId="39D71D8F" w:rsidR="00EE7656" w:rsidRPr="009A1A2E" w:rsidRDefault="00EE7656" w:rsidP="00EE7656">
      <w:pPr>
        <w:pStyle w:val="Textbody"/>
        <w:ind w:left="360"/>
        <w:rPr>
          <w:lang w:val="en-AU"/>
        </w:rPr>
      </w:pPr>
      <w:r w:rsidRPr="009A1A2E">
        <w:rPr>
          <w:lang w:val="en-AU"/>
        </w:rPr>
        <w:t>is an open-ended scale in which the patient targets up to five listening situations for improvement with amplification. The patient is able to choose up to 5 listening situation from a list of 16. The COSI was normed on 1770 adults with hearing loss in Australia. The goal of the COSI is for the patient to target up to five specific listening situations and report the degree of benefit obtained compared to that expected for the population in similar listening situations. Many hearing aid manufacturers now include the COSI in their fitting software. The COSI can be downloaded for free from the NAL web site (</w:t>
      </w:r>
      <w:hyperlink r:id="rId55" w:tooltip="NAL web site" w:history="1">
        <w:r w:rsidR="00953E81" w:rsidRPr="009A1A2E">
          <w:rPr>
            <w:rStyle w:val="Hyperlink"/>
            <w:shd w:val="clear" w:color="auto" w:fill="auto"/>
            <w:lang w:val="en-AU"/>
          </w:rPr>
          <w:t>http://www.nal.gov.au/nal_products front page.htm</w:t>
        </w:r>
      </w:hyperlink>
      <w:r w:rsidRPr="009A1A2E">
        <w:rPr>
          <w:lang w:val="en-AU"/>
        </w:rPr>
        <w:t>).</w:t>
      </w:r>
    </w:p>
    <w:p w14:paraId="69596044" w14:textId="77777777" w:rsidR="00953E81" w:rsidRPr="009A1A2E" w:rsidRDefault="00953E81" w:rsidP="00EE7656">
      <w:pPr>
        <w:pStyle w:val="Textbody"/>
        <w:ind w:left="360"/>
        <w:rPr>
          <w:lang w:val="en-AU"/>
        </w:rPr>
      </w:pPr>
    </w:p>
    <w:p w14:paraId="24CF00DF" w14:textId="77777777" w:rsidR="00EE7656" w:rsidRPr="009A1A2E" w:rsidRDefault="00EE7656" w:rsidP="00B853EF">
      <w:pPr>
        <w:pStyle w:val="Textbody"/>
        <w:numPr>
          <w:ilvl w:val="0"/>
          <w:numId w:val="65"/>
        </w:numPr>
        <w:rPr>
          <w:b/>
          <w:lang w:val="en-AU"/>
        </w:rPr>
      </w:pPr>
      <w:r w:rsidRPr="009A1A2E">
        <w:rPr>
          <w:b/>
          <w:lang w:val="en-AU"/>
        </w:rPr>
        <w:t xml:space="preserve">Glasgow Hearing Aid Benefit Profile (GHABP) </w:t>
      </w:r>
    </w:p>
    <w:p w14:paraId="346141A1" w14:textId="77777777" w:rsidR="00EE7656" w:rsidRPr="009A1A2E" w:rsidRDefault="00EE7656" w:rsidP="00EE7656">
      <w:pPr>
        <w:pStyle w:val="Textbody"/>
        <w:ind w:left="360"/>
        <w:rPr>
          <w:lang w:val="en-AU"/>
        </w:rPr>
      </w:pPr>
      <w:r w:rsidRPr="009A1A2E">
        <w:rPr>
          <w:lang w:val="en-AU"/>
        </w:rPr>
        <w:t>examines six dimensions of outcome including disability, handicap, hearing aid use, benefit, satisfaction, and residual disability. The GHABP consists of four predetermined and four patient-nominated items. The GHABP was normed on 293 adults. Based on the normative findings, it is an appropriate instrument for clinicians who want to use self-report data to measure improvement in audibility. The Hearing Aid Benefit Interview, a completely open-ended questionnaire, is the precursor to the GHABP.</w:t>
      </w:r>
    </w:p>
    <w:p w14:paraId="121F966E" w14:textId="77777777" w:rsidR="001D1553" w:rsidRPr="009A1A2E" w:rsidRDefault="001D1553" w:rsidP="00EE7656">
      <w:pPr>
        <w:pStyle w:val="Textbody"/>
        <w:ind w:left="360"/>
        <w:rPr>
          <w:lang w:val="en-AU"/>
        </w:rPr>
      </w:pPr>
    </w:p>
    <w:p w14:paraId="60DAC4BD" w14:textId="77777777" w:rsidR="001D1553" w:rsidRPr="009A1A2E" w:rsidRDefault="001D1553" w:rsidP="001D1553">
      <w:pPr>
        <w:pStyle w:val="Textbody"/>
        <w:numPr>
          <w:ilvl w:val="0"/>
          <w:numId w:val="65"/>
        </w:numPr>
        <w:rPr>
          <w:b/>
          <w:lang w:val="en-AU"/>
        </w:rPr>
      </w:pPr>
      <w:r w:rsidRPr="009A1A2E">
        <w:rPr>
          <w:b/>
          <w:lang w:val="en-AU"/>
        </w:rPr>
        <w:t xml:space="preserve">Glasgow Benefit Inventory (GBI) </w:t>
      </w:r>
    </w:p>
    <w:p w14:paraId="43BA6B24" w14:textId="77777777" w:rsidR="00EE7656" w:rsidRPr="007F6475" w:rsidRDefault="001D1553" w:rsidP="00C67966">
      <w:pPr>
        <w:pStyle w:val="Textbody"/>
        <w:ind w:left="360"/>
      </w:pPr>
      <w:r w:rsidRPr="007F6475">
        <w:t>measures the change in health status produced by surgical interventions (here, "health status" is the general perception of well-being, including total psychological, social, and physical well being). The GBI is generic and *not* limited to audiological or ENT use. The GBI is a post-intervention questionnaire which assesses the interventions effects on the health status of the patients. The questionnaire contains 18 questions which can be completed either in an interview or filled-in by the patient.</w:t>
      </w:r>
    </w:p>
    <w:p w14:paraId="61AD0DCE" w14:textId="77777777" w:rsidR="001D1553" w:rsidRPr="009A1A2E" w:rsidRDefault="001D1553" w:rsidP="00EE7656">
      <w:pPr>
        <w:pStyle w:val="Textbody"/>
        <w:rPr>
          <w:lang w:val="en-AU"/>
        </w:rPr>
      </w:pPr>
    </w:p>
    <w:p w14:paraId="46F78DD9" w14:textId="77777777" w:rsidR="00EE7656" w:rsidRPr="009A1A2E" w:rsidRDefault="00EE7656" w:rsidP="00B853EF">
      <w:pPr>
        <w:pStyle w:val="Textbody"/>
        <w:numPr>
          <w:ilvl w:val="0"/>
          <w:numId w:val="65"/>
        </w:numPr>
        <w:rPr>
          <w:b/>
          <w:lang w:val="en-AU"/>
        </w:rPr>
      </w:pPr>
      <w:r w:rsidRPr="009A1A2E">
        <w:rPr>
          <w:b/>
          <w:lang w:val="en-AU"/>
        </w:rPr>
        <w:t>Profile of Hearing Aid Performance (PHAP)</w:t>
      </w:r>
    </w:p>
    <w:p w14:paraId="22099AE5" w14:textId="77777777" w:rsidR="00EE7656" w:rsidRPr="009A1A2E" w:rsidRDefault="00EE7656" w:rsidP="00EE7656">
      <w:pPr>
        <w:pStyle w:val="Textbody"/>
        <w:ind w:left="360"/>
        <w:rPr>
          <w:lang w:val="en-AU"/>
        </w:rPr>
      </w:pPr>
      <w:r w:rsidRPr="009A1A2E">
        <w:rPr>
          <w:lang w:val="en-AU"/>
        </w:rPr>
        <w:t>consists of 66 items measuring two aspects of hearing aid performance: 1) speech communication in a variety of everyday listening situations, and 2) reactions to loudness or quality of environmental sounds in seven subscales. The goal of the PHAP is to measure aided performance rather than benefit. Normative data for test-retest reliability were completed on 30 subjects.</w:t>
      </w:r>
    </w:p>
    <w:p w14:paraId="65880D98" w14:textId="77777777" w:rsidR="00EE7656" w:rsidRDefault="00EE7656" w:rsidP="00EE7656">
      <w:pPr>
        <w:pStyle w:val="Textbody"/>
        <w:rPr>
          <w:lang w:val="en-AU"/>
        </w:rPr>
      </w:pPr>
    </w:p>
    <w:p w14:paraId="2F7E6838" w14:textId="77777777" w:rsidR="0099355D" w:rsidRPr="009A1A2E" w:rsidRDefault="0099355D" w:rsidP="00EE7656">
      <w:pPr>
        <w:pStyle w:val="Textbody"/>
        <w:rPr>
          <w:lang w:val="en-AU"/>
        </w:rPr>
      </w:pPr>
    </w:p>
    <w:p w14:paraId="1F710AAE" w14:textId="77777777" w:rsidR="00EE7656" w:rsidRPr="009A1A2E" w:rsidRDefault="00EE7656" w:rsidP="00B853EF">
      <w:pPr>
        <w:pStyle w:val="Textbody"/>
        <w:numPr>
          <w:ilvl w:val="0"/>
          <w:numId w:val="65"/>
        </w:numPr>
        <w:rPr>
          <w:b/>
          <w:lang w:val="en-AU"/>
        </w:rPr>
      </w:pPr>
      <w:r w:rsidRPr="009A1A2E">
        <w:rPr>
          <w:b/>
          <w:lang w:val="en-AU"/>
        </w:rPr>
        <w:t>Profile of Hearing Aid Benefit (PHAB)</w:t>
      </w:r>
    </w:p>
    <w:p w14:paraId="4EB382FC" w14:textId="77777777" w:rsidR="00EE7656" w:rsidRPr="009A1A2E" w:rsidRDefault="00EE7656" w:rsidP="00EE7656">
      <w:pPr>
        <w:pStyle w:val="Textbody"/>
        <w:ind w:left="360"/>
        <w:rPr>
          <w:lang w:val="en-AU"/>
        </w:rPr>
      </w:pPr>
      <w:r w:rsidRPr="009A1A2E">
        <w:rPr>
          <w:lang w:val="en-AU"/>
        </w:rPr>
        <w:t>consists of 66 items in seven subscales including familiar talkers, ease of communication, reverberation, reduced cues, background noise, aversiveness of sounds, and distortion of sounds. The goal of the PHAB is to measure hearing-aid benefit (unaided vs. aided) across those seven dimensions. The PHAB has been normed on 42 hearing aid users.</w:t>
      </w:r>
    </w:p>
    <w:p w14:paraId="57B4EC37" w14:textId="77777777" w:rsidR="001D1553" w:rsidRPr="009A1A2E" w:rsidRDefault="001D1553" w:rsidP="00EE7656">
      <w:pPr>
        <w:pStyle w:val="Textbody"/>
        <w:ind w:left="360"/>
        <w:rPr>
          <w:lang w:val="en-AU"/>
        </w:rPr>
      </w:pPr>
    </w:p>
    <w:p w14:paraId="52D6DEAF" w14:textId="77777777" w:rsidR="001D1553" w:rsidRPr="009A1A2E" w:rsidRDefault="001D1553" w:rsidP="001D1553">
      <w:pPr>
        <w:pStyle w:val="Textbody"/>
        <w:numPr>
          <w:ilvl w:val="0"/>
          <w:numId w:val="65"/>
        </w:numPr>
        <w:rPr>
          <w:b/>
          <w:lang w:val="en-AU"/>
        </w:rPr>
      </w:pPr>
      <w:r w:rsidRPr="009A1A2E">
        <w:rPr>
          <w:b/>
          <w:lang w:val="en-AU"/>
        </w:rPr>
        <w:t>Patient preference</w:t>
      </w:r>
    </w:p>
    <w:p w14:paraId="1829BE36" w14:textId="77777777" w:rsidR="001D1553" w:rsidRPr="009A1A2E" w:rsidRDefault="001D1553" w:rsidP="001D1553">
      <w:pPr>
        <w:pStyle w:val="Textbody"/>
        <w:rPr>
          <w:lang w:val="en-AU"/>
        </w:rPr>
      </w:pPr>
    </w:p>
    <w:p w14:paraId="1472E0E8" w14:textId="77777777" w:rsidR="001D1553" w:rsidRPr="009A1A2E" w:rsidRDefault="001D1553" w:rsidP="001D1553">
      <w:pPr>
        <w:pStyle w:val="Textbody"/>
        <w:numPr>
          <w:ilvl w:val="0"/>
          <w:numId w:val="65"/>
        </w:numPr>
        <w:rPr>
          <w:b/>
          <w:lang w:val="en-AU"/>
        </w:rPr>
      </w:pPr>
      <w:r w:rsidRPr="009A1A2E">
        <w:rPr>
          <w:b/>
          <w:lang w:val="en-AU"/>
        </w:rPr>
        <w:t>Self-assessment scales (not indicated in the DAP)</w:t>
      </w:r>
    </w:p>
    <w:p w14:paraId="162ADC1B" w14:textId="77777777" w:rsidR="00EE7656" w:rsidRPr="009A1A2E" w:rsidRDefault="00EE7656" w:rsidP="001F36FD">
      <w:pPr>
        <w:pStyle w:val="Textbody"/>
        <w:rPr>
          <w:lang w:val="en-AU"/>
        </w:rPr>
      </w:pPr>
    </w:p>
    <w:p w14:paraId="054AB7A7" w14:textId="77777777" w:rsidR="00EE7656" w:rsidRPr="009A1A2E" w:rsidRDefault="00EE7656" w:rsidP="001F36FD">
      <w:pPr>
        <w:pStyle w:val="Textbody"/>
        <w:rPr>
          <w:lang w:val="en-AU"/>
        </w:rPr>
      </w:pPr>
    </w:p>
    <w:p w14:paraId="1E742BDB" w14:textId="77777777" w:rsidR="00EE7656" w:rsidRPr="009A1A2E" w:rsidRDefault="00EE7656" w:rsidP="001F36FD">
      <w:pPr>
        <w:pStyle w:val="Textbody"/>
        <w:rPr>
          <w:lang w:val="en-AU"/>
        </w:rPr>
      </w:pPr>
      <w:r w:rsidRPr="009A1A2E">
        <w:rPr>
          <w:lang w:val="en-AU"/>
        </w:rPr>
        <w:t>AUDIOLOGICAL:</w:t>
      </w:r>
    </w:p>
    <w:p w14:paraId="69C32E26" w14:textId="77777777" w:rsidR="00953E81" w:rsidRPr="009A1A2E" w:rsidRDefault="00953E81" w:rsidP="00B853EF">
      <w:pPr>
        <w:pStyle w:val="Textbody"/>
        <w:numPr>
          <w:ilvl w:val="0"/>
          <w:numId w:val="65"/>
        </w:numPr>
        <w:rPr>
          <w:lang w:val="en-AU"/>
        </w:rPr>
      </w:pPr>
      <w:r w:rsidRPr="009A1A2E">
        <w:rPr>
          <w:lang w:val="en-AU"/>
        </w:rPr>
        <w:t>Functional gain</w:t>
      </w:r>
    </w:p>
    <w:p w14:paraId="7FCE4D7B" w14:textId="77777777" w:rsidR="00953E81" w:rsidRPr="009A1A2E" w:rsidRDefault="00953E81" w:rsidP="00953E81">
      <w:pPr>
        <w:pStyle w:val="Textbody"/>
        <w:ind w:left="720"/>
        <w:rPr>
          <w:lang w:val="en-AU"/>
        </w:rPr>
      </w:pPr>
      <w:r w:rsidRPr="009A1A2E">
        <w:rPr>
          <w:lang w:val="en-AU"/>
        </w:rPr>
        <w:t>Is defined as the difference in sound field thresholds (AC) from unaided to aided listening conditions and is an indicator of functional benefit from an amplification device (measurements performed at different frequencies).</w:t>
      </w:r>
    </w:p>
    <w:p w14:paraId="287F542E" w14:textId="77777777" w:rsidR="00953E81" w:rsidRPr="009A1A2E" w:rsidRDefault="00953E81" w:rsidP="00953E81">
      <w:pPr>
        <w:pStyle w:val="Textbody"/>
        <w:rPr>
          <w:lang w:val="en-AU"/>
        </w:rPr>
      </w:pPr>
    </w:p>
    <w:p w14:paraId="37CD4326" w14:textId="77777777" w:rsidR="00953E81" w:rsidRPr="009A1A2E" w:rsidRDefault="00953E81" w:rsidP="00B853EF">
      <w:pPr>
        <w:pStyle w:val="Textbody"/>
        <w:numPr>
          <w:ilvl w:val="0"/>
          <w:numId w:val="65"/>
        </w:numPr>
        <w:rPr>
          <w:lang w:val="en-AU"/>
        </w:rPr>
      </w:pPr>
      <w:r w:rsidRPr="009A1A2E">
        <w:rPr>
          <w:lang w:val="en-AU"/>
        </w:rPr>
        <w:t>Speech audiometry (ie Speech recognition, Speech comprehension scores, SPR treshold).</w:t>
      </w:r>
    </w:p>
    <w:p w14:paraId="5895EBDC" w14:textId="77777777" w:rsidR="00953E81" w:rsidRPr="009A1A2E" w:rsidRDefault="00953E81" w:rsidP="00953E81">
      <w:pPr>
        <w:pStyle w:val="Textbody"/>
        <w:ind w:left="720"/>
        <w:rPr>
          <w:lang w:val="en-AU"/>
        </w:rPr>
      </w:pPr>
      <w:r w:rsidRPr="009A1A2E">
        <w:rPr>
          <w:color w:val="333333"/>
          <w:lang w:val="en-AU"/>
        </w:rPr>
        <w:t xml:space="preserve">Is often carried out in </w:t>
      </w:r>
      <w:r w:rsidR="001D1553" w:rsidRPr="009A1A2E">
        <w:rPr>
          <w:color w:val="333333"/>
          <w:lang w:val="en-AU"/>
        </w:rPr>
        <w:t>f</w:t>
      </w:r>
      <w:r w:rsidRPr="009A1A2E">
        <w:rPr>
          <w:color w:val="333333"/>
          <w:lang w:val="en-AU"/>
        </w:rPr>
        <w:t>ree field. The most accepted measures for speech thresholds are the Speech Recognition Threshold (SRT) and the Speech Detection Threshold (SDT)</w:t>
      </w:r>
      <w:r w:rsidRPr="009A1A2E">
        <w:rPr>
          <w:b/>
          <w:bCs/>
          <w:color w:val="333333"/>
          <w:lang w:val="en-AU"/>
        </w:rPr>
        <w:t xml:space="preserve">. </w:t>
      </w:r>
      <w:r w:rsidRPr="009A1A2E">
        <w:rPr>
          <w:color w:val="333333"/>
          <w:lang w:val="en-AU"/>
        </w:rPr>
        <w:t>The most common materials for speech recognition testing are the monosyllabic words, the Central Institute of the Deaf W-22 (</w:t>
      </w:r>
      <w:r w:rsidRPr="009A1A2E">
        <w:rPr>
          <w:b/>
          <w:bCs/>
          <w:color w:val="333333"/>
          <w:lang w:val="en-AU"/>
        </w:rPr>
        <w:t xml:space="preserve">CID W-22) </w:t>
      </w:r>
      <w:r w:rsidRPr="009A1A2E">
        <w:rPr>
          <w:color w:val="333333"/>
          <w:lang w:val="en-AU"/>
        </w:rPr>
        <w:t>and the Northwestern University-6 (</w:t>
      </w:r>
      <w:r w:rsidRPr="009A1A2E">
        <w:rPr>
          <w:b/>
          <w:bCs/>
          <w:color w:val="333333"/>
          <w:lang w:val="en-AU"/>
        </w:rPr>
        <w:t>NU-6)</w:t>
      </w:r>
      <w:r w:rsidRPr="009A1A2E">
        <w:rPr>
          <w:color w:val="333333"/>
          <w:lang w:val="en-AU"/>
        </w:rPr>
        <w:t xml:space="preserve"> word list. There are other materials available for speech testing, ie nonsense material and sentence material. The two sentence procedures that are popular are the Hearing In Noise Test (HINT) and the QuickSIN. Other sentence tests that are available that have particular applications are the Synthetic Sentence Identification test (SSI), the Speech Perception and Noise test (SPIN), and the Connected Speech test. </w:t>
      </w:r>
      <w:r w:rsidRPr="009A1A2E">
        <w:rPr>
          <w:b/>
          <w:bCs/>
          <w:color w:val="333333"/>
          <w:lang w:val="en-AU"/>
        </w:rPr>
        <w:t xml:space="preserve">Quiet vs. Noise testing </w:t>
      </w:r>
      <w:r w:rsidRPr="009A1A2E">
        <w:rPr>
          <w:color w:val="333333"/>
          <w:lang w:val="en-AU"/>
        </w:rPr>
        <w:t xml:space="preserve">in speech recognition testing is another important factor to be measured. The effects of sensorineural hearing loss beyond the threshold loss, such as impaired frequency resolution or impaired temporal resolution, makes speech recognition performance in quiet a poor predictor for how those individuals will perform in noise. Speech recognition in noise is being promoted by a number of experts because adding noise improves the sensitivity of the test and the validity of the test. Giving the test at several levels will provide for a better separation between people who have hearing </w:t>
      </w:r>
      <w:r w:rsidRPr="009A1A2E">
        <w:rPr>
          <w:color w:val="333333"/>
          <w:lang w:val="en-AU"/>
        </w:rPr>
        <w:lastRenderedPageBreak/>
        <w:t>loss and those who have normal hearing. Individuals with hearing loss have a lot more difficulty with speech recognition in noise than those with normal hearing, and that those with sensorineural hearing loss often require a much greater signal-to-noise ratio (SNR), 10 to 15 better, than normal hearers.</w:t>
      </w:r>
    </w:p>
    <w:p w14:paraId="0A8635B6" w14:textId="77777777" w:rsidR="00953E81" w:rsidRPr="009A1A2E" w:rsidRDefault="00953E81" w:rsidP="00953E81">
      <w:pPr>
        <w:pStyle w:val="Textbody"/>
        <w:rPr>
          <w:lang w:val="en-AU"/>
        </w:rPr>
      </w:pPr>
    </w:p>
    <w:p w14:paraId="59C731FA" w14:textId="77777777" w:rsidR="00953E81" w:rsidRPr="009A1A2E" w:rsidRDefault="00953E81" w:rsidP="00B853EF">
      <w:pPr>
        <w:pStyle w:val="Textbody"/>
        <w:numPr>
          <w:ilvl w:val="0"/>
          <w:numId w:val="65"/>
        </w:numPr>
        <w:rPr>
          <w:lang w:val="en-AU"/>
        </w:rPr>
      </w:pPr>
      <w:r w:rsidRPr="009A1A2E">
        <w:rPr>
          <w:lang w:val="en-AU"/>
        </w:rPr>
        <w:t>Sound-field assessment</w:t>
      </w:r>
    </w:p>
    <w:p w14:paraId="49D519C3" w14:textId="77777777" w:rsidR="00953E81" w:rsidRPr="009A1A2E" w:rsidRDefault="00953E81" w:rsidP="001D1553">
      <w:pPr>
        <w:pStyle w:val="Textbody"/>
        <w:ind w:left="709"/>
        <w:rPr>
          <w:lang w:val="en-AU"/>
        </w:rPr>
      </w:pPr>
      <w:r w:rsidRPr="009A1A2E">
        <w:rPr>
          <w:lang w:val="en-AU"/>
        </w:rPr>
        <w:t>Stimuli are presented through loudspeakers and the testing is described as being performed “in (the) soundfield.” The soundfield can compromise different settings: ie free sound field, diffuse sound field or quasi-free sound field. It is important to recognize that soundfield audiometric testing is not ear-specific. That is, thresholds obtained by presenting the stimulus via loudspeakers will be heard by the better-hearing ear, should one ear hear better than the other. For example, an individual may have normal hearing in one ear and a mild to moderate hearing loss in the other ear. When tested in soundfield this individual will hear and respond to pure tones presented at 20 dB HL or lower.  A unilateral hearing loss cannot be assessed using soundfield testing.</w:t>
      </w:r>
    </w:p>
    <w:p w14:paraId="0F4A34CB" w14:textId="77777777" w:rsidR="00EE7656" w:rsidRPr="009A1A2E" w:rsidRDefault="00EE7656" w:rsidP="00953E81">
      <w:pPr>
        <w:pStyle w:val="Textbody"/>
        <w:rPr>
          <w:b/>
          <w:u w:val="single"/>
          <w:lang w:val="en-AU"/>
        </w:rPr>
      </w:pPr>
    </w:p>
    <w:p w14:paraId="2CD81941" w14:textId="77777777" w:rsidR="00EE7656" w:rsidRPr="009A1A2E" w:rsidRDefault="00EE7656" w:rsidP="001F36FD">
      <w:pPr>
        <w:pStyle w:val="Textbody"/>
        <w:rPr>
          <w:b/>
          <w:u w:val="single"/>
          <w:lang w:val="en-AU"/>
        </w:rPr>
      </w:pPr>
      <w:r w:rsidRPr="009A1A2E">
        <w:rPr>
          <w:b/>
          <w:u w:val="single"/>
          <w:lang w:val="en-AU"/>
        </w:rPr>
        <w:t>Safety outcomes:</w:t>
      </w:r>
    </w:p>
    <w:p w14:paraId="794D8D5B" w14:textId="77777777" w:rsidR="00EE7656" w:rsidRPr="009A1A2E" w:rsidRDefault="00EE7656" w:rsidP="001F36FD">
      <w:pPr>
        <w:pStyle w:val="Textbody"/>
        <w:rPr>
          <w:lang w:val="en-AU"/>
        </w:rPr>
      </w:pPr>
      <w:r w:rsidRPr="009A1A2E">
        <w:rPr>
          <w:lang w:val="en-AU"/>
        </w:rPr>
        <w:t xml:space="preserve">- </w:t>
      </w:r>
      <w:r w:rsidRPr="009A1A2E">
        <w:rPr>
          <w:lang w:val="en-AU"/>
        </w:rPr>
        <w:tab/>
        <w:t>Complications</w:t>
      </w:r>
    </w:p>
    <w:p w14:paraId="2F34C57C" w14:textId="77777777" w:rsidR="00EE7656" w:rsidRPr="009A1A2E" w:rsidRDefault="00EE7656" w:rsidP="001F36FD">
      <w:pPr>
        <w:pStyle w:val="Textbody"/>
        <w:rPr>
          <w:lang w:val="en-AU"/>
        </w:rPr>
      </w:pPr>
      <w:r w:rsidRPr="009A1A2E">
        <w:rPr>
          <w:lang w:val="en-AU"/>
        </w:rPr>
        <w:t>-</w:t>
      </w:r>
      <w:r w:rsidRPr="009A1A2E">
        <w:rPr>
          <w:lang w:val="en-AU"/>
        </w:rPr>
        <w:tab/>
        <w:t>Adverse events</w:t>
      </w:r>
    </w:p>
    <w:p w14:paraId="1688EF68" w14:textId="77777777" w:rsidR="00EE7656" w:rsidRPr="009A1A2E" w:rsidRDefault="00EE7656" w:rsidP="001F36FD">
      <w:pPr>
        <w:pStyle w:val="Textbody"/>
        <w:rPr>
          <w:lang w:val="en-AU"/>
        </w:rPr>
      </w:pPr>
      <w:r w:rsidRPr="009A1A2E">
        <w:rPr>
          <w:lang w:val="en-AU"/>
        </w:rPr>
        <w:t xml:space="preserve">- </w:t>
      </w:r>
      <w:r w:rsidRPr="009A1A2E">
        <w:rPr>
          <w:lang w:val="en-AU"/>
        </w:rPr>
        <w:tab/>
        <w:t>Infection rates</w:t>
      </w:r>
    </w:p>
    <w:p w14:paraId="1E551597" w14:textId="77777777" w:rsidR="00EE7656" w:rsidRPr="009A1A2E" w:rsidRDefault="00EE7656" w:rsidP="001F36FD">
      <w:pPr>
        <w:pStyle w:val="Textbody"/>
        <w:rPr>
          <w:lang w:val="en-AU"/>
        </w:rPr>
      </w:pPr>
      <w:r w:rsidRPr="009A1A2E">
        <w:rPr>
          <w:lang w:val="en-AU"/>
        </w:rPr>
        <w:t xml:space="preserve">- </w:t>
      </w:r>
      <w:r w:rsidRPr="009A1A2E">
        <w:rPr>
          <w:lang w:val="en-AU"/>
        </w:rPr>
        <w:tab/>
        <w:t>Taste disturbance</w:t>
      </w:r>
    </w:p>
    <w:p w14:paraId="412A0D29" w14:textId="77777777" w:rsidR="00EE7656" w:rsidRPr="009A1A2E" w:rsidRDefault="00EE7656" w:rsidP="001F36FD">
      <w:pPr>
        <w:pStyle w:val="Textbody"/>
        <w:rPr>
          <w:lang w:val="en-AU"/>
        </w:rPr>
      </w:pPr>
      <w:r w:rsidRPr="009A1A2E">
        <w:rPr>
          <w:lang w:val="en-AU"/>
        </w:rPr>
        <w:t xml:space="preserve">- </w:t>
      </w:r>
      <w:r w:rsidRPr="009A1A2E">
        <w:rPr>
          <w:lang w:val="en-AU"/>
        </w:rPr>
        <w:tab/>
        <w:t>Fibrosis</w:t>
      </w:r>
    </w:p>
    <w:p w14:paraId="0547A66E" w14:textId="77777777" w:rsidR="00EE7656" w:rsidRPr="009A1A2E" w:rsidRDefault="00EE7656" w:rsidP="001F36FD">
      <w:pPr>
        <w:pStyle w:val="Textbody"/>
        <w:rPr>
          <w:lang w:val="en-AU"/>
        </w:rPr>
      </w:pPr>
      <w:r w:rsidRPr="009A1A2E">
        <w:rPr>
          <w:lang w:val="en-AU"/>
        </w:rPr>
        <w:t xml:space="preserve">- </w:t>
      </w:r>
      <w:r w:rsidRPr="009A1A2E">
        <w:rPr>
          <w:lang w:val="en-AU"/>
        </w:rPr>
        <w:tab/>
        <w:t>Aural fullness</w:t>
      </w:r>
    </w:p>
    <w:p w14:paraId="28C876D8" w14:textId="77777777" w:rsidR="00EE7656" w:rsidRPr="009A1A2E" w:rsidRDefault="00EE7656" w:rsidP="001F36FD">
      <w:pPr>
        <w:pStyle w:val="Textbody"/>
        <w:rPr>
          <w:lang w:val="en-AU"/>
        </w:rPr>
      </w:pPr>
      <w:r w:rsidRPr="009A1A2E">
        <w:rPr>
          <w:lang w:val="en-AU"/>
        </w:rPr>
        <w:t xml:space="preserve">- </w:t>
      </w:r>
      <w:r w:rsidRPr="009A1A2E">
        <w:rPr>
          <w:lang w:val="en-AU"/>
        </w:rPr>
        <w:tab/>
        <w:t>Acoustic trauma</w:t>
      </w:r>
    </w:p>
    <w:p w14:paraId="2D840EBE" w14:textId="77777777" w:rsidR="00EE7656" w:rsidRPr="009A1A2E" w:rsidRDefault="00EE7656" w:rsidP="001F36FD">
      <w:pPr>
        <w:pStyle w:val="Textbody"/>
        <w:rPr>
          <w:lang w:val="en-AU"/>
        </w:rPr>
      </w:pPr>
      <w:r w:rsidRPr="009A1A2E">
        <w:rPr>
          <w:lang w:val="en-AU"/>
        </w:rPr>
        <w:t xml:space="preserve">- </w:t>
      </w:r>
      <w:r w:rsidRPr="009A1A2E">
        <w:rPr>
          <w:lang w:val="en-AU"/>
        </w:rPr>
        <w:tab/>
        <w:t>Dizziness</w:t>
      </w:r>
    </w:p>
    <w:p w14:paraId="3E36536F" w14:textId="77777777" w:rsidR="00EE7656" w:rsidRPr="009A1A2E" w:rsidRDefault="00EE7656" w:rsidP="001F36FD">
      <w:pPr>
        <w:pStyle w:val="Textbody"/>
        <w:rPr>
          <w:lang w:val="en-AU"/>
        </w:rPr>
      </w:pPr>
      <w:r w:rsidRPr="009A1A2E">
        <w:rPr>
          <w:lang w:val="en-AU"/>
        </w:rPr>
        <w:t xml:space="preserve">- </w:t>
      </w:r>
      <w:r w:rsidRPr="009A1A2E">
        <w:rPr>
          <w:lang w:val="en-AU"/>
        </w:rPr>
        <w:tab/>
        <w:t>Damage to the middle ear</w:t>
      </w:r>
    </w:p>
    <w:p w14:paraId="452B9CF2" w14:textId="77777777" w:rsidR="00EE7656" w:rsidRPr="009A1A2E" w:rsidRDefault="00EE7656" w:rsidP="001F36FD">
      <w:pPr>
        <w:pStyle w:val="Textbody"/>
        <w:rPr>
          <w:lang w:val="en-AU"/>
        </w:rPr>
      </w:pPr>
      <w:r w:rsidRPr="009A1A2E">
        <w:rPr>
          <w:lang w:val="en-AU"/>
        </w:rPr>
        <w:t xml:space="preserve">- </w:t>
      </w:r>
      <w:r w:rsidRPr="009A1A2E">
        <w:rPr>
          <w:lang w:val="en-AU"/>
        </w:rPr>
        <w:tab/>
        <w:t>Revision surgery</w:t>
      </w:r>
    </w:p>
    <w:p w14:paraId="3530BEAA" w14:textId="77777777" w:rsidR="00EE7656" w:rsidRPr="009A1A2E" w:rsidRDefault="00EE7656" w:rsidP="001F36FD">
      <w:pPr>
        <w:pStyle w:val="Textbody"/>
        <w:rPr>
          <w:lang w:val="en-AU"/>
        </w:rPr>
      </w:pPr>
      <w:r w:rsidRPr="009A1A2E">
        <w:rPr>
          <w:lang w:val="en-AU"/>
        </w:rPr>
        <w:t xml:space="preserve">- </w:t>
      </w:r>
      <w:r w:rsidRPr="009A1A2E">
        <w:rPr>
          <w:lang w:val="en-AU"/>
        </w:rPr>
        <w:tab/>
        <w:t>Explant rate</w:t>
      </w:r>
    </w:p>
    <w:p w14:paraId="2A0F55ED" w14:textId="77777777" w:rsidR="00EE7656" w:rsidRPr="009A1A2E" w:rsidRDefault="00EE7656" w:rsidP="001F36FD">
      <w:pPr>
        <w:pStyle w:val="Textbody"/>
        <w:rPr>
          <w:lang w:val="en-AU"/>
        </w:rPr>
      </w:pPr>
      <w:r w:rsidRPr="009A1A2E">
        <w:rPr>
          <w:lang w:val="en-AU"/>
        </w:rPr>
        <w:t xml:space="preserve">- </w:t>
      </w:r>
      <w:r w:rsidRPr="009A1A2E">
        <w:rPr>
          <w:lang w:val="en-AU"/>
        </w:rPr>
        <w:tab/>
        <w:t>Device failure</w:t>
      </w:r>
    </w:p>
    <w:p w14:paraId="29603A98" w14:textId="77777777" w:rsidR="004F40AE" w:rsidRPr="009A1A2E" w:rsidRDefault="00EE7656" w:rsidP="00C85BA6">
      <w:pPr>
        <w:pStyle w:val="Textbody"/>
        <w:rPr>
          <w:lang w:val="en-AU"/>
        </w:rPr>
      </w:pPr>
      <w:r w:rsidRPr="009A1A2E">
        <w:rPr>
          <w:lang w:val="en-AU"/>
        </w:rPr>
        <w:t xml:space="preserve">- </w:t>
      </w:r>
      <w:r w:rsidRPr="009A1A2E">
        <w:rPr>
          <w:lang w:val="en-AU"/>
        </w:rPr>
        <w:tab/>
        <w:t>Mortalit</w:t>
      </w:r>
      <w:bookmarkEnd w:id="406"/>
      <w:bookmarkEnd w:id="407"/>
      <w:bookmarkEnd w:id="408"/>
      <w:bookmarkEnd w:id="409"/>
      <w:bookmarkEnd w:id="410"/>
      <w:bookmarkEnd w:id="411"/>
      <w:r w:rsidR="00C85BA6" w:rsidRPr="009A1A2E">
        <w:rPr>
          <w:lang w:val="en-AU"/>
        </w:rPr>
        <w:t>y</w:t>
      </w:r>
    </w:p>
    <w:p w14:paraId="6BB4965C" w14:textId="77777777" w:rsidR="00C85BA6" w:rsidRDefault="00C85BA6" w:rsidP="00C85BA6">
      <w:pPr>
        <w:pStyle w:val="Textbody"/>
        <w:rPr>
          <w:lang w:val="en-AU"/>
        </w:rPr>
      </w:pPr>
    </w:p>
    <w:p w14:paraId="09F929A8" w14:textId="77777777" w:rsidR="00C67966" w:rsidRDefault="00C67966">
      <w:pPr>
        <w:rPr>
          <w:rFonts w:eastAsiaTheme="majorEastAsia"/>
          <w:b/>
          <w:bCs/>
          <w:sz w:val="32"/>
          <w:szCs w:val="32"/>
          <w:lang w:val="x-none"/>
        </w:rPr>
      </w:pPr>
      <w:r>
        <w:rPr>
          <w:rFonts w:eastAsiaTheme="majorEastAsia"/>
        </w:rPr>
        <w:br w:type="page"/>
      </w:r>
    </w:p>
    <w:p w14:paraId="36BFCA9A" w14:textId="77777777" w:rsidR="00C67966" w:rsidRPr="0099355D" w:rsidRDefault="0099355D" w:rsidP="0099355D">
      <w:pPr>
        <w:pStyle w:val="Heading20"/>
        <w:rPr>
          <w:rFonts w:eastAsiaTheme="majorEastAsia"/>
        </w:rPr>
      </w:pPr>
      <w:bookmarkStart w:id="427" w:name="_Toc431917574"/>
      <w:r w:rsidRPr="0099355D">
        <w:rPr>
          <w:rFonts w:eastAsiaTheme="majorEastAsia"/>
        </w:rPr>
        <w:lastRenderedPageBreak/>
        <w:t>B.6</w:t>
      </w:r>
      <w:r w:rsidRPr="0099355D">
        <w:rPr>
          <w:rFonts w:eastAsiaTheme="majorEastAsia"/>
        </w:rPr>
        <w:tab/>
      </w:r>
      <w:r w:rsidR="00596935" w:rsidRPr="0099355D">
        <w:rPr>
          <w:rFonts w:eastAsiaTheme="majorEastAsia"/>
        </w:rPr>
        <w:t>Systematic overview of the results of the non-randomised studies</w:t>
      </w:r>
      <w:bookmarkEnd w:id="427"/>
    </w:p>
    <w:p w14:paraId="76CC551A" w14:textId="77777777" w:rsidR="00596935" w:rsidRPr="00596935" w:rsidRDefault="001C7CE7" w:rsidP="00C67966">
      <w:pPr>
        <w:pStyle w:val="Heading30"/>
        <w:rPr>
          <w:rFonts w:eastAsiaTheme="minorHAnsi"/>
          <w:lang w:eastAsia="en-US"/>
        </w:rPr>
      </w:pPr>
      <w:bookmarkStart w:id="428" w:name="_Toc431917575"/>
      <w:r>
        <w:rPr>
          <w:rFonts w:eastAsiaTheme="minorHAnsi"/>
          <w:lang w:eastAsia="en-US"/>
        </w:rPr>
        <w:t>B.6.1</w:t>
      </w:r>
      <w:r w:rsidRPr="004B68D2">
        <w:rPr>
          <w:rFonts w:eastAsiaTheme="minorHAnsi"/>
          <w:lang w:val="en-US" w:eastAsia="en-US"/>
        </w:rPr>
        <w:tab/>
      </w:r>
      <w:r w:rsidR="00596935" w:rsidRPr="00596935">
        <w:rPr>
          <w:rFonts w:eastAsiaTheme="minorHAnsi"/>
          <w:lang w:eastAsia="en-US"/>
        </w:rPr>
        <w:t>Efficacy outcomes</w:t>
      </w:r>
      <w:bookmarkEnd w:id="428"/>
    </w:p>
    <w:p w14:paraId="17E9BA83" w14:textId="77777777" w:rsidR="00596935" w:rsidRDefault="00596935" w:rsidP="00C67966">
      <w:pPr>
        <w:pStyle w:val="Textbody"/>
        <w:rPr>
          <w:rFonts w:eastAsiaTheme="minorHAnsi"/>
        </w:rPr>
      </w:pPr>
      <w:r w:rsidRPr="00596935">
        <w:rPr>
          <w:rFonts w:eastAsiaTheme="minorHAnsi"/>
        </w:rPr>
        <w:t>This section presents the evidence for the effectiveness of partially-implantable MEI in treating patients with sensorineural hearing loss and a medical condition in the outer ear preventing the use of conventional hearing aids. This will be followed by the evidence for comparable MEI in treating patients with a sensorineural hearing loss only.</w:t>
      </w:r>
    </w:p>
    <w:p w14:paraId="7CA4F500" w14:textId="77777777" w:rsidR="00C67966" w:rsidRPr="00596935" w:rsidRDefault="00C67966" w:rsidP="00C67966">
      <w:pPr>
        <w:pStyle w:val="Textbody"/>
        <w:rPr>
          <w:rFonts w:eastAsiaTheme="minorHAnsi"/>
        </w:rPr>
      </w:pPr>
    </w:p>
    <w:p w14:paraId="5F57F0CB" w14:textId="77777777" w:rsidR="00596935" w:rsidRPr="00C67966" w:rsidRDefault="00596935" w:rsidP="00C67966">
      <w:pPr>
        <w:pStyle w:val="Textbody"/>
        <w:rPr>
          <w:rFonts w:eastAsiaTheme="minorHAnsi"/>
          <w:b/>
          <w:i/>
        </w:rPr>
      </w:pPr>
      <w:r w:rsidRPr="00C67966">
        <w:rPr>
          <w:rFonts w:eastAsiaTheme="minorHAnsi"/>
          <w:b/>
          <w:i/>
        </w:rPr>
        <w:t>Functional gain</w:t>
      </w:r>
    </w:p>
    <w:p w14:paraId="4BBD75E2" w14:textId="77777777" w:rsidR="00596935" w:rsidRPr="00596935" w:rsidRDefault="00596935" w:rsidP="00C67966">
      <w:pPr>
        <w:pStyle w:val="Textbody"/>
        <w:rPr>
          <w:rFonts w:eastAsiaTheme="minorHAnsi"/>
        </w:rPr>
      </w:pPr>
      <w:r w:rsidRPr="00596935">
        <w:rPr>
          <w:rFonts w:eastAsiaTheme="minorHAnsi"/>
        </w:rPr>
        <w:t>16 studies measured the functional gain of the Vibrant Soundbridge in a total of 377 adult patients. Functional gain was calculated using the hearing thresholds at 0.5, 1, 2 and 4 kHz; and the mean gain measured by individual studies ranged from 9.5 dB to 33.4 dB. The pooled average was 24,04 dB (SD 6,51 dB). Considering a difference of 10 dB or more indicating a clinically significant shift in hearing thresholds, it can be said that the VSB leads to significantly better hearing compared to unaided hearing. The results of individual studies is present</w:t>
      </w:r>
      <w:r>
        <w:rPr>
          <w:rFonts w:eastAsiaTheme="minorHAnsi"/>
        </w:rPr>
        <w:t>ed i</w:t>
      </w:r>
      <w:r w:rsidR="00D77AE9">
        <w:rPr>
          <w:rFonts w:eastAsiaTheme="minorHAnsi"/>
        </w:rPr>
        <w:t xml:space="preserve">n </w:t>
      </w:r>
      <w:r w:rsidR="00D77AE9">
        <w:rPr>
          <w:rFonts w:eastAsiaTheme="minorHAnsi"/>
        </w:rPr>
        <w:fldChar w:fldCharType="begin"/>
      </w:r>
      <w:r w:rsidR="00D77AE9">
        <w:rPr>
          <w:rFonts w:eastAsiaTheme="minorHAnsi"/>
        </w:rPr>
        <w:instrText xml:space="preserve"> REF _Ref400643456 \h </w:instrText>
      </w:r>
      <w:r w:rsidR="00C67966">
        <w:rPr>
          <w:rFonts w:eastAsiaTheme="minorHAnsi"/>
        </w:rPr>
        <w:instrText xml:space="preserve"> \* MERGEFORMAT </w:instrText>
      </w:r>
      <w:r w:rsidR="00D77AE9">
        <w:rPr>
          <w:rFonts w:eastAsiaTheme="minorHAnsi"/>
        </w:rPr>
      </w:r>
      <w:r w:rsidR="00D77AE9">
        <w:rPr>
          <w:rFonts w:eastAsiaTheme="minorHAnsi"/>
        </w:rPr>
        <w:fldChar w:fldCharType="separate"/>
      </w:r>
      <w:r w:rsidR="00016592" w:rsidRPr="00C67966">
        <w:t xml:space="preserve">Table </w:t>
      </w:r>
      <w:r w:rsidR="00016592">
        <w:rPr>
          <w:noProof/>
        </w:rPr>
        <w:t>16</w:t>
      </w:r>
      <w:r w:rsidR="00016592" w:rsidRPr="00A83F80">
        <w:t xml:space="preserve"> - </w:t>
      </w:r>
      <w:r w:rsidR="00016592" w:rsidRPr="00C67966">
        <w:rPr>
          <w:rFonts w:eastAsiaTheme="minorHAnsi"/>
          <w:lang w:val="en-GB" w:eastAsia="en-US"/>
        </w:rPr>
        <w:t>Functional gain VSB</w:t>
      </w:r>
      <w:r w:rsidR="00D77AE9">
        <w:rPr>
          <w:rFonts w:eastAsiaTheme="minorHAnsi"/>
        </w:rPr>
        <w:fldChar w:fldCharType="end"/>
      </w:r>
      <w:r w:rsidR="00D77AE9">
        <w:rPr>
          <w:rFonts w:eastAsiaTheme="minorHAnsi"/>
        </w:rPr>
        <w:t>.</w:t>
      </w:r>
    </w:p>
    <w:p w14:paraId="3E604CA6" w14:textId="77777777" w:rsidR="00596935" w:rsidRPr="00596935" w:rsidRDefault="00596935" w:rsidP="00C67966">
      <w:pPr>
        <w:pStyle w:val="Textbody"/>
        <w:rPr>
          <w:rFonts w:eastAsiaTheme="minorHAnsi"/>
        </w:rPr>
      </w:pPr>
    </w:p>
    <w:p w14:paraId="0F694537" w14:textId="77777777" w:rsidR="00596935" w:rsidRPr="00C67966" w:rsidRDefault="00596935" w:rsidP="007F6475">
      <w:pPr>
        <w:pStyle w:val="Caption"/>
        <w:rPr>
          <w:rFonts w:ascii="Arial" w:eastAsiaTheme="minorHAnsi" w:hAnsi="Arial" w:cs="Arial"/>
          <w:lang w:val="en-GB" w:eastAsia="en-US"/>
        </w:rPr>
      </w:pPr>
      <w:bookmarkStart w:id="429" w:name="_Ref400643428"/>
      <w:bookmarkStart w:id="430" w:name="_Ref400643456"/>
      <w:bookmarkStart w:id="431" w:name="_Toc431917476"/>
      <w:r w:rsidRPr="00C67966">
        <w:rPr>
          <w:rFonts w:ascii="Arial" w:hAnsi="Arial" w:cs="Arial"/>
        </w:rPr>
        <w:t xml:space="preserve">Table </w:t>
      </w:r>
      <w:r w:rsidRPr="00C67966">
        <w:rPr>
          <w:rFonts w:ascii="Arial" w:hAnsi="Arial" w:cs="Arial"/>
        </w:rPr>
        <w:fldChar w:fldCharType="begin"/>
      </w:r>
      <w:r w:rsidRPr="00C67966">
        <w:rPr>
          <w:rFonts w:ascii="Arial" w:hAnsi="Arial" w:cs="Arial"/>
        </w:rPr>
        <w:instrText xml:space="preserve"> SEQ Table \* ARABIC </w:instrText>
      </w:r>
      <w:r w:rsidRPr="00C67966">
        <w:rPr>
          <w:rFonts w:ascii="Arial" w:hAnsi="Arial" w:cs="Arial"/>
        </w:rPr>
        <w:fldChar w:fldCharType="separate"/>
      </w:r>
      <w:r w:rsidR="00016592">
        <w:rPr>
          <w:rFonts w:ascii="Arial" w:hAnsi="Arial" w:cs="Arial"/>
          <w:noProof/>
        </w:rPr>
        <w:t>16</w:t>
      </w:r>
      <w:r w:rsidRPr="00C67966">
        <w:rPr>
          <w:rFonts w:ascii="Arial" w:hAnsi="Arial" w:cs="Arial"/>
        </w:rPr>
        <w:fldChar w:fldCharType="end"/>
      </w:r>
      <w:bookmarkEnd w:id="429"/>
      <w:r w:rsidRPr="00A83F80">
        <w:rPr>
          <w:rFonts w:ascii="Arial" w:hAnsi="Arial" w:cs="Arial"/>
          <w:lang w:val="en-US"/>
        </w:rPr>
        <w:t xml:space="preserve"> - </w:t>
      </w:r>
      <w:r w:rsidRPr="00C67966">
        <w:rPr>
          <w:rFonts w:ascii="Arial" w:eastAsiaTheme="minorHAnsi" w:hAnsi="Arial" w:cs="Arial"/>
          <w:lang w:val="en-GB" w:eastAsia="en-US"/>
        </w:rPr>
        <w:t>Functional gain VSB</w:t>
      </w:r>
      <w:bookmarkEnd w:id="430"/>
      <w:bookmarkEnd w:id="431"/>
    </w:p>
    <w:tbl>
      <w:tblPr>
        <w:tblW w:w="5193" w:type="pct"/>
        <w:tblCellMar>
          <w:left w:w="70" w:type="dxa"/>
          <w:right w:w="70" w:type="dxa"/>
        </w:tblCellMar>
        <w:tblLook w:val="04A0" w:firstRow="1" w:lastRow="0" w:firstColumn="1" w:lastColumn="0" w:noHBand="0" w:noVBand="1"/>
        <w:tblDescription w:val="Functional gain VSB"/>
      </w:tblPr>
      <w:tblGrid>
        <w:gridCol w:w="1033"/>
        <w:gridCol w:w="365"/>
        <w:gridCol w:w="1026"/>
        <w:gridCol w:w="1315"/>
        <w:gridCol w:w="873"/>
        <w:gridCol w:w="576"/>
        <w:gridCol w:w="756"/>
        <w:gridCol w:w="532"/>
        <w:gridCol w:w="656"/>
        <w:gridCol w:w="356"/>
        <w:gridCol w:w="836"/>
        <w:gridCol w:w="817"/>
        <w:gridCol w:w="427"/>
      </w:tblGrid>
      <w:tr w:rsidR="00596935" w:rsidRPr="00596935" w14:paraId="6BD34B62" w14:textId="77777777" w:rsidTr="00596935">
        <w:trPr>
          <w:trHeight w:val="945"/>
        </w:trPr>
        <w:tc>
          <w:tcPr>
            <w:tcW w:w="540" w:type="pct"/>
            <w:vMerge w:val="restart"/>
            <w:tcBorders>
              <w:top w:val="single" w:sz="8" w:space="0" w:color="auto"/>
              <w:left w:val="single" w:sz="8" w:space="0" w:color="auto"/>
              <w:bottom w:val="single" w:sz="8" w:space="0" w:color="000000"/>
              <w:right w:val="nil"/>
            </w:tcBorders>
            <w:shd w:val="clear" w:color="000000" w:fill="D9D9D9"/>
            <w:vAlign w:val="center"/>
            <w:hideMark/>
          </w:tcPr>
          <w:p w14:paraId="5490F857" w14:textId="77777777" w:rsidR="00596935" w:rsidRPr="00596935" w:rsidRDefault="00596935" w:rsidP="00596935">
            <w:pPr>
              <w:jc w:val="center"/>
              <w:rPr>
                <w:rFonts w:cs="Arial"/>
                <w:b/>
                <w:bCs/>
                <w:i/>
                <w:iCs/>
                <w:sz w:val="20"/>
                <w:szCs w:val="20"/>
                <w:lang w:val="de-AT" w:eastAsia="de-AT"/>
              </w:rPr>
            </w:pPr>
            <w:r w:rsidRPr="00596935">
              <w:rPr>
                <w:rFonts w:cs="Arial"/>
                <w:b/>
                <w:bCs/>
                <w:i/>
                <w:iCs/>
                <w:sz w:val="20"/>
                <w:szCs w:val="20"/>
                <w:lang w:val="de-AT" w:eastAsia="de-AT"/>
              </w:rPr>
              <w:t>author</w:t>
            </w:r>
          </w:p>
        </w:tc>
        <w:tc>
          <w:tcPr>
            <w:tcW w:w="191"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589405A2" w14:textId="77777777" w:rsidR="00596935" w:rsidRPr="00596935" w:rsidRDefault="00596935" w:rsidP="00596935">
            <w:pPr>
              <w:jc w:val="center"/>
              <w:rPr>
                <w:rFonts w:cs="Arial"/>
                <w:b/>
                <w:bCs/>
                <w:sz w:val="20"/>
                <w:szCs w:val="20"/>
                <w:lang w:val="de-AT" w:eastAsia="de-AT"/>
              </w:rPr>
            </w:pPr>
            <w:r w:rsidRPr="00596935">
              <w:rPr>
                <w:rFonts w:cs="Arial"/>
                <w:b/>
                <w:bCs/>
                <w:sz w:val="20"/>
                <w:szCs w:val="20"/>
                <w:lang w:val="de-AT" w:eastAsia="de-AT"/>
              </w:rPr>
              <w:t>n</w:t>
            </w:r>
          </w:p>
        </w:tc>
        <w:tc>
          <w:tcPr>
            <w:tcW w:w="536" w:type="pct"/>
            <w:vMerge w:val="restart"/>
            <w:tcBorders>
              <w:top w:val="single" w:sz="8" w:space="0" w:color="auto"/>
              <w:left w:val="nil"/>
              <w:bottom w:val="single" w:sz="8" w:space="0" w:color="000000"/>
              <w:right w:val="single" w:sz="8" w:space="0" w:color="000000"/>
            </w:tcBorders>
            <w:shd w:val="clear" w:color="000000" w:fill="D9D9D9"/>
            <w:vAlign w:val="center"/>
            <w:hideMark/>
          </w:tcPr>
          <w:p w14:paraId="41A9047F" w14:textId="77777777" w:rsidR="00596935" w:rsidRPr="00596935" w:rsidRDefault="00596935" w:rsidP="00596935">
            <w:pPr>
              <w:jc w:val="center"/>
              <w:rPr>
                <w:rFonts w:cs="Arial"/>
                <w:b/>
                <w:bCs/>
                <w:sz w:val="20"/>
                <w:szCs w:val="20"/>
                <w:lang w:val="de-AT" w:eastAsia="de-AT"/>
              </w:rPr>
            </w:pPr>
            <w:r w:rsidRPr="00596935">
              <w:rPr>
                <w:rFonts w:cs="Arial"/>
                <w:b/>
                <w:bCs/>
                <w:sz w:val="20"/>
                <w:szCs w:val="20"/>
                <w:lang w:val="de-AT" w:eastAsia="de-AT"/>
              </w:rPr>
              <w:t>follow up</w:t>
            </w:r>
          </w:p>
        </w:tc>
        <w:tc>
          <w:tcPr>
            <w:tcW w:w="687" w:type="pct"/>
            <w:vMerge w:val="restart"/>
            <w:tcBorders>
              <w:top w:val="single" w:sz="8" w:space="0" w:color="auto"/>
              <w:left w:val="single" w:sz="8" w:space="0" w:color="000000"/>
              <w:bottom w:val="single" w:sz="8" w:space="0" w:color="000000"/>
              <w:right w:val="nil"/>
            </w:tcBorders>
            <w:shd w:val="clear" w:color="000000" w:fill="D9D9D9"/>
            <w:vAlign w:val="center"/>
            <w:hideMark/>
          </w:tcPr>
          <w:p w14:paraId="0C1E6484" w14:textId="77777777" w:rsidR="00596935" w:rsidRPr="00596935" w:rsidRDefault="00596935" w:rsidP="00596935">
            <w:pPr>
              <w:jc w:val="center"/>
              <w:rPr>
                <w:rFonts w:cs="Arial"/>
                <w:b/>
                <w:bCs/>
                <w:sz w:val="20"/>
                <w:szCs w:val="20"/>
                <w:lang w:val="de-AT" w:eastAsia="de-AT"/>
              </w:rPr>
            </w:pPr>
            <w:r w:rsidRPr="00596935">
              <w:rPr>
                <w:rFonts w:cs="Arial"/>
                <w:b/>
                <w:bCs/>
                <w:sz w:val="20"/>
                <w:szCs w:val="20"/>
                <w:lang w:val="de-AT" w:eastAsia="de-AT"/>
              </w:rPr>
              <w:t>PTA calculation</w:t>
            </w:r>
          </w:p>
        </w:tc>
        <w:tc>
          <w:tcPr>
            <w:tcW w:w="757" w:type="pct"/>
            <w:gridSpan w:val="2"/>
            <w:tcBorders>
              <w:top w:val="single" w:sz="8" w:space="0" w:color="auto"/>
              <w:left w:val="single" w:sz="8" w:space="0" w:color="auto"/>
              <w:bottom w:val="single" w:sz="8" w:space="0" w:color="auto"/>
              <w:right w:val="single" w:sz="8" w:space="0" w:color="000000"/>
            </w:tcBorders>
            <w:shd w:val="clear" w:color="000000" w:fill="F2DCDB"/>
            <w:vAlign w:val="center"/>
            <w:hideMark/>
          </w:tcPr>
          <w:p w14:paraId="0502D068" w14:textId="77777777" w:rsidR="00596935" w:rsidRPr="00596935" w:rsidRDefault="00596935" w:rsidP="00596935">
            <w:pPr>
              <w:jc w:val="center"/>
              <w:rPr>
                <w:rFonts w:cs="Arial"/>
                <w:b/>
                <w:bCs/>
                <w:sz w:val="20"/>
                <w:szCs w:val="20"/>
                <w:lang w:val="de-AT" w:eastAsia="de-AT"/>
              </w:rPr>
            </w:pPr>
            <w:r w:rsidRPr="00596935">
              <w:rPr>
                <w:rFonts w:cs="Arial"/>
                <w:b/>
                <w:bCs/>
                <w:sz w:val="20"/>
                <w:szCs w:val="20"/>
                <w:lang w:val="de-AT" w:eastAsia="de-AT"/>
              </w:rPr>
              <w:t>unaided Thresholds</w:t>
            </w:r>
          </w:p>
        </w:tc>
        <w:tc>
          <w:tcPr>
            <w:tcW w:w="1202" w:type="pct"/>
            <w:gridSpan w:val="4"/>
            <w:tcBorders>
              <w:top w:val="single" w:sz="8" w:space="0" w:color="auto"/>
              <w:left w:val="nil"/>
              <w:bottom w:val="single" w:sz="8" w:space="0" w:color="auto"/>
              <w:right w:val="single" w:sz="8" w:space="0" w:color="000000"/>
            </w:tcBorders>
            <w:shd w:val="clear" w:color="000000" w:fill="F2DCDB"/>
            <w:vAlign w:val="center"/>
            <w:hideMark/>
          </w:tcPr>
          <w:p w14:paraId="5801DEF3" w14:textId="77777777" w:rsidR="00596935" w:rsidRPr="00596935" w:rsidRDefault="00596935" w:rsidP="00596935">
            <w:pPr>
              <w:jc w:val="center"/>
              <w:rPr>
                <w:rFonts w:cs="Arial"/>
                <w:b/>
                <w:bCs/>
                <w:sz w:val="20"/>
                <w:szCs w:val="20"/>
                <w:lang w:val="de-AT" w:eastAsia="de-AT"/>
              </w:rPr>
            </w:pPr>
            <w:r w:rsidRPr="00596935">
              <w:rPr>
                <w:rFonts w:cs="Arial"/>
                <w:b/>
                <w:bCs/>
                <w:sz w:val="20"/>
                <w:szCs w:val="20"/>
                <w:lang w:val="de-AT" w:eastAsia="de-AT"/>
              </w:rPr>
              <w:t>Device Thresholds</w:t>
            </w:r>
          </w:p>
        </w:tc>
        <w:tc>
          <w:tcPr>
            <w:tcW w:w="1087" w:type="pct"/>
            <w:gridSpan w:val="3"/>
            <w:tcBorders>
              <w:top w:val="single" w:sz="8" w:space="0" w:color="auto"/>
              <w:left w:val="nil"/>
              <w:bottom w:val="single" w:sz="8" w:space="0" w:color="auto"/>
              <w:right w:val="single" w:sz="8" w:space="0" w:color="000000"/>
            </w:tcBorders>
            <w:shd w:val="clear" w:color="000000" w:fill="F2DCDB"/>
            <w:vAlign w:val="center"/>
            <w:hideMark/>
          </w:tcPr>
          <w:p w14:paraId="5AD300D1" w14:textId="77777777" w:rsidR="00596935" w:rsidRPr="00596935" w:rsidRDefault="00596935" w:rsidP="00596935">
            <w:pPr>
              <w:jc w:val="center"/>
              <w:rPr>
                <w:rFonts w:cs="Arial"/>
                <w:b/>
                <w:bCs/>
                <w:sz w:val="20"/>
                <w:szCs w:val="20"/>
                <w:lang w:val="de-AT" w:eastAsia="de-AT"/>
              </w:rPr>
            </w:pPr>
            <w:r w:rsidRPr="00596935">
              <w:rPr>
                <w:rFonts w:cs="Arial"/>
                <w:b/>
                <w:bCs/>
                <w:sz w:val="20"/>
                <w:szCs w:val="20"/>
                <w:lang w:val="de-AT" w:eastAsia="de-AT"/>
              </w:rPr>
              <w:t xml:space="preserve">Functional Gain </w:t>
            </w:r>
            <w:r w:rsidRPr="00596935">
              <w:rPr>
                <w:rFonts w:cs="Arial"/>
                <w:b/>
                <w:bCs/>
                <w:sz w:val="20"/>
                <w:szCs w:val="20"/>
                <w:lang w:val="de-AT" w:eastAsia="de-AT"/>
              </w:rPr>
              <w:br/>
              <w:t>(unaided</w:t>
            </w:r>
            <w:r w:rsidRPr="00596935">
              <w:rPr>
                <w:rFonts w:cs="Arial"/>
                <w:b/>
                <w:bCs/>
                <w:sz w:val="20"/>
                <w:szCs w:val="20"/>
                <w:vertAlign w:val="subscript"/>
                <w:lang w:val="de-AT" w:eastAsia="de-AT"/>
              </w:rPr>
              <w:t>mean</w:t>
            </w:r>
            <w:r w:rsidRPr="00596935">
              <w:rPr>
                <w:rFonts w:cs="Arial"/>
                <w:b/>
                <w:bCs/>
                <w:sz w:val="20"/>
                <w:szCs w:val="20"/>
                <w:lang w:val="de-AT" w:eastAsia="de-AT"/>
              </w:rPr>
              <w:t xml:space="preserve"> - device</w:t>
            </w:r>
            <w:r w:rsidRPr="00596935">
              <w:rPr>
                <w:rFonts w:cs="Arial"/>
                <w:b/>
                <w:bCs/>
                <w:sz w:val="20"/>
                <w:szCs w:val="20"/>
                <w:vertAlign w:val="subscript"/>
                <w:lang w:val="de-AT" w:eastAsia="de-AT"/>
              </w:rPr>
              <w:t>mean</w:t>
            </w:r>
            <w:r w:rsidRPr="00596935">
              <w:rPr>
                <w:rFonts w:cs="Arial"/>
                <w:b/>
                <w:bCs/>
                <w:sz w:val="20"/>
                <w:szCs w:val="20"/>
                <w:lang w:val="de-AT" w:eastAsia="de-AT"/>
              </w:rPr>
              <w:t>)</w:t>
            </w:r>
          </w:p>
        </w:tc>
      </w:tr>
      <w:tr w:rsidR="00596935" w:rsidRPr="00596935" w14:paraId="70128B8B" w14:textId="77777777" w:rsidTr="00596935">
        <w:trPr>
          <w:trHeight w:val="585"/>
        </w:trPr>
        <w:tc>
          <w:tcPr>
            <w:tcW w:w="540" w:type="pct"/>
            <w:vMerge/>
            <w:tcBorders>
              <w:top w:val="single" w:sz="8" w:space="0" w:color="auto"/>
              <w:left w:val="single" w:sz="8" w:space="0" w:color="auto"/>
              <w:bottom w:val="single" w:sz="8" w:space="0" w:color="000000"/>
              <w:right w:val="nil"/>
            </w:tcBorders>
            <w:vAlign w:val="center"/>
            <w:hideMark/>
          </w:tcPr>
          <w:p w14:paraId="23FFD94D" w14:textId="77777777" w:rsidR="00596935" w:rsidRPr="00596935" w:rsidRDefault="00596935" w:rsidP="00596935">
            <w:pPr>
              <w:rPr>
                <w:rFonts w:cs="Arial"/>
                <w:b/>
                <w:bCs/>
                <w:i/>
                <w:iCs/>
                <w:sz w:val="20"/>
                <w:szCs w:val="20"/>
                <w:lang w:val="de-AT" w:eastAsia="de-AT"/>
              </w:rPr>
            </w:pPr>
          </w:p>
        </w:tc>
        <w:tc>
          <w:tcPr>
            <w:tcW w:w="191" w:type="pct"/>
            <w:vMerge/>
            <w:tcBorders>
              <w:top w:val="single" w:sz="8" w:space="0" w:color="auto"/>
              <w:left w:val="single" w:sz="8" w:space="0" w:color="auto"/>
              <w:bottom w:val="single" w:sz="8" w:space="0" w:color="000000"/>
              <w:right w:val="single" w:sz="8" w:space="0" w:color="auto"/>
            </w:tcBorders>
            <w:vAlign w:val="center"/>
            <w:hideMark/>
          </w:tcPr>
          <w:p w14:paraId="29402BA0" w14:textId="77777777" w:rsidR="00596935" w:rsidRPr="00596935" w:rsidRDefault="00596935" w:rsidP="00596935">
            <w:pPr>
              <w:rPr>
                <w:rFonts w:cs="Arial"/>
                <w:b/>
                <w:bCs/>
                <w:sz w:val="20"/>
                <w:szCs w:val="20"/>
                <w:lang w:val="de-AT" w:eastAsia="de-AT"/>
              </w:rPr>
            </w:pPr>
          </w:p>
        </w:tc>
        <w:tc>
          <w:tcPr>
            <w:tcW w:w="536" w:type="pct"/>
            <w:vMerge/>
            <w:tcBorders>
              <w:top w:val="single" w:sz="8" w:space="0" w:color="auto"/>
              <w:left w:val="nil"/>
              <w:bottom w:val="single" w:sz="8" w:space="0" w:color="000000"/>
              <w:right w:val="single" w:sz="8" w:space="0" w:color="000000"/>
            </w:tcBorders>
            <w:vAlign w:val="center"/>
            <w:hideMark/>
          </w:tcPr>
          <w:p w14:paraId="1DD66C00" w14:textId="77777777" w:rsidR="00596935" w:rsidRPr="00596935" w:rsidRDefault="00596935" w:rsidP="00596935">
            <w:pPr>
              <w:rPr>
                <w:rFonts w:cs="Arial"/>
                <w:b/>
                <w:bCs/>
                <w:sz w:val="20"/>
                <w:szCs w:val="20"/>
                <w:lang w:val="de-AT" w:eastAsia="de-AT"/>
              </w:rPr>
            </w:pPr>
          </w:p>
        </w:tc>
        <w:tc>
          <w:tcPr>
            <w:tcW w:w="687" w:type="pct"/>
            <w:vMerge/>
            <w:tcBorders>
              <w:top w:val="single" w:sz="8" w:space="0" w:color="auto"/>
              <w:left w:val="single" w:sz="8" w:space="0" w:color="000000"/>
              <w:bottom w:val="single" w:sz="8" w:space="0" w:color="000000"/>
              <w:right w:val="nil"/>
            </w:tcBorders>
            <w:vAlign w:val="center"/>
            <w:hideMark/>
          </w:tcPr>
          <w:p w14:paraId="45F9EB6E" w14:textId="77777777" w:rsidR="00596935" w:rsidRPr="00596935" w:rsidRDefault="00596935" w:rsidP="00596935">
            <w:pPr>
              <w:rPr>
                <w:rFonts w:cs="Arial"/>
                <w:b/>
                <w:bCs/>
                <w:sz w:val="20"/>
                <w:szCs w:val="20"/>
                <w:lang w:val="de-AT" w:eastAsia="de-AT"/>
              </w:rPr>
            </w:pPr>
          </w:p>
        </w:tc>
        <w:tc>
          <w:tcPr>
            <w:tcW w:w="456" w:type="pct"/>
            <w:tcBorders>
              <w:top w:val="nil"/>
              <w:left w:val="single" w:sz="8" w:space="0" w:color="auto"/>
              <w:bottom w:val="single" w:sz="8" w:space="0" w:color="auto"/>
              <w:right w:val="nil"/>
            </w:tcBorders>
            <w:shd w:val="clear" w:color="000000" w:fill="D9D9D9"/>
            <w:vAlign w:val="center"/>
            <w:hideMark/>
          </w:tcPr>
          <w:p w14:paraId="1FC9B3FA"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mean [dB]</w:t>
            </w:r>
          </w:p>
        </w:tc>
        <w:tc>
          <w:tcPr>
            <w:tcW w:w="301" w:type="pct"/>
            <w:tcBorders>
              <w:top w:val="nil"/>
              <w:left w:val="nil"/>
              <w:bottom w:val="single" w:sz="8" w:space="0" w:color="auto"/>
              <w:right w:val="single" w:sz="8" w:space="0" w:color="auto"/>
            </w:tcBorders>
            <w:shd w:val="clear" w:color="000000" w:fill="D9D9D9"/>
            <w:vAlign w:val="center"/>
            <w:hideMark/>
          </w:tcPr>
          <w:p w14:paraId="180A4F92"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sd</w:t>
            </w:r>
          </w:p>
        </w:tc>
        <w:tc>
          <w:tcPr>
            <w:tcW w:w="395" w:type="pct"/>
            <w:tcBorders>
              <w:top w:val="nil"/>
              <w:left w:val="nil"/>
              <w:bottom w:val="single" w:sz="8" w:space="0" w:color="auto"/>
              <w:right w:val="nil"/>
            </w:tcBorders>
            <w:shd w:val="clear" w:color="000000" w:fill="D9D9D9"/>
            <w:vAlign w:val="center"/>
            <w:hideMark/>
          </w:tcPr>
          <w:p w14:paraId="5E9B4E08"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mean [dB]</w:t>
            </w:r>
          </w:p>
        </w:tc>
        <w:tc>
          <w:tcPr>
            <w:tcW w:w="278" w:type="pct"/>
            <w:tcBorders>
              <w:top w:val="nil"/>
              <w:left w:val="nil"/>
              <w:bottom w:val="single" w:sz="8" w:space="0" w:color="auto"/>
              <w:right w:val="nil"/>
            </w:tcBorders>
            <w:shd w:val="clear" w:color="000000" w:fill="D9D9D9"/>
            <w:vAlign w:val="center"/>
            <w:hideMark/>
          </w:tcPr>
          <w:p w14:paraId="070D7961"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sd</w:t>
            </w:r>
          </w:p>
        </w:tc>
        <w:tc>
          <w:tcPr>
            <w:tcW w:w="343" w:type="pct"/>
            <w:tcBorders>
              <w:top w:val="nil"/>
              <w:left w:val="nil"/>
              <w:bottom w:val="single" w:sz="8" w:space="0" w:color="auto"/>
              <w:right w:val="nil"/>
            </w:tcBorders>
            <w:shd w:val="clear" w:color="000000" w:fill="D9D9D9"/>
            <w:vAlign w:val="center"/>
            <w:hideMark/>
          </w:tcPr>
          <w:p w14:paraId="2AF62401"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range</w:t>
            </w:r>
          </w:p>
        </w:tc>
        <w:tc>
          <w:tcPr>
            <w:tcW w:w="186" w:type="pct"/>
            <w:tcBorders>
              <w:top w:val="nil"/>
              <w:left w:val="nil"/>
              <w:bottom w:val="single" w:sz="8" w:space="0" w:color="auto"/>
              <w:right w:val="single" w:sz="8" w:space="0" w:color="auto"/>
            </w:tcBorders>
            <w:shd w:val="clear" w:color="000000" w:fill="D9D9D9"/>
            <w:vAlign w:val="center"/>
            <w:hideMark/>
          </w:tcPr>
          <w:p w14:paraId="3FD002D2"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sd</w:t>
            </w:r>
          </w:p>
        </w:tc>
        <w:tc>
          <w:tcPr>
            <w:tcW w:w="437" w:type="pct"/>
            <w:tcBorders>
              <w:top w:val="nil"/>
              <w:left w:val="nil"/>
              <w:bottom w:val="single" w:sz="8" w:space="0" w:color="auto"/>
              <w:right w:val="nil"/>
            </w:tcBorders>
            <w:shd w:val="clear" w:color="000000" w:fill="D9D9D9"/>
            <w:vAlign w:val="center"/>
            <w:hideMark/>
          </w:tcPr>
          <w:p w14:paraId="2A08FE91"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mean [dB]</w:t>
            </w:r>
          </w:p>
        </w:tc>
        <w:tc>
          <w:tcPr>
            <w:tcW w:w="427" w:type="pct"/>
            <w:tcBorders>
              <w:top w:val="nil"/>
              <w:left w:val="nil"/>
              <w:bottom w:val="single" w:sz="8" w:space="0" w:color="auto"/>
              <w:right w:val="nil"/>
            </w:tcBorders>
            <w:shd w:val="clear" w:color="000000" w:fill="D9D9D9"/>
            <w:vAlign w:val="center"/>
            <w:hideMark/>
          </w:tcPr>
          <w:p w14:paraId="361AD712"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sd</w:t>
            </w:r>
          </w:p>
        </w:tc>
        <w:tc>
          <w:tcPr>
            <w:tcW w:w="223" w:type="pct"/>
            <w:tcBorders>
              <w:top w:val="nil"/>
              <w:left w:val="nil"/>
              <w:bottom w:val="single" w:sz="8" w:space="0" w:color="auto"/>
              <w:right w:val="single" w:sz="8" w:space="0" w:color="auto"/>
            </w:tcBorders>
            <w:shd w:val="clear" w:color="000000" w:fill="D9D9D9"/>
            <w:vAlign w:val="center"/>
            <w:hideMark/>
          </w:tcPr>
          <w:p w14:paraId="3EB99193"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 xml:space="preserve">p  </w:t>
            </w:r>
          </w:p>
        </w:tc>
      </w:tr>
      <w:tr w:rsidR="00596935" w:rsidRPr="00596935" w14:paraId="1DF81D8C" w14:textId="77777777" w:rsidTr="00596935">
        <w:trPr>
          <w:trHeight w:val="765"/>
        </w:trPr>
        <w:tc>
          <w:tcPr>
            <w:tcW w:w="540" w:type="pct"/>
            <w:tcBorders>
              <w:top w:val="nil"/>
              <w:left w:val="single" w:sz="4" w:space="0" w:color="auto"/>
              <w:bottom w:val="single" w:sz="4" w:space="0" w:color="auto"/>
              <w:right w:val="single" w:sz="4" w:space="0" w:color="auto"/>
            </w:tcBorders>
            <w:shd w:val="clear" w:color="auto" w:fill="auto"/>
            <w:vAlign w:val="center"/>
            <w:hideMark/>
          </w:tcPr>
          <w:p w14:paraId="128036DB" w14:textId="77777777" w:rsidR="00596935" w:rsidRPr="00596935" w:rsidRDefault="00596935" w:rsidP="00596935">
            <w:pPr>
              <w:rPr>
                <w:rFonts w:cs="Arial"/>
                <w:color w:val="000000"/>
                <w:sz w:val="20"/>
                <w:szCs w:val="20"/>
                <w:lang w:val="de-AT" w:eastAsia="de-AT"/>
              </w:rPr>
            </w:pPr>
            <w:r w:rsidRPr="00596935">
              <w:rPr>
                <w:rFonts w:cs="Arial"/>
                <w:color w:val="000000"/>
                <w:sz w:val="20"/>
                <w:szCs w:val="20"/>
                <w:lang w:val="de-AT" w:eastAsia="de-AT"/>
              </w:rPr>
              <w:t>Böheim 2010</w:t>
            </w:r>
          </w:p>
        </w:tc>
        <w:tc>
          <w:tcPr>
            <w:tcW w:w="191" w:type="pct"/>
            <w:tcBorders>
              <w:top w:val="nil"/>
              <w:left w:val="nil"/>
              <w:bottom w:val="single" w:sz="4" w:space="0" w:color="auto"/>
              <w:right w:val="single" w:sz="4" w:space="0" w:color="auto"/>
            </w:tcBorders>
            <w:shd w:val="clear" w:color="auto" w:fill="auto"/>
            <w:vAlign w:val="center"/>
            <w:hideMark/>
          </w:tcPr>
          <w:p w14:paraId="5BC51DA3"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10</w:t>
            </w:r>
          </w:p>
        </w:tc>
        <w:tc>
          <w:tcPr>
            <w:tcW w:w="536" w:type="pct"/>
            <w:tcBorders>
              <w:top w:val="nil"/>
              <w:left w:val="nil"/>
              <w:bottom w:val="single" w:sz="4" w:space="0" w:color="auto"/>
              <w:right w:val="single" w:sz="4" w:space="0" w:color="auto"/>
            </w:tcBorders>
            <w:shd w:val="clear" w:color="auto" w:fill="auto"/>
            <w:vAlign w:val="center"/>
            <w:hideMark/>
          </w:tcPr>
          <w:p w14:paraId="340EEB41"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5-56 months</w:t>
            </w:r>
          </w:p>
        </w:tc>
        <w:tc>
          <w:tcPr>
            <w:tcW w:w="687" w:type="pct"/>
            <w:tcBorders>
              <w:top w:val="nil"/>
              <w:left w:val="nil"/>
              <w:bottom w:val="single" w:sz="4" w:space="0" w:color="auto"/>
              <w:right w:val="nil"/>
            </w:tcBorders>
            <w:shd w:val="clear" w:color="auto" w:fill="auto"/>
            <w:vAlign w:val="center"/>
            <w:hideMark/>
          </w:tcPr>
          <w:p w14:paraId="3B63EBD0" w14:textId="77777777" w:rsidR="00596935" w:rsidRPr="00596935" w:rsidRDefault="00596935" w:rsidP="00596935">
            <w:pPr>
              <w:rPr>
                <w:rFonts w:cs="Arial"/>
                <w:color w:val="000000"/>
                <w:sz w:val="20"/>
                <w:szCs w:val="20"/>
                <w:lang w:val="de-AT" w:eastAsia="de-AT"/>
              </w:rPr>
            </w:pPr>
            <w:r w:rsidRPr="00596935">
              <w:rPr>
                <w:rFonts w:cs="Arial"/>
                <w:color w:val="000000"/>
                <w:sz w:val="20"/>
                <w:szCs w:val="20"/>
                <w:lang w:val="de-AT" w:eastAsia="de-AT"/>
              </w:rPr>
              <w:t>no information</w:t>
            </w:r>
          </w:p>
        </w:tc>
        <w:tc>
          <w:tcPr>
            <w:tcW w:w="456" w:type="pct"/>
            <w:tcBorders>
              <w:top w:val="nil"/>
              <w:left w:val="single" w:sz="8" w:space="0" w:color="auto"/>
              <w:bottom w:val="single" w:sz="4" w:space="0" w:color="auto"/>
              <w:right w:val="single" w:sz="4" w:space="0" w:color="auto"/>
            </w:tcBorders>
            <w:shd w:val="clear" w:color="auto" w:fill="auto"/>
            <w:vAlign w:val="center"/>
            <w:hideMark/>
          </w:tcPr>
          <w:p w14:paraId="035A642E"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45.6</w:t>
            </w:r>
          </w:p>
        </w:tc>
        <w:tc>
          <w:tcPr>
            <w:tcW w:w="301" w:type="pct"/>
            <w:tcBorders>
              <w:top w:val="nil"/>
              <w:left w:val="nil"/>
              <w:bottom w:val="single" w:sz="4" w:space="0" w:color="auto"/>
              <w:right w:val="single" w:sz="8" w:space="0" w:color="auto"/>
            </w:tcBorders>
            <w:shd w:val="clear" w:color="auto" w:fill="auto"/>
            <w:vAlign w:val="center"/>
            <w:hideMark/>
          </w:tcPr>
          <w:p w14:paraId="3DC1F57A"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395" w:type="pct"/>
            <w:tcBorders>
              <w:top w:val="nil"/>
              <w:left w:val="nil"/>
              <w:bottom w:val="single" w:sz="4" w:space="0" w:color="auto"/>
              <w:right w:val="single" w:sz="4" w:space="0" w:color="auto"/>
            </w:tcBorders>
            <w:shd w:val="clear" w:color="auto" w:fill="auto"/>
            <w:vAlign w:val="center"/>
            <w:hideMark/>
          </w:tcPr>
          <w:p w14:paraId="54F32F12"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32.75</w:t>
            </w:r>
          </w:p>
        </w:tc>
        <w:tc>
          <w:tcPr>
            <w:tcW w:w="278" w:type="pct"/>
            <w:tcBorders>
              <w:top w:val="nil"/>
              <w:left w:val="nil"/>
              <w:bottom w:val="single" w:sz="4" w:space="0" w:color="auto"/>
              <w:right w:val="single" w:sz="4" w:space="0" w:color="auto"/>
            </w:tcBorders>
            <w:shd w:val="clear" w:color="auto" w:fill="auto"/>
            <w:vAlign w:val="center"/>
            <w:hideMark/>
          </w:tcPr>
          <w:p w14:paraId="1061B902"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343" w:type="pct"/>
            <w:tcBorders>
              <w:top w:val="nil"/>
              <w:left w:val="nil"/>
              <w:bottom w:val="single" w:sz="4" w:space="0" w:color="auto"/>
              <w:right w:val="single" w:sz="4" w:space="0" w:color="auto"/>
            </w:tcBorders>
            <w:shd w:val="clear" w:color="auto" w:fill="auto"/>
            <w:vAlign w:val="center"/>
            <w:hideMark/>
          </w:tcPr>
          <w:p w14:paraId="100331AF"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186" w:type="pct"/>
            <w:tcBorders>
              <w:top w:val="nil"/>
              <w:left w:val="nil"/>
              <w:bottom w:val="single" w:sz="4" w:space="0" w:color="auto"/>
              <w:right w:val="single" w:sz="8" w:space="0" w:color="auto"/>
            </w:tcBorders>
            <w:shd w:val="clear" w:color="auto" w:fill="auto"/>
            <w:vAlign w:val="center"/>
            <w:hideMark/>
          </w:tcPr>
          <w:p w14:paraId="6595C3A4"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437" w:type="pct"/>
            <w:tcBorders>
              <w:top w:val="nil"/>
              <w:left w:val="nil"/>
              <w:bottom w:val="single" w:sz="4" w:space="0" w:color="auto"/>
              <w:right w:val="single" w:sz="4" w:space="0" w:color="auto"/>
            </w:tcBorders>
            <w:shd w:val="clear" w:color="auto" w:fill="auto"/>
            <w:vAlign w:val="center"/>
            <w:hideMark/>
          </w:tcPr>
          <w:p w14:paraId="3D7F45D7"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12.85</w:t>
            </w:r>
          </w:p>
        </w:tc>
        <w:tc>
          <w:tcPr>
            <w:tcW w:w="427" w:type="pct"/>
            <w:tcBorders>
              <w:top w:val="nil"/>
              <w:left w:val="nil"/>
              <w:bottom w:val="single" w:sz="4" w:space="0" w:color="auto"/>
              <w:right w:val="single" w:sz="4" w:space="0" w:color="auto"/>
            </w:tcBorders>
            <w:shd w:val="clear" w:color="auto" w:fill="auto"/>
            <w:vAlign w:val="center"/>
            <w:hideMark/>
          </w:tcPr>
          <w:p w14:paraId="56A72C16"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223" w:type="pct"/>
            <w:tcBorders>
              <w:top w:val="nil"/>
              <w:left w:val="nil"/>
              <w:bottom w:val="single" w:sz="4" w:space="0" w:color="auto"/>
              <w:right w:val="single" w:sz="8" w:space="0" w:color="auto"/>
            </w:tcBorders>
            <w:shd w:val="clear" w:color="auto" w:fill="auto"/>
            <w:vAlign w:val="center"/>
            <w:hideMark/>
          </w:tcPr>
          <w:p w14:paraId="66531FCE"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r>
      <w:tr w:rsidR="00596935" w:rsidRPr="00596935" w14:paraId="1800CC95" w14:textId="77777777" w:rsidTr="00596935">
        <w:trPr>
          <w:trHeight w:val="510"/>
        </w:trPr>
        <w:tc>
          <w:tcPr>
            <w:tcW w:w="540" w:type="pct"/>
            <w:tcBorders>
              <w:top w:val="nil"/>
              <w:left w:val="single" w:sz="4" w:space="0" w:color="auto"/>
              <w:bottom w:val="single" w:sz="4" w:space="0" w:color="auto"/>
              <w:right w:val="single" w:sz="4" w:space="0" w:color="auto"/>
            </w:tcBorders>
            <w:shd w:val="clear" w:color="auto" w:fill="auto"/>
            <w:vAlign w:val="center"/>
            <w:hideMark/>
          </w:tcPr>
          <w:p w14:paraId="52923310" w14:textId="77777777" w:rsidR="00596935" w:rsidRPr="00596935" w:rsidRDefault="00596935" w:rsidP="00596935">
            <w:pPr>
              <w:rPr>
                <w:rFonts w:cs="Arial"/>
                <w:color w:val="000000"/>
                <w:sz w:val="20"/>
                <w:szCs w:val="20"/>
                <w:lang w:val="de-AT" w:eastAsia="de-AT"/>
              </w:rPr>
            </w:pPr>
            <w:r w:rsidRPr="00596935">
              <w:rPr>
                <w:rFonts w:cs="Arial"/>
                <w:color w:val="000000"/>
                <w:sz w:val="20"/>
                <w:szCs w:val="20"/>
                <w:lang w:val="de-AT" w:eastAsia="de-AT"/>
              </w:rPr>
              <w:t>Böheim 2007</w:t>
            </w:r>
          </w:p>
        </w:tc>
        <w:tc>
          <w:tcPr>
            <w:tcW w:w="191" w:type="pct"/>
            <w:tcBorders>
              <w:top w:val="nil"/>
              <w:left w:val="nil"/>
              <w:bottom w:val="single" w:sz="4" w:space="0" w:color="auto"/>
              <w:right w:val="single" w:sz="4" w:space="0" w:color="auto"/>
            </w:tcBorders>
            <w:shd w:val="clear" w:color="auto" w:fill="auto"/>
            <w:vAlign w:val="center"/>
            <w:hideMark/>
          </w:tcPr>
          <w:p w14:paraId="4DBDD749"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9</w:t>
            </w:r>
          </w:p>
        </w:tc>
        <w:tc>
          <w:tcPr>
            <w:tcW w:w="536" w:type="pct"/>
            <w:tcBorders>
              <w:top w:val="nil"/>
              <w:left w:val="nil"/>
              <w:bottom w:val="single" w:sz="4" w:space="0" w:color="auto"/>
              <w:right w:val="single" w:sz="4" w:space="0" w:color="auto"/>
            </w:tcBorders>
            <w:shd w:val="clear" w:color="auto" w:fill="auto"/>
            <w:vAlign w:val="center"/>
            <w:hideMark/>
          </w:tcPr>
          <w:p w14:paraId="06F8E9A2"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6 months</w:t>
            </w:r>
          </w:p>
        </w:tc>
        <w:tc>
          <w:tcPr>
            <w:tcW w:w="687" w:type="pct"/>
            <w:tcBorders>
              <w:top w:val="nil"/>
              <w:left w:val="nil"/>
              <w:bottom w:val="single" w:sz="4" w:space="0" w:color="auto"/>
              <w:right w:val="nil"/>
            </w:tcBorders>
            <w:shd w:val="clear" w:color="auto" w:fill="auto"/>
            <w:vAlign w:val="center"/>
            <w:hideMark/>
          </w:tcPr>
          <w:p w14:paraId="1627A4BA" w14:textId="77777777" w:rsidR="00596935" w:rsidRPr="00596935" w:rsidRDefault="00596935" w:rsidP="00596935">
            <w:pPr>
              <w:rPr>
                <w:rFonts w:cs="Arial"/>
                <w:color w:val="000000"/>
                <w:sz w:val="20"/>
                <w:szCs w:val="20"/>
                <w:lang w:val="de-AT" w:eastAsia="de-AT"/>
              </w:rPr>
            </w:pPr>
            <w:r w:rsidRPr="00596935">
              <w:rPr>
                <w:rFonts w:cs="Arial"/>
                <w:color w:val="000000"/>
                <w:sz w:val="20"/>
                <w:szCs w:val="20"/>
                <w:lang w:val="de-AT" w:eastAsia="de-AT"/>
              </w:rPr>
              <w:t>PTA</w:t>
            </w:r>
            <w:r w:rsidRPr="00596935">
              <w:rPr>
                <w:rFonts w:cs="Arial"/>
                <w:color w:val="000000"/>
                <w:sz w:val="20"/>
                <w:szCs w:val="20"/>
                <w:vertAlign w:val="subscript"/>
                <w:lang w:val="de-AT" w:eastAsia="de-AT"/>
              </w:rPr>
              <w:t>4</w:t>
            </w:r>
          </w:p>
        </w:tc>
        <w:tc>
          <w:tcPr>
            <w:tcW w:w="456" w:type="pct"/>
            <w:tcBorders>
              <w:top w:val="nil"/>
              <w:left w:val="single" w:sz="8" w:space="0" w:color="auto"/>
              <w:bottom w:val="single" w:sz="4" w:space="0" w:color="auto"/>
              <w:right w:val="single" w:sz="4" w:space="0" w:color="auto"/>
            </w:tcBorders>
            <w:shd w:val="clear" w:color="auto" w:fill="auto"/>
            <w:vAlign w:val="center"/>
            <w:hideMark/>
          </w:tcPr>
          <w:p w14:paraId="09E721E1"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301" w:type="pct"/>
            <w:tcBorders>
              <w:top w:val="nil"/>
              <w:left w:val="nil"/>
              <w:bottom w:val="single" w:sz="4" w:space="0" w:color="auto"/>
              <w:right w:val="single" w:sz="8" w:space="0" w:color="auto"/>
            </w:tcBorders>
            <w:shd w:val="clear" w:color="auto" w:fill="auto"/>
            <w:vAlign w:val="center"/>
            <w:hideMark/>
          </w:tcPr>
          <w:p w14:paraId="030B71F5"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395" w:type="pct"/>
            <w:tcBorders>
              <w:top w:val="nil"/>
              <w:left w:val="nil"/>
              <w:bottom w:val="single" w:sz="4" w:space="0" w:color="auto"/>
              <w:right w:val="single" w:sz="4" w:space="0" w:color="auto"/>
            </w:tcBorders>
            <w:shd w:val="clear" w:color="auto" w:fill="auto"/>
            <w:vAlign w:val="center"/>
            <w:hideMark/>
          </w:tcPr>
          <w:p w14:paraId="691F86D6"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278" w:type="pct"/>
            <w:tcBorders>
              <w:top w:val="nil"/>
              <w:left w:val="nil"/>
              <w:bottom w:val="single" w:sz="4" w:space="0" w:color="auto"/>
              <w:right w:val="single" w:sz="4" w:space="0" w:color="auto"/>
            </w:tcBorders>
            <w:shd w:val="clear" w:color="auto" w:fill="auto"/>
            <w:vAlign w:val="center"/>
            <w:hideMark/>
          </w:tcPr>
          <w:p w14:paraId="7984C0D8"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343" w:type="pct"/>
            <w:tcBorders>
              <w:top w:val="nil"/>
              <w:left w:val="nil"/>
              <w:bottom w:val="single" w:sz="4" w:space="0" w:color="auto"/>
              <w:right w:val="single" w:sz="4" w:space="0" w:color="auto"/>
            </w:tcBorders>
            <w:shd w:val="clear" w:color="auto" w:fill="auto"/>
            <w:vAlign w:val="center"/>
            <w:hideMark/>
          </w:tcPr>
          <w:p w14:paraId="74E70E09"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186" w:type="pct"/>
            <w:tcBorders>
              <w:top w:val="nil"/>
              <w:left w:val="nil"/>
              <w:bottom w:val="single" w:sz="4" w:space="0" w:color="auto"/>
              <w:right w:val="single" w:sz="8" w:space="0" w:color="auto"/>
            </w:tcBorders>
            <w:shd w:val="clear" w:color="auto" w:fill="auto"/>
            <w:vAlign w:val="center"/>
            <w:hideMark/>
          </w:tcPr>
          <w:p w14:paraId="5F125AF1"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437" w:type="pct"/>
            <w:tcBorders>
              <w:top w:val="nil"/>
              <w:left w:val="nil"/>
              <w:bottom w:val="single" w:sz="4" w:space="0" w:color="auto"/>
              <w:right w:val="single" w:sz="4" w:space="0" w:color="auto"/>
            </w:tcBorders>
            <w:shd w:val="clear" w:color="auto" w:fill="auto"/>
            <w:vAlign w:val="center"/>
            <w:hideMark/>
          </w:tcPr>
          <w:p w14:paraId="5E37AA23"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26</w:t>
            </w:r>
          </w:p>
        </w:tc>
        <w:tc>
          <w:tcPr>
            <w:tcW w:w="427" w:type="pct"/>
            <w:tcBorders>
              <w:top w:val="nil"/>
              <w:left w:val="nil"/>
              <w:bottom w:val="single" w:sz="4" w:space="0" w:color="auto"/>
              <w:right w:val="single" w:sz="4" w:space="0" w:color="auto"/>
            </w:tcBorders>
            <w:shd w:val="clear" w:color="auto" w:fill="auto"/>
            <w:vAlign w:val="center"/>
            <w:hideMark/>
          </w:tcPr>
          <w:p w14:paraId="1886F1B6"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223" w:type="pct"/>
            <w:tcBorders>
              <w:top w:val="nil"/>
              <w:left w:val="nil"/>
              <w:bottom w:val="single" w:sz="4" w:space="0" w:color="auto"/>
              <w:right w:val="single" w:sz="8" w:space="0" w:color="auto"/>
            </w:tcBorders>
            <w:shd w:val="clear" w:color="auto" w:fill="auto"/>
            <w:vAlign w:val="center"/>
            <w:hideMark/>
          </w:tcPr>
          <w:p w14:paraId="0BF3834D"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r>
      <w:tr w:rsidR="00596935" w:rsidRPr="00596935" w14:paraId="6EEE7535" w14:textId="77777777" w:rsidTr="00596935">
        <w:trPr>
          <w:trHeight w:val="510"/>
        </w:trPr>
        <w:tc>
          <w:tcPr>
            <w:tcW w:w="540" w:type="pct"/>
            <w:tcBorders>
              <w:top w:val="nil"/>
              <w:left w:val="single" w:sz="4" w:space="0" w:color="auto"/>
              <w:bottom w:val="single" w:sz="4" w:space="0" w:color="auto"/>
              <w:right w:val="single" w:sz="4" w:space="0" w:color="auto"/>
            </w:tcBorders>
            <w:shd w:val="clear" w:color="auto" w:fill="auto"/>
            <w:vAlign w:val="center"/>
            <w:hideMark/>
          </w:tcPr>
          <w:p w14:paraId="71B53F07" w14:textId="77777777" w:rsidR="00596935" w:rsidRPr="00596935" w:rsidRDefault="00596935" w:rsidP="00596935">
            <w:pPr>
              <w:rPr>
                <w:rFonts w:cs="Arial"/>
                <w:color w:val="000000"/>
                <w:sz w:val="20"/>
                <w:szCs w:val="20"/>
                <w:lang w:val="de-AT" w:eastAsia="de-AT"/>
              </w:rPr>
            </w:pPr>
            <w:r w:rsidRPr="00596935">
              <w:rPr>
                <w:rFonts w:cs="Arial"/>
                <w:color w:val="000000"/>
                <w:sz w:val="20"/>
                <w:szCs w:val="20"/>
                <w:lang w:val="de-AT" w:eastAsia="de-AT"/>
              </w:rPr>
              <w:t xml:space="preserve">Fraysse  2001 </w:t>
            </w:r>
          </w:p>
        </w:tc>
        <w:tc>
          <w:tcPr>
            <w:tcW w:w="191" w:type="pct"/>
            <w:tcBorders>
              <w:top w:val="nil"/>
              <w:left w:val="nil"/>
              <w:bottom w:val="single" w:sz="4" w:space="0" w:color="auto"/>
              <w:right w:val="single" w:sz="4" w:space="0" w:color="auto"/>
            </w:tcBorders>
            <w:shd w:val="clear" w:color="auto" w:fill="auto"/>
            <w:vAlign w:val="center"/>
            <w:hideMark/>
          </w:tcPr>
          <w:p w14:paraId="513FD3A5"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25</w:t>
            </w:r>
          </w:p>
        </w:tc>
        <w:tc>
          <w:tcPr>
            <w:tcW w:w="536" w:type="pct"/>
            <w:tcBorders>
              <w:top w:val="nil"/>
              <w:left w:val="nil"/>
              <w:bottom w:val="single" w:sz="4" w:space="0" w:color="auto"/>
              <w:right w:val="single" w:sz="4" w:space="0" w:color="auto"/>
            </w:tcBorders>
            <w:shd w:val="clear" w:color="auto" w:fill="auto"/>
            <w:vAlign w:val="center"/>
            <w:hideMark/>
          </w:tcPr>
          <w:p w14:paraId="18A7548F"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6-22 months</w:t>
            </w:r>
          </w:p>
        </w:tc>
        <w:tc>
          <w:tcPr>
            <w:tcW w:w="687" w:type="pct"/>
            <w:tcBorders>
              <w:top w:val="nil"/>
              <w:left w:val="nil"/>
              <w:bottom w:val="single" w:sz="4" w:space="0" w:color="auto"/>
              <w:right w:val="nil"/>
            </w:tcBorders>
            <w:shd w:val="clear" w:color="auto" w:fill="auto"/>
            <w:vAlign w:val="center"/>
            <w:hideMark/>
          </w:tcPr>
          <w:p w14:paraId="6663AFD7" w14:textId="77777777" w:rsidR="00596935" w:rsidRPr="00596935" w:rsidRDefault="00596935" w:rsidP="00596935">
            <w:pPr>
              <w:rPr>
                <w:rFonts w:cs="Arial"/>
                <w:color w:val="000000"/>
                <w:sz w:val="20"/>
                <w:szCs w:val="20"/>
                <w:lang w:val="de-AT" w:eastAsia="de-AT"/>
              </w:rPr>
            </w:pPr>
            <w:r w:rsidRPr="00596935">
              <w:rPr>
                <w:rFonts w:cs="Arial"/>
                <w:color w:val="000000"/>
                <w:sz w:val="20"/>
                <w:szCs w:val="20"/>
                <w:lang w:val="de-AT" w:eastAsia="de-AT"/>
              </w:rPr>
              <w:t>PTA</w:t>
            </w:r>
            <w:r w:rsidRPr="00596935">
              <w:rPr>
                <w:rFonts w:cs="Arial"/>
                <w:color w:val="000000"/>
                <w:sz w:val="20"/>
                <w:szCs w:val="20"/>
                <w:vertAlign w:val="subscript"/>
                <w:lang w:val="de-AT" w:eastAsia="de-AT"/>
              </w:rPr>
              <w:t>4</w:t>
            </w:r>
          </w:p>
        </w:tc>
        <w:tc>
          <w:tcPr>
            <w:tcW w:w="456" w:type="pct"/>
            <w:tcBorders>
              <w:top w:val="nil"/>
              <w:left w:val="single" w:sz="8" w:space="0" w:color="auto"/>
              <w:bottom w:val="single" w:sz="4" w:space="0" w:color="auto"/>
              <w:right w:val="single" w:sz="4" w:space="0" w:color="auto"/>
            </w:tcBorders>
            <w:shd w:val="clear" w:color="auto" w:fill="auto"/>
            <w:vAlign w:val="center"/>
            <w:hideMark/>
          </w:tcPr>
          <w:p w14:paraId="195DA64C"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301" w:type="pct"/>
            <w:tcBorders>
              <w:top w:val="nil"/>
              <w:left w:val="nil"/>
              <w:bottom w:val="single" w:sz="4" w:space="0" w:color="auto"/>
              <w:right w:val="single" w:sz="8" w:space="0" w:color="auto"/>
            </w:tcBorders>
            <w:shd w:val="clear" w:color="auto" w:fill="auto"/>
            <w:vAlign w:val="center"/>
            <w:hideMark/>
          </w:tcPr>
          <w:p w14:paraId="38C16742"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395" w:type="pct"/>
            <w:tcBorders>
              <w:top w:val="nil"/>
              <w:left w:val="nil"/>
              <w:bottom w:val="single" w:sz="4" w:space="0" w:color="auto"/>
              <w:right w:val="single" w:sz="4" w:space="0" w:color="auto"/>
            </w:tcBorders>
            <w:shd w:val="clear" w:color="auto" w:fill="auto"/>
            <w:vAlign w:val="center"/>
            <w:hideMark/>
          </w:tcPr>
          <w:p w14:paraId="6EA32AE9"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278" w:type="pct"/>
            <w:tcBorders>
              <w:top w:val="nil"/>
              <w:left w:val="nil"/>
              <w:bottom w:val="single" w:sz="4" w:space="0" w:color="auto"/>
              <w:right w:val="single" w:sz="4" w:space="0" w:color="auto"/>
            </w:tcBorders>
            <w:shd w:val="clear" w:color="auto" w:fill="auto"/>
            <w:vAlign w:val="center"/>
            <w:hideMark/>
          </w:tcPr>
          <w:p w14:paraId="04B227FB"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343" w:type="pct"/>
            <w:tcBorders>
              <w:top w:val="nil"/>
              <w:left w:val="nil"/>
              <w:bottom w:val="single" w:sz="4" w:space="0" w:color="auto"/>
              <w:right w:val="single" w:sz="4" w:space="0" w:color="auto"/>
            </w:tcBorders>
            <w:shd w:val="clear" w:color="auto" w:fill="auto"/>
            <w:vAlign w:val="center"/>
            <w:hideMark/>
          </w:tcPr>
          <w:p w14:paraId="41B47B0F"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186" w:type="pct"/>
            <w:tcBorders>
              <w:top w:val="nil"/>
              <w:left w:val="nil"/>
              <w:bottom w:val="single" w:sz="4" w:space="0" w:color="auto"/>
              <w:right w:val="single" w:sz="8" w:space="0" w:color="auto"/>
            </w:tcBorders>
            <w:shd w:val="clear" w:color="auto" w:fill="auto"/>
            <w:vAlign w:val="center"/>
            <w:hideMark/>
          </w:tcPr>
          <w:p w14:paraId="43E1D51A"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437" w:type="pct"/>
            <w:tcBorders>
              <w:top w:val="nil"/>
              <w:left w:val="nil"/>
              <w:bottom w:val="single" w:sz="4" w:space="0" w:color="auto"/>
              <w:right w:val="single" w:sz="4" w:space="0" w:color="auto"/>
            </w:tcBorders>
            <w:shd w:val="clear" w:color="auto" w:fill="auto"/>
            <w:vAlign w:val="center"/>
            <w:hideMark/>
          </w:tcPr>
          <w:p w14:paraId="49B91A71"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27</w:t>
            </w:r>
          </w:p>
        </w:tc>
        <w:tc>
          <w:tcPr>
            <w:tcW w:w="427" w:type="pct"/>
            <w:tcBorders>
              <w:top w:val="nil"/>
              <w:left w:val="nil"/>
              <w:bottom w:val="single" w:sz="4" w:space="0" w:color="auto"/>
              <w:right w:val="single" w:sz="4" w:space="0" w:color="auto"/>
            </w:tcBorders>
            <w:shd w:val="clear" w:color="auto" w:fill="auto"/>
            <w:vAlign w:val="center"/>
            <w:hideMark/>
          </w:tcPr>
          <w:p w14:paraId="5D382C47"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12-15</w:t>
            </w:r>
          </w:p>
        </w:tc>
        <w:tc>
          <w:tcPr>
            <w:tcW w:w="223" w:type="pct"/>
            <w:tcBorders>
              <w:top w:val="nil"/>
              <w:left w:val="nil"/>
              <w:bottom w:val="single" w:sz="4" w:space="0" w:color="auto"/>
              <w:right w:val="single" w:sz="8" w:space="0" w:color="auto"/>
            </w:tcBorders>
            <w:shd w:val="clear" w:color="auto" w:fill="auto"/>
            <w:vAlign w:val="center"/>
            <w:hideMark/>
          </w:tcPr>
          <w:p w14:paraId="4F0787B8"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r>
      <w:tr w:rsidR="00596935" w:rsidRPr="00596935" w14:paraId="365B1D37" w14:textId="77777777" w:rsidTr="00596935">
        <w:trPr>
          <w:trHeight w:val="510"/>
        </w:trPr>
        <w:tc>
          <w:tcPr>
            <w:tcW w:w="540" w:type="pct"/>
            <w:tcBorders>
              <w:top w:val="nil"/>
              <w:left w:val="single" w:sz="4" w:space="0" w:color="auto"/>
              <w:bottom w:val="single" w:sz="4" w:space="0" w:color="auto"/>
              <w:right w:val="single" w:sz="4" w:space="0" w:color="auto"/>
            </w:tcBorders>
            <w:shd w:val="clear" w:color="auto" w:fill="auto"/>
            <w:vAlign w:val="center"/>
            <w:hideMark/>
          </w:tcPr>
          <w:p w14:paraId="6BF6B82C" w14:textId="77777777" w:rsidR="003733D2" w:rsidRDefault="00596935" w:rsidP="003733D2">
            <w:pPr>
              <w:rPr>
                <w:rFonts w:cs="Arial"/>
                <w:color w:val="000000"/>
                <w:sz w:val="20"/>
                <w:szCs w:val="20"/>
                <w:lang w:val="de-AT" w:eastAsia="de-AT"/>
              </w:rPr>
            </w:pPr>
            <w:r w:rsidRPr="00596935">
              <w:rPr>
                <w:rFonts w:cs="Arial"/>
                <w:color w:val="000000"/>
                <w:sz w:val="20"/>
                <w:szCs w:val="20"/>
                <w:lang w:val="de-AT" w:eastAsia="de-AT"/>
              </w:rPr>
              <w:t>Ihler</w:t>
            </w:r>
          </w:p>
          <w:p w14:paraId="4D136A83" w14:textId="73045B47" w:rsidR="00596935" w:rsidRPr="00596935" w:rsidRDefault="00596935" w:rsidP="003733D2">
            <w:pPr>
              <w:rPr>
                <w:rFonts w:cs="Arial"/>
                <w:color w:val="000000"/>
                <w:sz w:val="20"/>
                <w:szCs w:val="20"/>
                <w:lang w:val="de-AT" w:eastAsia="de-AT"/>
              </w:rPr>
            </w:pPr>
            <w:r w:rsidRPr="00596935">
              <w:rPr>
                <w:rFonts w:cs="Arial"/>
                <w:color w:val="000000"/>
                <w:sz w:val="20"/>
                <w:szCs w:val="20"/>
                <w:lang w:val="de-AT" w:eastAsia="de-AT"/>
              </w:rPr>
              <w:t>2013</w:t>
            </w:r>
          </w:p>
        </w:tc>
        <w:tc>
          <w:tcPr>
            <w:tcW w:w="191" w:type="pct"/>
            <w:tcBorders>
              <w:top w:val="nil"/>
              <w:left w:val="nil"/>
              <w:bottom w:val="single" w:sz="4" w:space="0" w:color="auto"/>
              <w:right w:val="single" w:sz="4" w:space="0" w:color="auto"/>
            </w:tcBorders>
            <w:shd w:val="clear" w:color="auto" w:fill="auto"/>
            <w:vAlign w:val="center"/>
            <w:hideMark/>
          </w:tcPr>
          <w:p w14:paraId="7CEA11F5"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10</w:t>
            </w:r>
          </w:p>
        </w:tc>
        <w:tc>
          <w:tcPr>
            <w:tcW w:w="536" w:type="pct"/>
            <w:tcBorders>
              <w:top w:val="nil"/>
              <w:left w:val="nil"/>
              <w:bottom w:val="single" w:sz="4" w:space="0" w:color="auto"/>
              <w:right w:val="single" w:sz="4" w:space="0" w:color="auto"/>
            </w:tcBorders>
            <w:shd w:val="clear" w:color="auto" w:fill="auto"/>
            <w:vAlign w:val="center"/>
            <w:hideMark/>
          </w:tcPr>
          <w:p w14:paraId="3ABFD333"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1.3–37.5 months</w:t>
            </w:r>
          </w:p>
        </w:tc>
        <w:tc>
          <w:tcPr>
            <w:tcW w:w="687" w:type="pct"/>
            <w:tcBorders>
              <w:top w:val="nil"/>
              <w:left w:val="nil"/>
              <w:bottom w:val="single" w:sz="4" w:space="0" w:color="auto"/>
              <w:right w:val="nil"/>
            </w:tcBorders>
            <w:shd w:val="clear" w:color="auto" w:fill="auto"/>
            <w:vAlign w:val="center"/>
            <w:hideMark/>
          </w:tcPr>
          <w:p w14:paraId="6C161448" w14:textId="77777777" w:rsidR="00596935" w:rsidRPr="00596935" w:rsidRDefault="00596935" w:rsidP="00596935">
            <w:pPr>
              <w:rPr>
                <w:rFonts w:cs="Arial"/>
                <w:color w:val="000000"/>
                <w:sz w:val="20"/>
                <w:szCs w:val="20"/>
                <w:lang w:val="de-AT" w:eastAsia="de-AT"/>
              </w:rPr>
            </w:pPr>
            <w:r w:rsidRPr="00596935">
              <w:rPr>
                <w:rFonts w:cs="Arial"/>
                <w:color w:val="000000"/>
                <w:sz w:val="20"/>
                <w:szCs w:val="20"/>
                <w:lang w:val="de-AT" w:eastAsia="de-AT"/>
              </w:rPr>
              <w:t>PTA</w:t>
            </w:r>
            <w:r w:rsidRPr="00596935">
              <w:rPr>
                <w:rFonts w:cs="Arial"/>
                <w:color w:val="000000"/>
                <w:sz w:val="20"/>
                <w:szCs w:val="20"/>
                <w:vertAlign w:val="subscript"/>
                <w:lang w:val="de-AT" w:eastAsia="de-AT"/>
              </w:rPr>
              <w:t>4</w:t>
            </w:r>
          </w:p>
        </w:tc>
        <w:tc>
          <w:tcPr>
            <w:tcW w:w="456" w:type="pct"/>
            <w:tcBorders>
              <w:top w:val="nil"/>
              <w:left w:val="single" w:sz="8" w:space="0" w:color="auto"/>
              <w:bottom w:val="single" w:sz="4" w:space="0" w:color="auto"/>
              <w:right w:val="single" w:sz="4" w:space="0" w:color="auto"/>
            </w:tcBorders>
            <w:shd w:val="clear" w:color="auto" w:fill="auto"/>
            <w:vAlign w:val="center"/>
            <w:hideMark/>
          </w:tcPr>
          <w:p w14:paraId="2614F64F"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301" w:type="pct"/>
            <w:tcBorders>
              <w:top w:val="nil"/>
              <w:left w:val="nil"/>
              <w:bottom w:val="single" w:sz="4" w:space="0" w:color="auto"/>
              <w:right w:val="single" w:sz="8" w:space="0" w:color="auto"/>
            </w:tcBorders>
            <w:shd w:val="clear" w:color="auto" w:fill="auto"/>
            <w:vAlign w:val="center"/>
            <w:hideMark/>
          </w:tcPr>
          <w:p w14:paraId="0D39FAC3"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395" w:type="pct"/>
            <w:tcBorders>
              <w:top w:val="nil"/>
              <w:left w:val="nil"/>
              <w:bottom w:val="single" w:sz="4" w:space="0" w:color="auto"/>
              <w:right w:val="single" w:sz="4" w:space="0" w:color="auto"/>
            </w:tcBorders>
            <w:shd w:val="clear" w:color="auto" w:fill="auto"/>
            <w:vAlign w:val="center"/>
            <w:hideMark/>
          </w:tcPr>
          <w:p w14:paraId="0455B7F3"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37.6</w:t>
            </w:r>
          </w:p>
        </w:tc>
        <w:tc>
          <w:tcPr>
            <w:tcW w:w="278" w:type="pct"/>
            <w:tcBorders>
              <w:top w:val="nil"/>
              <w:left w:val="nil"/>
              <w:bottom w:val="single" w:sz="4" w:space="0" w:color="auto"/>
              <w:right w:val="single" w:sz="4" w:space="0" w:color="auto"/>
            </w:tcBorders>
            <w:shd w:val="clear" w:color="auto" w:fill="auto"/>
            <w:vAlign w:val="center"/>
            <w:hideMark/>
          </w:tcPr>
          <w:p w14:paraId="677EA617"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13.9</w:t>
            </w:r>
          </w:p>
        </w:tc>
        <w:tc>
          <w:tcPr>
            <w:tcW w:w="343" w:type="pct"/>
            <w:tcBorders>
              <w:top w:val="nil"/>
              <w:left w:val="nil"/>
              <w:bottom w:val="single" w:sz="4" w:space="0" w:color="auto"/>
              <w:right w:val="single" w:sz="4" w:space="0" w:color="auto"/>
            </w:tcBorders>
            <w:shd w:val="clear" w:color="auto" w:fill="auto"/>
            <w:vAlign w:val="center"/>
            <w:hideMark/>
          </w:tcPr>
          <w:p w14:paraId="00B69EC5"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186" w:type="pct"/>
            <w:tcBorders>
              <w:top w:val="nil"/>
              <w:left w:val="nil"/>
              <w:bottom w:val="single" w:sz="4" w:space="0" w:color="auto"/>
              <w:right w:val="single" w:sz="8" w:space="0" w:color="auto"/>
            </w:tcBorders>
            <w:shd w:val="clear" w:color="auto" w:fill="auto"/>
            <w:vAlign w:val="center"/>
            <w:hideMark/>
          </w:tcPr>
          <w:p w14:paraId="78F599F2"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437" w:type="pct"/>
            <w:tcBorders>
              <w:top w:val="nil"/>
              <w:left w:val="nil"/>
              <w:bottom w:val="single" w:sz="4" w:space="0" w:color="auto"/>
              <w:right w:val="single" w:sz="4" w:space="0" w:color="auto"/>
            </w:tcBorders>
            <w:shd w:val="clear" w:color="auto" w:fill="auto"/>
            <w:vAlign w:val="center"/>
            <w:hideMark/>
          </w:tcPr>
          <w:p w14:paraId="011FC378"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9.5</w:t>
            </w:r>
          </w:p>
        </w:tc>
        <w:tc>
          <w:tcPr>
            <w:tcW w:w="427" w:type="pct"/>
            <w:tcBorders>
              <w:top w:val="nil"/>
              <w:left w:val="nil"/>
              <w:bottom w:val="single" w:sz="4" w:space="0" w:color="auto"/>
              <w:right w:val="single" w:sz="4" w:space="0" w:color="auto"/>
            </w:tcBorders>
            <w:shd w:val="clear" w:color="auto" w:fill="auto"/>
            <w:vAlign w:val="center"/>
            <w:hideMark/>
          </w:tcPr>
          <w:p w14:paraId="3A9A767C"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10.6</w:t>
            </w:r>
          </w:p>
        </w:tc>
        <w:tc>
          <w:tcPr>
            <w:tcW w:w="223" w:type="pct"/>
            <w:tcBorders>
              <w:top w:val="nil"/>
              <w:left w:val="nil"/>
              <w:bottom w:val="single" w:sz="4" w:space="0" w:color="auto"/>
              <w:right w:val="single" w:sz="8" w:space="0" w:color="auto"/>
            </w:tcBorders>
            <w:shd w:val="clear" w:color="auto" w:fill="auto"/>
            <w:vAlign w:val="center"/>
            <w:hideMark/>
          </w:tcPr>
          <w:p w14:paraId="52C04D1C"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r>
      <w:tr w:rsidR="00596935" w:rsidRPr="00596935" w14:paraId="4239C18D" w14:textId="77777777" w:rsidTr="00596935">
        <w:trPr>
          <w:trHeight w:val="510"/>
        </w:trPr>
        <w:tc>
          <w:tcPr>
            <w:tcW w:w="540" w:type="pct"/>
            <w:tcBorders>
              <w:top w:val="nil"/>
              <w:left w:val="single" w:sz="4" w:space="0" w:color="auto"/>
              <w:bottom w:val="single" w:sz="4" w:space="0" w:color="auto"/>
              <w:right w:val="single" w:sz="4" w:space="0" w:color="auto"/>
            </w:tcBorders>
            <w:shd w:val="clear" w:color="auto" w:fill="auto"/>
            <w:vAlign w:val="center"/>
            <w:hideMark/>
          </w:tcPr>
          <w:p w14:paraId="6E5C6935" w14:textId="77777777" w:rsidR="003733D2" w:rsidRDefault="00596935" w:rsidP="003733D2">
            <w:pPr>
              <w:rPr>
                <w:rFonts w:cs="Arial"/>
                <w:color w:val="000000"/>
                <w:sz w:val="20"/>
                <w:szCs w:val="20"/>
                <w:lang w:val="de-AT" w:eastAsia="de-AT"/>
              </w:rPr>
            </w:pPr>
            <w:r w:rsidRPr="00596935">
              <w:rPr>
                <w:rFonts w:cs="Arial"/>
                <w:color w:val="000000"/>
                <w:sz w:val="20"/>
                <w:szCs w:val="20"/>
                <w:lang w:val="de-AT" w:eastAsia="de-AT"/>
              </w:rPr>
              <w:t>Ihler</w:t>
            </w:r>
          </w:p>
          <w:p w14:paraId="607C8BFD" w14:textId="6A3CFEB4" w:rsidR="00596935" w:rsidRPr="00596935" w:rsidRDefault="00596935" w:rsidP="003733D2">
            <w:pPr>
              <w:rPr>
                <w:rFonts w:cs="Arial"/>
                <w:color w:val="000000"/>
                <w:sz w:val="20"/>
                <w:szCs w:val="20"/>
                <w:lang w:val="de-AT" w:eastAsia="de-AT"/>
              </w:rPr>
            </w:pPr>
            <w:r w:rsidRPr="00596935">
              <w:rPr>
                <w:rFonts w:cs="Arial"/>
                <w:color w:val="000000"/>
                <w:sz w:val="20"/>
                <w:szCs w:val="20"/>
                <w:lang w:val="de-AT" w:eastAsia="de-AT"/>
              </w:rPr>
              <w:t>2014</w:t>
            </w:r>
          </w:p>
        </w:tc>
        <w:tc>
          <w:tcPr>
            <w:tcW w:w="191" w:type="pct"/>
            <w:tcBorders>
              <w:top w:val="nil"/>
              <w:left w:val="nil"/>
              <w:bottom w:val="single" w:sz="4" w:space="0" w:color="auto"/>
              <w:right w:val="single" w:sz="4" w:space="0" w:color="auto"/>
            </w:tcBorders>
            <w:shd w:val="clear" w:color="auto" w:fill="auto"/>
            <w:vAlign w:val="center"/>
            <w:hideMark/>
          </w:tcPr>
          <w:p w14:paraId="25134DEA"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10</w:t>
            </w:r>
          </w:p>
        </w:tc>
        <w:tc>
          <w:tcPr>
            <w:tcW w:w="536" w:type="pct"/>
            <w:tcBorders>
              <w:top w:val="nil"/>
              <w:left w:val="nil"/>
              <w:bottom w:val="single" w:sz="4" w:space="0" w:color="auto"/>
              <w:right w:val="single" w:sz="4" w:space="0" w:color="auto"/>
            </w:tcBorders>
            <w:shd w:val="clear" w:color="auto" w:fill="auto"/>
            <w:vAlign w:val="center"/>
            <w:hideMark/>
          </w:tcPr>
          <w:p w14:paraId="70A0DE26"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6.5 - 60 months</w:t>
            </w:r>
          </w:p>
        </w:tc>
        <w:tc>
          <w:tcPr>
            <w:tcW w:w="687" w:type="pct"/>
            <w:tcBorders>
              <w:top w:val="nil"/>
              <w:left w:val="nil"/>
              <w:bottom w:val="single" w:sz="4" w:space="0" w:color="auto"/>
              <w:right w:val="nil"/>
            </w:tcBorders>
            <w:shd w:val="clear" w:color="auto" w:fill="auto"/>
            <w:vAlign w:val="center"/>
            <w:hideMark/>
          </w:tcPr>
          <w:p w14:paraId="66775755" w14:textId="77777777" w:rsidR="00596935" w:rsidRPr="00596935" w:rsidRDefault="00596935" w:rsidP="00596935">
            <w:pPr>
              <w:rPr>
                <w:rFonts w:cs="Arial"/>
                <w:color w:val="000000"/>
                <w:sz w:val="20"/>
                <w:szCs w:val="20"/>
                <w:lang w:val="de-AT" w:eastAsia="de-AT"/>
              </w:rPr>
            </w:pPr>
            <w:r w:rsidRPr="00596935">
              <w:rPr>
                <w:rFonts w:cs="Arial"/>
                <w:color w:val="000000"/>
                <w:sz w:val="20"/>
                <w:szCs w:val="20"/>
                <w:lang w:val="de-AT" w:eastAsia="de-AT"/>
              </w:rPr>
              <w:t>no information</w:t>
            </w:r>
          </w:p>
        </w:tc>
        <w:tc>
          <w:tcPr>
            <w:tcW w:w="456" w:type="pct"/>
            <w:tcBorders>
              <w:top w:val="nil"/>
              <w:left w:val="single" w:sz="8" w:space="0" w:color="auto"/>
              <w:bottom w:val="single" w:sz="4" w:space="0" w:color="auto"/>
              <w:right w:val="single" w:sz="4" w:space="0" w:color="auto"/>
            </w:tcBorders>
            <w:shd w:val="clear" w:color="auto" w:fill="auto"/>
            <w:vAlign w:val="center"/>
            <w:hideMark/>
          </w:tcPr>
          <w:p w14:paraId="0B5E37B7"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301" w:type="pct"/>
            <w:tcBorders>
              <w:top w:val="nil"/>
              <w:left w:val="nil"/>
              <w:bottom w:val="single" w:sz="4" w:space="0" w:color="auto"/>
              <w:right w:val="single" w:sz="8" w:space="0" w:color="auto"/>
            </w:tcBorders>
            <w:shd w:val="clear" w:color="auto" w:fill="auto"/>
            <w:vAlign w:val="center"/>
            <w:hideMark/>
          </w:tcPr>
          <w:p w14:paraId="388C272C"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395" w:type="pct"/>
            <w:tcBorders>
              <w:top w:val="nil"/>
              <w:left w:val="nil"/>
              <w:bottom w:val="single" w:sz="4" w:space="0" w:color="auto"/>
              <w:right w:val="single" w:sz="4" w:space="0" w:color="auto"/>
            </w:tcBorders>
            <w:shd w:val="clear" w:color="auto" w:fill="auto"/>
            <w:vAlign w:val="center"/>
            <w:hideMark/>
          </w:tcPr>
          <w:p w14:paraId="73C78598"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29.9</w:t>
            </w:r>
          </w:p>
        </w:tc>
        <w:tc>
          <w:tcPr>
            <w:tcW w:w="278" w:type="pct"/>
            <w:tcBorders>
              <w:top w:val="nil"/>
              <w:left w:val="nil"/>
              <w:bottom w:val="single" w:sz="4" w:space="0" w:color="auto"/>
              <w:right w:val="single" w:sz="4" w:space="0" w:color="auto"/>
            </w:tcBorders>
            <w:shd w:val="clear" w:color="auto" w:fill="auto"/>
            <w:vAlign w:val="center"/>
            <w:hideMark/>
          </w:tcPr>
          <w:p w14:paraId="485D046A"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8.7</w:t>
            </w:r>
          </w:p>
        </w:tc>
        <w:tc>
          <w:tcPr>
            <w:tcW w:w="343" w:type="pct"/>
            <w:tcBorders>
              <w:top w:val="nil"/>
              <w:left w:val="nil"/>
              <w:bottom w:val="single" w:sz="4" w:space="0" w:color="auto"/>
              <w:right w:val="single" w:sz="4" w:space="0" w:color="auto"/>
            </w:tcBorders>
            <w:shd w:val="clear" w:color="auto" w:fill="auto"/>
            <w:vAlign w:val="center"/>
            <w:hideMark/>
          </w:tcPr>
          <w:p w14:paraId="337F3B70"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186" w:type="pct"/>
            <w:tcBorders>
              <w:top w:val="nil"/>
              <w:left w:val="nil"/>
              <w:bottom w:val="single" w:sz="4" w:space="0" w:color="auto"/>
              <w:right w:val="single" w:sz="8" w:space="0" w:color="auto"/>
            </w:tcBorders>
            <w:shd w:val="clear" w:color="auto" w:fill="auto"/>
            <w:vAlign w:val="center"/>
            <w:hideMark/>
          </w:tcPr>
          <w:p w14:paraId="331804DD"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437" w:type="pct"/>
            <w:tcBorders>
              <w:top w:val="nil"/>
              <w:left w:val="nil"/>
              <w:bottom w:val="single" w:sz="4" w:space="0" w:color="auto"/>
              <w:right w:val="single" w:sz="4" w:space="0" w:color="auto"/>
            </w:tcBorders>
            <w:shd w:val="clear" w:color="auto" w:fill="auto"/>
            <w:vAlign w:val="center"/>
            <w:hideMark/>
          </w:tcPr>
          <w:p w14:paraId="3B7F6F92"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25.2</w:t>
            </w:r>
          </w:p>
        </w:tc>
        <w:tc>
          <w:tcPr>
            <w:tcW w:w="427" w:type="pct"/>
            <w:tcBorders>
              <w:top w:val="nil"/>
              <w:left w:val="nil"/>
              <w:bottom w:val="single" w:sz="4" w:space="0" w:color="auto"/>
              <w:right w:val="single" w:sz="4" w:space="0" w:color="auto"/>
            </w:tcBorders>
            <w:shd w:val="clear" w:color="auto" w:fill="auto"/>
            <w:vAlign w:val="center"/>
            <w:hideMark/>
          </w:tcPr>
          <w:p w14:paraId="22E8135A"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8.6</w:t>
            </w:r>
          </w:p>
        </w:tc>
        <w:tc>
          <w:tcPr>
            <w:tcW w:w="223" w:type="pct"/>
            <w:tcBorders>
              <w:top w:val="nil"/>
              <w:left w:val="nil"/>
              <w:bottom w:val="single" w:sz="4" w:space="0" w:color="auto"/>
              <w:right w:val="single" w:sz="8" w:space="0" w:color="auto"/>
            </w:tcBorders>
            <w:shd w:val="clear" w:color="auto" w:fill="auto"/>
            <w:vAlign w:val="center"/>
            <w:hideMark/>
          </w:tcPr>
          <w:p w14:paraId="3C3B18F8"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r>
      <w:tr w:rsidR="00596935" w:rsidRPr="00596935" w14:paraId="5A28B4DC" w14:textId="77777777" w:rsidTr="00596935">
        <w:trPr>
          <w:trHeight w:val="510"/>
        </w:trPr>
        <w:tc>
          <w:tcPr>
            <w:tcW w:w="540" w:type="pct"/>
            <w:tcBorders>
              <w:top w:val="nil"/>
              <w:left w:val="single" w:sz="4" w:space="0" w:color="auto"/>
              <w:bottom w:val="single" w:sz="4" w:space="0" w:color="auto"/>
              <w:right w:val="single" w:sz="4" w:space="0" w:color="auto"/>
            </w:tcBorders>
            <w:shd w:val="clear" w:color="auto" w:fill="auto"/>
            <w:vAlign w:val="center"/>
            <w:hideMark/>
          </w:tcPr>
          <w:p w14:paraId="3CC327CC" w14:textId="77777777" w:rsidR="00596935" w:rsidRPr="00596935" w:rsidRDefault="00596935" w:rsidP="00596935">
            <w:pPr>
              <w:rPr>
                <w:rFonts w:cs="Arial"/>
                <w:color w:val="000000"/>
                <w:sz w:val="20"/>
                <w:szCs w:val="20"/>
                <w:lang w:val="de-AT" w:eastAsia="de-AT"/>
              </w:rPr>
            </w:pPr>
            <w:r w:rsidRPr="00596935">
              <w:rPr>
                <w:rFonts w:cs="Arial"/>
                <w:color w:val="000000"/>
                <w:sz w:val="20"/>
                <w:szCs w:val="20"/>
                <w:lang w:val="de-AT" w:eastAsia="de-AT"/>
              </w:rPr>
              <w:t>Lenarz  2001</w:t>
            </w:r>
          </w:p>
        </w:tc>
        <w:tc>
          <w:tcPr>
            <w:tcW w:w="191" w:type="pct"/>
            <w:tcBorders>
              <w:top w:val="nil"/>
              <w:left w:val="nil"/>
              <w:bottom w:val="single" w:sz="4" w:space="0" w:color="auto"/>
              <w:right w:val="single" w:sz="4" w:space="0" w:color="auto"/>
            </w:tcBorders>
            <w:shd w:val="clear" w:color="auto" w:fill="auto"/>
            <w:vAlign w:val="center"/>
            <w:hideMark/>
          </w:tcPr>
          <w:p w14:paraId="25DA9454"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12</w:t>
            </w:r>
          </w:p>
        </w:tc>
        <w:tc>
          <w:tcPr>
            <w:tcW w:w="536" w:type="pct"/>
            <w:tcBorders>
              <w:top w:val="nil"/>
              <w:left w:val="nil"/>
              <w:bottom w:val="single" w:sz="4" w:space="0" w:color="auto"/>
              <w:right w:val="single" w:sz="4" w:space="0" w:color="auto"/>
            </w:tcBorders>
            <w:shd w:val="clear" w:color="auto" w:fill="auto"/>
            <w:vAlign w:val="center"/>
            <w:hideMark/>
          </w:tcPr>
          <w:p w14:paraId="4D791E7A"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6 months</w:t>
            </w:r>
          </w:p>
        </w:tc>
        <w:tc>
          <w:tcPr>
            <w:tcW w:w="687" w:type="pct"/>
            <w:tcBorders>
              <w:top w:val="nil"/>
              <w:left w:val="nil"/>
              <w:bottom w:val="single" w:sz="4" w:space="0" w:color="auto"/>
              <w:right w:val="nil"/>
            </w:tcBorders>
            <w:shd w:val="clear" w:color="auto" w:fill="auto"/>
            <w:vAlign w:val="center"/>
            <w:hideMark/>
          </w:tcPr>
          <w:p w14:paraId="3A92FE7F" w14:textId="77777777" w:rsidR="00596935" w:rsidRPr="00596935" w:rsidRDefault="00596935" w:rsidP="00596935">
            <w:pPr>
              <w:rPr>
                <w:rFonts w:cs="Arial"/>
                <w:color w:val="000000"/>
                <w:sz w:val="20"/>
                <w:szCs w:val="20"/>
                <w:lang w:val="de-AT" w:eastAsia="de-AT"/>
              </w:rPr>
            </w:pPr>
            <w:r w:rsidRPr="00596935">
              <w:rPr>
                <w:rFonts w:cs="Arial"/>
                <w:color w:val="000000"/>
                <w:sz w:val="20"/>
                <w:szCs w:val="20"/>
                <w:lang w:val="de-AT" w:eastAsia="de-AT"/>
              </w:rPr>
              <w:t>PTA</w:t>
            </w:r>
            <w:r w:rsidRPr="00596935">
              <w:rPr>
                <w:rFonts w:cs="Arial"/>
                <w:color w:val="000000"/>
                <w:sz w:val="20"/>
                <w:szCs w:val="20"/>
                <w:vertAlign w:val="subscript"/>
                <w:lang w:val="de-AT" w:eastAsia="de-AT"/>
              </w:rPr>
              <w:t>4</w:t>
            </w:r>
          </w:p>
        </w:tc>
        <w:tc>
          <w:tcPr>
            <w:tcW w:w="456" w:type="pct"/>
            <w:tcBorders>
              <w:top w:val="nil"/>
              <w:left w:val="single" w:sz="8" w:space="0" w:color="auto"/>
              <w:bottom w:val="single" w:sz="4" w:space="0" w:color="auto"/>
              <w:right w:val="single" w:sz="4" w:space="0" w:color="auto"/>
            </w:tcBorders>
            <w:shd w:val="clear" w:color="auto" w:fill="auto"/>
            <w:vAlign w:val="center"/>
            <w:hideMark/>
          </w:tcPr>
          <w:p w14:paraId="343A0F40"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301" w:type="pct"/>
            <w:tcBorders>
              <w:top w:val="nil"/>
              <w:left w:val="nil"/>
              <w:bottom w:val="single" w:sz="4" w:space="0" w:color="auto"/>
              <w:right w:val="single" w:sz="8" w:space="0" w:color="auto"/>
            </w:tcBorders>
            <w:shd w:val="clear" w:color="auto" w:fill="auto"/>
            <w:vAlign w:val="center"/>
            <w:hideMark/>
          </w:tcPr>
          <w:p w14:paraId="3267DE2C"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395" w:type="pct"/>
            <w:tcBorders>
              <w:top w:val="nil"/>
              <w:left w:val="nil"/>
              <w:bottom w:val="single" w:sz="4" w:space="0" w:color="auto"/>
              <w:right w:val="single" w:sz="4" w:space="0" w:color="auto"/>
            </w:tcBorders>
            <w:shd w:val="clear" w:color="auto" w:fill="auto"/>
            <w:vAlign w:val="center"/>
            <w:hideMark/>
          </w:tcPr>
          <w:p w14:paraId="55C3023E"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278" w:type="pct"/>
            <w:tcBorders>
              <w:top w:val="nil"/>
              <w:left w:val="nil"/>
              <w:bottom w:val="single" w:sz="4" w:space="0" w:color="auto"/>
              <w:right w:val="single" w:sz="4" w:space="0" w:color="auto"/>
            </w:tcBorders>
            <w:shd w:val="clear" w:color="auto" w:fill="auto"/>
            <w:vAlign w:val="center"/>
            <w:hideMark/>
          </w:tcPr>
          <w:p w14:paraId="3539F092"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343" w:type="pct"/>
            <w:tcBorders>
              <w:top w:val="nil"/>
              <w:left w:val="nil"/>
              <w:bottom w:val="single" w:sz="4" w:space="0" w:color="auto"/>
              <w:right w:val="single" w:sz="4" w:space="0" w:color="auto"/>
            </w:tcBorders>
            <w:shd w:val="clear" w:color="auto" w:fill="auto"/>
            <w:vAlign w:val="center"/>
            <w:hideMark/>
          </w:tcPr>
          <w:p w14:paraId="0ACEE809"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186" w:type="pct"/>
            <w:tcBorders>
              <w:top w:val="nil"/>
              <w:left w:val="nil"/>
              <w:bottom w:val="single" w:sz="4" w:space="0" w:color="auto"/>
              <w:right w:val="single" w:sz="8" w:space="0" w:color="auto"/>
            </w:tcBorders>
            <w:shd w:val="clear" w:color="auto" w:fill="auto"/>
            <w:vAlign w:val="center"/>
            <w:hideMark/>
          </w:tcPr>
          <w:p w14:paraId="3EA85053"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437" w:type="pct"/>
            <w:tcBorders>
              <w:top w:val="nil"/>
              <w:left w:val="nil"/>
              <w:bottom w:val="single" w:sz="4" w:space="0" w:color="auto"/>
              <w:right w:val="single" w:sz="4" w:space="0" w:color="auto"/>
            </w:tcBorders>
            <w:shd w:val="clear" w:color="auto" w:fill="auto"/>
            <w:vAlign w:val="center"/>
            <w:hideMark/>
          </w:tcPr>
          <w:p w14:paraId="5A1E5CB0"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32</w:t>
            </w:r>
          </w:p>
        </w:tc>
        <w:tc>
          <w:tcPr>
            <w:tcW w:w="427" w:type="pct"/>
            <w:tcBorders>
              <w:top w:val="nil"/>
              <w:left w:val="nil"/>
              <w:bottom w:val="single" w:sz="4" w:space="0" w:color="auto"/>
              <w:right w:val="single" w:sz="4" w:space="0" w:color="auto"/>
            </w:tcBorders>
            <w:shd w:val="clear" w:color="auto" w:fill="auto"/>
            <w:vAlign w:val="center"/>
            <w:hideMark/>
          </w:tcPr>
          <w:p w14:paraId="59D6B24A"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223" w:type="pct"/>
            <w:tcBorders>
              <w:top w:val="nil"/>
              <w:left w:val="nil"/>
              <w:bottom w:val="single" w:sz="4" w:space="0" w:color="auto"/>
              <w:right w:val="single" w:sz="8" w:space="0" w:color="auto"/>
            </w:tcBorders>
            <w:shd w:val="clear" w:color="auto" w:fill="auto"/>
            <w:vAlign w:val="center"/>
            <w:hideMark/>
          </w:tcPr>
          <w:p w14:paraId="1C829F5F"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r>
      <w:tr w:rsidR="00596935" w:rsidRPr="00596935" w14:paraId="3D7215A3" w14:textId="77777777" w:rsidTr="00596935">
        <w:trPr>
          <w:trHeight w:val="510"/>
        </w:trPr>
        <w:tc>
          <w:tcPr>
            <w:tcW w:w="540" w:type="pct"/>
            <w:tcBorders>
              <w:top w:val="nil"/>
              <w:left w:val="single" w:sz="4" w:space="0" w:color="auto"/>
              <w:bottom w:val="single" w:sz="4" w:space="0" w:color="auto"/>
              <w:right w:val="single" w:sz="4" w:space="0" w:color="auto"/>
            </w:tcBorders>
            <w:shd w:val="clear" w:color="auto" w:fill="auto"/>
            <w:vAlign w:val="center"/>
            <w:hideMark/>
          </w:tcPr>
          <w:p w14:paraId="66AF4259" w14:textId="77777777" w:rsidR="00596935" w:rsidRPr="00596935" w:rsidRDefault="00596935" w:rsidP="00596935">
            <w:pPr>
              <w:rPr>
                <w:rFonts w:cs="Arial"/>
                <w:color w:val="000000"/>
                <w:sz w:val="20"/>
                <w:szCs w:val="20"/>
                <w:lang w:val="de-AT" w:eastAsia="de-AT"/>
              </w:rPr>
            </w:pPr>
            <w:r w:rsidRPr="00596935">
              <w:rPr>
                <w:rFonts w:cs="Arial"/>
                <w:color w:val="000000"/>
                <w:sz w:val="20"/>
                <w:szCs w:val="20"/>
                <w:lang w:val="de-AT" w:eastAsia="de-AT"/>
              </w:rPr>
              <w:t xml:space="preserve">Luetje  2002 </w:t>
            </w:r>
          </w:p>
        </w:tc>
        <w:tc>
          <w:tcPr>
            <w:tcW w:w="191" w:type="pct"/>
            <w:tcBorders>
              <w:top w:val="nil"/>
              <w:left w:val="nil"/>
              <w:bottom w:val="single" w:sz="4" w:space="0" w:color="auto"/>
              <w:right w:val="single" w:sz="4" w:space="0" w:color="auto"/>
            </w:tcBorders>
            <w:shd w:val="clear" w:color="auto" w:fill="auto"/>
            <w:vAlign w:val="center"/>
            <w:hideMark/>
          </w:tcPr>
          <w:p w14:paraId="6C9135C8"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53</w:t>
            </w:r>
          </w:p>
        </w:tc>
        <w:tc>
          <w:tcPr>
            <w:tcW w:w="536" w:type="pct"/>
            <w:tcBorders>
              <w:top w:val="nil"/>
              <w:left w:val="nil"/>
              <w:bottom w:val="single" w:sz="4" w:space="0" w:color="auto"/>
              <w:right w:val="single" w:sz="4" w:space="0" w:color="auto"/>
            </w:tcBorders>
            <w:shd w:val="clear" w:color="auto" w:fill="auto"/>
            <w:vAlign w:val="center"/>
            <w:hideMark/>
          </w:tcPr>
          <w:p w14:paraId="19C9379D"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18 weeks</w:t>
            </w:r>
          </w:p>
        </w:tc>
        <w:tc>
          <w:tcPr>
            <w:tcW w:w="687" w:type="pct"/>
            <w:tcBorders>
              <w:top w:val="nil"/>
              <w:left w:val="nil"/>
              <w:bottom w:val="single" w:sz="4" w:space="0" w:color="auto"/>
              <w:right w:val="nil"/>
            </w:tcBorders>
            <w:shd w:val="clear" w:color="auto" w:fill="auto"/>
            <w:vAlign w:val="center"/>
            <w:hideMark/>
          </w:tcPr>
          <w:p w14:paraId="5767428C" w14:textId="77777777" w:rsidR="00596935" w:rsidRPr="00596935" w:rsidRDefault="00596935" w:rsidP="00596935">
            <w:pPr>
              <w:rPr>
                <w:rFonts w:cs="Arial"/>
                <w:color w:val="000000"/>
                <w:sz w:val="20"/>
                <w:szCs w:val="20"/>
                <w:lang w:val="de-AT" w:eastAsia="de-AT"/>
              </w:rPr>
            </w:pPr>
            <w:r w:rsidRPr="00596935">
              <w:rPr>
                <w:rFonts w:cs="Arial"/>
                <w:color w:val="000000"/>
                <w:sz w:val="20"/>
                <w:szCs w:val="20"/>
                <w:lang w:val="de-AT" w:eastAsia="de-AT"/>
              </w:rPr>
              <w:t>PTA</w:t>
            </w:r>
            <w:r w:rsidRPr="00596935">
              <w:rPr>
                <w:rFonts w:cs="Arial"/>
                <w:color w:val="000000"/>
                <w:sz w:val="20"/>
                <w:szCs w:val="20"/>
                <w:vertAlign w:val="subscript"/>
                <w:lang w:val="de-AT" w:eastAsia="de-AT"/>
              </w:rPr>
              <w:t>3</w:t>
            </w:r>
          </w:p>
        </w:tc>
        <w:tc>
          <w:tcPr>
            <w:tcW w:w="456" w:type="pct"/>
            <w:tcBorders>
              <w:top w:val="nil"/>
              <w:left w:val="single" w:sz="8" w:space="0" w:color="auto"/>
              <w:bottom w:val="single" w:sz="4" w:space="0" w:color="auto"/>
              <w:right w:val="single" w:sz="4" w:space="0" w:color="auto"/>
            </w:tcBorders>
            <w:shd w:val="clear" w:color="auto" w:fill="auto"/>
            <w:vAlign w:val="center"/>
            <w:hideMark/>
          </w:tcPr>
          <w:p w14:paraId="2F70DDC3"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301" w:type="pct"/>
            <w:tcBorders>
              <w:top w:val="nil"/>
              <w:left w:val="nil"/>
              <w:bottom w:val="single" w:sz="4" w:space="0" w:color="auto"/>
              <w:right w:val="single" w:sz="8" w:space="0" w:color="auto"/>
            </w:tcBorders>
            <w:shd w:val="clear" w:color="auto" w:fill="auto"/>
            <w:vAlign w:val="center"/>
            <w:hideMark/>
          </w:tcPr>
          <w:p w14:paraId="17F840B5"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395" w:type="pct"/>
            <w:tcBorders>
              <w:top w:val="nil"/>
              <w:left w:val="nil"/>
              <w:bottom w:val="single" w:sz="4" w:space="0" w:color="auto"/>
              <w:right w:val="single" w:sz="4" w:space="0" w:color="auto"/>
            </w:tcBorders>
            <w:shd w:val="clear" w:color="auto" w:fill="auto"/>
            <w:vAlign w:val="center"/>
            <w:hideMark/>
          </w:tcPr>
          <w:p w14:paraId="29D72271"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278" w:type="pct"/>
            <w:tcBorders>
              <w:top w:val="nil"/>
              <w:left w:val="nil"/>
              <w:bottom w:val="single" w:sz="4" w:space="0" w:color="auto"/>
              <w:right w:val="single" w:sz="4" w:space="0" w:color="auto"/>
            </w:tcBorders>
            <w:shd w:val="clear" w:color="auto" w:fill="auto"/>
            <w:vAlign w:val="center"/>
            <w:hideMark/>
          </w:tcPr>
          <w:p w14:paraId="3D5115DA"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343" w:type="pct"/>
            <w:tcBorders>
              <w:top w:val="nil"/>
              <w:left w:val="nil"/>
              <w:bottom w:val="single" w:sz="4" w:space="0" w:color="auto"/>
              <w:right w:val="single" w:sz="4" w:space="0" w:color="auto"/>
            </w:tcBorders>
            <w:shd w:val="clear" w:color="auto" w:fill="auto"/>
            <w:vAlign w:val="center"/>
            <w:hideMark/>
          </w:tcPr>
          <w:p w14:paraId="6AC02D00"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186" w:type="pct"/>
            <w:tcBorders>
              <w:top w:val="nil"/>
              <w:left w:val="nil"/>
              <w:bottom w:val="single" w:sz="4" w:space="0" w:color="auto"/>
              <w:right w:val="single" w:sz="8" w:space="0" w:color="auto"/>
            </w:tcBorders>
            <w:shd w:val="clear" w:color="auto" w:fill="auto"/>
            <w:vAlign w:val="center"/>
            <w:hideMark/>
          </w:tcPr>
          <w:p w14:paraId="698B4CE9"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437" w:type="pct"/>
            <w:tcBorders>
              <w:top w:val="nil"/>
              <w:left w:val="nil"/>
              <w:bottom w:val="single" w:sz="4" w:space="0" w:color="auto"/>
              <w:right w:val="single" w:sz="4" w:space="0" w:color="auto"/>
            </w:tcBorders>
            <w:shd w:val="clear" w:color="auto" w:fill="auto"/>
            <w:vAlign w:val="center"/>
            <w:hideMark/>
          </w:tcPr>
          <w:p w14:paraId="201286C6"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33.4</w:t>
            </w:r>
          </w:p>
        </w:tc>
        <w:tc>
          <w:tcPr>
            <w:tcW w:w="427" w:type="pct"/>
            <w:tcBorders>
              <w:top w:val="nil"/>
              <w:left w:val="nil"/>
              <w:bottom w:val="single" w:sz="4" w:space="0" w:color="auto"/>
              <w:right w:val="single" w:sz="4" w:space="0" w:color="auto"/>
            </w:tcBorders>
            <w:shd w:val="clear" w:color="auto" w:fill="auto"/>
            <w:vAlign w:val="center"/>
            <w:hideMark/>
          </w:tcPr>
          <w:p w14:paraId="01C924A3"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223" w:type="pct"/>
            <w:tcBorders>
              <w:top w:val="nil"/>
              <w:left w:val="nil"/>
              <w:bottom w:val="single" w:sz="4" w:space="0" w:color="auto"/>
              <w:right w:val="single" w:sz="8" w:space="0" w:color="auto"/>
            </w:tcBorders>
            <w:shd w:val="clear" w:color="auto" w:fill="auto"/>
            <w:vAlign w:val="center"/>
            <w:hideMark/>
          </w:tcPr>
          <w:p w14:paraId="1C8F385D"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r>
      <w:tr w:rsidR="00596935" w:rsidRPr="00596935" w14:paraId="68793F78" w14:textId="77777777" w:rsidTr="00596935">
        <w:trPr>
          <w:trHeight w:val="510"/>
        </w:trPr>
        <w:tc>
          <w:tcPr>
            <w:tcW w:w="540" w:type="pct"/>
            <w:tcBorders>
              <w:top w:val="nil"/>
              <w:left w:val="single" w:sz="4" w:space="0" w:color="auto"/>
              <w:bottom w:val="single" w:sz="4" w:space="0" w:color="auto"/>
              <w:right w:val="single" w:sz="4" w:space="0" w:color="auto"/>
            </w:tcBorders>
            <w:shd w:val="clear" w:color="auto" w:fill="auto"/>
            <w:vAlign w:val="center"/>
            <w:hideMark/>
          </w:tcPr>
          <w:p w14:paraId="5CB4F47E" w14:textId="77777777" w:rsidR="00596935" w:rsidRPr="00596935" w:rsidRDefault="00596935" w:rsidP="00596935">
            <w:pPr>
              <w:rPr>
                <w:rFonts w:cs="Arial"/>
                <w:color w:val="000000"/>
                <w:sz w:val="20"/>
                <w:szCs w:val="20"/>
                <w:lang w:val="de-AT" w:eastAsia="de-AT"/>
              </w:rPr>
            </w:pPr>
            <w:r w:rsidRPr="00596935">
              <w:rPr>
                <w:rFonts w:cs="Arial"/>
                <w:color w:val="000000"/>
                <w:sz w:val="20"/>
                <w:szCs w:val="20"/>
                <w:lang w:val="de-AT" w:eastAsia="de-AT"/>
              </w:rPr>
              <w:t>Mosnier 2008</w:t>
            </w:r>
          </w:p>
        </w:tc>
        <w:tc>
          <w:tcPr>
            <w:tcW w:w="191" w:type="pct"/>
            <w:tcBorders>
              <w:top w:val="nil"/>
              <w:left w:val="nil"/>
              <w:bottom w:val="single" w:sz="4" w:space="0" w:color="auto"/>
              <w:right w:val="single" w:sz="4" w:space="0" w:color="auto"/>
            </w:tcBorders>
            <w:shd w:val="clear" w:color="auto" w:fill="auto"/>
            <w:vAlign w:val="center"/>
            <w:hideMark/>
          </w:tcPr>
          <w:p w14:paraId="25145D4B"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77</w:t>
            </w:r>
          </w:p>
        </w:tc>
        <w:tc>
          <w:tcPr>
            <w:tcW w:w="536" w:type="pct"/>
            <w:tcBorders>
              <w:top w:val="nil"/>
              <w:left w:val="nil"/>
              <w:bottom w:val="single" w:sz="4" w:space="0" w:color="auto"/>
              <w:right w:val="single" w:sz="4" w:space="0" w:color="auto"/>
            </w:tcBorders>
            <w:shd w:val="clear" w:color="auto" w:fill="auto"/>
            <w:vAlign w:val="center"/>
            <w:hideMark/>
          </w:tcPr>
          <w:p w14:paraId="194BBFB8"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1-11 yrs.</w:t>
            </w:r>
          </w:p>
        </w:tc>
        <w:tc>
          <w:tcPr>
            <w:tcW w:w="687" w:type="pct"/>
            <w:tcBorders>
              <w:top w:val="nil"/>
              <w:left w:val="nil"/>
              <w:bottom w:val="single" w:sz="4" w:space="0" w:color="auto"/>
              <w:right w:val="nil"/>
            </w:tcBorders>
            <w:shd w:val="clear" w:color="auto" w:fill="auto"/>
            <w:vAlign w:val="center"/>
            <w:hideMark/>
          </w:tcPr>
          <w:p w14:paraId="0A06B589" w14:textId="77777777" w:rsidR="00596935" w:rsidRPr="00596935" w:rsidRDefault="00596935" w:rsidP="00596935">
            <w:pPr>
              <w:rPr>
                <w:rFonts w:cs="Arial"/>
                <w:color w:val="000000"/>
                <w:sz w:val="20"/>
                <w:szCs w:val="20"/>
                <w:lang w:val="de-AT" w:eastAsia="de-AT"/>
              </w:rPr>
            </w:pPr>
            <w:r w:rsidRPr="00596935">
              <w:rPr>
                <w:rFonts w:cs="Arial"/>
                <w:color w:val="000000"/>
                <w:sz w:val="20"/>
                <w:szCs w:val="20"/>
                <w:lang w:val="de-AT" w:eastAsia="de-AT"/>
              </w:rPr>
              <w:t>PTA</w:t>
            </w:r>
            <w:r w:rsidRPr="00596935">
              <w:rPr>
                <w:rFonts w:cs="Arial"/>
                <w:color w:val="000000"/>
                <w:sz w:val="20"/>
                <w:szCs w:val="20"/>
                <w:vertAlign w:val="subscript"/>
                <w:lang w:val="de-AT" w:eastAsia="de-AT"/>
              </w:rPr>
              <w:t>4</w:t>
            </w:r>
          </w:p>
        </w:tc>
        <w:tc>
          <w:tcPr>
            <w:tcW w:w="456" w:type="pct"/>
            <w:tcBorders>
              <w:top w:val="nil"/>
              <w:left w:val="single" w:sz="8" w:space="0" w:color="auto"/>
              <w:bottom w:val="single" w:sz="4" w:space="0" w:color="auto"/>
              <w:right w:val="single" w:sz="4" w:space="0" w:color="auto"/>
            </w:tcBorders>
            <w:shd w:val="clear" w:color="auto" w:fill="auto"/>
            <w:vAlign w:val="center"/>
            <w:hideMark/>
          </w:tcPr>
          <w:p w14:paraId="3E6F0B62"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301" w:type="pct"/>
            <w:tcBorders>
              <w:top w:val="nil"/>
              <w:left w:val="nil"/>
              <w:bottom w:val="single" w:sz="4" w:space="0" w:color="auto"/>
              <w:right w:val="single" w:sz="8" w:space="0" w:color="auto"/>
            </w:tcBorders>
            <w:shd w:val="clear" w:color="auto" w:fill="auto"/>
            <w:vAlign w:val="center"/>
            <w:hideMark/>
          </w:tcPr>
          <w:p w14:paraId="4514746F"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395" w:type="pct"/>
            <w:tcBorders>
              <w:top w:val="nil"/>
              <w:left w:val="nil"/>
              <w:bottom w:val="single" w:sz="4" w:space="0" w:color="auto"/>
              <w:right w:val="single" w:sz="4" w:space="0" w:color="auto"/>
            </w:tcBorders>
            <w:shd w:val="clear" w:color="auto" w:fill="auto"/>
            <w:vAlign w:val="center"/>
            <w:hideMark/>
          </w:tcPr>
          <w:p w14:paraId="3CC3AB41"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278" w:type="pct"/>
            <w:tcBorders>
              <w:top w:val="nil"/>
              <w:left w:val="nil"/>
              <w:bottom w:val="single" w:sz="4" w:space="0" w:color="auto"/>
              <w:right w:val="single" w:sz="4" w:space="0" w:color="auto"/>
            </w:tcBorders>
            <w:shd w:val="clear" w:color="auto" w:fill="auto"/>
            <w:vAlign w:val="center"/>
            <w:hideMark/>
          </w:tcPr>
          <w:p w14:paraId="398DA9CA"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343" w:type="pct"/>
            <w:tcBorders>
              <w:top w:val="nil"/>
              <w:left w:val="nil"/>
              <w:bottom w:val="single" w:sz="4" w:space="0" w:color="auto"/>
              <w:right w:val="single" w:sz="4" w:space="0" w:color="auto"/>
            </w:tcBorders>
            <w:shd w:val="clear" w:color="auto" w:fill="auto"/>
            <w:vAlign w:val="center"/>
            <w:hideMark/>
          </w:tcPr>
          <w:p w14:paraId="0AB787AC"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186" w:type="pct"/>
            <w:tcBorders>
              <w:top w:val="nil"/>
              <w:left w:val="nil"/>
              <w:bottom w:val="single" w:sz="4" w:space="0" w:color="auto"/>
              <w:right w:val="single" w:sz="8" w:space="0" w:color="auto"/>
            </w:tcBorders>
            <w:shd w:val="clear" w:color="auto" w:fill="auto"/>
            <w:vAlign w:val="center"/>
            <w:hideMark/>
          </w:tcPr>
          <w:p w14:paraId="3DDC8A6E"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437" w:type="pct"/>
            <w:tcBorders>
              <w:top w:val="nil"/>
              <w:left w:val="nil"/>
              <w:bottom w:val="single" w:sz="4" w:space="0" w:color="auto"/>
              <w:right w:val="single" w:sz="4" w:space="0" w:color="auto"/>
            </w:tcBorders>
            <w:shd w:val="clear" w:color="auto" w:fill="auto"/>
            <w:vAlign w:val="center"/>
            <w:hideMark/>
          </w:tcPr>
          <w:p w14:paraId="50B77999"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26</w:t>
            </w:r>
          </w:p>
        </w:tc>
        <w:tc>
          <w:tcPr>
            <w:tcW w:w="427" w:type="pct"/>
            <w:tcBorders>
              <w:top w:val="nil"/>
              <w:left w:val="nil"/>
              <w:bottom w:val="single" w:sz="4" w:space="0" w:color="auto"/>
              <w:right w:val="single" w:sz="4" w:space="0" w:color="auto"/>
            </w:tcBorders>
            <w:shd w:val="clear" w:color="auto" w:fill="auto"/>
            <w:vAlign w:val="center"/>
            <w:hideMark/>
          </w:tcPr>
          <w:p w14:paraId="29C0C20B"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223" w:type="pct"/>
            <w:tcBorders>
              <w:top w:val="nil"/>
              <w:left w:val="nil"/>
              <w:bottom w:val="single" w:sz="4" w:space="0" w:color="auto"/>
              <w:right w:val="single" w:sz="8" w:space="0" w:color="auto"/>
            </w:tcBorders>
            <w:shd w:val="clear" w:color="auto" w:fill="auto"/>
            <w:vAlign w:val="center"/>
            <w:hideMark/>
          </w:tcPr>
          <w:p w14:paraId="62E0E334"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r>
      <w:tr w:rsidR="00596935" w:rsidRPr="00596935" w14:paraId="70BD6DE4" w14:textId="77777777" w:rsidTr="00596935">
        <w:trPr>
          <w:trHeight w:val="510"/>
        </w:trPr>
        <w:tc>
          <w:tcPr>
            <w:tcW w:w="540" w:type="pct"/>
            <w:tcBorders>
              <w:top w:val="nil"/>
              <w:left w:val="single" w:sz="4" w:space="0" w:color="auto"/>
              <w:bottom w:val="single" w:sz="4" w:space="0" w:color="auto"/>
              <w:right w:val="single" w:sz="4" w:space="0" w:color="auto"/>
            </w:tcBorders>
            <w:shd w:val="clear" w:color="auto" w:fill="auto"/>
            <w:vAlign w:val="center"/>
            <w:hideMark/>
          </w:tcPr>
          <w:p w14:paraId="56797065" w14:textId="77777777" w:rsidR="003733D2" w:rsidRDefault="00596935" w:rsidP="003733D2">
            <w:pPr>
              <w:rPr>
                <w:rFonts w:cs="Arial"/>
                <w:color w:val="000000"/>
                <w:sz w:val="20"/>
                <w:szCs w:val="20"/>
                <w:lang w:val="de-AT" w:eastAsia="de-AT"/>
              </w:rPr>
            </w:pPr>
            <w:r w:rsidRPr="00596935">
              <w:rPr>
                <w:rFonts w:cs="Arial"/>
                <w:color w:val="000000"/>
                <w:sz w:val="20"/>
                <w:szCs w:val="20"/>
                <w:lang w:val="de-AT" w:eastAsia="de-AT"/>
              </w:rPr>
              <w:t>Pok</w:t>
            </w:r>
          </w:p>
          <w:p w14:paraId="0E84C8EC" w14:textId="0BD9C39D" w:rsidR="00596935" w:rsidRPr="00596935" w:rsidRDefault="00596935" w:rsidP="003733D2">
            <w:pPr>
              <w:rPr>
                <w:rFonts w:cs="Arial"/>
                <w:color w:val="000000"/>
                <w:sz w:val="20"/>
                <w:szCs w:val="20"/>
                <w:lang w:val="de-AT" w:eastAsia="de-AT"/>
              </w:rPr>
            </w:pPr>
            <w:r w:rsidRPr="00596935">
              <w:rPr>
                <w:rFonts w:cs="Arial"/>
                <w:color w:val="000000"/>
                <w:sz w:val="20"/>
                <w:szCs w:val="20"/>
                <w:lang w:val="de-AT" w:eastAsia="de-AT"/>
              </w:rPr>
              <w:t>2010</w:t>
            </w:r>
          </w:p>
        </w:tc>
        <w:tc>
          <w:tcPr>
            <w:tcW w:w="191" w:type="pct"/>
            <w:tcBorders>
              <w:top w:val="nil"/>
              <w:left w:val="nil"/>
              <w:bottom w:val="single" w:sz="4" w:space="0" w:color="auto"/>
              <w:right w:val="single" w:sz="4" w:space="0" w:color="auto"/>
            </w:tcBorders>
            <w:shd w:val="clear" w:color="auto" w:fill="auto"/>
            <w:vAlign w:val="center"/>
            <w:hideMark/>
          </w:tcPr>
          <w:p w14:paraId="171CAF8C"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54</w:t>
            </w:r>
          </w:p>
        </w:tc>
        <w:tc>
          <w:tcPr>
            <w:tcW w:w="536" w:type="pct"/>
            <w:tcBorders>
              <w:top w:val="nil"/>
              <w:left w:val="nil"/>
              <w:bottom w:val="single" w:sz="4" w:space="0" w:color="auto"/>
              <w:right w:val="single" w:sz="4" w:space="0" w:color="auto"/>
            </w:tcBorders>
            <w:shd w:val="clear" w:color="auto" w:fill="auto"/>
            <w:vAlign w:val="center"/>
            <w:hideMark/>
          </w:tcPr>
          <w:p w14:paraId="42874EF9"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not stated</w:t>
            </w:r>
          </w:p>
        </w:tc>
        <w:tc>
          <w:tcPr>
            <w:tcW w:w="687" w:type="pct"/>
            <w:tcBorders>
              <w:top w:val="nil"/>
              <w:left w:val="nil"/>
              <w:bottom w:val="single" w:sz="4" w:space="0" w:color="auto"/>
              <w:right w:val="nil"/>
            </w:tcBorders>
            <w:shd w:val="clear" w:color="auto" w:fill="auto"/>
            <w:vAlign w:val="center"/>
            <w:hideMark/>
          </w:tcPr>
          <w:p w14:paraId="5BED7A60" w14:textId="77777777" w:rsidR="00596935" w:rsidRPr="00596935" w:rsidRDefault="00596935" w:rsidP="00596935">
            <w:pPr>
              <w:rPr>
                <w:rFonts w:cs="Arial"/>
                <w:color w:val="000000"/>
                <w:sz w:val="20"/>
                <w:szCs w:val="20"/>
                <w:lang w:val="de-AT" w:eastAsia="de-AT"/>
              </w:rPr>
            </w:pPr>
            <w:r w:rsidRPr="00596935">
              <w:rPr>
                <w:rFonts w:cs="Arial"/>
                <w:color w:val="000000"/>
                <w:sz w:val="20"/>
                <w:szCs w:val="20"/>
                <w:lang w:val="de-AT" w:eastAsia="de-AT"/>
              </w:rPr>
              <w:t>PTA (all freq.)</w:t>
            </w:r>
          </w:p>
        </w:tc>
        <w:tc>
          <w:tcPr>
            <w:tcW w:w="456" w:type="pct"/>
            <w:tcBorders>
              <w:top w:val="nil"/>
              <w:left w:val="single" w:sz="8" w:space="0" w:color="auto"/>
              <w:bottom w:val="single" w:sz="4" w:space="0" w:color="auto"/>
              <w:right w:val="single" w:sz="4" w:space="0" w:color="auto"/>
            </w:tcBorders>
            <w:shd w:val="clear" w:color="auto" w:fill="auto"/>
            <w:vAlign w:val="center"/>
            <w:hideMark/>
          </w:tcPr>
          <w:p w14:paraId="407C9F80"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301" w:type="pct"/>
            <w:tcBorders>
              <w:top w:val="nil"/>
              <w:left w:val="nil"/>
              <w:bottom w:val="single" w:sz="4" w:space="0" w:color="auto"/>
              <w:right w:val="single" w:sz="8" w:space="0" w:color="auto"/>
            </w:tcBorders>
            <w:shd w:val="clear" w:color="auto" w:fill="auto"/>
            <w:vAlign w:val="center"/>
            <w:hideMark/>
          </w:tcPr>
          <w:p w14:paraId="07FFB730"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395" w:type="pct"/>
            <w:tcBorders>
              <w:top w:val="nil"/>
              <w:left w:val="nil"/>
              <w:bottom w:val="single" w:sz="4" w:space="0" w:color="auto"/>
              <w:right w:val="single" w:sz="4" w:space="0" w:color="auto"/>
            </w:tcBorders>
            <w:shd w:val="clear" w:color="auto" w:fill="auto"/>
            <w:vAlign w:val="center"/>
            <w:hideMark/>
          </w:tcPr>
          <w:p w14:paraId="78235D10"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278" w:type="pct"/>
            <w:tcBorders>
              <w:top w:val="nil"/>
              <w:left w:val="nil"/>
              <w:bottom w:val="single" w:sz="4" w:space="0" w:color="auto"/>
              <w:right w:val="single" w:sz="4" w:space="0" w:color="auto"/>
            </w:tcBorders>
            <w:shd w:val="clear" w:color="auto" w:fill="auto"/>
            <w:vAlign w:val="center"/>
            <w:hideMark/>
          </w:tcPr>
          <w:p w14:paraId="7FB62A97"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343" w:type="pct"/>
            <w:tcBorders>
              <w:top w:val="nil"/>
              <w:left w:val="nil"/>
              <w:bottom w:val="single" w:sz="4" w:space="0" w:color="auto"/>
              <w:right w:val="single" w:sz="4" w:space="0" w:color="auto"/>
            </w:tcBorders>
            <w:shd w:val="clear" w:color="auto" w:fill="auto"/>
            <w:vAlign w:val="center"/>
            <w:hideMark/>
          </w:tcPr>
          <w:p w14:paraId="0A8CE5C2"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186" w:type="pct"/>
            <w:tcBorders>
              <w:top w:val="nil"/>
              <w:left w:val="nil"/>
              <w:bottom w:val="single" w:sz="4" w:space="0" w:color="auto"/>
              <w:right w:val="single" w:sz="8" w:space="0" w:color="auto"/>
            </w:tcBorders>
            <w:shd w:val="clear" w:color="auto" w:fill="auto"/>
            <w:vAlign w:val="center"/>
            <w:hideMark/>
          </w:tcPr>
          <w:p w14:paraId="5A57038A"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437" w:type="pct"/>
            <w:tcBorders>
              <w:top w:val="nil"/>
              <w:left w:val="nil"/>
              <w:bottom w:val="single" w:sz="4" w:space="0" w:color="auto"/>
              <w:right w:val="single" w:sz="4" w:space="0" w:color="auto"/>
            </w:tcBorders>
            <w:shd w:val="clear" w:color="auto" w:fill="auto"/>
            <w:vAlign w:val="center"/>
            <w:hideMark/>
          </w:tcPr>
          <w:p w14:paraId="572FAA96"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25.3</w:t>
            </w:r>
          </w:p>
        </w:tc>
        <w:tc>
          <w:tcPr>
            <w:tcW w:w="427" w:type="pct"/>
            <w:tcBorders>
              <w:top w:val="nil"/>
              <w:left w:val="nil"/>
              <w:bottom w:val="single" w:sz="4" w:space="0" w:color="auto"/>
              <w:right w:val="single" w:sz="4" w:space="0" w:color="auto"/>
            </w:tcBorders>
            <w:shd w:val="clear" w:color="auto" w:fill="auto"/>
            <w:vAlign w:val="center"/>
            <w:hideMark/>
          </w:tcPr>
          <w:p w14:paraId="5AB01415"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223" w:type="pct"/>
            <w:tcBorders>
              <w:top w:val="nil"/>
              <w:left w:val="nil"/>
              <w:bottom w:val="single" w:sz="4" w:space="0" w:color="auto"/>
              <w:right w:val="single" w:sz="8" w:space="0" w:color="auto"/>
            </w:tcBorders>
            <w:shd w:val="clear" w:color="auto" w:fill="auto"/>
            <w:vAlign w:val="center"/>
            <w:hideMark/>
          </w:tcPr>
          <w:p w14:paraId="2FFF506F"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r>
      <w:tr w:rsidR="00596935" w:rsidRPr="00596935" w14:paraId="17CA03DA" w14:textId="77777777" w:rsidTr="00596935">
        <w:trPr>
          <w:trHeight w:val="510"/>
        </w:trPr>
        <w:tc>
          <w:tcPr>
            <w:tcW w:w="540" w:type="pct"/>
            <w:tcBorders>
              <w:top w:val="nil"/>
              <w:left w:val="single" w:sz="4" w:space="0" w:color="auto"/>
              <w:bottom w:val="single" w:sz="4" w:space="0" w:color="auto"/>
              <w:right w:val="single" w:sz="4" w:space="0" w:color="auto"/>
            </w:tcBorders>
            <w:shd w:val="clear" w:color="auto" w:fill="auto"/>
            <w:vAlign w:val="center"/>
            <w:hideMark/>
          </w:tcPr>
          <w:p w14:paraId="2E2DAD2E" w14:textId="77777777" w:rsidR="00596935" w:rsidRPr="00596935" w:rsidRDefault="00596935" w:rsidP="00596935">
            <w:pPr>
              <w:rPr>
                <w:rFonts w:cs="Arial"/>
                <w:color w:val="000000"/>
                <w:sz w:val="20"/>
                <w:szCs w:val="20"/>
                <w:lang w:val="de-AT" w:eastAsia="de-AT"/>
              </w:rPr>
            </w:pPr>
            <w:r w:rsidRPr="00596935">
              <w:rPr>
                <w:rFonts w:cs="Arial"/>
                <w:color w:val="000000"/>
                <w:sz w:val="20"/>
                <w:szCs w:val="20"/>
                <w:lang w:val="de-AT" w:eastAsia="de-AT"/>
              </w:rPr>
              <w:lastRenderedPageBreak/>
              <w:t>Saliba  2005</w:t>
            </w:r>
          </w:p>
        </w:tc>
        <w:tc>
          <w:tcPr>
            <w:tcW w:w="191" w:type="pct"/>
            <w:tcBorders>
              <w:top w:val="nil"/>
              <w:left w:val="nil"/>
              <w:bottom w:val="single" w:sz="4" w:space="0" w:color="auto"/>
              <w:right w:val="single" w:sz="4" w:space="0" w:color="auto"/>
            </w:tcBorders>
            <w:shd w:val="clear" w:color="auto" w:fill="auto"/>
            <w:vAlign w:val="center"/>
            <w:hideMark/>
          </w:tcPr>
          <w:p w14:paraId="2959802D"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8</w:t>
            </w:r>
          </w:p>
        </w:tc>
        <w:tc>
          <w:tcPr>
            <w:tcW w:w="536" w:type="pct"/>
            <w:tcBorders>
              <w:top w:val="nil"/>
              <w:left w:val="nil"/>
              <w:bottom w:val="single" w:sz="4" w:space="0" w:color="auto"/>
              <w:right w:val="single" w:sz="4" w:space="0" w:color="auto"/>
            </w:tcBorders>
            <w:shd w:val="clear" w:color="auto" w:fill="auto"/>
            <w:vAlign w:val="center"/>
            <w:hideMark/>
          </w:tcPr>
          <w:p w14:paraId="6996F63E"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5-8 weeks</w:t>
            </w:r>
          </w:p>
        </w:tc>
        <w:tc>
          <w:tcPr>
            <w:tcW w:w="687" w:type="pct"/>
            <w:tcBorders>
              <w:top w:val="nil"/>
              <w:left w:val="nil"/>
              <w:bottom w:val="single" w:sz="4" w:space="0" w:color="auto"/>
              <w:right w:val="nil"/>
            </w:tcBorders>
            <w:shd w:val="clear" w:color="auto" w:fill="auto"/>
            <w:vAlign w:val="center"/>
            <w:hideMark/>
          </w:tcPr>
          <w:p w14:paraId="5F7195B1" w14:textId="77777777" w:rsidR="00596935" w:rsidRPr="00596935" w:rsidRDefault="00596935" w:rsidP="00596935">
            <w:pPr>
              <w:rPr>
                <w:rFonts w:cs="Arial"/>
                <w:color w:val="000000"/>
                <w:sz w:val="20"/>
                <w:szCs w:val="20"/>
                <w:lang w:val="de-AT" w:eastAsia="de-AT"/>
              </w:rPr>
            </w:pPr>
            <w:r w:rsidRPr="00596935">
              <w:rPr>
                <w:rFonts w:cs="Arial"/>
                <w:color w:val="000000"/>
                <w:sz w:val="20"/>
                <w:szCs w:val="20"/>
                <w:lang w:val="de-AT" w:eastAsia="de-AT"/>
              </w:rPr>
              <w:t>PTA</w:t>
            </w:r>
            <w:r w:rsidRPr="00596935">
              <w:rPr>
                <w:rFonts w:cs="Arial"/>
                <w:color w:val="000000"/>
                <w:sz w:val="20"/>
                <w:szCs w:val="20"/>
                <w:vertAlign w:val="subscript"/>
                <w:lang w:val="de-AT" w:eastAsia="de-AT"/>
              </w:rPr>
              <w:t>4</w:t>
            </w:r>
          </w:p>
        </w:tc>
        <w:tc>
          <w:tcPr>
            <w:tcW w:w="456" w:type="pct"/>
            <w:tcBorders>
              <w:top w:val="nil"/>
              <w:left w:val="single" w:sz="8" w:space="0" w:color="auto"/>
              <w:bottom w:val="single" w:sz="4" w:space="0" w:color="auto"/>
              <w:right w:val="single" w:sz="4" w:space="0" w:color="auto"/>
            </w:tcBorders>
            <w:shd w:val="clear" w:color="auto" w:fill="auto"/>
            <w:vAlign w:val="center"/>
            <w:hideMark/>
          </w:tcPr>
          <w:p w14:paraId="23889A18"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301" w:type="pct"/>
            <w:tcBorders>
              <w:top w:val="nil"/>
              <w:left w:val="nil"/>
              <w:bottom w:val="single" w:sz="4" w:space="0" w:color="auto"/>
              <w:right w:val="single" w:sz="8" w:space="0" w:color="auto"/>
            </w:tcBorders>
            <w:shd w:val="clear" w:color="auto" w:fill="auto"/>
            <w:vAlign w:val="center"/>
            <w:hideMark/>
          </w:tcPr>
          <w:p w14:paraId="4A8C48AF"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395" w:type="pct"/>
            <w:tcBorders>
              <w:top w:val="nil"/>
              <w:left w:val="nil"/>
              <w:bottom w:val="single" w:sz="4" w:space="0" w:color="auto"/>
              <w:right w:val="single" w:sz="4" w:space="0" w:color="auto"/>
            </w:tcBorders>
            <w:shd w:val="clear" w:color="auto" w:fill="auto"/>
            <w:vAlign w:val="center"/>
            <w:hideMark/>
          </w:tcPr>
          <w:p w14:paraId="02CD43BC"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278" w:type="pct"/>
            <w:tcBorders>
              <w:top w:val="nil"/>
              <w:left w:val="nil"/>
              <w:bottom w:val="single" w:sz="4" w:space="0" w:color="auto"/>
              <w:right w:val="single" w:sz="4" w:space="0" w:color="auto"/>
            </w:tcBorders>
            <w:shd w:val="clear" w:color="auto" w:fill="auto"/>
            <w:vAlign w:val="center"/>
            <w:hideMark/>
          </w:tcPr>
          <w:p w14:paraId="17AC34D4"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343" w:type="pct"/>
            <w:tcBorders>
              <w:top w:val="nil"/>
              <w:left w:val="nil"/>
              <w:bottom w:val="single" w:sz="4" w:space="0" w:color="auto"/>
              <w:right w:val="single" w:sz="4" w:space="0" w:color="auto"/>
            </w:tcBorders>
            <w:shd w:val="clear" w:color="auto" w:fill="auto"/>
            <w:vAlign w:val="center"/>
            <w:hideMark/>
          </w:tcPr>
          <w:p w14:paraId="44735EF7"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186" w:type="pct"/>
            <w:tcBorders>
              <w:top w:val="nil"/>
              <w:left w:val="nil"/>
              <w:bottom w:val="single" w:sz="4" w:space="0" w:color="auto"/>
              <w:right w:val="single" w:sz="8" w:space="0" w:color="auto"/>
            </w:tcBorders>
            <w:shd w:val="clear" w:color="auto" w:fill="auto"/>
            <w:vAlign w:val="center"/>
            <w:hideMark/>
          </w:tcPr>
          <w:p w14:paraId="190F122F"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437" w:type="pct"/>
            <w:tcBorders>
              <w:top w:val="nil"/>
              <w:left w:val="nil"/>
              <w:bottom w:val="single" w:sz="4" w:space="0" w:color="auto"/>
              <w:right w:val="single" w:sz="4" w:space="0" w:color="auto"/>
            </w:tcBorders>
            <w:shd w:val="clear" w:color="auto" w:fill="auto"/>
            <w:vAlign w:val="center"/>
            <w:hideMark/>
          </w:tcPr>
          <w:p w14:paraId="7239507D"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18</w:t>
            </w:r>
          </w:p>
        </w:tc>
        <w:tc>
          <w:tcPr>
            <w:tcW w:w="427" w:type="pct"/>
            <w:tcBorders>
              <w:top w:val="nil"/>
              <w:left w:val="nil"/>
              <w:bottom w:val="single" w:sz="4" w:space="0" w:color="auto"/>
              <w:right w:val="single" w:sz="4" w:space="0" w:color="auto"/>
            </w:tcBorders>
            <w:shd w:val="clear" w:color="auto" w:fill="auto"/>
            <w:vAlign w:val="center"/>
            <w:hideMark/>
          </w:tcPr>
          <w:p w14:paraId="1BD1CD30"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9.7</w:t>
            </w:r>
          </w:p>
        </w:tc>
        <w:tc>
          <w:tcPr>
            <w:tcW w:w="223" w:type="pct"/>
            <w:tcBorders>
              <w:top w:val="nil"/>
              <w:left w:val="nil"/>
              <w:bottom w:val="single" w:sz="4" w:space="0" w:color="auto"/>
              <w:right w:val="single" w:sz="8" w:space="0" w:color="auto"/>
            </w:tcBorders>
            <w:shd w:val="clear" w:color="auto" w:fill="auto"/>
            <w:vAlign w:val="center"/>
            <w:hideMark/>
          </w:tcPr>
          <w:p w14:paraId="5AB974FD"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r>
      <w:tr w:rsidR="00596935" w:rsidRPr="00596935" w14:paraId="3A3BD9BA" w14:textId="77777777" w:rsidTr="00596935">
        <w:trPr>
          <w:trHeight w:val="510"/>
        </w:trPr>
        <w:tc>
          <w:tcPr>
            <w:tcW w:w="540" w:type="pct"/>
            <w:tcBorders>
              <w:top w:val="nil"/>
              <w:left w:val="single" w:sz="4" w:space="0" w:color="auto"/>
              <w:bottom w:val="single" w:sz="4" w:space="0" w:color="auto"/>
              <w:right w:val="single" w:sz="4" w:space="0" w:color="auto"/>
            </w:tcBorders>
            <w:shd w:val="clear" w:color="auto" w:fill="auto"/>
            <w:vAlign w:val="center"/>
            <w:hideMark/>
          </w:tcPr>
          <w:p w14:paraId="3C0271ED" w14:textId="77777777" w:rsidR="00596935" w:rsidRPr="00596935" w:rsidRDefault="00596935" w:rsidP="00596935">
            <w:pPr>
              <w:rPr>
                <w:rFonts w:cs="Arial"/>
                <w:color w:val="000000"/>
                <w:sz w:val="20"/>
                <w:szCs w:val="20"/>
                <w:lang w:val="de-AT" w:eastAsia="de-AT"/>
              </w:rPr>
            </w:pPr>
            <w:r w:rsidRPr="00596935">
              <w:rPr>
                <w:rFonts w:cs="Arial"/>
                <w:color w:val="000000"/>
                <w:sz w:val="20"/>
                <w:szCs w:val="20"/>
                <w:lang w:val="de-AT" w:eastAsia="de-AT"/>
              </w:rPr>
              <w:t>Sterkers 2003</w:t>
            </w:r>
          </w:p>
        </w:tc>
        <w:tc>
          <w:tcPr>
            <w:tcW w:w="191" w:type="pct"/>
            <w:tcBorders>
              <w:top w:val="nil"/>
              <w:left w:val="nil"/>
              <w:bottom w:val="single" w:sz="4" w:space="0" w:color="auto"/>
              <w:right w:val="single" w:sz="4" w:space="0" w:color="auto"/>
            </w:tcBorders>
            <w:shd w:val="clear" w:color="auto" w:fill="auto"/>
            <w:vAlign w:val="center"/>
            <w:hideMark/>
          </w:tcPr>
          <w:p w14:paraId="44D95F9F"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75</w:t>
            </w:r>
          </w:p>
        </w:tc>
        <w:tc>
          <w:tcPr>
            <w:tcW w:w="536" w:type="pct"/>
            <w:tcBorders>
              <w:top w:val="nil"/>
              <w:left w:val="nil"/>
              <w:bottom w:val="single" w:sz="4" w:space="0" w:color="auto"/>
              <w:right w:val="single" w:sz="4" w:space="0" w:color="auto"/>
            </w:tcBorders>
            <w:shd w:val="clear" w:color="auto" w:fill="auto"/>
            <w:vAlign w:val="center"/>
            <w:hideMark/>
          </w:tcPr>
          <w:p w14:paraId="62363E63"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not stated</w:t>
            </w:r>
          </w:p>
        </w:tc>
        <w:tc>
          <w:tcPr>
            <w:tcW w:w="687" w:type="pct"/>
            <w:tcBorders>
              <w:top w:val="nil"/>
              <w:left w:val="nil"/>
              <w:bottom w:val="single" w:sz="4" w:space="0" w:color="auto"/>
              <w:right w:val="nil"/>
            </w:tcBorders>
            <w:shd w:val="clear" w:color="auto" w:fill="auto"/>
            <w:vAlign w:val="center"/>
            <w:hideMark/>
          </w:tcPr>
          <w:p w14:paraId="56043DD2" w14:textId="77777777" w:rsidR="00596935" w:rsidRPr="00596935" w:rsidRDefault="00596935" w:rsidP="00596935">
            <w:pPr>
              <w:rPr>
                <w:rFonts w:cs="Arial"/>
                <w:color w:val="000000"/>
                <w:sz w:val="20"/>
                <w:szCs w:val="20"/>
                <w:lang w:val="de-AT" w:eastAsia="de-AT"/>
              </w:rPr>
            </w:pPr>
            <w:r w:rsidRPr="00596935">
              <w:rPr>
                <w:rFonts w:cs="Arial"/>
                <w:color w:val="000000"/>
                <w:sz w:val="20"/>
                <w:szCs w:val="20"/>
                <w:lang w:val="de-AT" w:eastAsia="de-AT"/>
              </w:rPr>
              <w:t>PTA</w:t>
            </w:r>
            <w:r w:rsidRPr="00596935">
              <w:rPr>
                <w:rFonts w:cs="Arial"/>
                <w:color w:val="000000"/>
                <w:sz w:val="20"/>
                <w:szCs w:val="20"/>
                <w:vertAlign w:val="subscript"/>
                <w:lang w:val="de-AT" w:eastAsia="de-AT"/>
              </w:rPr>
              <w:t>4</w:t>
            </w:r>
          </w:p>
        </w:tc>
        <w:tc>
          <w:tcPr>
            <w:tcW w:w="456" w:type="pct"/>
            <w:tcBorders>
              <w:top w:val="nil"/>
              <w:left w:val="single" w:sz="8" w:space="0" w:color="auto"/>
              <w:bottom w:val="single" w:sz="4" w:space="0" w:color="auto"/>
              <w:right w:val="single" w:sz="4" w:space="0" w:color="auto"/>
            </w:tcBorders>
            <w:shd w:val="clear" w:color="auto" w:fill="auto"/>
            <w:vAlign w:val="center"/>
            <w:hideMark/>
          </w:tcPr>
          <w:p w14:paraId="7BC483AB"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301" w:type="pct"/>
            <w:tcBorders>
              <w:top w:val="nil"/>
              <w:left w:val="nil"/>
              <w:bottom w:val="single" w:sz="4" w:space="0" w:color="auto"/>
              <w:right w:val="single" w:sz="8" w:space="0" w:color="auto"/>
            </w:tcBorders>
            <w:shd w:val="clear" w:color="auto" w:fill="auto"/>
            <w:vAlign w:val="center"/>
            <w:hideMark/>
          </w:tcPr>
          <w:p w14:paraId="3CFC23EB"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395" w:type="pct"/>
            <w:tcBorders>
              <w:top w:val="nil"/>
              <w:left w:val="nil"/>
              <w:bottom w:val="single" w:sz="4" w:space="0" w:color="auto"/>
              <w:right w:val="single" w:sz="4" w:space="0" w:color="auto"/>
            </w:tcBorders>
            <w:shd w:val="clear" w:color="auto" w:fill="auto"/>
            <w:vAlign w:val="center"/>
            <w:hideMark/>
          </w:tcPr>
          <w:p w14:paraId="2FFABE52"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278" w:type="pct"/>
            <w:tcBorders>
              <w:top w:val="nil"/>
              <w:left w:val="nil"/>
              <w:bottom w:val="single" w:sz="4" w:space="0" w:color="auto"/>
              <w:right w:val="single" w:sz="4" w:space="0" w:color="auto"/>
            </w:tcBorders>
            <w:shd w:val="clear" w:color="auto" w:fill="auto"/>
            <w:vAlign w:val="center"/>
            <w:hideMark/>
          </w:tcPr>
          <w:p w14:paraId="4164225C"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343" w:type="pct"/>
            <w:tcBorders>
              <w:top w:val="nil"/>
              <w:left w:val="nil"/>
              <w:bottom w:val="single" w:sz="4" w:space="0" w:color="auto"/>
              <w:right w:val="single" w:sz="4" w:space="0" w:color="auto"/>
            </w:tcBorders>
            <w:shd w:val="clear" w:color="auto" w:fill="auto"/>
            <w:vAlign w:val="center"/>
            <w:hideMark/>
          </w:tcPr>
          <w:p w14:paraId="398703B5"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186" w:type="pct"/>
            <w:tcBorders>
              <w:top w:val="nil"/>
              <w:left w:val="nil"/>
              <w:bottom w:val="single" w:sz="4" w:space="0" w:color="auto"/>
              <w:right w:val="single" w:sz="8" w:space="0" w:color="auto"/>
            </w:tcBorders>
            <w:shd w:val="clear" w:color="auto" w:fill="auto"/>
            <w:vAlign w:val="center"/>
            <w:hideMark/>
          </w:tcPr>
          <w:p w14:paraId="0BA5F9E5"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437" w:type="pct"/>
            <w:tcBorders>
              <w:top w:val="nil"/>
              <w:left w:val="nil"/>
              <w:bottom w:val="single" w:sz="4" w:space="0" w:color="auto"/>
              <w:right w:val="single" w:sz="4" w:space="0" w:color="auto"/>
            </w:tcBorders>
            <w:shd w:val="clear" w:color="auto" w:fill="auto"/>
            <w:vAlign w:val="center"/>
            <w:hideMark/>
          </w:tcPr>
          <w:p w14:paraId="79707013"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27</w:t>
            </w:r>
          </w:p>
        </w:tc>
        <w:tc>
          <w:tcPr>
            <w:tcW w:w="427" w:type="pct"/>
            <w:tcBorders>
              <w:top w:val="nil"/>
              <w:left w:val="nil"/>
              <w:bottom w:val="single" w:sz="4" w:space="0" w:color="auto"/>
              <w:right w:val="single" w:sz="4" w:space="0" w:color="auto"/>
            </w:tcBorders>
            <w:shd w:val="clear" w:color="auto" w:fill="auto"/>
            <w:vAlign w:val="center"/>
            <w:hideMark/>
          </w:tcPr>
          <w:p w14:paraId="69887758"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12-16</w:t>
            </w:r>
          </w:p>
        </w:tc>
        <w:tc>
          <w:tcPr>
            <w:tcW w:w="223" w:type="pct"/>
            <w:tcBorders>
              <w:top w:val="nil"/>
              <w:left w:val="nil"/>
              <w:bottom w:val="single" w:sz="4" w:space="0" w:color="auto"/>
              <w:right w:val="single" w:sz="8" w:space="0" w:color="auto"/>
            </w:tcBorders>
            <w:shd w:val="clear" w:color="auto" w:fill="auto"/>
            <w:vAlign w:val="center"/>
            <w:hideMark/>
          </w:tcPr>
          <w:p w14:paraId="33576148"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r>
      <w:tr w:rsidR="00596935" w:rsidRPr="00596935" w14:paraId="7CF5253B" w14:textId="77777777" w:rsidTr="00596935">
        <w:trPr>
          <w:trHeight w:val="300"/>
        </w:trPr>
        <w:tc>
          <w:tcPr>
            <w:tcW w:w="540" w:type="pct"/>
            <w:vMerge w:val="restart"/>
            <w:tcBorders>
              <w:top w:val="nil"/>
              <w:left w:val="single" w:sz="4" w:space="0" w:color="auto"/>
              <w:bottom w:val="single" w:sz="4" w:space="0" w:color="auto"/>
              <w:right w:val="single" w:sz="4" w:space="0" w:color="auto"/>
            </w:tcBorders>
            <w:shd w:val="clear" w:color="auto" w:fill="auto"/>
            <w:vAlign w:val="center"/>
            <w:hideMark/>
          </w:tcPr>
          <w:p w14:paraId="664CD1FA" w14:textId="77777777" w:rsidR="003733D2" w:rsidRDefault="00596935" w:rsidP="003733D2">
            <w:pPr>
              <w:rPr>
                <w:rFonts w:cs="Arial"/>
                <w:color w:val="000000"/>
                <w:sz w:val="20"/>
                <w:szCs w:val="20"/>
                <w:lang w:val="de-AT" w:eastAsia="de-AT"/>
              </w:rPr>
            </w:pPr>
            <w:r w:rsidRPr="00596935">
              <w:rPr>
                <w:rFonts w:cs="Arial"/>
                <w:color w:val="000000"/>
                <w:sz w:val="20"/>
                <w:szCs w:val="20"/>
                <w:lang w:val="de-AT" w:eastAsia="de-AT"/>
              </w:rPr>
              <w:t>Todt</w:t>
            </w:r>
          </w:p>
          <w:p w14:paraId="251C94DB" w14:textId="2C2058B6" w:rsidR="00596935" w:rsidRPr="00596935" w:rsidRDefault="00596935" w:rsidP="003733D2">
            <w:pPr>
              <w:rPr>
                <w:rFonts w:cs="Arial"/>
                <w:color w:val="000000"/>
                <w:sz w:val="20"/>
                <w:szCs w:val="20"/>
                <w:lang w:val="de-AT" w:eastAsia="de-AT"/>
              </w:rPr>
            </w:pPr>
            <w:r w:rsidRPr="00596935">
              <w:rPr>
                <w:rFonts w:cs="Arial"/>
                <w:color w:val="000000"/>
                <w:sz w:val="20"/>
                <w:szCs w:val="20"/>
                <w:lang w:val="de-AT" w:eastAsia="de-AT"/>
              </w:rPr>
              <w:t>2005</w:t>
            </w:r>
          </w:p>
        </w:tc>
        <w:tc>
          <w:tcPr>
            <w:tcW w:w="191" w:type="pct"/>
            <w:tcBorders>
              <w:top w:val="nil"/>
              <w:left w:val="nil"/>
              <w:bottom w:val="single" w:sz="4" w:space="0" w:color="auto"/>
              <w:right w:val="single" w:sz="4" w:space="0" w:color="auto"/>
            </w:tcBorders>
            <w:shd w:val="clear" w:color="auto" w:fill="auto"/>
            <w:vAlign w:val="center"/>
            <w:hideMark/>
          </w:tcPr>
          <w:p w14:paraId="548758B2"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7</w:t>
            </w:r>
          </w:p>
        </w:tc>
        <w:tc>
          <w:tcPr>
            <w:tcW w:w="536" w:type="pct"/>
            <w:vMerge w:val="restart"/>
            <w:tcBorders>
              <w:top w:val="nil"/>
              <w:left w:val="single" w:sz="4" w:space="0" w:color="auto"/>
              <w:bottom w:val="single" w:sz="4" w:space="0" w:color="auto"/>
              <w:right w:val="single" w:sz="4" w:space="0" w:color="auto"/>
            </w:tcBorders>
            <w:shd w:val="clear" w:color="auto" w:fill="auto"/>
            <w:vAlign w:val="center"/>
            <w:hideMark/>
          </w:tcPr>
          <w:p w14:paraId="676274E9"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not stated</w:t>
            </w:r>
          </w:p>
        </w:tc>
        <w:tc>
          <w:tcPr>
            <w:tcW w:w="687" w:type="pct"/>
            <w:vMerge w:val="restart"/>
            <w:tcBorders>
              <w:top w:val="nil"/>
              <w:left w:val="single" w:sz="4" w:space="0" w:color="auto"/>
              <w:bottom w:val="single" w:sz="4" w:space="0" w:color="auto"/>
              <w:right w:val="nil"/>
            </w:tcBorders>
            <w:shd w:val="clear" w:color="auto" w:fill="auto"/>
            <w:vAlign w:val="center"/>
            <w:hideMark/>
          </w:tcPr>
          <w:p w14:paraId="472BFD17" w14:textId="77777777" w:rsidR="00596935" w:rsidRPr="00596935" w:rsidRDefault="00596935" w:rsidP="00596935">
            <w:pPr>
              <w:rPr>
                <w:rFonts w:cs="Arial"/>
                <w:color w:val="000000"/>
                <w:sz w:val="20"/>
                <w:szCs w:val="20"/>
                <w:lang w:val="de-AT" w:eastAsia="de-AT"/>
              </w:rPr>
            </w:pPr>
            <w:r w:rsidRPr="00596935">
              <w:rPr>
                <w:rFonts w:cs="Arial"/>
                <w:color w:val="000000"/>
                <w:sz w:val="20"/>
                <w:szCs w:val="20"/>
                <w:lang w:val="de-AT" w:eastAsia="de-AT"/>
              </w:rPr>
              <w:t>PTA</w:t>
            </w:r>
            <w:r w:rsidRPr="00596935">
              <w:rPr>
                <w:rFonts w:cs="Arial"/>
                <w:color w:val="000000"/>
                <w:sz w:val="20"/>
                <w:szCs w:val="20"/>
                <w:vertAlign w:val="subscript"/>
                <w:lang w:val="de-AT" w:eastAsia="de-AT"/>
              </w:rPr>
              <w:t>4</w:t>
            </w:r>
          </w:p>
        </w:tc>
        <w:tc>
          <w:tcPr>
            <w:tcW w:w="456" w:type="pct"/>
            <w:vMerge w:val="restart"/>
            <w:tcBorders>
              <w:top w:val="nil"/>
              <w:left w:val="single" w:sz="8" w:space="0" w:color="auto"/>
              <w:bottom w:val="single" w:sz="4" w:space="0" w:color="auto"/>
              <w:right w:val="single" w:sz="4" w:space="0" w:color="auto"/>
            </w:tcBorders>
            <w:shd w:val="clear" w:color="auto" w:fill="auto"/>
            <w:vAlign w:val="center"/>
            <w:hideMark/>
          </w:tcPr>
          <w:p w14:paraId="7D992B27"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301" w:type="pct"/>
            <w:vMerge w:val="restart"/>
            <w:tcBorders>
              <w:top w:val="nil"/>
              <w:left w:val="single" w:sz="4" w:space="0" w:color="auto"/>
              <w:bottom w:val="single" w:sz="4" w:space="0" w:color="auto"/>
              <w:right w:val="single" w:sz="8" w:space="0" w:color="auto"/>
            </w:tcBorders>
            <w:shd w:val="clear" w:color="auto" w:fill="auto"/>
            <w:vAlign w:val="center"/>
            <w:hideMark/>
          </w:tcPr>
          <w:p w14:paraId="7819622A"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395" w:type="pct"/>
            <w:tcBorders>
              <w:top w:val="nil"/>
              <w:left w:val="nil"/>
              <w:bottom w:val="single" w:sz="4" w:space="0" w:color="auto"/>
              <w:right w:val="single" w:sz="4" w:space="0" w:color="auto"/>
            </w:tcBorders>
            <w:shd w:val="clear" w:color="auto" w:fill="auto"/>
            <w:vAlign w:val="center"/>
            <w:hideMark/>
          </w:tcPr>
          <w:p w14:paraId="00D7CDC9"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278" w:type="pct"/>
            <w:tcBorders>
              <w:top w:val="nil"/>
              <w:left w:val="nil"/>
              <w:bottom w:val="single" w:sz="4" w:space="0" w:color="auto"/>
              <w:right w:val="single" w:sz="4" w:space="0" w:color="auto"/>
            </w:tcBorders>
            <w:shd w:val="clear" w:color="auto" w:fill="auto"/>
            <w:vAlign w:val="center"/>
            <w:hideMark/>
          </w:tcPr>
          <w:p w14:paraId="71FE5A7A"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343" w:type="pct"/>
            <w:tcBorders>
              <w:top w:val="nil"/>
              <w:left w:val="nil"/>
              <w:bottom w:val="single" w:sz="4" w:space="0" w:color="auto"/>
              <w:right w:val="single" w:sz="4" w:space="0" w:color="auto"/>
            </w:tcBorders>
            <w:shd w:val="clear" w:color="auto" w:fill="auto"/>
            <w:vAlign w:val="center"/>
            <w:hideMark/>
          </w:tcPr>
          <w:p w14:paraId="45E1FEF2"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186" w:type="pct"/>
            <w:tcBorders>
              <w:top w:val="nil"/>
              <w:left w:val="nil"/>
              <w:bottom w:val="single" w:sz="4" w:space="0" w:color="auto"/>
              <w:right w:val="single" w:sz="8" w:space="0" w:color="auto"/>
            </w:tcBorders>
            <w:shd w:val="clear" w:color="auto" w:fill="auto"/>
            <w:vAlign w:val="center"/>
            <w:hideMark/>
          </w:tcPr>
          <w:p w14:paraId="09FE5C44"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437" w:type="pct"/>
            <w:tcBorders>
              <w:top w:val="nil"/>
              <w:left w:val="nil"/>
              <w:bottom w:val="single" w:sz="4" w:space="0" w:color="auto"/>
              <w:right w:val="single" w:sz="4" w:space="0" w:color="auto"/>
            </w:tcBorders>
            <w:shd w:val="clear" w:color="auto" w:fill="auto"/>
            <w:vAlign w:val="center"/>
            <w:hideMark/>
          </w:tcPr>
          <w:p w14:paraId="7E2641B7"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22.8</w:t>
            </w:r>
          </w:p>
        </w:tc>
        <w:tc>
          <w:tcPr>
            <w:tcW w:w="427" w:type="pct"/>
            <w:tcBorders>
              <w:top w:val="nil"/>
              <w:left w:val="nil"/>
              <w:bottom w:val="single" w:sz="4" w:space="0" w:color="auto"/>
              <w:right w:val="single" w:sz="4" w:space="0" w:color="auto"/>
            </w:tcBorders>
            <w:shd w:val="clear" w:color="auto" w:fill="auto"/>
            <w:vAlign w:val="center"/>
            <w:hideMark/>
          </w:tcPr>
          <w:p w14:paraId="1CB3FF58"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6.5</w:t>
            </w:r>
          </w:p>
        </w:tc>
        <w:tc>
          <w:tcPr>
            <w:tcW w:w="223" w:type="pct"/>
            <w:tcBorders>
              <w:top w:val="nil"/>
              <w:left w:val="nil"/>
              <w:bottom w:val="single" w:sz="4" w:space="0" w:color="auto"/>
              <w:right w:val="single" w:sz="8" w:space="0" w:color="auto"/>
            </w:tcBorders>
            <w:shd w:val="clear" w:color="auto" w:fill="auto"/>
            <w:vAlign w:val="center"/>
            <w:hideMark/>
          </w:tcPr>
          <w:p w14:paraId="4057A22B"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r>
      <w:tr w:rsidR="00596935" w:rsidRPr="00596935" w14:paraId="1774F79D" w14:textId="77777777" w:rsidTr="00596935">
        <w:trPr>
          <w:trHeight w:val="300"/>
        </w:trPr>
        <w:tc>
          <w:tcPr>
            <w:tcW w:w="540" w:type="pct"/>
            <w:vMerge/>
            <w:tcBorders>
              <w:top w:val="nil"/>
              <w:left w:val="single" w:sz="4" w:space="0" w:color="auto"/>
              <w:bottom w:val="single" w:sz="4" w:space="0" w:color="auto"/>
              <w:right w:val="single" w:sz="4" w:space="0" w:color="auto"/>
            </w:tcBorders>
            <w:vAlign w:val="center"/>
            <w:hideMark/>
          </w:tcPr>
          <w:p w14:paraId="63A251ED" w14:textId="77777777" w:rsidR="00596935" w:rsidRPr="00596935" w:rsidRDefault="00596935" w:rsidP="00596935">
            <w:pPr>
              <w:rPr>
                <w:rFonts w:cs="Arial"/>
                <w:color w:val="000000"/>
                <w:sz w:val="20"/>
                <w:szCs w:val="20"/>
                <w:lang w:val="de-AT" w:eastAsia="de-AT"/>
              </w:rPr>
            </w:pPr>
          </w:p>
        </w:tc>
        <w:tc>
          <w:tcPr>
            <w:tcW w:w="191" w:type="pct"/>
            <w:tcBorders>
              <w:top w:val="nil"/>
              <w:left w:val="nil"/>
              <w:bottom w:val="single" w:sz="4" w:space="0" w:color="auto"/>
              <w:right w:val="single" w:sz="4" w:space="0" w:color="auto"/>
            </w:tcBorders>
            <w:shd w:val="clear" w:color="auto" w:fill="auto"/>
            <w:vAlign w:val="center"/>
            <w:hideMark/>
          </w:tcPr>
          <w:p w14:paraId="652DD6EC"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16</w:t>
            </w:r>
          </w:p>
        </w:tc>
        <w:tc>
          <w:tcPr>
            <w:tcW w:w="536" w:type="pct"/>
            <w:vMerge/>
            <w:tcBorders>
              <w:top w:val="nil"/>
              <w:left w:val="single" w:sz="4" w:space="0" w:color="auto"/>
              <w:bottom w:val="single" w:sz="4" w:space="0" w:color="auto"/>
              <w:right w:val="single" w:sz="4" w:space="0" w:color="auto"/>
            </w:tcBorders>
            <w:vAlign w:val="center"/>
            <w:hideMark/>
          </w:tcPr>
          <w:p w14:paraId="2A9B162B" w14:textId="77777777" w:rsidR="00596935" w:rsidRPr="00596935" w:rsidRDefault="00596935" w:rsidP="00596935">
            <w:pPr>
              <w:rPr>
                <w:rFonts w:cs="Arial"/>
                <w:color w:val="000000"/>
                <w:sz w:val="20"/>
                <w:szCs w:val="20"/>
                <w:lang w:val="de-AT" w:eastAsia="de-AT"/>
              </w:rPr>
            </w:pPr>
          </w:p>
        </w:tc>
        <w:tc>
          <w:tcPr>
            <w:tcW w:w="687" w:type="pct"/>
            <w:vMerge/>
            <w:tcBorders>
              <w:top w:val="nil"/>
              <w:left w:val="single" w:sz="4" w:space="0" w:color="auto"/>
              <w:bottom w:val="single" w:sz="4" w:space="0" w:color="auto"/>
              <w:right w:val="nil"/>
            </w:tcBorders>
            <w:vAlign w:val="center"/>
            <w:hideMark/>
          </w:tcPr>
          <w:p w14:paraId="1AAE41D2" w14:textId="77777777" w:rsidR="00596935" w:rsidRPr="00596935" w:rsidRDefault="00596935" w:rsidP="00596935">
            <w:pPr>
              <w:rPr>
                <w:rFonts w:cs="Arial"/>
                <w:color w:val="000000"/>
                <w:sz w:val="20"/>
                <w:szCs w:val="20"/>
                <w:lang w:val="de-AT" w:eastAsia="de-AT"/>
              </w:rPr>
            </w:pPr>
          </w:p>
        </w:tc>
        <w:tc>
          <w:tcPr>
            <w:tcW w:w="456" w:type="pct"/>
            <w:vMerge/>
            <w:tcBorders>
              <w:top w:val="nil"/>
              <w:left w:val="single" w:sz="8" w:space="0" w:color="auto"/>
              <w:bottom w:val="single" w:sz="4" w:space="0" w:color="auto"/>
              <w:right w:val="single" w:sz="4" w:space="0" w:color="auto"/>
            </w:tcBorders>
            <w:vAlign w:val="center"/>
            <w:hideMark/>
          </w:tcPr>
          <w:p w14:paraId="2A1FD2BB" w14:textId="77777777" w:rsidR="00596935" w:rsidRPr="00596935" w:rsidRDefault="00596935" w:rsidP="00596935">
            <w:pPr>
              <w:rPr>
                <w:rFonts w:cs="Arial"/>
                <w:color w:val="000000"/>
                <w:sz w:val="20"/>
                <w:szCs w:val="20"/>
                <w:lang w:val="de-AT" w:eastAsia="de-AT"/>
              </w:rPr>
            </w:pPr>
          </w:p>
        </w:tc>
        <w:tc>
          <w:tcPr>
            <w:tcW w:w="301" w:type="pct"/>
            <w:vMerge/>
            <w:tcBorders>
              <w:top w:val="nil"/>
              <w:left w:val="single" w:sz="4" w:space="0" w:color="auto"/>
              <w:bottom w:val="single" w:sz="4" w:space="0" w:color="auto"/>
              <w:right w:val="single" w:sz="8" w:space="0" w:color="auto"/>
            </w:tcBorders>
            <w:vAlign w:val="center"/>
            <w:hideMark/>
          </w:tcPr>
          <w:p w14:paraId="21E427AD" w14:textId="77777777" w:rsidR="00596935" w:rsidRPr="00596935" w:rsidRDefault="00596935" w:rsidP="00596935">
            <w:pPr>
              <w:rPr>
                <w:rFonts w:cs="Arial"/>
                <w:color w:val="000000"/>
                <w:sz w:val="20"/>
                <w:szCs w:val="20"/>
                <w:lang w:val="de-AT" w:eastAsia="de-AT"/>
              </w:rPr>
            </w:pPr>
          </w:p>
        </w:tc>
        <w:tc>
          <w:tcPr>
            <w:tcW w:w="395" w:type="pct"/>
            <w:tcBorders>
              <w:top w:val="nil"/>
              <w:left w:val="nil"/>
              <w:bottom w:val="single" w:sz="4" w:space="0" w:color="auto"/>
              <w:right w:val="single" w:sz="4" w:space="0" w:color="auto"/>
            </w:tcBorders>
            <w:shd w:val="clear" w:color="auto" w:fill="auto"/>
            <w:vAlign w:val="center"/>
            <w:hideMark/>
          </w:tcPr>
          <w:p w14:paraId="48D2E639"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278" w:type="pct"/>
            <w:tcBorders>
              <w:top w:val="nil"/>
              <w:left w:val="nil"/>
              <w:bottom w:val="single" w:sz="4" w:space="0" w:color="auto"/>
              <w:right w:val="single" w:sz="4" w:space="0" w:color="auto"/>
            </w:tcBorders>
            <w:shd w:val="clear" w:color="auto" w:fill="auto"/>
            <w:vAlign w:val="center"/>
            <w:hideMark/>
          </w:tcPr>
          <w:p w14:paraId="5DD6F265"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343" w:type="pct"/>
            <w:tcBorders>
              <w:top w:val="nil"/>
              <w:left w:val="nil"/>
              <w:bottom w:val="single" w:sz="4" w:space="0" w:color="auto"/>
              <w:right w:val="single" w:sz="4" w:space="0" w:color="auto"/>
            </w:tcBorders>
            <w:shd w:val="clear" w:color="auto" w:fill="auto"/>
            <w:vAlign w:val="center"/>
            <w:hideMark/>
          </w:tcPr>
          <w:p w14:paraId="1A1DF6CB"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186" w:type="pct"/>
            <w:tcBorders>
              <w:top w:val="nil"/>
              <w:left w:val="nil"/>
              <w:bottom w:val="single" w:sz="4" w:space="0" w:color="auto"/>
              <w:right w:val="single" w:sz="8" w:space="0" w:color="auto"/>
            </w:tcBorders>
            <w:shd w:val="clear" w:color="auto" w:fill="auto"/>
            <w:vAlign w:val="center"/>
            <w:hideMark/>
          </w:tcPr>
          <w:p w14:paraId="0A918505"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437" w:type="pct"/>
            <w:tcBorders>
              <w:top w:val="nil"/>
              <w:left w:val="nil"/>
              <w:bottom w:val="single" w:sz="4" w:space="0" w:color="auto"/>
              <w:right w:val="single" w:sz="4" w:space="0" w:color="auto"/>
            </w:tcBorders>
            <w:shd w:val="clear" w:color="auto" w:fill="auto"/>
            <w:vAlign w:val="center"/>
            <w:hideMark/>
          </w:tcPr>
          <w:p w14:paraId="0BA8B7EF"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29.8</w:t>
            </w:r>
          </w:p>
        </w:tc>
        <w:tc>
          <w:tcPr>
            <w:tcW w:w="427" w:type="pct"/>
            <w:tcBorders>
              <w:top w:val="nil"/>
              <w:left w:val="nil"/>
              <w:bottom w:val="single" w:sz="4" w:space="0" w:color="auto"/>
              <w:right w:val="single" w:sz="4" w:space="0" w:color="auto"/>
            </w:tcBorders>
            <w:shd w:val="clear" w:color="auto" w:fill="auto"/>
            <w:vAlign w:val="center"/>
            <w:hideMark/>
          </w:tcPr>
          <w:p w14:paraId="62A4F841"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2.9</w:t>
            </w:r>
          </w:p>
        </w:tc>
        <w:tc>
          <w:tcPr>
            <w:tcW w:w="223" w:type="pct"/>
            <w:tcBorders>
              <w:top w:val="nil"/>
              <w:left w:val="nil"/>
              <w:bottom w:val="single" w:sz="4" w:space="0" w:color="auto"/>
              <w:right w:val="single" w:sz="8" w:space="0" w:color="auto"/>
            </w:tcBorders>
            <w:shd w:val="clear" w:color="auto" w:fill="auto"/>
            <w:vAlign w:val="center"/>
            <w:hideMark/>
          </w:tcPr>
          <w:p w14:paraId="6DD4CACC"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r>
      <w:tr w:rsidR="00596935" w:rsidRPr="00596935" w14:paraId="69AD388A" w14:textId="77777777" w:rsidTr="00596935">
        <w:trPr>
          <w:trHeight w:val="510"/>
        </w:trPr>
        <w:tc>
          <w:tcPr>
            <w:tcW w:w="540" w:type="pct"/>
            <w:tcBorders>
              <w:top w:val="nil"/>
              <w:left w:val="single" w:sz="4" w:space="0" w:color="auto"/>
              <w:bottom w:val="single" w:sz="4" w:space="0" w:color="auto"/>
              <w:right w:val="single" w:sz="4" w:space="0" w:color="auto"/>
            </w:tcBorders>
            <w:shd w:val="clear" w:color="auto" w:fill="auto"/>
            <w:vAlign w:val="center"/>
            <w:hideMark/>
          </w:tcPr>
          <w:p w14:paraId="7D4BED1E" w14:textId="77777777" w:rsidR="00596935" w:rsidRPr="00596935" w:rsidRDefault="00596935" w:rsidP="00596935">
            <w:pPr>
              <w:rPr>
                <w:rFonts w:cs="Arial"/>
                <w:color w:val="000000"/>
                <w:sz w:val="20"/>
                <w:szCs w:val="20"/>
                <w:lang w:val="de-AT" w:eastAsia="de-AT"/>
              </w:rPr>
            </w:pPr>
            <w:r w:rsidRPr="00596935">
              <w:rPr>
                <w:rFonts w:cs="Arial"/>
                <w:color w:val="000000"/>
                <w:sz w:val="20"/>
                <w:szCs w:val="20"/>
                <w:lang w:val="de-AT" w:eastAsia="de-AT"/>
              </w:rPr>
              <w:t>Todt   2002</w:t>
            </w:r>
          </w:p>
        </w:tc>
        <w:tc>
          <w:tcPr>
            <w:tcW w:w="191" w:type="pct"/>
            <w:tcBorders>
              <w:top w:val="nil"/>
              <w:left w:val="nil"/>
              <w:bottom w:val="single" w:sz="4" w:space="0" w:color="auto"/>
              <w:right w:val="single" w:sz="4" w:space="0" w:color="auto"/>
            </w:tcBorders>
            <w:shd w:val="clear" w:color="auto" w:fill="auto"/>
            <w:vAlign w:val="center"/>
            <w:hideMark/>
          </w:tcPr>
          <w:p w14:paraId="64D482BF"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5</w:t>
            </w:r>
          </w:p>
        </w:tc>
        <w:tc>
          <w:tcPr>
            <w:tcW w:w="536" w:type="pct"/>
            <w:tcBorders>
              <w:top w:val="nil"/>
              <w:left w:val="nil"/>
              <w:bottom w:val="single" w:sz="4" w:space="0" w:color="auto"/>
              <w:right w:val="single" w:sz="4" w:space="0" w:color="auto"/>
            </w:tcBorders>
            <w:shd w:val="clear" w:color="auto" w:fill="auto"/>
            <w:vAlign w:val="center"/>
            <w:hideMark/>
          </w:tcPr>
          <w:p w14:paraId="47A8B420"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not stated</w:t>
            </w:r>
          </w:p>
        </w:tc>
        <w:tc>
          <w:tcPr>
            <w:tcW w:w="687" w:type="pct"/>
            <w:tcBorders>
              <w:top w:val="nil"/>
              <w:left w:val="nil"/>
              <w:bottom w:val="single" w:sz="4" w:space="0" w:color="auto"/>
              <w:right w:val="nil"/>
            </w:tcBorders>
            <w:shd w:val="clear" w:color="auto" w:fill="auto"/>
            <w:vAlign w:val="center"/>
            <w:hideMark/>
          </w:tcPr>
          <w:p w14:paraId="2E130831" w14:textId="77777777" w:rsidR="00596935" w:rsidRPr="00596935" w:rsidRDefault="00596935" w:rsidP="00596935">
            <w:pPr>
              <w:rPr>
                <w:rFonts w:cs="Arial"/>
                <w:color w:val="000000"/>
                <w:sz w:val="20"/>
                <w:szCs w:val="20"/>
                <w:lang w:val="de-AT" w:eastAsia="de-AT"/>
              </w:rPr>
            </w:pPr>
            <w:r w:rsidRPr="00596935">
              <w:rPr>
                <w:rFonts w:cs="Arial"/>
                <w:color w:val="000000"/>
                <w:sz w:val="20"/>
                <w:szCs w:val="20"/>
                <w:lang w:val="de-AT" w:eastAsia="de-AT"/>
              </w:rPr>
              <w:t>PTA (all freq.)</w:t>
            </w:r>
          </w:p>
        </w:tc>
        <w:tc>
          <w:tcPr>
            <w:tcW w:w="456" w:type="pct"/>
            <w:tcBorders>
              <w:top w:val="nil"/>
              <w:left w:val="single" w:sz="8" w:space="0" w:color="auto"/>
              <w:bottom w:val="single" w:sz="4" w:space="0" w:color="auto"/>
              <w:right w:val="single" w:sz="4" w:space="0" w:color="auto"/>
            </w:tcBorders>
            <w:shd w:val="clear" w:color="auto" w:fill="auto"/>
            <w:vAlign w:val="center"/>
            <w:hideMark/>
          </w:tcPr>
          <w:p w14:paraId="2B2E0E1A"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301" w:type="pct"/>
            <w:tcBorders>
              <w:top w:val="nil"/>
              <w:left w:val="nil"/>
              <w:bottom w:val="single" w:sz="4" w:space="0" w:color="auto"/>
              <w:right w:val="single" w:sz="8" w:space="0" w:color="auto"/>
            </w:tcBorders>
            <w:shd w:val="clear" w:color="auto" w:fill="auto"/>
            <w:vAlign w:val="center"/>
            <w:hideMark/>
          </w:tcPr>
          <w:p w14:paraId="20DFCE2B"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395" w:type="pct"/>
            <w:tcBorders>
              <w:top w:val="nil"/>
              <w:left w:val="nil"/>
              <w:bottom w:val="single" w:sz="4" w:space="0" w:color="auto"/>
              <w:right w:val="single" w:sz="4" w:space="0" w:color="auto"/>
            </w:tcBorders>
            <w:shd w:val="clear" w:color="auto" w:fill="auto"/>
            <w:vAlign w:val="center"/>
            <w:hideMark/>
          </w:tcPr>
          <w:p w14:paraId="44F50F7A"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278" w:type="pct"/>
            <w:tcBorders>
              <w:top w:val="nil"/>
              <w:left w:val="nil"/>
              <w:bottom w:val="single" w:sz="4" w:space="0" w:color="auto"/>
              <w:right w:val="single" w:sz="4" w:space="0" w:color="auto"/>
            </w:tcBorders>
            <w:shd w:val="clear" w:color="auto" w:fill="auto"/>
            <w:vAlign w:val="center"/>
            <w:hideMark/>
          </w:tcPr>
          <w:p w14:paraId="085F9C95"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343" w:type="pct"/>
            <w:tcBorders>
              <w:top w:val="nil"/>
              <w:left w:val="nil"/>
              <w:bottom w:val="single" w:sz="4" w:space="0" w:color="auto"/>
              <w:right w:val="single" w:sz="4" w:space="0" w:color="auto"/>
            </w:tcBorders>
            <w:shd w:val="clear" w:color="auto" w:fill="auto"/>
            <w:vAlign w:val="center"/>
            <w:hideMark/>
          </w:tcPr>
          <w:p w14:paraId="5706AAC3"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186" w:type="pct"/>
            <w:tcBorders>
              <w:top w:val="nil"/>
              <w:left w:val="nil"/>
              <w:bottom w:val="single" w:sz="4" w:space="0" w:color="auto"/>
              <w:right w:val="single" w:sz="8" w:space="0" w:color="auto"/>
            </w:tcBorders>
            <w:shd w:val="clear" w:color="auto" w:fill="auto"/>
            <w:vAlign w:val="center"/>
            <w:hideMark/>
          </w:tcPr>
          <w:p w14:paraId="35D1E23E"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437" w:type="pct"/>
            <w:tcBorders>
              <w:top w:val="nil"/>
              <w:left w:val="nil"/>
              <w:bottom w:val="single" w:sz="4" w:space="0" w:color="auto"/>
              <w:right w:val="single" w:sz="4" w:space="0" w:color="auto"/>
            </w:tcBorders>
            <w:shd w:val="clear" w:color="auto" w:fill="auto"/>
            <w:vAlign w:val="center"/>
            <w:hideMark/>
          </w:tcPr>
          <w:p w14:paraId="4FE13179"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24.3</w:t>
            </w:r>
          </w:p>
        </w:tc>
        <w:tc>
          <w:tcPr>
            <w:tcW w:w="427" w:type="pct"/>
            <w:tcBorders>
              <w:top w:val="nil"/>
              <w:left w:val="nil"/>
              <w:bottom w:val="single" w:sz="4" w:space="0" w:color="auto"/>
              <w:right w:val="single" w:sz="4" w:space="0" w:color="auto"/>
            </w:tcBorders>
            <w:shd w:val="clear" w:color="auto" w:fill="auto"/>
            <w:vAlign w:val="center"/>
            <w:hideMark/>
          </w:tcPr>
          <w:p w14:paraId="0D33DDB4"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223" w:type="pct"/>
            <w:tcBorders>
              <w:top w:val="nil"/>
              <w:left w:val="nil"/>
              <w:bottom w:val="single" w:sz="4" w:space="0" w:color="auto"/>
              <w:right w:val="single" w:sz="8" w:space="0" w:color="auto"/>
            </w:tcBorders>
            <w:shd w:val="clear" w:color="auto" w:fill="auto"/>
            <w:vAlign w:val="center"/>
            <w:hideMark/>
          </w:tcPr>
          <w:p w14:paraId="19CD07B4"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r>
      <w:tr w:rsidR="00596935" w:rsidRPr="00596935" w14:paraId="33EBD6C0" w14:textId="77777777" w:rsidTr="00596935">
        <w:trPr>
          <w:trHeight w:val="525"/>
        </w:trPr>
        <w:tc>
          <w:tcPr>
            <w:tcW w:w="540" w:type="pct"/>
            <w:tcBorders>
              <w:top w:val="nil"/>
              <w:left w:val="single" w:sz="4" w:space="0" w:color="auto"/>
              <w:bottom w:val="single" w:sz="4" w:space="0" w:color="auto"/>
              <w:right w:val="single" w:sz="4" w:space="0" w:color="auto"/>
            </w:tcBorders>
            <w:shd w:val="clear" w:color="auto" w:fill="auto"/>
            <w:vAlign w:val="center"/>
            <w:hideMark/>
          </w:tcPr>
          <w:p w14:paraId="355EF028" w14:textId="77777777" w:rsidR="00596935" w:rsidRPr="00596935" w:rsidRDefault="00596935" w:rsidP="00596935">
            <w:pPr>
              <w:rPr>
                <w:rFonts w:cs="Arial"/>
                <w:color w:val="000000"/>
                <w:sz w:val="20"/>
                <w:szCs w:val="20"/>
                <w:lang w:val="de-AT" w:eastAsia="de-AT"/>
              </w:rPr>
            </w:pPr>
            <w:r w:rsidRPr="00596935">
              <w:rPr>
                <w:rFonts w:cs="Arial"/>
                <w:color w:val="000000"/>
                <w:sz w:val="20"/>
                <w:szCs w:val="20"/>
                <w:lang w:val="de-AT" w:eastAsia="de-AT"/>
              </w:rPr>
              <w:t>Uziel 2003</w:t>
            </w:r>
          </w:p>
        </w:tc>
        <w:tc>
          <w:tcPr>
            <w:tcW w:w="191" w:type="pct"/>
            <w:tcBorders>
              <w:top w:val="nil"/>
              <w:left w:val="nil"/>
              <w:bottom w:val="single" w:sz="4" w:space="0" w:color="auto"/>
              <w:right w:val="single" w:sz="4" w:space="0" w:color="auto"/>
            </w:tcBorders>
            <w:shd w:val="clear" w:color="auto" w:fill="auto"/>
            <w:vAlign w:val="center"/>
            <w:hideMark/>
          </w:tcPr>
          <w:p w14:paraId="16300933"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6</w:t>
            </w:r>
          </w:p>
        </w:tc>
        <w:tc>
          <w:tcPr>
            <w:tcW w:w="536" w:type="pct"/>
            <w:tcBorders>
              <w:top w:val="nil"/>
              <w:left w:val="nil"/>
              <w:bottom w:val="single" w:sz="4" w:space="0" w:color="auto"/>
              <w:right w:val="single" w:sz="4" w:space="0" w:color="auto"/>
            </w:tcBorders>
            <w:shd w:val="clear" w:color="auto" w:fill="auto"/>
            <w:vAlign w:val="center"/>
            <w:hideMark/>
          </w:tcPr>
          <w:p w14:paraId="4BDD94C3"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not stated</w:t>
            </w:r>
          </w:p>
        </w:tc>
        <w:tc>
          <w:tcPr>
            <w:tcW w:w="687" w:type="pct"/>
            <w:tcBorders>
              <w:top w:val="nil"/>
              <w:left w:val="nil"/>
              <w:bottom w:val="single" w:sz="4" w:space="0" w:color="auto"/>
              <w:right w:val="nil"/>
            </w:tcBorders>
            <w:shd w:val="clear" w:color="auto" w:fill="auto"/>
            <w:vAlign w:val="center"/>
            <w:hideMark/>
          </w:tcPr>
          <w:p w14:paraId="0EA0CF44" w14:textId="77777777" w:rsidR="00596935" w:rsidRPr="00596935" w:rsidRDefault="00596935" w:rsidP="00596935">
            <w:pPr>
              <w:rPr>
                <w:rFonts w:cs="Arial"/>
                <w:color w:val="000000"/>
                <w:sz w:val="20"/>
                <w:szCs w:val="20"/>
                <w:lang w:val="de-AT" w:eastAsia="de-AT"/>
              </w:rPr>
            </w:pPr>
            <w:r w:rsidRPr="00596935">
              <w:rPr>
                <w:rFonts w:cs="Arial"/>
                <w:color w:val="000000"/>
                <w:sz w:val="20"/>
                <w:szCs w:val="20"/>
                <w:lang w:val="de-AT" w:eastAsia="de-AT"/>
              </w:rPr>
              <w:t>PTA</w:t>
            </w:r>
            <w:r w:rsidRPr="00596935">
              <w:rPr>
                <w:rFonts w:cs="Arial"/>
                <w:color w:val="000000"/>
                <w:sz w:val="20"/>
                <w:szCs w:val="20"/>
                <w:vertAlign w:val="subscript"/>
                <w:lang w:val="de-AT" w:eastAsia="de-AT"/>
              </w:rPr>
              <w:t>4</w:t>
            </w:r>
          </w:p>
        </w:tc>
        <w:tc>
          <w:tcPr>
            <w:tcW w:w="456" w:type="pct"/>
            <w:tcBorders>
              <w:top w:val="nil"/>
              <w:left w:val="single" w:sz="8" w:space="0" w:color="auto"/>
              <w:bottom w:val="single" w:sz="8" w:space="0" w:color="auto"/>
              <w:right w:val="single" w:sz="4" w:space="0" w:color="auto"/>
            </w:tcBorders>
            <w:shd w:val="clear" w:color="auto" w:fill="auto"/>
            <w:vAlign w:val="center"/>
            <w:hideMark/>
          </w:tcPr>
          <w:p w14:paraId="4A3C0FB0"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54.75</w:t>
            </w:r>
          </w:p>
        </w:tc>
        <w:tc>
          <w:tcPr>
            <w:tcW w:w="301" w:type="pct"/>
            <w:tcBorders>
              <w:top w:val="nil"/>
              <w:left w:val="nil"/>
              <w:bottom w:val="single" w:sz="8" w:space="0" w:color="auto"/>
              <w:right w:val="single" w:sz="8" w:space="0" w:color="auto"/>
            </w:tcBorders>
            <w:shd w:val="clear" w:color="auto" w:fill="auto"/>
            <w:vAlign w:val="center"/>
            <w:hideMark/>
          </w:tcPr>
          <w:p w14:paraId="7D329E50"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29.1</w:t>
            </w:r>
          </w:p>
        </w:tc>
        <w:tc>
          <w:tcPr>
            <w:tcW w:w="395" w:type="pct"/>
            <w:tcBorders>
              <w:top w:val="nil"/>
              <w:left w:val="nil"/>
              <w:bottom w:val="single" w:sz="8" w:space="0" w:color="auto"/>
              <w:right w:val="single" w:sz="4" w:space="0" w:color="auto"/>
            </w:tcBorders>
            <w:shd w:val="clear" w:color="auto" w:fill="auto"/>
            <w:vAlign w:val="center"/>
            <w:hideMark/>
          </w:tcPr>
          <w:p w14:paraId="19F058ED"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33.25</w:t>
            </w:r>
          </w:p>
        </w:tc>
        <w:tc>
          <w:tcPr>
            <w:tcW w:w="278" w:type="pct"/>
            <w:tcBorders>
              <w:top w:val="nil"/>
              <w:left w:val="nil"/>
              <w:bottom w:val="single" w:sz="8" w:space="0" w:color="auto"/>
              <w:right w:val="single" w:sz="4" w:space="0" w:color="auto"/>
            </w:tcBorders>
            <w:shd w:val="clear" w:color="auto" w:fill="auto"/>
            <w:vAlign w:val="center"/>
            <w:hideMark/>
          </w:tcPr>
          <w:p w14:paraId="34904B4C"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20.3</w:t>
            </w:r>
          </w:p>
        </w:tc>
        <w:tc>
          <w:tcPr>
            <w:tcW w:w="343" w:type="pct"/>
            <w:tcBorders>
              <w:top w:val="nil"/>
              <w:left w:val="nil"/>
              <w:bottom w:val="single" w:sz="8" w:space="0" w:color="auto"/>
              <w:right w:val="single" w:sz="4" w:space="0" w:color="auto"/>
            </w:tcBorders>
            <w:shd w:val="clear" w:color="auto" w:fill="auto"/>
            <w:vAlign w:val="bottom"/>
            <w:hideMark/>
          </w:tcPr>
          <w:p w14:paraId="1EA57C3A" w14:textId="77777777" w:rsidR="00596935" w:rsidRPr="00596935" w:rsidRDefault="00596935" w:rsidP="00596935">
            <w:pPr>
              <w:rPr>
                <w:rFonts w:cs="Arial"/>
                <w:color w:val="000000"/>
                <w:sz w:val="20"/>
                <w:szCs w:val="20"/>
                <w:lang w:val="de-AT" w:eastAsia="de-AT"/>
              </w:rPr>
            </w:pPr>
            <w:r w:rsidRPr="00596935">
              <w:rPr>
                <w:rFonts w:cs="Arial"/>
                <w:color w:val="000000"/>
                <w:sz w:val="20"/>
                <w:szCs w:val="20"/>
                <w:lang w:val="de-AT" w:eastAsia="de-AT"/>
              </w:rPr>
              <w:t> </w:t>
            </w:r>
          </w:p>
        </w:tc>
        <w:tc>
          <w:tcPr>
            <w:tcW w:w="186" w:type="pct"/>
            <w:tcBorders>
              <w:top w:val="nil"/>
              <w:left w:val="nil"/>
              <w:bottom w:val="single" w:sz="8" w:space="0" w:color="auto"/>
              <w:right w:val="single" w:sz="8" w:space="0" w:color="auto"/>
            </w:tcBorders>
            <w:shd w:val="clear" w:color="auto" w:fill="auto"/>
            <w:vAlign w:val="bottom"/>
            <w:hideMark/>
          </w:tcPr>
          <w:p w14:paraId="4D9B79D6" w14:textId="77777777" w:rsidR="00596935" w:rsidRPr="00596935" w:rsidRDefault="00596935" w:rsidP="00596935">
            <w:pPr>
              <w:rPr>
                <w:rFonts w:cs="Arial"/>
                <w:color w:val="000000"/>
                <w:sz w:val="20"/>
                <w:szCs w:val="20"/>
                <w:lang w:val="de-AT" w:eastAsia="de-AT"/>
              </w:rPr>
            </w:pPr>
            <w:r w:rsidRPr="00596935">
              <w:rPr>
                <w:rFonts w:cs="Arial"/>
                <w:color w:val="000000"/>
                <w:sz w:val="20"/>
                <w:szCs w:val="20"/>
                <w:lang w:val="de-AT" w:eastAsia="de-AT"/>
              </w:rPr>
              <w:t> </w:t>
            </w:r>
          </w:p>
        </w:tc>
        <w:tc>
          <w:tcPr>
            <w:tcW w:w="437" w:type="pct"/>
            <w:tcBorders>
              <w:top w:val="nil"/>
              <w:left w:val="nil"/>
              <w:bottom w:val="single" w:sz="8" w:space="0" w:color="auto"/>
              <w:right w:val="single" w:sz="4" w:space="0" w:color="auto"/>
            </w:tcBorders>
            <w:shd w:val="clear" w:color="auto" w:fill="auto"/>
            <w:vAlign w:val="center"/>
            <w:hideMark/>
          </w:tcPr>
          <w:p w14:paraId="609DEC7E"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21.5</w:t>
            </w:r>
          </w:p>
        </w:tc>
        <w:tc>
          <w:tcPr>
            <w:tcW w:w="427" w:type="pct"/>
            <w:tcBorders>
              <w:top w:val="nil"/>
              <w:left w:val="nil"/>
              <w:bottom w:val="single" w:sz="8" w:space="0" w:color="auto"/>
              <w:right w:val="single" w:sz="4" w:space="0" w:color="auto"/>
            </w:tcBorders>
            <w:shd w:val="clear" w:color="auto" w:fill="auto"/>
            <w:vAlign w:val="center"/>
            <w:hideMark/>
          </w:tcPr>
          <w:p w14:paraId="2586913D"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6.9</w:t>
            </w:r>
          </w:p>
        </w:tc>
        <w:tc>
          <w:tcPr>
            <w:tcW w:w="223" w:type="pct"/>
            <w:tcBorders>
              <w:top w:val="nil"/>
              <w:left w:val="nil"/>
              <w:bottom w:val="single" w:sz="8" w:space="0" w:color="auto"/>
              <w:right w:val="single" w:sz="8" w:space="0" w:color="auto"/>
            </w:tcBorders>
            <w:shd w:val="clear" w:color="auto" w:fill="auto"/>
            <w:vAlign w:val="center"/>
            <w:hideMark/>
          </w:tcPr>
          <w:p w14:paraId="367EA77A"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r>
    </w:tbl>
    <w:p w14:paraId="799A5F02" w14:textId="77777777" w:rsidR="00596935" w:rsidRPr="00596935" w:rsidRDefault="00596935" w:rsidP="00C67966">
      <w:pPr>
        <w:pStyle w:val="Textbody"/>
        <w:rPr>
          <w:rFonts w:eastAsiaTheme="minorHAnsi"/>
          <w:highlight w:val="yellow"/>
        </w:rPr>
      </w:pPr>
    </w:p>
    <w:p w14:paraId="323BD912" w14:textId="77777777" w:rsidR="00596935" w:rsidRPr="00596935" w:rsidRDefault="00596935" w:rsidP="00C67966">
      <w:pPr>
        <w:pStyle w:val="Textbody"/>
        <w:rPr>
          <w:rFonts w:eastAsiaTheme="minorHAnsi"/>
        </w:rPr>
      </w:pPr>
      <w:r w:rsidRPr="00596935">
        <w:rPr>
          <w:rFonts w:eastAsiaTheme="minorHAnsi"/>
        </w:rPr>
        <w:t>3 studies measured the functional gain of the SOUNDTEC, partially</w:t>
      </w:r>
      <w:r w:rsidRPr="00596935">
        <w:rPr>
          <w:rFonts w:eastAsiaTheme="minorHAnsi"/>
          <w:b/>
        </w:rPr>
        <w:t xml:space="preserve"> </w:t>
      </w:r>
      <w:r w:rsidRPr="00596935">
        <w:rPr>
          <w:rFonts w:eastAsiaTheme="minorHAnsi"/>
        </w:rPr>
        <w:t xml:space="preserve">implantable MEI including 182 adults. The functional gain was measured using the SF thresholds at 0.5,1,2, and 3 kHz and one study (Silverstein 2005) measured at 0.25 kHz – 6 kHz. Neither unaided nor aided threshold were reported. The reported mean functional gain was presented in graphs ranging from 24.25dB – 40.25dB resulting in a mean of 28.74 dB (SD 7.71dB). The results of individual studies is presented in </w:t>
      </w:r>
      <w:r w:rsidR="00D77AE9">
        <w:rPr>
          <w:rFonts w:eastAsiaTheme="minorHAnsi"/>
          <w:highlight w:val="yellow"/>
        </w:rPr>
        <w:fldChar w:fldCharType="begin"/>
      </w:r>
      <w:r w:rsidR="00D77AE9">
        <w:rPr>
          <w:rFonts w:eastAsiaTheme="minorHAnsi"/>
        </w:rPr>
        <w:instrText xml:space="preserve"> REF _Ref400643499 \h </w:instrText>
      </w:r>
      <w:r w:rsidR="00C67966">
        <w:rPr>
          <w:rFonts w:eastAsiaTheme="minorHAnsi"/>
          <w:highlight w:val="yellow"/>
        </w:rPr>
        <w:instrText xml:space="preserve"> \* MERGEFORMAT </w:instrText>
      </w:r>
      <w:r w:rsidR="00D77AE9">
        <w:rPr>
          <w:rFonts w:eastAsiaTheme="minorHAnsi"/>
          <w:highlight w:val="yellow"/>
        </w:rPr>
      </w:r>
      <w:r w:rsidR="00D77AE9">
        <w:rPr>
          <w:rFonts w:eastAsiaTheme="minorHAnsi"/>
          <w:highlight w:val="yellow"/>
        </w:rPr>
        <w:fldChar w:fldCharType="separate"/>
      </w:r>
      <w:r w:rsidR="00016592" w:rsidRPr="00C67966">
        <w:t xml:space="preserve">Table </w:t>
      </w:r>
      <w:r w:rsidR="00016592">
        <w:rPr>
          <w:noProof/>
        </w:rPr>
        <w:t>17</w:t>
      </w:r>
      <w:r w:rsidR="00D77AE9">
        <w:rPr>
          <w:rFonts w:eastAsiaTheme="minorHAnsi"/>
          <w:highlight w:val="yellow"/>
        </w:rPr>
        <w:fldChar w:fldCharType="end"/>
      </w:r>
      <w:r w:rsidR="00D77AE9">
        <w:rPr>
          <w:rFonts w:eastAsiaTheme="minorHAnsi"/>
        </w:rPr>
        <w:t>.</w:t>
      </w:r>
    </w:p>
    <w:p w14:paraId="3D035F6E" w14:textId="77777777" w:rsidR="00596935" w:rsidRPr="00596935" w:rsidRDefault="00596935" w:rsidP="00C67966">
      <w:pPr>
        <w:pStyle w:val="Textbody"/>
        <w:rPr>
          <w:rFonts w:eastAsiaTheme="minorHAnsi"/>
        </w:rPr>
      </w:pPr>
    </w:p>
    <w:p w14:paraId="4570DB46" w14:textId="77777777" w:rsidR="00596935" w:rsidRPr="00596935" w:rsidRDefault="00596935" w:rsidP="00C67966">
      <w:pPr>
        <w:pStyle w:val="Textbody"/>
        <w:rPr>
          <w:rFonts w:eastAsiaTheme="minorHAnsi"/>
        </w:rPr>
      </w:pPr>
      <w:r w:rsidRPr="00596935">
        <w:rPr>
          <w:rFonts w:eastAsiaTheme="minorHAnsi"/>
        </w:rPr>
        <w:t xml:space="preserve">In total 9 publications for fully implantable devices could be deducted from literature. 3 are Esteem system and 6 Carina device related studies. In 7 studies the functional gain of the fully implantable middle ear implants in a total of 127 adult patients was measured. Functional gain was calculated using different hearing thresholds (0.5, 1, 2 and 4 kHz; 0.5, 1, 2 and 3 kHz; 0.5, 1, 2 kHz; 0.25 – 8 kHz) and the mean gain measured by individual studies ranged from 11.2 dB to 40.25 dB. The pooled average was 24.94 dB (SD 9.65 dB). The results of individual studies is presented in </w:t>
      </w:r>
      <w:r w:rsidR="00D77AE9">
        <w:rPr>
          <w:rFonts w:eastAsiaTheme="minorHAnsi"/>
          <w:highlight w:val="yellow"/>
        </w:rPr>
        <w:fldChar w:fldCharType="begin"/>
      </w:r>
      <w:r w:rsidR="00D77AE9">
        <w:rPr>
          <w:rFonts w:eastAsiaTheme="minorHAnsi"/>
        </w:rPr>
        <w:instrText xml:space="preserve"> REF _Ref400643499 \h </w:instrText>
      </w:r>
      <w:r w:rsidR="00C67966">
        <w:rPr>
          <w:rFonts w:eastAsiaTheme="minorHAnsi"/>
          <w:highlight w:val="yellow"/>
        </w:rPr>
        <w:instrText xml:space="preserve"> \* MERGEFORMAT </w:instrText>
      </w:r>
      <w:r w:rsidR="00D77AE9">
        <w:rPr>
          <w:rFonts w:eastAsiaTheme="minorHAnsi"/>
          <w:highlight w:val="yellow"/>
        </w:rPr>
      </w:r>
      <w:r w:rsidR="00D77AE9">
        <w:rPr>
          <w:rFonts w:eastAsiaTheme="minorHAnsi"/>
          <w:highlight w:val="yellow"/>
        </w:rPr>
        <w:fldChar w:fldCharType="separate"/>
      </w:r>
      <w:r w:rsidR="00016592" w:rsidRPr="00C67966">
        <w:t xml:space="preserve">Table </w:t>
      </w:r>
      <w:r w:rsidR="00016592">
        <w:rPr>
          <w:noProof/>
        </w:rPr>
        <w:t>17</w:t>
      </w:r>
      <w:r w:rsidR="00D77AE9">
        <w:rPr>
          <w:rFonts w:eastAsiaTheme="minorHAnsi"/>
          <w:highlight w:val="yellow"/>
        </w:rPr>
        <w:fldChar w:fldCharType="end"/>
      </w:r>
      <w:r w:rsidR="00D77AE9">
        <w:rPr>
          <w:rFonts w:eastAsiaTheme="minorHAnsi"/>
        </w:rPr>
        <w:t>.</w:t>
      </w:r>
    </w:p>
    <w:p w14:paraId="1598DDE1" w14:textId="77777777" w:rsidR="00596935" w:rsidRPr="00596935" w:rsidRDefault="00596935" w:rsidP="00C67966">
      <w:pPr>
        <w:pStyle w:val="Textbody"/>
        <w:rPr>
          <w:rFonts w:eastAsiaTheme="minorHAnsi"/>
        </w:rPr>
      </w:pPr>
    </w:p>
    <w:p w14:paraId="2484C53A" w14:textId="77777777" w:rsidR="00596935" w:rsidRPr="00596935" w:rsidRDefault="00596935" w:rsidP="00596935">
      <w:pPr>
        <w:spacing w:after="200" w:line="276" w:lineRule="auto"/>
        <w:rPr>
          <w:rFonts w:asciiTheme="minorHAnsi" w:eastAsiaTheme="minorHAnsi" w:hAnsiTheme="minorHAnsi" w:cstheme="minorBidi"/>
          <w:sz w:val="24"/>
          <w:szCs w:val="24"/>
          <w:highlight w:val="yellow"/>
          <w:lang w:val="en-GB" w:eastAsia="en-US"/>
        </w:rPr>
      </w:pPr>
    </w:p>
    <w:p w14:paraId="148EF64C" w14:textId="77777777" w:rsidR="00596935" w:rsidRPr="00596935" w:rsidRDefault="00596935" w:rsidP="00596935">
      <w:pPr>
        <w:spacing w:after="200" w:line="276" w:lineRule="auto"/>
        <w:rPr>
          <w:rFonts w:asciiTheme="minorHAnsi" w:eastAsiaTheme="minorHAnsi" w:hAnsiTheme="minorHAnsi" w:cstheme="minorBidi"/>
          <w:sz w:val="24"/>
          <w:szCs w:val="24"/>
          <w:highlight w:val="yellow"/>
          <w:lang w:val="en-GB" w:eastAsia="en-US"/>
        </w:rPr>
        <w:sectPr w:rsidR="00596935" w:rsidRPr="00596935">
          <w:pgSz w:w="11906" w:h="16838"/>
          <w:pgMar w:top="1417" w:right="1417" w:bottom="1134" w:left="1417" w:header="708" w:footer="708" w:gutter="0"/>
          <w:cols w:space="708"/>
          <w:docGrid w:linePitch="360"/>
        </w:sectPr>
      </w:pPr>
    </w:p>
    <w:p w14:paraId="4B8B8C3D" w14:textId="77777777" w:rsidR="00596935" w:rsidRPr="00C67966" w:rsidRDefault="00D77AE9" w:rsidP="007F6475">
      <w:pPr>
        <w:pStyle w:val="Caption"/>
        <w:rPr>
          <w:rFonts w:ascii="Arial" w:eastAsiaTheme="minorHAnsi" w:hAnsi="Arial" w:cs="Arial"/>
          <w:lang w:val="en-GB" w:eastAsia="en-US"/>
        </w:rPr>
      </w:pPr>
      <w:bookmarkStart w:id="432" w:name="_Ref400643499"/>
      <w:bookmarkStart w:id="433" w:name="_Toc431917477"/>
      <w:r w:rsidRPr="00C67966">
        <w:rPr>
          <w:rFonts w:ascii="Arial" w:hAnsi="Arial" w:cs="Arial"/>
        </w:rPr>
        <w:lastRenderedPageBreak/>
        <w:t xml:space="preserve">Table </w:t>
      </w:r>
      <w:r w:rsidRPr="00C67966">
        <w:rPr>
          <w:rFonts w:ascii="Arial" w:hAnsi="Arial" w:cs="Arial"/>
        </w:rPr>
        <w:fldChar w:fldCharType="begin"/>
      </w:r>
      <w:r w:rsidRPr="00C67966">
        <w:rPr>
          <w:rFonts w:ascii="Arial" w:hAnsi="Arial" w:cs="Arial"/>
        </w:rPr>
        <w:instrText xml:space="preserve"> SEQ Table \* ARABIC </w:instrText>
      </w:r>
      <w:r w:rsidRPr="00C67966">
        <w:rPr>
          <w:rFonts w:ascii="Arial" w:hAnsi="Arial" w:cs="Arial"/>
        </w:rPr>
        <w:fldChar w:fldCharType="separate"/>
      </w:r>
      <w:r w:rsidR="00016592">
        <w:rPr>
          <w:rFonts w:ascii="Arial" w:hAnsi="Arial" w:cs="Arial"/>
          <w:noProof/>
        </w:rPr>
        <w:t>17</w:t>
      </w:r>
      <w:r w:rsidRPr="00C67966">
        <w:rPr>
          <w:rFonts w:ascii="Arial" w:hAnsi="Arial" w:cs="Arial"/>
        </w:rPr>
        <w:fldChar w:fldCharType="end"/>
      </w:r>
      <w:bookmarkEnd w:id="432"/>
      <w:r w:rsidRPr="00C67966">
        <w:rPr>
          <w:rFonts w:ascii="Arial" w:hAnsi="Arial" w:cs="Arial"/>
          <w:lang w:val="de-AT"/>
        </w:rPr>
        <w:t xml:space="preserve"> - </w:t>
      </w:r>
      <w:r w:rsidR="00596935" w:rsidRPr="00C67966">
        <w:rPr>
          <w:rFonts w:ascii="Arial" w:eastAsiaTheme="minorHAnsi" w:hAnsi="Arial" w:cs="Arial"/>
          <w:lang w:val="en-GB" w:eastAsia="en-US"/>
        </w:rPr>
        <w:t xml:space="preserve"> Functional gain comparator</w:t>
      </w:r>
      <w:bookmarkEnd w:id="433"/>
    </w:p>
    <w:tbl>
      <w:tblPr>
        <w:tblW w:w="5000" w:type="pct"/>
        <w:tblLayout w:type="fixed"/>
        <w:tblCellMar>
          <w:left w:w="70" w:type="dxa"/>
          <w:right w:w="70" w:type="dxa"/>
        </w:tblCellMar>
        <w:tblLook w:val="04A0" w:firstRow="1" w:lastRow="0" w:firstColumn="1" w:lastColumn="0" w:noHBand="0" w:noVBand="1"/>
        <w:tblDescription w:val="Functional gain comparator"/>
      </w:tblPr>
      <w:tblGrid>
        <w:gridCol w:w="2053"/>
        <w:gridCol w:w="1324"/>
        <w:gridCol w:w="1509"/>
        <w:gridCol w:w="2020"/>
        <w:gridCol w:w="1013"/>
        <w:gridCol w:w="661"/>
        <w:gridCol w:w="811"/>
        <w:gridCol w:w="661"/>
        <w:gridCol w:w="1394"/>
        <w:gridCol w:w="661"/>
        <w:gridCol w:w="811"/>
        <w:gridCol w:w="661"/>
        <w:gridCol w:w="848"/>
      </w:tblGrid>
      <w:tr w:rsidR="00596935" w:rsidRPr="00596935" w14:paraId="5B8D7DB8" w14:textId="77777777" w:rsidTr="00596935">
        <w:trPr>
          <w:trHeight w:val="900"/>
        </w:trPr>
        <w:tc>
          <w:tcPr>
            <w:tcW w:w="712" w:type="pct"/>
            <w:vMerge w:val="restart"/>
            <w:tcBorders>
              <w:top w:val="single" w:sz="8" w:space="0" w:color="auto"/>
              <w:left w:val="single" w:sz="8" w:space="0" w:color="auto"/>
              <w:bottom w:val="single" w:sz="8" w:space="0" w:color="000000"/>
              <w:right w:val="nil"/>
            </w:tcBorders>
            <w:shd w:val="clear" w:color="000000" w:fill="D9D9D9"/>
            <w:vAlign w:val="center"/>
            <w:hideMark/>
          </w:tcPr>
          <w:p w14:paraId="438FD6B4" w14:textId="77777777" w:rsidR="00596935" w:rsidRPr="00596935" w:rsidRDefault="00596935" w:rsidP="00596935">
            <w:pPr>
              <w:jc w:val="center"/>
              <w:rPr>
                <w:rFonts w:cs="Arial"/>
                <w:b/>
                <w:bCs/>
                <w:i/>
                <w:iCs/>
                <w:sz w:val="20"/>
                <w:szCs w:val="20"/>
                <w:lang w:val="de-AT" w:eastAsia="de-AT"/>
              </w:rPr>
            </w:pPr>
            <w:r w:rsidRPr="00596935">
              <w:rPr>
                <w:rFonts w:cs="Arial"/>
                <w:b/>
                <w:bCs/>
                <w:i/>
                <w:iCs/>
                <w:sz w:val="20"/>
                <w:szCs w:val="20"/>
                <w:lang w:val="de-AT" w:eastAsia="de-AT"/>
              </w:rPr>
              <w:t>author</w:t>
            </w:r>
          </w:p>
        </w:tc>
        <w:tc>
          <w:tcPr>
            <w:tcW w:w="459"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002C895E" w14:textId="77777777" w:rsidR="00596935" w:rsidRPr="00596935" w:rsidRDefault="00596935" w:rsidP="00596935">
            <w:pPr>
              <w:jc w:val="center"/>
              <w:rPr>
                <w:rFonts w:cs="Arial"/>
                <w:b/>
                <w:bCs/>
                <w:sz w:val="20"/>
                <w:szCs w:val="20"/>
                <w:lang w:val="de-AT" w:eastAsia="de-AT"/>
              </w:rPr>
            </w:pPr>
            <w:r w:rsidRPr="00596935">
              <w:rPr>
                <w:rFonts w:cs="Arial"/>
                <w:b/>
                <w:bCs/>
                <w:sz w:val="20"/>
                <w:szCs w:val="20"/>
                <w:lang w:val="de-AT" w:eastAsia="de-AT"/>
              </w:rPr>
              <w:t>n</w:t>
            </w:r>
          </w:p>
        </w:tc>
        <w:tc>
          <w:tcPr>
            <w:tcW w:w="523"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479E83AF" w14:textId="77777777" w:rsidR="00596935" w:rsidRPr="00596935" w:rsidRDefault="00596935" w:rsidP="00596935">
            <w:pPr>
              <w:rPr>
                <w:rFonts w:cs="Arial"/>
                <w:b/>
                <w:bCs/>
                <w:sz w:val="20"/>
                <w:szCs w:val="20"/>
                <w:lang w:val="de-AT" w:eastAsia="de-AT"/>
              </w:rPr>
            </w:pPr>
            <w:r w:rsidRPr="00596935">
              <w:rPr>
                <w:rFonts w:cs="Arial"/>
                <w:b/>
                <w:bCs/>
                <w:sz w:val="20"/>
                <w:szCs w:val="20"/>
                <w:lang w:val="de-AT" w:eastAsia="de-AT"/>
              </w:rPr>
              <w:t>follow up</w:t>
            </w:r>
          </w:p>
        </w:tc>
        <w:tc>
          <w:tcPr>
            <w:tcW w:w="700" w:type="pct"/>
            <w:vMerge w:val="restart"/>
            <w:tcBorders>
              <w:top w:val="single" w:sz="8" w:space="0" w:color="auto"/>
              <w:left w:val="single" w:sz="8" w:space="0" w:color="auto"/>
              <w:bottom w:val="single" w:sz="8" w:space="0" w:color="000000"/>
              <w:right w:val="nil"/>
            </w:tcBorders>
            <w:shd w:val="clear" w:color="000000" w:fill="D9D9D9"/>
            <w:vAlign w:val="center"/>
            <w:hideMark/>
          </w:tcPr>
          <w:p w14:paraId="272EB4AF" w14:textId="77777777" w:rsidR="00596935" w:rsidRPr="00596935" w:rsidRDefault="00596935" w:rsidP="00596935">
            <w:pPr>
              <w:jc w:val="center"/>
              <w:rPr>
                <w:rFonts w:cs="Arial"/>
                <w:b/>
                <w:bCs/>
                <w:sz w:val="20"/>
                <w:szCs w:val="20"/>
                <w:lang w:val="de-AT" w:eastAsia="de-AT"/>
              </w:rPr>
            </w:pPr>
            <w:r w:rsidRPr="00596935">
              <w:rPr>
                <w:rFonts w:cs="Arial"/>
                <w:b/>
                <w:bCs/>
                <w:sz w:val="20"/>
                <w:szCs w:val="20"/>
                <w:lang w:val="de-AT" w:eastAsia="de-AT"/>
              </w:rPr>
              <w:t>PTA calculation</w:t>
            </w:r>
          </w:p>
        </w:tc>
        <w:tc>
          <w:tcPr>
            <w:tcW w:w="580" w:type="pct"/>
            <w:gridSpan w:val="2"/>
            <w:tcBorders>
              <w:top w:val="single" w:sz="8" w:space="0" w:color="auto"/>
              <w:left w:val="single" w:sz="8" w:space="0" w:color="auto"/>
              <w:bottom w:val="nil"/>
              <w:right w:val="single" w:sz="8" w:space="0" w:color="000000"/>
            </w:tcBorders>
            <w:shd w:val="clear" w:color="000000" w:fill="F2DCDB"/>
            <w:vAlign w:val="center"/>
            <w:hideMark/>
          </w:tcPr>
          <w:p w14:paraId="45D652D9" w14:textId="77777777" w:rsidR="00596935" w:rsidRPr="00596935" w:rsidRDefault="00596935" w:rsidP="00596935">
            <w:pPr>
              <w:jc w:val="center"/>
              <w:rPr>
                <w:rFonts w:cs="Arial"/>
                <w:b/>
                <w:bCs/>
                <w:sz w:val="20"/>
                <w:szCs w:val="20"/>
                <w:lang w:val="de-AT" w:eastAsia="de-AT"/>
              </w:rPr>
            </w:pPr>
            <w:r w:rsidRPr="00596935">
              <w:rPr>
                <w:rFonts w:cs="Arial"/>
                <w:b/>
                <w:bCs/>
                <w:sz w:val="20"/>
                <w:szCs w:val="20"/>
                <w:lang w:val="de-AT" w:eastAsia="de-AT"/>
              </w:rPr>
              <w:t>unaided Thresholds</w:t>
            </w:r>
          </w:p>
        </w:tc>
        <w:tc>
          <w:tcPr>
            <w:tcW w:w="1222" w:type="pct"/>
            <w:gridSpan w:val="4"/>
            <w:tcBorders>
              <w:top w:val="single" w:sz="8" w:space="0" w:color="auto"/>
              <w:left w:val="nil"/>
              <w:bottom w:val="nil"/>
              <w:right w:val="single" w:sz="8" w:space="0" w:color="000000"/>
            </w:tcBorders>
            <w:shd w:val="clear" w:color="000000" w:fill="F2DCDB"/>
            <w:vAlign w:val="center"/>
            <w:hideMark/>
          </w:tcPr>
          <w:p w14:paraId="4A352E4A" w14:textId="77777777" w:rsidR="00596935" w:rsidRPr="00596935" w:rsidRDefault="00596935" w:rsidP="00596935">
            <w:pPr>
              <w:jc w:val="center"/>
              <w:rPr>
                <w:rFonts w:cs="Arial"/>
                <w:b/>
                <w:bCs/>
                <w:sz w:val="20"/>
                <w:szCs w:val="20"/>
                <w:lang w:val="de-AT" w:eastAsia="de-AT"/>
              </w:rPr>
            </w:pPr>
            <w:r w:rsidRPr="00596935">
              <w:rPr>
                <w:rFonts w:cs="Arial"/>
                <w:b/>
                <w:bCs/>
                <w:sz w:val="20"/>
                <w:szCs w:val="20"/>
                <w:lang w:val="de-AT" w:eastAsia="de-AT"/>
              </w:rPr>
              <w:t>Device Thresholds</w:t>
            </w:r>
          </w:p>
        </w:tc>
        <w:tc>
          <w:tcPr>
            <w:tcW w:w="803" w:type="pct"/>
            <w:gridSpan w:val="3"/>
            <w:tcBorders>
              <w:top w:val="single" w:sz="8" w:space="0" w:color="auto"/>
              <w:left w:val="nil"/>
              <w:bottom w:val="nil"/>
              <w:right w:val="single" w:sz="8" w:space="0" w:color="000000"/>
            </w:tcBorders>
            <w:shd w:val="clear" w:color="000000" w:fill="F2DCDB"/>
            <w:vAlign w:val="center"/>
            <w:hideMark/>
          </w:tcPr>
          <w:p w14:paraId="753DB674" w14:textId="77777777" w:rsidR="00596935" w:rsidRPr="00596935" w:rsidRDefault="00596935" w:rsidP="00596935">
            <w:pPr>
              <w:jc w:val="center"/>
              <w:rPr>
                <w:rFonts w:cs="Arial"/>
                <w:b/>
                <w:bCs/>
                <w:sz w:val="20"/>
                <w:szCs w:val="20"/>
                <w:lang w:val="de-AT" w:eastAsia="de-AT"/>
              </w:rPr>
            </w:pPr>
            <w:r w:rsidRPr="00596935">
              <w:rPr>
                <w:rFonts w:cs="Arial"/>
                <w:b/>
                <w:bCs/>
                <w:sz w:val="20"/>
                <w:szCs w:val="20"/>
                <w:lang w:val="de-AT" w:eastAsia="de-AT"/>
              </w:rPr>
              <w:t xml:space="preserve">Functional Gain </w:t>
            </w:r>
            <w:r w:rsidRPr="00596935">
              <w:rPr>
                <w:rFonts w:cs="Arial"/>
                <w:b/>
                <w:bCs/>
                <w:sz w:val="20"/>
                <w:szCs w:val="20"/>
                <w:lang w:val="de-AT" w:eastAsia="de-AT"/>
              </w:rPr>
              <w:br/>
              <w:t>(unaided</w:t>
            </w:r>
            <w:r w:rsidRPr="00596935">
              <w:rPr>
                <w:rFonts w:cs="Arial"/>
                <w:b/>
                <w:bCs/>
                <w:sz w:val="20"/>
                <w:szCs w:val="20"/>
                <w:vertAlign w:val="subscript"/>
                <w:lang w:val="de-AT" w:eastAsia="de-AT"/>
              </w:rPr>
              <w:t>mean</w:t>
            </w:r>
            <w:r w:rsidRPr="00596935">
              <w:rPr>
                <w:rFonts w:cs="Arial"/>
                <w:b/>
                <w:bCs/>
                <w:sz w:val="20"/>
                <w:szCs w:val="20"/>
                <w:lang w:val="de-AT" w:eastAsia="de-AT"/>
              </w:rPr>
              <w:t xml:space="preserve"> - device</w:t>
            </w:r>
            <w:r w:rsidRPr="00596935">
              <w:rPr>
                <w:rFonts w:cs="Arial"/>
                <w:b/>
                <w:bCs/>
                <w:sz w:val="20"/>
                <w:szCs w:val="20"/>
                <w:vertAlign w:val="subscript"/>
                <w:lang w:val="de-AT" w:eastAsia="de-AT"/>
              </w:rPr>
              <w:t>mean</w:t>
            </w:r>
            <w:r w:rsidRPr="00596935">
              <w:rPr>
                <w:rFonts w:cs="Arial"/>
                <w:b/>
                <w:bCs/>
                <w:sz w:val="20"/>
                <w:szCs w:val="20"/>
                <w:lang w:val="de-AT" w:eastAsia="de-AT"/>
              </w:rPr>
              <w:t>)</w:t>
            </w:r>
          </w:p>
        </w:tc>
      </w:tr>
      <w:tr w:rsidR="00596935" w:rsidRPr="00596935" w14:paraId="4B569C89" w14:textId="77777777" w:rsidTr="00596935">
        <w:trPr>
          <w:trHeight w:val="660"/>
        </w:trPr>
        <w:tc>
          <w:tcPr>
            <w:tcW w:w="712" w:type="pct"/>
            <w:vMerge/>
            <w:tcBorders>
              <w:top w:val="single" w:sz="8" w:space="0" w:color="auto"/>
              <w:left w:val="single" w:sz="8" w:space="0" w:color="auto"/>
              <w:bottom w:val="single" w:sz="8" w:space="0" w:color="000000"/>
              <w:right w:val="nil"/>
            </w:tcBorders>
            <w:vAlign w:val="center"/>
            <w:hideMark/>
          </w:tcPr>
          <w:p w14:paraId="5E1CE62A" w14:textId="77777777" w:rsidR="00596935" w:rsidRPr="00596935" w:rsidRDefault="00596935" w:rsidP="00596935">
            <w:pPr>
              <w:rPr>
                <w:rFonts w:cs="Arial"/>
                <w:b/>
                <w:bCs/>
                <w:i/>
                <w:iCs/>
                <w:sz w:val="20"/>
                <w:szCs w:val="20"/>
                <w:lang w:val="de-AT" w:eastAsia="de-AT"/>
              </w:rPr>
            </w:pPr>
          </w:p>
        </w:tc>
        <w:tc>
          <w:tcPr>
            <w:tcW w:w="459" w:type="pct"/>
            <w:vMerge/>
            <w:tcBorders>
              <w:top w:val="single" w:sz="8" w:space="0" w:color="auto"/>
              <w:left w:val="single" w:sz="8" w:space="0" w:color="auto"/>
              <w:bottom w:val="single" w:sz="8" w:space="0" w:color="000000"/>
              <w:right w:val="single" w:sz="8" w:space="0" w:color="auto"/>
            </w:tcBorders>
            <w:vAlign w:val="center"/>
            <w:hideMark/>
          </w:tcPr>
          <w:p w14:paraId="15B6CFCC" w14:textId="77777777" w:rsidR="00596935" w:rsidRPr="00596935" w:rsidRDefault="00596935" w:rsidP="00596935">
            <w:pPr>
              <w:rPr>
                <w:rFonts w:cs="Arial"/>
                <w:b/>
                <w:bCs/>
                <w:sz w:val="20"/>
                <w:szCs w:val="20"/>
                <w:lang w:val="de-AT" w:eastAsia="de-AT"/>
              </w:rPr>
            </w:pPr>
          </w:p>
        </w:tc>
        <w:tc>
          <w:tcPr>
            <w:tcW w:w="523" w:type="pct"/>
            <w:vMerge/>
            <w:tcBorders>
              <w:top w:val="single" w:sz="8" w:space="0" w:color="auto"/>
              <w:left w:val="single" w:sz="8" w:space="0" w:color="auto"/>
              <w:bottom w:val="single" w:sz="8" w:space="0" w:color="000000"/>
              <w:right w:val="single" w:sz="8" w:space="0" w:color="auto"/>
            </w:tcBorders>
            <w:vAlign w:val="center"/>
            <w:hideMark/>
          </w:tcPr>
          <w:p w14:paraId="214E8639" w14:textId="77777777" w:rsidR="00596935" w:rsidRPr="00596935" w:rsidRDefault="00596935" w:rsidP="00596935">
            <w:pPr>
              <w:rPr>
                <w:rFonts w:cs="Arial"/>
                <w:b/>
                <w:bCs/>
                <w:sz w:val="20"/>
                <w:szCs w:val="20"/>
                <w:lang w:val="de-AT" w:eastAsia="de-AT"/>
              </w:rPr>
            </w:pPr>
          </w:p>
        </w:tc>
        <w:tc>
          <w:tcPr>
            <w:tcW w:w="700" w:type="pct"/>
            <w:vMerge/>
            <w:tcBorders>
              <w:top w:val="single" w:sz="8" w:space="0" w:color="auto"/>
              <w:left w:val="single" w:sz="8" w:space="0" w:color="auto"/>
              <w:bottom w:val="single" w:sz="8" w:space="0" w:color="000000"/>
              <w:right w:val="nil"/>
            </w:tcBorders>
            <w:vAlign w:val="center"/>
            <w:hideMark/>
          </w:tcPr>
          <w:p w14:paraId="5C800CA0" w14:textId="77777777" w:rsidR="00596935" w:rsidRPr="00596935" w:rsidRDefault="00596935" w:rsidP="00596935">
            <w:pPr>
              <w:rPr>
                <w:rFonts w:cs="Arial"/>
                <w:b/>
                <w:bCs/>
                <w:sz w:val="20"/>
                <w:szCs w:val="20"/>
                <w:lang w:val="de-AT" w:eastAsia="de-AT"/>
              </w:rPr>
            </w:pPr>
          </w:p>
        </w:tc>
        <w:tc>
          <w:tcPr>
            <w:tcW w:w="351" w:type="pct"/>
            <w:tcBorders>
              <w:top w:val="nil"/>
              <w:left w:val="single" w:sz="8" w:space="0" w:color="auto"/>
              <w:bottom w:val="single" w:sz="8" w:space="0" w:color="auto"/>
              <w:right w:val="nil"/>
            </w:tcBorders>
            <w:shd w:val="clear" w:color="000000" w:fill="D9D9D9"/>
            <w:vAlign w:val="center"/>
            <w:hideMark/>
          </w:tcPr>
          <w:p w14:paraId="377140C0"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mean [dB]</w:t>
            </w:r>
          </w:p>
        </w:tc>
        <w:tc>
          <w:tcPr>
            <w:tcW w:w="229" w:type="pct"/>
            <w:tcBorders>
              <w:top w:val="nil"/>
              <w:left w:val="nil"/>
              <w:bottom w:val="single" w:sz="8" w:space="0" w:color="auto"/>
              <w:right w:val="single" w:sz="8" w:space="0" w:color="auto"/>
            </w:tcBorders>
            <w:shd w:val="clear" w:color="000000" w:fill="D9D9D9"/>
            <w:vAlign w:val="center"/>
            <w:hideMark/>
          </w:tcPr>
          <w:p w14:paraId="0ECDCB70"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sd</w:t>
            </w:r>
          </w:p>
        </w:tc>
        <w:tc>
          <w:tcPr>
            <w:tcW w:w="281" w:type="pct"/>
            <w:tcBorders>
              <w:top w:val="nil"/>
              <w:left w:val="nil"/>
              <w:bottom w:val="single" w:sz="8" w:space="0" w:color="auto"/>
              <w:right w:val="nil"/>
            </w:tcBorders>
            <w:shd w:val="clear" w:color="000000" w:fill="D9D9D9"/>
            <w:vAlign w:val="center"/>
            <w:hideMark/>
          </w:tcPr>
          <w:p w14:paraId="08023852"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mean [dB]</w:t>
            </w:r>
          </w:p>
        </w:tc>
        <w:tc>
          <w:tcPr>
            <w:tcW w:w="229" w:type="pct"/>
            <w:tcBorders>
              <w:top w:val="nil"/>
              <w:left w:val="nil"/>
              <w:bottom w:val="single" w:sz="8" w:space="0" w:color="auto"/>
              <w:right w:val="nil"/>
            </w:tcBorders>
            <w:shd w:val="clear" w:color="000000" w:fill="D9D9D9"/>
            <w:vAlign w:val="center"/>
            <w:hideMark/>
          </w:tcPr>
          <w:p w14:paraId="583750D8"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sd</w:t>
            </w:r>
          </w:p>
        </w:tc>
        <w:tc>
          <w:tcPr>
            <w:tcW w:w="483" w:type="pct"/>
            <w:tcBorders>
              <w:top w:val="nil"/>
              <w:left w:val="nil"/>
              <w:bottom w:val="single" w:sz="8" w:space="0" w:color="auto"/>
              <w:right w:val="nil"/>
            </w:tcBorders>
            <w:shd w:val="clear" w:color="000000" w:fill="D9D9D9"/>
            <w:vAlign w:val="center"/>
            <w:hideMark/>
          </w:tcPr>
          <w:p w14:paraId="5D254B01"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range</w:t>
            </w:r>
          </w:p>
        </w:tc>
        <w:tc>
          <w:tcPr>
            <w:tcW w:w="229" w:type="pct"/>
            <w:tcBorders>
              <w:top w:val="nil"/>
              <w:left w:val="nil"/>
              <w:bottom w:val="single" w:sz="8" w:space="0" w:color="auto"/>
              <w:right w:val="single" w:sz="8" w:space="0" w:color="auto"/>
            </w:tcBorders>
            <w:shd w:val="clear" w:color="000000" w:fill="D9D9D9"/>
            <w:vAlign w:val="center"/>
            <w:hideMark/>
          </w:tcPr>
          <w:p w14:paraId="7ABB4BB6"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sd</w:t>
            </w:r>
          </w:p>
        </w:tc>
        <w:tc>
          <w:tcPr>
            <w:tcW w:w="281" w:type="pct"/>
            <w:tcBorders>
              <w:top w:val="nil"/>
              <w:left w:val="nil"/>
              <w:bottom w:val="single" w:sz="8" w:space="0" w:color="auto"/>
              <w:right w:val="nil"/>
            </w:tcBorders>
            <w:shd w:val="clear" w:color="000000" w:fill="D9D9D9"/>
            <w:vAlign w:val="center"/>
            <w:hideMark/>
          </w:tcPr>
          <w:p w14:paraId="7E5489F6"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mean [dB]</w:t>
            </w:r>
          </w:p>
        </w:tc>
        <w:tc>
          <w:tcPr>
            <w:tcW w:w="229" w:type="pct"/>
            <w:tcBorders>
              <w:top w:val="nil"/>
              <w:left w:val="nil"/>
              <w:bottom w:val="single" w:sz="8" w:space="0" w:color="auto"/>
              <w:right w:val="nil"/>
            </w:tcBorders>
            <w:shd w:val="clear" w:color="000000" w:fill="D9D9D9"/>
            <w:vAlign w:val="center"/>
            <w:hideMark/>
          </w:tcPr>
          <w:p w14:paraId="0C3DA485"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sd</w:t>
            </w:r>
          </w:p>
        </w:tc>
        <w:tc>
          <w:tcPr>
            <w:tcW w:w="293" w:type="pct"/>
            <w:tcBorders>
              <w:top w:val="nil"/>
              <w:left w:val="nil"/>
              <w:bottom w:val="single" w:sz="8" w:space="0" w:color="auto"/>
              <w:right w:val="single" w:sz="8" w:space="0" w:color="auto"/>
            </w:tcBorders>
            <w:shd w:val="clear" w:color="000000" w:fill="D9D9D9"/>
            <w:vAlign w:val="center"/>
            <w:hideMark/>
          </w:tcPr>
          <w:p w14:paraId="33DD496D"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 xml:space="preserve">p  </w:t>
            </w:r>
          </w:p>
        </w:tc>
      </w:tr>
      <w:tr w:rsidR="00596935" w:rsidRPr="00596935" w14:paraId="7682CFA8" w14:textId="77777777" w:rsidTr="00596935">
        <w:trPr>
          <w:trHeight w:val="525"/>
        </w:trPr>
        <w:tc>
          <w:tcPr>
            <w:tcW w:w="712" w:type="pct"/>
            <w:tcBorders>
              <w:top w:val="nil"/>
              <w:left w:val="single" w:sz="8" w:space="0" w:color="auto"/>
              <w:bottom w:val="nil"/>
              <w:right w:val="nil"/>
            </w:tcBorders>
            <w:shd w:val="clear" w:color="auto" w:fill="auto"/>
            <w:vAlign w:val="center"/>
            <w:hideMark/>
          </w:tcPr>
          <w:p w14:paraId="180D0E19" w14:textId="77777777" w:rsidR="003733D2" w:rsidRDefault="00596935" w:rsidP="003733D2">
            <w:pPr>
              <w:rPr>
                <w:rFonts w:cs="Arial"/>
                <w:sz w:val="20"/>
                <w:szCs w:val="20"/>
                <w:lang w:val="de-AT" w:eastAsia="de-AT"/>
              </w:rPr>
            </w:pPr>
            <w:r w:rsidRPr="00596935">
              <w:rPr>
                <w:rFonts w:cs="Arial"/>
                <w:sz w:val="20"/>
                <w:szCs w:val="20"/>
                <w:lang w:val="de-AT" w:eastAsia="de-AT"/>
              </w:rPr>
              <w:t>Chen</w:t>
            </w:r>
          </w:p>
          <w:p w14:paraId="54C0079D" w14:textId="47E29119" w:rsidR="00596935" w:rsidRPr="00596935" w:rsidRDefault="00596935" w:rsidP="003733D2">
            <w:pPr>
              <w:rPr>
                <w:rFonts w:cs="Arial"/>
                <w:sz w:val="20"/>
                <w:szCs w:val="20"/>
                <w:lang w:val="de-AT" w:eastAsia="de-AT"/>
              </w:rPr>
            </w:pPr>
            <w:r w:rsidRPr="00596935">
              <w:rPr>
                <w:rFonts w:cs="Arial"/>
                <w:sz w:val="20"/>
                <w:szCs w:val="20"/>
                <w:lang w:val="de-AT" w:eastAsia="de-AT"/>
              </w:rPr>
              <w:t>2004, Esteem</w:t>
            </w:r>
          </w:p>
        </w:tc>
        <w:tc>
          <w:tcPr>
            <w:tcW w:w="459" w:type="pct"/>
            <w:tcBorders>
              <w:top w:val="nil"/>
              <w:left w:val="single" w:sz="4" w:space="0" w:color="auto"/>
              <w:bottom w:val="single" w:sz="4" w:space="0" w:color="auto"/>
              <w:right w:val="single" w:sz="4" w:space="0" w:color="auto"/>
            </w:tcBorders>
            <w:shd w:val="clear" w:color="auto" w:fill="auto"/>
            <w:noWrap/>
            <w:vAlign w:val="center"/>
            <w:hideMark/>
          </w:tcPr>
          <w:p w14:paraId="65F0F5B0"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5</w:t>
            </w:r>
          </w:p>
        </w:tc>
        <w:tc>
          <w:tcPr>
            <w:tcW w:w="523" w:type="pct"/>
            <w:tcBorders>
              <w:top w:val="nil"/>
              <w:left w:val="nil"/>
              <w:bottom w:val="single" w:sz="4" w:space="0" w:color="auto"/>
              <w:right w:val="single" w:sz="4" w:space="0" w:color="auto"/>
            </w:tcBorders>
            <w:shd w:val="clear" w:color="auto" w:fill="auto"/>
            <w:vAlign w:val="center"/>
            <w:hideMark/>
          </w:tcPr>
          <w:p w14:paraId="680E511A"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4 months</w:t>
            </w:r>
          </w:p>
        </w:tc>
        <w:tc>
          <w:tcPr>
            <w:tcW w:w="700" w:type="pct"/>
            <w:tcBorders>
              <w:top w:val="nil"/>
              <w:left w:val="nil"/>
              <w:bottom w:val="single" w:sz="4" w:space="0" w:color="auto"/>
              <w:right w:val="nil"/>
            </w:tcBorders>
            <w:shd w:val="clear" w:color="auto" w:fill="auto"/>
            <w:noWrap/>
            <w:vAlign w:val="center"/>
            <w:hideMark/>
          </w:tcPr>
          <w:p w14:paraId="084A4F6E" w14:textId="77777777" w:rsidR="00596935" w:rsidRPr="00596935" w:rsidRDefault="00596935" w:rsidP="00596935">
            <w:pPr>
              <w:rPr>
                <w:rFonts w:cs="Arial"/>
                <w:color w:val="000000"/>
                <w:sz w:val="20"/>
                <w:szCs w:val="20"/>
                <w:lang w:val="de-AT" w:eastAsia="de-AT"/>
              </w:rPr>
            </w:pPr>
            <w:r w:rsidRPr="00596935">
              <w:rPr>
                <w:rFonts w:cs="Arial"/>
                <w:color w:val="000000"/>
                <w:sz w:val="20"/>
                <w:szCs w:val="20"/>
                <w:lang w:val="de-AT" w:eastAsia="de-AT"/>
              </w:rPr>
              <w:t>SF .5-1-2-3 kHz</w:t>
            </w:r>
          </w:p>
        </w:tc>
        <w:tc>
          <w:tcPr>
            <w:tcW w:w="351" w:type="pct"/>
            <w:tcBorders>
              <w:top w:val="nil"/>
              <w:left w:val="single" w:sz="8" w:space="0" w:color="auto"/>
              <w:bottom w:val="single" w:sz="4" w:space="0" w:color="auto"/>
              <w:right w:val="single" w:sz="4" w:space="0" w:color="auto"/>
            </w:tcBorders>
            <w:shd w:val="clear" w:color="auto" w:fill="auto"/>
            <w:noWrap/>
            <w:vAlign w:val="center"/>
            <w:hideMark/>
          </w:tcPr>
          <w:p w14:paraId="25D5E18A"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62.25</w:t>
            </w:r>
          </w:p>
        </w:tc>
        <w:tc>
          <w:tcPr>
            <w:tcW w:w="229" w:type="pct"/>
            <w:tcBorders>
              <w:top w:val="nil"/>
              <w:left w:val="nil"/>
              <w:bottom w:val="single" w:sz="4" w:space="0" w:color="auto"/>
              <w:right w:val="single" w:sz="8" w:space="0" w:color="auto"/>
            </w:tcBorders>
            <w:shd w:val="clear" w:color="auto" w:fill="auto"/>
            <w:noWrap/>
            <w:vAlign w:val="center"/>
            <w:hideMark/>
          </w:tcPr>
          <w:p w14:paraId="193A35EA"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 xml:space="preserve"> -</w:t>
            </w:r>
          </w:p>
        </w:tc>
        <w:tc>
          <w:tcPr>
            <w:tcW w:w="281" w:type="pct"/>
            <w:tcBorders>
              <w:top w:val="nil"/>
              <w:left w:val="nil"/>
              <w:bottom w:val="single" w:sz="4" w:space="0" w:color="auto"/>
              <w:right w:val="single" w:sz="4" w:space="0" w:color="auto"/>
            </w:tcBorders>
            <w:shd w:val="clear" w:color="auto" w:fill="auto"/>
            <w:noWrap/>
            <w:vAlign w:val="center"/>
            <w:hideMark/>
          </w:tcPr>
          <w:p w14:paraId="6933101F"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54.25</w:t>
            </w:r>
          </w:p>
        </w:tc>
        <w:tc>
          <w:tcPr>
            <w:tcW w:w="229" w:type="pct"/>
            <w:tcBorders>
              <w:top w:val="nil"/>
              <w:left w:val="nil"/>
              <w:bottom w:val="single" w:sz="4" w:space="0" w:color="auto"/>
              <w:right w:val="single" w:sz="4" w:space="0" w:color="auto"/>
            </w:tcBorders>
            <w:shd w:val="clear" w:color="auto" w:fill="auto"/>
            <w:noWrap/>
            <w:vAlign w:val="center"/>
            <w:hideMark/>
          </w:tcPr>
          <w:p w14:paraId="66FE655A"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 xml:space="preserve"> -</w:t>
            </w:r>
          </w:p>
        </w:tc>
        <w:tc>
          <w:tcPr>
            <w:tcW w:w="483" w:type="pct"/>
            <w:tcBorders>
              <w:top w:val="nil"/>
              <w:left w:val="nil"/>
              <w:bottom w:val="single" w:sz="4" w:space="0" w:color="auto"/>
              <w:right w:val="single" w:sz="4" w:space="0" w:color="auto"/>
            </w:tcBorders>
            <w:shd w:val="clear" w:color="auto" w:fill="auto"/>
            <w:noWrap/>
            <w:vAlign w:val="center"/>
            <w:hideMark/>
          </w:tcPr>
          <w:p w14:paraId="488323B5"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 xml:space="preserve"> -</w:t>
            </w:r>
          </w:p>
        </w:tc>
        <w:tc>
          <w:tcPr>
            <w:tcW w:w="229" w:type="pct"/>
            <w:tcBorders>
              <w:top w:val="nil"/>
              <w:left w:val="nil"/>
              <w:bottom w:val="single" w:sz="4" w:space="0" w:color="auto"/>
              <w:right w:val="single" w:sz="8" w:space="0" w:color="auto"/>
            </w:tcBorders>
            <w:shd w:val="clear" w:color="auto" w:fill="auto"/>
            <w:noWrap/>
            <w:vAlign w:val="center"/>
            <w:hideMark/>
          </w:tcPr>
          <w:p w14:paraId="69FDB3D0"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 xml:space="preserve"> -</w:t>
            </w:r>
          </w:p>
        </w:tc>
        <w:tc>
          <w:tcPr>
            <w:tcW w:w="281" w:type="pct"/>
            <w:tcBorders>
              <w:top w:val="nil"/>
              <w:left w:val="nil"/>
              <w:bottom w:val="single" w:sz="4" w:space="0" w:color="auto"/>
              <w:right w:val="single" w:sz="4" w:space="0" w:color="auto"/>
            </w:tcBorders>
            <w:shd w:val="clear" w:color="auto" w:fill="auto"/>
            <w:noWrap/>
            <w:vAlign w:val="center"/>
            <w:hideMark/>
          </w:tcPr>
          <w:p w14:paraId="44E82354"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14.75</w:t>
            </w:r>
          </w:p>
        </w:tc>
        <w:tc>
          <w:tcPr>
            <w:tcW w:w="229" w:type="pct"/>
            <w:tcBorders>
              <w:top w:val="nil"/>
              <w:left w:val="nil"/>
              <w:bottom w:val="single" w:sz="4" w:space="0" w:color="auto"/>
              <w:right w:val="single" w:sz="4" w:space="0" w:color="auto"/>
            </w:tcBorders>
            <w:shd w:val="clear" w:color="auto" w:fill="auto"/>
            <w:noWrap/>
            <w:vAlign w:val="center"/>
            <w:hideMark/>
          </w:tcPr>
          <w:p w14:paraId="18A03585"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 xml:space="preserve"> -</w:t>
            </w:r>
          </w:p>
        </w:tc>
        <w:tc>
          <w:tcPr>
            <w:tcW w:w="293" w:type="pct"/>
            <w:tcBorders>
              <w:top w:val="nil"/>
              <w:left w:val="nil"/>
              <w:bottom w:val="single" w:sz="4" w:space="0" w:color="auto"/>
              <w:right w:val="single" w:sz="8" w:space="0" w:color="auto"/>
            </w:tcBorders>
            <w:shd w:val="clear" w:color="auto" w:fill="auto"/>
            <w:noWrap/>
            <w:vAlign w:val="center"/>
            <w:hideMark/>
          </w:tcPr>
          <w:p w14:paraId="5531E749"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 xml:space="preserve"> -</w:t>
            </w:r>
          </w:p>
        </w:tc>
      </w:tr>
      <w:tr w:rsidR="00596935" w:rsidRPr="00596935" w14:paraId="16AA9F6E" w14:textId="77777777" w:rsidTr="00596935">
        <w:trPr>
          <w:trHeight w:val="525"/>
        </w:trPr>
        <w:tc>
          <w:tcPr>
            <w:tcW w:w="712" w:type="pct"/>
            <w:tcBorders>
              <w:top w:val="single" w:sz="8" w:space="0" w:color="auto"/>
              <w:left w:val="single" w:sz="8" w:space="0" w:color="auto"/>
              <w:bottom w:val="single" w:sz="8" w:space="0" w:color="auto"/>
              <w:right w:val="nil"/>
            </w:tcBorders>
            <w:shd w:val="clear" w:color="auto" w:fill="auto"/>
            <w:vAlign w:val="center"/>
            <w:hideMark/>
          </w:tcPr>
          <w:p w14:paraId="4E8F7FB0" w14:textId="77777777" w:rsidR="003733D2" w:rsidRDefault="00596935" w:rsidP="003733D2">
            <w:pPr>
              <w:rPr>
                <w:rFonts w:cs="Arial"/>
                <w:sz w:val="20"/>
                <w:szCs w:val="20"/>
                <w:lang w:val="de-AT" w:eastAsia="de-AT"/>
              </w:rPr>
            </w:pPr>
            <w:r w:rsidRPr="00596935">
              <w:rPr>
                <w:rFonts w:cs="Arial"/>
                <w:sz w:val="20"/>
                <w:szCs w:val="20"/>
                <w:lang w:val="de-AT" w:eastAsia="de-AT"/>
              </w:rPr>
              <w:t>Gerard</w:t>
            </w:r>
          </w:p>
          <w:p w14:paraId="13654EB4" w14:textId="72225581" w:rsidR="00596935" w:rsidRPr="00596935" w:rsidRDefault="00596935" w:rsidP="003733D2">
            <w:pPr>
              <w:rPr>
                <w:rFonts w:cs="Arial"/>
                <w:sz w:val="20"/>
                <w:szCs w:val="20"/>
                <w:lang w:val="de-AT" w:eastAsia="de-AT"/>
              </w:rPr>
            </w:pPr>
            <w:r w:rsidRPr="00596935">
              <w:rPr>
                <w:rFonts w:cs="Arial"/>
                <w:sz w:val="20"/>
                <w:szCs w:val="20"/>
                <w:lang w:val="de-AT" w:eastAsia="de-AT"/>
              </w:rPr>
              <w:t>2012*, Esteem</w:t>
            </w:r>
          </w:p>
        </w:tc>
        <w:tc>
          <w:tcPr>
            <w:tcW w:w="459" w:type="pct"/>
            <w:tcBorders>
              <w:top w:val="nil"/>
              <w:left w:val="single" w:sz="4" w:space="0" w:color="auto"/>
              <w:bottom w:val="single" w:sz="4" w:space="0" w:color="auto"/>
              <w:right w:val="single" w:sz="4" w:space="0" w:color="auto"/>
            </w:tcBorders>
            <w:shd w:val="clear" w:color="auto" w:fill="auto"/>
            <w:noWrap/>
            <w:vAlign w:val="center"/>
            <w:hideMark/>
          </w:tcPr>
          <w:p w14:paraId="30890DCF"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13</w:t>
            </w:r>
          </w:p>
        </w:tc>
        <w:tc>
          <w:tcPr>
            <w:tcW w:w="523" w:type="pct"/>
            <w:tcBorders>
              <w:top w:val="nil"/>
              <w:left w:val="nil"/>
              <w:bottom w:val="single" w:sz="4" w:space="0" w:color="auto"/>
              <w:right w:val="single" w:sz="4" w:space="0" w:color="auto"/>
            </w:tcBorders>
            <w:shd w:val="clear" w:color="auto" w:fill="auto"/>
            <w:vAlign w:val="center"/>
            <w:hideMark/>
          </w:tcPr>
          <w:p w14:paraId="14E37D71"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not stated</w:t>
            </w:r>
          </w:p>
        </w:tc>
        <w:tc>
          <w:tcPr>
            <w:tcW w:w="700" w:type="pct"/>
            <w:tcBorders>
              <w:top w:val="nil"/>
              <w:left w:val="nil"/>
              <w:bottom w:val="single" w:sz="4" w:space="0" w:color="auto"/>
              <w:right w:val="nil"/>
            </w:tcBorders>
            <w:shd w:val="clear" w:color="auto" w:fill="auto"/>
            <w:noWrap/>
            <w:vAlign w:val="center"/>
            <w:hideMark/>
          </w:tcPr>
          <w:p w14:paraId="76501736" w14:textId="77777777" w:rsidR="00596935" w:rsidRPr="00596935" w:rsidRDefault="00596935" w:rsidP="00596935">
            <w:pPr>
              <w:rPr>
                <w:rFonts w:cs="Arial"/>
                <w:color w:val="000000"/>
                <w:sz w:val="20"/>
                <w:szCs w:val="20"/>
                <w:lang w:val="de-AT" w:eastAsia="de-AT"/>
              </w:rPr>
            </w:pPr>
            <w:r w:rsidRPr="00596935">
              <w:rPr>
                <w:rFonts w:cs="Arial"/>
                <w:color w:val="000000"/>
                <w:sz w:val="20"/>
                <w:szCs w:val="20"/>
                <w:lang w:val="de-AT" w:eastAsia="de-AT"/>
              </w:rPr>
              <w:t>PT ,25 to 8 kHz</w:t>
            </w:r>
          </w:p>
        </w:tc>
        <w:tc>
          <w:tcPr>
            <w:tcW w:w="351" w:type="pct"/>
            <w:tcBorders>
              <w:top w:val="nil"/>
              <w:left w:val="single" w:sz="8" w:space="0" w:color="auto"/>
              <w:bottom w:val="single" w:sz="4" w:space="0" w:color="auto"/>
              <w:right w:val="single" w:sz="4" w:space="0" w:color="auto"/>
            </w:tcBorders>
            <w:shd w:val="clear" w:color="auto" w:fill="auto"/>
            <w:noWrap/>
            <w:vAlign w:val="center"/>
            <w:hideMark/>
          </w:tcPr>
          <w:p w14:paraId="79977789"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66.84</w:t>
            </w:r>
          </w:p>
        </w:tc>
        <w:tc>
          <w:tcPr>
            <w:tcW w:w="229" w:type="pct"/>
            <w:tcBorders>
              <w:top w:val="nil"/>
              <w:left w:val="nil"/>
              <w:bottom w:val="single" w:sz="4" w:space="0" w:color="auto"/>
              <w:right w:val="single" w:sz="8" w:space="0" w:color="auto"/>
            </w:tcBorders>
            <w:shd w:val="clear" w:color="auto" w:fill="auto"/>
            <w:noWrap/>
            <w:vAlign w:val="center"/>
            <w:hideMark/>
          </w:tcPr>
          <w:p w14:paraId="42D1CBF7"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 xml:space="preserve"> -</w:t>
            </w:r>
          </w:p>
        </w:tc>
        <w:tc>
          <w:tcPr>
            <w:tcW w:w="281" w:type="pct"/>
            <w:tcBorders>
              <w:top w:val="nil"/>
              <w:left w:val="nil"/>
              <w:bottom w:val="single" w:sz="4" w:space="0" w:color="auto"/>
              <w:right w:val="single" w:sz="4" w:space="0" w:color="auto"/>
            </w:tcBorders>
            <w:shd w:val="clear" w:color="auto" w:fill="auto"/>
            <w:noWrap/>
            <w:vAlign w:val="center"/>
            <w:hideMark/>
          </w:tcPr>
          <w:p w14:paraId="058A8CB0"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41.77</w:t>
            </w:r>
          </w:p>
        </w:tc>
        <w:tc>
          <w:tcPr>
            <w:tcW w:w="229" w:type="pct"/>
            <w:tcBorders>
              <w:top w:val="nil"/>
              <w:left w:val="nil"/>
              <w:bottom w:val="single" w:sz="4" w:space="0" w:color="auto"/>
              <w:right w:val="single" w:sz="4" w:space="0" w:color="auto"/>
            </w:tcBorders>
            <w:shd w:val="clear" w:color="auto" w:fill="auto"/>
            <w:noWrap/>
            <w:vAlign w:val="center"/>
            <w:hideMark/>
          </w:tcPr>
          <w:p w14:paraId="2F43FA21"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 xml:space="preserve"> - </w:t>
            </w:r>
          </w:p>
        </w:tc>
        <w:tc>
          <w:tcPr>
            <w:tcW w:w="483" w:type="pct"/>
            <w:tcBorders>
              <w:top w:val="nil"/>
              <w:left w:val="nil"/>
              <w:bottom w:val="single" w:sz="4" w:space="0" w:color="auto"/>
              <w:right w:val="single" w:sz="4" w:space="0" w:color="auto"/>
            </w:tcBorders>
            <w:shd w:val="clear" w:color="auto" w:fill="auto"/>
            <w:noWrap/>
            <w:vAlign w:val="center"/>
            <w:hideMark/>
          </w:tcPr>
          <w:p w14:paraId="5DDF94AF"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 xml:space="preserve"> - </w:t>
            </w:r>
          </w:p>
        </w:tc>
        <w:tc>
          <w:tcPr>
            <w:tcW w:w="229" w:type="pct"/>
            <w:tcBorders>
              <w:top w:val="nil"/>
              <w:left w:val="nil"/>
              <w:bottom w:val="single" w:sz="4" w:space="0" w:color="auto"/>
              <w:right w:val="single" w:sz="8" w:space="0" w:color="auto"/>
            </w:tcBorders>
            <w:shd w:val="clear" w:color="auto" w:fill="auto"/>
            <w:noWrap/>
            <w:vAlign w:val="center"/>
            <w:hideMark/>
          </w:tcPr>
          <w:p w14:paraId="6557EF77"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 xml:space="preserve"> - </w:t>
            </w:r>
          </w:p>
        </w:tc>
        <w:tc>
          <w:tcPr>
            <w:tcW w:w="281" w:type="pct"/>
            <w:tcBorders>
              <w:top w:val="nil"/>
              <w:left w:val="nil"/>
              <w:bottom w:val="single" w:sz="4" w:space="0" w:color="auto"/>
              <w:right w:val="single" w:sz="4" w:space="0" w:color="auto"/>
            </w:tcBorders>
            <w:shd w:val="clear" w:color="auto" w:fill="auto"/>
            <w:noWrap/>
            <w:vAlign w:val="center"/>
            <w:hideMark/>
          </w:tcPr>
          <w:p w14:paraId="798A85AA"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25</w:t>
            </w:r>
          </w:p>
        </w:tc>
        <w:tc>
          <w:tcPr>
            <w:tcW w:w="229" w:type="pct"/>
            <w:tcBorders>
              <w:top w:val="nil"/>
              <w:left w:val="nil"/>
              <w:bottom w:val="single" w:sz="4" w:space="0" w:color="auto"/>
              <w:right w:val="single" w:sz="4" w:space="0" w:color="auto"/>
            </w:tcBorders>
            <w:shd w:val="clear" w:color="auto" w:fill="auto"/>
            <w:noWrap/>
            <w:vAlign w:val="center"/>
            <w:hideMark/>
          </w:tcPr>
          <w:p w14:paraId="5236B801"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11</w:t>
            </w:r>
          </w:p>
        </w:tc>
        <w:tc>
          <w:tcPr>
            <w:tcW w:w="293" w:type="pct"/>
            <w:tcBorders>
              <w:top w:val="nil"/>
              <w:left w:val="nil"/>
              <w:bottom w:val="single" w:sz="4" w:space="0" w:color="auto"/>
              <w:right w:val="single" w:sz="8" w:space="0" w:color="auto"/>
            </w:tcBorders>
            <w:shd w:val="clear" w:color="auto" w:fill="auto"/>
            <w:noWrap/>
            <w:vAlign w:val="center"/>
            <w:hideMark/>
          </w:tcPr>
          <w:p w14:paraId="183DD1E9"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 xml:space="preserve"> -</w:t>
            </w:r>
          </w:p>
        </w:tc>
      </w:tr>
      <w:tr w:rsidR="00596935" w:rsidRPr="00596935" w14:paraId="6E973266" w14:textId="77777777" w:rsidTr="00596935">
        <w:trPr>
          <w:trHeight w:val="525"/>
        </w:trPr>
        <w:tc>
          <w:tcPr>
            <w:tcW w:w="712" w:type="pct"/>
            <w:tcBorders>
              <w:top w:val="nil"/>
              <w:left w:val="single" w:sz="8" w:space="0" w:color="auto"/>
              <w:bottom w:val="nil"/>
              <w:right w:val="nil"/>
            </w:tcBorders>
            <w:shd w:val="clear" w:color="auto" w:fill="auto"/>
            <w:vAlign w:val="center"/>
            <w:hideMark/>
          </w:tcPr>
          <w:p w14:paraId="241930CD" w14:textId="77777777" w:rsidR="003733D2" w:rsidRDefault="00596935" w:rsidP="003733D2">
            <w:pPr>
              <w:rPr>
                <w:rFonts w:cs="Arial"/>
                <w:sz w:val="20"/>
                <w:szCs w:val="20"/>
                <w:lang w:val="de-AT" w:eastAsia="de-AT"/>
              </w:rPr>
            </w:pPr>
            <w:r w:rsidRPr="00596935">
              <w:rPr>
                <w:rFonts w:cs="Arial"/>
                <w:sz w:val="20"/>
                <w:szCs w:val="20"/>
                <w:lang w:val="de-AT" w:eastAsia="de-AT"/>
              </w:rPr>
              <w:t>Monini</w:t>
            </w:r>
          </w:p>
          <w:p w14:paraId="2AB2F2E3" w14:textId="7571FFB0" w:rsidR="00596935" w:rsidRPr="00596935" w:rsidRDefault="00596935" w:rsidP="003733D2">
            <w:pPr>
              <w:rPr>
                <w:rFonts w:cs="Arial"/>
                <w:sz w:val="20"/>
                <w:szCs w:val="20"/>
                <w:lang w:val="de-AT" w:eastAsia="de-AT"/>
              </w:rPr>
            </w:pPr>
            <w:r w:rsidRPr="00596935">
              <w:rPr>
                <w:rFonts w:cs="Arial"/>
                <w:sz w:val="20"/>
                <w:szCs w:val="20"/>
                <w:lang w:val="de-AT" w:eastAsia="de-AT"/>
              </w:rPr>
              <w:t>2013, Esteem</w:t>
            </w:r>
          </w:p>
        </w:tc>
        <w:tc>
          <w:tcPr>
            <w:tcW w:w="459" w:type="pct"/>
            <w:tcBorders>
              <w:top w:val="nil"/>
              <w:left w:val="single" w:sz="4" w:space="0" w:color="auto"/>
              <w:bottom w:val="single" w:sz="4" w:space="0" w:color="auto"/>
              <w:right w:val="single" w:sz="4" w:space="0" w:color="auto"/>
            </w:tcBorders>
            <w:shd w:val="clear" w:color="auto" w:fill="auto"/>
            <w:noWrap/>
            <w:vAlign w:val="center"/>
            <w:hideMark/>
          </w:tcPr>
          <w:p w14:paraId="2E1CC396"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15</w:t>
            </w:r>
          </w:p>
        </w:tc>
        <w:tc>
          <w:tcPr>
            <w:tcW w:w="523" w:type="pct"/>
            <w:tcBorders>
              <w:top w:val="nil"/>
              <w:left w:val="nil"/>
              <w:bottom w:val="single" w:sz="4" w:space="0" w:color="auto"/>
              <w:right w:val="single" w:sz="4" w:space="0" w:color="auto"/>
            </w:tcBorders>
            <w:shd w:val="clear" w:color="auto" w:fill="auto"/>
            <w:vAlign w:val="center"/>
            <w:hideMark/>
          </w:tcPr>
          <w:p w14:paraId="20881228"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3 months</w:t>
            </w:r>
          </w:p>
        </w:tc>
        <w:tc>
          <w:tcPr>
            <w:tcW w:w="700" w:type="pct"/>
            <w:tcBorders>
              <w:top w:val="nil"/>
              <w:left w:val="nil"/>
              <w:bottom w:val="single" w:sz="4" w:space="0" w:color="auto"/>
              <w:right w:val="nil"/>
            </w:tcBorders>
            <w:shd w:val="clear" w:color="auto" w:fill="auto"/>
            <w:noWrap/>
            <w:vAlign w:val="center"/>
            <w:hideMark/>
          </w:tcPr>
          <w:p w14:paraId="1F2D5902" w14:textId="77777777" w:rsidR="00596935" w:rsidRPr="00596935" w:rsidRDefault="00596935" w:rsidP="00596935">
            <w:pPr>
              <w:rPr>
                <w:rFonts w:cs="Arial"/>
                <w:color w:val="000000"/>
                <w:sz w:val="20"/>
                <w:szCs w:val="20"/>
                <w:lang w:val="de-AT" w:eastAsia="de-AT"/>
              </w:rPr>
            </w:pPr>
            <w:r w:rsidRPr="00596935">
              <w:rPr>
                <w:rFonts w:cs="Arial"/>
                <w:color w:val="000000"/>
                <w:sz w:val="20"/>
                <w:szCs w:val="20"/>
                <w:lang w:val="de-AT" w:eastAsia="de-AT"/>
              </w:rPr>
              <w:t>SF,125-8 kHz</w:t>
            </w:r>
          </w:p>
        </w:tc>
        <w:tc>
          <w:tcPr>
            <w:tcW w:w="351" w:type="pct"/>
            <w:tcBorders>
              <w:top w:val="nil"/>
              <w:left w:val="single" w:sz="8" w:space="0" w:color="auto"/>
              <w:bottom w:val="single" w:sz="4" w:space="0" w:color="auto"/>
              <w:right w:val="single" w:sz="4" w:space="0" w:color="auto"/>
            </w:tcBorders>
            <w:shd w:val="clear" w:color="auto" w:fill="auto"/>
            <w:noWrap/>
            <w:vAlign w:val="center"/>
            <w:hideMark/>
          </w:tcPr>
          <w:p w14:paraId="29BC585A"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 xml:space="preserve"> -</w:t>
            </w:r>
          </w:p>
        </w:tc>
        <w:tc>
          <w:tcPr>
            <w:tcW w:w="229" w:type="pct"/>
            <w:tcBorders>
              <w:top w:val="nil"/>
              <w:left w:val="nil"/>
              <w:bottom w:val="single" w:sz="4" w:space="0" w:color="auto"/>
              <w:right w:val="single" w:sz="8" w:space="0" w:color="auto"/>
            </w:tcBorders>
            <w:shd w:val="clear" w:color="auto" w:fill="auto"/>
            <w:noWrap/>
            <w:vAlign w:val="center"/>
            <w:hideMark/>
          </w:tcPr>
          <w:p w14:paraId="39963822"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 xml:space="preserve"> -</w:t>
            </w:r>
          </w:p>
        </w:tc>
        <w:tc>
          <w:tcPr>
            <w:tcW w:w="281" w:type="pct"/>
            <w:tcBorders>
              <w:top w:val="nil"/>
              <w:left w:val="nil"/>
              <w:bottom w:val="single" w:sz="4" w:space="0" w:color="auto"/>
              <w:right w:val="single" w:sz="4" w:space="0" w:color="auto"/>
            </w:tcBorders>
            <w:shd w:val="clear" w:color="auto" w:fill="auto"/>
            <w:noWrap/>
            <w:vAlign w:val="center"/>
            <w:hideMark/>
          </w:tcPr>
          <w:p w14:paraId="52F4361C"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 xml:space="preserve"> -</w:t>
            </w:r>
          </w:p>
        </w:tc>
        <w:tc>
          <w:tcPr>
            <w:tcW w:w="229" w:type="pct"/>
            <w:tcBorders>
              <w:top w:val="nil"/>
              <w:left w:val="nil"/>
              <w:bottom w:val="single" w:sz="4" w:space="0" w:color="auto"/>
              <w:right w:val="single" w:sz="4" w:space="0" w:color="auto"/>
            </w:tcBorders>
            <w:shd w:val="clear" w:color="auto" w:fill="auto"/>
            <w:noWrap/>
            <w:vAlign w:val="center"/>
            <w:hideMark/>
          </w:tcPr>
          <w:p w14:paraId="7DCCAE21"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 xml:space="preserve"> -</w:t>
            </w:r>
          </w:p>
        </w:tc>
        <w:tc>
          <w:tcPr>
            <w:tcW w:w="483" w:type="pct"/>
            <w:tcBorders>
              <w:top w:val="nil"/>
              <w:left w:val="nil"/>
              <w:bottom w:val="single" w:sz="4" w:space="0" w:color="auto"/>
              <w:right w:val="single" w:sz="4" w:space="0" w:color="auto"/>
            </w:tcBorders>
            <w:shd w:val="clear" w:color="auto" w:fill="auto"/>
            <w:noWrap/>
            <w:vAlign w:val="center"/>
            <w:hideMark/>
          </w:tcPr>
          <w:p w14:paraId="30411FA6"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 xml:space="preserve"> -</w:t>
            </w:r>
          </w:p>
        </w:tc>
        <w:tc>
          <w:tcPr>
            <w:tcW w:w="229" w:type="pct"/>
            <w:tcBorders>
              <w:top w:val="nil"/>
              <w:left w:val="nil"/>
              <w:bottom w:val="single" w:sz="4" w:space="0" w:color="auto"/>
              <w:right w:val="single" w:sz="8" w:space="0" w:color="auto"/>
            </w:tcBorders>
            <w:shd w:val="clear" w:color="auto" w:fill="auto"/>
            <w:noWrap/>
            <w:vAlign w:val="center"/>
            <w:hideMark/>
          </w:tcPr>
          <w:p w14:paraId="4D68004A"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 xml:space="preserve"> -</w:t>
            </w:r>
          </w:p>
        </w:tc>
        <w:tc>
          <w:tcPr>
            <w:tcW w:w="281" w:type="pct"/>
            <w:tcBorders>
              <w:top w:val="nil"/>
              <w:left w:val="nil"/>
              <w:bottom w:val="single" w:sz="4" w:space="0" w:color="auto"/>
              <w:right w:val="single" w:sz="4" w:space="0" w:color="auto"/>
            </w:tcBorders>
            <w:shd w:val="clear" w:color="auto" w:fill="auto"/>
            <w:noWrap/>
            <w:vAlign w:val="center"/>
            <w:hideMark/>
          </w:tcPr>
          <w:p w14:paraId="29E000AF"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30</w:t>
            </w:r>
          </w:p>
        </w:tc>
        <w:tc>
          <w:tcPr>
            <w:tcW w:w="229" w:type="pct"/>
            <w:tcBorders>
              <w:top w:val="nil"/>
              <w:left w:val="nil"/>
              <w:bottom w:val="single" w:sz="4" w:space="0" w:color="auto"/>
              <w:right w:val="single" w:sz="4" w:space="0" w:color="auto"/>
            </w:tcBorders>
            <w:shd w:val="clear" w:color="auto" w:fill="auto"/>
            <w:noWrap/>
            <w:vAlign w:val="center"/>
            <w:hideMark/>
          </w:tcPr>
          <w:p w14:paraId="1186FF56"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 </w:t>
            </w:r>
          </w:p>
        </w:tc>
        <w:tc>
          <w:tcPr>
            <w:tcW w:w="293" w:type="pct"/>
            <w:tcBorders>
              <w:top w:val="nil"/>
              <w:left w:val="nil"/>
              <w:bottom w:val="single" w:sz="4" w:space="0" w:color="auto"/>
              <w:right w:val="single" w:sz="8" w:space="0" w:color="auto"/>
            </w:tcBorders>
            <w:shd w:val="clear" w:color="auto" w:fill="auto"/>
            <w:noWrap/>
            <w:vAlign w:val="center"/>
            <w:hideMark/>
          </w:tcPr>
          <w:p w14:paraId="02FE3DD8"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 xml:space="preserve"> -</w:t>
            </w:r>
          </w:p>
        </w:tc>
      </w:tr>
      <w:tr w:rsidR="00596935" w:rsidRPr="00596935" w14:paraId="0059440F" w14:textId="77777777" w:rsidTr="00596935">
        <w:trPr>
          <w:trHeight w:val="525"/>
        </w:trPr>
        <w:tc>
          <w:tcPr>
            <w:tcW w:w="712" w:type="pct"/>
            <w:tcBorders>
              <w:top w:val="single" w:sz="8" w:space="0" w:color="auto"/>
              <w:left w:val="single" w:sz="8" w:space="0" w:color="auto"/>
              <w:bottom w:val="single" w:sz="8" w:space="0" w:color="auto"/>
              <w:right w:val="nil"/>
            </w:tcBorders>
            <w:shd w:val="clear" w:color="auto" w:fill="auto"/>
            <w:vAlign w:val="center"/>
            <w:hideMark/>
          </w:tcPr>
          <w:p w14:paraId="6E1CF396" w14:textId="77777777" w:rsidR="003733D2" w:rsidRDefault="00596935" w:rsidP="003733D2">
            <w:pPr>
              <w:rPr>
                <w:rFonts w:cs="Arial"/>
                <w:sz w:val="20"/>
                <w:szCs w:val="20"/>
                <w:lang w:val="de-AT" w:eastAsia="de-AT"/>
              </w:rPr>
            </w:pPr>
            <w:r w:rsidRPr="00596935">
              <w:rPr>
                <w:rFonts w:cs="Arial"/>
                <w:sz w:val="20"/>
                <w:szCs w:val="20"/>
                <w:lang w:val="de-AT" w:eastAsia="de-AT"/>
              </w:rPr>
              <w:t>Memari</w:t>
            </w:r>
          </w:p>
          <w:p w14:paraId="39757655" w14:textId="67B9AFEF" w:rsidR="00596935" w:rsidRPr="00596935" w:rsidRDefault="00596935" w:rsidP="003733D2">
            <w:pPr>
              <w:rPr>
                <w:rFonts w:cs="Arial"/>
                <w:sz w:val="20"/>
                <w:szCs w:val="20"/>
                <w:lang w:val="de-AT" w:eastAsia="de-AT"/>
              </w:rPr>
            </w:pPr>
            <w:r w:rsidRPr="00596935">
              <w:rPr>
                <w:rFonts w:cs="Arial"/>
                <w:sz w:val="20"/>
                <w:szCs w:val="20"/>
                <w:lang w:val="de-AT" w:eastAsia="de-AT"/>
              </w:rPr>
              <w:t>2011, Esteem</w:t>
            </w:r>
          </w:p>
        </w:tc>
        <w:tc>
          <w:tcPr>
            <w:tcW w:w="459" w:type="pct"/>
            <w:tcBorders>
              <w:top w:val="nil"/>
              <w:left w:val="single" w:sz="4" w:space="0" w:color="auto"/>
              <w:bottom w:val="single" w:sz="4" w:space="0" w:color="auto"/>
              <w:right w:val="single" w:sz="4" w:space="0" w:color="auto"/>
            </w:tcBorders>
            <w:shd w:val="clear" w:color="auto" w:fill="auto"/>
            <w:noWrap/>
            <w:vAlign w:val="center"/>
            <w:hideMark/>
          </w:tcPr>
          <w:p w14:paraId="6A496E6C"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10</w:t>
            </w:r>
          </w:p>
        </w:tc>
        <w:tc>
          <w:tcPr>
            <w:tcW w:w="523" w:type="pct"/>
            <w:tcBorders>
              <w:top w:val="nil"/>
              <w:left w:val="nil"/>
              <w:bottom w:val="single" w:sz="4" w:space="0" w:color="auto"/>
              <w:right w:val="single" w:sz="4" w:space="0" w:color="auto"/>
            </w:tcBorders>
            <w:shd w:val="clear" w:color="auto" w:fill="auto"/>
            <w:vAlign w:val="center"/>
            <w:hideMark/>
          </w:tcPr>
          <w:p w14:paraId="1E1E1362"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19-40 months</w:t>
            </w:r>
          </w:p>
        </w:tc>
        <w:tc>
          <w:tcPr>
            <w:tcW w:w="700" w:type="pct"/>
            <w:tcBorders>
              <w:top w:val="nil"/>
              <w:left w:val="nil"/>
              <w:bottom w:val="single" w:sz="4" w:space="0" w:color="auto"/>
              <w:right w:val="nil"/>
            </w:tcBorders>
            <w:shd w:val="clear" w:color="auto" w:fill="auto"/>
            <w:noWrap/>
            <w:vAlign w:val="center"/>
            <w:hideMark/>
          </w:tcPr>
          <w:p w14:paraId="02DA4A88" w14:textId="77777777" w:rsidR="00596935" w:rsidRPr="00596935" w:rsidRDefault="00596935" w:rsidP="00596935">
            <w:pPr>
              <w:rPr>
                <w:rFonts w:cs="Arial"/>
                <w:color w:val="000000"/>
                <w:sz w:val="20"/>
                <w:szCs w:val="20"/>
                <w:lang w:val="de-AT" w:eastAsia="de-AT"/>
              </w:rPr>
            </w:pPr>
            <w:r w:rsidRPr="00596935">
              <w:rPr>
                <w:rFonts w:cs="Arial"/>
                <w:color w:val="000000"/>
                <w:sz w:val="20"/>
                <w:szCs w:val="20"/>
                <w:lang w:val="de-AT" w:eastAsia="de-AT"/>
              </w:rPr>
              <w:t>SF 0,25-0,5-1-2-4 kHz</w:t>
            </w:r>
          </w:p>
        </w:tc>
        <w:tc>
          <w:tcPr>
            <w:tcW w:w="351" w:type="pct"/>
            <w:tcBorders>
              <w:top w:val="nil"/>
              <w:left w:val="single" w:sz="8" w:space="0" w:color="auto"/>
              <w:bottom w:val="single" w:sz="4" w:space="0" w:color="auto"/>
              <w:right w:val="single" w:sz="4" w:space="0" w:color="auto"/>
            </w:tcBorders>
            <w:shd w:val="clear" w:color="auto" w:fill="auto"/>
            <w:noWrap/>
            <w:vAlign w:val="center"/>
            <w:hideMark/>
          </w:tcPr>
          <w:p w14:paraId="0B69F22A"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 xml:space="preserve"> -</w:t>
            </w:r>
          </w:p>
        </w:tc>
        <w:tc>
          <w:tcPr>
            <w:tcW w:w="229" w:type="pct"/>
            <w:tcBorders>
              <w:top w:val="nil"/>
              <w:left w:val="nil"/>
              <w:bottom w:val="single" w:sz="4" w:space="0" w:color="auto"/>
              <w:right w:val="single" w:sz="8" w:space="0" w:color="auto"/>
            </w:tcBorders>
            <w:shd w:val="clear" w:color="auto" w:fill="auto"/>
            <w:noWrap/>
            <w:vAlign w:val="center"/>
            <w:hideMark/>
          </w:tcPr>
          <w:p w14:paraId="7A7BF5EC"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 xml:space="preserve"> -</w:t>
            </w:r>
          </w:p>
        </w:tc>
        <w:tc>
          <w:tcPr>
            <w:tcW w:w="281" w:type="pct"/>
            <w:tcBorders>
              <w:top w:val="nil"/>
              <w:left w:val="nil"/>
              <w:bottom w:val="single" w:sz="4" w:space="0" w:color="auto"/>
              <w:right w:val="single" w:sz="4" w:space="0" w:color="auto"/>
            </w:tcBorders>
            <w:shd w:val="clear" w:color="auto" w:fill="auto"/>
            <w:noWrap/>
            <w:vAlign w:val="center"/>
            <w:hideMark/>
          </w:tcPr>
          <w:p w14:paraId="00964635"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 xml:space="preserve"> -</w:t>
            </w:r>
          </w:p>
        </w:tc>
        <w:tc>
          <w:tcPr>
            <w:tcW w:w="229" w:type="pct"/>
            <w:tcBorders>
              <w:top w:val="nil"/>
              <w:left w:val="nil"/>
              <w:bottom w:val="single" w:sz="4" w:space="0" w:color="auto"/>
              <w:right w:val="single" w:sz="4" w:space="0" w:color="auto"/>
            </w:tcBorders>
            <w:shd w:val="clear" w:color="auto" w:fill="auto"/>
            <w:noWrap/>
            <w:vAlign w:val="center"/>
            <w:hideMark/>
          </w:tcPr>
          <w:p w14:paraId="200FFD9A"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 xml:space="preserve"> - </w:t>
            </w:r>
          </w:p>
        </w:tc>
        <w:tc>
          <w:tcPr>
            <w:tcW w:w="483" w:type="pct"/>
            <w:tcBorders>
              <w:top w:val="nil"/>
              <w:left w:val="nil"/>
              <w:bottom w:val="single" w:sz="4" w:space="0" w:color="auto"/>
              <w:right w:val="single" w:sz="4" w:space="0" w:color="auto"/>
            </w:tcBorders>
            <w:shd w:val="clear" w:color="auto" w:fill="auto"/>
            <w:noWrap/>
            <w:vAlign w:val="center"/>
            <w:hideMark/>
          </w:tcPr>
          <w:p w14:paraId="2080C614"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 xml:space="preserve"> - </w:t>
            </w:r>
          </w:p>
        </w:tc>
        <w:tc>
          <w:tcPr>
            <w:tcW w:w="229" w:type="pct"/>
            <w:tcBorders>
              <w:top w:val="nil"/>
              <w:left w:val="nil"/>
              <w:bottom w:val="single" w:sz="4" w:space="0" w:color="auto"/>
              <w:right w:val="single" w:sz="8" w:space="0" w:color="auto"/>
            </w:tcBorders>
            <w:shd w:val="clear" w:color="auto" w:fill="auto"/>
            <w:noWrap/>
            <w:vAlign w:val="center"/>
            <w:hideMark/>
          </w:tcPr>
          <w:p w14:paraId="073BB709"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 xml:space="preserve"> - </w:t>
            </w:r>
          </w:p>
        </w:tc>
        <w:tc>
          <w:tcPr>
            <w:tcW w:w="281" w:type="pct"/>
            <w:tcBorders>
              <w:top w:val="nil"/>
              <w:left w:val="nil"/>
              <w:bottom w:val="single" w:sz="4" w:space="0" w:color="auto"/>
              <w:right w:val="single" w:sz="4" w:space="0" w:color="auto"/>
            </w:tcBorders>
            <w:shd w:val="clear" w:color="auto" w:fill="auto"/>
            <w:noWrap/>
            <w:vAlign w:val="center"/>
            <w:hideMark/>
          </w:tcPr>
          <w:p w14:paraId="18E99439"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11.2</w:t>
            </w:r>
          </w:p>
        </w:tc>
        <w:tc>
          <w:tcPr>
            <w:tcW w:w="229" w:type="pct"/>
            <w:tcBorders>
              <w:top w:val="nil"/>
              <w:left w:val="nil"/>
              <w:bottom w:val="single" w:sz="4" w:space="0" w:color="auto"/>
              <w:right w:val="single" w:sz="4" w:space="0" w:color="auto"/>
            </w:tcBorders>
            <w:shd w:val="clear" w:color="auto" w:fill="auto"/>
            <w:noWrap/>
            <w:vAlign w:val="center"/>
            <w:hideMark/>
          </w:tcPr>
          <w:p w14:paraId="53E81686"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9.61</w:t>
            </w:r>
          </w:p>
        </w:tc>
        <w:tc>
          <w:tcPr>
            <w:tcW w:w="293" w:type="pct"/>
            <w:tcBorders>
              <w:top w:val="nil"/>
              <w:left w:val="nil"/>
              <w:bottom w:val="single" w:sz="4" w:space="0" w:color="auto"/>
              <w:right w:val="single" w:sz="8" w:space="0" w:color="auto"/>
            </w:tcBorders>
            <w:shd w:val="clear" w:color="auto" w:fill="auto"/>
            <w:noWrap/>
            <w:vAlign w:val="center"/>
            <w:hideMark/>
          </w:tcPr>
          <w:p w14:paraId="09B503A3"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 xml:space="preserve"> -</w:t>
            </w:r>
          </w:p>
        </w:tc>
      </w:tr>
      <w:tr w:rsidR="00596935" w:rsidRPr="00596935" w14:paraId="2AE6646A" w14:textId="77777777" w:rsidTr="00596935">
        <w:trPr>
          <w:trHeight w:val="525"/>
        </w:trPr>
        <w:tc>
          <w:tcPr>
            <w:tcW w:w="712" w:type="pct"/>
            <w:tcBorders>
              <w:top w:val="nil"/>
              <w:left w:val="single" w:sz="8" w:space="0" w:color="auto"/>
              <w:bottom w:val="single" w:sz="8" w:space="0" w:color="auto"/>
              <w:right w:val="nil"/>
            </w:tcBorders>
            <w:shd w:val="clear" w:color="auto" w:fill="auto"/>
            <w:vAlign w:val="center"/>
            <w:hideMark/>
          </w:tcPr>
          <w:p w14:paraId="514C038B" w14:textId="77777777" w:rsidR="003733D2" w:rsidRDefault="00596935" w:rsidP="003733D2">
            <w:pPr>
              <w:rPr>
                <w:rFonts w:cs="Arial"/>
                <w:sz w:val="20"/>
                <w:szCs w:val="20"/>
                <w:lang w:val="de-AT" w:eastAsia="de-AT"/>
              </w:rPr>
            </w:pPr>
            <w:r w:rsidRPr="00596935">
              <w:rPr>
                <w:rFonts w:cs="Arial"/>
                <w:sz w:val="20"/>
                <w:szCs w:val="20"/>
                <w:lang w:val="de-AT" w:eastAsia="de-AT"/>
              </w:rPr>
              <w:t>Kraus</w:t>
            </w:r>
          </w:p>
          <w:p w14:paraId="7B949DA1" w14:textId="6C30D405" w:rsidR="00596935" w:rsidRPr="00596935" w:rsidRDefault="00596935" w:rsidP="003733D2">
            <w:pPr>
              <w:rPr>
                <w:rFonts w:cs="Arial"/>
                <w:sz w:val="20"/>
                <w:szCs w:val="20"/>
                <w:lang w:val="de-AT" w:eastAsia="de-AT"/>
              </w:rPr>
            </w:pPr>
            <w:r w:rsidRPr="00596935">
              <w:rPr>
                <w:rFonts w:cs="Arial"/>
                <w:sz w:val="20"/>
                <w:szCs w:val="20"/>
                <w:lang w:val="de-AT" w:eastAsia="de-AT"/>
              </w:rPr>
              <w:t>2011, Esteem</w:t>
            </w:r>
          </w:p>
        </w:tc>
        <w:tc>
          <w:tcPr>
            <w:tcW w:w="459" w:type="pct"/>
            <w:tcBorders>
              <w:top w:val="nil"/>
              <w:left w:val="single" w:sz="4" w:space="0" w:color="auto"/>
              <w:bottom w:val="single" w:sz="4" w:space="0" w:color="auto"/>
              <w:right w:val="single" w:sz="4" w:space="0" w:color="auto"/>
            </w:tcBorders>
            <w:shd w:val="clear" w:color="auto" w:fill="auto"/>
            <w:noWrap/>
            <w:vAlign w:val="center"/>
            <w:hideMark/>
          </w:tcPr>
          <w:p w14:paraId="0F7033D0"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48</w:t>
            </w:r>
          </w:p>
        </w:tc>
        <w:tc>
          <w:tcPr>
            <w:tcW w:w="523" w:type="pct"/>
            <w:tcBorders>
              <w:top w:val="nil"/>
              <w:left w:val="nil"/>
              <w:bottom w:val="single" w:sz="4" w:space="0" w:color="auto"/>
              <w:right w:val="single" w:sz="4" w:space="0" w:color="auto"/>
            </w:tcBorders>
            <w:shd w:val="clear" w:color="auto" w:fill="auto"/>
            <w:vAlign w:val="center"/>
            <w:hideMark/>
          </w:tcPr>
          <w:p w14:paraId="5E8059E6"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12 months</w:t>
            </w:r>
          </w:p>
        </w:tc>
        <w:tc>
          <w:tcPr>
            <w:tcW w:w="700" w:type="pct"/>
            <w:tcBorders>
              <w:top w:val="nil"/>
              <w:left w:val="nil"/>
              <w:bottom w:val="single" w:sz="4" w:space="0" w:color="auto"/>
              <w:right w:val="nil"/>
            </w:tcBorders>
            <w:shd w:val="clear" w:color="auto" w:fill="auto"/>
            <w:noWrap/>
            <w:vAlign w:val="center"/>
            <w:hideMark/>
          </w:tcPr>
          <w:p w14:paraId="7D05B441" w14:textId="77777777" w:rsidR="00596935" w:rsidRPr="00596935" w:rsidRDefault="00596935" w:rsidP="00596935">
            <w:pPr>
              <w:rPr>
                <w:rFonts w:cs="Arial"/>
                <w:color w:val="000000"/>
                <w:sz w:val="20"/>
                <w:szCs w:val="20"/>
                <w:lang w:val="de-AT" w:eastAsia="de-AT"/>
              </w:rPr>
            </w:pPr>
            <w:r w:rsidRPr="00596935">
              <w:rPr>
                <w:rFonts w:cs="Arial"/>
                <w:color w:val="000000"/>
                <w:sz w:val="20"/>
                <w:szCs w:val="20"/>
                <w:lang w:val="de-AT" w:eastAsia="de-AT"/>
              </w:rPr>
              <w:t>SF .5-1-2</w:t>
            </w:r>
          </w:p>
        </w:tc>
        <w:tc>
          <w:tcPr>
            <w:tcW w:w="351" w:type="pct"/>
            <w:tcBorders>
              <w:top w:val="nil"/>
              <w:left w:val="single" w:sz="8" w:space="0" w:color="auto"/>
              <w:bottom w:val="single" w:sz="4" w:space="0" w:color="auto"/>
              <w:right w:val="single" w:sz="4" w:space="0" w:color="auto"/>
            </w:tcBorders>
            <w:shd w:val="clear" w:color="auto" w:fill="auto"/>
            <w:noWrap/>
            <w:vAlign w:val="center"/>
            <w:hideMark/>
          </w:tcPr>
          <w:p w14:paraId="5EE10A70"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 xml:space="preserve"> -</w:t>
            </w:r>
          </w:p>
        </w:tc>
        <w:tc>
          <w:tcPr>
            <w:tcW w:w="229" w:type="pct"/>
            <w:tcBorders>
              <w:top w:val="nil"/>
              <w:left w:val="nil"/>
              <w:bottom w:val="single" w:sz="4" w:space="0" w:color="auto"/>
              <w:right w:val="single" w:sz="8" w:space="0" w:color="auto"/>
            </w:tcBorders>
            <w:shd w:val="clear" w:color="auto" w:fill="auto"/>
            <w:noWrap/>
            <w:vAlign w:val="center"/>
            <w:hideMark/>
          </w:tcPr>
          <w:p w14:paraId="7A5A4905"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 xml:space="preserve"> -</w:t>
            </w:r>
          </w:p>
        </w:tc>
        <w:tc>
          <w:tcPr>
            <w:tcW w:w="281" w:type="pct"/>
            <w:tcBorders>
              <w:top w:val="nil"/>
              <w:left w:val="nil"/>
              <w:bottom w:val="single" w:sz="4" w:space="0" w:color="auto"/>
              <w:right w:val="single" w:sz="4" w:space="0" w:color="auto"/>
            </w:tcBorders>
            <w:shd w:val="clear" w:color="auto" w:fill="auto"/>
            <w:noWrap/>
            <w:vAlign w:val="center"/>
            <w:hideMark/>
          </w:tcPr>
          <w:p w14:paraId="74B038F4"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 xml:space="preserve"> -</w:t>
            </w:r>
          </w:p>
        </w:tc>
        <w:tc>
          <w:tcPr>
            <w:tcW w:w="229" w:type="pct"/>
            <w:tcBorders>
              <w:top w:val="nil"/>
              <w:left w:val="nil"/>
              <w:bottom w:val="single" w:sz="4" w:space="0" w:color="auto"/>
              <w:right w:val="single" w:sz="4" w:space="0" w:color="auto"/>
            </w:tcBorders>
            <w:shd w:val="clear" w:color="auto" w:fill="auto"/>
            <w:noWrap/>
            <w:vAlign w:val="center"/>
            <w:hideMark/>
          </w:tcPr>
          <w:p w14:paraId="2785D776"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 xml:space="preserve"> -</w:t>
            </w:r>
          </w:p>
        </w:tc>
        <w:tc>
          <w:tcPr>
            <w:tcW w:w="483" w:type="pct"/>
            <w:tcBorders>
              <w:top w:val="nil"/>
              <w:left w:val="nil"/>
              <w:bottom w:val="single" w:sz="4" w:space="0" w:color="auto"/>
              <w:right w:val="single" w:sz="4" w:space="0" w:color="auto"/>
            </w:tcBorders>
            <w:shd w:val="clear" w:color="auto" w:fill="auto"/>
            <w:noWrap/>
            <w:vAlign w:val="center"/>
            <w:hideMark/>
          </w:tcPr>
          <w:p w14:paraId="54A79638"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 xml:space="preserve"> -</w:t>
            </w:r>
          </w:p>
        </w:tc>
        <w:tc>
          <w:tcPr>
            <w:tcW w:w="229" w:type="pct"/>
            <w:tcBorders>
              <w:top w:val="nil"/>
              <w:left w:val="nil"/>
              <w:bottom w:val="single" w:sz="4" w:space="0" w:color="auto"/>
              <w:right w:val="single" w:sz="8" w:space="0" w:color="auto"/>
            </w:tcBorders>
            <w:shd w:val="clear" w:color="auto" w:fill="auto"/>
            <w:noWrap/>
            <w:vAlign w:val="center"/>
            <w:hideMark/>
          </w:tcPr>
          <w:p w14:paraId="3C3ABFB4"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 xml:space="preserve"> -</w:t>
            </w:r>
          </w:p>
        </w:tc>
        <w:tc>
          <w:tcPr>
            <w:tcW w:w="281" w:type="pct"/>
            <w:tcBorders>
              <w:top w:val="nil"/>
              <w:left w:val="nil"/>
              <w:bottom w:val="single" w:sz="4" w:space="0" w:color="auto"/>
              <w:right w:val="single" w:sz="4" w:space="0" w:color="auto"/>
            </w:tcBorders>
            <w:shd w:val="clear" w:color="auto" w:fill="auto"/>
            <w:noWrap/>
            <w:vAlign w:val="center"/>
            <w:hideMark/>
          </w:tcPr>
          <w:p w14:paraId="34D942AB"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27</w:t>
            </w:r>
          </w:p>
        </w:tc>
        <w:tc>
          <w:tcPr>
            <w:tcW w:w="229" w:type="pct"/>
            <w:tcBorders>
              <w:top w:val="nil"/>
              <w:left w:val="nil"/>
              <w:bottom w:val="single" w:sz="4" w:space="0" w:color="auto"/>
              <w:right w:val="single" w:sz="4" w:space="0" w:color="auto"/>
            </w:tcBorders>
            <w:shd w:val="clear" w:color="auto" w:fill="auto"/>
            <w:noWrap/>
            <w:vAlign w:val="center"/>
            <w:hideMark/>
          </w:tcPr>
          <w:p w14:paraId="0DDF71A4"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 </w:t>
            </w:r>
          </w:p>
        </w:tc>
        <w:tc>
          <w:tcPr>
            <w:tcW w:w="293" w:type="pct"/>
            <w:tcBorders>
              <w:top w:val="nil"/>
              <w:left w:val="nil"/>
              <w:bottom w:val="single" w:sz="4" w:space="0" w:color="auto"/>
              <w:right w:val="single" w:sz="8" w:space="0" w:color="auto"/>
            </w:tcBorders>
            <w:shd w:val="clear" w:color="auto" w:fill="auto"/>
            <w:noWrap/>
            <w:vAlign w:val="center"/>
            <w:hideMark/>
          </w:tcPr>
          <w:p w14:paraId="50175A0C"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 xml:space="preserve"> -</w:t>
            </w:r>
          </w:p>
        </w:tc>
      </w:tr>
      <w:tr w:rsidR="00596935" w:rsidRPr="00596935" w14:paraId="047AB7A6" w14:textId="77777777" w:rsidTr="00596935">
        <w:trPr>
          <w:trHeight w:val="525"/>
        </w:trPr>
        <w:tc>
          <w:tcPr>
            <w:tcW w:w="712" w:type="pct"/>
            <w:tcBorders>
              <w:top w:val="nil"/>
              <w:left w:val="single" w:sz="8" w:space="0" w:color="auto"/>
              <w:bottom w:val="single" w:sz="8" w:space="0" w:color="auto"/>
              <w:right w:val="nil"/>
            </w:tcBorders>
            <w:shd w:val="clear" w:color="auto" w:fill="auto"/>
            <w:vAlign w:val="center"/>
            <w:hideMark/>
          </w:tcPr>
          <w:p w14:paraId="20E30DF8" w14:textId="77777777" w:rsidR="003733D2" w:rsidRDefault="00596935" w:rsidP="003733D2">
            <w:pPr>
              <w:rPr>
                <w:rFonts w:cs="Arial"/>
                <w:sz w:val="20"/>
                <w:szCs w:val="20"/>
                <w:lang w:val="de-AT" w:eastAsia="de-AT"/>
              </w:rPr>
            </w:pPr>
            <w:r w:rsidRPr="00596935">
              <w:rPr>
                <w:rFonts w:cs="Arial"/>
                <w:sz w:val="20"/>
                <w:szCs w:val="20"/>
                <w:lang w:val="de-AT" w:eastAsia="de-AT"/>
              </w:rPr>
              <w:t>Bruschini</w:t>
            </w:r>
          </w:p>
          <w:p w14:paraId="63A6F91E" w14:textId="419BAE06" w:rsidR="00596935" w:rsidRPr="00596935" w:rsidRDefault="00596935" w:rsidP="003733D2">
            <w:pPr>
              <w:rPr>
                <w:rFonts w:cs="Arial"/>
                <w:sz w:val="20"/>
                <w:szCs w:val="20"/>
                <w:lang w:val="de-AT" w:eastAsia="de-AT"/>
              </w:rPr>
            </w:pPr>
            <w:r w:rsidRPr="00596935">
              <w:rPr>
                <w:rFonts w:cs="Arial"/>
                <w:sz w:val="20"/>
                <w:szCs w:val="20"/>
                <w:lang w:val="de-AT" w:eastAsia="de-AT"/>
              </w:rPr>
              <w:t>2010, Carina</w:t>
            </w:r>
          </w:p>
        </w:tc>
        <w:tc>
          <w:tcPr>
            <w:tcW w:w="459" w:type="pct"/>
            <w:tcBorders>
              <w:top w:val="nil"/>
              <w:left w:val="single" w:sz="4" w:space="0" w:color="auto"/>
              <w:bottom w:val="single" w:sz="4" w:space="0" w:color="auto"/>
              <w:right w:val="single" w:sz="4" w:space="0" w:color="auto"/>
            </w:tcBorders>
            <w:shd w:val="clear" w:color="auto" w:fill="auto"/>
            <w:noWrap/>
            <w:vAlign w:val="center"/>
            <w:hideMark/>
          </w:tcPr>
          <w:p w14:paraId="17AFE019"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7</w:t>
            </w:r>
          </w:p>
        </w:tc>
        <w:tc>
          <w:tcPr>
            <w:tcW w:w="523" w:type="pct"/>
            <w:tcBorders>
              <w:top w:val="nil"/>
              <w:left w:val="nil"/>
              <w:bottom w:val="single" w:sz="4" w:space="0" w:color="auto"/>
              <w:right w:val="single" w:sz="4" w:space="0" w:color="auto"/>
            </w:tcBorders>
            <w:shd w:val="clear" w:color="auto" w:fill="auto"/>
            <w:vAlign w:val="center"/>
            <w:hideMark/>
          </w:tcPr>
          <w:p w14:paraId="5134DDA5"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12-21 months</w:t>
            </w:r>
          </w:p>
        </w:tc>
        <w:tc>
          <w:tcPr>
            <w:tcW w:w="700" w:type="pct"/>
            <w:tcBorders>
              <w:top w:val="nil"/>
              <w:left w:val="nil"/>
              <w:bottom w:val="single" w:sz="4" w:space="0" w:color="auto"/>
              <w:right w:val="nil"/>
            </w:tcBorders>
            <w:shd w:val="clear" w:color="auto" w:fill="auto"/>
            <w:noWrap/>
            <w:vAlign w:val="center"/>
            <w:hideMark/>
          </w:tcPr>
          <w:p w14:paraId="7427F67A" w14:textId="77777777" w:rsidR="00596935" w:rsidRPr="00596935" w:rsidRDefault="00596935" w:rsidP="00596935">
            <w:pPr>
              <w:rPr>
                <w:rFonts w:cs="Arial"/>
                <w:color w:val="000000"/>
                <w:sz w:val="20"/>
                <w:szCs w:val="20"/>
                <w:lang w:val="de-AT" w:eastAsia="de-AT"/>
              </w:rPr>
            </w:pPr>
            <w:r w:rsidRPr="00596935">
              <w:rPr>
                <w:rFonts w:cs="Arial"/>
                <w:color w:val="000000"/>
                <w:sz w:val="20"/>
                <w:szCs w:val="20"/>
                <w:lang w:val="de-AT" w:eastAsia="de-AT"/>
              </w:rPr>
              <w:t>SF .5-1-2-3 kHz</w:t>
            </w:r>
          </w:p>
        </w:tc>
        <w:tc>
          <w:tcPr>
            <w:tcW w:w="351" w:type="pct"/>
            <w:tcBorders>
              <w:top w:val="nil"/>
              <w:left w:val="single" w:sz="8" w:space="0" w:color="auto"/>
              <w:bottom w:val="single" w:sz="8" w:space="0" w:color="auto"/>
              <w:right w:val="single" w:sz="4" w:space="0" w:color="auto"/>
            </w:tcBorders>
            <w:shd w:val="clear" w:color="auto" w:fill="auto"/>
            <w:noWrap/>
            <w:vAlign w:val="center"/>
            <w:hideMark/>
          </w:tcPr>
          <w:p w14:paraId="3C27A9F8" w14:textId="77777777" w:rsidR="00596935" w:rsidRPr="00596935" w:rsidRDefault="00596935" w:rsidP="00596935">
            <w:pPr>
              <w:jc w:val="center"/>
              <w:rPr>
                <w:rFonts w:cs="Arial"/>
                <w:i/>
                <w:iCs/>
                <w:color w:val="000000"/>
                <w:sz w:val="20"/>
                <w:szCs w:val="20"/>
                <w:lang w:val="de-AT" w:eastAsia="de-AT"/>
              </w:rPr>
            </w:pPr>
            <w:r w:rsidRPr="00596935">
              <w:rPr>
                <w:rFonts w:cs="Arial"/>
                <w:i/>
                <w:iCs/>
                <w:color w:val="000000"/>
                <w:sz w:val="20"/>
                <w:szCs w:val="20"/>
                <w:lang w:val="de-AT" w:eastAsia="de-AT"/>
              </w:rPr>
              <w:t>62.18</w:t>
            </w:r>
          </w:p>
        </w:tc>
        <w:tc>
          <w:tcPr>
            <w:tcW w:w="229" w:type="pct"/>
            <w:tcBorders>
              <w:top w:val="nil"/>
              <w:left w:val="nil"/>
              <w:bottom w:val="single" w:sz="8" w:space="0" w:color="auto"/>
              <w:right w:val="single" w:sz="8" w:space="0" w:color="auto"/>
            </w:tcBorders>
            <w:shd w:val="clear" w:color="auto" w:fill="auto"/>
            <w:noWrap/>
            <w:vAlign w:val="center"/>
            <w:hideMark/>
          </w:tcPr>
          <w:p w14:paraId="58B06E7A" w14:textId="77777777" w:rsidR="00596935" w:rsidRPr="00596935" w:rsidRDefault="00596935" w:rsidP="00596935">
            <w:pPr>
              <w:jc w:val="center"/>
              <w:rPr>
                <w:rFonts w:cs="Arial"/>
                <w:i/>
                <w:iCs/>
                <w:color w:val="000000"/>
                <w:sz w:val="20"/>
                <w:szCs w:val="20"/>
                <w:lang w:val="de-AT" w:eastAsia="de-AT"/>
              </w:rPr>
            </w:pPr>
            <w:r w:rsidRPr="00596935">
              <w:rPr>
                <w:rFonts w:cs="Arial"/>
                <w:i/>
                <w:iCs/>
                <w:color w:val="000000"/>
                <w:sz w:val="20"/>
                <w:szCs w:val="20"/>
                <w:lang w:val="de-AT" w:eastAsia="de-AT"/>
              </w:rPr>
              <w:t>6.26</w:t>
            </w:r>
          </w:p>
        </w:tc>
        <w:tc>
          <w:tcPr>
            <w:tcW w:w="281" w:type="pct"/>
            <w:tcBorders>
              <w:top w:val="nil"/>
              <w:left w:val="nil"/>
              <w:bottom w:val="single" w:sz="8" w:space="0" w:color="auto"/>
              <w:right w:val="single" w:sz="4" w:space="0" w:color="auto"/>
            </w:tcBorders>
            <w:shd w:val="clear" w:color="auto" w:fill="auto"/>
            <w:noWrap/>
            <w:vAlign w:val="center"/>
            <w:hideMark/>
          </w:tcPr>
          <w:p w14:paraId="038B20EE" w14:textId="77777777" w:rsidR="00596935" w:rsidRPr="00596935" w:rsidRDefault="00596935" w:rsidP="00596935">
            <w:pPr>
              <w:jc w:val="center"/>
              <w:rPr>
                <w:rFonts w:cs="Arial"/>
                <w:i/>
                <w:iCs/>
                <w:color w:val="000000"/>
                <w:sz w:val="20"/>
                <w:szCs w:val="20"/>
                <w:lang w:val="de-AT" w:eastAsia="de-AT"/>
              </w:rPr>
            </w:pPr>
            <w:r w:rsidRPr="00596935">
              <w:rPr>
                <w:rFonts w:cs="Arial"/>
                <w:i/>
                <w:iCs/>
                <w:color w:val="000000"/>
                <w:sz w:val="20"/>
                <w:szCs w:val="20"/>
                <w:lang w:val="de-AT" w:eastAsia="de-AT"/>
              </w:rPr>
              <w:t>35.78</w:t>
            </w:r>
          </w:p>
        </w:tc>
        <w:tc>
          <w:tcPr>
            <w:tcW w:w="229" w:type="pct"/>
            <w:tcBorders>
              <w:top w:val="nil"/>
              <w:left w:val="nil"/>
              <w:bottom w:val="single" w:sz="8" w:space="0" w:color="auto"/>
              <w:right w:val="single" w:sz="4" w:space="0" w:color="auto"/>
            </w:tcBorders>
            <w:shd w:val="clear" w:color="auto" w:fill="auto"/>
            <w:noWrap/>
            <w:vAlign w:val="center"/>
            <w:hideMark/>
          </w:tcPr>
          <w:p w14:paraId="0B7AFF70" w14:textId="77777777" w:rsidR="00596935" w:rsidRPr="00596935" w:rsidRDefault="00596935" w:rsidP="00596935">
            <w:pPr>
              <w:jc w:val="center"/>
              <w:rPr>
                <w:rFonts w:cs="Arial"/>
                <w:i/>
                <w:iCs/>
                <w:color w:val="000000"/>
                <w:sz w:val="20"/>
                <w:szCs w:val="20"/>
                <w:lang w:val="de-AT" w:eastAsia="de-AT"/>
              </w:rPr>
            </w:pPr>
            <w:r w:rsidRPr="00596935">
              <w:rPr>
                <w:rFonts w:cs="Arial"/>
                <w:i/>
                <w:iCs/>
                <w:color w:val="000000"/>
                <w:sz w:val="20"/>
                <w:szCs w:val="20"/>
                <w:lang w:val="de-AT" w:eastAsia="de-AT"/>
              </w:rPr>
              <w:t>4.28</w:t>
            </w:r>
          </w:p>
        </w:tc>
        <w:tc>
          <w:tcPr>
            <w:tcW w:w="483" w:type="pct"/>
            <w:tcBorders>
              <w:top w:val="nil"/>
              <w:left w:val="nil"/>
              <w:bottom w:val="single" w:sz="8" w:space="0" w:color="auto"/>
              <w:right w:val="single" w:sz="4" w:space="0" w:color="auto"/>
            </w:tcBorders>
            <w:shd w:val="clear" w:color="auto" w:fill="auto"/>
            <w:noWrap/>
            <w:vAlign w:val="center"/>
            <w:hideMark/>
          </w:tcPr>
          <w:p w14:paraId="08A62F47"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11.25-36.25</w:t>
            </w:r>
          </w:p>
        </w:tc>
        <w:tc>
          <w:tcPr>
            <w:tcW w:w="229" w:type="pct"/>
            <w:tcBorders>
              <w:top w:val="nil"/>
              <w:left w:val="nil"/>
              <w:bottom w:val="single" w:sz="8" w:space="0" w:color="auto"/>
              <w:right w:val="single" w:sz="8" w:space="0" w:color="auto"/>
            </w:tcBorders>
            <w:shd w:val="clear" w:color="auto" w:fill="auto"/>
            <w:noWrap/>
            <w:vAlign w:val="center"/>
            <w:hideMark/>
          </w:tcPr>
          <w:p w14:paraId="6A70641F" w14:textId="77777777" w:rsidR="00596935" w:rsidRPr="00596935" w:rsidRDefault="00596935" w:rsidP="00596935">
            <w:pPr>
              <w:jc w:val="center"/>
              <w:rPr>
                <w:rFonts w:cs="Arial"/>
                <w:i/>
                <w:iCs/>
                <w:color w:val="000000"/>
                <w:sz w:val="20"/>
                <w:szCs w:val="20"/>
                <w:lang w:val="de-AT" w:eastAsia="de-AT"/>
              </w:rPr>
            </w:pPr>
            <w:r w:rsidRPr="00596935">
              <w:rPr>
                <w:rFonts w:cs="Arial"/>
                <w:i/>
                <w:iCs/>
                <w:color w:val="000000"/>
                <w:sz w:val="20"/>
                <w:szCs w:val="20"/>
                <w:lang w:val="de-AT" w:eastAsia="de-AT"/>
              </w:rPr>
              <w:t>8.49</w:t>
            </w:r>
          </w:p>
        </w:tc>
        <w:tc>
          <w:tcPr>
            <w:tcW w:w="281" w:type="pct"/>
            <w:tcBorders>
              <w:top w:val="nil"/>
              <w:left w:val="nil"/>
              <w:bottom w:val="single" w:sz="8" w:space="0" w:color="auto"/>
              <w:right w:val="single" w:sz="4" w:space="0" w:color="auto"/>
            </w:tcBorders>
            <w:shd w:val="clear" w:color="auto" w:fill="auto"/>
            <w:noWrap/>
            <w:vAlign w:val="center"/>
            <w:hideMark/>
          </w:tcPr>
          <w:p w14:paraId="74BDF557" w14:textId="77777777" w:rsidR="00596935" w:rsidRPr="00596935" w:rsidRDefault="00596935" w:rsidP="00596935">
            <w:pPr>
              <w:jc w:val="center"/>
              <w:rPr>
                <w:rFonts w:cs="Arial"/>
                <w:i/>
                <w:iCs/>
                <w:color w:val="000000"/>
                <w:sz w:val="20"/>
                <w:szCs w:val="20"/>
                <w:lang w:val="de-AT" w:eastAsia="de-AT"/>
              </w:rPr>
            </w:pPr>
            <w:r w:rsidRPr="00596935">
              <w:rPr>
                <w:rFonts w:cs="Arial"/>
                <w:i/>
                <w:iCs/>
                <w:color w:val="000000"/>
                <w:sz w:val="20"/>
                <w:szCs w:val="20"/>
                <w:lang w:val="de-AT" w:eastAsia="de-AT"/>
              </w:rPr>
              <w:t>26.4</w:t>
            </w:r>
          </w:p>
        </w:tc>
        <w:tc>
          <w:tcPr>
            <w:tcW w:w="229" w:type="pct"/>
            <w:tcBorders>
              <w:top w:val="nil"/>
              <w:left w:val="nil"/>
              <w:bottom w:val="single" w:sz="8" w:space="0" w:color="auto"/>
              <w:right w:val="single" w:sz="4" w:space="0" w:color="auto"/>
            </w:tcBorders>
            <w:shd w:val="clear" w:color="auto" w:fill="auto"/>
            <w:noWrap/>
            <w:vAlign w:val="center"/>
            <w:hideMark/>
          </w:tcPr>
          <w:p w14:paraId="367A0304" w14:textId="77777777" w:rsidR="00596935" w:rsidRPr="00596935" w:rsidRDefault="00596935" w:rsidP="00596935">
            <w:pPr>
              <w:jc w:val="center"/>
              <w:rPr>
                <w:rFonts w:cs="Arial"/>
                <w:i/>
                <w:iCs/>
                <w:color w:val="000000"/>
                <w:sz w:val="20"/>
                <w:szCs w:val="20"/>
                <w:lang w:val="de-AT" w:eastAsia="de-AT"/>
              </w:rPr>
            </w:pPr>
            <w:r w:rsidRPr="00596935">
              <w:rPr>
                <w:rFonts w:cs="Arial"/>
                <w:i/>
                <w:iCs/>
                <w:color w:val="000000"/>
                <w:sz w:val="20"/>
                <w:szCs w:val="20"/>
                <w:lang w:val="de-AT" w:eastAsia="de-AT"/>
              </w:rPr>
              <w:t>8.49</w:t>
            </w:r>
          </w:p>
        </w:tc>
        <w:tc>
          <w:tcPr>
            <w:tcW w:w="293" w:type="pct"/>
            <w:tcBorders>
              <w:top w:val="nil"/>
              <w:left w:val="nil"/>
              <w:bottom w:val="single" w:sz="8" w:space="0" w:color="auto"/>
              <w:right w:val="single" w:sz="8" w:space="0" w:color="auto"/>
            </w:tcBorders>
            <w:shd w:val="clear" w:color="auto" w:fill="auto"/>
            <w:noWrap/>
            <w:vAlign w:val="center"/>
            <w:hideMark/>
          </w:tcPr>
          <w:p w14:paraId="01D28666" w14:textId="77777777" w:rsidR="00596935" w:rsidRPr="00596935" w:rsidRDefault="00596935" w:rsidP="00596935">
            <w:pPr>
              <w:rPr>
                <w:rFonts w:cs="Arial"/>
                <w:color w:val="000000"/>
                <w:sz w:val="20"/>
                <w:szCs w:val="20"/>
                <w:lang w:val="de-AT" w:eastAsia="de-AT"/>
              </w:rPr>
            </w:pPr>
            <w:r w:rsidRPr="00596935">
              <w:rPr>
                <w:rFonts w:cs="Arial"/>
                <w:color w:val="000000"/>
                <w:sz w:val="20"/>
                <w:szCs w:val="20"/>
                <w:lang w:val="de-AT" w:eastAsia="de-AT"/>
              </w:rPr>
              <w:t>p &lt; ,05</w:t>
            </w:r>
          </w:p>
        </w:tc>
      </w:tr>
      <w:tr w:rsidR="00596935" w:rsidRPr="00596935" w14:paraId="6F861817" w14:textId="77777777" w:rsidTr="00596935">
        <w:trPr>
          <w:trHeight w:val="525"/>
        </w:trPr>
        <w:tc>
          <w:tcPr>
            <w:tcW w:w="712" w:type="pct"/>
            <w:tcBorders>
              <w:top w:val="nil"/>
              <w:left w:val="single" w:sz="8" w:space="0" w:color="auto"/>
              <w:bottom w:val="single" w:sz="8" w:space="0" w:color="auto"/>
              <w:right w:val="nil"/>
            </w:tcBorders>
            <w:shd w:val="clear" w:color="auto" w:fill="auto"/>
            <w:vAlign w:val="center"/>
            <w:hideMark/>
          </w:tcPr>
          <w:p w14:paraId="3C2D0749" w14:textId="77777777" w:rsidR="003733D2" w:rsidRDefault="00596935" w:rsidP="003733D2">
            <w:pPr>
              <w:rPr>
                <w:rFonts w:cs="Arial"/>
                <w:sz w:val="20"/>
                <w:szCs w:val="20"/>
                <w:lang w:val="de-AT" w:eastAsia="de-AT"/>
              </w:rPr>
            </w:pPr>
            <w:r w:rsidRPr="00596935">
              <w:rPr>
                <w:rFonts w:cs="Arial"/>
                <w:sz w:val="20"/>
                <w:szCs w:val="20"/>
                <w:lang w:val="de-AT" w:eastAsia="de-AT"/>
              </w:rPr>
              <w:t>Jenkins</w:t>
            </w:r>
          </w:p>
          <w:p w14:paraId="72E3FE72" w14:textId="267D4BEB" w:rsidR="00596935" w:rsidRPr="00596935" w:rsidRDefault="00596935" w:rsidP="003733D2">
            <w:pPr>
              <w:rPr>
                <w:rFonts w:cs="Arial"/>
                <w:sz w:val="20"/>
                <w:szCs w:val="20"/>
                <w:lang w:val="de-AT" w:eastAsia="de-AT"/>
              </w:rPr>
            </w:pPr>
            <w:r w:rsidRPr="00596935">
              <w:rPr>
                <w:rFonts w:cs="Arial"/>
                <w:sz w:val="20"/>
                <w:szCs w:val="20"/>
                <w:lang w:val="de-AT" w:eastAsia="de-AT"/>
              </w:rPr>
              <w:t>2008, Carina</w:t>
            </w:r>
          </w:p>
        </w:tc>
        <w:tc>
          <w:tcPr>
            <w:tcW w:w="459" w:type="pct"/>
            <w:tcBorders>
              <w:top w:val="nil"/>
              <w:left w:val="single" w:sz="4" w:space="0" w:color="auto"/>
              <w:bottom w:val="single" w:sz="4" w:space="0" w:color="auto"/>
              <w:right w:val="single" w:sz="4" w:space="0" w:color="auto"/>
            </w:tcBorders>
            <w:shd w:val="clear" w:color="auto" w:fill="auto"/>
            <w:noWrap/>
            <w:vAlign w:val="center"/>
            <w:hideMark/>
          </w:tcPr>
          <w:p w14:paraId="2FA55384"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 </w:t>
            </w:r>
          </w:p>
        </w:tc>
        <w:tc>
          <w:tcPr>
            <w:tcW w:w="523" w:type="pct"/>
            <w:tcBorders>
              <w:top w:val="nil"/>
              <w:left w:val="nil"/>
              <w:bottom w:val="single" w:sz="4" w:space="0" w:color="auto"/>
              <w:right w:val="single" w:sz="4" w:space="0" w:color="auto"/>
            </w:tcBorders>
            <w:shd w:val="clear" w:color="auto" w:fill="auto"/>
            <w:vAlign w:val="center"/>
            <w:hideMark/>
          </w:tcPr>
          <w:p w14:paraId="7481C019"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12 months</w:t>
            </w:r>
          </w:p>
        </w:tc>
        <w:tc>
          <w:tcPr>
            <w:tcW w:w="3306" w:type="pct"/>
            <w:gridSpan w:val="10"/>
            <w:tcBorders>
              <w:top w:val="single" w:sz="4" w:space="0" w:color="auto"/>
              <w:left w:val="nil"/>
              <w:bottom w:val="single" w:sz="4" w:space="0" w:color="auto"/>
              <w:right w:val="single" w:sz="8" w:space="0" w:color="000000"/>
            </w:tcBorders>
            <w:shd w:val="clear" w:color="auto" w:fill="auto"/>
            <w:noWrap/>
            <w:vAlign w:val="center"/>
            <w:hideMark/>
          </w:tcPr>
          <w:p w14:paraId="30B3746C"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NO DATA REPORTED</w:t>
            </w:r>
          </w:p>
        </w:tc>
      </w:tr>
      <w:tr w:rsidR="00596935" w:rsidRPr="00596935" w14:paraId="2BD8B3D3" w14:textId="77777777" w:rsidTr="00596935">
        <w:trPr>
          <w:trHeight w:val="525"/>
        </w:trPr>
        <w:tc>
          <w:tcPr>
            <w:tcW w:w="712" w:type="pct"/>
            <w:tcBorders>
              <w:top w:val="nil"/>
              <w:left w:val="single" w:sz="8" w:space="0" w:color="auto"/>
              <w:bottom w:val="single" w:sz="8" w:space="0" w:color="auto"/>
              <w:right w:val="nil"/>
            </w:tcBorders>
            <w:shd w:val="clear" w:color="auto" w:fill="auto"/>
            <w:vAlign w:val="center"/>
            <w:hideMark/>
          </w:tcPr>
          <w:p w14:paraId="4B3D5FE2" w14:textId="77777777" w:rsidR="003733D2" w:rsidRDefault="00596935" w:rsidP="003733D2">
            <w:pPr>
              <w:rPr>
                <w:rFonts w:cs="Arial"/>
                <w:sz w:val="20"/>
                <w:szCs w:val="20"/>
                <w:lang w:val="de-AT" w:eastAsia="de-AT"/>
              </w:rPr>
            </w:pPr>
            <w:r w:rsidRPr="00596935">
              <w:rPr>
                <w:rFonts w:cs="Arial"/>
                <w:sz w:val="20"/>
                <w:szCs w:val="20"/>
                <w:lang w:val="de-AT" w:eastAsia="de-AT"/>
              </w:rPr>
              <w:t>Tringali</w:t>
            </w:r>
          </w:p>
          <w:p w14:paraId="065727CA" w14:textId="0C944CDA" w:rsidR="00596935" w:rsidRPr="00596935" w:rsidRDefault="00596935" w:rsidP="003733D2">
            <w:pPr>
              <w:rPr>
                <w:rFonts w:cs="Arial"/>
                <w:sz w:val="20"/>
                <w:szCs w:val="20"/>
                <w:lang w:val="de-AT" w:eastAsia="de-AT"/>
              </w:rPr>
            </w:pPr>
            <w:r w:rsidRPr="00596935">
              <w:rPr>
                <w:rFonts w:cs="Arial"/>
                <w:sz w:val="20"/>
                <w:szCs w:val="20"/>
                <w:lang w:val="de-AT" w:eastAsia="de-AT"/>
              </w:rPr>
              <w:t>2013* , Carina</w:t>
            </w:r>
          </w:p>
        </w:tc>
        <w:tc>
          <w:tcPr>
            <w:tcW w:w="459" w:type="pct"/>
            <w:tcBorders>
              <w:top w:val="nil"/>
              <w:left w:val="single" w:sz="4" w:space="0" w:color="auto"/>
              <w:bottom w:val="single" w:sz="4" w:space="0" w:color="auto"/>
              <w:right w:val="single" w:sz="4" w:space="0" w:color="auto"/>
            </w:tcBorders>
            <w:shd w:val="clear" w:color="auto" w:fill="auto"/>
            <w:noWrap/>
            <w:vAlign w:val="center"/>
            <w:hideMark/>
          </w:tcPr>
          <w:p w14:paraId="589E268E"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7</w:t>
            </w:r>
          </w:p>
        </w:tc>
        <w:tc>
          <w:tcPr>
            <w:tcW w:w="523" w:type="pct"/>
            <w:tcBorders>
              <w:top w:val="nil"/>
              <w:left w:val="nil"/>
              <w:bottom w:val="single" w:sz="4" w:space="0" w:color="auto"/>
              <w:right w:val="single" w:sz="4" w:space="0" w:color="auto"/>
            </w:tcBorders>
            <w:shd w:val="clear" w:color="auto" w:fill="auto"/>
            <w:vAlign w:val="center"/>
            <w:hideMark/>
          </w:tcPr>
          <w:p w14:paraId="4639FBF0"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24 months</w:t>
            </w:r>
          </w:p>
        </w:tc>
        <w:tc>
          <w:tcPr>
            <w:tcW w:w="700" w:type="pct"/>
            <w:tcBorders>
              <w:top w:val="single" w:sz="4" w:space="0" w:color="auto"/>
              <w:left w:val="nil"/>
              <w:bottom w:val="single" w:sz="4" w:space="0" w:color="auto"/>
              <w:right w:val="nil"/>
            </w:tcBorders>
            <w:shd w:val="clear" w:color="auto" w:fill="auto"/>
            <w:noWrap/>
            <w:vAlign w:val="center"/>
            <w:hideMark/>
          </w:tcPr>
          <w:p w14:paraId="398304AC" w14:textId="77777777" w:rsidR="00596935" w:rsidRPr="00596935" w:rsidRDefault="00596935" w:rsidP="00596935">
            <w:pPr>
              <w:rPr>
                <w:rFonts w:cs="Arial"/>
                <w:color w:val="000000"/>
                <w:sz w:val="20"/>
                <w:szCs w:val="20"/>
                <w:lang w:val="de-AT" w:eastAsia="de-AT"/>
              </w:rPr>
            </w:pPr>
            <w:r w:rsidRPr="00596935">
              <w:rPr>
                <w:rFonts w:cs="Arial"/>
                <w:color w:val="000000"/>
                <w:sz w:val="20"/>
                <w:szCs w:val="20"/>
                <w:lang w:val="de-AT" w:eastAsia="de-AT"/>
              </w:rPr>
              <w:t>SF .5-1-2-3 kHz</w:t>
            </w:r>
          </w:p>
        </w:tc>
        <w:tc>
          <w:tcPr>
            <w:tcW w:w="351"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2571632"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 xml:space="preserve"> -</w:t>
            </w:r>
          </w:p>
        </w:tc>
        <w:tc>
          <w:tcPr>
            <w:tcW w:w="229" w:type="pct"/>
            <w:tcBorders>
              <w:top w:val="single" w:sz="8" w:space="0" w:color="auto"/>
              <w:left w:val="nil"/>
              <w:bottom w:val="single" w:sz="4" w:space="0" w:color="auto"/>
              <w:right w:val="single" w:sz="8" w:space="0" w:color="auto"/>
            </w:tcBorders>
            <w:shd w:val="clear" w:color="auto" w:fill="auto"/>
            <w:noWrap/>
            <w:vAlign w:val="center"/>
            <w:hideMark/>
          </w:tcPr>
          <w:p w14:paraId="11FB6298"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 xml:space="preserve"> -</w:t>
            </w:r>
          </w:p>
        </w:tc>
        <w:tc>
          <w:tcPr>
            <w:tcW w:w="281" w:type="pct"/>
            <w:tcBorders>
              <w:top w:val="single" w:sz="8" w:space="0" w:color="auto"/>
              <w:left w:val="nil"/>
              <w:bottom w:val="single" w:sz="4" w:space="0" w:color="auto"/>
              <w:right w:val="single" w:sz="4" w:space="0" w:color="auto"/>
            </w:tcBorders>
            <w:shd w:val="clear" w:color="auto" w:fill="auto"/>
            <w:noWrap/>
            <w:vAlign w:val="center"/>
            <w:hideMark/>
          </w:tcPr>
          <w:p w14:paraId="74022061"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229" w:type="pct"/>
            <w:tcBorders>
              <w:top w:val="single" w:sz="8" w:space="0" w:color="auto"/>
              <w:left w:val="nil"/>
              <w:bottom w:val="single" w:sz="4" w:space="0" w:color="auto"/>
              <w:right w:val="single" w:sz="4" w:space="0" w:color="auto"/>
            </w:tcBorders>
            <w:shd w:val="clear" w:color="auto" w:fill="auto"/>
            <w:noWrap/>
            <w:vAlign w:val="center"/>
            <w:hideMark/>
          </w:tcPr>
          <w:p w14:paraId="10A12E2A"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483" w:type="pct"/>
            <w:tcBorders>
              <w:top w:val="single" w:sz="8" w:space="0" w:color="auto"/>
              <w:left w:val="nil"/>
              <w:bottom w:val="single" w:sz="4" w:space="0" w:color="auto"/>
              <w:right w:val="single" w:sz="4" w:space="0" w:color="auto"/>
            </w:tcBorders>
            <w:shd w:val="clear" w:color="auto" w:fill="auto"/>
            <w:noWrap/>
            <w:vAlign w:val="center"/>
            <w:hideMark/>
          </w:tcPr>
          <w:p w14:paraId="1274BDBA"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229" w:type="pct"/>
            <w:tcBorders>
              <w:top w:val="single" w:sz="8" w:space="0" w:color="auto"/>
              <w:left w:val="nil"/>
              <w:bottom w:val="single" w:sz="4" w:space="0" w:color="auto"/>
              <w:right w:val="single" w:sz="8" w:space="0" w:color="auto"/>
            </w:tcBorders>
            <w:shd w:val="clear" w:color="auto" w:fill="auto"/>
            <w:noWrap/>
            <w:vAlign w:val="center"/>
            <w:hideMark/>
          </w:tcPr>
          <w:p w14:paraId="239F5274"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281" w:type="pct"/>
            <w:tcBorders>
              <w:top w:val="single" w:sz="8" w:space="0" w:color="auto"/>
              <w:left w:val="nil"/>
              <w:bottom w:val="single" w:sz="4" w:space="0" w:color="auto"/>
              <w:right w:val="single" w:sz="4" w:space="0" w:color="auto"/>
            </w:tcBorders>
            <w:shd w:val="clear" w:color="auto" w:fill="auto"/>
            <w:noWrap/>
            <w:vAlign w:val="center"/>
            <w:hideMark/>
          </w:tcPr>
          <w:p w14:paraId="322AE35D"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40.25</w:t>
            </w:r>
          </w:p>
        </w:tc>
        <w:tc>
          <w:tcPr>
            <w:tcW w:w="229" w:type="pct"/>
            <w:tcBorders>
              <w:top w:val="single" w:sz="8" w:space="0" w:color="auto"/>
              <w:left w:val="nil"/>
              <w:bottom w:val="single" w:sz="4" w:space="0" w:color="auto"/>
              <w:right w:val="single" w:sz="4" w:space="0" w:color="auto"/>
            </w:tcBorders>
            <w:shd w:val="clear" w:color="auto" w:fill="auto"/>
            <w:noWrap/>
            <w:vAlign w:val="center"/>
            <w:hideMark/>
          </w:tcPr>
          <w:p w14:paraId="32613B9B"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 </w:t>
            </w:r>
          </w:p>
        </w:tc>
        <w:tc>
          <w:tcPr>
            <w:tcW w:w="293" w:type="pct"/>
            <w:tcBorders>
              <w:top w:val="single" w:sz="8" w:space="0" w:color="auto"/>
              <w:left w:val="nil"/>
              <w:bottom w:val="single" w:sz="4" w:space="0" w:color="auto"/>
              <w:right w:val="single" w:sz="8" w:space="0" w:color="auto"/>
            </w:tcBorders>
            <w:shd w:val="clear" w:color="auto" w:fill="auto"/>
            <w:noWrap/>
            <w:vAlign w:val="center"/>
            <w:hideMark/>
          </w:tcPr>
          <w:p w14:paraId="57387476"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r>
      <w:tr w:rsidR="00596935" w:rsidRPr="00596935" w14:paraId="6FDA1E90" w14:textId="77777777" w:rsidTr="00596935">
        <w:trPr>
          <w:trHeight w:val="525"/>
        </w:trPr>
        <w:tc>
          <w:tcPr>
            <w:tcW w:w="712" w:type="pct"/>
            <w:tcBorders>
              <w:top w:val="nil"/>
              <w:left w:val="single" w:sz="8" w:space="0" w:color="auto"/>
              <w:bottom w:val="single" w:sz="8" w:space="0" w:color="auto"/>
              <w:right w:val="nil"/>
            </w:tcBorders>
            <w:shd w:val="clear" w:color="auto" w:fill="auto"/>
            <w:vAlign w:val="center"/>
            <w:hideMark/>
          </w:tcPr>
          <w:p w14:paraId="48469CF7" w14:textId="77777777" w:rsidR="003733D2" w:rsidRDefault="00596935" w:rsidP="003733D2">
            <w:pPr>
              <w:rPr>
                <w:rFonts w:cs="Arial"/>
                <w:color w:val="000000"/>
                <w:sz w:val="20"/>
                <w:szCs w:val="20"/>
                <w:lang w:val="de-AT" w:eastAsia="de-AT"/>
              </w:rPr>
            </w:pPr>
            <w:r w:rsidRPr="00596935">
              <w:rPr>
                <w:rFonts w:cs="Arial"/>
                <w:color w:val="000000"/>
                <w:sz w:val="20"/>
                <w:szCs w:val="20"/>
                <w:lang w:val="de-AT" w:eastAsia="de-AT"/>
              </w:rPr>
              <w:t>Hough</w:t>
            </w:r>
          </w:p>
          <w:p w14:paraId="33778124" w14:textId="58008AC4" w:rsidR="00596935" w:rsidRPr="00596935" w:rsidRDefault="00596935" w:rsidP="003733D2">
            <w:pPr>
              <w:rPr>
                <w:rFonts w:cs="Arial"/>
                <w:color w:val="000000"/>
                <w:sz w:val="20"/>
                <w:szCs w:val="20"/>
                <w:lang w:val="de-AT" w:eastAsia="de-AT"/>
              </w:rPr>
            </w:pPr>
            <w:r w:rsidRPr="00596935">
              <w:rPr>
                <w:rFonts w:cs="Arial"/>
                <w:color w:val="000000"/>
                <w:sz w:val="20"/>
                <w:szCs w:val="20"/>
                <w:lang w:val="de-AT" w:eastAsia="de-AT"/>
              </w:rPr>
              <w:t>2002*, SOUNDTEC</w:t>
            </w:r>
          </w:p>
        </w:tc>
        <w:tc>
          <w:tcPr>
            <w:tcW w:w="459" w:type="pct"/>
            <w:tcBorders>
              <w:top w:val="nil"/>
              <w:left w:val="single" w:sz="4" w:space="0" w:color="auto"/>
              <w:bottom w:val="single" w:sz="4" w:space="0" w:color="auto"/>
              <w:right w:val="single" w:sz="4" w:space="0" w:color="auto"/>
            </w:tcBorders>
            <w:shd w:val="clear" w:color="auto" w:fill="auto"/>
            <w:noWrap/>
            <w:vAlign w:val="center"/>
            <w:hideMark/>
          </w:tcPr>
          <w:p w14:paraId="0AA2139B"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95</w:t>
            </w:r>
          </w:p>
        </w:tc>
        <w:tc>
          <w:tcPr>
            <w:tcW w:w="523" w:type="pct"/>
            <w:tcBorders>
              <w:top w:val="nil"/>
              <w:left w:val="nil"/>
              <w:bottom w:val="single" w:sz="4" w:space="0" w:color="auto"/>
              <w:right w:val="single" w:sz="4" w:space="0" w:color="auto"/>
            </w:tcBorders>
            <w:shd w:val="clear" w:color="auto" w:fill="auto"/>
            <w:vAlign w:val="center"/>
            <w:hideMark/>
          </w:tcPr>
          <w:p w14:paraId="06D6C667"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4-5 months</w:t>
            </w:r>
          </w:p>
        </w:tc>
        <w:tc>
          <w:tcPr>
            <w:tcW w:w="700" w:type="pct"/>
            <w:tcBorders>
              <w:top w:val="nil"/>
              <w:left w:val="nil"/>
              <w:bottom w:val="single" w:sz="4" w:space="0" w:color="auto"/>
              <w:right w:val="nil"/>
            </w:tcBorders>
            <w:shd w:val="clear" w:color="auto" w:fill="auto"/>
            <w:noWrap/>
            <w:vAlign w:val="center"/>
            <w:hideMark/>
          </w:tcPr>
          <w:p w14:paraId="78860D85" w14:textId="77777777" w:rsidR="00596935" w:rsidRPr="00596935" w:rsidRDefault="00596935" w:rsidP="00596935">
            <w:pPr>
              <w:rPr>
                <w:rFonts w:cs="Arial"/>
                <w:color w:val="000000"/>
                <w:sz w:val="20"/>
                <w:szCs w:val="20"/>
                <w:lang w:val="de-AT" w:eastAsia="de-AT"/>
              </w:rPr>
            </w:pPr>
            <w:r w:rsidRPr="00596935">
              <w:rPr>
                <w:rFonts w:cs="Arial"/>
                <w:color w:val="000000"/>
                <w:sz w:val="20"/>
                <w:szCs w:val="20"/>
                <w:lang w:val="de-AT" w:eastAsia="de-AT"/>
              </w:rPr>
              <w:t>SF .5-1-2-3 kHz</w:t>
            </w:r>
          </w:p>
        </w:tc>
        <w:tc>
          <w:tcPr>
            <w:tcW w:w="351" w:type="pct"/>
            <w:tcBorders>
              <w:top w:val="nil"/>
              <w:left w:val="single" w:sz="8" w:space="0" w:color="auto"/>
              <w:bottom w:val="single" w:sz="4" w:space="0" w:color="auto"/>
              <w:right w:val="single" w:sz="4" w:space="0" w:color="auto"/>
            </w:tcBorders>
            <w:shd w:val="clear" w:color="auto" w:fill="auto"/>
            <w:noWrap/>
            <w:vAlign w:val="center"/>
            <w:hideMark/>
          </w:tcPr>
          <w:p w14:paraId="49C198AF"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 xml:space="preserve"> -</w:t>
            </w:r>
          </w:p>
        </w:tc>
        <w:tc>
          <w:tcPr>
            <w:tcW w:w="229" w:type="pct"/>
            <w:tcBorders>
              <w:top w:val="nil"/>
              <w:left w:val="nil"/>
              <w:bottom w:val="single" w:sz="4" w:space="0" w:color="auto"/>
              <w:right w:val="single" w:sz="8" w:space="0" w:color="auto"/>
            </w:tcBorders>
            <w:shd w:val="clear" w:color="auto" w:fill="auto"/>
            <w:noWrap/>
            <w:vAlign w:val="center"/>
            <w:hideMark/>
          </w:tcPr>
          <w:p w14:paraId="230B44AC"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 xml:space="preserve"> -</w:t>
            </w:r>
          </w:p>
        </w:tc>
        <w:tc>
          <w:tcPr>
            <w:tcW w:w="281" w:type="pct"/>
            <w:tcBorders>
              <w:top w:val="nil"/>
              <w:left w:val="nil"/>
              <w:bottom w:val="single" w:sz="4" w:space="0" w:color="auto"/>
              <w:right w:val="single" w:sz="4" w:space="0" w:color="auto"/>
            </w:tcBorders>
            <w:shd w:val="clear" w:color="auto" w:fill="auto"/>
            <w:noWrap/>
            <w:vAlign w:val="center"/>
            <w:hideMark/>
          </w:tcPr>
          <w:p w14:paraId="02563ED3"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229" w:type="pct"/>
            <w:tcBorders>
              <w:top w:val="nil"/>
              <w:left w:val="nil"/>
              <w:bottom w:val="single" w:sz="4" w:space="0" w:color="auto"/>
              <w:right w:val="single" w:sz="4" w:space="0" w:color="auto"/>
            </w:tcBorders>
            <w:shd w:val="clear" w:color="auto" w:fill="auto"/>
            <w:noWrap/>
            <w:vAlign w:val="center"/>
            <w:hideMark/>
          </w:tcPr>
          <w:p w14:paraId="41B4CAF1"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483" w:type="pct"/>
            <w:tcBorders>
              <w:top w:val="nil"/>
              <w:left w:val="nil"/>
              <w:bottom w:val="single" w:sz="4" w:space="0" w:color="auto"/>
              <w:right w:val="single" w:sz="4" w:space="0" w:color="auto"/>
            </w:tcBorders>
            <w:shd w:val="clear" w:color="auto" w:fill="auto"/>
            <w:noWrap/>
            <w:vAlign w:val="center"/>
            <w:hideMark/>
          </w:tcPr>
          <w:p w14:paraId="4FDA526C"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229" w:type="pct"/>
            <w:tcBorders>
              <w:top w:val="nil"/>
              <w:left w:val="nil"/>
              <w:bottom w:val="single" w:sz="4" w:space="0" w:color="auto"/>
              <w:right w:val="single" w:sz="8" w:space="0" w:color="auto"/>
            </w:tcBorders>
            <w:shd w:val="clear" w:color="auto" w:fill="auto"/>
            <w:noWrap/>
            <w:vAlign w:val="center"/>
            <w:hideMark/>
          </w:tcPr>
          <w:p w14:paraId="0598E609"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281" w:type="pct"/>
            <w:tcBorders>
              <w:top w:val="nil"/>
              <w:left w:val="nil"/>
              <w:bottom w:val="single" w:sz="4" w:space="0" w:color="auto"/>
              <w:right w:val="single" w:sz="4" w:space="0" w:color="auto"/>
            </w:tcBorders>
            <w:shd w:val="clear" w:color="auto" w:fill="auto"/>
            <w:noWrap/>
            <w:vAlign w:val="center"/>
            <w:hideMark/>
          </w:tcPr>
          <w:p w14:paraId="55BD90DB"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24.45</w:t>
            </w:r>
          </w:p>
        </w:tc>
        <w:tc>
          <w:tcPr>
            <w:tcW w:w="229" w:type="pct"/>
            <w:tcBorders>
              <w:top w:val="nil"/>
              <w:left w:val="nil"/>
              <w:bottom w:val="single" w:sz="4" w:space="0" w:color="auto"/>
              <w:right w:val="single" w:sz="4" w:space="0" w:color="auto"/>
            </w:tcBorders>
            <w:shd w:val="clear" w:color="auto" w:fill="auto"/>
            <w:noWrap/>
            <w:vAlign w:val="center"/>
            <w:hideMark/>
          </w:tcPr>
          <w:p w14:paraId="646AF421"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293" w:type="pct"/>
            <w:tcBorders>
              <w:top w:val="nil"/>
              <w:left w:val="nil"/>
              <w:bottom w:val="single" w:sz="4" w:space="0" w:color="auto"/>
              <w:right w:val="single" w:sz="8" w:space="0" w:color="auto"/>
            </w:tcBorders>
            <w:shd w:val="clear" w:color="auto" w:fill="auto"/>
            <w:noWrap/>
            <w:vAlign w:val="center"/>
            <w:hideMark/>
          </w:tcPr>
          <w:p w14:paraId="76247645"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r>
      <w:tr w:rsidR="00596935" w:rsidRPr="00596935" w14:paraId="3C2D4C04" w14:textId="77777777" w:rsidTr="00596935">
        <w:trPr>
          <w:trHeight w:val="525"/>
        </w:trPr>
        <w:tc>
          <w:tcPr>
            <w:tcW w:w="712" w:type="pct"/>
            <w:tcBorders>
              <w:top w:val="nil"/>
              <w:left w:val="single" w:sz="8" w:space="0" w:color="auto"/>
              <w:bottom w:val="single" w:sz="8" w:space="0" w:color="auto"/>
              <w:right w:val="nil"/>
            </w:tcBorders>
            <w:shd w:val="clear" w:color="auto" w:fill="auto"/>
            <w:vAlign w:val="center"/>
            <w:hideMark/>
          </w:tcPr>
          <w:p w14:paraId="3625F8C2" w14:textId="77777777" w:rsidR="003733D2" w:rsidRDefault="00596935" w:rsidP="003733D2">
            <w:pPr>
              <w:rPr>
                <w:rFonts w:cs="Arial"/>
                <w:color w:val="000000"/>
                <w:sz w:val="20"/>
                <w:szCs w:val="20"/>
                <w:lang w:val="de-AT" w:eastAsia="de-AT"/>
              </w:rPr>
            </w:pPr>
            <w:r w:rsidRPr="00596935">
              <w:rPr>
                <w:rFonts w:cs="Arial"/>
                <w:color w:val="000000"/>
                <w:sz w:val="20"/>
                <w:szCs w:val="20"/>
                <w:lang w:val="de-AT" w:eastAsia="de-AT"/>
              </w:rPr>
              <w:t>Roland</w:t>
            </w:r>
          </w:p>
          <w:p w14:paraId="1DD370ED" w14:textId="69C4FEB2" w:rsidR="00596935" w:rsidRPr="00596935" w:rsidRDefault="00596935" w:rsidP="003733D2">
            <w:pPr>
              <w:rPr>
                <w:rFonts w:cs="Arial"/>
                <w:color w:val="000000"/>
                <w:sz w:val="20"/>
                <w:szCs w:val="20"/>
                <w:lang w:val="de-AT" w:eastAsia="de-AT"/>
              </w:rPr>
            </w:pPr>
            <w:r w:rsidRPr="00596935">
              <w:rPr>
                <w:rFonts w:cs="Arial"/>
                <w:color w:val="000000"/>
                <w:sz w:val="20"/>
                <w:szCs w:val="20"/>
                <w:lang w:val="de-AT" w:eastAsia="de-AT"/>
              </w:rPr>
              <w:t>2001*, SOUNDTEC</w:t>
            </w:r>
          </w:p>
        </w:tc>
        <w:tc>
          <w:tcPr>
            <w:tcW w:w="459" w:type="pct"/>
            <w:tcBorders>
              <w:top w:val="nil"/>
              <w:left w:val="single" w:sz="4" w:space="0" w:color="auto"/>
              <w:bottom w:val="single" w:sz="4" w:space="0" w:color="auto"/>
              <w:right w:val="single" w:sz="4" w:space="0" w:color="auto"/>
            </w:tcBorders>
            <w:shd w:val="clear" w:color="auto" w:fill="auto"/>
            <w:noWrap/>
            <w:vAlign w:val="center"/>
            <w:hideMark/>
          </w:tcPr>
          <w:p w14:paraId="539FFC41"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23</w:t>
            </w:r>
          </w:p>
        </w:tc>
        <w:tc>
          <w:tcPr>
            <w:tcW w:w="523" w:type="pct"/>
            <w:tcBorders>
              <w:top w:val="nil"/>
              <w:left w:val="nil"/>
              <w:bottom w:val="single" w:sz="4" w:space="0" w:color="auto"/>
              <w:right w:val="single" w:sz="4" w:space="0" w:color="auto"/>
            </w:tcBorders>
            <w:shd w:val="clear" w:color="auto" w:fill="auto"/>
            <w:vAlign w:val="center"/>
            <w:hideMark/>
          </w:tcPr>
          <w:p w14:paraId="3B9D2061"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6 months</w:t>
            </w:r>
          </w:p>
        </w:tc>
        <w:tc>
          <w:tcPr>
            <w:tcW w:w="700" w:type="pct"/>
            <w:tcBorders>
              <w:top w:val="nil"/>
              <w:left w:val="nil"/>
              <w:bottom w:val="single" w:sz="4" w:space="0" w:color="auto"/>
              <w:right w:val="nil"/>
            </w:tcBorders>
            <w:shd w:val="clear" w:color="auto" w:fill="auto"/>
            <w:noWrap/>
            <w:vAlign w:val="center"/>
            <w:hideMark/>
          </w:tcPr>
          <w:p w14:paraId="15F0101E" w14:textId="77777777" w:rsidR="00596935" w:rsidRPr="00596935" w:rsidRDefault="00596935" w:rsidP="00596935">
            <w:pPr>
              <w:rPr>
                <w:rFonts w:cs="Arial"/>
                <w:color w:val="000000"/>
                <w:sz w:val="20"/>
                <w:szCs w:val="20"/>
                <w:lang w:val="de-AT" w:eastAsia="de-AT"/>
              </w:rPr>
            </w:pPr>
            <w:r w:rsidRPr="00596935">
              <w:rPr>
                <w:rFonts w:cs="Arial"/>
                <w:color w:val="000000"/>
                <w:sz w:val="20"/>
                <w:szCs w:val="20"/>
                <w:lang w:val="de-AT" w:eastAsia="de-AT"/>
              </w:rPr>
              <w:t>SF .5-1-2-3 kHz</w:t>
            </w:r>
          </w:p>
        </w:tc>
        <w:tc>
          <w:tcPr>
            <w:tcW w:w="351" w:type="pct"/>
            <w:tcBorders>
              <w:top w:val="nil"/>
              <w:left w:val="single" w:sz="8" w:space="0" w:color="auto"/>
              <w:bottom w:val="single" w:sz="4" w:space="0" w:color="auto"/>
              <w:right w:val="single" w:sz="4" w:space="0" w:color="auto"/>
            </w:tcBorders>
            <w:shd w:val="clear" w:color="auto" w:fill="auto"/>
            <w:noWrap/>
            <w:vAlign w:val="center"/>
            <w:hideMark/>
          </w:tcPr>
          <w:p w14:paraId="35A71170"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 xml:space="preserve"> -</w:t>
            </w:r>
          </w:p>
        </w:tc>
        <w:tc>
          <w:tcPr>
            <w:tcW w:w="229" w:type="pct"/>
            <w:tcBorders>
              <w:top w:val="nil"/>
              <w:left w:val="nil"/>
              <w:bottom w:val="single" w:sz="4" w:space="0" w:color="auto"/>
              <w:right w:val="single" w:sz="8" w:space="0" w:color="auto"/>
            </w:tcBorders>
            <w:shd w:val="clear" w:color="auto" w:fill="auto"/>
            <w:noWrap/>
            <w:vAlign w:val="center"/>
            <w:hideMark/>
          </w:tcPr>
          <w:p w14:paraId="6554B48D"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 xml:space="preserve"> -</w:t>
            </w:r>
          </w:p>
        </w:tc>
        <w:tc>
          <w:tcPr>
            <w:tcW w:w="281" w:type="pct"/>
            <w:tcBorders>
              <w:top w:val="nil"/>
              <w:left w:val="nil"/>
              <w:bottom w:val="single" w:sz="4" w:space="0" w:color="auto"/>
              <w:right w:val="single" w:sz="4" w:space="0" w:color="auto"/>
            </w:tcBorders>
            <w:shd w:val="clear" w:color="auto" w:fill="auto"/>
            <w:noWrap/>
            <w:vAlign w:val="center"/>
            <w:hideMark/>
          </w:tcPr>
          <w:p w14:paraId="7D9F6E45"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229" w:type="pct"/>
            <w:tcBorders>
              <w:top w:val="nil"/>
              <w:left w:val="nil"/>
              <w:bottom w:val="single" w:sz="4" w:space="0" w:color="auto"/>
              <w:right w:val="single" w:sz="4" w:space="0" w:color="auto"/>
            </w:tcBorders>
            <w:shd w:val="clear" w:color="auto" w:fill="auto"/>
            <w:noWrap/>
            <w:vAlign w:val="center"/>
            <w:hideMark/>
          </w:tcPr>
          <w:p w14:paraId="6856403B"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483" w:type="pct"/>
            <w:tcBorders>
              <w:top w:val="nil"/>
              <w:left w:val="nil"/>
              <w:bottom w:val="single" w:sz="4" w:space="0" w:color="auto"/>
              <w:right w:val="single" w:sz="4" w:space="0" w:color="auto"/>
            </w:tcBorders>
            <w:shd w:val="clear" w:color="auto" w:fill="auto"/>
            <w:noWrap/>
            <w:vAlign w:val="center"/>
            <w:hideMark/>
          </w:tcPr>
          <w:p w14:paraId="4FEAF851"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229" w:type="pct"/>
            <w:tcBorders>
              <w:top w:val="nil"/>
              <w:left w:val="nil"/>
              <w:bottom w:val="single" w:sz="4" w:space="0" w:color="auto"/>
              <w:right w:val="single" w:sz="8" w:space="0" w:color="auto"/>
            </w:tcBorders>
            <w:shd w:val="clear" w:color="auto" w:fill="auto"/>
            <w:noWrap/>
            <w:vAlign w:val="center"/>
            <w:hideMark/>
          </w:tcPr>
          <w:p w14:paraId="04450FF3"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281" w:type="pct"/>
            <w:tcBorders>
              <w:top w:val="nil"/>
              <w:left w:val="nil"/>
              <w:bottom w:val="single" w:sz="4" w:space="0" w:color="auto"/>
              <w:right w:val="single" w:sz="4" w:space="0" w:color="auto"/>
            </w:tcBorders>
            <w:shd w:val="clear" w:color="auto" w:fill="auto"/>
            <w:noWrap/>
            <w:vAlign w:val="center"/>
            <w:hideMark/>
          </w:tcPr>
          <w:p w14:paraId="68818C8E"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24.25</w:t>
            </w:r>
          </w:p>
        </w:tc>
        <w:tc>
          <w:tcPr>
            <w:tcW w:w="229" w:type="pct"/>
            <w:tcBorders>
              <w:top w:val="nil"/>
              <w:left w:val="nil"/>
              <w:bottom w:val="single" w:sz="4" w:space="0" w:color="auto"/>
              <w:right w:val="single" w:sz="4" w:space="0" w:color="auto"/>
            </w:tcBorders>
            <w:shd w:val="clear" w:color="auto" w:fill="auto"/>
            <w:noWrap/>
            <w:vAlign w:val="center"/>
            <w:hideMark/>
          </w:tcPr>
          <w:p w14:paraId="4CFA1507"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293" w:type="pct"/>
            <w:tcBorders>
              <w:top w:val="nil"/>
              <w:left w:val="nil"/>
              <w:bottom w:val="single" w:sz="4" w:space="0" w:color="auto"/>
              <w:right w:val="single" w:sz="8" w:space="0" w:color="auto"/>
            </w:tcBorders>
            <w:shd w:val="clear" w:color="auto" w:fill="auto"/>
            <w:noWrap/>
            <w:vAlign w:val="center"/>
            <w:hideMark/>
          </w:tcPr>
          <w:p w14:paraId="31058788"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r>
      <w:tr w:rsidR="00596935" w:rsidRPr="00596935" w14:paraId="61A93188" w14:textId="77777777" w:rsidTr="00596935">
        <w:trPr>
          <w:trHeight w:val="525"/>
        </w:trPr>
        <w:tc>
          <w:tcPr>
            <w:tcW w:w="712" w:type="pct"/>
            <w:tcBorders>
              <w:top w:val="nil"/>
              <w:left w:val="single" w:sz="8" w:space="0" w:color="auto"/>
              <w:bottom w:val="single" w:sz="8" w:space="0" w:color="auto"/>
              <w:right w:val="nil"/>
            </w:tcBorders>
            <w:shd w:val="clear" w:color="auto" w:fill="auto"/>
            <w:vAlign w:val="center"/>
            <w:hideMark/>
          </w:tcPr>
          <w:p w14:paraId="5482B7AC" w14:textId="77777777" w:rsidR="003733D2" w:rsidRDefault="00596935" w:rsidP="003733D2">
            <w:pPr>
              <w:rPr>
                <w:rFonts w:cs="Arial"/>
                <w:color w:val="000000"/>
                <w:sz w:val="20"/>
                <w:szCs w:val="20"/>
                <w:lang w:val="de-AT" w:eastAsia="de-AT"/>
              </w:rPr>
            </w:pPr>
            <w:r w:rsidRPr="00596935">
              <w:rPr>
                <w:rFonts w:cs="Arial"/>
                <w:color w:val="000000"/>
                <w:sz w:val="20"/>
                <w:szCs w:val="20"/>
                <w:lang w:val="de-AT" w:eastAsia="de-AT"/>
              </w:rPr>
              <w:t>Silverstein</w:t>
            </w:r>
          </w:p>
          <w:p w14:paraId="30CA069A" w14:textId="35CD19FA" w:rsidR="00596935" w:rsidRPr="00596935" w:rsidRDefault="00596935" w:rsidP="003733D2">
            <w:pPr>
              <w:rPr>
                <w:rFonts w:cs="Arial"/>
                <w:color w:val="000000"/>
                <w:sz w:val="20"/>
                <w:szCs w:val="20"/>
                <w:lang w:val="de-AT" w:eastAsia="de-AT"/>
              </w:rPr>
            </w:pPr>
            <w:r w:rsidRPr="00596935">
              <w:rPr>
                <w:rFonts w:cs="Arial"/>
                <w:color w:val="000000"/>
                <w:sz w:val="20"/>
                <w:szCs w:val="20"/>
                <w:lang w:val="de-AT" w:eastAsia="de-AT"/>
              </w:rPr>
              <w:t>2005, SOUNDTEC</w:t>
            </w:r>
          </w:p>
        </w:tc>
        <w:tc>
          <w:tcPr>
            <w:tcW w:w="459" w:type="pct"/>
            <w:tcBorders>
              <w:top w:val="nil"/>
              <w:left w:val="single" w:sz="4" w:space="0" w:color="auto"/>
              <w:bottom w:val="single" w:sz="8" w:space="0" w:color="auto"/>
              <w:right w:val="single" w:sz="4" w:space="0" w:color="auto"/>
            </w:tcBorders>
            <w:shd w:val="clear" w:color="auto" w:fill="auto"/>
            <w:noWrap/>
            <w:vAlign w:val="center"/>
            <w:hideMark/>
          </w:tcPr>
          <w:p w14:paraId="516C10EB"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64</w:t>
            </w:r>
          </w:p>
        </w:tc>
        <w:tc>
          <w:tcPr>
            <w:tcW w:w="523" w:type="pct"/>
            <w:tcBorders>
              <w:top w:val="nil"/>
              <w:left w:val="nil"/>
              <w:bottom w:val="single" w:sz="8" w:space="0" w:color="auto"/>
              <w:right w:val="single" w:sz="4" w:space="0" w:color="auto"/>
            </w:tcBorders>
            <w:shd w:val="clear" w:color="auto" w:fill="auto"/>
            <w:vAlign w:val="center"/>
            <w:hideMark/>
          </w:tcPr>
          <w:p w14:paraId="39D1F272"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3 months</w:t>
            </w:r>
          </w:p>
        </w:tc>
        <w:tc>
          <w:tcPr>
            <w:tcW w:w="700" w:type="pct"/>
            <w:tcBorders>
              <w:top w:val="nil"/>
              <w:left w:val="nil"/>
              <w:bottom w:val="single" w:sz="8" w:space="0" w:color="auto"/>
              <w:right w:val="nil"/>
            </w:tcBorders>
            <w:shd w:val="clear" w:color="auto" w:fill="auto"/>
            <w:noWrap/>
            <w:vAlign w:val="center"/>
            <w:hideMark/>
          </w:tcPr>
          <w:p w14:paraId="464EC88B" w14:textId="77777777" w:rsidR="00596935" w:rsidRPr="00596935" w:rsidRDefault="00596935" w:rsidP="00596935">
            <w:pPr>
              <w:rPr>
                <w:rFonts w:cs="Arial"/>
                <w:color w:val="000000"/>
                <w:sz w:val="20"/>
                <w:szCs w:val="20"/>
                <w:lang w:val="de-AT" w:eastAsia="de-AT"/>
              </w:rPr>
            </w:pPr>
            <w:r w:rsidRPr="00596935">
              <w:rPr>
                <w:rFonts w:cs="Arial"/>
                <w:color w:val="000000"/>
                <w:sz w:val="20"/>
                <w:szCs w:val="20"/>
                <w:lang w:val="de-AT" w:eastAsia="de-AT"/>
              </w:rPr>
              <w:t>SF 0.25 - 6 kHz</w:t>
            </w:r>
          </w:p>
        </w:tc>
        <w:tc>
          <w:tcPr>
            <w:tcW w:w="351" w:type="pct"/>
            <w:tcBorders>
              <w:top w:val="nil"/>
              <w:left w:val="single" w:sz="8" w:space="0" w:color="auto"/>
              <w:bottom w:val="single" w:sz="8" w:space="0" w:color="auto"/>
              <w:right w:val="single" w:sz="4" w:space="0" w:color="auto"/>
            </w:tcBorders>
            <w:shd w:val="clear" w:color="auto" w:fill="auto"/>
            <w:noWrap/>
            <w:vAlign w:val="center"/>
            <w:hideMark/>
          </w:tcPr>
          <w:p w14:paraId="57706120"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 xml:space="preserve"> -</w:t>
            </w:r>
          </w:p>
        </w:tc>
        <w:tc>
          <w:tcPr>
            <w:tcW w:w="229" w:type="pct"/>
            <w:tcBorders>
              <w:top w:val="nil"/>
              <w:left w:val="nil"/>
              <w:bottom w:val="single" w:sz="8" w:space="0" w:color="auto"/>
              <w:right w:val="single" w:sz="8" w:space="0" w:color="auto"/>
            </w:tcBorders>
            <w:shd w:val="clear" w:color="auto" w:fill="auto"/>
            <w:noWrap/>
            <w:vAlign w:val="center"/>
            <w:hideMark/>
          </w:tcPr>
          <w:p w14:paraId="0D4AE04B"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 xml:space="preserve"> -</w:t>
            </w:r>
          </w:p>
        </w:tc>
        <w:tc>
          <w:tcPr>
            <w:tcW w:w="281" w:type="pct"/>
            <w:tcBorders>
              <w:top w:val="nil"/>
              <w:left w:val="nil"/>
              <w:bottom w:val="single" w:sz="8" w:space="0" w:color="auto"/>
              <w:right w:val="single" w:sz="4" w:space="0" w:color="auto"/>
            </w:tcBorders>
            <w:shd w:val="clear" w:color="auto" w:fill="auto"/>
            <w:noWrap/>
            <w:vAlign w:val="center"/>
            <w:hideMark/>
          </w:tcPr>
          <w:p w14:paraId="0C8B64A8"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229" w:type="pct"/>
            <w:tcBorders>
              <w:top w:val="nil"/>
              <w:left w:val="nil"/>
              <w:bottom w:val="single" w:sz="8" w:space="0" w:color="auto"/>
              <w:right w:val="single" w:sz="4" w:space="0" w:color="auto"/>
            </w:tcBorders>
            <w:shd w:val="clear" w:color="auto" w:fill="auto"/>
            <w:noWrap/>
            <w:vAlign w:val="center"/>
            <w:hideMark/>
          </w:tcPr>
          <w:p w14:paraId="5AA1387A"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483" w:type="pct"/>
            <w:tcBorders>
              <w:top w:val="nil"/>
              <w:left w:val="nil"/>
              <w:bottom w:val="single" w:sz="8" w:space="0" w:color="auto"/>
              <w:right w:val="single" w:sz="4" w:space="0" w:color="auto"/>
            </w:tcBorders>
            <w:shd w:val="clear" w:color="auto" w:fill="auto"/>
            <w:noWrap/>
            <w:vAlign w:val="center"/>
            <w:hideMark/>
          </w:tcPr>
          <w:p w14:paraId="76008A0B"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229" w:type="pct"/>
            <w:tcBorders>
              <w:top w:val="nil"/>
              <w:left w:val="nil"/>
              <w:bottom w:val="single" w:sz="8" w:space="0" w:color="auto"/>
              <w:right w:val="single" w:sz="8" w:space="0" w:color="auto"/>
            </w:tcBorders>
            <w:shd w:val="clear" w:color="auto" w:fill="auto"/>
            <w:noWrap/>
            <w:vAlign w:val="center"/>
            <w:hideMark/>
          </w:tcPr>
          <w:p w14:paraId="0DBCAD27"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281" w:type="pct"/>
            <w:tcBorders>
              <w:top w:val="nil"/>
              <w:left w:val="nil"/>
              <w:bottom w:val="single" w:sz="8" w:space="0" w:color="auto"/>
              <w:right w:val="single" w:sz="4" w:space="0" w:color="auto"/>
            </w:tcBorders>
            <w:shd w:val="clear" w:color="auto" w:fill="auto"/>
            <w:noWrap/>
            <w:vAlign w:val="center"/>
            <w:hideMark/>
          </w:tcPr>
          <w:p w14:paraId="1A4B6D0A"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26</w:t>
            </w:r>
          </w:p>
        </w:tc>
        <w:tc>
          <w:tcPr>
            <w:tcW w:w="229" w:type="pct"/>
            <w:tcBorders>
              <w:top w:val="nil"/>
              <w:left w:val="nil"/>
              <w:bottom w:val="single" w:sz="8" w:space="0" w:color="auto"/>
              <w:right w:val="single" w:sz="4" w:space="0" w:color="auto"/>
            </w:tcBorders>
            <w:shd w:val="clear" w:color="auto" w:fill="auto"/>
            <w:noWrap/>
            <w:vAlign w:val="center"/>
            <w:hideMark/>
          </w:tcPr>
          <w:p w14:paraId="5AA2D121"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293" w:type="pct"/>
            <w:tcBorders>
              <w:top w:val="nil"/>
              <w:left w:val="nil"/>
              <w:bottom w:val="single" w:sz="8" w:space="0" w:color="auto"/>
              <w:right w:val="single" w:sz="8" w:space="0" w:color="auto"/>
            </w:tcBorders>
            <w:shd w:val="clear" w:color="auto" w:fill="auto"/>
            <w:noWrap/>
            <w:vAlign w:val="center"/>
            <w:hideMark/>
          </w:tcPr>
          <w:p w14:paraId="333DB72E"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r>
      <w:tr w:rsidR="00596935" w:rsidRPr="00596935" w14:paraId="430B5CBC" w14:textId="77777777" w:rsidTr="00596935">
        <w:trPr>
          <w:trHeight w:val="255"/>
        </w:trPr>
        <w:tc>
          <w:tcPr>
            <w:tcW w:w="712" w:type="pct"/>
            <w:tcBorders>
              <w:top w:val="nil"/>
              <w:left w:val="nil"/>
              <w:bottom w:val="nil"/>
              <w:right w:val="nil"/>
            </w:tcBorders>
            <w:shd w:val="clear" w:color="auto" w:fill="auto"/>
            <w:noWrap/>
            <w:vAlign w:val="center"/>
            <w:hideMark/>
          </w:tcPr>
          <w:p w14:paraId="32DE15BC" w14:textId="77777777" w:rsidR="00596935" w:rsidRPr="00596935" w:rsidRDefault="00596935" w:rsidP="00596935">
            <w:pPr>
              <w:rPr>
                <w:rFonts w:cs="Arial"/>
                <w:color w:val="000000"/>
                <w:sz w:val="20"/>
                <w:szCs w:val="20"/>
                <w:lang w:val="de-AT" w:eastAsia="de-AT"/>
              </w:rPr>
            </w:pPr>
            <w:r w:rsidRPr="00596935">
              <w:rPr>
                <w:rFonts w:cs="Arial"/>
                <w:color w:val="000000"/>
                <w:sz w:val="20"/>
                <w:szCs w:val="20"/>
                <w:lang w:val="de-AT" w:eastAsia="de-AT"/>
              </w:rPr>
              <w:t>* estimated from figures</w:t>
            </w:r>
          </w:p>
        </w:tc>
        <w:tc>
          <w:tcPr>
            <w:tcW w:w="459" w:type="pct"/>
            <w:tcBorders>
              <w:top w:val="nil"/>
              <w:left w:val="nil"/>
              <w:bottom w:val="nil"/>
              <w:right w:val="nil"/>
            </w:tcBorders>
            <w:shd w:val="clear" w:color="auto" w:fill="auto"/>
            <w:noWrap/>
            <w:vAlign w:val="center"/>
            <w:hideMark/>
          </w:tcPr>
          <w:p w14:paraId="0CF49349" w14:textId="77777777" w:rsidR="00596935" w:rsidRPr="00596935" w:rsidRDefault="00596935" w:rsidP="00596935">
            <w:pPr>
              <w:jc w:val="center"/>
              <w:rPr>
                <w:rFonts w:cs="Arial"/>
                <w:color w:val="000000"/>
                <w:sz w:val="20"/>
                <w:szCs w:val="20"/>
                <w:lang w:val="de-AT" w:eastAsia="de-AT"/>
              </w:rPr>
            </w:pPr>
          </w:p>
        </w:tc>
        <w:tc>
          <w:tcPr>
            <w:tcW w:w="523" w:type="pct"/>
            <w:tcBorders>
              <w:top w:val="nil"/>
              <w:left w:val="nil"/>
              <w:bottom w:val="nil"/>
              <w:right w:val="nil"/>
            </w:tcBorders>
            <w:shd w:val="clear" w:color="auto" w:fill="auto"/>
            <w:vAlign w:val="center"/>
            <w:hideMark/>
          </w:tcPr>
          <w:p w14:paraId="1DC2FDA9" w14:textId="77777777" w:rsidR="00596935" w:rsidRPr="00596935" w:rsidRDefault="00596935" w:rsidP="00596935">
            <w:pPr>
              <w:rPr>
                <w:rFonts w:cs="Arial"/>
                <w:color w:val="000000"/>
                <w:sz w:val="20"/>
                <w:szCs w:val="20"/>
                <w:lang w:val="de-AT" w:eastAsia="de-AT"/>
              </w:rPr>
            </w:pPr>
          </w:p>
        </w:tc>
        <w:tc>
          <w:tcPr>
            <w:tcW w:w="700" w:type="pct"/>
            <w:tcBorders>
              <w:top w:val="nil"/>
              <w:left w:val="nil"/>
              <w:bottom w:val="nil"/>
              <w:right w:val="nil"/>
            </w:tcBorders>
            <w:shd w:val="clear" w:color="auto" w:fill="auto"/>
            <w:noWrap/>
            <w:vAlign w:val="center"/>
            <w:hideMark/>
          </w:tcPr>
          <w:p w14:paraId="5C8A0154" w14:textId="77777777" w:rsidR="00596935" w:rsidRPr="00596935" w:rsidRDefault="00596935" w:rsidP="00596935">
            <w:pPr>
              <w:jc w:val="center"/>
              <w:rPr>
                <w:rFonts w:cs="Arial"/>
                <w:color w:val="000000"/>
                <w:sz w:val="20"/>
                <w:szCs w:val="20"/>
                <w:lang w:val="de-AT" w:eastAsia="de-AT"/>
              </w:rPr>
            </w:pPr>
          </w:p>
        </w:tc>
        <w:tc>
          <w:tcPr>
            <w:tcW w:w="351" w:type="pct"/>
            <w:tcBorders>
              <w:top w:val="nil"/>
              <w:left w:val="nil"/>
              <w:bottom w:val="nil"/>
              <w:right w:val="nil"/>
            </w:tcBorders>
            <w:shd w:val="clear" w:color="auto" w:fill="auto"/>
            <w:noWrap/>
            <w:vAlign w:val="center"/>
            <w:hideMark/>
          </w:tcPr>
          <w:p w14:paraId="3561D18D" w14:textId="77777777" w:rsidR="00596935" w:rsidRPr="00596935" w:rsidRDefault="00596935" w:rsidP="00596935">
            <w:pPr>
              <w:jc w:val="center"/>
              <w:rPr>
                <w:rFonts w:cs="Arial"/>
                <w:color w:val="000000"/>
                <w:sz w:val="20"/>
                <w:szCs w:val="20"/>
                <w:lang w:val="de-AT" w:eastAsia="de-AT"/>
              </w:rPr>
            </w:pPr>
          </w:p>
        </w:tc>
        <w:tc>
          <w:tcPr>
            <w:tcW w:w="229" w:type="pct"/>
            <w:tcBorders>
              <w:top w:val="nil"/>
              <w:left w:val="nil"/>
              <w:bottom w:val="nil"/>
              <w:right w:val="nil"/>
            </w:tcBorders>
            <w:shd w:val="clear" w:color="auto" w:fill="auto"/>
            <w:noWrap/>
            <w:vAlign w:val="center"/>
            <w:hideMark/>
          </w:tcPr>
          <w:p w14:paraId="04B0E67E" w14:textId="77777777" w:rsidR="00596935" w:rsidRPr="00596935" w:rsidRDefault="00596935" w:rsidP="00596935">
            <w:pPr>
              <w:jc w:val="center"/>
              <w:rPr>
                <w:rFonts w:cs="Arial"/>
                <w:color w:val="000000"/>
                <w:sz w:val="20"/>
                <w:szCs w:val="20"/>
                <w:lang w:val="de-AT" w:eastAsia="de-AT"/>
              </w:rPr>
            </w:pPr>
          </w:p>
        </w:tc>
        <w:tc>
          <w:tcPr>
            <w:tcW w:w="281" w:type="pct"/>
            <w:tcBorders>
              <w:top w:val="nil"/>
              <w:left w:val="nil"/>
              <w:bottom w:val="nil"/>
              <w:right w:val="nil"/>
            </w:tcBorders>
            <w:shd w:val="clear" w:color="auto" w:fill="auto"/>
            <w:noWrap/>
            <w:vAlign w:val="center"/>
            <w:hideMark/>
          </w:tcPr>
          <w:p w14:paraId="11872234" w14:textId="77777777" w:rsidR="00596935" w:rsidRPr="00596935" w:rsidRDefault="00596935" w:rsidP="00596935">
            <w:pPr>
              <w:jc w:val="center"/>
              <w:rPr>
                <w:rFonts w:cs="Arial"/>
                <w:color w:val="000000"/>
                <w:sz w:val="20"/>
                <w:szCs w:val="20"/>
                <w:lang w:val="de-AT" w:eastAsia="de-AT"/>
              </w:rPr>
            </w:pPr>
          </w:p>
        </w:tc>
        <w:tc>
          <w:tcPr>
            <w:tcW w:w="229" w:type="pct"/>
            <w:tcBorders>
              <w:top w:val="nil"/>
              <w:left w:val="nil"/>
              <w:bottom w:val="nil"/>
              <w:right w:val="nil"/>
            </w:tcBorders>
            <w:shd w:val="clear" w:color="auto" w:fill="auto"/>
            <w:noWrap/>
            <w:vAlign w:val="center"/>
            <w:hideMark/>
          </w:tcPr>
          <w:p w14:paraId="0837E1BC" w14:textId="77777777" w:rsidR="00596935" w:rsidRPr="00596935" w:rsidRDefault="00596935" w:rsidP="00596935">
            <w:pPr>
              <w:jc w:val="center"/>
              <w:rPr>
                <w:rFonts w:cs="Arial"/>
                <w:color w:val="000000"/>
                <w:sz w:val="20"/>
                <w:szCs w:val="20"/>
                <w:lang w:val="de-AT" w:eastAsia="de-AT"/>
              </w:rPr>
            </w:pPr>
          </w:p>
        </w:tc>
        <w:tc>
          <w:tcPr>
            <w:tcW w:w="483" w:type="pct"/>
            <w:tcBorders>
              <w:top w:val="nil"/>
              <w:left w:val="nil"/>
              <w:bottom w:val="nil"/>
              <w:right w:val="nil"/>
            </w:tcBorders>
            <w:shd w:val="clear" w:color="auto" w:fill="auto"/>
            <w:noWrap/>
            <w:vAlign w:val="center"/>
            <w:hideMark/>
          </w:tcPr>
          <w:p w14:paraId="62DBAFA7" w14:textId="77777777" w:rsidR="00596935" w:rsidRPr="00596935" w:rsidRDefault="00596935" w:rsidP="00596935">
            <w:pPr>
              <w:jc w:val="center"/>
              <w:rPr>
                <w:rFonts w:cs="Arial"/>
                <w:color w:val="000000"/>
                <w:sz w:val="20"/>
                <w:szCs w:val="20"/>
                <w:lang w:val="de-AT" w:eastAsia="de-AT"/>
              </w:rPr>
            </w:pPr>
          </w:p>
        </w:tc>
        <w:tc>
          <w:tcPr>
            <w:tcW w:w="229" w:type="pct"/>
            <w:tcBorders>
              <w:top w:val="nil"/>
              <w:left w:val="nil"/>
              <w:bottom w:val="nil"/>
              <w:right w:val="nil"/>
            </w:tcBorders>
            <w:shd w:val="clear" w:color="auto" w:fill="auto"/>
            <w:noWrap/>
            <w:vAlign w:val="center"/>
            <w:hideMark/>
          </w:tcPr>
          <w:p w14:paraId="20EE8903" w14:textId="77777777" w:rsidR="00596935" w:rsidRPr="00596935" w:rsidRDefault="00596935" w:rsidP="00596935">
            <w:pPr>
              <w:jc w:val="center"/>
              <w:rPr>
                <w:rFonts w:cs="Arial"/>
                <w:color w:val="000000"/>
                <w:sz w:val="20"/>
                <w:szCs w:val="20"/>
                <w:lang w:val="de-AT" w:eastAsia="de-AT"/>
              </w:rPr>
            </w:pPr>
          </w:p>
        </w:tc>
        <w:tc>
          <w:tcPr>
            <w:tcW w:w="281" w:type="pct"/>
            <w:tcBorders>
              <w:top w:val="nil"/>
              <w:left w:val="nil"/>
              <w:bottom w:val="nil"/>
              <w:right w:val="nil"/>
            </w:tcBorders>
            <w:shd w:val="clear" w:color="auto" w:fill="auto"/>
            <w:noWrap/>
            <w:vAlign w:val="center"/>
            <w:hideMark/>
          </w:tcPr>
          <w:p w14:paraId="7A0B0EC7" w14:textId="77777777" w:rsidR="00596935" w:rsidRPr="00596935" w:rsidRDefault="00596935" w:rsidP="00596935">
            <w:pPr>
              <w:jc w:val="center"/>
              <w:rPr>
                <w:rFonts w:cs="Arial"/>
                <w:color w:val="000000"/>
                <w:sz w:val="20"/>
                <w:szCs w:val="20"/>
                <w:lang w:val="de-AT" w:eastAsia="de-AT"/>
              </w:rPr>
            </w:pPr>
          </w:p>
        </w:tc>
        <w:tc>
          <w:tcPr>
            <w:tcW w:w="229" w:type="pct"/>
            <w:tcBorders>
              <w:top w:val="nil"/>
              <w:left w:val="nil"/>
              <w:bottom w:val="nil"/>
              <w:right w:val="nil"/>
            </w:tcBorders>
            <w:shd w:val="clear" w:color="auto" w:fill="auto"/>
            <w:noWrap/>
            <w:vAlign w:val="bottom"/>
            <w:hideMark/>
          </w:tcPr>
          <w:p w14:paraId="1542EE91" w14:textId="77777777" w:rsidR="00596935" w:rsidRPr="00596935" w:rsidRDefault="00596935" w:rsidP="00596935">
            <w:pPr>
              <w:jc w:val="center"/>
              <w:rPr>
                <w:rFonts w:cs="Arial"/>
                <w:color w:val="000000"/>
                <w:sz w:val="20"/>
                <w:szCs w:val="20"/>
                <w:lang w:val="de-AT" w:eastAsia="de-AT"/>
              </w:rPr>
            </w:pPr>
          </w:p>
        </w:tc>
        <w:tc>
          <w:tcPr>
            <w:tcW w:w="293" w:type="pct"/>
            <w:noWrap/>
            <w:hideMark/>
          </w:tcPr>
          <w:p w14:paraId="43C6F755" w14:textId="77777777" w:rsidR="00596935" w:rsidRPr="00596935" w:rsidRDefault="00596935" w:rsidP="00596935">
            <w:pPr>
              <w:jc w:val="center"/>
              <w:rPr>
                <w:rFonts w:cs="Arial"/>
                <w:color w:val="000000"/>
                <w:sz w:val="20"/>
                <w:szCs w:val="20"/>
                <w:lang w:val="de-AT" w:eastAsia="de-AT"/>
              </w:rPr>
            </w:pPr>
          </w:p>
        </w:tc>
      </w:tr>
      <w:tr w:rsidR="00596935" w:rsidRPr="007F6475" w14:paraId="1946826A" w14:textId="77777777" w:rsidTr="00596935">
        <w:trPr>
          <w:trHeight w:val="255"/>
        </w:trPr>
        <w:tc>
          <w:tcPr>
            <w:tcW w:w="1171" w:type="pct"/>
            <w:gridSpan w:val="2"/>
            <w:tcBorders>
              <w:top w:val="nil"/>
              <w:left w:val="nil"/>
              <w:bottom w:val="nil"/>
              <w:right w:val="nil"/>
            </w:tcBorders>
            <w:shd w:val="clear" w:color="auto" w:fill="auto"/>
            <w:noWrap/>
            <w:vAlign w:val="center"/>
            <w:hideMark/>
          </w:tcPr>
          <w:p w14:paraId="25F15E82" w14:textId="77777777" w:rsidR="00596935" w:rsidRPr="00596935" w:rsidRDefault="00596935" w:rsidP="00596935">
            <w:pPr>
              <w:rPr>
                <w:rFonts w:cs="Arial"/>
                <w:color w:val="000000"/>
                <w:sz w:val="20"/>
                <w:szCs w:val="20"/>
                <w:lang w:val="en-US" w:eastAsia="de-AT"/>
              </w:rPr>
            </w:pPr>
            <w:r w:rsidRPr="00596935">
              <w:rPr>
                <w:rFonts w:cs="Arial"/>
                <w:color w:val="000000"/>
                <w:sz w:val="20"/>
                <w:szCs w:val="20"/>
                <w:lang w:val="en-US" w:eastAsia="de-AT"/>
              </w:rPr>
              <w:t>SF: Sound field PT:Pure tone</w:t>
            </w:r>
          </w:p>
        </w:tc>
        <w:tc>
          <w:tcPr>
            <w:tcW w:w="523" w:type="pct"/>
            <w:tcBorders>
              <w:top w:val="nil"/>
              <w:left w:val="nil"/>
              <w:bottom w:val="nil"/>
              <w:right w:val="nil"/>
            </w:tcBorders>
            <w:shd w:val="clear" w:color="auto" w:fill="auto"/>
            <w:vAlign w:val="center"/>
            <w:hideMark/>
          </w:tcPr>
          <w:p w14:paraId="37C35C45" w14:textId="77777777" w:rsidR="00596935" w:rsidRPr="00596935" w:rsidRDefault="00596935" w:rsidP="00596935">
            <w:pPr>
              <w:rPr>
                <w:rFonts w:cs="Arial"/>
                <w:color w:val="000000"/>
                <w:sz w:val="20"/>
                <w:szCs w:val="20"/>
                <w:lang w:val="en-US" w:eastAsia="de-AT"/>
              </w:rPr>
            </w:pPr>
          </w:p>
        </w:tc>
        <w:tc>
          <w:tcPr>
            <w:tcW w:w="700" w:type="pct"/>
            <w:tcBorders>
              <w:top w:val="nil"/>
              <w:left w:val="nil"/>
              <w:bottom w:val="nil"/>
              <w:right w:val="nil"/>
            </w:tcBorders>
            <w:shd w:val="clear" w:color="auto" w:fill="auto"/>
            <w:noWrap/>
            <w:vAlign w:val="center"/>
            <w:hideMark/>
          </w:tcPr>
          <w:p w14:paraId="5CB7A200" w14:textId="77777777" w:rsidR="00596935" w:rsidRPr="00596935" w:rsidRDefault="00596935" w:rsidP="00596935">
            <w:pPr>
              <w:jc w:val="center"/>
              <w:rPr>
                <w:rFonts w:cs="Arial"/>
                <w:color w:val="000000"/>
                <w:sz w:val="20"/>
                <w:szCs w:val="20"/>
                <w:lang w:val="en-US" w:eastAsia="de-AT"/>
              </w:rPr>
            </w:pPr>
          </w:p>
        </w:tc>
        <w:tc>
          <w:tcPr>
            <w:tcW w:w="351" w:type="pct"/>
            <w:tcBorders>
              <w:top w:val="nil"/>
              <w:left w:val="nil"/>
              <w:bottom w:val="nil"/>
              <w:right w:val="nil"/>
            </w:tcBorders>
            <w:shd w:val="clear" w:color="auto" w:fill="auto"/>
            <w:noWrap/>
            <w:vAlign w:val="center"/>
            <w:hideMark/>
          </w:tcPr>
          <w:p w14:paraId="0BCEB92A" w14:textId="77777777" w:rsidR="00596935" w:rsidRPr="00596935" w:rsidRDefault="00596935" w:rsidP="00596935">
            <w:pPr>
              <w:jc w:val="center"/>
              <w:rPr>
                <w:rFonts w:cs="Arial"/>
                <w:color w:val="000000"/>
                <w:sz w:val="20"/>
                <w:szCs w:val="20"/>
                <w:lang w:val="en-US" w:eastAsia="de-AT"/>
              </w:rPr>
            </w:pPr>
          </w:p>
        </w:tc>
        <w:tc>
          <w:tcPr>
            <w:tcW w:w="229" w:type="pct"/>
            <w:tcBorders>
              <w:top w:val="nil"/>
              <w:left w:val="nil"/>
              <w:bottom w:val="nil"/>
              <w:right w:val="nil"/>
            </w:tcBorders>
            <w:shd w:val="clear" w:color="auto" w:fill="auto"/>
            <w:noWrap/>
            <w:vAlign w:val="center"/>
            <w:hideMark/>
          </w:tcPr>
          <w:p w14:paraId="14A22799" w14:textId="77777777" w:rsidR="00596935" w:rsidRPr="00596935" w:rsidRDefault="00596935" w:rsidP="00596935">
            <w:pPr>
              <w:jc w:val="center"/>
              <w:rPr>
                <w:rFonts w:cs="Arial"/>
                <w:color w:val="000000"/>
                <w:sz w:val="20"/>
                <w:szCs w:val="20"/>
                <w:lang w:val="en-US" w:eastAsia="de-AT"/>
              </w:rPr>
            </w:pPr>
          </w:p>
        </w:tc>
        <w:tc>
          <w:tcPr>
            <w:tcW w:w="281" w:type="pct"/>
            <w:tcBorders>
              <w:top w:val="nil"/>
              <w:left w:val="nil"/>
              <w:bottom w:val="nil"/>
              <w:right w:val="nil"/>
            </w:tcBorders>
            <w:shd w:val="clear" w:color="auto" w:fill="auto"/>
            <w:noWrap/>
            <w:vAlign w:val="center"/>
            <w:hideMark/>
          </w:tcPr>
          <w:p w14:paraId="2BD5D9EC" w14:textId="77777777" w:rsidR="00596935" w:rsidRPr="00596935" w:rsidRDefault="00596935" w:rsidP="00596935">
            <w:pPr>
              <w:jc w:val="center"/>
              <w:rPr>
                <w:rFonts w:cs="Arial"/>
                <w:color w:val="000000"/>
                <w:sz w:val="20"/>
                <w:szCs w:val="20"/>
                <w:lang w:val="en-US" w:eastAsia="de-AT"/>
              </w:rPr>
            </w:pPr>
          </w:p>
        </w:tc>
        <w:tc>
          <w:tcPr>
            <w:tcW w:w="229" w:type="pct"/>
            <w:tcBorders>
              <w:top w:val="nil"/>
              <w:left w:val="nil"/>
              <w:bottom w:val="nil"/>
              <w:right w:val="nil"/>
            </w:tcBorders>
            <w:shd w:val="clear" w:color="auto" w:fill="auto"/>
            <w:noWrap/>
            <w:vAlign w:val="center"/>
            <w:hideMark/>
          </w:tcPr>
          <w:p w14:paraId="4615F532" w14:textId="77777777" w:rsidR="00596935" w:rsidRPr="00596935" w:rsidRDefault="00596935" w:rsidP="00596935">
            <w:pPr>
              <w:jc w:val="center"/>
              <w:rPr>
                <w:rFonts w:cs="Arial"/>
                <w:color w:val="000000"/>
                <w:sz w:val="20"/>
                <w:szCs w:val="20"/>
                <w:lang w:val="en-US" w:eastAsia="de-AT"/>
              </w:rPr>
            </w:pPr>
          </w:p>
        </w:tc>
        <w:tc>
          <w:tcPr>
            <w:tcW w:w="483" w:type="pct"/>
            <w:tcBorders>
              <w:top w:val="nil"/>
              <w:left w:val="nil"/>
              <w:bottom w:val="nil"/>
              <w:right w:val="nil"/>
            </w:tcBorders>
            <w:shd w:val="clear" w:color="auto" w:fill="auto"/>
            <w:noWrap/>
            <w:vAlign w:val="center"/>
            <w:hideMark/>
          </w:tcPr>
          <w:p w14:paraId="536C5D6C" w14:textId="77777777" w:rsidR="00596935" w:rsidRPr="00596935" w:rsidRDefault="00596935" w:rsidP="00596935">
            <w:pPr>
              <w:jc w:val="center"/>
              <w:rPr>
                <w:rFonts w:cs="Arial"/>
                <w:color w:val="000000"/>
                <w:sz w:val="20"/>
                <w:szCs w:val="20"/>
                <w:lang w:val="en-US" w:eastAsia="de-AT"/>
              </w:rPr>
            </w:pPr>
          </w:p>
        </w:tc>
        <w:tc>
          <w:tcPr>
            <w:tcW w:w="229" w:type="pct"/>
            <w:tcBorders>
              <w:top w:val="nil"/>
              <w:left w:val="nil"/>
              <w:bottom w:val="nil"/>
              <w:right w:val="nil"/>
            </w:tcBorders>
            <w:shd w:val="clear" w:color="auto" w:fill="auto"/>
            <w:noWrap/>
            <w:vAlign w:val="center"/>
            <w:hideMark/>
          </w:tcPr>
          <w:p w14:paraId="7F48E567" w14:textId="77777777" w:rsidR="00596935" w:rsidRPr="00596935" w:rsidRDefault="00596935" w:rsidP="00596935">
            <w:pPr>
              <w:jc w:val="center"/>
              <w:rPr>
                <w:rFonts w:cs="Arial"/>
                <w:color w:val="000000"/>
                <w:sz w:val="20"/>
                <w:szCs w:val="20"/>
                <w:lang w:val="en-US" w:eastAsia="de-AT"/>
              </w:rPr>
            </w:pPr>
          </w:p>
        </w:tc>
        <w:tc>
          <w:tcPr>
            <w:tcW w:w="281" w:type="pct"/>
            <w:tcBorders>
              <w:top w:val="nil"/>
              <w:left w:val="nil"/>
              <w:bottom w:val="nil"/>
              <w:right w:val="nil"/>
            </w:tcBorders>
            <w:shd w:val="clear" w:color="auto" w:fill="auto"/>
            <w:noWrap/>
            <w:vAlign w:val="center"/>
            <w:hideMark/>
          </w:tcPr>
          <w:p w14:paraId="2A959336" w14:textId="77777777" w:rsidR="00596935" w:rsidRPr="00596935" w:rsidRDefault="00596935" w:rsidP="00596935">
            <w:pPr>
              <w:jc w:val="center"/>
              <w:rPr>
                <w:rFonts w:cs="Arial"/>
                <w:color w:val="000000"/>
                <w:sz w:val="20"/>
                <w:szCs w:val="20"/>
                <w:lang w:val="en-US" w:eastAsia="de-AT"/>
              </w:rPr>
            </w:pPr>
          </w:p>
        </w:tc>
        <w:tc>
          <w:tcPr>
            <w:tcW w:w="229" w:type="pct"/>
            <w:tcBorders>
              <w:top w:val="nil"/>
              <w:left w:val="nil"/>
              <w:bottom w:val="nil"/>
              <w:right w:val="nil"/>
            </w:tcBorders>
            <w:shd w:val="clear" w:color="auto" w:fill="auto"/>
            <w:noWrap/>
            <w:vAlign w:val="center"/>
            <w:hideMark/>
          </w:tcPr>
          <w:p w14:paraId="473D3C95" w14:textId="77777777" w:rsidR="00596935" w:rsidRPr="00596935" w:rsidRDefault="00596935" w:rsidP="00596935">
            <w:pPr>
              <w:jc w:val="center"/>
              <w:rPr>
                <w:rFonts w:cs="Arial"/>
                <w:color w:val="000000"/>
                <w:sz w:val="20"/>
                <w:szCs w:val="20"/>
                <w:lang w:val="en-US" w:eastAsia="de-AT"/>
              </w:rPr>
            </w:pPr>
          </w:p>
        </w:tc>
        <w:tc>
          <w:tcPr>
            <w:tcW w:w="293" w:type="pct"/>
            <w:tcBorders>
              <w:top w:val="nil"/>
              <w:left w:val="nil"/>
              <w:bottom w:val="nil"/>
              <w:right w:val="nil"/>
            </w:tcBorders>
            <w:shd w:val="clear" w:color="auto" w:fill="auto"/>
            <w:noWrap/>
            <w:vAlign w:val="bottom"/>
            <w:hideMark/>
          </w:tcPr>
          <w:p w14:paraId="134A024A" w14:textId="77777777" w:rsidR="00596935" w:rsidRPr="00596935" w:rsidRDefault="00596935" w:rsidP="00596935">
            <w:pPr>
              <w:jc w:val="center"/>
              <w:rPr>
                <w:rFonts w:cs="Arial"/>
                <w:color w:val="000000"/>
                <w:sz w:val="20"/>
                <w:szCs w:val="20"/>
                <w:lang w:val="en-US" w:eastAsia="de-AT"/>
              </w:rPr>
            </w:pPr>
          </w:p>
        </w:tc>
      </w:tr>
      <w:tr w:rsidR="00596935" w:rsidRPr="007F6475" w14:paraId="67FB5CB0" w14:textId="77777777" w:rsidTr="00596935">
        <w:trPr>
          <w:trHeight w:val="255"/>
        </w:trPr>
        <w:tc>
          <w:tcPr>
            <w:tcW w:w="1171" w:type="pct"/>
            <w:gridSpan w:val="2"/>
            <w:tcBorders>
              <w:top w:val="nil"/>
              <w:left w:val="nil"/>
              <w:bottom w:val="nil"/>
              <w:right w:val="nil"/>
            </w:tcBorders>
            <w:shd w:val="clear" w:color="auto" w:fill="auto"/>
            <w:noWrap/>
            <w:vAlign w:val="center"/>
          </w:tcPr>
          <w:p w14:paraId="4105D275" w14:textId="77777777" w:rsidR="00596935" w:rsidRPr="00596935" w:rsidRDefault="00596935" w:rsidP="00596935">
            <w:pPr>
              <w:rPr>
                <w:rFonts w:cs="Arial"/>
                <w:color w:val="000000"/>
                <w:sz w:val="20"/>
                <w:szCs w:val="20"/>
                <w:lang w:val="en-US" w:eastAsia="de-AT"/>
              </w:rPr>
            </w:pPr>
          </w:p>
        </w:tc>
        <w:tc>
          <w:tcPr>
            <w:tcW w:w="523" w:type="pct"/>
            <w:tcBorders>
              <w:top w:val="nil"/>
              <w:left w:val="nil"/>
              <w:bottom w:val="nil"/>
              <w:right w:val="nil"/>
            </w:tcBorders>
            <w:shd w:val="clear" w:color="auto" w:fill="auto"/>
            <w:vAlign w:val="center"/>
          </w:tcPr>
          <w:p w14:paraId="1767A3F4" w14:textId="77777777" w:rsidR="00596935" w:rsidRPr="00596935" w:rsidRDefault="00596935" w:rsidP="00596935">
            <w:pPr>
              <w:rPr>
                <w:rFonts w:cs="Arial"/>
                <w:color w:val="000000"/>
                <w:sz w:val="20"/>
                <w:szCs w:val="20"/>
                <w:lang w:val="en-US" w:eastAsia="de-AT"/>
              </w:rPr>
            </w:pPr>
          </w:p>
        </w:tc>
        <w:tc>
          <w:tcPr>
            <w:tcW w:w="700" w:type="pct"/>
            <w:tcBorders>
              <w:top w:val="nil"/>
              <w:left w:val="nil"/>
              <w:bottom w:val="nil"/>
              <w:right w:val="nil"/>
            </w:tcBorders>
            <w:shd w:val="clear" w:color="auto" w:fill="auto"/>
            <w:noWrap/>
            <w:vAlign w:val="center"/>
          </w:tcPr>
          <w:p w14:paraId="7E098C1F" w14:textId="77777777" w:rsidR="00596935" w:rsidRPr="00596935" w:rsidRDefault="00596935" w:rsidP="00596935">
            <w:pPr>
              <w:jc w:val="center"/>
              <w:rPr>
                <w:rFonts w:cs="Arial"/>
                <w:color w:val="000000"/>
                <w:sz w:val="20"/>
                <w:szCs w:val="20"/>
                <w:lang w:val="en-US" w:eastAsia="de-AT"/>
              </w:rPr>
            </w:pPr>
          </w:p>
        </w:tc>
        <w:tc>
          <w:tcPr>
            <w:tcW w:w="351" w:type="pct"/>
            <w:tcBorders>
              <w:top w:val="nil"/>
              <w:left w:val="nil"/>
              <w:bottom w:val="nil"/>
              <w:right w:val="nil"/>
            </w:tcBorders>
            <w:shd w:val="clear" w:color="auto" w:fill="auto"/>
            <w:noWrap/>
            <w:vAlign w:val="center"/>
          </w:tcPr>
          <w:p w14:paraId="4F518236" w14:textId="77777777" w:rsidR="00596935" w:rsidRPr="00596935" w:rsidRDefault="00596935" w:rsidP="00596935">
            <w:pPr>
              <w:jc w:val="center"/>
              <w:rPr>
                <w:rFonts w:cs="Arial"/>
                <w:color w:val="000000"/>
                <w:sz w:val="20"/>
                <w:szCs w:val="20"/>
                <w:lang w:val="en-US" w:eastAsia="de-AT"/>
              </w:rPr>
            </w:pPr>
          </w:p>
        </w:tc>
        <w:tc>
          <w:tcPr>
            <w:tcW w:w="229" w:type="pct"/>
            <w:tcBorders>
              <w:top w:val="nil"/>
              <w:left w:val="nil"/>
              <w:bottom w:val="nil"/>
              <w:right w:val="nil"/>
            </w:tcBorders>
            <w:shd w:val="clear" w:color="auto" w:fill="auto"/>
            <w:noWrap/>
            <w:vAlign w:val="center"/>
          </w:tcPr>
          <w:p w14:paraId="04FD42B0" w14:textId="77777777" w:rsidR="00596935" w:rsidRPr="00596935" w:rsidRDefault="00596935" w:rsidP="00596935">
            <w:pPr>
              <w:jc w:val="center"/>
              <w:rPr>
                <w:rFonts w:cs="Arial"/>
                <w:color w:val="000000"/>
                <w:sz w:val="20"/>
                <w:szCs w:val="20"/>
                <w:lang w:val="en-US" w:eastAsia="de-AT"/>
              </w:rPr>
            </w:pPr>
          </w:p>
        </w:tc>
        <w:tc>
          <w:tcPr>
            <w:tcW w:w="281" w:type="pct"/>
            <w:tcBorders>
              <w:top w:val="nil"/>
              <w:left w:val="nil"/>
              <w:bottom w:val="nil"/>
              <w:right w:val="nil"/>
            </w:tcBorders>
            <w:shd w:val="clear" w:color="auto" w:fill="auto"/>
            <w:noWrap/>
            <w:vAlign w:val="center"/>
          </w:tcPr>
          <w:p w14:paraId="02F41117" w14:textId="77777777" w:rsidR="00596935" w:rsidRPr="00596935" w:rsidRDefault="00596935" w:rsidP="00596935">
            <w:pPr>
              <w:jc w:val="center"/>
              <w:rPr>
                <w:rFonts w:cs="Arial"/>
                <w:color w:val="000000"/>
                <w:sz w:val="20"/>
                <w:szCs w:val="20"/>
                <w:lang w:val="en-US" w:eastAsia="de-AT"/>
              </w:rPr>
            </w:pPr>
          </w:p>
        </w:tc>
        <w:tc>
          <w:tcPr>
            <w:tcW w:w="229" w:type="pct"/>
            <w:tcBorders>
              <w:top w:val="nil"/>
              <w:left w:val="nil"/>
              <w:bottom w:val="nil"/>
              <w:right w:val="nil"/>
            </w:tcBorders>
            <w:shd w:val="clear" w:color="auto" w:fill="auto"/>
            <w:noWrap/>
            <w:vAlign w:val="center"/>
          </w:tcPr>
          <w:p w14:paraId="684046D7" w14:textId="77777777" w:rsidR="00596935" w:rsidRPr="00596935" w:rsidRDefault="00596935" w:rsidP="00596935">
            <w:pPr>
              <w:jc w:val="center"/>
              <w:rPr>
                <w:rFonts w:cs="Arial"/>
                <w:color w:val="000000"/>
                <w:sz w:val="20"/>
                <w:szCs w:val="20"/>
                <w:lang w:val="en-US" w:eastAsia="de-AT"/>
              </w:rPr>
            </w:pPr>
          </w:p>
        </w:tc>
        <w:tc>
          <w:tcPr>
            <w:tcW w:w="483" w:type="pct"/>
            <w:tcBorders>
              <w:top w:val="nil"/>
              <w:left w:val="nil"/>
              <w:bottom w:val="nil"/>
              <w:right w:val="nil"/>
            </w:tcBorders>
            <w:shd w:val="clear" w:color="auto" w:fill="auto"/>
            <w:noWrap/>
            <w:vAlign w:val="center"/>
          </w:tcPr>
          <w:p w14:paraId="04EA9BC0" w14:textId="77777777" w:rsidR="00596935" w:rsidRPr="00596935" w:rsidRDefault="00596935" w:rsidP="00596935">
            <w:pPr>
              <w:jc w:val="center"/>
              <w:rPr>
                <w:rFonts w:cs="Arial"/>
                <w:color w:val="000000"/>
                <w:sz w:val="20"/>
                <w:szCs w:val="20"/>
                <w:lang w:val="en-US" w:eastAsia="de-AT"/>
              </w:rPr>
            </w:pPr>
          </w:p>
        </w:tc>
        <w:tc>
          <w:tcPr>
            <w:tcW w:w="229" w:type="pct"/>
            <w:tcBorders>
              <w:top w:val="nil"/>
              <w:left w:val="nil"/>
              <w:bottom w:val="nil"/>
              <w:right w:val="nil"/>
            </w:tcBorders>
            <w:shd w:val="clear" w:color="auto" w:fill="auto"/>
            <w:noWrap/>
            <w:vAlign w:val="center"/>
          </w:tcPr>
          <w:p w14:paraId="3765BF9C" w14:textId="77777777" w:rsidR="00596935" w:rsidRPr="00596935" w:rsidRDefault="00596935" w:rsidP="00596935">
            <w:pPr>
              <w:jc w:val="center"/>
              <w:rPr>
                <w:rFonts w:cs="Arial"/>
                <w:color w:val="000000"/>
                <w:sz w:val="20"/>
                <w:szCs w:val="20"/>
                <w:lang w:val="en-US" w:eastAsia="de-AT"/>
              </w:rPr>
            </w:pPr>
          </w:p>
        </w:tc>
        <w:tc>
          <w:tcPr>
            <w:tcW w:w="281" w:type="pct"/>
            <w:tcBorders>
              <w:top w:val="nil"/>
              <w:left w:val="nil"/>
              <w:bottom w:val="nil"/>
              <w:right w:val="nil"/>
            </w:tcBorders>
            <w:shd w:val="clear" w:color="auto" w:fill="auto"/>
            <w:noWrap/>
            <w:vAlign w:val="center"/>
          </w:tcPr>
          <w:p w14:paraId="5574999D" w14:textId="77777777" w:rsidR="00596935" w:rsidRPr="00596935" w:rsidRDefault="00596935" w:rsidP="00596935">
            <w:pPr>
              <w:jc w:val="center"/>
              <w:rPr>
                <w:rFonts w:cs="Arial"/>
                <w:color w:val="000000"/>
                <w:sz w:val="20"/>
                <w:szCs w:val="20"/>
                <w:lang w:val="en-US" w:eastAsia="de-AT"/>
              </w:rPr>
            </w:pPr>
          </w:p>
        </w:tc>
        <w:tc>
          <w:tcPr>
            <w:tcW w:w="229" w:type="pct"/>
            <w:tcBorders>
              <w:top w:val="nil"/>
              <w:left w:val="nil"/>
              <w:bottom w:val="nil"/>
              <w:right w:val="nil"/>
            </w:tcBorders>
            <w:shd w:val="clear" w:color="auto" w:fill="auto"/>
            <w:noWrap/>
            <w:vAlign w:val="center"/>
          </w:tcPr>
          <w:p w14:paraId="753602FC" w14:textId="77777777" w:rsidR="00596935" w:rsidRPr="00596935" w:rsidRDefault="00596935" w:rsidP="00596935">
            <w:pPr>
              <w:jc w:val="center"/>
              <w:rPr>
                <w:rFonts w:cs="Arial"/>
                <w:color w:val="000000"/>
                <w:sz w:val="20"/>
                <w:szCs w:val="20"/>
                <w:lang w:val="en-US" w:eastAsia="de-AT"/>
              </w:rPr>
            </w:pPr>
          </w:p>
        </w:tc>
        <w:tc>
          <w:tcPr>
            <w:tcW w:w="293" w:type="pct"/>
            <w:tcBorders>
              <w:top w:val="nil"/>
              <w:left w:val="nil"/>
              <w:bottom w:val="nil"/>
              <w:right w:val="nil"/>
            </w:tcBorders>
            <w:shd w:val="clear" w:color="auto" w:fill="auto"/>
            <w:noWrap/>
            <w:vAlign w:val="bottom"/>
          </w:tcPr>
          <w:p w14:paraId="341D6D6A" w14:textId="77777777" w:rsidR="00596935" w:rsidRPr="00596935" w:rsidRDefault="00596935" w:rsidP="00596935">
            <w:pPr>
              <w:jc w:val="center"/>
              <w:rPr>
                <w:rFonts w:cs="Arial"/>
                <w:color w:val="000000"/>
                <w:sz w:val="20"/>
                <w:szCs w:val="20"/>
                <w:lang w:val="en-US" w:eastAsia="de-AT"/>
              </w:rPr>
            </w:pPr>
          </w:p>
        </w:tc>
      </w:tr>
    </w:tbl>
    <w:p w14:paraId="311FBC55" w14:textId="77777777" w:rsidR="00596935" w:rsidRPr="00596935" w:rsidRDefault="00596935" w:rsidP="00596935">
      <w:pPr>
        <w:spacing w:after="200" w:line="276" w:lineRule="auto"/>
        <w:rPr>
          <w:rFonts w:asciiTheme="minorHAnsi" w:eastAsiaTheme="minorHAnsi" w:hAnsiTheme="minorHAnsi" w:cstheme="minorBidi"/>
          <w:sz w:val="24"/>
          <w:szCs w:val="24"/>
          <w:highlight w:val="yellow"/>
          <w:lang w:val="en-GB" w:eastAsia="en-US"/>
        </w:rPr>
        <w:sectPr w:rsidR="00596935" w:rsidRPr="00596935" w:rsidSect="00596935">
          <w:pgSz w:w="16838" w:h="11906" w:orient="landscape"/>
          <w:pgMar w:top="1417" w:right="1417" w:bottom="1417" w:left="1134" w:header="708" w:footer="708" w:gutter="0"/>
          <w:cols w:space="708"/>
          <w:docGrid w:linePitch="360"/>
        </w:sectPr>
      </w:pPr>
    </w:p>
    <w:p w14:paraId="2988CE0A" w14:textId="77777777" w:rsidR="00596935" w:rsidRPr="00C67966" w:rsidRDefault="00596935" w:rsidP="00C67966">
      <w:pPr>
        <w:pStyle w:val="Textbody"/>
        <w:rPr>
          <w:rFonts w:eastAsiaTheme="minorHAnsi"/>
          <w:b/>
        </w:rPr>
      </w:pPr>
      <w:r w:rsidRPr="00C67966">
        <w:rPr>
          <w:rFonts w:eastAsiaTheme="minorHAnsi"/>
          <w:b/>
        </w:rPr>
        <w:lastRenderedPageBreak/>
        <w:t>Speech recognition/comprehension scores</w:t>
      </w:r>
    </w:p>
    <w:p w14:paraId="00552237" w14:textId="77777777" w:rsidR="00596935" w:rsidRPr="00C67966" w:rsidRDefault="00596935" w:rsidP="00C67966">
      <w:pPr>
        <w:pStyle w:val="Textbody"/>
        <w:rPr>
          <w:rFonts w:eastAsiaTheme="minorHAnsi"/>
        </w:rPr>
      </w:pPr>
      <w:r w:rsidRPr="00C67966">
        <w:rPr>
          <w:rFonts w:eastAsiaTheme="minorHAnsi"/>
        </w:rPr>
        <w:t xml:space="preserve">16 studies measured speech recognition in quiet using several different speech tests; with the most frequently used ones being Freiburger monosyllabic word lists and French Fournier disyllabic word lists presented at 65 dB SPL. 11 studies covering 192 patients assessed the word recognition score (WRS) when aided with the VSB and indicated a mean WRS of 57% to 89%.  The pooled average across studies was 73.6% (SD 12%). A meta-analysis was possible for seven studies that provided full dataset for aided and unaided performance. The results and the forest plot are given in </w:t>
      </w:r>
      <w:r w:rsidR="00D77AE9" w:rsidRPr="00C67966">
        <w:rPr>
          <w:rFonts w:eastAsiaTheme="minorHAnsi"/>
          <w:highlight w:val="yellow"/>
        </w:rPr>
        <w:fldChar w:fldCharType="begin"/>
      </w:r>
      <w:r w:rsidR="00D77AE9" w:rsidRPr="00C67966">
        <w:rPr>
          <w:rFonts w:eastAsiaTheme="minorHAnsi"/>
        </w:rPr>
        <w:instrText xml:space="preserve"> REF _Ref400643558 \h </w:instrText>
      </w:r>
      <w:r w:rsidR="00C67966" w:rsidRPr="00C67966">
        <w:rPr>
          <w:rFonts w:eastAsiaTheme="minorHAnsi"/>
          <w:highlight w:val="yellow"/>
        </w:rPr>
        <w:instrText xml:space="preserve"> \* MERGEFORMAT </w:instrText>
      </w:r>
      <w:r w:rsidR="00D77AE9" w:rsidRPr="00C67966">
        <w:rPr>
          <w:rFonts w:eastAsiaTheme="minorHAnsi"/>
          <w:highlight w:val="yellow"/>
        </w:rPr>
      </w:r>
      <w:r w:rsidR="00D77AE9" w:rsidRPr="00C67966">
        <w:rPr>
          <w:rFonts w:eastAsiaTheme="minorHAnsi"/>
          <w:highlight w:val="yellow"/>
        </w:rPr>
        <w:fldChar w:fldCharType="separate"/>
      </w:r>
      <w:r w:rsidR="00016592" w:rsidRPr="00016592">
        <w:t>Fig 10</w:t>
      </w:r>
      <w:r w:rsidR="00016592" w:rsidRPr="00C67966">
        <w:rPr>
          <w:rFonts w:eastAsiaTheme="minorHAnsi"/>
          <w:u w:val="single"/>
          <w:lang w:val="en-GB" w:eastAsia="en-US"/>
        </w:rPr>
        <w:t xml:space="preserve"> - Meta-analysis VSB</w:t>
      </w:r>
      <w:r w:rsidR="00D77AE9" w:rsidRPr="00C67966">
        <w:rPr>
          <w:rFonts w:eastAsiaTheme="minorHAnsi"/>
          <w:highlight w:val="yellow"/>
        </w:rPr>
        <w:fldChar w:fldCharType="end"/>
      </w:r>
      <w:r w:rsidRPr="00C67966">
        <w:rPr>
          <w:rFonts w:eastAsiaTheme="minorHAnsi"/>
        </w:rPr>
        <w:t xml:space="preserve">. A random-effects model was chosen due to the test of heterogeneity showing significant results. The mean improvement in the WRS was 35.69% (95% CI levels, 29.23 - 42.15) demonstrating an overall significant of the VSB. Please see </w:t>
      </w:r>
      <w:r w:rsidR="00D77AE9" w:rsidRPr="00C67966">
        <w:rPr>
          <w:rFonts w:eastAsiaTheme="minorHAnsi"/>
          <w:highlight w:val="yellow"/>
        </w:rPr>
        <w:fldChar w:fldCharType="begin"/>
      </w:r>
      <w:r w:rsidR="00D77AE9" w:rsidRPr="00C67966">
        <w:rPr>
          <w:rFonts w:eastAsiaTheme="minorHAnsi"/>
        </w:rPr>
        <w:instrText xml:space="preserve"> REF _Ref400643603 \h </w:instrText>
      </w:r>
      <w:r w:rsidR="00C67966" w:rsidRPr="00C67966">
        <w:rPr>
          <w:rFonts w:eastAsiaTheme="minorHAnsi"/>
          <w:highlight w:val="yellow"/>
        </w:rPr>
        <w:instrText xml:space="preserve"> \* MERGEFORMAT </w:instrText>
      </w:r>
      <w:r w:rsidR="00D77AE9" w:rsidRPr="00C67966">
        <w:rPr>
          <w:rFonts w:eastAsiaTheme="minorHAnsi"/>
          <w:highlight w:val="yellow"/>
        </w:rPr>
      </w:r>
      <w:r w:rsidR="00D77AE9" w:rsidRPr="00C67966">
        <w:rPr>
          <w:rFonts w:eastAsiaTheme="minorHAnsi"/>
          <w:highlight w:val="yellow"/>
        </w:rPr>
        <w:fldChar w:fldCharType="separate"/>
      </w:r>
      <w:r w:rsidR="00016592" w:rsidRPr="00C67966">
        <w:t xml:space="preserve">Table </w:t>
      </w:r>
      <w:r w:rsidR="00016592">
        <w:t>18</w:t>
      </w:r>
      <w:r w:rsidR="00016592" w:rsidRPr="00C67966">
        <w:t xml:space="preserve"> -</w:t>
      </w:r>
      <w:r w:rsidR="00016592" w:rsidRPr="00C67966">
        <w:rPr>
          <w:rFonts w:eastAsiaTheme="minorHAnsi"/>
          <w:lang w:val="en-GB" w:eastAsia="en-US"/>
        </w:rPr>
        <w:t xml:space="preserve"> Speech in quiet VSB</w:t>
      </w:r>
      <w:r w:rsidR="00D77AE9" w:rsidRPr="00C67966">
        <w:rPr>
          <w:rFonts w:eastAsiaTheme="minorHAnsi"/>
          <w:highlight w:val="yellow"/>
        </w:rPr>
        <w:fldChar w:fldCharType="end"/>
      </w:r>
    </w:p>
    <w:p w14:paraId="5D0E3D85" w14:textId="77777777" w:rsidR="00596935" w:rsidRPr="00C67966" w:rsidRDefault="00596935" w:rsidP="00C67966">
      <w:pPr>
        <w:pStyle w:val="Textbody"/>
        <w:rPr>
          <w:rFonts w:eastAsiaTheme="minorHAnsi"/>
        </w:rPr>
      </w:pPr>
    </w:p>
    <w:p w14:paraId="065AF13C" w14:textId="77777777" w:rsidR="00596935" w:rsidRPr="00596935" w:rsidRDefault="00596935" w:rsidP="00596935">
      <w:pPr>
        <w:spacing w:after="200" w:line="276" w:lineRule="auto"/>
        <w:rPr>
          <w:rFonts w:asciiTheme="minorHAnsi" w:eastAsiaTheme="minorHAnsi" w:hAnsiTheme="minorHAnsi" w:cstheme="minorBidi"/>
          <w:sz w:val="24"/>
          <w:szCs w:val="24"/>
          <w:lang w:val="en-GB" w:eastAsia="en-US"/>
        </w:rPr>
      </w:pPr>
      <w:r w:rsidRPr="00596935">
        <w:rPr>
          <w:rFonts w:asciiTheme="minorHAnsi" w:eastAsiaTheme="minorHAnsi" w:hAnsiTheme="minorHAnsi" w:cstheme="minorBidi"/>
          <w:noProof/>
          <w:sz w:val="24"/>
          <w:szCs w:val="24"/>
        </w:rPr>
        <w:drawing>
          <wp:inline distT="0" distB="0" distL="0" distR="0" wp14:anchorId="3371BEF5" wp14:editId="36DC1874">
            <wp:extent cx="6176513" cy="2613036"/>
            <wp:effectExtent l="0" t="0" r="0" b="0"/>
            <wp:docPr id="13" name="Grafik 13" descr="Meta-analysis V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 analysis.JPG"/>
                    <pic:cNvPicPr/>
                  </pic:nvPicPr>
                  <pic:blipFill>
                    <a:blip r:embed="rId56">
                      <a:extLst>
                        <a:ext uri="{28A0092B-C50C-407E-A947-70E740481C1C}">
                          <a14:useLocalDpi xmlns:a14="http://schemas.microsoft.com/office/drawing/2010/main" val="0"/>
                        </a:ext>
                      </a:extLst>
                    </a:blip>
                    <a:stretch>
                      <a:fillRect/>
                    </a:stretch>
                  </pic:blipFill>
                  <pic:spPr>
                    <a:xfrm>
                      <a:off x="0" y="0"/>
                      <a:ext cx="6174664" cy="2612254"/>
                    </a:xfrm>
                    <a:prstGeom prst="rect">
                      <a:avLst/>
                    </a:prstGeom>
                  </pic:spPr>
                </pic:pic>
              </a:graphicData>
            </a:graphic>
          </wp:inline>
        </w:drawing>
      </w:r>
    </w:p>
    <w:p w14:paraId="69E54B75" w14:textId="77777777" w:rsidR="00C67966" w:rsidRPr="00C67966" w:rsidRDefault="00C67966" w:rsidP="00C67966">
      <w:pPr>
        <w:pStyle w:val="Caption"/>
        <w:rPr>
          <w:rFonts w:ascii="Arial" w:eastAsiaTheme="minorHAnsi" w:hAnsi="Arial" w:cs="Arial"/>
          <w:u w:val="single"/>
          <w:lang w:val="en-GB" w:eastAsia="en-US"/>
        </w:rPr>
      </w:pPr>
      <w:bookmarkStart w:id="434" w:name="_Ref400643558"/>
      <w:bookmarkStart w:id="435" w:name="_Toc431653919"/>
      <w:r w:rsidRPr="00C67966">
        <w:rPr>
          <w:rFonts w:ascii="Arial" w:hAnsi="Arial" w:cs="Arial"/>
          <w:u w:val="single"/>
        </w:rPr>
        <w:t xml:space="preserve">Fig </w:t>
      </w:r>
      <w:r w:rsidRPr="00C67966">
        <w:rPr>
          <w:rFonts w:ascii="Arial" w:hAnsi="Arial" w:cs="Arial"/>
          <w:u w:val="single"/>
        </w:rPr>
        <w:fldChar w:fldCharType="begin"/>
      </w:r>
      <w:r w:rsidRPr="00C67966">
        <w:rPr>
          <w:rFonts w:ascii="Arial" w:hAnsi="Arial" w:cs="Arial"/>
          <w:u w:val="single"/>
        </w:rPr>
        <w:instrText xml:space="preserve"> SEQ Fig \* ARABIC </w:instrText>
      </w:r>
      <w:r w:rsidRPr="00C67966">
        <w:rPr>
          <w:rFonts w:ascii="Arial" w:hAnsi="Arial" w:cs="Arial"/>
          <w:u w:val="single"/>
        </w:rPr>
        <w:fldChar w:fldCharType="separate"/>
      </w:r>
      <w:r w:rsidR="00016592">
        <w:rPr>
          <w:rFonts w:ascii="Arial" w:hAnsi="Arial" w:cs="Arial"/>
          <w:noProof/>
          <w:u w:val="single"/>
        </w:rPr>
        <w:t>10</w:t>
      </w:r>
      <w:r w:rsidRPr="00C67966">
        <w:rPr>
          <w:rFonts w:ascii="Arial" w:hAnsi="Arial" w:cs="Arial"/>
          <w:u w:val="single"/>
        </w:rPr>
        <w:fldChar w:fldCharType="end"/>
      </w:r>
      <w:r w:rsidRPr="00C67966">
        <w:rPr>
          <w:rFonts w:ascii="Arial" w:eastAsiaTheme="minorHAnsi" w:hAnsi="Arial" w:cs="Arial"/>
          <w:u w:val="single"/>
          <w:lang w:val="en-GB" w:eastAsia="en-US"/>
        </w:rPr>
        <w:t xml:space="preserve"> - Meta-analysis VSB</w:t>
      </w:r>
      <w:bookmarkEnd w:id="434"/>
      <w:bookmarkEnd w:id="435"/>
    </w:p>
    <w:p w14:paraId="1C8CBE58" w14:textId="77777777" w:rsidR="00596935" w:rsidRDefault="00596935" w:rsidP="00596935">
      <w:pPr>
        <w:spacing w:after="200" w:line="276" w:lineRule="auto"/>
        <w:rPr>
          <w:rFonts w:asciiTheme="minorHAnsi" w:eastAsiaTheme="minorHAnsi" w:hAnsiTheme="minorHAnsi"/>
          <w:sz w:val="24"/>
          <w:szCs w:val="24"/>
          <w:lang w:val="en-GB" w:eastAsia="en-US"/>
        </w:rPr>
      </w:pPr>
    </w:p>
    <w:p w14:paraId="5E6EEC97" w14:textId="77777777" w:rsidR="00C67966" w:rsidRPr="00C67966" w:rsidRDefault="00C67966" w:rsidP="00596935">
      <w:pPr>
        <w:spacing w:after="200" w:line="276" w:lineRule="auto"/>
        <w:rPr>
          <w:rFonts w:eastAsiaTheme="minorHAnsi" w:cs="Arial"/>
          <w:sz w:val="20"/>
          <w:szCs w:val="20"/>
          <w:lang w:val="en-GB" w:eastAsia="en-US"/>
        </w:rPr>
      </w:pPr>
    </w:p>
    <w:p w14:paraId="607746A7" w14:textId="77777777" w:rsidR="00596935" w:rsidRPr="00C67966" w:rsidRDefault="00D77AE9" w:rsidP="007F6475">
      <w:pPr>
        <w:pStyle w:val="Caption"/>
        <w:rPr>
          <w:rFonts w:ascii="Arial" w:eastAsiaTheme="minorHAnsi" w:hAnsi="Arial" w:cs="Arial"/>
          <w:lang w:val="en-GB" w:eastAsia="en-US"/>
        </w:rPr>
      </w:pPr>
      <w:bookmarkStart w:id="436" w:name="_Ref400647674"/>
      <w:bookmarkStart w:id="437" w:name="_Ref400643603"/>
      <w:bookmarkStart w:id="438" w:name="_Toc431917478"/>
      <w:r w:rsidRPr="00C67966">
        <w:rPr>
          <w:rFonts w:ascii="Arial" w:hAnsi="Arial" w:cs="Arial"/>
        </w:rPr>
        <w:t xml:space="preserve">Table </w:t>
      </w:r>
      <w:r w:rsidRPr="00C67966">
        <w:rPr>
          <w:rFonts w:ascii="Arial" w:hAnsi="Arial" w:cs="Arial"/>
        </w:rPr>
        <w:fldChar w:fldCharType="begin"/>
      </w:r>
      <w:r w:rsidRPr="00C67966">
        <w:rPr>
          <w:rFonts w:ascii="Arial" w:hAnsi="Arial" w:cs="Arial"/>
        </w:rPr>
        <w:instrText xml:space="preserve"> SEQ Table \* ARABIC </w:instrText>
      </w:r>
      <w:r w:rsidRPr="00C67966">
        <w:rPr>
          <w:rFonts w:ascii="Arial" w:hAnsi="Arial" w:cs="Arial"/>
        </w:rPr>
        <w:fldChar w:fldCharType="separate"/>
      </w:r>
      <w:r w:rsidR="00016592">
        <w:rPr>
          <w:rFonts w:ascii="Arial" w:hAnsi="Arial" w:cs="Arial"/>
          <w:noProof/>
        </w:rPr>
        <w:t>18</w:t>
      </w:r>
      <w:r w:rsidRPr="00C67966">
        <w:rPr>
          <w:rFonts w:ascii="Arial" w:hAnsi="Arial" w:cs="Arial"/>
        </w:rPr>
        <w:fldChar w:fldCharType="end"/>
      </w:r>
      <w:bookmarkEnd w:id="436"/>
      <w:r w:rsidRPr="00C67966">
        <w:rPr>
          <w:rFonts w:ascii="Arial" w:hAnsi="Arial" w:cs="Arial"/>
          <w:lang w:val="en-US"/>
        </w:rPr>
        <w:t xml:space="preserve"> -</w:t>
      </w:r>
      <w:r w:rsidRPr="00C67966">
        <w:rPr>
          <w:rFonts w:ascii="Arial" w:eastAsiaTheme="minorHAnsi" w:hAnsi="Arial" w:cs="Arial"/>
          <w:lang w:val="en-GB" w:eastAsia="en-US"/>
        </w:rPr>
        <w:t xml:space="preserve"> S</w:t>
      </w:r>
      <w:r w:rsidR="00596935" w:rsidRPr="00C67966">
        <w:rPr>
          <w:rFonts w:ascii="Arial" w:eastAsiaTheme="minorHAnsi" w:hAnsi="Arial" w:cs="Arial"/>
          <w:lang w:val="en-GB" w:eastAsia="en-US"/>
        </w:rPr>
        <w:t>peech in quiet VSB</w:t>
      </w:r>
      <w:bookmarkEnd w:id="437"/>
      <w:bookmarkEnd w:id="438"/>
    </w:p>
    <w:tbl>
      <w:tblPr>
        <w:tblW w:w="5000" w:type="pct"/>
        <w:tblCellMar>
          <w:left w:w="70" w:type="dxa"/>
          <w:right w:w="70" w:type="dxa"/>
        </w:tblCellMar>
        <w:tblLook w:val="04A0" w:firstRow="1" w:lastRow="0" w:firstColumn="1" w:lastColumn="0" w:noHBand="0" w:noVBand="1"/>
        <w:tblDescription w:val="Speech in quiet VSB continued"/>
      </w:tblPr>
      <w:tblGrid>
        <w:gridCol w:w="1063"/>
        <w:gridCol w:w="2635"/>
        <w:gridCol w:w="1275"/>
        <w:gridCol w:w="643"/>
        <w:gridCol w:w="440"/>
        <w:gridCol w:w="730"/>
        <w:gridCol w:w="545"/>
        <w:gridCol w:w="1120"/>
        <w:gridCol w:w="761"/>
      </w:tblGrid>
      <w:tr w:rsidR="00596935" w:rsidRPr="00596935" w14:paraId="3BBCC59D" w14:textId="77777777" w:rsidTr="00596935">
        <w:trPr>
          <w:trHeight w:val="489"/>
        </w:trPr>
        <w:tc>
          <w:tcPr>
            <w:tcW w:w="2007" w:type="pct"/>
            <w:gridSpan w:val="2"/>
            <w:tcBorders>
              <w:top w:val="single" w:sz="8" w:space="0" w:color="auto"/>
              <w:left w:val="single" w:sz="8" w:space="0" w:color="auto"/>
              <w:bottom w:val="single" w:sz="8" w:space="0" w:color="auto"/>
              <w:right w:val="nil"/>
            </w:tcBorders>
            <w:shd w:val="clear" w:color="000000" w:fill="D9D9D9"/>
            <w:vAlign w:val="center"/>
            <w:hideMark/>
          </w:tcPr>
          <w:p w14:paraId="5ADE60CA"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speech in quiet</w:t>
            </w:r>
          </w:p>
        </w:tc>
        <w:tc>
          <w:tcPr>
            <w:tcW w:w="1280" w:type="pct"/>
            <w:gridSpan w:val="3"/>
            <w:tcBorders>
              <w:top w:val="single" w:sz="8" w:space="0" w:color="auto"/>
              <w:left w:val="single" w:sz="8" w:space="0" w:color="auto"/>
              <w:bottom w:val="single" w:sz="8" w:space="0" w:color="auto"/>
              <w:right w:val="single" w:sz="8" w:space="0" w:color="000000"/>
            </w:tcBorders>
            <w:shd w:val="clear" w:color="000000" w:fill="D9D9D9"/>
            <w:vAlign w:val="center"/>
            <w:hideMark/>
          </w:tcPr>
          <w:p w14:paraId="20340358"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Baseline unaided</w:t>
            </w:r>
          </w:p>
        </w:tc>
        <w:tc>
          <w:tcPr>
            <w:tcW w:w="1713" w:type="pct"/>
            <w:gridSpan w:val="4"/>
            <w:tcBorders>
              <w:top w:val="single" w:sz="8" w:space="0" w:color="auto"/>
              <w:left w:val="nil"/>
              <w:bottom w:val="single" w:sz="8" w:space="0" w:color="auto"/>
              <w:right w:val="single" w:sz="8" w:space="0" w:color="000000"/>
            </w:tcBorders>
            <w:shd w:val="clear" w:color="000000" w:fill="D9D9D9"/>
            <w:vAlign w:val="center"/>
            <w:hideMark/>
          </w:tcPr>
          <w:p w14:paraId="06711845"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Initial testing/activation</w:t>
            </w:r>
          </w:p>
        </w:tc>
      </w:tr>
      <w:tr w:rsidR="00596935" w:rsidRPr="00596935" w14:paraId="6BDCBE26" w14:textId="77777777" w:rsidTr="00596935">
        <w:trPr>
          <w:trHeight w:val="489"/>
        </w:trPr>
        <w:tc>
          <w:tcPr>
            <w:tcW w:w="577" w:type="pct"/>
            <w:tcBorders>
              <w:top w:val="nil"/>
              <w:left w:val="single" w:sz="8" w:space="0" w:color="auto"/>
              <w:bottom w:val="nil"/>
              <w:right w:val="single" w:sz="8" w:space="0" w:color="auto"/>
            </w:tcBorders>
            <w:shd w:val="clear" w:color="000000" w:fill="F2DCDB"/>
            <w:vAlign w:val="bottom"/>
            <w:hideMark/>
          </w:tcPr>
          <w:p w14:paraId="53F5FADD" w14:textId="77777777" w:rsidR="00596935" w:rsidRPr="00596935" w:rsidRDefault="00596935" w:rsidP="00596935">
            <w:pPr>
              <w:jc w:val="center"/>
              <w:rPr>
                <w:rFonts w:cs="Arial"/>
                <w:b/>
                <w:bCs/>
                <w:i/>
                <w:iCs/>
                <w:sz w:val="20"/>
                <w:szCs w:val="20"/>
                <w:lang w:val="de-AT" w:eastAsia="de-AT"/>
              </w:rPr>
            </w:pPr>
            <w:r w:rsidRPr="00596935">
              <w:rPr>
                <w:rFonts w:cs="Arial"/>
                <w:b/>
                <w:bCs/>
                <w:i/>
                <w:iCs/>
                <w:sz w:val="20"/>
                <w:szCs w:val="20"/>
                <w:lang w:val="de-AT" w:eastAsia="de-AT"/>
              </w:rPr>
              <w:t>WRS</w:t>
            </w:r>
          </w:p>
        </w:tc>
        <w:tc>
          <w:tcPr>
            <w:tcW w:w="1430" w:type="pct"/>
            <w:tcBorders>
              <w:top w:val="nil"/>
              <w:left w:val="nil"/>
              <w:bottom w:val="nil"/>
              <w:right w:val="nil"/>
            </w:tcBorders>
            <w:shd w:val="clear" w:color="000000" w:fill="F2DCDB"/>
            <w:vAlign w:val="bottom"/>
            <w:hideMark/>
          </w:tcPr>
          <w:p w14:paraId="1EA5E088"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Test</w:t>
            </w:r>
          </w:p>
        </w:tc>
        <w:tc>
          <w:tcPr>
            <w:tcW w:w="1041" w:type="pct"/>
            <w:gridSpan w:val="2"/>
            <w:tcBorders>
              <w:top w:val="single" w:sz="8" w:space="0" w:color="auto"/>
              <w:left w:val="single" w:sz="8" w:space="0" w:color="auto"/>
              <w:bottom w:val="nil"/>
              <w:right w:val="nil"/>
            </w:tcBorders>
            <w:shd w:val="clear" w:color="000000" w:fill="F2DCDB"/>
            <w:vAlign w:val="bottom"/>
            <w:hideMark/>
          </w:tcPr>
          <w:p w14:paraId="5CA378A1" w14:textId="77777777" w:rsidR="00596935" w:rsidRPr="00596935" w:rsidRDefault="00596935" w:rsidP="00596935">
            <w:pPr>
              <w:jc w:val="center"/>
              <w:rPr>
                <w:rFonts w:cs="Arial"/>
                <w:b/>
                <w:bCs/>
                <w:color w:val="000000"/>
                <w:sz w:val="20"/>
                <w:szCs w:val="20"/>
                <w:lang w:val="de-AT" w:eastAsia="de-AT"/>
              </w:rPr>
            </w:pPr>
            <w:r w:rsidRPr="00596935">
              <w:rPr>
                <w:rFonts w:cs="Arial"/>
                <w:b/>
                <w:bCs/>
                <w:color w:val="000000"/>
                <w:sz w:val="20"/>
                <w:szCs w:val="20"/>
                <w:lang w:val="de-AT" w:eastAsia="de-AT"/>
              </w:rPr>
              <w:t>unaided</w:t>
            </w:r>
          </w:p>
        </w:tc>
        <w:tc>
          <w:tcPr>
            <w:tcW w:w="239" w:type="pct"/>
            <w:tcBorders>
              <w:top w:val="nil"/>
              <w:left w:val="nil"/>
              <w:bottom w:val="nil"/>
              <w:right w:val="single" w:sz="8" w:space="0" w:color="auto"/>
            </w:tcBorders>
            <w:shd w:val="clear" w:color="000000" w:fill="F2DCDB"/>
            <w:vAlign w:val="bottom"/>
            <w:hideMark/>
          </w:tcPr>
          <w:p w14:paraId="06578D50" w14:textId="77777777" w:rsidR="00596935" w:rsidRPr="00596935" w:rsidRDefault="00596935" w:rsidP="00596935">
            <w:pPr>
              <w:jc w:val="center"/>
              <w:rPr>
                <w:rFonts w:cs="Arial"/>
                <w:b/>
                <w:bCs/>
                <w:color w:val="000000"/>
                <w:sz w:val="20"/>
                <w:szCs w:val="20"/>
                <w:lang w:val="de-AT" w:eastAsia="de-AT"/>
              </w:rPr>
            </w:pPr>
            <w:r w:rsidRPr="00596935">
              <w:rPr>
                <w:rFonts w:cs="Arial"/>
                <w:b/>
                <w:bCs/>
                <w:color w:val="000000"/>
                <w:sz w:val="20"/>
                <w:szCs w:val="20"/>
                <w:lang w:val="de-AT" w:eastAsia="de-AT"/>
              </w:rPr>
              <w:t> </w:t>
            </w:r>
          </w:p>
        </w:tc>
        <w:tc>
          <w:tcPr>
            <w:tcW w:w="1713" w:type="pct"/>
            <w:gridSpan w:val="4"/>
            <w:tcBorders>
              <w:top w:val="single" w:sz="8" w:space="0" w:color="auto"/>
              <w:left w:val="nil"/>
              <w:bottom w:val="single" w:sz="8" w:space="0" w:color="auto"/>
              <w:right w:val="single" w:sz="8" w:space="0" w:color="000000"/>
            </w:tcBorders>
            <w:shd w:val="clear" w:color="000000" w:fill="F2DCDB"/>
            <w:vAlign w:val="bottom"/>
            <w:hideMark/>
          </w:tcPr>
          <w:p w14:paraId="67D4DADA" w14:textId="77777777" w:rsidR="00596935" w:rsidRPr="00596935" w:rsidRDefault="00596935" w:rsidP="00596935">
            <w:pPr>
              <w:jc w:val="center"/>
              <w:rPr>
                <w:rFonts w:cs="Arial"/>
                <w:b/>
                <w:bCs/>
                <w:color w:val="000000"/>
                <w:sz w:val="20"/>
                <w:szCs w:val="20"/>
                <w:lang w:val="de-AT" w:eastAsia="de-AT"/>
              </w:rPr>
            </w:pPr>
            <w:r w:rsidRPr="00596935">
              <w:rPr>
                <w:rFonts w:cs="Arial"/>
                <w:b/>
                <w:bCs/>
                <w:color w:val="000000"/>
                <w:sz w:val="20"/>
                <w:szCs w:val="20"/>
                <w:lang w:val="de-AT" w:eastAsia="de-AT"/>
              </w:rPr>
              <w:t xml:space="preserve">aided </w:t>
            </w:r>
          </w:p>
        </w:tc>
      </w:tr>
      <w:tr w:rsidR="00596935" w:rsidRPr="00596935" w14:paraId="2454A7CC" w14:textId="77777777" w:rsidTr="00596935">
        <w:trPr>
          <w:trHeight w:val="489"/>
        </w:trPr>
        <w:tc>
          <w:tcPr>
            <w:tcW w:w="577" w:type="pct"/>
            <w:tcBorders>
              <w:top w:val="nil"/>
              <w:left w:val="single" w:sz="8" w:space="0" w:color="auto"/>
              <w:bottom w:val="single" w:sz="8" w:space="0" w:color="000000"/>
              <w:right w:val="single" w:sz="8" w:space="0" w:color="auto"/>
            </w:tcBorders>
            <w:shd w:val="clear" w:color="000000" w:fill="D9D9D9"/>
            <w:vAlign w:val="center"/>
            <w:hideMark/>
          </w:tcPr>
          <w:p w14:paraId="0E77B9A9" w14:textId="77777777" w:rsidR="00596935" w:rsidRPr="00596935" w:rsidRDefault="00596935" w:rsidP="00596935">
            <w:pPr>
              <w:jc w:val="center"/>
              <w:rPr>
                <w:rFonts w:cs="Arial"/>
                <w:b/>
                <w:bCs/>
                <w:i/>
                <w:iCs/>
                <w:sz w:val="20"/>
                <w:szCs w:val="20"/>
                <w:lang w:val="de-AT" w:eastAsia="de-AT"/>
              </w:rPr>
            </w:pPr>
            <w:r w:rsidRPr="00596935">
              <w:rPr>
                <w:rFonts w:cs="Arial"/>
                <w:b/>
                <w:bCs/>
                <w:i/>
                <w:iCs/>
                <w:sz w:val="20"/>
                <w:szCs w:val="20"/>
                <w:lang w:val="de-AT" w:eastAsia="de-AT"/>
              </w:rPr>
              <w:t>author</w:t>
            </w:r>
          </w:p>
        </w:tc>
        <w:tc>
          <w:tcPr>
            <w:tcW w:w="1430" w:type="pct"/>
            <w:tcBorders>
              <w:top w:val="nil"/>
              <w:left w:val="nil"/>
              <w:bottom w:val="nil"/>
              <w:right w:val="nil"/>
            </w:tcBorders>
            <w:shd w:val="clear" w:color="000000" w:fill="D9D9D9"/>
            <w:vAlign w:val="bottom"/>
            <w:hideMark/>
          </w:tcPr>
          <w:p w14:paraId="221A33A1" w14:textId="77777777" w:rsidR="00596935" w:rsidRPr="00596935" w:rsidRDefault="00596935" w:rsidP="00596935">
            <w:pPr>
              <w:rPr>
                <w:rFonts w:cs="Arial"/>
                <w:color w:val="000000"/>
                <w:sz w:val="20"/>
                <w:szCs w:val="20"/>
                <w:lang w:val="de-AT" w:eastAsia="de-AT"/>
              </w:rPr>
            </w:pPr>
            <w:r w:rsidRPr="00596935">
              <w:rPr>
                <w:rFonts w:cs="Arial"/>
                <w:color w:val="000000"/>
                <w:sz w:val="20"/>
                <w:szCs w:val="20"/>
                <w:lang w:val="de-AT" w:eastAsia="de-AT"/>
              </w:rPr>
              <w:t> </w:t>
            </w:r>
          </w:p>
        </w:tc>
        <w:tc>
          <w:tcPr>
            <w:tcW w:w="692" w:type="pct"/>
            <w:tcBorders>
              <w:top w:val="single" w:sz="8" w:space="0" w:color="auto"/>
              <w:left w:val="single" w:sz="8" w:space="0" w:color="auto"/>
              <w:bottom w:val="nil"/>
              <w:right w:val="nil"/>
            </w:tcBorders>
            <w:shd w:val="clear" w:color="000000" w:fill="D9D9D9"/>
            <w:vAlign w:val="center"/>
            <w:hideMark/>
          </w:tcPr>
          <w:p w14:paraId="623B79E8"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mean [dB]</w:t>
            </w:r>
          </w:p>
        </w:tc>
        <w:tc>
          <w:tcPr>
            <w:tcW w:w="349" w:type="pct"/>
            <w:tcBorders>
              <w:top w:val="single" w:sz="8" w:space="0" w:color="auto"/>
              <w:left w:val="nil"/>
              <w:bottom w:val="nil"/>
              <w:right w:val="nil"/>
            </w:tcBorders>
            <w:shd w:val="clear" w:color="000000" w:fill="D9D9D9"/>
            <w:vAlign w:val="center"/>
            <w:hideMark/>
          </w:tcPr>
          <w:p w14:paraId="1EC0B1FE"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sd</w:t>
            </w:r>
          </w:p>
        </w:tc>
        <w:tc>
          <w:tcPr>
            <w:tcW w:w="239" w:type="pct"/>
            <w:tcBorders>
              <w:top w:val="single" w:sz="8" w:space="0" w:color="auto"/>
              <w:left w:val="nil"/>
              <w:bottom w:val="nil"/>
              <w:right w:val="single" w:sz="8" w:space="0" w:color="auto"/>
            </w:tcBorders>
            <w:shd w:val="clear" w:color="000000" w:fill="D9D9D9"/>
            <w:vAlign w:val="center"/>
            <w:hideMark/>
          </w:tcPr>
          <w:p w14:paraId="617928A6" w14:textId="77777777" w:rsidR="00596935" w:rsidRPr="00596935" w:rsidRDefault="00596935" w:rsidP="00596935">
            <w:pPr>
              <w:jc w:val="center"/>
              <w:rPr>
                <w:rFonts w:cs="Arial"/>
                <w:i/>
                <w:iCs/>
                <w:color w:val="000000"/>
                <w:sz w:val="20"/>
                <w:szCs w:val="20"/>
                <w:lang w:val="de-AT" w:eastAsia="de-AT"/>
              </w:rPr>
            </w:pPr>
            <w:r w:rsidRPr="00596935">
              <w:rPr>
                <w:rFonts w:cs="Arial"/>
                <w:i/>
                <w:iCs/>
                <w:color w:val="000000"/>
                <w:sz w:val="20"/>
                <w:szCs w:val="20"/>
                <w:lang w:val="de-AT" w:eastAsia="de-AT"/>
              </w:rPr>
              <w:t>n</w:t>
            </w:r>
          </w:p>
        </w:tc>
        <w:tc>
          <w:tcPr>
            <w:tcW w:w="692" w:type="pct"/>
            <w:gridSpan w:val="2"/>
            <w:tcBorders>
              <w:top w:val="single" w:sz="8" w:space="0" w:color="auto"/>
              <w:left w:val="nil"/>
              <w:bottom w:val="nil"/>
              <w:right w:val="nil"/>
            </w:tcBorders>
            <w:shd w:val="clear" w:color="000000" w:fill="D9D9D9"/>
            <w:vAlign w:val="center"/>
            <w:hideMark/>
          </w:tcPr>
          <w:p w14:paraId="00195E2C"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mean [dB]</w:t>
            </w:r>
          </w:p>
        </w:tc>
        <w:tc>
          <w:tcPr>
            <w:tcW w:w="608" w:type="pct"/>
            <w:tcBorders>
              <w:top w:val="nil"/>
              <w:left w:val="nil"/>
              <w:bottom w:val="nil"/>
              <w:right w:val="nil"/>
            </w:tcBorders>
            <w:shd w:val="clear" w:color="000000" w:fill="D9D9D9"/>
            <w:vAlign w:val="center"/>
            <w:hideMark/>
          </w:tcPr>
          <w:p w14:paraId="683E66BE"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sd</w:t>
            </w:r>
          </w:p>
        </w:tc>
        <w:tc>
          <w:tcPr>
            <w:tcW w:w="413" w:type="pct"/>
            <w:tcBorders>
              <w:top w:val="nil"/>
              <w:left w:val="nil"/>
              <w:bottom w:val="nil"/>
              <w:right w:val="single" w:sz="8" w:space="0" w:color="auto"/>
            </w:tcBorders>
            <w:shd w:val="clear" w:color="000000" w:fill="D9D9D9"/>
            <w:vAlign w:val="center"/>
            <w:hideMark/>
          </w:tcPr>
          <w:p w14:paraId="3CF88009" w14:textId="77777777" w:rsidR="00596935" w:rsidRPr="00596935" w:rsidRDefault="00596935" w:rsidP="00596935">
            <w:pPr>
              <w:jc w:val="center"/>
              <w:rPr>
                <w:rFonts w:cs="Arial"/>
                <w:i/>
                <w:iCs/>
                <w:color w:val="000000"/>
                <w:sz w:val="20"/>
                <w:szCs w:val="20"/>
                <w:lang w:val="de-AT" w:eastAsia="de-AT"/>
              </w:rPr>
            </w:pPr>
            <w:r w:rsidRPr="00596935">
              <w:rPr>
                <w:rFonts w:cs="Arial"/>
                <w:i/>
                <w:iCs/>
                <w:color w:val="000000"/>
                <w:sz w:val="20"/>
                <w:szCs w:val="20"/>
                <w:lang w:val="de-AT" w:eastAsia="de-AT"/>
              </w:rPr>
              <w:t>n</w:t>
            </w:r>
          </w:p>
        </w:tc>
      </w:tr>
      <w:tr w:rsidR="00596935" w:rsidRPr="00596935" w14:paraId="5260CD8F" w14:textId="77777777" w:rsidTr="00596935">
        <w:trPr>
          <w:trHeight w:val="489"/>
        </w:trPr>
        <w:tc>
          <w:tcPr>
            <w:tcW w:w="577" w:type="pct"/>
            <w:tcBorders>
              <w:top w:val="nil"/>
              <w:left w:val="single" w:sz="8" w:space="0" w:color="auto"/>
              <w:bottom w:val="nil"/>
              <w:right w:val="single" w:sz="4" w:space="0" w:color="auto"/>
            </w:tcBorders>
            <w:shd w:val="clear" w:color="auto" w:fill="auto"/>
            <w:vAlign w:val="center"/>
            <w:hideMark/>
          </w:tcPr>
          <w:p w14:paraId="5EB5FE5F" w14:textId="77777777" w:rsidR="00596935" w:rsidRPr="00596935" w:rsidRDefault="00596935" w:rsidP="00596935">
            <w:pPr>
              <w:rPr>
                <w:rFonts w:cs="Arial"/>
                <w:color w:val="000000"/>
                <w:sz w:val="20"/>
                <w:szCs w:val="20"/>
                <w:lang w:val="de-AT" w:eastAsia="de-AT"/>
              </w:rPr>
            </w:pPr>
            <w:r w:rsidRPr="00596935">
              <w:rPr>
                <w:rFonts w:cs="Arial"/>
                <w:color w:val="000000"/>
                <w:sz w:val="20"/>
                <w:szCs w:val="20"/>
                <w:lang w:val="de-AT" w:eastAsia="de-AT"/>
              </w:rPr>
              <w:t>Boeheim 2010</w:t>
            </w:r>
          </w:p>
        </w:tc>
        <w:tc>
          <w:tcPr>
            <w:tcW w:w="1430" w:type="pct"/>
            <w:tcBorders>
              <w:top w:val="single" w:sz="4" w:space="0" w:color="auto"/>
              <w:left w:val="nil"/>
              <w:bottom w:val="single" w:sz="4" w:space="0" w:color="auto"/>
              <w:right w:val="nil"/>
            </w:tcBorders>
            <w:shd w:val="clear" w:color="auto" w:fill="auto"/>
            <w:vAlign w:val="center"/>
            <w:hideMark/>
          </w:tcPr>
          <w:p w14:paraId="06EC645F" w14:textId="77777777" w:rsidR="00596935" w:rsidRPr="00596935" w:rsidRDefault="00596935" w:rsidP="00596935">
            <w:pPr>
              <w:rPr>
                <w:rFonts w:cs="Arial"/>
                <w:color w:val="000000"/>
                <w:sz w:val="20"/>
                <w:szCs w:val="20"/>
                <w:lang w:val="de-AT" w:eastAsia="de-AT"/>
              </w:rPr>
            </w:pPr>
            <w:r w:rsidRPr="00596935">
              <w:rPr>
                <w:rFonts w:cs="Arial"/>
                <w:color w:val="000000"/>
                <w:sz w:val="20"/>
                <w:szCs w:val="20"/>
                <w:lang w:val="de-AT" w:eastAsia="de-AT"/>
              </w:rPr>
              <w:t>Freiburger mono</w:t>
            </w:r>
          </w:p>
        </w:tc>
        <w:tc>
          <w:tcPr>
            <w:tcW w:w="692"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35D34C88"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26,3</w:t>
            </w:r>
          </w:p>
        </w:tc>
        <w:tc>
          <w:tcPr>
            <w:tcW w:w="349" w:type="pct"/>
            <w:tcBorders>
              <w:top w:val="single" w:sz="4" w:space="0" w:color="auto"/>
              <w:left w:val="nil"/>
              <w:bottom w:val="single" w:sz="4" w:space="0" w:color="auto"/>
              <w:right w:val="single" w:sz="4" w:space="0" w:color="auto"/>
            </w:tcBorders>
            <w:shd w:val="clear" w:color="auto" w:fill="auto"/>
            <w:vAlign w:val="center"/>
            <w:hideMark/>
          </w:tcPr>
          <w:p w14:paraId="062BC3D8"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27,4</w:t>
            </w:r>
          </w:p>
        </w:tc>
        <w:tc>
          <w:tcPr>
            <w:tcW w:w="239" w:type="pct"/>
            <w:tcBorders>
              <w:top w:val="single" w:sz="4" w:space="0" w:color="auto"/>
              <w:left w:val="nil"/>
              <w:bottom w:val="single" w:sz="4" w:space="0" w:color="auto"/>
              <w:right w:val="single" w:sz="8" w:space="0" w:color="auto"/>
            </w:tcBorders>
            <w:shd w:val="clear" w:color="auto" w:fill="auto"/>
            <w:vAlign w:val="center"/>
            <w:hideMark/>
          </w:tcPr>
          <w:p w14:paraId="5804DF0E"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10</w:t>
            </w:r>
          </w:p>
        </w:tc>
        <w:tc>
          <w:tcPr>
            <w:tcW w:w="692" w:type="pct"/>
            <w:gridSpan w:val="2"/>
            <w:tcBorders>
              <w:top w:val="single" w:sz="4" w:space="0" w:color="auto"/>
              <w:left w:val="nil"/>
              <w:bottom w:val="single" w:sz="4" w:space="0" w:color="auto"/>
              <w:right w:val="single" w:sz="4" w:space="0" w:color="auto"/>
            </w:tcBorders>
            <w:shd w:val="clear" w:color="auto" w:fill="auto"/>
            <w:vAlign w:val="center"/>
            <w:hideMark/>
          </w:tcPr>
          <w:p w14:paraId="4DEDEEA8"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63</w:t>
            </w:r>
          </w:p>
        </w:tc>
        <w:tc>
          <w:tcPr>
            <w:tcW w:w="608" w:type="pct"/>
            <w:tcBorders>
              <w:top w:val="single" w:sz="4" w:space="0" w:color="auto"/>
              <w:left w:val="nil"/>
              <w:bottom w:val="single" w:sz="4" w:space="0" w:color="auto"/>
              <w:right w:val="single" w:sz="4" w:space="0" w:color="auto"/>
            </w:tcBorders>
            <w:shd w:val="clear" w:color="auto" w:fill="auto"/>
            <w:vAlign w:val="center"/>
            <w:hideMark/>
          </w:tcPr>
          <w:p w14:paraId="3BE98351"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17,2</w:t>
            </w:r>
          </w:p>
        </w:tc>
        <w:tc>
          <w:tcPr>
            <w:tcW w:w="413" w:type="pct"/>
            <w:tcBorders>
              <w:top w:val="single" w:sz="4" w:space="0" w:color="auto"/>
              <w:left w:val="nil"/>
              <w:bottom w:val="single" w:sz="4" w:space="0" w:color="auto"/>
              <w:right w:val="single" w:sz="8" w:space="0" w:color="auto"/>
            </w:tcBorders>
            <w:shd w:val="clear" w:color="auto" w:fill="auto"/>
            <w:vAlign w:val="center"/>
            <w:hideMark/>
          </w:tcPr>
          <w:p w14:paraId="085F7D91"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10</w:t>
            </w:r>
          </w:p>
        </w:tc>
      </w:tr>
      <w:tr w:rsidR="00596935" w:rsidRPr="00596935" w14:paraId="442D4DDE" w14:textId="77777777" w:rsidTr="00596935">
        <w:trPr>
          <w:trHeight w:val="489"/>
        </w:trPr>
        <w:tc>
          <w:tcPr>
            <w:tcW w:w="577" w:type="pct"/>
            <w:tcBorders>
              <w:top w:val="single" w:sz="8" w:space="0" w:color="auto"/>
              <w:left w:val="single" w:sz="4" w:space="0" w:color="auto"/>
              <w:bottom w:val="single" w:sz="8" w:space="0" w:color="auto"/>
              <w:right w:val="single" w:sz="4" w:space="0" w:color="auto"/>
            </w:tcBorders>
            <w:shd w:val="clear" w:color="auto" w:fill="auto"/>
            <w:vAlign w:val="center"/>
            <w:hideMark/>
          </w:tcPr>
          <w:p w14:paraId="66BAD564" w14:textId="77777777" w:rsidR="00596935" w:rsidRPr="00596935" w:rsidRDefault="00596935" w:rsidP="00596935">
            <w:pPr>
              <w:rPr>
                <w:rFonts w:cs="Arial"/>
                <w:color w:val="000000"/>
                <w:sz w:val="20"/>
                <w:szCs w:val="20"/>
                <w:lang w:val="de-AT" w:eastAsia="de-AT"/>
              </w:rPr>
            </w:pPr>
            <w:r w:rsidRPr="00596935">
              <w:rPr>
                <w:rFonts w:cs="Arial"/>
                <w:color w:val="000000"/>
                <w:sz w:val="20"/>
                <w:szCs w:val="20"/>
                <w:lang w:val="de-AT" w:eastAsia="de-AT"/>
              </w:rPr>
              <w:t>Boeheim 2007</w:t>
            </w:r>
          </w:p>
        </w:tc>
        <w:tc>
          <w:tcPr>
            <w:tcW w:w="1430" w:type="pct"/>
            <w:tcBorders>
              <w:top w:val="nil"/>
              <w:left w:val="nil"/>
              <w:bottom w:val="single" w:sz="4" w:space="0" w:color="auto"/>
              <w:right w:val="single" w:sz="4" w:space="0" w:color="auto"/>
            </w:tcBorders>
            <w:shd w:val="clear" w:color="auto" w:fill="auto"/>
            <w:vAlign w:val="center"/>
            <w:hideMark/>
          </w:tcPr>
          <w:p w14:paraId="2899537E" w14:textId="77777777" w:rsidR="00596935" w:rsidRPr="00596935" w:rsidRDefault="00596935" w:rsidP="00596935">
            <w:pPr>
              <w:rPr>
                <w:rFonts w:cs="Arial"/>
                <w:color w:val="000000"/>
                <w:sz w:val="20"/>
                <w:szCs w:val="20"/>
                <w:lang w:val="de-AT" w:eastAsia="de-AT"/>
              </w:rPr>
            </w:pPr>
            <w:r w:rsidRPr="00596935">
              <w:rPr>
                <w:rFonts w:cs="Arial"/>
                <w:color w:val="000000"/>
                <w:sz w:val="20"/>
                <w:szCs w:val="20"/>
                <w:lang w:val="de-AT" w:eastAsia="de-AT"/>
              </w:rPr>
              <w:t>Freiburger mono</w:t>
            </w:r>
          </w:p>
        </w:tc>
        <w:tc>
          <w:tcPr>
            <w:tcW w:w="692" w:type="pct"/>
            <w:tcBorders>
              <w:top w:val="nil"/>
              <w:left w:val="nil"/>
              <w:bottom w:val="single" w:sz="4" w:space="0" w:color="auto"/>
              <w:right w:val="single" w:sz="4" w:space="0" w:color="auto"/>
            </w:tcBorders>
            <w:shd w:val="clear" w:color="auto" w:fill="auto"/>
            <w:vAlign w:val="center"/>
            <w:hideMark/>
          </w:tcPr>
          <w:p w14:paraId="1D24CD69"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32,5</w:t>
            </w:r>
          </w:p>
        </w:tc>
        <w:tc>
          <w:tcPr>
            <w:tcW w:w="349" w:type="pct"/>
            <w:tcBorders>
              <w:top w:val="nil"/>
              <w:left w:val="nil"/>
              <w:bottom w:val="single" w:sz="4" w:space="0" w:color="auto"/>
              <w:right w:val="single" w:sz="4" w:space="0" w:color="auto"/>
            </w:tcBorders>
            <w:shd w:val="clear" w:color="auto" w:fill="auto"/>
            <w:vAlign w:val="center"/>
            <w:hideMark/>
          </w:tcPr>
          <w:p w14:paraId="27E8F74F"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26,5</w:t>
            </w:r>
          </w:p>
        </w:tc>
        <w:tc>
          <w:tcPr>
            <w:tcW w:w="239" w:type="pct"/>
            <w:tcBorders>
              <w:top w:val="nil"/>
              <w:left w:val="nil"/>
              <w:bottom w:val="single" w:sz="4" w:space="0" w:color="auto"/>
              <w:right w:val="single" w:sz="8" w:space="0" w:color="auto"/>
            </w:tcBorders>
            <w:shd w:val="clear" w:color="auto" w:fill="auto"/>
            <w:vAlign w:val="center"/>
            <w:hideMark/>
          </w:tcPr>
          <w:p w14:paraId="2F645416"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9</w:t>
            </w:r>
          </w:p>
        </w:tc>
        <w:tc>
          <w:tcPr>
            <w:tcW w:w="692" w:type="pct"/>
            <w:gridSpan w:val="2"/>
            <w:tcBorders>
              <w:top w:val="single" w:sz="4" w:space="0" w:color="auto"/>
              <w:left w:val="nil"/>
              <w:bottom w:val="single" w:sz="4" w:space="0" w:color="auto"/>
              <w:right w:val="single" w:sz="4" w:space="0" w:color="auto"/>
            </w:tcBorders>
            <w:shd w:val="clear" w:color="auto" w:fill="auto"/>
            <w:vAlign w:val="center"/>
            <w:hideMark/>
          </w:tcPr>
          <w:p w14:paraId="36FAA749"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58</w:t>
            </w:r>
          </w:p>
        </w:tc>
        <w:tc>
          <w:tcPr>
            <w:tcW w:w="608" w:type="pct"/>
            <w:tcBorders>
              <w:top w:val="nil"/>
              <w:left w:val="nil"/>
              <w:bottom w:val="single" w:sz="4" w:space="0" w:color="auto"/>
              <w:right w:val="single" w:sz="4" w:space="0" w:color="auto"/>
            </w:tcBorders>
            <w:shd w:val="clear" w:color="auto" w:fill="auto"/>
            <w:vAlign w:val="center"/>
            <w:hideMark/>
          </w:tcPr>
          <w:p w14:paraId="48F06673"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20</w:t>
            </w:r>
          </w:p>
        </w:tc>
        <w:tc>
          <w:tcPr>
            <w:tcW w:w="413" w:type="pct"/>
            <w:tcBorders>
              <w:top w:val="nil"/>
              <w:left w:val="nil"/>
              <w:bottom w:val="single" w:sz="4" w:space="0" w:color="auto"/>
              <w:right w:val="single" w:sz="8" w:space="0" w:color="auto"/>
            </w:tcBorders>
            <w:shd w:val="clear" w:color="auto" w:fill="auto"/>
            <w:vAlign w:val="center"/>
            <w:hideMark/>
          </w:tcPr>
          <w:p w14:paraId="499715D4"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9</w:t>
            </w:r>
          </w:p>
        </w:tc>
      </w:tr>
      <w:tr w:rsidR="00596935" w:rsidRPr="00596935" w14:paraId="6D57E782" w14:textId="77777777" w:rsidTr="00596935">
        <w:trPr>
          <w:trHeight w:val="489"/>
        </w:trPr>
        <w:tc>
          <w:tcPr>
            <w:tcW w:w="577" w:type="pct"/>
            <w:tcBorders>
              <w:top w:val="nil"/>
              <w:left w:val="single" w:sz="8" w:space="0" w:color="auto"/>
              <w:bottom w:val="single" w:sz="8" w:space="0" w:color="auto"/>
              <w:right w:val="single" w:sz="4" w:space="0" w:color="auto"/>
            </w:tcBorders>
            <w:shd w:val="clear" w:color="auto" w:fill="auto"/>
            <w:vAlign w:val="center"/>
            <w:hideMark/>
          </w:tcPr>
          <w:p w14:paraId="4204D603" w14:textId="77777777" w:rsidR="003733D2" w:rsidRDefault="00596935" w:rsidP="003733D2">
            <w:pPr>
              <w:rPr>
                <w:rFonts w:cs="Arial"/>
                <w:color w:val="000000"/>
                <w:sz w:val="20"/>
                <w:szCs w:val="20"/>
                <w:lang w:val="de-AT" w:eastAsia="de-AT"/>
              </w:rPr>
            </w:pPr>
            <w:r w:rsidRPr="00596935">
              <w:rPr>
                <w:rFonts w:cs="Arial"/>
                <w:color w:val="000000"/>
                <w:sz w:val="20"/>
                <w:szCs w:val="20"/>
                <w:lang w:val="de-AT" w:eastAsia="de-AT"/>
              </w:rPr>
              <w:t>Ihler</w:t>
            </w:r>
          </w:p>
          <w:p w14:paraId="19110E0D" w14:textId="4E92F892" w:rsidR="00596935" w:rsidRPr="00596935" w:rsidRDefault="00596935" w:rsidP="003733D2">
            <w:pPr>
              <w:rPr>
                <w:rFonts w:cs="Arial"/>
                <w:color w:val="000000"/>
                <w:sz w:val="20"/>
                <w:szCs w:val="20"/>
                <w:lang w:val="de-AT" w:eastAsia="de-AT"/>
              </w:rPr>
            </w:pPr>
            <w:r w:rsidRPr="00596935">
              <w:rPr>
                <w:rFonts w:cs="Arial"/>
                <w:color w:val="000000"/>
                <w:sz w:val="20"/>
                <w:szCs w:val="20"/>
                <w:lang w:val="de-AT" w:eastAsia="de-AT"/>
              </w:rPr>
              <w:t>2013</w:t>
            </w:r>
          </w:p>
        </w:tc>
        <w:tc>
          <w:tcPr>
            <w:tcW w:w="1430" w:type="pct"/>
            <w:tcBorders>
              <w:top w:val="nil"/>
              <w:left w:val="nil"/>
              <w:bottom w:val="single" w:sz="4" w:space="0" w:color="auto"/>
              <w:right w:val="nil"/>
            </w:tcBorders>
            <w:shd w:val="clear" w:color="auto" w:fill="auto"/>
            <w:vAlign w:val="center"/>
            <w:hideMark/>
          </w:tcPr>
          <w:p w14:paraId="3E54B861" w14:textId="77777777" w:rsidR="00596935" w:rsidRPr="00596935" w:rsidRDefault="00596935" w:rsidP="00596935">
            <w:pPr>
              <w:rPr>
                <w:rFonts w:cs="Arial"/>
                <w:color w:val="000000"/>
                <w:sz w:val="20"/>
                <w:szCs w:val="20"/>
                <w:lang w:val="de-AT" w:eastAsia="de-AT"/>
              </w:rPr>
            </w:pPr>
            <w:r w:rsidRPr="00596935">
              <w:rPr>
                <w:rFonts w:cs="Arial"/>
                <w:color w:val="000000"/>
                <w:sz w:val="20"/>
                <w:szCs w:val="20"/>
                <w:lang w:val="de-AT" w:eastAsia="de-AT"/>
              </w:rPr>
              <w:t>Freiburger mono</w:t>
            </w:r>
          </w:p>
        </w:tc>
        <w:tc>
          <w:tcPr>
            <w:tcW w:w="692" w:type="pct"/>
            <w:tcBorders>
              <w:top w:val="nil"/>
              <w:left w:val="single" w:sz="8" w:space="0" w:color="auto"/>
              <w:bottom w:val="single" w:sz="4" w:space="0" w:color="auto"/>
              <w:right w:val="single" w:sz="4" w:space="0" w:color="auto"/>
            </w:tcBorders>
            <w:shd w:val="clear" w:color="auto" w:fill="auto"/>
            <w:vAlign w:val="center"/>
            <w:hideMark/>
          </w:tcPr>
          <w:p w14:paraId="533228CB"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47,9</w:t>
            </w:r>
          </w:p>
        </w:tc>
        <w:tc>
          <w:tcPr>
            <w:tcW w:w="349" w:type="pct"/>
            <w:tcBorders>
              <w:top w:val="nil"/>
              <w:left w:val="nil"/>
              <w:bottom w:val="single" w:sz="4" w:space="0" w:color="auto"/>
              <w:right w:val="single" w:sz="4" w:space="0" w:color="auto"/>
            </w:tcBorders>
            <w:shd w:val="clear" w:color="auto" w:fill="auto"/>
            <w:vAlign w:val="center"/>
            <w:hideMark/>
          </w:tcPr>
          <w:p w14:paraId="4653DF7E"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26,9</w:t>
            </w:r>
          </w:p>
        </w:tc>
        <w:tc>
          <w:tcPr>
            <w:tcW w:w="239" w:type="pct"/>
            <w:tcBorders>
              <w:top w:val="nil"/>
              <w:left w:val="nil"/>
              <w:bottom w:val="single" w:sz="4" w:space="0" w:color="auto"/>
              <w:right w:val="single" w:sz="8" w:space="0" w:color="auto"/>
            </w:tcBorders>
            <w:shd w:val="clear" w:color="auto" w:fill="auto"/>
            <w:vAlign w:val="center"/>
            <w:hideMark/>
          </w:tcPr>
          <w:p w14:paraId="1AB1C642"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10</w:t>
            </w:r>
          </w:p>
        </w:tc>
        <w:tc>
          <w:tcPr>
            <w:tcW w:w="692" w:type="pct"/>
            <w:gridSpan w:val="2"/>
            <w:tcBorders>
              <w:top w:val="single" w:sz="4" w:space="0" w:color="auto"/>
              <w:left w:val="nil"/>
              <w:bottom w:val="single" w:sz="4" w:space="0" w:color="auto"/>
              <w:right w:val="single" w:sz="4" w:space="0" w:color="auto"/>
            </w:tcBorders>
            <w:shd w:val="clear" w:color="auto" w:fill="auto"/>
            <w:vAlign w:val="center"/>
            <w:hideMark/>
          </w:tcPr>
          <w:p w14:paraId="310F9184"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83,6</w:t>
            </w:r>
          </w:p>
        </w:tc>
        <w:tc>
          <w:tcPr>
            <w:tcW w:w="608" w:type="pct"/>
            <w:tcBorders>
              <w:top w:val="nil"/>
              <w:left w:val="nil"/>
              <w:bottom w:val="single" w:sz="4" w:space="0" w:color="auto"/>
              <w:right w:val="single" w:sz="4" w:space="0" w:color="auto"/>
            </w:tcBorders>
            <w:shd w:val="clear" w:color="auto" w:fill="auto"/>
            <w:vAlign w:val="center"/>
            <w:hideMark/>
          </w:tcPr>
          <w:p w14:paraId="3D4E4FFE"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6,3</w:t>
            </w:r>
          </w:p>
        </w:tc>
        <w:tc>
          <w:tcPr>
            <w:tcW w:w="413" w:type="pct"/>
            <w:tcBorders>
              <w:top w:val="nil"/>
              <w:left w:val="nil"/>
              <w:bottom w:val="single" w:sz="4" w:space="0" w:color="auto"/>
              <w:right w:val="single" w:sz="8" w:space="0" w:color="auto"/>
            </w:tcBorders>
            <w:shd w:val="clear" w:color="auto" w:fill="auto"/>
            <w:vAlign w:val="center"/>
            <w:hideMark/>
          </w:tcPr>
          <w:p w14:paraId="005F915A"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10</w:t>
            </w:r>
          </w:p>
        </w:tc>
      </w:tr>
      <w:tr w:rsidR="00596935" w:rsidRPr="00596935" w14:paraId="0B795E02" w14:textId="77777777" w:rsidTr="00596935">
        <w:trPr>
          <w:trHeight w:val="489"/>
        </w:trPr>
        <w:tc>
          <w:tcPr>
            <w:tcW w:w="577" w:type="pct"/>
            <w:tcBorders>
              <w:top w:val="nil"/>
              <w:left w:val="single" w:sz="8" w:space="0" w:color="auto"/>
              <w:bottom w:val="single" w:sz="8" w:space="0" w:color="auto"/>
              <w:right w:val="single" w:sz="4" w:space="0" w:color="auto"/>
            </w:tcBorders>
            <w:shd w:val="clear" w:color="auto" w:fill="auto"/>
            <w:vAlign w:val="center"/>
            <w:hideMark/>
          </w:tcPr>
          <w:p w14:paraId="5A888087" w14:textId="77777777" w:rsidR="003733D2" w:rsidRDefault="00596935" w:rsidP="003733D2">
            <w:pPr>
              <w:rPr>
                <w:rFonts w:cs="Arial"/>
                <w:color w:val="000000"/>
                <w:sz w:val="20"/>
                <w:szCs w:val="20"/>
                <w:lang w:val="de-AT" w:eastAsia="de-AT"/>
              </w:rPr>
            </w:pPr>
            <w:r w:rsidRPr="00596935">
              <w:rPr>
                <w:rFonts w:cs="Arial"/>
                <w:color w:val="000000"/>
                <w:sz w:val="20"/>
                <w:szCs w:val="20"/>
                <w:lang w:val="de-AT" w:eastAsia="de-AT"/>
              </w:rPr>
              <w:t>Ihler</w:t>
            </w:r>
          </w:p>
          <w:p w14:paraId="605960CF" w14:textId="41B7A092" w:rsidR="00596935" w:rsidRPr="00596935" w:rsidRDefault="00596935" w:rsidP="003733D2">
            <w:pPr>
              <w:rPr>
                <w:rFonts w:cs="Arial"/>
                <w:color w:val="000000"/>
                <w:sz w:val="20"/>
                <w:szCs w:val="20"/>
                <w:lang w:val="de-AT" w:eastAsia="de-AT"/>
              </w:rPr>
            </w:pPr>
            <w:r w:rsidRPr="00596935">
              <w:rPr>
                <w:rFonts w:cs="Arial"/>
                <w:color w:val="000000"/>
                <w:sz w:val="20"/>
                <w:szCs w:val="20"/>
                <w:lang w:val="de-AT" w:eastAsia="de-AT"/>
              </w:rPr>
              <w:t>2014</w:t>
            </w:r>
          </w:p>
        </w:tc>
        <w:tc>
          <w:tcPr>
            <w:tcW w:w="1430" w:type="pct"/>
            <w:tcBorders>
              <w:top w:val="nil"/>
              <w:left w:val="nil"/>
              <w:bottom w:val="single" w:sz="4" w:space="0" w:color="auto"/>
              <w:right w:val="nil"/>
            </w:tcBorders>
            <w:shd w:val="clear" w:color="auto" w:fill="auto"/>
            <w:vAlign w:val="center"/>
            <w:hideMark/>
          </w:tcPr>
          <w:p w14:paraId="5FE3D3B8" w14:textId="77777777" w:rsidR="00596935" w:rsidRPr="00596935" w:rsidRDefault="00596935" w:rsidP="00596935">
            <w:pPr>
              <w:rPr>
                <w:rFonts w:cs="Arial"/>
                <w:color w:val="000000"/>
                <w:sz w:val="20"/>
                <w:szCs w:val="20"/>
                <w:lang w:val="de-AT" w:eastAsia="de-AT"/>
              </w:rPr>
            </w:pPr>
            <w:r w:rsidRPr="00596935">
              <w:rPr>
                <w:rFonts w:cs="Arial"/>
                <w:color w:val="000000"/>
                <w:sz w:val="20"/>
                <w:szCs w:val="20"/>
                <w:lang w:val="de-AT" w:eastAsia="de-AT"/>
              </w:rPr>
              <w:t>Freiburger mono</w:t>
            </w:r>
          </w:p>
        </w:tc>
        <w:tc>
          <w:tcPr>
            <w:tcW w:w="692" w:type="pct"/>
            <w:tcBorders>
              <w:top w:val="nil"/>
              <w:left w:val="single" w:sz="8" w:space="0" w:color="auto"/>
              <w:bottom w:val="single" w:sz="4" w:space="0" w:color="auto"/>
              <w:right w:val="single" w:sz="4" w:space="0" w:color="auto"/>
            </w:tcBorders>
            <w:shd w:val="clear" w:color="auto" w:fill="auto"/>
            <w:vAlign w:val="center"/>
            <w:hideMark/>
          </w:tcPr>
          <w:p w14:paraId="423E109C"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26</w:t>
            </w:r>
          </w:p>
        </w:tc>
        <w:tc>
          <w:tcPr>
            <w:tcW w:w="349" w:type="pct"/>
            <w:tcBorders>
              <w:top w:val="nil"/>
              <w:left w:val="nil"/>
              <w:bottom w:val="single" w:sz="4" w:space="0" w:color="auto"/>
              <w:right w:val="single" w:sz="4" w:space="0" w:color="auto"/>
            </w:tcBorders>
            <w:shd w:val="clear" w:color="auto" w:fill="auto"/>
            <w:vAlign w:val="center"/>
            <w:hideMark/>
          </w:tcPr>
          <w:p w14:paraId="6210178C"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21,7</w:t>
            </w:r>
          </w:p>
        </w:tc>
        <w:tc>
          <w:tcPr>
            <w:tcW w:w="239" w:type="pct"/>
            <w:tcBorders>
              <w:top w:val="nil"/>
              <w:left w:val="nil"/>
              <w:bottom w:val="single" w:sz="4" w:space="0" w:color="auto"/>
              <w:right w:val="single" w:sz="8" w:space="0" w:color="auto"/>
            </w:tcBorders>
            <w:shd w:val="clear" w:color="auto" w:fill="auto"/>
            <w:vAlign w:val="center"/>
            <w:hideMark/>
          </w:tcPr>
          <w:p w14:paraId="1E643EC3"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10</w:t>
            </w:r>
          </w:p>
        </w:tc>
        <w:tc>
          <w:tcPr>
            <w:tcW w:w="692" w:type="pct"/>
            <w:gridSpan w:val="2"/>
            <w:tcBorders>
              <w:top w:val="single" w:sz="4" w:space="0" w:color="auto"/>
              <w:left w:val="nil"/>
              <w:bottom w:val="single" w:sz="4" w:space="0" w:color="auto"/>
              <w:right w:val="single" w:sz="4" w:space="0" w:color="auto"/>
            </w:tcBorders>
            <w:shd w:val="clear" w:color="auto" w:fill="auto"/>
            <w:vAlign w:val="center"/>
            <w:hideMark/>
          </w:tcPr>
          <w:p w14:paraId="06C87DB5"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66</w:t>
            </w:r>
          </w:p>
        </w:tc>
        <w:tc>
          <w:tcPr>
            <w:tcW w:w="608" w:type="pct"/>
            <w:tcBorders>
              <w:top w:val="nil"/>
              <w:left w:val="nil"/>
              <w:bottom w:val="single" w:sz="4" w:space="0" w:color="auto"/>
              <w:right w:val="single" w:sz="4" w:space="0" w:color="auto"/>
            </w:tcBorders>
            <w:shd w:val="clear" w:color="auto" w:fill="auto"/>
            <w:vAlign w:val="center"/>
            <w:hideMark/>
          </w:tcPr>
          <w:p w14:paraId="548B4B70"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23,2</w:t>
            </w:r>
          </w:p>
        </w:tc>
        <w:tc>
          <w:tcPr>
            <w:tcW w:w="413" w:type="pct"/>
            <w:tcBorders>
              <w:top w:val="nil"/>
              <w:left w:val="nil"/>
              <w:bottom w:val="single" w:sz="4" w:space="0" w:color="auto"/>
              <w:right w:val="single" w:sz="8" w:space="0" w:color="auto"/>
            </w:tcBorders>
            <w:shd w:val="clear" w:color="auto" w:fill="auto"/>
            <w:vAlign w:val="center"/>
            <w:hideMark/>
          </w:tcPr>
          <w:p w14:paraId="7ED9FAD9"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10</w:t>
            </w:r>
          </w:p>
        </w:tc>
      </w:tr>
      <w:tr w:rsidR="00596935" w:rsidRPr="00596935" w14:paraId="6359844D" w14:textId="77777777" w:rsidTr="00596935">
        <w:trPr>
          <w:trHeight w:val="489"/>
        </w:trPr>
        <w:tc>
          <w:tcPr>
            <w:tcW w:w="577" w:type="pct"/>
            <w:tcBorders>
              <w:top w:val="nil"/>
              <w:left w:val="single" w:sz="8" w:space="0" w:color="auto"/>
              <w:bottom w:val="nil"/>
              <w:right w:val="nil"/>
            </w:tcBorders>
            <w:shd w:val="clear" w:color="auto" w:fill="auto"/>
            <w:vAlign w:val="center"/>
            <w:hideMark/>
          </w:tcPr>
          <w:p w14:paraId="4A1819EA" w14:textId="77777777" w:rsidR="00596935" w:rsidRPr="00596935" w:rsidRDefault="00596935" w:rsidP="00596935">
            <w:pPr>
              <w:rPr>
                <w:rFonts w:cs="Arial"/>
                <w:color w:val="000000"/>
                <w:sz w:val="20"/>
                <w:szCs w:val="20"/>
                <w:lang w:val="de-AT" w:eastAsia="de-AT"/>
              </w:rPr>
            </w:pPr>
            <w:r w:rsidRPr="00596935">
              <w:rPr>
                <w:rFonts w:cs="Arial"/>
                <w:color w:val="000000"/>
                <w:sz w:val="20"/>
                <w:szCs w:val="20"/>
                <w:lang w:val="de-AT" w:eastAsia="de-AT"/>
              </w:rPr>
              <w:lastRenderedPageBreak/>
              <w:t>Lenarz 2001</w:t>
            </w:r>
          </w:p>
        </w:tc>
        <w:tc>
          <w:tcPr>
            <w:tcW w:w="1430" w:type="pct"/>
            <w:tcBorders>
              <w:top w:val="nil"/>
              <w:left w:val="single" w:sz="4" w:space="0" w:color="auto"/>
              <w:bottom w:val="single" w:sz="4" w:space="0" w:color="auto"/>
              <w:right w:val="nil"/>
            </w:tcBorders>
            <w:shd w:val="clear" w:color="auto" w:fill="auto"/>
            <w:vAlign w:val="center"/>
            <w:hideMark/>
          </w:tcPr>
          <w:p w14:paraId="19A6FFC6" w14:textId="77777777" w:rsidR="00596935" w:rsidRPr="00596935" w:rsidRDefault="00596935" w:rsidP="00596935">
            <w:pPr>
              <w:rPr>
                <w:rFonts w:cs="Arial"/>
                <w:color w:val="000000"/>
                <w:sz w:val="20"/>
                <w:szCs w:val="20"/>
                <w:lang w:val="de-AT" w:eastAsia="de-AT"/>
              </w:rPr>
            </w:pPr>
            <w:r w:rsidRPr="00596935">
              <w:rPr>
                <w:rFonts w:cs="Arial"/>
                <w:color w:val="000000"/>
                <w:sz w:val="20"/>
                <w:szCs w:val="20"/>
                <w:lang w:val="de-AT" w:eastAsia="de-AT"/>
              </w:rPr>
              <w:t>Freiburger mono</w:t>
            </w:r>
          </w:p>
        </w:tc>
        <w:tc>
          <w:tcPr>
            <w:tcW w:w="692" w:type="pct"/>
            <w:tcBorders>
              <w:top w:val="nil"/>
              <w:left w:val="single" w:sz="8" w:space="0" w:color="auto"/>
              <w:bottom w:val="single" w:sz="4" w:space="0" w:color="auto"/>
              <w:right w:val="single" w:sz="4" w:space="0" w:color="auto"/>
            </w:tcBorders>
            <w:shd w:val="clear" w:color="auto" w:fill="auto"/>
            <w:vAlign w:val="center"/>
            <w:hideMark/>
          </w:tcPr>
          <w:p w14:paraId="36AF19A2"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28</w:t>
            </w:r>
          </w:p>
        </w:tc>
        <w:tc>
          <w:tcPr>
            <w:tcW w:w="349" w:type="pct"/>
            <w:tcBorders>
              <w:top w:val="nil"/>
              <w:left w:val="nil"/>
              <w:bottom w:val="single" w:sz="4" w:space="0" w:color="auto"/>
              <w:right w:val="single" w:sz="4" w:space="0" w:color="auto"/>
            </w:tcBorders>
            <w:shd w:val="clear" w:color="auto" w:fill="auto"/>
            <w:vAlign w:val="center"/>
            <w:hideMark/>
          </w:tcPr>
          <w:p w14:paraId="7677395C"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239" w:type="pct"/>
            <w:tcBorders>
              <w:top w:val="nil"/>
              <w:left w:val="nil"/>
              <w:bottom w:val="single" w:sz="4" w:space="0" w:color="auto"/>
              <w:right w:val="single" w:sz="8" w:space="0" w:color="auto"/>
            </w:tcBorders>
            <w:shd w:val="clear" w:color="auto" w:fill="auto"/>
            <w:vAlign w:val="center"/>
            <w:hideMark/>
          </w:tcPr>
          <w:p w14:paraId="56E072A2"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7</w:t>
            </w:r>
          </w:p>
        </w:tc>
        <w:tc>
          <w:tcPr>
            <w:tcW w:w="692" w:type="pct"/>
            <w:gridSpan w:val="2"/>
            <w:tcBorders>
              <w:top w:val="single" w:sz="4" w:space="0" w:color="auto"/>
              <w:left w:val="nil"/>
              <w:bottom w:val="single" w:sz="4" w:space="0" w:color="auto"/>
              <w:right w:val="single" w:sz="4" w:space="0" w:color="auto"/>
            </w:tcBorders>
            <w:shd w:val="clear" w:color="auto" w:fill="auto"/>
            <w:vAlign w:val="center"/>
            <w:hideMark/>
          </w:tcPr>
          <w:p w14:paraId="7B9AA690"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63</w:t>
            </w:r>
          </w:p>
        </w:tc>
        <w:tc>
          <w:tcPr>
            <w:tcW w:w="608" w:type="pct"/>
            <w:tcBorders>
              <w:top w:val="nil"/>
              <w:left w:val="nil"/>
              <w:bottom w:val="single" w:sz="4" w:space="0" w:color="auto"/>
              <w:right w:val="single" w:sz="4" w:space="0" w:color="auto"/>
            </w:tcBorders>
            <w:shd w:val="clear" w:color="auto" w:fill="auto"/>
            <w:vAlign w:val="center"/>
            <w:hideMark/>
          </w:tcPr>
          <w:p w14:paraId="76F4C9DC"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413" w:type="pct"/>
            <w:tcBorders>
              <w:top w:val="nil"/>
              <w:left w:val="nil"/>
              <w:bottom w:val="single" w:sz="4" w:space="0" w:color="auto"/>
              <w:right w:val="single" w:sz="8" w:space="0" w:color="auto"/>
            </w:tcBorders>
            <w:shd w:val="clear" w:color="auto" w:fill="auto"/>
            <w:vAlign w:val="center"/>
            <w:hideMark/>
          </w:tcPr>
          <w:p w14:paraId="27F0FE53"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7</w:t>
            </w:r>
          </w:p>
        </w:tc>
      </w:tr>
      <w:tr w:rsidR="00596935" w:rsidRPr="00596935" w14:paraId="3BE699B1" w14:textId="77777777" w:rsidTr="00596935">
        <w:trPr>
          <w:trHeight w:val="489"/>
        </w:trPr>
        <w:tc>
          <w:tcPr>
            <w:tcW w:w="577" w:type="pct"/>
            <w:tcBorders>
              <w:top w:val="single" w:sz="8" w:space="0" w:color="auto"/>
              <w:left w:val="single" w:sz="8" w:space="0" w:color="auto"/>
              <w:bottom w:val="single" w:sz="8" w:space="0" w:color="auto"/>
              <w:right w:val="single" w:sz="4" w:space="0" w:color="auto"/>
            </w:tcBorders>
            <w:shd w:val="clear" w:color="auto" w:fill="auto"/>
            <w:vAlign w:val="center"/>
            <w:hideMark/>
          </w:tcPr>
          <w:p w14:paraId="2969D344" w14:textId="77777777" w:rsidR="003733D2" w:rsidRDefault="00596935" w:rsidP="003733D2">
            <w:pPr>
              <w:rPr>
                <w:rFonts w:cs="Arial"/>
                <w:color w:val="000000"/>
                <w:sz w:val="20"/>
                <w:szCs w:val="20"/>
                <w:lang w:val="de-AT" w:eastAsia="de-AT"/>
              </w:rPr>
            </w:pPr>
            <w:r w:rsidRPr="00596935">
              <w:rPr>
                <w:rFonts w:cs="Arial"/>
                <w:color w:val="000000"/>
                <w:sz w:val="20"/>
                <w:szCs w:val="20"/>
                <w:lang w:val="de-AT" w:eastAsia="de-AT"/>
              </w:rPr>
              <w:t>Pok</w:t>
            </w:r>
          </w:p>
          <w:p w14:paraId="7C35691E" w14:textId="5BDA93A5" w:rsidR="00596935" w:rsidRPr="00596935" w:rsidRDefault="00596935" w:rsidP="003733D2">
            <w:pPr>
              <w:rPr>
                <w:rFonts w:cs="Arial"/>
                <w:color w:val="000000"/>
                <w:sz w:val="20"/>
                <w:szCs w:val="20"/>
                <w:lang w:val="de-AT" w:eastAsia="de-AT"/>
              </w:rPr>
            </w:pPr>
            <w:r w:rsidRPr="00596935">
              <w:rPr>
                <w:rFonts w:cs="Arial"/>
                <w:color w:val="000000"/>
                <w:sz w:val="20"/>
                <w:szCs w:val="20"/>
                <w:lang w:val="de-AT" w:eastAsia="de-AT"/>
              </w:rPr>
              <w:t>2010</w:t>
            </w:r>
          </w:p>
        </w:tc>
        <w:tc>
          <w:tcPr>
            <w:tcW w:w="1430" w:type="pct"/>
            <w:tcBorders>
              <w:top w:val="nil"/>
              <w:left w:val="nil"/>
              <w:bottom w:val="single" w:sz="4" w:space="0" w:color="auto"/>
              <w:right w:val="nil"/>
            </w:tcBorders>
            <w:shd w:val="clear" w:color="auto" w:fill="auto"/>
            <w:vAlign w:val="center"/>
            <w:hideMark/>
          </w:tcPr>
          <w:p w14:paraId="280E9A5D" w14:textId="77777777" w:rsidR="00596935" w:rsidRPr="00596935" w:rsidRDefault="00596935" w:rsidP="00596935">
            <w:pPr>
              <w:rPr>
                <w:rFonts w:cs="Arial"/>
                <w:color w:val="000000"/>
                <w:sz w:val="20"/>
                <w:szCs w:val="20"/>
                <w:lang w:val="de-AT" w:eastAsia="de-AT"/>
              </w:rPr>
            </w:pPr>
            <w:r w:rsidRPr="00596935">
              <w:rPr>
                <w:rFonts w:cs="Arial"/>
                <w:color w:val="000000"/>
                <w:sz w:val="20"/>
                <w:szCs w:val="20"/>
                <w:lang w:val="de-AT" w:eastAsia="de-AT"/>
              </w:rPr>
              <w:t>Freiburger mono</w:t>
            </w:r>
          </w:p>
        </w:tc>
        <w:tc>
          <w:tcPr>
            <w:tcW w:w="692" w:type="pct"/>
            <w:tcBorders>
              <w:top w:val="nil"/>
              <w:left w:val="single" w:sz="8" w:space="0" w:color="auto"/>
              <w:bottom w:val="single" w:sz="4" w:space="0" w:color="auto"/>
              <w:right w:val="single" w:sz="4" w:space="0" w:color="auto"/>
            </w:tcBorders>
            <w:shd w:val="clear" w:color="auto" w:fill="auto"/>
            <w:vAlign w:val="center"/>
            <w:hideMark/>
          </w:tcPr>
          <w:p w14:paraId="53449C01"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30</w:t>
            </w:r>
          </w:p>
        </w:tc>
        <w:tc>
          <w:tcPr>
            <w:tcW w:w="349" w:type="pct"/>
            <w:tcBorders>
              <w:top w:val="nil"/>
              <w:left w:val="nil"/>
              <w:bottom w:val="single" w:sz="4" w:space="0" w:color="auto"/>
              <w:right w:val="single" w:sz="4" w:space="0" w:color="auto"/>
            </w:tcBorders>
            <w:shd w:val="clear" w:color="auto" w:fill="auto"/>
            <w:vAlign w:val="center"/>
            <w:hideMark/>
          </w:tcPr>
          <w:p w14:paraId="0A21B160"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239" w:type="pct"/>
            <w:tcBorders>
              <w:top w:val="nil"/>
              <w:left w:val="nil"/>
              <w:bottom w:val="single" w:sz="4" w:space="0" w:color="auto"/>
              <w:right w:val="single" w:sz="8" w:space="0" w:color="auto"/>
            </w:tcBorders>
            <w:shd w:val="clear" w:color="auto" w:fill="auto"/>
            <w:vAlign w:val="center"/>
            <w:hideMark/>
          </w:tcPr>
          <w:p w14:paraId="499E6FA4"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54</w:t>
            </w:r>
          </w:p>
        </w:tc>
        <w:tc>
          <w:tcPr>
            <w:tcW w:w="692" w:type="pct"/>
            <w:gridSpan w:val="2"/>
            <w:tcBorders>
              <w:top w:val="single" w:sz="4" w:space="0" w:color="auto"/>
              <w:left w:val="nil"/>
              <w:bottom w:val="single" w:sz="4" w:space="0" w:color="auto"/>
              <w:right w:val="single" w:sz="4" w:space="0" w:color="auto"/>
            </w:tcBorders>
            <w:shd w:val="clear" w:color="auto" w:fill="auto"/>
            <w:vAlign w:val="center"/>
            <w:hideMark/>
          </w:tcPr>
          <w:p w14:paraId="5E2DB028"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57</w:t>
            </w:r>
          </w:p>
        </w:tc>
        <w:tc>
          <w:tcPr>
            <w:tcW w:w="608" w:type="pct"/>
            <w:tcBorders>
              <w:top w:val="nil"/>
              <w:left w:val="nil"/>
              <w:bottom w:val="single" w:sz="4" w:space="0" w:color="auto"/>
              <w:right w:val="single" w:sz="4" w:space="0" w:color="auto"/>
            </w:tcBorders>
            <w:shd w:val="clear" w:color="auto" w:fill="auto"/>
            <w:vAlign w:val="center"/>
            <w:hideMark/>
          </w:tcPr>
          <w:p w14:paraId="19CBD69C"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413" w:type="pct"/>
            <w:tcBorders>
              <w:top w:val="nil"/>
              <w:left w:val="nil"/>
              <w:bottom w:val="single" w:sz="4" w:space="0" w:color="auto"/>
              <w:right w:val="single" w:sz="8" w:space="0" w:color="auto"/>
            </w:tcBorders>
            <w:shd w:val="clear" w:color="auto" w:fill="auto"/>
            <w:vAlign w:val="center"/>
            <w:hideMark/>
          </w:tcPr>
          <w:p w14:paraId="3BF4DD9D"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54</w:t>
            </w:r>
          </w:p>
        </w:tc>
      </w:tr>
      <w:tr w:rsidR="00596935" w:rsidRPr="00596935" w14:paraId="18F56B84" w14:textId="77777777" w:rsidTr="00596935">
        <w:trPr>
          <w:trHeight w:val="400"/>
        </w:trPr>
        <w:tc>
          <w:tcPr>
            <w:tcW w:w="577" w:type="pct"/>
            <w:vMerge w:val="restart"/>
            <w:tcBorders>
              <w:top w:val="nil"/>
              <w:left w:val="single" w:sz="8" w:space="0" w:color="auto"/>
              <w:bottom w:val="single" w:sz="8" w:space="0" w:color="000000"/>
              <w:right w:val="single" w:sz="4" w:space="0" w:color="auto"/>
            </w:tcBorders>
            <w:shd w:val="clear" w:color="auto" w:fill="auto"/>
            <w:vAlign w:val="center"/>
            <w:hideMark/>
          </w:tcPr>
          <w:p w14:paraId="379387A3" w14:textId="77777777" w:rsidR="003733D2" w:rsidRDefault="00596935" w:rsidP="003733D2">
            <w:pPr>
              <w:rPr>
                <w:rFonts w:cs="Arial"/>
                <w:color w:val="000000"/>
                <w:sz w:val="20"/>
                <w:szCs w:val="20"/>
                <w:lang w:val="de-AT" w:eastAsia="de-AT"/>
              </w:rPr>
            </w:pPr>
            <w:r w:rsidRPr="00596935">
              <w:rPr>
                <w:rFonts w:cs="Arial"/>
                <w:color w:val="000000"/>
                <w:sz w:val="20"/>
                <w:szCs w:val="20"/>
                <w:lang w:val="de-AT" w:eastAsia="de-AT"/>
              </w:rPr>
              <w:t>Todt</w:t>
            </w:r>
          </w:p>
          <w:p w14:paraId="18A2E3FC" w14:textId="31C74A6A" w:rsidR="00596935" w:rsidRPr="00596935" w:rsidRDefault="00596935" w:rsidP="003733D2">
            <w:pPr>
              <w:rPr>
                <w:rFonts w:cs="Arial"/>
                <w:color w:val="000000"/>
                <w:sz w:val="20"/>
                <w:szCs w:val="20"/>
                <w:lang w:val="de-AT" w:eastAsia="de-AT"/>
              </w:rPr>
            </w:pPr>
            <w:r w:rsidRPr="00596935">
              <w:rPr>
                <w:rFonts w:cs="Arial"/>
                <w:color w:val="000000"/>
                <w:sz w:val="20"/>
                <w:szCs w:val="20"/>
                <w:lang w:val="de-AT" w:eastAsia="de-AT"/>
              </w:rPr>
              <w:t>2005</w:t>
            </w:r>
          </w:p>
        </w:tc>
        <w:tc>
          <w:tcPr>
            <w:tcW w:w="1430" w:type="pct"/>
            <w:vMerge w:val="restart"/>
            <w:tcBorders>
              <w:top w:val="nil"/>
              <w:left w:val="single" w:sz="4" w:space="0" w:color="auto"/>
              <w:bottom w:val="single" w:sz="4" w:space="0" w:color="auto"/>
              <w:right w:val="nil"/>
            </w:tcBorders>
            <w:shd w:val="clear" w:color="auto" w:fill="auto"/>
            <w:vAlign w:val="center"/>
            <w:hideMark/>
          </w:tcPr>
          <w:p w14:paraId="3C10F55E" w14:textId="77777777" w:rsidR="00596935" w:rsidRPr="00596935" w:rsidRDefault="00596935" w:rsidP="00596935">
            <w:pPr>
              <w:rPr>
                <w:rFonts w:cs="Arial"/>
                <w:color w:val="000000"/>
                <w:sz w:val="20"/>
                <w:szCs w:val="20"/>
                <w:lang w:val="de-AT" w:eastAsia="de-AT"/>
              </w:rPr>
            </w:pPr>
            <w:r w:rsidRPr="00596935">
              <w:rPr>
                <w:rFonts w:cs="Arial"/>
                <w:color w:val="000000"/>
                <w:sz w:val="20"/>
                <w:szCs w:val="20"/>
                <w:lang w:val="de-AT" w:eastAsia="de-AT"/>
              </w:rPr>
              <w:t>Freiburger mono</w:t>
            </w:r>
          </w:p>
        </w:tc>
        <w:tc>
          <w:tcPr>
            <w:tcW w:w="692" w:type="pct"/>
            <w:vMerge w:val="restart"/>
            <w:tcBorders>
              <w:top w:val="nil"/>
              <w:left w:val="single" w:sz="8" w:space="0" w:color="auto"/>
              <w:bottom w:val="single" w:sz="4" w:space="0" w:color="auto"/>
              <w:right w:val="single" w:sz="4" w:space="0" w:color="auto"/>
            </w:tcBorders>
            <w:shd w:val="clear" w:color="auto" w:fill="auto"/>
            <w:vAlign w:val="center"/>
            <w:hideMark/>
          </w:tcPr>
          <w:p w14:paraId="71A1E12D"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349" w:type="pct"/>
            <w:vMerge w:val="restart"/>
            <w:tcBorders>
              <w:top w:val="nil"/>
              <w:left w:val="single" w:sz="4" w:space="0" w:color="auto"/>
              <w:bottom w:val="single" w:sz="4" w:space="0" w:color="auto"/>
              <w:right w:val="single" w:sz="4" w:space="0" w:color="auto"/>
            </w:tcBorders>
            <w:shd w:val="clear" w:color="auto" w:fill="auto"/>
            <w:vAlign w:val="center"/>
            <w:hideMark/>
          </w:tcPr>
          <w:p w14:paraId="6A4866DE"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239" w:type="pct"/>
            <w:tcBorders>
              <w:top w:val="nil"/>
              <w:left w:val="nil"/>
              <w:bottom w:val="single" w:sz="4" w:space="0" w:color="auto"/>
              <w:right w:val="single" w:sz="8" w:space="0" w:color="auto"/>
            </w:tcBorders>
            <w:shd w:val="clear" w:color="auto" w:fill="auto"/>
            <w:vAlign w:val="center"/>
            <w:hideMark/>
          </w:tcPr>
          <w:p w14:paraId="769F45A9"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7</w:t>
            </w:r>
          </w:p>
        </w:tc>
        <w:tc>
          <w:tcPr>
            <w:tcW w:w="692" w:type="pct"/>
            <w:gridSpan w:val="2"/>
            <w:tcBorders>
              <w:top w:val="single" w:sz="4" w:space="0" w:color="auto"/>
              <w:left w:val="nil"/>
              <w:bottom w:val="single" w:sz="4" w:space="0" w:color="auto"/>
              <w:right w:val="single" w:sz="4" w:space="0" w:color="auto"/>
            </w:tcBorders>
            <w:shd w:val="clear" w:color="auto" w:fill="auto"/>
            <w:vAlign w:val="center"/>
            <w:hideMark/>
          </w:tcPr>
          <w:p w14:paraId="57405DA1"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75</w:t>
            </w:r>
          </w:p>
        </w:tc>
        <w:tc>
          <w:tcPr>
            <w:tcW w:w="608" w:type="pct"/>
            <w:tcBorders>
              <w:top w:val="nil"/>
              <w:left w:val="nil"/>
              <w:bottom w:val="single" w:sz="4" w:space="0" w:color="auto"/>
              <w:right w:val="single" w:sz="4" w:space="0" w:color="auto"/>
            </w:tcBorders>
            <w:shd w:val="clear" w:color="auto" w:fill="auto"/>
            <w:vAlign w:val="center"/>
            <w:hideMark/>
          </w:tcPr>
          <w:p w14:paraId="5B54BF6E"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10,4</w:t>
            </w:r>
          </w:p>
        </w:tc>
        <w:tc>
          <w:tcPr>
            <w:tcW w:w="413" w:type="pct"/>
            <w:tcBorders>
              <w:top w:val="nil"/>
              <w:left w:val="nil"/>
              <w:bottom w:val="single" w:sz="4" w:space="0" w:color="auto"/>
              <w:right w:val="single" w:sz="8" w:space="0" w:color="auto"/>
            </w:tcBorders>
            <w:shd w:val="clear" w:color="auto" w:fill="auto"/>
            <w:vAlign w:val="center"/>
            <w:hideMark/>
          </w:tcPr>
          <w:p w14:paraId="5D40C5E9"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7</w:t>
            </w:r>
          </w:p>
        </w:tc>
      </w:tr>
      <w:tr w:rsidR="00596935" w:rsidRPr="00596935" w14:paraId="1C6B85FF" w14:textId="77777777" w:rsidTr="00596935">
        <w:trPr>
          <w:trHeight w:val="321"/>
        </w:trPr>
        <w:tc>
          <w:tcPr>
            <w:tcW w:w="577" w:type="pct"/>
            <w:vMerge/>
            <w:tcBorders>
              <w:top w:val="nil"/>
              <w:left w:val="single" w:sz="8" w:space="0" w:color="auto"/>
              <w:bottom w:val="single" w:sz="8" w:space="0" w:color="000000"/>
              <w:right w:val="single" w:sz="4" w:space="0" w:color="auto"/>
            </w:tcBorders>
            <w:vAlign w:val="center"/>
            <w:hideMark/>
          </w:tcPr>
          <w:p w14:paraId="1A2A61B3" w14:textId="77777777" w:rsidR="00596935" w:rsidRPr="00596935" w:rsidRDefault="00596935" w:rsidP="00596935">
            <w:pPr>
              <w:rPr>
                <w:rFonts w:cs="Arial"/>
                <w:color w:val="000000"/>
                <w:sz w:val="20"/>
                <w:szCs w:val="20"/>
                <w:lang w:val="de-AT" w:eastAsia="de-AT"/>
              </w:rPr>
            </w:pPr>
          </w:p>
        </w:tc>
        <w:tc>
          <w:tcPr>
            <w:tcW w:w="1430" w:type="pct"/>
            <w:vMerge/>
            <w:tcBorders>
              <w:top w:val="nil"/>
              <w:left w:val="single" w:sz="4" w:space="0" w:color="auto"/>
              <w:bottom w:val="single" w:sz="4" w:space="0" w:color="auto"/>
              <w:right w:val="nil"/>
            </w:tcBorders>
            <w:vAlign w:val="center"/>
            <w:hideMark/>
          </w:tcPr>
          <w:p w14:paraId="66F2D316" w14:textId="77777777" w:rsidR="00596935" w:rsidRPr="00596935" w:rsidRDefault="00596935" w:rsidP="00596935">
            <w:pPr>
              <w:rPr>
                <w:rFonts w:cs="Arial"/>
                <w:color w:val="000000"/>
                <w:sz w:val="20"/>
                <w:szCs w:val="20"/>
                <w:lang w:val="de-AT" w:eastAsia="de-AT"/>
              </w:rPr>
            </w:pPr>
          </w:p>
        </w:tc>
        <w:tc>
          <w:tcPr>
            <w:tcW w:w="692" w:type="pct"/>
            <w:vMerge/>
            <w:tcBorders>
              <w:top w:val="nil"/>
              <w:left w:val="single" w:sz="8" w:space="0" w:color="auto"/>
              <w:bottom w:val="single" w:sz="4" w:space="0" w:color="auto"/>
              <w:right w:val="single" w:sz="4" w:space="0" w:color="auto"/>
            </w:tcBorders>
            <w:vAlign w:val="center"/>
            <w:hideMark/>
          </w:tcPr>
          <w:p w14:paraId="0C98E2A4" w14:textId="77777777" w:rsidR="00596935" w:rsidRPr="00596935" w:rsidRDefault="00596935" w:rsidP="00596935">
            <w:pPr>
              <w:rPr>
                <w:rFonts w:cs="Arial"/>
                <w:color w:val="000000"/>
                <w:sz w:val="20"/>
                <w:szCs w:val="20"/>
                <w:lang w:val="de-AT" w:eastAsia="de-AT"/>
              </w:rPr>
            </w:pPr>
          </w:p>
        </w:tc>
        <w:tc>
          <w:tcPr>
            <w:tcW w:w="349" w:type="pct"/>
            <w:vMerge/>
            <w:tcBorders>
              <w:top w:val="nil"/>
              <w:left w:val="single" w:sz="4" w:space="0" w:color="auto"/>
              <w:bottom w:val="single" w:sz="4" w:space="0" w:color="auto"/>
              <w:right w:val="single" w:sz="4" w:space="0" w:color="auto"/>
            </w:tcBorders>
            <w:vAlign w:val="center"/>
            <w:hideMark/>
          </w:tcPr>
          <w:p w14:paraId="603B536A" w14:textId="77777777" w:rsidR="00596935" w:rsidRPr="00596935" w:rsidRDefault="00596935" w:rsidP="00596935">
            <w:pPr>
              <w:rPr>
                <w:rFonts w:cs="Arial"/>
                <w:color w:val="000000"/>
                <w:sz w:val="20"/>
                <w:szCs w:val="20"/>
                <w:lang w:val="de-AT" w:eastAsia="de-AT"/>
              </w:rPr>
            </w:pPr>
          </w:p>
        </w:tc>
        <w:tc>
          <w:tcPr>
            <w:tcW w:w="239" w:type="pct"/>
            <w:tcBorders>
              <w:top w:val="nil"/>
              <w:left w:val="nil"/>
              <w:bottom w:val="single" w:sz="4" w:space="0" w:color="auto"/>
              <w:right w:val="single" w:sz="8" w:space="0" w:color="auto"/>
            </w:tcBorders>
            <w:shd w:val="clear" w:color="auto" w:fill="auto"/>
            <w:vAlign w:val="center"/>
            <w:hideMark/>
          </w:tcPr>
          <w:p w14:paraId="5EFBFF4B"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16</w:t>
            </w:r>
          </w:p>
        </w:tc>
        <w:tc>
          <w:tcPr>
            <w:tcW w:w="692" w:type="pct"/>
            <w:gridSpan w:val="2"/>
            <w:tcBorders>
              <w:top w:val="single" w:sz="4" w:space="0" w:color="auto"/>
              <w:left w:val="nil"/>
              <w:bottom w:val="single" w:sz="4" w:space="0" w:color="auto"/>
              <w:right w:val="single" w:sz="4" w:space="0" w:color="auto"/>
            </w:tcBorders>
            <w:shd w:val="clear" w:color="auto" w:fill="auto"/>
            <w:vAlign w:val="center"/>
            <w:hideMark/>
          </w:tcPr>
          <w:p w14:paraId="047DCEC5"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73</w:t>
            </w:r>
          </w:p>
        </w:tc>
        <w:tc>
          <w:tcPr>
            <w:tcW w:w="608" w:type="pct"/>
            <w:tcBorders>
              <w:top w:val="nil"/>
              <w:left w:val="nil"/>
              <w:bottom w:val="single" w:sz="4" w:space="0" w:color="auto"/>
              <w:right w:val="single" w:sz="4" w:space="0" w:color="auto"/>
            </w:tcBorders>
            <w:shd w:val="clear" w:color="auto" w:fill="auto"/>
            <w:vAlign w:val="center"/>
            <w:hideMark/>
          </w:tcPr>
          <w:p w14:paraId="69720BF8"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8</w:t>
            </w:r>
          </w:p>
        </w:tc>
        <w:tc>
          <w:tcPr>
            <w:tcW w:w="413" w:type="pct"/>
            <w:tcBorders>
              <w:top w:val="nil"/>
              <w:left w:val="nil"/>
              <w:bottom w:val="single" w:sz="4" w:space="0" w:color="auto"/>
              <w:right w:val="single" w:sz="8" w:space="0" w:color="auto"/>
            </w:tcBorders>
            <w:shd w:val="clear" w:color="auto" w:fill="auto"/>
            <w:vAlign w:val="center"/>
            <w:hideMark/>
          </w:tcPr>
          <w:p w14:paraId="57420FF8"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16</w:t>
            </w:r>
          </w:p>
        </w:tc>
      </w:tr>
      <w:tr w:rsidR="00596935" w:rsidRPr="00596935" w14:paraId="12251A47" w14:textId="77777777" w:rsidTr="00596935">
        <w:trPr>
          <w:trHeight w:val="489"/>
        </w:trPr>
        <w:tc>
          <w:tcPr>
            <w:tcW w:w="577" w:type="pct"/>
            <w:tcBorders>
              <w:top w:val="nil"/>
              <w:left w:val="single" w:sz="8" w:space="0" w:color="auto"/>
              <w:bottom w:val="single" w:sz="8" w:space="0" w:color="auto"/>
              <w:right w:val="single" w:sz="4" w:space="0" w:color="auto"/>
            </w:tcBorders>
            <w:shd w:val="clear" w:color="auto" w:fill="auto"/>
            <w:vAlign w:val="center"/>
            <w:hideMark/>
          </w:tcPr>
          <w:p w14:paraId="214C1F05" w14:textId="77777777" w:rsidR="003733D2" w:rsidRDefault="00596935" w:rsidP="003733D2">
            <w:pPr>
              <w:rPr>
                <w:rFonts w:cs="Arial"/>
                <w:color w:val="000000"/>
                <w:sz w:val="20"/>
                <w:szCs w:val="20"/>
                <w:lang w:val="de-AT" w:eastAsia="de-AT"/>
              </w:rPr>
            </w:pPr>
            <w:r w:rsidRPr="00596935">
              <w:rPr>
                <w:rFonts w:cs="Arial"/>
                <w:color w:val="000000"/>
                <w:sz w:val="20"/>
                <w:szCs w:val="20"/>
                <w:lang w:val="de-AT" w:eastAsia="de-AT"/>
              </w:rPr>
              <w:t>Todt</w:t>
            </w:r>
          </w:p>
          <w:p w14:paraId="64004680" w14:textId="004ED132" w:rsidR="00596935" w:rsidRPr="00596935" w:rsidRDefault="00596935" w:rsidP="003733D2">
            <w:pPr>
              <w:rPr>
                <w:rFonts w:cs="Arial"/>
                <w:color w:val="000000"/>
                <w:sz w:val="20"/>
                <w:szCs w:val="20"/>
                <w:lang w:val="de-AT" w:eastAsia="de-AT"/>
              </w:rPr>
            </w:pPr>
            <w:r w:rsidRPr="00596935">
              <w:rPr>
                <w:rFonts w:cs="Arial"/>
                <w:color w:val="000000"/>
                <w:sz w:val="20"/>
                <w:szCs w:val="20"/>
                <w:lang w:val="de-AT" w:eastAsia="de-AT"/>
              </w:rPr>
              <w:t>2002</w:t>
            </w:r>
          </w:p>
        </w:tc>
        <w:tc>
          <w:tcPr>
            <w:tcW w:w="1430" w:type="pct"/>
            <w:tcBorders>
              <w:top w:val="nil"/>
              <w:left w:val="nil"/>
              <w:bottom w:val="single" w:sz="4" w:space="0" w:color="auto"/>
              <w:right w:val="nil"/>
            </w:tcBorders>
            <w:shd w:val="clear" w:color="auto" w:fill="auto"/>
            <w:vAlign w:val="center"/>
            <w:hideMark/>
          </w:tcPr>
          <w:p w14:paraId="799D858C" w14:textId="77777777" w:rsidR="00596935" w:rsidRPr="00596935" w:rsidRDefault="00596935" w:rsidP="00596935">
            <w:pPr>
              <w:rPr>
                <w:rFonts w:cs="Arial"/>
                <w:color w:val="000000"/>
                <w:sz w:val="20"/>
                <w:szCs w:val="20"/>
                <w:lang w:val="de-AT" w:eastAsia="de-AT"/>
              </w:rPr>
            </w:pPr>
            <w:r w:rsidRPr="00596935">
              <w:rPr>
                <w:rFonts w:cs="Arial"/>
                <w:color w:val="000000"/>
                <w:sz w:val="20"/>
                <w:szCs w:val="20"/>
                <w:lang w:val="de-AT" w:eastAsia="de-AT"/>
              </w:rPr>
              <w:t>Freiburger mono</w:t>
            </w:r>
          </w:p>
        </w:tc>
        <w:tc>
          <w:tcPr>
            <w:tcW w:w="692" w:type="pct"/>
            <w:tcBorders>
              <w:top w:val="nil"/>
              <w:left w:val="single" w:sz="8" w:space="0" w:color="auto"/>
              <w:bottom w:val="single" w:sz="4" w:space="0" w:color="auto"/>
              <w:right w:val="single" w:sz="4" w:space="0" w:color="auto"/>
            </w:tcBorders>
            <w:shd w:val="clear" w:color="auto" w:fill="auto"/>
            <w:vAlign w:val="center"/>
            <w:hideMark/>
          </w:tcPr>
          <w:p w14:paraId="2B193F07"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56</w:t>
            </w:r>
          </w:p>
        </w:tc>
        <w:tc>
          <w:tcPr>
            <w:tcW w:w="349" w:type="pct"/>
            <w:tcBorders>
              <w:top w:val="nil"/>
              <w:left w:val="nil"/>
              <w:bottom w:val="single" w:sz="4" w:space="0" w:color="auto"/>
              <w:right w:val="single" w:sz="4" w:space="0" w:color="auto"/>
            </w:tcBorders>
            <w:shd w:val="clear" w:color="auto" w:fill="auto"/>
            <w:vAlign w:val="center"/>
            <w:hideMark/>
          </w:tcPr>
          <w:p w14:paraId="0293AA11"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7,8</w:t>
            </w:r>
          </w:p>
        </w:tc>
        <w:tc>
          <w:tcPr>
            <w:tcW w:w="239" w:type="pct"/>
            <w:tcBorders>
              <w:top w:val="nil"/>
              <w:left w:val="nil"/>
              <w:bottom w:val="single" w:sz="4" w:space="0" w:color="auto"/>
              <w:right w:val="single" w:sz="8" w:space="0" w:color="auto"/>
            </w:tcBorders>
            <w:shd w:val="clear" w:color="auto" w:fill="auto"/>
            <w:vAlign w:val="center"/>
            <w:hideMark/>
          </w:tcPr>
          <w:p w14:paraId="75EFFC54"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5</w:t>
            </w:r>
          </w:p>
        </w:tc>
        <w:tc>
          <w:tcPr>
            <w:tcW w:w="692" w:type="pct"/>
            <w:gridSpan w:val="2"/>
            <w:tcBorders>
              <w:top w:val="single" w:sz="4" w:space="0" w:color="auto"/>
              <w:left w:val="nil"/>
              <w:bottom w:val="single" w:sz="4" w:space="0" w:color="auto"/>
              <w:right w:val="single" w:sz="4" w:space="0" w:color="auto"/>
            </w:tcBorders>
            <w:shd w:val="clear" w:color="auto" w:fill="auto"/>
            <w:vAlign w:val="center"/>
            <w:hideMark/>
          </w:tcPr>
          <w:p w14:paraId="12B01E87"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86</w:t>
            </w:r>
          </w:p>
        </w:tc>
        <w:tc>
          <w:tcPr>
            <w:tcW w:w="608" w:type="pct"/>
            <w:tcBorders>
              <w:top w:val="nil"/>
              <w:left w:val="nil"/>
              <w:bottom w:val="single" w:sz="4" w:space="0" w:color="auto"/>
              <w:right w:val="single" w:sz="4" w:space="0" w:color="auto"/>
            </w:tcBorders>
            <w:shd w:val="clear" w:color="auto" w:fill="auto"/>
            <w:vAlign w:val="center"/>
            <w:hideMark/>
          </w:tcPr>
          <w:p w14:paraId="098FDCC4"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4</w:t>
            </w:r>
          </w:p>
        </w:tc>
        <w:tc>
          <w:tcPr>
            <w:tcW w:w="413" w:type="pct"/>
            <w:tcBorders>
              <w:top w:val="nil"/>
              <w:left w:val="nil"/>
              <w:bottom w:val="single" w:sz="4" w:space="0" w:color="auto"/>
              <w:right w:val="single" w:sz="8" w:space="0" w:color="auto"/>
            </w:tcBorders>
            <w:shd w:val="clear" w:color="auto" w:fill="auto"/>
            <w:vAlign w:val="center"/>
            <w:hideMark/>
          </w:tcPr>
          <w:p w14:paraId="6F14F5C3"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5</w:t>
            </w:r>
          </w:p>
        </w:tc>
      </w:tr>
      <w:tr w:rsidR="00596935" w:rsidRPr="00596935" w14:paraId="1B3972EC" w14:textId="77777777" w:rsidTr="00596935">
        <w:trPr>
          <w:trHeight w:val="489"/>
        </w:trPr>
        <w:tc>
          <w:tcPr>
            <w:tcW w:w="577" w:type="pct"/>
            <w:tcBorders>
              <w:top w:val="nil"/>
              <w:left w:val="single" w:sz="8" w:space="0" w:color="auto"/>
              <w:bottom w:val="single" w:sz="8" w:space="0" w:color="auto"/>
              <w:right w:val="single" w:sz="4" w:space="0" w:color="auto"/>
            </w:tcBorders>
            <w:shd w:val="clear" w:color="auto" w:fill="auto"/>
            <w:vAlign w:val="center"/>
            <w:hideMark/>
          </w:tcPr>
          <w:p w14:paraId="346DC094" w14:textId="77777777" w:rsidR="00596935" w:rsidRPr="00596935" w:rsidRDefault="00596935" w:rsidP="00596935">
            <w:pPr>
              <w:rPr>
                <w:rFonts w:cs="Arial"/>
                <w:color w:val="000000"/>
                <w:sz w:val="20"/>
                <w:szCs w:val="20"/>
                <w:lang w:val="de-AT" w:eastAsia="de-AT"/>
              </w:rPr>
            </w:pPr>
            <w:r w:rsidRPr="00596935">
              <w:rPr>
                <w:rFonts w:cs="Arial"/>
                <w:color w:val="000000"/>
                <w:sz w:val="20"/>
                <w:szCs w:val="20"/>
                <w:lang w:val="de-AT" w:eastAsia="de-AT"/>
              </w:rPr>
              <w:t>Mosnier 2008</w:t>
            </w:r>
          </w:p>
        </w:tc>
        <w:tc>
          <w:tcPr>
            <w:tcW w:w="1430" w:type="pct"/>
            <w:tcBorders>
              <w:top w:val="nil"/>
              <w:left w:val="nil"/>
              <w:bottom w:val="single" w:sz="4" w:space="0" w:color="auto"/>
              <w:right w:val="nil"/>
            </w:tcBorders>
            <w:shd w:val="clear" w:color="auto" w:fill="auto"/>
            <w:vAlign w:val="center"/>
            <w:hideMark/>
          </w:tcPr>
          <w:p w14:paraId="7181BCBD" w14:textId="77777777" w:rsidR="00596935" w:rsidRPr="00596935" w:rsidRDefault="00596935" w:rsidP="00596935">
            <w:pPr>
              <w:rPr>
                <w:rFonts w:cs="Arial"/>
                <w:color w:val="000000"/>
                <w:sz w:val="20"/>
                <w:szCs w:val="20"/>
                <w:lang w:val="de-AT" w:eastAsia="de-AT"/>
              </w:rPr>
            </w:pPr>
            <w:r w:rsidRPr="00596935">
              <w:rPr>
                <w:rFonts w:cs="Arial"/>
                <w:color w:val="000000"/>
                <w:sz w:val="20"/>
                <w:szCs w:val="20"/>
                <w:lang w:val="de-AT" w:eastAsia="de-AT"/>
              </w:rPr>
              <w:t>Freiburger mono</w:t>
            </w:r>
          </w:p>
        </w:tc>
        <w:tc>
          <w:tcPr>
            <w:tcW w:w="692" w:type="pct"/>
            <w:tcBorders>
              <w:top w:val="nil"/>
              <w:left w:val="single" w:sz="8" w:space="0" w:color="auto"/>
              <w:bottom w:val="single" w:sz="4" w:space="0" w:color="auto"/>
              <w:right w:val="single" w:sz="4" w:space="0" w:color="auto"/>
            </w:tcBorders>
            <w:shd w:val="clear" w:color="auto" w:fill="auto"/>
            <w:vAlign w:val="center"/>
            <w:hideMark/>
          </w:tcPr>
          <w:p w14:paraId="193289BC"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37</w:t>
            </w:r>
          </w:p>
        </w:tc>
        <w:tc>
          <w:tcPr>
            <w:tcW w:w="349" w:type="pct"/>
            <w:tcBorders>
              <w:top w:val="nil"/>
              <w:left w:val="nil"/>
              <w:bottom w:val="single" w:sz="4" w:space="0" w:color="auto"/>
              <w:right w:val="single" w:sz="4" w:space="0" w:color="auto"/>
            </w:tcBorders>
            <w:shd w:val="clear" w:color="auto" w:fill="auto"/>
            <w:vAlign w:val="center"/>
            <w:hideMark/>
          </w:tcPr>
          <w:p w14:paraId="42DABA81"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7,1</w:t>
            </w:r>
          </w:p>
        </w:tc>
        <w:tc>
          <w:tcPr>
            <w:tcW w:w="239" w:type="pct"/>
            <w:tcBorders>
              <w:top w:val="nil"/>
              <w:left w:val="nil"/>
              <w:bottom w:val="single" w:sz="4" w:space="0" w:color="auto"/>
              <w:right w:val="single" w:sz="8" w:space="0" w:color="auto"/>
            </w:tcBorders>
            <w:shd w:val="clear" w:color="auto" w:fill="auto"/>
            <w:vAlign w:val="center"/>
            <w:hideMark/>
          </w:tcPr>
          <w:p w14:paraId="5C31AC18"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27</w:t>
            </w:r>
          </w:p>
        </w:tc>
        <w:tc>
          <w:tcPr>
            <w:tcW w:w="692" w:type="pct"/>
            <w:gridSpan w:val="2"/>
            <w:tcBorders>
              <w:top w:val="single" w:sz="4" w:space="0" w:color="auto"/>
              <w:left w:val="nil"/>
              <w:bottom w:val="single" w:sz="4" w:space="0" w:color="auto"/>
              <w:right w:val="single" w:sz="4" w:space="0" w:color="auto"/>
            </w:tcBorders>
            <w:shd w:val="clear" w:color="auto" w:fill="auto"/>
            <w:vAlign w:val="center"/>
            <w:hideMark/>
          </w:tcPr>
          <w:p w14:paraId="78A40EA0"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81</w:t>
            </w:r>
          </w:p>
        </w:tc>
        <w:tc>
          <w:tcPr>
            <w:tcW w:w="608" w:type="pct"/>
            <w:tcBorders>
              <w:top w:val="nil"/>
              <w:left w:val="nil"/>
              <w:bottom w:val="single" w:sz="4" w:space="0" w:color="auto"/>
              <w:right w:val="single" w:sz="4" w:space="0" w:color="auto"/>
            </w:tcBorders>
            <w:shd w:val="clear" w:color="auto" w:fill="auto"/>
            <w:vAlign w:val="center"/>
            <w:hideMark/>
          </w:tcPr>
          <w:p w14:paraId="48D1FE45"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5,3</w:t>
            </w:r>
          </w:p>
        </w:tc>
        <w:tc>
          <w:tcPr>
            <w:tcW w:w="413" w:type="pct"/>
            <w:tcBorders>
              <w:top w:val="nil"/>
              <w:left w:val="nil"/>
              <w:bottom w:val="single" w:sz="4" w:space="0" w:color="auto"/>
              <w:right w:val="single" w:sz="8" w:space="0" w:color="auto"/>
            </w:tcBorders>
            <w:shd w:val="clear" w:color="auto" w:fill="auto"/>
            <w:vAlign w:val="center"/>
            <w:hideMark/>
          </w:tcPr>
          <w:p w14:paraId="3B147781"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27</w:t>
            </w:r>
          </w:p>
        </w:tc>
      </w:tr>
      <w:tr w:rsidR="00596935" w:rsidRPr="00596935" w14:paraId="78A752F2" w14:textId="77777777" w:rsidTr="00596935">
        <w:trPr>
          <w:trHeight w:val="489"/>
        </w:trPr>
        <w:tc>
          <w:tcPr>
            <w:tcW w:w="577" w:type="pct"/>
            <w:tcBorders>
              <w:top w:val="nil"/>
              <w:left w:val="single" w:sz="8" w:space="0" w:color="auto"/>
              <w:bottom w:val="single" w:sz="8" w:space="0" w:color="auto"/>
              <w:right w:val="nil"/>
            </w:tcBorders>
            <w:shd w:val="clear" w:color="auto" w:fill="auto"/>
            <w:vAlign w:val="center"/>
            <w:hideMark/>
          </w:tcPr>
          <w:p w14:paraId="05FA8029" w14:textId="77777777" w:rsidR="00596935" w:rsidRPr="00596935" w:rsidRDefault="00596935" w:rsidP="00596935">
            <w:pPr>
              <w:rPr>
                <w:rFonts w:cs="Arial"/>
                <w:color w:val="000000"/>
                <w:sz w:val="20"/>
                <w:szCs w:val="20"/>
                <w:lang w:val="de-AT" w:eastAsia="de-AT"/>
              </w:rPr>
            </w:pPr>
            <w:r w:rsidRPr="00596935">
              <w:rPr>
                <w:rFonts w:cs="Arial"/>
                <w:color w:val="000000"/>
                <w:sz w:val="20"/>
                <w:szCs w:val="20"/>
                <w:lang w:val="de-AT" w:eastAsia="de-AT"/>
              </w:rPr>
              <w:t>Sterkers 2003</w:t>
            </w:r>
          </w:p>
        </w:tc>
        <w:tc>
          <w:tcPr>
            <w:tcW w:w="1430" w:type="pct"/>
            <w:tcBorders>
              <w:top w:val="nil"/>
              <w:left w:val="single" w:sz="4" w:space="0" w:color="auto"/>
              <w:bottom w:val="single" w:sz="8" w:space="0" w:color="auto"/>
              <w:right w:val="nil"/>
            </w:tcBorders>
            <w:shd w:val="clear" w:color="auto" w:fill="auto"/>
            <w:vAlign w:val="center"/>
            <w:hideMark/>
          </w:tcPr>
          <w:p w14:paraId="76134FC0" w14:textId="77777777" w:rsidR="00596935" w:rsidRPr="00596935" w:rsidRDefault="00596935" w:rsidP="00596935">
            <w:pPr>
              <w:rPr>
                <w:rFonts w:cs="Arial"/>
                <w:color w:val="000000"/>
                <w:sz w:val="20"/>
                <w:szCs w:val="20"/>
                <w:lang w:val="de-AT" w:eastAsia="de-AT"/>
              </w:rPr>
            </w:pPr>
            <w:r w:rsidRPr="00596935">
              <w:rPr>
                <w:rFonts w:cs="Arial"/>
                <w:color w:val="000000"/>
                <w:sz w:val="20"/>
                <w:szCs w:val="20"/>
                <w:lang w:val="de-AT" w:eastAsia="de-AT"/>
              </w:rPr>
              <w:t>Freiburger mono</w:t>
            </w:r>
          </w:p>
        </w:tc>
        <w:tc>
          <w:tcPr>
            <w:tcW w:w="692" w:type="pct"/>
            <w:tcBorders>
              <w:top w:val="nil"/>
              <w:left w:val="single" w:sz="8" w:space="0" w:color="auto"/>
              <w:bottom w:val="single" w:sz="8" w:space="0" w:color="auto"/>
              <w:right w:val="single" w:sz="4" w:space="0" w:color="auto"/>
            </w:tcBorders>
            <w:shd w:val="clear" w:color="auto" w:fill="auto"/>
            <w:vAlign w:val="center"/>
            <w:hideMark/>
          </w:tcPr>
          <w:p w14:paraId="5DE7750E"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56</w:t>
            </w:r>
          </w:p>
        </w:tc>
        <w:tc>
          <w:tcPr>
            <w:tcW w:w="349" w:type="pct"/>
            <w:tcBorders>
              <w:top w:val="nil"/>
              <w:left w:val="nil"/>
              <w:bottom w:val="single" w:sz="8" w:space="0" w:color="auto"/>
              <w:right w:val="single" w:sz="4" w:space="0" w:color="auto"/>
            </w:tcBorders>
            <w:shd w:val="clear" w:color="auto" w:fill="auto"/>
            <w:vAlign w:val="center"/>
            <w:hideMark/>
          </w:tcPr>
          <w:p w14:paraId="1382811E"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6,5</w:t>
            </w:r>
          </w:p>
        </w:tc>
        <w:tc>
          <w:tcPr>
            <w:tcW w:w="239" w:type="pct"/>
            <w:tcBorders>
              <w:top w:val="nil"/>
              <w:left w:val="nil"/>
              <w:bottom w:val="single" w:sz="8" w:space="0" w:color="auto"/>
              <w:right w:val="single" w:sz="8" w:space="0" w:color="auto"/>
            </w:tcBorders>
            <w:shd w:val="clear" w:color="auto" w:fill="auto"/>
            <w:vAlign w:val="center"/>
            <w:hideMark/>
          </w:tcPr>
          <w:p w14:paraId="10A00603"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37</w:t>
            </w:r>
          </w:p>
        </w:tc>
        <w:tc>
          <w:tcPr>
            <w:tcW w:w="692" w:type="pct"/>
            <w:gridSpan w:val="2"/>
            <w:tcBorders>
              <w:top w:val="single" w:sz="4" w:space="0" w:color="auto"/>
              <w:left w:val="nil"/>
              <w:bottom w:val="single" w:sz="8" w:space="0" w:color="auto"/>
              <w:right w:val="single" w:sz="4" w:space="0" w:color="auto"/>
            </w:tcBorders>
            <w:shd w:val="clear" w:color="auto" w:fill="auto"/>
            <w:vAlign w:val="center"/>
            <w:hideMark/>
          </w:tcPr>
          <w:p w14:paraId="661357B6"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89</w:t>
            </w:r>
          </w:p>
        </w:tc>
        <w:tc>
          <w:tcPr>
            <w:tcW w:w="608" w:type="pct"/>
            <w:tcBorders>
              <w:top w:val="nil"/>
              <w:left w:val="nil"/>
              <w:bottom w:val="single" w:sz="8" w:space="0" w:color="auto"/>
              <w:right w:val="single" w:sz="4" w:space="0" w:color="auto"/>
            </w:tcBorders>
            <w:shd w:val="clear" w:color="auto" w:fill="auto"/>
            <w:vAlign w:val="center"/>
            <w:hideMark/>
          </w:tcPr>
          <w:p w14:paraId="0F18CAEB"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4</w:t>
            </w:r>
          </w:p>
        </w:tc>
        <w:tc>
          <w:tcPr>
            <w:tcW w:w="413" w:type="pct"/>
            <w:tcBorders>
              <w:top w:val="nil"/>
              <w:left w:val="nil"/>
              <w:bottom w:val="single" w:sz="8" w:space="0" w:color="auto"/>
              <w:right w:val="single" w:sz="8" w:space="0" w:color="auto"/>
            </w:tcBorders>
            <w:shd w:val="clear" w:color="auto" w:fill="auto"/>
            <w:vAlign w:val="center"/>
            <w:hideMark/>
          </w:tcPr>
          <w:p w14:paraId="452D5F21"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37</w:t>
            </w:r>
          </w:p>
        </w:tc>
      </w:tr>
      <w:tr w:rsidR="00596935" w:rsidRPr="00596935" w14:paraId="149C8FAB" w14:textId="77777777" w:rsidTr="001D51F0">
        <w:trPr>
          <w:trHeight w:val="489"/>
        </w:trPr>
        <w:tc>
          <w:tcPr>
            <w:tcW w:w="577" w:type="pct"/>
            <w:tcBorders>
              <w:top w:val="nil"/>
              <w:left w:val="nil"/>
              <w:bottom w:val="nil"/>
              <w:right w:val="nil"/>
            </w:tcBorders>
            <w:shd w:val="clear" w:color="auto" w:fill="auto"/>
            <w:vAlign w:val="bottom"/>
          </w:tcPr>
          <w:p w14:paraId="46260593" w14:textId="77777777" w:rsidR="00596935" w:rsidRPr="00596935" w:rsidRDefault="00596935" w:rsidP="00596935">
            <w:pPr>
              <w:rPr>
                <w:rFonts w:cs="Arial"/>
                <w:color w:val="000000"/>
                <w:sz w:val="20"/>
                <w:szCs w:val="20"/>
                <w:lang w:val="de-AT" w:eastAsia="de-AT"/>
              </w:rPr>
            </w:pPr>
          </w:p>
        </w:tc>
        <w:tc>
          <w:tcPr>
            <w:tcW w:w="1430" w:type="pct"/>
            <w:tcBorders>
              <w:top w:val="nil"/>
              <w:left w:val="nil"/>
              <w:bottom w:val="nil"/>
              <w:right w:val="nil"/>
            </w:tcBorders>
            <w:shd w:val="clear" w:color="auto" w:fill="auto"/>
            <w:vAlign w:val="bottom"/>
          </w:tcPr>
          <w:p w14:paraId="3BB0B564" w14:textId="77777777" w:rsidR="00596935" w:rsidRPr="00596935" w:rsidRDefault="00596935" w:rsidP="00596935">
            <w:pPr>
              <w:rPr>
                <w:rFonts w:cs="Arial"/>
                <w:color w:val="000000"/>
                <w:sz w:val="20"/>
                <w:szCs w:val="20"/>
                <w:lang w:val="de-AT" w:eastAsia="de-AT"/>
              </w:rPr>
            </w:pPr>
          </w:p>
        </w:tc>
        <w:tc>
          <w:tcPr>
            <w:tcW w:w="692" w:type="pct"/>
            <w:tcBorders>
              <w:top w:val="nil"/>
              <w:left w:val="nil"/>
              <w:bottom w:val="nil"/>
              <w:right w:val="nil"/>
            </w:tcBorders>
            <w:shd w:val="clear" w:color="auto" w:fill="auto"/>
            <w:vAlign w:val="bottom"/>
          </w:tcPr>
          <w:p w14:paraId="052B80C4" w14:textId="77777777" w:rsidR="00596935" w:rsidRPr="00596935" w:rsidRDefault="00596935" w:rsidP="00596935">
            <w:pPr>
              <w:rPr>
                <w:rFonts w:cs="Arial"/>
                <w:b/>
                <w:bCs/>
                <w:color w:val="000000"/>
                <w:sz w:val="20"/>
                <w:szCs w:val="20"/>
                <w:lang w:val="de-AT" w:eastAsia="de-AT"/>
              </w:rPr>
            </w:pPr>
          </w:p>
        </w:tc>
        <w:tc>
          <w:tcPr>
            <w:tcW w:w="349" w:type="pct"/>
            <w:tcBorders>
              <w:top w:val="nil"/>
              <w:left w:val="nil"/>
              <w:bottom w:val="nil"/>
              <w:right w:val="nil"/>
            </w:tcBorders>
            <w:shd w:val="clear" w:color="auto" w:fill="auto"/>
            <w:vAlign w:val="bottom"/>
          </w:tcPr>
          <w:p w14:paraId="70F7A4F5" w14:textId="77777777" w:rsidR="00596935" w:rsidRPr="00596935" w:rsidRDefault="00596935" w:rsidP="00596935">
            <w:pPr>
              <w:rPr>
                <w:rFonts w:cs="Arial"/>
                <w:b/>
                <w:bCs/>
                <w:color w:val="000000"/>
                <w:sz w:val="20"/>
                <w:szCs w:val="20"/>
                <w:lang w:val="de-AT" w:eastAsia="de-AT"/>
              </w:rPr>
            </w:pPr>
          </w:p>
        </w:tc>
        <w:tc>
          <w:tcPr>
            <w:tcW w:w="239" w:type="pct"/>
            <w:tcBorders>
              <w:top w:val="nil"/>
              <w:left w:val="nil"/>
              <w:bottom w:val="nil"/>
              <w:right w:val="nil"/>
            </w:tcBorders>
            <w:shd w:val="clear" w:color="auto" w:fill="auto"/>
            <w:vAlign w:val="bottom"/>
          </w:tcPr>
          <w:p w14:paraId="67804F53" w14:textId="77777777" w:rsidR="00596935" w:rsidRPr="00596935" w:rsidRDefault="00596935" w:rsidP="00596935">
            <w:pPr>
              <w:rPr>
                <w:rFonts w:cs="Arial"/>
                <w:b/>
                <w:bCs/>
                <w:color w:val="000000"/>
                <w:sz w:val="20"/>
                <w:szCs w:val="20"/>
                <w:lang w:val="de-AT" w:eastAsia="de-AT"/>
              </w:rPr>
            </w:pPr>
          </w:p>
        </w:tc>
        <w:tc>
          <w:tcPr>
            <w:tcW w:w="396" w:type="pct"/>
            <w:tcBorders>
              <w:top w:val="nil"/>
              <w:left w:val="nil"/>
              <w:bottom w:val="nil"/>
              <w:right w:val="nil"/>
            </w:tcBorders>
            <w:shd w:val="clear" w:color="auto" w:fill="auto"/>
            <w:vAlign w:val="bottom"/>
          </w:tcPr>
          <w:p w14:paraId="40701AF7" w14:textId="77777777" w:rsidR="00596935" w:rsidRPr="00596935" w:rsidRDefault="00596935" w:rsidP="00596935">
            <w:pPr>
              <w:rPr>
                <w:rFonts w:cs="Arial"/>
                <w:b/>
                <w:bCs/>
                <w:color w:val="000000"/>
                <w:sz w:val="20"/>
                <w:szCs w:val="20"/>
                <w:lang w:val="de-AT" w:eastAsia="de-AT"/>
              </w:rPr>
            </w:pPr>
          </w:p>
        </w:tc>
        <w:tc>
          <w:tcPr>
            <w:tcW w:w="296" w:type="pct"/>
            <w:tcBorders>
              <w:top w:val="nil"/>
              <w:left w:val="nil"/>
              <w:bottom w:val="nil"/>
              <w:right w:val="nil"/>
            </w:tcBorders>
            <w:shd w:val="clear" w:color="auto" w:fill="auto"/>
            <w:vAlign w:val="center"/>
          </w:tcPr>
          <w:p w14:paraId="27C73A37" w14:textId="77777777" w:rsidR="00596935" w:rsidRPr="00596935" w:rsidRDefault="00596935" w:rsidP="00596935">
            <w:pPr>
              <w:jc w:val="center"/>
              <w:rPr>
                <w:rFonts w:cs="Arial"/>
                <w:color w:val="000000"/>
                <w:sz w:val="20"/>
                <w:szCs w:val="20"/>
                <w:lang w:val="de-AT" w:eastAsia="de-AT"/>
              </w:rPr>
            </w:pPr>
          </w:p>
        </w:tc>
        <w:tc>
          <w:tcPr>
            <w:tcW w:w="608" w:type="pct"/>
            <w:tcBorders>
              <w:top w:val="nil"/>
              <w:left w:val="nil"/>
              <w:bottom w:val="nil"/>
              <w:right w:val="nil"/>
            </w:tcBorders>
            <w:shd w:val="clear" w:color="auto" w:fill="auto"/>
            <w:vAlign w:val="center"/>
          </w:tcPr>
          <w:p w14:paraId="21112A92" w14:textId="77777777" w:rsidR="00596935" w:rsidRPr="00596935" w:rsidRDefault="00596935" w:rsidP="00596935">
            <w:pPr>
              <w:jc w:val="center"/>
              <w:rPr>
                <w:rFonts w:cs="Arial"/>
                <w:color w:val="000000"/>
                <w:sz w:val="20"/>
                <w:szCs w:val="20"/>
                <w:lang w:val="de-AT" w:eastAsia="de-AT"/>
              </w:rPr>
            </w:pPr>
          </w:p>
        </w:tc>
        <w:tc>
          <w:tcPr>
            <w:tcW w:w="413" w:type="pct"/>
            <w:tcBorders>
              <w:top w:val="nil"/>
              <w:left w:val="nil"/>
              <w:bottom w:val="nil"/>
              <w:right w:val="nil"/>
            </w:tcBorders>
            <w:shd w:val="clear" w:color="auto" w:fill="auto"/>
            <w:vAlign w:val="center"/>
          </w:tcPr>
          <w:p w14:paraId="2A9AEDAB" w14:textId="77777777" w:rsidR="00596935" w:rsidRPr="00596935" w:rsidRDefault="00596935" w:rsidP="00596935">
            <w:pPr>
              <w:jc w:val="center"/>
              <w:rPr>
                <w:rFonts w:cs="Arial"/>
                <w:color w:val="000000"/>
                <w:sz w:val="20"/>
                <w:szCs w:val="20"/>
                <w:lang w:val="de-AT" w:eastAsia="de-AT"/>
              </w:rPr>
            </w:pPr>
          </w:p>
        </w:tc>
      </w:tr>
      <w:tr w:rsidR="00596935" w:rsidRPr="00596935" w14:paraId="32114208" w14:textId="77777777" w:rsidTr="00596935">
        <w:trPr>
          <w:trHeight w:val="489"/>
        </w:trPr>
        <w:tc>
          <w:tcPr>
            <w:tcW w:w="577" w:type="pct"/>
            <w:tcBorders>
              <w:top w:val="single" w:sz="8" w:space="0" w:color="auto"/>
              <w:left w:val="single" w:sz="8" w:space="0" w:color="auto"/>
              <w:bottom w:val="nil"/>
              <w:right w:val="nil"/>
            </w:tcBorders>
            <w:shd w:val="clear" w:color="000000" w:fill="F2DCDB"/>
            <w:vAlign w:val="bottom"/>
            <w:hideMark/>
          </w:tcPr>
          <w:p w14:paraId="55403EBA" w14:textId="77777777" w:rsidR="00596935" w:rsidRPr="00596935" w:rsidRDefault="00596935" w:rsidP="00596935">
            <w:pPr>
              <w:jc w:val="center"/>
              <w:rPr>
                <w:rFonts w:cs="Arial"/>
                <w:b/>
                <w:bCs/>
                <w:i/>
                <w:iCs/>
                <w:sz w:val="20"/>
                <w:szCs w:val="20"/>
                <w:lang w:val="de-AT" w:eastAsia="de-AT"/>
              </w:rPr>
            </w:pPr>
            <w:r w:rsidRPr="00596935">
              <w:rPr>
                <w:rFonts w:cs="Arial"/>
                <w:b/>
                <w:bCs/>
                <w:i/>
                <w:iCs/>
                <w:sz w:val="20"/>
                <w:szCs w:val="20"/>
                <w:lang w:val="de-AT" w:eastAsia="de-AT"/>
              </w:rPr>
              <w:t>SRT</w:t>
            </w:r>
          </w:p>
        </w:tc>
        <w:tc>
          <w:tcPr>
            <w:tcW w:w="1430" w:type="pct"/>
            <w:tcBorders>
              <w:top w:val="single" w:sz="8" w:space="0" w:color="auto"/>
              <w:left w:val="single" w:sz="8" w:space="0" w:color="auto"/>
              <w:bottom w:val="nil"/>
              <w:right w:val="single" w:sz="8" w:space="0" w:color="auto"/>
            </w:tcBorders>
            <w:shd w:val="clear" w:color="000000" w:fill="F2DCDB"/>
            <w:vAlign w:val="center"/>
            <w:hideMark/>
          </w:tcPr>
          <w:p w14:paraId="1CB35AD6"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Test</w:t>
            </w:r>
          </w:p>
        </w:tc>
        <w:tc>
          <w:tcPr>
            <w:tcW w:w="1041" w:type="pct"/>
            <w:gridSpan w:val="2"/>
            <w:tcBorders>
              <w:top w:val="single" w:sz="8" w:space="0" w:color="auto"/>
              <w:left w:val="nil"/>
              <w:bottom w:val="nil"/>
              <w:right w:val="nil"/>
            </w:tcBorders>
            <w:shd w:val="clear" w:color="000000" w:fill="F2DCDB"/>
            <w:vAlign w:val="bottom"/>
            <w:hideMark/>
          </w:tcPr>
          <w:p w14:paraId="27B0817C" w14:textId="77777777" w:rsidR="00596935" w:rsidRPr="00596935" w:rsidRDefault="00596935" w:rsidP="00596935">
            <w:pPr>
              <w:jc w:val="center"/>
              <w:rPr>
                <w:rFonts w:cs="Arial"/>
                <w:b/>
                <w:bCs/>
                <w:color w:val="000000"/>
                <w:sz w:val="20"/>
                <w:szCs w:val="20"/>
                <w:lang w:val="de-AT" w:eastAsia="de-AT"/>
              </w:rPr>
            </w:pPr>
            <w:r w:rsidRPr="00596935">
              <w:rPr>
                <w:rFonts w:cs="Arial"/>
                <w:b/>
                <w:bCs/>
                <w:color w:val="000000"/>
                <w:sz w:val="20"/>
                <w:szCs w:val="20"/>
                <w:lang w:val="de-AT" w:eastAsia="de-AT"/>
              </w:rPr>
              <w:t>unaided</w:t>
            </w:r>
          </w:p>
        </w:tc>
        <w:tc>
          <w:tcPr>
            <w:tcW w:w="239" w:type="pct"/>
            <w:tcBorders>
              <w:top w:val="single" w:sz="8" w:space="0" w:color="auto"/>
              <w:left w:val="nil"/>
              <w:bottom w:val="nil"/>
              <w:right w:val="single" w:sz="8" w:space="0" w:color="auto"/>
            </w:tcBorders>
            <w:shd w:val="clear" w:color="000000" w:fill="F2DCDB"/>
            <w:vAlign w:val="bottom"/>
            <w:hideMark/>
          </w:tcPr>
          <w:p w14:paraId="39643F4C" w14:textId="77777777" w:rsidR="00596935" w:rsidRPr="00596935" w:rsidRDefault="00596935" w:rsidP="00596935">
            <w:pPr>
              <w:jc w:val="center"/>
              <w:rPr>
                <w:rFonts w:cs="Arial"/>
                <w:b/>
                <w:bCs/>
                <w:color w:val="000000"/>
                <w:sz w:val="20"/>
                <w:szCs w:val="20"/>
                <w:lang w:val="de-AT" w:eastAsia="de-AT"/>
              </w:rPr>
            </w:pPr>
            <w:r w:rsidRPr="00596935">
              <w:rPr>
                <w:rFonts w:cs="Arial"/>
                <w:b/>
                <w:bCs/>
                <w:color w:val="000000"/>
                <w:sz w:val="20"/>
                <w:szCs w:val="20"/>
                <w:lang w:val="de-AT" w:eastAsia="de-AT"/>
              </w:rPr>
              <w:t> </w:t>
            </w:r>
          </w:p>
        </w:tc>
        <w:tc>
          <w:tcPr>
            <w:tcW w:w="396" w:type="pct"/>
            <w:tcBorders>
              <w:top w:val="single" w:sz="8" w:space="0" w:color="auto"/>
              <w:left w:val="nil"/>
              <w:bottom w:val="single" w:sz="8" w:space="0" w:color="000000"/>
              <w:right w:val="nil"/>
            </w:tcBorders>
            <w:shd w:val="clear" w:color="000000" w:fill="F2DCDB"/>
            <w:vAlign w:val="bottom"/>
            <w:hideMark/>
          </w:tcPr>
          <w:p w14:paraId="55DD2ADD" w14:textId="77777777" w:rsidR="00596935" w:rsidRPr="00596935" w:rsidRDefault="00596935" w:rsidP="00596935">
            <w:pPr>
              <w:jc w:val="center"/>
              <w:rPr>
                <w:rFonts w:cs="Arial"/>
                <w:b/>
                <w:bCs/>
                <w:color w:val="000000"/>
                <w:sz w:val="20"/>
                <w:szCs w:val="20"/>
                <w:lang w:val="de-AT" w:eastAsia="de-AT"/>
              </w:rPr>
            </w:pPr>
            <w:r w:rsidRPr="00596935">
              <w:rPr>
                <w:rFonts w:cs="Arial"/>
                <w:b/>
                <w:bCs/>
                <w:color w:val="000000"/>
                <w:sz w:val="20"/>
                <w:szCs w:val="20"/>
                <w:lang w:val="de-AT" w:eastAsia="de-AT"/>
              </w:rPr>
              <w:t> </w:t>
            </w:r>
          </w:p>
        </w:tc>
        <w:tc>
          <w:tcPr>
            <w:tcW w:w="904" w:type="pct"/>
            <w:gridSpan w:val="2"/>
            <w:tcBorders>
              <w:top w:val="single" w:sz="8" w:space="0" w:color="auto"/>
              <w:left w:val="nil"/>
              <w:bottom w:val="single" w:sz="8" w:space="0" w:color="000000"/>
              <w:right w:val="nil"/>
            </w:tcBorders>
            <w:shd w:val="clear" w:color="000000" w:fill="F2DCDB"/>
            <w:vAlign w:val="bottom"/>
            <w:hideMark/>
          </w:tcPr>
          <w:p w14:paraId="20C23B7A" w14:textId="77777777" w:rsidR="00596935" w:rsidRPr="00596935" w:rsidRDefault="00596935" w:rsidP="00596935">
            <w:pPr>
              <w:jc w:val="center"/>
              <w:rPr>
                <w:rFonts w:cs="Arial"/>
                <w:b/>
                <w:bCs/>
                <w:color w:val="000000"/>
                <w:sz w:val="20"/>
                <w:szCs w:val="20"/>
                <w:lang w:val="de-AT" w:eastAsia="de-AT"/>
              </w:rPr>
            </w:pPr>
            <w:r w:rsidRPr="00596935">
              <w:rPr>
                <w:rFonts w:cs="Arial"/>
                <w:b/>
                <w:bCs/>
                <w:color w:val="000000"/>
                <w:sz w:val="20"/>
                <w:szCs w:val="20"/>
                <w:lang w:val="de-AT" w:eastAsia="de-AT"/>
              </w:rPr>
              <w:t xml:space="preserve">aided </w:t>
            </w:r>
          </w:p>
        </w:tc>
        <w:tc>
          <w:tcPr>
            <w:tcW w:w="413" w:type="pct"/>
            <w:tcBorders>
              <w:top w:val="single" w:sz="8" w:space="0" w:color="auto"/>
              <w:left w:val="nil"/>
              <w:bottom w:val="single" w:sz="8" w:space="0" w:color="000000"/>
              <w:right w:val="single" w:sz="8" w:space="0" w:color="auto"/>
            </w:tcBorders>
            <w:shd w:val="clear" w:color="000000" w:fill="F2DCDB"/>
            <w:vAlign w:val="bottom"/>
            <w:hideMark/>
          </w:tcPr>
          <w:p w14:paraId="56706CF8" w14:textId="77777777" w:rsidR="00596935" w:rsidRPr="00596935" w:rsidRDefault="00596935" w:rsidP="00596935">
            <w:pPr>
              <w:jc w:val="center"/>
              <w:rPr>
                <w:rFonts w:cs="Arial"/>
                <w:b/>
                <w:bCs/>
                <w:color w:val="000000"/>
                <w:sz w:val="20"/>
                <w:szCs w:val="20"/>
                <w:lang w:val="de-AT" w:eastAsia="de-AT"/>
              </w:rPr>
            </w:pPr>
            <w:r w:rsidRPr="00596935">
              <w:rPr>
                <w:rFonts w:cs="Arial"/>
                <w:b/>
                <w:bCs/>
                <w:color w:val="000000"/>
                <w:sz w:val="20"/>
                <w:szCs w:val="20"/>
                <w:lang w:val="de-AT" w:eastAsia="de-AT"/>
              </w:rPr>
              <w:t> </w:t>
            </w:r>
          </w:p>
        </w:tc>
      </w:tr>
      <w:tr w:rsidR="00596935" w:rsidRPr="00596935" w14:paraId="22563B94" w14:textId="77777777" w:rsidTr="00596935">
        <w:trPr>
          <w:trHeight w:val="489"/>
        </w:trPr>
        <w:tc>
          <w:tcPr>
            <w:tcW w:w="577" w:type="pct"/>
            <w:tcBorders>
              <w:top w:val="nil"/>
              <w:left w:val="single" w:sz="8" w:space="0" w:color="auto"/>
              <w:bottom w:val="single" w:sz="8" w:space="0" w:color="000000"/>
              <w:right w:val="nil"/>
            </w:tcBorders>
            <w:shd w:val="clear" w:color="000000" w:fill="D9D9D9"/>
            <w:vAlign w:val="bottom"/>
            <w:hideMark/>
          </w:tcPr>
          <w:p w14:paraId="5B1F01E0" w14:textId="77777777" w:rsidR="00596935" w:rsidRPr="00596935" w:rsidRDefault="00596935" w:rsidP="00596935">
            <w:pPr>
              <w:jc w:val="center"/>
              <w:rPr>
                <w:rFonts w:cs="Arial"/>
                <w:b/>
                <w:bCs/>
                <w:i/>
                <w:iCs/>
                <w:sz w:val="20"/>
                <w:szCs w:val="20"/>
                <w:lang w:val="de-AT" w:eastAsia="de-AT"/>
              </w:rPr>
            </w:pPr>
            <w:r w:rsidRPr="00596935">
              <w:rPr>
                <w:rFonts w:cs="Arial"/>
                <w:b/>
                <w:bCs/>
                <w:i/>
                <w:iCs/>
                <w:sz w:val="20"/>
                <w:szCs w:val="20"/>
                <w:lang w:val="de-AT" w:eastAsia="de-AT"/>
              </w:rPr>
              <w:t>author</w:t>
            </w:r>
          </w:p>
        </w:tc>
        <w:tc>
          <w:tcPr>
            <w:tcW w:w="1430" w:type="pct"/>
            <w:tcBorders>
              <w:top w:val="nil"/>
              <w:left w:val="single" w:sz="8" w:space="0" w:color="auto"/>
              <w:bottom w:val="single" w:sz="8" w:space="0" w:color="auto"/>
              <w:right w:val="single" w:sz="8" w:space="0" w:color="auto"/>
            </w:tcBorders>
            <w:shd w:val="clear" w:color="000000" w:fill="D9D9D9"/>
            <w:vAlign w:val="bottom"/>
            <w:hideMark/>
          </w:tcPr>
          <w:p w14:paraId="4F97C777" w14:textId="77777777" w:rsidR="00596935" w:rsidRPr="00596935" w:rsidRDefault="00596935" w:rsidP="00596935">
            <w:pPr>
              <w:rPr>
                <w:rFonts w:cs="Arial"/>
                <w:color w:val="000000"/>
                <w:sz w:val="20"/>
                <w:szCs w:val="20"/>
                <w:lang w:val="de-AT" w:eastAsia="de-AT"/>
              </w:rPr>
            </w:pPr>
            <w:r w:rsidRPr="00596935">
              <w:rPr>
                <w:rFonts w:cs="Arial"/>
                <w:color w:val="000000"/>
                <w:sz w:val="20"/>
                <w:szCs w:val="20"/>
                <w:lang w:val="de-AT" w:eastAsia="de-AT"/>
              </w:rPr>
              <w:t> </w:t>
            </w:r>
          </w:p>
        </w:tc>
        <w:tc>
          <w:tcPr>
            <w:tcW w:w="692" w:type="pct"/>
            <w:tcBorders>
              <w:top w:val="single" w:sz="8" w:space="0" w:color="000000"/>
              <w:left w:val="nil"/>
              <w:bottom w:val="nil"/>
              <w:right w:val="nil"/>
            </w:tcBorders>
            <w:shd w:val="clear" w:color="000000" w:fill="D9D9D9"/>
            <w:vAlign w:val="center"/>
            <w:hideMark/>
          </w:tcPr>
          <w:p w14:paraId="0CCBF8F3"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mean [dB]</w:t>
            </w:r>
          </w:p>
        </w:tc>
        <w:tc>
          <w:tcPr>
            <w:tcW w:w="349" w:type="pct"/>
            <w:tcBorders>
              <w:top w:val="single" w:sz="8" w:space="0" w:color="000000"/>
              <w:left w:val="nil"/>
              <w:bottom w:val="nil"/>
              <w:right w:val="nil"/>
            </w:tcBorders>
            <w:shd w:val="clear" w:color="000000" w:fill="D9D9D9"/>
            <w:vAlign w:val="center"/>
            <w:hideMark/>
          </w:tcPr>
          <w:p w14:paraId="081A3828"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sd</w:t>
            </w:r>
          </w:p>
        </w:tc>
        <w:tc>
          <w:tcPr>
            <w:tcW w:w="239" w:type="pct"/>
            <w:tcBorders>
              <w:top w:val="single" w:sz="8" w:space="0" w:color="000000"/>
              <w:left w:val="nil"/>
              <w:bottom w:val="nil"/>
              <w:right w:val="single" w:sz="8" w:space="0" w:color="auto"/>
            </w:tcBorders>
            <w:shd w:val="clear" w:color="000000" w:fill="D9D9D9"/>
            <w:vAlign w:val="center"/>
            <w:hideMark/>
          </w:tcPr>
          <w:p w14:paraId="70E8FAA5" w14:textId="77777777" w:rsidR="00596935" w:rsidRPr="00596935" w:rsidRDefault="00596935" w:rsidP="00596935">
            <w:pPr>
              <w:jc w:val="center"/>
              <w:rPr>
                <w:rFonts w:cs="Arial"/>
                <w:i/>
                <w:iCs/>
                <w:color w:val="000000"/>
                <w:sz w:val="20"/>
                <w:szCs w:val="20"/>
                <w:lang w:val="de-AT" w:eastAsia="de-AT"/>
              </w:rPr>
            </w:pPr>
            <w:r w:rsidRPr="00596935">
              <w:rPr>
                <w:rFonts w:cs="Arial"/>
                <w:i/>
                <w:iCs/>
                <w:color w:val="000000"/>
                <w:sz w:val="20"/>
                <w:szCs w:val="20"/>
                <w:lang w:val="de-AT" w:eastAsia="de-AT"/>
              </w:rPr>
              <w:t>n</w:t>
            </w:r>
          </w:p>
        </w:tc>
        <w:tc>
          <w:tcPr>
            <w:tcW w:w="692" w:type="pct"/>
            <w:gridSpan w:val="2"/>
            <w:tcBorders>
              <w:top w:val="single" w:sz="8" w:space="0" w:color="000000"/>
              <w:left w:val="nil"/>
              <w:bottom w:val="nil"/>
              <w:right w:val="nil"/>
            </w:tcBorders>
            <w:shd w:val="clear" w:color="000000" w:fill="D9D9D9"/>
            <w:vAlign w:val="center"/>
            <w:hideMark/>
          </w:tcPr>
          <w:p w14:paraId="34E47AE9"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mean [dB]</w:t>
            </w:r>
          </w:p>
        </w:tc>
        <w:tc>
          <w:tcPr>
            <w:tcW w:w="608" w:type="pct"/>
            <w:tcBorders>
              <w:top w:val="nil"/>
              <w:left w:val="nil"/>
              <w:bottom w:val="nil"/>
              <w:right w:val="nil"/>
            </w:tcBorders>
            <w:shd w:val="clear" w:color="000000" w:fill="D9D9D9"/>
            <w:vAlign w:val="center"/>
            <w:hideMark/>
          </w:tcPr>
          <w:p w14:paraId="3C4C16EF"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sd</w:t>
            </w:r>
          </w:p>
        </w:tc>
        <w:tc>
          <w:tcPr>
            <w:tcW w:w="413" w:type="pct"/>
            <w:tcBorders>
              <w:top w:val="nil"/>
              <w:left w:val="nil"/>
              <w:bottom w:val="nil"/>
              <w:right w:val="single" w:sz="8" w:space="0" w:color="auto"/>
            </w:tcBorders>
            <w:shd w:val="clear" w:color="000000" w:fill="D9D9D9"/>
            <w:vAlign w:val="center"/>
            <w:hideMark/>
          </w:tcPr>
          <w:p w14:paraId="4E18A3F1" w14:textId="77777777" w:rsidR="00596935" w:rsidRPr="00596935" w:rsidRDefault="00596935" w:rsidP="00596935">
            <w:pPr>
              <w:jc w:val="center"/>
              <w:rPr>
                <w:rFonts w:cs="Arial"/>
                <w:i/>
                <w:iCs/>
                <w:color w:val="000000"/>
                <w:sz w:val="20"/>
                <w:szCs w:val="20"/>
                <w:lang w:val="de-AT" w:eastAsia="de-AT"/>
              </w:rPr>
            </w:pPr>
            <w:r w:rsidRPr="00596935">
              <w:rPr>
                <w:rFonts w:cs="Arial"/>
                <w:i/>
                <w:iCs/>
                <w:color w:val="000000"/>
                <w:sz w:val="20"/>
                <w:szCs w:val="20"/>
                <w:lang w:val="de-AT" w:eastAsia="de-AT"/>
              </w:rPr>
              <w:t>n</w:t>
            </w:r>
          </w:p>
        </w:tc>
      </w:tr>
      <w:tr w:rsidR="00596935" w:rsidRPr="00596935" w14:paraId="5226EF2D" w14:textId="77777777" w:rsidTr="00596935">
        <w:trPr>
          <w:trHeight w:val="489"/>
        </w:trPr>
        <w:tc>
          <w:tcPr>
            <w:tcW w:w="577" w:type="pct"/>
            <w:tcBorders>
              <w:top w:val="nil"/>
              <w:left w:val="single" w:sz="8" w:space="0" w:color="auto"/>
              <w:bottom w:val="single" w:sz="8" w:space="0" w:color="auto"/>
              <w:right w:val="single" w:sz="4" w:space="0" w:color="auto"/>
            </w:tcBorders>
            <w:shd w:val="clear" w:color="auto" w:fill="auto"/>
            <w:vAlign w:val="center"/>
            <w:hideMark/>
          </w:tcPr>
          <w:p w14:paraId="61386D3D" w14:textId="77777777" w:rsidR="00596935" w:rsidRPr="00596935" w:rsidRDefault="00596935" w:rsidP="00596935">
            <w:pPr>
              <w:rPr>
                <w:rFonts w:cs="Arial"/>
                <w:color w:val="000000"/>
                <w:sz w:val="20"/>
                <w:szCs w:val="20"/>
                <w:lang w:val="de-AT" w:eastAsia="de-AT"/>
              </w:rPr>
            </w:pPr>
            <w:r w:rsidRPr="00596935">
              <w:rPr>
                <w:rFonts w:cs="Arial"/>
                <w:color w:val="000000"/>
                <w:sz w:val="20"/>
                <w:szCs w:val="20"/>
                <w:lang w:val="de-AT" w:eastAsia="de-AT"/>
              </w:rPr>
              <w:t>Uziel   2003</w:t>
            </w:r>
          </w:p>
        </w:tc>
        <w:tc>
          <w:tcPr>
            <w:tcW w:w="1430" w:type="pct"/>
            <w:tcBorders>
              <w:top w:val="nil"/>
              <w:left w:val="nil"/>
              <w:bottom w:val="single" w:sz="4" w:space="0" w:color="auto"/>
              <w:right w:val="nil"/>
            </w:tcBorders>
            <w:shd w:val="clear" w:color="auto" w:fill="auto"/>
            <w:vAlign w:val="center"/>
            <w:hideMark/>
          </w:tcPr>
          <w:p w14:paraId="4CC39A25" w14:textId="77777777" w:rsidR="00596935" w:rsidRPr="00596935" w:rsidRDefault="00596935" w:rsidP="00596935">
            <w:pPr>
              <w:rPr>
                <w:rFonts w:cs="Arial"/>
                <w:color w:val="000000"/>
                <w:sz w:val="20"/>
                <w:szCs w:val="20"/>
                <w:lang w:val="de-AT" w:eastAsia="de-AT"/>
              </w:rPr>
            </w:pPr>
            <w:r w:rsidRPr="00596935">
              <w:rPr>
                <w:rFonts w:cs="Arial"/>
                <w:color w:val="000000"/>
                <w:sz w:val="20"/>
                <w:szCs w:val="20"/>
                <w:lang w:val="de-AT" w:eastAsia="de-AT"/>
              </w:rPr>
              <w:t>French fournier</w:t>
            </w:r>
          </w:p>
        </w:tc>
        <w:tc>
          <w:tcPr>
            <w:tcW w:w="692"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06FD673E"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349" w:type="pct"/>
            <w:tcBorders>
              <w:top w:val="single" w:sz="4" w:space="0" w:color="auto"/>
              <w:left w:val="nil"/>
              <w:bottom w:val="single" w:sz="4" w:space="0" w:color="auto"/>
              <w:right w:val="single" w:sz="4" w:space="0" w:color="auto"/>
            </w:tcBorders>
            <w:shd w:val="clear" w:color="auto" w:fill="auto"/>
            <w:vAlign w:val="center"/>
            <w:hideMark/>
          </w:tcPr>
          <w:p w14:paraId="426E7B48"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239" w:type="pct"/>
            <w:tcBorders>
              <w:top w:val="single" w:sz="4" w:space="0" w:color="auto"/>
              <w:left w:val="nil"/>
              <w:bottom w:val="single" w:sz="4" w:space="0" w:color="auto"/>
              <w:right w:val="single" w:sz="8" w:space="0" w:color="auto"/>
            </w:tcBorders>
            <w:shd w:val="clear" w:color="auto" w:fill="auto"/>
            <w:vAlign w:val="center"/>
            <w:hideMark/>
          </w:tcPr>
          <w:p w14:paraId="237C571E"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6</w:t>
            </w:r>
          </w:p>
        </w:tc>
        <w:tc>
          <w:tcPr>
            <w:tcW w:w="692" w:type="pct"/>
            <w:gridSpan w:val="2"/>
            <w:tcBorders>
              <w:top w:val="single" w:sz="4" w:space="0" w:color="auto"/>
              <w:left w:val="nil"/>
              <w:bottom w:val="single" w:sz="4" w:space="0" w:color="auto"/>
              <w:right w:val="single" w:sz="4" w:space="0" w:color="auto"/>
            </w:tcBorders>
            <w:shd w:val="clear" w:color="auto" w:fill="auto"/>
            <w:vAlign w:val="center"/>
            <w:hideMark/>
          </w:tcPr>
          <w:p w14:paraId="7426EB31"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32,5</w:t>
            </w:r>
          </w:p>
        </w:tc>
        <w:tc>
          <w:tcPr>
            <w:tcW w:w="608" w:type="pct"/>
            <w:tcBorders>
              <w:top w:val="single" w:sz="4" w:space="0" w:color="auto"/>
              <w:left w:val="nil"/>
              <w:bottom w:val="single" w:sz="4" w:space="0" w:color="auto"/>
              <w:right w:val="single" w:sz="4" w:space="0" w:color="auto"/>
            </w:tcBorders>
            <w:shd w:val="clear" w:color="auto" w:fill="auto"/>
            <w:vAlign w:val="center"/>
            <w:hideMark/>
          </w:tcPr>
          <w:p w14:paraId="1419BA14"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413" w:type="pct"/>
            <w:tcBorders>
              <w:top w:val="single" w:sz="4" w:space="0" w:color="auto"/>
              <w:left w:val="nil"/>
              <w:bottom w:val="single" w:sz="4" w:space="0" w:color="auto"/>
              <w:right w:val="single" w:sz="8" w:space="0" w:color="auto"/>
            </w:tcBorders>
            <w:shd w:val="clear" w:color="auto" w:fill="auto"/>
            <w:vAlign w:val="center"/>
            <w:hideMark/>
          </w:tcPr>
          <w:p w14:paraId="3A044DBC"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6</w:t>
            </w:r>
          </w:p>
        </w:tc>
      </w:tr>
      <w:tr w:rsidR="00596935" w:rsidRPr="00596935" w14:paraId="38858F81" w14:textId="77777777" w:rsidTr="00596935">
        <w:trPr>
          <w:trHeight w:val="489"/>
        </w:trPr>
        <w:tc>
          <w:tcPr>
            <w:tcW w:w="577" w:type="pct"/>
            <w:tcBorders>
              <w:top w:val="nil"/>
              <w:left w:val="single" w:sz="8" w:space="0" w:color="auto"/>
              <w:bottom w:val="nil"/>
              <w:right w:val="nil"/>
            </w:tcBorders>
            <w:shd w:val="clear" w:color="auto" w:fill="auto"/>
            <w:vAlign w:val="center"/>
            <w:hideMark/>
          </w:tcPr>
          <w:p w14:paraId="3AB26EEF" w14:textId="77777777" w:rsidR="00596935" w:rsidRPr="00596935" w:rsidRDefault="00596935" w:rsidP="00596935">
            <w:pPr>
              <w:rPr>
                <w:rFonts w:cs="Arial"/>
                <w:color w:val="000000"/>
                <w:sz w:val="20"/>
                <w:szCs w:val="20"/>
                <w:lang w:val="de-AT" w:eastAsia="de-AT"/>
              </w:rPr>
            </w:pPr>
            <w:r w:rsidRPr="00596935">
              <w:rPr>
                <w:rFonts w:cs="Arial"/>
                <w:color w:val="000000"/>
                <w:sz w:val="20"/>
                <w:szCs w:val="20"/>
                <w:lang w:val="de-AT" w:eastAsia="de-AT"/>
              </w:rPr>
              <w:t>Saliba 2005</w:t>
            </w:r>
          </w:p>
        </w:tc>
        <w:tc>
          <w:tcPr>
            <w:tcW w:w="1430" w:type="pct"/>
            <w:tcBorders>
              <w:top w:val="nil"/>
              <w:left w:val="single" w:sz="4" w:space="0" w:color="auto"/>
              <w:bottom w:val="single" w:sz="4" w:space="0" w:color="auto"/>
              <w:right w:val="nil"/>
            </w:tcBorders>
            <w:shd w:val="clear" w:color="auto" w:fill="auto"/>
            <w:vAlign w:val="center"/>
            <w:hideMark/>
          </w:tcPr>
          <w:p w14:paraId="6A569BA4" w14:textId="77777777" w:rsidR="00596935" w:rsidRPr="00596935" w:rsidRDefault="00596935" w:rsidP="00596935">
            <w:pPr>
              <w:rPr>
                <w:rFonts w:cs="Arial"/>
                <w:color w:val="000000"/>
                <w:sz w:val="20"/>
                <w:szCs w:val="20"/>
                <w:lang w:val="de-AT" w:eastAsia="de-AT"/>
              </w:rPr>
            </w:pPr>
            <w:r w:rsidRPr="00596935">
              <w:rPr>
                <w:rFonts w:cs="Arial"/>
                <w:color w:val="000000"/>
                <w:sz w:val="20"/>
                <w:szCs w:val="20"/>
                <w:lang w:val="de-AT" w:eastAsia="de-AT"/>
              </w:rPr>
              <w:t>French fournier</w:t>
            </w:r>
          </w:p>
        </w:tc>
        <w:tc>
          <w:tcPr>
            <w:tcW w:w="692" w:type="pct"/>
            <w:tcBorders>
              <w:top w:val="nil"/>
              <w:left w:val="single" w:sz="8" w:space="0" w:color="auto"/>
              <w:bottom w:val="single" w:sz="4" w:space="0" w:color="auto"/>
              <w:right w:val="single" w:sz="4" w:space="0" w:color="auto"/>
            </w:tcBorders>
            <w:shd w:val="clear" w:color="auto" w:fill="auto"/>
            <w:vAlign w:val="center"/>
            <w:hideMark/>
          </w:tcPr>
          <w:p w14:paraId="179DD419"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58</w:t>
            </w:r>
          </w:p>
        </w:tc>
        <w:tc>
          <w:tcPr>
            <w:tcW w:w="349" w:type="pct"/>
            <w:tcBorders>
              <w:top w:val="nil"/>
              <w:left w:val="nil"/>
              <w:bottom w:val="single" w:sz="4" w:space="0" w:color="auto"/>
              <w:right w:val="single" w:sz="4" w:space="0" w:color="auto"/>
            </w:tcBorders>
            <w:shd w:val="clear" w:color="auto" w:fill="auto"/>
            <w:vAlign w:val="center"/>
            <w:hideMark/>
          </w:tcPr>
          <w:p w14:paraId="1CDE7DAE"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6,8</w:t>
            </w:r>
          </w:p>
        </w:tc>
        <w:tc>
          <w:tcPr>
            <w:tcW w:w="239" w:type="pct"/>
            <w:tcBorders>
              <w:top w:val="nil"/>
              <w:left w:val="nil"/>
              <w:bottom w:val="single" w:sz="4" w:space="0" w:color="auto"/>
              <w:right w:val="single" w:sz="8" w:space="0" w:color="auto"/>
            </w:tcBorders>
            <w:shd w:val="clear" w:color="auto" w:fill="auto"/>
            <w:vAlign w:val="center"/>
            <w:hideMark/>
          </w:tcPr>
          <w:p w14:paraId="1E883156"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8</w:t>
            </w:r>
          </w:p>
        </w:tc>
        <w:tc>
          <w:tcPr>
            <w:tcW w:w="692" w:type="pct"/>
            <w:gridSpan w:val="2"/>
            <w:tcBorders>
              <w:top w:val="single" w:sz="4" w:space="0" w:color="auto"/>
              <w:left w:val="nil"/>
              <w:bottom w:val="single" w:sz="4" w:space="0" w:color="auto"/>
              <w:right w:val="single" w:sz="4" w:space="0" w:color="auto"/>
            </w:tcBorders>
            <w:shd w:val="clear" w:color="auto" w:fill="auto"/>
            <w:vAlign w:val="center"/>
            <w:hideMark/>
          </w:tcPr>
          <w:p w14:paraId="69D981C3"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44</w:t>
            </w:r>
          </w:p>
        </w:tc>
        <w:tc>
          <w:tcPr>
            <w:tcW w:w="608" w:type="pct"/>
            <w:tcBorders>
              <w:top w:val="nil"/>
              <w:left w:val="nil"/>
              <w:bottom w:val="single" w:sz="4" w:space="0" w:color="auto"/>
              <w:right w:val="single" w:sz="4" w:space="0" w:color="auto"/>
            </w:tcBorders>
            <w:shd w:val="clear" w:color="auto" w:fill="auto"/>
            <w:vAlign w:val="center"/>
            <w:hideMark/>
          </w:tcPr>
          <w:p w14:paraId="585407A8"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8,2</w:t>
            </w:r>
          </w:p>
        </w:tc>
        <w:tc>
          <w:tcPr>
            <w:tcW w:w="413" w:type="pct"/>
            <w:tcBorders>
              <w:top w:val="nil"/>
              <w:left w:val="nil"/>
              <w:bottom w:val="single" w:sz="4" w:space="0" w:color="auto"/>
              <w:right w:val="single" w:sz="8" w:space="0" w:color="auto"/>
            </w:tcBorders>
            <w:shd w:val="clear" w:color="auto" w:fill="auto"/>
            <w:vAlign w:val="center"/>
            <w:hideMark/>
          </w:tcPr>
          <w:p w14:paraId="2AB68E80"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8</w:t>
            </w:r>
          </w:p>
        </w:tc>
      </w:tr>
      <w:tr w:rsidR="00596935" w:rsidRPr="00596935" w14:paraId="4A71E72E" w14:textId="77777777" w:rsidTr="00596935">
        <w:trPr>
          <w:trHeight w:val="489"/>
        </w:trPr>
        <w:tc>
          <w:tcPr>
            <w:tcW w:w="577" w:type="pct"/>
            <w:tcBorders>
              <w:top w:val="single" w:sz="8" w:space="0" w:color="auto"/>
              <w:left w:val="single" w:sz="8" w:space="0" w:color="auto"/>
              <w:bottom w:val="single" w:sz="8" w:space="0" w:color="auto"/>
              <w:right w:val="single" w:sz="4" w:space="0" w:color="auto"/>
            </w:tcBorders>
            <w:shd w:val="clear" w:color="auto" w:fill="auto"/>
            <w:vAlign w:val="center"/>
            <w:hideMark/>
          </w:tcPr>
          <w:p w14:paraId="76DF1AE1" w14:textId="77777777" w:rsidR="00596935" w:rsidRPr="00596935" w:rsidRDefault="00596935" w:rsidP="00596935">
            <w:pPr>
              <w:rPr>
                <w:rFonts w:cs="Arial"/>
                <w:color w:val="000000"/>
                <w:sz w:val="20"/>
                <w:szCs w:val="20"/>
                <w:lang w:val="de-AT" w:eastAsia="de-AT"/>
              </w:rPr>
            </w:pPr>
            <w:r w:rsidRPr="00596935">
              <w:rPr>
                <w:rFonts w:cs="Arial"/>
                <w:color w:val="000000"/>
                <w:sz w:val="20"/>
                <w:szCs w:val="20"/>
                <w:lang w:val="de-AT" w:eastAsia="de-AT"/>
              </w:rPr>
              <w:t>Fraysse 2001</w:t>
            </w:r>
          </w:p>
        </w:tc>
        <w:tc>
          <w:tcPr>
            <w:tcW w:w="1430" w:type="pct"/>
            <w:tcBorders>
              <w:top w:val="nil"/>
              <w:left w:val="nil"/>
              <w:bottom w:val="single" w:sz="8" w:space="0" w:color="auto"/>
              <w:right w:val="nil"/>
            </w:tcBorders>
            <w:shd w:val="clear" w:color="auto" w:fill="auto"/>
            <w:vAlign w:val="center"/>
            <w:hideMark/>
          </w:tcPr>
          <w:p w14:paraId="681733D4" w14:textId="77777777" w:rsidR="00596935" w:rsidRPr="00596935" w:rsidRDefault="00596935" w:rsidP="00596935">
            <w:pPr>
              <w:rPr>
                <w:rFonts w:cs="Arial"/>
                <w:color w:val="000000"/>
                <w:sz w:val="20"/>
                <w:szCs w:val="20"/>
                <w:lang w:val="de-AT" w:eastAsia="de-AT"/>
              </w:rPr>
            </w:pPr>
            <w:r w:rsidRPr="00596935">
              <w:rPr>
                <w:rFonts w:cs="Arial"/>
                <w:color w:val="000000"/>
                <w:sz w:val="20"/>
                <w:szCs w:val="20"/>
                <w:lang w:val="de-AT" w:eastAsia="de-AT"/>
              </w:rPr>
              <w:t>French fournier</w:t>
            </w:r>
          </w:p>
        </w:tc>
        <w:tc>
          <w:tcPr>
            <w:tcW w:w="692" w:type="pct"/>
            <w:tcBorders>
              <w:top w:val="nil"/>
              <w:left w:val="single" w:sz="8" w:space="0" w:color="auto"/>
              <w:bottom w:val="single" w:sz="8" w:space="0" w:color="auto"/>
              <w:right w:val="single" w:sz="4" w:space="0" w:color="auto"/>
            </w:tcBorders>
            <w:shd w:val="clear" w:color="auto" w:fill="auto"/>
            <w:vAlign w:val="center"/>
            <w:hideMark/>
          </w:tcPr>
          <w:p w14:paraId="5D2C433A"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62</w:t>
            </w:r>
          </w:p>
        </w:tc>
        <w:tc>
          <w:tcPr>
            <w:tcW w:w="349" w:type="pct"/>
            <w:tcBorders>
              <w:top w:val="nil"/>
              <w:left w:val="nil"/>
              <w:bottom w:val="single" w:sz="8" w:space="0" w:color="auto"/>
              <w:right w:val="single" w:sz="4" w:space="0" w:color="auto"/>
            </w:tcBorders>
            <w:shd w:val="clear" w:color="auto" w:fill="auto"/>
            <w:vAlign w:val="center"/>
            <w:hideMark/>
          </w:tcPr>
          <w:p w14:paraId="061BE18A"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239" w:type="pct"/>
            <w:tcBorders>
              <w:top w:val="nil"/>
              <w:left w:val="nil"/>
              <w:bottom w:val="single" w:sz="8" w:space="0" w:color="auto"/>
              <w:right w:val="single" w:sz="8" w:space="0" w:color="auto"/>
            </w:tcBorders>
            <w:shd w:val="clear" w:color="auto" w:fill="auto"/>
            <w:vAlign w:val="center"/>
            <w:hideMark/>
          </w:tcPr>
          <w:p w14:paraId="76A819F6"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25</w:t>
            </w:r>
          </w:p>
        </w:tc>
        <w:tc>
          <w:tcPr>
            <w:tcW w:w="692" w:type="pct"/>
            <w:gridSpan w:val="2"/>
            <w:tcBorders>
              <w:top w:val="single" w:sz="4" w:space="0" w:color="auto"/>
              <w:left w:val="nil"/>
              <w:bottom w:val="single" w:sz="8" w:space="0" w:color="auto"/>
              <w:right w:val="single" w:sz="4" w:space="0" w:color="auto"/>
            </w:tcBorders>
            <w:shd w:val="clear" w:color="auto" w:fill="auto"/>
            <w:vAlign w:val="center"/>
            <w:hideMark/>
          </w:tcPr>
          <w:p w14:paraId="29F8E05D"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50</w:t>
            </w:r>
          </w:p>
        </w:tc>
        <w:tc>
          <w:tcPr>
            <w:tcW w:w="608" w:type="pct"/>
            <w:tcBorders>
              <w:top w:val="nil"/>
              <w:left w:val="nil"/>
              <w:bottom w:val="single" w:sz="8" w:space="0" w:color="auto"/>
              <w:right w:val="single" w:sz="4" w:space="0" w:color="auto"/>
            </w:tcBorders>
            <w:shd w:val="clear" w:color="auto" w:fill="auto"/>
            <w:vAlign w:val="center"/>
            <w:hideMark/>
          </w:tcPr>
          <w:p w14:paraId="4BC41C23"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c>
          <w:tcPr>
            <w:tcW w:w="413" w:type="pct"/>
            <w:tcBorders>
              <w:top w:val="nil"/>
              <w:left w:val="nil"/>
              <w:bottom w:val="single" w:sz="8" w:space="0" w:color="auto"/>
              <w:right w:val="single" w:sz="8" w:space="0" w:color="auto"/>
            </w:tcBorders>
            <w:shd w:val="clear" w:color="auto" w:fill="auto"/>
            <w:vAlign w:val="center"/>
            <w:hideMark/>
          </w:tcPr>
          <w:p w14:paraId="3D784813"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25</w:t>
            </w:r>
          </w:p>
        </w:tc>
      </w:tr>
    </w:tbl>
    <w:p w14:paraId="0EBEA73B" w14:textId="77777777" w:rsidR="00596935" w:rsidRPr="00C67966" w:rsidRDefault="00596935" w:rsidP="00C67966">
      <w:pPr>
        <w:pStyle w:val="Textbody"/>
        <w:rPr>
          <w:rFonts w:eastAsiaTheme="minorHAnsi"/>
        </w:rPr>
      </w:pPr>
    </w:p>
    <w:p w14:paraId="43223BE7" w14:textId="77777777" w:rsidR="00596935" w:rsidRPr="00C67966" w:rsidRDefault="00596935" w:rsidP="00C67966">
      <w:pPr>
        <w:pStyle w:val="Textbody"/>
        <w:rPr>
          <w:rFonts w:eastAsiaTheme="minorHAnsi"/>
        </w:rPr>
      </w:pPr>
      <w:r w:rsidRPr="00C67966">
        <w:rPr>
          <w:rFonts w:eastAsiaTheme="minorHAnsi"/>
        </w:rPr>
        <w:t xml:space="preserve">WRS outcomes in quiet for SOUNDTEC, partially implantable MEI including were reported in 2 studies using NU-6 word testing (n=159 Patients). Baseline/unaided and 3 months outcomes were reported with a mean of 43,9 dB (SD 51.05; 7.8 -80) and a mean of 78.05 dB (SD 5.73; 82.1 – 74). Please see </w:t>
      </w:r>
      <w:r w:rsidR="00D77AE9" w:rsidRPr="00C67966">
        <w:rPr>
          <w:rFonts w:eastAsiaTheme="minorHAnsi"/>
        </w:rPr>
        <w:fldChar w:fldCharType="begin"/>
      </w:r>
      <w:r w:rsidR="00D77AE9" w:rsidRPr="00C67966">
        <w:rPr>
          <w:rFonts w:eastAsiaTheme="minorHAnsi"/>
        </w:rPr>
        <w:instrText xml:space="preserve"> REF _Ref400643685 \h </w:instrText>
      </w:r>
      <w:r w:rsidR="00C67966" w:rsidRPr="00C67966">
        <w:rPr>
          <w:rFonts w:eastAsiaTheme="minorHAnsi"/>
        </w:rPr>
        <w:instrText xml:space="preserve"> \* MERGEFORMAT </w:instrText>
      </w:r>
      <w:r w:rsidR="00D77AE9" w:rsidRPr="00C67966">
        <w:rPr>
          <w:rFonts w:eastAsiaTheme="minorHAnsi"/>
        </w:rPr>
      </w:r>
      <w:r w:rsidR="00D77AE9" w:rsidRPr="00C67966">
        <w:rPr>
          <w:rFonts w:eastAsiaTheme="minorHAnsi"/>
        </w:rPr>
        <w:fldChar w:fldCharType="separate"/>
      </w:r>
      <w:r w:rsidR="00016592" w:rsidRPr="00C67966">
        <w:t xml:space="preserve">Table </w:t>
      </w:r>
      <w:r w:rsidR="00016592">
        <w:t>19</w:t>
      </w:r>
      <w:r w:rsidR="00016592" w:rsidRPr="00C67966">
        <w:t xml:space="preserve"> -</w:t>
      </w:r>
      <w:r w:rsidR="00016592" w:rsidRPr="00C67966">
        <w:rPr>
          <w:rFonts w:eastAsiaTheme="minorHAnsi"/>
        </w:rPr>
        <w:t xml:space="preserve"> WRS; Speech in quiet comparator</w:t>
      </w:r>
      <w:r w:rsidR="00D77AE9" w:rsidRPr="00C67966">
        <w:rPr>
          <w:rFonts w:eastAsiaTheme="minorHAnsi"/>
        </w:rPr>
        <w:fldChar w:fldCharType="end"/>
      </w:r>
      <w:r w:rsidR="00D77AE9" w:rsidRPr="00C67966">
        <w:rPr>
          <w:rFonts w:eastAsiaTheme="minorHAnsi"/>
        </w:rPr>
        <w:t>.</w:t>
      </w:r>
    </w:p>
    <w:p w14:paraId="1360F2F9" w14:textId="77777777" w:rsidR="00596935" w:rsidRPr="00C67966" w:rsidRDefault="00596935" w:rsidP="00C67966">
      <w:pPr>
        <w:pStyle w:val="Textbody"/>
        <w:rPr>
          <w:rFonts w:eastAsiaTheme="minorHAnsi"/>
        </w:rPr>
      </w:pPr>
    </w:p>
    <w:p w14:paraId="0955FD12" w14:textId="77777777" w:rsidR="00596935" w:rsidRPr="00C67966" w:rsidRDefault="00596935" w:rsidP="00C67966">
      <w:pPr>
        <w:pStyle w:val="Textbody"/>
        <w:rPr>
          <w:rFonts w:eastAsiaTheme="minorHAnsi"/>
        </w:rPr>
      </w:pPr>
      <w:r w:rsidRPr="00C67966">
        <w:rPr>
          <w:rFonts w:eastAsiaTheme="minorHAnsi"/>
        </w:rPr>
        <w:t>8 studies measured word recognition score (WRS) in quiet using several different speech tests (</w:t>
      </w:r>
      <w:r w:rsidRPr="00C67966">
        <w:t>CID W-22 word list at 50 dB; Lafon bisyllabic words at 50 dB; disyllabic words at 65 dB;</w:t>
      </w:r>
      <w:r w:rsidRPr="00C67966">
        <w:rPr>
          <w:rFonts w:eastAsiaTheme="minorHAnsi"/>
        </w:rPr>
        <w:t xml:space="preserve"> </w:t>
      </w:r>
      <w:r w:rsidRPr="00C67966">
        <w:t>Italian disyllables at 65 dB; Fournier word lists; CNC words)</w:t>
      </w:r>
      <w:r w:rsidRPr="00C67966">
        <w:rPr>
          <w:rFonts w:eastAsiaTheme="minorHAnsi"/>
        </w:rPr>
        <w:t xml:space="preserve">; with the most frequently used ones being </w:t>
      </w:r>
      <w:r w:rsidRPr="00C67966">
        <w:t>Lafon bisyllabic words</w:t>
      </w:r>
      <w:r w:rsidRPr="00C67966">
        <w:rPr>
          <w:rFonts w:eastAsiaTheme="minorHAnsi"/>
        </w:rPr>
        <w:t xml:space="preserve"> lists and </w:t>
      </w:r>
      <w:r w:rsidRPr="00C67966">
        <w:t>CID W-22 word list,</w:t>
      </w:r>
      <w:r w:rsidRPr="00C67966">
        <w:rPr>
          <w:rFonts w:eastAsiaTheme="minorHAnsi"/>
        </w:rPr>
        <w:t xml:space="preserve"> presented at 60 dB SPL and 50 dB SPL respectively. One study (Barbara 2011) did not give any details regarding test used.  51 patients assessed with the WRS when aided with the Device (Carina or Esteem) resulted in a mean WRS of 77.75% (SD 11.15). The unaided score for 92 patients resulted in a mean WRS of 23.72 % (SD 10.46). Resulting in a mean improvement in the WRS of 54.03%. Data summarized in </w:t>
      </w:r>
      <w:r w:rsidR="00D77AE9" w:rsidRPr="00C67966">
        <w:rPr>
          <w:rFonts w:eastAsiaTheme="minorHAnsi"/>
        </w:rPr>
        <w:t xml:space="preserve"> </w:t>
      </w:r>
      <w:r w:rsidR="00D77AE9" w:rsidRPr="00C67966">
        <w:rPr>
          <w:rFonts w:eastAsiaTheme="minorHAnsi"/>
        </w:rPr>
        <w:fldChar w:fldCharType="begin"/>
      </w:r>
      <w:r w:rsidR="00D77AE9" w:rsidRPr="00C67966">
        <w:rPr>
          <w:rFonts w:eastAsiaTheme="minorHAnsi"/>
        </w:rPr>
        <w:instrText xml:space="preserve"> REF _Ref400643685 \h </w:instrText>
      </w:r>
      <w:r w:rsidR="00C67966" w:rsidRPr="00C67966">
        <w:rPr>
          <w:rFonts w:eastAsiaTheme="minorHAnsi"/>
        </w:rPr>
        <w:instrText xml:space="preserve"> \* MERGEFORMAT </w:instrText>
      </w:r>
      <w:r w:rsidR="00D77AE9" w:rsidRPr="00C67966">
        <w:rPr>
          <w:rFonts w:eastAsiaTheme="minorHAnsi"/>
        </w:rPr>
      </w:r>
      <w:r w:rsidR="00D77AE9" w:rsidRPr="00C67966">
        <w:rPr>
          <w:rFonts w:eastAsiaTheme="minorHAnsi"/>
        </w:rPr>
        <w:fldChar w:fldCharType="separate"/>
      </w:r>
      <w:r w:rsidR="00016592" w:rsidRPr="00C67966">
        <w:t xml:space="preserve">Table </w:t>
      </w:r>
      <w:r w:rsidR="00016592">
        <w:t>19</w:t>
      </w:r>
      <w:r w:rsidR="00016592" w:rsidRPr="00C67966">
        <w:t xml:space="preserve"> -</w:t>
      </w:r>
      <w:r w:rsidR="00016592" w:rsidRPr="00C67966">
        <w:rPr>
          <w:rFonts w:eastAsiaTheme="minorHAnsi"/>
        </w:rPr>
        <w:t xml:space="preserve"> WRS; Speech in quiet comparator</w:t>
      </w:r>
      <w:r w:rsidR="00D77AE9" w:rsidRPr="00C67966">
        <w:rPr>
          <w:rFonts w:eastAsiaTheme="minorHAnsi"/>
        </w:rPr>
        <w:fldChar w:fldCharType="end"/>
      </w:r>
      <w:r w:rsidR="00D77AE9" w:rsidRPr="00C67966">
        <w:rPr>
          <w:rFonts w:eastAsiaTheme="minorHAnsi"/>
        </w:rPr>
        <w:t>.</w:t>
      </w:r>
    </w:p>
    <w:p w14:paraId="42DA615F" w14:textId="77777777" w:rsidR="00596935" w:rsidRPr="00C67966" w:rsidRDefault="00596935" w:rsidP="00C67966">
      <w:pPr>
        <w:pStyle w:val="Textbody"/>
        <w:rPr>
          <w:rFonts w:eastAsiaTheme="minorHAnsi"/>
        </w:rPr>
      </w:pPr>
    </w:p>
    <w:p w14:paraId="4ED65E71" w14:textId="77777777" w:rsidR="00596935" w:rsidRPr="00C67966" w:rsidRDefault="00596935" w:rsidP="00C67966">
      <w:pPr>
        <w:pStyle w:val="Textbody"/>
        <w:rPr>
          <w:rFonts w:eastAsiaTheme="minorHAnsi"/>
        </w:rPr>
      </w:pPr>
      <w:r w:rsidRPr="00C67966">
        <w:rPr>
          <w:rFonts w:eastAsiaTheme="minorHAnsi"/>
        </w:rPr>
        <w:t xml:space="preserve">The 50% speech recognition threshold (SRT) was also investigated in three studies using the French Fournier disyllabic word lists. Fraysse et al. (2001) and Saliba et al. (2005) measured the SRT in the unaided and aided conditions and demonstrated an improvement of 14 dB and 12 dB, respectively. With the VSB switched on, patients achieved an SRT of 44 dB and 50 dB. Statistical testing indicated that the differences observed was significant. In another </w:t>
      </w:r>
      <w:r w:rsidRPr="00C67966">
        <w:rPr>
          <w:rFonts w:eastAsiaTheme="minorHAnsi"/>
        </w:rPr>
        <w:lastRenderedPageBreak/>
        <w:t xml:space="preserve">study, Uziel et al. (2003) measured an aided SRT of 32.5 dB in six subjects, but did not compare the results to unaided values. Details in </w:t>
      </w:r>
      <w:r w:rsidR="00D77AE9" w:rsidRPr="00C67966">
        <w:rPr>
          <w:rFonts w:eastAsiaTheme="minorHAnsi"/>
        </w:rPr>
        <w:fldChar w:fldCharType="begin"/>
      </w:r>
      <w:r w:rsidR="00D77AE9" w:rsidRPr="00C67966">
        <w:rPr>
          <w:rFonts w:eastAsiaTheme="minorHAnsi"/>
        </w:rPr>
        <w:instrText xml:space="preserve"> REF _Ref400643603 \h  \* MERGEFORMAT </w:instrText>
      </w:r>
      <w:r w:rsidR="00D77AE9" w:rsidRPr="00C67966">
        <w:rPr>
          <w:rFonts w:eastAsiaTheme="minorHAnsi"/>
        </w:rPr>
      </w:r>
      <w:r w:rsidR="00D77AE9" w:rsidRPr="00C67966">
        <w:rPr>
          <w:rFonts w:eastAsiaTheme="minorHAnsi"/>
        </w:rPr>
        <w:fldChar w:fldCharType="separate"/>
      </w:r>
      <w:r w:rsidR="00016592" w:rsidRPr="00C67966">
        <w:t xml:space="preserve">Table </w:t>
      </w:r>
      <w:r w:rsidR="00016592">
        <w:t>18</w:t>
      </w:r>
      <w:r w:rsidR="00016592" w:rsidRPr="00C67966">
        <w:t xml:space="preserve"> -</w:t>
      </w:r>
      <w:r w:rsidR="00016592" w:rsidRPr="00C67966">
        <w:rPr>
          <w:rFonts w:eastAsiaTheme="minorHAnsi"/>
          <w:lang w:val="en-GB" w:eastAsia="en-US"/>
        </w:rPr>
        <w:t xml:space="preserve"> Speech in quiet VSB</w:t>
      </w:r>
      <w:r w:rsidR="00D77AE9" w:rsidRPr="00C67966">
        <w:rPr>
          <w:rFonts w:eastAsiaTheme="minorHAnsi"/>
        </w:rPr>
        <w:fldChar w:fldCharType="end"/>
      </w:r>
    </w:p>
    <w:p w14:paraId="10F1E23B" w14:textId="77777777" w:rsidR="00596935" w:rsidRPr="00C67966" w:rsidRDefault="00596935" w:rsidP="00C67966">
      <w:pPr>
        <w:pStyle w:val="Textbody"/>
        <w:rPr>
          <w:rFonts w:eastAsiaTheme="minorHAnsi"/>
        </w:rPr>
      </w:pPr>
    </w:p>
    <w:p w14:paraId="2A80A85C" w14:textId="77777777" w:rsidR="00596935" w:rsidRPr="00C67966" w:rsidRDefault="00596935" w:rsidP="00C67966">
      <w:pPr>
        <w:pStyle w:val="Textbody"/>
        <w:rPr>
          <w:rFonts w:eastAsiaTheme="minorHAnsi"/>
        </w:rPr>
      </w:pPr>
      <w:r w:rsidRPr="00C67966">
        <w:rPr>
          <w:rFonts w:eastAsiaTheme="minorHAnsi"/>
        </w:rPr>
        <w:t xml:space="preserve">No SRT measurements in quiet for the SOUNDTEC device were performed. </w:t>
      </w:r>
    </w:p>
    <w:p w14:paraId="24C78A5F" w14:textId="77777777" w:rsidR="00596935" w:rsidRPr="00C67966" w:rsidRDefault="00596935" w:rsidP="00C67966">
      <w:pPr>
        <w:pStyle w:val="Textbody"/>
        <w:rPr>
          <w:rFonts w:eastAsiaTheme="minorHAnsi"/>
        </w:rPr>
      </w:pPr>
      <w:r w:rsidRPr="00C67966">
        <w:rPr>
          <w:rFonts w:eastAsiaTheme="minorHAnsi"/>
        </w:rPr>
        <w:t xml:space="preserve">The 50% speech recognition threshold (SRT) in quiet was also investigated in three studies using </w:t>
      </w:r>
      <w:r w:rsidRPr="00C67966">
        <w:t xml:space="preserve">CID W-22 word </w:t>
      </w:r>
      <w:r w:rsidRPr="00C67966">
        <w:rPr>
          <w:rFonts w:eastAsiaTheme="minorHAnsi"/>
        </w:rPr>
        <w:t xml:space="preserve">lists and </w:t>
      </w:r>
      <w:r w:rsidRPr="00C67966">
        <w:t>Fournier word lists</w:t>
      </w:r>
      <w:r w:rsidRPr="00C67966">
        <w:rPr>
          <w:rFonts w:eastAsiaTheme="minorHAnsi"/>
        </w:rPr>
        <w:t xml:space="preserve">.  The unaided mean SRT was 69.47 dB (SD 15.69) and with the devices switched on, patients achieved a mean SRT of 43.7 dB (SD 11.03). In the study by Tringali et al. (2013) the measured an aided SRT was 57 dB at the initial testing and 44 six months post-op in seven subjects, but did not compare the results to unaided values. Please see </w:t>
      </w:r>
      <w:r w:rsidR="00D77AE9" w:rsidRPr="00C67966">
        <w:rPr>
          <w:rFonts w:eastAsiaTheme="minorHAnsi"/>
        </w:rPr>
        <w:fldChar w:fldCharType="begin"/>
      </w:r>
      <w:r w:rsidR="00D77AE9" w:rsidRPr="00C67966">
        <w:rPr>
          <w:rFonts w:eastAsiaTheme="minorHAnsi"/>
        </w:rPr>
        <w:instrText xml:space="preserve"> REF _Ref400643748 \h </w:instrText>
      </w:r>
      <w:r w:rsidR="00C67966" w:rsidRPr="00C67966">
        <w:rPr>
          <w:rFonts w:eastAsiaTheme="minorHAnsi"/>
        </w:rPr>
        <w:instrText xml:space="preserve"> \* MERGEFORMAT </w:instrText>
      </w:r>
      <w:r w:rsidR="00D77AE9" w:rsidRPr="00C67966">
        <w:rPr>
          <w:rFonts w:eastAsiaTheme="minorHAnsi"/>
        </w:rPr>
      </w:r>
      <w:r w:rsidR="00D77AE9" w:rsidRPr="00C67966">
        <w:rPr>
          <w:rFonts w:eastAsiaTheme="minorHAnsi"/>
        </w:rPr>
        <w:fldChar w:fldCharType="separate"/>
      </w:r>
      <w:r w:rsidR="00016592" w:rsidRPr="00C67966">
        <w:t xml:space="preserve">Table </w:t>
      </w:r>
      <w:r w:rsidR="00016592">
        <w:t>20</w:t>
      </w:r>
      <w:r w:rsidR="00016592" w:rsidRPr="00C67966">
        <w:t xml:space="preserve"> - </w:t>
      </w:r>
      <w:r w:rsidR="00016592" w:rsidRPr="00C67966">
        <w:rPr>
          <w:rFonts w:eastAsiaTheme="minorHAnsi"/>
          <w:lang w:val="en-GB" w:eastAsia="en-US"/>
        </w:rPr>
        <w:t>SRT, speech in quiet comparator</w:t>
      </w:r>
      <w:r w:rsidR="00D77AE9" w:rsidRPr="00C67966">
        <w:rPr>
          <w:rFonts w:eastAsiaTheme="minorHAnsi"/>
        </w:rPr>
        <w:fldChar w:fldCharType="end"/>
      </w:r>
    </w:p>
    <w:p w14:paraId="161413CA" w14:textId="77777777" w:rsidR="00596935" w:rsidRPr="00C67966" w:rsidRDefault="00596935" w:rsidP="00C67966">
      <w:pPr>
        <w:pStyle w:val="Textbody"/>
        <w:rPr>
          <w:rFonts w:eastAsiaTheme="minorHAnsi"/>
        </w:rPr>
      </w:pPr>
    </w:p>
    <w:p w14:paraId="1B47E57B" w14:textId="77777777" w:rsidR="00596935" w:rsidRPr="00596935" w:rsidRDefault="00596935" w:rsidP="00596935">
      <w:pPr>
        <w:spacing w:after="200" w:line="276" w:lineRule="auto"/>
        <w:rPr>
          <w:rFonts w:asciiTheme="minorHAnsi" w:eastAsiaTheme="minorHAnsi" w:hAnsiTheme="minorHAnsi" w:cstheme="minorBidi"/>
          <w:sz w:val="24"/>
          <w:szCs w:val="24"/>
          <w:lang w:val="en-GB" w:eastAsia="en-US"/>
        </w:rPr>
        <w:sectPr w:rsidR="00596935" w:rsidRPr="00596935">
          <w:pgSz w:w="11906" w:h="16838"/>
          <w:pgMar w:top="1417" w:right="1417" w:bottom="1134" w:left="1417" w:header="708" w:footer="708" w:gutter="0"/>
          <w:cols w:space="708"/>
          <w:docGrid w:linePitch="360"/>
        </w:sectPr>
      </w:pPr>
    </w:p>
    <w:p w14:paraId="303B62E5" w14:textId="77777777" w:rsidR="00596935" w:rsidRPr="00C67966" w:rsidRDefault="00D77AE9" w:rsidP="007F6475">
      <w:pPr>
        <w:pStyle w:val="Caption"/>
        <w:rPr>
          <w:rFonts w:ascii="Arial" w:eastAsiaTheme="minorHAnsi" w:hAnsi="Arial" w:cs="Arial"/>
        </w:rPr>
      </w:pPr>
      <w:bookmarkStart w:id="439" w:name="_Ref400643685"/>
      <w:bookmarkStart w:id="440" w:name="_Toc431917479"/>
      <w:r w:rsidRPr="00C67966">
        <w:rPr>
          <w:rFonts w:ascii="Arial" w:hAnsi="Arial" w:cs="Arial"/>
        </w:rPr>
        <w:lastRenderedPageBreak/>
        <w:t xml:space="preserve">Table </w:t>
      </w:r>
      <w:r w:rsidRPr="00C67966">
        <w:rPr>
          <w:rFonts w:ascii="Arial" w:hAnsi="Arial" w:cs="Arial"/>
        </w:rPr>
        <w:fldChar w:fldCharType="begin"/>
      </w:r>
      <w:r w:rsidRPr="00C67966">
        <w:rPr>
          <w:rFonts w:ascii="Arial" w:hAnsi="Arial" w:cs="Arial"/>
        </w:rPr>
        <w:instrText xml:space="preserve"> SEQ Table \* ARABIC </w:instrText>
      </w:r>
      <w:r w:rsidRPr="00C67966">
        <w:rPr>
          <w:rFonts w:ascii="Arial" w:hAnsi="Arial" w:cs="Arial"/>
        </w:rPr>
        <w:fldChar w:fldCharType="separate"/>
      </w:r>
      <w:r w:rsidR="00016592">
        <w:rPr>
          <w:rFonts w:ascii="Arial" w:hAnsi="Arial" w:cs="Arial"/>
          <w:noProof/>
        </w:rPr>
        <w:t>19</w:t>
      </w:r>
      <w:r w:rsidRPr="00C67966">
        <w:rPr>
          <w:rFonts w:ascii="Arial" w:hAnsi="Arial" w:cs="Arial"/>
        </w:rPr>
        <w:fldChar w:fldCharType="end"/>
      </w:r>
      <w:r w:rsidRPr="00C67966">
        <w:rPr>
          <w:rFonts w:ascii="Arial" w:hAnsi="Arial" w:cs="Arial"/>
          <w:lang w:val="en-US"/>
        </w:rPr>
        <w:t xml:space="preserve"> -</w:t>
      </w:r>
      <w:r w:rsidR="00596935" w:rsidRPr="00C67966">
        <w:rPr>
          <w:rFonts w:ascii="Arial" w:eastAsiaTheme="minorHAnsi" w:hAnsi="Arial" w:cs="Arial"/>
        </w:rPr>
        <w:t xml:space="preserve"> WRS; Speech in quiet comparator</w:t>
      </w:r>
      <w:bookmarkEnd w:id="439"/>
      <w:bookmarkEnd w:id="440"/>
    </w:p>
    <w:p w14:paraId="714DC268" w14:textId="77777777" w:rsidR="00596935" w:rsidRPr="00596935" w:rsidRDefault="00596935" w:rsidP="00596935">
      <w:pPr>
        <w:rPr>
          <w:rFonts w:asciiTheme="minorHAnsi" w:eastAsiaTheme="minorHAnsi" w:hAnsiTheme="minorHAnsi" w:cstheme="minorBidi"/>
          <w:sz w:val="24"/>
          <w:szCs w:val="24"/>
          <w:lang w:val="en-GB" w:eastAsia="en-US"/>
        </w:rPr>
      </w:pPr>
    </w:p>
    <w:tbl>
      <w:tblPr>
        <w:tblpPr w:leftFromText="141" w:rightFromText="141" w:vertAnchor="text" w:horzAnchor="margin" w:tblpXSpec="center" w:tblpY="-65"/>
        <w:tblW w:w="5236" w:type="pct"/>
        <w:tblLayout w:type="fixed"/>
        <w:tblCellMar>
          <w:left w:w="70" w:type="dxa"/>
          <w:right w:w="70" w:type="dxa"/>
        </w:tblCellMar>
        <w:tblLook w:val="04A0" w:firstRow="1" w:lastRow="0" w:firstColumn="1" w:lastColumn="0" w:noHBand="0" w:noVBand="1"/>
        <w:tblDescription w:val="WRS; Speech in quiet comparator"/>
      </w:tblPr>
      <w:tblGrid>
        <w:gridCol w:w="1063"/>
        <w:gridCol w:w="1063"/>
        <w:gridCol w:w="780"/>
        <w:gridCol w:w="946"/>
        <w:gridCol w:w="363"/>
        <w:gridCol w:w="677"/>
        <w:gridCol w:w="737"/>
        <w:gridCol w:w="363"/>
        <w:gridCol w:w="743"/>
        <w:gridCol w:w="423"/>
        <w:gridCol w:w="632"/>
        <w:gridCol w:w="644"/>
        <w:gridCol w:w="426"/>
        <w:gridCol w:w="616"/>
        <w:gridCol w:w="659"/>
        <w:gridCol w:w="1012"/>
        <w:gridCol w:w="363"/>
        <w:gridCol w:w="752"/>
        <w:gridCol w:w="426"/>
        <w:gridCol w:w="625"/>
        <w:gridCol w:w="653"/>
        <w:gridCol w:w="423"/>
        <w:gridCol w:w="719"/>
      </w:tblGrid>
      <w:tr w:rsidR="00596935" w:rsidRPr="00596935" w14:paraId="05B56BE9" w14:textId="77777777" w:rsidTr="00596935">
        <w:trPr>
          <w:trHeight w:val="548"/>
        </w:trPr>
        <w:tc>
          <w:tcPr>
            <w:tcW w:w="704" w:type="pct"/>
            <w:gridSpan w:val="2"/>
            <w:tcBorders>
              <w:top w:val="single" w:sz="8" w:space="0" w:color="auto"/>
              <w:left w:val="single" w:sz="8" w:space="0" w:color="auto"/>
              <w:bottom w:val="single" w:sz="8" w:space="0" w:color="000000"/>
              <w:right w:val="nil"/>
            </w:tcBorders>
            <w:shd w:val="clear" w:color="000000" w:fill="D9D9D9"/>
            <w:vAlign w:val="center"/>
            <w:hideMark/>
          </w:tcPr>
          <w:p w14:paraId="4F27FA1B"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speech in quiet</w:t>
            </w:r>
          </w:p>
        </w:tc>
        <w:tc>
          <w:tcPr>
            <w:tcW w:w="691" w:type="pct"/>
            <w:gridSpan w:val="3"/>
            <w:tcBorders>
              <w:top w:val="single" w:sz="8" w:space="0" w:color="auto"/>
              <w:left w:val="single" w:sz="8" w:space="0" w:color="auto"/>
              <w:bottom w:val="single" w:sz="8" w:space="0" w:color="auto"/>
              <w:right w:val="single" w:sz="8" w:space="0" w:color="000000"/>
            </w:tcBorders>
            <w:shd w:val="clear" w:color="000000" w:fill="D9D9D9"/>
            <w:vAlign w:val="center"/>
            <w:hideMark/>
          </w:tcPr>
          <w:p w14:paraId="4BB2AE0E"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Baseline unaided</w:t>
            </w:r>
          </w:p>
        </w:tc>
        <w:tc>
          <w:tcPr>
            <w:tcW w:w="588" w:type="pct"/>
            <w:gridSpan w:val="3"/>
            <w:tcBorders>
              <w:top w:val="single" w:sz="8" w:space="0" w:color="auto"/>
              <w:left w:val="nil"/>
              <w:bottom w:val="single" w:sz="8" w:space="0" w:color="auto"/>
              <w:right w:val="nil"/>
            </w:tcBorders>
            <w:shd w:val="clear" w:color="000000" w:fill="D9D9D9"/>
            <w:vAlign w:val="center"/>
            <w:hideMark/>
          </w:tcPr>
          <w:p w14:paraId="20CC3D88"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Initial testing/activation</w:t>
            </w:r>
          </w:p>
        </w:tc>
        <w:tc>
          <w:tcPr>
            <w:tcW w:w="595" w:type="pct"/>
            <w:gridSpan w:val="3"/>
            <w:tcBorders>
              <w:top w:val="single" w:sz="8" w:space="0" w:color="auto"/>
              <w:left w:val="nil"/>
              <w:bottom w:val="single" w:sz="8" w:space="0" w:color="auto"/>
              <w:right w:val="single" w:sz="8" w:space="0" w:color="000000"/>
            </w:tcBorders>
            <w:shd w:val="clear" w:color="000000" w:fill="D9D9D9"/>
            <w:vAlign w:val="bottom"/>
            <w:hideMark/>
          </w:tcPr>
          <w:p w14:paraId="56615A34" w14:textId="77777777" w:rsidR="00596935" w:rsidRPr="00596935" w:rsidRDefault="00596935" w:rsidP="00596935">
            <w:pPr>
              <w:jc w:val="center"/>
              <w:rPr>
                <w:rFonts w:cs="Arial"/>
                <w:color w:val="000000"/>
                <w:sz w:val="18"/>
                <w:szCs w:val="18"/>
                <w:lang w:val="en-US" w:eastAsia="de-AT"/>
              </w:rPr>
            </w:pPr>
            <w:r w:rsidRPr="00596935">
              <w:rPr>
                <w:rFonts w:cs="Arial"/>
                <w:color w:val="000000"/>
                <w:sz w:val="18"/>
                <w:szCs w:val="18"/>
                <w:lang w:val="en-US" w:eastAsia="de-AT"/>
              </w:rPr>
              <w:t>3 months post-op /  1month post-act</w:t>
            </w:r>
          </w:p>
        </w:tc>
        <w:tc>
          <w:tcPr>
            <w:tcW w:w="558" w:type="pct"/>
            <w:gridSpan w:val="3"/>
            <w:tcBorders>
              <w:top w:val="single" w:sz="8" w:space="0" w:color="auto"/>
              <w:left w:val="nil"/>
              <w:bottom w:val="single" w:sz="8" w:space="0" w:color="auto"/>
              <w:right w:val="single" w:sz="8" w:space="0" w:color="000000"/>
            </w:tcBorders>
            <w:shd w:val="clear" w:color="000000" w:fill="D9D9D9"/>
            <w:vAlign w:val="bottom"/>
            <w:hideMark/>
          </w:tcPr>
          <w:p w14:paraId="6FCE67E3" w14:textId="77777777" w:rsidR="00596935" w:rsidRPr="00596935" w:rsidRDefault="00596935" w:rsidP="00596935">
            <w:pPr>
              <w:jc w:val="center"/>
              <w:rPr>
                <w:rFonts w:cs="Arial"/>
                <w:color w:val="000000"/>
                <w:sz w:val="18"/>
                <w:szCs w:val="18"/>
                <w:lang w:val="en-US" w:eastAsia="de-AT"/>
              </w:rPr>
            </w:pPr>
            <w:r w:rsidRPr="00596935">
              <w:rPr>
                <w:rFonts w:cs="Arial"/>
                <w:color w:val="000000"/>
                <w:sz w:val="18"/>
                <w:szCs w:val="18"/>
                <w:lang w:val="en-US" w:eastAsia="de-AT"/>
              </w:rPr>
              <w:t>4 months post-op /  2 month post-act</w:t>
            </w:r>
          </w:p>
        </w:tc>
        <w:tc>
          <w:tcPr>
            <w:tcW w:w="673" w:type="pct"/>
            <w:gridSpan w:val="3"/>
            <w:tcBorders>
              <w:top w:val="single" w:sz="8" w:space="0" w:color="auto"/>
              <w:left w:val="nil"/>
              <w:bottom w:val="single" w:sz="8" w:space="0" w:color="auto"/>
              <w:right w:val="single" w:sz="8" w:space="0" w:color="000000"/>
            </w:tcBorders>
            <w:shd w:val="clear" w:color="000000" w:fill="D9D9D9"/>
            <w:vAlign w:val="center"/>
            <w:hideMark/>
          </w:tcPr>
          <w:p w14:paraId="5C7457FD" w14:textId="77777777" w:rsidR="00596935" w:rsidRPr="00596935" w:rsidRDefault="00596935" w:rsidP="00596935">
            <w:pPr>
              <w:jc w:val="center"/>
              <w:rPr>
                <w:rFonts w:cs="Arial"/>
                <w:b/>
                <w:bCs/>
                <w:color w:val="000000"/>
                <w:sz w:val="18"/>
                <w:szCs w:val="18"/>
                <w:lang w:val="de-AT" w:eastAsia="de-AT"/>
              </w:rPr>
            </w:pPr>
            <w:r w:rsidRPr="00596935">
              <w:rPr>
                <w:rFonts w:cs="Arial"/>
                <w:b/>
                <w:bCs/>
                <w:color w:val="000000"/>
                <w:sz w:val="18"/>
                <w:szCs w:val="18"/>
                <w:lang w:val="de-AT" w:eastAsia="de-AT"/>
              </w:rPr>
              <w:t>3 months post-act</w:t>
            </w:r>
          </w:p>
        </w:tc>
        <w:tc>
          <w:tcPr>
            <w:tcW w:w="597" w:type="pct"/>
            <w:gridSpan w:val="3"/>
            <w:tcBorders>
              <w:top w:val="single" w:sz="8" w:space="0" w:color="auto"/>
              <w:left w:val="nil"/>
              <w:bottom w:val="single" w:sz="8" w:space="0" w:color="auto"/>
              <w:right w:val="single" w:sz="8" w:space="0" w:color="000000"/>
            </w:tcBorders>
            <w:shd w:val="clear" w:color="000000" w:fill="D9D9D9"/>
            <w:vAlign w:val="center"/>
            <w:hideMark/>
          </w:tcPr>
          <w:p w14:paraId="76606DBB" w14:textId="77777777" w:rsidR="00596935" w:rsidRPr="00596935" w:rsidRDefault="00596935" w:rsidP="00596935">
            <w:pPr>
              <w:jc w:val="center"/>
              <w:rPr>
                <w:rFonts w:cs="Arial"/>
                <w:b/>
                <w:bCs/>
                <w:color w:val="000000"/>
                <w:sz w:val="18"/>
                <w:szCs w:val="18"/>
                <w:lang w:val="de-AT" w:eastAsia="de-AT"/>
              </w:rPr>
            </w:pPr>
            <w:r w:rsidRPr="00596935">
              <w:rPr>
                <w:rFonts w:cs="Arial"/>
                <w:b/>
                <w:bCs/>
                <w:color w:val="000000"/>
                <w:sz w:val="18"/>
                <w:szCs w:val="18"/>
                <w:lang w:val="de-AT" w:eastAsia="de-AT"/>
              </w:rPr>
              <w:t>6 months post-op</w:t>
            </w:r>
          </w:p>
        </w:tc>
        <w:tc>
          <w:tcPr>
            <w:tcW w:w="594" w:type="pct"/>
            <w:gridSpan w:val="3"/>
            <w:tcBorders>
              <w:top w:val="single" w:sz="8" w:space="0" w:color="auto"/>
              <w:left w:val="nil"/>
              <w:bottom w:val="single" w:sz="8" w:space="0" w:color="auto"/>
              <w:right w:val="single" w:sz="8" w:space="0" w:color="000000"/>
            </w:tcBorders>
            <w:shd w:val="clear" w:color="000000" w:fill="D9D9D9"/>
            <w:vAlign w:val="center"/>
            <w:hideMark/>
          </w:tcPr>
          <w:p w14:paraId="6C5EA38E" w14:textId="77777777" w:rsidR="00596935" w:rsidRPr="00596935" w:rsidRDefault="00596935" w:rsidP="00596935">
            <w:pPr>
              <w:jc w:val="center"/>
              <w:rPr>
                <w:rFonts w:cs="Arial"/>
                <w:b/>
                <w:bCs/>
                <w:color w:val="000000"/>
                <w:sz w:val="18"/>
                <w:szCs w:val="18"/>
                <w:lang w:val="de-AT" w:eastAsia="de-AT"/>
              </w:rPr>
            </w:pPr>
            <w:r w:rsidRPr="00596935">
              <w:rPr>
                <w:rFonts w:cs="Arial"/>
                <w:b/>
                <w:bCs/>
                <w:color w:val="000000"/>
                <w:sz w:val="18"/>
                <w:szCs w:val="18"/>
                <w:lang w:val="de-AT" w:eastAsia="de-AT"/>
              </w:rPr>
              <w:t xml:space="preserve">12 months post-op </w:t>
            </w:r>
          </w:p>
        </w:tc>
      </w:tr>
      <w:tr w:rsidR="00596935" w:rsidRPr="00596935" w14:paraId="68ECC44C" w14:textId="77777777" w:rsidTr="00596935">
        <w:trPr>
          <w:trHeight w:val="270"/>
        </w:trPr>
        <w:tc>
          <w:tcPr>
            <w:tcW w:w="352" w:type="pct"/>
            <w:tcBorders>
              <w:top w:val="nil"/>
              <w:left w:val="single" w:sz="8" w:space="0" w:color="000000"/>
              <w:bottom w:val="single" w:sz="8" w:space="0" w:color="000000"/>
              <w:right w:val="nil"/>
            </w:tcBorders>
            <w:shd w:val="clear" w:color="000000" w:fill="F2DCDB"/>
            <w:vAlign w:val="bottom"/>
            <w:hideMark/>
          </w:tcPr>
          <w:p w14:paraId="1BF97DB9" w14:textId="77777777" w:rsidR="00596935" w:rsidRPr="00596935" w:rsidRDefault="00596935" w:rsidP="00596935">
            <w:pPr>
              <w:jc w:val="center"/>
              <w:rPr>
                <w:rFonts w:cs="Arial"/>
                <w:b/>
                <w:bCs/>
                <w:i/>
                <w:iCs/>
                <w:sz w:val="18"/>
                <w:szCs w:val="18"/>
                <w:lang w:val="de-AT" w:eastAsia="de-AT"/>
              </w:rPr>
            </w:pPr>
            <w:r w:rsidRPr="00596935">
              <w:rPr>
                <w:rFonts w:cs="Arial"/>
                <w:b/>
                <w:bCs/>
                <w:i/>
                <w:iCs/>
                <w:sz w:val="18"/>
                <w:szCs w:val="18"/>
                <w:lang w:val="de-AT" w:eastAsia="de-AT"/>
              </w:rPr>
              <w:t>WRS</w:t>
            </w:r>
          </w:p>
        </w:tc>
        <w:tc>
          <w:tcPr>
            <w:tcW w:w="352" w:type="pct"/>
            <w:vMerge w:val="restart"/>
            <w:tcBorders>
              <w:top w:val="nil"/>
              <w:left w:val="single" w:sz="8" w:space="0" w:color="auto"/>
              <w:bottom w:val="single" w:sz="8" w:space="0" w:color="000000"/>
              <w:right w:val="nil"/>
            </w:tcBorders>
            <w:shd w:val="clear" w:color="000000" w:fill="F2DCDB"/>
            <w:vAlign w:val="center"/>
            <w:hideMark/>
          </w:tcPr>
          <w:p w14:paraId="4D58DEE6"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Test</w:t>
            </w:r>
          </w:p>
        </w:tc>
        <w:tc>
          <w:tcPr>
            <w:tcW w:w="571" w:type="pct"/>
            <w:gridSpan w:val="2"/>
            <w:tcBorders>
              <w:top w:val="single" w:sz="8" w:space="0" w:color="auto"/>
              <w:left w:val="single" w:sz="8" w:space="0" w:color="auto"/>
              <w:bottom w:val="nil"/>
              <w:right w:val="nil"/>
            </w:tcBorders>
            <w:shd w:val="clear" w:color="000000" w:fill="F2DCDB"/>
            <w:noWrap/>
            <w:vAlign w:val="bottom"/>
            <w:hideMark/>
          </w:tcPr>
          <w:p w14:paraId="656BFC56" w14:textId="77777777" w:rsidR="00596935" w:rsidRPr="00596935" w:rsidRDefault="00596935" w:rsidP="00596935">
            <w:pPr>
              <w:jc w:val="center"/>
              <w:rPr>
                <w:rFonts w:cs="Arial"/>
                <w:b/>
                <w:bCs/>
                <w:color w:val="000000"/>
                <w:sz w:val="18"/>
                <w:szCs w:val="18"/>
                <w:lang w:val="de-AT" w:eastAsia="de-AT"/>
              </w:rPr>
            </w:pPr>
            <w:r w:rsidRPr="00596935">
              <w:rPr>
                <w:rFonts w:cs="Arial"/>
                <w:b/>
                <w:bCs/>
                <w:color w:val="000000"/>
                <w:sz w:val="18"/>
                <w:szCs w:val="18"/>
                <w:lang w:val="de-AT" w:eastAsia="de-AT"/>
              </w:rPr>
              <w:t>unaided</w:t>
            </w:r>
          </w:p>
        </w:tc>
        <w:tc>
          <w:tcPr>
            <w:tcW w:w="120" w:type="pct"/>
            <w:tcBorders>
              <w:top w:val="nil"/>
              <w:left w:val="nil"/>
              <w:bottom w:val="nil"/>
              <w:right w:val="single" w:sz="8" w:space="0" w:color="auto"/>
            </w:tcBorders>
            <w:shd w:val="clear" w:color="000000" w:fill="F2DCDB"/>
            <w:noWrap/>
            <w:vAlign w:val="bottom"/>
            <w:hideMark/>
          </w:tcPr>
          <w:p w14:paraId="7ABC66D3" w14:textId="77777777" w:rsidR="00596935" w:rsidRPr="00596935" w:rsidRDefault="00596935" w:rsidP="00596935">
            <w:pPr>
              <w:jc w:val="center"/>
              <w:rPr>
                <w:rFonts w:cs="Arial"/>
                <w:b/>
                <w:bCs/>
                <w:color w:val="000000"/>
                <w:sz w:val="18"/>
                <w:szCs w:val="18"/>
                <w:lang w:val="de-AT" w:eastAsia="de-AT"/>
              </w:rPr>
            </w:pPr>
            <w:r w:rsidRPr="00596935">
              <w:rPr>
                <w:rFonts w:cs="Arial"/>
                <w:b/>
                <w:bCs/>
                <w:color w:val="000000"/>
                <w:sz w:val="18"/>
                <w:szCs w:val="18"/>
                <w:lang w:val="de-AT" w:eastAsia="de-AT"/>
              </w:rPr>
              <w:t> </w:t>
            </w:r>
          </w:p>
        </w:tc>
        <w:tc>
          <w:tcPr>
            <w:tcW w:w="468" w:type="pct"/>
            <w:gridSpan w:val="2"/>
            <w:tcBorders>
              <w:top w:val="single" w:sz="8" w:space="0" w:color="auto"/>
              <w:left w:val="nil"/>
              <w:bottom w:val="nil"/>
              <w:right w:val="nil"/>
            </w:tcBorders>
            <w:shd w:val="clear" w:color="000000" w:fill="F2DCDB"/>
            <w:noWrap/>
            <w:vAlign w:val="bottom"/>
            <w:hideMark/>
          </w:tcPr>
          <w:p w14:paraId="28C1A8F6" w14:textId="77777777" w:rsidR="00596935" w:rsidRPr="00596935" w:rsidRDefault="00596935" w:rsidP="00596935">
            <w:pPr>
              <w:jc w:val="center"/>
              <w:rPr>
                <w:rFonts w:cs="Arial"/>
                <w:b/>
                <w:bCs/>
                <w:color w:val="000000"/>
                <w:sz w:val="18"/>
                <w:szCs w:val="18"/>
                <w:lang w:val="de-AT" w:eastAsia="de-AT"/>
              </w:rPr>
            </w:pPr>
            <w:r w:rsidRPr="00596935">
              <w:rPr>
                <w:rFonts w:cs="Arial"/>
                <w:b/>
                <w:bCs/>
                <w:color w:val="000000"/>
                <w:sz w:val="18"/>
                <w:szCs w:val="18"/>
                <w:lang w:val="de-AT" w:eastAsia="de-AT"/>
              </w:rPr>
              <w:t xml:space="preserve">aided </w:t>
            </w:r>
          </w:p>
        </w:tc>
        <w:tc>
          <w:tcPr>
            <w:tcW w:w="120" w:type="pct"/>
            <w:tcBorders>
              <w:top w:val="nil"/>
              <w:left w:val="nil"/>
              <w:bottom w:val="nil"/>
              <w:right w:val="single" w:sz="8" w:space="0" w:color="auto"/>
            </w:tcBorders>
            <w:shd w:val="clear" w:color="000000" w:fill="F2DCDB"/>
            <w:noWrap/>
            <w:vAlign w:val="bottom"/>
            <w:hideMark/>
          </w:tcPr>
          <w:p w14:paraId="287BA608" w14:textId="77777777" w:rsidR="00596935" w:rsidRPr="00596935" w:rsidRDefault="00596935" w:rsidP="00596935">
            <w:pPr>
              <w:jc w:val="center"/>
              <w:rPr>
                <w:rFonts w:cs="Arial"/>
                <w:b/>
                <w:bCs/>
                <w:color w:val="000000"/>
                <w:sz w:val="18"/>
                <w:szCs w:val="18"/>
                <w:lang w:val="de-AT" w:eastAsia="de-AT"/>
              </w:rPr>
            </w:pPr>
            <w:r w:rsidRPr="00596935">
              <w:rPr>
                <w:rFonts w:cs="Arial"/>
                <w:b/>
                <w:bCs/>
                <w:color w:val="000000"/>
                <w:sz w:val="18"/>
                <w:szCs w:val="18"/>
                <w:lang w:val="de-AT" w:eastAsia="de-AT"/>
              </w:rPr>
              <w:t> </w:t>
            </w:r>
          </w:p>
        </w:tc>
        <w:tc>
          <w:tcPr>
            <w:tcW w:w="386" w:type="pct"/>
            <w:gridSpan w:val="2"/>
            <w:tcBorders>
              <w:top w:val="single" w:sz="8" w:space="0" w:color="auto"/>
              <w:left w:val="nil"/>
              <w:bottom w:val="nil"/>
              <w:right w:val="nil"/>
            </w:tcBorders>
            <w:shd w:val="clear" w:color="000000" w:fill="F2DCDB"/>
            <w:noWrap/>
            <w:vAlign w:val="bottom"/>
            <w:hideMark/>
          </w:tcPr>
          <w:p w14:paraId="2A9D5162" w14:textId="77777777" w:rsidR="00596935" w:rsidRPr="00596935" w:rsidRDefault="00596935" w:rsidP="00596935">
            <w:pPr>
              <w:jc w:val="center"/>
              <w:rPr>
                <w:rFonts w:cs="Arial"/>
                <w:b/>
                <w:bCs/>
                <w:color w:val="000000"/>
                <w:sz w:val="18"/>
                <w:szCs w:val="18"/>
                <w:lang w:val="de-AT" w:eastAsia="de-AT"/>
              </w:rPr>
            </w:pPr>
            <w:r w:rsidRPr="00596935">
              <w:rPr>
                <w:rFonts w:cs="Arial"/>
                <w:b/>
                <w:bCs/>
                <w:color w:val="000000"/>
                <w:sz w:val="18"/>
                <w:szCs w:val="18"/>
                <w:lang w:val="de-AT" w:eastAsia="de-AT"/>
              </w:rPr>
              <w:t xml:space="preserve">aided </w:t>
            </w:r>
          </w:p>
        </w:tc>
        <w:tc>
          <w:tcPr>
            <w:tcW w:w="209" w:type="pct"/>
            <w:tcBorders>
              <w:top w:val="nil"/>
              <w:left w:val="nil"/>
              <w:bottom w:val="nil"/>
              <w:right w:val="single" w:sz="8" w:space="0" w:color="auto"/>
            </w:tcBorders>
            <w:shd w:val="clear" w:color="000000" w:fill="F2DCDB"/>
            <w:noWrap/>
            <w:vAlign w:val="bottom"/>
            <w:hideMark/>
          </w:tcPr>
          <w:p w14:paraId="7047D339" w14:textId="77777777" w:rsidR="00596935" w:rsidRPr="00596935" w:rsidRDefault="00596935" w:rsidP="00596935">
            <w:pPr>
              <w:jc w:val="center"/>
              <w:rPr>
                <w:rFonts w:cs="Arial"/>
                <w:b/>
                <w:bCs/>
                <w:color w:val="000000"/>
                <w:sz w:val="18"/>
                <w:szCs w:val="18"/>
                <w:lang w:val="de-AT" w:eastAsia="de-AT"/>
              </w:rPr>
            </w:pPr>
            <w:r w:rsidRPr="00596935">
              <w:rPr>
                <w:rFonts w:cs="Arial"/>
                <w:b/>
                <w:bCs/>
                <w:color w:val="000000"/>
                <w:sz w:val="18"/>
                <w:szCs w:val="18"/>
                <w:lang w:val="de-AT" w:eastAsia="de-AT"/>
              </w:rPr>
              <w:t> </w:t>
            </w:r>
          </w:p>
        </w:tc>
        <w:tc>
          <w:tcPr>
            <w:tcW w:w="354" w:type="pct"/>
            <w:gridSpan w:val="2"/>
            <w:tcBorders>
              <w:top w:val="single" w:sz="8" w:space="0" w:color="auto"/>
              <w:left w:val="nil"/>
              <w:bottom w:val="nil"/>
              <w:right w:val="nil"/>
            </w:tcBorders>
            <w:shd w:val="clear" w:color="000000" w:fill="F2DCDB"/>
            <w:noWrap/>
            <w:vAlign w:val="bottom"/>
            <w:hideMark/>
          </w:tcPr>
          <w:p w14:paraId="0E7F1B82" w14:textId="77777777" w:rsidR="00596935" w:rsidRPr="00596935" w:rsidRDefault="00596935" w:rsidP="00596935">
            <w:pPr>
              <w:jc w:val="center"/>
              <w:rPr>
                <w:rFonts w:cs="Arial"/>
                <w:b/>
                <w:bCs/>
                <w:color w:val="000000"/>
                <w:sz w:val="18"/>
                <w:szCs w:val="18"/>
                <w:lang w:val="de-AT" w:eastAsia="de-AT"/>
              </w:rPr>
            </w:pPr>
            <w:r w:rsidRPr="00596935">
              <w:rPr>
                <w:rFonts w:cs="Arial"/>
                <w:b/>
                <w:bCs/>
                <w:color w:val="000000"/>
                <w:sz w:val="18"/>
                <w:szCs w:val="18"/>
                <w:lang w:val="de-AT" w:eastAsia="de-AT"/>
              </w:rPr>
              <w:t xml:space="preserve">aided </w:t>
            </w:r>
          </w:p>
        </w:tc>
        <w:tc>
          <w:tcPr>
            <w:tcW w:w="204" w:type="pct"/>
            <w:tcBorders>
              <w:top w:val="nil"/>
              <w:left w:val="nil"/>
              <w:bottom w:val="nil"/>
              <w:right w:val="single" w:sz="8" w:space="0" w:color="auto"/>
            </w:tcBorders>
            <w:shd w:val="clear" w:color="000000" w:fill="F2DCDB"/>
            <w:noWrap/>
            <w:vAlign w:val="bottom"/>
            <w:hideMark/>
          </w:tcPr>
          <w:p w14:paraId="3D4F0FFC" w14:textId="77777777" w:rsidR="00596935" w:rsidRPr="00596935" w:rsidRDefault="00596935" w:rsidP="00596935">
            <w:pPr>
              <w:jc w:val="center"/>
              <w:rPr>
                <w:rFonts w:cs="Arial"/>
                <w:b/>
                <w:bCs/>
                <w:color w:val="000000"/>
                <w:sz w:val="18"/>
                <w:szCs w:val="18"/>
                <w:lang w:val="de-AT" w:eastAsia="de-AT"/>
              </w:rPr>
            </w:pPr>
            <w:r w:rsidRPr="00596935">
              <w:rPr>
                <w:rFonts w:cs="Arial"/>
                <w:b/>
                <w:bCs/>
                <w:color w:val="000000"/>
                <w:sz w:val="18"/>
                <w:szCs w:val="18"/>
                <w:lang w:val="de-AT" w:eastAsia="de-AT"/>
              </w:rPr>
              <w:t> </w:t>
            </w:r>
          </w:p>
        </w:tc>
        <w:tc>
          <w:tcPr>
            <w:tcW w:w="553" w:type="pct"/>
            <w:gridSpan w:val="2"/>
            <w:tcBorders>
              <w:top w:val="single" w:sz="8" w:space="0" w:color="auto"/>
              <w:left w:val="nil"/>
              <w:bottom w:val="nil"/>
              <w:right w:val="nil"/>
            </w:tcBorders>
            <w:shd w:val="clear" w:color="000000" w:fill="F2DCDB"/>
            <w:noWrap/>
            <w:vAlign w:val="bottom"/>
            <w:hideMark/>
          </w:tcPr>
          <w:p w14:paraId="1D251482" w14:textId="77777777" w:rsidR="00596935" w:rsidRPr="00596935" w:rsidRDefault="00596935" w:rsidP="00596935">
            <w:pPr>
              <w:jc w:val="center"/>
              <w:rPr>
                <w:rFonts w:cs="Arial"/>
                <w:b/>
                <w:bCs/>
                <w:color w:val="000000"/>
                <w:sz w:val="18"/>
                <w:szCs w:val="18"/>
                <w:lang w:val="de-AT" w:eastAsia="de-AT"/>
              </w:rPr>
            </w:pPr>
            <w:r w:rsidRPr="00596935">
              <w:rPr>
                <w:rFonts w:cs="Arial"/>
                <w:b/>
                <w:bCs/>
                <w:color w:val="000000"/>
                <w:sz w:val="18"/>
                <w:szCs w:val="18"/>
                <w:lang w:val="de-AT" w:eastAsia="de-AT"/>
              </w:rPr>
              <w:t xml:space="preserve">aided </w:t>
            </w:r>
          </w:p>
        </w:tc>
        <w:tc>
          <w:tcPr>
            <w:tcW w:w="120" w:type="pct"/>
            <w:tcBorders>
              <w:top w:val="nil"/>
              <w:left w:val="nil"/>
              <w:bottom w:val="nil"/>
              <w:right w:val="single" w:sz="8" w:space="0" w:color="auto"/>
            </w:tcBorders>
            <w:shd w:val="clear" w:color="000000" w:fill="F2DCDB"/>
            <w:noWrap/>
            <w:vAlign w:val="bottom"/>
            <w:hideMark/>
          </w:tcPr>
          <w:p w14:paraId="32909086" w14:textId="77777777" w:rsidR="00596935" w:rsidRPr="00596935" w:rsidRDefault="00596935" w:rsidP="00596935">
            <w:pPr>
              <w:jc w:val="center"/>
              <w:rPr>
                <w:rFonts w:cs="Arial"/>
                <w:b/>
                <w:bCs/>
                <w:color w:val="000000"/>
                <w:sz w:val="18"/>
                <w:szCs w:val="18"/>
                <w:lang w:val="de-AT" w:eastAsia="de-AT"/>
              </w:rPr>
            </w:pPr>
            <w:r w:rsidRPr="00596935">
              <w:rPr>
                <w:rFonts w:cs="Arial"/>
                <w:b/>
                <w:bCs/>
                <w:color w:val="000000"/>
                <w:sz w:val="18"/>
                <w:szCs w:val="18"/>
                <w:lang w:val="de-AT" w:eastAsia="de-AT"/>
              </w:rPr>
              <w:t> </w:t>
            </w:r>
          </w:p>
        </w:tc>
        <w:tc>
          <w:tcPr>
            <w:tcW w:w="390" w:type="pct"/>
            <w:gridSpan w:val="2"/>
            <w:tcBorders>
              <w:top w:val="single" w:sz="8" w:space="0" w:color="auto"/>
              <w:left w:val="nil"/>
              <w:bottom w:val="nil"/>
              <w:right w:val="nil"/>
            </w:tcBorders>
            <w:shd w:val="clear" w:color="000000" w:fill="F2DCDB"/>
            <w:noWrap/>
            <w:vAlign w:val="bottom"/>
            <w:hideMark/>
          </w:tcPr>
          <w:p w14:paraId="6F054197" w14:textId="77777777" w:rsidR="00596935" w:rsidRPr="00596935" w:rsidRDefault="00596935" w:rsidP="00596935">
            <w:pPr>
              <w:jc w:val="center"/>
              <w:rPr>
                <w:rFonts w:cs="Arial"/>
                <w:b/>
                <w:bCs/>
                <w:color w:val="000000"/>
                <w:sz w:val="18"/>
                <w:szCs w:val="18"/>
                <w:lang w:val="de-AT" w:eastAsia="de-AT"/>
              </w:rPr>
            </w:pPr>
            <w:r w:rsidRPr="00596935">
              <w:rPr>
                <w:rFonts w:cs="Arial"/>
                <w:b/>
                <w:bCs/>
                <w:color w:val="000000"/>
                <w:sz w:val="18"/>
                <w:szCs w:val="18"/>
                <w:lang w:val="de-AT" w:eastAsia="de-AT"/>
              </w:rPr>
              <w:t xml:space="preserve">aided </w:t>
            </w:r>
          </w:p>
        </w:tc>
        <w:tc>
          <w:tcPr>
            <w:tcW w:w="207" w:type="pct"/>
            <w:tcBorders>
              <w:top w:val="nil"/>
              <w:left w:val="nil"/>
              <w:bottom w:val="nil"/>
              <w:right w:val="single" w:sz="8" w:space="0" w:color="auto"/>
            </w:tcBorders>
            <w:shd w:val="clear" w:color="000000" w:fill="F2DCDB"/>
            <w:noWrap/>
            <w:vAlign w:val="bottom"/>
            <w:hideMark/>
          </w:tcPr>
          <w:p w14:paraId="37B220B0" w14:textId="77777777" w:rsidR="00596935" w:rsidRPr="00596935" w:rsidRDefault="00596935" w:rsidP="00596935">
            <w:pPr>
              <w:jc w:val="center"/>
              <w:rPr>
                <w:rFonts w:cs="Arial"/>
                <w:b/>
                <w:bCs/>
                <w:color w:val="000000"/>
                <w:sz w:val="18"/>
                <w:szCs w:val="18"/>
                <w:lang w:val="de-AT" w:eastAsia="de-AT"/>
              </w:rPr>
            </w:pPr>
            <w:r w:rsidRPr="00596935">
              <w:rPr>
                <w:rFonts w:cs="Arial"/>
                <w:b/>
                <w:bCs/>
                <w:color w:val="000000"/>
                <w:sz w:val="18"/>
                <w:szCs w:val="18"/>
                <w:lang w:val="de-AT" w:eastAsia="de-AT"/>
              </w:rPr>
              <w:t> </w:t>
            </w:r>
          </w:p>
        </w:tc>
        <w:tc>
          <w:tcPr>
            <w:tcW w:w="356" w:type="pct"/>
            <w:gridSpan w:val="2"/>
            <w:tcBorders>
              <w:top w:val="single" w:sz="8" w:space="0" w:color="auto"/>
              <w:left w:val="nil"/>
              <w:bottom w:val="nil"/>
              <w:right w:val="nil"/>
            </w:tcBorders>
            <w:shd w:val="clear" w:color="000000" w:fill="F2DCDB"/>
            <w:noWrap/>
            <w:vAlign w:val="bottom"/>
            <w:hideMark/>
          </w:tcPr>
          <w:p w14:paraId="479CC9E4" w14:textId="77777777" w:rsidR="00596935" w:rsidRPr="00596935" w:rsidRDefault="00596935" w:rsidP="00596935">
            <w:pPr>
              <w:jc w:val="center"/>
              <w:rPr>
                <w:rFonts w:cs="Arial"/>
                <w:b/>
                <w:bCs/>
                <w:color w:val="000000"/>
                <w:sz w:val="18"/>
                <w:szCs w:val="18"/>
                <w:lang w:val="de-AT" w:eastAsia="de-AT"/>
              </w:rPr>
            </w:pPr>
            <w:r w:rsidRPr="00596935">
              <w:rPr>
                <w:rFonts w:cs="Arial"/>
                <w:b/>
                <w:bCs/>
                <w:color w:val="000000"/>
                <w:sz w:val="18"/>
                <w:szCs w:val="18"/>
                <w:lang w:val="de-AT" w:eastAsia="de-AT"/>
              </w:rPr>
              <w:t xml:space="preserve">aided </w:t>
            </w:r>
          </w:p>
        </w:tc>
        <w:tc>
          <w:tcPr>
            <w:tcW w:w="238" w:type="pct"/>
            <w:tcBorders>
              <w:top w:val="nil"/>
              <w:left w:val="nil"/>
              <w:bottom w:val="nil"/>
              <w:right w:val="single" w:sz="8" w:space="0" w:color="auto"/>
            </w:tcBorders>
            <w:shd w:val="clear" w:color="000000" w:fill="F2DCDB"/>
            <w:noWrap/>
            <w:vAlign w:val="bottom"/>
            <w:hideMark/>
          </w:tcPr>
          <w:p w14:paraId="64FA1461" w14:textId="77777777" w:rsidR="00596935" w:rsidRPr="00596935" w:rsidRDefault="00596935" w:rsidP="00596935">
            <w:pPr>
              <w:jc w:val="center"/>
              <w:rPr>
                <w:rFonts w:cs="Arial"/>
                <w:b/>
                <w:bCs/>
                <w:color w:val="000000"/>
                <w:sz w:val="18"/>
                <w:szCs w:val="18"/>
                <w:lang w:val="de-AT" w:eastAsia="de-AT"/>
              </w:rPr>
            </w:pPr>
            <w:r w:rsidRPr="00596935">
              <w:rPr>
                <w:rFonts w:cs="Arial"/>
                <w:b/>
                <w:bCs/>
                <w:color w:val="000000"/>
                <w:sz w:val="18"/>
                <w:szCs w:val="18"/>
                <w:lang w:val="de-AT" w:eastAsia="de-AT"/>
              </w:rPr>
              <w:t> </w:t>
            </w:r>
          </w:p>
        </w:tc>
      </w:tr>
      <w:tr w:rsidR="00596935" w:rsidRPr="00596935" w14:paraId="39E08E36" w14:textId="77777777" w:rsidTr="00596935">
        <w:trPr>
          <w:trHeight w:val="315"/>
        </w:trPr>
        <w:tc>
          <w:tcPr>
            <w:tcW w:w="352" w:type="pct"/>
            <w:tcBorders>
              <w:top w:val="nil"/>
              <w:left w:val="single" w:sz="8" w:space="0" w:color="auto"/>
              <w:bottom w:val="single" w:sz="8" w:space="0" w:color="auto"/>
              <w:right w:val="nil"/>
            </w:tcBorders>
            <w:shd w:val="clear" w:color="000000" w:fill="D9D9D9"/>
            <w:vAlign w:val="bottom"/>
            <w:hideMark/>
          </w:tcPr>
          <w:p w14:paraId="5E338980" w14:textId="77777777" w:rsidR="00596935" w:rsidRPr="00596935" w:rsidRDefault="00596935" w:rsidP="00596935">
            <w:pPr>
              <w:jc w:val="center"/>
              <w:rPr>
                <w:rFonts w:cs="Arial"/>
                <w:b/>
                <w:bCs/>
                <w:i/>
                <w:iCs/>
                <w:sz w:val="18"/>
                <w:szCs w:val="18"/>
                <w:lang w:val="de-AT" w:eastAsia="de-AT"/>
              </w:rPr>
            </w:pPr>
            <w:r w:rsidRPr="00596935">
              <w:rPr>
                <w:rFonts w:cs="Arial"/>
                <w:b/>
                <w:bCs/>
                <w:i/>
                <w:iCs/>
                <w:sz w:val="18"/>
                <w:szCs w:val="18"/>
                <w:lang w:val="de-AT" w:eastAsia="de-AT"/>
              </w:rPr>
              <w:t>author</w:t>
            </w:r>
          </w:p>
        </w:tc>
        <w:tc>
          <w:tcPr>
            <w:tcW w:w="352" w:type="pct"/>
            <w:vMerge/>
            <w:tcBorders>
              <w:top w:val="nil"/>
              <w:left w:val="single" w:sz="8" w:space="0" w:color="auto"/>
              <w:bottom w:val="single" w:sz="8" w:space="0" w:color="000000"/>
              <w:right w:val="nil"/>
            </w:tcBorders>
            <w:vAlign w:val="center"/>
            <w:hideMark/>
          </w:tcPr>
          <w:p w14:paraId="7A2ED0EF" w14:textId="77777777" w:rsidR="00596935" w:rsidRPr="00596935" w:rsidRDefault="00596935" w:rsidP="00596935">
            <w:pPr>
              <w:rPr>
                <w:rFonts w:cs="Arial"/>
                <w:color w:val="000000"/>
                <w:sz w:val="18"/>
                <w:szCs w:val="18"/>
                <w:lang w:val="de-AT" w:eastAsia="de-AT"/>
              </w:rPr>
            </w:pPr>
          </w:p>
        </w:tc>
        <w:tc>
          <w:tcPr>
            <w:tcW w:w="258" w:type="pct"/>
            <w:tcBorders>
              <w:top w:val="single" w:sz="8" w:space="0" w:color="auto"/>
              <w:left w:val="single" w:sz="8" w:space="0" w:color="auto"/>
              <w:bottom w:val="single" w:sz="8" w:space="0" w:color="auto"/>
              <w:right w:val="nil"/>
            </w:tcBorders>
            <w:shd w:val="clear" w:color="000000" w:fill="D9D9D9"/>
            <w:noWrap/>
            <w:vAlign w:val="center"/>
            <w:hideMark/>
          </w:tcPr>
          <w:p w14:paraId="71124E11" w14:textId="77777777" w:rsidR="00596935" w:rsidRPr="00596935" w:rsidRDefault="00596935" w:rsidP="00596935">
            <w:pPr>
              <w:jc w:val="center"/>
              <w:rPr>
                <w:rFonts w:cs="Arial"/>
                <w:i/>
                <w:iCs/>
                <w:sz w:val="18"/>
                <w:szCs w:val="18"/>
                <w:lang w:val="de-AT" w:eastAsia="de-AT"/>
              </w:rPr>
            </w:pPr>
            <w:r w:rsidRPr="00596935">
              <w:rPr>
                <w:rFonts w:cs="Arial"/>
                <w:i/>
                <w:iCs/>
                <w:sz w:val="18"/>
                <w:szCs w:val="18"/>
                <w:lang w:val="de-AT" w:eastAsia="de-AT"/>
              </w:rPr>
              <w:t>mean [dB]</w:t>
            </w:r>
          </w:p>
        </w:tc>
        <w:tc>
          <w:tcPr>
            <w:tcW w:w="313" w:type="pct"/>
            <w:tcBorders>
              <w:top w:val="single" w:sz="8" w:space="0" w:color="auto"/>
              <w:left w:val="nil"/>
              <w:bottom w:val="single" w:sz="8" w:space="0" w:color="auto"/>
              <w:right w:val="nil"/>
            </w:tcBorders>
            <w:shd w:val="clear" w:color="000000" w:fill="D9D9D9"/>
            <w:noWrap/>
            <w:vAlign w:val="center"/>
            <w:hideMark/>
          </w:tcPr>
          <w:p w14:paraId="6649DC15" w14:textId="77777777" w:rsidR="00596935" w:rsidRPr="00596935" w:rsidRDefault="00596935" w:rsidP="00596935">
            <w:pPr>
              <w:jc w:val="center"/>
              <w:rPr>
                <w:rFonts w:cs="Arial"/>
                <w:i/>
                <w:iCs/>
                <w:sz w:val="18"/>
                <w:szCs w:val="18"/>
                <w:lang w:val="de-AT" w:eastAsia="de-AT"/>
              </w:rPr>
            </w:pPr>
            <w:r w:rsidRPr="00596935">
              <w:rPr>
                <w:rFonts w:cs="Arial"/>
                <w:i/>
                <w:iCs/>
                <w:sz w:val="18"/>
                <w:szCs w:val="18"/>
                <w:lang w:val="de-AT" w:eastAsia="de-AT"/>
              </w:rPr>
              <w:t>sd</w:t>
            </w:r>
          </w:p>
        </w:tc>
        <w:tc>
          <w:tcPr>
            <w:tcW w:w="120" w:type="pct"/>
            <w:tcBorders>
              <w:top w:val="single" w:sz="8" w:space="0" w:color="auto"/>
              <w:left w:val="nil"/>
              <w:bottom w:val="single" w:sz="8" w:space="0" w:color="auto"/>
              <w:right w:val="single" w:sz="8" w:space="0" w:color="auto"/>
            </w:tcBorders>
            <w:shd w:val="clear" w:color="000000" w:fill="D9D9D9"/>
            <w:noWrap/>
            <w:vAlign w:val="center"/>
            <w:hideMark/>
          </w:tcPr>
          <w:p w14:paraId="3A8CFFD9" w14:textId="77777777" w:rsidR="00596935" w:rsidRPr="00596935" w:rsidRDefault="00596935" w:rsidP="00596935">
            <w:pPr>
              <w:jc w:val="center"/>
              <w:rPr>
                <w:rFonts w:cs="Arial"/>
                <w:i/>
                <w:iCs/>
                <w:color w:val="000000"/>
                <w:sz w:val="18"/>
                <w:szCs w:val="18"/>
                <w:lang w:val="de-AT" w:eastAsia="de-AT"/>
              </w:rPr>
            </w:pPr>
            <w:r w:rsidRPr="00596935">
              <w:rPr>
                <w:rFonts w:cs="Arial"/>
                <w:i/>
                <w:iCs/>
                <w:color w:val="000000"/>
                <w:sz w:val="18"/>
                <w:szCs w:val="18"/>
                <w:lang w:val="de-AT" w:eastAsia="de-AT"/>
              </w:rPr>
              <w:t>n</w:t>
            </w:r>
          </w:p>
        </w:tc>
        <w:tc>
          <w:tcPr>
            <w:tcW w:w="224" w:type="pct"/>
            <w:tcBorders>
              <w:top w:val="single" w:sz="8" w:space="0" w:color="auto"/>
              <w:left w:val="single" w:sz="8" w:space="0" w:color="auto"/>
              <w:bottom w:val="single" w:sz="8" w:space="0" w:color="auto"/>
              <w:right w:val="nil"/>
            </w:tcBorders>
            <w:shd w:val="clear" w:color="000000" w:fill="D9D9D9"/>
            <w:noWrap/>
            <w:vAlign w:val="center"/>
            <w:hideMark/>
          </w:tcPr>
          <w:p w14:paraId="4E400917" w14:textId="77777777" w:rsidR="00596935" w:rsidRPr="00596935" w:rsidRDefault="00596935" w:rsidP="00596935">
            <w:pPr>
              <w:jc w:val="center"/>
              <w:rPr>
                <w:rFonts w:cs="Arial"/>
                <w:i/>
                <w:iCs/>
                <w:sz w:val="18"/>
                <w:szCs w:val="18"/>
                <w:lang w:val="de-AT" w:eastAsia="de-AT"/>
              </w:rPr>
            </w:pPr>
            <w:r w:rsidRPr="00596935">
              <w:rPr>
                <w:rFonts w:cs="Arial"/>
                <w:i/>
                <w:iCs/>
                <w:sz w:val="18"/>
                <w:szCs w:val="18"/>
                <w:lang w:val="de-AT" w:eastAsia="de-AT"/>
              </w:rPr>
              <w:t>mean [dB]</w:t>
            </w:r>
          </w:p>
        </w:tc>
        <w:tc>
          <w:tcPr>
            <w:tcW w:w="244" w:type="pct"/>
            <w:tcBorders>
              <w:top w:val="single" w:sz="8" w:space="0" w:color="auto"/>
              <w:left w:val="nil"/>
              <w:bottom w:val="single" w:sz="8" w:space="0" w:color="auto"/>
              <w:right w:val="nil"/>
            </w:tcBorders>
            <w:shd w:val="clear" w:color="000000" w:fill="D9D9D9"/>
            <w:noWrap/>
            <w:vAlign w:val="center"/>
            <w:hideMark/>
          </w:tcPr>
          <w:p w14:paraId="09A9885B" w14:textId="77777777" w:rsidR="00596935" w:rsidRPr="00596935" w:rsidRDefault="00596935" w:rsidP="00596935">
            <w:pPr>
              <w:jc w:val="center"/>
              <w:rPr>
                <w:rFonts w:cs="Arial"/>
                <w:i/>
                <w:iCs/>
                <w:sz w:val="18"/>
                <w:szCs w:val="18"/>
                <w:lang w:val="de-AT" w:eastAsia="de-AT"/>
              </w:rPr>
            </w:pPr>
            <w:r w:rsidRPr="00596935">
              <w:rPr>
                <w:rFonts w:cs="Arial"/>
                <w:i/>
                <w:iCs/>
                <w:sz w:val="18"/>
                <w:szCs w:val="18"/>
                <w:lang w:val="de-AT" w:eastAsia="de-AT"/>
              </w:rPr>
              <w:t>sd</w:t>
            </w:r>
          </w:p>
        </w:tc>
        <w:tc>
          <w:tcPr>
            <w:tcW w:w="120" w:type="pct"/>
            <w:tcBorders>
              <w:top w:val="single" w:sz="8" w:space="0" w:color="auto"/>
              <w:left w:val="nil"/>
              <w:bottom w:val="single" w:sz="8" w:space="0" w:color="auto"/>
              <w:right w:val="single" w:sz="8" w:space="0" w:color="auto"/>
            </w:tcBorders>
            <w:shd w:val="clear" w:color="000000" w:fill="D9D9D9"/>
            <w:noWrap/>
            <w:vAlign w:val="center"/>
            <w:hideMark/>
          </w:tcPr>
          <w:p w14:paraId="47E0CC19" w14:textId="77777777" w:rsidR="00596935" w:rsidRPr="00596935" w:rsidRDefault="00596935" w:rsidP="00596935">
            <w:pPr>
              <w:jc w:val="center"/>
              <w:rPr>
                <w:rFonts w:cs="Arial"/>
                <w:i/>
                <w:iCs/>
                <w:color w:val="000000"/>
                <w:sz w:val="18"/>
                <w:szCs w:val="18"/>
                <w:lang w:val="de-AT" w:eastAsia="de-AT"/>
              </w:rPr>
            </w:pPr>
            <w:r w:rsidRPr="00596935">
              <w:rPr>
                <w:rFonts w:cs="Arial"/>
                <w:i/>
                <w:iCs/>
                <w:color w:val="000000"/>
                <w:sz w:val="18"/>
                <w:szCs w:val="18"/>
                <w:lang w:val="de-AT" w:eastAsia="de-AT"/>
              </w:rPr>
              <w:t>n</w:t>
            </w:r>
          </w:p>
        </w:tc>
        <w:tc>
          <w:tcPr>
            <w:tcW w:w="246" w:type="pct"/>
            <w:tcBorders>
              <w:top w:val="single" w:sz="8" w:space="0" w:color="auto"/>
              <w:left w:val="nil"/>
              <w:bottom w:val="single" w:sz="8" w:space="0" w:color="auto"/>
              <w:right w:val="nil"/>
            </w:tcBorders>
            <w:shd w:val="clear" w:color="000000" w:fill="D9D9D9"/>
            <w:noWrap/>
            <w:vAlign w:val="center"/>
            <w:hideMark/>
          </w:tcPr>
          <w:p w14:paraId="1602A809" w14:textId="77777777" w:rsidR="00596935" w:rsidRPr="00596935" w:rsidRDefault="00596935" w:rsidP="00596935">
            <w:pPr>
              <w:jc w:val="center"/>
              <w:rPr>
                <w:rFonts w:cs="Arial"/>
                <w:i/>
                <w:iCs/>
                <w:sz w:val="18"/>
                <w:szCs w:val="18"/>
                <w:lang w:val="de-AT" w:eastAsia="de-AT"/>
              </w:rPr>
            </w:pPr>
            <w:r w:rsidRPr="00596935">
              <w:rPr>
                <w:rFonts w:cs="Arial"/>
                <w:i/>
                <w:iCs/>
                <w:sz w:val="18"/>
                <w:szCs w:val="18"/>
                <w:lang w:val="de-AT" w:eastAsia="de-AT"/>
              </w:rPr>
              <w:t>mean [dB]</w:t>
            </w:r>
          </w:p>
        </w:tc>
        <w:tc>
          <w:tcPr>
            <w:tcW w:w="140" w:type="pct"/>
            <w:tcBorders>
              <w:top w:val="single" w:sz="8" w:space="0" w:color="auto"/>
              <w:left w:val="nil"/>
              <w:bottom w:val="single" w:sz="8" w:space="0" w:color="auto"/>
              <w:right w:val="nil"/>
            </w:tcBorders>
            <w:shd w:val="clear" w:color="000000" w:fill="D9D9D9"/>
            <w:noWrap/>
            <w:vAlign w:val="center"/>
            <w:hideMark/>
          </w:tcPr>
          <w:p w14:paraId="7EF529A6" w14:textId="77777777" w:rsidR="00596935" w:rsidRPr="00596935" w:rsidRDefault="00596935" w:rsidP="00596935">
            <w:pPr>
              <w:jc w:val="center"/>
              <w:rPr>
                <w:rFonts w:cs="Arial"/>
                <w:i/>
                <w:iCs/>
                <w:sz w:val="18"/>
                <w:szCs w:val="18"/>
                <w:lang w:val="de-AT" w:eastAsia="de-AT"/>
              </w:rPr>
            </w:pPr>
            <w:r w:rsidRPr="00596935">
              <w:rPr>
                <w:rFonts w:cs="Arial"/>
                <w:i/>
                <w:iCs/>
                <w:sz w:val="18"/>
                <w:szCs w:val="18"/>
                <w:lang w:val="de-AT" w:eastAsia="de-AT"/>
              </w:rPr>
              <w:t>sd</w:t>
            </w:r>
          </w:p>
        </w:tc>
        <w:tc>
          <w:tcPr>
            <w:tcW w:w="209" w:type="pct"/>
            <w:tcBorders>
              <w:top w:val="single" w:sz="8" w:space="0" w:color="auto"/>
              <w:left w:val="nil"/>
              <w:bottom w:val="single" w:sz="8" w:space="0" w:color="auto"/>
              <w:right w:val="single" w:sz="8" w:space="0" w:color="auto"/>
            </w:tcBorders>
            <w:shd w:val="clear" w:color="000000" w:fill="D9D9D9"/>
            <w:noWrap/>
            <w:vAlign w:val="center"/>
            <w:hideMark/>
          </w:tcPr>
          <w:p w14:paraId="1E4BB0FB" w14:textId="77777777" w:rsidR="00596935" w:rsidRPr="00596935" w:rsidRDefault="00596935" w:rsidP="00596935">
            <w:pPr>
              <w:jc w:val="center"/>
              <w:rPr>
                <w:rFonts w:cs="Arial"/>
                <w:i/>
                <w:iCs/>
                <w:color w:val="000000"/>
                <w:sz w:val="18"/>
                <w:szCs w:val="18"/>
                <w:lang w:val="de-AT" w:eastAsia="de-AT"/>
              </w:rPr>
            </w:pPr>
            <w:r w:rsidRPr="00596935">
              <w:rPr>
                <w:rFonts w:cs="Arial"/>
                <w:i/>
                <w:iCs/>
                <w:color w:val="000000"/>
                <w:sz w:val="18"/>
                <w:szCs w:val="18"/>
                <w:lang w:val="de-AT" w:eastAsia="de-AT"/>
              </w:rPr>
              <w:t>n</w:t>
            </w:r>
          </w:p>
        </w:tc>
        <w:tc>
          <w:tcPr>
            <w:tcW w:w="213" w:type="pct"/>
            <w:tcBorders>
              <w:top w:val="single" w:sz="8" w:space="0" w:color="auto"/>
              <w:left w:val="nil"/>
              <w:bottom w:val="single" w:sz="8" w:space="0" w:color="auto"/>
              <w:right w:val="nil"/>
            </w:tcBorders>
            <w:shd w:val="clear" w:color="000000" w:fill="D9D9D9"/>
            <w:noWrap/>
            <w:vAlign w:val="center"/>
            <w:hideMark/>
          </w:tcPr>
          <w:p w14:paraId="58D14168" w14:textId="77777777" w:rsidR="00596935" w:rsidRPr="00596935" w:rsidRDefault="00596935" w:rsidP="00596935">
            <w:pPr>
              <w:jc w:val="center"/>
              <w:rPr>
                <w:rFonts w:cs="Arial"/>
                <w:i/>
                <w:iCs/>
                <w:sz w:val="18"/>
                <w:szCs w:val="18"/>
                <w:lang w:val="de-AT" w:eastAsia="de-AT"/>
              </w:rPr>
            </w:pPr>
            <w:r w:rsidRPr="00596935">
              <w:rPr>
                <w:rFonts w:cs="Arial"/>
                <w:i/>
                <w:iCs/>
                <w:sz w:val="18"/>
                <w:szCs w:val="18"/>
                <w:lang w:val="de-AT" w:eastAsia="de-AT"/>
              </w:rPr>
              <w:t>mean [dB]</w:t>
            </w:r>
          </w:p>
        </w:tc>
        <w:tc>
          <w:tcPr>
            <w:tcW w:w="141" w:type="pct"/>
            <w:tcBorders>
              <w:top w:val="single" w:sz="8" w:space="0" w:color="auto"/>
              <w:left w:val="nil"/>
              <w:bottom w:val="single" w:sz="8" w:space="0" w:color="auto"/>
              <w:right w:val="nil"/>
            </w:tcBorders>
            <w:shd w:val="clear" w:color="000000" w:fill="D9D9D9"/>
            <w:noWrap/>
            <w:vAlign w:val="center"/>
            <w:hideMark/>
          </w:tcPr>
          <w:p w14:paraId="6EC723C5" w14:textId="77777777" w:rsidR="00596935" w:rsidRPr="00596935" w:rsidRDefault="00596935" w:rsidP="00596935">
            <w:pPr>
              <w:jc w:val="center"/>
              <w:rPr>
                <w:rFonts w:cs="Arial"/>
                <w:i/>
                <w:iCs/>
                <w:sz w:val="18"/>
                <w:szCs w:val="18"/>
                <w:lang w:val="de-AT" w:eastAsia="de-AT"/>
              </w:rPr>
            </w:pPr>
            <w:r w:rsidRPr="00596935">
              <w:rPr>
                <w:rFonts w:cs="Arial"/>
                <w:i/>
                <w:iCs/>
                <w:sz w:val="18"/>
                <w:szCs w:val="18"/>
                <w:lang w:val="de-AT" w:eastAsia="de-AT"/>
              </w:rPr>
              <w:t>sd</w:t>
            </w:r>
          </w:p>
        </w:tc>
        <w:tc>
          <w:tcPr>
            <w:tcW w:w="204" w:type="pct"/>
            <w:tcBorders>
              <w:top w:val="single" w:sz="8" w:space="0" w:color="auto"/>
              <w:left w:val="nil"/>
              <w:bottom w:val="single" w:sz="8" w:space="0" w:color="auto"/>
              <w:right w:val="single" w:sz="8" w:space="0" w:color="auto"/>
            </w:tcBorders>
            <w:shd w:val="clear" w:color="000000" w:fill="D9D9D9"/>
            <w:noWrap/>
            <w:vAlign w:val="center"/>
            <w:hideMark/>
          </w:tcPr>
          <w:p w14:paraId="68B43978" w14:textId="77777777" w:rsidR="00596935" w:rsidRPr="00596935" w:rsidRDefault="00596935" w:rsidP="00596935">
            <w:pPr>
              <w:jc w:val="center"/>
              <w:rPr>
                <w:rFonts w:cs="Arial"/>
                <w:i/>
                <w:iCs/>
                <w:color w:val="000000"/>
                <w:sz w:val="18"/>
                <w:szCs w:val="18"/>
                <w:lang w:val="de-AT" w:eastAsia="de-AT"/>
              </w:rPr>
            </w:pPr>
            <w:r w:rsidRPr="00596935">
              <w:rPr>
                <w:rFonts w:cs="Arial"/>
                <w:i/>
                <w:iCs/>
                <w:color w:val="000000"/>
                <w:sz w:val="18"/>
                <w:szCs w:val="18"/>
                <w:lang w:val="de-AT" w:eastAsia="de-AT"/>
              </w:rPr>
              <w:t>n</w:t>
            </w:r>
          </w:p>
        </w:tc>
        <w:tc>
          <w:tcPr>
            <w:tcW w:w="218" w:type="pct"/>
            <w:tcBorders>
              <w:top w:val="single" w:sz="8" w:space="0" w:color="auto"/>
              <w:left w:val="nil"/>
              <w:bottom w:val="single" w:sz="8" w:space="0" w:color="auto"/>
              <w:right w:val="nil"/>
            </w:tcBorders>
            <w:shd w:val="clear" w:color="000000" w:fill="D9D9D9"/>
            <w:noWrap/>
            <w:vAlign w:val="center"/>
            <w:hideMark/>
          </w:tcPr>
          <w:p w14:paraId="650DA900" w14:textId="77777777" w:rsidR="00596935" w:rsidRPr="00596935" w:rsidRDefault="00596935" w:rsidP="00596935">
            <w:pPr>
              <w:jc w:val="center"/>
              <w:rPr>
                <w:rFonts w:cs="Arial"/>
                <w:i/>
                <w:iCs/>
                <w:sz w:val="18"/>
                <w:szCs w:val="18"/>
                <w:lang w:val="de-AT" w:eastAsia="de-AT"/>
              </w:rPr>
            </w:pPr>
            <w:r w:rsidRPr="00596935">
              <w:rPr>
                <w:rFonts w:cs="Arial"/>
                <w:i/>
                <w:iCs/>
                <w:sz w:val="18"/>
                <w:szCs w:val="18"/>
                <w:lang w:val="de-AT" w:eastAsia="de-AT"/>
              </w:rPr>
              <w:t>mean [dB]</w:t>
            </w:r>
          </w:p>
        </w:tc>
        <w:tc>
          <w:tcPr>
            <w:tcW w:w="335" w:type="pct"/>
            <w:tcBorders>
              <w:top w:val="single" w:sz="8" w:space="0" w:color="auto"/>
              <w:left w:val="nil"/>
              <w:bottom w:val="single" w:sz="8" w:space="0" w:color="auto"/>
              <w:right w:val="nil"/>
            </w:tcBorders>
            <w:shd w:val="clear" w:color="000000" w:fill="D9D9D9"/>
            <w:noWrap/>
            <w:vAlign w:val="center"/>
            <w:hideMark/>
          </w:tcPr>
          <w:p w14:paraId="5819613B" w14:textId="77777777" w:rsidR="00596935" w:rsidRPr="00596935" w:rsidRDefault="00596935" w:rsidP="00596935">
            <w:pPr>
              <w:jc w:val="center"/>
              <w:rPr>
                <w:rFonts w:cs="Arial"/>
                <w:i/>
                <w:iCs/>
                <w:sz w:val="18"/>
                <w:szCs w:val="18"/>
                <w:lang w:val="de-AT" w:eastAsia="de-AT"/>
              </w:rPr>
            </w:pPr>
            <w:r w:rsidRPr="00596935">
              <w:rPr>
                <w:rFonts w:cs="Arial"/>
                <w:i/>
                <w:iCs/>
                <w:sz w:val="18"/>
                <w:szCs w:val="18"/>
                <w:lang w:val="de-AT" w:eastAsia="de-AT"/>
              </w:rPr>
              <w:t>sd</w:t>
            </w:r>
          </w:p>
        </w:tc>
        <w:tc>
          <w:tcPr>
            <w:tcW w:w="120" w:type="pct"/>
            <w:tcBorders>
              <w:top w:val="single" w:sz="8" w:space="0" w:color="auto"/>
              <w:left w:val="nil"/>
              <w:bottom w:val="single" w:sz="8" w:space="0" w:color="auto"/>
              <w:right w:val="single" w:sz="8" w:space="0" w:color="auto"/>
            </w:tcBorders>
            <w:shd w:val="clear" w:color="000000" w:fill="D9D9D9"/>
            <w:noWrap/>
            <w:vAlign w:val="center"/>
            <w:hideMark/>
          </w:tcPr>
          <w:p w14:paraId="60B3F46A" w14:textId="77777777" w:rsidR="00596935" w:rsidRPr="00596935" w:rsidRDefault="00596935" w:rsidP="00596935">
            <w:pPr>
              <w:jc w:val="center"/>
              <w:rPr>
                <w:rFonts w:cs="Arial"/>
                <w:i/>
                <w:iCs/>
                <w:color w:val="000000"/>
                <w:sz w:val="18"/>
                <w:szCs w:val="18"/>
                <w:lang w:val="de-AT" w:eastAsia="de-AT"/>
              </w:rPr>
            </w:pPr>
            <w:r w:rsidRPr="00596935">
              <w:rPr>
                <w:rFonts w:cs="Arial"/>
                <w:i/>
                <w:iCs/>
                <w:color w:val="000000"/>
                <w:sz w:val="18"/>
                <w:szCs w:val="18"/>
                <w:lang w:val="de-AT" w:eastAsia="de-AT"/>
              </w:rPr>
              <w:t>n</w:t>
            </w:r>
          </w:p>
        </w:tc>
        <w:tc>
          <w:tcPr>
            <w:tcW w:w="249" w:type="pct"/>
            <w:tcBorders>
              <w:top w:val="single" w:sz="8" w:space="0" w:color="auto"/>
              <w:left w:val="nil"/>
              <w:bottom w:val="single" w:sz="8" w:space="0" w:color="auto"/>
              <w:right w:val="nil"/>
            </w:tcBorders>
            <w:shd w:val="clear" w:color="000000" w:fill="D9D9D9"/>
            <w:noWrap/>
            <w:vAlign w:val="center"/>
            <w:hideMark/>
          </w:tcPr>
          <w:p w14:paraId="72B47A7E" w14:textId="77777777" w:rsidR="00596935" w:rsidRPr="00596935" w:rsidRDefault="00596935" w:rsidP="00596935">
            <w:pPr>
              <w:jc w:val="center"/>
              <w:rPr>
                <w:rFonts w:cs="Arial"/>
                <w:i/>
                <w:iCs/>
                <w:sz w:val="18"/>
                <w:szCs w:val="18"/>
                <w:lang w:val="de-AT" w:eastAsia="de-AT"/>
              </w:rPr>
            </w:pPr>
            <w:r w:rsidRPr="00596935">
              <w:rPr>
                <w:rFonts w:cs="Arial"/>
                <w:i/>
                <w:iCs/>
                <w:sz w:val="18"/>
                <w:szCs w:val="18"/>
                <w:lang w:val="de-AT" w:eastAsia="de-AT"/>
              </w:rPr>
              <w:t>mean [dB]</w:t>
            </w:r>
          </w:p>
        </w:tc>
        <w:tc>
          <w:tcPr>
            <w:tcW w:w="141" w:type="pct"/>
            <w:tcBorders>
              <w:top w:val="single" w:sz="8" w:space="0" w:color="auto"/>
              <w:left w:val="nil"/>
              <w:bottom w:val="single" w:sz="8" w:space="0" w:color="auto"/>
              <w:right w:val="nil"/>
            </w:tcBorders>
            <w:shd w:val="clear" w:color="000000" w:fill="D9D9D9"/>
            <w:noWrap/>
            <w:vAlign w:val="center"/>
            <w:hideMark/>
          </w:tcPr>
          <w:p w14:paraId="10CC3ADF" w14:textId="77777777" w:rsidR="00596935" w:rsidRPr="00596935" w:rsidRDefault="00596935" w:rsidP="00596935">
            <w:pPr>
              <w:jc w:val="center"/>
              <w:rPr>
                <w:rFonts w:cs="Arial"/>
                <w:i/>
                <w:iCs/>
                <w:sz w:val="18"/>
                <w:szCs w:val="18"/>
                <w:lang w:val="de-AT" w:eastAsia="de-AT"/>
              </w:rPr>
            </w:pPr>
            <w:r w:rsidRPr="00596935">
              <w:rPr>
                <w:rFonts w:cs="Arial"/>
                <w:i/>
                <w:iCs/>
                <w:sz w:val="18"/>
                <w:szCs w:val="18"/>
                <w:lang w:val="de-AT" w:eastAsia="de-AT"/>
              </w:rPr>
              <w:t>sd</w:t>
            </w:r>
          </w:p>
        </w:tc>
        <w:tc>
          <w:tcPr>
            <w:tcW w:w="207" w:type="pct"/>
            <w:tcBorders>
              <w:top w:val="single" w:sz="8" w:space="0" w:color="auto"/>
              <w:left w:val="nil"/>
              <w:bottom w:val="single" w:sz="8" w:space="0" w:color="auto"/>
              <w:right w:val="single" w:sz="8" w:space="0" w:color="auto"/>
            </w:tcBorders>
            <w:shd w:val="clear" w:color="000000" w:fill="D9D9D9"/>
            <w:noWrap/>
            <w:vAlign w:val="center"/>
            <w:hideMark/>
          </w:tcPr>
          <w:p w14:paraId="05FB43AC" w14:textId="77777777" w:rsidR="00596935" w:rsidRPr="00596935" w:rsidRDefault="00596935" w:rsidP="00596935">
            <w:pPr>
              <w:jc w:val="center"/>
              <w:rPr>
                <w:rFonts w:cs="Arial"/>
                <w:i/>
                <w:iCs/>
                <w:color w:val="000000"/>
                <w:sz w:val="18"/>
                <w:szCs w:val="18"/>
                <w:lang w:val="de-AT" w:eastAsia="de-AT"/>
              </w:rPr>
            </w:pPr>
            <w:r w:rsidRPr="00596935">
              <w:rPr>
                <w:rFonts w:cs="Arial"/>
                <w:i/>
                <w:iCs/>
                <w:color w:val="000000"/>
                <w:sz w:val="18"/>
                <w:szCs w:val="18"/>
                <w:lang w:val="de-AT" w:eastAsia="de-AT"/>
              </w:rPr>
              <w:t>n</w:t>
            </w:r>
          </w:p>
        </w:tc>
        <w:tc>
          <w:tcPr>
            <w:tcW w:w="216" w:type="pct"/>
            <w:tcBorders>
              <w:top w:val="single" w:sz="8" w:space="0" w:color="auto"/>
              <w:left w:val="nil"/>
              <w:bottom w:val="single" w:sz="8" w:space="0" w:color="auto"/>
              <w:right w:val="nil"/>
            </w:tcBorders>
            <w:shd w:val="clear" w:color="000000" w:fill="D9D9D9"/>
            <w:noWrap/>
            <w:vAlign w:val="center"/>
            <w:hideMark/>
          </w:tcPr>
          <w:p w14:paraId="135FDBFA" w14:textId="77777777" w:rsidR="00596935" w:rsidRPr="00596935" w:rsidRDefault="00596935" w:rsidP="00596935">
            <w:pPr>
              <w:jc w:val="center"/>
              <w:rPr>
                <w:rFonts w:cs="Arial"/>
                <w:i/>
                <w:iCs/>
                <w:sz w:val="18"/>
                <w:szCs w:val="18"/>
                <w:lang w:val="de-AT" w:eastAsia="de-AT"/>
              </w:rPr>
            </w:pPr>
            <w:r w:rsidRPr="00596935">
              <w:rPr>
                <w:rFonts w:cs="Arial"/>
                <w:i/>
                <w:iCs/>
                <w:sz w:val="18"/>
                <w:szCs w:val="18"/>
                <w:lang w:val="de-AT" w:eastAsia="de-AT"/>
              </w:rPr>
              <w:t>mean [dB]</w:t>
            </w:r>
          </w:p>
        </w:tc>
        <w:tc>
          <w:tcPr>
            <w:tcW w:w="140" w:type="pct"/>
            <w:tcBorders>
              <w:top w:val="single" w:sz="8" w:space="0" w:color="auto"/>
              <w:left w:val="nil"/>
              <w:bottom w:val="single" w:sz="8" w:space="0" w:color="auto"/>
              <w:right w:val="nil"/>
            </w:tcBorders>
            <w:shd w:val="clear" w:color="000000" w:fill="D9D9D9"/>
            <w:noWrap/>
            <w:vAlign w:val="center"/>
            <w:hideMark/>
          </w:tcPr>
          <w:p w14:paraId="5F86CC07" w14:textId="77777777" w:rsidR="00596935" w:rsidRPr="00596935" w:rsidRDefault="00596935" w:rsidP="00596935">
            <w:pPr>
              <w:jc w:val="center"/>
              <w:rPr>
                <w:rFonts w:cs="Arial"/>
                <w:i/>
                <w:iCs/>
                <w:sz w:val="18"/>
                <w:szCs w:val="18"/>
                <w:lang w:val="de-AT" w:eastAsia="de-AT"/>
              </w:rPr>
            </w:pPr>
            <w:r w:rsidRPr="00596935">
              <w:rPr>
                <w:rFonts w:cs="Arial"/>
                <w:i/>
                <w:iCs/>
                <w:sz w:val="18"/>
                <w:szCs w:val="18"/>
                <w:lang w:val="de-AT" w:eastAsia="de-AT"/>
              </w:rPr>
              <w:t>sd</w:t>
            </w:r>
          </w:p>
        </w:tc>
        <w:tc>
          <w:tcPr>
            <w:tcW w:w="238" w:type="pct"/>
            <w:tcBorders>
              <w:top w:val="single" w:sz="8" w:space="0" w:color="auto"/>
              <w:left w:val="nil"/>
              <w:bottom w:val="single" w:sz="8" w:space="0" w:color="auto"/>
              <w:right w:val="single" w:sz="8" w:space="0" w:color="auto"/>
            </w:tcBorders>
            <w:shd w:val="clear" w:color="000000" w:fill="D9D9D9"/>
            <w:noWrap/>
            <w:vAlign w:val="center"/>
            <w:hideMark/>
          </w:tcPr>
          <w:p w14:paraId="514E09F3" w14:textId="77777777" w:rsidR="00596935" w:rsidRPr="00596935" w:rsidRDefault="00596935" w:rsidP="00596935">
            <w:pPr>
              <w:jc w:val="center"/>
              <w:rPr>
                <w:rFonts w:cs="Arial"/>
                <w:i/>
                <w:iCs/>
                <w:color w:val="000000"/>
                <w:sz w:val="18"/>
                <w:szCs w:val="18"/>
                <w:lang w:val="de-AT" w:eastAsia="de-AT"/>
              </w:rPr>
            </w:pPr>
            <w:r w:rsidRPr="00596935">
              <w:rPr>
                <w:rFonts w:cs="Arial"/>
                <w:i/>
                <w:iCs/>
                <w:color w:val="000000"/>
                <w:sz w:val="18"/>
                <w:szCs w:val="18"/>
                <w:lang w:val="de-AT" w:eastAsia="de-AT"/>
              </w:rPr>
              <w:t>n</w:t>
            </w:r>
          </w:p>
        </w:tc>
      </w:tr>
      <w:tr w:rsidR="00596935" w:rsidRPr="00596935" w14:paraId="2E676B4C" w14:textId="77777777" w:rsidTr="00596935">
        <w:trPr>
          <w:trHeight w:val="525"/>
        </w:trPr>
        <w:tc>
          <w:tcPr>
            <w:tcW w:w="352" w:type="pct"/>
            <w:tcBorders>
              <w:top w:val="nil"/>
              <w:left w:val="single" w:sz="8" w:space="0" w:color="auto"/>
              <w:bottom w:val="single" w:sz="8" w:space="0" w:color="auto"/>
              <w:right w:val="nil"/>
            </w:tcBorders>
            <w:shd w:val="clear" w:color="auto" w:fill="auto"/>
            <w:vAlign w:val="bottom"/>
            <w:hideMark/>
          </w:tcPr>
          <w:p w14:paraId="76BC8CC6" w14:textId="77777777" w:rsidR="00596935" w:rsidRPr="00596935" w:rsidRDefault="00596935" w:rsidP="00596935">
            <w:pPr>
              <w:rPr>
                <w:rFonts w:cs="Arial"/>
                <w:color w:val="000000"/>
                <w:sz w:val="18"/>
                <w:szCs w:val="18"/>
                <w:lang w:val="de-AT" w:eastAsia="de-AT"/>
              </w:rPr>
            </w:pPr>
            <w:r w:rsidRPr="00596935">
              <w:rPr>
                <w:rFonts w:cs="Arial"/>
                <w:color w:val="000000"/>
                <w:sz w:val="18"/>
                <w:szCs w:val="18"/>
                <w:lang w:val="de-AT" w:eastAsia="de-AT"/>
              </w:rPr>
              <w:t>Barbara et al. 2011</w:t>
            </w:r>
          </w:p>
        </w:tc>
        <w:tc>
          <w:tcPr>
            <w:tcW w:w="352" w:type="pct"/>
            <w:tcBorders>
              <w:top w:val="nil"/>
              <w:left w:val="single" w:sz="4" w:space="0" w:color="auto"/>
              <w:bottom w:val="single" w:sz="4" w:space="0" w:color="auto"/>
              <w:right w:val="nil"/>
            </w:tcBorders>
            <w:shd w:val="clear" w:color="auto" w:fill="auto"/>
            <w:vAlign w:val="bottom"/>
            <w:hideMark/>
          </w:tcPr>
          <w:p w14:paraId="3A717BFF"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unknown</w:t>
            </w:r>
          </w:p>
        </w:tc>
        <w:tc>
          <w:tcPr>
            <w:tcW w:w="258" w:type="pct"/>
            <w:tcBorders>
              <w:top w:val="nil"/>
              <w:left w:val="single" w:sz="8" w:space="0" w:color="auto"/>
              <w:bottom w:val="single" w:sz="4" w:space="0" w:color="auto"/>
              <w:right w:val="single" w:sz="4" w:space="0" w:color="auto"/>
            </w:tcBorders>
            <w:shd w:val="clear" w:color="auto" w:fill="auto"/>
            <w:noWrap/>
            <w:vAlign w:val="bottom"/>
            <w:hideMark/>
          </w:tcPr>
          <w:p w14:paraId="2EAEA70D"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36</w:t>
            </w:r>
          </w:p>
        </w:tc>
        <w:tc>
          <w:tcPr>
            <w:tcW w:w="313" w:type="pct"/>
            <w:tcBorders>
              <w:top w:val="nil"/>
              <w:left w:val="nil"/>
              <w:bottom w:val="single" w:sz="4" w:space="0" w:color="auto"/>
              <w:right w:val="single" w:sz="4" w:space="0" w:color="auto"/>
            </w:tcBorders>
            <w:shd w:val="clear" w:color="auto" w:fill="auto"/>
            <w:noWrap/>
            <w:vAlign w:val="bottom"/>
            <w:hideMark/>
          </w:tcPr>
          <w:p w14:paraId="7D4B6726"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xml:space="preserve"> -</w:t>
            </w:r>
          </w:p>
        </w:tc>
        <w:tc>
          <w:tcPr>
            <w:tcW w:w="120" w:type="pct"/>
            <w:tcBorders>
              <w:top w:val="nil"/>
              <w:left w:val="nil"/>
              <w:bottom w:val="single" w:sz="4" w:space="0" w:color="auto"/>
              <w:right w:val="single" w:sz="8" w:space="0" w:color="auto"/>
            </w:tcBorders>
            <w:shd w:val="clear" w:color="auto" w:fill="auto"/>
            <w:noWrap/>
            <w:vAlign w:val="bottom"/>
            <w:hideMark/>
          </w:tcPr>
          <w:p w14:paraId="50C11D4E"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18</w:t>
            </w:r>
          </w:p>
        </w:tc>
        <w:tc>
          <w:tcPr>
            <w:tcW w:w="224" w:type="pct"/>
            <w:tcBorders>
              <w:top w:val="nil"/>
              <w:left w:val="single" w:sz="4" w:space="0" w:color="auto"/>
              <w:bottom w:val="single" w:sz="4" w:space="0" w:color="auto"/>
              <w:right w:val="single" w:sz="4" w:space="0" w:color="auto"/>
            </w:tcBorders>
            <w:shd w:val="clear" w:color="auto" w:fill="auto"/>
            <w:noWrap/>
            <w:vAlign w:val="bottom"/>
            <w:hideMark/>
          </w:tcPr>
          <w:p w14:paraId="1B8E26F5"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76</w:t>
            </w:r>
          </w:p>
        </w:tc>
        <w:tc>
          <w:tcPr>
            <w:tcW w:w="244" w:type="pct"/>
            <w:tcBorders>
              <w:top w:val="nil"/>
              <w:left w:val="nil"/>
              <w:bottom w:val="single" w:sz="4" w:space="0" w:color="auto"/>
              <w:right w:val="single" w:sz="4" w:space="0" w:color="auto"/>
            </w:tcBorders>
            <w:shd w:val="clear" w:color="auto" w:fill="auto"/>
            <w:noWrap/>
            <w:vAlign w:val="bottom"/>
            <w:hideMark/>
          </w:tcPr>
          <w:p w14:paraId="377954E1"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120" w:type="pct"/>
            <w:tcBorders>
              <w:top w:val="nil"/>
              <w:left w:val="nil"/>
              <w:bottom w:val="single" w:sz="4" w:space="0" w:color="auto"/>
              <w:right w:val="single" w:sz="8" w:space="0" w:color="auto"/>
            </w:tcBorders>
            <w:shd w:val="clear" w:color="auto" w:fill="auto"/>
            <w:noWrap/>
            <w:vAlign w:val="bottom"/>
            <w:hideMark/>
          </w:tcPr>
          <w:p w14:paraId="44BA0757"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18</w:t>
            </w:r>
          </w:p>
        </w:tc>
        <w:tc>
          <w:tcPr>
            <w:tcW w:w="246" w:type="pct"/>
            <w:tcBorders>
              <w:top w:val="nil"/>
              <w:left w:val="nil"/>
              <w:bottom w:val="single" w:sz="4" w:space="0" w:color="auto"/>
              <w:right w:val="single" w:sz="4" w:space="0" w:color="auto"/>
            </w:tcBorders>
            <w:shd w:val="clear" w:color="auto" w:fill="auto"/>
            <w:noWrap/>
            <w:vAlign w:val="bottom"/>
            <w:hideMark/>
          </w:tcPr>
          <w:p w14:paraId="2FB87903"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140" w:type="pct"/>
            <w:vMerge w:val="restart"/>
            <w:tcBorders>
              <w:top w:val="nil"/>
              <w:left w:val="single" w:sz="4" w:space="0" w:color="auto"/>
              <w:bottom w:val="single" w:sz="8" w:space="0" w:color="000000"/>
              <w:right w:val="single" w:sz="4" w:space="0" w:color="auto"/>
            </w:tcBorders>
            <w:shd w:val="clear" w:color="auto" w:fill="auto"/>
            <w:noWrap/>
            <w:textDirection w:val="btLr"/>
            <w:vAlign w:val="center"/>
            <w:hideMark/>
          </w:tcPr>
          <w:p w14:paraId="53072ADA"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no information</w:t>
            </w:r>
          </w:p>
        </w:tc>
        <w:tc>
          <w:tcPr>
            <w:tcW w:w="209" w:type="pct"/>
            <w:tcBorders>
              <w:top w:val="nil"/>
              <w:left w:val="nil"/>
              <w:bottom w:val="single" w:sz="4" w:space="0" w:color="auto"/>
              <w:right w:val="single" w:sz="8" w:space="0" w:color="auto"/>
            </w:tcBorders>
            <w:shd w:val="clear" w:color="auto" w:fill="auto"/>
            <w:noWrap/>
            <w:vAlign w:val="bottom"/>
            <w:hideMark/>
          </w:tcPr>
          <w:p w14:paraId="5503C0F7"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13" w:type="pct"/>
            <w:tcBorders>
              <w:top w:val="nil"/>
              <w:left w:val="nil"/>
              <w:bottom w:val="single" w:sz="4" w:space="0" w:color="auto"/>
              <w:right w:val="single" w:sz="4" w:space="0" w:color="auto"/>
            </w:tcBorders>
            <w:shd w:val="clear" w:color="auto" w:fill="auto"/>
            <w:noWrap/>
            <w:vAlign w:val="bottom"/>
            <w:hideMark/>
          </w:tcPr>
          <w:p w14:paraId="0C0EA06C"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141" w:type="pct"/>
            <w:vMerge w:val="restart"/>
            <w:tcBorders>
              <w:top w:val="nil"/>
              <w:left w:val="single" w:sz="4" w:space="0" w:color="auto"/>
              <w:bottom w:val="single" w:sz="8" w:space="0" w:color="000000"/>
              <w:right w:val="single" w:sz="4" w:space="0" w:color="auto"/>
            </w:tcBorders>
            <w:shd w:val="clear" w:color="auto" w:fill="auto"/>
            <w:noWrap/>
            <w:textDirection w:val="btLr"/>
            <w:vAlign w:val="center"/>
            <w:hideMark/>
          </w:tcPr>
          <w:p w14:paraId="282CF6CC"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no information</w:t>
            </w:r>
          </w:p>
        </w:tc>
        <w:tc>
          <w:tcPr>
            <w:tcW w:w="204" w:type="pct"/>
            <w:tcBorders>
              <w:top w:val="nil"/>
              <w:left w:val="nil"/>
              <w:bottom w:val="single" w:sz="4" w:space="0" w:color="auto"/>
              <w:right w:val="single" w:sz="8" w:space="0" w:color="auto"/>
            </w:tcBorders>
            <w:shd w:val="clear" w:color="auto" w:fill="auto"/>
            <w:noWrap/>
            <w:vAlign w:val="bottom"/>
            <w:hideMark/>
          </w:tcPr>
          <w:p w14:paraId="6004C65A"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18" w:type="pct"/>
            <w:tcBorders>
              <w:top w:val="nil"/>
              <w:left w:val="nil"/>
              <w:bottom w:val="single" w:sz="4" w:space="0" w:color="auto"/>
              <w:right w:val="single" w:sz="4" w:space="0" w:color="auto"/>
            </w:tcBorders>
            <w:shd w:val="clear" w:color="auto" w:fill="auto"/>
            <w:noWrap/>
            <w:vAlign w:val="bottom"/>
            <w:hideMark/>
          </w:tcPr>
          <w:p w14:paraId="323A4728"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335" w:type="pct"/>
            <w:tcBorders>
              <w:top w:val="nil"/>
              <w:left w:val="nil"/>
              <w:bottom w:val="single" w:sz="4" w:space="0" w:color="auto"/>
              <w:right w:val="single" w:sz="4" w:space="0" w:color="auto"/>
            </w:tcBorders>
            <w:shd w:val="clear" w:color="auto" w:fill="auto"/>
            <w:noWrap/>
            <w:vAlign w:val="bottom"/>
            <w:hideMark/>
          </w:tcPr>
          <w:p w14:paraId="00C8A8EB"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120" w:type="pct"/>
            <w:tcBorders>
              <w:top w:val="nil"/>
              <w:left w:val="nil"/>
              <w:bottom w:val="single" w:sz="4" w:space="0" w:color="auto"/>
              <w:right w:val="single" w:sz="8" w:space="0" w:color="auto"/>
            </w:tcBorders>
            <w:shd w:val="clear" w:color="auto" w:fill="auto"/>
            <w:noWrap/>
            <w:vAlign w:val="bottom"/>
            <w:hideMark/>
          </w:tcPr>
          <w:p w14:paraId="2D04FB9D"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49" w:type="pct"/>
            <w:tcBorders>
              <w:top w:val="nil"/>
              <w:left w:val="nil"/>
              <w:bottom w:val="single" w:sz="4" w:space="0" w:color="auto"/>
              <w:right w:val="single" w:sz="4" w:space="0" w:color="auto"/>
            </w:tcBorders>
            <w:shd w:val="clear" w:color="auto" w:fill="auto"/>
            <w:noWrap/>
            <w:vAlign w:val="bottom"/>
            <w:hideMark/>
          </w:tcPr>
          <w:p w14:paraId="33359160"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141" w:type="pct"/>
            <w:vMerge w:val="restart"/>
            <w:tcBorders>
              <w:top w:val="nil"/>
              <w:left w:val="single" w:sz="4" w:space="0" w:color="auto"/>
              <w:bottom w:val="single" w:sz="8" w:space="0" w:color="000000"/>
              <w:right w:val="single" w:sz="4" w:space="0" w:color="auto"/>
            </w:tcBorders>
            <w:shd w:val="clear" w:color="auto" w:fill="auto"/>
            <w:noWrap/>
            <w:textDirection w:val="btLr"/>
            <w:vAlign w:val="center"/>
            <w:hideMark/>
          </w:tcPr>
          <w:p w14:paraId="2916DEF7"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no information</w:t>
            </w:r>
          </w:p>
        </w:tc>
        <w:tc>
          <w:tcPr>
            <w:tcW w:w="207" w:type="pct"/>
            <w:tcBorders>
              <w:top w:val="nil"/>
              <w:left w:val="nil"/>
              <w:bottom w:val="single" w:sz="4" w:space="0" w:color="auto"/>
              <w:right w:val="single" w:sz="8" w:space="0" w:color="auto"/>
            </w:tcBorders>
            <w:shd w:val="clear" w:color="auto" w:fill="auto"/>
            <w:noWrap/>
            <w:vAlign w:val="bottom"/>
            <w:hideMark/>
          </w:tcPr>
          <w:p w14:paraId="6D7465B5"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16" w:type="pct"/>
            <w:tcBorders>
              <w:top w:val="nil"/>
              <w:left w:val="nil"/>
              <w:bottom w:val="single" w:sz="4" w:space="0" w:color="auto"/>
              <w:right w:val="single" w:sz="4" w:space="0" w:color="auto"/>
            </w:tcBorders>
            <w:shd w:val="clear" w:color="auto" w:fill="auto"/>
            <w:noWrap/>
            <w:vAlign w:val="bottom"/>
            <w:hideMark/>
          </w:tcPr>
          <w:p w14:paraId="256ECD40"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140" w:type="pct"/>
            <w:vMerge w:val="restart"/>
            <w:tcBorders>
              <w:top w:val="nil"/>
              <w:left w:val="single" w:sz="4" w:space="0" w:color="auto"/>
              <w:bottom w:val="single" w:sz="8" w:space="0" w:color="000000"/>
              <w:right w:val="single" w:sz="4" w:space="0" w:color="auto"/>
            </w:tcBorders>
            <w:shd w:val="clear" w:color="auto" w:fill="auto"/>
            <w:noWrap/>
            <w:textDirection w:val="btLr"/>
            <w:vAlign w:val="center"/>
            <w:hideMark/>
          </w:tcPr>
          <w:p w14:paraId="26C4CF1E"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no information</w:t>
            </w:r>
          </w:p>
        </w:tc>
        <w:tc>
          <w:tcPr>
            <w:tcW w:w="238" w:type="pct"/>
            <w:tcBorders>
              <w:top w:val="nil"/>
              <w:left w:val="nil"/>
              <w:bottom w:val="single" w:sz="4" w:space="0" w:color="auto"/>
              <w:right w:val="single" w:sz="8" w:space="0" w:color="auto"/>
            </w:tcBorders>
            <w:shd w:val="clear" w:color="auto" w:fill="auto"/>
            <w:noWrap/>
            <w:vAlign w:val="bottom"/>
            <w:hideMark/>
          </w:tcPr>
          <w:p w14:paraId="674A7495"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r>
      <w:tr w:rsidR="00596935" w:rsidRPr="00596935" w14:paraId="7A74DDFA" w14:textId="77777777" w:rsidTr="00596935">
        <w:trPr>
          <w:trHeight w:val="525"/>
        </w:trPr>
        <w:tc>
          <w:tcPr>
            <w:tcW w:w="352" w:type="pct"/>
            <w:tcBorders>
              <w:top w:val="nil"/>
              <w:left w:val="single" w:sz="8" w:space="0" w:color="auto"/>
              <w:bottom w:val="single" w:sz="8" w:space="0" w:color="auto"/>
              <w:right w:val="nil"/>
            </w:tcBorders>
            <w:shd w:val="clear" w:color="auto" w:fill="auto"/>
            <w:vAlign w:val="bottom"/>
            <w:hideMark/>
          </w:tcPr>
          <w:p w14:paraId="508BFD0E" w14:textId="77777777" w:rsidR="00596935" w:rsidRPr="00596935" w:rsidRDefault="00596935" w:rsidP="00596935">
            <w:pPr>
              <w:rPr>
                <w:rFonts w:cs="Arial"/>
                <w:color w:val="000000"/>
                <w:sz w:val="18"/>
                <w:szCs w:val="18"/>
                <w:lang w:val="de-AT" w:eastAsia="de-AT"/>
              </w:rPr>
            </w:pPr>
            <w:r w:rsidRPr="00596935">
              <w:rPr>
                <w:rFonts w:cs="Arial"/>
                <w:color w:val="000000"/>
                <w:sz w:val="18"/>
                <w:szCs w:val="18"/>
                <w:lang w:val="de-AT" w:eastAsia="de-AT"/>
              </w:rPr>
              <w:t xml:space="preserve">Chen et al. 2004 </w:t>
            </w:r>
          </w:p>
        </w:tc>
        <w:tc>
          <w:tcPr>
            <w:tcW w:w="352" w:type="pct"/>
            <w:tcBorders>
              <w:top w:val="nil"/>
              <w:left w:val="single" w:sz="4" w:space="0" w:color="auto"/>
              <w:bottom w:val="single" w:sz="4" w:space="0" w:color="auto"/>
              <w:right w:val="nil"/>
            </w:tcBorders>
            <w:shd w:val="clear" w:color="auto" w:fill="auto"/>
            <w:vAlign w:val="bottom"/>
            <w:hideMark/>
          </w:tcPr>
          <w:p w14:paraId="2577CFA3"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 xml:space="preserve">CID  W-22 </w:t>
            </w:r>
          </w:p>
        </w:tc>
        <w:tc>
          <w:tcPr>
            <w:tcW w:w="258" w:type="pct"/>
            <w:tcBorders>
              <w:top w:val="nil"/>
              <w:left w:val="single" w:sz="8" w:space="0" w:color="auto"/>
              <w:bottom w:val="single" w:sz="4" w:space="0" w:color="auto"/>
              <w:right w:val="single" w:sz="4" w:space="0" w:color="auto"/>
            </w:tcBorders>
            <w:shd w:val="clear" w:color="auto" w:fill="auto"/>
            <w:noWrap/>
            <w:vAlign w:val="bottom"/>
            <w:hideMark/>
          </w:tcPr>
          <w:p w14:paraId="006579FC"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21</w:t>
            </w:r>
          </w:p>
        </w:tc>
        <w:tc>
          <w:tcPr>
            <w:tcW w:w="313" w:type="pct"/>
            <w:tcBorders>
              <w:top w:val="nil"/>
              <w:left w:val="nil"/>
              <w:bottom w:val="single" w:sz="4" w:space="0" w:color="auto"/>
              <w:right w:val="single" w:sz="4" w:space="0" w:color="auto"/>
            </w:tcBorders>
            <w:shd w:val="clear" w:color="auto" w:fill="auto"/>
            <w:noWrap/>
            <w:vAlign w:val="bottom"/>
            <w:hideMark/>
          </w:tcPr>
          <w:p w14:paraId="50055CE3"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xml:space="preserve"> -</w:t>
            </w:r>
          </w:p>
        </w:tc>
        <w:tc>
          <w:tcPr>
            <w:tcW w:w="120" w:type="pct"/>
            <w:tcBorders>
              <w:top w:val="nil"/>
              <w:left w:val="nil"/>
              <w:bottom w:val="single" w:sz="4" w:space="0" w:color="auto"/>
              <w:right w:val="single" w:sz="8" w:space="0" w:color="auto"/>
            </w:tcBorders>
            <w:shd w:val="clear" w:color="auto" w:fill="auto"/>
            <w:noWrap/>
            <w:vAlign w:val="bottom"/>
            <w:hideMark/>
          </w:tcPr>
          <w:p w14:paraId="78C94DF9"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5</w:t>
            </w:r>
          </w:p>
        </w:tc>
        <w:tc>
          <w:tcPr>
            <w:tcW w:w="2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C14C0E"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44" w:type="pct"/>
            <w:tcBorders>
              <w:top w:val="nil"/>
              <w:left w:val="nil"/>
              <w:bottom w:val="single" w:sz="4" w:space="0" w:color="auto"/>
              <w:right w:val="single" w:sz="4" w:space="0" w:color="auto"/>
            </w:tcBorders>
            <w:shd w:val="clear" w:color="auto" w:fill="auto"/>
            <w:noWrap/>
            <w:vAlign w:val="bottom"/>
            <w:hideMark/>
          </w:tcPr>
          <w:p w14:paraId="5B8FA600"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120" w:type="pct"/>
            <w:tcBorders>
              <w:top w:val="nil"/>
              <w:left w:val="nil"/>
              <w:bottom w:val="single" w:sz="4" w:space="0" w:color="auto"/>
              <w:right w:val="single" w:sz="8" w:space="0" w:color="auto"/>
            </w:tcBorders>
            <w:shd w:val="clear" w:color="auto" w:fill="auto"/>
            <w:noWrap/>
            <w:vAlign w:val="bottom"/>
            <w:hideMark/>
          </w:tcPr>
          <w:p w14:paraId="30E043F0"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46" w:type="pct"/>
            <w:tcBorders>
              <w:top w:val="nil"/>
              <w:left w:val="nil"/>
              <w:bottom w:val="single" w:sz="4" w:space="0" w:color="auto"/>
              <w:right w:val="single" w:sz="4" w:space="0" w:color="auto"/>
            </w:tcBorders>
            <w:shd w:val="clear" w:color="auto" w:fill="auto"/>
            <w:noWrap/>
            <w:vAlign w:val="bottom"/>
            <w:hideMark/>
          </w:tcPr>
          <w:p w14:paraId="269B2448"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56</w:t>
            </w:r>
          </w:p>
        </w:tc>
        <w:tc>
          <w:tcPr>
            <w:tcW w:w="140" w:type="pct"/>
            <w:vMerge/>
            <w:tcBorders>
              <w:top w:val="nil"/>
              <w:left w:val="single" w:sz="4" w:space="0" w:color="auto"/>
              <w:bottom w:val="single" w:sz="8" w:space="0" w:color="000000"/>
              <w:right w:val="single" w:sz="4" w:space="0" w:color="auto"/>
            </w:tcBorders>
            <w:vAlign w:val="center"/>
            <w:hideMark/>
          </w:tcPr>
          <w:p w14:paraId="28CBACAF" w14:textId="77777777" w:rsidR="00596935" w:rsidRPr="00596935" w:rsidRDefault="00596935" w:rsidP="00596935">
            <w:pPr>
              <w:rPr>
                <w:rFonts w:cs="Arial"/>
                <w:color w:val="000000"/>
                <w:sz w:val="18"/>
                <w:szCs w:val="18"/>
                <w:lang w:val="de-AT" w:eastAsia="de-AT"/>
              </w:rPr>
            </w:pPr>
          </w:p>
        </w:tc>
        <w:tc>
          <w:tcPr>
            <w:tcW w:w="209" w:type="pct"/>
            <w:tcBorders>
              <w:top w:val="nil"/>
              <w:left w:val="nil"/>
              <w:bottom w:val="single" w:sz="4" w:space="0" w:color="auto"/>
              <w:right w:val="single" w:sz="8" w:space="0" w:color="auto"/>
            </w:tcBorders>
            <w:shd w:val="clear" w:color="auto" w:fill="auto"/>
            <w:noWrap/>
            <w:vAlign w:val="bottom"/>
            <w:hideMark/>
          </w:tcPr>
          <w:p w14:paraId="28AC76D7"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5</w:t>
            </w:r>
          </w:p>
        </w:tc>
        <w:tc>
          <w:tcPr>
            <w:tcW w:w="213" w:type="pct"/>
            <w:tcBorders>
              <w:top w:val="nil"/>
              <w:left w:val="nil"/>
              <w:bottom w:val="single" w:sz="4" w:space="0" w:color="auto"/>
              <w:right w:val="single" w:sz="4" w:space="0" w:color="auto"/>
            </w:tcBorders>
            <w:shd w:val="clear" w:color="auto" w:fill="auto"/>
            <w:noWrap/>
            <w:vAlign w:val="bottom"/>
            <w:hideMark/>
          </w:tcPr>
          <w:p w14:paraId="7B57D198"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47</w:t>
            </w:r>
          </w:p>
        </w:tc>
        <w:tc>
          <w:tcPr>
            <w:tcW w:w="141" w:type="pct"/>
            <w:vMerge/>
            <w:tcBorders>
              <w:top w:val="nil"/>
              <w:left w:val="single" w:sz="4" w:space="0" w:color="auto"/>
              <w:bottom w:val="single" w:sz="8" w:space="0" w:color="000000"/>
              <w:right w:val="single" w:sz="4" w:space="0" w:color="auto"/>
            </w:tcBorders>
            <w:vAlign w:val="center"/>
            <w:hideMark/>
          </w:tcPr>
          <w:p w14:paraId="7310BCF6" w14:textId="77777777" w:rsidR="00596935" w:rsidRPr="00596935" w:rsidRDefault="00596935" w:rsidP="00596935">
            <w:pPr>
              <w:rPr>
                <w:rFonts w:cs="Arial"/>
                <w:sz w:val="18"/>
                <w:szCs w:val="18"/>
                <w:lang w:val="de-AT" w:eastAsia="de-AT"/>
              </w:rPr>
            </w:pPr>
          </w:p>
        </w:tc>
        <w:tc>
          <w:tcPr>
            <w:tcW w:w="204" w:type="pct"/>
            <w:tcBorders>
              <w:top w:val="nil"/>
              <w:left w:val="nil"/>
              <w:bottom w:val="single" w:sz="4" w:space="0" w:color="auto"/>
              <w:right w:val="single" w:sz="8" w:space="0" w:color="auto"/>
            </w:tcBorders>
            <w:shd w:val="clear" w:color="auto" w:fill="auto"/>
            <w:noWrap/>
            <w:vAlign w:val="bottom"/>
            <w:hideMark/>
          </w:tcPr>
          <w:p w14:paraId="642E163C"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5</w:t>
            </w:r>
          </w:p>
        </w:tc>
        <w:tc>
          <w:tcPr>
            <w:tcW w:w="218" w:type="pct"/>
            <w:tcBorders>
              <w:top w:val="nil"/>
              <w:left w:val="nil"/>
              <w:bottom w:val="single" w:sz="4" w:space="0" w:color="auto"/>
              <w:right w:val="single" w:sz="4" w:space="0" w:color="auto"/>
            </w:tcBorders>
            <w:shd w:val="clear" w:color="auto" w:fill="auto"/>
            <w:noWrap/>
            <w:vAlign w:val="bottom"/>
            <w:hideMark/>
          </w:tcPr>
          <w:p w14:paraId="5717F927"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335" w:type="pct"/>
            <w:tcBorders>
              <w:top w:val="nil"/>
              <w:left w:val="nil"/>
              <w:bottom w:val="single" w:sz="4" w:space="0" w:color="auto"/>
              <w:right w:val="single" w:sz="4" w:space="0" w:color="auto"/>
            </w:tcBorders>
            <w:shd w:val="clear" w:color="auto" w:fill="auto"/>
            <w:noWrap/>
            <w:vAlign w:val="bottom"/>
            <w:hideMark/>
          </w:tcPr>
          <w:p w14:paraId="4DBE2296"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120" w:type="pct"/>
            <w:tcBorders>
              <w:top w:val="nil"/>
              <w:left w:val="nil"/>
              <w:bottom w:val="single" w:sz="4" w:space="0" w:color="auto"/>
              <w:right w:val="single" w:sz="8" w:space="0" w:color="auto"/>
            </w:tcBorders>
            <w:shd w:val="clear" w:color="auto" w:fill="auto"/>
            <w:noWrap/>
            <w:vAlign w:val="bottom"/>
            <w:hideMark/>
          </w:tcPr>
          <w:p w14:paraId="1241B108"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49" w:type="pct"/>
            <w:tcBorders>
              <w:top w:val="nil"/>
              <w:left w:val="nil"/>
              <w:bottom w:val="single" w:sz="4" w:space="0" w:color="auto"/>
              <w:right w:val="single" w:sz="4" w:space="0" w:color="auto"/>
            </w:tcBorders>
            <w:shd w:val="clear" w:color="auto" w:fill="auto"/>
            <w:noWrap/>
            <w:vAlign w:val="bottom"/>
            <w:hideMark/>
          </w:tcPr>
          <w:p w14:paraId="7D313FE4"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141" w:type="pct"/>
            <w:vMerge/>
            <w:tcBorders>
              <w:top w:val="nil"/>
              <w:left w:val="single" w:sz="4" w:space="0" w:color="auto"/>
              <w:bottom w:val="single" w:sz="8" w:space="0" w:color="000000"/>
              <w:right w:val="single" w:sz="4" w:space="0" w:color="auto"/>
            </w:tcBorders>
            <w:vAlign w:val="center"/>
            <w:hideMark/>
          </w:tcPr>
          <w:p w14:paraId="656D12AD" w14:textId="77777777" w:rsidR="00596935" w:rsidRPr="00596935" w:rsidRDefault="00596935" w:rsidP="00596935">
            <w:pPr>
              <w:rPr>
                <w:rFonts w:cs="Arial"/>
                <w:sz w:val="18"/>
                <w:szCs w:val="18"/>
                <w:lang w:val="de-AT" w:eastAsia="de-AT"/>
              </w:rPr>
            </w:pPr>
          </w:p>
        </w:tc>
        <w:tc>
          <w:tcPr>
            <w:tcW w:w="207" w:type="pct"/>
            <w:tcBorders>
              <w:top w:val="nil"/>
              <w:left w:val="nil"/>
              <w:bottom w:val="single" w:sz="4" w:space="0" w:color="auto"/>
              <w:right w:val="single" w:sz="8" w:space="0" w:color="auto"/>
            </w:tcBorders>
            <w:shd w:val="clear" w:color="auto" w:fill="auto"/>
            <w:noWrap/>
            <w:vAlign w:val="bottom"/>
            <w:hideMark/>
          </w:tcPr>
          <w:p w14:paraId="247252A3"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16" w:type="pct"/>
            <w:tcBorders>
              <w:top w:val="nil"/>
              <w:left w:val="nil"/>
              <w:bottom w:val="single" w:sz="4" w:space="0" w:color="auto"/>
              <w:right w:val="single" w:sz="4" w:space="0" w:color="auto"/>
            </w:tcBorders>
            <w:shd w:val="clear" w:color="auto" w:fill="auto"/>
            <w:noWrap/>
            <w:vAlign w:val="bottom"/>
            <w:hideMark/>
          </w:tcPr>
          <w:p w14:paraId="50D8FE3F"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140" w:type="pct"/>
            <w:vMerge/>
            <w:tcBorders>
              <w:top w:val="nil"/>
              <w:left w:val="single" w:sz="4" w:space="0" w:color="auto"/>
              <w:bottom w:val="single" w:sz="8" w:space="0" w:color="000000"/>
              <w:right w:val="single" w:sz="4" w:space="0" w:color="auto"/>
            </w:tcBorders>
            <w:vAlign w:val="center"/>
            <w:hideMark/>
          </w:tcPr>
          <w:p w14:paraId="2F9E9838" w14:textId="77777777" w:rsidR="00596935" w:rsidRPr="00596935" w:rsidRDefault="00596935" w:rsidP="00596935">
            <w:pPr>
              <w:rPr>
                <w:rFonts w:cs="Arial"/>
                <w:sz w:val="18"/>
                <w:szCs w:val="18"/>
                <w:lang w:val="de-AT" w:eastAsia="de-AT"/>
              </w:rPr>
            </w:pPr>
          </w:p>
        </w:tc>
        <w:tc>
          <w:tcPr>
            <w:tcW w:w="238" w:type="pct"/>
            <w:tcBorders>
              <w:top w:val="nil"/>
              <w:left w:val="nil"/>
              <w:bottom w:val="single" w:sz="4" w:space="0" w:color="auto"/>
              <w:right w:val="single" w:sz="8" w:space="0" w:color="auto"/>
            </w:tcBorders>
            <w:shd w:val="clear" w:color="auto" w:fill="auto"/>
            <w:noWrap/>
            <w:vAlign w:val="bottom"/>
            <w:hideMark/>
          </w:tcPr>
          <w:p w14:paraId="7242744F"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r>
      <w:tr w:rsidR="00596935" w:rsidRPr="00596935" w14:paraId="493ABD01" w14:textId="77777777" w:rsidTr="00596935">
        <w:trPr>
          <w:trHeight w:val="510"/>
        </w:trPr>
        <w:tc>
          <w:tcPr>
            <w:tcW w:w="352" w:type="pct"/>
            <w:vMerge w:val="restart"/>
            <w:tcBorders>
              <w:top w:val="nil"/>
              <w:left w:val="single" w:sz="8" w:space="0" w:color="auto"/>
              <w:bottom w:val="single" w:sz="8" w:space="0" w:color="000000"/>
              <w:right w:val="nil"/>
            </w:tcBorders>
            <w:shd w:val="clear" w:color="auto" w:fill="auto"/>
            <w:vAlign w:val="center"/>
            <w:hideMark/>
          </w:tcPr>
          <w:p w14:paraId="7074B395" w14:textId="77777777" w:rsidR="00596935" w:rsidRPr="00596935" w:rsidRDefault="00596935" w:rsidP="00596935">
            <w:pPr>
              <w:rPr>
                <w:rFonts w:cs="Arial"/>
                <w:color w:val="000000"/>
                <w:sz w:val="18"/>
                <w:szCs w:val="18"/>
                <w:lang w:val="de-AT" w:eastAsia="de-AT"/>
              </w:rPr>
            </w:pPr>
            <w:r w:rsidRPr="00596935">
              <w:rPr>
                <w:rFonts w:cs="Arial"/>
                <w:color w:val="000000"/>
                <w:sz w:val="18"/>
                <w:szCs w:val="18"/>
                <w:lang w:val="de-AT" w:eastAsia="de-AT"/>
              </w:rPr>
              <w:t>Gerard et al. 2012</w:t>
            </w:r>
          </w:p>
        </w:tc>
        <w:tc>
          <w:tcPr>
            <w:tcW w:w="352" w:type="pct"/>
            <w:tcBorders>
              <w:top w:val="nil"/>
              <w:left w:val="single" w:sz="4" w:space="0" w:color="auto"/>
              <w:bottom w:val="single" w:sz="4" w:space="0" w:color="auto"/>
              <w:right w:val="nil"/>
            </w:tcBorders>
            <w:shd w:val="clear" w:color="auto" w:fill="auto"/>
            <w:vAlign w:val="bottom"/>
            <w:hideMark/>
          </w:tcPr>
          <w:p w14:paraId="481A4D65"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 xml:space="preserve">Lafon bisyllabic </w:t>
            </w:r>
          </w:p>
        </w:tc>
        <w:tc>
          <w:tcPr>
            <w:tcW w:w="258" w:type="pct"/>
            <w:tcBorders>
              <w:top w:val="nil"/>
              <w:left w:val="single" w:sz="8" w:space="0" w:color="auto"/>
              <w:bottom w:val="single" w:sz="4" w:space="0" w:color="auto"/>
              <w:right w:val="single" w:sz="4" w:space="0" w:color="auto"/>
            </w:tcBorders>
            <w:shd w:val="clear" w:color="auto" w:fill="auto"/>
            <w:noWrap/>
            <w:vAlign w:val="bottom"/>
            <w:hideMark/>
          </w:tcPr>
          <w:p w14:paraId="3417F5AE"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313" w:type="pct"/>
            <w:tcBorders>
              <w:top w:val="nil"/>
              <w:left w:val="nil"/>
              <w:bottom w:val="single" w:sz="4" w:space="0" w:color="auto"/>
              <w:right w:val="single" w:sz="4" w:space="0" w:color="auto"/>
            </w:tcBorders>
            <w:shd w:val="clear" w:color="auto" w:fill="auto"/>
            <w:noWrap/>
            <w:vAlign w:val="bottom"/>
            <w:hideMark/>
          </w:tcPr>
          <w:p w14:paraId="1638F3D3"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120" w:type="pct"/>
            <w:tcBorders>
              <w:top w:val="nil"/>
              <w:left w:val="nil"/>
              <w:bottom w:val="single" w:sz="4" w:space="0" w:color="auto"/>
              <w:right w:val="single" w:sz="8" w:space="0" w:color="auto"/>
            </w:tcBorders>
            <w:shd w:val="clear" w:color="auto" w:fill="auto"/>
            <w:noWrap/>
            <w:vAlign w:val="bottom"/>
            <w:hideMark/>
          </w:tcPr>
          <w:p w14:paraId="21EE9070"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27E7A9"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64</w:t>
            </w:r>
          </w:p>
        </w:tc>
        <w:tc>
          <w:tcPr>
            <w:tcW w:w="244" w:type="pct"/>
            <w:tcBorders>
              <w:top w:val="nil"/>
              <w:left w:val="nil"/>
              <w:bottom w:val="single" w:sz="4" w:space="0" w:color="auto"/>
              <w:right w:val="single" w:sz="4" w:space="0" w:color="auto"/>
            </w:tcBorders>
            <w:shd w:val="clear" w:color="auto" w:fill="auto"/>
            <w:noWrap/>
            <w:vAlign w:val="bottom"/>
            <w:hideMark/>
          </w:tcPr>
          <w:p w14:paraId="0DEF2978"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33</w:t>
            </w:r>
          </w:p>
        </w:tc>
        <w:tc>
          <w:tcPr>
            <w:tcW w:w="120" w:type="pct"/>
            <w:tcBorders>
              <w:top w:val="nil"/>
              <w:left w:val="nil"/>
              <w:bottom w:val="single" w:sz="4" w:space="0" w:color="auto"/>
              <w:right w:val="single" w:sz="8" w:space="0" w:color="auto"/>
            </w:tcBorders>
            <w:shd w:val="clear" w:color="auto" w:fill="auto"/>
            <w:noWrap/>
            <w:vAlign w:val="bottom"/>
            <w:hideMark/>
          </w:tcPr>
          <w:p w14:paraId="2B16A9BA"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13</w:t>
            </w:r>
          </w:p>
        </w:tc>
        <w:tc>
          <w:tcPr>
            <w:tcW w:w="246" w:type="pct"/>
            <w:tcBorders>
              <w:top w:val="nil"/>
              <w:left w:val="nil"/>
              <w:bottom w:val="single" w:sz="4" w:space="0" w:color="auto"/>
              <w:right w:val="single" w:sz="4" w:space="0" w:color="auto"/>
            </w:tcBorders>
            <w:shd w:val="clear" w:color="auto" w:fill="auto"/>
            <w:noWrap/>
            <w:vAlign w:val="bottom"/>
            <w:hideMark/>
          </w:tcPr>
          <w:p w14:paraId="1F7A02D7"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140" w:type="pct"/>
            <w:vMerge/>
            <w:tcBorders>
              <w:top w:val="nil"/>
              <w:left w:val="single" w:sz="4" w:space="0" w:color="auto"/>
              <w:bottom w:val="single" w:sz="8" w:space="0" w:color="000000"/>
              <w:right w:val="single" w:sz="4" w:space="0" w:color="auto"/>
            </w:tcBorders>
            <w:vAlign w:val="center"/>
            <w:hideMark/>
          </w:tcPr>
          <w:p w14:paraId="26CBA369" w14:textId="77777777" w:rsidR="00596935" w:rsidRPr="00596935" w:rsidRDefault="00596935" w:rsidP="00596935">
            <w:pPr>
              <w:rPr>
                <w:rFonts w:cs="Arial"/>
                <w:color w:val="000000"/>
                <w:sz w:val="18"/>
                <w:szCs w:val="18"/>
                <w:lang w:val="de-AT" w:eastAsia="de-AT"/>
              </w:rPr>
            </w:pPr>
          </w:p>
        </w:tc>
        <w:tc>
          <w:tcPr>
            <w:tcW w:w="209" w:type="pct"/>
            <w:tcBorders>
              <w:top w:val="nil"/>
              <w:left w:val="nil"/>
              <w:bottom w:val="single" w:sz="4" w:space="0" w:color="auto"/>
              <w:right w:val="single" w:sz="8" w:space="0" w:color="auto"/>
            </w:tcBorders>
            <w:shd w:val="clear" w:color="auto" w:fill="auto"/>
            <w:noWrap/>
            <w:vAlign w:val="bottom"/>
            <w:hideMark/>
          </w:tcPr>
          <w:p w14:paraId="6D48BA8C"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13" w:type="pct"/>
            <w:tcBorders>
              <w:top w:val="nil"/>
              <w:left w:val="nil"/>
              <w:bottom w:val="single" w:sz="4" w:space="0" w:color="auto"/>
              <w:right w:val="single" w:sz="4" w:space="0" w:color="auto"/>
            </w:tcBorders>
            <w:shd w:val="clear" w:color="auto" w:fill="auto"/>
            <w:noWrap/>
            <w:vAlign w:val="bottom"/>
            <w:hideMark/>
          </w:tcPr>
          <w:p w14:paraId="1A299109"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141" w:type="pct"/>
            <w:vMerge/>
            <w:tcBorders>
              <w:top w:val="nil"/>
              <w:left w:val="single" w:sz="4" w:space="0" w:color="auto"/>
              <w:bottom w:val="single" w:sz="8" w:space="0" w:color="000000"/>
              <w:right w:val="single" w:sz="4" w:space="0" w:color="auto"/>
            </w:tcBorders>
            <w:vAlign w:val="center"/>
            <w:hideMark/>
          </w:tcPr>
          <w:p w14:paraId="47ADC9A1" w14:textId="77777777" w:rsidR="00596935" w:rsidRPr="00596935" w:rsidRDefault="00596935" w:rsidP="00596935">
            <w:pPr>
              <w:rPr>
                <w:rFonts w:cs="Arial"/>
                <w:sz w:val="18"/>
                <w:szCs w:val="18"/>
                <w:lang w:val="de-AT" w:eastAsia="de-AT"/>
              </w:rPr>
            </w:pPr>
          </w:p>
        </w:tc>
        <w:tc>
          <w:tcPr>
            <w:tcW w:w="204" w:type="pct"/>
            <w:tcBorders>
              <w:top w:val="nil"/>
              <w:left w:val="nil"/>
              <w:bottom w:val="single" w:sz="4" w:space="0" w:color="auto"/>
              <w:right w:val="single" w:sz="8" w:space="0" w:color="auto"/>
            </w:tcBorders>
            <w:shd w:val="clear" w:color="auto" w:fill="auto"/>
            <w:noWrap/>
            <w:vAlign w:val="bottom"/>
            <w:hideMark/>
          </w:tcPr>
          <w:p w14:paraId="711D0AA4"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18" w:type="pct"/>
            <w:tcBorders>
              <w:top w:val="nil"/>
              <w:left w:val="nil"/>
              <w:bottom w:val="single" w:sz="4" w:space="0" w:color="auto"/>
              <w:right w:val="single" w:sz="4" w:space="0" w:color="auto"/>
            </w:tcBorders>
            <w:shd w:val="clear" w:color="auto" w:fill="auto"/>
            <w:noWrap/>
            <w:vAlign w:val="bottom"/>
            <w:hideMark/>
          </w:tcPr>
          <w:p w14:paraId="022E17AA"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335" w:type="pct"/>
            <w:tcBorders>
              <w:top w:val="nil"/>
              <w:left w:val="nil"/>
              <w:bottom w:val="single" w:sz="4" w:space="0" w:color="auto"/>
              <w:right w:val="single" w:sz="4" w:space="0" w:color="auto"/>
            </w:tcBorders>
            <w:shd w:val="clear" w:color="auto" w:fill="auto"/>
            <w:noWrap/>
            <w:vAlign w:val="bottom"/>
            <w:hideMark/>
          </w:tcPr>
          <w:p w14:paraId="3D4E7F64"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120" w:type="pct"/>
            <w:tcBorders>
              <w:top w:val="nil"/>
              <w:left w:val="nil"/>
              <w:bottom w:val="single" w:sz="4" w:space="0" w:color="auto"/>
              <w:right w:val="single" w:sz="8" w:space="0" w:color="auto"/>
            </w:tcBorders>
            <w:shd w:val="clear" w:color="auto" w:fill="auto"/>
            <w:noWrap/>
            <w:vAlign w:val="bottom"/>
            <w:hideMark/>
          </w:tcPr>
          <w:p w14:paraId="077A06BC"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49" w:type="pct"/>
            <w:tcBorders>
              <w:top w:val="nil"/>
              <w:left w:val="nil"/>
              <w:bottom w:val="single" w:sz="4" w:space="0" w:color="auto"/>
              <w:right w:val="single" w:sz="4" w:space="0" w:color="auto"/>
            </w:tcBorders>
            <w:shd w:val="clear" w:color="auto" w:fill="auto"/>
            <w:noWrap/>
            <w:vAlign w:val="bottom"/>
            <w:hideMark/>
          </w:tcPr>
          <w:p w14:paraId="6F6117E3"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141" w:type="pct"/>
            <w:vMerge/>
            <w:tcBorders>
              <w:top w:val="nil"/>
              <w:left w:val="single" w:sz="4" w:space="0" w:color="auto"/>
              <w:bottom w:val="single" w:sz="8" w:space="0" w:color="000000"/>
              <w:right w:val="single" w:sz="4" w:space="0" w:color="auto"/>
            </w:tcBorders>
            <w:vAlign w:val="center"/>
            <w:hideMark/>
          </w:tcPr>
          <w:p w14:paraId="7ADE4524" w14:textId="77777777" w:rsidR="00596935" w:rsidRPr="00596935" w:rsidRDefault="00596935" w:rsidP="00596935">
            <w:pPr>
              <w:rPr>
                <w:rFonts w:cs="Arial"/>
                <w:sz w:val="18"/>
                <w:szCs w:val="18"/>
                <w:lang w:val="de-AT" w:eastAsia="de-AT"/>
              </w:rPr>
            </w:pPr>
          </w:p>
        </w:tc>
        <w:tc>
          <w:tcPr>
            <w:tcW w:w="207" w:type="pct"/>
            <w:tcBorders>
              <w:top w:val="nil"/>
              <w:left w:val="nil"/>
              <w:bottom w:val="single" w:sz="4" w:space="0" w:color="auto"/>
              <w:right w:val="single" w:sz="8" w:space="0" w:color="auto"/>
            </w:tcBorders>
            <w:shd w:val="clear" w:color="auto" w:fill="auto"/>
            <w:noWrap/>
            <w:vAlign w:val="bottom"/>
            <w:hideMark/>
          </w:tcPr>
          <w:p w14:paraId="3C0F62A6"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16" w:type="pct"/>
            <w:tcBorders>
              <w:top w:val="nil"/>
              <w:left w:val="nil"/>
              <w:bottom w:val="single" w:sz="4" w:space="0" w:color="auto"/>
              <w:right w:val="single" w:sz="4" w:space="0" w:color="auto"/>
            </w:tcBorders>
            <w:shd w:val="clear" w:color="auto" w:fill="auto"/>
            <w:noWrap/>
            <w:vAlign w:val="bottom"/>
            <w:hideMark/>
          </w:tcPr>
          <w:p w14:paraId="35485BCA"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140" w:type="pct"/>
            <w:vMerge/>
            <w:tcBorders>
              <w:top w:val="nil"/>
              <w:left w:val="single" w:sz="4" w:space="0" w:color="auto"/>
              <w:bottom w:val="single" w:sz="8" w:space="0" w:color="000000"/>
              <w:right w:val="single" w:sz="4" w:space="0" w:color="auto"/>
            </w:tcBorders>
            <w:vAlign w:val="center"/>
            <w:hideMark/>
          </w:tcPr>
          <w:p w14:paraId="33F613EC" w14:textId="77777777" w:rsidR="00596935" w:rsidRPr="00596935" w:rsidRDefault="00596935" w:rsidP="00596935">
            <w:pPr>
              <w:rPr>
                <w:rFonts w:cs="Arial"/>
                <w:sz w:val="18"/>
                <w:szCs w:val="18"/>
                <w:lang w:val="de-AT" w:eastAsia="de-AT"/>
              </w:rPr>
            </w:pPr>
          </w:p>
        </w:tc>
        <w:tc>
          <w:tcPr>
            <w:tcW w:w="238" w:type="pct"/>
            <w:tcBorders>
              <w:top w:val="nil"/>
              <w:left w:val="nil"/>
              <w:bottom w:val="single" w:sz="4" w:space="0" w:color="auto"/>
              <w:right w:val="single" w:sz="8" w:space="0" w:color="auto"/>
            </w:tcBorders>
            <w:shd w:val="clear" w:color="auto" w:fill="auto"/>
            <w:noWrap/>
            <w:vAlign w:val="bottom"/>
            <w:hideMark/>
          </w:tcPr>
          <w:p w14:paraId="02671FC7"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r>
      <w:tr w:rsidR="00596935" w:rsidRPr="00596935" w14:paraId="579CBC4F" w14:textId="77777777" w:rsidTr="00596935">
        <w:trPr>
          <w:trHeight w:val="329"/>
        </w:trPr>
        <w:tc>
          <w:tcPr>
            <w:tcW w:w="352" w:type="pct"/>
            <w:vMerge/>
            <w:tcBorders>
              <w:top w:val="nil"/>
              <w:left w:val="single" w:sz="8" w:space="0" w:color="auto"/>
              <w:bottom w:val="single" w:sz="8" w:space="0" w:color="000000"/>
              <w:right w:val="nil"/>
            </w:tcBorders>
            <w:vAlign w:val="center"/>
            <w:hideMark/>
          </w:tcPr>
          <w:p w14:paraId="6D71B38B" w14:textId="77777777" w:rsidR="00596935" w:rsidRPr="00596935" w:rsidRDefault="00596935" w:rsidP="00596935">
            <w:pPr>
              <w:rPr>
                <w:rFonts w:cs="Arial"/>
                <w:color w:val="000000"/>
                <w:sz w:val="18"/>
                <w:szCs w:val="18"/>
                <w:lang w:val="de-AT" w:eastAsia="de-AT"/>
              </w:rPr>
            </w:pPr>
          </w:p>
        </w:tc>
        <w:tc>
          <w:tcPr>
            <w:tcW w:w="352" w:type="pct"/>
            <w:tcBorders>
              <w:top w:val="nil"/>
              <w:left w:val="single" w:sz="4" w:space="0" w:color="auto"/>
              <w:bottom w:val="single" w:sz="4" w:space="0" w:color="auto"/>
              <w:right w:val="nil"/>
            </w:tcBorders>
            <w:shd w:val="clear" w:color="auto" w:fill="auto"/>
            <w:vAlign w:val="bottom"/>
            <w:hideMark/>
          </w:tcPr>
          <w:p w14:paraId="3E01C6B8"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Lafon bisyllabic</w:t>
            </w:r>
          </w:p>
        </w:tc>
        <w:tc>
          <w:tcPr>
            <w:tcW w:w="258" w:type="pct"/>
            <w:tcBorders>
              <w:top w:val="nil"/>
              <w:left w:val="single" w:sz="8" w:space="0" w:color="auto"/>
              <w:bottom w:val="single" w:sz="4" w:space="0" w:color="auto"/>
              <w:right w:val="single" w:sz="4" w:space="0" w:color="auto"/>
            </w:tcBorders>
            <w:shd w:val="clear" w:color="auto" w:fill="auto"/>
            <w:noWrap/>
            <w:vAlign w:val="bottom"/>
            <w:hideMark/>
          </w:tcPr>
          <w:p w14:paraId="653157FC"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313" w:type="pct"/>
            <w:tcBorders>
              <w:top w:val="nil"/>
              <w:left w:val="nil"/>
              <w:bottom w:val="single" w:sz="4" w:space="0" w:color="auto"/>
              <w:right w:val="single" w:sz="4" w:space="0" w:color="auto"/>
            </w:tcBorders>
            <w:shd w:val="clear" w:color="auto" w:fill="auto"/>
            <w:noWrap/>
            <w:vAlign w:val="bottom"/>
            <w:hideMark/>
          </w:tcPr>
          <w:p w14:paraId="310941E7"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120" w:type="pct"/>
            <w:tcBorders>
              <w:top w:val="nil"/>
              <w:left w:val="nil"/>
              <w:bottom w:val="single" w:sz="4" w:space="0" w:color="auto"/>
              <w:right w:val="single" w:sz="8" w:space="0" w:color="auto"/>
            </w:tcBorders>
            <w:shd w:val="clear" w:color="auto" w:fill="auto"/>
            <w:noWrap/>
            <w:vAlign w:val="bottom"/>
            <w:hideMark/>
          </w:tcPr>
          <w:p w14:paraId="4B320F36"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7E71B8"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91</w:t>
            </w:r>
          </w:p>
        </w:tc>
        <w:tc>
          <w:tcPr>
            <w:tcW w:w="244" w:type="pct"/>
            <w:tcBorders>
              <w:top w:val="nil"/>
              <w:left w:val="nil"/>
              <w:bottom w:val="single" w:sz="4" w:space="0" w:color="auto"/>
              <w:right w:val="single" w:sz="4" w:space="0" w:color="auto"/>
            </w:tcBorders>
            <w:shd w:val="clear" w:color="auto" w:fill="auto"/>
            <w:noWrap/>
            <w:vAlign w:val="bottom"/>
            <w:hideMark/>
          </w:tcPr>
          <w:p w14:paraId="3FDD7749"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11</w:t>
            </w:r>
          </w:p>
        </w:tc>
        <w:tc>
          <w:tcPr>
            <w:tcW w:w="120" w:type="pct"/>
            <w:tcBorders>
              <w:top w:val="nil"/>
              <w:left w:val="nil"/>
              <w:bottom w:val="single" w:sz="4" w:space="0" w:color="auto"/>
              <w:right w:val="single" w:sz="8" w:space="0" w:color="auto"/>
            </w:tcBorders>
            <w:shd w:val="clear" w:color="auto" w:fill="auto"/>
            <w:noWrap/>
            <w:vAlign w:val="bottom"/>
            <w:hideMark/>
          </w:tcPr>
          <w:p w14:paraId="2E360463"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13</w:t>
            </w:r>
          </w:p>
        </w:tc>
        <w:tc>
          <w:tcPr>
            <w:tcW w:w="246" w:type="pct"/>
            <w:tcBorders>
              <w:top w:val="nil"/>
              <w:left w:val="nil"/>
              <w:bottom w:val="single" w:sz="4" w:space="0" w:color="auto"/>
              <w:right w:val="single" w:sz="4" w:space="0" w:color="auto"/>
            </w:tcBorders>
            <w:shd w:val="clear" w:color="auto" w:fill="auto"/>
            <w:noWrap/>
            <w:vAlign w:val="bottom"/>
            <w:hideMark/>
          </w:tcPr>
          <w:p w14:paraId="69530DC6"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140" w:type="pct"/>
            <w:vMerge/>
            <w:tcBorders>
              <w:top w:val="nil"/>
              <w:left w:val="single" w:sz="4" w:space="0" w:color="auto"/>
              <w:bottom w:val="single" w:sz="8" w:space="0" w:color="000000"/>
              <w:right w:val="single" w:sz="4" w:space="0" w:color="auto"/>
            </w:tcBorders>
            <w:vAlign w:val="center"/>
            <w:hideMark/>
          </w:tcPr>
          <w:p w14:paraId="32444D88" w14:textId="77777777" w:rsidR="00596935" w:rsidRPr="00596935" w:rsidRDefault="00596935" w:rsidP="00596935">
            <w:pPr>
              <w:rPr>
                <w:rFonts w:cs="Arial"/>
                <w:color w:val="000000"/>
                <w:sz w:val="18"/>
                <w:szCs w:val="18"/>
                <w:lang w:val="de-AT" w:eastAsia="de-AT"/>
              </w:rPr>
            </w:pPr>
          </w:p>
        </w:tc>
        <w:tc>
          <w:tcPr>
            <w:tcW w:w="209" w:type="pct"/>
            <w:tcBorders>
              <w:top w:val="nil"/>
              <w:left w:val="nil"/>
              <w:bottom w:val="single" w:sz="4" w:space="0" w:color="auto"/>
              <w:right w:val="single" w:sz="8" w:space="0" w:color="auto"/>
            </w:tcBorders>
            <w:shd w:val="clear" w:color="auto" w:fill="auto"/>
            <w:noWrap/>
            <w:vAlign w:val="bottom"/>
            <w:hideMark/>
          </w:tcPr>
          <w:p w14:paraId="015F23C4"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13" w:type="pct"/>
            <w:tcBorders>
              <w:top w:val="nil"/>
              <w:left w:val="nil"/>
              <w:bottom w:val="single" w:sz="4" w:space="0" w:color="auto"/>
              <w:right w:val="single" w:sz="4" w:space="0" w:color="auto"/>
            </w:tcBorders>
            <w:shd w:val="clear" w:color="auto" w:fill="auto"/>
            <w:noWrap/>
            <w:vAlign w:val="bottom"/>
            <w:hideMark/>
          </w:tcPr>
          <w:p w14:paraId="39EBC303"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141" w:type="pct"/>
            <w:vMerge/>
            <w:tcBorders>
              <w:top w:val="nil"/>
              <w:left w:val="single" w:sz="4" w:space="0" w:color="auto"/>
              <w:bottom w:val="single" w:sz="8" w:space="0" w:color="000000"/>
              <w:right w:val="single" w:sz="4" w:space="0" w:color="auto"/>
            </w:tcBorders>
            <w:vAlign w:val="center"/>
            <w:hideMark/>
          </w:tcPr>
          <w:p w14:paraId="24A51565" w14:textId="77777777" w:rsidR="00596935" w:rsidRPr="00596935" w:rsidRDefault="00596935" w:rsidP="00596935">
            <w:pPr>
              <w:rPr>
                <w:rFonts w:cs="Arial"/>
                <w:sz w:val="18"/>
                <w:szCs w:val="18"/>
                <w:lang w:val="de-AT" w:eastAsia="de-AT"/>
              </w:rPr>
            </w:pPr>
          </w:p>
        </w:tc>
        <w:tc>
          <w:tcPr>
            <w:tcW w:w="204" w:type="pct"/>
            <w:tcBorders>
              <w:top w:val="nil"/>
              <w:left w:val="nil"/>
              <w:bottom w:val="single" w:sz="4" w:space="0" w:color="auto"/>
              <w:right w:val="single" w:sz="8" w:space="0" w:color="auto"/>
            </w:tcBorders>
            <w:shd w:val="clear" w:color="auto" w:fill="auto"/>
            <w:noWrap/>
            <w:vAlign w:val="bottom"/>
            <w:hideMark/>
          </w:tcPr>
          <w:p w14:paraId="6C3297AF"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18" w:type="pct"/>
            <w:tcBorders>
              <w:top w:val="nil"/>
              <w:left w:val="nil"/>
              <w:bottom w:val="single" w:sz="4" w:space="0" w:color="auto"/>
              <w:right w:val="single" w:sz="4" w:space="0" w:color="auto"/>
            </w:tcBorders>
            <w:shd w:val="clear" w:color="auto" w:fill="auto"/>
            <w:noWrap/>
            <w:vAlign w:val="bottom"/>
            <w:hideMark/>
          </w:tcPr>
          <w:p w14:paraId="6BF2062A"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335" w:type="pct"/>
            <w:tcBorders>
              <w:top w:val="nil"/>
              <w:left w:val="nil"/>
              <w:bottom w:val="single" w:sz="4" w:space="0" w:color="auto"/>
              <w:right w:val="single" w:sz="4" w:space="0" w:color="auto"/>
            </w:tcBorders>
            <w:shd w:val="clear" w:color="auto" w:fill="auto"/>
            <w:noWrap/>
            <w:vAlign w:val="bottom"/>
            <w:hideMark/>
          </w:tcPr>
          <w:p w14:paraId="3EE3612F"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120" w:type="pct"/>
            <w:tcBorders>
              <w:top w:val="nil"/>
              <w:left w:val="nil"/>
              <w:bottom w:val="single" w:sz="4" w:space="0" w:color="auto"/>
              <w:right w:val="single" w:sz="8" w:space="0" w:color="auto"/>
            </w:tcBorders>
            <w:shd w:val="clear" w:color="auto" w:fill="auto"/>
            <w:noWrap/>
            <w:vAlign w:val="bottom"/>
            <w:hideMark/>
          </w:tcPr>
          <w:p w14:paraId="34141F84"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49" w:type="pct"/>
            <w:tcBorders>
              <w:top w:val="nil"/>
              <w:left w:val="nil"/>
              <w:bottom w:val="single" w:sz="4" w:space="0" w:color="auto"/>
              <w:right w:val="single" w:sz="4" w:space="0" w:color="auto"/>
            </w:tcBorders>
            <w:shd w:val="clear" w:color="auto" w:fill="auto"/>
            <w:noWrap/>
            <w:vAlign w:val="bottom"/>
            <w:hideMark/>
          </w:tcPr>
          <w:p w14:paraId="0309E3D2"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141" w:type="pct"/>
            <w:vMerge/>
            <w:tcBorders>
              <w:top w:val="nil"/>
              <w:left w:val="single" w:sz="4" w:space="0" w:color="auto"/>
              <w:bottom w:val="single" w:sz="8" w:space="0" w:color="000000"/>
              <w:right w:val="single" w:sz="4" w:space="0" w:color="auto"/>
            </w:tcBorders>
            <w:vAlign w:val="center"/>
            <w:hideMark/>
          </w:tcPr>
          <w:p w14:paraId="2D75B31A" w14:textId="77777777" w:rsidR="00596935" w:rsidRPr="00596935" w:rsidRDefault="00596935" w:rsidP="00596935">
            <w:pPr>
              <w:rPr>
                <w:rFonts w:cs="Arial"/>
                <w:sz w:val="18"/>
                <w:szCs w:val="18"/>
                <w:lang w:val="de-AT" w:eastAsia="de-AT"/>
              </w:rPr>
            </w:pPr>
          </w:p>
        </w:tc>
        <w:tc>
          <w:tcPr>
            <w:tcW w:w="207" w:type="pct"/>
            <w:tcBorders>
              <w:top w:val="nil"/>
              <w:left w:val="nil"/>
              <w:bottom w:val="single" w:sz="4" w:space="0" w:color="auto"/>
              <w:right w:val="single" w:sz="8" w:space="0" w:color="auto"/>
            </w:tcBorders>
            <w:shd w:val="clear" w:color="auto" w:fill="auto"/>
            <w:noWrap/>
            <w:vAlign w:val="bottom"/>
            <w:hideMark/>
          </w:tcPr>
          <w:p w14:paraId="1764AEB0"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16" w:type="pct"/>
            <w:tcBorders>
              <w:top w:val="nil"/>
              <w:left w:val="nil"/>
              <w:bottom w:val="single" w:sz="4" w:space="0" w:color="auto"/>
              <w:right w:val="single" w:sz="4" w:space="0" w:color="auto"/>
            </w:tcBorders>
            <w:shd w:val="clear" w:color="auto" w:fill="auto"/>
            <w:noWrap/>
            <w:vAlign w:val="bottom"/>
            <w:hideMark/>
          </w:tcPr>
          <w:p w14:paraId="0C8E4FEF"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140" w:type="pct"/>
            <w:vMerge/>
            <w:tcBorders>
              <w:top w:val="nil"/>
              <w:left w:val="single" w:sz="4" w:space="0" w:color="auto"/>
              <w:bottom w:val="single" w:sz="8" w:space="0" w:color="000000"/>
              <w:right w:val="single" w:sz="4" w:space="0" w:color="auto"/>
            </w:tcBorders>
            <w:vAlign w:val="center"/>
            <w:hideMark/>
          </w:tcPr>
          <w:p w14:paraId="4A9D4DEE" w14:textId="77777777" w:rsidR="00596935" w:rsidRPr="00596935" w:rsidRDefault="00596935" w:rsidP="00596935">
            <w:pPr>
              <w:rPr>
                <w:rFonts w:cs="Arial"/>
                <w:sz w:val="18"/>
                <w:szCs w:val="18"/>
                <w:lang w:val="de-AT" w:eastAsia="de-AT"/>
              </w:rPr>
            </w:pPr>
          </w:p>
        </w:tc>
        <w:tc>
          <w:tcPr>
            <w:tcW w:w="238" w:type="pct"/>
            <w:tcBorders>
              <w:top w:val="nil"/>
              <w:left w:val="nil"/>
              <w:bottom w:val="single" w:sz="4" w:space="0" w:color="auto"/>
              <w:right w:val="single" w:sz="8" w:space="0" w:color="auto"/>
            </w:tcBorders>
            <w:shd w:val="clear" w:color="auto" w:fill="auto"/>
            <w:noWrap/>
            <w:vAlign w:val="bottom"/>
            <w:hideMark/>
          </w:tcPr>
          <w:p w14:paraId="0FC36F97"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r>
      <w:tr w:rsidR="00596935" w:rsidRPr="00596935" w14:paraId="56E1AD29" w14:textId="77777777" w:rsidTr="00596935">
        <w:trPr>
          <w:trHeight w:val="525"/>
        </w:trPr>
        <w:tc>
          <w:tcPr>
            <w:tcW w:w="352" w:type="pct"/>
            <w:tcBorders>
              <w:top w:val="nil"/>
              <w:left w:val="single" w:sz="8" w:space="0" w:color="auto"/>
              <w:bottom w:val="single" w:sz="8" w:space="0" w:color="auto"/>
              <w:right w:val="nil"/>
            </w:tcBorders>
            <w:shd w:val="clear" w:color="auto" w:fill="auto"/>
            <w:vAlign w:val="bottom"/>
            <w:hideMark/>
          </w:tcPr>
          <w:p w14:paraId="32F11557" w14:textId="77777777" w:rsidR="00596935" w:rsidRPr="00596935" w:rsidRDefault="00596935" w:rsidP="00596935">
            <w:pPr>
              <w:rPr>
                <w:rFonts w:cs="Arial"/>
                <w:color w:val="000000"/>
                <w:sz w:val="18"/>
                <w:szCs w:val="18"/>
                <w:lang w:val="de-AT" w:eastAsia="de-AT"/>
              </w:rPr>
            </w:pPr>
            <w:r w:rsidRPr="00596935">
              <w:rPr>
                <w:rFonts w:cs="Arial"/>
                <w:color w:val="000000"/>
                <w:sz w:val="18"/>
                <w:szCs w:val="18"/>
                <w:lang w:val="de-AT" w:eastAsia="de-AT"/>
              </w:rPr>
              <w:t xml:space="preserve">Monini et al. 2013 </w:t>
            </w:r>
          </w:p>
        </w:tc>
        <w:tc>
          <w:tcPr>
            <w:tcW w:w="352" w:type="pct"/>
            <w:tcBorders>
              <w:top w:val="nil"/>
              <w:left w:val="single" w:sz="4" w:space="0" w:color="auto"/>
              <w:bottom w:val="single" w:sz="4" w:space="0" w:color="auto"/>
              <w:right w:val="nil"/>
            </w:tcBorders>
            <w:shd w:val="clear" w:color="auto" w:fill="auto"/>
            <w:vAlign w:val="bottom"/>
            <w:hideMark/>
          </w:tcPr>
          <w:p w14:paraId="65CC80FF"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 xml:space="preserve">bisyllbic </w:t>
            </w:r>
          </w:p>
        </w:tc>
        <w:tc>
          <w:tcPr>
            <w:tcW w:w="258" w:type="pct"/>
            <w:tcBorders>
              <w:top w:val="nil"/>
              <w:left w:val="single" w:sz="8" w:space="0" w:color="auto"/>
              <w:bottom w:val="single" w:sz="4" w:space="0" w:color="auto"/>
              <w:right w:val="single" w:sz="4" w:space="0" w:color="auto"/>
            </w:tcBorders>
            <w:shd w:val="clear" w:color="auto" w:fill="auto"/>
            <w:vAlign w:val="bottom"/>
            <w:hideMark/>
          </w:tcPr>
          <w:p w14:paraId="717DA108"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18.7</w:t>
            </w:r>
          </w:p>
        </w:tc>
        <w:tc>
          <w:tcPr>
            <w:tcW w:w="313" w:type="pct"/>
            <w:tcBorders>
              <w:top w:val="nil"/>
              <w:left w:val="nil"/>
              <w:bottom w:val="single" w:sz="4" w:space="0" w:color="auto"/>
              <w:right w:val="single" w:sz="4" w:space="0" w:color="auto"/>
            </w:tcBorders>
            <w:shd w:val="clear" w:color="auto" w:fill="auto"/>
            <w:vAlign w:val="bottom"/>
            <w:hideMark/>
          </w:tcPr>
          <w:p w14:paraId="7B97AD68"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21.7</w:t>
            </w:r>
          </w:p>
        </w:tc>
        <w:tc>
          <w:tcPr>
            <w:tcW w:w="120" w:type="pct"/>
            <w:tcBorders>
              <w:top w:val="nil"/>
              <w:left w:val="nil"/>
              <w:bottom w:val="single" w:sz="4" w:space="0" w:color="auto"/>
              <w:right w:val="single" w:sz="8" w:space="0" w:color="auto"/>
            </w:tcBorders>
            <w:shd w:val="clear" w:color="auto" w:fill="auto"/>
            <w:noWrap/>
            <w:vAlign w:val="bottom"/>
            <w:hideMark/>
          </w:tcPr>
          <w:p w14:paraId="04E47894"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8</w:t>
            </w:r>
          </w:p>
        </w:tc>
        <w:tc>
          <w:tcPr>
            <w:tcW w:w="224" w:type="pct"/>
            <w:tcBorders>
              <w:top w:val="nil"/>
              <w:left w:val="nil"/>
              <w:bottom w:val="single" w:sz="4" w:space="0" w:color="auto"/>
              <w:right w:val="single" w:sz="4" w:space="0" w:color="auto"/>
            </w:tcBorders>
            <w:shd w:val="clear" w:color="auto" w:fill="auto"/>
            <w:noWrap/>
            <w:vAlign w:val="bottom"/>
            <w:hideMark/>
          </w:tcPr>
          <w:p w14:paraId="4BF27ABD"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 </w:t>
            </w:r>
          </w:p>
        </w:tc>
        <w:tc>
          <w:tcPr>
            <w:tcW w:w="244" w:type="pct"/>
            <w:tcBorders>
              <w:top w:val="nil"/>
              <w:left w:val="nil"/>
              <w:bottom w:val="single" w:sz="4" w:space="0" w:color="auto"/>
              <w:right w:val="single" w:sz="4" w:space="0" w:color="auto"/>
            </w:tcBorders>
            <w:shd w:val="clear" w:color="auto" w:fill="auto"/>
            <w:noWrap/>
            <w:vAlign w:val="bottom"/>
            <w:hideMark/>
          </w:tcPr>
          <w:p w14:paraId="305B8E9C"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 </w:t>
            </w:r>
          </w:p>
        </w:tc>
        <w:tc>
          <w:tcPr>
            <w:tcW w:w="120" w:type="pct"/>
            <w:tcBorders>
              <w:top w:val="nil"/>
              <w:left w:val="nil"/>
              <w:bottom w:val="single" w:sz="4" w:space="0" w:color="auto"/>
              <w:right w:val="single" w:sz="8" w:space="0" w:color="auto"/>
            </w:tcBorders>
            <w:shd w:val="clear" w:color="auto" w:fill="auto"/>
            <w:noWrap/>
            <w:vAlign w:val="bottom"/>
            <w:hideMark/>
          </w:tcPr>
          <w:p w14:paraId="437ACA5E"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 </w:t>
            </w:r>
          </w:p>
        </w:tc>
        <w:tc>
          <w:tcPr>
            <w:tcW w:w="246" w:type="pct"/>
            <w:tcBorders>
              <w:top w:val="nil"/>
              <w:left w:val="nil"/>
              <w:bottom w:val="single" w:sz="4" w:space="0" w:color="auto"/>
              <w:right w:val="single" w:sz="4" w:space="0" w:color="auto"/>
            </w:tcBorders>
            <w:shd w:val="clear" w:color="auto" w:fill="auto"/>
            <w:noWrap/>
            <w:vAlign w:val="bottom"/>
            <w:hideMark/>
          </w:tcPr>
          <w:p w14:paraId="58B24DDD"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 </w:t>
            </w:r>
          </w:p>
        </w:tc>
        <w:tc>
          <w:tcPr>
            <w:tcW w:w="140" w:type="pct"/>
            <w:vMerge/>
            <w:tcBorders>
              <w:top w:val="nil"/>
              <w:left w:val="single" w:sz="4" w:space="0" w:color="auto"/>
              <w:bottom w:val="single" w:sz="8" w:space="0" w:color="000000"/>
              <w:right w:val="single" w:sz="4" w:space="0" w:color="auto"/>
            </w:tcBorders>
            <w:vAlign w:val="center"/>
            <w:hideMark/>
          </w:tcPr>
          <w:p w14:paraId="4B620FB2" w14:textId="77777777" w:rsidR="00596935" w:rsidRPr="00596935" w:rsidRDefault="00596935" w:rsidP="00596935">
            <w:pPr>
              <w:rPr>
                <w:rFonts w:cs="Arial"/>
                <w:color w:val="000000"/>
                <w:sz w:val="18"/>
                <w:szCs w:val="18"/>
                <w:lang w:val="de-AT" w:eastAsia="de-AT"/>
              </w:rPr>
            </w:pPr>
          </w:p>
        </w:tc>
        <w:tc>
          <w:tcPr>
            <w:tcW w:w="209" w:type="pct"/>
            <w:tcBorders>
              <w:top w:val="nil"/>
              <w:left w:val="nil"/>
              <w:bottom w:val="single" w:sz="4" w:space="0" w:color="auto"/>
              <w:right w:val="single" w:sz="8" w:space="0" w:color="auto"/>
            </w:tcBorders>
            <w:shd w:val="clear" w:color="auto" w:fill="auto"/>
            <w:noWrap/>
            <w:vAlign w:val="bottom"/>
            <w:hideMark/>
          </w:tcPr>
          <w:p w14:paraId="0C00F589"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 </w:t>
            </w:r>
          </w:p>
        </w:tc>
        <w:tc>
          <w:tcPr>
            <w:tcW w:w="213" w:type="pct"/>
            <w:tcBorders>
              <w:top w:val="nil"/>
              <w:left w:val="nil"/>
              <w:bottom w:val="single" w:sz="4" w:space="0" w:color="auto"/>
              <w:right w:val="single" w:sz="4" w:space="0" w:color="auto"/>
            </w:tcBorders>
            <w:shd w:val="clear" w:color="auto" w:fill="auto"/>
            <w:noWrap/>
            <w:vAlign w:val="bottom"/>
            <w:hideMark/>
          </w:tcPr>
          <w:p w14:paraId="1BD84264"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141" w:type="pct"/>
            <w:vMerge/>
            <w:tcBorders>
              <w:top w:val="nil"/>
              <w:left w:val="single" w:sz="4" w:space="0" w:color="auto"/>
              <w:bottom w:val="single" w:sz="8" w:space="0" w:color="000000"/>
              <w:right w:val="single" w:sz="4" w:space="0" w:color="auto"/>
            </w:tcBorders>
            <w:vAlign w:val="center"/>
            <w:hideMark/>
          </w:tcPr>
          <w:p w14:paraId="5277C3F4" w14:textId="77777777" w:rsidR="00596935" w:rsidRPr="00596935" w:rsidRDefault="00596935" w:rsidP="00596935">
            <w:pPr>
              <w:rPr>
                <w:rFonts w:cs="Arial"/>
                <w:sz w:val="18"/>
                <w:szCs w:val="18"/>
                <w:lang w:val="de-AT" w:eastAsia="de-AT"/>
              </w:rPr>
            </w:pPr>
          </w:p>
        </w:tc>
        <w:tc>
          <w:tcPr>
            <w:tcW w:w="204" w:type="pct"/>
            <w:tcBorders>
              <w:top w:val="nil"/>
              <w:left w:val="nil"/>
              <w:bottom w:val="single" w:sz="4" w:space="0" w:color="auto"/>
              <w:right w:val="single" w:sz="8" w:space="0" w:color="auto"/>
            </w:tcBorders>
            <w:shd w:val="clear" w:color="auto" w:fill="auto"/>
            <w:noWrap/>
            <w:vAlign w:val="bottom"/>
            <w:hideMark/>
          </w:tcPr>
          <w:p w14:paraId="57A5485F"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18" w:type="pct"/>
            <w:tcBorders>
              <w:top w:val="nil"/>
              <w:left w:val="nil"/>
              <w:bottom w:val="single" w:sz="4" w:space="0" w:color="auto"/>
              <w:right w:val="single" w:sz="4" w:space="0" w:color="auto"/>
            </w:tcBorders>
            <w:shd w:val="clear" w:color="auto" w:fill="auto"/>
            <w:noWrap/>
            <w:vAlign w:val="bottom"/>
            <w:hideMark/>
          </w:tcPr>
          <w:p w14:paraId="7AD65174"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66.2</w:t>
            </w:r>
          </w:p>
        </w:tc>
        <w:tc>
          <w:tcPr>
            <w:tcW w:w="335" w:type="pct"/>
            <w:tcBorders>
              <w:top w:val="nil"/>
              <w:left w:val="nil"/>
              <w:bottom w:val="single" w:sz="4" w:space="0" w:color="auto"/>
              <w:right w:val="single" w:sz="4" w:space="0" w:color="auto"/>
            </w:tcBorders>
            <w:shd w:val="clear" w:color="auto" w:fill="auto"/>
            <w:noWrap/>
            <w:vAlign w:val="bottom"/>
            <w:hideMark/>
          </w:tcPr>
          <w:p w14:paraId="0AFFD365"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22,6</w:t>
            </w:r>
          </w:p>
        </w:tc>
        <w:tc>
          <w:tcPr>
            <w:tcW w:w="120" w:type="pct"/>
            <w:tcBorders>
              <w:top w:val="nil"/>
              <w:left w:val="nil"/>
              <w:bottom w:val="single" w:sz="4" w:space="0" w:color="auto"/>
              <w:right w:val="single" w:sz="8" w:space="0" w:color="auto"/>
            </w:tcBorders>
            <w:shd w:val="clear" w:color="auto" w:fill="auto"/>
            <w:noWrap/>
            <w:vAlign w:val="bottom"/>
            <w:hideMark/>
          </w:tcPr>
          <w:p w14:paraId="135D6DBC"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8</w:t>
            </w:r>
          </w:p>
        </w:tc>
        <w:tc>
          <w:tcPr>
            <w:tcW w:w="249" w:type="pct"/>
            <w:tcBorders>
              <w:top w:val="nil"/>
              <w:left w:val="nil"/>
              <w:bottom w:val="single" w:sz="4" w:space="0" w:color="auto"/>
              <w:right w:val="single" w:sz="4" w:space="0" w:color="auto"/>
            </w:tcBorders>
            <w:shd w:val="clear" w:color="auto" w:fill="auto"/>
            <w:noWrap/>
            <w:vAlign w:val="bottom"/>
            <w:hideMark/>
          </w:tcPr>
          <w:p w14:paraId="024786F0"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141" w:type="pct"/>
            <w:vMerge/>
            <w:tcBorders>
              <w:top w:val="nil"/>
              <w:left w:val="single" w:sz="4" w:space="0" w:color="auto"/>
              <w:bottom w:val="single" w:sz="8" w:space="0" w:color="000000"/>
              <w:right w:val="single" w:sz="4" w:space="0" w:color="auto"/>
            </w:tcBorders>
            <w:vAlign w:val="center"/>
            <w:hideMark/>
          </w:tcPr>
          <w:p w14:paraId="0D105D2A" w14:textId="77777777" w:rsidR="00596935" w:rsidRPr="00596935" w:rsidRDefault="00596935" w:rsidP="00596935">
            <w:pPr>
              <w:rPr>
                <w:rFonts w:cs="Arial"/>
                <w:sz w:val="18"/>
                <w:szCs w:val="18"/>
                <w:lang w:val="de-AT" w:eastAsia="de-AT"/>
              </w:rPr>
            </w:pPr>
          </w:p>
        </w:tc>
        <w:tc>
          <w:tcPr>
            <w:tcW w:w="207" w:type="pct"/>
            <w:tcBorders>
              <w:top w:val="nil"/>
              <w:left w:val="nil"/>
              <w:bottom w:val="single" w:sz="4" w:space="0" w:color="auto"/>
              <w:right w:val="single" w:sz="8" w:space="0" w:color="auto"/>
            </w:tcBorders>
            <w:shd w:val="clear" w:color="auto" w:fill="auto"/>
            <w:noWrap/>
            <w:vAlign w:val="bottom"/>
            <w:hideMark/>
          </w:tcPr>
          <w:p w14:paraId="47D2BBAC"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16" w:type="pct"/>
            <w:tcBorders>
              <w:top w:val="nil"/>
              <w:left w:val="nil"/>
              <w:bottom w:val="single" w:sz="4" w:space="0" w:color="auto"/>
              <w:right w:val="single" w:sz="4" w:space="0" w:color="auto"/>
            </w:tcBorders>
            <w:shd w:val="clear" w:color="auto" w:fill="auto"/>
            <w:noWrap/>
            <w:vAlign w:val="bottom"/>
            <w:hideMark/>
          </w:tcPr>
          <w:p w14:paraId="7A7694C8"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140" w:type="pct"/>
            <w:vMerge/>
            <w:tcBorders>
              <w:top w:val="nil"/>
              <w:left w:val="single" w:sz="4" w:space="0" w:color="auto"/>
              <w:bottom w:val="single" w:sz="8" w:space="0" w:color="000000"/>
              <w:right w:val="single" w:sz="4" w:space="0" w:color="auto"/>
            </w:tcBorders>
            <w:vAlign w:val="center"/>
            <w:hideMark/>
          </w:tcPr>
          <w:p w14:paraId="3236AF5F" w14:textId="77777777" w:rsidR="00596935" w:rsidRPr="00596935" w:rsidRDefault="00596935" w:rsidP="00596935">
            <w:pPr>
              <w:rPr>
                <w:rFonts w:cs="Arial"/>
                <w:sz w:val="18"/>
                <w:szCs w:val="18"/>
                <w:lang w:val="de-AT" w:eastAsia="de-AT"/>
              </w:rPr>
            </w:pPr>
          </w:p>
        </w:tc>
        <w:tc>
          <w:tcPr>
            <w:tcW w:w="238" w:type="pct"/>
            <w:tcBorders>
              <w:top w:val="nil"/>
              <w:left w:val="nil"/>
              <w:bottom w:val="single" w:sz="4" w:space="0" w:color="auto"/>
              <w:right w:val="single" w:sz="8" w:space="0" w:color="auto"/>
            </w:tcBorders>
            <w:shd w:val="clear" w:color="auto" w:fill="auto"/>
            <w:noWrap/>
            <w:vAlign w:val="bottom"/>
            <w:hideMark/>
          </w:tcPr>
          <w:p w14:paraId="76F2ACF2"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r>
      <w:tr w:rsidR="00596935" w:rsidRPr="00596935" w14:paraId="4A1D276E" w14:textId="77777777" w:rsidTr="00596935">
        <w:trPr>
          <w:trHeight w:val="525"/>
        </w:trPr>
        <w:tc>
          <w:tcPr>
            <w:tcW w:w="352" w:type="pct"/>
            <w:tcBorders>
              <w:top w:val="nil"/>
              <w:left w:val="single" w:sz="8" w:space="0" w:color="auto"/>
              <w:bottom w:val="single" w:sz="8" w:space="0" w:color="auto"/>
              <w:right w:val="nil"/>
            </w:tcBorders>
            <w:shd w:val="clear" w:color="auto" w:fill="auto"/>
            <w:vAlign w:val="bottom"/>
            <w:hideMark/>
          </w:tcPr>
          <w:p w14:paraId="2ABCD171" w14:textId="6ABC1E7D" w:rsidR="00596935" w:rsidRPr="00596935" w:rsidRDefault="00596935" w:rsidP="003733D2">
            <w:pPr>
              <w:rPr>
                <w:rFonts w:cs="Arial"/>
                <w:color w:val="000000"/>
                <w:sz w:val="18"/>
                <w:szCs w:val="18"/>
                <w:lang w:val="de-AT" w:eastAsia="de-AT"/>
              </w:rPr>
            </w:pPr>
            <w:r w:rsidRPr="00596935">
              <w:rPr>
                <w:rFonts w:cs="Arial"/>
                <w:color w:val="000000"/>
                <w:sz w:val="18"/>
                <w:szCs w:val="18"/>
                <w:lang w:val="de-AT" w:eastAsia="de-AT"/>
              </w:rPr>
              <w:t xml:space="preserve">Kraus et al.2011 </w:t>
            </w:r>
          </w:p>
        </w:tc>
        <w:tc>
          <w:tcPr>
            <w:tcW w:w="352" w:type="pct"/>
            <w:tcBorders>
              <w:top w:val="nil"/>
              <w:left w:val="single" w:sz="4" w:space="0" w:color="auto"/>
              <w:bottom w:val="single" w:sz="4" w:space="0" w:color="auto"/>
              <w:right w:val="nil"/>
            </w:tcBorders>
            <w:shd w:val="clear" w:color="auto" w:fill="auto"/>
            <w:vAlign w:val="bottom"/>
            <w:hideMark/>
          </w:tcPr>
          <w:p w14:paraId="28BBA3D5"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 xml:space="preserve">CID  W-22 </w:t>
            </w:r>
          </w:p>
        </w:tc>
        <w:tc>
          <w:tcPr>
            <w:tcW w:w="258" w:type="pct"/>
            <w:tcBorders>
              <w:top w:val="nil"/>
              <w:left w:val="single" w:sz="8" w:space="0" w:color="auto"/>
              <w:bottom w:val="single" w:sz="4" w:space="0" w:color="auto"/>
              <w:right w:val="single" w:sz="4" w:space="0" w:color="auto"/>
            </w:tcBorders>
            <w:shd w:val="clear" w:color="auto" w:fill="auto"/>
            <w:noWrap/>
            <w:vAlign w:val="bottom"/>
            <w:hideMark/>
          </w:tcPr>
          <w:p w14:paraId="4188FCAB"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10.4</w:t>
            </w:r>
          </w:p>
        </w:tc>
        <w:tc>
          <w:tcPr>
            <w:tcW w:w="313" w:type="pct"/>
            <w:tcBorders>
              <w:top w:val="nil"/>
              <w:left w:val="nil"/>
              <w:bottom w:val="single" w:sz="4" w:space="0" w:color="auto"/>
              <w:right w:val="single" w:sz="4" w:space="0" w:color="auto"/>
            </w:tcBorders>
            <w:shd w:val="clear" w:color="auto" w:fill="auto"/>
            <w:noWrap/>
            <w:vAlign w:val="bottom"/>
            <w:hideMark/>
          </w:tcPr>
          <w:p w14:paraId="3F52013D"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120" w:type="pct"/>
            <w:tcBorders>
              <w:top w:val="nil"/>
              <w:left w:val="nil"/>
              <w:bottom w:val="single" w:sz="4" w:space="0" w:color="auto"/>
              <w:right w:val="single" w:sz="8" w:space="0" w:color="auto"/>
            </w:tcBorders>
            <w:shd w:val="clear" w:color="auto" w:fill="auto"/>
            <w:noWrap/>
            <w:vAlign w:val="bottom"/>
            <w:hideMark/>
          </w:tcPr>
          <w:p w14:paraId="48066830"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54</w:t>
            </w:r>
          </w:p>
        </w:tc>
        <w:tc>
          <w:tcPr>
            <w:tcW w:w="224" w:type="pct"/>
            <w:tcBorders>
              <w:top w:val="nil"/>
              <w:left w:val="nil"/>
              <w:bottom w:val="single" w:sz="4" w:space="0" w:color="auto"/>
              <w:right w:val="single" w:sz="4" w:space="0" w:color="auto"/>
            </w:tcBorders>
            <w:shd w:val="clear" w:color="auto" w:fill="auto"/>
            <w:noWrap/>
            <w:vAlign w:val="bottom"/>
            <w:hideMark/>
          </w:tcPr>
          <w:p w14:paraId="38D7C9E9"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44" w:type="pct"/>
            <w:tcBorders>
              <w:top w:val="nil"/>
              <w:left w:val="nil"/>
              <w:bottom w:val="single" w:sz="4" w:space="0" w:color="auto"/>
              <w:right w:val="single" w:sz="4" w:space="0" w:color="auto"/>
            </w:tcBorders>
            <w:shd w:val="clear" w:color="auto" w:fill="auto"/>
            <w:noWrap/>
            <w:vAlign w:val="bottom"/>
            <w:hideMark/>
          </w:tcPr>
          <w:p w14:paraId="4969CCA1"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120" w:type="pct"/>
            <w:tcBorders>
              <w:top w:val="nil"/>
              <w:left w:val="nil"/>
              <w:bottom w:val="single" w:sz="4" w:space="0" w:color="auto"/>
              <w:right w:val="single" w:sz="8" w:space="0" w:color="auto"/>
            </w:tcBorders>
            <w:shd w:val="clear" w:color="auto" w:fill="auto"/>
            <w:noWrap/>
            <w:vAlign w:val="bottom"/>
            <w:hideMark/>
          </w:tcPr>
          <w:p w14:paraId="7ADC2649"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46" w:type="pct"/>
            <w:tcBorders>
              <w:top w:val="nil"/>
              <w:left w:val="nil"/>
              <w:bottom w:val="single" w:sz="4" w:space="0" w:color="auto"/>
              <w:right w:val="single" w:sz="4" w:space="0" w:color="auto"/>
            </w:tcBorders>
            <w:shd w:val="clear" w:color="auto" w:fill="auto"/>
            <w:noWrap/>
            <w:vAlign w:val="bottom"/>
            <w:hideMark/>
          </w:tcPr>
          <w:p w14:paraId="6AB5AAA4"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140" w:type="pct"/>
            <w:vMerge/>
            <w:tcBorders>
              <w:top w:val="nil"/>
              <w:left w:val="single" w:sz="4" w:space="0" w:color="auto"/>
              <w:bottom w:val="single" w:sz="8" w:space="0" w:color="000000"/>
              <w:right w:val="single" w:sz="4" w:space="0" w:color="auto"/>
            </w:tcBorders>
            <w:vAlign w:val="center"/>
            <w:hideMark/>
          </w:tcPr>
          <w:p w14:paraId="5660339D" w14:textId="77777777" w:rsidR="00596935" w:rsidRPr="00596935" w:rsidRDefault="00596935" w:rsidP="00596935">
            <w:pPr>
              <w:rPr>
                <w:rFonts w:cs="Arial"/>
                <w:color w:val="000000"/>
                <w:sz w:val="18"/>
                <w:szCs w:val="18"/>
                <w:lang w:val="de-AT" w:eastAsia="de-AT"/>
              </w:rPr>
            </w:pPr>
          </w:p>
        </w:tc>
        <w:tc>
          <w:tcPr>
            <w:tcW w:w="209" w:type="pct"/>
            <w:tcBorders>
              <w:top w:val="nil"/>
              <w:left w:val="nil"/>
              <w:bottom w:val="single" w:sz="4" w:space="0" w:color="auto"/>
              <w:right w:val="single" w:sz="8" w:space="0" w:color="auto"/>
            </w:tcBorders>
            <w:shd w:val="clear" w:color="auto" w:fill="auto"/>
            <w:noWrap/>
            <w:vAlign w:val="bottom"/>
            <w:hideMark/>
          </w:tcPr>
          <w:p w14:paraId="43A8E64D"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13" w:type="pct"/>
            <w:tcBorders>
              <w:top w:val="nil"/>
              <w:left w:val="nil"/>
              <w:bottom w:val="single" w:sz="4" w:space="0" w:color="auto"/>
              <w:right w:val="single" w:sz="4" w:space="0" w:color="auto"/>
            </w:tcBorders>
            <w:shd w:val="clear" w:color="auto" w:fill="auto"/>
            <w:noWrap/>
            <w:vAlign w:val="bottom"/>
            <w:hideMark/>
          </w:tcPr>
          <w:p w14:paraId="4197F0C3"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141" w:type="pct"/>
            <w:vMerge/>
            <w:tcBorders>
              <w:top w:val="nil"/>
              <w:left w:val="single" w:sz="4" w:space="0" w:color="auto"/>
              <w:bottom w:val="single" w:sz="8" w:space="0" w:color="000000"/>
              <w:right w:val="single" w:sz="4" w:space="0" w:color="auto"/>
            </w:tcBorders>
            <w:vAlign w:val="center"/>
            <w:hideMark/>
          </w:tcPr>
          <w:p w14:paraId="7CFC4C0B" w14:textId="77777777" w:rsidR="00596935" w:rsidRPr="00596935" w:rsidRDefault="00596935" w:rsidP="00596935">
            <w:pPr>
              <w:rPr>
                <w:rFonts w:cs="Arial"/>
                <w:sz w:val="18"/>
                <w:szCs w:val="18"/>
                <w:lang w:val="de-AT" w:eastAsia="de-AT"/>
              </w:rPr>
            </w:pPr>
          </w:p>
        </w:tc>
        <w:tc>
          <w:tcPr>
            <w:tcW w:w="204" w:type="pct"/>
            <w:tcBorders>
              <w:top w:val="nil"/>
              <w:left w:val="nil"/>
              <w:bottom w:val="single" w:sz="4" w:space="0" w:color="auto"/>
              <w:right w:val="single" w:sz="8" w:space="0" w:color="auto"/>
            </w:tcBorders>
            <w:shd w:val="clear" w:color="auto" w:fill="auto"/>
            <w:noWrap/>
            <w:vAlign w:val="bottom"/>
            <w:hideMark/>
          </w:tcPr>
          <w:p w14:paraId="75FE2EB7"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18" w:type="pct"/>
            <w:tcBorders>
              <w:top w:val="nil"/>
              <w:left w:val="nil"/>
              <w:bottom w:val="single" w:sz="4" w:space="0" w:color="auto"/>
              <w:right w:val="single" w:sz="4" w:space="0" w:color="auto"/>
            </w:tcBorders>
            <w:shd w:val="clear" w:color="auto" w:fill="auto"/>
            <w:noWrap/>
            <w:vAlign w:val="bottom"/>
            <w:hideMark/>
          </w:tcPr>
          <w:p w14:paraId="335311E6"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335" w:type="pct"/>
            <w:tcBorders>
              <w:top w:val="nil"/>
              <w:left w:val="nil"/>
              <w:bottom w:val="single" w:sz="4" w:space="0" w:color="auto"/>
              <w:right w:val="single" w:sz="4" w:space="0" w:color="auto"/>
            </w:tcBorders>
            <w:shd w:val="clear" w:color="auto" w:fill="auto"/>
            <w:noWrap/>
            <w:vAlign w:val="bottom"/>
            <w:hideMark/>
          </w:tcPr>
          <w:p w14:paraId="14E2824B"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120" w:type="pct"/>
            <w:tcBorders>
              <w:top w:val="nil"/>
              <w:left w:val="nil"/>
              <w:bottom w:val="single" w:sz="4" w:space="0" w:color="auto"/>
              <w:right w:val="single" w:sz="8" w:space="0" w:color="auto"/>
            </w:tcBorders>
            <w:shd w:val="clear" w:color="auto" w:fill="auto"/>
            <w:noWrap/>
            <w:vAlign w:val="bottom"/>
            <w:hideMark/>
          </w:tcPr>
          <w:p w14:paraId="50AD33A3"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49" w:type="pct"/>
            <w:tcBorders>
              <w:top w:val="nil"/>
              <w:left w:val="nil"/>
              <w:bottom w:val="single" w:sz="4" w:space="0" w:color="auto"/>
              <w:right w:val="single" w:sz="4" w:space="0" w:color="auto"/>
            </w:tcBorders>
            <w:shd w:val="clear" w:color="auto" w:fill="auto"/>
            <w:noWrap/>
            <w:vAlign w:val="bottom"/>
            <w:hideMark/>
          </w:tcPr>
          <w:p w14:paraId="1FA2DD7E"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69.1</w:t>
            </w:r>
          </w:p>
        </w:tc>
        <w:tc>
          <w:tcPr>
            <w:tcW w:w="141" w:type="pct"/>
            <w:vMerge/>
            <w:tcBorders>
              <w:top w:val="nil"/>
              <w:left w:val="single" w:sz="4" w:space="0" w:color="auto"/>
              <w:bottom w:val="single" w:sz="8" w:space="0" w:color="000000"/>
              <w:right w:val="single" w:sz="4" w:space="0" w:color="auto"/>
            </w:tcBorders>
            <w:vAlign w:val="center"/>
            <w:hideMark/>
          </w:tcPr>
          <w:p w14:paraId="4617E61E" w14:textId="77777777" w:rsidR="00596935" w:rsidRPr="00596935" w:rsidRDefault="00596935" w:rsidP="00596935">
            <w:pPr>
              <w:rPr>
                <w:rFonts w:cs="Arial"/>
                <w:sz w:val="18"/>
                <w:szCs w:val="18"/>
                <w:lang w:val="de-AT" w:eastAsia="de-AT"/>
              </w:rPr>
            </w:pPr>
          </w:p>
        </w:tc>
        <w:tc>
          <w:tcPr>
            <w:tcW w:w="207" w:type="pct"/>
            <w:tcBorders>
              <w:top w:val="nil"/>
              <w:left w:val="nil"/>
              <w:bottom w:val="single" w:sz="4" w:space="0" w:color="auto"/>
              <w:right w:val="single" w:sz="8" w:space="0" w:color="auto"/>
            </w:tcBorders>
            <w:shd w:val="clear" w:color="auto" w:fill="auto"/>
            <w:noWrap/>
            <w:vAlign w:val="bottom"/>
            <w:hideMark/>
          </w:tcPr>
          <w:p w14:paraId="1DE3E158"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54</w:t>
            </w:r>
          </w:p>
        </w:tc>
        <w:tc>
          <w:tcPr>
            <w:tcW w:w="216" w:type="pct"/>
            <w:tcBorders>
              <w:top w:val="nil"/>
              <w:left w:val="nil"/>
              <w:bottom w:val="single" w:sz="4" w:space="0" w:color="auto"/>
              <w:right w:val="single" w:sz="4" w:space="0" w:color="auto"/>
            </w:tcBorders>
            <w:shd w:val="clear" w:color="auto" w:fill="auto"/>
            <w:noWrap/>
            <w:vAlign w:val="bottom"/>
            <w:hideMark/>
          </w:tcPr>
          <w:p w14:paraId="4A48BBA5"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68.9</w:t>
            </w:r>
          </w:p>
        </w:tc>
        <w:tc>
          <w:tcPr>
            <w:tcW w:w="140" w:type="pct"/>
            <w:vMerge/>
            <w:tcBorders>
              <w:top w:val="nil"/>
              <w:left w:val="single" w:sz="4" w:space="0" w:color="auto"/>
              <w:bottom w:val="single" w:sz="8" w:space="0" w:color="000000"/>
              <w:right w:val="single" w:sz="4" w:space="0" w:color="auto"/>
            </w:tcBorders>
            <w:vAlign w:val="center"/>
            <w:hideMark/>
          </w:tcPr>
          <w:p w14:paraId="63537824" w14:textId="77777777" w:rsidR="00596935" w:rsidRPr="00596935" w:rsidRDefault="00596935" w:rsidP="00596935">
            <w:pPr>
              <w:rPr>
                <w:rFonts w:cs="Arial"/>
                <w:sz w:val="18"/>
                <w:szCs w:val="18"/>
                <w:lang w:val="de-AT" w:eastAsia="de-AT"/>
              </w:rPr>
            </w:pPr>
          </w:p>
        </w:tc>
        <w:tc>
          <w:tcPr>
            <w:tcW w:w="238" w:type="pct"/>
            <w:tcBorders>
              <w:top w:val="nil"/>
              <w:left w:val="nil"/>
              <w:bottom w:val="single" w:sz="4" w:space="0" w:color="auto"/>
              <w:right w:val="single" w:sz="8" w:space="0" w:color="auto"/>
            </w:tcBorders>
            <w:shd w:val="clear" w:color="auto" w:fill="auto"/>
            <w:noWrap/>
            <w:vAlign w:val="bottom"/>
            <w:hideMark/>
          </w:tcPr>
          <w:p w14:paraId="1434D6B2"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54</w:t>
            </w:r>
          </w:p>
        </w:tc>
      </w:tr>
      <w:tr w:rsidR="00596935" w:rsidRPr="00596935" w14:paraId="579FF624" w14:textId="77777777" w:rsidTr="00596935">
        <w:trPr>
          <w:trHeight w:val="525"/>
        </w:trPr>
        <w:tc>
          <w:tcPr>
            <w:tcW w:w="352" w:type="pct"/>
            <w:tcBorders>
              <w:top w:val="nil"/>
              <w:left w:val="single" w:sz="8" w:space="0" w:color="auto"/>
              <w:bottom w:val="single" w:sz="8" w:space="0" w:color="auto"/>
              <w:right w:val="nil"/>
            </w:tcBorders>
            <w:shd w:val="clear" w:color="auto" w:fill="auto"/>
            <w:vAlign w:val="bottom"/>
            <w:hideMark/>
          </w:tcPr>
          <w:p w14:paraId="5B7E8CB6" w14:textId="77777777" w:rsidR="00596935" w:rsidRPr="00596935" w:rsidRDefault="00596935" w:rsidP="00596935">
            <w:pPr>
              <w:rPr>
                <w:rFonts w:cs="Arial"/>
                <w:color w:val="000000"/>
                <w:sz w:val="18"/>
                <w:szCs w:val="18"/>
                <w:lang w:val="de-AT" w:eastAsia="de-AT"/>
              </w:rPr>
            </w:pPr>
            <w:r w:rsidRPr="00596935">
              <w:rPr>
                <w:rFonts w:cs="Arial"/>
                <w:color w:val="000000"/>
                <w:sz w:val="18"/>
                <w:szCs w:val="18"/>
                <w:lang w:val="de-AT" w:eastAsia="de-AT"/>
              </w:rPr>
              <w:t>Bruschini 2010</w:t>
            </w:r>
          </w:p>
        </w:tc>
        <w:tc>
          <w:tcPr>
            <w:tcW w:w="352" w:type="pct"/>
            <w:tcBorders>
              <w:top w:val="nil"/>
              <w:left w:val="single" w:sz="4" w:space="0" w:color="auto"/>
              <w:bottom w:val="single" w:sz="4" w:space="0" w:color="auto"/>
              <w:right w:val="nil"/>
            </w:tcBorders>
            <w:shd w:val="clear" w:color="auto" w:fill="auto"/>
            <w:vAlign w:val="bottom"/>
            <w:hideMark/>
          </w:tcPr>
          <w:p w14:paraId="20E91595"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Italian disyllables</w:t>
            </w:r>
          </w:p>
        </w:tc>
        <w:tc>
          <w:tcPr>
            <w:tcW w:w="258" w:type="pct"/>
            <w:tcBorders>
              <w:top w:val="nil"/>
              <w:left w:val="single" w:sz="8" w:space="0" w:color="auto"/>
              <w:bottom w:val="single" w:sz="4" w:space="0" w:color="auto"/>
              <w:right w:val="single" w:sz="4" w:space="0" w:color="auto"/>
            </w:tcBorders>
            <w:shd w:val="clear" w:color="auto" w:fill="auto"/>
            <w:noWrap/>
            <w:vAlign w:val="bottom"/>
            <w:hideMark/>
          </w:tcPr>
          <w:p w14:paraId="28EDCB73"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32.5</w:t>
            </w:r>
          </w:p>
        </w:tc>
        <w:tc>
          <w:tcPr>
            <w:tcW w:w="313" w:type="pct"/>
            <w:tcBorders>
              <w:top w:val="nil"/>
              <w:left w:val="nil"/>
              <w:bottom w:val="single" w:sz="4" w:space="0" w:color="auto"/>
              <w:right w:val="single" w:sz="4" w:space="0" w:color="auto"/>
            </w:tcBorders>
            <w:shd w:val="clear" w:color="auto" w:fill="auto"/>
            <w:noWrap/>
            <w:vAlign w:val="bottom"/>
            <w:hideMark/>
          </w:tcPr>
          <w:p w14:paraId="45A2B7D8"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120" w:type="pct"/>
            <w:tcBorders>
              <w:top w:val="nil"/>
              <w:left w:val="nil"/>
              <w:bottom w:val="single" w:sz="4" w:space="0" w:color="auto"/>
              <w:right w:val="single" w:sz="8" w:space="0" w:color="auto"/>
            </w:tcBorders>
            <w:shd w:val="clear" w:color="auto" w:fill="auto"/>
            <w:noWrap/>
            <w:vAlign w:val="bottom"/>
            <w:hideMark/>
          </w:tcPr>
          <w:p w14:paraId="0E73B4BC"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7</w:t>
            </w:r>
          </w:p>
        </w:tc>
        <w:tc>
          <w:tcPr>
            <w:tcW w:w="224" w:type="pct"/>
            <w:tcBorders>
              <w:top w:val="nil"/>
              <w:left w:val="nil"/>
              <w:bottom w:val="single" w:sz="4" w:space="0" w:color="auto"/>
              <w:right w:val="single" w:sz="4" w:space="0" w:color="auto"/>
            </w:tcBorders>
            <w:shd w:val="clear" w:color="auto" w:fill="auto"/>
            <w:noWrap/>
            <w:vAlign w:val="bottom"/>
            <w:hideMark/>
          </w:tcPr>
          <w:p w14:paraId="07E94CEB"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44" w:type="pct"/>
            <w:tcBorders>
              <w:top w:val="nil"/>
              <w:left w:val="nil"/>
              <w:bottom w:val="single" w:sz="4" w:space="0" w:color="auto"/>
              <w:right w:val="single" w:sz="4" w:space="0" w:color="auto"/>
            </w:tcBorders>
            <w:shd w:val="clear" w:color="auto" w:fill="auto"/>
            <w:noWrap/>
            <w:vAlign w:val="bottom"/>
            <w:hideMark/>
          </w:tcPr>
          <w:p w14:paraId="1C3884D4"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120" w:type="pct"/>
            <w:tcBorders>
              <w:top w:val="nil"/>
              <w:left w:val="nil"/>
              <w:bottom w:val="single" w:sz="4" w:space="0" w:color="auto"/>
              <w:right w:val="single" w:sz="8" w:space="0" w:color="auto"/>
            </w:tcBorders>
            <w:shd w:val="clear" w:color="auto" w:fill="auto"/>
            <w:noWrap/>
            <w:vAlign w:val="bottom"/>
            <w:hideMark/>
          </w:tcPr>
          <w:p w14:paraId="3F4C67FF"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46" w:type="pct"/>
            <w:tcBorders>
              <w:top w:val="nil"/>
              <w:left w:val="nil"/>
              <w:bottom w:val="single" w:sz="4" w:space="0" w:color="auto"/>
              <w:right w:val="single" w:sz="4" w:space="0" w:color="auto"/>
            </w:tcBorders>
            <w:shd w:val="clear" w:color="auto" w:fill="auto"/>
            <w:noWrap/>
            <w:vAlign w:val="bottom"/>
            <w:hideMark/>
          </w:tcPr>
          <w:p w14:paraId="713E7734"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140" w:type="pct"/>
            <w:vMerge/>
            <w:tcBorders>
              <w:top w:val="nil"/>
              <w:left w:val="single" w:sz="4" w:space="0" w:color="auto"/>
              <w:bottom w:val="single" w:sz="8" w:space="0" w:color="000000"/>
              <w:right w:val="single" w:sz="4" w:space="0" w:color="auto"/>
            </w:tcBorders>
            <w:vAlign w:val="center"/>
            <w:hideMark/>
          </w:tcPr>
          <w:p w14:paraId="046FF05E" w14:textId="77777777" w:rsidR="00596935" w:rsidRPr="00596935" w:rsidRDefault="00596935" w:rsidP="00596935">
            <w:pPr>
              <w:rPr>
                <w:rFonts w:cs="Arial"/>
                <w:color w:val="000000"/>
                <w:sz w:val="18"/>
                <w:szCs w:val="18"/>
                <w:lang w:val="de-AT" w:eastAsia="de-AT"/>
              </w:rPr>
            </w:pPr>
          </w:p>
        </w:tc>
        <w:tc>
          <w:tcPr>
            <w:tcW w:w="209" w:type="pct"/>
            <w:tcBorders>
              <w:top w:val="nil"/>
              <w:left w:val="nil"/>
              <w:bottom w:val="single" w:sz="4" w:space="0" w:color="auto"/>
              <w:right w:val="single" w:sz="8" w:space="0" w:color="auto"/>
            </w:tcBorders>
            <w:shd w:val="clear" w:color="auto" w:fill="auto"/>
            <w:noWrap/>
            <w:vAlign w:val="bottom"/>
            <w:hideMark/>
          </w:tcPr>
          <w:p w14:paraId="5564FDF8"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13" w:type="pct"/>
            <w:tcBorders>
              <w:top w:val="nil"/>
              <w:left w:val="nil"/>
              <w:bottom w:val="single" w:sz="4" w:space="0" w:color="auto"/>
              <w:right w:val="single" w:sz="4" w:space="0" w:color="auto"/>
            </w:tcBorders>
            <w:shd w:val="clear" w:color="auto" w:fill="auto"/>
            <w:noWrap/>
            <w:vAlign w:val="bottom"/>
            <w:hideMark/>
          </w:tcPr>
          <w:p w14:paraId="1E6FF94C"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141" w:type="pct"/>
            <w:vMerge/>
            <w:tcBorders>
              <w:top w:val="nil"/>
              <w:left w:val="single" w:sz="4" w:space="0" w:color="auto"/>
              <w:bottom w:val="single" w:sz="8" w:space="0" w:color="000000"/>
              <w:right w:val="single" w:sz="4" w:space="0" w:color="auto"/>
            </w:tcBorders>
            <w:vAlign w:val="center"/>
            <w:hideMark/>
          </w:tcPr>
          <w:p w14:paraId="48BBA928" w14:textId="77777777" w:rsidR="00596935" w:rsidRPr="00596935" w:rsidRDefault="00596935" w:rsidP="00596935">
            <w:pPr>
              <w:rPr>
                <w:rFonts w:cs="Arial"/>
                <w:sz w:val="18"/>
                <w:szCs w:val="18"/>
                <w:lang w:val="de-AT" w:eastAsia="de-AT"/>
              </w:rPr>
            </w:pPr>
          </w:p>
        </w:tc>
        <w:tc>
          <w:tcPr>
            <w:tcW w:w="204" w:type="pct"/>
            <w:tcBorders>
              <w:top w:val="nil"/>
              <w:left w:val="nil"/>
              <w:bottom w:val="single" w:sz="4" w:space="0" w:color="auto"/>
              <w:right w:val="single" w:sz="8" w:space="0" w:color="auto"/>
            </w:tcBorders>
            <w:shd w:val="clear" w:color="auto" w:fill="auto"/>
            <w:noWrap/>
            <w:vAlign w:val="bottom"/>
            <w:hideMark/>
          </w:tcPr>
          <w:p w14:paraId="6255477C"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18" w:type="pct"/>
            <w:tcBorders>
              <w:top w:val="nil"/>
              <w:left w:val="nil"/>
              <w:bottom w:val="single" w:sz="4" w:space="0" w:color="auto"/>
              <w:right w:val="single" w:sz="4" w:space="0" w:color="auto"/>
            </w:tcBorders>
            <w:shd w:val="clear" w:color="auto" w:fill="auto"/>
            <w:noWrap/>
            <w:vAlign w:val="bottom"/>
            <w:hideMark/>
          </w:tcPr>
          <w:p w14:paraId="7CA445B9"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335" w:type="pct"/>
            <w:tcBorders>
              <w:top w:val="nil"/>
              <w:left w:val="nil"/>
              <w:bottom w:val="single" w:sz="4" w:space="0" w:color="auto"/>
              <w:right w:val="single" w:sz="4" w:space="0" w:color="auto"/>
            </w:tcBorders>
            <w:shd w:val="clear" w:color="auto" w:fill="auto"/>
            <w:noWrap/>
            <w:vAlign w:val="bottom"/>
            <w:hideMark/>
          </w:tcPr>
          <w:p w14:paraId="4513B6B4"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120" w:type="pct"/>
            <w:tcBorders>
              <w:top w:val="nil"/>
              <w:left w:val="nil"/>
              <w:bottom w:val="single" w:sz="4" w:space="0" w:color="auto"/>
              <w:right w:val="single" w:sz="8" w:space="0" w:color="auto"/>
            </w:tcBorders>
            <w:shd w:val="clear" w:color="auto" w:fill="auto"/>
            <w:noWrap/>
            <w:vAlign w:val="bottom"/>
            <w:hideMark/>
          </w:tcPr>
          <w:p w14:paraId="2054F1D5"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49" w:type="pct"/>
            <w:tcBorders>
              <w:top w:val="nil"/>
              <w:left w:val="nil"/>
              <w:bottom w:val="single" w:sz="4" w:space="0" w:color="auto"/>
              <w:right w:val="single" w:sz="4" w:space="0" w:color="auto"/>
            </w:tcBorders>
            <w:shd w:val="clear" w:color="auto" w:fill="auto"/>
            <w:noWrap/>
            <w:vAlign w:val="bottom"/>
            <w:hideMark/>
          </w:tcPr>
          <w:p w14:paraId="75CE3511"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141" w:type="pct"/>
            <w:vMerge/>
            <w:tcBorders>
              <w:top w:val="nil"/>
              <w:left w:val="single" w:sz="4" w:space="0" w:color="auto"/>
              <w:bottom w:val="single" w:sz="8" w:space="0" w:color="000000"/>
              <w:right w:val="single" w:sz="4" w:space="0" w:color="auto"/>
            </w:tcBorders>
            <w:vAlign w:val="center"/>
            <w:hideMark/>
          </w:tcPr>
          <w:p w14:paraId="02D6D254" w14:textId="77777777" w:rsidR="00596935" w:rsidRPr="00596935" w:rsidRDefault="00596935" w:rsidP="00596935">
            <w:pPr>
              <w:rPr>
                <w:rFonts w:cs="Arial"/>
                <w:sz w:val="18"/>
                <w:szCs w:val="18"/>
                <w:lang w:val="de-AT" w:eastAsia="de-AT"/>
              </w:rPr>
            </w:pPr>
          </w:p>
        </w:tc>
        <w:tc>
          <w:tcPr>
            <w:tcW w:w="207" w:type="pct"/>
            <w:tcBorders>
              <w:top w:val="nil"/>
              <w:left w:val="nil"/>
              <w:bottom w:val="single" w:sz="4" w:space="0" w:color="auto"/>
              <w:right w:val="single" w:sz="8" w:space="0" w:color="auto"/>
            </w:tcBorders>
            <w:shd w:val="clear" w:color="auto" w:fill="auto"/>
            <w:noWrap/>
            <w:vAlign w:val="bottom"/>
            <w:hideMark/>
          </w:tcPr>
          <w:p w14:paraId="064F8B74"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16" w:type="pct"/>
            <w:tcBorders>
              <w:top w:val="nil"/>
              <w:left w:val="nil"/>
              <w:bottom w:val="single" w:sz="4" w:space="0" w:color="auto"/>
              <w:right w:val="single" w:sz="4" w:space="0" w:color="auto"/>
            </w:tcBorders>
            <w:shd w:val="clear" w:color="auto" w:fill="auto"/>
            <w:noWrap/>
            <w:vAlign w:val="bottom"/>
            <w:hideMark/>
          </w:tcPr>
          <w:p w14:paraId="34A597B1"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68.75</w:t>
            </w:r>
          </w:p>
        </w:tc>
        <w:tc>
          <w:tcPr>
            <w:tcW w:w="140" w:type="pct"/>
            <w:vMerge/>
            <w:tcBorders>
              <w:top w:val="nil"/>
              <w:left w:val="single" w:sz="4" w:space="0" w:color="auto"/>
              <w:bottom w:val="single" w:sz="8" w:space="0" w:color="000000"/>
              <w:right w:val="single" w:sz="4" w:space="0" w:color="auto"/>
            </w:tcBorders>
            <w:vAlign w:val="center"/>
            <w:hideMark/>
          </w:tcPr>
          <w:p w14:paraId="4FB934C3" w14:textId="77777777" w:rsidR="00596935" w:rsidRPr="00596935" w:rsidRDefault="00596935" w:rsidP="00596935">
            <w:pPr>
              <w:rPr>
                <w:rFonts w:cs="Arial"/>
                <w:sz w:val="18"/>
                <w:szCs w:val="18"/>
                <w:lang w:val="de-AT" w:eastAsia="de-AT"/>
              </w:rPr>
            </w:pPr>
          </w:p>
        </w:tc>
        <w:tc>
          <w:tcPr>
            <w:tcW w:w="238" w:type="pct"/>
            <w:tcBorders>
              <w:top w:val="nil"/>
              <w:left w:val="nil"/>
              <w:bottom w:val="single" w:sz="4" w:space="0" w:color="auto"/>
              <w:right w:val="single" w:sz="8" w:space="0" w:color="auto"/>
            </w:tcBorders>
            <w:shd w:val="clear" w:color="auto" w:fill="auto"/>
            <w:noWrap/>
            <w:vAlign w:val="bottom"/>
            <w:hideMark/>
          </w:tcPr>
          <w:p w14:paraId="0F29F4C6"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7</w:t>
            </w:r>
          </w:p>
        </w:tc>
      </w:tr>
      <w:tr w:rsidR="00596935" w:rsidRPr="00596935" w14:paraId="6AB13BF8" w14:textId="77777777" w:rsidTr="00596935">
        <w:trPr>
          <w:trHeight w:val="525"/>
        </w:trPr>
        <w:tc>
          <w:tcPr>
            <w:tcW w:w="352" w:type="pct"/>
            <w:tcBorders>
              <w:top w:val="nil"/>
              <w:left w:val="single" w:sz="8" w:space="0" w:color="auto"/>
              <w:bottom w:val="single" w:sz="8" w:space="0" w:color="auto"/>
              <w:right w:val="nil"/>
            </w:tcBorders>
            <w:shd w:val="clear" w:color="auto" w:fill="auto"/>
            <w:vAlign w:val="bottom"/>
            <w:hideMark/>
          </w:tcPr>
          <w:p w14:paraId="2EB2B558" w14:textId="77777777" w:rsidR="00596935" w:rsidRPr="00596935" w:rsidRDefault="00596935" w:rsidP="00596935">
            <w:pPr>
              <w:rPr>
                <w:rFonts w:cs="Arial"/>
                <w:color w:val="000000"/>
                <w:sz w:val="18"/>
                <w:szCs w:val="18"/>
                <w:lang w:val="de-AT" w:eastAsia="de-AT"/>
              </w:rPr>
            </w:pPr>
            <w:r w:rsidRPr="00596935">
              <w:rPr>
                <w:rFonts w:cs="Arial"/>
                <w:color w:val="000000"/>
                <w:sz w:val="18"/>
                <w:szCs w:val="18"/>
                <w:lang w:val="de-AT" w:eastAsia="de-AT"/>
              </w:rPr>
              <w:t xml:space="preserve">Jenkins et al. 2008   </w:t>
            </w:r>
          </w:p>
        </w:tc>
        <w:tc>
          <w:tcPr>
            <w:tcW w:w="352" w:type="pct"/>
            <w:tcBorders>
              <w:top w:val="nil"/>
              <w:left w:val="single" w:sz="4" w:space="0" w:color="auto"/>
              <w:bottom w:val="single" w:sz="4" w:space="0" w:color="auto"/>
              <w:right w:val="nil"/>
            </w:tcBorders>
            <w:shd w:val="clear" w:color="auto" w:fill="auto"/>
            <w:vAlign w:val="bottom"/>
            <w:hideMark/>
          </w:tcPr>
          <w:p w14:paraId="18E3CAE3"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CNC words</w:t>
            </w:r>
          </w:p>
        </w:tc>
        <w:tc>
          <w:tcPr>
            <w:tcW w:w="258" w:type="pct"/>
            <w:tcBorders>
              <w:top w:val="nil"/>
              <w:left w:val="single" w:sz="8" w:space="0" w:color="auto"/>
              <w:bottom w:val="single" w:sz="4" w:space="0" w:color="auto"/>
              <w:right w:val="single" w:sz="4" w:space="0" w:color="auto"/>
            </w:tcBorders>
            <w:shd w:val="clear" w:color="auto" w:fill="auto"/>
            <w:noWrap/>
            <w:vAlign w:val="bottom"/>
            <w:hideMark/>
          </w:tcPr>
          <w:p w14:paraId="75EB18BD"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313" w:type="pct"/>
            <w:tcBorders>
              <w:top w:val="nil"/>
              <w:left w:val="nil"/>
              <w:bottom w:val="single" w:sz="4" w:space="0" w:color="auto"/>
              <w:right w:val="single" w:sz="4" w:space="0" w:color="auto"/>
            </w:tcBorders>
            <w:shd w:val="clear" w:color="auto" w:fill="auto"/>
            <w:noWrap/>
            <w:vAlign w:val="bottom"/>
            <w:hideMark/>
          </w:tcPr>
          <w:p w14:paraId="5721064A"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120" w:type="pct"/>
            <w:tcBorders>
              <w:top w:val="nil"/>
              <w:left w:val="nil"/>
              <w:bottom w:val="single" w:sz="4" w:space="0" w:color="auto"/>
              <w:right w:val="single" w:sz="8" w:space="0" w:color="auto"/>
            </w:tcBorders>
            <w:shd w:val="clear" w:color="auto" w:fill="auto"/>
            <w:noWrap/>
            <w:vAlign w:val="bottom"/>
            <w:hideMark/>
          </w:tcPr>
          <w:p w14:paraId="28FB39FF"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24" w:type="pct"/>
            <w:tcBorders>
              <w:top w:val="nil"/>
              <w:left w:val="nil"/>
              <w:bottom w:val="single" w:sz="4" w:space="0" w:color="auto"/>
              <w:right w:val="single" w:sz="4" w:space="0" w:color="auto"/>
            </w:tcBorders>
            <w:shd w:val="clear" w:color="auto" w:fill="auto"/>
            <w:noWrap/>
            <w:vAlign w:val="bottom"/>
            <w:hideMark/>
          </w:tcPr>
          <w:p w14:paraId="48ECC1CE"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44" w:type="pct"/>
            <w:tcBorders>
              <w:top w:val="nil"/>
              <w:left w:val="nil"/>
              <w:bottom w:val="single" w:sz="4" w:space="0" w:color="auto"/>
              <w:right w:val="single" w:sz="4" w:space="0" w:color="auto"/>
            </w:tcBorders>
            <w:shd w:val="clear" w:color="auto" w:fill="auto"/>
            <w:noWrap/>
            <w:vAlign w:val="bottom"/>
            <w:hideMark/>
          </w:tcPr>
          <w:p w14:paraId="3DD3D154"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120" w:type="pct"/>
            <w:tcBorders>
              <w:top w:val="nil"/>
              <w:left w:val="nil"/>
              <w:bottom w:val="single" w:sz="4" w:space="0" w:color="auto"/>
              <w:right w:val="single" w:sz="8" w:space="0" w:color="auto"/>
            </w:tcBorders>
            <w:shd w:val="clear" w:color="auto" w:fill="auto"/>
            <w:noWrap/>
            <w:vAlign w:val="bottom"/>
            <w:hideMark/>
          </w:tcPr>
          <w:p w14:paraId="02126706"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46" w:type="pct"/>
            <w:tcBorders>
              <w:top w:val="nil"/>
              <w:left w:val="nil"/>
              <w:bottom w:val="single" w:sz="4" w:space="0" w:color="auto"/>
              <w:right w:val="single" w:sz="4" w:space="0" w:color="auto"/>
            </w:tcBorders>
            <w:shd w:val="clear" w:color="auto" w:fill="auto"/>
            <w:noWrap/>
            <w:vAlign w:val="bottom"/>
            <w:hideMark/>
          </w:tcPr>
          <w:p w14:paraId="17070D0D"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77</w:t>
            </w:r>
          </w:p>
        </w:tc>
        <w:tc>
          <w:tcPr>
            <w:tcW w:w="140" w:type="pct"/>
            <w:vMerge/>
            <w:tcBorders>
              <w:top w:val="nil"/>
              <w:left w:val="single" w:sz="4" w:space="0" w:color="auto"/>
              <w:bottom w:val="single" w:sz="8" w:space="0" w:color="000000"/>
              <w:right w:val="single" w:sz="4" w:space="0" w:color="auto"/>
            </w:tcBorders>
            <w:vAlign w:val="center"/>
            <w:hideMark/>
          </w:tcPr>
          <w:p w14:paraId="048C643A" w14:textId="77777777" w:rsidR="00596935" w:rsidRPr="00596935" w:rsidRDefault="00596935" w:rsidP="00596935">
            <w:pPr>
              <w:rPr>
                <w:rFonts w:cs="Arial"/>
                <w:color w:val="000000"/>
                <w:sz w:val="18"/>
                <w:szCs w:val="18"/>
                <w:lang w:val="de-AT" w:eastAsia="de-AT"/>
              </w:rPr>
            </w:pPr>
          </w:p>
        </w:tc>
        <w:tc>
          <w:tcPr>
            <w:tcW w:w="209" w:type="pct"/>
            <w:tcBorders>
              <w:top w:val="nil"/>
              <w:left w:val="nil"/>
              <w:bottom w:val="single" w:sz="4" w:space="0" w:color="auto"/>
              <w:right w:val="single" w:sz="8" w:space="0" w:color="auto"/>
            </w:tcBorders>
            <w:shd w:val="clear" w:color="auto" w:fill="auto"/>
            <w:noWrap/>
            <w:vAlign w:val="bottom"/>
            <w:hideMark/>
          </w:tcPr>
          <w:p w14:paraId="18EDA78A"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20</w:t>
            </w:r>
          </w:p>
        </w:tc>
        <w:tc>
          <w:tcPr>
            <w:tcW w:w="213" w:type="pct"/>
            <w:tcBorders>
              <w:top w:val="nil"/>
              <w:left w:val="nil"/>
              <w:bottom w:val="single" w:sz="4" w:space="0" w:color="auto"/>
              <w:right w:val="single" w:sz="4" w:space="0" w:color="auto"/>
            </w:tcBorders>
            <w:shd w:val="clear" w:color="auto" w:fill="auto"/>
            <w:noWrap/>
            <w:vAlign w:val="bottom"/>
            <w:hideMark/>
          </w:tcPr>
          <w:p w14:paraId="704121E3"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141" w:type="pct"/>
            <w:vMerge/>
            <w:tcBorders>
              <w:top w:val="nil"/>
              <w:left w:val="single" w:sz="4" w:space="0" w:color="auto"/>
              <w:bottom w:val="single" w:sz="8" w:space="0" w:color="000000"/>
              <w:right w:val="single" w:sz="4" w:space="0" w:color="auto"/>
            </w:tcBorders>
            <w:vAlign w:val="center"/>
            <w:hideMark/>
          </w:tcPr>
          <w:p w14:paraId="0DBDE99E" w14:textId="77777777" w:rsidR="00596935" w:rsidRPr="00596935" w:rsidRDefault="00596935" w:rsidP="00596935">
            <w:pPr>
              <w:rPr>
                <w:rFonts w:cs="Arial"/>
                <w:sz w:val="18"/>
                <w:szCs w:val="18"/>
                <w:lang w:val="de-AT" w:eastAsia="de-AT"/>
              </w:rPr>
            </w:pPr>
          </w:p>
        </w:tc>
        <w:tc>
          <w:tcPr>
            <w:tcW w:w="204" w:type="pct"/>
            <w:tcBorders>
              <w:top w:val="nil"/>
              <w:left w:val="nil"/>
              <w:bottom w:val="single" w:sz="4" w:space="0" w:color="auto"/>
              <w:right w:val="single" w:sz="8" w:space="0" w:color="auto"/>
            </w:tcBorders>
            <w:shd w:val="clear" w:color="auto" w:fill="auto"/>
            <w:noWrap/>
            <w:vAlign w:val="bottom"/>
            <w:hideMark/>
          </w:tcPr>
          <w:p w14:paraId="49B81875"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18" w:type="pct"/>
            <w:tcBorders>
              <w:top w:val="nil"/>
              <w:left w:val="nil"/>
              <w:bottom w:val="single" w:sz="4" w:space="0" w:color="auto"/>
              <w:right w:val="single" w:sz="4" w:space="0" w:color="auto"/>
            </w:tcBorders>
            <w:shd w:val="clear" w:color="auto" w:fill="auto"/>
            <w:noWrap/>
            <w:vAlign w:val="bottom"/>
            <w:hideMark/>
          </w:tcPr>
          <w:p w14:paraId="368F13FA"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335" w:type="pct"/>
            <w:tcBorders>
              <w:top w:val="nil"/>
              <w:left w:val="nil"/>
              <w:bottom w:val="single" w:sz="4" w:space="0" w:color="auto"/>
              <w:right w:val="single" w:sz="4" w:space="0" w:color="auto"/>
            </w:tcBorders>
            <w:shd w:val="clear" w:color="auto" w:fill="auto"/>
            <w:noWrap/>
            <w:vAlign w:val="bottom"/>
            <w:hideMark/>
          </w:tcPr>
          <w:p w14:paraId="29FE1EA3"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120" w:type="pct"/>
            <w:tcBorders>
              <w:top w:val="nil"/>
              <w:left w:val="nil"/>
              <w:bottom w:val="single" w:sz="4" w:space="0" w:color="auto"/>
              <w:right w:val="single" w:sz="8" w:space="0" w:color="auto"/>
            </w:tcBorders>
            <w:shd w:val="clear" w:color="auto" w:fill="auto"/>
            <w:noWrap/>
            <w:vAlign w:val="bottom"/>
            <w:hideMark/>
          </w:tcPr>
          <w:p w14:paraId="14EA0B44"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49" w:type="pct"/>
            <w:tcBorders>
              <w:top w:val="nil"/>
              <w:left w:val="nil"/>
              <w:bottom w:val="single" w:sz="4" w:space="0" w:color="auto"/>
              <w:right w:val="single" w:sz="4" w:space="0" w:color="auto"/>
            </w:tcBorders>
            <w:shd w:val="clear" w:color="auto" w:fill="auto"/>
            <w:noWrap/>
            <w:vAlign w:val="bottom"/>
            <w:hideMark/>
          </w:tcPr>
          <w:p w14:paraId="71BEDE15"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77</w:t>
            </w:r>
          </w:p>
        </w:tc>
        <w:tc>
          <w:tcPr>
            <w:tcW w:w="141" w:type="pct"/>
            <w:vMerge/>
            <w:tcBorders>
              <w:top w:val="nil"/>
              <w:left w:val="single" w:sz="4" w:space="0" w:color="auto"/>
              <w:bottom w:val="single" w:sz="8" w:space="0" w:color="000000"/>
              <w:right w:val="single" w:sz="4" w:space="0" w:color="auto"/>
            </w:tcBorders>
            <w:vAlign w:val="center"/>
            <w:hideMark/>
          </w:tcPr>
          <w:p w14:paraId="425AB62D" w14:textId="77777777" w:rsidR="00596935" w:rsidRPr="00596935" w:rsidRDefault="00596935" w:rsidP="00596935">
            <w:pPr>
              <w:rPr>
                <w:rFonts w:cs="Arial"/>
                <w:sz w:val="18"/>
                <w:szCs w:val="18"/>
                <w:lang w:val="de-AT" w:eastAsia="de-AT"/>
              </w:rPr>
            </w:pPr>
          </w:p>
        </w:tc>
        <w:tc>
          <w:tcPr>
            <w:tcW w:w="207" w:type="pct"/>
            <w:tcBorders>
              <w:top w:val="nil"/>
              <w:left w:val="nil"/>
              <w:bottom w:val="single" w:sz="4" w:space="0" w:color="auto"/>
              <w:right w:val="single" w:sz="8" w:space="0" w:color="auto"/>
            </w:tcBorders>
            <w:shd w:val="clear" w:color="auto" w:fill="auto"/>
            <w:noWrap/>
            <w:vAlign w:val="bottom"/>
            <w:hideMark/>
          </w:tcPr>
          <w:p w14:paraId="2D0BC194"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18</w:t>
            </w:r>
          </w:p>
        </w:tc>
        <w:tc>
          <w:tcPr>
            <w:tcW w:w="216" w:type="pct"/>
            <w:tcBorders>
              <w:top w:val="nil"/>
              <w:left w:val="nil"/>
              <w:bottom w:val="single" w:sz="4" w:space="0" w:color="auto"/>
              <w:right w:val="single" w:sz="4" w:space="0" w:color="auto"/>
            </w:tcBorders>
            <w:shd w:val="clear" w:color="auto" w:fill="auto"/>
            <w:noWrap/>
            <w:vAlign w:val="bottom"/>
            <w:hideMark/>
          </w:tcPr>
          <w:p w14:paraId="370E0D74"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78</w:t>
            </w:r>
          </w:p>
        </w:tc>
        <w:tc>
          <w:tcPr>
            <w:tcW w:w="140" w:type="pct"/>
            <w:vMerge/>
            <w:tcBorders>
              <w:top w:val="nil"/>
              <w:left w:val="single" w:sz="4" w:space="0" w:color="auto"/>
              <w:bottom w:val="single" w:sz="8" w:space="0" w:color="000000"/>
              <w:right w:val="single" w:sz="4" w:space="0" w:color="auto"/>
            </w:tcBorders>
            <w:vAlign w:val="center"/>
            <w:hideMark/>
          </w:tcPr>
          <w:p w14:paraId="3126E7F1" w14:textId="77777777" w:rsidR="00596935" w:rsidRPr="00596935" w:rsidRDefault="00596935" w:rsidP="00596935">
            <w:pPr>
              <w:rPr>
                <w:rFonts w:cs="Arial"/>
                <w:sz w:val="18"/>
                <w:szCs w:val="18"/>
                <w:lang w:val="de-AT" w:eastAsia="de-AT"/>
              </w:rPr>
            </w:pPr>
          </w:p>
        </w:tc>
        <w:tc>
          <w:tcPr>
            <w:tcW w:w="238" w:type="pct"/>
            <w:tcBorders>
              <w:top w:val="nil"/>
              <w:left w:val="nil"/>
              <w:bottom w:val="single" w:sz="4" w:space="0" w:color="auto"/>
              <w:right w:val="single" w:sz="8" w:space="0" w:color="auto"/>
            </w:tcBorders>
            <w:shd w:val="clear" w:color="auto" w:fill="auto"/>
            <w:noWrap/>
            <w:vAlign w:val="bottom"/>
            <w:hideMark/>
          </w:tcPr>
          <w:p w14:paraId="3C9CE95C"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10</w:t>
            </w:r>
          </w:p>
        </w:tc>
      </w:tr>
      <w:tr w:rsidR="00596935" w:rsidRPr="00596935" w14:paraId="60328DCA" w14:textId="77777777" w:rsidTr="00596935">
        <w:trPr>
          <w:trHeight w:val="525"/>
        </w:trPr>
        <w:tc>
          <w:tcPr>
            <w:tcW w:w="352" w:type="pct"/>
            <w:tcBorders>
              <w:top w:val="nil"/>
              <w:left w:val="single" w:sz="8" w:space="0" w:color="auto"/>
              <w:bottom w:val="single" w:sz="8" w:space="0" w:color="auto"/>
              <w:right w:val="nil"/>
            </w:tcBorders>
            <w:shd w:val="clear" w:color="auto" w:fill="auto"/>
            <w:vAlign w:val="bottom"/>
            <w:hideMark/>
          </w:tcPr>
          <w:p w14:paraId="2C569939" w14:textId="77777777" w:rsidR="00596935" w:rsidRPr="00596935" w:rsidRDefault="00596935" w:rsidP="00596935">
            <w:pPr>
              <w:rPr>
                <w:rFonts w:cs="Arial"/>
                <w:color w:val="000000"/>
                <w:sz w:val="18"/>
                <w:szCs w:val="18"/>
                <w:lang w:val="de-AT" w:eastAsia="de-AT"/>
              </w:rPr>
            </w:pPr>
            <w:r w:rsidRPr="00596935">
              <w:rPr>
                <w:rFonts w:cs="Arial"/>
                <w:color w:val="000000"/>
                <w:sz w:val="18"/>
                <w:szCs w:val="18"/>
                <w:lang w:val="de-AT" w:eastAsia="de-AT"/>
              </w:rPr>
              <w:t xml:space="preserve">Tringali et al. 2013 </w:t>
            </w:r>
          </w:p>
        </w:tc>
        <w:tc>
          <w:tcPr>
            <w:tcW w:w="352" w:type="pct"/>
            <w:tcBorders>
              <w:top w:val="nil"/>
              <w:left w:val="single" w:sz="4" w:space="0" w:color="auto"/>
              <w:bottom w:val="single" w:sz="4" w:space="0" w:color="auto"/>
              <w:right w:val="nil"/>
            </w:tcBorders>
            <w:shd w:val="clear" w:color="auto" w:fill="auto"/>
            <w:vAlign w:val="bottom"/>
            <w:hideMark/>
          </w:tcPr>
          <w:p w14:paraId="1140EA6A"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Fournier words</w:t>
            </w:r>
          </w:p>
        </w:tc>
        <w:tc>
          <w:tcPr>
            <w:tcW w:w="258" w:type="pct"/>
            <w:tcBorders>
              <w:top w:val="nil"/>
              <w:left w:val="single" w:sz="8" w:space="0" w:color="auto"/>
              <w:bottom w:val="single" w:sz="4" w:space="0" w:color="auto"/>
              <w:right w:val="single" w:sz="4" w:space="0" w:color="auto"/>
            </w:tcBorders>
            <w:shd w:val="clear" w:color="auto" w:fill="auto"/>
            <w:noWrap/>
            <w:vAlign w:val="bottom"/>
            <w:hideMark/>
          </w:tcPr>
          <w:p w14:paraId="026D9BA9"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 </w:t>
            </w:r>
          </w:p>
        </w:tc>
        <w:tc>
          <w:tcPr>
            <w:tcW w:w="313" w:type="pct"/>
            <w:tcBorders>
              <w:top w:val="nil"/>
              <w:left w:val="nil"/>
              <w:bottom w:val="single" w:sz="4" w:space="0" w:color="auto"/>
              <w:right w:val="single" w:sz="4" w:space="0" w:color="auto"/>
            </w:tcBorders>
            <w:shd w:val="clear" w:color="auto" w:fill="auto"/>
            <w:noWrap/>
            <w:vAlign w:val="bottom"/>
            <w:hideMark/>
          </w:tcPr>
          <w:p w14:paraId="41F949E2"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120" w:type="pct"/>
            <w:tcBorders>
              <w:top w:val="nil"/>
              <w:left w:val="nil"/>
              <w:bottom w:val="single" w:sz="4" w:space="0" w:color="auto"/>
              <w:right w:val="single" w:sz="8" w:space="0" w:color="auto"/>
            </w:tcBorders>
            <w:shd w:val="clear" w:color="auto" w:fill="auto"/>
            <w:noWrap/>
            <w:vAlign w:val="bottom"/>
            <w:hideMark/>
          </w:tcPr>
          <w:p w14:paraId="13943262"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5D8476"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80</w:t>
            </w:r>
          </w:p>
        </w:tc>
        <w:tc>
          <w:tcPr>
            <w:tcW w:w="244" w:type="pct"/>
            <w:tcBorders>
              <w:top w:val="nil"/>
              <w:left w:val="nil"/>
              <w:bottom w:val="single" w:sz="4" w:space="0" w:color="auto"/>
              <w:right w:val="single" w:sz="4" w:space="0" w:color="auto"/>
            </w:tcBorders>
            <w:shd w:val="clear" w:color="auto" w:fill="auto"/>
            <w:noWrap/>
            <w:vAlign w:val="bottom"/>
            <w:hideMark/>
          </w:tcPr>
          <w:p w14:paraId="19AF78D0"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120" w:type="pct"/>
            <w:tcBorders>
              <w:top w:val="nil"/>
              <w:left w:val="nil"/>
              <w:bottom w:val="single" w:sz="4" w:space="0" w:color="auto"/>
              <w:right w:val="single" w:sz="8" w:space="0" w:color="auto"/>
            </w:tcBorders>
            <w:shd w:val="clear" w:color="auto" w:fill="auto"/>
            <w:noWrap/>
            <w:vAlign w:val="bottom"/>
            <w:hideMark/>
          </w:tcPr>
          <w:p w14:paraId="7BBA8426"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7</w:t>
            </w:r>
          </w:p>
        </w:tc>
        <w:tc>
          <w:tcPr>
            <w:tcW w:w="246" w:type="pct"/>
            <w:tcBorders>
              <w:top w:val="nil"/>
              <w:left w:val="nil"/>
              <w:bottom w:val="single" w:sz="4" w:space="0" w:color="auto"/>
              <w:right w:val="single" w:sz="4" w:space="0" w:color="auto"/>
            </w:tcBorders>
            <w:shd w:val="clear" w:color="auto" w:fill="auto"/>
            <w:noWrap/>
            <w:vAlign w:val="bottom"/>
            <w:hideMark/>
          </w:tcPr>
          <w:p w14:paraId="3D6C95AC"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140" w:type="pct"/>
            <w:vMerge/>
            <w:tcBorders>
              <w:top w:val="nil"/>
              <w:left w:val="single" w:sz="4" w:space="0" w:color="auto"/>
              <w:bottom w:val="single" w:sz="8" w:space="0" w:color="000000"/>
              <w:right w:val="single" w:sz="4" w:space="0" w:color="auto"/>
            </w:tcBorders>
            <w:vAlign w:val="center"/>
            <w:hideMark/>
          </w:tcPr>
          <w:p w14:paraId="09B6C8AC" w14:textId="77777777" w:rsidR="00596935" w:rsidRPr="00596935" w:rsidRDefault="00596935" w:rsidP="00596935">
            <w:pPr>
              <w:rPr>
                <w:rFonts w:cs="Arial"/>
                <w:color w:val="000000"/>
                <w:sz w:val="18"/>
                <w:szCs w:val="18"/>
                <w:lang w:val="de-AT" w:eastAsia="de-AT"/>
              </w:rPr>
            </w:pPr>
          </w:p>
        </w:tc>
        <w:tc>
          <w:tcPr>
            <w:tcW w:w="209" w:type="pct"/>
            <w:tcBorders>
              <w:top w:val="nil"/>
              <w:left w:val="nil"/>
              <w:bottom w:val="single" w:sz="4" w:space="0" w:color="auto"/>
              <w:right w:val="single" w:sz="8" w:space="0" w:color="auto"/>
            </w:tcBorders>
            <w:shd w:val="clear" w:color="auto" w:fill="auto"/>
            <w:noWrap/>
            <w:vAlign w:val="bottom"/>
            <w:hideMark/>
          </w:tcPr>
          <w:p w14:paraId="443D1226"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13" w:type="pct"/>
            <w:tcBorders>
              <w:top w:val="nil"/>
              <w:left w:val="nil"/>
              <w:bottom w:val="single" w:sz="4" w:space="0" w:color="auto"/>
              <w:right w:val="single" w:sz="4" w:space="0" w:color="auto"/>
            </w:tcBorders>
            <w:shd w:val="clear" w:color="auto" w:fill="auto"/>
            <w:noWrap/>
            <w:vAlign w:val="bottom"/>
            <w:hideMark/>
          </w:tcPr>
          <w:p w14:paraId="75EE2753"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141" w:type="pct"/>
            <w:vMerge/>
            <w:tcBorders>
              <w:top w:val="nil"/>
              <w:left w:val="single" w:sz="4" w:space="0" w:color="auto"/>
              <w:bottom w:val="single" w:sz="8" w:space="0" w:color="000000"/>
              <w:right w:val="single" w:sz="4" w:space="0" w:color="auto"/>
            </w:tcBorders>
            <w:vAlign w:val="center"/>
            <w:hideMark/>
          </w:tcPr>
          <w:p w14:paraId="4C678E18" w14:textId="77777777" w:rsidR="00596935" w:rsidRPr="00596935" w:rsidRDefault="00596935" w:rsidP="00596935">
            <w:pPr>
              <w:rPr>
                <w:rFonts w:cs="Arial"/>
                <w:sz w:val="18"/>
                <w:szCs w:val="18"/>
                <w:lang w:val="de-AT" w:eastAsia="de-AT"/>
              </w:rPr>
            </w:pPr>
          </w:p>
        </w:tc>
        <w:tc>
          <w:tcPr>
            <w:tcW w:w="204" w:type="pct"/>
            <w:tcBorders>
              <w:top w:val="nil"/>
              <w:left w:val="nil"/>
              <w:bottom w:val="single" w:sz="4" w:space="0" w:color="auto"/>
              <w:right w:val="single" w:sz="8" w:space="0" w:color="auto"/>
            </w:tcBorders>
            <w:shd w:val="clear" w:color="auto" w:fill="auto"/>
            <w:noWrap/>
            <w:vAlign w:val="bottom"/>
            <w:hideMark/>
          </w:tcPr>
          <w:p w14:paraId="3BC2FAC6"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18" w:type="pct"/>
            <w:tcBorders>
              <w:top w:val="nil"/>
              <w:left w:val="nil"/>
              <w:bottom w:val="single" w:sz="4" w:space="0" w:color="auto"/>
              <w:right w:val="single" w:sz="4" w:space="0" w:color="auto"/>
            </w:tcBorders>
            <w:shd w:val="clear" w:color="auto" w:fill="auto"/>
            <w:noWrap/>
            <w:vAlign w:val="bottom"/>
            <w:hideMark/>
          </w:tcPr>
          <w:p w14:paraId="421B3F6B"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335" w:type="pct"/>
            <w:tcBorders>
              <w:top w:val="nil"/>
              <w:left w:val="nil"/>
              <w:bottom w:val="single" w:sz="4" w:space="0" w:color="auto"/>
              <w:right w:val="single" w:sz="4" w:space="0" w:color="auto"/>
            </w:tcBorders>
            <w:shd w:val="clear" w:color="auto" w:fill="auto"/>
            <w:noWrap/>
            <w:vAlign w:val="bottom"/>
            <w:hideMark/>
          </w:tcPr>
          <w:p w14:paraId="2A5CBC45"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120" w:type="pct"/>
            <w:tcBorders>
              <w:top w:val="nil"/>
              <w:left w:val="nil"/>
              <w:bottom w:val="single" w:sz="4" w:space="0" w:color="auto"/>
              <w:right w:val="single" w:sz="8" w:space="0" w:color="auto"/>
            </w:tcBorders>
            <w:shd w:val="clear" w:color="auto" w:fill="auto"/>
            <w:noWrap/>
            <w:vAlign w:val="bottom"/>
            <w:hideMark/>
          </w:tcPr>
          <w:p w14:paraId="42AF7916"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49" w:type="pct"/>
            <w:tcBorders>
              <w:top w:val="nil"/>
              <w:left w:val="nil"/>
              <w:bottom w:val="single" w:sz="4" w:space="0" w:color="auto"/>
              <w:right w:val="single" w:sz="4" w:space="0" w:color="auto"/>
            </w:tcBorders>
            <w:shd w:val="clear" w:color="auto" w:fill="auto"/>
            <w:noWrap/>
            <w:vAlign w:val="bottom"/>
            <w:hideMark/>
          </w:tcPr>
          <w:p w14:paraId="60C5088C"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86</w:t>
            </w:r>
          </w:p>
        </w:tc>
        <w:tc>
          <w:tcPr>
            <w:tcW w:w="141" w:type="pct"/>
            <w:vMerge/>
            <w:tcBorders>
              <w:top w:val="nil"/>
              <w:left w:val="single" w:sz="4" w:space="0" w:color="auto"/>
              <w:bottom w:val="single" w:sz="8" w:space="0" w:color="000000"/>
              <w:right w:val="single" w:sz="4" w:space="0" w:color="auto"/>
            </w:tcBorders>
            <w:vAlign w:val="center"/>
            <w:hideMark/>
          </w:tcPr>
          <w:p w14:paraId="01E5CE9C" w14:textId="77777777" w:rsidR="00596935" w:rsidRPr="00596935" w:rsidRDefault="00596935" w:rsidP="00596935">
            <w:pPr>
              <w:rPr>
                <w:rFonts w:cs="Arial"/>
                <w:sz w:val="18"/>
                <w:szCs w:val="18"/>
                <w:lang w:val="de-AT" w:eastAsia="de-AT"/>
              </w:rPr>
            </w:pPr>
          </w:p>
        </w:tc>
        <w:tc>
          <w:tcPr>
            <w:tcW w:w="207" w:type="pct"/>
            <w:tcBorders>
              <w:top w:val="nil"/>
              <w:left w:val="nil"/>
              <w:bottom w:val="single" w:sz="4" w:space="0" w:color="auto"/>
              <w:right w:val="single" w:sz="8" w:space="0" w:color="auto"/>
            </w:tcBorders>
            <w:shd w:val="clear" w:color="auto" w:fill="auto"/>
            <w:noWrap/>
            <w:vAlign w:val="bottom"/>
            <w:hideMark/>
          </w:tcPr>
          <w:p w14:paraId="6833F1CA"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7</w:t>
            </w:r>
          </w:p>
        </w:tc>
        <w:tc>
          <w:tcPr>
            <w:tcW w:w="216" w:type="pct"/>
            <w:tcBorders>
              <w:top w:val="nil"/>
              <w:left w:val="nil"/>
              <w:bottom w:val="single" w:sz="4" w:space="0" w:color="auto"/>
              <w:right w:val="single" w:sz="4" w:space="0" w:color="auto"/>
            </w:tcBorders>
            <w:shd w:val="clear" w:color="auto" w:fill="auto"/>
            <w:noWrap/>
            <w:vAlign w:val="bottom"/>
            <w:hideMark/>
          </w:tcPr>
          <w:p w14:paraId="2BCFB84A"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140" w:type="pct"/>
            <w:vMerge/>
            <w:tcBorders>
              <w:top w:val="nil"/>
              <w:left w:val="single" w:sz="4" w:space="0" w:color="auto"/>
              <w:bottom w:val="single" w:sz="8" w:space="0" w:color="000000"/>
              <w:right w:val="single" w:sz="4" w:space="0" w:color="auto"/>
            </w:tcBorders>
            <w:vAlign w:val="center"/>
            <w:hideMark/>
          </w:tcPr>
          <w:p w14:paraId="5ADDBA8F" w14:textId="77777777" w:rsidR="00596935" w:rsidRPr="00596935" w:rsidRDefault="00596935" w:rsidP="00596935">
            <w:pPr>
              <w:rPr>
                <w:rFonts w:cs="Arial"/>
                <w:sz w:val="18"/>
                <w:szCs w:val="18"/>
                <w:lang w:val="de-AT" w:eastAsia="de-AT"/>
              </w:rPr>
            </w:pPr>
          </w:p>
        </w:tc>
        <w:tc>
          <w:tcPr>
            <w:tcW w:w="238" w:type="pct"/>
            <w:tcBorders>
              <w:top w:val="nil"/>
              <w:left w:val="nil"/>
              <w:bottom w:val="single" w:sz="4" w:space="0" w:color="auto"/>
              <w:right w:val="single" w:sz="8" w:space="0" w:color="auto"/>
            </w:tcBorders>
            <w:shd w:val="clear" w:color="auto" w:fill="auto"/>
            <w:noWrap/>
            <w:vAlign w:val="bottom"/>
            <w:hideMark/>
          </w:tcPr>
          <w:p w14:paraId="074AEB53"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r>
      <w:tr w:rsidR="00596935" w:rsidRPr="00596935" w14:paraId="17ED97AE" w14:textId="77777777" w:rsidTr="00596935">
        <w:trPr>
          <w:trHeight w:val="525"/>
        </w:trPr>
        <w:tc>
          <w:tcPr>
            <w:tcW w:w="352" w:type="pct"/>
            <w:tcBorders>
              <w:top w:val="nil"/>
              <w:left w:val="single" w:sz="8" w:space="0" w:color="auto"/>
              <w:bottom w:val="single" w:sz="8" w:space="0" w:color="auto"/>
              <w:right w:val="nil"/>
            </w:tcBorders>
            <w:shd w:val="clear" w:color="auto" w:fill="auto"/>
            <w:hideMark/>
          </w:tcPr>
          <w:p w14:paraId="0E7678E5" w14:textId="77777777" w:rsidR="00596935" w:rsidRPr="00596935" w:rsidRDefault="00596935" w:rsidP="00596935">
            <w:pPr>
              <w:rPr>
                <w:rFonts w:cs="Arial"/>
                <w:color w:val="000000"/>
                <w:sz w:val="18"/>
                <w:szCs w:val="18"/>
                <w:lang w:val="de-AT" w:eastAsia="de-AT"/>
              </w:rPr>
            </w:pPr>
            <w:r w:rsidRPr="00596935">
              <w:rPr>
                <w:rFonts w:cs="Arial"/>
                <w:color w:val="000000"/>
                <w:sz w:val="18"/>
                <w:szCs w:val="18"/>
                <w:lang w:val="de-AT" w:eastAsia="de-AT"/>
              </w:rPr>
              <w:t xml:space="preserve">Hough et al. 2002 </w:t>
            </w:r>
          </w:p>
        </w:tc>
        <w:tc>
          <w:tcPr>
            <w:tcW w:w="352" w:type="pct"/>
            <w:tcBorders>
              <w:top w:val="nil"/>
              <w:left w:val="single" w:sz="4" w:space="0" w:color="auto"/>
              <w:bottom w:val="single" w:sz="4" w:space="0" w:color="auto"/>
              <w:right w:val="nil"/>
            </w:tcBorders>
            <w:shd w:val="clear" w:color="auto" w:fill="auto"/>
            <w:vAlign w:val="bottom"/>
            <w:hideMark/>
          </w:tcPr>
          <w:p w14:paraId="72089BFD" w14:textId="77777777" w:rsidR="00596935" w:rsidRPr="00596935" w:rsidRDefault="00596935" w:rsidP="00596935">
            <w:pPr>
              <w:rPr>
                <w:rFonts w:cs="Arial"/>
                <w:color w:val="000000"/>
                <w:sz w:val="18"/>
                <w:szCs w:val="18"/>
                <w:lang w:val="de-AT" w:eastAsia="de-AT"/>
              </w:rPr>
            </w:pPr>
            <w:r w:rsidRPr="00596935">
              <w:rPr>
                <w:rFonts w:cs="Arial"/>
                <w:color w:val="000000"/>
                <w:sz w:val="18"/>
                <w:szCs w:val="18"/>
                <w:lang w:val="de-AT" w:eastAsia="de-AT"/>
              </w:rPr>
              <w:t>NU-6 words</w:t>
            </w:r>
          </w:p>
        </w:tc>
        <w:tc>
          <w:tcPr>
            <w:tcW w:w="258" w:type="pct"/>
            <w:tcBorders>
              <w:top w:val="nil"/>
              <w:left w:val="single" w:sz="8" w:space="0" w:color="auto"/>
              <w:bottom w:val="single" w:sz="4" w:space="0" w:color="auto"/>
              <w:right w:val="single" w:sz="4" w:space="0" w:color="auto"/>
            </w:tcBorders>
            <w:shd w:val="clear" w:color="auto" w:fill="auto"/>
            <w:noWrap/>
            <w:vAlign w:val="center"/>
            <w:hideMark/>
          </w:tcPr>
          <w:p w14:paraId="4F553EF5"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7.8</w:t>
            </w:r>
          </w:p>
        </w:tc>
        <w:tc>
          <w:tcPr>
            <w:tcW w:w="313" w:type="pct"/>
            <w:tcBorders>
              <w:top w:val="nil"/>
              <w:left w:val="nil"/>
              <w:bottom w:val="single" w:sz="4" w:space="0" w:color="auto"/>
              <w:right w:val="single" w:sz="4" w:space="0" w:color="auto"/>
            </w:tcBorders>
            <w:shd w:val="clear" w:color="auto" w:fill="auto"/>
            <w:noWrap/>
            <w:vAlign w:val="center"/>
            <w:hideMark/>
          </w:tcPr>
          <w:p w14:paraId="145D1533"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16.6</w:t>
            </w:r>
          </w:p>
        </w:tc>
        <w:tc>
          <w:tcPr>
            <w:tcW w:w="120" w:type="pct"/>
            <w:tcBorders>
              <w:top w:val="nil"/>
              <w:left w:val="nil"/>
              <w:bottom w:val="single" w:sz="4" w:space="0" w:color="auto"/>
              <w:right w:val="single" w:sz="8" w:space="0" w:color="auto"/>
            </w:tcBorders>
            <w:shd w:val="clear" w:color="auto" w:fill="auto"/>
            <w:noWrap/>
            <w:vAlign w:val="center"/>
            <w:hideMark/>
          </w:tcPr>
          <w:p w14:paraId="5202F0FC"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24" w:type="pct"/>
            <w:tcBorders>
              <w:top w:val="nil"/>
              <w:left w:val="nil"/>
              <w:bottom w:val="single" w:sz="4" w:space="0" w:color="auto"/>
              <w:right w:val="single" w:sz="4" w:space="0" w:color="auto"/>
            </w:tcBorders>
            <w:shd w:val="clear" w:color="auto" w:fill="auto"/>
            <w:noWrap/>
            <w:vAlign w:val="bottom"/>
            <w:hideMark/>
          </w:tcPr>
          <w:p w14:paraId="55E3DADF"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44" w:type="pct"/>
            <w:tcBorders>
              <w:top w:val="nil"/>
              <w:left w:val="nil"/>
              <w:bottom w:val="single" w:sz="4" w:space="0" w:color="auto"/>
              <w:right w:val="single" w:sz="4" w:space="0" w:color="auto"/>
            </w:tcBorders>
            <w:shd w:val="clear" w:color="auto" w:fill="auto"/>
            <w:noWrap/>
            <w:vAlign w:val="bottom"/>
            <w:hideMark/>
          </w:tcPr>
          <w:p w14:paraId="2150895C"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120" w:type="pct"/>
            <w:tcBorders>
              <w:top w:val="nil"/>
              <w:left w:val="nil"/>
              <w:bottom w:val="single" w:sz="4" w:space="0" w:color="auto"/>
              <w:right w:val="single" w:sz="8" w:space="0" w:color="auto"/>
            </w:tcBorders>
            <w:shd w:val="clear" w:color="auto" w:fill="auto"/>
            <w:noWrap/>
            <w:vAlign w:val="bottom"/>
            <w:hideMark/>
          </w:tcPr>
          <w:p w14:paraId="29B25AED"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46" w:type="pct"/>
            <w:tcBorders>
              <w:top w:val="nil"/>
              <w:left w:val="nil"/>
              <w:bottom w:val="single" w:sz="4" w:space="0" w:color="auto"/>
              <w:right w:val="single" w:sz="4" w:space="0" w:color="auto"/>
            </w:tcBorders>
            <w:shd w:val="clear" w:color="auto" w:fill="auto"/>
            <w:noWrap/>
            <w:vAlign w:val="bottom"/>
            <w:hideMark/>
          </w:tcPr>
          <w:p w14:paraId="3A56FB08"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140" w:type="pct"/>
            <w:vMerge/>
            <w:tcBorders>
              <w:top w:val="nil"/>
              <w:left w:val="single" w:sz="4" w:space="0" w:color="auto"/>
              <w:bottom w:val="single" w:sz="8" w:space="0" w:color="000000"/>
              <w:right w:val="single" w:sz="4" w:space="0" w:color="auto"/>
            </w:tcBorders>
            <w:vAlign w:val="center"/>
            <w:hideMark/>
          </w:tcPr>
          <w:p w14:paraId="35E93FF1" w14:textId="77777777" w:rsidR="00596935" w:rsidRPr="00596935" w:rsidRDefault="00596935" w:rsidP="00596935">
            <w:pPr>
              <w:rPr>
                <w:rFonts w:cs="Arial"/>
                <w:color w:val="000000"/>
                <w:sz w:val="18"/>
                <w:szCs w:val="18"/>
                <w:lang w:val="de-AT" w:eastAsia="de-AT"/>
              </w:rPr>
            </w:pPr>
          </w:p>
        </w:tc>
        <w:tc>
          <w:tcPr>
            <w:tcW w:w="209" w:type="pct"/>
            <w:tcBorders>
              <w:top w:val="nil"/>
              <w:left w:val="nil"/>
              <w:bottom w:val="single" w:sz="4" w:space="0" w:color="auto"/>
              <w:right w:val="single" w:sz="8" w:space="0" w:color="auto"/>
            </w:tcBorders>
            <w:shd w:val="clear" w:color="auto" w:fill="auto"/>
            <w:noWrap/>
            <w:vAlign w:val="bottom"/>
            <w:hideMark/>
          </w:tcPr>
          <w:p w14:paraId="5046D8D1"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13" w:type="pct"/>
            <w:tcBorders>
              <w:top w:val="nil"/>
              <w:left w:val="nil"/>
              <w:bottom w:val="single" w:sz="4" w:space="0" w:color="auto"/>
              <w:right w:val="single" w:sz="4" w:space="0" w:color="auto"/>
            </w:tcBorders>
            <w:shd w:val="clear" w:color="auto" w:fill="auto"/>
            <w:noWrap/>
            <w:vAlign w:val="bottom"/>
            <w:hideMark/>
          </w:tcPr>
          <w:p w14:paraId="48F8A2B7"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141" w:type="pct"/>
            <w:vMerge/>
            <w:tcBorders>
              <w:top w:val="nil"/>
              <w:left w:val="single" w:sz="4" w:space="0" w:color="auto"/>
              <w:bottom w:val="single" w:sz="8" w:space="0" w:color="000000"/>
              <w:right w:val="single" w:sz="4" w:space="0" w:color="auto"/>
            </w:tcBorders>
            <w:vAlign w:val="center"/>
            <w:hideMark/>
          </w:tcPr>
          <w:p w14:paraId="058729B0" w14:textId="77777777" w:rsidR="00596935" w:rsidRPr="00596935" w:rsidRDefault="00596935" w:rsidP="00596935">
            <w:pPr>
              <w:rPr>
                <w:rFonts w:cs="Arial"/>
                <w:sz w:val="18"/>
                <w:szCs w:val="18"/>
                <w:lang w:val="de-AT" w:eastAsia="de-AT"/>
              </w:rPr>
            </w:pPr>
          </w:p>
        </w:tc>
        <w:tc>
          <w:tcPr>
            <w:tcW w:w="204" w:type="pct"/>
            <w:tcBorders>
              <w:top w:val="nil"/>
              <w:left w:val="nil"/>
              <w:bottom w:val="single" w:sz="4" w:space="0" w:color="auto"/>
              <w:right w:val="single" w:sz="8" w:space="0" w:color="auto"/>
            </w:tcBorders>
            <w:shd w:val="clear" w:color="auto" w:fill="auto"/>
            <w:noWrap/>
            <w:vAlign w:val="bottom"/>
            <w:hideMark/>
          </w:tcPr>
          <w:p w14:paraId="2D570B4C"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18" w:type="pct"/>
            <w:tcBorders>
              <w:top w:val="nil"/>
              <w:left w:val="nil"/>
              <w:bottom w:val="single" w:sz="4" w:space="0" w:color="auto"/>
              <w:right w:val="single" w:sz="4" w:space="0" w:color="auto"/>
            </w:tcBorders>
            <w:shd w:val="clear" w:color="auto" w:fill="auto"/>
            <w:noWrap/>
            <w:vAlign w:val="center"/>
            <w:hideMark/>
          </w:tcPr>
          <w:p w14:paraId="7F592B96"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82.1</w:t>
            </w:r>
          </w:p>
        </w:tc>
        <w:tc>
          <w:tcPr>
            <w:tcW w:w="335" w:type="pct"/>
            <w:tcBorders>
              <w:top w:val="nil"/>
              <w:left w:val="nil"/>
              <w:bottom w:val="single" w:sz="4" w:space="0" w:color="auto"/>
              <w:right w:val="single" w:sz="4" w:space="0" w:color="auto"/>
            </w:tcBorders>
            <w:shd w:val="clear" w:color="auto" w:fill="auto"/>
            <w:noWrap/>
            <w:vAlign w:val="center"/>
            <w:hideMark/>
          </w:tcPr>
          <w:p w14:paraId="1AEA168D"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120" w:type="pct"/>
            <w:tcBorders>
              <w:top w:val="nil"/>
              <w:left w:val="nil"/>
              <w:bottom w:val="single" w:sz="4" w:space="0" w:color="auto"/>
              <w:right w:val="single" w:sz="8" w:space="0" w:color="auto"/>
            </w:tcBorders>
            <w:shd w:val="clear" w:color="auto" w:fill="auto"/>
            <w:noWrap/>
            <w:vAlign w:val="center"/>
            <w:hideMark/>
          </w:tcPr>
          <w:p w14:paraId="216FD8D8"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95</w:t>
            </w:r>
          </w:p>
        </w:tc>
        <w:tc>
          <w:tcPr>
            <w:tcW w:w="249" w:type="pct"/>
            <w:tcBorders>
              <w:top w:val="nil"/>
              <w:left w:val="nil"/>
              <w:bottom w:val="single" w:sz="4" w:space="0" w:color="auto"/>
              <w:right w:val="single" w:sz="4" w:space="0" w:color="auto"/>
            </w:tcBorders>
            <w:shd w:val="clear" w:color="auto" w:fill="auto"/>
            <w:noWrap/>
            <w:vAlign w:val="bottom"/>
            <w:hideMark/>
          </w:tcPr>
          <w:p w14:paraId="5ADEA418"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141" w:type="pct"/>
            <w:vMerge/>
            <w:tcBorders>
              <w:top w:val="nil"/>
              <w:left w:val="single" w:sz="4" w:space="0" w:color="auto"/>
              <w:bottom w:val="single" w:sz="8" w:space="0" w:color="000000"/>
              <w:right w:val="single" w:sz="4" w:space="0" w:color="auto"/>
            </w:tcBorders>
            <w:vAlign w:val="center"/>
            <w:hideMark/>
          </w:tcPr>
          <w:p w14:paraId="2A4A0D74" w14:textId="77777777" w:rsidR="00596935" w:rsidRPr="00596935" w:rsidRDefault="00596935" w:rsidP="00596935">
            <w:pPr>
              <w:rPr>
                <w:rFonts w:cs="Arial"/>
                <w:sz w:val="18"/>
                <w:szCs w:val="18"/>
                <w:lang w:val="de-AT" w:eastAsia="de-AT"/>
              </w:rPr>
            </w:pPr>
          </w:p>
        </w:tc>
        <w:tc>
          <w:tcPr>
            <w:tcW w:w="207" w:type="pct"/>
            <w:tcBorders>
              <w:top w:val="nil"/>
              <w:left w:val="nil"/>
              <w:bottom w:val="single" w:sz="4" w:space="0" w:color="auto"/>
              <w:right w:val="single" w:sz="8" w:space="0" w:color="auto"/>
            </w:tcBorders>
            <w:shd w:val="clear" w:color="auto" w:fill="auto"/>
            <w:noWrap/>
            <w:vAlign w:val="bottom"/>
            <w:hideMark/>
          </w:tcPr>
          <w:p w14:paraId="75F2E1B8"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16" w:type="pct"/>
            <w:tcBorders>
              <w:top w:val="nil"/>
              <w:left w:val="nil"/>
              <w:bottom w:val="single" w:sz="4" w:space="0" w:color="auto"/>
              <w:right w:val="single" w:sz="4" w:space="0" w:color="auto"/>
            </w:tcBorders>
            <w:shd w:val="clear" w:color="auto" w:fill="auto"/>
            <w:noWrap/>
            <w:vAlign w:val="bottom"/>
            <w:hideMark/>
          </w:tcPr>
          <w:p w14:paraId="01CA5419"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140" w:type="pct"/>
            <w:vMerge/>
            <w:tcBorders>
              <w:top w:val="nil"/>
              <w:left w:val="single" w:sz="4" w:space="0" w:color="auto"/>
              <w:bottom w:val="single" w:sz="8" w:space="0" w:color="000000"/>
              <w:right w:val="single" w:sz="4" w:space="0" w:color="auto"/>
            </w:tcBorders>
            <w:vAlign w:val="center"/>
            <w:hideMark/>
          </w:tcPr>
          <w:p w14:paraId="4A08E71F" w14:textId="77777777" w:rsidR="00596935" w:rsidRPr="00596935" w:rsidRDefault="00596935" w:rsidP="00596935">
            <w:pPr>
              <w:rPr>
                <w:rFonts w:cs="Arial"/>
                <w:sz w:val="18"/>
                <w:szCs w:val="18"/>
                <w:lang w:val="de-AT" w:eastAsia="de-AT"/>
              </w:rPr>
            </w:pPr>
          </w:p>
        </w:tc>
        <w:tc>
          <w:tcPr>
            <w:tcW w:w="238" w:type="pct"/>
            <w:tcBorders>
              <w:top w:val="nil"/>
              <w:left w:val="nil"/>
              <w:bottom w:val="single" w:sz="4" w:space="0" w:color="auto"/>
              <w:right w:val="single" w:sz="8" w:space="0" w:color="auto"/>
            </w:tcBorders>
            <w:shd w:val="clear" w:color="auto" w:fill="auto"/>
            <w:noWrap/>
            <w:vAlign w:val="bottom"/>
            <w:hideMark/>
          </w:tcPr>
          <w:p w14:paraId="52977844"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r>
      <w:tr w:rsidR="00596935" w:rsidRPr="00596935" w14:paraId="179A09CB" w14:textId="77777777" w:rsidTr="00596935">
        <w:trPr>
          <w:trHeight w:val="525"/>
        </w:trPr>
        <w:tc>
          <w:tcPr>
            <w:tcW w:w="352" w:type="pct"/>
            <w:tcBorders>
              <w:top w:val="nil"/>
              <w:left w:val="nil"/>
              <w:bottom w:val="nil"/>
              <w:right w:val="nil"/>
            </w:tcBorders>
            <w:shd w:val="clear" w:color="auto" w:fill="auto"/>
            <w:hideMark/>
          </w:tcPr>
          <w:p w14:paraId="10E0B2EC" w14:textId="77777777" w:rsidR="00596935" w:rsidRPr="00596935" w:rsidRDefault="00596935" w:rsidP="00596935">
            <w:pPr>
              <w:rPr>
                <w:rFonts w:cs="Arial"/>
                <w:color w:val="000000"/>
                <w:sz w:val="18"/>
                <w:szCs w:val="18"/>
                <w:lang w:val="de-AT" w:eastAsia="de-AT"/>
              </w:rPr>
            </w:pPr>
            <w:r w:rsidRPr="00596935">
              <w:rPr>
                <w:rFonts w:cs="Arial"/>
                <w:color w:val="000000"/>
                <w:sz w:val="18"/>
                <w:szCs w:val="18"/>
                <w:lang w:val="de-AT" w:eastAsia="de-AT"/>
              </w:rPr>
              <w:t xml:space="preserve">Silverstein et al. 2005 </w:t>
            </w:r>
          </w:p>
        </w:tc>
        <w:tc>
          <w:tcPr>
            <w:tcW w:w="352" w:type="pct"/>
            <w:tcBorders>
              <w:top w:val="nil"/>
              <w:left w:val="single" w:sz="4" w:space="0" w:color="auto"/>
              <w:bottom w:val="single" w:sz="4" w:space="0" w:color="auto"/>
              <w:right w:val="nil"/>
            </w:tcBorders>
            <w:shd w:val="clear" w:color="auto" w:fill="auto"/>
            <w:vAlign w:val="bottom"/>
            <w:hideMark/>
          </w:tcPr>
          <w:p w14:paraId="173CD0DE" w14:textId="77777777" w:rsidR="00596935" w:rsidRPr="00596935" w:rsidRDefault="00596935" w:rsidP="00596935">
            <w:pPr>
              <w:rPr>
                <w:rFonts w:cs="Arial"/>
                <w:color w:val="000000"/>
                <w:sz w:val="18"/>
                <w:szCs w:val="18"/>
                <w:lang w:val="de-AT" w:eastAsia="de-AT"/>
              </w:rPr>
            </w:pPr>
            <w:r w:rsidRPr="00596935">
              <w:rPr>
                <w:rFonts w:cs="Arial"/>
                <w:color w:val="000000"/>
                <w:sz w:val="18"/>
                <w:szCs w:val="18"/>
                <w:lang w:val="de-AT" w:eastAsia="de-AT"/>
              </w:rPr>
              <w:t>NU-6 words</w:t>
            </w:r>
          </w:p>
        </w:tc>
        <w:tc>
          <w:tcPr>
            <w:tcW w:w="258" w:type="pct"/>
            <w:tcBorders>
              <w:top w:val="nil"/>
              <w:left w:val="single" w:sz="8" w:space="0" w:color="auto"/>
              <w:bottom w:val="single" w:sz="4" w:space="0" w:color="auto"/>
              <w:right w:val="single" w:sz="4" w:space="0" w:color="auto"/>
            </w:tcBorders>
            <w:shd w:val="clear" w:color="auto" w:fill="auto"/>
            <w:noWrap/>
            <w:vAlign w:val="center"/>
            <w:hideMark/>
          </w:tcPr>
          <w:p w14:paraId="132592EB"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80</w:t>
            </w:r>
          </w:p>
        </w:tc>
        <w:tc>
          <w:tcPr>
            <w:tcW w:w="313" w:type="pct"/>
            <w:tcBorders>
              <w:top w:val="nil"/>
              <w:left w:val="nil"/>
              <w:bottom w:val="single" w:sz="4" w:space="0" w:color="auto"/>
              <w:right w:val="single" w:sz="4" w:space="0" w:color="auto"/>
            </w:tcBorders>
            <w:shd w:val="clear" w:color="auto" w:fill="auto"/>
            <w:noWrap/>
            <w:vAlign w:val="center"/>
            <w:hideMark/>
          </w:tcPr>
          <w:p w14:paraId="2381F2AD"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xml:space="preserve"> 3.6CI</w:t>
            </w:r>
          </w:p>
        </w:tc>
        <w:tc>
          <w:tcPr>
            <w:tcW w:w="120" w:type="pct"/>
            <w:tcBorders>
              <w:top w:val="nil"/>
              <w:left w:val="nil"/>
              <w:bottom w:val="single" w:sz="4" w:space="0" w:color="auto"/>
              <w:right w:val="single" w:sz="8" w:space="0" w:color="auto"/>
            </w:tcBorders>
            <w:shd w:val="clear" w:color="auto" w:fill="auto"/>
            <w:noWrap/>
            <w:vAlign w:val="center"/>
            <w:hideMark/>
          </w:tcPr>
          <w:p w14:paraId="4B479E41"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64</w:t>
            </w:r>
          </w:p>
        </w:tc>
        <w:tc>
          <w:tcPr>
            <w:tcW w:w="224" w:type="pct"/>
            <w:tcBorders>
              <w:top w:val="nil"/>
              <w:left w:val="nil"/>
              <w:bottom w:val="single" w:sz="4" w:space="0" w:color="auto"/>
              <w:right w:val="single" w:sz="4" w:space="0" w:color="auto"/>
            </w:tcBorders>
            <w:shd w:val="clear" w:color="auto" w:fill="auto"/>
            <w:noWrap/>
            <w:vAlign w:val="bottom"/>
            <w:hideMark/>
          </w:tcPr>
          <w:p w14:paraId="158F016D"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44" w:type="pct"/>
            <w:tcBorders>
              <w:top w:val="nil"/>
              <w:left w:val="nil"/>
              <w:bottom w:val="single" w:sz="4" w:space="0" w:color="auto"/>
              <w:right w:val="single" w:sz="4" w:space="0" w:color="auto"/>
            </w:tcBorders>
            <w:shd w:val="clear" w:color="auto" w:fill="auto"/>
            <w:noWrap/>
            <w:vAlign w:val="bottom"/>
            <w:hideMark/>
          </w:tcPr>
          <w:p w14:paraId="2A3675F6"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120" w:type="pct"/>
            <w:tcBorders>
              <w:top w:val="nil"/>
              <w:left w:val="nil"/>
              <w:bottom w:val="single" w:sz="4" w:space="0" w:color="auto"/>
              <w:right w:val="single" w:sz="8" w:space="0" w:color="auto"/>
            </w:tcBorders>
            <w:shd w:val="clear" w:color="auto" w:fill="auto"/>
            <w:noWrap/>
            <w:vAlign w:val="bottom"/>
            <w:hideMark/>
          </w:tcPr>
          <w:p w14:paraId="06581D29"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46" w:type="pct"/>
            <w:tcBorders>
              <w:top w:val="nil"/>
              <w:left w:val="nil"/>
              <w:bottom w:val="single" w:sz="4" w:space="0" w:color="auto"/>
              <w:right w:val="single" w:sz="4" w:space="0" w:color="auto"/>
            </w:tcBorders>
            <w:shd w:val="clear" w:color="auto" w:fill="auto"/>
            <w:noWrap/>
            <w:vAlign w:val="bottom"/>
            <w:hideMark/>
          </w:tcPr>
          <w:p w14:paraId="7D63699C"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140" w:type="pct"/>
            <w:vMerge/>
            <w:tcBorders>
              <w:top w:val="nil"/>
              <w:left w:val="single" w:sz="4" w:space="0" w:color="auto"/>
              <w:bottom w:val="single" w:sz="8" w:space="0" w:color="000000"/>
              <w:right w:val="single" w:sz="4" w:space="0" w:color="auto"/>
            </w:tcBorders>
            <w:vAlign w:val="center"/>
            <w:hideMark/>
          </w:tcPr>
          <w:p w14:paraId="69D77CF5" w14:textId="77777777" w:rsidR="00596935" w:rsidRPr="00596935" w:rsidRDefault="00596935" w:rsidP="00596935">
            <w:pPr>
              <w:rPr>
                <w:rFonts w:cs="Arial"/>
                <w:color w:val="000000"/>
                <w:sz w:val="18"/>
                <w:szCs w:val="18"/>
                <w:lang w:val="de-AT" w:eastAsia="de-AT"/>
              </w:rPr>
            </w:pPr>
          </w:p>
        </w:tc>
        <w:tc>
          <w:tcPr>
            <w:tcW w:w="209" w:type="pct"/>
            <w:tcBorders>
              <w:top w:val="nil"/>
              <w:left w:val="nil"/>
              <w:bottom w:val="single" w:sz="4" w:space="0" w:color="auto"/>
              <w:right w:val="single" w:sz="8" w:space="0" w:color="auto"/>
            </w:tcBorders>
            <w:shd w:val="clear" w:color="auto" w:fill="auto"/>
            <w:noWrap/>
            <w:vAlign w:val="bottom"/>
            <w:hideMark/>
          </w:tcPr>
          <w:p w14:paraId="0AE1A371"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13" w:type="pct"/>
            <w:tcBorders>
              <w:top w:val="nil"/>
              <w:left w:val="nil"/>
              <w:bottom w:val="single" w:sz="4" w:space="0" w:color="auto"/>
              <w:right w:val="single" w:sz="4" w:space="0" w:color="auto"/>
            </w:tcBorders>
            <w:shd w:val="clear" w:color="auto" w:fill="auto"/>
            <w:noWrap/>
            <w:vAlign w:val="bottom"/>
            <w:hideMark/>
          </w:tcPr>
          <w:p w14:paraId="0D47D0C3"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141" w:type="pct"/>
            <w:vMerge/>
            <w:tcBorders>
              <w:top w:val="nil"/>
              <w:left w:val="single" w:sz="4" w:space="0" w:color="auto"/>
              <w:bottom w:val="single" w:sz="8" w:space="0" w:color="000000"/>
              <w:right w:val="single" w:sz="4" w:space="0" w:color="auto"/>
            </w:tcBorders>
            <w:vAlign w:val="center"/>
            <w:hideMark/>
          </w:tcPr>
          <w:p w14:paraId="172090D9" w14:textId="77777777" w:rsidR="00596935" w:rsidRPr="00596935" w:rsidRDefault="00596935" w:rsidP="00596935">
            <w:pPr>
              <w:rPr>
                <w:rFonts w:cs="Arial"/>
                <w:sz w:val="18"/>
                <w:szCs w:val="18"/>
                <w:lang w:val="de-AT" w:eastAsia="de-AT"/>
              </w:rPr>
            </w:pPr>
          </w:p>
        </w:tc>
        <w:tc>
          <w:tcPr>
            <w:tcW w:w="204" w:type="pct"/>
            <w:tcBorders>
              <w:top w:val="nil"/>
              <w:left w:val="nil"/>
              <w:bottom w:val="single" w:sz="4" w:space="0" w:color="auto"/>
              <w:right w:val="single" w:sz="8" w:space="0" w:color="auto"/>
            </w:tcBorders>
            <w:shd w:val="clear" w:color="auto" w:fill="auto"/>
            <w:noWrap/>
            <w:vAlign w:val="bottom"/>
            <w:hideMark/>
          </w:tcPr>
          <w:p w14:paraId="57619DA9"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18" w:type="pct"/>
            <w:tcBorders>
              <w:top w:val="nil"/>
              <w:left w:val="nil"/>
              <w:bottom w:val="single" w:sz="4" w:space="0" w:color="auto"/>
              <w:right w:val="single" w:sz="4" w:space="0" w:color="auto"/>
            </w:tcBorders>
            <w:shd w:val="clear" w:color="auto" w:fill="auto"/>
            <w:noWrap/>
            <w:vAlign w:val="center"/>
            <w:hideMark/>
          </w:tcPr>
          <w:p w14:paraId="56EA4B83"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74</w:t>
            </w:r>
          </w:p>
        </w:tc>
        <w:tc>
          <w:tcPr>
            <w:tcW w:w="335" w:type="pct"/>
            <w:tcBorders>
              <w:top w:val="nil"/>
              <w:left w:val="nil"/>
              <w:bottom w:val="single" w:sz="4" w:space="0" w:color="auto"/>
              <w:right w:val="single" w:sz="4" w:space="0" w:color="auto"/>
            </w:tcBorders>
            <w:shd w:val="clear" w:color="auto" w:fill="auto"/>
            <w:noWrap/>
            <w:vAlign w:val="center"/>
            <w:hideMark/>
          </w:tcPr>
          <w:p w14:paraId="755FC8BD"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5.4CI</w:t>
            </w:r>
          </w:p>
        </w:tc>
        <w:tc>
          <w:tcPr>
            <w:tcW w:w="120" w:type="pct"/>
            <w:tcBorders>
              <w:top w:val="nil"/>
              <w:left w:val="nil"/>
              <w:bottom w:val="single" w:sz="4" w:space="0" w:color="auto"/>
              <w:right w:val="single" w:sz="8" w:space="0" w:color="auto"/>
            </w:tcBorders>
            <w:shd w:val="clear" w:color="auto" w:fill="auto"/>
            <w:noWrap/>
            <w:vAlign w:val="center"/>
            <w:hideMark/>
          </w:tcPr>
          <w:p w14:paraId="76A4E6EE"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64</w:t>
            </w:r>
          </w:p>
        </w:tc>
        <w:tc>
          <w:tcPr>
            <w:tcW w:w="249" w:type="pct"/>
            <w:tcBorders>
              <w:top w:val="nil"/>
              <w:left w:val="nil"/>
              <w:bottom w:val="single" w:sz="4" w:space="0" w:color="auto"/>
              <w:right w:val="single" w:sz="4" w:space="0" w:color="auto"/>
            </w:tcBorders>
            <w:shd w:val="clear" w:color="auto" w:fill="auto"/>
            <w:noWrap/>
            <w:vAlign w:val="bottom"/>
            <w:hideMark/>
          </w:tcPr>
          <w:p w14:paraId="2F3C246F"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141" w:type="pct"/>
            <w:vMerge/>
            <w:tcBorders>
              <w:top w:val="nil"/>
              <w:left w:val="single" w:sz="4" w:space="0" w:color="auto"/>
              <w:bottom w:val="single" w:sz="8" w:space="0" w:color="000000"/>
              <w:right w:val="single" w:sz="4" w:space="0" w:color="auto"/>
            </w:tcBorders>
            <w:vAlign w:val="center"/>
            <w:hideMark/>
          </w:tcPr>
          <w:p w14:paraId="314E866C" w14:textId="77777777" w:rsidR="00596935" w:rsidRPr="00596935" w:rsidRDefault="00596935" w:rsidP="00596935">
            <w:pPr>
              <w:rPr>
                <w:rFonts w:cs="Arial"/>
                <w:sz w:val="18"/>
                <w:szCs w:val="18"/>
                <w:lang w:val="de-AT" w:eastAsia="de-AT"/>
              </w:rPr>
            </w:pPr>
          </w:p>
        </w:tc>
        <w:tc>
          <w:tcPr>
            <w:tcW w:w="207" w:type="pct"/>
            <w:tcBorders>
              <w:top w:val="nil"/>
              <w:left w:val="nil"/>
              <w:bottom w:val="single" w:sz="4" w:space="0" w:color="auto"/>
              <w:right w:val="single" w:sz="8" w:space="0" w:color="auto"/>
            </w:tcBorders>
            <w:shd w:val="clear" w:color="auto" w:fill="auto"/>
            <w:noWrap/>
            <w:vAlign w:val="bottom"/>
            <w:hideMark/>
          </w:tcPr>
          <w:p w14:paraId="2C87BDBE"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16" w:type="pct"/>
            <w:tcBorders>
              <w:top w:val="nil"/>
              <w:left w:val="nil"/>
              <w:bottom w:val="single" w:sz="4" w:space="0" w:color="auto"/>
              <w:right w:val="single" w:sz="4" w:space="0" w:color="auto"/>
            </w:tcBorders>
            <w:shd w:val="clear" w:color="auto" w:fill="auto"/>
            <w:noWrap/>
            <w:vAlign w:val="bottom"/>
            <w:hideMark/>
          </w:tcPr>
          <w:p w14:paraId="6E86FA10"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140" w:type="pct"/>
            <w:vMerge/>
            <w:tcBorders>
              <w:top w:val="nil"/>
              <w:left w:val="single" w:sz="4" w:space="0" w:color="auto"/>
              <w:bottom w:val="single" w:sz="8" w:space="0" w:color="000000"/>
              <w:right w:val="single" w:sz="4" w:space="0" w:color="auto"/>
            </w:tcBorders>
            <w:vAlign w:val="center"/>
            <w:hideMark/>
          </w:tcPr>
          <w:p w14:paraId="4B34220F" w14:textId="77777777" w:rsidR="00596935" w:rsidRPr="00596935" w:rsidRDefault="00596935" w:rsidP="00596935">
            <w:pPr>
              <w:rPr>
                <w:rFonts w:cs="Arial"/>
                <w:sz w:val="18"/>
                <w:szCs w:val="18"/>
                <w:lang w:val="de-AT" w:eastAsia="de-AT"/>
              </w:rPr>
            </w:pPr>
          </w:p>
        </w:tc>
        <w:tc>
          <w:tcPr>
            <w:tcW w:w="238" w:type="pct"/>
            <w:tcBorders>
              <w:top w:val="nil"/>
              <w:left w:val="nil"/>
              <w:bottom w:val="single" w:sz="4" w:space="0" w:color="auto"/>
              <w:right w:val="single" w:sz="8" w:space="0" w:color="auto"/>
            </w:tcBorders>
            <w:shd w:val="clear" w:color="auto" w:fill="auto"/>
            <w:noWrap/>
            <w:vAlign w:val="bottom"/>
            <w:hideMark/>
          </w:tcPr>
          <w:p w14:paraId="2A0B892B"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r>
    </w:tbl>
    <w:p w14:paraId="0B767C0D" w14:textId="77777777" w:rsidR="00596935" w:rsidRPr="00596935" w:rsidRDefault="00596935" w:rsidP="00596935">
      <w:pPr>
        <w:spacing w:after="200" w:line="276" w:lineRule="auto"/>
        <w:rPr>
          <w:rFonts w:asciiTheme="minorHAnsi" w:eastAsiaTheme="minorHAnsi" w:hAnsiTheme="minorHAnsi" w:cstheme="minorBidi"/>
          <w:sz w:val="24"/>
          <w:szCs w:val="24"/>
          <w:lang w:val="en-GB" w:eastAsia="en-US"/>
        </w:rPr>
      </w:pPr>
    </w:p>
    <w:p w14:paraId="5B81C740" w14:textId="77777777" w:rsidR="00596935" w:rsidRPr="00596935" w:rsidRDefault="00596935" w:rsidP="00596935">
      <w:pPr>
        <w:spacing w:after="200" w:line="276" w:lineRule="auto"/>
        <w:rPr>
          <w:rFonts w:asciiTheme="minorHAnsi" w:eastAsiaTheme="minorHAnsi" w:hAnsiTheme="minorHAnsi" w:cstheme="minorBidi"/>
          <w:sz w:val="24"/>
          <w:szCs w:val="24"/>
          <w:lang w:val="en-GB" w:eastAsia="en-US"/>
        </w:rPr>
        <w:sectPr w:rsidR="00596935" w:rsidRPr="00596935" w:rsidSect="00596935">
          <w:pgSz w:w="16838" w:h="11906" w:orient="landscape"/>
          <w:pgMar w:top="1417" w:right="1417" w:bottom="1417" w:left="1134" w:header="708" w:footer="708" w:gutter="0"/>
          <w:cols w:space="708"/>
          <w:docGrid w:linePitch="360"/>
        </w:sectPr>
      </w:pPr>
    </w:p>
    <w:p w14:paraId="1CC5DBDC" w14:textId="77777777" w:rsidR="00D77AE9" w:rsidRDefault="00D77AE9" w:rsidP="00596935">
      <w:pPr>
        <w:rPr>
          <w:rFonts w:asciiTheme="minorHAnsi" w:eastAsiaTheme="minorHAnsi" w:hAnsiTheme="minorHAnsi" w:cstheme="minorBidi"/>
          <w:sz w:val="24"/>
          <w:szCs w:val="24"/>
          <w:lang w:val="en-GB" w:eastAsia="en-US"/>
        </w:rPr>
      </w:pPr>
    </w:p>
    <w:p w14:paraId="6D905931" w14:textId="77777777" w:rsidR="00596935" w:rsidRPr="00C67966" w:rsidRDefault="00D77AE9" w:rsidP="007F6475">
      <w:pPr>
        <w:pStyle w:val="Caption"/>
        <w:rPr>
          <w:rFonts w:ascii="Arial" w:eastAsiaTheme="minorHAnsi" w:hAnsi="Arial" w:cs="Arial"/>
          <w:lang w:val="en-GB" w:eastAsia="en-US"/>
        </w:rPr>
      </w:pPr>
      <w:bookmarkStart w:id="441" w:name="_Ref400643748"/>
      <w:bookmarkStart w:id="442" w:name="_Toc431917480"/>
      <w:r w:rsidRPr="00C67966">
        <w:rPr>
          <w:rFonts w:ascii="Arial" w:hAnsi="Arial" w:cs="Arial"/>
        </w:rPr>
        <w:t xml:space="preserve">Table </w:t>
      </w:r>
      <w:r w:rsidRPr="00C67966">
        <w:rPr>
          <w:rFonts w:ascii="Arial" w:hAnsi="Arial" w:cs="Arial"/>
        </w:rPr>
        <w:fldChar w:fldCharType="begin"/>
      </w:r>
      <w:r w:rsidRPr="00C67966">
        <w:rPr>
          <w:rFonts w:ascii="Arial" w:hAnsi="Arial" w:cs="Arial"/>
        </w:rPr>
        <w:instrText xml:space="preserve"> SEQ Table \* ARABIC </w:instrText>
      </w:r>
      <w:r w:rsidRPr="00C67966">
        <w:rPr>
          <w:rFonts w:ascii="Arial" w:hAnsi="Arial" w:cs="Arial"/>
        </w:rPr>
        <w:fldChar w:fldCharType="separate"/>
      </w:r>
      <w:r w:rsidR="00016592">
        <w:rPr>
          <w:rFonts w:ascii="Arial" w:hAnsi="Arial" w:cs="Arial"/>
          <w:noProof/>
        </w:rPr>
        <w:t>20</w:t>
      </w:r>
      <w:r w:rsidRPr="00C67966">
        <w:rPr>
          <w:rFonts w:ascii="Arial" w:hAnsi="Arial" w:cs="Arial"/>
        </w:rPr>
        <w:fldChar w:fldCharType="end"/>
      </w:r>
      <w:r w:rsidRPr="00C67966">
        <w:rPr>
          <w:rFonts w:ascii="Arial" w:hAnsi="Arial" w:cs="Arial"/>
          <w:lang w:val="en-US"/>
        </w:rPr>
        <w:t xml:space="preserve"> - </w:t>
      </w:r>
      <w:r w:rsidR="00596935" w:rsidRPr="00C67966">
        <w:rPr>
          <w:rFonts w:ascii="Arial" w:eastAsiaTheme="minorHAnsi" w:hAnsi="Arial" w:cs="Arial"/>
          <w:lang w:val="en-GB" w:eastAsia="en-US"/>
        </w:rPr>
        <w:t>SRT, speech in quiet comparator</w:t>
      </w:r>
      <w:bookmarkEnd w:id="441"/>
      <w:bookmarkEnd w:id="442"/>
    </w:p>
    <w:tbl>
      <w:tblPr>
        <w:tblW w:w="5000" w:type="pct"/>
        <w:tblCellMar>
          <w:left w:w="70" w:type="dxa"/>
          <w:right w:w="70" w:type="dxa"/>
        </w:tblCellMar>
        <w:tblLook w:val="04A0" w:firstRow="1" w:lastRow="0" w:firstColumn="1" w:lastColumn="0" w:noHBand="0" w:noVBand="1"/>
        <w:tblDescription w:val="SRT, speech in quiet comparator"/>
      </w:tblPr>
      <w:tblGrid>
        <w:gridCol w:w="1110"/>
        <w:gridCol w:w="1110"/>
        <w:gridCol w:w="641"/>
        <w:gridCol w:w="530"/>
        <w:gridCol w:w="579"/>
        <w:gridCol w:w="579"/>
        <w:gridCol w:w="643"/>
        <w:gridCol w:w="383"/>
        <w:gridCol w:w="582"/>
        <w:gridCol w:w="641"/>
        <w:gridCol w:w="412"/>
        <w:gridCol w:w="579"/>
        <w:gridCol w:w="641"/>
        <w:gridCol w:w="383"/>
        <w:gridCol w:w="579"/>
        <w:gridCol w:w="641"/>
        <w:gridCol w:w="579"/>
        <w:gridCol w:w="580"/>
        <w:gridCol w:w="641"/>
        <w:gridCol w:w="413"/>
        <w:gridCol w:w="580"/>
        <w:gridCol w:w="641"/>
        <w:gridCol w:w="383"/>
        <w:gridCol w:w="577"/>
      </w:tblGrid>
      <w:tr w:rsidR="00596935" w:rsidRPr="00596935" w14:paraId="320A5CCC" w14:textId="77777777" w:rsidTr="00596935">
        <w:trPr>
          <w:trHeight w:val="555"/>
        </w:trPr>
        <w:tc>
          <w:tcPr>
            <w:tcW w:w="785" w:type="pct"/>
            <w:gridSpan w:val="2"/>
            <w:tcBorders>
              <w:top w:val="single" w:sz="8" w:space="0" w:color="auto"/>
              <w:left w:val="single" w:sz="8" w:space="0" w:color="auto"/>
              <w:bottom w:val="single" w:sz="8" w:space="0" w:color="000000"/>
              <w:right w:val="nil"/>
            </w:tcBorders>
            <w:shd w:val="clear" w:color="000000" w:fill="D9D9D9"/>
            <w:vAlign w:val="center"/>
            <w:hideMark/>
          </w:tcPr>
          <w:p w14:paraId="55BA9793"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speech in quite</w:t>
            </w:r>
          </w:p>
        </w:tc>
        <w:tc>
          <w:tcPr>
            <w:tcW w:w="593" w:type="pct"/>
            <w:gridSpan w:val="3"/>
            <w:tcBorders>
              <w:top w:val="single" w:sz="8" w:space="0" w:color="auto"/>
              <w:left w:val="single" w:sz="8" w:space="0" w:color="auto"/>
              <w:bottom w:val="single" w:sz="8" w:space="0" w:color="auto"/>
              <w:right w:val="single" w:sz="8" w:space="0" w:color="000000"/>
            </w:tcBorders>
            <w:shd w:val="clear" w:color="000000" w:fill="D9D9D9"/>
            <w:vAlign w:val="center"/>
            <w:hideMark/>
          </w:tcPr>
          <w:p w14:paraId="7255B618" w14:textId="77777777" w:rsidR="00596935" w:rsidRPr="00596935" w:rsidRDefault="00596935" w:rsidP="00596935">
            <w:pPr>
              <w:jc w:val="center"/>
              <w:rPr>
                <w:rFonts w:cs="Arial"/>
                <w:b/>
                <w:bCs/>
                <w:color w:val="000000"/>
                <w:sz w:val="20"/>
                <w:szCs w:val="20"/>
                <w:lang w:val="de-AT" w:eastAsia="de-AT"/>
              </w:rPr>
            </w:pPr>
            <w:r w:rsidRPr="00596935">
              <w:rPr>
                <w:rFonts w:cs="Arial"/>
                <w:b/>
                <w:bCs/>
                <w:color w:val="000000"/>
                <w:sz w:val="20"/>
                <w:szCs w:val="20"/>
                <w:lang w:val="de-AT" w:eastAsia="de-AT"/>
              </w:rPr>
              <w:t>Baseline unaided</w:t>
            </w:r>
          </w:p>
        </w:tc>
        <w:tc>
          <w:tcPr>
            <w:tcW w:w="760" w:type="pct"/>
            <w:gridSpan w:val="4"/>
            <w:tcBorders>
              <w:top w:val="single" w:sz="8" w:space="0" w:color="auto"/>
              <w:left w:val="nil"/>
              <w:bottom w:val="single" w:sz="8" w:space="0" w:color="auto"/>
              <w:right w:val="single" w:sz="8" w:space="0" w:color="000000"/>
            </w:tcBorders>
            <w:shd w:val="clear" w:color="000000" w:fill="D9D9D9"/>
            <w:vAlign w:val="center"/>
            <w:hideMark/>
          </w:tcPr>
          <w:p w14:paraId="5D37B2CC" w14:textId="77777777" w:rsidR="00596935" w:rsidRPr="00596935" w:rsidRDefault="00596935" w:rsidP="00596935">
            <w:pPr>
              <w:jc w:val="center"/>
              <w:rPr>
                <w:rFonts w:cs="Arial"/>
                <w:b/>
                <w:bCs/>
                <w:color w:val="000000"/>
                <w:sz w:val="20"/>
                <w:szCs w:val="20"/>
                <w:lang w:val="de-AT" w:eastAsia="de-AT"/>
              </w:rPr>
            </w:pPr>
            <w:r w:rsidRPr="00596935">
              <w:rPr>
                <w:rFonts w:cs="Arial"/>
                <w:b/>
                <w:bCs/>
                <w:color w:val="000000"/>
                <w:sz w:val="20"/>
                <w:szCs w:val="20"/>
                <w:lang w:val="de-AT" w:eastAsia="de-AT"/>
              </w:rPr>
              <w:t>Initial testing/activation</w:t>
            </w:r>
          </w:p>
        </w:tc>
        <w:tc>
          <w:tcPr>
            <w:tcW w:w="570" w:type="pct"/>
            <w:gridSpan w:val="3"/>
            <w:tcBorders>
              <w:top w:val="single" w:sz="8" w:space="0" w:color="auto"/>
              <w:left w:val="nil"/>
              <w:bottom w:val="single" w:sz="8" w:space="0" w:color="auto"/>
              <w:right w:val="single" w:sz="8" w:space="0" w:color="000000"/>
            </w:tcBorders>
            <w:shd w:val="clear" w:color="000000" w:fill="D9D9D9"/>
            <w:vAlign w:val="bottom"/>
            <w:hideMark/>
          </w:tcPr>
          <w:p w14:paraId="3CD33485" w14:textId="77777777" w:rsidR="00596935" w:rsidRPr="00596935" w:rsidRDefault="00596935" w:rsidP="00596935">
            <w:pPr>
              <w:jc w:val="center"/>
              <w:rPr>
                <w:rFonts w:cs="Arial"/>
                <w:b/>
                <w:bCs/>
                <w:color w:val="000000"/>
                <w:sz w:val="20"/>
                <w:szCs w:val="20"/>
                <w:lang w:val="en-US" w:eastAsia="de-AT"/>
              </w:rPr>
            </w:pPr>
            <w:r w:rsidRPr="00596935">
              <w:rPr>
                <w:rFonts w:cs="Arial"/>
                <w:b/>
                <w:bCs/>
                <w:color w:val="000000"/>
                <w:sz w:val="20"/>
                <w:szCs w:val="20"/>
                <w:lang w:val="en-US" w:eastAsia="de-AT"/>
              </w:rPr>
              <w:t>3 months post-op /  1month post-act</w:t>
            </w:r>
          </w:p>
        </w:tc>
        <w:tc>
          <w:tcPr>
            <w:tcW w:w="550" w:type="pct"/>
            <w:gridSpan w:val="3"/>
            <w:tcBorders>
              <w:top w:val="single" w:sz="8" w:space="0" w:color="auto"/>
              <w:left w:val="nil"/>
              <w:bottom w:val="single" w:sz="8" w:space="0" w:color="auto"/>
              <w:right w:val="single" w:sz="8" w:space="0" w:color="000000"/>
            </w:tcBorders>
            <w:shd w:val="clear" w:color="000000" w:fill="D9D9D9"/>
            <w:vAlign w:val="bottom"/>
            <w:hideMark/>
          </w:tcPr>
          <w:p w14:paraId="0D92A830" w14:textId="77777777" w:rsidR="00596935" w:rsidRPr="00596935" w:rsidRDefault="00596935" w:rsidP="00596935">
            <w:pPr>
              <w:jc w:val="center"/>
              <w:rPr>
                <w:rFonts w:cs="Arial"/>
                <w:b/>
                <w:bCs/>
                <w:color w:val="000000"/>
                <w:sz w:val="20"/>
                <w:szCs w:val="20"/>
                <w:lang w:val="en-US" w:eastAsia="de-AT"/>
              </w:rPr>
            </w:pPr>
            <w:r w:rsidRPr="00596935">
              <w:rPr>
                <w:rFonts w:cs="Arial"/>
                <w:b/>
                <w:bCs/>
                <w:color w:val="000000"/>
                <w:sz w:val="20"/>
                <w:szCs w:val="20"/>
                <w:lang w:val="en-US" w:eastAsia="de-AT"/>
              </w:rPr>
              <w:t>4 months post-op /  2 month post-act</w:t>
            </w:r>
          </w:p>
        </w:tc>
        <w:tc>
          <w:tcPr>
            <w:tcW w:w="628" w:type="pct"/>
            <w:gridSpan w:val="3"/>
            <w:tcBorders>
              <w:top w:val="single" w:sz="8" w:space="0" w:color="auto"/>
              <w:left w:val="nil"/>
              <w:bottom w:val="single" w:sz="8" w:space="0" w:color="auto"/>
              <w:right w:val="single" w:sz="8" w:space="0" w:color="000000"/>
            </w:tcBorders>
            <w:shd w:val="clear" w:color="000000" w:fill="D9D9D9"/>
            <w:vAlign w:val="center"/>
            <w:hideMark/>
          </w:tcPr>
          <w:p w14:paraId="4E4AF30F" w14:textId="77777777" w:rsidR="00596935" w:rsidRPr="00596935" w:rsidRDefault="00596935" w:rsidP="00596935">
            <w:pPr>
              <w:jc w:val="center"/>
              <w:rPr>
                <w:rFonts w:cs="Arial"/>
                <w:b/>
                <w:bCs/>
                <w:color w:val="000000"/>
                <w:sz w:val="20"/>
                <w:szCs w:val="20"/>
                <w:lang w:val="de-AT" w:eastAsia="de-AT"/>
              </w:rPr>
            </w:pPr>
            <w:r w:rsidRPr="00596935">
              <w:rPr>
                <w:rFonts w:cs="Arial"/>
                <w:b/>
                <w:bCs/>
                <w:color w:val="000000"/>
                <w:sz w:val="20"/>
                <w:szCs w:val="20"/>
                <w:lang w:val="de-AT" w:eastAsia="de-AT"/>
              </w:rPr>
              <w:t>3 months post-act</w:t>
            </w:r>
          </w:p>
        </w:tc>
        <w:tc>
          <w:tcPr>
            <w:tcW w:w="570" w:type="pct"/>
            <w:gridSpan w:val="3"/>
            <w:tcBorders>
              <w:top w:val="single" w:sz="8" w:space="0" w:color="auto"/>
              <w:left w:val="nil"/>
              <w:bottom w:val="single" w:sz="8" w:space="0" w:color="auto"/>
              <w:right w:val="single" w:sz="8" w:space="0" w:color="000000"/>
            </w:tcBorders>
            <w:shd w:val="clear" w:color="000000" w:fill="D9D9D9"/>
            <w:vAlign w:val="center"/>
            <w:hideMark/>
          </w:tcPr>
          <w:p w14:paraId="2C5B5414" w14:textId="77777777" w:rsidR="00596935" w:rsidRPr="00596935" w:rsidRDefault="00596935" w:rsidP="00596935">
            <w:pPr>
              <w:jc w:val="center"/>
              <w:rPr>
                <w:rFonts w:cs="Arial"/>
                <w:b/>
                <w:bCs/>
                <w:color w:val="000000"/>
                <w:sz w:val="20"/>
                <w:szCs w:val="20"/>
                <w:lang w:val="de-AT" w:eastAsia="de-AT"/>
              </w:rPr>
            </w:pPr>
            <w:r w:rsidRPr="00596935">
              <w:rPr>
                <w:rFonts w:cs="Arial"/>
                <w:b/>
                <w:bCs/>
                <w:color w:val="000000"/>
                <w:sz w:val="20"/>
                <w:szCs w:val="20"/>
                <w:lang w:val="de-AT" w:eastAsia="de-AT"/>
              </w:rPr>
              <w:t>6 months post-op</w:t>
            </w:r>
          </w:p>
        </w:tc>
        <w:tc>
          <w:tcPr>
            <w:tcW w:w="545" w:type="pct"/>
            <w:gridSpan w:val="3"/>
            <w:tcBorders>
              <w:top w:val="single" w:sz="8" w:space="0" w:color="auto"/>
              <w:left w:val="nil"/>
              <w:bottom w:val="single" w:sz="8" w:space="0" w:color="auto"/>
              <w:right w:val="single" w:sz="8" w:space="0" w:color="000000"/>
            </w:tcBorders>
            <w:shd w:val="clear" w:color="000000" w:fill="D9D9D9"/>
            <w:vAlign w:val="center"/>
            <w:hideMark/>
          </w:tcPr>
          <w:p w14:paraId="46B53DA2" w14:textId="77777777" w:rsidR="00596935" w:rsidRPr="00596935" w:rsidRDefault="00596935" w:rsidP="00596935">
            <w:pPr>
              <w:jc w:val="center"/>
              <w:rPr>
                <w:rFonts w:cs="Arial"/>
                <w:b/>
                <w:bCs/>
                <w:color w:val="000000"/>
                <w:sz w:val="20"/>
                <w:szCs w:val="20"/>
                <w:lang w:val="de-AT" w:eastAsia="de-AT"/>
              </w:rPr>
            </w:pPr>
            <w:r w:rsidRPr="00596935">
              <w:rPr>
                <w:rFonts w:cs="Arial"/>
                <w:b/>
                <w:bCs/>
                <w:color w:val="000000"/>
                <w:sz w:val="20"/>
                <w:szCs w:val="20"/>
                <w:lang w:val="de-AT" w:eastAsia="de-AT"/>
              </w:rPr>
              <w:t xml:space="preserve">12 months post-op </w:t>
            </w:r>
          </w:p>
        </w:tc>
      </w:tr>
      <w:tr w:rsidR="00596935" w:rsidRPr="00596935" w14:paraId="67ADB9D2" w14:textId="77777777" w:rsidTr="00596935">
        <w:trPr>
          <w:trHeight w:val="315"/>
        </w:trPr>
        <w:tc>
          <w:tcPr>
            <w:tcW w:w="393" w:type="pct"/>
            <w:tcBorders>
              <w:top w:val="nil"/>
              <w:left w:val="single" w:sz="8" w:space="0" w:color="auto"/>
              <w:bottom w:val="single" w:sz="8" w:space="0" w:color="000000"/>
              <w:right w:val="nil"/>
            </w:tcBorders>
            <w:shd w:val="clear" w:color="000000" w:fill="F2DCDB"/>
            <w:vAlign w:val="bottom"/>
            <w:hideMark/>
          </w:tcPr>
          <w:p w14:paraId="5296DBFE" w14:textId="77777777" w:rsidR="00596935" w:rsidRPr="00596935" w:rsidRDefault="00596935" w:rsidP="00596935">
            <w:pPr>
              <w:jc w:val="center"/>
              <w:rPr>
                <w:rFonts w:cs="Arial"/>
                <w:b/>
                <w:bCs/>
                <w:i/>
                <w:iCs/>
                <w:sz w:val="20"/>
                <w:szCs w:val="20"/>
                <w:lang w:val="de-AT" w:eastAsia="de-AT"/>
              </w:rPr>
            </w:pPr>
            <w:r w:rsidRPr="00596935">
              <w:rPr>
                <w:rFonts w:cs="Arial"/>
                <w:b/>
                <w:bCs/>
                <w:i/>
                <w:iCs/>
                <w:sz w:val="20"/>
                <w:szCs w:val="20"/>
                <w:lang w:val="de-AT" w:eastAsia="de-AT"/>
              </w:rPr>
              <w:t>SRT</w:t>
            </w:r>
          </w:p>
        </w:tc>
        <w:tc>
          <w:tcPr>
            <w:tcW w:w="393" w:type="pct"/>
            <w:vMerge w:val="restart"/>
            <w:tcBorders>
              <w:top w:val="single" w:sz="4" w:space="0" w:color="auto"/>
              <w:left w:val="single" w:sz="4" w:space="0" w:color="auto"/>
              <w:bottom w:val="single" w:sz="4" w:space="0" w:color="auto"/>
              <w:right w:val="nil"/>
            </w:tcBorders>
            <w:shd w:val="clear" w:color="000000" w:fill="F2DCDB"/>
            <w:vAlign w:val="center"/>
            <w:hideMark/>
          </w:tcPr>
          <w:p w14:paraId="00828FF8"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Test</w:t>
            </w:r>
          </w:p>
        </w:tc>
        <w:tc>
          <w:tcPr>
            <w:tcW w:w="593" w:type="pct"/>
            <w:gridSpan w:val="3"/>
            <w:tcBorders>
              <w:top w:val="single" w:sz="8" w:space="0" w:color="auto"/>
              <w:left w:val="single" w:sz="8" w:space="0" w:color="auto"/>
              <w:bottom w:val="single" w:sz="8" w:space="0" w:color="auto"/>
              <w:right w:val="single" w:sz="8" w:space="0" w:color="000000"/>
            </w:tcBorders>
            <w:shd w:val="clear" w:color="000000" w:fill="F2DCDB"/>
            <w:vAlign w:val="bottom"/>
            <w:hideMark/>
          </w:tcPr>
          <w:p w14:paraId="2BD9D7C4" w14:textId="77777777" w:rsidR="00596935" w:rsidRPr="00596935" w:rsidRDefault="00596935" w:rsidP="00596935">
            <w:pPr>
              <w:jc w:val="center"/>
              <w:rPr>
                <w:rFonts w:cs="Arial"/>
                <w:b/>
                <w:bCs/>
                <w:color w:val="000000"/>
                <w:sz w:val="20"/>
                <w:szCs w:val="20"/>
                <w:lang w:val="de-AT" w:eastAsia="de-AT"/>
              </w:rPr>
            </w:pPr>
            <w:r w:rsidRPr="00596935">
              <w:rPr>
                <w:rFonts w:cs="Arial"/>
                <w:b/>
                <w:bCs/>
                <w:color w:val="000000"/>
                <w:sz w:val="20"/>
                <w:szCs w:val="20"/>
                <w:lang w:val="de-AT" w:eastAsia="de-AT"/>
              </w:rPr>
              <w:t>unaided</w:t>
            </w:r>
          </w:p>
        </w:tc>
        <w:tc>
          <w:tcPr>
            <w:tcW w:w="760" w:type="pct"/>
            <w:gridSpan w:val="4"/>
            <w:tcBorders>
              <w:top w:val="single" w:sz="8" w:space="0" w:color="auto"/>
              <w:left w:val="nil"/>
              <w:bottom w:val="single" w:sz="8" w:space="0" w:color="auto"/>
              <w:right w:val="single" w:sz="8" w:space="0" w:color="000000"/>
            </w:tcBorders>
            <w:shd w:val="clear" w:color="000000" w:fill="F2DCDB"/>
            <w:vAlign w:val="bottom"/>
            <w:hideMark/>
          </w:tcPr>
          <w:p w14:paraId="5F37364C" w14:textId="77777777" w:rsidR="00596935" w:rsidRPr="00596935" w:rsidRDefault="00596935" w:rsidP="00596935">
            <w:pPr>
              <w:jc w:val="center"/>
              <w:rPr>
                <w:rFonts w:cs="Arial"/>
                <w:b/>
                <w:bCs/>
                <w:color w:val="000000"/>
                <w:sz w:val="20"/>
                <w:szCs w:val="20"/>
                <w:lang w:val="de-AT" w:eastAsia="de-AT"/>
              </w:rPr>
            </w:pPr>
            <w:r w:rsidRPr="00596935">
              <w:rPr>
                <w:rFonts w:cs="Arial"/>
                <w:b/>
                <w:bCs/>
                <w:color w:val="000000"/>
                <w:sz w:val="20"/>
                <w:szCs w:val="20"/>
                <w:lang w:val="de-AT" w:eastAsia="de-AT"/>
              </w:rPr>
              <w:t xml:space="preserve">aided </w:t>
            </w:r>
          </w:p>
        </w:tc>
        <w:tc>
          <w:tcPr>
            <w:tcW w:w="570" w:type="pct"/>
            <w:gridSpan w:val="3"/>
            <w:tcBorders>
              <w:top w:val="single" w:sz="8" w:space="0" w:color="auto"/>
              <w:left w:val="nil"/>
              <w:bottom w:val="single" w:sz="8" w:space="0" w:color="auto"/>
              <w:right w:val="single" w:sz="8" w:space="0" w:color="000000"/>
            </w:tcBorders>
            <w:shd w:val="clear" w:color="000000" w:fill="F2DCDB"/>
            <w:vAlign w:val="bottom"/>
            <w:hideMark/>
          </w:tcPr>
          <w:p w14:paraId="642ADA83" w14:textId="77777777" w:rsidR="00596935" w:rsidRPr="00596935" w:rsidRDefault="00596935" w:rsidP="00596935">
            <w:pPr>
              <w:jc w:val="center"/>
              <w:rPr>
                <w:rFonts w:cs="Arial"/>
                <w:b/>
                <w:bCs/>
                <w:color w:val="000000"/>
                <w:sz w:val="20"/>
                <w:szCs w:val="20"/>
                <w:lang w:val="de-AT" w:eastAsia="de-AT"/>
              </w:rPr>
            </w:pPr>
            <w:r w:rsidRPr="00596935">
              <w:rPr>
                <w:rFonts w:cs="Arial"/>
                <w:b/>
                <w:bCs/>
                <w:color w:val="000000"/>
                <w:sz w:val="20"/>
                <w:szCs w:val="20"/>
                <w:lang w:val="de-AT" w:eastAsia="de-AT"/>
              </w:rPr>
              <w:t xml:space="preserve">aided </w:t>
            </w:r>
          </w:p>
        </w:tc>
        <w:tc>
          <w:tcPr>
            <w:tcW w:w="550" w:type="pct"/>
            <w:gridSpan w:val="3"/>
            <w:tcBorders>
              <w:top w:val="single" w:sz="8" w:space="0" w:color="auto"/>
              <w:left w:val="nil"/>
              <w:bottom w:val="single" w:sz="8" w:space="0" w:color="auto"/>
              <w:right w:val="single" w:sz="8" w:space="0" w:color="000000"/>
            </w:tcBorders>
            <w:shd w:val="clear" w:color="000000" w:fill="F2DCDB"/>
            <w:vAlign w:val="bottom"/>
            <w:hideMark/>
          </w:tcPr>
          <w:p w14:paraId="5B0DAE1A" w14:textId="77777777" w:rsidR="00596935" w:rsidRPr="00596935" w:rsidRDefault="00596935" w:rsidP="00596935">
            <w:pPr>
              <w:jc w:val="center"/>
              <w:rPr>
                <w:rFonts w:cs="Arial"/>
                <w:b/>
                <w:bCs/>
                <w:color w:val="000000"/>
                <w:sz w:val="20"/>
                <w:szCs w:val="20"/>
                <w:lang w:val="de-AT" w:eastAsia="de-AT"/>
              </w:rPr>
            </w:pPr>
            <w:r w:rsidRPr="00596935">
              <w:rPr>
                <w:rFonts w:cs="Arial"/>
                <w:b/>
                <w:bCs/>
                <w:color w:val="000000"/>
                <w:sz w:val="20"/>
                <w:szCs w:val="20"/>
                <w:lang w:val="de-AT" w:eastAsia="de-AT"/>
              </w:rPr>
              <w:t xml:space="preserve">aided </w:t>
            </w:r>
          </w:p>
        </w:tc>
        <w:tc>
          <w:tcPr>
            <w:tcW w:w="628" w:type="pct"/>
            <w:gridSpan w:val="3"/>
            <w:tcBorders>
              <w:top w:val="single" w:sz="8" w:space="0" w:color="auto"/>
              <w:left w:val="nil"/>
              <w:bottom w:val="single" w:sz="8" w:space="0" w:color="auto"/>
              <w:right w:val="single" w:sz="8" w:space="0" w:color="000000"/>
            </w:tcBorders>
            <w:shd w:val="clear" w:color="000000" w:fill="F2DCDB"/>
            <w:vAlign w:val="bottom"/>
            <w:hideMark/>
          </w:tcPr>
          <w:p w14:paraId="36DD0578" w14:textId="77777777" w:rsidR="00596935" w:rsidRPr="00596935" w:rsidRDefault="00596935" w:rsidP="00596935">
            <w:pPr>
              <w:jc w:val="center"/>
              <w:rPr>
                <w:rFonts w:cs="Arial"/>
                <w:b/>
                <w:bCs/>
                <w:color w:val="000000"/>
                <w:sz w:val="20"/>
                <w:szCs w:val="20"/>
                <w:lang w:val="de-AT" w:eastAsia="de-AT"/>
              </w:rPr>
            </w:pPr>
            <w:r w:rsidRPr="00596935">
              <w:rPr>
                <w:rFonts w:cs="Arial"/>
                <w:b/>
                <w:bCs/>
                <w:color w:val="000000"/>
                <w:sz w:val="20"/>
                <w:szCs w:val="20"/>
                <w:lang w:val="de-AT" w:eastAsia="de-AT"/>
              </w:rPr>
              <w:t xml:space="preserve">aided </w:t>
            </w:r>
          </w:p>
        </w:tc>
        <w:tc>
          <w:tcPr>
            <w:tcW w:w="570" w:type="pct"/>
            <w:gridSpan w:val="3"/>
            <w:tcBorders>
              <w:top w:val="single" w:sz="8" w:space="0" w:color="auto"/>
              <w:left w:val="nil"/>
              <w:bottom w:val="single" w:sz="8" w:space="0" w:color="auto"/>
              <w:right w:val="single" w:sz="8" w:space="0" w:color="000000"/>
            </w:tcBorders>
            <w:shd w:val="clear" w:color="000000" w:fill="F2DCDB"/>
            <w:vAlign w:val="bottom"/>
            <w:hideMark/>
          </w:tcPr>
          <w:p w14:paraId="5827A741" w14:textId="77777777" w:rsidR="00596935" w:rsidRPr="00596935" w:rsidRDefault="00596935" w:rsidP="00596935">
            <w:pPr>
              <w:jc w:val="center"/>
              <w:rPr>
                <w:rFonts w:cs="Arial"/>
                <w:b/>
                <w:bCs/>
                <w:color w:val="000000"/>
                <w:sz w:val="20"/>
                <w:szCs w:val="20"/>
                <w:lang w:val="de-AT" w:eastAsia="de-AT"/>
              </w:rPr>
            </w:pPr>
            <w:r w:rsidRPr="00596935">
              <w:rPr>
                <w:rFonts w:cs="Arial"/>
                <w:b/>
                <w:bCs/>
                <w:color w:val="000000"/>
                <w:sz w:val="20"/>
                <w:szCs w:val="20"/>
                <w:lang w:val="de-AT" w:eastAsia="de-AT"/>
              </w:rPr>
              <w:t xml:space="preserve">aided </w:t>
            </w:r>
          </w:p>
        </w:tc>
        <w:tc>
          <w:tcPr>
            <w:tcW w:w="545" w:type="pct"/>
            <w:gridSpan w:val="3"/>
            <w:tcBorders>
              <w:top w:val="single" w:sz="8" w:space="0" w:color="auto"/>
              <w:left w:val="nil"/>
              <w:bottom w:val="single" w:sz="8" w:space="0" w:color="auto"/>
              <w:right w:val="single" w:sz="8" w:space="0" w:color="000000"/>
            </w:tcBorders>
            <w:shd w:val="clear" w:color="000000" w:fill="F2DCDB"/>
            <w:vAlign w:val="bottom"/>
            <w:hideMark/>
          </w:tcPr>
          <w:p w14:paraId="04486094" w14:textId="77777777" w:rsidR="00596935" w:rsidRPr="00596935" w:rsidRDefault="00596935" w:rsidP="00596935">
            <w:pPr>
              <w:jc w:val="center"/>
              <w:rPr>
                <w:rFonts w:cs="Arial"/>
                <w:b/>
                <w:bCs/>
                <w:color w:val="000000"/>
                <w:sz w:val="20"/>
                <w:szCs w:val="20"/>
                <w:lang w:val="de-AT" w:eastAsia="de-AT"/>
              </w:rPr>
            </w:pPr>
            <w:r w:rsidRPr="00596935">
              <w:rPr>
                <w:rFonts w:cs="Arial"/>
                <w:b/>
                <w:bCs/>
                <w:color w:val="000000"/>
                <w:sz w:val="20"/>
                <w:szCs w:val="20"/>
                <w:lang w:val="de-AT" w:eastAsia="de-AT"/>
              </w:rPr>
              <w:t xml:space="preserve">aided </w:t>
            </w:r>
          </w:p>
        </w:tc>
      </w:tr>
      <w:tr w:rsidR="00596935" w:rsidRPr="00596935" w14:paraId="4A275B86" w14:textId="77777777" w:rsidTr="00596935">
        <w:trPr>
          <w:trHeight w:val="525"/>
        </w:trPr>
        <w:tc>
          <w:tcPr>
            <w:tcW w:w="393" w:type="pct"/>
            <w:tcBorders>
              <w:top w:val="nil"/>
              <w:left w:val="single" w:sz="8" w:space="0" w:color="auto"/>
              <w:bottom w:val="single" w:sz="8" w:space="0" w:color="auto"/>
              <w:right w:val="nil"/>
            </w:tcBorders>
            <w:shd w:val="clear" w:color="000000" w:fill="D9D9D9"/>
            <w:vAlign w:val="bottom"/>
            <w:hideMark/>
          </w:tcPr>
          <w:p w14:paraId="0EBEA600" w14:textId="77777777" w:rsidR="00596935" w:rsidRPr="00596935" w:rsidRDefault="00596935" w:rsidP="00596935">
            <w:pPr>
              <w:jc w:val="center"/>
              <w:rPr>
                <w:rFonts w:cs="Arial"/>
                <w:b/>
                <w:bCs/>
                <w:i/>
                <w:iCs/>
                <w:sz w:val="20"/>
                <w:szCs w:val="20"/>
                <w:lang w:val="de-AT" w:eastAsia="de-AT"/>
              </w:rPr>
            </w:pPr>
            <w:r w:rsidRPr="00596935">
              <w:rPr>
                <w:rFonts w:cs="Arial"/>
                <w:b/>
                <w:bCs/>
                <w:i/>
                <w:iCs/>
                <w:sz w:val="20"/>
                <w:szCs w:val="20"/>
                <w:lang w:val="de-AT" w:eastAsia="de-AT"/>
              </w:rPr>
              <w:t>author</w:t>
            </w:r>
          </w:p>
        </w:tc>
        <w:tc>
          <w:tcPr>
            <w:tcW w:w="393" w:type="pct"/>
            <w:vMerge/>
            <w:tcBorders>
              <w:top w:val="single" w:sz="4" w:space="0" w:color="auto"/>
              <w:left w:val="single" w:sz="4" w:space="0" w:color="auto"/>
              <w:bottom w:val="single" w:sz="4" w:space="0" w:color="auto"/>
              <w:right w:val="nil"/>
            </w:tcBorders>
            <w:vAlign w:val="center"/>
            <w:hideMark/>
          </w:tcPr>
          <w:p w14:paraId="42F31961" w14:textId="77777777" w:rsidR="00596935" w:rsidRPr="00596935" w:rsidRDefault="00596935" w:rsidP="00596935">
            <w:pPr>
              <w:rPr>
                <w:rFonts w:cs="Arial"/>
                <w:color w:val="000000"/>
                <w:sz w:val="20"/>
                <w:szCs w:val="20"/>
                <w:lang w:val="de-AT" w:eastAsia="de-AT"/>
              </w:rPr>
            </w:pPr>
          </w:p>
        </w:tc>
        <w:tc>
          <w:tcPr>
            <w:tcW w:w="210" w:type="pct"/>
            <w:tcBorders>
              <w:top w:val="nil"/>
              <w:left w:val="single" w:sz="8" w:space="0" w:color="auto"/>
              <w:bottom w:val="single" w:sz="8" w:space="0" w:color="auto"/>
              <w:right w:val="single" w:sz="4" w:space="0" w:color="auto"/>
            </w:tcBorders>
            <w:shd w:val="clear" w:color="000000" w:fill="D9D9D9"/>
            <w:vAlign w:val="center"/>
            <w:hideMark/>
          </w:tcPr>
          <w:p w14:paraId="03216DBE"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mean [dB]</w:t>
            </w:r>
          </w:p>
        </w:tc>
        <w:tc>
          <w:tcPr>
            <w:tcW w:w="174" w:type="pct"/>
            <w:tcBorders>
              <w:top w:val="nil"/>
              <w:left w:val="nil"/>
              <w:bottom w:val="single" w:sz="8" w:space="0" w:color="auto"/>
              <w:right w:val="single" w:sz="4" w:space="0" w:color="auto"/>
            </w:tcBorders>
            <w:shd w:val="clear" w:color="000000" w:fill="D9D9D9"/>
            <w:vAlign w:val="center"/>
            <w:hideMark/>
          </w:tcPr>
          <w:p w14:paraId="347BBAC9"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sd</w:t>
            </w:r>
          </w:p>
        </w:tc>
        <w:tc>
          <w:tcPr>
            <w:tcW w:w="209" w:type="pct"/>
            <w:tcBorders>
              <w:top w:val="nil"/>
              <w:left w:val="nil"/>
              <w:bottom w:val="single" w:sz="8" w:space="0" w:color="auto"/>
              <w:right w:val="single" w:sz="8" w:space="0" w:color="auto"/>
            </w:tcBorders>
            <w:shd w:val="clear" w:color="000000" w:fill="D9D9D9"/>
            <w:vAlign w:val="center"/>
            <w:hideMark/>
          </w:tcPr>
          <w:p w14:paraId="09B983AC" w14:textId="77777777" w:rsidR="00596935" w:rsidRPr="00596935" w:rsidRDefault="00596935" w:rsidP="00596935">
            <w:pPr>
              <w:jc w:val="center"/>
              <w:rPr>
                <w:rFonts w:cs="Arial"/>
                <w:i/>
                <w:iCs/>
                <w:color w:val="000000"/>
                <w:sz w:val="20"/>
                <w:szCs w:val="20"/>
                <w:lang w:val="de-AT" w:eastAsia="de-AT"/>
              </w:rPr>
            </w:pPr>
            <w:r w:rsidRPr="00596935">
              <w:rPr>
                <w:rFonts w:cs="Arial"/>
                <w:i/>
                <w:iCs/>
                <w:color w:val="000000"/>
                <w:sz w:val="20"/>
                <w:szCs w:val="20"/>
                <w:lang w:val="de-AT" w:eastAsia="de-AT"/>
              </w:rPr>
              <w:t>n</w:t>
            </w:r>
          </w:p>
        </w:tc>
        <w:tc>
          <w:tcPr>
            <w:tcW w:w="209" w:type="pct"/>
            <w:tcBorders>
              <w:top w:val="nil"/>
              <w:left w:val="nil"/>
              <w:bottom w:val="single" w:sz="8" w:space="0" w:color="auto"/>
              <w:right w:val="single" w:sz="4" w:space="0" w:color="auto"/>
            </w:tcBorders>
            <w:shd w:val="clear" w:color="000000" w:fill="D9D9D9"/>
            <w:vAlign w:val="bottom"/>
            <w:hideMark/>
          </w:tcPr>
          <w:p w14:paraId="2CFD0F03"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210" w:type="pct"/>
            <w:tcBorders>
              <w:top w:val="nil"/>
              <w:left w:val="nil"/>
              <w:bottom w:val="single" w:sz="8" w:space="0" w:color="auto"/>
              <w:right w:val="single" w:sz="4" w:space="0" w:color="auto"/>
            </w:tcBorders>
            <w:shd w:val="clear" w:color="000000" w:fill="D9D9D9"/>
            <w:vAlign w:val="center"/>
            <w:hideMark/>
          </w:tcPr>
          <w:p w14:paraId="0335C268"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mean [dB]</w:t>
            </w:r>
          </w:p>
        </w:tc>
        <w:tc>
          <w:tcPr>
            <w:tcW w:w="131" w:type="pct"/>
            <w:tcBorders>
              <w:top w:val="nil"/>
              <w:left w:val="nil"/>
              <w:bottom w:val="single" w:sz="8" w:space="0" w:color="auto"/>
              <w:right w:val="single" w:sz="4" w:space="0" w:color="auto"/>
            </w:tcBorders>
            <w:shd w:val="clear" w:color="000000" w:fill="D9D9D9"/>
            <w:vAlign w:val="center"/>
            <w:hideMark/>
          </w:tcPr>
          <w:p w14:paraId="406FBADE"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sd</w:t>
            </w:r>
          </w:p>
        </w:tc>
        <w:tc>
          <w:tcPr>
            <w:tcW w:w="209" w:type="pct"/>
            <w:tcBorders>
              <w:top w:val="nil"/>
              <w:left w:val="nil"/>
              <w:bottom w:val="single" w:sz="8" w:space="0" w:color="auto"/>
              <w:right w:val="single" w:sz="8" w:space="0" w:color="auto"/>
            </w:tcBorders>
            <w:shd w:val="clear" w:color="000000" w:fill="D9D9D9"/>
            <w:vAlign w:val="center"/>
            <w:hideMark/>
          </w:tcPr>
          <w:p w14:paraId="19609B23" w14:textId="77777777" w:rsidR="00596935" w:rsidRPr="00596935" w:rsidRDefault="00596935" w:rsidP="00596935">
            <w:pPr>
              <w:jc w:val="center"/>
              <w:rPr>
                <w:rFonts w:cs="Arial"/>
                <w:i/>
                <w:iCs/>
                <w:color w:val="000000"/>
                <w:sz w:val="20"/>
                <w:szCs w:val="20"/>
                <w:lang w:val="de-AT" w:eastAsia="de-AT"/>
              </w:rPr>
            </w:pPr>
            <w:r w:rsidRPr="00596935">
              <w:rPr>
                <w:rFonts w:cs="Arial"/>
                <w:i/>
                <w:iCs/>
                <w:color w:val="000000"/>
                <w:sz w:val="20"/>
                <w:szCs w:val="20"/>
                <w:lang w:val="de-AT" w:eastAsia="de-AT"/>
              </w:rPr>
              <w:t>n</w:t>
            </w:r>
          </w:p>
        </w:tc>
        <w:tc>
          <w:tcPr>
            <w:tcW w:w="210" w:type="pct"/>
            <w:tcBorders>
              <w:top w:val="nil"/>
              <w:left w:val="nil"/>
              <w:bottom w:val="single" w:sz="8" w:space="0" w:color="auto"/>
              <w:right w:val="single" w:sz="4" w:space="0" w:color="auto"/>
            </w:tcBorders>
            <w:shd w:val="clear" w:color="000000" w:fill="D9D9D9"/>
            <w:vAlign w:val="center"/>
            <w:hideMark/>
          </w:tcPr>
          <w:p w14:paraId="2A2C58F2"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mean [dB]</w:t>
            </w:r>
          </w:p>
        </w:tc>
        <w:tc>
          <w:tcPr>
            <w:tcW w:w="151" w:type="pct"/>
            <w:tcBorders>
              <w:top w:val="nil"/>
              <w:left w:val="nil"/>
              <w:bottom w:val="single" w:sz="8" w:space="0" w:color="auto"/>
              <w:right w:val="nil"/>
            </w:tcBorders>
            <w:shd w:val="clear" w:color="000000" w:fill="D9D9D9"/>
            <w:vAlign w:val="center"/>
            <w:hideMark/>
          </w:tcPr>
          <w:p w14:paraId="025CFD7B"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sd</w:t>
            </w:r>
          </w:p>
        </w:tc>
        <w:tc>
          <w:tcPr>
            <w:tcW w:w="209" w:type="pct"/>
            <w:tcBorders>
              <w:top w:val="nil"/>
              <w:left w:val="single" w:sz="4" w:space="0" w:color="auto"/>
              <w:bottom w:val="single" w:sz="8" w:space="0" w:color="auto"/>
              <w:right w:val="single" w:sz="8" w:space="0" w:color="auto"/>
            </w:tcBorders>
            <w:shd w:val="clear" w:color="000000" w:fill="D9D9D9"/>
            <w:vAlign w:val="bottom"/>
            <w:hideMark/>
          </w:tcPr>
          <w:p w14:paraId="447508B0" w14:textId="77777777" w:rsidR="00596935" w:rsidRPr="00596935" w:rsidRDefault="00596935" w:rsidP="00596935">
            <w:pPr>
              <w:jc w:val="center"/>
              <w:rPr>
                <w:rFonts w:cs="Arial"/>
                <w:i/>
                <w:iCs/>
                <w:color w:val="000000"/>
                <w:sz w:val="20"/>
                <w:szCs w:val="20"/>
                <w:lang w:val="de-AT" w:eastAsia="de-AT"/>
              </w:rPr>
            </w:pPr>
            <w:r w:rsidRPr="00596935">
              <w:rPr>
                <w:rFonts w:cs="Arial"/>
                <w:i/>
                <w:iCs/>
                <w:color w:val="000000"/>
                <w:sz w:val="20"/>
                <w:szCs w:val="20"/>
                <w:lang w:val="de-AT" w:eastAsia="de-AT"/>
              </w:rPr>
              <w:t>n</w:t>
            </w:r>
          </w:p>
        </w:tc>
        <w:tc>
          <w:tcPr>
            <w:tcW w:w="210" w:type="pct"/>
            <w:tcBorders>
              <w:top w:val="nil"/>
              <w:left w:val="nil"/>
              <w:bottom w:val="single" w:sz="8" w:space="0" w:color="auto"/>
              <w:right w:val="single" w:sz="4" w:space="0" w:color="auto"/>
            </w:tcBorders>
            <w:shd w:val="clear" w:color="000000" w:fill="D9D9D9"/>
            <w:vAlign w:val="center"/>
            <w:hideMark/>
          </w:tcPr>
          <w:p w14:paraId="58DB19D6"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mean [dB]</w:t>
            </w:r>
          </w:p>
        </w:tc>
        <w:tc>
          <w:tcPr>
            <w:tcW w:w="131" w:type="pct"/>
            <w:tcBorders>
              <w:top w:val="nil"/>
              <w:left w:val="nil"/>
              <w:bottom w:val="single" w:sz="8" w:space="0" w:color="auto"/>
              <w:right w:val="nil"/>
            </w:tcBorders>
            <w:shd w:val="clear" w:color="000000" w:fill="D9D9D9"/>
            <w:vAlign w:val="center"/>
            <w:hideMark/>
          </w:tcPr>
          <w:p w14:paraId="687B05AD"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sd</w:t>
            </w:r>
          </w:p>
        </w:tc>
        <w:tc>
          <w:tcPr>
            <w:tcW w:w="209" w:type="pct"/>
            <w:tcBorders>
              <w:top w:val="nil"/>
              <w:left w:val="single" w:sz="4" w:space="0" w:color="auto"/>
              <w:bottom w:val="single" w:sz="8" w:space="0" w:color="auto"/>
              <w:right w:val="single" w:sz="8" w:space="0" w:color="auto"/>
            </w:tcBorders>
            <w:shd w:val="clear" w:color="000000" w:fill="D9D9D9"/>
            <w:vAlign w:val="bottom"/>
            <w:hideMark/>
          </w:tcPr>
          <w:p w14:paraId="52959D01" w14:textId="77777777" w:rsidR="00596935" w:rsidRPr="00596935" w:rsidRDefault="00596935" w:rsidP="00596935">
            <w:pPr>
              <w:jc w:val="center"/>
              <w:rPr>
                <w:rFonts w:cs="Arial"/>
                <w:i/>
                <w:iCs/>
                <w:color w:val="000000"/>
                <w:sz w:val="20"/>
                <w:szCs w:val="20"/>
                <w:lang w:val="de-AT" w:eastAsia="de-AT"/>
              </w:rPr>
            </w:pPr>
            <w:r w:rsidRPr="00596935">
              <w:rPr>
                <w:rFonts w:cs="Arial"/>
                <w:i/>
                <w:iCs/>
                <w:color w:val="000000"/>
                <w:sz w:val="20"/>
                <w:szCs w:val="20"/>
                <w:lang w:val="de-AT" w:eastAsia="de-AT"/>
              </w:rPr>
              <w:t>n</w:t>
            </w:r>
          </w:p>
        </w:tc>
        <w:tc>
          <w:tcPr>
            <w:tcW w:w="210" w:type="pct"/>
            <w:tcBorders>
              <w:top w:val="nil"/>
              <w:left w:val="nil"/>
              <w:bottom w:val="single" w:sz="8" w:space="0" w:color="auto"/>
              <w:right w:val="single" w:sz="4" w:space="0" w:color="auto"/>
            </w:tcBorders>
            <w:shd w:val="clear" w:color="000000" w:fill="D9D9D9"/>
            <w:vAlign w:val="center"/>
            <w:hideMark/>
          </w:tcPr>
          <w:p w14:paraId="50B5236D"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mean [dB]</w:t>
            </w:r>
          </w:p>
        </w:tc>
        <w:tc>
          <w:tcPr>
            <w:tcW w:w="209" w:type="pct"/>
            <w:tcBorders>
              <w:top w:val="nil"/>
              <w:left w:val="nil"/>
              <w:bottom w:val="single" w:sz="8" w:space="0" w:color="auto"/>
              <w:right w:val="single" w:sz="4" w:space="0" w:color="auto"/>
            </w:tcBorders>
            <w:shd w:val="clear" w:color="000000" w:fill="D9D9D9"/>
            <w:vAlign w:val="bottom"/>
            <w:hideMark/>
          </w:tcPr>
          <w:p w14:paraId="501CF44C" w14:textId="77777777" w:rsidR="00596935" w:rsidRPr="00596935" w:rsidRDefault="00596935" w:rsidP="00596935">
            <w:pPr>
              <w:jc w:val="center"/>
              <w:rPr>
                <w:rFonts w:cs="Arial"/>
                <w:i/>
                <w:iCs/>
                <w:color w:val="000000"/>
                <w:sz w:val="20"/>
                <w:szCs w:val="20"/>
                <w:lang w:val="de-AT" w:eastAsia="de-AT"/>
              </w:rPr>
            </w:pPr>
            <w:r w:rsidRPr="00596935">
              <w:rPr>
                <w:rFonts w:cs="Arial"/>
                <w:i/>
                <w:iCs/>
                <w:color w:val="000000"/>
                <w:sz w:val="20"/>
                <w:szCs w:val="20"/>
                <w:lang w:val="de-AT" w:eastAsia="de-AT"/>
              </w:rPr>
              <w:t>sd</w:t>
            </w:r>
          </w:p>
        </w:tc>
        <w:tc>
          <w:tcPr>
            <w:tcW w:w="209" w:type="pct"/>
            <w:tcBorders>
              <w:top w:val="nil"/>
              <w:left w:val="nil"/>
              <w:bottom w:val="single" w:sz="8" w:space="0" w:color="auto"/>
              <w:right w:val="single" w:sz="8" w:space="0" w:color="auto"/>
            </w:tcBorders>
            <w:shd w:val="clear" w:color="000000" w:fill="D9D9D9"/>
            <w:vAlign w:val="bottom"/>
            <w:hideMark/>
          </w:tcPr>
          <w:p w14:paraId="01D4F070" w14:textId="77777777" w:rsidR="00596935" w:rsidRPr="00596935" w:rsidRDefault="00596935" w:rsidP="00596935">
            <w:pPr>
              <w:jc w:val="center"/>
              <w:rPr>
                <w:rFonts w:cs="Arial"/>
                <w:i/>
                <w:iCs/>
                <w:color w:val="000000"/>
                <w:sz w:val="20"/>
                <w:szCs w:val="20"/>
                <w:lang w:val="de-AT" w:eastAsia="de-AT"/>
              </w:rPr>
            </w:pPr>
            <w:r w:rsidRPr="00596935">
              <w:rPr>
                <w:rFonts w:cs="Arial"/>
                <w:i/>
                <w:iCs/>
                <w:color w:val="000000"/>
                <w:sz w:val="20"/>
                <w:szCs w:val="20"/>
                <w:lang w:val="de-AT" w:eastAsia="de-AT"/>
              </w:rPr>
              <w:t>n</w:t>
            </w:r>
          </w:p>
        </w:tc>
        <w:tc>
          <w:tcPr>
            <w:tcW w:w="210" w:type="pct"/>
            <w:tcBorders>
              <w:top w:val="nil"/>
              <w:left w:val="nil"/>
              <w:bottom w:val="single" w:sz="8" w:space="0" w:color="auto"/>
              <w:right w:val="single" w:sz="4" w:space="0" w:color="auto"/>
            </w:tcBorders>
            <w:shd w:val="clear" w:color="000000" w:fill="D9D9D9"/>
            <w:vAlign w:val="center"/>
            <w:hideMark/>
          </w:tcPr>
          <w:p w14:paraId="6118B095"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mean [dB]</w:t>
            </w:r>
          </w:p>
        </w:tc>
        <w:tc>
          <w:tcPr>
            <w:tcW w:w="151" w:type="pct"/>
            <w:tcBorders>
              <w:top w:val="nil"/>
              <w:left w:val="nil"/>
              <w:bottom w:val="single" w:sz="8" w:space="0" w:color="auto"/>
              <w:right w:val="nil"/>
            </w:tcBorders>
            <w:shd w:val="clear" w:color="000000" w:fill="D9D9D9"/>
            <w:vAlign w:val="center"/>
            <w:hideMark/>
          </w:tcPr>
          <w:p w14:paraId="0B3B314E"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sd</w:t>
            </w:r>
          </w:p>
        </w:tc>
        <w:tc>
          <w:tcPr>
            <w:tcW w:w="209" w:type="pct"/>
            <w:tcBorders>
              <w:top w:val="nil"/>
              <w:left w:val="single" w:sz="4" w:space="0" w:color="auto"/>
              <w:bottom w:val="single" w:sz="8" w:space="0" w:color="auto"/>
              <w:right w:val="single" w:sz="8" w:space="0" w:color="auto"/>
            </w:tcBorders>
            <w:shd w:val="clear" w:color="000000" w:fill="D9D9D9"/>
            <w:vAlign w:val="bottom"/>
            <w:hideMark/>
          </w:tcPr>
          <w:p w14:paraId="78DF3A66" w14:textId="77777777" w:rsidR="00596935" w:rsidRPr="00596935" w:rsidRDefault="00596935" w:rsidP="00596935">
            <w:pPr>
              <w:jc w:val="center"/>
              <w:rPr>
                <w:rFonts w:cs="Arial"/>
                <w:i/>
                <w:iCs/>
                <w:color w:val="000000"/>
                <w:sz w:val="20"/>
                <w:szCs w:val="20"/>
                <w:lang w:val="de-AT" w:eastAsia="de-AT"/>
              </w:rPr>
            </w:pPr>
            <w:r w:rsidRPr="00596935">
              <w:rPr>
                <w:rFonts w:cs="Arial"/>
                <w:i/>
                <w:iCs/>
                <w:color w:val="000000"/>
                <w:sz w:val="20"/>
                <w:szCs w:val="20"/>
                <w:lang w:val="de-AT" w:eastAsia="de-AT"/>
              </w:rPr>
              <w:t>n</w:t>
            </w:r>
          </w:p>
        </w:tc>
        <w:tc>
          <w:tcPr>
            <w:tcW w:w="210" w:type="pct"/>
            <w:tcBorders>
              <w:top w:val="nil"/>
              <w:left w:val="nil"/>
              <w:bottom w:val="single" w:sz="8" w:space="0" w:color="auto"/>
              <w:right w:val="single" w:sz="4" w:space="0" w:color="auto"/>
            </w:tcBorders>
            <w:shd w:val="clear" w:color="000000" w:fill="D9D9D9"/>
            <w:vAlign w:val="center"/>
            <w:hideMark/>
          </w:tcPr>
          <w:p w14:paraId="26D05CAF"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mean [dB]</w:t>
            </w:r>
          </w:p>
        </w:tc>
        <w:tc>
          <w:tcPr>
            <w:tcW w:w="125" w:type="pct"/>
            <w:tcBorders>
              <w:top w:val="nil"/>
              <w:left w:val="nil"/>
              <w:bottom w:val="single" w:sz="8" w:space="0" w:color="auto"/>
              <w:right w:val="nil"/>
            </w:tcBorders>
            <w:shd w:val="clear" w:color="000000" w:fill="D9D9D9"/>
            <w:vAlign w:val="center"/>
            <w:hideMark/>
          </w:tcPr>
          <w:p w14:paraId="22806258"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sd</w:t>
            </w:r>
          </w:p>
        </w:tc>
        <w:tc>
          <w:tcPr>
            <w:tcW w:w="209" w:type="pct"/>
            <w:tcBorders>
              <w:top w:val="nil"/>
              <w:left w:val="single" w:sz="4" w:space="0" w:color="auto"/>
              <w:bottom w:val="single" w:sz="8" w:space="0" w:color="auto"/>
              <w:right w:val="single" w:sz="8" w:space="0" w:color="auto"/>
            </w:tcBorders>
            <w:shd w:val="clear" w:color="000000" w:fill="D9D9D9"/>
            <w:vAlign w:val="bottom"/>
            <w:hideMark/>
          </w:tcPr>
          <w:p w14:paraId="3249895C" w14:textId="77777777" w:rsidR="00596935" w:rsidRPr="00596935" w:rsidRDefault="00596935" w:rsidP="00596935">
            <w:pPr>
              <w:jc w:val="center"/>
              <w:rPr>
                <w:rFonts w:cs="Arial"/>
                <w:i/>
                <w:iCs/>
                <w:color w:val="000000"/>
                <w:sz w:val="20"/>
                <w:szCs w:val="20"/>
                <w:lang w:val="de-AT" w:eastAsia="de-AT"/>
              </w:rPr>
            </w:pPr>
            <w:r w:rsidRPr="00596935">
              <w:rPr>
                <w:rFonts w:cs="Arial"/>
                <w:i/>
                <w:iCs/>
                <w:color w:val="000000"/>
                <w:sz w:val="20"/>
                <w:szCs w:val="20"/>
                <w:lang w:val="de-AT" w:eastAsia="de-AT"/>
              </w:rPr>
              <w:t>n</w:t>
            </w:r>
          </w:p>
        </w:tc>
      </w:tr>
      <w:tr w:rsidR="00596935" w:rsidRPr="00596935" w14:paraId="58C46074" w14:textId="77777777" w:rsidTr="00596935">
        <w:trPr>
          <w:trHeight w:val="540"/>
        </w:trPr>
        <w:tc>
          <w:tcPr>
            <w:tcW w:w="393" w:type="pct"/>
            <w:tcBorders>
              <w:top w:val="nil"/>
              <w:left w:val="single" w:sz="8" w:space="0" w:color="auto"/>
              <w:bottom w:val="single" w:sz="8" w:space="0" w:color="auto"/>
              <w:right w:val="nil"/>
            </w:tcBorders>
            <w:shd w:val="clear" w:color="auto" w:fill="auto"/>
            <w:vAlign w:val="bottom"/>
            <w:hideMark/>
          </w:tcPr>
          <w:p w14:paraId="62EEF9FF" w14:textId="77777777" w:rsidR="00596935" w:rsidRPr="00596935" w:rsidRDefault="00596935" w:rsidP="00596935">
            <w:pPr>
              <w:rPr>
                <w:rFonts w:cs="Arial"/>
                <w:color w:val="000000"/>
                <w:sz w:val="20"/>
                <w:szCs w:val="20"/>
                <w:lang w:val="de-AT" w:eastAsia="de-AT"/>
              </w:rPr>
            </w:pPr>
            <w:r w:rsidRPr="00596935">
              <w:rPr>
                <w:rFonts w:cs="Arial"/>
                <w:color w:val="000000"/>
                <w:sz w:val="20"/>
                <w:szCs w:val="20"/>
                <w:lang w:val="de-AT" w:eastAsia="de-AT"/>
              </w:rPr>
              <w:t xml:space="preserve">Chen et al. 2004 </w:t>
            </w:r>
          </w:p>
        </w:tc>
        <w:tc>
          <w:tcPr>
            <w:tcW w:w="393" w:type="pct"/>
            <w:tcBorders>
              <w:top w:val="nil"/>
              <w:left w:val="single" w:sz="4" w:space="0" w:color="auto"/>
              <w:bottom w:val="single" w:sz="4" w:space="0" w:color="auto"/>
              <w:right w:val="nil"/>
            </w:tcBorders>
            <w:shd w:val="clear" w:color="auto" w:fill="auto"/>
            <w:vAlign w:val="bottom"/>
            <w:hideMark/>
          </w:tcPr>
          <w:p w14:paraId="04F98F12"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CID  W-22 </w:t>
            </w:r>
          </w:p>
        </w:tc>
        <w:tc>
          <w:tcPr>
            <w:tcW w:w="210" w:type="pct"/>
            <w:tcBorders>
              <w:top w:val="nil"/>
              <w:left w:val="single" w:sz="8" w:space="0" w:color="auto"/>
              <w:bottom w:val="single" w:sz="4" w:space="0" w:color="auto"/>
              <w:right w:val="single" w:sz="4" w:space="0" w:color="auto"/>
            </w:tcBorders>
            <w:shd w:val="clear" w:color="auto" w:fill="auto"/>
            <w:vAlign w:val="bottom"/>
            <w:hideMark/>
          </w:tcPr>
          <w:p w14:paraId="74F25A6F"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62</w:t>
            </w:r>
          </w:p>
        </w:tc>
        <w:tc>
          <w:tcPr>
            <w:tcW w:w="174" w:type="pct"/>
            <w:tcBorders>
              <w:top w:val="nil"/>
              <w:left w:val="nil"/>
              <w:bottom w:val="single" w:sz="4" w:space="0" w:color="auto"/>
              <w:right w:val="single" w:sz="4" w:space="0" w:color="auto"/>
            </w:tcBorders>
            <w:shd w:val="clear" w:color="auto" w:fill="auto"/>
            <w:vAlign w:val="bottom"/>
            <w:hideMark/>
          </w:tcPr>
          <w:p w14:paraId="10845DAC"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209" w:type="pct"/>
            <w:tcBorders>
              <w:top w:val="nil"/>
              <w:left w:val="nil"/>
              <w:bottom w:val="single" w:sz="4" w:space="0" w:color="auto"/>
              <w:right w:val="single" w:sz="8" w:space="0" w:color="auto"/>
            </w:tcBorders>
            <w:shd w:val="clear" w:color="auto" w:fill="auto"/>
            <w:vAlign w:val="bottom"/>
            <w:hideMark/>
          </w:tcPr>
          <w:p w14:paraId="410A4103"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5</w:t>
            </w:r>
          </w:p>
        </w:tc>
        <w:tc>
          <w:tcPr>
            <w:tcW w:w="209" w:type="pct"/>
            <w:tcBorders>
              <w:top w:val="nil"/>
              <w:left w:val="nil"/>
              <w:bottom w:val="single" w:sz="4" w:space="0" w:color="auto"/>
              <w:right w:val="single" w:sz="4" w:space="0" w:color="auto"/>
            </w:tcBorders>
            <w:shd w:val="clear" w:color="auto" w:fill="auto"/>
            <w:vAlign w:val="bottom"/>
            <w:hideMark/>
          </w:tcPr>
          <w:p w14:paraId="416CEC67"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210" w:type="pct"/>
            <w:tcBorders>
              <w:top w:val="nil"/>
              <w:left w:val="nil"/>
              <w:bottom w:val="single" w:sz="4" w:space="0" w:color="auto"/>
              <w:right w:val="single" w:sz="4" w:space="0" w:color="auto"/>
            </w:tcBorders>
            <w:shd w:val="clear" w:color="auto" w:fill="auto"/>
            <w:vAlign w:val="bottom"/>
            <w:hideMark/>
          </w:tcPr>
          <w:p w14:paraId="0AB5FCDE"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131" w:type="pct"/>
            <w:vMerge w:val="restart"/>
            <w:tcBorders>
              <w:top w:val="nil"/>
              <w:left w:val="single" w:sz="4" w:space="0" w:color="auto"/>
              <w:bottom w:val="single" w:sz="8" w:space="0" w:color="000000"/>
              <w:right w:val="single" w:sz="4" w:space="0" w:color="auto"/>
            </w:tcBorders>
            <w:shd w:val="clear" w:color="auto" w:fill="auto"/>
            <w:textDirection w:val="btLr"/>
            <w:vAlign w:val="center"/>
            <w:hideMark/>
          </w:tcPr>
          <w:p w14:paraId="02B29523"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no information</w:t>
            </w:r>
          </w:p>
        </w:tc>
        <w:tc>
          <w:tcPr>
            <w:tcW w:w="209" w:type="pct"/>
            <w:tcBorders>
              <w:top w:val="nil"/>
              <w:left w:val="nil"/>
              <w:bottom w:val="single" w:sz="4" w:space="0" w:color="auto"/>
              <w:right w:val="single" w:sz="8" w:space="0" w:color="auto"/>
            </w:tcBorders>
            <w:shd w:val="clear" w:color="auto" w:fill="auto"/>
            <w:vAlign w:val="bottom"/>
            <w:hideMark/>
          </w:tcPr>
          <w:p w14:paraId="181013F1"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210" w:type="pct"/>
            <w:tcBorders>
              <w:top w:val="nil"/>
              <w:left w:val="nil"/>
              <w:bottom w:val="single" w:sz="4" w:space="0" w:color="auto"/>
              <w:right w:val="single" w:sz="4" w:space="0" w:color="auto"/>
            </w:tcBorders>
            <w:shd w:val="clear" w:color="auto" w:fill="auto"/>
            <w:vAlign w:val="bottom"/>
            <w:hideMark/>
          </w:tcPr>
          <w:p w14:paraId="3BD9CF2F"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43</w:t>
            </w:r>
          </w:p>
        </w:tc>
        <w:tc>
          <w:tcPr>
            <w:tcW w:w="151" w:type="pct"/>
            <w:vMerge w:val="restart"/>
            <w:tcBorders>
              <w:top w:val="nil"/>
              <w:left w:val="single" w:sz="4" w:space="0" w:color="auto"/>
              <w:bottom w:val="single" w:sz="8" w:space="0" w:color="000000"/>
              <w:right w:val="single" w:sz="4" w:space="0" w:color="auto"/>
            </w:tcBorders>
            <w:shd w:val="clear" w:color="auto" w:fill="auto"/>
            <w:textDirection w:val="btLr"/>
            <w:vAlign w:val="center"/>
            <w:hideMark/>
          </w:tcPr>
          <w:p w14:paraId="2DEE0542"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no information</w:t>
            </w:r>
          </w:p>
        </w:tc>
        <w:tc>
          <w:tcPr>
            <w:tcW w:w="209" w:type="pct"/>
            <w:tcBorders>
              <w:top w:val="nil"/>
              <w:left w:val="nil"/>
              <w:bottom w:val="single" w:sz="4" w:space="0" w:color="auto"/>
              <w:right w:val="single" w:sz="8" w:space="0" w:color="auto"/>
            </w:tcBorders>
            <w:shd w:val="clear" w:color="auto" w:fill="auto"/>
            <w:vAlign w:val="bottom"/>
            <w:hideMark/>
          </w:tcPr>
          <w:p w14:paraId="1F4C7DE2"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5</w:t>
            </w:r>
          </w:p>
        </w:tc>
        <w:tc>
          <w:tcPr>
            <w:tcW w:w="210" w:type="pct"/>
            <w:tcBorders>
              <w:top w:val="nil"/>
              <w:left w:val="nil"/>
              <w:bottom w:val="single" w:sz="4" w:space="0" w:color="auto"/>
              <w:right w:val="single" w:sz="4" w:space="0" w:color="auto"/>
            </w:tcBorders>
            <w:shd w:val="clear" w:color="auto" w:fill="auto"/>
            <w:vAlign w:val="bottom"/>
            <w:hideMark/>
          </w:tcPr>
          <w:p w14:paraId="548616D3"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45</w:t>
            </w:r>
          </w:p>
        </w:tc>
        <w:tc>
          <w:tcPr>
            <w:tcW w:w="131" w:type="pct"/>
            <w:vMerge w:val="restart"/>
            <w:tcBorders>
              <w:top w:val="nil"/>
              <w:left w:val="single" w:sz="4" w:space="0" w:color="auto"/>
              <w:bottom w:val="single" w:sz="8" w:space="0" w:color="000000"/>
              <w:right w:val="single" w:sz="4" w:space="0" w:color="auto"/>
            </w:tcBorders>
            <w:shd w:val="clear" w:color="auto" w:fill="auto"/>
            <w:textDirection w:val="btLr"/>
            <w:vAlign w:val="center"/>
            <w:hideMark/>
          </w:tcPr>
          <w:p w14:paraId="372680AF"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no information</w:t>
            </w:r>
          </w:p>
        </w:tc>
        <w:tc>
          <w:tcPr>
            <w:tcW w:w="209" w:type="pct"/>
            <w:tcBorders>
              <w:top w:val="nil"/>
              <w:left w:val="nil"/>
              <w:bottom w:val="single" w:sz="4" w:space="0" w:color="auto"/>
              <w:right w:val="single" w:sz="8" w:space="0" w:color="auto"/>
            </w:tcBorders>
            <w:shd w:val="clear" w:color="auto" w:fill="auto"/>
            <w:vAlign w:val="bottom"/>
            <w:hideMark/>
          </w:tcPr>
          <w:p w14:paraId="5B237FDB"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5</w:t>
            </w:r>
          </w:p>
        </w:tc>
        <w:tc>
          <w:tcPr>
            <w:tcW w:w="210" w:type="pct"/>
            <w:tcBorders>
              <w:top w:val="nil"/>
              <w:left w:val="nil"/>
              <w:bottom w:val="single" w:sz="4" w:space="0" w:color="auto"/>
              <w:right w:val="single" w:sz="4" w:space="0" w:color="auto"/>
            </w:tcBorders>
            <w:shd w:val="clear" w:color="auto" w:fill="auto"/>
            <w:vAlign w:val="bottom"/>
            <w:hideMark/>
          </w:tcPr>
          <w:p w14:paraId="7BECDCEE"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209" w:type="pct"/>
            <w:tcBorders>
              <w:top w:val="nil"/>
              <w:left w:val="nil"/>
              <w:bottom w:val="single" w:sz="4" w:space="0" w:color="auto"/>
              <w:right w:val="single" w:sz="4" w:space="0" w:color="auto"/>
            </w:tcBorders>
            <w:shd w:val="clear" w:color="auto" w:fill="auto"/>
            <w:vAlign w:val="bottom"/>
            <w:hideMark/>
          </w:tcPr>
          <w:p w14:paraId="48E497A3"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209" w:type="pct"/>
            <w:tcBorders>
              <w:top w:val="nil"/>
              <w:left w:val="nil"/>
              <w:bottom w:val="single" w:sz="4" w:space="0" w:color="auto"/>
              <w:right w:val="single" w:sz="8" w:space="0" w:color="auto"/>
            </w:tcBorders>
            <w:shd w:val="clear" w:color="auto" w:fill="auto"/>
            <w:vAlign w:val="bottom"/>
            <w:hideMark/>
          </w:tcPr>
          <w:p w14:paraId="049A27C1"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210" w:type="pct"/>
            <w:tcBorders>
              <w:top w:val="nil"/>
              <w:left w:val="nil"/>
              <w:bottom w:val="single" w:sz="4" w:space="0" w:color="auto"/>
              <w:right w:val="single" w:sz="4" w:space="0" w:color="auto"/>
            </w:tcBorders>
            <w:shd w:val="clear" w:color="auto" w:fill="auto"/>
            <w:vAlign w:val="bottom"/>
            <w:hideMark/>
          </w:tcPr>
          <w:p w14:paraId="28F3BAEE"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151" w:type="pct"/>
            <w:vMerge w:val="restart"/>
            <w:tcBorders>
              <w:top w:val="nil"/>
              <w:left w:val="single" w:sz="4" w:space="0" w:color="auto"/>
              <w:bottom w:val="single" w:sz="8" w:space="0" w:color="000000"/>
              <w:right w:val="single" w:sz="4" w:space="0" w:color="auto"/>
            </w:tcBorders>
            <w:shd w:val="clear" w:color="auto" w:fill="auto"/>
            <w:textDirection w:val="btLr"/>
            <w:vAlign w:val="center"/>
            <w:hideMark/>
          </w:tcPr>
          <w:p w14:paraId="29570F8F"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no information</w:t>
            </w:r>
          </w:p>
        </w:tc>
        <w:tc>
          <w:tcPr>
            <w:tcW w:w="209" w:type="pct"/>
            <w:tcBorders>
              <w:top w:val="nil"/>
              <w:left w:val="nil"/>
              <w:bottom w:val="single" w:sz="4" w:space="0" w:color="auto"/>
              <w:right w:val="single" w:sz="8" w:space="0" w:color="auto"/>
            </w:tcBorders>
            <w:shd w:val="clear" w:color="auto" w:fill="auto"/>
            <w:vAlign w:val="bottom"/>
            <w:hideMark/>
          </w:tcPr>
          <w:p w14:paraId="0BFCA54A"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210" w:type="pct"/>
            <w:tcBorders>
              <w:top w:val="nil"/>
              <w:left w:val="nil"/>
              <w:bottom w:val="single" w:sz="4" w:space="0" w:color="auto"/>
              <w:right w:val="single" w:sz="4" w:space="0" w:color="auto"/>
            </w:tcBorders>
            <w:shd w:val="clear" w:color="auto" w:fill="auto"/>
            <w:vAlign w:val="bottom"/>
            <w:hideMark/>
          </w:tcPr>
          <w:p w14:paraId="765DAE2B"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125" w:type="pct"/>
            <w:vMerge w:val="restart"/>
            <w:tcBorders>
              <w:top w:val="nil"/>
              <w:left w:val="single" w:sz="4" w:space="0" w:color="auto"/>
              <w:bottom w:val="single" w:sz="8" w:space="0" w:color="000000"/>
              <w:right w:val="single" w:sz="4" w:space="0" w:color="auto"/>
            </w:tcBorders>
            <w:shd w:val="clear" w:color="auto" w:fill="auto"/>
            <w:textDirection w:val="btLr"/>
            <w:vAlign w:val="center"/>
            <w:hideMark/>
          </w:tcPr>
          <w:p w14:paraId="02EFA0DC"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no information</w:t>
            </w:r>
          </w:p>
        </w:tc>
        <w:tc>
          <w:tcPr>
            <w:tcW w:w="209" w:type="pct"/>
            <w:tcBorders>
              <w:top w:val="nil"/>
              <w:left w:val="nil"/>
              <w:bottom w:val="single" w:sz="4" w:space="0" w:color="auto"/>
              <w:right w:val="single" w:sz="8" w:space="0" w:color="auto"/>
            </w:tcBorders>
            <w:shd w:val="clear" w:color="auto" w:fill="auto"/>
            <w:vAlign w:val="bottom"/>
            <w:hideMark/>
          </w:tcPr>
          <w:p w14:paraId="3DFAC780"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r>
      <w:tr w:rsidR="00596935" w:rsidRPr="00596935" w14:paraId="6B529605" w14:textId="77777777" w:rsidTr="00596935">
        <w:trPr>
          <w:trHeight w:val="540"/>
        </w:trPr>
        <w:tc>
          <w:tcPr>
            <w:tcW w:w="393" w:type="pct"/>
            <w:tcBorders>
              <w:top w:val="nil"/>
              <w:left w:val="single" w:sz="8" w:space="0" w:color="auto"/>
              <w:bottom w:val="single" w:sz="8" w:space="0" w:color="auto"/>
              <w:right w:val="nil"/>
            </w:tcBorders>
            <w:shd w:val="clear" w:color="auto" w:fill="auto"/>
            <w:vAlign w:val="bottom"/>
            <w:hideMark/>
          </w:tcPr>
          <w:p w14:paraId="00B522A7" w14:textId="4DEA8B82" w:rsidR="00596935" w:rsidRPr="00596935" w:rsidRDefault="00596935" w:rsidP="003733D2">
            <w:pPr>
              <w:rPr>
                <w:rFonts w:cs="Arial"/>
                <w:color w:val="000000"/>
                <w:sz w:val="20"/>
                <w:szCs w:val="20"/>
                <w:lang w:val="de-AT" w:eastAsia="de-AT"/>
              </w:rPr>
            </w:pPr>
            <w:r w:rsidRPr="00596935">
              <w:rPr>
                <w:rFonts w:cs="Arial"/>
                <w:color w:val="000000"/>
                <w:sz w:val="20"/>
                <w:szCs w:val="20"/>
                <w:lang w:val="de-AT" w:eastAsia="de-AT"/>
              </w:rPr>
              <w:t xml:space="preserve">Kraus et al.2011 </w:t>
            </w:r>
          </w:p>
        </w:tc>
        <w:tc>
          <w:tcPr>
            <w:tcW w:w="393" w:type="pct"/>
            <w:tcBorders>
              <w:top w:val="nil"/>
              <w:left w:val="single" w:sz="4" w:space="0" w:color="auto"/>
              <w:bottom w:val="single" w:sz="4" w:space="0" w:color="auto"/>
              <w:right w:val="nil"/>
            </w:tcBorders>
            <w:shd w:val="clear" w:color="auto" w:fill="auto"/>
            <w:vAlign w:val="bottom"/>
            <w:hideMark/>
          </w:tcPr>
          <w:p w14:paraId="3FFF1259"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CID  W-22 </w:t>
            </w:r>
          </w:p>
        </w:tc>
        <w:tc>
          <w:tcPr>
            <w:tcW w:w="210" w:type="pct"/>
            <w:tcBorders>
              <w:top w:val="nil"/>
              <w:left w:val="single" w:sz="8" w:space="0" w:color="auto"/>
              <w:bottom w:val="single" w:sz="4" w:space="0" w:color="auto"/>
              <w:right w:val="single" w:sz="4" w:space="0" w:color="auto"/>
            </w:tcBorders>
            <w:shd w:val="clear" w:color="auto" w:fill="auto"/>
            <w:vAlign w:val="bottom"/>
            <w:hideMark/>
          </w:tcPr>
          <w:p w14:paraId="376FA438"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58.9</w:t>
            </w:r>
          </w:p>
        </w:tc>
        <w:tc>
          <w:tcPr>
            <w:tcW w:w="174" w:type="pct"/>
            <w:tcBorders>
              <w:top w:val="nil"/>
              <w:left w:val="nil"/>
              <w:bottom w:val="single" w:sz="4" w:space="0" w:color="auto"/>
              <w:right w:val="single" w:sz="4" w:space="0" w:color="auto"/>
            </w:tcBorders>
            <w:shd w:val="clear" w:color="auto" w:fill="auto"/>
            <w:vAlign w:val="bottom"/>
            <w:hideMark/>
          </w:tcPr>
          <w:p w14:paraId="50FBCD03"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209" w:type="pct"/>
            <w:tcBorders>
              <w:top w:val="nil"/>
              <w:left w:val="nil"/>
              <w:bottom w:val="single" w:sz="4" w:space="0" w:color="auto"/>
              <w:right w:val="single" w:sz="8" w:space="0" w:color="auto"/>
            </w:tcBorders>
            <w:shd w:val="clear" w:color="auto" w:fill="auto"/>
            <w:vAlign w:val="bottom"/>
            <w:hideMark/>
          </w:tcPr>
          <w:p w14:paraId="66F4CFAB"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54</w:t>
            </w:r>
          </w:p>
        </w:tc>
        <w:tc>
          <w:tcPr>
            <w:tcW w:w="209" w:type="pct"/>
            <w:tcBorders>
              <w:top w:val="nil"/>
              <w:left w:val="nil"/>
              <w:bottom w:val="single" w:sz="4" w:space="0" w:color="auto"/>
              <w:right w:val="single" w:sz="4" w:space="0" w:color="auto"/>
            </w:tcBorders>
            <w:shd w:val="clear" w:color="auto" w:fill="auto"/>
            <w:vAlign w:val="bottom"/>
            <w:hideMark/>
          </w:tcPr>
          <w:p w14:paraId="58CFBC52"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210" w:type="pct"/>
            <w:tcBorders>
              <w:top w:val="nil"/>
              <w:left w:val="nil"/>
              <w:bottom w:val="single" w:sz="4" w:space="0" w:color="auto"/>
              <w:right w:val="single" w:sz="4" w:space="0" w:color="auto"/>
            </w:tcBorders>
            <w:shd w:val="clear" w:color="auto" w:fill="auto"/>
            <w:vAlign w:val="bottom"/>
            <w:hideMark/>
          </w:tcPr>
          <w:p w14:paraId="34787087"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131" w:type="pct"/>
            <w:vMerge/>
            <w:tcBorders>
              <w:top w:val="nil"/>
              <w:left w:val="single" w:sz="4" w:space="0" w:color="auto"/>
              <w:bottom w:val="single" w:sz="8" w:space="0" w:color="000000"/>
              <w:right w:val="single" w:sz="4" w:space="0" w:color="auto"/>
            </w:tcBorders>
            <w:vAlign w:val="center"/>
            <w:hideMark/>
          </w:tcPr>
          <w:p w14:paraId="0B81C39D" w14:textId="77777777" w:rsidR="00596935" w:rsidRPr="00596935" w:rsidRDefault="00596935" w:rsidP="00596935">
            <w:pPr>
              <w:rPr>
                <w:rFonts w:cs="Arial"/>
                <w:color w:val="000000"/>
                <w:sz w:val="20"/>
                <w:szCs w:val="20"/>
                <w:lang w:val="de-AT" w:eastAsia="de-AT"/>
              </w:rPr>
            </w:pPr>
          </w:p>
        </w:tc>
        <w:tc>
          <w:tcPr>
            <w:tcW w:w="209" w:type="pct"/>
            <w:tcBorders>
              <w:top w:val="nil"/>
              <w:left w:val="nil"/>
              <w:bottom w:val="single" w:sz="4" w:space="0" w:color="auto"/>
              <w:right w:val="single" w:sz="8" w:space="0" w:color="auto"/>
            </w:tcBorders>
            <w:shd w:val="clear" w:color="auto" w:fill="auto"/>
            <w:vAlign w:val="bottom"/>
            <w:hideMark/>
          </w:tcPr>
          <w:p w14:paraId="0C3A05FA"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210" w:type="pct"/>
            <w:tcBorders>
              <w:top w:val="nil"/>
              <w:left w:val="nil"/>
              <w:bottom w:val="single" w:sz="4" w:space="0" w:color="auto"/>
              <w:right w:val="single" w:sz="4" w:space="0" w:color="auto"/>
            </w:tcBorders>
            <w:shd w:val="clear" w:color="auto" w:fill="auto"/>
            <w:vAlign w:val="bottom"/>
            <w:hideMark/>
          </w:tcPr>
          <w:p w14:paraId="2903F42E"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151" w:type="pct"/>
            <w:vMerge/>
            <w:tcBorders>
              <w:top w:val="nil"/>
              <w:left w:val="single" w:sz="4" w:space="0" w:color="auto"/>
              <w:bottom w:val="single" w:sz="8" w:space="0" w:color="000000"/>
              <w:right w:val="single" w:sz="4" w:space="0" w:color="auto"/>
            </w:tcBorders>
            <w:vAlign w:val="center"/>
            <w:hideMark/>
          </w:tcPr>
          <w:p w14:paraId="17BB5092" w14:textId="77777777" w:rsidR="00596935" w:rsidRPr="00596935" w:rsidRDefault="00596935" w:rsidP="00596935">
            <w:pPr>
              <w:rPr>
                <w:rFonts w:cs="Arial"/>
                <w:color w:val="000000"/>
                <w:sz w:val="20"/>
                <w:szCs w:val="20"/>
                <w:lang w:val="de-AT" w:eastAsia="de-AT"/>
              </w:rPr>
            </w:pPr>
          </w:p>
        </w:tc>
        <w:tc>
          <w:tcPr>
            <w:tcW w:w="209" w:type="pct"/>
            <w:tcBorders>
              <w:top w:val="nil"/>
              <w:left w:val="nil"/>
              <w:bottom w:val="single" w:sz="4" w:space="0" w:color="auto"/>
              <w:right w:val="single" w:sz="8" w:space="0" w:color="auto"/>
            </w:tcBorders>
            <w:shd w:val="clear" w:color="auto" w:fill="auto"/>
            <w:vAlign w:val="bottom"/>
            <w:hideMark/>
          </w:tcPr>
          <w:p w14:paraId="080EABF0"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210" w:type="pct"/>
            <w:tcBorders>
              <w:top w:val="nil"/>
              <w:left w:val="nil"/>
              <w:bottom w:val="single" w:sz="4" w:space="0" w:color="auto"/>
              <w:right w:val="single" w:sz="4" w:space="0" w:color="auto"/>
            </w:tcBorders>
            <w:shd w:val="clear" w:color="auto" w:fill="auto"/>
            <w:vAlign w:val="bottom"/>
            <w:hideMark/>
          </w:tcPr>
          <w:p w14:paraId="35E6C0D3"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131" w:type="pct"/>
            <w:vMerge/>
            <w:tcBorders>
              <w:top w:val="nil"/>
              <w:left w:val="single" w:sz="4" w:space="0" w:color="auto"/>
              <w:bottom w:val="single" w:sz="8" w:space="0" w:color="000000"/>
              <w:right w:val="single" w:sz="4" w:space="0" w:color="auto"/>
            </w:tcBorders>
            <w:vAlign w:val="center"/>
            <w:hideMark/>
          </w:tcPr>
          <w:p w14:paraId="70801FB0" w14:textId="77777777" w:rsidR="00596935" w:rsidRPr="00596935" w:rsidRDefault="00596935" w:rsidP="00596935">
            <w:pPr>
              <w:rPr>
                <w:rFonts w:cs="Arial"/>
                <w:color w:val="000000"/>
                <w:sz w:val="20"/>
                <w:szCs w:val="20"/>
                <w:lang w:val="de-AT" w:eastAsia="de-AT"/>
              </w:rPr>
            </w:pPr>
          </w:p>
        </w:tc>
        <w:tc>
          <w:tcPr>
            <w:tcW w:w="209" w:type="pct"/>
            <w:tcBorders>
              <w:top w:val="nil"/>
              <w:left w:val="nil"/>
              <w:bottom w:val="single" w:sz="4" w:space="0" w:color="auto"/>
              <w:right w:val="single" w:sz="8" w:space="0" w:color="auto"/>
            </w:tcBorders>
            <w:shd w:val="clear" w:color="auto" w:fill="auto"/>
            <w:vAlign w:val="bottom"/>
            <w:hideMark/>
          </w:tcPr>
          <w:p w14:paraId="7E4C9640"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210" w:type="pct"/>
            <w:tcBorders>
              <w:top w:val="nil"/>
              <w:left w:val="nil"/>
              <w:bottom w:val="single" w:sz="4" w:space="0" w:color="auto"/>
              <w:right w:val="single" w:sz="4" w:space="0" w:color="auto"/>
            </w:tcBorders>
            <w:shd w:val="clear" w:color="auto" w:fill="auto"/>
            <w:vAlign w:val="bottom"/>
            <w:hideMark/>
          </w:tcPr>
          <w:p w14:paraId="5B2D0411"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209" w:type="pct"/>
            <w:tcBorders>
              <w:top w:val="nil"/>
              <w:left w:val="nil"/>
              <w:bottom w:val="single" w:sz="4" w:space="0" w:color="auto"/>
              <w:right w:val="single" w:sz="4" w:space="0" w:color="auto"/>
            </w:tcBorders>
            <w:shd w:val="clear" w:color="auto" w:fill="auto"/>
            <w:vAlign w:val="bottom"/>
            <w:hideMark/>
          </w:tcPr>
          <w:p w14:paraId="6901F2E4"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209" w:type="pct"/>
            <w:tcBorders>
              <w:top w:val="nil"/>
              <w:left w:val="nil"/>
              <w:bottom w:val="single" w:sz="4" w:space="0" w:color="auto"/>
              <w:right w:val="single" w:sz="8" w:space="0" w:color="auto"/>
            </w:tcBorders>
            <w:shd w:val="clear" w:color="auto" w:fill="auto"/>
            <w:vAlign w:val="bottom"/>
            <w:hideMark/>
          </w:tcPr>
          <w:p w14:paraId="0ACFF231"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210" w:type="pct"/>
            <w:tcBorders>
              <w:top w:val="nil"/>
              <w:left w:val="nil"/>
              <w:bottom w:val="single" w:sz="4" w:space="0" w:color="auto"/>
              <w:right w:val="single" w:sz="4" w:space="0" w:color="auto"/>
            </w:tcBorders>
            <w:shd w:val="clear" w:color="auto" w:fill="auto"/>
            <w:vAlign w:val="bottom"/>
            <w:hideMark/>
          </w:tcPr>
          <w:p w14:paraId="668B01B6"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30.6</w:t>
            </w:r>
          </w:p>
        </w:tc>
        <w:tc>
          <w:tcPr>
            <w:tcW w:w="151" w:type="pct"/>
            <w:vMerge/>
            <w:tcBorders>
              <w:top w:val="nil"/>
              <w:left w:val="single" w:sz="4" w:space="0" w:color="auto"/>
              <w:bottom w:val="single" w:sz="8" w:space="0" w:color="000000"/>
              <w:right w:val="single" w:sz="4" w:space="0" w:color="auto"/>
            </w:tcBorders>
            <w:vAlign w:val="center"/>
            <w:hideMark/>
          </w:tcPr>
          <w:p w14:paraId="7DCDA0FE" w14:textId="77777777" w:rsidR="00596935" w:rsidRPr="00596935" w:rsidRDefault="00596935" w:rsidP="00596935">
            <w:pPr>
              <w:rPr>
                <w:rFonts w:cs="Arial"/>
                <w:color w:val="000000"/>
                <w:sz w:val="20"/>
                <w:szCs w:val="20"/>
                <w:lang w:val="de-AT" w:eastAsia="de-AT"/>
              </w:rPr>
            </w:pPr>
          </w:p>
        </w:tc>
        <w:tc>
          <w:tcPr>
            <w:tcW w:w="209" w:type="pct"/>
            <w:tcBorders>
              <w:top w:val="nil"/>
              <w:left w:val="nil"/>
              <w:bottom w:val="single" w:sz="4" w:space="0" w:color="auto"/>
              <w:right w:val="single" w:sz="8" w:space="0" w:color="auto"/>
            </w:tcBorders>
            <w:shd w:val="clear" w:color="auto" w:fill="auto"/>
            <w:vAlign w:val="bottom"/>
            <w:hideMark/>
          </w:tcPr>
          <w:p w14:paraId="54A63678"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54</w:t>
            </w:r>
          </w:p>
        </w:tc>
        <w:tc>
          <w:tcPr>
            <w:tcW w:w="210" w:type="pct"/>
            <w:tcBorders>
              <w:top w:val="nil"/>
              <w:left w:val="nil"/>
              <w:bottom w:val="single" w:sz="4" w:space="0" w:color="auto"/>
              <w:right w:val="single" w:sz="4" w:space="0" w:color="auto"/>
            </w:tcBorders>
            <w:shd w:val="clear" w:color="auto" w:fill="auto"/>
            <w:vAlign w:val="bottom"/>
            <w:hideMark/>
          </w:tcPr>
          <w:p w14:paraId="07847FBA"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29.4</w:t>
            </w:r>
          </w:p>
        </w:tc>
        <w:tc>
          <w:tcPr>
            <w:tcW w:w="125" w:type="pct"/>
            <w:vMerge/>
            <w:tcBorders>
              <w:top w:val="nil"/>
              <w:left w:val="single" w:sz="4" w:space="0" w:color="auto"/>
              <w:bottom w:val="single" w:sz="8" w:space="0" w:color="000000"/>
              <w:right w:val="single" w:sz="4" w:space="0" w:color="auto"/>
            </w:tcBorders>
            <w:vAlign w:val="center"/>
            <w:hideMark/>
          </w:tcPr>
          <w:p w14:paraId="0124A5CA" w14:textId="77777777" w:rsidR="00596935" w:rsidRPr="00596935" w:rsidRDefault="00596935" w:rsidP="00596935">
            <w:pPr>
              <w:rPr>
                <w:rFonts w:cs="Arial"/>
                <w:color w:val="000000"/>
                <w:sz w:val="20"/>
                <w:szCs w:val="20"/>
                <w:lang w:val="de-AT" w:eastAsia="de-AT"/>
              </w:rPr>
            </w:pPr>
          </w:p>
        </w:tc>
        <w:tc>
          <w:tcPr>
            <w:tcW w:w="209" w:type="pct"/>
            <w:tcBorders>
              <w:top w:val="nil"/>
              <w:left w:val="nil"/>
              <w:bottom w:val="single" w:sz="4" w:space="0" w:color="auto"/>
              <w:right w:val="single" w:sz="8" w:space="0" w:color="auto"/>
            </w:tcBorders>
            <w:shd w:val="clear" w:color="auto" w:fill="auto"/>
            <w:vAlign w:val="bottom"/>
            <w:hideMark/>
          </w:tcPr>
          <w:p w14:paraId="75F8F818"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54</w:t>
            </w:r>
          </w:p>
        </w:tc>
      </w:tr>
      <w:tr w:rsidR="00596935" w:rsidRPr="00596935" w14:paraId="48A52354" w14:textId="77777777" w:rsidTr="00596935">
        <w:trPr>
          <w:trHeight w:val="540"/>
        </w:trPr>
        <w:tc>
          <w:tcPr>
            <w:tcW w:w="393" w:type="pct"/>
            <w:tcBorders>
              <w:top w:val="nil"/>
              <w:left w:val="single" w:sz="8" w:space="0" w:color="auto"/>
              <w:bottom w:val="single" w:sz="8" w:space="0" w:color="auto"/>
              <w:right w:val="nil"/>
            </w:tcBorders>
            <w:shd w:val="clear" w:color="auto" w:fill="auto"/>
            <w:vAlign w:val="bottom"/>
            <w:hideMark/>
          </w:tcPr>
          <w:p w14:paraId="5A52395F" w14:textId="77777777" w:rsidR="00596935" w:rsidRPr="00596935" w:rsidRDefault="00596935" w:rsidP="00596935">
            <w:pPr>
              <w:rPr>
                <w:rFonts w:cs="Arial"/>
                <w:color w:val="000000"/>
                <w:sz w:val="20"/>
                <w:szCs w:val="20"/>
                <w:lang w:val="de-AT" w:eastAsia="de-AT"/>
              </w:rPr>
            </w:pPr>
            <w:r w:rsidRPr="00596935">
              <w:rPr>
                <w:rFonts w:cs="Arial"/>
                <w:color w:val="000000"/>
                <w:sz w:val="20"/>
                <w:szCs w:val="20"/>
                <w:lang w:val="de-AT" w:eastAsia="de-AT"/>
              </w:rPr>
              <w:t xml:space="preserve">Monini et al. 2013 </w:t>
            </w:r>
          </w:p>
        </w:tc>
        <w:tc>
          <w:tcPr>
            <w:tcW w:w="393" w:type="pct"/>
            <w:tcBorders>
              <w:top w:val="nil"/>
              <w:left w:val="single" w:sz="4" w:space="0" w:color="auto"/>
              <w:bottom w:val="single" w:sz="4" w:space="0" w:color="auto"/>
              <w:right w:val="nil"/>
            </w:tcBorders>
            <w:shd w:val="clear" w:color="auto" w:fill="auto"/>
            <w:vAlign w:val="bottom"/>
            <w:hideMark/>
          </w:tcPr>
          <w:p w14:paraId="1F6FDF95"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bisyllbic words</w:t>
            </w:r>
          </w:p>
        </w:tc>
        <w:tc>
          <w:tcPr>
            <w:tcW w:w="210" w:type="pct"/>
            <w:tcBorders>
              <w:top w:val="nil"/>
              <w:left w:val="single" w:sz="8" w:space="0" w:color="auto"/>
              <w:bottom w:val="single" w:sz="4" w:space="0" w:color="auto"/>
              <w:right w:val="single" w:sz="4" w:space="0" w:color="auto"/>
            </w:tcBorders>
            <w:shd w:val="clear" w:color="auto" w:fill="auto"/>
            <w:vAlign w:val="bottom"/>
            <w:hideMark/>
          </w:tcPr>
          <w:p w14:paraId="21E12A74"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87.5</w:t>
            </w:r>
          </w:p>
        </w:tc>
        <w:tc>
          <w:tcPr>
            <w:tcW w:w="174" w:type="pct"/>
            <w:tcBorders>
              <w:top w:val="nil"/>
              <w:left w:val="nil"/>
              <w:bottom w:val="single" w:sz="4" w:space="0" w:color="auto"/>
              <w:right w:val="single" w:sz="4" w:space="0" w:color="auto"/>
            </w:tcBorders>
            <w:shd w:val="clear" w:color="auto" w:fill="auto"/>
            <w:vAlign w:val="bottom"/>
            <w:hideMark/>
          </w:tcPr>
          <w:p w14:paraId="56265704"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13.1</w:t>
            </w:r>
          </w:p>
        </w:tc>
        <w:tc>
          <w:tcPr>
            <w:tcW w:w="209" w:type="pct"/>
            <w:tcBorders>
              <w:top w:val="nil"/>
              <w:left w:val="nil"/>
              <w:bottom w:val="single" w:sz="4" w:space="0" w:color="auto"/>
              <w:right w:val="single" w:sz="8" w:space="0" w:color="auto"/>
            </w:tcBorders>
            <w:shd w:val="clear" w:color="auto" w:fill="auto"/>
            <w:vAlign w:val="bottom"/>
            <w:hideMark/>
          </w:tcPr>
          <w:p w14:paraId="17E51B1C"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8</w:t>
            </w:r>
          </w:p>
        </w:tc>
        <w:tc>
          <w:tcPr>
            <w:tcW w:w="209" w:type="pct"/>
            <w:tcBorders>
              <w:top w:val="nil"/>
              <w:left w:val="nil"/>
              <w:bottom w:val="single" w:sz="4" w:space="0" w:color="auto"/>
              <w:right w:val="single" w:sz="4" w:space="0" w:color="auto"/>
            </w:tcBorders>
            <w:shd w:val="clear" w:color="auto" w:fill="auto"/>
            <w:vAlign w:val="bottom"/>
            <w:hideMark/>
          </w:tcPr>
          <w:p w14:paraId="4B4DAECE"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210" w:type="pct"/>
            <w:tcBorders>
              <w:top w:val="nil"/>
              <w:left w:val="nil"/>
              <w:bottom w:val="single" w:sz="4" w:space="0" w:color="auto"/>
              <w:right w:val="single" w:sz="4" w:space="0" w:color="auto"/>
            </w:tcBorders>
            <w:shd w:val="clear" w:color="auto" w:fill="auto"/>
            <w:vAlign w:val="bottom"/>
            <w:hideMark/>
          </w:tcPr>
          <w:p w14:paraId="7E37E00F"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131" w:type="pct"/>
            <w:vMerge/>
            <w:tcBorders>
              <w:top w:val="nil"/>
              <w:left w:val="single" w:sz="4" w:space="0" w:color="auto"/>
              <w:bottom w:val="single" w:sz="8" w:space="0" w:color="000000"/>
              <w:right w:val="single" w:sz="4" w:space="0" w:color="auto"/>
            </w:tcBorders>
            <w:vAlign w:val="center"/>
            <w:hideMark/>
          </w:tcPr>
          <w:p w14:paraId="409BADBD" w14:textId="77777777" w:rsidR="00596935" w:rsidRPr="00596935" w:rsidRDefault="00596935" w:rsidP="00596935">
            <w:pPr>
              <w:rPr>
                <w:rFonts w:cs="Arial"/>
                <w:color w:val="000000"/>
                <w:sz w:val="20"/>
                <w:szCs w:val="20"/>
                <w:lang w:val="de-AT" w:eastAsia="de-AT"/>
              </w:rPr>
            </w:pPr>
          </w:p>
        </w:tc>
        <w:tc>
          <w:tcPr>
            <w:tcW w:w="209" w:type="pct"/>
            <w:tcBorders>
              <w:top w:val="nil"/>
              <w:left w:val="nil"/>
              <w:bottom w:val="single" w:sz="4" w:space="0" w:color="auto"/>
              <w:right w:val="single" w:sz="8" w:space="0" w:color="auto"/>
            </w:tcBorders>
            <w:shd w:val="clear" w:color="auto" w:fill="auto"/>
            <w:vAlign w:val="bottom"/>
            <w:hideMark/>
          </w:tcPr>
          <w:p w14:paraId="2F65031A"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210" w:type="pct"/>
            <w:tcBorders>
              <w:top w:val="nil"/>
              <w:left w:val="nil"/>
              <w:bottom w:val="single" w:sz="4" w:space="0" w:color="auto"/>
              <w:right w:val="single" w:sz="4" w:space="0" w:color="auto"/>
            </w:tcBorders>
            <w:shd w:val="clear" w:color="auto" w:fill="auto"/>
            <w:vAlign w:val="bottom"/>
            <w:hideMark/>
          </w:tcPr>
          <w:p w14:paraId="5134D54F"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151" w:type="pct"/>
            <w:vMerge/>
            <w:tcBorders>
              <w:top w:val="nil"/>
              <w:left w:val="single" w:sz="4" w:space="0" w:color="auto"/>
              <w:bottom w:val="single" w:sz="8" w:space="0" w:color="000000"/>
              <w:right w:val="single" w:sz="4" w:space="0" w:color="auto"/>
            </w:tcBorders>
            <w:vAlign w:val="center"/>
            <w:hideMark/>
          </w:tcPr>
          <w:p w14:paraId="72E821DF" w14:textId="77777777" w:rsidR="00596935" w:rsidRPr="00596935" w:rsidRDefault="00596935" w:rsidP="00596935">
            <w:pPr>
              <w:rPr>
                <w:rFonts w:cs="Arial"/>
                <w:color w:val="000000"/>
                <w:sz w:val="20"/>
                <w:szCs w:val="20"/>
                <w:lang w:val="de-AT" w:eastAsia="de-AT"/>
              </w:rPr>
            </w:pPr>
          </w:p>
        </w:tc>
        <w:tc>
          <w:tcPr>
            <w:tcW w:w="209" w:type="pct"/>
            <w:tcBorders>
              <w:top w:val="nil"/>
              <w:left w:val="nil"/>
              <w:bottom w:val="single" w:sz="4" w:space="0" w:color="auto"/>
              <w:right w:val="single" w:sz="8" w:space="0" w:color="auto"/>
            </w:tcBorders>
            <w:shd w:val="clear" w:color="auto" w:fill="auto"/>
            <w:vAlign w:val="bottom"/>
            <w:hideMark/>
          </w:tcPr>
          <w:p w14:paraId="4E68509C"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210" w:type="pct"/>
            <w:tcBorders>
              <w:top w:val="nil"/>
              <w:left w:val="nil"/>
              <w:bottom w:val="single" w:sz="4" w:space="0" w:color="auto"/>
              <w:right w:val="single" w:sz="4" w:space="0" w:color="auto"/>
            </w:tcBorders>
            <w:shd w:val="clear" w:color="auto" w:fill="auto"/>
            <w:vAlign w:val="bottom"/>
            <w:hideMark/>
          </w:tcPr>
          <w:p w14:paraId="12E96065"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131" w:type="pct"/>
            <w:vMerge/>
            <w:tcBorders>
              <w:top w:val="nil"/>
              <w:left w:val="single" w:sz="4" w:space="0" w:color="auto"/>
              <w:bottom w:val="single" w:sz="8" w:space="0" w:color="000000"/>
              <w:right w:val="single" w:sz="4" w:space="0" w:color="auto"/>
            </w:tcBorders>
            <w:vAlign w:val="center"/>
            <w:hideMark/>
          </w:tcPr>
          <w:p w14:paraId="1E23AF80" w14:textId="77777777" w:rsidR="00596935" w:rsidRPr="00596935" w:rsidRDefault="00596935" w:rsidP="00596935">
            <w:pPr>
              <w:rPr>
                <w:rFonts w:cs="Arial"/>
                <w:color w:val="000000"/>
                <w:sz w:val="20"/>
                <w:szCs w:val="20"/>
                <w:lang w:val="de-AT" w:eastAsia="de-AT"/>
              </w:rPr>
            </w:pPr>
          </w:p>
        </w:tc>
        <w:tc>
          <w:tcPr>
            <w:tcW w:w="209" w:type="pct"/>
            <w:tcBorders>
              <w:top w:val="nil"/>
              <w:left w:val="nil"/>
              <w:bottom w:val="single" w:sz="4" w:space="0" w:color="auto"/>
              <w:right w:val="single" w:sz="8" w:space="0" w:color="auto"/>
            </w:tcBorders>
            <w:shd w:val="clear" w:color="auto" w:fill="auto"/>
            <w:vAlign w:val="bottom"/>
            <w:hideMark/>
          </w:tcPr>
          <w:p w14:paraId="5A108CCD"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210" w:type="pct"/>
            <w:tcBorders>
              <w:top w:val="nil"/>
              <w:left w:val="nil"/>
              <w:bottom w:val="single" w:sz="4" w:space="0" w:color="auto"/>
              <w:right w:val="single" w:sz="4" w:space="0" w:color="auto"/>
            </w:tcBorders>
            <w:shd w:val="clear" w:color="auto" w:fill="auto"/>
            <w:vAlign w:val="bottom"/>
            <w:hideMark/>
          </w:tcPr>
          <w:p w14:paraId="47F6835E"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56.9</w:t>
            </w:r>
          </w:p>
        </w:tc>
        <w:tc>
          <w:tcPr>
            <w:tcW w:w="209" w:type="pct"/>
            <w:tcBorders>
              <w:top w:val="nil"/>
              <w:left w:val="nil"/>
              <w:bottom w:val="single" w:sz="4" w:space="0" w:color="auto"/>
              <w:right w:val="single" w:sz="4" w:space="0" w:color="auto"/>
            </w:tcBorders>
            <w:shd w:val="clear" w:color="auto" w:fill="auto"/>
            <w:vAlign w:val="bottom"/>
            <w:hideMark/>
          </w:tcPr>
          <w:p w14:paraId="571A8065"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11,6</w:t>
            </w:r>
          </w:p>
        </w:tc>
        <w:tc>
          <w:tcPr>
            <w:tcW w:w="209" w:type="pct"/>
            <w:tcBorders>
              <w:top w:val="nil"/>
              <w:left w:val="nil"/>
              <w:bottom w:val="single" w:sz="4" w:space="0" w:color="auto"/>
              <w:right w:val="single" w:sz="8" w:space="0" w:color="auto"/>
            </w:tcBorders>
            <w:shd w:val="clear" w:color="auto" w:fill="auto"/>
            <w:vAlign w:val="bottom"/>
            <w:hideMark/>
          </w:tcPr>
          <w:p w14:paraId="2EBC74F7"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8</w:t>
            </w:r>
          </w:p>
        </w:tc>
        <w:tc>
          <w:tcPr>
            <w:tcW w:w="210" w:type="pct"/>
            <w:tcBorders>
              <w:top w:val="nil"/>
              <w:left w:val="nil"/>
              <w:bottom w:val="single" w:sz="4" w:space="0" w:color="auto"/>
              <w:right w:val="single" w:sz="4" w:space="0" w:color="auto"/>
            </w:tcBorders>
            <w:shd w:val="clear" w:color="auto" w:fill="auto"/>
            <w:vAlign w:val="bottom"/>
            <w:hideMark/>
          </w:tcPr>
          <w:p w14:paraId="0EDFEC25"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151" w:type="pct"/>
            <w:vMerge/>
            <w:tcBorders>
              <w:top w:val="nil"/>
              <w:left w:val="single" w:sz="4" w:space="0" w:color="auto"/>
              <w:bottom w:val="single" w:sz="8" w:space="0" w:color="000000"/>
              <w:right w:val="single" w:sz="4" w:space="0" w:color="auto"/>
            </w:tcBorders>
            <w:vAlign w:val="center"/>
            <w:hideMark/>
          </w:tcPr>
          <w:p w14:paraId="3F72F4B3" w14:textId="77777777" w:rsidR="00596935" w:rsidRPr="00596935" w:rsidRDefault="00596935" w:rsidP="00596935">
            <w:pPr>
              <w:rPr>
                <w:rFonts w:cs="Arial"/>
                <w:color w:val="000000"/>
                <w:sz w:val="20"/>
                <w:szCs w:val="20"/>
                <w:lang w:val="de-AT" w:eastAsia="de-AT"/>
              </w:rPr>
            </w:pPr>
          </w:p>
        </w:tc>
        <w:tc>
          <w:tcPr>
            <w:tcW w:w="209" w:type="pct"/>
            <w:tcBorders>
              <w:top w:val="nil"/>
              <w:left w:val="nil"/>
              <w:bottom w:val="single" w:sz="4" w:space="0" w:color="auto"/>
              <w:right w:val="single" w:sz="8" w:space="0" w:color="auto"/>
            </w:tcBorders>
            <w:shd w:val="clear" w:color="auto" w:fill="auto"/>
            <w:vAlign w:val="bottom"/>
            <w:hideMark/>
          </w:tcPr>
          <w:p w14:paraId="382245C7"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210" w:type="pct"/>
            <w:tcBorders>
              <w:top w:val="nil"/>
              <w:left w:val="nil"/>
              <w:bottom w:val="single" w:sz="4" w:space="0" w:color="auto"/>
              <w:right w:val="single" w:sz="4" w:space="0" w:color="auto"/>
            </w:tcBorders>
            <w:shd w:val="clear" w:color="auto" w:fill="auto"/>
            <w:vAlign w:val="bottom"/>
            <w:hideMark/>
          </w:tcPr>
          <w:p w14:paraId="15DBB977"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125" w:type="pct"/>
            <w:vMerge/>
            <w:tcBorders>
              <w:top w:val="nil"/>
              <w:left w:val="single" w:sz="4" w:space="0" w:color="auto"/>
              <w:bottom w:val="single" w:sz="8" w:space="0" w:color="000000"/>
              <w:right w:val="single" w:sz="4" w:space="0" w:color="auto"/>
            </w:tcBorders>
            <w:vAlign w:val="center"/>
            <w:hideMark/>
          </w:tcPr>
          <w:p w14:paraId="2966B95D" w14:textId="77777777" w:rsidR="00596935" w:rsidRPr="00596935" w:rsidRDefault="00596935" w:rsidP="00596935">
            <w:pPr>
              <w:rPr>
                <w:rFonts w:cs="Arial"/>
                <w:color w:val="000000"/>
                <w:sz w:val="20"/>
                <w:szCs w:val="20"/>
                <w:lang w:val="de-AT" w:eastAsia="de-AT"/>
              </w:rPr>
            </w:pPr>
          </w:p>
        </w:tc>
        <w:tc>
          <w:tcPr>
            <w:tcW w:w="209" w:type="pct"/>
            <w:tcBorders>
              <w:top w:val="nil"/>
              <w:left w:val="nil"/>
              <w:bottom w:val="single" w:sz="4" w:space="0" w:color="auto"/>
              <w:right w:val="single" w:sz="8" w:space="0" w:color="auto"/>
            </w:tcBorders>
            <w:shd w:val="clear" w:color="auto" w:fill="auto"/>
            <w:vAlign w:val="bottom"/>
            <w:hideMark/>
          </w:tcPr>
          <w:p w14:paraId="64E1E1ED"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r>
      <w:tr w:rsidR="00596935" w:rsidRPr="00596935" w14:paraId="304D09BB" w14:textId="77777777" w:rsidTr="00596935">
        <w:trPr>
          <w:trHeight w:val="540"/>
        </w:trPr>
        <w:tc>
          <w:tcPr>
            <w:tcW w:w="393" w:type="pct"/>
            <w:tcBorders>
              <w:top w:val="nil"/>
              <w:left w:val="single" w:sz="8" w:space="0" w:color="auto"/>
              <w:bottom w:val="single" w:sz="8" w:space="0" w:color="auto"/>
              <w:right w:val="nil"/>
            </w:tcBorders>
            <w:shd w:val="clear" w:color="auto" w:fill="auto"/>
            <w:vAlign w:val="bottom"/>
            <w:hideMark/>
          </w:tcPr>
          <w:p w14:paraId="02492C61" w14:textId="77777777" w:rsidR="00596935" w:rsidRPr="00596935" w:rsidRDefault="00596935" w:rsidP="00596935">
            <w:pPr>
              <w:rPr>
                <w:rFonts w:cs="Arial"/>
                <w:color w:val="000000"/>
                <w:sz w:val="20"/>
                <w:szCs w:val="20"/>
                <w:lang w:val="de-AT" w:eastAsia="de-AT"/>
              </w:rPr>
            </w:pPr>
            <w:r w:rsidRPr="00596935">
              <w:rPr>
                <w:rFonts w:cs="Arial"/>
                <w:color w:val="000000"/>
                <w:sz w:val="20"/>
                <w:szCs w:val="20"/>
                <w:lang w:val="de-AT" w:eastAsia="de-AT"/>
              </w:rPr>
              <w:t xml:space="preserve">Tringali et al. 2013 </w:t>
            </w:r>
          </w:p>
        </w:tc>
        <w:tc>
          <w:tcPr>
            <w:tcW w:w="393" w:type="pct"/>
            <w:tcBorders>
              <w:top w:val="nil"/>
              <w:left w:val="single" w:sz="4" w:space="0" w:color="auto"/>
              <w:bottom w:val="single" w:sz="8" w:space="0" w:color="auto"/>
              <w:right w:val="nil"/>
            </w:tcBorders>
            <w:shd w:val="clear" w:color="auto" w:fill="auto"/>
            <w:vAlign w:val="bottom"/>
            <w:hideMark/>
          </w:tcPr>
          <w:p w14:paraId="4C383711"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Fournier words</w:t>
            </w:r>
          </w:p>
        </w:tc>
        <w:tc>
          <w:tcPr>
            <w:tcW w:w="210" w:type="pct"/>
            <w:tcBorders>
              <w:top w:val="nil"/>
              <w:left w:val="single" w:sz="8" w:space="0" w:color="auto"/>
              <w:bottom w:val="single" w:sz="8" w:space="0" w:color="auto"/>
              <w:right w:val="single" w:sz="4" w:space="0" w:color="auto"/>
            </w:tcBorders>
            <w:shd w:val="clear" w:color="auto" w:fill="auto"/>
            <w:vAlign w:val="bottom"/>
            <w:hideMark/>
          </w:tcPr>
          <w:p w14:paraId="23A55900"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174" w:type="pct"/>
            <w:tcBorders>
              <w:top w:val="nil"/>
              <w:left w:val="nil"/>
              <w:bottom w:val="single" w:sz="8" w:space="0" w:color="auto"/>
              <w:right w:val="single" w:sz="4" w:space="0" w:color="auto"/>
            </w:tcBorders>
            <w:shd w:val="clear" w:color="auto" w:fill="auto"/>
            <w:vAlign w:val="bottom"/>
            <w:hideMark/>
          </w:tcPr>
          <w:p w14:paraId="19542CF8"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209" w:type="pct"/>
            <w:tcBorders>
              <w:top w:val="nil"/>
              <w:left w:val="nil"/>
              <w:bottom w:val="single" w:sz="8" w:space="0" w:color="auto"/>
              <w:right w:val="single" w:sz="8" w:space="0" w:color="auto"/>
            </w:tcBorders>
            <w:shd w:val="clear" w:color="auto" w:fill="auto"/>
            <w:vAlign w:val="bottom"/>
            <w:hideMark/>
          </w:tcPr>
          <w:p w14:paraId="4D4DE303"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209" w:type="pct"/>
            <w:tcBorders>
              <w:top w:val="nil"/>
              <w:left w:val="nil"/>
              <w:bottom w:val="single" w:sz="8" w:space="0" w:color="auto"/>
              <w:right w:val="single" w:sz="4" w:space="0" w:color="auto"/>
            </w:tcBorders>
            <w:shd w:val="clear" w:color="auto" w:fill="auto"/>
            <w:vAlign w:val="bottom"/>
            <w:hideMark/>
          </w:tcPr>
          <w:p w14:paraId="400AB76B"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210" w:type="pct"/>
            <w:tcBorders>
              <w:top w:val="nil"/>
              <w:left w:val="nil"/>
              <w:bottom w:val="single" w:sz="8" w:space="0" w:color="auto"/>
              <w:right w:val="single" w:sz="4" w:space="0" w:color="auto"/>
            </w:tcBorders>
            <w:shd w:val="clear" w:color="auto" w:fill="auto"/>
            <w:vAlign w:val="bottom"/>
            <w:hideMark/>
          </w:tcPr>
          <w:p w14:paraId="762B48BA"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57</w:t>
            </w:r>
          </w:p>
        </w:tc>
        <w:tc>
          <w:tcPr>
            <w:tcW w:w="131" w:type="pct"/>
            <w:vMerge/>
            <w:tcBorders>
              <w:top w:val="nil"/>
              <w:left w:val="single" w:sz="4" w:space="0" w:color="auto"/>
              <w:bottom w:val="single" w:sz="8" w:space="0" w:color="000000"/>
              <w:right w:val="single" w:sz="4" w:space="0" w:color="auto"/>
            </w:tcBorders>
            <w:vAlign w:val="center"/>
            <w:hideMark/>
          </w:tcPr>
          <w:p w14:paraId="759204FF" w14:textId="77777777" w:rsidR="00596935" w:rsidRPr="00596935" w:rsidRDefault="00596935" w:rsidP="00596935">
            <w:pPr>
              <w:rPr>
                <w:rFonts w:cs="Arial"/>
                <w:color w:val="000000"/>
                <w:sz w:val="20"/>
                <w:szCs w:val="20"/>
                <w:lang w:val="de-AT" w:eastAsia="de-AT"/>
              </w:rPr>
            </w:pPr>
          </w:p>
        </w:tc>
        <w:tc>
          <w:tcPr>
            <w:tcW w:w="209" w:type="pct"/>
            <w:tcBorders>
              <w:top w:val="nil"/>
              <w:left w:val="nil"/>
              <w:bottom w:val="single" w:sz="8" w:space="0" w:color="auto"/>
              <w:right w:val="single" w:sz="8" w:space="0" w:color="auto"/>
            </w:tcBorders>
            <w:shd w:val="clear" w:color="auto" w:fill="auto"/>
            <w:vAlign w:val="bottom"/>
            <w:hideMark/>
          </w:tcPr>
          <w:p w14:paraId="7DD6AD88"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7</w:t>
            </w:r>
          </w:p>
        </w:tc>
        <w:tc>
          <w:tcPr>
            <w:tcW w:w="210" w:type="pct"/>
            <w:tcBorders>
              <w:top w:val="nil"/>
              <w:left w:val="nil"/>
              <w:bottom w:val="single" w:sz="8" w:space="0" w:color="auto"/>
              <w:right w:val="single" w:sz="4" w:space="0" w:color="auto"/>
            </w:tcBorders>
            <w:shd w:val="clear" w:color="auto" w:fill="auto"/>
            <w:vAlign w:val="bottom"/>
            <w:hideMark/>
          </w:tcPr>
          <w:p w14:paraId="2FCC4733"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151" w:type="pct"/>
            <w:vMerge/>
            <w:tcBorders>
              <w:top w:val="nil"/>
              <w:left w:val="single" w:sz="4" w:space="0" w:color="auto"/>
              <w:bottom w:val="single" w:sz="8" w:space="0" w:color="000000"/>
              <w:right w:val="single" w:sz="4" w:space="0" w:color="auto"/>
            </w:tcBorders>
            <w:vAlign w:val="center"/>
            <w:hideMark/>
          </w:tcPr>
          <w:p w14:paraId="4AD42EB1" w14:textId="77777777" w:rsidR="00596935" w:rsidRPr="00596935" w:rsidRDefault="00596935" w:rsidP="00596935">
            <w:pPr>
              <w:rPr>
                <w:rFonts w:cs="Arial"/>
                <w:color w:val="000000"/>
                <w:sz w:val="20"/>
                <w:szCs w:val="20"/>
                <w:lang w:val="de-AT" w:eastAsia="de-AT"/>
              </w:rPr>
            </w:pPr>
          </w:p>
        </w:tc>
        <w:tc>
          <w:tcPr>
            <w:tcW w:w="209" w:type="pct"/>
            <w:tcBorders>
              <w:top w:val="nil"/>
              <w:left w:val="nil"/>
              <w:bottom w:val="single" w:sz="8" w:space="0" w:color="auto"/>
              <w:right w:val="single" w:sz="8" w:space="0" w:color="auto"/>
            </w:tcBorders>
            <w:shd w:val="clear" w:color="auto" w:fill="auto"/>
            <w:vAlign w:val="bottom"/>
            <w:hideMark/>
          </w:tcPr>
          <w:p w14:paraId="49101ADC"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210" w:type="pct"/>
            <w:tcBorders>
              <w:top w:val="nil"/>
              <w:left w:val="nil"/>
              <w:bottom w:val="single" w:sz="8" w:space="0" w:color="auto"/>
              <w:right w:val="single" w:sz="4" w:space="0" w:color="auto"/>
            </w:tcBorders>
            <w:shd w:val="clear" w:color="auto" w:fill="auto"/>
            <w:vAlign w:val="bottom"/>
            <w:hideMark/>
          </w:tcPr>
          <w:p w14:paraId="09E34C9B"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131" w:type="pct"/>
            <w:vMerge/>
            <w:tcBorders>
              <w:top w:val="nil"/>
              <w:left w:val="single" w:sz="4" w:space="0" w:color="auto"/>
              <w:bottom w:val="single" w:sz="8" w:space="0" w:color="000000"/>
              <w:right w:val="single" w:sz="4" w:space="0" w:color="auto"/>
            </w:tcBorders>
            <w:vAlign w:val="center"/>
            <w:hideMark/>
          </w:tcPr>
          <w:p w14:paraId="6FFE9240" w14:textId="77777777" w:rsidR="00596935" w:rsidRPr="00596935" w:rsidRDefault="00596935" w:rsidP="00596935">
            <w:pPr>
              <w:rPr>
                <w:rFonts w:cs="Arial"/>
                <w:color w:val="000000"/>
                <w:sz w:val="20"/>
                <w:szCs w:val="20"/>
                <w:lang w:val="de-AT" w:eastAsia="de-AT"/>
              </w:rPr>
            </w:pPr>
          </w:p>
        </w:tc>
        <w:tc>
          <w:tcPr>
            <w:tcW w:w="209" w:type="pct"/>
            <w:tcBorders>
              <w:top w:val="nil"/>
              <w:left w:val="nil"/>
              <w:bottom w:val="single" w:sz="8" w:space="0" w:color="auto"/>
              <w:right w:val="single" w:sz="8" w:space="0" w:color="auto"/>
            </w:tcBorders>
            <w:shd w:val="clear" w:color="auto" w:fill="auto"/>
            <w:vAlign w:val="bottom"/>
            <w:hideMark/>
          </w:tcPr>
          <w:p w14:paraId="143D8715"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210" w:type="pct"/>
            <w:tcBorders>
              <w:top w:val="nil"/>
              <w:left w:val="nil"/>
              <w:bottom w:val="single" w:sz="8" w:space="0" w:color="auto"/>
              <w:right w:val="single" w:sz="4" w:space="0" w:color="auto"/>
            </w:tcBorders>
            <w:shd w:val="clear" w:color="auto" w:fill="auto"/>
            <w:vAlign w:val="bottom"/>
            <w:hideMark/>
          </w:tcPr>
          <w:p w14:paraId="1773DE6A"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209" w:type="pct"/>
            <w:tcBorders>
              <w:top w:val="nil"/>
              <w:left w:val="nil"/>
              <w:bottom w:val="single" w:sz="8" w:space="0" w:color="auto"/>
              <w:right w:val="single" w:sz="4" w:space="0" w:color="auto"/>
            </w:tcBorders>
            <w:shd w:val="clear" w:color="auto" w:fill="auto"/>
            <w:vAlign w:val="bottom"/>
            <w:hideMark/>
          </w:tcPr>
          <w:p w14:paraId="53283B4F"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209" w:type="pct"/>
            <w:tcBorders>
              <w:top w:val="nil"/>
              <w:left w:val="nil"/>
              <w:bottom w:val="single" w:sz="8" w:space="0" w:color="auto"/>
              <w:right w:val="single" w:sz="8" w:space="0" w:color="auto"/>
            </w:tcBorders>
            <w:shd w:val="clear" w:color="auto" w:fill="auto"/>
            <w:vAlign w:val="bottom"/>
            <w:hideMark/>
          </w:tcPr>
          <w:p w14:paraId="49782562"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210" w:type="pct"/>
            <w:tcBorders>
              <w:top w:val="nil"/>
              <w:left w:val="nil"/>
              <w:bottom w:val="single" w:sz="8" w:space="0" w:color="auto"/>
              <w:right w:val="single" w:sz="4" w:space="0" w:color="auto"/>
            </w:tcBorders>
            <w:shd w:val="clear" w:color="auto" w:fill="auto"/>
            <w:vAlign w:val="bottom"/>
            <w:hideMark/>
          </w:tcPr>
          <w:p w14:paraId="213EF8B8"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44</w:t>
            </w:r>
          </w:p>
        </w:tc>
        <w:tc>
          <w:tcPr>
            <w:tcW w:w="151" w:type="pct"/>
            <w:vMerge/>
            <w:tcBorders>
              <w:top w:val="nil"/>
              <w:left w:val="single" w:sz="4" w:space="0" w:color="auto"/>
              <w:bottom w:val="single" w:sz="8" w:space="0" w:color="000000"/>
              <w:right w:val="single" w:sz="4" w:space="0" w:color="auto"/>
            </w:tcBorders>
            <w:vAlign w:val="center"/>
            <w:hideMark/>
          </w:tcPr>
          <w:p w14:paraId="07D875B3" w14:textId="77777777" w:rsidR="00596935" w:rsidRPr="00596935" w:rsidRDefault="00596935" w:rsidP="00596935">
            <w:pPr>
              <w:rPr>
                <w:rFonts w:cs="Arial"/>
                <w:color w:val="000000"/>
                <w:sz w:val="20"/>
                <w:szCs w:val="20"/>
                <w:lang w:val="de-AT" w:eastAsia="de-AT"/>
              </w:rPr>
            </w:pPr>
          </w:p>
        </w:tc>
        <w:tc>
          <w:tcPr>
            <w:tcW w:w="209" w:type="pct"/>
            <w:tcBorders>
              <w:top w:val="nil"/>
              <w:left w:val="nil"/>
              <w:bottom w:val="single" w:sz="8" w:space="0" w:color="auto"/>
              <w:right w:val="single" w:sz="8" w:space="0" w:color="auto"/>
            </w:tcBorders>
            <w:shd w:val="clear" w:color="auto" w:fill="auto"/>
            <w:vAlign w:val="bottom"/>
            <w:hideMark/>
          </w:tcPr>
          <w:p w14:paraId="1628191D"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7</w:t>
            </w:r>
          </w:p>
        </w:tc>
        <w:tc>
          <w:tcPr>
            <w:tcW w:w="210" w:type="pct"/>
            <w:tcBorders>
              <w:top w:val="nil"/>
              <w:left w:val="nil"/>
              <w:bottom w:val="single" w:sz="8" w:space="0" w:color="auto"/>
              <w:right w:val="single" w:sz="4" w:space="0" w:color="auto"/>
            </w:tcBorders>
            <w:shd w:val="clear" w:color="auto" w:fill="auto"/>
            <w:vAlign w:val="bottom"/>
            <w:hideMark/>
          </w:tcPr>
          <w:p w14:paraId="1B583325"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125" w:type="pct"/>
            <w:vMerge/>
            <w:tcBorders>
              <w:top w:val="nil"/>
              <w:left w:val="single" w:sz="4" w:space="0" w:color="auto"/>
              <w:bottom w:val="single" w:sz="8" w:space="0" w:color="000000"/>
              <w:right w:val="single" w:sz="4" w:space="0" w:color="auto"/>
            </w:tcBorders>
            <w:vAlign w:val="center"/>
            <w:hideMark/>
          </w:tcPr>
          <w:p w14:paraId="21AEE278" w14:textId="77777777" w:rsidR="00596935" w:rsidRPr="00596935" w:rsidRDefault="00596935" w:rsidP="00596935">
            <w:pPr>
              <w:rPr>
                <w:rFonts w:cs="Arial"/>
                <w:color w:val="000000"/>
                <w:sz w:val="20"/>
                <w:szCs w:val="20"/>
                <w:lang w:val="de-AT" w:eastAsia="de-AT"/>
              </w:rPr>
            </w:pPr>
          </w:p>
        </w:tc>
        <w:tc>
          <w:tcPr>
            <w:tcW w:w="209" w:type="pct"/>
            <w:tcBorders>
              <w:top w:val="nil"/>
              <w:left w:val="nil"/>
              <w:bottom w:val="single" w:sz="8" w:space="0" w:color="auto"/>
              <w:right w:val="single" w:sz="8" w:space="0" w:color="auto"/>
            </w:tcBorders>
            <w:shd w:val="clear" w:color="auto" w:fill="auto"/>
            <w:vAlign w:val="bottom"/>
            <w:hideMark/>
          </w:tcPr>
          <w:p w14:paraId="4D32C8C5"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r>
    </w:tbl>
    <w:p w14:paraId="167B0E72" w14:textId="77777777" w:rsidR="00596935" w:rsidRPr="00596935" w:rsidRDefault="00596935" w:rsidP="00596935">
      <w:pPr>
        <w:spacing w:after="200" w:line="276" w:lineRule="auto"/>
        <w:rPr>
          <w:rFonts w:asciiTheme="minorHAnsi" w:eastAsiaTheme="minorHAnsi" w:hAnsiTheme="minorHAnsi" w:cstheme="minorBidi"/>
          <w:sz w:val="24"/>
          <w:szCs w:val="24"/>
          <w:lang w:val="en-GB" w:eastAsia="en-US"/>
        </w:rPr>
      </w:pPr>
    </w:p>
    <w:p w14:paraId="09E5F825" w14:textId="77777777" w:rsidR="00596935" w:rsidRPr="00596935" w:rsidRDefault="00596935" w:rsidP="00596935">
      <w:pPr>
        <w:spacing w:after="200" w:line="276" w:lineRule="auto"/>
        <w:rPr>
          <w:rFonts w:asciiTheme="minorHAnsi" w:eastAsiaTheme="minorHAnsi" w:hAnsiTheme="minorHAnsi" w:cstheme="minorBidi"/>
          <w:sz w:val="24"/>
          <w:szCs w:val="24"/>
          <w:lang w:val="en-GB" w:eastAsia="en-US"/>
        </w:rPr>
      </w:pPr>
    </w:p>
    <w:p w14:paraId="566D56EB" w14:textId="77777777" w:rsidR="00596935" w:rsidRPr="00596935" w:rsidRDefault="00596935" w:rsidP="00596935">
      <w:pPr>
        <w:spacing w:after="200" w:line="276" w:lineRule="auto"/>
        <w:rPr>
          <w:rFonts w:asciiTheme="minorHAnsi" w:eastAsiaTheme="minorHAnsi" w:hAnsiTheme="minorHAnsi"/>
          <w:sz w:val="24"/>
          <w:szCs w:val="24"/>
          <w:lang w:val="en-GB" w:eastAsia="en-US"/>
        </w:rPr>
      </w:pPr>
    </w:p>
    <w:p w14:paraId="3BAC470B" w14:textId="77777777" w:rsidR="00596935" w:rsidRPr="00596935" w:rsidRDefault="00596935" w:rsidP="00596935">
      <w:pPr>
        <w:spacing w:after="200" w:line="276" w:lineRule="auto"/>
        <w:rPr>
          <w:rFonts w:asciiTheme="minorHAnsi" w:eastAsiaTheme="minorHAnsi" w:hAnsiTheme="minorHAnsi"/>
          <w:sz w:val="24"/>
          <w:szCs w:val="24"/>
          <w:lang w:val="en-GB" w:eastAsia="en-US"/>
        </w:rPr>
        <w:sectPr w:rsidR="00596935" w:rsidRPr="00596935" w:rsidSect="00596935">
          <w:pgSz w:w="16838" w:h="11906" w:orient="landscape"/>
          <w:pgMar w:top="1417" w:right="1417" w:bottom="1417" w:left="1134" w:header="708" w:footer="708" w:gutter="0"/>
          <w:cols w:space="708"/>
          <w:docGrid w:linePitch="360"/>
        </w:sectPr>
      </w:pPr>
    </w:p>
    <w:p w14:paraId="5B2E4A62" w14:textId="77777777" w:rsidR="00596935" w:rsidRPr="00C67966" w:rsidRDefault="00596935" w:rsidP="00C67966">
      <w:pPr>
        <w:pStyle w:val="Textbody"/>
        <w:rPr>
          <w:rFonts w:eastAsiaTheme="minorHAnsi"/>
        </w:rPr>
      </w:pPr>
      <w:r w:rsidRPr="00C67966">
        <w:rPr>
          <w:rFonts w:eastAsiaTheme="minorHAnsi"/>
        </w:rPr>
        <w:lastRenderedPageBreak/>
        <w:t xml:space="preserve">Speech recognition in noise was assessed by ten studies in a total of 140 patients. Several different speech tests were implemented at different signal-to-noise ratios (SNR), making it difficult to summarise the results. The full list of outcome is presented in </w:t>
      </w:r>
      <w:r w:rsidR="00D77AE9" w:rsidRPr="00C67966">
        <w:rPr>
          <w:rFonts w:eastAsiaTheme="minorHAnsi"/>
        </w:rPr>
        <w:fldChar w:fldCharType="begin"/>
      </w:r>
      <w:r w:rsidR="00D77AE9" w:rsidRPr="00C67966">
        <w:rPr>
          <w:rFonts w:eastAsiaTheme="minorHAnsi"/>
        </w:rPr>
        <w:instrText xml:space="preserve"> REF _Ref400643986 \h </w:instrText>
      </w:r>
      <w:r w:rsidR="00C67966" w:rsidRPr="00C67966">
        <w:rPr>
          <w:rFonts w:eastAsiaTheme="minorHAnsi"/>
        </w:rPr>
        <w:instrText xml:space="preserve"> \* MERGEFORMAT </w:instrText>
      </w:r>
      <w:r w:rsidR="00D77AE9" w:rsidRPr="00C67966">
        <w:rPr>
          <w:rFonts w:eastAsiaTheme="minorHAnsi"/>
        </w:rPr>
      </w:r>
      <w:r w:rsidR="00D77AE9" w:rsidRPr="00C67966">
        <w:rPr>
          <w:rFonts w:eastAsiaTheme="minorHAnsi"/>
        </w:rPr>
        <w:fldChar w:fldCharType="separate"/>
      </w:r>
      <w:r w:rsidR="00016592" w:rsidRPr="00C67966">
        <w:t xml:space="preserve">Table </w:t>
      </w:r>
      <w:r w:rsidR="00016592">
        <w:t>21</w:t>
      </w:r>
      <w:r w:rsidR="00016592" w:rsidRPr="00C67966">
        <w:t xml:space="preserve"> - </w:t>
      </w:r>
      <w:r w:rsidR="00016592" w:rsidRPr="00C67966">
        <w:rPr>
          <w:rFonts w:eastAsiaTheme="minorHAnsi"/>
          <w:lang w:val="en-GB" w:eastAsia="en-US"/>
        </w:rPr>
        <w:t>Table speech in noise VSB</w:t>
      </w:r>
      <w:r w:rsidR="00D77AE9" w:rsidRPr="00C67966">
        <w:rPr>
          <w:rFonts w:eastAsiaTheme="minorHAnsi"/>
        </w:rPr>
        <w:fldChar w:fldCharType="end"/>
      </w:r>
      <w:r w:rsidRPr="00C67966">
        <w:rPr>
          <w:rFonts w:eastAsiaTheme="minorHAnsi"/>
        </w:rPr>
        <w:t>. Studies comparing unaided and aided performance demonstrate a clinically significant improvement in</w:t>
      </w:r>
      <w:r w:rsidR="00C67966" w:rsidRPr="00C67966">
        <w:rPr>
          <w:rFonts w:eastAsiaTheme="minorHAnsi"/>
        </w:rPr>
        <w:t xml:space="preserve"> the WRS and SRT with the VSB. </w:t>
      </w:r>
    </w:p>
    <w:p w14:paraId="19E88631" w14:textId="77777777" w:rsidR="00596935" w:rsidRPr="00596935" w:rsidRDefault="00596935" w:rsidP="00596935">
      <w:pPr>
        <w:spacing w:after="200" w:line="276" w:lineRule="auto"/>
        <w:rPr>
          <w:rFonts w:asciiTheme="minorHAnsi" w:eastAsiaTheme="minorHAnsi" w:hAnsiTheme="minorHAnsi" w:cstheme="minorBidi"/>
          <w:sz w:val="24"/>
          <w:szCs w:val="24"/>
          <w:lang w:val="en-GB" w:eastAsia="en-US"/>
        </w:rPr>
      </w:pPr>
    </w:p>
    <w:p w14:paraId="0870D18F" w14:textId="77777777" w:rsidR="00596935" w:rsidRPr="00596935" w:rsidRDefault="00596935" w:rsidP="00596935">
      <w:pPr>
        <w:spacing w:after="200" w:line="276" w:lineRule="auto"/>
        <w:rPr>
          <w:rFonts w:asciiTheme="minorHAnsi" w:eastAsiaTheme="minorHAnsi" w:hAnsiTheme="minorHAnsi" w:cstheme="minorBidi"/>
          <w:sz w:val="24"/>
          <w:szCs w:val="24"/>
          <w:lang w:val="en-GB" w:eastAsia="en-US"/>
        </w:rPr>
        <w:sectPr w:rsidR="00596935" w:rsidRPr="00596935">
          <w:pgSz w:w="11906" w:h="16838"/>
          <w:pgMar w:top="1417" w:right="1417" w:bottom="1134" w:left="1417" w:header="708" w:footer="708" w:gutter="0"/>
          <w:cols w:space="708"/>
          <w:docGrid w:linePitch="360"/>
        </w:sectPr>
      </w:pPr>
    </w:p>
    <w:p w14:paraId="6B240090" w14:textId="77777777" w:rsidR="00596935" w:rsidRPr="00C67966" w:rsidRDefault="00D77AE9" w:rsidP="007F6475">
      <w:pPr>
        <w:pStyle w:val="Caption"/>
        <w:rPr>
          <w:rFonts w:ascii="Arial" w:eastAsiaTheme="minorHAnsi" w:hAnsi="Arial" w:cs="Arial"/>
          <w:lang w:val="en-GB" w:eastAsia="en-US"/>
        </w:rPr>
      </w:pPr>
      <w:bookmarkStart w:id="443" w:name="_Ref400647710"/>
      <w:bookmarkStart w:id="444" w:name="_Ref400643986"/>
      <w:bookmarkStart w:id="445" w:name="_Toc431917481"/>
      <w:r w:rsidRPr="00C67966">
        <w:rPr>
          <w:rFonts w:ascii="Arial" w:hAnsi="Arial" w:cs="Arial"/>
        </w:rPr>
        <w:lastRenderedPageBreak/>
        <w:t xml:space="preserve">Table </w:t>
      </w:r>
      <w:r w:rsidRPr="00C67966">
        <w:rPr>
          <w:rFonts w:ascii="Arial" w:hAnsi="Arial" w:cs="Arial"/>
        </w:rPr>
        <w:fldChar w:fldCharType="begin"/>
      </w:r>
      <w:r w:rsidRPr="00C67966">
        <w:rPr>
          <w:rFonts w:ascii="Arial" w:hAnsi="Arial" w:cs="Arial"/>
        </w:rPr>
        <w:instrText xml:space="preserve"> SEQ Table \* ARABIC </w:instrText>
      </w:r>
      <w:r w:rsidRPr="00C67966">
        <w:rPr>
          <w:rFonts w:ascii="Arial" w:hAnsi="Arial" w:cs="Arial"/>
        </w:rPr>
        <w:fldChar w:fldCharType="separate"/>
      </w:r>
      <w:r w:rsidR="00016592">
        <w:rPr>
          <w:rFonts w:ascii="Arial" w:hAnsi="Arial" w:cs="Arial"/>
          <w:noProof/>
        </w:rPr>
        <w:t>21</w:t>
      </w:r>
      <w:r w:rsidRPr="00C67966">
        <w:rPr>
          <w:rFonts w:ascii="Arial" w:hAnsi="Arial" w:cs="Arial"/>
        </w:rPr>
        <w:fldChar w:fldCharType="end"/>
      </w:r>
      <w:bookmarkEnd w:id="443"/>
      <w:r w:rsidRPr="00C67966">
        <w:rPr>
          <w:rFonts w:ascii="Arial" w:hAnsi="Arial" w:cs="Arial"/>
          <w:lang w:val="en-US"/>
        </w:rPr>
        <w:t xml:space="preserve"> - </w:t>
      </w:r>
      <w:r w:rsidR="00596935" w:rsidRPr="00C67966">
        <w:rPr>
          <w:rFonts w:ascii="Arial" w:eastAsiaTheme="minorHAnsi" w:hAnsi="Arial" w:cs="Arial"/>
          <w:lang w:val="en-GB" w:eastAsia="en-US"/>
        </w:rPr>
        <w:t>Table speech in noise VSB</w:t>
      </w:r>
      <w:bookmarkEnd w:id="444"/>
      <w:bookmarkEnd w:id="445"/>
    </w:p>
    <w:tbl>
      <w:tblPr>
        <w:tblW w:w="5000" w:type="pct"/>
        <w:tblCellMar>
          <w:left w:w="70" w:type="dxa"/>
          <w:right w:w="70" w:type="dxa"/>
        </w:tblCellMar>
        <w:tblLook w:val="04A0" w:firstRow="1" w:lastRow="0" w:firstColumn="1" w:lastColumn="0" w:noHBand="0" w:noVBand="1"/>
        <w:tblDescription w:val="Table speech in noise VSB"/>
      </w:tblPr>
      <w:tblGrid>
        <w:gridCol w:w="1204"/>
        <w:gridCol w:w="981"/>
        <w:gridCol w:w="1538"/>
        <w:gridCol w:w="1019"/>
        <w:gridCol w:w="978"/>
        <w:gridCol w:w="915"/>
        <w:gridCol w:w="1558"/>
        <w:gridCol w:w="1246"/>
        <w:gridCol w:w="1249"/>
        <w:gridCol w:w="1246"/>
        <w:gridCol w:w="1249"/>
        <w:gridCol w:w="1244"/>
      </w:tblGrid>
      <w:tr w:rsidR="00596935" w:rsidRPr="00596935" w14:paraId="6476E896" w14:textId="77777777" w:rsidTr="00596935">
        <w:trPr>
          <w:trHeight w:val="460"/>
        </w:trPr>
        <w:tc>
          <w:tcPr>
            <w:tcW w:w="417" w:type="pct"/>
            <w:tcBorders>
              <w:top w:val="single" w:sz="8" w:space="0" w:color="auto"/>
              <w:left w:val="single" w:sz="8" w:space="0" w:color="auto"/>
              <w:bottom w:val="nil"/>
              <w:right w:val="nil"/>
            </w:tcBorders>
            <w:shd w:val="clear" w:color="000000" w:fill="D9D9D9"/>
            <w:vAlign w:val="center"/>
            <w:hideMark/>
          </w:tcPr>
          <w:p w14:paraId="5F367531" w14:textId="77777777" w:rsidR="00596935" w:rsidRPr="00596935" w:rsidRDefault="00596935" w:rsidP="00596935">
            <w:pPr>
              <w:rPr>
                <w:rFonts w:cs="Arial"/>
                <w:color w:val="000000"/>
                <w:sz w:val="20"/>
                <w:szCs w:val="20"/>
                <w:lang w:val="de-AT" w:eastAsia="de-AT"/>
              </w:rPr>
            </w:pPr>
            <w:r w:rsidRPr="00596935">
              <w:rPr>
                <w:rFonts w:cs="Arial"/>
                <w:color w:val="000000"/>
                <w:sz w:val="20"/>
                <w:szCs w:val="20"/>
                <w:lang w:val="de-AT" w:eastAsia="de-AT"/>
              </w:rPr>
              <w:t>Speech in noise</w:t>
            </w:r>
          </w:p>
        </w:tc>
        <w:tc>
          <w:tcPr>
            <w:tcW w:w="339" w:type="pct"/>
            <w:vMerge w:val="restart"/>
            <w:tcBorders>
              <w:top w:val="single" w:sz="8" w:space="0" w:color="auto"/>
              <w:left w:val="nil"/>
              <w:bottom w:val="single" w:sz="8" w:space="0" w:color="000000"/>
              <w:right w:val="nil"/>
            </w:tcBorders>
            <w:shd w:val="clear" w:color="000000" w:fill="D9D9D9"/>
            <w:vAlign w:val="center"/>
            <w:hideMark/>
          </w:tcPr>
          <w:p w14:paraId="473AD3C2"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n</w:t>
            </w:r>
          </w:p>
        </w:tc>
        <w:tc>
          <w:tcPr>
            <w:tcW w:w="533" w:type="pct"/>
            <w:vMerge w:val="restart"/>
            <w:tcBorders>
              <w:top w:val="single" w:sz="8" w:space="0" w:color="auto"/>
              <w:left w:val="nil"/>
              <w:bottom w:val="single" w:sz="8" w:space="0" w:color="000000"/>
              <w:right w:val="nil"/>
            </w:tcBorders>
            <w:shd w:val="clear" w:color="000000" w:fill="D9D9D9"/>
            <w:vAlign w:val="center"/>
            <w:hideMark/>
          </w:tcPr>
          <w:p w14:paraId="36DA9617"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Test </w:t>
            </w:r>
          </w:p>
        </w:tc>
        <w:tc>
          <w:tcPr>
            <w:tcW w:w="353" w:type="pct"/>
            <w:vMerge w:val="restart"/>
            <w:tcBorders>
              <w:top w:val="single" w:sz="8" w:space="0" w:color="auto"/>
              <w:left w:val="nil"/>
              <w:bottom w:val="single" w:sz="8" w:space="0" w:color="000000"/>
              <w:right w:val="nil"/>
            </w:tcBorders>
            <w:shd w:val="clear" w:color="000000" w:fill="D9D9D9"/>
            <w:vAlign w:val="center"/>
            <w:hideMark/>
          </w:tcPr>
          <w:p w14:paraId="7ABCB74F"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Speech level</w:t>
            </w:r>
          </w:p>
        </w:tc>
        <w:tc>
          <w:tcPr>
            <w:tcW w:w="339" w:type="pct"/>
            <w:vMerge w:val="restart"/>
            <w:tcBorders>
              <w:top w:val="single" w:sz="8" w:space="0" w:color="auto"/>
              <w:left w:val="nil"/>
              <w:bottom w:val="single" w:sz="8" w:space="0" w:color="000000"/>
              <w:right w:val="nil"/>
            </w:tcBorders>
            <w:shd w:val="clear" w:color="000000" w:fill="D9D9D9"/>
            <w:vAlign w:val="center"/>
            <w:hideMark/>
          </w:tcPr>
          <w:p w14:paraId="34D1526D"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Noise   level</w:t>
            </w:r>
          </w:p>
        </w:tc>
        <w:tc>
          <w:tcPr>
            <w:tcW w:w="317" w:type="pct"/>
            <w:vMerge w:val="restart"/>
            <w:tcBorders>
              <w:top w:val="single" w:sz="8" w:space="0" w:color="auto"/>
              <w:left w:val="nil"/>
              <w:bottom w:val="single" w:sz="8" w:space="0" w:color="000000"/>
              <w:right w:val="nil"/>
            </w:tcBorders>
            <w:shd w:val="clear" w:color="000000" w:fill="D9D9D9"/>
            <w:vAlign w:val="center"/>
            <w:hideMark/>
          </w:tcPr>
          <w:p w14:paraId="5D53FBD5"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SNR</w:t>
            </w:r>
          </w:p>
        </w:tc>
        <w:tc>
          <w:tcPr>
            <w:tcW w:w="540" w:type="pct"/>
            <w:vMerge w:val="restart"/>
            <w:tcBorders>
              <w:top w:val="single" w:sz="8" w:space="0" w:color="auto"/>
              <w:left w:val="nil"/>
              <w:bottom w:val="single" w:sz="8" w:space="0" w:color="000000"/>
              <w:right w:val="single" w:sz="8" w:space="0" w:color="auto"/>
            </w:tcBorders>
            <w:shd w:val="clear" w:color="000000" w:fill="D9D9D9"/>
            <w:vAlign w:val="center"/>
            <w:hideMark/>
          </w:tcPr>
          <w:p w14:paraId="79F10B38"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Outcome measure</w:t>
            </w:r>
          </w:p>
        </w:tc>
        <w:tc>
          <w:tcPr>
            <w:tcW w:w="865" w:type="pct"/>
            <w:gridSpan w:val="2"/>
            <w:tcBorders>
              <w:top w:val="single" w:sz="8" w:space="0" w:color="auto"/>
              <w:left w:val="nil"/>
              <w:bottom w:val="single" w:sz="8" w:space="0" w:color="auto"/>
              <w:right w:val="single" w:sz="8" w:space="0" w:color="000000"/>
            </w:tcBorders>
            <w:shd w:val="clear" w:color="000000" w:fill="F2DCDB"/>
            <w:vAlign w:val="center"/>
            <w:hideMark/>
          </w:tcPr>
          <w:p w14:paraId="2F485250"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aided</w:t>
            </w:r>
          </w:p>
        </w:tc>
        <w:tc>
          <w:tcPr>
            <w:tcW w:w="865" w:type="pct"/>
            <w:gridSpan w:val="2"/>
            <w:tcBorders>
              <w:top w:val="single" w:sz="8" w:space="0" w:color="auto"/>
              <w:left w:val="nil"/>
              <w:bottom w:val="single" w:sz="8" w:space="0" w:color="auto"/>
              <w:right w:val="single" w:sz="8" w:space="0" w:color="000000"/>
            </w:tcBorders>
            <w:shd w:val="clear" w:color="000000" w:fill="F2DCDB"/>
            <w:vAlign w:val="center"/>
            <w:hideMark/>
          </w:tcPr>
          <w:p w14:paraId="048AA15B"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unaided</w:t>
            </w:r>
          </w:p>
        </w:tc>
        <w:tc>
          <w:tcPr>
            <w:tcW w:w="432" w:type="pct"/>
            <w:vMerge w:val="restart"/>
            <w:tcBorders>
              <w:top w:val="single" w:sz="8" w:space="0" w:color="auto"/>
              <w:left w:val="single" w:sz="8" w:space="0" w:color="auto"/>
              <w:bottom w:val="single" w:sz="4" w:space="0" w:color="000000"/>
              <w:right w:val="single" w:sz="8" w:space="0" w:color="auto"/>
            </w:tcBorders>
            <w:shd w:val="clear" w:color="000000" w:fill="D9D9D9"/>
            <w:vAlign w:val="center"/>
            <w:hideMark/>
          </w:tcPr>
          <w:p w14:paraId="555CCED0" w14:textId="77777777" w:rsidR="00596935" w:rsidRPr="00596935" w:rsidRDefault="00596935" w:rsidP="00596935">
            <w:pPr>
              <w:jc w:val="center"/>
              <w:rPr>
                <w:rFonts w:cs="Arial"/>
                <w:i/>
                <w:iCs/>
                <w:color w:val="000000"/>
                <w:sz w:val="20"/>
                <w:szCs w:val="20"/>
                <w:lang w:val="de-AT" w:eastAsia="de-AT"/>
              </w:rPr>
            </w:pPr>
            <w:r w:rsidRPr="00596935">
              <w:rPr>
                <w:rFonts w:cs="Arial"/>
                <w:i/>
                <w:iCs/>
                <w:color w:val="000000"/>
                <w:sz w:val="20"/>
                <w:szCs w:val="20"/>
                <w:lang w:val="de-AT" w:eastAsia="de-AT"/>
              </w:rPr>
              <w:t>mean change</w:t>
            </w:r>
          </w:p>
        </w:tc>
      </w:tr>
      <w:tr w:rsidR="00596935" w:rsidRPr="00596935" w14:paraId="1C71A1D5" w14:textId="77777777" w:rsidTr="00596935">
        <w:trPr>
          <w:trHeight w:val="460"/>
        </w:trPr>
        <w:tc>
          <w:tcPr>
            <w:tcW w:w="417" w:type="pct"/>
            <w:tcBorders>
              <w:top w:val="nil"/>
              <w:left w:val="single" w:sz="8" w:space="0" w:color="auto"/>
              <w:bottom w:val="single" w:sz="8" w:space="0" w:color="auto"/>
              <w:right w:val="nil"/>
            </w:tcBorders>
            <w:shd w:val="clear" w:color="000000" w:fill="D9D9D9"/>
            <w:vAlign w:val="center"/>
            <w:hideMark/>
          </w:tcPr>
          <w:p w14:paraId="40C5B954" w14:textId="77777777" w:rsidR="00596935" w:rsidRPr="00596935" w:rsidRDefault="00596935" w:rsidP="00596935">
            <w:pPr>
              <w:rPr>
                <w:rFonts w:cs="Arial"/>
                <w:i/>
                <w:iCs/>
                <w:color w:val="000000"/>
                <w:sz w:val="20"/>
                <w:szCs w:val="20"/>
                <w:lang w:val="de-AT" w:eastAsia="de-AT"/>
              </w:rPr>
            </w:pPr>
            <w:r w:rsidRPr="00596935">
              <w:rPr>
                <w:rFonts w:cs="Arial"/>
                <w:i/>
                <w:iCs/>
                <w:color w:val="000000"/>
                <w:sz w:val="20"/>
                <w:szCs w:val="20"/>
                <w:lang w:val="de-AT" w:eastAsia="de-AT"/>
              </w:rPr>
              <w:t>author</w:t>
            </w:r>
          </w:p>
        </w:tc>
        <w:tc>
          <w:tcPr>
            <w:tcW w:w="339" w:type="pct"/>
            <w:vMerge/>
            <w:tcBorders>
              <w:top w:val="single" w:sz="8" w:space="0" w:color="auto"/>
              <w:left w:val="nil"/>
              <w:bottom w:val="single" w:sz="8" w:space="0" w:color="000000"/>
              <w:right w:val="nil"/>
            </w:tcBorders>
            <w:vAlign w:val="center"/>
            <w:hideMark/>
          </w:tcPr>
          <w:p w14:paraId="7C63A880" w14:textId="77777777" w:rsidR="00596935" w:rsidRPr="00596935" w:rsidRDefault="00596935" w:rsidP="00596935">
            <w:pPr>
              <w:rPr>
                <w:rFonts w:cs="Arial"/>
                <w:color w:val="000000"/>
                <w:sz w:val="20"/>
                <w:szCs w:val="20"/>
                <w:lang w:val="de-AT" w:eastAsia="de-AT"/>
              </w:rPr>
            </w:pPr>
          </w:p>
        </w:tc>
        <w:tc>
          <w:tcPr>
            <w:tcW w:w="533" w:type="pct"/>
            <w:vMerge/>
            <w:tcBorders>
              <w:top w:val="single" w:sz="8" w:space="0" w:color="auto"/>
              <w:left w:val="nil"/>
              <w:bottom w:val="single" w:sz="8" w:space="0" w:color="000000"/>
              <w:right w:val="nil"/>
            </w:tcBorders>
            <w:vAlign w:val="center"/>
            <w:hideMark/>
          </w:tcPr>
          <w:p w14:paraId="1644204D" w14:textId="77777777" w:rsidR="00596935" w:rsidRPr="00596935" w:rsidRDefault="00596935" w:rsidP="00596935">
            <w:pPr>
              <w:rPr>
                <w:rFonts w:cs="Arial"/>
                <w:color w:val="000000"/>
                <w:sz w:val="20"/>
                <w:szCs w:val="20"/>
                <w:lang w:val="de-AT" w:eastAsia="de-AT"/>
              </w:rPr>
            </w:pPr>
          </w:p>
        </w:tc>
        <w:tc>
          <w:tcPr>
            <w:tcW w:w="353" w:type="pct"/>
            <w:vMerge/>
            <w:tcBorders>
              <w:top w:val="single" w:sz="8" w:space="0" w:color="auto"/>
              <w:left w:val="nil"/>
              <w:bottom w:val="single" w:sz="8" w:space="0" w:color="000000"/>
              <w:right w:val="nil"/>
            </w:tcBorders>
            <w:vAlign w:val="center"/>
            <w:hideMark/>
          </w:tcPr>
          <w:p w14:paraId="4E97EFBB" w14:textId="77777777" w:rsidR="00596935" w:rsidRPr="00596935" w:rsidRDefault="00596935" w:rsidP="00596935">
            <w:pPr>
              <w:rPr>
                <w:rFonts w:cs="Arial"/>
                <w:color w:val="000000"/>
                <w:sz w:val="20"/>
                <w:szCs w:val="20"/>
                <w:lang w:val="de-AT" w:eastAsia="de-AT"/>
              </w:rPr>
            </w:pPr>
          </w:p>
        </w:tc>
        <w:tc>
          <w:tcPr>
            <w:tcW w:w="339" w:type="pct"/>
            <w:vMerge/>
            <w:tcBorders>
              <w:top w:val="single" w:sz="8" w:space="0" w:color="auto"/>
              <w:left w:val="nil"/>
              <w:bottom w:val="single" w:sz="8" w:space="0" w:color="000000"/>
              <w:right w:val="nil"/>
            </w:tcBorders>
            <w:vAlign w:val="center"/>
            <w:hideMark/>
          </w:tcPr>
          <w:p w14:paraId="35D4B6E5" w14:textId="77777777" w:rsidR="00596935" w:rsidRPr="00596935" w:rsidRDefault="00596935" w:rsidP="00596935">
            <w:pPr>
              <w:rPr>
                <w:rFonts w:cs="Arial"/>
                <w:color w:val="000000"/>
                <w:sz w:val="20"/>
                <w:szCs w:val="20"/>
                <w:lang w:val="de-AT" w:eastAsia="de-AT"/>
              </w:rPr>
            </w:pPr>
          </w:p>
        </w:tc>
        <w:tc>
          <w:tcPr>
            <w:tcW w:w="317" w:type="pct"/>
            <w:vMerge/>
            <w:tcBorders>
              <w:top w:val="single" w:sz="8" w:space="0" w:color="auto"/>
              <w:left w:val="nil"/>
              <w:bottom w:val="single" w:sz="8" w:space="0" w:color="000000"/>
              <w:right w:val="nil"/>
            </w:tcBorders>
            <w:vAlign w:val="center"/>
            <w:hideMark/>
          </w:tcPr>
          <w:p w14:paraId="3C79407D" w14:textId="77777777" w:rsidR="00596935" w:rsidRPr="00596935" w:rsidRDefault="00596935" w:rsidP="00596935">
            <w:pPr>
              <w:rPr>
                <w:rFonts w:cs="Arial"/>
                <w:color w:val="000000"/>
                <w:sz w:val="20"/>
                <w:szCs w:val="20"/>
                <w:lang w:val="de-AT" w:eastAsia="de-AT"/>
              </w:rPr>
            </w:pPr>
          </w:p>
        </w:tc>
        <w:tc>
          <w:tcPr>
            <w:tcW w:w="540" w:type="pct"/>
            <w:vMerge/>
            <w:tcBorders>
              <w:top w:val="single" w:sz="8" w:space="0" w:color="auto"/>
              <w:left w:val="nil"/>
              <w:bottom w:val="single" w:sz="8" w:space="0" w:color="000000"/>
              <w:right w:val="single" w:sz="8" w:space="0" w:color="auto"/>
            </w:tcBorders>
            <w:vAlign w:val="center"/>
            <w:hideMark/>
          </w:tcPr>
          <w:p w14:paraId="12ABD853" w14:textId="77777777" w:rsidR="00596935" w:rsidRPr="00596935" w:rsidRDefault="00596935" w:rsidP="00596935">
            <w:pPr>
              <w:rPr>
                <w:rFonts w:cs="Arial"/>
                <w:color w:val="000000"/>
                <w:sz w:val="20"/>
                <w:szCs w:val="20"/>
                <w:lang w:val="de-AT" w:eastAsia="de-AT"/>
              </w:rPr>
            </w:pPr>
          </w:p>
        </w:tc>
        <w:tc>
          <w:tcPr>
            <w:tcW w:w="432" w:type="pct"/>
            <w:tcBorders>
              <w:top w:val="nil"/>
              <w:left w:val="nil"/>
              <w:bottom w:val="nil"/>
              <w:right w:val="nil"/>
            </w:tcBorders>
            <w:shd w:val="clear" w:color="000000" w:fill="D9D9D9"/>
            <w:noWrap/>
            <w:vAlign w:val="center"/>
            <w:hideMark/>
          </w:tcPr>
          <w:p w14:paraId="6596A49E"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mean [dB]</w:t>
            </w:r>
          </w:p>
        </w:tc>
        <w:tc>
          <w:tcPr>
            <w:tcW w:w="433" w:type="pct"/>
            <w:tcBorders>
              <w:top w:val="nil"/>
              <w:left w:val="nil"/>
              <w:bottom w:val="nil"/>
              <w:right w:val="single" w:sz="8" w:space="0" w:color="auto"/>
            </w:tcBorders>
            <w:shd w:val="clear" w:color="000000" w:fill="D9D9D9"/>
            <w:noWrap/>
            <w:vAlign w:val="center"/>
            <w:hideMark/>
          </w:tcPr>
          <w:p w14:paraId="5F3631A4"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sd</w:t>
            </w:r>
          </w:p>
        </w:tc>
        <w:tc>
          <w:tcPr>
            <w:tcW w:w="432" w:type="pct"/>
            <w:tcBorders>
              <w:top w:val="nil"/>
              <w:left w:val="nil"/>
              <w:bottom w:val="nil"/>
              <w:right w:val="nil"/>
            </w:tcBorders>
            <w:shd w:val="clear" w:color="000000" w:fill="D9D9D9"/>
            <w:noWrap/>
            <w:vAlign w:val="center"/>
            <w:hideMark/>
          </w:tcPr>
          <w:p w14:paraId="3D1B3E2A"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mean [dB]</w:t>
            </w:r>
          </w:p>
        </w:tc>
        <w:tc>
          <w:tcPr>
            <w:tcW w:w="433" w:type="pct"/>
            <w:tcBorders>
              <w:top w:val="nil"/>
              <w:left w:val="nil"/>
              <w:bottom w:val="nil"/>
              <w:right w:val="single" w:sz="8" w:space="0" w:color="auto"/>
            </w:tcBorders>
            <w:shd w:val="clear" w:color="000000" w:fill="D9D9D9"/>
            <w:noWrap/>
            <w:vAlign w:val="center"/>
            <w:hideMark/>
          </w:tcPr>
          <w:p w14:paraId="592CA613"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sd</w:t>
            </w:r>
          </w:p>
        </w:tc>
        <w:tc>
          <w:tcPr>
            <w:tcW w:w="432" w:type="pct"/>
            <w:vMerge/>
            <w:tcBorders>
              <w:top w:val="single" w:sz="8" w:space="0" w:color="auto"/>
              <w:left w:val="single" w:sz="8" w:space="0" w:color="auto"/>
              <w:bottom w:val="single" w:sz="4" w:space="0" w:color="000000"/>
              <w:right w:val="single" w:sz="8" w:space="0" w:color="auto"/>
            </w:tcBorders>
            <w:vAlign w:val="center"/>
            <w:hideMark/>
          </w:tcPr>
          <w:p w14:paraId="20EC186C" w14:textId="77777777" w:rsidR="00596935" w:rsidRPr="00596935" w:rsidRDefault="00596935" w:rsidP="00596935">
            <w:pPr>
              <w:rPr>
                <w:rFonts w:cs="Arial"/>
                <w:i/>
                <w:iCs/>
                <w:color w:val="000000"/>
                <w:sz w:val="20"/>
                <w:szCs w:val="20"/>
                <w:lang w:val="de-AT" w:eastAsia="de-AT"/>
              </w:rPr>
            </w:pPr>
          </w:p>
        </w:tc>
      </w:tr>
      <w:tr w:rsidR="00596935" w:rsidRPr="00596935" w14:paraId="52C046A0" w14:textId="77777777" w:rsidTr="00596935">
        <w:trPr>
          <w:trHeight w:val="460"/>
        </w:trPr>
        <w:tc>
          <w:tcPr>
            <w:tcW w:w="417" w:type="pct"/>
            <w:tcBorders>
              <w:top w:val="nil"/>
              <w:left w:val="single" w:sz="8" w:space="0" w:color="auto"/>
              <w:bottom w:val="nil"/>
              <w:right w:val="nil"/>
            </w:tcBorders>
            <w:shd w:val="clear" w:color="auto" w:fill="auto"/>
            <w:vAlign w:val="center"/>
            <w:hideMark/>
          </w:tcPr>
          <w:p w14:paraId="4E5A1D81" w14:textId="77777777" w:rsidR="00596935" w:rsidRPr="00596935" w:rsidRDefault="00596935" w:rsidP="00596935">
            <w:pPr>
              <w:rPr>
                <w:rFonts w:cs="Arial"/>
                <w:sz w:val="20"/>
                <w:szCs w:val="20"/>
                <w:lang w:val="de-AT" w:eastAsia="de-AT"/>
              </w:rPr>
            </w:pPr>
            <w:r w:rsidRPr="00596935">
              <w:rPr>
                <w:rFonts w:cs="Arial"/>
                <w:sz w:val="20"/>
                <w:szCs w:val="20"/>
                <w:lang w:val="de-AT" w:eastAsia="de-AT"/>
              </w:rPr>
              <w:t xml:space="preserve">Boeheim 2010 </w:t>
            </w:r>
          </w:p>
        </w:tc>
        <w:tc>
          <w:tcPr>
            <w:tcW w:w="339" w:type="pct"/>
            <w:tcBorders>
              <w:top w:val="nil"/>
              <w:left w:val="single" w:sz="4" w:space="0" w:color="auto"/>
              <w:bottom w:val="single" w:sz="4" w:space="0" w:color="auto"/>
              <w:right w:val="single" w:sz="4" w:space="0" w:color="auto"/>
            </w:tcBorders>
            <w:shd w:val="clear" w:color="auto" w:fill="auto"/>
            <w:vAlign w:val="center"/>
            <w:hideMark/>
          </w:tcPr>
          <w:p w14:paraId="722AAF62"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10</w:t>
            </w:r>
          </w:p>
        </w:tc>
        <w:tc>
          <w:tcPr>
            <w:tcW w:w="533" w:type="pct"/>
            <w:tcBorders>
              <w:top w:val="nil"/>
              <w:left w:val="nil"/>
              <w:bottom w:val="single" w:sz="4" w:space="0" w:color="auto"/>
              <w:right w:val="single" w:sz="4" w:space="0" w:color="auto"/>
            </w:tcBorders>
            <w:shd w:val="clear" w:color="auto" w:fill="auto"/>
            <w:vAlign w:val="center"/>
            <w:hideMark/>
          </w:tcPr>
          <w:p w14:paraId="6A97346A" w14:textId="77777777" w:rsidR="00596935" w:rsidRPr="00596935" w:rsidRDefault="00596935" w:rsidP="00596935">
            <w:pPr>
              <w:rPr>
                <w:rFonts w:cs="Arial"/>
                <w:sz w:val="20"/>
                <w:szCs w:val="20"/>
                <w:lang w:val="de-AT" w:eastAsia="de-AT"/>
              </w:rPr>
            </w:pPr>
            <w:r w:rsidRPr="00596935">
              <w:rPr>
                <w:rFonts w:cs="Arial"/>
                <w:sz w:val="20"/>
                <w:szCs w:val="20"/>
                <w:lang w:val="de-AT" w:eastAsia="de-AT"/>
              </w:rPr>
              <w:t>OLSA sentences</w:t>
            </w:r>
          </w:p>
        </w:tc>
        <w:tc>
          <w:tcPr>
            <w:tcW w:w="353" w:type="pct"/>
            <w:tcBorders>
              <w:top w:val="nil"/>
              <w:left w:val="nil"/>
              <w:bottom w:val="single" w:sz="4" w:space="0" w:color="auto"/>
              <w:right w:val="single" w:sz="4" w:space="0" w:color="auto"/>
            </w:tcBorders>
            <w:shd w:val="clear" w:color="auto" w:fill="auto"/>
            <w:vAlign w:val="center"/>
            <w:hideMark/>
          </w:tcPr>
          <w:p w14:paraId="45C2C36A"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adaptive</w:t>
            </w:r>
          </w:p>
        </w:tc>
        <w:tc>
          <w:tcPr>
            <w:tcW w:w="339" w:type="pct"/>
            <w:tcBorders>
              <w:top w:val="nil"/>
              <w:left w:val="nil"/>
              <w:bottom w:val="single" w:sz="4" w:space="0" w:color="auto"/>
              <w:right w:val="single" w:sz="4" w:space="0" w:color="auto"/>
            </w:tcBorders>
            <w:shd w:val="clear" w:color="auto" w:fill="auto"/>
            <w:vAlign w:val="center"/>
            <w:hideMark/>
          </w:tcPr>
          <w:p w14:paraId="5BCF8B7A"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60 dB</w:t>
            </w:r>
          </w:p>
        </w:tc>
        <w:tc>
          <w:tcPr>
            <w:tcW w:w="317" w:type="pct"/>
            <w:tcBorders>
              <w:top w:val="nil"/>
              <w:left w:val="nil"/>
              <w:bottom w:val="single" w:sz="4" w:space="0" w:color="auto"/>
              <w:right w:val="single" w:sz="4" w:space="0" w:color="auto"/>
            </w:tcBorders>
            <w:shd w:val="clear" w:color="auto" w:fill="auto"/>
            <w:vAlign w:val="center"/>
            <w:hideMark/>
          </w:tcPr>
          <w:p w14:paraId="4426BC95"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various</w:t>
            </w:r>
          </w:p>
        </w:tc>
        <w:tc>
          <w:tcPr>
            <w:tcW w:w="540" w:type="pct"/>
            <w:tcBorders>
              <w:top w:val="nil"/>
              <w:left w:val="nil"/>
              <w:bottom w:val="single" w:sz="4" w:space="0" w:color="auto"/>
              <w:right w:val="nil"/>
            </w:tcBorders>
            <w:shd w:val="clear" w:color="auto" w:fill="auto"/>
            <w:vAlign w:val="center"/>
            <w:hideMark/>
          </w:tcPr>
          <w:p w14:paraId="1D1D843C"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SRT dB</w:t>
            </w:r>
          </w:p>
        </w:tc>
        <w:tc>
          <w:tcPr>
            <w:tcW w:w="432"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1066BF0D"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-1,5</w:t>
            </w:r>
          </w:p>
        </w:tc>
        <w:tc>
          <w:tcPr>
            <w:tcW w:w="433" w:type="pct"/>
            <w:tcBorders>
              <w:top w:val="single" w:sz="4" w:space="0" w:color="auto"/>
              <w:left w:val="nil"/>
              <w:bottom w:val="single" w:sz="4" w:space="0" w:color="auto"/>
              <w:right w:val="single" w:sz="8" w:space="0" w:color="auto"/>
            </w:tcBorders>
            <w:shd w:val="clear" w:color="auto" w:fill="auto"/>
            <w:vAlign w:val="center"/>
            <w:hideMark/>
          </w:tcPr>
          <w:p w14:paraId="50BC139D"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1,4</w:t>
            </w:r>
          </w:p>
        </w:tc>
        <w:tc>
          <w:tcPr>
            <w:tcW w:w="432" w:type="pct"/>
            <w:tcBorders>
              <w:top w:val="single" w:sz="4" w:space="0" w:color="auto"/>
              <w:left w:val="nil"/>
              <w:bottom w:val="single" w:sz="4" w:space="0" w:color="auto"/>
              <w:right w:val="single" w:sz="4" w:space="0" w:color="auto"/>
            </w:tcBorders>
            <w:shd w:val="clear" w:color="auto" w:fill="auto"/>
            <w:vAlign w:val="center"/>
            <w:hideMark/>
          </w:tcPr>
          <w:p w14:paraId="5A494939"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4,8</w:t>
            </w:r>
          </w:p>
        </w:tc>
        <w:tc>
          <w:tcPr>
            <w:tcW w:w="433" w:type="pct"/>
            <w:tcBorders>
              <w:top w:val="single" w:sz="4" w:space="0" w:color="auto"/>
              <w:left w:val="nil"/>
              <w:bottom w:val="single" w:sz="4" w:space="0" w:color="auto"/>
              <w:right w:val="single" w:sz="8" w:space="0" w:color="auto"/>
            </w:tcBorders>
            <w:shd w:val="clear" w:color="auto" w:fill="auto"/>
            <w:vAlign w:val="center"/>
            <w:hideMark/>
          </w:tcPr>
          <w:p w14:paraId="488AEBB8"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5,3</w:t>
            </w:r>
          </w:p>
        </w:tc>
        <w:tc>
          <w:tcPr>
            <w:tcW w:w="432" w:type="pct"/>
            <w:tcBorders>
              <w:top w:val="nil"/>
              <w:left w:val="nil"/>
              <w:bottom w:val="single" w:sz="4" w:space="0" w:color="auto"/>
              <w:right w:val="single" w:sz="8" w:space="0" w:color="auto"/>
            </w:tcBorders>
            <w:shd w:val="clear" w:color="auto" w:fill="auto"/>
            <w:vAlign w:val="bottom"/>
            <w:hideMark/>
          </w:tcPr>
          <w:p w14:paraId="1481CDC9"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6,3</w:t>
            </w:r>
          </w:p>
        </w:tc>
      </w:tr>
      <w:tr w:rsidR="00596935" w:rsidRPr="00596935" w14:paraId="12EBC31E" w14:textId="77777777" w:rsidTr="00596935">
        <w:trPr>
          <w:trHeight w:val="460"/>
        </w:trPr>
        <w:tc>
          <w:tcPr>
            <w:tcW w:w="417" w:type="pct"/>
            <w:vMerge w:val="restart"/>
            <w:tcBorders>
              <w:top w:val="single" w:sz="8" w:space="0" w:color="000000"/>
              <w:left w:val="single" w:sz="8" w:space="0" w:color="auto"/>
              <w:bottom w:val="nil"/>
              <w:right w:val="nil"/>
            </w:tcBorders>
            <w:shd w:val="clear" w:color="auto" w:fill="auto"/>
            <w:vAlign w:val="center"/>
            <w:hideMark/>
          </w:tcPr>
          <w:p w14:paraId="35624137" w14:textId="77777777" w:rsidR="00596935" w:rsidRPr="00596935" w:rsidRDefault="00596935" w:rsidP="00596935">
            <w:pPr>
              <w:rPr>
                <w:rFonts w:cs="Arial"/>
                <w:sz w:val="20"/>
                <w:szCs w:val="20"/>
                <w:lang w:val="de-AT" w:eastAsia="de-AT"/>
              </w:rPr>
            </w:pPr>
            <w:r w:rsidRPr="00596935">
              <w:rPr>
                <w:rFonts w:cs="Arial"/>
                <w:sz w:val="20"/>
                <w:szCs w:val="20"/>
                <w:lang w:val="de-AT" w:eastAsia="de-AT"/>
              </w:rPr>
              <w:t>Böheim 2007</w:t>
            </w:r>
          </w:p>
        </w:tc>
        <w:tc>
          <w:tcPr>
            <w:tcW w:w="339" w:type="pct"/>
            <w:vMerge w:val="restart"/>
            <w:tcBorders>
              <w:top w:val="nil"/>
              <w:left w:val="single" w:sz="4" w:space="0" w:color="auto"/>
              <w:bottom w:val="single" w:sz="4" w:space="0" w:color="auto"/>
              <w:right w:val="single" w:sz="4" w:space="0" w:color="auto"/>
            </w:tcBorders>
            <w:shd w:val="clear" w:color="auto" w:fill="auto"/>
            <w:vAlign w:val="center"/>
            <w:hideMark/>
          </w:tcPr>
          <w:p w14:paraId="156CB3B3"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9</w:t>
            </w:r>
          </w:p>
        </w:tc>
        <w:tc>
          <w:tcPr>
            <w:tcW w:w="533" w:type="pct"/>
            <w:vMerge w:val="restart"/>
            <w:tcBorders>
              <w:top w:val="nil"/>
              <w:left w:val="single" w:sz="4" w:space="0" w:color="auto"/>
              <w:bottom w:val="single" w:sz="4" w:space="0" w:color="auto"/>
              <w:right w:val="single" w:sz="4" w:space="0" w:color="auto"/>
            </w:tcBorders>
            <w:shd w:val="clear" w:color="auto" w:fill="auto"/>
            <w:vAlign w:val="center"/>
            <w:hideMark/>
          </w:tcPr>
          <w:p w14:paraId="06368FE8" w14:textId="77777777" w:rsidR="00596935" w:rsidRPr="00596935" w:rsidRDefault="00596935" w:rsidP="00596935">
            <w:pPr>
              <w:rPr>
                <w:rFonts w:cs="Arial"/>
                <w:sz w:val="20"/>
                <w:szCs w:val="20"/>
                <w:lang w:val="de-AT" w:eastAsia="de-AT"/>
              </w:rPr>
            </w:pPr>
            <w:r w:rsidRPr="00596935">
              <w:rPr>
                <w:rFonts w:cs="Arial"/>
                <w:sz w:val="20"/>
                <w:szCs w:val="20"/>
                <w:lang w:val="de-AT" w:eastAsia="de-AT"/>
              </w:rPr>
              <w:t>Döring sentence test</w:t>
            </w:r>
          </w:p>
        </w:tc>
        <w:tc>
          <w:tcPr>
            <w:tcW w:w="353" w:type="pct"/>
            <w:tcBorders>
              <w:top w:val="nil"/>
              <w:left w:val="nil"/>
              <w:bottom w:val="single" w:sz="4" w:space="0" w:color="auto"/>
              <w:right w:val="single" w:sz="4" w:space="0" w:color="auto"/>
            </w:tcBorders>
            <w:shd w:val="clear" w:color="auto" w:fill="auto"/>
            <w:vAlign w:val="center"/>
            <w:hideMark/>
          </w:tcPr>
          <w:p w14:paraId="763B5B65"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80 dB</w:t>
            </w:r>
          </w:p>
        </w:tc>
        <w:tc>
          <w:tcPr>
            <w:tcW w:w="339" w:type="pct"/>
            <w:tcBorders>
              <w:top w:val="nil"/>
              <w:left w:val="nil"/>
              <w:bottom w:val="single" w:sz="4" w:space="0" w:color="auto"/>
              <w:right w:val="single" w:sz="4" w:space="0" w:color="auto"/>
            </w:tcBorders>
            <w:shd w:val="clear" w:color="auto" w:fill="auto"/>
            <w:vAlign w:val="center"/>
            <w:hideMark/>
          </w:tcPr>
          <w:p w14:paraId="5E2E20A9"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60 dB</w:t>
            </w:r>
          </w:p>
        </w:tc>
        <w:tc>
          <w:tcPr>
            <w:tcW w:w="317" w:type="pct"/>
            <w:tcBorders>
              <w:top w:val="nil"/>
              <w:left w:val="nil"/>
              <w:bottom w:val="single" w:sz="4" w:space="0" w:color="auto"/>
              <w:right w:val="single" w:sz="4" w:space="0" w:color="auto"/>
            </w:tcBorders>
            <w:shd w:val="clear" w:color="auto" w:fill="auto"/>
            <w:vAlign w:val="center"/>
            <w:hideMark/>
          </w:tcPr>
          <w:p w14:paraId="2AA7CDAF"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20</w:t>
            </w:r>
          </w:p>
        </w:tc>
        <w:tc>
          <w:tcPr>
            <w:tcW w:w="540" w:type="pct"/>
            <w:vMerge w:val="restart"/>
            <w:tcBorders>
              <w:top w:val="nil"/>
              <w:left w:val="single" w:sz="4" w:space="0" w:color="auto"/>
              <w:bottom w:val="single" w:sz="4" w:space="0" w:color="auto"/>
              <w:right w:val="nil"/>
            </w:tcBorders>
            <w:shd w:val="clear" w:color="auto" w:fill="auto"/>
            <w:vAlign w:val="center"/>
            <w:hideMark/>
          </w:tcPr>
          <w:p w14:paraId="028A87B2"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 word score</w:t>
            </w:r>
          </w:p>
        </w:tc>
        <w:tc>
          <w:tcPr>
            <w:tcW w:w="432" w:type="pct"/>
            <w:tcBorders>
              <w:top w:val="nil"/>
              <w:left w:val="single" w:sz="8" w:space="0" w:color="auto"/>
              <w:bottom w:val="single" w:sz="4" w:space="0" w:color="auto"/>
              <w:right w:val="single" w:sz="4" w:space="0" w:color="auto"/>
            </w:tcBorders>
            <w:shd w:val="clear" w:color="auto" w:fill="auto"/>
            <w:vAlign w:val="center"/>
            <w:hideMark/>
          </w:tcPr>
          <w:p w14:paraId="17847854"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63,3</w:t>
            </w:r>
          </w:p>
        </w:tc>
        <w:tc>
          <w:tcPr>
            <w:tcW w:w="433" w:type="pct"/>
            <w:tcBorders>
              <w:top w:val="nil"/>
              <w:left w:val="nil"/>
              <w:bottom w:val="single" w:sz="4" w:space="0" w:color="auto"/>
              <w:right w:val="single" w:sz="8" w:space="0" w:color="auto"/>
            </w:tcBorders>
            <w:shd w:val="clear" w:color="auto" w:fill="auto"/>
            <w:vAlign w:val="center"/>
            <w:hideMark/>
          </w:tcPr>
          <w:p w14:paraId="5008FEFE"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 xml:space="preserve"> -</w:t>
            </w:r>
          </w:p>
        </w:tc>
        <w:tc>
          <w:tcPr>
            <w:tcW w:w="432" w:type="pct"/>
            <w:tcBorders>
              <w:top w:val="nil"/>
              <w:left w:val="nil"/>
              <w:bottom w:val="single" w:sz="4" w:space="0" w:color="auto"/>
              <w:right w:val="single" w:sz="4" w:space="0" w:color="auto"/>
            </w:tcBorders>
            <w:shd w:val="clear" w:color="auto" w:fill="auto"/>
            <w:vAlign w:val="center"/>
            <w:hideMark/>
          </w:tcPr>
          <w:p w14:paraId="042B23E7"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35,6</w:t>
            </w:r>
          </w:p>
        </w:tc>
        <w:tc>
          <w:tcPr>
            <w:tcW w:w="433" w:type="pct"/>
            <w:tcBorders>
              <w:top w:val="nil"/>
              <w:left w:val="nil"/>
              <w:bottom w:val="single" w:sz="4" w:space="0" w:color="auto"/>
              <w:right w:val="single" w:sz="8" w:space="0" w:color="auto"/>
            </w:tcBorders>
            <w:shd w:val="clear" w:color="auto" w:fill="auto"/>
            <w:vAlign w:val="center"/>
            <w:hideMark/>
          </w:tcPr>
          <w:p w14:paraId="060D0F4A"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 xml:space="preserve"> -</w:t>
            </w:r>
          </w:p>
        </w:tc>
        <w:tc>
          <w:tcPr>
            <w:tcW w:w="432" w:type="pct"/>
            <w:tcBorders>
              <w:top w:val="nil"/>
              <w:left w:val="nil"/>
              <w:bottom w:val="single" w:sz="4" w:space="0" w:color="auto"/>
              <w:right w:val="single" w:sz="8" w:space="0" w:color="auto"/>
            </w:tcBorders>
            <w:shd w:val="clear" w:color="auto" w:fill="auto"/>
            <w:vAlign w:val="bottom"/>
            <w:hideMark/>
          </w:tcPr>
          <w:p w14:paraId="3E105077"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27,7</w:t>
            </w:r>
          </w:p>
        </w:tc>
      </w:tr>
      <w:tr w:rsidR="00596935" w:rsidRPr="00596935" w14:paraId="38A8F1B7" w14:textId="77777777" w:rsidTr="00596935">
        <w:trPr>
          <w:trHeight w:val="460"/>
        </w:trPr>
        <w:tc>
          <w:tcPr>
            <w:tcW w:w="417" w:type="pct"/>
            <w:vMerge/>
            <w:tcBorders>
              <w:top w:val="single" w:sz="8" w:space="0" w:color="000000"/>
              <w:left w:val="single" w:sz="8" w:space="0" w:color="auto"/>
              <w:bottom w:val="nil"/>
              <w:right w:val="nil"/>
            </w:tcBorders>
            <w:vAlign w:val="center"/>
            <w:hideMark/>
          </w:tcPr>
          <w:p w14:paraId="79A92039" w14:textId="77777777" w:rsidR="00596935" w:rsidRPr="00596935" w:rsidRDefault="00596935" w:rsidP="00596935">
            <w:pPr>
              <w:rPr>
                <w:rFonts w:cs="Arial"/>
                <w:sz w:val="20"/>
                <w:szCs w:val="20"/>
                <w:lang w:val="de-AT" w:eastAsia="de-AT"/>
              </w:rPr>
            </w:pPr>
          </w:p>
        </w:tc>
        <w:tc>
          <w:tcPr>
            <w:tcW w:w="339" w:type="pct"/>
            <w:vMerge/>
            <w:tcBorders>
              <w:top w:val="nil"/>
              <w:left w:val="single" w:sz="4" w:space="0" w:color="auto"/>
              <w:bottom w:val="single" w:sz="4" w:space="0" w:color="auto"/>
              <w:right w:val="single" w:sz="4" w:space="0" w:color="auto"/>
            </w:tcBorders>
            <w:vAlign w:val="center"/>
            <w:hideMark/>
          </w:tcPr>
          <w:p w14:paraId="6846321A" w14:textId="77777777" w:rsidR="00596935" w:rsidRPr="00596935" w:rsidRDefault="00596935" w:rsidP="00596935">
            <w:pPr>
              <w:rPr>
                <w:rFonts w:cs="Arial"/>
                <w:sz w:val="20"/>
                <w:szCs w:val="20"/>
                <w:lang w:val="de-AT" w:eastAsia="de-AT"/>
              </w:rPr>
            </w:pPr>
          </w:p>
        </w:tc>
        <w:tc>
          <w:tcPr>
            <w:tcW w:w="533" w:type="pct"/>
            <w:vMerge/>
            <w:tcBorders>
              <w:top w:val="nil"/>
              <w:left w:val="single" w:sz="4" w:space="0" w:color="auto"/>
              <w:bottom w:val="single" w:sz="4" w:space="0" w:color="auto"/>
              <w:right w:val="single" w:sz="4" w:space="0" w:color="auto"/>
            </w:tcBorders>
            <w:vAlign w:val="center"/>
            <w:hideMark/>
          </w:tcPr>
          <w:p w14:paraId="67FCF1F9" w14:textId="77777777" w:rsidR="00596935" w:rsidRPr="00596935" w:rsidRDefault="00596935" w:rsidP="00596935">
            <w:pPr>
              <w:rPr>
                <w:rFonts w:cs="Arial"/>
                <w:sz w:val="20"/>
                <w:szCs w:val="20"/>
                <w:lang w:val="de-AT" w:eastAsia="de-AT"/>
              </w:rPr>
            </w:pPr>
          </w:p>
        </w:tc>
        <w:tc>
          <w:tcPr>
            <w:tcW w:w="353" w:type="pct"/>
            <w:tcBorders>
              <w:top w:val="nil"/>
              <w:left w:val="nil"/>
              <w:bottom w:val="single" w:sz="4" w:space="0" w:color="auto"/>
              <w:right w:val="single" w:sz="4" w:space="0" w:color="auto"/>
            </w:tcBorders>
            <w:shd w:val="clear" w:color="auto" w:fill="auto"/>
            <w:vAlign w:val="center"/>
            <w:hideMark/>
          </w:tcPr>
          <w:p w14:paraId="6DDBD830"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65 dB</w:t>
            </w:r>
          </w:p>
        </w:tc>
        <w:tc>
          <w:tcPr>
            <w:tcW w:w="339" w:type="pct"/>
            <w:tcBorders>
              <w:top w:val="nil"/>
              <w:left w:val="nil"/>
              <w:bottom w:val="single" w:sz="4" w:space="0" w:color="auto"/>
              <w:right w:val="single" w:sz="4" w:space="0" w:color="auto"/>
            </w:tcBorders>
            <w:shd w:val="clear" w:color="auto" w:fill="auto"/>
            <w:vAlign w:val="center"/>
            <w:hideMark/>
          </w:tcPr>
          <w:p w14:paraId="26019782"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60 dB</w:t>
            </w:r>
          </w:p>
        </w:tc>
        <w:tc>
          <w:tcPr>
            <w:tcW w:w="317" w:type="pct"/>
            <w:tcBorders>
              <w:top w:val="nil"/>
              <w:left w:val="nil"/>
              <w:bottom w:val="single" w:sz="4" w:space="0" w:color="auto"/>
              <w:right w:val="single" w:sz="4" w:space="0" w:color="auto"/>
            </w:tcBorders>
            <w:shd w:val="clear" w:color="auto" w:fill="auto"/>
            <w:vAlign w:val="center"/>
            <w:hideMark/>
          </w:tcPr>
          <w:p w14:paraId="261E29A0"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5</w:t>
            </w:r>
          </w:p>
        </w:tc>
        <w:tc>
          <w:tcPr>
            <w:tcW w:w="540" w:type="pct"/>
            <w:vMerge/>
            <w:tcBorders>
              <w:top w:val="nil"/>
              <w:left w:val="single" w:sz="4" w:space="0" w:color="auto"/>
              <w:bottom w:val="single" w:sz="4" w:space="0" w:color="auto"/>
              <w:right w:val="nil"/>
            </w:tcBorders>
            <w:vAlign w:val="center"/>
            <w:hideMark/>
          </w:tcPr>
          <w:p w14:paraId="6E2F98F8" w14:textId="77777777" w:rsidR="00596935" w:rsidRPr="00596935" w:rsidRDefault="00596935" w:rsidP="00596935">
            <w:pPr>
              <w:rPr>
                <w:rFonts w:cs="Arial"/>
                <w:sz w:val="20"/>
                <w:szCs w:val="20"/>
                <w:lang w:val="de-AT" w:eastAsia="de-AT"/>
              </w:rPr>
            </w:pPr>
          </w:p>
        </w:tc>
        <w:tc>
          <w:tcPr>
            <w:tcW w:w="432" w:type="pct"/>
            <w:tcBorders>
              <w:top w:val="nil"/>
              <w:left w:val="single" w:sz="8" w:space="0" w:color="auto"/>
              <w:bottom w:val="single" w:sz="4" w:space="0" w:color="auto"/>
              <w:right w:val="single" w:sz="4" w:space="0" w:color="auto"/>
            </w:tcBorders>
            <w:shd w:val="clear" w:color="auto" w:fill="auto"/>
            <w:vAlign w:val="center"/>
            <w:hideMark/>
          </w:tcPr>
          <w:p w14:paraId="330C44A0"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27,8</w:t>
            </w:r>
          </w:p>
        </w:tc>
        <w:tc>
          <w:tcPr>
            <w:tcW w:w="433" w:type="pct"/>
            <w:tcBorders>
              <w:top w:val="nil"/>
              <w:left w:val="nil"/>
              <w:bottom w:val="single" w:sz="4" w:space="0" w:color="auto"/>
              <w:right w:val="single" w:sz="8" w:space="0" w:color="auto"/>
            </w:tcBorders>
            <w:shd w:val="clear" w:color="auto" w:fill="auto"/>
            <w:vAlign w:val="center"/>
            <w:hideMark/>
          </w:tcPr>
          <w:p w14:paraId="78B18291"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 xml:space="preserve"> -</w:t>
            </w:r>
          </w:p>
        </w:tc>
        <w:tc>
          <w:tcPr>
            <w:tcW w:w="432" w:type="pct"/>
            <w:tcBorders>
              <w:top w:val="nil"/>
              <w:left w:val="nil"/>
              <w:bottom w:val="single" w:sz="4" w:space="0" w:color="auto"/>
              <w:right w:val="single" w:sz="4" w:space="0" w:color="auto"/>
            </w:tcBorders>
            <w:shd w:val="clear" w:color="auto" w:fill="auto"/>
            <w:vAlign w:val="center"/>
            <w:hideMark/>
          </w:tcPr>
          <w:p w14:paraId="4CEAE9B7"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9,4</w:t>
            </w:r>
          </w:p>
        </w:tc>
        <w:tc>
          <w:tcPr>
            <w:tcW w:w="433" w:type="pct"/>
            <w:tcBorders>
              <w:top w:val="nil"/>
              <w:left w:val="nil"/>
              <w:bottom w:val="single" w:sz="4" w:space="0" w:color="auto"/>
              <w:right w:val="single" w:sz="8" w:space="0" w:color="auto"/>
            </w:tcBorders>
            <w:shd w:val="clear" w:color="auto" w:fill="auto"/>
            <w:vAlign w:val="center"/>
            <w:hideMark/>
          </w:tcPr>
          <w:p w14:paraId="6B14E0D4"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 xml:space="preserve"> -</w:t>
            </w:r>
          </w:p>
        </w:tc>
        <w:tc>
          <w:tcPr>
            <w:tcW w:w="432" w:type="pct"/>
            <w:tcBorders>
              <w:top w:val="nil"/>
              <w:left w:val="nil"/>
              <w:bottom w:val="single" w:sz="4" w:space="0" w:color="auto"/>
              <w:right w:val="single" w:sz="8" w:space="0" w:color="auto"/>
            </w:tcBorders>
            <w:shd w:val="clear" w:color="auto" w:fill="auto"/>
            <w:vAlign w:val="bottom"/>
            <w:hideMark/>
          </w:tcPr>
          <w:p w14:paraId="1B020C92"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18,4</w:t>
            </w:r>
          </w:p>
        </w:tc>
      </w:tr>
      <w:tr w:rsidR="00596935" w:rsidRPr="00596935" w14:paraId="6F6A75BB" w14:textId="77777777" w:rsidTr="00596935">
        <w:trPr>
          <w:trHeight w:val="460"/>
        </w:trPr>
        <w:tc>
          <w:tcPr>
            <w:tcW w:w="417" w:type="pct"/>
            <w:vMerge w:val="restart"/>
            <w:tcBorders>
              <w:top w:val="single" w:sz="8" w:space="0" w:color="000000"/>
              <w:left w:val="single" w:sz="8" w:space="0" w:color="auto"/>
              <w:bottom w:val="single" w:sz="8" w:space="0" w:color="000000"/>
              <w:right w:val="nil"/>
            </w:tcBorders>
            <w:shd w:val="clear" w:color="auto" w:fill="auto"/>
            <w:vAlign w:val="center"/>
            <w:hideMark/>
          </w:tcPr>
          <w:p w14:paraId="50853B91" w14:textId="77777777" w:rsidR="003733D2" w:rsidRDefault="00596935" w:rsidP="003733D2">
            <w:pPr>
              <w:rPr>
                <w:rFonts w:cs="Arial"/>
                <w:sz w:val="20"/>
                <w:szCs w:val="20"/>
                <w:lang w:val="de-AT" w:eastAsia="de-AT"/>
              </w:rPr>
            </w:pPr>
            <w:r w:rsidRPr="00596935">
              <w:rPr>
                <w:rFonts w:cs="Arial"/>
                <w:sz w:val="20"/>
                <w:szCs w:val="20"/>
                <w:lang w:val="de-AT" w:eastAsia="de-AT"/>
              </w:rPr>
              <w:t>Garin</w:t>
            </w:r>
          </w:p>
          <w:p w14:paraId="444DC78E" w14:textId="224B0ADC" w:rsidR="00596935" w:rsidRPr="00596935" w:rsidRDefault="00596935" w:rsidP="003733D2">
            <w:pPr>
              <w:rPr>
                <w:rFonts w:cs="Arial"/>
                <w:sz w:val="20"/>
                <w:szCs w:val="20"/>
                <w:lang w:val="de-AT" w:eastAsia="de-AT"/>
              </w:rPr>
            </w:pPr>
            <w:r w:rsidRPr="00596935">
              <w:rPr>
                <w:rFonts w:cs="Arial"/>
                <w:sz w:val="20"/>
                <w:szCs w:val="20"/>
                <w:lang w:val="de-AT" w:eastAsia="de-AT"/>
              </w:rPr>
              <w:t>2005</w:t>
            </w:r>
          </w:p>
        </w:tc>
        <w:tc>
          <w:tcPr>
            <w:tcW w:w="339" w:type="pct"/>
            <w:vMerge w:val="restart"/>
            <w:tcBorders>
              <w:top w:val="nil"/>
              <w:left w:val="single" w:sz="4" w:space="0" w:color="auto"/>
              <w:bottom w:val="single" w:sz="4" w:space="0" w:color="auto"/>
              <w:right w:val="single" w:sz="4" w:space="0" w:color="auto"/>
            </w:tcBorders>
            <w:shd w:val="clear" w:color="auto" w:fill="auto"/>
            <w:vAlign w:val="center"/>
            <w:hideMark/>
          </w:tcPr>
          <w:p w14:paraId="76ED76C3"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9</w:t>
            </w:r>
          </w:p>
        </w:tc>
        <w:tc>
          <w:tcPr>
            <w:tcW w:w="533" w:type="pct"/>
            <w:vMerge w:val="restart"/>
            <w:tcBorders>
              <w:top w:val="nil"/>
              <w:left w:val="single" w:sz="4" w:space="0" w:color="auto"/>
              <w:bottom w:val="single" w:sz="4" w:space="0" w:color="auto"/>
              <w:right w:val="single" w:sz="4" w:space="0" w:color="auto"/>
            </w:tcBorders>
            <w:shd w:val="clear" w:color="auto" w:fill="auto"/>
            <w:vAlign w:val="center"/>
            <w:hideMark/>
          </w:tcPr>
          <w:p w14:paraId="0EF2116D" w14:textId="77777777" w:rsidR="00596935" w:rsidRPr="00596935" w:rsidRDefault="00596935" w:rsidP="00596935">
            <w:pPr>
              <w:rPr>
                <w:rFonts w:cs="Arial"/>
                <w:sz w:val="20"/>
                <w:szCs w:val="20"/>
                <w:lang w:val="de-AT" w:eastAsia="de-AT"/>
              </w:rPr>
            </w:pPr>
            <w:r w:rsidRPr="00596935">
              <w:rPr>
                <w:rFonts w:cs="Arial"/>
                <w:sz w:val="20"/>
                <w:szCs w:val="20"/>
                <w:lang w:val="de-AT" w:eastAsia="de-AT"/>
              </w:rPr>
              <w:t>Fournier french words</w:t>
            </w:r>
          </w:p>
        </w:tc>
        <w:tc>
          <w:tcPr>
            <w:tcW w:w="353" w:type="pct"/>
            <w:tcBorders>
              <w:top w:val="nil"/>
              <w:left w:val="nil"/>
              <w:bottom w:val="single" w:sz="4" w:space="0" w:color="auto"/>
              <w:right w:val="single" w:sz="4" w:space="0" w:color="auto"/>
            </w:tcBorders>
            <w:shd w:val="clear" w:color="auto" w:fill="auto"/>
            <w:vAlign w:val="center"/>
            <w:hideMark/>
          </w:tcPr>
          <w:p w14:paraId="77933C5D"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50 dB</w:t>
            </w:r>
          </w:p>
        </w:tc>
        <w:tc>
          <w:tcPr>
            <w:tcW w:w="339" w:type="pct"/>
            <w:tcBorders>
              <w:top w:val="nil"/>
              <w:left w:val="nil"/>
              <w:bottom w:val="single" w:sz="4" w:space="0" w:color="auto"/>
              <w:right w:val="single" w:sz="4" w:space="0" w:color="auto"/>
            </w:tcBorders>
            <w:shd w:val="clear" w:color="auto" w:fill="auto"/>
            <w:vAlign w:val="center"/>
            <w:hideMark/>
          </w:tcPr>
          <w:p w14:paraId="667FBDB5"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55 dB</w:t>
            </w:r>
          </w:p>
        </w:tc>
        <w:tc>
          <w:tcPr>
            <w:tcW w:w="317" w:type="pct"/>
            <w:tcBorders>
              <w:top w:val="nil"/>
              <w:left w:val="nil"/>
              <w:bottom w:val="single" w:sz="4" w:space="0" w:color="auto"/>
              <w:right w:val="single" w:sz="4" w:space="0" w:color="auto"/>
            </w:tcBorders>
            <w:shd w:val="clear" w:color="auto" w:fill="auto"/>
            <w:vAlign w:val="center"/>
            <w:hideMark/>
          </w:tcPr>
          <w:p w14:paraId="4D9DC7C2"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5</w:t>
            </w:r>
          </w:p>
        </w:tc>
        <w:tc>
          <w:tcPr>
            <w:tcW w:w="540" w:type="pct"/>
            <w:vMerge w:val="restart"/>
            <w:tcBorders>
              <w:top w:val="nil"/>
              <w:left w:val="single" w:sz="4" w:space="0" w:color="auto"/>
              <w:bottom w:val="single" w:sz="4" w:space="0" w:color="auto"/>
              <w:right w:val="nil"/>
            </w:tcBorders>
            <w:shd w:val="clear" w:color="auto" w:fill="auto"/>
            <w:vAlign w:val="center"/>
            <w:hideMark/>
          </w:tcPr>
          <w:p w14:paraId="390532BF"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 word score</w:t>
            </w:r>
          </w:p>
        </w:tc>
        <w:tc>
          <w:tcPr>
            <w:tcW w:w="432" w:type="pct"/>
            <w:tcBorders>
              <w:top w:val="nil"/>
              <w:left w:val="single" w:sz="8" w:space="0" w:color="auto"/>
              <w:bottom w:val="single" w:sz="4" w:space="0" w:color="auto"/>
              <w:right w:val="single" w:sz="4" w:space="0" w:color="auto"/>
            </w:tcBorders>
            <w:shd w:val="clear" w:color="auto" w:fill="auto"/>
            <w:vAlign w:val="center"/>
            <w:hideMark/>
          </w:tcPr>
          <w:p w14:paraId="177897FD"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86</w:t>
            </w:r>
          </w:p>
        </w:tc>
        <w:tc>
          <w:tcPr>
            <w:tcW w:w="433" w:type="pct"/>
            <w:tcBorders>
              <w:top w:val="nil"/>
              <w:left w:val="nil"/>
              <w:bottom w:val="single" w:sz="4" w:space="0" w:color="auto"/>
              <w:right w:val="single" w:sz="8" w:space="0" w:color="auto"/>
            </w:tcBorders>
            <w:shd w:val="clear" w:color="auto" w:fill="auto"/>
            <w:vAlign w:val="center"/>
            <w:hideMark/>
          </w:tcPr>
          <w:p w14:paraId="086B8D25"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18</w:t>
            </w:r>
          </w:p>
        </w:tc>
        <w:tc>
          <w:tcPr>
            <w:tcW w:w="432" w:type="pct"/>
            <w:tcBorders>
              <w:top w:val="nil"/>
              <w:left w:val="nil"/>
              <w:bottom w:val="single" w:sz="4" w:space="0" w:color="auto"/>
              <w:right w:val="single" w:sz="4" w:space="0" w:color="auto"/>
            </w:tcBorders>
            <w:shd w:val="clear" w:color="auto" w:fill="auto"/>
            <w:vAlign w:val="center"/>
            <w:hideMark/>
          </w:tcPr>
          <w:p w14:paraId="21127BD1"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62</w:t>
            </w:r>
          </w:p>
        </w:tc>
        <w:tc>
          <w:tcPr>
            <w:tcW w:w="433" w:type="pct"/>
            <w:tcBorders>
              <w:top w:val="nil"/>
              <w:left w:val="nil"/>
              <w:bottom w:val="single" w:sz="4" w:space="0" w:color="auto"/>
              <w:right w:val="single" w:sz="8" w:space="0" w:color="auto"/>
            </w:tcBorders>
            <w:shd w:val="clear" w:color="auto" w:fill="auto"/>
            <w:vAlign w:val="center"/>
            <w:hideMark/>
          </w:tcPr>
          <w:p w14:paraId="5D24BD51"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28</w:t>
            </w:r>
          </w:p>
        </w:tc>
        <w:tc>
          <w:tcPr>
            <w:tcW w:w="432" w:type="pct"/>
            <w:tcBorders>
              <w:top w:val="nil"/>
              <w:left w:val="nil"/>
              <w:bottom w:val="single" w:sz="4" w:space="0" w:color="auto"/>
              <w:right w:val="single" w:sz="8" w:space="0" w:color="auto"/>
            </w:tcBorders>
            <w:shd w:val="clear" w:color="auto" w:fill="auto"/>
            <w:vAlign w:val="bottom"/>
            <w:hideMark/>
          </w:tcPr>
          <w:p w14:paraId="657FB5B3"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24</w:t>
            </w:r>
          </w:p>
        </w:tc>
      </w:tr>
      <w:tr w:rsidR="00596935" w:rsidRPr="00596935" w14:paraId="4C9D3144" w14:textId="77777777" w:rsidTr="00596935">
        <w:trPr>
          <w:trHeight w:val="460"/>
        </w:trPr>
        <w:tc>
          <w:tcPr>
            <w:tcW w:w="417" w:type="pct"/>
            <w:vMerge/>
            <w:tcBorders>
              <w:top w:val="single" w:sz="8" w:space="0" w:color="000000"/>
              <w:left w:val="single" w:sz="8" w:space="0" w:color="auto"/>
              <w:bottom w:val="single" w:sz="8" w:space="0" w:color="000000"/>
              <w:right w:val="nil"/>
            </w:tcBorders>
            <w:vAlign w:val="center"/>
            <w:hideMark/>
          </w:tcPr>
          <w:p w14:paraId="623381BD" w14:textId="77777777" w:rsidR="00596935" w:rsidRPr="00596935" w:rsidRDefault="00596935" w:rsidP="00596935">
            <w:pPr>
              <w:rPr>
                <w:rFonts w:cs="Arial"/>
                <w:sz w:val="20"/>
                <w:szCs w:val="20"/>
                <w:lang w:val="de-AT" w:eastAsia="de-AT"/>
              </w:rPr>
            </w:pPr>
          </w:p>
        </w:tc>
        <w:tc>
          <w:tcPr>
            <w:tcW w:w="339" w:type="pct"/>
            <w:vMerge/>
            <w:tcBorders>
              <w:top w:val="nil"/>
              <w:left w:val="single" w:sz="4" w:space="0" w:color="auto"/>
              <w:bottom w:val="single" w:sz="4" w:space="0" w:color="auto"/>
              <w:right w:val="single" w:sz="4" w:space="0" w:color="auto"/>
            </w:tcBorders>
            <w:vAlign w:val="center"/>
            <w:hideMark/>
          </w:tcPr>
          <w:p w14:paraId="6D0524C5" w14:textId="77777777" w:rsidR="00596935" w:rsidRPr="00596935" w:rsidRDefault="00596935" w:rsidP="00596935">
            <w:pPr>
              <w:rPr>
                <w:rFonts w:cs="Arial"/>
                <w:sz w:val="20"/>
                <w:szCs w:val="20"/>
                <w:lang w:val="de-AT" w:eastAsia="de-AT"/>
              </w:rPr>
            </w:pPr>
          </w:p>
        </w:tc>
        <w:tc>
          <w:tcPr>
            <w:tcW w:w="533" w:type="pct"/>
            <w:vMerge/>
            <w:tcBorders>
              <w:top w:val="nil"/>
              <w:left w:val="single" w:sz="4" w:space="0" w:color="auto"/>
              <w:bottom w:val="single" w:sz="4" w:space="0" w:color="auto"/>
              <w:right w:val="single" w:sz="4" w:space="0" w:color="auto"/>
            </w:tcBorders>
            <w:vAlign w:val="center"/>
            <w:hideMark/>
          </w:tcPr>
          <w:p w14:paraId="79609618" w14:textId="77777777" w:rsidR="00596935" w:rsidRPr="00596935" w:rsidRDefault="00596935" w:rsidP="00596935">
            <w:pPr>
              <w:rPr>
                <w:rFonts w:cs="Arial"/>
                <w:sz w:val="20"/>
                <w:szCs w:val="20"/>
                <w:lang w:val="de-AT" w:eastAsia="de-AT"/>
              </w:rPr>
            </w:pPr>
          </w:p>
        </w:tc>
        <w:tc>
          <w:tcPr>
            <w:tcW w:w="353" w:type="pct"/>
            <w:tcBorders>
              <w:top w:val="nil"/>
              <w:left w:val="nil"/>
              <w:bottom w:val="single" w:sz="4" w:space="0" w:color="auto"/>
              <w:right w:val="single" w:sz="4" w:space="0" w:color="auto"/>
            </w:tcBorders>
            <w:shd w:val="clear" w:color="auto" w:fill="auto"/>
            <w:vAlign w:val="center"/>
            <w:hideMark/>
          </w:tcPr>
          <w:p w14:paraId="096B12BB"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55 dB</w:t>
            </w:r>
          </w:p>
        </w:tc>
        <w:tc>
          <w:tcPr>
            <w:tcW w:w="339" w:type="pct"/>
            <w:tcBorders>
              <w:top w:val="nil"/>
              <w:left w:val="nil"/>
              <w:bottom w:val="single" w:sz="4" w:space="0" w:color="auto"/>
              <w:right w:val="single" w:sz="4" w:space="0" w:color="auto"/>
            </w:tcBorders>
            <w:shd w:val="clear" w:color="auto" w:fill="auto"/>
            <w:vAlign w:val="center"/>
            <w:hideMark/>
          </w:tcPr>
          <w:p w14:paraId="6BBA34B9"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55 dB</w:t>
            </w:r>
          </w:p>
        </w:tc>
        <w:tc>
          <w:tcPr>
            <w:tcW w:w="317" w:type="pct"/>
            <w:tcBorders>
              <w:top w:val="nil"/>
              <w:left w:val="nil"/>
              <w:bottom w:val="single" w:sz="4" w:space="0" w:color="auto"/>
              <w:right w:val="single" w:sz="4" w:space="0" w:color="auto"/>
            </w:tcBorders>
            <w:shd w:val="clear" w:color="auto" w:fill="auto"/>
            <w:vAlign w:val="center"/>
            <w:hideMark/>
          </w:tcPr>
          <w:p w14:paraId="61857E2A"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0</w:t>
            </w:r>
          </w:p>
        </w:tc>
        <w:tc>
          <w:tcPr>
            <w:tcW w:w="540" w:type="pct"/>
            <w:vMerge/>
            <w:tcBorders>
              <w:top w:val="nil"/>
              <w:left w:val="single" w:sz="4" w:space="0" w:color="auto"/>
              <w:bottom w:val="single" w:sz="4" w:space="0" w:color="auto"/>
              <w:right w:val="nil"/>
            </w:tcBorders>
            <w:vAlign w:val="center"/>
            <w:hideMark/>
          </w:tcPr>
          <w:p w14:paraId="5945ECE5" w14:textId="77777777" w:rsidR="00596935" w:rsidRPr="00596935" w:rsidRDefault="00596935" w:rsidP="00596935">
            <w:pPr>
              <w:rPr>
                <w:rFonts w:cs="Arial"/>
                <w:sz w:val="20"/>
                <w:szCs w:val="20"/>
                <w:lang w:val="de-AT" w:eastAsia="de-AT"/>
              </w:rPr>
            </w:pPr>
          </w:p>
        </w:tc>
        <w:tc>
          <w:tcPr>
            <w:tcW w:w="432" w:type="pct"/>
            <w:tcBorders>
              <w:top w:val="nil"/>
              <w:left w:val="single" w:sz="8" w:space="0" w:color="auto"/>
              <w:bottom w:val="single" w:sz="4" w:space="0" w:color="auto"/>
              <w:right w:val="single" w:sz="4" w:space="0" w:color="auto"/>
            </w:tcBorders>
            <w:shd w:val="clear" w:color="auto" w:fill="auto"/>
            <w:vAlign w:val="center"/>
            <w:hideMark/>
          </w:tcPr>
          <w:p w14:paraId="6A9DECA6"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69</w:t>
            </w:r>
          </w:p>
        </w:tc>
        <w:tc>
          <w:tcPr>
            <w:tcW w:w="433" w:type="pct"/>
            <w:tcBorders>
              <w:top w:val="nil"/>
              <w:left w:val="nil"/>
              <w:bottom w:val="single" w:sz="4" w:space="0" w:color="auto"/>
              <w:right w:val="single" w:sz="8" w:space="0" w:color="auto"/>
            </w:tcBorders>
            <w:shd w:val="clear" w:color="auto" w:fill="auto"/>
            <w:vAlign w:val="center"/>
            <w:hideMark/>
          </w:tcPr>
          <w:p w14:paraId="478C85E1"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27</w:t>
            </w:r>
          </w:p>
        </w:tc>
        <w:tc>
          <w:tcPr>
            <w:tcW w:w="432" w:type="pct"/>
            <w:tcBorders>
              <w:top w:val="nil"/>
              <w:left w:val="nil"/>
              <w:bottom w:val="single" w:sz="4" w:space="0" w:color="auto"/>
              <w:right w:val="single" w:sz="4" w:space="0" w:color="auto"/>
            </w:tcBorders>
            <w:shd w:val="clear" w:color="auto" w:fill="auto"/>
            <w:vAlign w:val="center"/>
            <w:hideMark/>
          </w:tcPr>
          <w:p w14:paraId="74F8DFF4"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37</w:t>
            </w:r>
          </w:p>
        </w:tc>
        <w:tc>
          <w:tcPr>
            <w:tcW w:w="433" w:type="pct"/>
            <w:tcBorders>
              <w:top w:val="nil"/>
              <w:left w:val="nil"/>
              <w:bottom w:val="single" w:sz="4" w:space="0" w:color="auto"/>
              <w:right w:val="single" w:sz="8" w:space="0" w:color="auto"/>
            </w:tcBorders>
            <w:shd w:val="clear" w:color="auto" w:fill="auto"/>
            <w:vAlign w:val="center"/>
            <w:hideMark/>
          </w:tcPr>
          <w:p w14:paraId="0AB47DF8"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26</w:t>
            </w:r>
          </w:p>
        </w:tc>
        <w:tc>
          <w:tcPr>
            <w:tcW w:w="432" w:type="pct"/>
            <w:tcBorders>
              <w:top w:val="nil"/>
              <w:left w:val="nil"/>
              <w:bottom w:val="single" w:sz="4" w:space="0" w:color="auto"/>
              <w:right w:val="single" w:sz="8" w:space="0" w:color="auto"/>
            </w:tcBorders>
            <w:shd w:val="clear" w:color="auto" w:fill="auto"/>
            <w:vAlign w:val="bottom"/>
            <w:hideMark/>
          </w:tcPr>
          <w:p w14:paraId="49513CFA"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32</w:t>
            </w:r>
          </w:p>
        </w:tc>
      </w:tr>
      <w:tr w:rsidR="00596935" w:rsidRPr="00596935" w14:paraId="078187BC" w14:textId="77777777" w:rsidTr="00596935">
        <w:trPr>
          <w:trHeight w:val="460"/>
        </w:trPr>
        <w:tc>
          <w:tcPr>
            <w:tcW w:w="417" w:type="pct"/>
            <w:vMerge/>
            <w:tcBorders>
              <w:top w:val="single" w:sz="8" w:space="0" w:color="000000"/>
              <w:left w:val="single" w:sz="8" w:space="0" w:color="auto"/>
              <w:bottom w:val="single" w:sz="8" w:space="0" w:color="000000"/>
              <w:right w:val="nil"/>
            </w:tcBorders>
            <w:vAlign w:val="center"/>
            <w:hideMark/>
          </w:tcPr>
          <w:p w14:paraId="4577CD80" w14:textId="77777777" w:rsidR="00596935" w:rsidRPr="00596935" w:rsidRDefault="00596935" w:rsidP="00596935">
            <w:pPr>
              <w:rPr>
                <w:rFonts w:cs="Arial"/>
                <w:sz w:val="20"/>
                <w:szCs w:val="20"/>
                <w:lang w:val="de-AT" w:eastAsia="de-AT"/>
              </w:rPr>
            </w:pPr>
          </w:p>
        </w:tc>
        <w:tc>
          <w:tcPr>
            <w:tcW w:w="339" w:type="pct"/>
            <w:vMerge/>
            <w:tcBorders>
              <w:top w:val="nil"/>
              <w:left w:val="single" w:sz="4" w:space="0" w:color="auto"/>
              <w:bottom w:val="single" w:sz="4" w:space="0" w:color="auto"/>
              <w:right w:val="single" w:sz="4" w:space="0" w:color="auto"/>
            </w:tcBorders>
            <w:vAlign w:val="center"/>
            <w:hideMark/>
          </w:tcPr>
          <w:p w14:paraId="20139280" w14:textId="77777777" w:rsidR="00596935" w:rsidRPr="00596935" w:rsidRDefault="00596935" w:rsidP="00596935">
            <w:pPr>
              <w:rPr>
                <w:rFonts w:cs="Arial"/>
                <w:sz w:val="20"/>
                <w:szCs w:val="20"/>
                <w:lang w:val="de-AT" w:eastAsia="de-AT"/>
              </w:rPr>
            </w:pPr>
          </w:p>
        </w:tc>
        <w:tc>
          <w:tcPr>
            <w:tcW w:w="533" w:type="pct"/>
            <w:vMerge/>
            <w:tcBorders>
              <w:top w:val="nil"/>
              <w:left w:val="single" w:sz="4" w:space="0" w:color="auto"/>
              <w:bottom w:val="single" w:sz="4" w:space="0" w:color="auto"/>
              <w:right w:val="single" w:sz="4" w:space="0" w:color="auto"/>
            </w:tcBorders>
            <w:vAlign w:val="center"/>
            <w:hideMark/>
          </w:tcPr>
          <w:p w14:paraId="29E7FAAA" w14:textId="77777777" w:rsidR="00596935" w:rsidRPr="00596935" w:rsidRDefault="00596935" w:rsidP="00596935">
            <w:pPr>
              <w:rPr>
                <w:rFonts w:cs="Arial"/>
                <w:sz w:val="20"/>
                <w:szCs w:val="20"/>
                <w:lang w:val="de-AT" w:eastAsia="de-AT"/>
              </w:rPr>
            </w:pPr>
          </w:p>
        </w:tc>
        <w:tc>
          <w:tcPr>
            <w:tcW w:w="353" w:type="pct"/>
            <w:tcBorders>
              <w:top w:val="nil"/>
              <w:left w:val="nil"/>
              <w:bottom w:val="single" w:sz="4" w:space="0" w:color="auto"/>
              <w:right w:val="single" w:sz="4" w:space="0" w:color="auto"/>
            </w:tcBorders>
            <w:shd w:val="clear" w:color="auto" w:fill="auto"/>
            <w:vAlign w:val="center"/>
            <w:hideMark/>
          </w:tcPr>
          <w:p w14:paraId="43880E25"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60 dB</w:t>
            </w:r>
          </w:p>
        </w:tc>
        <w:tc>
          <w:tcPr>
            <w:tcW w:w="339" w:type="pct"/>
            <w:tcBorders>
              <w:top w:val="nil"/>
              <w:left w:val="nil"/>
              <w:bottom w:val="single" w:sz="4" w:space="0" w:color="auto"/>
              <w:right w:val="single" w:sz="4" w:space="0" w:color="auto"/>
            </w:tcBorders>
            <w:shd w:val="clear" w:color="auto" w:fill="auto"/>
            <w:vAlign w:val="center"/>
            <w:hideMark/>
          </w:tcPr>
          <w:p w14:paraId="559378BB"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55 dB</w:t>
            </w:r>
          </w:p>
        </w:tc>
        <w:tc>
          <w:tcPr>
            <w:tcW w:w="317" w:type="pct"/>
            <w:tcBorders>
              <w:top w:val="nil"/>
              <w:left w:val="nil"/>
              <w:bottom w:val="single" w:sz="4" w:space="0" w:color="auto"/>
              <w:right w:val="single" w:sz="4" w:space="0" w:color="auto"/>
            </w:tcBorders>
            <w:shd w:val="clear" w:color="auto" w:fill="auto"/>
            <w:vAlign w:val="center"/>
            <w:hideMark/>
          </w:tcPr>
          <w:p w14:paraId="158B8F3A"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-5</w:t>
            </w:r>
          </w:p>
        </w:tc>
        <w:tc>
          <w:tcPr>
            <w:tcW w:w="540" w:type="pct"/>
            <w:vMerge/>
            <w:tcBorders>
              <w:top w:val="nil"/>
              <w:left w:val="single" w:sz="4" w:space="0" w:color="auto"/>
              <w:bottom w:val="single" w:sz="4" w:space="0" w:color="auto"/>
              <w:right w:val="nil"/>
            </w:tcBorders>
            <w:vAlign w:val="center"/>
            <w:hideMark/>
          </w:tcPr>
          <w:p w14:paraId="26027020" w14:textId="77777777" w:rsidR="00596935" w:rsidRPr="00596935" w:rsidRDefault="00596935" w:rsidP="00596935">
            <w:pPr>
              <w:rPr>
                <w:rFonts w:cs="Arial"/>
                <w:sz w:val="20"/>
                <w:szCs w:val="20"/>
                <w:lang w:val="de-AT" w:eastAsia="de-AT"/>
              </w:rPr>
            </w:pPr>
          </w:p>
        </w:tc>
        <w:tc>
          <w:tcPr>
            <w:tcW w:w="432" w:type="pct"/>
            <w:tcBorders>
              <w:top w:val="nil"/>
              <w:left w:val="single" w:sz="8" w:space="0" w:color="auto"/>
              <w:bottom w:val="single" w:sz="4" w:space="0" w:color="auto"/>
              <w:right w:val="single" w:sz="4" w:space="0" w:color="auto"/>
            </w:tcBorders>
            <w:shd w:val="clear" w:color="auto" w:fill="auto"/>
            <w:vAlign w:val="center"/>
            <w:hideMark/>
          </w:tcPr>
          <w:p w14:paraId="46943D1D"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40</w:t>
            </w:r>
          </w:p>
        </w:tc>
        <w:tc>
          <w:tcPr>
            <w:tcW w:w="433" w:type="pct"/>
            <w:tcBorders>
              <w:top w:val="nil"/>
              <w:left w:val="nil"/>
              <w:bottom w:val="single" w:sz="4" w:space="0" w:color="auto"/>
              <w:right w:val="single" w:sz="8" w:space="0" w:color="auto"/>
            </w:tcBorders>
            <w:shd w:val="clear" w:color="auto" w:fill="auto"/>
            <w:vAlign w:val="center"/>
            <w:hideMark/>
          </w:tcPr>
          <w:p w14:paraId="3FF951EF"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28</w:t>
            </w:r>
          </w:p>
        </w:tc>
        <w:tc>
          <w:tcPr>
            <w:tcW w:w="432" w:type="pct"/>
            <w:tcBorders>
              <w:top w:val="nil"/>
              <w:left w:val="nil"/>
              <w:bottom w:val="single" w:sz="4" w:space="0" w:color="auto"/>
              <w:right w:val="single" w:sz="4" w:space="0" w:color="auto"/>
            </w:tcBorders>
            <w:shd w:val="clear" w:color="auto" w:fill="auto"/>
            <w:vAlign w:val="center"/>
            <w:hideMark/>
          </w:tcPr>
          <w:p w14:paraId="5AC913D7"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15</w:t>
            </w:r>
          </w:p>
        </w:tc>
        <w:tc>
          <w:tcPr>
            <w:tcW w:w="433" w:type="pct"/>
            <w:tcBorders>
              <w:top w:val="nil"/>
              <w:left w:val="nil"/>
              <w:bottom w:val="single" w:sz="4" w:space="0" w:color="auto"/>
              <w:right w:val="single" w:sz="8" w:space="0" w:color="auto"/>
            </w:tcBorders>
            <w:shd w:val="clear" w:color="auto" w:fill="auto"/>
            <w:vAlign w:val="center"/>
            <w:hideMark/>
          </w:tcPr>
          <w:p w14:paraId="6F0B0D06"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26</w:t>
            </w:r>
          </w:p>
        </w:tc>
        <w:tc>
          <w:tcPr>
            <w:tcW w:w="432" w:type="pct"/>
            <w:tcBorders>
              <w:top w:val="nil"/>
              <w:left w:val="nil"/>
              <w:bottom w:val="single" w:sz="4" w:space="0" w:color="auto"/>
              <w:right w:val="single" w:sz="8" w:space="0" w:color="auto"/>
            </w:tcBorders>
            <w:shd w:val="clear" w:color="auto" w:fill="auto"/>
            <w:vAlign w:val="bottom"/>
            <w:hideMark/>
          </w:tcPr>
          <w:p w14:paraId="15FF8AEE"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25</w:t>
            </w:r>
          </w:p>
        </w:tc>
      </w:tr>
      <w:tr w:rsidR="00596935" w:rsidRPr="00596935" w14:paraId="363B865E" w14:textId="77777777" w:rsidTr="00596935">
        <w:trPr>
          <w:trHeight w:val="460"/>
        </w:trPr>
        <w:tc>
          <w:tcPr>
            <w:tcW w:w="417" w:type="pct"/>
            <w:tcBorders>
              <w:top w:val="nil"/>
              <w:left w:val="single" w:sz="8" w:space="0" w:color="auto"/>
              <w:bottom w:val="single" w:sz="8" w:space="0" w:color="000000"/>
              <w:right w:val="nil"/>
            </w:tcBorders>
            <w:shd w:val="clear" w:color="auto" w:fill="auto"/>
            <w:vAlign w:val="center"/>
            <w:hideMark/>
          </w:tcPr>
          <w:p w14:paraId="0EC34CCE" w14:textId="77777777" w:rsidR="003733D2" w:rsidRDefault="00596935" w:rsidP="003733D2">
            <w:pPr>
              <w:rPr>
                <w:rFonts w:cs="Arial"/>
                <w:sz w:val="20"/>
                <w:szCs w:val="20"/>
                <w:lang w:val="de-AT" w:eastAsia="de-AT"/>
              </w:rPr>
            </w:pPr>
            <w:r w:rsidRPr="00596935">
              <w:rPr>
                <w:rFonts w:cs="Arial"/>
                <w:sz w:val="20"/>
                <w:szCs w:val="20"/>
                <w:lang w:val="de-AT" w:eastAsia="de-AT"/>
              </w:rPr>
              <w:t>Lenarz</w:t>
            </w:r>
          </w:p>
          <w:p w14:paraId="0F40DE6A" w14:textId="7566210C" w:rsidR="00596935" w:rsidRPr="00596935" w:rsidRDefault="00596935" w:rsidP="003733D2">
            <w:pPr>
              <w:rPr>
                <w:rFonts w:cs="Arial"/>
                <w:sz w:val="20"/>
                <w:szCs w:val="20"/>
                <w:lang w:val="de-AT" w:eastAsia="de-AT"/>
              </w:rPr>
            </w:pPr>
            <w:r w:rsidRPr="00596935">
              <w:rPr>
                <w:rFonts w:cs="Arial"/>
                <w:sz w:val="20"/>
                <w:szCs w:val="20"/>
                <w:lang w:val="de-AT" w:eastAsia="de-AT"/>
              </w:rPr>
              <w:t>2001</w:t>
            </w:r>
          </w:p>
        </w:tc>
        <w:tc>
          <w:tcPr>
            <w:tcW w:w="339" w:type="pct"/>
            <w:tcBorders>
              <w:top w:val="nil"/>
              <w:left w:val="single" w:sz="4" w:space="0" w:color="auto"/>
              <w:bottom w:val="single" w:sz="4" w:space="0" w:color="auto"/>
              <w:right w:val="single" w:sz="4" w:space="0" w:color="auto"/>
            </w:tcBorders>
            <w:shd w:val="clear" w:color="auto" w:fill="auto"/>
            <w:vAlign w:val="center"/>
            <w:hideMark/>
          </w:tcPr>
          <w:p w14:paraId="46A134F1"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7</w:t>
            </w:r>
          </w:p>
        </w:tc>
        <w:tc>
          <w:tcPr>
            <w:tcW w:w="533" w:type="pct"/>
            <w:tcBorders>
              <w:top w:val="nil"/>
              <w:left w:val="nil"/>
              <w:bottom w:val="single" w:sz="4" w:space="0" w:color="auto"/>
              <w:right w:val="single" w:sz="4" w:space="0" w:color="auto"/>
            </w:tcBorders>
            <w:shd w:val="clear" w:color="auto" w:fill="auto"/>
            <w:vAlign w:val="center"/>
            <w:hideMark/>
          </w:tcPr>
          <w:p w14:paraId="3178D060" w14:textId="77777777" w:rsidR="00596935" w:rsidRPr="00596935" w:rsidRDefault="00596935" w:rsidP="00596935">
            <w:pPr>
              <w:rPr>
                <w:rFonts w:cs="Arial"/>
                <w:sz w:val="20"/>
                <w:szCs w:val="20"/>
                <w:lang w:val="de-AT" w:eastAsia="de-AT"/>
              </w:rPr>
            </w:pPr>
            <w:r w:rsidRPr="00596935">
              <w:rPr>
                <w:rFonts w:cs="Arial"/>
                <w:sz w:val="20"/>
                <w:szCs w:val="20"/>
                <w:lang w:val="de-AT" w:eastAsia="de-AT"/>
              </w:rPr>
              <w:t>Göttinger sentences</w:t>
            </w:r>
          </w:p>
        </w:tc>
        <w:tc>
          <w:tcPr>
            <w:tcW w:w="353" w:type="pct"/>
            <w:tcBorders>
              <w:top w:val="nil"/>
              <w:left w:val="nil"/>
              <w:bottom w:val="single" w:sz="4" w:space="0" w:color="auto"/>
              <w:right w:val="single" w:sz="4" w:space="0" w:color="auto"/>
            </w:tcBorders>
            <w:shd w:val="clear" w:color="auto" w:fill="auto"/>
            <w:vAlign w:val="center"/>
            <w:hideMark/>
          </w:tcPr>
          <w:p w14:paraId="02DED004"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65 dB</w:t>
            </w:r>
          </w:p>
        </w:tc>
        <w:tc>
          <w:tcPr>
            <w:tcW w:w="339" w:type="pct"/>
            <w:tcBorders>
              <w:top w:val="nil"/>
              <w:left w:val="nil"/>
              <w:bottom w:val="single" w:sz="4" w:space="0" w:color="auto"/>
              <w:right w:val="single" w:sz="4" w:space="0" w:color="auto"/>
            </w:tcBorders>
            <w:shd w:val="clear" w:color="auto" w:fill="auto"/>
            <w:vAlign w:val="center"/>
            <w:hideMark/>
          </w:tcPr>
          <w:p w14:paraId="38DED476"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55 dB</w:t>
            </w:r>
          </w:p>
        </w:tc>
        <w:tc>
          <w:tcPr>
            <w:tcW w:w="317" w:type="pct"/>
            <w:tcBorders>
              <w:top w:val="nil"/>
              <w:left w:val="nil"/>
              <w:bottom w:val="single" w:sz="4" w:space="0" w:color="auto"/>
              <w:right w:val="single" w:sz="4" w:space="0" w:color="auto"/>
            </w:tcBorders>
            <w:shd w:val="clear" w:color="auto" w:fill="auto"/>
            <w:vAlign w:val="center"/>
            <w:hideMark/>
          </w:tcPr>
          <w:p w14:paraId="578996BF"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10</w:t>
            </w:r>
          </w:p>
        </w:tc>
        <w:tc>
          <w:tcPr>
            <w:tcW w:w="540" w:type="pct"/>
            <w:tcBorders>
              <w:top w:val="nil"/>
              <w:left w:val="nil"/>
              <w:bottom w:val="single" w:sz="4" w:space="0" w:color="auto"/>
              <w:right w:val="nil"/>
            </w:tcBorders>
            <w:shd w:val="clear" w:color="auto" w:fill="auto"/>
            <w:vAlign w:val="center"/>
            <w:hideMark/>
          </w:tcPr>
          <w:p w14:paraId="54691319"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 word score</w:t>
            </w:r>
          </w:p>
        </w:tc>
        <w:tc>
          <w:tcPr>
            <w:tcW w:w="432" w:type="pct"/>
            <w:tcBorders>
              <w:top w:val="nil"/>
              <w:left w:val="single" w:sz="8" w:space="0" w:color="auto"/>
              <w:bottom w:val="single" w:sz="4" w:space="0" w:color="auto"/>
              <w:right w:val="single" w:sz="4" w:space="0" w:color="auto"/>
            </w:tcBorders>
            <w:shd w:val="clear" w:color="auto" w:fill="auto"/>
            <w:vAlign w:val="center"/>
            <w:hideMark/>
          </w:tcPr>
          <w:p w14:paraId="5E0E8DA2"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62</w:t>
            </w:r>
          </w:p>
        </w:tc>
        <w:tc>
          <w:tcPr>
            <w:tcW w:w="433" w:type="pct"/>
            <w:tcBorders>
              <w:top w:val="nil"/>
              <w:left w:val="nil"/>
              <w:bottom w:val="single" w:sz="4" w:space="0" w:color="auto"/>
              <w:right w:val="single" w:sz="8" w:space="0" w:color="auto"/>
            </w:tcBorders>
            <w:shd w:val="clear" w:color="auto" w:fill="auto"/>
            <w:vAlign w:val="center"/>
            <w:hideMark/>
          </w:tcPr>
          <w:p w14:paraId="6F5C5ABD"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 xml:space="preserve"> -</w:t>
            </w:r>
          </w:p>
        </w:tc>
        <w:tc>
          <w:tcPr>
            <w:tcW w:w="432" w:type="pct"/>
            <w:tcBorders>
              <w:top w:val="nil"/>
              <w:left w:val="nil"/>
              <w:bottom w:val="single" w:sz="4" w:space="0" w:color="auto"/>
              <w:right w:val="single" w:sz="4" w:space="0" w:color="auto"/>
            </w:tcBorders>
            <w:shd w:val="clear" w:color="auto" w:fill="auto"/>
            <w:vAlign w:val="center"/>
            <w:hideMark/>
          </w:tcPr>
          <w:p w14:paraId="4511EB29"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28</w:t>
            </w:r>
          </w:p>
        </w:tc>
        <w:tc>
          <w:tcPr>
            <w:tcW w:w="433" w:type="pct"/>
            <w:tcBorders>
              <w:top w:val="nil"/>
              <w:left w:val="nil"/>
              <w:bottom w:val="single" w:sz="4" w:space="0" w:color="auto"/>
              <w:right w:val="single" w:sz="8" w:space="0" w:color="auto"/>
            </w:tcBorders>
            <w:shd w:val="clear" w:color="auto" w:fill="auto"/>
            <w:vAlign w:val="center"/>
            <w:hideMark/>
          </w:tcPr>
          <w:p w14:paraId="5B777050"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 xml:space="preserve"> -</w:t>
            </w:r>
          </w:p>
        </w:tc>
        <w:tc>
          <w:tcPr>
            <w:tcW w:w="432" w:type="pct"/>
            <w:tcBorders>
              <w:top w:val="nil"/>
              <w:left w:val="nil"/>
              <w:bottom w:val="single" w:sz="4" w:space="0" w:color="auto"/>
              <w:right w:val="single" w:sz="8" w:space="0" w:color="auto"/>
            </w:tcBorders>
            <w:shd w:val="clear" w:color="auto" w:fill="auto"/>
            <w:vAlign w:val="bottom"/>
            <w:hideMark/>
          </w:tcPr>
          <w:p w14:paraId="101CA6E6"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34</w:t>
            </w:r>
          </w:p>
        </w:tc>
      </w:tr>
      <w:tr w:rsidR="00596935" w:rsidRPr="00596935" w14:paraId="662112EC" w14:textId="77777777" w:rsidTr="00596935">
        <w:trPr>
          <w:trHeight w:val="460"/>
        </w:trPr>
        <w:tc>
          <w:tcPr>
            <w:tcW w:w="417" w:type="pct"/>
            <w:tcBorders>
              <w:top w:val="nil"/>
              <w:left w:val="single" w:sz="8" w:space="0" w:color="auto"/>
              <w:bottom w:val="single" w:sz="8" w:space="0" w:color="000000"/>
              <w:right w:val="nil"/>
            </w:tcBorders>
            <w:shd w:val="clear" w:color="auto" w:fill="auto"/>
            <w:vAlign w:val="center"/>
            <w:hideMark/>
          </w:tcPr>
          <w:p w14:paraId="5240C31D" w14:textId="77777777" w:rsidR="003733D2" w:rsidRDefault="00596935" w:rsidP="003733D2">
            <w:pPr>
              <w:rPr>
                <w:rFonts w:cs="Arial"/>
                <w:sz w:val="20"/>
                <w:szCs w:val="20"/>
                <w:lang w:val="de-AT" w:eastAsia="de-AT"/>
              </w:rPr>
            </w:pPr>
            <w:r w:rsidRPr="00596935">
              <w:rPr>
                <w:rFonts w:cs="Arial"/>
                <w:sz w:val="20"/>
                <w:szCs w:val="20"/>
                <w:lang w:val="de-AT" w:eastAsia="de-AT"/>
              </w:rPr>
              <w:t>Luetje</w:t>
            </w:r>
          </w:p>
          <w:p w14:paraId="249EA28F" w14:textId="198A0F25" w:rsidR="00596935" w:rsidRPr="00596935" w:rsidRDefault="00596935" w:rsidP="003733D2">
            <w:pPr>
              <w:rPr>
                <w:rFonts w:cs="Arial"/>
                <w:sz w:val="20"/>
                <w:szCs w:val="20"/>
                <w:lang w:val="de-AT" w:eastAsia="de-AT"/>
              </w:rPr>
            </w:pPr>
            <w:r w:rsidRPr="00596935">
              <w:rPr>
                <w:rFonts w:cs="Arial"/>
                <w:sz w:val="20"/>
                <w:szCs w:val="20"/>
                <w:lang w:val="de-AT" w:eastAsia="de-AT"/>
              </w:rPr>
              <w:t>2002</w:t>
            </w:r>
          </w:p>
        </w:tc>
        <w:tc>
          <w:tcPr>
            <w:tcW w:w="339" w:type="pct"/>
            <w:tcBorders>
              <w:top w:val="nil"/>
              <w:left w:val="single" w:sz="4" w:space="0" w:color="auto"/>
              <w:bottom w:val="single" w:sz="4" w:space="0" w:color="auto"/>
              <w:right w:val="single" w:sz="4" w:space="0" w:color="auto"/>
            </w:tcBorders>
            <w:shd w:val="clear" w:color="auto" w:fill="auto"/>
            <w:vAlign w:val="center"/>
            <w:hideMark/>
          </w:tcPr>
          <w:p w14:paraId="74CF1CB1"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53</w:t>
            </w:r>
          </w:p>
        </w:tc>
        <w:tc>
          <w:tcPr>
            <w:tcW w:w="533" w:type="pct"/>
            <w:tcBorders>
              <w:top w:val="nil"/>
              <w:left w:val="nil"/>
              <w:bottom w:val="single" w:sz="4" w:space="0" w:color="auto"/>
              <w:right w:val="single" w:sz="4" w:space="0" w:color="auto"/>
            </w:tcBorders>
            <w:shd w:val="clear" w:color="auto" w:fill="auto"/>
            <w:vAlign w:val="center"/>
            <w:hideMark/>
          </w:tcPr>
          <w:p w14:paraId="488C9CD9" w14:textId="77777777" w:rsidR="00596935" w:rsidRPr="00596935" w:rsidRDefault="00596935" w:rsidP="00596935">
            <w:pPr>
              <w:rPr>
                <w:rFonts w:cs="Arial"/>
                <w:sz w:val="20"/>
                <w:szCs w:val="20"/>
                <w:lang w:val="de-AT" w:eastAsia="de-AT"/>
              </w:rPr>
            </w:pPr>
            <w:r w:rsidRPr="00596935">
              <w:rPr>
                <w:rFonts w:cs="Arial"/>
                <w:sz w:val="20"/>
                <w:szCs w:val="20"/>
                <w:lang w:val="de-AT" w:eastAsia="de-AT"/>
              </w:rPr>
              <w:t>R-SPIN</w:t>
            </w:r>
          </w:p>
        </w:tc>
        <w:tc>
          <w:tcPr>
            <w:tcW w:w="353" w:type="pct"/>
            <w:tcBorders>
              <w:top w:val="nil"/>
              <w:left w:val="nil"/>
              <w:bottom w:val="single" w:sz="4" w:space="0" w:color="auto"/>
              <w:right w:val="single" w:sz="4" w:space="0" w:color="auto"/>
            </w:tcBorders>
            <w:shd w:val="clear" w:color="auto" w:fill="auto"/>
            <w:vAlign w:val="center"/>
            <w:hideMark/>
          </w:tcPr>
          <w:p w14:paraId="556A160F"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 xml:space="preserve"> -</w:t>
            </w:r>
          </w:p>
        </w:tc>
        <w:tc>
          <w:tcPr>
            <w:tcW w:w="339" w:type="pct"/>
            <w:tcBorders>
              <w:top w:val="nil"/>
              <w:left w:val="nil"/>
              <w:bottom w:val="single" w:sz="4" w:space="0" w:color="auto"/>
              <w:right w:val="single" w:sz="4" w:space="0" w:color="auto"/>
            </w:tcBorders>
            <w:shd w:val="clear" w:color="auto" w:fill="auto"/>
            <w:vAlign w:val="center"/>
            <w:hideMark/>
          </w:tcPr>
          <w:p w14:paraId="61DD267F"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 xml:space="preserve"> -</w:t>
            </w:r>
          </w:p>
        </w:tc>
        <w:tc>
          <w:tcPr>
            <w:tcW w:w="317" w:type="pct"/>
            <w:tcBorders>
              <w:top w:val="nil"/>
              <w:left w:val="nil"/>
              <w:bottom w:val="single" w:sz="4" w:space="0" w:color="auto"/>
              <w:right w:val="single" w:sz="4" w:space="0" w:color="auto"/>
            </w:tcBorders>
            <w:shd w:val="clear" w:color="auto" w:fill="auto"/>
            <w:vAlign w:val="center"/>
            <w:hideMark/>
          </w:tcPr>
          <w:p w14:paraId="7C1AC94C"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8</w:t>
            </w:r>
          </w:p>
        </w:tc>
        <w:tc>
          <w:tcPr>
            <w:tcW w:w="540" w:type="pct"/>
            <w:tcBorders>
              <w:top w:val="nil"/>
              <w:left w:val="nil"/>
              <w:bottom w:val="single" w:sz="4" w:space="0" w:color="auto"/>
              <w:right w:val="nil"/>
            </w:tcBorders>
            <w:shd w:val="clear" w:color="auto" w:fill="auto"/>
            <w:vAlign w:val="center"/>
            <w:hideMark/>
          </w:tcPr>
          <w:p w14:paraId="2AA96FC8"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 word score</w:t>
            </w:r>
          </w:p>
        </w:tc>
        <w:tc>
          <w:tcPr>
            <w:tcW w:w="432" w:type="pct"/>
            <w:tcBorders>
              <w:top w:val="nil"/>
              <w:left w:val="single" w:sz="8" w:space="0" w:color="auto"/>
              <w:bottom w:val="single" w:sz="4" w:space="0" w:color="auto"/>
              <w:right w:val="single" w:sz="4" w:space="0" w:color="auto"/>
            </w:tcBorders>
            <w:shd w:val="clear" w:color="auto" w:fill="auto"/>
            <w:vAlign w:val="center"/>
            <w:hideMark/>
          </w:tcPr>
          <w:p w14:paraId="41321935"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NS</w:t>
            </w:r>
          </w:p>
        </w:tc>
        <w:tc>
          <w:tcPr>
            <w:tcW w:w="433" w:type="pct"/>
            <w:tcBorders>
              <w:top w:val="nil"/>
              <w:left w:val="nil"/>
              <w:bottom w:val="single" w:sz="4" w:space="0" w:color="auto"/>
              <w:right w:val="single" w:sz="8" w:space="0" w:color="auto"/>
            </w:tcBorders>
            <w:shd w:val="clear" w:color="auto" w:fill="auto"/>
            <w:vAlign w:val="center"/>
            <w:hideMark/>
          </w:tcPr>
          <w:p w14:paraId="39FDE005"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 xml:space="preserve"> -</w:t>
            </w:r>
          </w:p>
        </w:tc>
        <w:tc>
          <w:tcPr>
            <w:tcW w:w="432" w:type="pct"/>
            <w:tcBorders>
              <w:top w:val="nil"/>
              <w:left w:val="nil"/>
              <w:bottom w:val="single" w:sz="4" w:space="0" w:color="auto"/>
              <w:right w:val="single" w:sz="4" w:space="0" w:color="auto"/>
            </w:tcBorders>
            <w:shd w:val="clear" w:color="auto" w:fill="auto"/>
            <w:vAlign w:val="center"/>
            <w:hideMark/>
          </w:tcPr>
          <w:p w14:paraId="5B87EA85"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 xml:space="preserve"> -</w:t>
            </w:r>
          </w:p>
        </w:tc>
        <w:tc>
          <w:tcPr>
            <w:tcW w:w="433" w:type="pct"/>
            <w:tcBorders>
              <w:top w:val="nil"/>
              <w:left w:val="nil"/>
              <w:bottom w:val="single" w:sz="4" w:space="0" w:color="auto"/>
              <w:right w:val="single" w:sz="8" w:space="0" w:color="auto"/>
            </w:tcBorders>
            <w:shd w:val="clear" w:color="auto" w:fill="auto"/>
            <w:vAlign w:val="center"/>
            <w:hideMark/>
          </w:tcPr>
          <w:p w14:paraId="083CCDD5"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 xml:space="preserve"> -</w:t>
            </w:r>
          </w:p>
        </w:tc>
        <w:tc>
          <w:tcPr>
            <w:tcW w:w="432" w:type="pct"/>
            <w:tcBorders>
              <w:top w:val="nil"/>
              <w:left w:val="nil"/>
              <w:bottom w:val="single" w:sz="4" w:space="0" w:color="auto"/>
              <w:right w:val="single" w:sz="8" w:space="0" w:color="auto"/>
            </w:tcBorders>
            <w:shd w:val="clear" w:color="auto" w:fill="auto"/>
            <w:vAlign w:val="center"/>
            <w:hideMark/>
          </w:tcPr>
          <w:p w14:paraId="1FB10BDE"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 xml:space="preserve"> -</w:t>
            </w:r>
          </w:p>
        </w:tc>
      </w:tr>
      <w:tr w:rsidR="00596935" w:rsidRPr="00596935" w14:paraId="4A698CF1" w14:textId="77777777" w:rsidTr="00596935">
        <w:trPr>
          <w:trHeight w:val="460"/>
        </w:trPr>
        <w:tc>
          <w:tcPr>
            <w:tcW w:w="417" w:type="pct"/>
            <w:tcBorders>
              <w:top w:val="nil"/>
              <w:left w:val="single" w:sz="8" w:space="0" w:color="auto"/>
              <w:bottom w:val="nil"/>
              <w:right w:val="nil"/>
            </w:tcBorders>
            <w:shd w:val="clear" w:color="auto" w:fill="auto"/>
            <w:vAlign w:val="center"/>
            <w:hideMark/>
          </w:tcPr>
          <w:p w14:paraId="55EFA2D4" w14:textId="77777777" w:rsidR="003733D2" w:rsidRDefault="00596935" w:rsidP="003733D2">
            <w:pPr>
              <w:rPr>
                <w:rFonts w:cs="Arial"/>
                <w:sz w:val="20"/>
                <w:szCs w:val="20"/>
                <w:lang w:val="de-AT" w:eastAsia="de-AT"/>
              </w:rPr>
            </w:pPr>
            <w:r w:rsidRPr="00596935">
              <w:rPr>
                <w:rFonts w:cs="Arial"/>
                <w:sz w:val="20"/>
                <w:szCs w:val="20"/>
                <w:lang w:val="de-AT" w:eastAsia="de-AT"/>
              </w:rPr>
              <w:t>Saliba</w:t>
            </w:r>
          </w:p>
          <w:p w14:paraId="1DDFC852" w14:textId="65468A16" w:rsidR="00596935" w:rsidRPr="00596935" w:rsidRDefault="00596935" w:rsidP="003733D2">
            <w:pPr>
              <w:rPr>
                <w:rFonts w:cs="Arial"/>
                <w:sz w:val="20"/>
                <w:szCs w:val="20"/>
                <w:lang w:val="de-AT" w:eastAsia="de-AT"/>
              </w:rPr>
            </w:pPr>
            <w:r w:rsidRPr="00596935">
              <w:rPr>
                <w:rFonts w:cs="Arial"/>
                <w:sz w:val="20"/>
                <w:szCs w:val="20"/>
                <w:lang w:val="de-AT" w:eastAsia="de-AT"/>
              </w:rPr>
              <w:t>2005</w:t>
            </w:r>
          </w:p>
        </w:tc>
        <w:tc>
          <w:tcPr>
            <w:tcW w:w="339" w:type="pct"/>
            <w:tcBorders>
              <w:top w:val="nil"/>
              <w:left w:val="single" w:sz="4" w:space="0" w:color="auto"/>
              <w:bottom w:val="single" w:sz="4" w:space="0" w:color="auto"/>
              <w:right w:val="single" w:sz="4" w:space="0" w:color="auto"/>
            </w:tcBorders>
            <w:shd w:val="clear" w:color="auto" w:fill="auto"/>
            <w:vAlign w:val="center"/>
            <w:hideMark/>
          </w:tcPr>
          <w:p w14:paraId="2D14AA70"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8</w:t>
            </w:r>
          </w:p>
        </w:tc>
        <w:tc>
          <w:tcPr>
            <w:tcW w:w="533" w:type="pct"/>
            <w:tcBorders>
              <w:top w:val="nil"/>
              <w:left w:val="nil"/>
              <w:bottom w:val="single" w:sz="4" w:space="0" w:color="auto"/>
              <w:right w:val="single" w:sz="4" w:space="0" w:color="auto"/>
            </w:tcBorders>
            <w:shd w:val="clear" w:color="auto" w:fill="auto"/>
            <w:vAlign w:val="center"/>
            <w:hideMark/>
          </w:tcPr>
          <w:p w14:paraId="0CDB4A74" w14:textId="77777777" w:rsidR="00596935" w:rsidRPr="00596935" w:rsidRDefault="00596935" w:rsidP="00596935">
            <w:pPr>
              <w:rPr>
                <w:rFonts w:cs="Arial"/>
                <w:sz w:val="20"/>
                <w:szCs w:val="20"/>
                <w:lang w:val="de-AT" w:eastAsia="de-AT"/>
              </w:rPr>
            </w:pPr>
            <w:r w:rsidRPr="00596935">
              <w:rPr>
                <w:rFonts w:cs="Arial"/>
                <w:sz w:val="20"/>
                <w:szCs w:val="20"/>
                <w:lang w:val="de-AT" w:eastAsia="de-AT"/>
              </w:rPr>
              <w:t>Fournier french words</w:t>
            </w:r>
          </w:p>
        </w:tc>
        <w:tc>
          <w:tcPr>
            <w:tcW w:w="353" w:type="pct"/>
            <w:tcBorders>
              <w:top w:val="nil"/>
              <w:left w:val="nil"/>
              <w:bottom w:val="single" w:sz="4" w:space="0" w:color="auto"/>
              <w:right w:val="single" w:sz="4" w:space="0" w:color="auto"/>
            </w:tcBorders>
            <w:shd w:val="clear" w:color="auto" w:fill="auto"/>
            <w:vAlign w:val="center"/>
            <w:hideMark/>
          </w:tcPr>
          <w:p w14:paraId="53C40DB8"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adaptive</w:t>
            </w:r>
          </w:p>
        </w:tc>
        <w:tc>
          <w:tcPr>
            <w:tcW w:w="339" w:type="pct"/>
            <w:tcBorders>
              <w:top w:val="nil"/>
              <w:left w:val="nil"/>
              <w:bottom w:val="single" w:sz="4" w:space="0" w:color="auto"/>
              <w:right w:val="single" w:sz="4" w:space="0" w:color="auto"/>
            </w:tcBorders>
            <w:shd w:val="clear" w:color="auto" w:fill="auto"/>
            <w:vAlign w:val="center"/>
            <w:hideMark/>
          </w:tcPr>
          <w:p w14:paraId="234F33EC"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65 dB</w:t>
            </w:r>
          </w:p>
        </w:tc>
        <w:tc>
          <w:tcPr>
            <w:tcW w:w="317" w:type="pct"/>
            <w:tcBorders>
              <w:top w:val="nil"/>
              <w:left w:val="nil"/>
              <w:bottom w:val="single" w:sz="4" w:space="0" w:color="auto"/>
              <w:right w:val="single" w:sz="4" w:space="0" w:color="auto"/>
            </w:tcBorders>
            <w:shd w:val="clear" w:color="auto" w:fill="auto"/>
            <w:vAlign w:val="center"/>
            <w:hideMark/>
          </w:tcPr>
          <w:p w14:paraId="3087A3AD"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various</w:t>
            </w:r>
          </w:p>
        </w:tc>
        <w:tc>
          <w:tcPr>
            <w:tcW w:w="540" w:type="pct"/>
            <w:tcBorders>
              <w:top w:val="nil"/>
              <w:left w:val="nil"/>
              <w:bottom w:val="single" w:sz="4" w:space="0" w:color="auto"/>
              <w:right w:val="nil"/>
            </w:tcBorders>
            <w:shd w:val="clear" w:color="auto" w:fill="auto"/>
            <w:vAlign w:val="center"/>
            <w:hideMark/>
          </w:tcPr>
          <w:p w14:paraId="5E9EED80"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SRT dB</w:t>
            </w:r>
          </w:p>
        </w:tc>
        <w:tc>
          <w:tcPr>
            <w:tcW w:w="432" w:type="pct"/>
            <w:tcBorders>
              <w:top w:val="nil"/>
              <w:left w:val="single" w:sz="8" w:space="0" w:color="auto"/>
              <w:bottom w:val="single" w:sz="4" w:space="0" w:color="auto"/>
              <w:right w:val="single" w:sz="4" w:space="0" w:color="auto"/>
            </w:tcBorders>
            <w:shd w:val="clear" w:color="auto" w:fill="auto"/>
            <w:vAlign w:val="center"/>
            <w:hideMark/>
          </w:tcPr>
          <w:p w14:paraId="120A368C"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54</w:t>
            </w:r>
          </w:p>
        </w:tc>
        <w:tc>
          <w:tcPr>
            <w:tcW w:w="433" w:type="pct"/>
            <w:tcBorders>
              <w:top w:val="nil"/>
              <w:left w:val="nil"/>
              <w:bottom w:val="single" w:sz="4" w:space="0" w:color="auto"/>
              <w:right w:val="single" w:sz="8" w:space="0" w:color="auto"/>
            </w:tcBorders>
            <w:shd w:val="clear" w:color="auto" w:fill="auto"/>
            <w:vAlign w:val="center"/>
            <w:hideMark/>
          </w:tcPr>
          <w:p w14:paraId="2CDB53AE"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5,8</w:t>
            </w:r>
          </w:p>
        </w:tc>
        <w:tc>
          <w:tcPr>
            <w:tcW w:w="432" w:type="pct"/>
            <w:tcBorders>
              <w:top w:val="nil"/>
              <w:left w:val="nil"/>
              <w:bottom w:val="single" w:sz="4" w:space="0" w:color="auto"/>
              <w:right w:val="single" w:sz="4" w:space="0" w:color="auto"/>
            </w:tcBorders>
            <w:shd w:val="clear" w:color="auto" w:fill="auto"/>
            <w:vAlign w:val="center"/>
            <w:hideMark/>
          </w:tcPr>
          <w:p w14:paraId="7526043D"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61</w:t>
            </w:r>
          </w:p>
        </w:tc>
        <w:tc>
          <w:tcPr>
            <w:tcW w:w="433" w:type="pct"/>
            <w:tcBorders>
              <w:top w:val="nil"/>
              <w:left w:val="nil"/>
              <w:bottom w:val="single" w:sz="4" w:space="0" w:color="auto"/>
              <w:right w:val="single" w:sz="8" w:space="0" w:color="auto"/>
            </w:tcBorders>
            <w:shd w:val="clear" w:color="auto" w:fill="auto"/>
            <w:vAlign w:val="center"/>
            <w:hideMark/>
          </w:tcPr>
          <w:p w14:paraId="4E7D83AF"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7,5</w:t>
            </w:r>
          </w:p>
        </w:tc>
        <w:tc>
          <w:tcPr>
            <w:tcW w:w="432" w:type="pct"/>
            <w:tcBorders>
              <w:top w:val="nil"/>
              <w:left w:val="nil"/>
              <w:bottom w:val="single" w:sz="4" w:space="0" w:color="auto"/>
              <w:right w:val="single" w:sz="8" w:space="0" w:color="auto"/>
            </w:tcBorders>
            <w:shd w:val="clear" w:color="auto" w:fill="auto"/>
            <w:vAlign w:val="bottom"/>
            <w:hideMark/>
          </w:tcPr>
          <w:p w14:paraId="40319D3A"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7</w:t>
            </w:r>
          </w:p>
        </w:tc>
      </w:tr>
      <w:tr w:rsidR="00596935" w:rsidRPr="00596935" w14:paraId="396DCBEE" w14:textId="77777777" w:rsidTr="00596935">
        <w:trPr>
          <w:trHeight w:val="460"/>
        </w:trPr>
        <w:tc>
          <w:tcPr>
            <w:tcW w:w="417" w:type="pct"/>
            <w:tcBorders>
              <w:top w:val="single" w:sz="8" w:space="0" w:color="000000"/>
              <w:left w:val="single" w:sz="8" w:space="0" w:color="auto"/>
              <w:bottom w:val="nil"/>
              <w:right w:val="nil"/>
            </w:tcBorders>
            <w:shd w:val="clear" w:color="auto" w:fill="auto"/>
            <w:vAlign w:val="center"/>
            <w:hideMark/>
          </w:tcPr>
          <w:p w14:paraId="4E50CF58" w14:textId="77777777" w:rsidR="00596935" w:rsidRPr="00596935" w:rsidRDefault="00596935" w:rsidP="00596935">
            <w:pPr>
              <w:rPr>
                <w:rFonts w:cs="Arial"/>
                <w:sz w:val="20"/>
                <w:szCs w:val="20"/>
                <w:lang w:val="de-AT" w:eastAsia="de-AT"/>
              </w:rPr>
            </w:pPr>
            <w:r w:rsidRPr="00596935">
              <w:rPr>
                <w:rFonts w:cs="Arial"/>
                <w:sz w:val="20"/>
                <w:szCs w:val="20"/>
                <w:lang w:val="de-AT" w:eastAsia="de-AT"/>
              </w:rPr>
              <w:t>Schmuziger 2006</w:t>
            </w:r>
          </w:p>
        </w:tc>
        <w:tc>
          <w:tcPr>
            <w:tcW w:w="339" w:type="pct"/>
            <w:tcBorders>
              <w:top w:val="nil"/>
              <w:left w:val="single" w:sz="4" w:space="0" w:color="auto"/>
              <w:bottom w:val="single" w:sz="4" w:space="0" w:color="auto"/>
              <w:right w:val="single" w:sz="4" w:space="0" w:color="auto"/>
            </w:tcBorders>
            <w:shd w:val="clear" w:color="auto" w:fill="auto"/>
            <w:vAlign w:val="center"/>
            <w:hideMark/>
          </w:tcPr>
          <w:p w14:paraId="0D2F3BFD"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10</w:t>
            </w:r>
          </w:p>
        </w:tc>
        <w:tc>
          <w:tcPr>
            <w:tcW w:w="533" w:type="pct"/>
            <w:tcBorders>
              <w:top w:val="nil"/>
              <w:left w:val="nil"/>
              <w:bottom w:val="single" w:sz="4" w:space="0" w:color="auto"/>
              <w:right w:val="single" w:sz="4" w:space="0" w:color="auto"/>
            </w:tcBorders>
            <w:shd w:val="clear" w:color="auto" w:fill="auto"/>
            <w:vAlign w:val="center"/>
            <w:hideMark/>
          </w:tcPr>
          <w:p w14:paraId="681D044B" w14:textId="77777777" w:rsidR="00596935" w:rsidRPr="00596935" w:rsidRDefault="00596935" w:rsidP="00596935">
            <w:pPr>
              <w:rPr>
                <w:rFonts w:cs="Arial"/>
                <w:sz w:val="20"/>
                <w:szCs w:val="20"/>
                <w:lang w:val="de-AT" w:eastAsia="de-AT"/>
              </w:rPr>
            </w:pPr>
            <w:r w:rsidRPr="00596935">
              <w:rPr>
                <w:rFonts w:cs="Arial"/>
                <w:sz w:val="20"/>
                <w:szCs w:val="20"/>
                <w:lang w:val="de-AT" w:eastAsia="de-AT"/>
              </w:rPr>
              <w:t>Basler sentences</w:t>
            </w:r>
          </w:p>
        </w:tc>
        <w:tc>
          <w:tcPr>
            <w:tcW w:w="353" w:type="pct"/>
            <w:tcBorders>
              <w:top w:val="nil"/>
              <w:left w:val="nil"/>
              <w:bottom w:val="single" w:sz="4" w:space="0" w:color="auto"/>
              <w:right w:val="single" w:sz="4" w:space="0" w:color="auto"/>
            </w:tcBorders>
            <w:shd w:val="clear" w:color="auto" w:fill="auto"/>
            <w:vAlign w:val="center"/>
            <w:hideMark/>
          </w:tcPr>
          <w:p w14:paraId="3C3A919B"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70 dB</w:t>
            </w:r>
          </w:p>
        </w:tc>
        <w:tc>
          <w:tcPr>
            <w:tcW w:w="339" w:type="pct"/>
            <w:tcBorders>
              <w:top w:val="nil"/>
              <w:left w:val="nil"/>
              <w:bottom w:val="single" w:sz="4" w:space="0" w:color="auto"/>
              <w:right w:val="single" w:sz="4" w:space="0" w:color="auto"/>
            </w:tcBorders>
            <w:shd w:val="clear" w:color="auto" w:fill="auto"/>
            <w:vAlign w:val="center"/>
            <w:hideMark/>
          </w:tcPr>
          <w:p w14:paraId="2DF0B16A"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adaptive</w:t>
            </w:r>
          </w:p>
        </w:tc>
        <w:tc>
          <w:tcPr>
            <w:tcW w:w="317" w:type="pct"/>
            <w:tcBorders>
              <w:top w:val="nil"/>
              <w:left w:val="nil"/>
              <w:bottom w:val="single" w:sz="4" w:space="0" w:color="auto"/>
              <w:right w:val="single" w:sz="4" w:space="0" w:color="auto"/>
            </w:tcBorders>
            <w:shd w:val="clear" w:color="auto" w:fill="auto"/>
            <w:vAlign w:val="center"/>
            <w:hideMark/>
          </w:tcPr>
          <w:p w14:paraId="05D2FBA4"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various</w:t>
            </w:r>
          </w:p>
        </w:tc>
        <w:tc>
          <w:tcPr>
            <w:tcW w:w="540" w:type="pct"/>
            <w:tcBorders>
              <w:top w:val="nil"/>
              <w:left w:val="nil"/>
              <w:bottom w:val="single" w:sz="4" w:space="0" w:color="auto"/>
              <w:right w:val="nil"/>
            </w:tcBorders>
            <w:shd w:val="clear" w:color="auto" w:fill="auto"/>
            <w:vAlign w:val="center"/>
            <w:hideMark/>
          </w:tcPr>
          <w:p w14:paraId="0A0C64AD"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dB SNR for SRT50</w:t>
            </w:r>
          </w:p>
        </w:tc>
        <w:tc>
          <w:tcPr>
            <w:tcW w:w="432" w:type="pct"/>
            <w:tcBorders>
              <w:top w:val="nil"/>
              <w:left w:val="single" w:sz="8" w:space="0" w:color="auto"/>
              <w:bottom w:val="single" w:sz="4" w:space="0" w:color="auto"/>
              <w:right w:val="single" w:sz="4" w:space="0" w:color="auto"/>
            </w:tcBorders>
            <w:shd w:val="clear" w:color="auto" w:fill="auto"/>
            <w:vAlign w:val="center"/>
            <w:hideMark/>
          </w:tcPr>
          <w:p w14:paraId="187EE6C4"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5</w:t>
            </w:r>
          </w:p>
        </w:tc>
        <w:tc>
          <w:tcPr>
            <w:tcW w:w="433" w:type="pct"/>
            <w:tcBorders>
              <w:top w:val="nil"/>
              <w:left w:val="nil"/>
              <w:bottom w:val="single" w:sz="4" w:space="0" w:color="auto"/>
              <w:right w:val="single" w:sz="8" w:space="0" w:color="auto"/>
            </w:tcBorders>
            <w:shd w:val="clear" w:color="auto" w:fill="auto"/>
            <w:vAlign w:val="center"/>
            <w:hideMark/>
          </w:tcPr>
          <w:p w14:paraId="57679D3B"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 xml:space="preserve"> -</w:t>
            </w:r>
          </w:p>
        </w:tc>
        <w:tc>
          <w:tcPr>
            <w:tcW w:w="432" w:type="pct"/>
            <w:tcBorders>
              <w:top w:val="nil"/>
              <w:left w:val="nil"/>
              <w:bottom w:val="single" w:sz="4" w:space="0" w:color="auto"/>
              <w:right w:val="single" w:sz="4" w:space="0" w:color="auto"/>
            </w:tcBorders>
            <w:shd w:val="clear" w:color="auto" w:fill="auto"/>
            <w:vAlign w:val="center"/>
            <w:hideMark/>
          </w:tcPr>
          <w:p w14:paraId="3D07CAD5"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6,2</w:t>
            </w:r>
          </w:p>
        </w:tc>
        <w:tc>
          <w:tcPr>
            <w:tcW w:w="433" w:type="pct"/>
            <w:tcBorders>
              <w:top w:val="nil"/>
              <w:left w:val="nil"/>
              <w:bottom w:val="single" w:sz="4" w:space="0" w:color="auto"/>
              <w:right w:val="single" w:sz="8" w:space="0" w:color="auto"/>
            </w:tcBorders>
            <w:shd w:val="clear" w:color="auto" w:fill="auto"/>
            <w:vAlign w:val="center"/>
            <w:hideMark/>
          </w:tcPr>
          <w:p w14:paraId="6EFD2485"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 xml:space="preserve"> -</w:t>
            </w:r>
          </w:p>
        </w:tc>
        <w:tc>
          <w:tcPr>
            <w:tcW w:w="432" w:type="pct"/>
            <w:tcBorders>
              <w:top w:val="nil"/>
              <w:left w:val="nil"/>
              <w:bottom w:val="single" w:sz="4" w:space="0" w:color="auto"/>
              <w:right w:val="single" w:sz="8" w:space="0" w:color="auto"/>
            </w:tcBorders>
            <w:shd w:val="clear" w:color="auto" w:fill="auto"/>
            <w:vAlign w:val="bottom"/>
            <w:hideMark/>
          </w:tcPr>
          <w:p w14:paraId="006EE5AD"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1,2</w:t>
            </w:r>
          </w:p>
        </w:tc>
      </w:tr>
      <w:tr w:rsidR="00596935" w:rsidRPr="00596935" w14:paraId="7C91005C" w14:textId="77777777" w:rsidTr="00596935">
        <w:trPr>
          <w:trHeight w:val="460"/>
        </w:trPr>
        <w:tc>
          <w:tcPr>
            <w:tcW w:w="417" w:type="pct"/>
            <w:vMerge w:val="restart"/>
            <w:tcBorders>
              <w:top w:val="single" w:sz="8" w:space="0" w:color="000000"/>
              <w:left w:val="single" w:sz="8" w:space="0" w:color="auto"/>
              <w:bottom w:val="single" w:sz="8" w:space="0" w:color="000000"/>
              <w:right w:val="nil"/>
            </w:tcBorders>
            <w:shd w:val="clear" w:color="auto" w:fill="auto"/>
            <w:vAlign w:val="center"/>
            <w:hideMark/>
          </w:tcPr>
          <w:p w14:paraId="670B42AC" w14:textId="77777777" w:rsidR="003733D2" w:rsidRDefault="00596935" w:rsidP="003733D2">
            <w:pPr>
              <w:rPr>
                <w:rFonts w:cs="Arial"/>
                <w:sz w:val="20"/>
                <w:szCs w:val="20"/>
                <w:lang w:val="de-AT" w:eastAsia="de-AT"/>
              </w:rPr>
            </w:pPr>
            <w:r w:rsidRPr="00596935">
              <w:rPr>
                <w:rFonts w:cs="Arial"/>
                <w:sz w:val="20"/>
                <w:szCs w:val="20"/>
                <w:lang w:val="de-AT" w:eastAsia="de-AT"/>
              </w:rPr>
              <w:t>Todt</w:t>
            </w:r>
          </w:p>
          <w:p w14:paraId="44353823" w14:textId="3609BE84" w:rsidR="00596935" w:rsidRPr="00596935" w:rsidRDefault="00596935" w:rsidP="003733D2">
            <w:pPr>
              <w:rPr>
                <w:rFonts w:cs="Arial"/>
                <w:sz w:val="20"/>
                <w:szCs w:val="20"/>
                <w:lang w:val="de-AT" w:eastAsia="de-AT"/>
              </w:rPr>
            </w:pPr>
            <w:r w:rsidRPr="00596935">
              <w:rPr>
                <w:rFonts w:cs="Arial"/>
                <w:sz w:val="20"/>
                <w:szCs w:val="20"/>
                <w:lang w:val="de-AT" w:eastAsia="de-AT"/>
              </w:rPr>
              <w:t>2005</w:t>
            </w:r>
          </w:p>
        </w:tc>
        <w:tc>
          <w:tcPr>
            <w:tcW w:w="339" w:type="pct"/>
            <w:tcBorders>
              <w:top w:val="nil"/>
              <w:left w:val="single" w:sz="4" w:space="0" w:color="auto"/>
              <w:bottom w:val="single" w:sz="4" w:space="0" w:color="auto"/>
              <w:right w:val="single" w:sz="4" w:space="0" w:color="auto"/>
            </w:tcBorders>
            <w:shd w:val="clear" w:color="auto" w:fill="auto"/>
            <w:vAlign w:val="center"/>
            <w:hideMark/>
          </w:tcPr>
          <w:p w14:paraId="48B77161"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7</w:t>
            </w:r>
          </w:p>
        </w:tc>
        <w:tc>
          <w:tcPr>
            <w:tcW w:w="533" w:type="pct"/>
            <w:vMerge w:val="restart"/>
            <w:tcBorders>
              <w:top w:val="nil"/>
              <w:left w:val="single" w:sz="4" w:space="0" w:color="auto"/>
              <w:bottom w:val="single" w:sz="4" w:space="0" w:color="auto"/>
              <w:right w:val="single" w:sz="4" w:space="0" w:color="auto"/>
            </w:tcBorders>
            <w:shd w:val="clear" w:color="auto" w:fill="auto"/>
            <w:vAlign w:val="center"/>
            <w:hideMark/>
          </w:tcPr>
          <w:p w14:paraId="408567D6" w14:textId="77777777" w:rsidR="00596935" w:rsidRPr="00596935" w:rsidRDefault="00596935" w:rsidP="00596935">
            <w:pPr>
              <w:rPr>
                <w:rFonts w:cs="Arial"/>
                <w:sz w:val="20"/>
                <w:szCs w:val="20"/>
                <w:lang w:val="de-AT" w:eastAsia="de-AT"/>
              </w:rPr>
            </w:pPr>
            <w:r w:rsidRPr="00596935">
              <w:rPr>
                <w:rFonts w:cs="Arial"/>
                <w:sz w:val="20"/>
                <w:szCs w:val="20"/>
                <w:lang w:val="de-AT" w:eastAsia="de-AT"/>
              </w:rPr>
              <w:t>Freiburger monosyllables</w:t>
            </w:r>
          </w:p>
        </w:tc>
        <w:tc>
          <w:tcPr>
            <w:tcW w:w="353" w:type="pct"/>
            <w:vMerge w:val="restart"/>
            <w:tcBorders>
              <w:top w:val="nil"/>
              <w:left w:val="single" w:sz="4" w:space="0" w:color="auto"/>
              <w:bottom w:val="single" w:sz="4" w:space="0" w:color="auto"/>
              <w:right w:val="single" w:sz="4" w:space="0" w:color="auto"/>
            </w:tcBorders>
            <w:shd w:val="clear" w:color="auto" w:fill="auto"/>
            <w:vAlign w:val="center"/>
            <w:hideMark/>
          </w:tcPr>
          <w:p w14:paraId="58ED4F2A"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65 dB</w:t>
            </w:r>
          </w:p>
        </w:tc>
        <w:tc>
          <w:tcPr>
            <w:tcW w:w="339" w:type="pct"/>
            <w:vMerge w:val="restart"/>
            <w:tcBorders>
              <w:top w:val="nil"/>
              <w:left w:val="single" w:sz="4" w:space="0" w:color="auto"/>
              <w:bottom w:val="single" w:sz="4" w:space="0" w:color="auto"/>
              <w:right w:val="single" w:sz="4" w:space="0" w:color="auto"/>
            </w:tcBorders>
            <w:shd w:val="clear" w:color="auto" w:fill="auto"/>
            <w:vAlign w:val="center"/>
            <w:hideMark/>
          </w:tcPr>
          <w:p w14:paraId="2302D09B"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60 dB</w:t>
            </w:r>
          </w:p>
        </w:tc>
        <w:tc>
          <w:tcPr>
            <w:tcW w:w="317" w:type="pct"/>
            <w:vMerge w:val="restart"/>
            <w:tcBorders>
              <w:top w:val="nil"/>
              <w:left w:val="single" w:sz="4" w:space="0" w:color="auto"/>
              <w:bottom w:val="single" w:sz="4" w:space="0" w:color="auto"/>
              <w:right w:val="single" w:sz="4" w:space="0" w:color="auto"/>
            </w:tcBorders>
            <w:shd w:val="clear" w:color="auto" w:fill="auto"/>
            <w:vAlign w:val="center"/>
            <w:hideMark/>
          </w:tcPr>
          <w:p w14:paraId="3E0995B0"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5</w:t>
            </w:r>
          </w:p>
        </w:tc>
        <w:tc>
          <w:tcPr>
            <w:tcW w:w="540" w:type="pct"/>
            <w:vMerge w:val="restart"/>
            <w:tcBorders>
              <w:top w:val="nil"/>
              <w:left w:val="single" w:sz="4" w:space="0" w:color="auto"/>
              <w:bottom w:val="single" w:sz="4" w:space="0" w:color="auto"/>
              <w:right w:val="nil"/>
            </w:tcBorders>
            <w:shd w:val="clear" w:color="auto" w:fill="auto"/>
            <w:vAlign w:val="center"/>
            <w:hideMark/>
          </w:tcPr>
          <w:p w14:paraId="10C05071"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 word score</w:t>
            </w:r>
          </w:p>
        </w:tc>
        <w:tc>
          <w:tcPr>
            <w:tcW w:w="432" w:type="pct"/>
            <w:tcBorders>
              <w:top w:val="nil"/>
              <w:left w:val="single" w:sz="8" w:space="0" w:color="auto"/>
              <w:bottom w:val="single" w:sz="4" w:space="0" w:color="auto"/>
              <w:right w:val="single" w:sz="4" w:space="0" w:color="auto"/>
            </w:tcBorders>
            <w:shd w:val="clear" w:color="auto" w:fill="auto"/>
            <w:hideMark/>
          </w:tcPr>
          <w:p w14:paraId="3CDAA7D0"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59,3</w:t>
            </w:r>
          </w:p>
        </w:tc>
        <w:tc>
          <w:tcPr>
            <w:tcW w:w="433" w:type="pct"/>
            <w:tcBorders>
              <w:top w:val="nil"/>
              <w:left w:val="nil"/>
              <w:bottom w:val="single" w:sz="4" w:space="0" w:color="auto"/>
              <w:right w:val="single" w:sz="8" w:space="0" w:color="auto"/>
            </w:tcBorders>
            <w:shd w:val="clear" w:color="auto" w:fill="auto"/>
            <w:hideMark/>
          </w:tcPr>
          <w:p w14:paraId="2B64A936"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11,5</w:t>
            </w:r>
          </w:p>
        </w:tc>
        <w:tc>
          <w:tcPr>
            <w:tcW w:w="432" w:type="pct"/>
            <w:tcBorders>
              <w:top w:val="nil"/>
              <w:left w:val="nil"/>
              <w:bottom w:val="single" w:sz="4" w:space="0" w:color="auto"/>
              <w:right w:val="single" w:sz="4" w:space="0" w:color="auto"/>
            </w:tcBorders>
            <w:shd w:val="clear" w:color="auto" w:fill="auto"/>
            <w:vAlign w:val="center"/>
            <w:hideMark/>
          </w:tcPr>
          <w:p w14:paraId="4FBC3D81"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 xml:space="preserve"> -</w:t>
            </w:r>
          </w:p>
        </w:tc>
        <w:tc>
          <w:tcPr>
            <w:tcW w:w="433" w:type="pct"/>
            <w:tcBorders>
              <w:top w:val="nil"/>
              <w:left w:val="nil"/>
              <w:bottom w:val="single" w:sz="4" w:space="0" w:color="auto"/>
              <w:right w:val="single" w:sz="8" w:space="0" w:color="auto"/>
            </w:tcBorders>
            <w:shd w:val="clear" w:color="auto" w:fill="auto"/>
            <w:vAlign w:val="center"/>
            <w:hideMark/>
          </w:tcPr>
          <w:p w14:paraId="0390633F"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 xml:space="preserve"> -</w:t>
            </w:r>
          </w:p>
        </w:tc>
        <w:tc>
          <w:tcPr>
            <w:tcW w:w="432" w:type="pct"/>
            <w:tcBorders>
              <w:top w:val="nil"/>
              <w:left w:val="nil"/>
              <w:bottom w:val="single" w:sz="4" w:space="0" w:color="auto"/>
              <w:right w:val="single" w:sz="8" w:space="0" w:color="auto"/>
            </w:tcBorders>
            <w:shd w:val="clear" w:color="auto" w:fill="auto"/>
            <w:vAlign w:val="bottom"/>
            <w:hideMark/>
          </w:tcPr>
          <w:p w14:paraId="553C1225"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r>
      <w:tr w:rsidR="00596935" w:rsidRPr="00596935" w14:paraId="14FA20DD" w14:textId="77777777" w:rsidTr="00596935">
        <w:trPr>
          <w:trHeight w:val="460"/>
        </w:trPr>
        <w:tc>
          <w:tcPr>
            <w:tcW w:w="417" w:type="pct"/>
            <w:vMerge/>
            <w:tcBorders>
              <w:top w:val="single" w:sz="8" w:space="0" w:color="000000"/>
              <w:left w:val="single" w:sz="8" w:space="0" w:color="auto"/>
              <w:bottom w:val="single" w:sz="8" w:space="0" w:color="000000"/>
              <w:right w:val="nil"/>
            </w:tcBorders>
            <w:vAlign w:val="center"/>
            <w:hideMark/>
          </w:tcPr>
          <w:p w14:paraId="61C7D157" w14:textId="77777777" w:rsidR="00596935" w:rsidRPr="00596935" w:rsidRDefault="00596935" w:rsidP="00596935">
            <w:pPr>
              <w:rPr>
                <w:rFonts w:cs="Arial"/>
                <w:sz w:val="20"/>
                <w:szCs w:val="20"/>
                <w:lang w:val="de-AT" w:eastAsia="de-AT"/>
              </w:rPr>
            </w:pPr>
          </w:p>
        </w:tc>
        <w:tc>
          <w:tcPr>
            <w:tcW w:w="339" w:type="pct"/>
            <w:tcBorders>
              <w:top w:val="nil"/>
              <w:left w:val="single" w:sz="4" w:space="0" w:color="auto"/>
              <w:bottom w:val="single" w:sz="4" w:space="0" w:color="auto"/>
              <w:right w:val="single" w:sz="4" w:space="0" w:color="auto"/>
            </w:tcBorders>
            <w:shd w:val="clear" w:color="auto" w:fill="auto"/>
            <w:vAlign w:val="center"/>
            <w:hideMark/>
          </w:tcPr>
          <w:p w14:paraId="49B6E3A0"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16</w:t>
            </w:r>
          </w:p>
        </w:tc>
        <w:tc>
          <w:tcPr>
            <w:tcW w:w="533" w:type="pct"/>
            <w:vMerge/>
            <w:tcBorders>
              <w:top w:val="nil"/>
              <w:left w:val="single" w:sz="4" w:space="0" w:color="auto"/>
              <w:bottom w:val="single" w:sz="4" w:space="0" w:color="auto"/>
              <w:right w:val="single" w:sz="4" w:space="0" w:color="auto"/>
            </w:tcBorders>
            <w:vAlign w:val="center"/>
            <w:hideMark/>
          </w:tcPr>
          <w:p w14:paraId="084755FB" w14:textId="77777777" w:rsidR="00596935" w:rsidRPr="00596935" w:rsidRDefault="00596935" w:rsidP="00596935">
            <w:pPr>
              <w:rPr>
                <w:rFonts w:cs="Arial"/>
                <w:sz w:val="20"/>
                <w:szCs w:val="20"/>
                <w:lang w:val="de-AT" w:eastAsia="de-AT"/>
              </w:rPr>
            </w:pPr>
          </w:p>
        </w:tc>
        <w:tc>
          <w:tcPr>
            <w:tcW w:w="353" w:type="pct"/>
            <w:vMerge/>
            <w:tcBorders>
              <w:top w:val="nil"/>
              <w:left w:val="single" w:sz="4" w:space="0" w:color="auto"/>
              <w:bottom w:val="single" w:sz="4" w:space="0" w:color="auto"/>
              <w:right w:val="single" w:sz="4" w:space="0" w:color="auto"/>
            </w:tcBorders>
            <w:vAlign w:val="center"/>
            <w:hideMark/>
          </w:tcPr>
          <w:p w14:paraId="33BA4464" w14:textId="77777777" w:rsidR="00596935" w:rsidRPr="00596935" w:rsidRDefault="00596935" w:rsidP="00596935">
            <w:pPr>
              <w:rPr>
                <w:rFonts w:cs="Arial"/>
                <w:sz w:val="20"/>
                <w:szCs w:val="20"/>
                <w:lang w:val="de-AT" w:eastAsia="de-AT"/>
              </w:rPr>
            </w:pPr>
          </w:p>
        </w:tc>
        <w:tc>
          <w:tcPr>
            <w:tcW w:w="339" w:type="pct"/>
            <w:vMerge/>
            <w:tcBorders>
              <w:top w:val="nil"/>
              <w:left w:val="single" w:sz="4" w:space="0" w:color="auto"/>
              <w:bottom w:val="single" w:sz="4" w:space="0" w:color="auto"/>
              <w:right w:val="single" w:sz="4" w:space="0" w:color="auto"/>
            </w:tcBorders>
            <w:vAlign w:val="center"/>
            <w:hideMark/>
          </w:tcPr>
          <w:p w14:paraId="0BDE91BD" w14:textId="77777777" w:rsidR="00596935" w:rsidRPr="00596935" w:rsidRDefault="00596935" w:rsidP="00596935">
            <w:pPr>
              <w:rPr>
                <w:rFonts w:cs="Arial"/>
                <w:sz w:val="20"/>
                <w:szCs w:val="20"/>
                <w:lang w:val="de-AT" w:eastAsia="de-AT"/>
              </w:rPr>
            </w:pPr>
          </w:p>
        </w:tc>
        <w:tc>
          <w:tcPr>
            <w:tcW w:w="317" w:type="pct"/>
            <w:vMerge/>
            <w:tcBorders>
              <w:top w:val="nil"/>
              <w:left w:val="single" w:sz="4" w:space="0" w:color="auto"/>
              <w:bottom w:val="single" w:sz="4" w:space="0" w:color="auto"/>
              <w:right w:val="single" w:sz="4" w:space="0" w:color="auto"/>
            </w:tcBorders>
            <w:vAlign w:val="center"/>
            <w:hideMark/>
          </w:tcPr>
          <w:p w14:paraId="7489B83A" w14:textId="77777777" w:rsidR="00596935" w:rsidRPr="00596935" w:rsidRDefault="00596935" w:rsidP="00596935">
            <w:pPr>
              <w:rPr>
                <w:rFonts w:cs="Arial"/>
                <w:sz w:val="20"/>
                <w:szCs w:val="20"/>
                <w:lang w:val="de-AT" w:eastAsia="de-AT"/>
              </w:rPr>
            </w:pPr>
          </w:p>
        </w:tc>
        <w:tc>
          <w:tcPr>
            <w:tcW w:w="540" w:type="pct"/>
            <w:vMerge/>
            <w:tcBorders>
              <w:top w:val="nil"/>
              <w:left w:val="single" w:sz="4" w:space="0" w:color="auto"/>
              <w:bottom w:val="single" w:sz="4" w:space="0" w:color="auto"/>
              <w:right w:val="nil"/>
            </w:tcBorders>
            <w:vAlign w:val="center"/>
            <w:hideMark/>
          </w:tcPr>
          <w:p w14:paraId="626D8E97" w14:textId="77777777" w:rsidR="00596935" w:rsidRPr="00596935" w:rsidRDefault="00596935" w:rsidP="00596935">
            <w:pPr>
              <w:rPr>
                <w:rFonts w:cs="Arial"/>
                <w:sz w:val="20"/>
                <w:szCs w:val="20"/>
                <w:lang w:val="de-AT" w:eastAsia="de-AT"/>
              </w:rPr>
            </w:pPr>
          </w:p>
        </w:tc>
        <w:tc>
          <w:tcPr>
            <w:tcW w:w="432" w:type="pct"/>
            <w:tcBorders>
              <w:top w:val="nil"/>
              <w:left w:val="single" w:sz="8" w:space="0" w:color="auto"/>
              <w:bottom w:val="single" w:sz="4" w:space="0" w:color="auto"/>
              <w:right w:val="single" w:sz="4" w:space="0" w:color="auto"/>
            </w:tcBorders>
            <w:shd w:val="clear" w:color="auto" w:fill="auto"/>
            <w:hideMark/>
          </w:tcPr>
          <w:p w14:paraId="20042B12"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65,7</w:t>
            </w:r>
          </w:p>
        </w:tc>
        <w:tc>
          <w:tcPr>
            <w:tcW w:w="433" w:type="pct"/>
            <w:tcBorders>
              <w:top w:val="nil"/>
              <w:left w:val="nil"/>
              <w:bottom w:val="single" w:sz="4" w:space="0" w:color="auto"/>
              <w:right w:val="single" w:sz="8" w:space="0" w:color="auto"/>
            </w:tcBorders>
            <w:shd w:val="clear" w:color="auto" w:fill="auto"/>
            <w:hideMark/>
          </w:tcPr>
          <w:p w14:paraId="5AF520D0"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10,1</w:t>
            </w:r>
          </w:p>
        </w:tc>
        <w:tc>
          <w:tcPr>
            <w:tcW w:w="432" w:type="pct"/>
            <w:tcBorders>
              <w:top w:val="nil"/>
              <w:left w:val="nil"/>
              <w:bottom w:val="single" w:sz="4" w:space="0" w:color="auto"/>
              <w:right w:val="single" w:sz="4" w:space="0" w:color="auto"/>
            </w:tcBorders>
            <w:shd w:val="clear" w:color="auto" w:fill="auto"/>
            <w:vAlign w:val="center"/>
            <w:hideMark/>
          </w:tcPr>
          <w:p w14:paraId="08F8AC26"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 xml:space="preserve"> -</w:t>
            </w:r>
          </w:p>
        </w:tc>
        <w:tc>
          <w:tcPr>
            <w:tcW w:w="433" w:type="pct"/>
            <w:tcBorders>
              <w:top w:val="nil"/>
              <w:left w:val="nil"/>
              <w:bottom w:val="single" w:sz="4" w:space="0" w:color="auto"/>
              <w:right w:val="single" w:sz="8" w:space="0" w:color="auto"/>
            </w:tcBorders>
            <w:shd w:val="clear" w:color="auto" w:fill="auto"/>
            <w:vAlign w:val="center"/>
            <w:hideMark/>
          </w:tcPr>
          <w:p w14:paraId="46F0E673"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 xml:space="preserve"> -</w:t>
            </w:r>
          </w:p>
        </w:tc>
        <w:tc>
          <w:tcPr>
            <w:tcW w:w="432" w:type="pct"/>
            <w:tcBorders>
              <w:top w:val="nil"/>
              <w:left w:val="nil"/>
              <w:bottom w:val="single" w:sz="4" w:space="0" w:color="auto"/>
              <w:right w:val="single" w:sz="8" w:space="0" w:color="auto"/>
            </w:tcBorders>
            <w:shd w:val="clear" w:color="auto" w:fill="auto"/>
            <w:vAlign w:val="bottom"/>
            <w:hideMark/>
          </w:tcPr>
          <w:p w14:paraId="22C5AFE8"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r>
      <w:tr w:rsidR="00596935" w:rsidRPr="00596935" w14:paraId="507E8B86" w14:textId="77777777" w:rsidTr="00596935">
        <w:trPr>
          <w:trHeight w:val="460"/>
        </w:trPr>
        <w:tc>
          <w:tcPr>
            <w:tcW w:w="417" w:type="pct"/>
            <w:tcBorders>
              <w:top w:val="nil"/>
              <w:left w:val="single" w:sz="8" w:space="0" w:color="auto"/>
              <w:bottom w:val="nil"/>
              <w:right w:val="nil"/>
            </w:tcBorders>
            <w:shd w:val="clear" w:color="auto" w:fill="auto"/>
            <w:vAlign w:val="center"/>
            <w:hideMark/>
          </w:tcPr>
          <w:p w14:paraId="2C14C83C" w14:textId="77777777" w:rsidR="003733D2" w:rsidRDefault="00596935" w:rsidP="003733D2">
            <w:pPr>
              <w:rPr>
                <w:rFonts w:cs="Arial"/>
                <w:sz w:val="20"/>
                <w:szCs w:val="20"/>
                <w:lang w:val="de-AT" w:eastAsia="de-AT"/>
              </w:rPr>
            </w:pPr>
            <w:r w:rsidRPr="00596935">
              <w:rPr>
                <w:rFonts w:cs="Arial"/>
                <w:sz w:val="20"/>
                <w:szCs w:val="20"/>
                <w:lang w:val="de-AT" w:eastAsia="de-AT"/>
              </w:rPr>
              <w:t>Todt</w:t>
            </w:r>
          </w:p>
          <w:p w14:paraId="5ACB7FFF" w14:textId="34526929" w:rsidR="00596935" w:rsidRPr="00596935" w:rsidRDefault="00596935" w:rsidP="003733D2">
            <w:pPr>
              <w:rPr>
                <w:rFonts w:cs="Arial"/>
                <w:sz w:val="20"/>
                <w:szCs w:val="20"/>
                <w:lang w:val="de-AT" w:eastAsia="de-AT"/>
              </w:rPr>
            </w:pPr>
            <w:r w:rsidRPr="00596935">
              <w:rPr>
                <w:rFonts w:cs="Arial"/>
                <w:sz w:val="20"/>
                <w:szCs w:val="20"/>
                <w:lang w:val="de-AT" w:eastAsia="de-AT"/>
              </w:rPr>
              <w:t>2002</w:t>
            </w:r>
          </w:p>
        </w:tc>
        <w:tc>
          <w:tcPr>
            <w:tcW w:w="339" w:type="pct"/>
            <w:tcBorders>
              <w:top w:val="nil"/>
              <w:left w:val="single" w:sz="4" w:space="0" w:color="auto"/>
              <w:bottom w:val="single" w:sz="4" w:space="0" w:color="auto"/>
              <w:right w:val="single" w:sz="4" w:space="0" w:color="auto"/>
            </w:tcBorders>
            <w:shd w:val="clear" w:color="auto" w:fill="auto"/>
            <w:vAlign w:val="center"/>
            <w:hideMark/>
          </w:tcPr>
          <w:p w14:paraId="4BFA3EF0"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5</w:t>
            </w:r>
          </w:p>
        </w:tc>
        <w:tc>
          <w:tcPr>
            <w:tcW w:w="533" w:type="pct"/>
            <w:tcBorders>
              <w:top w:val="nil"/>
              <w:left w:val="nil"/>
              <w:bottom w:val="single" w:sz="4" w:space="0" w:color="auto"/>
              <w:right w:val="single" w:sz="4" w:space="0" w:color="auto"/>
            </w:tcBorders>
            <w:shd w:val="clear" w:color="auto" w:fill="auto"/>
            <w:vAlign w:val="center"/>
            <w:hideMark/>
          </w:tcPr>
          <w:p w14:paraId="5A4D6D34" w14:textId="77777777" w:rsidR="00596935" w:rsidRPr="00596935" w:rsidRDefault="00596935" w:rsidP="00596935">
            <w:pPr>
              <w:rPr>
                <w:rFonts w:cs="Arial"/>
                <w:sz w:val="20"/>
                <w:szCs w:val="20"/>
                <w:lang w:val="de-AT" w:eastAsia="de-AT"/>
              </w:rPr>
            </w:pPr>
            <w:r w:rsidRPr="00596935">
              <w:rPr>
                <w:rFonts w:cs="Arial"/>
                <w:sz w:val="20"/>
                <w:szCs w:val="20"/>
                <w:lang w:val="de-AT" w:eastAsia="de-AT"/>
              </w:rPr>
              <w:t>Freiburger monosyllables</w:t>
            </w:r>
          </w:p>
        </w:tc>
        <w:tc>
          <w:tcPr>
            <w:tcW w:w="353" w:type="pct"/>
            <w:tcBorders>
              <w:top w:val="nil"/>
              <w:left w:val="nil"/>
              <w:bottom w:val="single" w:sz="4" w:space="0" w:color="auto"/>
              <w:right w:val="single" w:sz="4" w:space="0" w:color="auto"/>
            </w:tcBorders>
            <w:shd w:val="clear" w:color="auto" w:fill="auto"/>
            <w:vAlign w:val="center"/>
            <w:hideMark/>
          </w:tcPr>
          <w:p w14:paraId="676352EF"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65 dB</w:t>
            </w:r>
          </w:p>
        </w:tc>
        <w:tc>
          <w:tcPr>
            <w:tcW w:w="339" w:type="pct"/>
            <w:tcBorders>
              <w:top w:val="nil"/>
              <w:left w:val="nil"/>
              <w:bottom w:val="single" w:sz="4" w:space="0" w:color="auto"/>
              <w:right w:val="single" w:sz="4" w:space="0" w:color="auto"/>
            </w:tcBorders>
            <w:shd w:val="clear" w:color="auto" w:fill="auto"/>
            <w:vAlign w:val="center"/>
            <w:hideMark/>
          </w:tcPr>
          <w:p w14:paraId="68717C01"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60 dB</w:t>
            </w:r>
          </w:p>
        </w:tc>
        <w:tc>
          <w:tcPr>
            <w:tcW w:w="317" w:type="pct"/>
            <w:tcBorders>
              <w:top w:val="nil"/>
              <w:left w:val="nil"/>
              <w:bottom w:val="single" w:sz="4" w:space="0" w:color="auto"/>
              <w:right w:val="single" w:sz="4" w:space="0" w:color="auto"/>
            </w:tcBorders>
            <w:shd w:val="clear" w:color="auto" w:fill="auto"/>
            <w:vAlign w:val="center"/>
            <w:hideMark/>
          </w:tcPr>
          <w:p w14:paraId="64AF22C1"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5</w:t>
            </w:r>
          </w:p>
        </w:tc>
        <w:tc>
          <w:tcPr>
            <w:tcW w:w="540" w:type="pct"/>
            <w:tcBorders>
              <w:top w:val="nil"/>
              <w:left w:val="nil"/>
              <w:bottom w:val="single" w:sz="4" w:space="0" w:color="auto"/>
              <w:right w:val="nil"/>
            </w:tcBorders>
            <w:shd w:val="clear" w:color="auto" w:fill="auto"/>
            <w:vAlign w:val="center"/>
            <w:hideMark/>
          </w:tcPr>
          <w:p w14:paraId="2DD531A3"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 word score</w:t>
            </w:r>
          </w:p>
        </w:tc>
        <w:tc>
          <w:tcPr>
            <w:tcW w:w="432" w:type="pct"/>
            <w:tcBorders>
              <w:top w:val="nil"/>
              <w:left w:val="single" w:sz="8" w:space="0" w:color="auto"/>
              <w:bottom w:val="single" w:sz="4" w:space="0" w:color="auto"/>
              <w:right w:val="single" w:sz="4" w:space="0" w:color="auto"/>
            </w:tcBorders>
            <w:shd w:val="clear" w:color="auto" w:fill="auto"/>
            <w:hideMark/>
          </w:tcPr>
          <w:p w14:paraId="66DE06CA"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74</w:t>
            </w:r>
          </w:p>
        </w:tc>
        <w:tc>
          <w:tcPr>
            <w:tcW w:w="433" w:type="pct"/>
            <w:tcBorders>
              <w:top w:val="nil"/>
              <w:left w:val="nil"/>
              <w:bottom w:val="single" w:sz="4" w:space="0" w:color="auto"/>
              <w:right w:val="single" w:sz="8" w:space="0" w:color="auto"/>
            </w:tcBorders>
            <w:shd w:val="clear" w:color="auto" w:fill="auto"/>
            <w:hideMark/>
          </w:tcPr>
          <w:p w14:paraId="6EB765A5"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9</w:t>
            </w:r>
          </w:p>
        </w:tc>
        <w:tc>
          <w:tcPr>
            <w:tcW w:w="432" w:type="pct"/>
            <w:tcBorders>
              <w:top w:val="nil"/>
              <w:left w:val="nil"/>
              <w:bottom w:val="single" w:sz="4" w:space="0" w:color="auto"/>
              <w:right w:val="single" w:sz="4" w:space="0" w:color="auto"/>
            </w:tcBorders>
            <w:shd w:val="clear" w:color="auto" w:fill="auto"/>
            <w:vAlign w:val="center"/>
            <w:hideMark/>
          </w:tcPr>
          <w:p w14:paraId="0CC36B39"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 xml:space="preserve"> -</w:t>
            </w:r>
          </w:p>
        </w:tc>
        <w:tc>
          <w:tcPr>
            <w:tcW w:w="433" w:type="pct"/>
            <w:tcBorders>
              <w:top w:val="nil"/>
              <w:left w:val="nil"/>
              <w:bottom w:val="single" w:sz="4" w:space="0" w:color="auto"/>
              <w:right w:val="single" w:sz="8" w:space="0" w:color="auto"/>
            </w:tcBorders>
            <w:shd w:val="clear" w:color="auto" w:fill="auto"/>
            <w:vAlign w:val="center"/>
            <w:hideMark/>
          </w:tcPr>
          <w:p w14:paraId="3FF51BFC"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 xml:space="preserve"> -</w:t>
            </w:r>
          </w:p>
        </w:tc>
        <w:tc>
          <w:tcPr>
            <w:tcW w:w="432" w:type="pct"/>
            <w:tcBorders>
              <w:top w:val="nil"/>
              <w:left w:val="nil"/>
              <w:bottom w:val="single" w:sz="4" w:space="0" w:color="auto"/>
              <w:right w:val="single" w:sz="8" w:space="0" w:color="auto"/>
            </w:tcBorders>
            <w:shd w:val="clear" w:color="auto" w:fill="auto"/>
            <w:vAlign w:val="bottom"/>
            <w:hideMark/>
          </w:tcPr>
          <w:p w14:paraId="393F67D1"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r>
      <w:tr w:rsidR="00596935" w:rsidRPr="00596935" w14:paraId="08E425D3" w14:textId="77777777" w:rsidTr="00596935">
        <w:trPr>
          <w:trHeight w:val="460"/>
        </w:trPr>
        <w:tc>
          <w:tcPr>
            <w:tcW w:w="417" w:type="pct"/>
            <w:tcBorders>
              <w:top w:val="single" w:sz="8" w:space="0" w:color="000000"/>
              <w:left w:val="single" w:sz="8" w:space="0" w:color="auto"/>
              <w:bottom w:val="single" w:sz="8" w:space="0" w:color="auto"/>
              <w:right w:val="nil"/>
            </w:tcBorders>
            <w:shd w:val="clear" w:color="auto" w:fill="auto"/>
            <w:vAlign w:val="center"/>
            <w:hideMark/>
          </w:tcPr>
          <w:p w14:paraId="01EF03A9" w14:textId="77777777" w:rsidR="003733D2" w:rsidRDefault="00596935" w:rsidP="003733D2">
            <w:pPr>
              <w:rPr>
                <w:rFonts w:cs="Arial"/>
                <w:sz w:val="20"/>
                <w:szCs w:val="20"/>
                <w:lang w:val="de-AT" w:eastAsia="de-AT"/>
              </w:rPr>
            </w:pPr>
            <w:r w:rsidRPr="00596935">
              <w:rPr>
                <w:rFonts w:cs="Arial"/>
                <w:sz w:val="20"/>
                <w:szCs w:val="20"/>
                <w:lang w:val="de-AT" w:eastAsia="de-AT"/>
              </w:rPr>
              <w:t>Uziel</w:t>
            </w:r>
          </w:p>
          <w:p w14:paraId="21BB8247" w14:textId="496C14F4" w:rsidR="00596935" w:rsidRPr="00596935" w:rsidRDefault="00596935" w:rsidP="003733D2">
            <w:pPr>
              <w:rPr>
                <w:rFonts w:cs="Arial"/>
                <w:sz w:val="20"/>
                <w:szCs w:val="20"/>
                <w:lang w:val="de-AT" w:eastAsia="de-AT"/>
              </w:rPr>
            </w:pPr>
            <w:r w:rsidRPr="00596935">
              <w:rPr>
                <w:rFonts w:cs="Arial"/>
                <w:sz w:val="20"/>
                <w:szCs w:val="20"/>
                <w:lang w:val="de-AT" w:eastAsia="de-AT"/>
              </w:rPr>
              <w:t>2003</w:t>
            </w:r>
          </w:p>
        </w:tc>
        <w:tc>
          <w:tcPr>
            <w:tcW w:w="339" w:type="pct"/>
            <w:tcBorders>
              <w:top w:val="nil"/>
              <w:left w:val="single" w:sz="4" w:space="0" w:color="auto"/>
              <w:bottom w:val="single" w:sz="8" w:space="0" w:color="auto"/>
              <w:right w:val="single" w:sz="4" w:space="0" w:color="auto"/>
            </w:tcBorders>
            <w:shd w:val="clear" w:color="auto" w:fill="auto"/>
            <w:vAlign w:val="center"/>
            <w:hideMark/>
          </w:tcPr>
          <w:p w14:paraId="3181952B"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6</w:t>
            </w:r>
          </w:p>
        </w:tc>
        <w:tc>
          <w:tcPr>
            <w:tcW w:w="533" w:type="pct"/>
            <w:tcBorders>
              <w:top w:val="nil"/>
              <w:left w:val="nil"/>
              <w:bottom w:val="single" w:sz="8" w:space="0" w:color="auto"/>
              <w:right w:val="single" w:sz="4" w:space="0" w:color="auto"/>
            </w:tcBorders>
            <w:shd w:val="clear" w:color="auto" w:fill="auto"/>
            <w:vAlign w:val="center"/>
            <w:hideMark/>
          </w:tcPr>
          <w:p w14:paraId="53444F03" w14:textId="77777777" w:rsidR="00596935" w:rsidRPr="00596935" w:rsidRDefault="00596935" w:rsidP="00596935">
            <w:pPr>
              <w:rPr>
                <w:rFonts w:cs="Arial"/>
                <w:sz w:val="20"/>
                <w:szCs w:val="20"/>
                <w:lang w:val="de-AT" w:eastAsia="de-AT"/>
              </w:rPr>
            </w:pPr>
            <w:r w:rsidRPr="00596935">
              <w:rPr>
                <w:rFonts w:cs="Arial"/>
                <w:sz w:val="20"/>
                <w:szCs w:val="20"/>
                <w:lang w:val="de-AT" w:eastAsia="de-AT"/>
              </w:rPr>
              <w:t>Fournier french words</w:t>
            </w:r>
          </w:p>
        </w:tc>
        <w:tc>
          <w:tcPr>
            <w:tcW w:w="353" w:type="pct"/>
            <w:tcBorders>
              <w:top w:val="nil"/>
              <w:left w:val="nil"/>
              <w:bottom w:val="single" w:sz="8" w:space="0" w:color="auto"/>
              <w:right w:val="single" w:sz="4" w:space="0" w:color="auto"/>
            </w:tcBorders>
            <w:shd w:val="clear" w:color="auto" w:fill="auto"/>
            <w:vAlign w:val="center"/>
            <w:hideMark/>
          </w:tcPr>
          <w:p w14:paraId="7E980F5C"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adaptive</w:t>
            </w:r>
          </w:p>
        </w:tc>
        <w:tc>
          <w:tcPr>
            <w:tcW w:w="339" w:type="pct"/>
            <w:tcBorders>
              <w:top w:val="nil"/>
              <w:left w:val="nil"/>
              <w:bottom w:val="single" w:sz="8" w:space="0" w:color="auto"/>
              <w:right w:val="single" w:sz="4" w:space="0" w:color="auto"/>
            </w:tcBorders>
            <w:shd w:val="clear" w:color="auto" w:fill="auto"/>
            <w:vAlign w:val="center"/>
            <w:hideMark/>
          </w:tcPr>
          <w:p w14:paraId="2A92447E"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60 dB</w:t>
            </w:r>
          </w:p>
        </w:tc>
        <w:tc>
          <w:tcPr>
            <w:tcW w:w="317" w:type="pct"/>
            <w:tcBorders>
              <w:top w:val="nil"/>
              <w:left w:val="nil"/>
              <w:bottom w:val="single" w:sz="8" w:space="0" w:color="auto"/>
              <w:right w:val="single" w:sz="4" w:space="0" w:color="auto"/>
            </w:tcBorders>
            <w:shd w:val="clear" w:color="auto" w:fill="auto"/>
            <w:vAlign w:val="center"/>
            <w:hideMark/>
          </w:tcPr>
          <w:p w14:paraId="485A6A38"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 xml:space="preserve">various </w:t>
            </w:r>
          </w:p>
        </w:tc>
        <w:tc>
          <w:tcPr>
            <w:tcW w:w="540" w:type="pct"/>
            <w:tcBorders>
              <w:top w:val="nil"/>
              <w:left w:val="nil"/>
              <w:bottom w:val="single" w:sz="8" w:space="0" w:color="auto"/>
              <w:right w:val="nil"/>
            </w:tcBorders>
            <w:shd w:val="clear" w:color="auto" w:fill="auto"/>
            <w:vAlign w:val="center"/>
            <w:hideMark/>
          </w:tcPr>
          <w:p w14:paraId="4FA9B505"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 word score</w:t>
            </w:r>
          </w:p>
        </w:tc>
        <w:tc>
          <w:tcPr>
            <w:tcW w:w="432" w:type="pct"/>
            <w:tcBorders>
              <w:top w:val="nil"/>
              <w:left w:val="single" w:sz="8" w:space="0" w:color="auto"/>
              <w:bottom w:val="single" w:sz="8" w:space="0" w:color="auto"/>
              <w:right w:val="single" w:sz="4" w:space="0" w:color="auto"/>
            </w:tcBorders>
            <w:shd w:val="clear" w:color="auto" w:fill="auto"/>
            <w:vAlign w:val="center"/>
            <w:hideMark/>
          </w:tcPr>
          <w:p w14:paraId="3C925004"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NS</w:t>
            </w:r>
          </w:p>
        </w:tc>
        <w:tc>
          <w:tcPr>
            <w:tcW w:w="433" w:type="pct"/>
            <w:tcBorders>
              <w:top w:val="nil"/>
              <w:left w:val="nil"/>
              <w:bottom w:val="single" w:sz="8" w:space="0" w:color="auto"/>
              <w:right w:val="single" w:sz="8" w:space="0" w:color="auto"/>
            </w:tcBorders>
            <w:shd w:val="clear" w:color="auto" w:fill="auto"/>
            <w:vAlign w:val="center"/>
            <w:hideMark/>
          </w:tcPr>
          <w:p w14:paraId="54148311"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 xml:space="preserve"> -</w:t>
            </w:r>
          </w:p>
        </w:tc>
        <w:tc>
          <w:tcPr>
            <w:tcW w:w="432" w:type="pct"/>
            <w:tcBorders>
              <w:top w:val="nil"/>
              <w:left w:val="nil"/>
              <w:bottom w:val="single" w:sz="8" w:space="0" w:color="auto"/>
              <w:right w:val="single" w:sz="4" w:space="0" w:color="auto"/>
            </w:tcBorders>
            <w:shd w:val="clear" w:color="auto" w:fill="auto"/>
            <w:vAlign w:val="center"/>
            <w:hideMark/>
          </w:tcPr>
          <w:p w14:paraId="31F5064F"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 xml:space="preserve"> -</w:t>
            </w:r>
          </w:p>
        </w:tc>
        <w:tc>
          <w:tcPr>
            <w:tcW w:w="433" w:type="pct"/>
            <w:tcBorders>
              <w:top w:val="nil"/>
              <w:left w:val="nil"/>
              <w:bottom w:val="single" w:sz="8" w:space="0" w:color="auto"/>
              <w:right w:val="single" w:sz="8" w:space="0" w:color="auto"/>
            </w:tcBorders>
            <w:shd w:val="clear" w:color="auto" w:fill="auto"/>
            <w:vAlign w:val="center"/>
            <w:hideMark/>
          </w:tcPr>
          <w:p w14:paraId="1FFFC417"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 xml:space="preserve"> -</w:t>
            </w:r>
          </w:p>
        </w:tc>
        <w:tc>
          <w:tcPr>
            <w:tcW w:w="432" w:type="pct"/>
            <w:tcBorders>
              <w:top w:val="nil"/>
              <w:left w:val="nil"/>
              <w:bottom w:val="single" w:sz="8" w:space="0" w:color="auto"/>
              <w:right w:val="single" w:sz="8" w:space="0" w:color="auto"/>
            </w:tcBorders>
            <w:shd w:val="clear" w:color="auto" w:fill="auto"/>
            <w:vAlign w:val="bottom"/>
            <w:hideMark/>
          </w:tcPr>
          <w:p w14:paraId="32127375"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w:t>
            </w:r>
          </w:p>
        </w:tc>
      </w:tr>
      <w:tr w:rsidR="00596935" w:rsidRPr="00596935" w14:paraId="619F3A4D" w14:textId="77777777" w:rsidTr="00596935">
        <w:trPr>
          <w:trHeight w:val="460"/>
        </w:trPr>
        <w:tc>
          <w:tcPr>
            <w:tcW w:w="757" w:type="pct"/>
            <w:gridSpan w:val="2"/>
            <w:tcBorders>
              <w:top w:val="nil"/>
              <w:left w:val="nil"/>
              <w:bottom w:val="nil"/>
              <w:right w:val="nil"/>
            </w:tcBorders>
            <w:shd w:val="clear" w:color="auto" w:fill="auto"/>
            <w:noWrap/>
            <w:hideMark/>
          </w:tcPr>
          <w:p w14:paraId="338BCCB8" w14:textId="77777777" w:rsidR="00596935" w:rsidRPr="00596935" w:rsidRDefault="00596935" w:rsidP="00596935">
            <w:pPr>
              <w:rPr>
                <w:rFonts w:cs="Arial"/>
                <w:color w:val="000000"/>
                <w:sz w:val="20"/>
                <w:szCs w:val="20"/>
                <w:lang w:val="de-AT" w:eastAsia="de-AT"/>
              </w:rPr>
            </w:pPr>
            <w:r w:rsidRPr="00596935">
              <w:rPr>
                <w:rFonts w:cs="Arial"/>
                <w:color w:val="000000"/>
                <w:sz w:val="20"/>
                <w:szCs w:val="20"/>
                <w:lang w:val="de-AT" w:eastAsia="de-AT"/>
              </w:rPr>
              <w:t>NS: not stated</w:t>
            </w:r>
          </w:p>
        </w:tc>
        <w:tc>
          <w:tcPr>
            <w:tcW w:w="533" w:type="pct"/>
            <w:tcBorders>
              <w:top w:val="nil"/>
              <w:left w:val="nil"/>
              <w:bottom w:val="nil"/>
              <w:right w:val="nil"/>
            </w:tcBorders>
            <w:shd w:val="clear" w:color="auto" w:fill="auto"/>
            <w:noWrap/>
            <w:vAlign w:val="center"/>
            <w:hideMark/>
          </w:tcPr>
          <w:p w14:paraId="15398A1C" w14:textId="77777777" w:rsidR="00596935" w:rsidRPr="00596935" w:rsidRDefault="00596935" w:rsidP="00596935">
            <w:pPr>
              <w:jc w:val="center"/>
              <w:rPr>
                <w:rFonts w:cs="Arial"/>
                <w:color w:val="000000"/>
                <w:sz w:val="20"/>
                <w:szCs w:val="20"/>
                <w:lang w:val="de-AT" w:eastAsia="de-AT"/>
              </w:rPr>
            </w:pPr>
          </w:p>
        </w:tc>
        <w:tc>
          <w:tcPr>
            <w:tcW w:w="353" w:type="pct"/>
            <w:tcBorders>
              <w:top w:val="nil"/>
              <w:left w:val="nil"/>
              <w:bottom w:val="nil"/>
              <w:right w:val="nil"/>
            </w:tcBorders>
            <w:shd w:val="clear" w:color="auto" w:fill="auto"/>
            <w:noWrap/>
            <w:vAlign w:val="center"/>
            <w:hideMark/>
          </w:tcPr>
          <w:p w14:paraId="5B7410CA" w14:textId="77777777" w:rsidR="00596935" w:rsidRPr="00596935" w:rsidRDefault="00596935" w:rsidP="00596935">
            <w:pPr>
              <w:jc w:val="center"/>
              <w:rPr>
                <w:rFonts w:cs="Arial"/>
                <w:color w:val="000000"/>
                <w:sz w:val="20"/>
                <w:szCs w:val="20"/>
                <w:lang w:val="de-AT" w:eastAsia="de-AT"/>
              </w:rPr>
            </w:pPr>
          </w:p>
        </w:tc>
        <w:tc>
          <w:tcPr>
            <w:tcW w:w="339" w:type="pct"/>
            <w:tcBorders>
              <w:top w:val="nil"/>
              <w:left w:val="nil"/>
              <w:bottom w:val="nil"/>
              <w:right w:val="nil"/>
            </w:tcBorders>
            <w:shd w:val="clear" w:color="auto" w:fill="auto"/>
            <w:noWrap/>
            <w:vAlign w:val="bottom"/>
            <w:hideMark/>
          </w:tcPr>
          <w:p w14:paraId="0EB4ED34" w14:textId="77777777" w:rsidR="00596935" w:rsidRPr="00596935" w:rsidRDefault="00596935" w:rsidP="00596935">
            <w:pPr>
              <w:rPr>
                <w:rFonts w:cs="Arial"/>
                <w:color w:val="000000"/>
                <w:sz w:val="20"/>
                <w:szCs w:val="20"/>
                <w:lang w:val="de-AT" w:eastAsia="de-AT"/>
              </w:rPr>
            </w:pPr>
          </w:p>
        </w:tc>
        <w:tc>
          <w:tcPr>
            <w:tcW w:w="317" w:type="pct"/>
            <w:tcBorders>
              <w:top w:val="nil"/>
              <w:left w:val="nil"/>
              <w:bottom w:val="nil"/>
              <w:right w:val="nil"/>
            </w:tcBorders>
            <w:shd w:val="clear" w:color="auto" w:fill="auto"/>
            <w:noWrap/>
            <w:vAlign w:val="bottom"/>
            <w:hideMark/>
          </w:tcPr>
          <w:p w14:paraId="4DFC92DF" w14:textId="77777777" w:rsidR="00596935" w:rsidRPr="00596935" w:rsidRDefault="00596935" w:rsidP="00596935">
            <w:pPr>
              <w:jc w:val="center"/>
              <w:rPr>
                <w:rFonts w:cs="Arial"/>
                <w:color w:val="000000"/>
                <w:sz w:val="20"/>
                <w:szCs w:val="20"/>
                <w:lang w:val="de-AT" w:eastAsia="de-AT"/>
              </w:rPr>
            </w:pPr>
          </w:p>
        </w:tc>
        <w:tc>
          <w:tcPr>
            <w:tcW w:w="540" w:type="pct"/>
            <w:tcBorders>
              <w:top w:val="nil"/>
              <w:left w:val="nil"/>
              <w:bottom w:val="nil"/>
              <w:right w:val="nil"/>
            </w:tcBorders>
            <w:shd w:val="clear" w:color="auto" w:fill="auto"/>
            <w:noWrap/>
            <w:vAlign w:val="bottom"/>
            <w:hideMark/>
          </w:tcPr>
          <w:p w14:paraId="6D9B4A94" w14:textId="77777777" w:rsidR="00596935" w:rsidRPr="00596935" w:rsidRDefault="00596935" w:rsidP="00596935">
            <w:pPr>
              <w:jc w:val="center"/>
              <w:rPr>
                <w:rFonts w:cs="Arial"/>
                <w:color w:val="000000"/>
                <w:sz w:val="20"/>
                <w:szCs w:val="20"/>
                <w:lang w:val="de-AT" w:eastAsia="de-AT"/>
              </w:rPr>
            </w:pPr>
          </w:p>
        </w:tc>
        <w:tc>
          <w:tcPr>
            <w:tcW w:w="432" w:type="pct"/>
            <w:tcBorders>
              <w:top w:val="nil"/>
              <w:left w:val="nil"/>
              <w:bottom w:val="nil"/>
              <w:right w:val="nil"/>
            </w:tcBorders>
            <w:shd w:val="clear" w:color="auto" w:fill="auto"/>
            <w:noWrap/>
            <w:vAlign w:val="bottom"/>
            <w:hideMark/>
          </w:tcPr>
          <w:p w14:paraId="7988FA3C" w14:textId="77777777" w:rsidR="00596935" w:rsidRPr="00596935" w:rsidRDefault="00596935" w:rsidP="00596935">
            <w:pPr>
              <w:rPr>
                <w:rFonts w:cs="Arial"/>
                <w:color w:val="000000"/>
                <w:sz w:val="20"/>
                <w:szCs w:val="20"/>
                <w:lang w:val="de-AT" w:eastAsia="de-AT"/>
              </w:rPr>
            </w:pPr>
          </w:p>
        </w:tc>
        <w:tc>
          <w:tcPr>
            <w:tcW w:w="433" w:type="pct"/>
            <w:tcBorders>
              <w:top w:val="nil"/>
              <w:left w:val="nil"/>
              <w:bottom w:val="nil"/>
              <w:right w:val="nil"/>
            </w:tcBorders>
            <w:shd w:val="clear" w:color="auto" w:fill="auto"/>
            <w:noWrap/>
            <w:vAlign w:val="bottom"/>
            <w:hideMark/>
          </w:tcPr>
          <w:p w14:paraId="16F4D459" w14:textId="77777777" w:rsidR="00596935" w:rsidRPr="00596935" w:rsidRDefault="00596935" w:rsidP="00596935">
            <w:pPr>
              <w:rPr>
                <w:rFonts w:cs="Arial"/>
                <w:color w:val="000000"/>
                <w:sz w:val="20"/>
                <w:szCs w:val="20"/>
                <w:lang w:val="de-AT" w:eastAsia="de-AT"/>
              </w:rPr>
            </w:pPr>
          </w:p>
        </w:tc>
        <w:tc>
          <w:tcPr>
            <w:tcW w:w="432" w:type="pct"/>
            <w:tcBorders>
              <w:top w:val="nil"/>
              <w:left w:val="nil"/>
              <w:bottom w:val="nil"/>
              <w:right w:val="nil"/>
            </w:tcBorders>
            <w:shd w:val="clear" w:color="auto" w:fill="auto"/>
            <w:noWrap/>
            <w:vAlign w:val="bottom"/>
            <w:hideMark/>
          </w:tcPr>
          <w:p w14:paraId="49831A3F" w14:textId="77777777" w:rsidR="00596935" w:rsidRPr="00596935" w:rsidRDefault="00596935" w:rsidP="00596935">
            <w:pPr>
              <w:rPr>
                <w:rFonts w:cs="Arial"/>
                <w:color w:val="000000"/>
                <w:sz w:val="20"/>
                <w:szCs w:val="20"/>
                <w:lang w:val="de-AT" w:eastAsia="de-AT"/>
              </w:rPr>
            </w:pPr>
          </w:p>
        </w:tc>
        <w:tc>
          <w:tcPr>
            <w:tcW w:w="433" w:type="pct"/>
            <w:tcBorders>
              <w:top w:val="nil"/>
              <w:left w:val="nil"/>
              <w:bottom w:val="nil"/>
              <w:right w:val="nil"/>
            </w:tcBorders>
            <w:shd w:val="clear" w:color="auto" w:fill="auto"/>
            <w:noWrap/>
            <w:vAlign w:val="bottom"/>
            <w:hideMark/>
          </w:tcPr>
          <w:p w14:paraId="4592BA67" w14:textId="77777777" w:rsidR="00596935" w:rsidRPr="00596935" w:rsidRDefault="00596935" w:rsidP="00596935">
            <w:pPr>
              <w:rPr>
                <w:rFonts w:cs="Arial"/>
                <w:color w:val="000000"/>
                <w:sz w:val="20"/>
                <w:szCs w:val="20"/>
                <w:lang w:val="de-AT" w:eastAsia="de-AT"/>
              </w:rPr>
            </w:pPr>
          </w:p>
        </w:tc>
        <w:tc>
          <w:tcPr>
            <w:tcW w:w="432" w:type="pct"/>
            <w:tcBorders>
              <w:top w:val="nil"/>
              <w:left w:val="nil"/>
              <w:bottom w:val="nil"/>
              <w:right w:val="nil"/>
            </w:tcBorders>
            <w:shd w:val="clear" w:color="auto" w:fill="auto"/>
            <w:noWrap/>
            <w:vAlign w:val="bottom"/>
            <w:hideMark/>
          </w:tcPr>
          <w:p w14:paraId="2905E141" w14:textId="77777777" w:rsidR="00596935" w:rsidRPr="00596935" w:rsidRDefault="00596935" w:rsidP="00596935">
            <w:pPr>
              <w:jc w:val="center"/>
              <w:rPr>
                <w:rFonts w:cs="Arial"/>
                <w:color w:val="000000"/>
                <w:sz w:val="20"/>
                <w:szCs w:val="20"/>
                <w:lang w:val="de-AT" w:eastAsia="de-AT"/>
              </w:rPr>
            </w:pPr>
          </w:p>
        </w:tc>
      </w:tr>
    </w:tbl>
    <w:p w14:paraId="348C84F3" w14:textId="77777777" w:rsidR="00596935" w:rsidRPr="00596935" w:rsidRDefault="00596935" w:rsidP="00596935">
      <w:pPr>
        <w:spacing w:after="200" w:line="276" w:lineRule="auto"/>
        <w:rPr>
          <w:rFonts w:asciiTheme="minorHAnsi" w:eastAsiaTheme="minorHAnsi" w:hAnsiTheme="minorHAnsi" w:cstheme="minorBidi"/>
          <w:sz w:val="24"/>
          <w:szCs w:val="24"/>
          <w:lang w:val="en-GB" w:eastAsia="en-US"/>
        </w:rPr>
        <w:sectPr w:rsidR="00596935" w:rsidRPr="00596935" w:rsidSect="00596935">
          <w:pgSz w:w="16838" w:h="11906" w:orient="landscape"/>
          <w:pgMar w:top="1417" w:right="1417" w:bottom="1417" w:left="1134" w:header="708" w:footer="708" w:gutter="0"/>
          <w:cols w:space="708"/>
          <w:docGrid w:linePitch="360"/>
        </w:sectPr>
      </w:pPr>
    </w:p>
    <w:p w14:paraId="0DD5241D" w14:textId="77777777" w:rsidR="00596935" w:rsidRPr="00C67966" w:rsidRDefault="00596935" w:rsidP="00C67966">
      <w:pPr>
        <w:pStyle w:val="Textbody"/>
        <w:rPr>
          <w:rFonts w:eastAsiaTheme="minorHAnsi"/>
        </w:rPr>
      </w:pPr>
      <w:r w:rsidRPr="00C67966">
        <w:rPr>
          <w:rFonts w:eastAsiaTheme="minorHAnsi"/>
        </w:rPr>
        <w:lastRenderedPageBreak/>
        <w:t>One study measured speech recognition in noise for the SOUNDTEC device (Hough 2002). The test used was the Speech Perception and Noise test (SPIN) under monaural listening condition. In total 95 patients participated, but only a gain of 0.1 was reported, no further details stated.</w:t>
      </w:r>
    </w:p>
    <w:p w14:paraId="44D72B1A" w14:textId="77777777" w:rsidR="00596935" w:rsidRPr="00C67966" w:rsidRDefault="00596935" w:rsidP="00C67966">
      <w:pPr>
        <w:pStyle w:val="Textbody"/>
        <w:rPr>
          <w:rFonts w:eastAsiaTheme="minorHAnsi"/>
        </w:rPr>
      </w:pPr>
      <w:r w:rsidRPr="00C67966">
        <w:rPr>
          <w:rFonts w:eastAsiaTheme="minorHAnsi"/>
        </w:rPr>
        <w:t xml:space="preserve">Speech recognition in noise for the fully implantable devices, Carina and Esteem was assessed in 3 studies, with a total of 48 patients. Several different speech tests were implemented at different signal-to-noise ratios (SNR), making it difficult to summarise the results for the Esteem and Carina outcomes. The full list of outcome is presented in </w:t>
      </w:r>
      <w:r w:rsidR="00D77AE9" w:rsidRPr="00C67966">
        <w:rPr>
          <w:rFonts w:eastAsiaTheme="minorHAnsi"/>
        </w:rPr>
        <w:fldChar w:fldCharType="begin"/>
      </w:r>
      <w:r w:rsidR="00D77AE9" w:rsidRPr="00C67966">
        <w:rPr>
          <w:rFonts w:eastAsiaTheme="minorHAnsi"/>
        </w:rPr>
        <w:instrText xml:space="preserve"> REF _Ref400644035 \h </w:instrText>
      </w:r>
      <w:r w:rsidR="00C67966" w:rsidRPr="00C67966">
        <w:rPr>
          <w:rFonts w:eastAsiaTheme="minorHAnsi"/>
        </w:rPr>
        <w:instrText xml:space="preserve"> \* MERGEFORMAT </w:instrText>
      </w:r>
      <w:r w:rsidR="00D77AE9" w:rsidRPr="00C67966">
        <w:rPr>
          <w:rFonts w:eastAsiaTheme="minorHAnsi"/>
        </w:rPr>
      </w:r>
      <w:r w:rsidR="00D77AE9" w:rsidRPr="00C67966">
        <w:rPr>
          <w:rFonts w:eastAsiaTheme="minorHAnsi"/>
        </w:rPr>
        <w:fldChar w:fldCharType="separate"/>
      </w:r>
      <w:r w:rsidR="00016592" w:rsidRPr="00C67966">
        <w:t xml:space="preserve">Table </w:t>
      </w:r>
      <w:r w:rsidR="00016592">
        <w:t>22</w:t>
      </w:r>
      <w:r w:rsidR="00016592" w:rsidRPr="00C67966">
        <w:t xml:space="preserve"> -</w:t>
      </w:r>
      <w:r w:rsidR="00016592" w:rsidRPr="00C67966">
        <w:rPr>
          <w:rFonts w:eastAsiaTheme="minorHAnsi"/>
          <w:lang w:val="en-GB" w:eastAsia="en-US"/>
        </w:rPr>
        <w:t xml:space="preserve"> Speech in noise comparator</w:t>
      </w:r>
      <w:r w:rsidR="00D77AE9" w:rsidRPr="00C67966">
        <w:rPr>
          <w:rFonts w:eastAsiaTheme="minorHAnsi"/>
        </w:rPr>
        <w:fldChar w:fldCharType="end"/>
      </w:r>
      <w:r w:rsidRPr="00C67966">
        <w:rPr>
          <w:rFonts w:eastAsiaTheme="minorHAnsi"/>
        </w:rPr>
        <w:t>. Furthermore there is no unaided performance measurement, making it difficult to draw assumptions regarding improvement of speech in noise.</w:t>
      </w:r>
    </w:p>
    <w:p w14:paraId="0D9D51A0" w14:textId="77777777" w:rsidR="00596935" w:rsidRPr="00596935" w:rsidRDefault="00596935" w:rsidP="00596935">
      <w:pPr>
        <w:spacing w:after="200" w:line="276" w:lineRule="auto"/>
        <w:rPr>
          <w:rFonts w:asciiTheme="minorHAnsi" w:eastAsiaTheme="minorHAnsi" w:hAnsiTheme="minorHAnsi" w:cstheme="minorBidi"/>
          <w:sz w:val="24"/>
          <w:szCs w:val="24"/>
          <w:lang w:val="en-GB" w:eastAsia="en-US"/>
        </w:rPr>
      </w:pPr>
    </w:p>
    <w:p w14:paraId="67511E0C" w14:textId="77777777" w:rsidR="00596935" w:rsidRPr="00596935" w:rsidRDefault="00596935" w:rsidP="00596935">
      <w:pPr>
        <w:spacing w:after="200" w:line="276" w:lineRule="auto"/>
        <w:rPr>
          <w:rFonts w:asciiTheme="minorHAnsi" w:eastAsiaTheme="minorHAnsi" w:hAnsiTheme="minorHAnsi" w:cstheme="minorBidi"/>
          <w:sz w:val="24"/>
          <w:szCs w:val="24"/>
          <w:lang w:val="en-GB" w:eastAsia="en-US"/>
        </w:rPr>
        <w:sectPr w:rsidR="00596935" w:rsidRPr="00596935">
          <w:pgSz w:w="11906" w:h="16838"/>
          <w:pgMar w:top="1417" w:right="1417" w:bottom="1134" w:left="1417" w:header="708" w:footer="708" w:gutter="0"/>
          <w:cols w:space="708"/>
          <w:docGrid w:linePitch="360"/>
        </w:sectPr>
      </w:pPr>
    </w:p>
    <w:p w14:paraId="2DFA91AB" w14:textId="77777777" w:rsidR="00596935" w:rsidRPr="00C67966" w:rsidRDefault="00D77AE9" w:rsidP="007F6475">
      <w:pPr>
        <w:pStyle w:val="Caption"/>
        <w:rPr>
          <w:rFonts w:ascii="Arial" w:eastAsiaTheme="minorHAnsi" w:hAnsi="Arial" w:cs="Arial"/>
          <w:lang w:val="en-GB" w:eastAsia="en-US"/>
        </w:rPr>
      </w:pPr>
      <w:bookmarkStart w:id="446" w:name="_Ref400644035"/>
      <w:bookmarkStart w:id="447" w:name="_Toc431917482"/>
      <w:r w:rsidRPr="00C67966">
        <w:rPr>
          <w:rFonts w:ascii="Arial" w:hAnsi="Arial" w:cs="Arial"/>
        </w:rPr>
        <w:lastRenderedPageBreak/>
        <w:t xml:space="preserve">Table </w:t>
      </w:r>
      <w:r w:rsidRPr="00C67966">
        <w:rPr>
          <w:rFonts w:ascii="Arial" w:hAnsi="Arial" w:cs="Arial"/>
        </w:rPr>
        <w:fldChar w:fldCharType="begin"/>
      </w:r>
      <w:r w:rsidRPr="00C67966">
        <w:rPr>
          <w:rFonts w:ascii="Arial" w:hAnsi="Arial" w:cs="Arial"/>
        </w:rPr>
        <w:instrText xml:space="preserve"> SEQ Table \* ARABIC </w:instrText>
      </w:r>
      <w:r w:rsidRPr="00C67966">
        <w:rPr>
          <w:rFonts w:ascii="Arial" w:hAnsi="Arial" w:cs="Arial"/>
        </w:rPr>
        <w:fldChar w:fldCharType="separate"/>
      </w:r>
      <w:r w:rsidR="00016592">
        <w:rPr>
          <w:rFonts w:ascii="Arial" w:hAnsi="Arial" w:cs="Arial"/>
          <w:noProof/>
        </w:rPr>
        <w:t>22</w:t>
      </w:r>
      <w:r w:rsidRPr="00C67966">
        <w:rPr>
          <w:rFonts w:ascii="Arial" w:hAnsi="Arial" w:cs="Arial"/>
        </w:rPr>
        <w:fldChar w:fldCharType="end"/>
      </w:r>
      <w:r w:rsidRPr="00C67966">
        <w:rPr>
          <w:rFonts w:ascii="Arial" w:hAnsi="Arial" w:cs="Arial"/>
          <w:lang w:val="en-US"/>
        </w:rPr>
        <w:t xml:space="preserve"> -</w:t>
      </w:r>
      <w:r w:rsidRPr="00C67966">
        <w:rPr>
          <w:rFonts w:ascii="Arial" w:eastAsiaTheme="minorHAnsi" w:hAnsi="Arial" w:cs="Arial"/>
          <w:lang w:val="en-GB" w:eastAsia="en-US"/>
        </w:rPr>
        <w:t xml:space="preserve"> S</w:t>
      </w:r>
      <w:r w:rsidR="00596935" w:rsidRPr="00C67966">
        <w:rPr>
          <w:rFonts w:ascii="Arial" w:eastAsiaTheme="minorHAnsi" w:hAnsi="Arial" w:cs="Arial"/>
          <w:lang w:val="en-GB" w:eastAsia="en-US"/>
        </w:rPr>
        <w:t>peech in noise comparator</w:t>
      </w:r>
      <w:bookmarkEnd w:id="446"/>
      <w:bookmarkEnd w:id="447"/>
    </w:p>
    <w:tbl>
      <w:tblPr>
        <w:tblW w:w="5000" w:type="pct"/>
        <w:tblCellMar>
          <w:left w:w="70" w:type="dxa"/>
          <w:right w:w="70" w:type="dxa"/>
        </w:tblCellMar>
        <w:tblLook w:val="04A0" w:firstRow="1" w:lastRow="0" w:firstColumn="1" w:lastColumn="0" w:noHBand="0" w:noVBand="1"/>
        <w:tblDescription w:val="Speech in noise comparator"/>
      </w:tblPr>
      <w:tblGrid>
        <w:gridCol w:w="2330"/>
        <w:gridCol w:w="1386"/>
        <w:gridCol w:w="1426"/>
        <w:gridCol w:w="1047"/>
        <w:gridCol w:w="1685"/>
        <w:gridCol w:w="528"/>
        <w:gridCol w:w="528"/>
        <w:gridCol w:w="1662"/>
        <w:gridCol w:w="557"/>
        <w:gridCol w:w="528"/>
        <w:gridCol w:w="1662"/>
        <w:gridCol w:w="557"/>
        <w:gridCol w:w="531"/>
      </w:tblGrid>
      <w:tr w:rsidR="00596935" w:rsidRPr="00596935" w14:paraId="1BEE4968" w14:textId="77777777" w:rsidTr="00596935">
        <w:trPr>
          <w:trHeight w:val="255"/>
        </w:trPr>
        <w:tc>
          <w:tcPr>
            <w:tcW w:w="1287" w:type="pct"/>
            <w:gridSpan w:val="2"/>
            <w:tcBorders>
              <w:top w:val="single" w:sz="8" w:space="0" w:color="auto"/>
              <w:left w:val="single" w:sz="8" w:space="0" w:color="auto"/>
              <w:bottom w:val="nil"/>
              <w:right w:val="single" w:sz="8" w:space="0" w:color="000000"/>
            </w:tcBorders>
            <w:shd w:val="clear" w:color="000000" w:fill="F2DCDB"/>
            <w:noWrap/>
            <w:vAlign w:val="center"/>
            <w:hideMark/>
          </w:tcPr>
          <w:p w14:paraId="00B328C3"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disyllables in noise</w:t>
            </w:r>
          </w:p>
        </w:tc>
        <w:tc>
          <w:tcPr>
            <w:tcW w:w="494" w:type="pct"/>
            <w:vMerge w:val="restart"/>
            <w:tcBorders>
              <w:top w:val="single" w:sz="8" w:space="0" w:color="auto"/>
              <w:left w:val="single" w:sz="8" w:space="0" w:color="auto"/>
              <w:bottom w:val="single" w:sz="8" w:space="0" w:color="000000"/>
              <w:right w:val="single" w:sz="8" w:space="0" w:color="auto"/>
            </w:tcBorders>
            <w:shd w:val="clear" w:color="000000" w:fill="F2DCDB"/>
            <w:vAlign w:val="center"/>
            <w:hideMark/>
          </w:tcPr>
          <w:p w14:paraId="742F79EF"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Listening condition</w:t>
            </w:r>
          </w:p>
        </w:tc>
        <w:tc>
          <w:tcPr>
            <w:tcW w:w="363" w:type="pct"/>
            <w:vMerge w:val="restart"/>
            <w:tcBorders>
              <w:top w:val="single" w:sz="8" w:space="0" w:color="auto"/>
              <w:left w:val="nil"/>
              <w:bottom w:val="nil"/>
              <w:right w:val="single" w:sz="8" w:space="0" w:color="FFFFFF"/>
            </w:tcBorders>
            <w:shd w:val="clear" w:color="000000" w:fill="F2DCDB"/>
            <w:vAlign w:val="center"/>
            <w:hideMark/>
          </w:tcPr>
          <w:p w14:paraId="5C65AF66" w14:textId="77777777" w:rsidR="00596935" w:rsidRPr="00596935" w:rsidRDefault="00596935" w:rsidP="00596935">
            <w:pPr>
              <w:jc w:val="center"/>
              <w:rPr>
                <w:rFonts w:cs="Arial"/>
                <w:b/>
                <w:bCs/>
                <w:color w:val="000000"/>
                <w:sz w:val="20"/>
                <w:szCs w:val="20"/>
                <w:lang w:val="de-AT" w:eastAsia="de-AT"/>
              </w:rPr>
            </w:pPr>
            <w:r w:rsidRPr="00596935">
              <w:rPr>
                <w:rFonts w:cs="Arial"/>
                <w:b/>
                <w:bCs/>
                <w:color w:val="000000"/>
                <w:sz w:val="20"/>
                <w:szCs w:val="20"/>
                <w:lang w:val="de-AT" w:eastAsia="de-AT"/>
              </w:rPr>
              <w:t>un-aided</w:t>
            </w:r>
          </w:p>
        </w:tc>
        <w:tc>
          <w:tcPr>
            <w:tcW w:w="950" w:type="pct"/>
            <w:gridSpan w:val="3"/>
            <w:tcBorders>
              <w:top w:val="single" w:sz="8" w:space="0" w:color="auto"/>
              <w:left w:val="single" w:sz="8" w:space="0" w:color="auto"/>
              <w:bottom w:val="nil"/>
              <w:right w:val="single" w:sz="8" w:space="0" w:color="000000"/>
            </w:tcBorders>
            <w:shd w:val="clear" w:color="000000" w:fill="F2DCDB"/>
            <w:noWrap/>
            <w:vAlign w:val="center"/>
            <w:hideMark/>
          </w:tcPr>
          <w:p w14:paraId="4406BEE3" w14:textId="77777777" w:rsidR="00596935" w:rsidRPr="00596935" w:rsidRDefault="00596935" w:rsidP="00596935">
            <w:pPr>
              <w:jc w:val="center"/>
              <w:rPr>
                <w:rFonts w:cs="Arial"/>
                <w:b/>
                <w:bCs/>
                <w:color w:val="000000"/>
                <w:sz w:val="20"/>
                <w:szCs w:val="20"/>
                <w:lang w:val="de-AT" w:eastAsia="de-AT"/>
              </w:rPr>
            </w:pPr>
            <w:r w:rsidRPr="00596935">
              <w:rPr>
                <w:rFonts w:cs="Arial"/>
                <w:b/>
                <w:bCs/>
                <w:color w:val="000000"/>
                <w:sz w:val="20"/>
                <w:szCs w:val="20"/>
                <w:lang w:val="de-AT" w:eastAsia="de-AT"/>
              </w:rPr>
              <w:t>3 - 4 months</w:t>
            </w:r>
          </w:p>
        </w:tc>
        <w:tc>
          <w:tcPr>
            <w:tcW w:w="952" w:type="pct"/>
            <w:gridSpan w:val="3"/>
            <w:tcBorders>
              <w:top w:val="single" w:sz="8" w:space="0" w:color="auto"/>
              <w:left w:val="nil"/>
              <w:bottom w:val="nil"/>
              <w:right w:val="single" w:sz="8" w:space="0" w:color="000000"/>
            </w:tcBorders>
            <w:shd w:val="clear" w:color="000000" w:fill="F2DCDB"/>
            <w:noWrap/>
            <w:vAlign w:val="center"/>
            <w:hideMark/>
          </w:tcPr>
          <w:p w14:paraId="51D5D458" w14:textId="77777777" w:rsidR="00596935" w:rsidRPr="00596935" w:rsidRDefault="00596935" w:rsidP="00596935">
            <w:pPr>
              <w:jc w:val="center"/>
              <w:rPr>
                <w:rFonts w:cs="Arial"/>
                <w:b/>
                <w:bCs/>
                <w:color w:val="000000"/>
                <w:sz w:val="20"/>
                <w:szCs w:val="20"/>
                <w:lang w:val="de-AT" w:eastAsia="de-AT"/>
              </w:rPr>
            </w:pPr>
            <w:r w:rsidRPr="00596935">
              <w:rPr>
                <w:rFonts w:cs="Arial"/>
                <w:b/>
                <w:bCs/>
                <w:color w:val="000000"/>
                <w:sz w:val="20"/>
                <w:szCs w:val="20"/>
                <w:lang w:val="de-AT" w:eastAsia="de-AT"/>
              </w:rPr>
              <w:t>6 months</w:t>
            </w:r>
          </w:p>
        </w:tc>
        <w:tc>
          <w:tcPr>
            <w:tcW w:w="952" w:type="pct"/>
            <w:gridSpan w:val="3"/>
            <w:tcBorders>
              <w:top w:val="single" w:sz="8" w:space="0" w:color="auto"/>
              <w:left w:val="nil"/>
              <w:bottom w:val="nil"/>
              <w:right w:val="single" w:sz="8" w:space="0" w:color="000000"/>
            </w:tcBorders>
            <w:shd w:val="clear" w:color="000000" w:fill="F2DCDB"/>
            <w:noWrap/>
            <w:vAlign w:val="center"/>
            <w:hideMark/>
          </w:tcPr>
          <w:p w14:paraId="1340118F" w14:textId="77777777" w:rsidR="00596935" w:rsidRPr="00596935" w:rsidRDefault="00596935" w:rsidP="00596935">
            <w:pPr>
              <w:jc w:val="center"/>
              <w:rPr>
                <w:rFonts w:cs="Arial"/>
                <w:b/>
                <w:bCs/>
                <w:color w:val="000000"/>
                <w:sz w:val="20"/>
                <w:szCs w:val="20"/>
                <w:lang w:val="de-AT" w:eastAsia="de-AT"/>
              </w:rPr>
            </w:pPr>
            <w:r w:rsidRPr="00596935">
              <w:rPr>
                <w:rFonts w:cs="Arial"/>
                <w:b/>
                <w:bCs/>
                <w:color w:val="000000"/>
                <w:sz w:val="20"/>
                <w:szCs w:val="20"/>
                <w:lang w:val="de-AT" w:eastAsia="de-AT"/>
              </w:rPr>
              <w:t>12 months</w:t>
            </w:r>
          </w:p>
        </w:tc>
      </w:tr>
      <w:tr w:rsidR="00596935" w:rsidRPr="00596935" w14:paraId="33EF9977" w14:textId="77777777" w:rsidTr="00596935">
        <w:trPr>
          <w:trHeight w:val="300"/>
        </w:trPr>
        <w:tc>
          <w:tcPr>
            <w:tcW w:w="807" w:type="pct"/>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1F82E5F0" w14:textId="77777777" w:rsidR="00596935" w:rsidRPr="00596935" w:rsidRDefault="00596935" w:rsidP="00596935">
            <w:pPr>
              <w:rPr>
                <w:rFonts w:cs="Arial"/>
                <w:i/>
                <w:iCs/>
                <w:sz w:val="20"/>
                <w:szCs w:val="20"/>
                <w:lang w:val="de-AT" w:eastAsia="de-AT"/>
              </w:rPr>
            </w:pPr>
            <w:r w:rsidRPr="00596935">
              <w:rPr>
                <w:rFonts w:cs="Arial"/>
                <w:i/>
                <w:iCs/>
                <w:sz w:val="20"/>
                <w:szCs w:val="20"/>
                <w:lang w:val="de-AT" w:eastAsia="de-AT"/>
              </w:rPr>
              <w:t>author</w:t>
            </w:r>
          </w:p>
        </w:tc>
        <w:tc>
          <w:tcPr>
            <w:tcW w:w="480" w:type="pct"/>
            <w:tcBorders>
              <w:top w:val="single" w:sz="8" w:space="0" w:color="auto"/>
              <w:left w:val="nil"/>
              <w:bottom w:val="single" w:sz="8" w:space="0" w:color="auto"/>
              <w:right w:val="single" w:sz="8" w:space="0" w:color="auto"/>
            </w:tcBorders>
            <w:shd w:val="clear" w:color="000000" w:fill="D9D9D9"/>
            <w:noWrap/>
            <w:vAlign w:val="center"/>
            <w:hideMark/>
          </w:tcPr>
          <w:p w14:paraId="7BBBE2C7"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Test</w:t>
            </w:r>
          </w:p>
        </w:tc>
        <w:tc>
          <w:tcPr>
            <w:tcW w:w="494" w:type="pct"/>
            <w:vMerge/>
            <w:tcBorders>
              <w:top w:val="single" w:sz="8" w:space="0" w:color="auto"/>
              <w:left w:val="single" w:sz="8" w:space="0" w:color="auto"/>
              <w:bottom w:val="single" w:sz="8" w:space="0" w:color="000000"/>
              <w:right w:val="single" w:sz="8" w:space="0" w:color="auto"/>
            </w:tcBorders>
            <w:vAlign w:val="center"/>
            <w:hideMark/>
          </w:tcPr>
          <w:p w14:paraId="71F7EE24" w14:textId="77777777" w:rsidR="00596935" w:rsidRPr="00596935" w:rsidRDefault="00596935" w:rsidP="00596935">
            <w:pPr>
              <w:rPr>
                <w:rFonts w:cs="Arial"/>
                <w:color w:val="000000"/>
                <w:sz w:val="20"/>
                <w:szCs w:val="20"/>
                <w:lang w:val="de-AT" w:eastAsia="de-AT"/>
              </w:rPr>
            </w:pPr>
          </w:p>
        </w:tc>
        <w:tc>
          <w:tcPr>
            <w:tcW w:w="363" w:type="pct"/>
            <w:vMerge/>
            <w:tcBorders>
              <w:top w:val="single" w:sz="8" w:space="0" w:color="auto"/>
              <w:left w:val="nil"/>
              <w:bottom w:val="nil"/>
              <w:right w:val="single" w:sz="8" w:space="0" w:color="FFFFFF"/>
            </w:tcBorders>
            <w:vAlign w:val="center"/>
            <w:hideMark/>
          </w:tcPr>
          <w:p w14:paraId="4F77D30A" w14:textId="77777777" w:rsidR="00596935" w:rsidRPr="00596935" w:rsidRDefault="00596935" w:rsidP="00596935">
            <w:pPr>
              <w:rPr>
                <w:rFonts w:cs="Arial"/>
                <w:b/>
                <w:bCs/>
                <w:color w:val="000000"/>
                <w:sz w:val="20"/>
                <w:szCs w:val="20"/>
                <w:lang w:val="de-AT" w:eastAsia="de-AT"/>
              </w:rPr>
            </w:pPr>
          </w:p>
        </w:tc>
        <w:tc>
          <w:tcPr>
            <w:tcW w:w="584" w:type="pct"/>
            <w:tcBorders>
              <w:top w:val="single" w:sz="8" w:space="0" w:color="auto"/>
              <w:left w:val="single" w:sz="8" w:space="0" w:color="auto"/>
              <w:bottom w:val="single" w:sz="8" w:space="0" w:color="auto"/>
              <w:right w:val="nil"/>
            </w:tcBorders>
            <w:shd w:val="clear" w:color="000000" w:fill="D9D9D9"/>
            <w:noWrap/>
            <w:vAlign w:val="center"/>
            <w:hideMark/>
          </w:tcPr>
          <w:p w14:paraId="42E7F921"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mean [dB]</w:t>
            </w:r>
          </w:p>
        </w:tc>
        <w:tc>
          <w:tcPr>
            <w:tcW w:w="183" w:type="pct"/>
            <w:tcBorders>
              <w:top w:val="single" w:sz="8" w:space="0" w:color="auto"/>
              <w:left w:val="nil"/>
              <w:bottom w:val="single" w:sz="8" w:space="0" w:color="auto"/>
              <w:right w:val="nil"/>
            </w:tcBorders>
            <w:shd w:val="clear" w:color="000000" w:fill="D9D9D9"/>
            <w:noWrap/>
            <w:vAlign w:val="center"/>
            <w:hideMark/>
          </w:tcPr>
          <w:p w14:paraId="584D404D"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sd</w:t>
            </w:r>
          </w:p>
        </w:tc>
        <w:tc>
          <w:tcPr>
            <w:tcW w:w="183" w:type="pct"/>
            <w:tcBorders>
              <w:top w:val="single" w:sz="8" w:space="0" w:color="auto"/>
              <w:left w:val="nil"/>
              <w:bottom w:val="single" w:sz="8" w:space="0" w:color="auto"/>
              <w:right w:val="single" w:sz="8" w:space="0" w:color="auto"/>
            </w:tcBorders>
            <w:shd w:val="clear" w:color="000000" w:fill="D9D9D9"/>
            <w:noWrap/>
            <w:vAlign w:val="center"/>
            <w:hideMark/>
          </w:tcPr>
          <w:p w14:paraId="26A8B798" w14:textId="77777777" w:rsidR="00596935" w:rsidRPr="00596935" w:rsidRDefault="00596935" w:rsidP="00596935">
            <w:pPr>
              <w:jc w:val="center"/>
              <w:rPr>
                <w:rFonts w:cs="Arial"/>
                <w:i/>
                <w:iCs/>
                <w:color w:val="000000"/>
                <w:sz w:val="20"/>
                <w:szCs w:val="20"/>
                <w:lang w:val="de-AT" w:eastAsia="de-AT"/>
              </w:rPr>
            </w:pPr>
            <w:r w:rsidRPr="00596935">
              <w:rPr>
                <w:rFonts w:cs="Arial"/>
                <w:i/>
                <w:iCs/>
                <w:color w:val="000000"/>
                <w:sz w:val="20"/>
                <w:szCs w:val="20"/>
                <w:lang w:val="de-AT" w:eastAsia="de-AT"/>
              </w:rPr>
              <w:t>n</w:t>
            </w:r>
          </w:p>
        </w:tc>
        <w:tc>
          <w:tcPr>
            <w:tcW w:w="576" w:type="pct"/>
            <w:tcBorders>
              <w:top w:val="single" w:sz="8" w:space="0" w:color="auto"/>
              <w:left w:val="nil"/>
              <w:bottom w:val="single" w:sz="8" w:space="0" w:color="auto"/>
              <w:right w:val="nil"/>
            </w:tcBorders>
            <w:shd w:val="clear" w:color="000000" w:fill="D9D9D9"/>
            <w:noWrap/>
            <w:vAlign w:val="center"/>
            <w:hideMark/>
          </w:tcPr>
          <w:p w14:paraId="31981218"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mean [dB]</w:t>
            </w:r>
          </w:p>
        </w:tc>
        <w:tc>
          <w:tcPr>
            <w:tcW w:w="193" w:type="pct"/>
            <w:tcBorders>
              <w:top w:val="single" w:sz="8" w:space="0" w:color="auto"/>
              <w:left w:val="nil"/>
              <w:bottom w:val="single" w:sz="8" w:space="0" w:color="auto"/>
              <w:right w:val="nil"/>
            </w:tcBorders>
            <w:shd w:val="clear" w:color="000000" w:fill="D9D9D9"/>
            <w:noWrap/>
            <w:vAlign w:val="center"/>
            <w:hideMark/>
          </w:tcPr>
          <w:p w14:paraId="31FAEE53"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sd</w:t>
            </w:r>
          </w:p>
        </w:tc>
        <w:tc>
          <w:tcPr>
            <w:tcW w:w="183" w:type="pct"/>
            <w:tcBorders>
              <w:top w:val="single" w:sz="8" w:space="0" w:color="auto"/>
              <w:left w:val="nil"/>
              <w:bottom w:val="single" w:sz="8" w:space="0" w:color="auto"/>
              <w:right w:val="single" w:sz="8" w:space="0" w:color="auto"/>
            </w:tcBorders>
            <w:shd w:val="clear" w:color="000000" w:fill="D9D9D9"/>
            <w:noWrap/>
            <w:vAlign w:val="bottom"/>
            <w:hideMark/>
          </w:tcPr>
          <w:p w14:paraId="0295A432" w14:textId="77777777" w:rsidR="00596935" w:rsidRPr="00596935" w:rsidRDefault="00596935" w:rsidP="00596935">
            <w:pPr>
              <w:rPr>
                <w:rFonts w:cs="Arial"/>
                <w:i/>
                <w:iCs/>
                <w:color w:val="000000"/>
                <w:sz w:val="20"/>
                <w:szCs w:val="20"/>
                <w:lang w:val="de-AT" w:eastAsia="de-AT"/>
              </w:rPr>
            </w:pPr>
            <w:r w:rsidRPr="00596935">
              <w:rPr>
                <w:rFonts w:cs="Arial"/>
                <w:i/>
                <w:iCs/>
                <w:color w:val="000000"/>
                <w:sz w:val="20"/>
                <w:szCs w:val="20"/>
                <w:lang w:val="de-AT" w:eastAsia="de-AT"/>
              </w:rPr>
              <w:t>n</w:t>
            </w:r>
          </w:p>
        </w:tc>
        <w:tc>
          <w:tcPr>
            <w:tcW w:w="576" w:type="pct"/>
            <w:tcBorders>
              <w:top w:val="single" w:sz="8" w:space="0" w:color="auto"/>
              <w:left w:val="nil"/>
              <w:bottom w:val="single" w:sz="8" w:space="0" w:color="auto"/>
              <w:right w:val="nil"/>
            </w:tcBorders>
            <w:shd w:val="clear" w:color="000000" w:fill="D9D9D9"/>
            <w:noWrap/>
            <w:vAlign w:val="center"/>
            <w:hideMark/>
          </w:tcPr>
          <w:p w14:paraId="41C8D4ED"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mean [dB]</w:t>
            </w:r>
          </w:p>
        </w:tc>
        <w:tc>
          <w:tcPr>
            <w:tcW w:w="193" w:type="pct"/>
            <w:tcBorders>
              <w:top w:val="single" w:sz="8" w:space="0" w:color="auto"/>
              <w:left w:val="nil"/>
              <w:bottom w:val="single" w:sz="8" w:space="0" w:color="auto"/>
              <w:right w:val="nil"/>
            </w:tcBorders>
            <w:shd w:val="clear" w:color="000000" w:fill="D9D9D9"/>
            <w:noWrap/>
            <w:vAlign w:val="center"/>
            <w:hideMark/>
          </w:tcPr>
          <w:p w14:paraId="509D5BDF"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sd</w:t>
            </w:r>
          </w:p>
        </w:tc>
        <w:tc>
          <w:tcPr>
            <w:tcW w:w="183" w:type="pct"/>
            <w:tcBorders>
              <w:top w:val="single" w:sz="8" w:space="0" w:color="auto"/>
              <w:left w:val="nil"/>
              <w:bottom w:val="single" w:sz="8" w:space="0" w:color="auto"/>
              <w:right w:val="single" w:sz="8" w:space="0" w:color="auto"/>
            </w:tcBorders>
            <w:shd w:val="clear" w:color="000000" w:fill="D9D9D9"/>
            <w:noWrap/>
            <w:vAlign w:val="center"/>
            <w:hideMark/>
          </w:tcPr>
          <w:p w14:paraId="3FDA4757" w14:textId="77777777" w:rsidR="00596935" w:rsidRPr="00596935" w:rsidRDefault="00596935" w:rsidP="00596935">
            <w:pPr>
              <w:rPr>
                <w:rFonts w:cs="Arial"/>
                <w:i/>
                <w:iCs/>
                <w:color w:val="000000"/>
                <w:sz w:val="20"/>
                <w:szCs w:val="20"/>
                <w:lang w:val="de-AT" w:eastAsia="de-AT"/>
              </w:rPr>
            </w:pPr>
            <w:r w:rsidRPr="00596935">
              <w:rPr>
                <w:rFonts w:cs="Arial"/>
                <w:i/>
                <w:iCs/>
                <w:color w:val="000000"/>
                <w:sz w:val="20"/>
                <w:szCs w:val="20"/>
                <w:lang w:val="de-AT" w:eastAsia="de-AT"/>
              </w:rPr>
              <w:t>n</w:t>
            </w:r>
          </w:p>
        </w:tc>
      </w:tr>
      <w:tr w:rsidR="00596935" w:rsidRPr="007F6475" w14:paraId="567F8647" w14:textId="77777777" w:rsidTr="00596935">
        <w:trPr>
          <w:trHeight w:val="255"/>
        </w:trPr>
        <w:tc>
          <w:tcPr>
            <w:tcW w:w="807" w:type="pct"/>
            <w:vMerge w:val="restart"/>
            <w:tcBorders>
              <w:top w:val="nil"/>
              <w:left w:val="single" w:sz="8" w:space="0" w:color="auto"/>
              <w:bottom w:val="single" w:sz="8" w:space="0" w:color="000000"/>
              <w:right w:val="nil"/>
            </w:tcBorders>
            <w:shd w:val="clear" w:color="auto" w:fill="auto"/>
            <w:vAlign w:val="center"/>
            <w:hideMark/>
          </w:tcPr>
          <w:p w14:paraId="2F6B81FB" w14:textId="4EAA4A47" w:rsidR="003733D2" w:rsidRDefault="00596935" w:rsidP="003733D2">
            <w:pPr>
              <w:rPr>
                <w:rFonts w:cs="Arial"/>
                <w:color w:val="000000"/>
                <w:sz w:val="20"/>
                <w:szCs w:val="20"/>
                <w:lang w:val="de-AT" w:eastAsia="de-AT"/>
              </w:rPr>
            </w:pPr>
            <w:r w:rsidRPr="00596935">
              <w:rPr>
                <w:rFonts w:cs="Arial"/>
                <w:color w:val="000000"/>
                <w:sz w:val="20"/>
                <w:szCs w:val="20"/>
                <w:lang w:val="de-AT" w:eastAsia="de-AT"/>
              </w:rPr>
              <w:t>Chen</w:t>
            </w:r>
            <w:r w:rsidR="003733D2">
              <w:rPr>
                <w:rFonts w:cs="Arial"/>
                <w:color w:val="000000"/>
                <w:sz w:val="20"/>
                <w:szCs w:val="20"/>
                <w:lang w:val="de-AT" w:eastAsia="de-AT"/>
              </w:rPr>
              <w:t xml:space="preserve"> </w:t>
            </w:r>
            <w:r w:rsidRPr="00596935">
              <w:rPr>
                <w:rFonts w:cs="Arial"/>
                <w:color w:val="000000"/>
                <w:sz w:val="20"/>
                <w:szCs w:val="20"/>
                <w:lang w:val="de-AT" w:eastAsia="de-AT"/>
              </w:rPr>
              <w:t xml:space="preserve">2004 </w:t>
            </w:r>
          </w:p>
          <w:p w14:paraId="09DF414D" w14:textId="4A663920" w:rsidR="00596935" w:rsidRPr="00596935" w:rsidRDefault="00596935" w:rsidP="003733D2">
            <w:pPr>
              <w:rPr>
                <w:rFonts w:cs="Arial"/>
                <w:color w:val="000000"/>
                <w:sz w:val="20"/>
                <w:szCs w:val="20"/>
                <w:lang w:val="de-AT" w:eastAsia="de-AT"/>
              </w:rPr>
            </w:pPr>
            <w:r w:rsidRPr="00596935">
              <w:rPr>
                <w:rFonts w:cs="Arial"/>
                <w:color w:val="000000"/>
                <w:sz w:val="20"/>
                <w:szCs w:val="20"/>
                <w:lang w:val="de-AT" w:eastAsia="de-AT"/>
              </w:rPr>
              <w:t>Esteem</w:t>
            </w:r>
          </w:p>
        </w:tc>
        <w:tc>
          <w:tcPr>
            <w:tcW w:w="48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4D8DCFF"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HINT</w:t>
            </w:r>
          </w:p>
        </w:tc>
        <w:tc>
          <w:tcPr>
            <w:tcW w:w="494" w:type="pct"/>
            <w:tcBorders>
              <w:top w:val="nil"/>
              <w:left w:val="nil"/>
              <w:bottom w:val="single" w:sz="4" w:space="0" w:color="auto"/>
              <w:right w:val="single" w:sz="4" w:space="0" w:color="auto"/>
            </w:tcBorders>
            <w:shd w:val="clear" w:color="auto" w:fill="auto"/>
            <w:noWrap/>
            <w:vAlign w:val="bottom"/>
            <w:hideMark/>
          </w:tcPr>
          <w:p w14:paraId="1EA2FB0E" w14:textId="77777777" w:rsidR="00596935" w:rsidRPr="00596935" w:rsidRDefault="00596935" w:rsidP="00596935">
            <w:pPr>
              <w:rPr>
                <w:rFonts w:cs="Arial"/>
                <w:color w:val="000000"/>
                <w:sz w:val="20"/>
                <w:szCs w:val="20"/>
                <w:lang w:val="de-AT" w:eastAsia="de-AT"/>
              </w:rPr>
            </w:pPr>
            <w:r w:rsidRPr="00596935">
              <w:rPr>
                <w:rFonts w:cs="Arial"/>
                <w:color w:val="000000"/>
                <w:sz w:val="20"/>
                <w:szCs w:val="20"/>
                <w:lang w:val="de-AT" w:eastAsia="de-AT"/>
              </w:rPr>
              <w:t>S0N0</w:t>
            </w:r>
          </w:p>
        </w:tc>
        <w:tc>
          <w:tcPr>
            <w:tcW w:w="363" w:type="pct"/>
            <w:vMerge w:val="restart"/>
            <w:tcBorders>
              <w:top w:val="single" w:sz="4" w:space="0" w:color="auto"/>
              <w:left w:val="single" w:sz="4" w:space="0" w:color="auto"/>
              <w:bottom w:val="single" w:sz="8" w:space="0" w:color="000000"/>
              <w:right w:val="single" w:sz="4" w:space="0" w:color="auto"/>
            </w:tcBorders>
            <w:shd w:val="clear" w:color="auto" w:fill="auto"/>
            <w:noWrap/>
            <w:textDirection w:val="btLr"/>
            <w:vAlign w:val="center"/>
            <w:hideMark/>
          </w:tcPr>
          <w:p w14:paraId="6D860872"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no information</w:t>
            </w:r>
          </w:p>
        </w:tc>
        <w:tc>
          <w:tcPr>
            <w:tcW w:w="2855" w:type="pct"/>
            <w:gridSpan w:val="9"/>
            <w:vMerge w:val="restart"/>
            <w:tcBorders>
              <w:top w:val="nil"/>
              <w:left w:val="single" w:sz="4" w:space="0" w:color="auto"/>
              <w:bottom w:val="single" w:sz="4" w:space="0" w:color="auto"/>
              <w:right w:val="single" w:sz="8" w:space="0" w:color="000000"/>
            </w:tcBorders>
            <w:shd w:val="clear" w:color="auto" w:fill="auto"/>
            <w:vAlign w:val="center"/>
            <w:hideMark/>
          </w:tcPr>
          <w:p w14:paraId="49FEFEBD" w14:textId="77777777" w:rsidR="00596935" w:rsidRPr="00596935" w:rsidRDefault="00596935" w:rsidP="00596935">
            <w:pPr>
              <w:jc w:val="center"/>
              <w:rPr>
                <w:rFonts w:cs="Arial"/>
                <w:color w:val="000000"/>
                <w:sz w:val="20"/>
                <w:szCs w:val="20"/>
                <w:lang w:val="en-US" w:eastAsia="de-AT"/>
              </w:rPr>
            </w:pPr>
            <w:r w:rsidRPr="00596935">
              <w:rPr>
                <w:rFonts w:cs="Arial"/>
                <w:color w:val="000000"/>
                <w:sz w:val="20"/>
                <w:szCs w:val="20"/>
                <w:lang w:val="en-US" w:eastAsia="de-AT"/>
              </w:rPr>
              <w:t>only one remaining patient for HINT test, series of 5 graphs as statet in text not available</w:t>
            </w:r>
          </w:p>
        </w:tc>
      </w:tr>
      <w:tr w:rsidR="00596935" w:rsidRPr="00596935" w14:paraId="06C6199F" w14:textId="77777777" w:rsidTr="00596935">
        <w:trPr>
          <w:trHeight w:val="255"/>
        </w:trPr>
        <w:tc>
          <w:tcPr>
            <w:tcW w:w="807" w:type="pct"/>
            <w:vMerge/>
            <w:tcBorders>
              <w:top w:val="nil"/>
              <w:left w:val="single" w:sz="8" w:space="0" w:color="auto"/>
              <w:bottom w:val="single" w:sz="8" w:space="0" w:color="000000"/>
              <w:right w:val="nil"/>
            </w:tcBorders>
            <w:vAlign w:val="center"/>
            <w:hideMark/>
          </w:tcPr>
          <w:p w14:paraId="754F4807" w14:textId="77777777" w:rsidR="00596935" w:rsidRPr="00596935" w:rsidRDefault="00596935" w:rsidP="00596935">
            <w:pPr>
              <w:rPr>
                <w:rFonts w:cs="Arial"/>
                <w:color w:val="000000"/>
                <w:sz w:val="20"/>
                <w:szCs w:val="20"/>
                <w:lang w:val="en-US" w:eastAsia="de-AT"/>
              </w:rPr>
            </w:pPr>
          </w:p>
        </w:tc>
        <w:tc>
          <w:tcPr>
            <w:tcW w:w="480" w:type="pct"/>
            <w:vMerge/>
            <w:tcBorders>
              <w:top w:val="nil"/>
              <w:left w:val="single" w:sz="4" w:space="0" w:color="auto"/>
              <w:bottom w:val="single" w:sz="4" w:space="0" w:color="auto"/>
              <w:right w:val="single" w:sz="4" w:space="0" w:color="auto"/>
            </w:tcBorders>
            <w:vAlign w:val="center"/>
            <w:hideMark/>
          </w:tcPr>
          <w:p w14:paraId="7D8B2681" w14:textId="77777777" w:rsidR="00596935" w:rsidRPr="00596935" w:rsidRDefault="00596935" w:rsidP="00596935">
            <w:pPr>
              <w:rPr>
                <w:rFonts w:cs="Arial"/>
                <w:color w:val="000000"/>
                <w:sz w:val="20"/>
                <w:szCs w:val="20"/>
                <w:lang w:val="en-US" w:eastAsia="de-AT"/>
              </w:rPr>
            </w:pPr>
          </w:p>
        </w:tc>
        <w:tc>
          <w:tcPr>
            <w:tcW w:w="494" w:type="pct"/>
            <w:tcBorders>
              <w:top w:val="nil"/>
              <w:left w:val="nil"/>
              <w:bottom w:val="single" w:sz="4" w:space="0" w:color="auto"/>
              <w:right w:val="single" w:sz="4" w:space="0" w:color="auto"/>
            </w:tcBorders>
            <w:shd w:val="clear" w:color="auto" w:fill="auto"/>
            <w:noWrap/>
            <w:vAlign w:val="bottom"/>
            <w:hideMark/>
          </w:tcPr>
          <w:p w14:paraId="5E512DB4" w14:textId="77777777" w:rsidR="00596935" w:rsidRPr="00596935" w:rsidRDefault="00596935" w:rsidP="00596935">
            <w:pPr>
              <w:rPr>
                <w:rFonts w:cs="Arial"/>
                <w:color w:val="000000"/>
                <w:sz w:val="20"/>
                <w:szCs w:val="20"/>
                <w:lang w:val="de-AT" w:eastAsia="de-AT"/>
              </w:rPr>
            </w:pPr>
            <w:r w:rsidRPr="00596935">
              <w:rPr>
                <w:rFonts w:cs="Arial"/>
                <w:color w:val="000000"/>
                <w:sz w:val="20"/>
                <w:szCs w:val="20"/>
                <w:lang w:val="de-AT" w:eastAsia="de-AT"/>
              </w:rPr>
              <w:t>S0NR</w:t>
            </w:r>
          </w:p>
        </w:tc>
        <w:tc>
          <w:tcPr>
            <w:tcW w:w="363" w:type="pct"/>
            <w:vMerge/>
            <w:tcBorders>
              <w:top w:val="single" w:sz="4" w:space="0" w:color="auto"/>
              <w:left w:val="single" w:sz="4" w:space="0" w:color="auto"/>
              <w:bottom w:val="single" w:sz="8" w:space="0" w:color="000000"/>
              <w:right w:val="single" w:sz="4" w:space="0" w:color="auto"/>
            </w:tcBorders>
            <w:vAlign w:val="center"/>
            <w:hideMark/>
          </w:tcPr>
          <w:p w14:paraId="6B53428E" w14:textId="77777777" w:rsidR="00596935" w:rsidRPr="00596935" w:rsidRDefault="00596935" w:rsidP="00596935">
            <w:pPr>
              <w:rPr>
                <w:rFonts w:cs="Arial"/>
                <w:color w:val="000000"/>
                <w:sz w:val="20"/>
                <w:szCs w:val="20"/>
                <w:lang w:val="de-AT" w:eastAsia="de-AT"/>
              </w:rPr>
            </w:pPr>
          </w:p>
        </w:tc>
        <w:tc>
          <w:tcPr>
            <w:tcW w:w="2855" w:type="pct"/>
            <w:gridSpan w:val="9"/>
            <w:vMerge/>
            <w:tcBorders>
              <w:top w:val="nil"/>
              <w:left w:val="single" w:sz="4" w:space="0" w:color="auto"/>
              <w:bottom w:val="single" w:sz="4" w:space="0" w:color="auto"/>
              <w:right w:val="single" w:sz="8" w:space="0" w:color="000000"/>
            </w:tcBorders>
            <w:vAlign w:val="center"/>
            <w:hideMark/>
          </w:tcPr>
          <w:p w14:paraId="742D3E90" w14:textId="77777777" w:rsidR="00596935" w:rsidRPr="00596935" w:rsidRDefault="00596935" w:rsidP="00596935">
            <w:pPr>
              <w:rPr>
                <w:rFonts w:cs="Arial"/>
                <w:color w:val="000000"/>
                <w:sz w:val="20"/>
                <w:szCs w:val="20"/>
                <w:lang w:val="de-AT" w:eastAsia="de-AT"/>
              </w:rPr>
            </w:pPr>
          </w:p>
        </w:tc>
      </w:tr>
      <w:tr w:rsidR="00596935" w:rsidRPr="00596935" w14:paraId="4B50C099" w14:textId="77777777" w:rsidTr="00596935">
        <w:trPr>
          <w:trHeight w:val="270"/>
        </w:trPr>
        <w:tc>
          <w:tcPr>
            <w:tcW w:w="807" w:type="pct"/>
            <w:vMerge/>
            <w:tcBorders>
              <w:top w:val="nil"/>
              <w:left w:val="single" w:sz="8" w:space="0" w:color="auto"/>
              <w:bottom w:val="single" w:sz="8" w:space="0" w:color="000000"/>
              <w:right w:val="nil"/>
            </w:tcBorders>
            <w:vAlign w:val="center"/>
            <w:hideMark/>
          </w:tcPr>
          <w:p w14:paraId="78D18D40" w14:textId="77777777" w:rsidR="00596935" w:rsidRPr="00596935" w:rsidRDefault="00596935" w:rsidP="00596935">
            <w:pPr>
              <w:rPr>
                <w:rFonts w:cs="Arial"/>
                <w:color w:val="000000"/>
                <w:sz w:val="20"/>
                <w:szCs w:val="20"/>
                <w:lang w:val="de-AT" w:eastAsia="de-AT"/>
              </w:rPr>
            </w:pPr>
          </w:p>
        </w:tc>
        <w:tc>
          <w:tcPr>
            <w:tcW w:w="480" w:type="pct"/>
            <w:vMerge/>
            <w:tcBorders>
              <w:top w:val="nil"/>
              <w:left w:val="single" w:sz="4" w:space="0" w:color="auto"/>
              <w:bottom w:val="single" w:sz="4" w:space="0" w:color="auto"/>
              <w:right w:val="single" w:sz="4" w:space="0" w:color="auto"/>
            </w:tcBorders>
            <w:vAlign w:val="center"/>
            <w:hideMark/>
          </w:tcPr>
          <w:p w14:paraId="1A24BBB3" w14:textId="77777777" w:rsidR="00596935" w:rsidRPr="00596935" w:rsidRDefault="00596935" w:rsidP="00596935">
            <w:pPr>
              <w:rPr>
                <w:rFonts w:cs="Arial"/>
                <w:color w:val="000000"/>
                <w:sz w:val="20"/>
                <w:szCs w:val="20"/>
                <w:lang w:val="de-AT" w:eastAsia="de-AT"/>
              </w:rPr>
            </w:pPr>
          </w:p>
        </w:tc>
        <w:tc>
          <w:tcPr>
            <w:tcW w:w="494" w:type="pct"/>
            <w:tcBorders>
              <w:top w:val="nil"/>
              <w:left w:val="nil"/>
              <w:bottom w:val="single" w:sz="4" w:space="0" w:color="auto"/>
              <w:right w:val="single" w:sz="4" w:space="0" w:color="auto"/>
            </w:tcBorders>
            <w:shd w:val="clear" w:color="auto" w:fill="auto"/>
            <w:noWrap/>
            <w:vAlign w:val="bottom"/>
            <w:hideMark/>
          </w:tcPr>
          <w:p w14:paraId="0E4187CA" w14:textId="77777777" w:rsidR="00596935" w:rsidRPr="00596935" w:rsidRDefault="00596935" w:rsidP="00596935">
            <w:pPr>
              <w:rPr>
                <w:rFonts w:cs="Arial"/>
                <w:color w:val="000000"/>
                <w:sz w:val="20"/>
                <w:szCs w:val="20"/>
                <w:lang w:val="de-AT" w:eastAsia="de-AT"/>
              </w:rPr>
            </w:pPr>
            <w:r w:rsidRPr="00596935">
              <w:rPr>
                <w:rFonts w:cs="Arial"/>
                <w:color w:val="000000"/>
                <w:sz w:val="20"/>
                <w:szCs w:val="20"/>
                <w:lang w:val="de-AT" w:eastAsia="de-AT"/>
              </w:rPr>
              <w:t>S0NL</w:t>
            </w:r>
          </w:p>
        </w:tc>
        <w:tc>
          <w:tcPr>
            <w:tcW w:w="363" w:type="pct"/>
            <w:vMerge/>
            <w:tcBorders>
              <w:top w:val="single" w:sz="4" w:space="0" w:color="auto"/>
              <w:left w:val="single" w:sz="4" w:space="0" w:color="auto"/>
              <w:bottom w:val="single" w:sz="8" w:space="0" w:color="000000"/>
              <w:right w:val="single" w:sz="4" w:space="0" w:color="auto"/>
            </w:tcBorders>
            <w:vAlign w:val="center"/>
            <w:hideMark/>
          </w:tcPr>
          <w:p w14:paraId="030307FC" w14:textId="77777777" w:rsidR="00596935" w:rsidRPr="00596935" w:rsidRDefault="00596935" w:rsidP="00596935">
            <w:pPr>
              <w:rPr>
                <w:rFonts w:cs="Arial"/>
                <w:color w:val="000000"/>
                <w:sz w:val="20"/>
                <w:szCs w:val="20"/>
                <w:lang w:val="de-AT" w:eastAsia="de-AT"/>
              </w:rPr>
            </w:pPr>
          </w:p>
        </w:tc>
        <w:tc>
          <w:tcPr>
            <w:tcW w:w="2855" w:type="pct"/>
            <w:gridSpan w:val="9"/>
            <w:vMerge/>
            <w:tcBorders>
              <w:top w:val="nil"/>
              <w:left w:val="single" w:sz="4" w:space="0" w:color="auto"/>
              <w:bottom w:val="single" w:sz="4" w:space="0" w:color="auto"/>
              <w:right w:val="single" w:sz="8" w:space="0" w:color="000000"/>
            </w:tcBorders>
            <w:vAlign w:val="center"/>
            <w:hideMark/>
          </w:tcPr>
          <w:p w14:paraId="2655F97C" w14:textId="77777777" w:rsidR="00596935" w:rsidRPr="00596935" w:rsidRDefault="00596935" w:rsidP="00596935">
            <w:pPr>
              <w:rPr>
                <w:rFonts w:cs="Arial"/>
                <w:color w:val="000000"/>
                <w:sz w:val="20"/>
                <w:szCs w:val="20"/>
                <w:lang w:val="de-AT" w:eastAsia="de-AT"/>
              </w:rPr>
            </w:pPr>
          </w:p>
        </w:tc>
      </w:tr>
      <w:tr w:rsidR="00596935" w:rsidRPr="00596935" w14:paraId="71641DB7" w14:textId="77777777" w:rsidTr="00596935">
        <w:trPr>
          <w:trHeight w:val="255"/>
        </w:trPr>
        <w:tc>
          <w:tcPr>
            <w:tcW w:w="807" w:type="pct"/>
            <w:vMerge w:val="restart"/>
            <w:tcBorders>
              <w:top w:val="nil"/>
              <w:left w:val="single" w:sz="8" w:space="0" w:color="auto"/>
              <w:bottom w:val="single" w:sz="8" w:space="0" w:color="000000"/>
              <w:right w:val="nil"/>
            </w:tcBorders>
            <w:shd w:val="clear" w:color="auto" w:fill="auto"/>
            <w:vAlign w:val="center"/>
            <w:hideMark/>
          </w:tcPr>
          <w:p w14:paraId="51DF4C33" w14:textId="77777777" w:rsidR="003733D2" w:rsidRDefault="00596935" w:rsidP="003733D2">
            <w:pPr>
              <w:rPr>
                <w:rFonts w:cs="Arial"/>
                <w:color w:val="000000"/>
                <w:sz w:val="20"/>
                <w:szCs w:val="20"/>
                <w:lang w:val="de-AT" w:eastAsia="de-AT"/>
              </w:rPr>
            </w:pPr>
            <w:r w:rsidRPr="00596935">
              <w:rPr>
                <w:rFonts w:cs="Arial"/>
                <w:color w:val="000000"/>
                <w:sz w:val="20"/>
                <w:szCs w:val="20"/>
                <w:lang w:val="de-AT" w:eastAsia="de-AT"/>
              </w:rPr>
              <w:t>Gerhard</w:t>
            </w:r>
            <w:r w:rsidR="003733D2">
              <w:rPr>
                <w:rFonts w:cs="Arial"/>
                <w:color w:val="000000"/>
                <w:sz w:val="20"/>
                <w:szCs w:val="20"/>
                <w:lang w:val="de-AT" w:eastAsia="de-AT"/>
              </w:rPr>
              <w:t xml:space="preserve"> </w:t>
            </w:r>
            <w:r w:rsidRPr="00596935">
              <w:rPr>
                <w:rFonts w:cs="Arial"/>
                <w:color w:val="000000"/>
                <w:sz w:val="20"/>
                <w:szCs w:val="20"/>
                <w:lang w:val="de-AT" w:eastAsia="de-AT"/>
              </w:rPr>
              <w:t>2012</w:t>
            </w:r>
          </w:p>
          <w:p w14:paraId="73F9810D" w14:textId="57610F45" w:rsidR="00596935" w:rsidRPr="00596935" w:rsidRDefault="00596935" w:rsidP="003733D2">
            <w:pPr>
              <w:rPr>
                <w:rFonts w:cs="Arial"/>
                <w:color w:val="000000"/>
                <w:sz w:val="20"/>
                <w:szCs w:val="20"/>
                <w:lang w:val="de-AT" w:eastAsia="de-AT"/>
              </w:rPr>
            </w:pPr>
            <w:r w:rsidRPr="00596935">
              <w:rPr>
                <w:rFonts w:cs="Arial"/>
                <w:color w:val="000000"/>
                <w:sz w:val="20"/>
                <w:szCs w:val="20"/>
                <w:lang w:val="de-AT" w:eastAsia="de-AT"/>
              </w:rPr>
              <w:t>Esteem</w:t>
            </w:r>
          </w:p>
        </w:tc>
        <w:tc>
          <w:tcPr>
            <w:tcW w:w="480" w:type="pct"/>
            <w:vMerge w:val="restart"/>
            <w:tcBorders>
              <w:top w:val="nil"/>
              <w:left w:val="single" w:sz="4" w:space="0" w:color="auto"/>
              <w:bottom w:val="single" w:sz="4" w:space="0" w:color="auto"/>
              <w:right w:val="single" w:sz="4" w:space="0" w:color="auto"/>
            </w:tcBorders>
            <w:shd w:val="clear" w:color="auto" w:fill="auto"/>
            <w:vAlign w:val="center"/>
            <w:hideMark/>
          </w:tcPr>
          <w:p w14:paraId="45D8B6E6"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Lafon bisyllabic</w:t>
            </w:r>
          </w:p>
        </w:tc>
        <w:tc>
          <w:tcPr>
            <w:tcW w:w="494" w:type="pct"/>
            <w:tcBorders>
              <w:top w:val="nil"/>
              <w:left w:val="nil"/>
              <w:bottom w:val="single" w:sz="4" w:space="0" w:color="auto"/>
              <w:right w:val="single" w:sz="4" w:space="0" w:color="auto"/>
            </w:tcBorders>
            <w:shd w:val="clear" w:color="auto" w:fill="auto"/>
            <w:hideMark/>
          </w:tcPr>
          <w:p w14:paraId="25ED740B" w14:textId="77777777" w:rsidR="00596935" w:rsidRPr="00596935" w:rsidRDefault="00596935" w:rsidP="00596935">
            <w:pPr>
              <w:rPr>
                <w:rFonts w:cs="Arial"/>
                <w:color w:val="000000"/>
                <w:sz w:val="20"/>
                <w:szCs w:val="20"/>
                <w:lang w:val="de-AT" w:eastAsia="de-AT"/>
              </w:rPr>
            </w:pPr>
            <w:r w:rsidRPr="00596935">
              <w:rPr>
                <w:rFonts w:cs="Arial"/>
                <w:color w:val="000000"/>
                <w:sz w:val="20"/>
                <w:szCs w:val="20"/>
                <w:lang w:val="de-AT" w:eastAsia="de-AT"/>
              </w:rPr>
              <w:t>SNR +10</w:t>
            </w:r>
          </w:p>
        </w:tc>
        <w:tc>
          <w:tcPr>
            <w:tcW w:w="363" w:type="pct"/>
            <w:vMerge/>
            <w:tcBorders>
              <w:top w:val="single" w:sz="4" w:space="0" w:color="auto"/>
              <w:left w:val="single" w:sz="4" w:space="0" w:color="auto"/>
              <w:bottom w:val="single" w:sz="8" w:space="0" w:color="000000"/>
              <w:right w:val="single" w:sz="4" w:space="0" w:color="auto"/>
            </w:tcBorders>
            <w:vAlign w:val="center"/>
            <w:hideMark/>
          </w:tcPr>
          <w:p w14:paraId="21897F59" w14:textId="77777777" w:rsidR="00596935" w:rsidRPr="00596935" w:rsidRDefault="00596935" w:rsidP="00596935">
            <w:pPr>
              <w:rPr>
                <w:rFonts w:cs="Arial"/>
                <w:color w:val="000000"/>
                <w:sz w:val="20"/>
                <w:szCs w:val="20"/>
                <w:lang w:val="de-AT" w:eastAsia="de-AT"/>
              </w:rPr>
            </w:pPr>
          </w:p>
        </w:tc>
        <w:tc>
          <w:tcPr>
            <w:tcW w:w="584"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32E73966"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85</w:t>
            </w:r>
          </w:p>
        </w:tc>
        <w:tc>
          <w:tcPr>
            <w:tcW w:w="183" w:type="pct"/>
            <w:tcBorders>
              <w:top w:val="single" w:sz="8" w:space="0" w:color="auto"/>
              <w:left w:val="nil"/>
              <w:bottom w:val="single" w:sz="4" w:space="0" w:color="auto"/>
              <w:right w:val="single" w:sz="4" w:space="0" w:color="auto"/>
            </w:tcBorders>
            <w:shd w:val="clear" w:color="auto" w:fill="auto"/>
            <w:noWrap/>
            <w:vAlign w:val="bottom"/>
            <w:hideMark/>
          </w:tcPr>
          <w:p w14:paraId="6B91BD24"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14</w:t>
            </w:r>
          </w:p>
        </w:tc>
        <w:tc>
          <w:tcPr>
            <w:tcW w:w="183" w:type="pct"/>
            <w:tcBorders>
              <w:top w:val="single" w:sz="8" w:space="0" w:color="auto"/>
              <w:left w:val="nil"/>
              <w:bottom w:val="single" w:sz="4" w:space="0" w:color="auto"/>
              <w:right w:val="single" w:sz="8" w:space="0" w:color="auto"/>
            </w:tcBorders>
            <w:shd w:val="clear" w:color="auto" w:fill="auto"/>
            <w:noWrap/>
            <w:vAlign w:val="center"/>
            <w:hideMark/>
          </w:tcPr>
          <w:p w14:paraId="51120C08"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576" w:type="pct"/>
            <w:tcBorders>
              <w:top w:val="single" w:sz="8" w:space="0" w:color="auto"/>
              <w:left w:val="nil"/>
              <w:bottom w:val="single" w:sz="4" w:space="0" w:color="auto"/>
              <w:right w:val="single" w:sz="4" w:space="0" w:color="auto"/>
            </w:tcBorders>
            <w:shd w:val="clear" w:color="auto" w:fill="auto"/>
            <w:noWrap/>
            <w:vAlign w:val="center"/>
            <w:hideMark/>
          </w:tcPr>
          <w:p w14:paraId="3C6475C9"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193" w:type="pct"/>
            <w:vMerge w:val="restart"/>
            <w:tcBorders>
              <w:top w:val="single" w:sz="8" w:space="0" w:color="auto"/>
              <w:left w:val="single" w:sz="4" w:space="0" w:color="auto"/>
              <w:bottom w:val="single" w:sz="8" w:space="0" w:color="000000"/>
              <w:right w:val="single" w:sz="4" w:space="0" w:color="auto"/>
            </w:tcBorders>
            <w:shd w:val="clear" w:color="auto" w:fill="auto"/>
            <w:noWrap/>
            <w:textDirection w:val="btLr"/>
            <w:vAlign w:val="bottom"/>
            <w:hideMark/>
          </w:tcPr>
          <w:p w14:paraId="7507628E"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no information</w:t>
            </w:r>
          </w:p>
        </w:tc>
        <w:tc>
          <w:tcPr>
            <w:tcW w:w="183" w:type="pct"/>
            <w:tcBorders>
              <w:top w:val="single" w:sz="8" w:space="0" w:color="auto"/>
              <w:left w:val="nil"/>
              <w:bottom w:val="single" w:sz="4" w:space="0" w:color="auto"/>
              <w:right w:val="single" w:sz="8" w:space="0" w:color="auto"/>
            </w:tcBorders>
            <w:shd w:val="clear" w:color="auto" w:fill="auto"/>
            <w:noWrap/>
            <w:vAlign w:val="bottom"/>
            <w:hideMark/>
          </w:tcPr>
          <w:p w14:paraId="375CC6D1"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576" w:type="pct"/>
            <w:tcBorders>
              <w:top w:val="single" w:sz="8" w:space="0" w:color="auto"/>
              <w:left w:val="nil"/>
              <w:bottom w:val="single" w:sz="4" w:space="0" w:color="auto"/>
              <w:right w:val="single" w:sz="4" w:space="0" w:color="auto"/>
            </w:tcBorders>
            <w:shd w:val="clear" w:color="auto" w:fill="auto"/>
            <w:noWrap/>
            <w:vAlign w:val="bottom"/>
            <w:hideMark/>
          </w:tcPr>
          <w:p w14:paraId="7D4402AF"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193" w:type="pct"/>
            <w:vMerge w:val="restart"/>
            <w:tcBorders>
              <w:top w:val="single" w:sz="8" w:space="0" w:color="auto"/>
              <w:left w:val="single" w:sz="4" w:space="0" w:color="auto"/>
              <w:bottom w:val="single" w:sz="8" w:space="0" w:color="000000"/>
              <w:right w:val="single" w:sz="4" w:space="0" w:color="auto"/>
            </w:tcBorders>
            <w:shd w:val="clear" w:color="auto" w:fill="auto"/>
            <w:noWrap/>
            <w:textDirection w:val="btLr"/>
            <w:vAlign w:val="bottom"/>
            <w:hideMark/>
          </w:tcPr>
          <w:p w14:paraId="3527EDB5"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no information</w:t>
            </w:r>
          </w:p>
        </w:tc>
        <w:tc>
          <w:tcPr>
            <w:tcW w:w="183" w:type="pct"/>
            <w:tcBorders>
              <w:top w:val="single" w:sz="8" w:space="0" w:color="auto"/>
              <w:left w:val="nil"/>
              <w:bottom w:val="single" w:sz="4" w:space="0" w:color="auto"/>
              <w:right w:val="single" w:sz="8" w:space="0" w:color="auto"/>
            </w:tcBorders>
            <w:shd w:val="clear" w:color="auto" w:fill="auto"/>
            <w:noWrap/>
            <w:vAlign w:val="bottom"/>
            <w:hideMark/>
          </w:tcPr>
          <w:p w14:paraId="57D71597"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r>
      <w:tr w:rsidR="00596935" w:rsidRPr="00596935" w14:paraId="18FC4A85" w14:textId="77777777" w:rsidTr="00596935">
        <w:trPr>
          <w:trHeight w:val="300"/>
        </w:trPr>
        <w:tc>
          <w:tcPr>
            <w:tcW w:w="807" w:type="pct"/>
            <w:vMerge/>
            <w:tcBorders>
              <w:top w:val="nil"/>
              <w:left w:val="single" w:sz="8" w:space="0" w:color="auto"/>
              <w:bottom w:val="single" w:sz="8" w:space="0" w:color="000000"/>
              <w:right w:val="nil"/>
            </w:tcBorders>
            <w:vAlign w:val="center"/>
            <w:hideMark/>
          </w:tcPr>
          <w:p w14:paraId="28D4E9D9" w14:textId="77777777" w:rsidR="00596935" w:rsidRPr="00596935" w:rsidRDefault="00596935" w:rsidP="00596935">
            <w:pPr>
              <w:rPr>
                <w:rFonts w:cs="Arial"/>
                <w:color w:val="000000"/>
                <w:sz w:val="20"/>
                <w:szCs w:val="20"/>
                <w:lang w:val="de-AT" w:eastAsia="de-AT"/>
              </w:rPr>
            </w:pPr>
          </w:p>
        </w:tc>
        <w:tc>
          <w:tcPr>
            <w:tcW w:w="480" w:type="pct"/>
            <w:vMerge/>
            <w:tcBorders>
              <w:top w:val="nil"/>
              <w:left w:val="single" w:sz="4" w:space="0" w:color="auto"/>
              <w:bottom w:val="single" w:sz="4" w:space="0" w:color="auto"/>
              <w:right w:val="single" w:sz="4" w:space="0" w:color="auto"/>
            </w:tcBorders>
            <w:vAlign w:val="center"/>
            <w:hideMark/>
          </w:tcPr>
          <w:p w14:paraId="0B1BE0C2" w14:textId="77777777" w:rsidR="00596935" w:rsidRPr="00596935" w:rsidRDefault="00596935" w:rsidP="00596935">
            <w:pPr>
              <w:rPr>
                <w:rFonts w:cs="Arial"/>
                <w:color w:val="000000"/>
                <w:sz w:val="20"/>
                <w:szCs w:val="20"/>
                <w:lang w:val="de-AT" w:eastAsia="de-AT"/>
              </w:rPr>
            </w:pPr>
          </w:p>
        </w:tc>
        <w:tc>
          <w:tcPr>
            <w:tcW w:w="494" w:type="pct"/>
            <w:tcBorders>
              <w:top w:val="nil"/>
              <w:left w:val="nil"/>
              <w:bottom w:val="single" w:sz="4" w:space="0" w:color="auto"/>
              <w:right w:val="single" w:sz="4" w:space="0" w:color="auto"/>
            </w:tcBorders>
            <w:shd w:val="clear" w:color="auto" w:fill="auto"/>
            <w:noWrap/>
            <w:vAlign w:val="bottom"/>
            <w:hideMark/>
          </w:tcPr>
          <w:p w14:paraId="478A2B6C" w14:textId="77777777" w:rsidR="00596935" w:rsidRPr="00596935" w:rsidRDefault="00596935" w:rsidP="00596935">
            <w:pPr>
              <w:rPr>
                <w:rFonts w:cs="Arial"/>
                <w:color w:val="000000"/>
                <w:sz w:val="20"/>
                <w:szCs w:val="20"/>
                <w:lang w:val="de-AT" w:eastAsia="de-AT"/>
              </w:rPr>
            </w:pPr>
            <w:r w:rsidRPr="00596935">
              <w:rPr>
                <w:rFonts w:cs="Arial"/>
                <w:color w:val="000000"/>
                <w:sz w:val="20"/>
                <w:szCs w:val="20"/>
                <w:lang w:val="de-AT" w:eastAsia="de-AT"/>
              </w:rPr>
              <w:t>SNR +0</w:t>
            </w:r>
          </w:p>
        </w:tc>
        <w:tc>
          <w:tcPr>
            <w:tcW w:w="363" w:type="pct"/>
            <w:vMerge/>
            <w:tcBorders>
              <w:top w:val="single" w:sz="4" w:space="0" w:color="auto"/>
              <w:left w:val="single" w:sz="4" w:space="0" w:color="auto"/>
              <w:bottom w:val="single" w:sz="8" w:space="0" w:color="000000"/>
              <w:right w:val="single" w:sz="4" w:space="0" w:color="auto"/>
            </w:tcBorders>
            <w:vAlign w:val="center"/>
            <w:hideMark/>
          </w:tcPr>
          <w:p w14:paraId="1AB0A9E0" w14:textId="77777777" w:rsidR="00596935" w:rsidRPr="00596935" w:rsidRDefault="00596935" w:rsidP="00596935">
            <w:pPr>
              <w:rPr>
                <w:rFonts w:cs="Arial"/>
                <w:color w:val="000000"/>
                <w:sz w:val="20"/>
                <w:szCs w:val="20"/>
                <w:lang w:val="de-AT" w:eastAsia="de-AT"/>
              </w:rPr>
            </w:pPr>
          </w:p>
        </w:tc>
        <w:tc>
          <w:tcPr>
            <w:tcW w:w="584" w:type="pct"/>
            <w:tcBorders>
              <w:top w:val="nil"/>
              <w:left w:val="single" w:sz="8" w:space="0" w:color="auto"/>
              <w:bottom w:val="single" w:sz="4" w:space="0" w:color="auto"/>
              <w:right w:val="single" w:sz="4" w:space="0" w:color="auto"/>
            </w:tcBorders>
            <w:shd w:val="clear" w:color="auto" w:fill="auto"/>
            <w:noWrap/>
            <w:vAlign w:val="bottom"/>
            <w:hideMark/>
          </w:tcPr>
          <w:p w14:paraId="0671AF79"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71</w:t>
            </w:r>
          </w:p>
        </w:tc>
        <w:tc>
          <w:tcPr>
            <w:tcW w:w="183" w:type="pct"/>
            <w:tcBorders>
              <w:top w:val="nil"/>
              <w:left w:val="nil"/>
              <w:bottom w:val="single" w:sz="4" w:space="0" w:color="auto"/>
              <w:right w:val="single" w:sz="4" w:space="0" w:color="auto"/>
            </w:tcBorders>
            <w:shd w:val="clear" w:color="auto" w:fill="auto"/>
            <w:noWrap/>
            <w:vAlign w:val="bottom"/>
            <w:hideMark/>
          </w:tcPr>
          <w:p w14:paraId="5265782B"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19</w:t>
            </w:r>
          </w:p>
        </w:tc>
        <w:tc>
          <w:tcPr>
            <w:tcW w:w="183" w:type="pct"/>
            <w:tcBorders>
              <w:top w:val="nil"/>
              <w:left w:val="nil"/>
              <w:bottom w:val="single" w:sz="4" w:space="0" w:color="auto"/>
              <w:right w:val="single" w:sz="8" w:space="0" w:color="auto"/>
            </w:tcBorders>
            <w:shd w:val="clear" w:color="auto" w:fill="auto"/>
            <w:noWrap/>
            <w:vAlign w:val="center"/>
            <w:hideMark/>
          </w:tcPr>
          <w:p w14:paraId="19BFE0D7"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576" w:type="pct"/>
            <w:tcBorders>
              <w:top w:val="nil"/>
              <w:left w:val="nil"/>
              <w:bottom w:val="single" w:sz="4" w:space="0" w:color="auto"/>
              <w:right w:val="single" w:sz="4" w:space="0" w:color="auto"/>
            </w:tcBorders>
            <w:shd w:val="clear" w:color="auto" w:fill="auto"/>
            <w:noWrap/>
            <w:vAlign w:val="center"/>
            <w:hideMark/>
          </w:tcPr>
          <w:p w14:paraId="71215C10"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193" w:type="pct"/>
            <w:vMerge/>
            <w:tcBorders>
              <w:top w:val="single" w:sz="8" w:space="0" w:color="auto"/>
              <w:left w:val="single" w:sz="4" w:space="0" w:color="auto"/>
              <w:bottom w:val="single" w:sz="8" w:space="0" w:color="000000"/>
              <w:right w:val="single" w:sz="4" w:space="0" w:color="auto"/>
            </w:tcBorders>
            <w:vAlign w:val="center"/>
            <w:hideMark/>
          </w:tcPr>
          <w:p w14:paraId="27D5C85A" w14:textId="77777777" w:rsidR="00596935" w:rsidRPr="00596935" w:rsidRDefault="00596935" w:rsidP="00596935">
            <w:pPr>
              <w:rPr>
                <w:rFonts w:cs="Arial"/>
                <w:color w:val="000000"/>
                <w:sz w:val="20"/>
                <w:szCs w:val="20"/>
                <w:lang w:val="de-AT" w:eastAsia="de-AT"/>
              </w:rPr>
            </w:pPr>
          </w:p>
        </w:tc>
        <w:tc>
          <w:tcPr>
            <w:tcW w:w="183" w:type="pct"/>
            <w:tcBorders>
              <w:top w:val="nil"/>
              <w:left w:val="nil"/>
              <w:bottom w:val="single" w:sz="4" w:space="0" w:color="auto"/>
              <w:right w:val="single" w:sz="8" w:space="0" w:color="auto"/>
            </w:tcBorders>
            <w:shd w:val="clear" w:color="auto" w:fill="auto"/>
            <w:noWrap/>
            <w:vAlign w:val="bottom"/>
            <w:hideMark/>
          </w:tcPr>
          <w:p w14:paraId="4F73E5F5"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576" w:type="pct"/>
            <w:tcBorders>
              <w:top w:val="nil"/>
              <w:left w:val="nil"/>
              <w:bottom w:val="single" w:sz="4" w:space="0" w:color="auto"/>
              <w:right w:val="single" w:sz="4" w:space="0" w:color="auto"/>
            </w:tcBorders>
            <w:shd w:val="clear" w:color="auto" w:fill="auto"/>
            <w:noWrap/>
            <w:vAlign w:val="bottom"/>
            <w:hideMark/>
          </w:tcPr>
          <w:p w14:paraId="2C49C9DD"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193" w:type="pct"/>
            <w:vMerge/>
            <w:tcBorders>
              <w:top w:val="single" w:sz="8" w:space="0" w:color="auto"/>
              <w:left w:val="single" w:sz="4" w:space="0" w:color="auto"/>
              <w:bottom w:val="single" w:sz="8" w:space="0" w:color="000000"/>
              <w:right w:val="single" w:sz="4" w:space="0" w:color="auto"/>
            </w:tcBorders>
            <w:vAlign w:val="center"/>
            <w:hideMark/>
          </w:tcPr>
          <w:p w14:paraId="25D1DF4E" w14:textId="77777777" w:rsidR="00596935" w:rsidRPr="00596935" w:rsidRDefault="00596935" w:rsidP="00596935">
            <w:pPr>
              <w:rPr>
                <w:rFonts w:cs="Arial"/>
                <w:color w:val="000000"/>
                <w:sz w:val="20"/>
                <w:szCs w:val="20"/>
                <w:lang w:val="de-AT" w:eastAsia="de-AT"/>
              </w:rPr>
            </w:pPr>
          </w:p>
        </w:tc>
        <w:tc>
          <w:tcPr>
            <w:tcW w:w="183" w:type="pct"/>
            <w:tcBorders>
              <w:top w:val="nil"/>
              <w:left w:val="nil"/>
              <w:bottom w:val="single" w:sz="4" w:space="0" w:color="auto"/>
              <w:right w:val="single" w:sz="8" w:space="0" w:color="auto"/>
            </w:tcBorders>
            <w:shd w:val="clear" w:color="auto" w:fill="auto"/>
            <w:noWrap/>
            <w:vAlign w:val="bottom"/>
            <w:hideMark/>
          </w:tcPr>
          <w:p w14:paraId="7F7079C4"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r>
      <w:tr w:rsidR="00596935" w:rsidRPr="00596935" w14:paraId="7FBE474D" w14:textId="77777777" w:rsidTr="00596935">
        <w:trPr>
          <w:trHeight w:val="270"/>
        </w:trPr>
        <w:tc>
          <w:tcPr>
            <w:tcW w:w="807" w:type="pct"/>
            <w:vMerge/>
            <w:tcBorders>
              <w:top w:val="nil"/>
              <w:left w:val="single" w:sz="8" w:space="0" w:color="auto"/>
              <w:bottom w:val="single" w:sz="8" w:space="0" w:color="000000"/>
              <w:right w:val="nil"/>
            </w:tcBorders>
            <w:vAlign w:val="center"/>
            <w:hideMark/>
          </w:tcPr>
          <w:p w14:paraId="21C37C9A" w14:textId="77777777" w:rsidR="00596935" w:rsidRPr="00596935" w:rsidRDefault="00596935" w:rsidP="00596935">
            <w:pPr>
              <w:rPr>
                <w:rFonts w:cs="Arial"/>
                <w:color w:val="000000"/>
                <w:sz w:val="20"/>
                <w:szCs w:val="20"/>
                <w:lang w:val="de-AT" w:eastAsia="de-AT"/>
              </w:rPr>
            </w:pPr>
          </w:p>
        </w:tc>
        <w:tc>
          <w:tcPr>
            <w:tcW w:w="480" w:type="pct"/>
            <w:vMerge/>
            <w:tcBorders>
              <w:top w:val="nil"/>
              <w:left w:val="single" w:sz="4" w:space="0" w:color="auto"/>
              <w:bottom w:val="single" w:sz="4" w:space="0" w:color="auto"/>
              <w:right w:val="single" w:sz="4" w:space="0" w:color="auto"/>
            </w:tcBorders>
            <w:vAlign w:val="center"/>
            <w:hideMark/>
          </w:tcPr>
          <w:p w14:paraId="638FE0D5" w14:textId="77777777" w:rsidR="00596935" w:rsidRPr="00596935" w:rsidRDefault="00596935" w:rsidP="00596935">
            <w:pPr>
              <w:rPr>
                <w:rFonts w:cs="Arial"/>
                <w:color w:val="000000"/>
                <w:sz w:val="20"/>
                <w:szCs w:val="20"/>
                <w:lang w:val="de-AT" w:eastAsia="de-AT"/>
              </w:rPr>
            </w:pPr>
          </w:p>
        </w:tc>
        <w:tc>
          <w:tcPr>
            <w:tcW w:w="494" w:type="pct"/>
            <w:tcBorders>
              <w:top w:val="nil"/>
              <w:left w:val="nil"/>
              <w:bottom w:val="single" w:sz="4" w:space="0" w:color="auto"/>
              <w:right w:val="single" w:sz="4" w:space="0" w:color="auto"/>
            </w:tcBorders>
            <w:shd w:val="clear" w:color="auto" w:fill="auto"/>
            <w:vAlign w:val="center"/>
            <w:hideMark/>
          </w:tcPr>
          <w:p w14:paraId="21B130C2" w14:textId="77777777" w:rsidR="00596935" w:rsidRPr="00596935" w:rsidRDefault="00596935" w:rsidP="00596935">
            <w:pPr>
              <w:rPr>
                <w:rFonts w:cs="Arial"/>
                <w:color w:val="000000"/>
                <w:sz w:val="20"/>
                <w:szCs w:val="20"/>
                <w:lang w:val="de-AT" w:eastAsia="de-AT"/>
              </w:rPr>
            </w:pPr>
            <w:r w:rsidRPr="00596935">
              <w:rPr>
                <w:rFonts w:cs="Arial"/>
                <w:color w:val="000000"/>
                <w:sz w:val="20"/>
                <w:szCs w:val="20"/>
                <w:lang w:val="de-AT" w:eastAsia="de-AT"/>
              </w:rPr>
              <w:t>SNR -5</w:t>
            </w:r>
          </w:p>
        </w:tc>
        <w:tc>
          <w:tcPr>
            <w:tcW w:w="363" w:type="pct"/>
            <w:vMerge/>
            <w:tcBorders>
              <w:top w:val="single" w:sz="4" w:space="0" w:color="auto"/>
              <w:left w:val="single" w:sz="4" w:space="0" w:color="auto"/>
              <w:bottom w:val="single" w:sz="8" w:space="0" w:color="000000"/>
              <w:right w:val="single" w:sz="4" w:space="0" w:color="auto"/>
            </w:tcBorders>
            <w:vAlign w:val="center"/>
            <w:hideMark/>
          </w:tcPr>
          <w:p w14:paraId="25A8531A" w14:textId="77777777" w:rsidR="00596935" w:rsidRPr="00596935" w:rsidRDefault="00596935" w:rsidP="00596935">
            <w:pPr>
              <w:rPr>
                <w:rFonts w:cs="Arial"/>
                <w:color w:val="000000"/>
                <w:sz w:val="20"/>
                <w:szCs w:val="20"/>
                <w:lang w:val="de-AT" w:eastAsia="de-AT"/>
              </w:rPr>
            </w:pPr>
          </w:p>
        </w:tc>
        <w:tc>
          <w:tcPr>
            <w:tcW w:w="584" w:type="pct"/>
            <w:tcBorders>
              <w:top w:val="nil"/>
              <w:left w:val="single" w:sz="8" w:space="0" w:color="auto"/>
              <w:bottom w:val="single" w:sz="4" w:space="0" w:color="auto"/>
              <w:right w:val="single" w:sz="4" w:space="0" w:color="auto"/>
            </w:tcBorders>
            <w:shd w:val="clear" w:color="auto" w:fill="auto"/>
            <w:noWrap/>
            <w:vAlign w:val="bottom"/>
            <w:hideMark/>
          </w:tcPr>
          <w:p w14:paraId="4588D101"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64</w:t>
            </w:r>
          </w:p>
        </w:tc>
        <w:tc>
          <w:tcPr>
            <w:tcW w:w="183" w:type="pct"/>
            <w:tcBorders>
              <w:top w:val="nil"/>
              <w:left w:val="nil"/>
              <w:bottom w:val="single" w:sz="4" w:space="0" w:color="auto"/>
              <w:right w:val="single" w:sz="4" w:space="0" w:color="auto"/>
            </w:tcBorders>
            <w:shd w:val="clear" w:color="auto" w:fill="auto"/>
            <w:noWrap/>
            <w:vAlign w:val="bottom"/>
            <w:hideMark/>
          </w:tcPr>
          <w:p w14:paraId="2CC6F4EC"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30</w:t>
            </w:r>
          </w:p>
        </w:tc>
        <w:tc>
          <w:tcPr>
            <w:tcW w:w="183" w:type="pct"/>
            <w:tcBorders>
              <w:top w:val="nil"/>
              <w:left w:val="nil"/>
              <w:bottom w:val="single" w:sz="4" w:space="0" w:color="auto"/>
              <w:right w:val="single" w:sz="8" w:space="0" w:color="auto"/>
            </w:tcBorders>
            <w:shd w:val="clear" w:color="auto" w:fill="auto"/>
            <w:noWrap/>
            <w:vAlign w:val="center"/>
            <w:hideMark/>
          </w:tcPr>
          <w:p w14:paraId="67AEC83D"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576" w:type="pct"/>
            <w:tcBorders>
              <w:top w:val="nil"/>
              <w:left w:val="nil"/>
              <w:bottom w:val="single" w:sz="4" w:space="0" w:color="auto"/>
              <w:right w:val="single" w:sz="4" w:space="0" w:color="auto"/>
            </w:tcBorders>
            <w:shd w:val="clear" w:color="auto" w:fill="auto"/>
            <w:noWrap/>
            <w:vAlign w:val="center"/>
            <w:hideMark/>
          </w:tcPr>
          <w:p w14:paraId="3744C971"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193" w:type="pct"/>
            <w:vMerge/>
            <w:tcBorders>
              <w:top w:val="single" w:sz="8" w:space="0" w:color="auto"/>
              <w:left w:val="single" w:sz="4" w:space="0" w:color="auto"/>
              <w:bottom w:val="single" w:sz="8" w:space="0" w:color="000000"/>
              <w:right w:val="single" w:sz="4" w:space="0" w:color="auto"/>
            </w:tcBorders>
            <w:vAlign w:val="center"/>
            <w:hideMark/>
          </w:tcPr>
          <w:p w14:paraId="64F0C280" w14:textId="77777777" w:rsidR="00596935" w:rsidRPr="00596935" w:rsidRDefault="00596935" w:rsidP="00596935">
            <w:pPr>
              <w:rPr>
                <w:rFonts w:cs="Arial"/>
                <w:color w:val="000000"/>
                <w:sz w:val="20"/>
                <w:szCs w:val="20"/>
                <w:lang w:val="de-AT" w:eastAsia="de-AT"/>
              </w:rPr>
            </w:pPr>
          </w:p>
        </w:tc>
        <w:tc>
          <w:tcPr>
            <w:tcW w:w="183" w:type="pct"/>
            <w:tcBorders>
              <w:top w:val="nil"/>
              <w:left w:val="nil"/>
              <w:bottom w:val="single" w:sz="4" w:space="0" w:color="auto"/>
              <w:right w:val="single" w:sz="8" w:space="0" w:color="auto"/>
            </w:tcBorders>
            <w:shd w:val="clear" w:color="auto" w:fill="auto"/>
            <w:noWrap/>
            <w:vAlign w:val="bottom"/>
            <w:hideMark/>
          </w:tcPr>
          <w:p w14:paraId="03628929"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576" w:type="pct"/>
            <w:tcBorders>
              <w:top w:val="nil"/>
              <w:left w:val="nil"/>
              <w:bottom w:val="single" w:sz="4" w:space="0" w:color="auto"/>
              <w:right w:val="single" w:sz="4" w:space="0" w:color="auto"/>
            </w:tcBorders>
            <w:shd w:val="clear" w:color="auto" w:fill="auto"/>
            <w:noWrap/>
            <w:vAlign w:val="bottom"/>
            <w:hideMark/>
          </w:tcPr>
          <w:p w14:paraId="7634A981"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193" w:type="pct"/>
            <w:vMerge/>
            <w:tcBorders>
              <w:top w:val="single" w:sz="8" w:space="0" w:color="auto"/>
              <w:left w:val="single" w:sz="4" w:space="0" w:color="auto"/>
              <w:bottom w:val="single" w:sz="8" w:space="0" w:color="000000"/>
              <w:right w:val="single" w:sz="4" w:space="0" w:color="auto"/>
            </w:tcBorders>
            <w:vAlign w:val="center"/>
            <w:hideMark/>
          </w:tcPr>
          <w:p w14:paraId="5D57C23B" w14:textId="77777777" w:rsidR="00596935" w:rsidRPr="00596935" w:rsidRDefault="00596935" w:rsidP="00596935">
            <w:pPr>
              <w:rPr>
                <w:rFonts w:cs="Arial"/>
                <w:color w:val="000000"/>
                <w:sz w:val="20"/>
                <w:szCs w:val="20"/>
                <w:lang w:val="de-AT" w:eastAsia="de-AT"/>
              </w:rPr>
            </w:pPr>
          </w:p>
        </w:tc>
        <w:tc>
          <w:tcPr>
            <w:tcW w:w="183" w:type="pct"/>
            <w:tcBorders>
              <w:top w:val="nil"/>
              <w:left w:val="nil"/>
              <w:bottom w:val="single" w:sz="4" w:space="0" w:color="auto"/>
              <w:right w:val="single" w:sz="8" w:space="0" w:color="auto"/>
            </w:tcBorders>
            <w:shd w:val="clear" w:color="auto" w:fill="auto"/>
            <w:noWrap/>
            <w:vAlign w:val="bottom"/>
            <w:hideMark/>
          </w:tcPr>
          <w:p w14:paraId="0AC341C1"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r>
      <w:tr w:rsidR="00596935" w:rsidRPr="00596935" w14:paraId="79726ECB" w14:textId="77777777" w:rsidTr="00596935">
        <w:trPr>
          <w:trHeight w:val="525"/>
        </w:trPr>
        <w:tc>
          <w:tcPr>
            <w:tcW w:w="807" w:type="pct"/>
            <w:tcBorders>
              <w:top w:val="nil"/>
              <w:left w:val="single" w:sz="8" w:space="0" w:color="auto"/>
              <w:bottom w:val="nil"/>
              <w:right w:val="nil"/>
            </w:tcBorders>
            <w:shd w:val="clear" w:color="auto" w:fill="auto"/>
            <w:vAlign w:val="bottom"/>
            <w:hideMark/>
          </w:tcPr>
          <w:p w14:paraId="282BD9BB" w14:textId="77777777" w:rsidR="003733D2" w:rsidRDefault="00596935" w:rsidP="003733D2">
            <w:pPr>
              <w:rPr>
                <w:rFonts w:cs="Arial"/>
                <w:color w:val="000000"/>
                <w:sz w:val="20"/>
                <w:szCs w:val="20"/>
                <w:lang w:val="de-AT" w:eastAsia="de-AT"/>
              </w:rPr>
            </w:pPr>
            <w:r w:rsidRPr="00596935">
              <w:rPr>
                <w:rFonts w:cs="Arial"/>
                <w:color w:val="000000"/>
                <w:sz w:val="20"/>
                <w:szCs w:val="20"/>
                <w:lang w:val="de-AT" w:eastAsia="de-AT"/>
              </w:rPr>
              <w:t>Jenkins</w:t>
            </w:r>
            <w:r w:rsidR="003733D2">
              <w:rPr>
                <w:rFonts w:cs="Arial"/>
                <w:color w:val="000000"/>
                <w:sz w:val="20"/>
                <w:szCs w:val="20"/>
                <w:lang w:val="de-AT" w:eastAsia="de-AT"/>
              </w:rPr>
              <w:t xml:space="preserve"> </w:t>
            </w:r>
            <w:r w:rsidRPr="00596935">
              <w:rPr>
                <w:rFonts w:cs="Arial"/>
                <w:color w:val="000000"/>
                <w:sz w:val="20"/>
                <w:szCs w:val="20"/>
                <w:lang w:val="de-AT" w:eastAsia="de-AT"/>
              </w:rPr>
              <w:t xml:space="preserve">2008 </w:t>
            </w:r>
          </w:p>
          <w:p w14:paraId="41C24C09" w14:textId="354CB273" w:rsidR="00596935" w:rsidRPr="00596935" w:rsidRDefault="00596935" w:rsidP="003733D2">
            <w:pPr>
              <w:rPr>
                <w:rFonts w:cs="Arial"/>
                <w:color w:val="000000"/>
                <w:sz w:val="20"/>
                <w:szCs w:val="20"/>
                <w:lang w:val="de-AT" w:eastAsia="de-AT"/>
              </w:rPr>
            </w:pPr>
            <w:r w:rsidRPr="00596935">
              <w:rPr>
                <w:rFonts w:cs="Arial"/>
                <w:color w:val="000000"/>
                <w:sz w:val="20"/>
                <w:szCs w:val="20"/>
                <w:lang w:val="de-AT" w:eastAsia="de-AT"/>
              </w:rPr>
              <w:t>Esteem</w:t>
            </w:r>
          </w:p>
        </w:tc>
        <w:tc>
          <w:tcPr>
            <w:tcW w:w="480" w:type="pct"/>
            <w:tcBorders>
              <w:top w:val="nil"/>
              <w:left w:val="single" w:sz="4" w:space="0" w:color="auto"/>
              <w:bottom w:val="single" w:sz="4" w:space="0" w:color="auto"/>
              <w:right w:val="single" w:sz="4" w:space="0" w:color="auto"/>
            </w:tcBorders>
            <w:shd w:val="clear" w:color="auto" w:fill="auto"/>
            <w:noWrap/>
            <w:vAlign w:val="center"/>
            <w:hideMark/>
          </w:tcPr>
          <w:p w14:paraId="55EBC0DF"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HINT</w:t>
            </w:r>
          </w:p>
        </w:tc>
        <w:tc>
          <w:tcPr>
            <w:tcW w:w="494" w:type="pct"/>
            <w:tcBorders>
              <w:top w:val="nil"/>
              <w:left w:val="nil"/>
              <w:bottom w:val="single" w:sz="4" w:space="0" w:color="auto"/>
              <w:right w:val="single" w:sz="4" w:space="0" w:color="auto"/>
            </w:tcBorders>
            <w:shd w:val="clear" w:color="auto" w:fill="auto"/>
            <w:noWrap/>
            <w:vAlign w:val="center"/>
            <w:hideMark/>
          </w:tcPr>
          <w:p w14:paraId="50530F6A" w14:textId="77777777" w:rsidR="00596935" w:rsidRPr="00596935" w:rsidRDefault="00596935" w:rsidP="00596935">
            <w:pPr>
              <w:rPr>
                <w:rFonts w:cs="Arial"/>
                <w:color w:val="000000"/>
                <w:sz w:val="20"/>
                <w:szCs w:val="20"/>
                <w:lang w:val="de-AT" w:eastAsia="de-AT"/>
              </w:rPr>
            </w:pPr>
            <w:r w:rsidRPr="00596935">
              <w:rPr>
                <w:rFonts w:cs="Arial"/>
                <w:color w:val="000000"/>
                <w:sz w:val="20"/>
                <w:szCs w:val="20"/>
                <w:lang w:val="de-AT" w:eastAsia="de-AT"/>
              </w:rPr>
              <w:t>S0N0</w:t>
            </w:r>
          </w:p>
        </w:tc>
        <w:tc>
          <w:tcPr>
            <w:tcW w:w="363" w:type="pct"/>
            <w:vMerge/>
            <w:tcBorders>
              <w:top w:val="single" w:sz="4" w:space="0" w:color="auto"/>
              <w:left w:val="single" w:sz="4" w:space="0" w:color="auto"/>
              <w:bottom w:val="single" w:sz="8" w:space="0" w:color="000000"/>
              <w:right w:val="single" w:sz="4" w:space="0" w:color="auto"/>
            </w:tcBorders>
            <w:vAlign w:val="center"/>
            <w:hideMark/>
          </w:tcPr>
          <w:p w14:paraId="1D833EA2" w14:textId="77777777" w:rsidR="00596935" w:rsidRPr="00596935" w:rsidRDefault="00596935" w:rsidP="00596935">
            <w:pPr>
              <w:rPr>
                <w:rFonts w:cs="Arial"/>
                <w:color w:val="000000"/>
                <w:sz w:val="20"/>
                <w:szCs w:val="20"/>
                <w:lang w:val="de-AT" w:eastAsia="de-AT"/>
              </w:rPr>
            </w:pPr>
          </w:p>
        </w:tc>
        <w:tc>
          <w:tcPr>
            <w:tcW w:w="584" w:type="pct"/>
            <w:tcBorders>
              <w:top w:val="nil"/>
              <w:left w:val="single" w:sz="8" w:space="0" w:color="auto"/>
              <w:bottom w:val="single" w:sz="8" w:space="0" w:color="auto"/>
              <w:right w:val="single" w:sz="4" w:space="0" w:color="auto"/>
            </w:tcBorders>
            <w:shd w:val="clear" w:color="auto" w:fill="auto"/>
            <w:noWrap/>
            <w:vAlign w:val="bottom"/>
            <w:hideMark/>
          </w:tcPr>
          <w:p w14:paraId="4F06A09F"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5,2</w:t>
            </w:r>
          </w:p>
        </w:tc>
        <w:tc>
          <w:tcPr>
            <w:tcW w:w="183" w:type="pct"/>
            <w:tcBorders>
              <w:top w:val="nil"/>
              <w:left w:val="nil"/>
              <w:bottom w:val="single" w:sz="8" w:space="0" w:color="auto"/>
              <w:right w:val="single" w:sz="4" w:space="0" w:color="auto"/>
            </w:tcBorders>
            <w:shd w:val="clear" w:color="auto" w:fill="auto"/>
            <w:noWrap/>
            <w:vAlign w:val="bottom"/>
            <w:hideMark/>
          </w:tcPr>
          <w:p w14:paraId="4C4CD073"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183" w:type="pct"/>
            <w:tcBorders>
              <w:top w:val="nil"/>
              <w:left w:val="nil"/>
              <w:bottom w:val="single" w:sz="8" w:space="0" w:color="auto"/>
              <w:right w:val="single" w:sz="8" w:space="0" w:color="auto"/>
            </w:tcBorders>
            <w:shd w:val="clear" w:color="auto" w:fill="auto"/>
            <w:noWrap/>
            <w:vAlign w:val="bottom"/>
            <w:hideMark/>
          </w:tcPr>
          <w:p w14:paraId="39E599B4"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20</w:t>
            </w:r>
          </w:p>
        </w:tc>
        <w:tc>
          <w:tcPr>
            <w:tcW w:w="576" w:type="pct"/>
            <w:tcBorders>
              <w:top w:val="nil"/>
              <w:left w:val="nil"/>
              <w:bottom w:val="single" w:sz="8" w:space="0" w:color="auto"/>
              <w:right w:val="single" w:sz="4" w:space="0" w:color="auto"/>
            </w:tcBorders>
            <w:shd w:val="clear" w:color="auto" w:fill="auto"/>
            <w:noWrap/>
            <w:vAlign w:val="bottom"/>
            <w:hideMark/>
          </w:tcPr>
          <w:p w14:paraId="384664A2"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9,3</w:t>
            </w:r>
          </w:p>
        </w:tc>
        <w:tc>
          <w:tcPr>
            <w:tcW w:w="193" w:type="pct"/>
            <w:vMerge/>
            <w:tcBorders>
              <w:top w:val="single" w:sz="8" w:space="0" w:color="auto"/>
              <w:left w:val="single" w:sz="4" w:space="0" w:color="auto"/>
              <w:bottom w:val="single" w:sz="8" w:space="0" w:color="000000"/>
              <w:right w:val="single" w:sz="4" w:space="0" w:color="auto"/>
            </w:tcBorders>
            <w:vAlign w:val="center"/>
            <w:hideMark/>
          </w:tcPr>
          <w:p w14:paraId="7F8F774F" w14:textId="77777777" w:rsidR="00596935" w:rsidRPr="00596935" w:rsidRDefault="00596935" w:rsidP="00596935">
            <w:pPr>
              <w:rPr>
                <w:rFonts w:cs="Arial"/>
                <w:color w:val="000000"/>
                <w:sz w:val="20"/>
                <w:szCs w:val="20"/>
                <w:lang w:val="de-AT" w:eastAsia="de-AT"/>
              </w:rPr>
            </w:pPr>
          </w:p>
        </w:tc>
        <w:tc>
          <w:tcPr>
            <w:tcW w:w="183" w:type="pct"/>
            <w:tcBorders>
              <w:top w:val="nil"/>
              <w:left w:val="nil"/>
              <w:bottom w:val="single" w:sz="8" w:space="0" w:color="auto"/>
              <w:right w:val="single" w:sz="8" w:space="0" w:color="auto"/>
            </w:tcBorders>
            <w:shd w:val="clear" w:color="auto" w:fill="auto"/>
            <w:noWrap/>
            <w:vAlign w:val="bottom"/>
            <w:hideMark/>
          </w:tcPr>
          <w:p w14:paraId="3DE11772"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18</w:t>
            </w:r>
          </w:p>
        </w:tc>
        <w:tc>
          <w:tcPr>
            <w:tcW w:w="576" w:type="pct"/>
            <w:tcBorders>
              <w:top w:val="nil"/>
              <w:left w:val="nil"/>
              <w:bottom w:val="single" w:sz="8" w:space="0" w:color="auto"/>
              <w:right w:val="single" w:sz="4" w:space="0" w:color="auto"/>
            </w:tcBorders>
            <w:shd w:val="clear" w:color="auto" w:fill="auto"/>
            <w:noWrap/>
            <w:vAlign w:val="bottom"/>
            <w:hideMark/>
          </w:tcPr>
          <w:p w14:paraId="7F4D5317"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3,6</w:t>
            </w:r>
          </w:p>
        </w:tc>
        <w:tc>
          <w:tcPr>
            <w:tcW w:w="193" w:type="pct"/>
            <w:vMerge/>
            <w:tcBorders>
              <w:top w:val="single" w:sz="8" w:space="0" w:color="auto"/>
              <w:left w:val="single" w:sz="4" w:space="0" w:color="auto"/>
              <w:bottom w:val="single" w:sz="8" w:space="0" w:color="000000"/>
              <w:right w:val="single" w:sz="4" w:space="0" w:color="auto"/>
            </w:tcBorders>
            <w:vAlign w:val="center"/>
            <w:hideMark/>
          </w:tcPr>
          <w:p w14:paraId="5479A206" w14:textId="77777777" w:rsidR="00596935" w:rsidRPr="00596935" w:rsidRDefault="00596935" w:rsidP="00596935">
            <w:pPr>
              <w:rPr>
                <w:rFonts w:cs="Arial"/>
                <w:color w:val="000000"/>
                <w:sz w:val="20"/>
                <w:szCs w:val="20"/>
                <w:lang w:val="de-AT" w:eastAsia="de-AT"/>
              </w:rPr>
            </w:pPr>
          </w:p>
        </w:tc>
        <w:tc>
          <w:tcPr>
            <w:tcW w:w="183" w:type="pct"/>
            <w:tcBorders>
              <w:top w:val="nil"/>
              <w:left w:val="nil"/>
              <w:bottom w:val="single" w:sz="8" w:space="0" w:color="auto"/>
              <w:right w:val="single" w:sz="8" w:space="0" w:color="auto"/>
            </w:tcBorders>
            <w:shd w:val="clear" w:color="auto" w:fill="auto"/>
            <w:noWrap/>
            <w:vAlign w:val="bottom"/>
            <w:hideMark/>
          </w:tcPr>
          <w:p w14:paraId="5949A602"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10</w:t>
            </w:r>
          </w:p>
        </w:tc>
      </w:tr>
      <w:tr w:rsidR="00596935" w:rsidRPr="007F6475" w14:paraId="236E5CE3" w14:textId="77777777" w:rsidTr="00596935">
        <w:trPr>
          <w:trHeight w:val="615"/>
        </w:trPr>
        <w:tc>
          <w:tcPr>
            <w:tcW w:w="807" w:type="pct"/>
            <w:tcBorders>
              <w:top w:val="single" w:sz="8" w:space="0" w:color="auto"/>
              <w:left w:val="single" w:sz="8" w:space="0" w:color="auto"/>
              <w:bottom w:val="single" w:sz="8" w:space="0" w:color="auto"/>
              <w:right w:val="nil"/>
            </w:tcBorders>
            <w:shd w:val="clear" w:color="auto" w:fill="auto"/>
            <w:vAlign w:val="bottom"/>
            <w:hideMark/>
          </w:tcPr>
          <w:p w14:paraId="36115A4F" w14:textId="33B7D7BA" w:rsidR="00596935" w:rsidRPr="00596935" w:rsidRDefault="00596935" w:rsidP="003733D2">
            <w:pPr>
              <w:rPr>
                <w:rFonts w:cs="Arial"/>
                <w:color w:val="000000"/>
                <w:sz w:val="20"/>
                <w:szCs w:val="20"/>
                <w:lang w:val="de-AT" w:eastAsia="de-AT"/>
              </w:rPr>
            </w:pPr>
            <w:r w:rsidRPr="00596935">
              <w:rPr>
                <w:rFonts w:cs="Arial"/>
                <w:color w:val="000000"/>
                <w:sz w:val="20"/>
                <w:szCs w:val="20"/>
                <w:lang w:val="de-AT" w:eastAsia="de-AT"/>
              </w:rPr>
              <w:t>Hough</w:t>
            </w:r>
            <w:r w:rsidR="003733D2">
              <w:rPr>
                <w:rFonts w:cs="Arial"/>
                <w:color w:val="000000"/>
                <w:sz w:val="20"/>
                <w:szCs w:val="20"/>
                <w:lang w:val="de-AT" w:eastAsia="de-AT"/>
              </w:rPr>
              <w:t xml:space="preserve"> </w:t>
            </w:r>
            <w:r w:rsidRPr="00596935">
              <w:rPr>
                <w:rFonts w:cs="Arial"/>
                <w:color w:val="000000"/>
                <w:sz w:val="20"/>
                <w:szCs w:val="20"/>
                <w:lang w:val="de-AT" w:eastAsia="de-AT"/>
              </w:rPr>
              <w:t>2002 SOUNDTEC</w:t>
            </w:r>
          </w:p>
        </w:tc>
        <w:tc>
          <w:tcPr>
            <w:tcW w:w="480" w:type="pct"/>
            <w:tcBorders>
              <w:top w:val="nil"/>
              <w:left w:val="single" w:sz="4" w:space="0" w:color="auto"/>
              <w:bottom w:val="single" w:sz="8" w:space="0" w:color="auto"/>
              <w:right w:val="single" w:sz="4" w:space="0" w:color="auto"/>
            </w:tcBorders>
            <w:shd w:val="clear" w:color="auto" w:fill="auto"/>
            <w:noWrap/>
            <w:vAlign w:val="center"/>
            <w:hideMark/>
          </w:tcPr>
          <w:p w14:paraId="52C24637"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SPIN</w:t>
            </w:r>
          </w:p>
        </w:tc>
        <w:tc>
          <w:tcPr>
            <w:tcW w:w="494" w:type="pct"/>
            <w:tcBorders>
              <w:top w:val="nil"/>
              <w:left w:val="nil"/>
              <w:bottom w:val="single" w:sz="8" w:space="0" w:color="auto"/>
              <w:right w:val="single" w:sz="4" w:space="0" w:color="auto"/>
            </w:tcBorders>
            <w:shd w:val="clear" w:color="auto" w:fill="auto"/>
            <w:noWrap/>
            <w:vAlign w:val="center"/>
            <w:hideMark/>
          </w:tcPr>
          <w:p w14:paraId="020C8AB2" w14:textId="77777777" w:rsidR="00596935" w:rsidRPr="00596935" w:rsidRDefault="00596935" w:rsidP="00596935">
            <w:pPr>
              <w:rPr>
                <w:rFonts w:cs="Arial"/>
                <w:color w:val="000000"/>
                <w:sz w:val="20"/>
                <w:szCs w:val="20"/>
                <w:lang w:val="de-AT" w:eastAsia="de-AT"/>
              </w:rPr>
            </w:pPr>
            <w:r w:rsidRPr="00596935">
              <w:rPr>
                <w:rFonts w:cs="Arial"/>
                <w:color w:val="000000"/>
                <w:sz w:val="20"/>
                <w:szCs w:val="20"/>
                <w:lang w:val="de-AT" w:eastAsia="de-AT"/>
              </w:rPr>
              <w:t>monaural</w:t>
            </w:r>
          </w:p>
        </w:tc>
        <w:tc>
          <w:tcPr>
            <w:tcW w:w="363" w:type="pct"/>
            <w:vMerge/>
            <w:tcBorders>
              <w:top w:val="single" w:sz="4" w:space="0" w:color="auto"/>
              <w:left w:val="single" w:sz="4" w:space="0" w:color="auto"/>
              <w:bottom w:val="single" w:sz="8" w:space="0" w:color="000000"/>
              <w:right w:val="single" w:sz="4" w:space="0" w:color="auto"/>
            </w:tcBorders>
            <w:vAlign w:val="center"/>
            <w:hideMark/>
          </w:tcPr>
          <w:p w14:paraId="3631728E" w14:textId="77777777" w:rsidR="00596935" w:rsidRPr="00596935" w:rsidRDefault="00596935" w:rsidP="00596935">
            <w:pPr>
              <w:rPr>
                <w:rFonts w:cs="Arial"/>
                <w:color w:val="000000"/>
                <w:sz w:val="20"/>
                <w:szCs w:val="20"/>
                <w:lang w:val="de-AT" w:eastAsia="de-AT"/>
              </w:rPr>
            </w:pPr>
          </w:p>
        </w:tc>
        <w:tc>
          <w:tcPr>
            <w:tcW w:w="2855" w:type="pct"/>
            <w:gridSpan w:val="9"/>
            <w:tcBorders>
              <w:top w:val="nil"/>
              <w:left w:val="nil"/>
              <w:bottom w:val="single" w:sz="8" w:space="0" w:color="auto"/>
              <w:right w:val="single" w:sz="8" w:space="0" w:color="000000"/>
            </w:tcBorders>
            <w:shd w:val="clear" w:color="auto" w:fill="auto"/>
            <w:noWrap/>
            <w:vAlign w:val="center"/>
            <w:hideMark/>
          </w:tcPr>
          <w:p w14:paraId="22048BA7" w14:textId="77777777" w:rsidR="00596935" w:rsidRPr="00596935" w:rsidRDefault="00596935" w:rsidP="00596935">
            <w:pPr>
              <w:jc w:val="center"/>
              <w:rPr>
                <w:rFonts w:cs="Arial"/>
                <w:color w:val="000000"/>
                <w:sz w:val="20"/>
                <w:szCs w:val="20"/>
                <w:lang w:val="en-US" w:eastAsia="de-AT"/>
              </w:rPr>
            </w:pPr>
            <w:r w:rsidRPr="00596935">
              <w:rPr>
                <w:rFonts w:cs="Arial"/>
                <w:color w:val="000000"/>
                <w:sz w:val="20"/>
                <w:szCs w:val="20"/>
                <w:lang w:val="en-US" w:eastAsia="de-AT"/>
              </w:rPr>
              <w:t>n = 95 , only reported a gain of 0.1</w:t>
            </w:r>
          </w:p>
        </w:tc>
      </w:tr>
    </w:tbl>
    <w:p w14:paraId="5BEE346C" w14:textId="77777777" w:rsidR="00596935" w:rsidRPr="00596935" w:rsidRDefault="00596935" w:rsidP="00596935">
      <w:pPr>
        <w:spacing w:after="200" w:line="276" w:lineRule="auto"/>
        <w:rPr>
          <w:rFonts w:asciiTheme="minorHAnsi" w:eastAsiaTheme="minorHAnsi" w:hAnsiTheme="minorHAnsi" w:cstheme="minorBidi"/>
          <w:sz w:val="24"/>
          <w:szCs w:val="24"/>
          <w:lang w:val="en-US" w:eastAsia="en-US"/>
        </w:rPr>
      </w:pPr>
    </w:p>
    <w:p w14:paraId="5C5E09C5" w14:textId="77777777" w:rsidR="00596935" w:rsidRPr="00596935" w:rsidRDefault="00596935" w:rsidP="00596935">
      <w:pPr>
        <w:spacing w:after="200" w:line="276" w:lineRule="auto"/>
        <w:rPr>
          <w:rFonts w:asciiTheme="minorHAnsi" w:eastAsiaTheme="minorHAnsi" w:hAnsiTheme="minorHAnsi" w:cstheme="minorBidi"/>
          <w:sz w:val="24"/>
          <w:szCs w:val="24"/>
          <w:lang w:val="en-GB" w:eastAsia="en-US"/>
        </w:rPr>
      </w:pPr>
    </w:p>
    <w:p w14:paraId="1EA9B20B" w14:textId="77777777" w:rsidR="00596935" w:rsidRPr="00596935" w:rsidRDefault="00596935" w:rsidP="00596935">
      <w:pPr>
        <w:spacing w:after="200" w:line="276" w:lineRule="auto"/>
        <w:rPr>
          <w:rFonts w:asciiTheme="minorHAnsi" w:eastAsiaTheme="minorHAnsi" w:hAnsiTheme="minorHAnsi" w:cstheme="minorBidi"/>
          <w:sz w:val="24"/>
          <w:szCs w:val="24"/>
          <w:lang w:val="en-GB" w:eastAsia="en-US"/>
        </w:rPr>
        <w:sectPr w:rsidR="00596935" w:rsidRPr="00596935" w:rsidSect="00596935">
          <w:pgSz w:w="16838" w:h="11906" w:orient="landscape"/>
          <w:pgMar w:top="1417" w:right="1417" w:bottom="1417" w:left="1134" w:header="708" w:footer="708" w:gutter="0"/>
          <w:cols w:space="708"/>
          <w:docGrid w:linePitch="360"/>
        </w:sectPr>
      </w:pPr>
    </w:p>
    <w:p w14:paraId="6F2023EA" w14:textId="77777777" w:rsidR="00596935" w:rsidRPr="00C67966" w:rsidRDefault="00596935" w:rsidP="00C67966">
      <w:pPr>
        <w:pStyle w:val="Textbody"/>
        <w:rPr>
          <w:rFonts w:eastAsiaTheme="minorHAnsi"/>
          <w:b/>
          <w:i/>
        </w:rPr>
      </w:pPr>
      <w:r w:rsidRPr="00C67966">
        <w:rPr>
          <w:rFonts w:eastAsiaTheme="minorHAnsi"/>
          <w:b/>
          <w:i/>
        </w:rPr>
        <w:lastRenderedPageBreak/>
        <w:t>Self-assessment scales/patient preference</w:t>
      </w:r>
    </w:p>
    <w:p w14:paraId="3F0EB2A2" w14:textId="77777777" w:rsidR="00596935" w:rsidRDefault="00596935" w:rsidP="00C67966">
      <w:pPr>
        <w:pStyle w:val="Textbody"/>
        <w:rPr>
          <w:rFonts w:eastAsiaTheme="minorHAnsi"/>
        </w:rPr>
      </w:pPr>
      <w:r w:rsidRPr="00C67966">
        <w:rPr>
          <w:rFonts w:eastAsiaTheme="minorHAnsi"/>
        </w:rPr>
        <w:t xml:space="preserve">Twelve studies were identified that assessed the subjective benefit of the VSB in a total of 398 patients. Most studies implemented only one self-assessment scale, while three studies implemented several. Six different scales were used by the different studies, the most common ones being the (Abbreviated) Profile of Hearing Aid Benefit ((A)PHAB) and Glasgow Benefit Inventory (GBI). In all studies, patients were asked to fill in these questionnaires at one time point post-operatively. Other tests included the Hearing Device Satisfaction Scale (HDSS) and the Soundbridge Hearing Aid Comparison Questionnaire (SHACQ) which are designed for comparing two different hearing devices. Summary of the data is shown in </w:t>
      </w:r>
      <w:r w:rsidR="00D77AE9" w:rsidRPr="00C67966">
        <w:rPr>
          <w:rFonts w:eastAsiaTheme="minorHAnsi"/>
        </w:rPr>
        <w:fldChar w:fldCharType="begin"/>
      </w:r>
      <w:r w:rsidR="00D77AE9" w:rsidRPr="00C67966">
        <w:rPr>
          <w:rFonts w:eastAsiaTheme="minorHAnsi"/>
        </w:rPr>
        <w:instrText xml:space="preserve"> REF _Ref400644113 \h </w:instrText>
      </w:r>
      <w:r w:rsidR="00C67966" w:rsidRPr="00C67966">
        <w:rPr>
          <w:rFonts w:eastAsiaTheme="minorHAnsi"/>
        </w:rPr>
        <w:instrText xml:space="preserve"> \* MERGEFORMAT </w:instrText>
      </w:r>
      <w:r w:rsidR="00D77AE9" w:rsidRPr="00C67966">
        <w:rPr>
          <w:rFonts w:eastAsiaTheme="minorHAnsi"/>
        </w:rPr>
      </w:r>
      <w:r w:rsidR="00D77AE9" w:rsidRPr="00C67966">
        <w:rPr>
          <w:rFonts w:eastAsiaTheme="minorHAnsi"/>
        </w:rPr>
        <w:fldChar w:fldCharType="separate"/>
      </w:r>
      <w:r w:rsidR="00016592" w:rsidRPr="00C67966">
        <w:t xml:space="preserve">Table </w:t>
      </w:r>
      <w:r w:rsidR="00016592">
        <w:t>23</w:t>
      </w:r>
      <w:r w:rsidR="00016592" w:rsidRPr="00C67966">
        <w:t xml:space="preserve"> - </w:t>
      </w:r>
      <w:r w:rsidR="00016592" w:rsidRPr="00C67966">
        <w:rPr>
          <w:rFonts w:eastAsiaTheme="minorHAnsi"/>
          <w:lang w:val="en-GB" w:eastAsia="en-US"/>
        </w:rPr>
        <w:t>Subjective outcomes VSB</w:t>
      </w:r>
      <w:r w:rsidR="00D77AE9" w:rsidRPr="00C67966">
        <w:rPr>
          <w:rFonts w:eastAsiaTheme="minorHAnsi"/>
        </w:rPr>
        <w:fldChar w:fldCharType="end"/>
      </w:r>
      <w:r w:rsidRPr="00C67966">
        <w:rPr>
          <w:rFonts w:eastAsiaTheme="minorHAnsi"/>
        </w:rPr>
        <w:t>.</w:t>
      </w:r>
    </w:p>
    <w:p w14:paraId="31E7B69C" w14:textId="77777777" w:rsidR="00403E99" w:rsidRPr="00C67966" w:rsidRDefault="00403E99" w:rsidP="00C67966">
      <w:pPr>
        <w:pStyle w:val="Textbody"/>
        <w:rPr>
          <w:rFonts w:eastAsiaTheme="minorHAnsi"/>
        </w:rPr>
      </w:pPr>
    </w:p>
    <w:p w14:paraId="21555CA2" w14:textId="77777777" w:rsidR="00596935" w:rsidRPr="00C67966" w:rsidRDefault="00596935" w:rsidP="00C67966">
      <w:pPr>
        <w:pStyle w:val="Textbody"/>
        <w:rPr>
          <w:rFonts w:eastAsiaTheme="minorHAnsi"/>
          <w:highlight w:val="yellow"/>
        </w:rPr>
      </w:pPr>
      <w:r w:rsidRPr="00403E99">
        <w:rPr>
          <w:rFonts w:eastAsiaTheme="minorHAnsi"/>
          <w:i/>
          <w:u w:val="single"/>
        </w:rPr>
        <w:t>APHAB:</w:t>
      </w:r>
      <w:r w:rsidRPr="00C67966">
        <w:rPr>
          <w:rFonts w:eastAsiaTheme="minorHAnsi"/>
        </w:rPr>
        <w:t xml:space="preserve"> Six studies covering 130 patients reported on the outcomes of the APHAB. One of these studies by Luetje (2002) reported on the number of individuals indicating an improvement on the different subscales of the PHAB, therefore this study was excluded from data synthesis. The data from the remaining five studies were pooled together and are presented in </w:t>
      </w:r>
      <w:r w:rsidR="00D77AE9" w:rsidRPr="00C67966">
        <w:rPr>
          <w:rFonts w:eastAsiaTheme="minorHAnsi"/>
        </w:rPr>
        <w:fldChar w:fldCharType="begin"/>
      </w:r>
      <w:r w:rsidR="00D77AE9" w:rsidRPr="00C67966">
        <w:rPr>
          <w:rFonts w:eastAsiaTheme="minorHAnsi"/>
        </w:rPr>
        <w:instrText xml:space="preserve"> REF _Ref400644074 \h </w:instrText>
      </w:r>
      <w:r w:rsidR="00C67966" w:rsidRPr="00C67966">
        <w:rPr>
          <w:rFonts w:eastAsiaTheme="minorHAnsi"/>
        </w:rPr>
        <w:instrText xml:space="preserve"> \* MERGEFORMAT </w:instrText>
      </w:r>
      <w:r w:rsidR="00D77AE9" w:rsidRPr="00C67966">
        <w:rPr>
          <w:rFonts w:eastAsiaTheme="minorHAnsi"/>
        </w:rPr>
      </w:r>
      <w:r w:rsidR="00D77AE9" w:rsidRPr="00C67966">
        <w:rPr>
          <w:rFonts w:eastAsiaTheme="minorHAnsi"/>
        </w:rPr>
        <w:fldChar w:fldCharType="separate"/>
      </w:r>
      <w:r w:rsidR="00016592" w:rsidRPr="00C67966">
        <w:t xml:space="preserve">Table </w:t>
      </w:r>
      <w:r w:rsidR="00016592">
        <w:t>24</w:t>
      </w:r>
      <w:r w:rsidR="00016592" w:rsidRPr="00C67966">
        <w:t xml:space="preserve"> - </w:t>
      </w:r>
      <w:r w:rsidR="00016592" w:rsidRPr="00C67966">
        <w:rPr>
          <w:rFonts w:eastAsiaTheme="minorHAnsi"/>
          <w:lang w:val="en-GB" w:eastAsia="en-US"/>
        </w:rPr>
        <w:t>Subjective outcomes VSB pooled</w:t>
      </w:r>
      <w:r w:rsidR="00D77AE9" w:rsidRPr="00C67966">
        <w:rPr>
          <w:rFonts w:eastAsiaTheme="minorHAnsi"/>
        </w:rPr>
        <w:fldChar w:fldCharType="end"/>
      </w:r>
      <w:r w:rsidR="00D77AE9" w:rsidRPr="00C67966">
        <w:rPr>
          <w:rFonts w:eastAsiaTheme="minorHAnsi"/>
        </w:rPr>
        <w:t>.</w:t>
      </w:r>
      <w:r w:rsidRPr="00C67966">
        <w:rPr>
          <w:rFonts w:eastAsiaTheme="minorHAnsi"/>
        </w:rPr>
        <w:t xml:space="preserve"> The summary data demonstrate that patients` experienced more difficulty in understanding speech in background noise and less difficulty in the ease of communication. </w:t>
      </w:r>
    </w:p>
    <w:p w14:paraId="62CF8426" w14:textId="77777777" w:rsidR="00596935" w:rsidRPr="00596935" w:rsidRDefault="00596935" w:rsidP="00596935">
      <w:pPr>
        <w:spacing w:after="200" w:line="276" w:lineRule="auto"/>
        <w:rPr>
          <w:rFonts w:asciiTheme="minorHAnsi" w:eastAsiaTheme="minorHAnsi" w:hAnsiTheme="minorHAnsi" w:cstheme="minorBidi"/>
          <w:sz w:val="24"/>
          <w:szCs w:val="24"/>
          <w:highlight w:val="yellow"/>
          <w:lang w:val="en-GB" w:eastAsia="en-US"/>
        </w:rPr>
      </w:pPr>
    </w:p>
    <w:p w14:paraId="4E0D82B7" w14:textId="77777777" w:rsidR="00596935" w:rsidRPr="00596935" w:rsidRDefault="00596935" w:rsidP="00596935">
      <w:pPr>
        <w:spacing w:after="200" w:line="276" w:lineRule="auto"/>
        <w:rPr>
          <w:rFonts w:asciiTheme="minorHAnsi" w:eastAsiaTheme="minorHAnsi" w:hAnsiTheme="minorHAnsi" w:cstheme="minorBidi"/>
          <w:sz w:val="24"/>
          <w:szCs w:val="24"/>
          <w:highlight w:val="yellow"/>
          <w:lang w:val="en-GB" w:eastAsia="en-US"/>
        </w:rPr>
        <w:sectPr w:rsidR="00596935" w:rsidRPr="00596935">
          <w:pgSz w:w="11906" w:h="16838"/>
          <w:pgMar w:top="1417" w:right="1417" w:bottom="1134" w:left="1417" w:header="708" w:footer="708" w:gutter="0"/>
          <w:cols w:space="708"/>
          <w:docGrid w:linePitch="360"/>
        </w:sectPr>
      </w:pPr>
    </w:p>
    <w:p w14:paraId="775C894F" w14:textId="77777777" w:rsidR="00596935" w:rsidRPr="00C67966" w:rsidRDefault="00D77AE9" w:rsidP="007F6475">
      <w:pPr>
        <w:pStyle w:val="Caption"/>
        <w:rPr>
          <w:rFonts w:ascii="Arial" w:eastAsiaTheme="minorHAnsi" w:hAnsi="Arial" w:cs="Arial"/>
          <w:highlight w:val="yellow"/>
          <w:lang w:val="en-GB" w:eastAsia="en-US"/>
        </w:rPr>
      </w:pPr>
      <w:bookmarkStart w:id="448" w:name="_Ref400646131"/>
      <w:bookmarkStart w:id="449" w:name="_Ref400644113"/>
      <w:bookmarkStart w:id="450" w:name="_Toc431917483"/>
      <w:r w:rsidRPr="00C67966">
        <w:rPr>
          <w:rFonts w:ascii="Arial" w:hAnsi="Arial" w:cs="Arial"/>
        </w:rPr>
        <w:lastRenderedPageBreak/>
        <w:t xml:space="preserve">Table </w:t>
      </w:r>
      <w:r w:rsidRPr="00C67966">
        <w:rPr>
          <w:rFonts w:ascii="Arial" w:hAnsi="Arial" w:cs="Arial"/>
        </w:rPr>
        <w:fldChar w:fldCharType="begin"/>
      </w:r>
      <w:r w:rsidRPr="00C67966">
        <w:rPr>
          <w:rFonts w:ascii="Arial" w:hAnsi="Arial" w:cs="Arial"/>
        </w:rPr>
        <w:instrText xml:space="preserve"> SEQ Table \* ARABIC </w:instrText>
      </w:r>
      <w:r w:rsidRPr="00C67966">
        <w:rPr>
          <w:rFonts w:ascii="Arial" w:hAnsi="Arial" w:cs="Arial"/>
        </w:rPr>
        <w:fldChar w:fldCharType="separate"/>
      </w:r>
      <w:r w:rsidR="00016592">
        <w:rPr>
          <w:rFonts w:ascii="Arial" w:hAnsi="Arial" w:cs="Arial"/>
          <w:noProof/>
        </w:rPr>
        <w:t>23</w:t>
      </w:r>
      <w:r w:rsidRPr="00C67966">
        <w:rPr>
          <w:rFonts w:ascii="Arial" w:hAnsi="Arial" w:cs="Arial"/>
        </w:rPr>
        <w:fldChar w:fldCharType="end"/>
      </w:r>
      <w:bookmarkEnd w:id="448"/>
      <w:r w:rsidRPr="00C67966">
        <w:rPr>
          <w:rFonts w:ascii="Arial" w:hAnsi="Arial" w:cs="Arial"/>
          <w:lang w:val="en-US"/>
        </w:rPr>
        <w:t xml:space="preserve"> - </w:t>
      </w:r>
      <w:r w:rsidR="00596935" w:rsidRPr="00C67966">
        <w:rPr>
          <w:rFonts w:ascii="Arial" w:eastAsiaTheme="minorHAnsi" w:hAnsi="Arial" w:cs="Arial"/>
          <w:lang w:val="en-GB" w:eastAsia="en-US"/>
        </w:rPr>
        <w:t>Subjective outcomes VSB</w:t>
      </w:r>
      <w:bookmarkEnd w:id="449"/>
      <w:bookmarkEnd w:id="450"/>
    </w:p>
    <w:tbl>
      <w:tblPr>
        <w:tblW w:w="5000" w:type="pct"/>
        <w:tblCellMar>
          <w:left w:w="70" w:type="dxa"/>
          <w:right w:w="70" w:type="dxa"/>
        </w:tblCellMar>
        <w:tblLook w:val="04A0" w:firstRow="1" w:lastRow="0" w:firstColumn="1" w:lastColumn="0" w:noHBand="0" w:noVBand="1"/>
        <w:tblDescription w:val="Subjective outcomes VSB"/>
      </w:tblPr>
      <w:tblGrid>
        <w:gridCol w:w="1346"/>
        <w:gridCol w:w="1011"/>
        <w:gridCol w:w="1310"/>
        <w:gridCol w:w="716"/>
        <w:gridCol w:w="571"/>
        <w:gridCol w:w="678"/>
        <w:gridCol w:w="652"/>
        <w:gridCol w:w="1120"/>
        <w:gridCol w:w="1163"/>
        <w:gridCol w:w="1120"/>
        <w:gridCol w:w="1206"/>
        <w:gridCol w:w="969"/>
        <w:gridCol w:w="848"/>
        <w:gridCol w:w="874"/>
        <w:gridCol w:w="843"/>
      </w:tblGrid>
      <w:tr w:rsidR="00596935" w:rsidRPr="00596935" w14:paraId="3B4596B8" w14:textId="77777777" w:rsidTr="00596935">
        <w:trPr>
          <w:trHeight w:val="270"/>
        </w:trPr>
        <w:tc>
          <w:tcPr>
            <w:tcW w:w="466" w:type="pct"/>
            <w:vMerge w:val="restart"/>
            <w:tcBorders>
              <w:top w:val="single" w:sz="8" w:space="0" w:color="auto"/>
              <w:left w:val="single" w:sz="8" w:space="0" w:color="auto"/>
              <w:bottom w:val="single" w:sz="8" w:space="0" w:color="000000"/>
              <w:right w:val="nil"/>
            </w:tcBorders>
            <w:shd w:val="clear" w:color="auto" w:fill="auto"/>
            <w:vAlign w:val="center"/>
            <w:hideMark/>
          </w:tcPr>
          <w:p w14:paraId="340C8BF1"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authors</w:t>
            </w:r>
          </w:p>
        </w:tc>
        <w:tc>
          <w:tcPr>
            <w:tcW w:w="350" w:type="pct"/>
            <w:vMerge w:val="restart"/>
            <w:tcBorders>
              <w:top w:val="single" w:sz="8" w:space="0" w:color="auto"/>
              <w:left w:val="nil"/>
              <w:bottom w:val="single" w:sz="8" w:space="0" w:color="000000"/>
              <w:right w:val="nil"/>
            </w:tcBorders>
            <w:shd w:val="clear" w:color="auto" w:fill="auto"/>
            <w:noWrap/>
            <w:vAlign w:val="center"/>
            <w:hideMark/>
          </w:tcPr>
          <w:p w14:paraId="60617A49"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n</w:t>
            </w:r>
          </w:p>
        </w:tc>
        <w:tc>
          <w:tcPr>
            <w:tcW w:w="454" w:type="pct"/>
            <w:vMerge w:val="restart"/>
            <w:tcBorders>
              <w:top w:val="single" w:sz="8" w:space="0" w:color="auto"/>
              <w:left w:val="nil"/>
              <w:bottom w:val="single" w:sz="8" w:space="0" w:color="000000"/>
              <w:right w:val="nil"/>
            </w:tcBorders>
            <w:shd w:val="clear" w:color="auto" w:fill="auto"/>
            <w:vAlign w:val="center"/>
            <w:hideMark/>
          </w:tcPr>
          <w:p w14:paraId="169D2547"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Tests used</w:t>
            </w:r>
          </w:p>
        </w:tc>
        <w:tc>
          <w:tcPr>
            <w:tcW w:w="907" w:type="pct"/>
            <w:gridSpan w:val="4"/>
            <w:tcBorders>
              <w:top w:val="single" w:sz="8" w:space="0" w:color="auto"/>
              <w:left w:val="single" w:sz="8" w:space="0" w:color="auto"/>
              <w:bottom w:val="nil"/>
              <w:right w:val="single" w:sz="8" w:space="0" w:color="000000"/>
            </w:tcBorders>
            <w:shd w:val="clear" w:color="000000" w:fill="F2DCDB"/>
            <w:noWrap/>
            <w:vAlign w:val="bottom"/>
            <w:hideMark/>
          </w:tcPr>
          <w:p w14:paraId="25ABD7B5" w14:textId="77777777" w:rsidR="00596935" w:rsidRPr="00596935" w:rsidRDefault="00596935" w:rsidP="00596935">
            <w:pPr>
              <w:jc w:val="center"/>
              <w:rPr>
                <w:rFonts w:cs="Arial"/>
                <w:b/>
                <w:bCs/>
                <w:color w:val="000000"/>
                <w:sz w:val="20"/>
                <w:szCs w:val="20"/>
                <w:lang w:val="de-AT" w:eastAsia="de-AT"/>
              </w:rPr>
            </w:pPr>
            <w:r w:rsidRPr="00596935">
              <w:rPr>
                <w:rFonts w:cs="Arial"/>
                <w:b/>
                <w:bCs/>
                <w:color w:val="000000"/>
                <w:sz w:val="20"/>
                <w:szCs w:val="20"/>
                <w:lang w:val="de-AT" w:eastAsia="de-AT"/>
              </w:rPr>
              <w:t>(A)PHAB for VSB</w:t>
            </w:r>
          </w:p>
        </w:tc>
        <w:tc>
          <w:tcPr>
            <w:tcW w:w="1597" w:type="pct"/>
            <w:gridSpan w:val="4"/>
            <w:tcBorders>
              <w:top w:val="single" w:sz="8" w:space="0" w:color="auto"/>
              <w:left w:val="nil"/>
              <w:bottom w:val="nil"/>
              <w:right w:val="single" w:sz="8" w:space="0" w:color="000000"/>
            </w:tcBorders>
            <w:shd w:val="clear" w:color="000000" w:fill="F2DCDB"/>
            <w:noWrap/>
            <w:vAlign w:val="bottom"/>
            <w:hideMark/>
          </w:tcPr>
          <w:p w14:paraId="4C7EF619" w14:textId="77777777" w:rsidR="00596935" w:rsidRPr="00596935" w:rsidRDefault="00596935" w:rsidP="00596935">
            <w:pPr>
              <w:jc w:val="center"/>
              <w:rPr>
                <w:rFonts w:cs="Arial"/>
                <w:b/>
                <w:bCs/>
                <w:color w:val="000000"/>
                <w:sz w:val="20"/>
                <w:szCs w:val="20"/>
                <w:lang w:val="de-AT" w:eastAsia="de-AT"/>
              </w:rPr>
            </w:pPr>
            <w:r w:rsidRPr="00596935">
              <w:rPr>
                <w:rFonts w:cs="Arial"/>
                <w:b/>
                <w:bCs/>
                <w:color w:val="000000"/>
                <w:sz w:val="20"/>
                <w:szCs w:val="20"/>
                <w:lang w:val="de-AT" w:eastAsia="de-AT"/>
              </w:rPr>
              <w:t>GBI for VSB</w:t>
            </w:r>
          </w:p>
        </w:tc>
        <w:tc>
          <w:tcPr>
            <w:tcW w:w="1225" w:type="pct"/>
            <w:gridSpan w:val="4"/>
            <w:tcBorders>
              <w:top w:val="single" w:sz="8" w:space="0" w:color="auto"/>
              <w:left w:val="nil"/>
              <w:bottom w:val="nil"/>
              <w:right w:val="single" w:sz="8" w:space="0" w:color="000000"/>
            </w:tcBorders>
            <w:shd w:val="clear" w:color="000000" w:fill="F2DCDB"/>
            <w:noWrap/>
            <w:vAlign w:val="bottom"/>
            <w:hideMark/>
          </w:tcPr>
          <w:p w14:paraId="3DB3F187" w14:textId="77777777" w:rsidR="00596935" w:rsidRPr="00596935" w:rsidRDefault="00596935" w:rsidP="00596935">
            <w:pPr>
              <w:jc w:val="center"/>
              <w:rPr>
                <w:rFonts w:cs="Arial"/>
                <w:b/>
                <w:bCs/>
                <w:color w:val="000000"/>
                <w:sz w:val="20"/>
                <w:szCs w:val="20"/>
                <w:lang w:val="de-AT" w:eastAsia="de-AT"/>
              </w:rPr>
            </w:pPr>
            <w:r w:rsidRPr="00596935">
              <w:rPr>
                <w:rFonts w:cs="Arial"/>
                <w:b/>
                <w:bCs/>
                <w:color w:val="000000"/>
                <w:sz w:val="20"/>
                <w:szCs w:val="20"/>
                <w:lang w:val="de-AT" w:eastAsia="de-AT"/>
              </w:rPr>
              <w:t>GHABP</w:t>
            </w:r>
          </w:p>
        </w:tc>
      </w:tr>
      <w:tr w:rsidR="00596935" w:rsidRPr="00596935" w14:paraId="1A2F82DC" w14:textId="77777777" w:rsidTr="00596935">
        <w:trPr>
          <w:trHeight w:val="270"/>
        </w:trPr>
        <w:tc>
          <w:tcPr>
            <w:tcW w:w="466" w:type="pct"/>
            <w:vMerge/>
            <w:tcBorders>
              <w:top w:val="single" w:sz="8" w:space="0" w:color="auto"/>
              <w:left w:val="single" w:sz="8" w:space="0" w:color="auto"/>
              <w:bottom w:val="single" w:sz="8" w:space="0" w:color="000000"/>
              <w:right w:val="nil"/>
            </w:tcBorders>
            <w:vAlign w:val="center"/>
            <w:hideMark/>
          </w:tcPr>
          <w:p w14:paraId="77B3E00A" w14:textId="77777777" w:rsidR="00596935" w:rsidRPr="00596935" w:rsidRDefault="00596935" w:rsidP="00596935">
            <w:pPr>
              <w:rPr>
                <w:rFonts w:cs="Arial"/>
                <w:color w:val="000000"/>
                <w:sz w:val="20"/>
                <w:szCs w:val="20"/>
                <w:lang w:val="de-AT" w:eastAsia="de-AT"/>
              </w:rPr>
            </w:pPr>
          </w:p>
        </w:tc>
        <w:tc>
          <w:tcPr>
            <w:tcW w:w="350" w:type="pct"/>
            <w:vMerge/>
            <w:tcBorders>
              <w:top w:val="single" w:sz="8" w:space="0" w:color="auto"/>
              <w:left w:val="nil"/>
              <w:bottom w:val="single" w:sz="8" w:space="0" w:color="000000"/>
              <w:right w:val="nil"/>
            </w:tcBorders>
            <w:vAlign w:val="center"/>
            <w:hideMark/>
          </w:tcPr>
          <w:p w14:paraId="4AA6DF9C" w14:textId="77777777" w:rsidR="00596935" w:rsidRPr="00596935" w:rsidRDefault="00596935" w:rsidP="00596935">
            <w:pPr>
              <w:rPr>
                <w:rFonts w:cs="Arial"/>
                <w:color w:val="000000"/>
                <w:sz w:val="20"/>
                <w:szCs w:val="20"/>
                <w:lang w:val="de-AT" w:eastAsia="de-AT"/>
              </w:rPr>
            </w:pPr>
          </w:p>
        </w:tc>
        <w:tc>
          <w:tcPr>
            <w:tcW w:w="454" w:type="pct"/>
            <w:vMerge/>
            <w:tcBorders>
              <w:top w:val="single" w:sz="8" w:space="0" w:color="auto"/>
              <w:left w:val="nil"/>
              <w:bottom w:val="single" w:sz="8" w:space="0" w:color="000000"/>
              <w:right w:val="nil"/>
            </w:tcBorders>
            <w:vAlign w:val="center"/>
            <w:hideMark/>
          </w:tcPr>
          <w:p w14:paraId="7EDD46CC" w14:textId="77777777" w:rsidR="00596935" w:rsidRPr="00596935" w:rsidRDefault="00596935" w:rsidP="00596935">
            <w:pPr>
              <w:rPr>
                <w:rFonts w:cs="Arial"/>
                <w:color w:val="000000"/>
                <w:sz w:val="20"/>
                <w:szCs w:val="20"/>
                <w:lang w:val="de-AT" w:eastAsia="de-AT"/>
              </w:rPr>
            </w:pPr>
          </w:p>
        </w:tc>
        <w:tc>
          <w:tcPr>
            <w:tcW w:w="248" w:type="pct"/>
            <w:vMerge w:val="restart"/>
            <w:tcBorders>
              <w:top w:val="single" w:sz="8" w:space="0" w:color="000000"/>
              <w:left w:val="single" w:sz="8" w:space="0" w:color="auto"/>
              <w:bottom w:val="single" w:sz="8" w:space="0" w:color="000000"/>
              <w:right w:val="single" w:sz="8" w:space="0" w:color="000000"/>
            </w:tcBorders>
            <w:shd w:val="clear" w:color="000000" w:fill="D9D9D9"/>
            <w:vAlign w:val="center"/>
            <w:hideMark/>
          </w:tcPr>
          <w:p w14:paraId="09F20C3B"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BN</w:t>
            </w:r>
          </w:p>
        </w:tc>
        <w:tc>
          <w:tcPr>
            <w:tcW w:w="198" w:type="pct"/>
            <w:vMerge w:val="restart"/>
            <w:tcBorders>
              <w:top w:val="single" w:sz="8" w:space="0" w:color="000000"/>
              <w:left w:val="single" w:sz="8" w:space="0" w:color="000000"/>
              <w:bottom w:val="single" w:sz="8" w:space="0" w:color="000000"/>
              <w:right w:val="single" w:sz="8" w:space="0" w:color="000000"/>
            </w:tcBorders>
            <w:shd w:val="clear" w:color="000000" w:fill="D9D9D9"/>
            <w:noWrap/>
            <w:vAlign w:val="center"/>
            <w:hideMark/>
          </w:tcPr>
          <w:p w14:paraId="25CBDA53"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RV</w:t>
            </w:r>
          </w:p>
        </w:tc>
        <w:tc>
          <w:tcPr>
            <w:tcW w:w="235" w:type="pct"/>
            <w:vMerge w:val="restart"/>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1883600C"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EC</w:t>
            </w:r>
          </w:p>
        </w:tc>
        <w:tc>
          <w:tcPr>
            <w:tcW w:w="226" w:type="pct"/>
            <w:vMerge w:val="restart"/>
            <w:tcBorders>
              <w:top w:val="single" w:sz="8" w:space="0" w:color="000000"/>
              <w:left w:val="single" w:sz="8" w:space="0" w:color="000000"/>
              <w:bottom w:val="single" w:sz="8" w:space="0" w:color="000000"/>
              <w:right w:val="single" w:sz="8" w:space="0" w:color="auto"/>
            </w:tcBorders>
            <w:shd w:val="clear" w:color="000000" w:fill="D9D9D9"/>
            <w:vAlign w:val="center"/>
            <w:hideMark/>
          </w:tcPr>
          <w:p w14:paraId="03086130"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AS</w:t>
            </w:r>
          </w:p>
        </w:tc>
        <w:tc>
          <w:tcPr>
            <w:tcW w:w="388" w:type="pct"/>
            <w:vMerge w:val="restart"/>
            <w:tcBorders>
              <w:top w:val="single" w:sz="8" w:space="0" w:color="000000"/>
              <w:left w:val="single" w:sz="8" w:space="0" w:color="auto"/>
              <w:bottom w:val="single" w:sz="8" w:space="0" w:color="000000"/>
              <w:right w:val="single" w:sz="8" w:space="0" w:color="000000"/>
            </w:tcBorders>
            <w:shd w:val="clear" w:color="000000" w:fill="D9D9D9"/>
            <w:vAlign w:val="center"/>
            <w:hideMark/>
          </w:tcPr>
          <w:p w14:paraId="73852415"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Total</w:t>
            </w:r>
          </w:p>
        </w:tc>
        <w:tc>
          <w:tcPr>
            <w:tcW w:w="403" w:type="pct"/>
            <w:vMerge w:val="restart"/>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55C63BEE"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General</w:t>
            </w:r>
          </w:p>
        </w:tc>
        <w:tc>
          <w:tcPr>
            <w:tcW w:w="388" w:type="pct"/>
            <w:vMerge w:val="restart"/>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30F6056F"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Social</w:t>
            </w:r>
          </w:p>
        </w:tc>
        <w:tc>
          <w:tcPr>
            <w:tcW w:w="418" w:type="pct"/>
            <w:vMerge w:val="restart"/>
            <w:tcBorders>
              <w:top w:val="single" w:sz="8" w:space="0" w:color="000000"/>
              <w:left w:val="single" w:sz="8" w:space="0" w:color="000000"/>
              <w:bottom w:val="single" w:sz="8" w:space="0" w:color="000000"/>
              <w:right w:val="single" w:sz="8" w:space="0" w:color="auto"/>
            </w:tcBorders>
            <w:shd w:val="clear" w:color="000000" w:fill="D9D9D9"/>
            <w:vAlign w:val="center"/>
            <w:hideMark/>
          </w:tcPr>
          <w:p w14:paraId="693B4358"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Physical</w:t>
            </w:r>
          </w:p>
        </w:tc>
        <w:tc>
          <w:tcPr>
            <w:tcW w:w="630" w:type="pct"/>
            <w:gridSpan w:val="2"/>
            <w:tcBorders>
              <w:top w:val="single" w:sz="8" w:space="0" w:color="auto"/>
              <w:left w:val="nil"/>
              <w:bottom w:val="single" w:sz="8" w:space="0" w:color="auto"/>
              <w:right w:val="single" w:sz="8" w:space="0" w:color="000000"/>
            </w:tcBorders>
            <w:shd w:val="clear" w:color="000000" w:fill="F2DCDB"/>
            <w:hideMark/>
          </w:tcPr>
          <w:p w14:paraId="219386E0"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Unaided</w:t>
            </w:r>
          </w:p>
        </w:tc>
        <w:tc>
          <w:tcPr>
            <w:tcW w:w="595" w:type="pct"/>
            <w:gridSpan w:val="2"/>
            <w:tcBorders>
              <w:top w:val="single" w:sz="8" w:space="0" w:color="auto"/>
              <w:left w:val="nil"/>
              <w:bottom w:val="single" w:sz="8" w:space="0" w:color="auto"/>
              <w:right w:val="single" w:sz="8" w:space="0" w:color="000000"/>
            </w:tcBorders>
            <w:shd w:val="clear" w:color="000000" w:fill="F2DCDB"/>
            <w:hideMark/>
          </w:tcPr>
          <w:p w14:paraId="33A9F52D"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Aided</w:t>
            </w:r>
          </w:p>
        </w:tc>
      </w:tr>
      <w:tr w:rsidR="00596935" w:rsidRPr="00596935" w14:paraId="33DB343D" w14:textId="77777777" w:rsidTr="00596935">
        <w:trPr>
          <w:trHeight w:val="270"/>
        </w:trPr>
        <w:tc>
          <w:tcPr>
            <w:tcW w:w="466" w:type="pct"/>
            <w:vMerge/>
            <w:tcBorders>
              <w:top w:val="single" w:sz="8" w:space="0" w:color="auto"/>
              <w:left w:val="single" w:sz="8" w:space="0" w:color="auto"/>
              <w:bottom w:val="single" w:sz="8" w:space="0" w:color="000000"/>
              <w:right w:val="nil"/>
            </w:tcBorders>
            <w:vAlign w:val="center"/>
            <w:hideMark/>
          </w:tcPr>
          <w:p w14:paraId="2BBBFEA6" w14:textId="77777777" w:rsidR="00596935" w:rsidRPr="00596935" w:rsidRDefault="00596935" w:rsidP="00596935">
            <w:pPr>
              <w:rPr>
                <w:rFonts w:cs="Arial"/>
                <w:color w:val="000000"/>
                <w:sz w:val="20"/>
                <w:szCs w:val="20"/>
                <w:lang w:val="de-AT" w:eastAsia="de-AT"/>
              </w:rPr>
            </w:pPr>
          </w:p>
        </w:tc>
        <w:tc>
          <w:tcPr>
            <w:tcW w:w="350" w:type="pct"/>
            <w:vMerge/>
            <w:tcBorders>
              <w:top w:val="single" w:sz="8" w:space="0" w:color="auto"/>
              <w:left w:val="nil"/>
              <w:bottom w:val="single" w:sz="8" w:space="0" w:color="000000"/>
              <w:right w:val="nil"/>
            </w:tcBorders>
            <w:vAlign w:val="center"/>
            <w:hideMark/>
          </w:tcPr>
          <w:p w14:paraId="66250024" w14:textId="77777777" w:rsidR="00596935" w:rsidRPr="00596935" w:rsidRDefault="00596935" w:rsidP="00596935">
            <w:pPr>
              <w:rPr>
                <w:rFonts w:cs="Arial"/>
                <w:color w:val="000000"/>
                <w:sz w:val="20"/>
                <w:szCs w:val="20"/>
                <w:lang w:val="de-AT" w:eastAsia="de-AT"/>
              </w:rPr>
            </w:pPr>
          </w:p>
        </w:tc>
        <w:tc>
          <w:tcPr>
            <w:tcW w:w="454" w:type="pct"/>
            <w:vMerge/>
            <w:tcBorders>
              <w:top w:val="single" w:sz="8" w:space="0" w:color="auto"/>
              <w:left w:val="nil"/>
              <w:bottom w:val="single" w:sz="8" w:space="0" w:color="000000"/>
              <w:right w:val="nil"/>
            </w:tcBorders>
            <w:vAlign w:val="center"/>
            <w:hideMark/>
          </w:tcPr>
          <w:p w14:paraId="34835D1D" w14:textId="77777777" w:rsidR="00596935" w:rsidRPr="00596935" w:rsidRDefault="00596935" w:rsidP="00596935">
            <w:pPr>
              <w:rPr>
                <w:rFonts w:cs="Arial"/>
                <w:color w:val="000000"/>
                <w:sz w:val="20"/>
                <w:szCs w:val="20"/>
                <w:lang w:val="de-AT" w:eastAsia="de-AT"/>
              </w:rPr>
            </w:pPr>
          </w:p>
        </w:tc>
        <w:tc>
          <w:tcPr>
            <w:tcW w:w="248" w:type="pct"/>
            <w:vMerge/>
            <w:tcBorders>
              <w:top w:val="single" w:sz="8" w:space="0" w:color="000000"/>
              <w:left w:val="single" w:sz="8" w:space="0" w:color="auto"/>
              <w:bottom w:val="single" w:sz="8" w:space="0" w:color="000000"/>
              <w:right w:val="single" w:sz="8" w:space="0" w:color="000000"/>
            </w:tcBorders>
            <w:vAlign w:val="center"/>
            <w:hideMark/>
          </w:tcPr>
          <w:p w14:paraId="2E97FAED" w14:textId="77777777" w:rsidR="00596935" w:rsidRPr="00596935" w:rsidRDefault="00596935" w:rsidP="00596935">
            <w:pPr>
              <w:rPr>
                <w:rFonts w:cs="Arial"/>
                <w:color w:val="000000"/>
                <w:sz w:val="20"/>
                <w:szCs w:val="20"/>
                <w:lang w:val="de-AT" w:eastAsia="de-AT"/>
              </w:rPr>
            </w:pPr>
          </w:p>
        </w:tc>
        <w:tc>
          <w:tcPr>
            <w:tcW w:w="198" w:type="pct"/>
            <w:vMerge/>
            <w:tcBorders>
              <w:top w:val="single" w:sz="8" w:space="0" w:color="000000"/>
              <w:left w:val="single" w:sz="8" w:space="0" w:color="000000"/>
              <w:bottom w:val="single" w:sz="8" w:space="0" w:color="000000"/>
              <w:right w:val="single" w:sz="8" w:space="0" w:color="000000"/>
            </w:tcBorders>
            <w:vAlign w:val="center"/>
            <w:hideMark/>
          </w:tcPr>
          <w:p w14:paraId="17822453" w14:textId="77777777" w:rsidR="00596935" w:rsidRPr="00596935" w:rsidRDefault="00596935" w:rsidP="00596935">
            <w:pPr>
              <w:rPr>
                <w:rFonts w:cs="Arial"/>
                <w:color w:val="000000"/>
                <w:sz w:val="20"/>
                <w:szCs w:val="20"/>
                <w:lang w:val="de-AT" w:eastAsia="de-AT"/>
              </w:rPr>
            </w:pPr>
          </w:p>
        </w:tc>
        <w:tc>
          <w:tcPr>
            <w:tcW w:w="235" w:type="pct"/>
            <w:vMerge/>
            <w:tcBorders>
              <w:top w:val="single" w:sz="8" w:space="0" w:color="000000"/>
              <w:left w:val="single" w:sz="8" w:space="0" w:color="000000"/>
              <w:bottom w:val="single" w:sz="8" w:space="0" w:color="000000"/>
              <w:right w:val="single" w:sz="8" w:space="0" w:color="000000"/>
            </w:tcBorders>
            <w:vAlign w:val="center"/>
            <w:hideMark/>
          </w:tcPr>
          <w:p w14:paraId="76B84FE7" w14:textId="77777777" w:rsidR="00596935" w:rsidRPr="00596935" w:rsidRDefault="00596935" w:rsidP="00596935">
            <w:pPr>
              <w:rPr>
                <w:rFonts w:cs="Arial"/>
                <w:color w:val="000000"/>
                <w:sz w:val="20"/>
                <w:szCs w:val="20"/>
                <w:lang w:val="de-AT" w:eastAsia="de-AT"/>
              </w:rPr>
            </w:pPr>
          </w:p>
        </w:tc>
        <w:tc>
          <w:tcPr>
            <w:tcW w:w="226" w:type="pct"/>
            <w:vMerge/>
            <w:tcBorders>
              <w:top w:val="single" w:sz="8" w:space="0" w:color="000000"/>
              <w:left w:val="single" w:sz="8" w:space="0" w:color="000000"/>
              <w:bottom w:val="single" w:sz="8" w:space="0" w:color="000000"/>
              <w:right w:val="single" w:sz="8" w:space="0" w:color="auto"/>
            </w:tcBorders>
            <w:vAlign w:val="center"/>
            <w:hideMark/>
          </w:tcPr>
          <w:p w14:paraId="17DE4343" w14:textId="77777777" w:rsidR="00596935" w:rsidRPr="00596935" w:rsidRDefault="00596935" w:rsidP="00596935">
            <w:pPr>
              <w:rPr>
                <w:rFonts w:cs="Arial"/>
                <w:color w:val="000000"/>
                <w:sz w:val="20"/>
                <w:szCs w:val="20"/>
                <w:lang w:val="de-AT" w:eastAsia="de-AT"/>
              </w:rPr>
            </w:pPr>
          </w:p>
        </w:tc>
        <w:tc>
          <w:tcPr>
            <w:tcW w:w="388" w:type="pct"/>
            <w:vMerge/>
            <w:tcBorders>
              <w:top w:val="single" w:sz="8" w:space="0" w:color="000000"/>
              <w:left w:val="single" w:sz="8" w:space="0" w:color="auto"/>
              <w:bottom w:val="single" w:sz="8" w:space="0" w:color="000000"/>
              <w:right w:val="single" w:sz="8" w:space="0" w:color="000000"/>
            </w:tcBorders>
            <w:vAlign w:val="center"/>
            <w:hideMark/>
          </w:tcPr>
          <w:p w14:paraId="44C71C02" w14:textId="77777777" w:rsidR="00596935" w:rsidRPr="00596935" w:rsidRDefault="00596935" w:rsidP="00596935">
            <w:pPr>
              <w:rPr>
                <w:rFonts w:cs="Arial"/>
                <w:color w:val="000000"/>
                <w:sz w:val="20"/>
                <w:szCs w:val="20"/>
                <w:lang w:val="de-AT" w:eastAsia="de-AT"/>
              </w:rPr>
            </w:pPr>
          </w:p>
        </w:tc>
        <w:tc>
          <w:tcPr>
            <w:tcW w:w="403" w:type="pct"/>
            <w:vMerge/>
            <w:tcBorders>
              <w:top w:val="single" w:sz="8" w:space="0" w:color="000000"/>
              <w:left w:val="single" w:sz="8" w:space="0" w:color="000000"/>
              <w:bottom w:val="single" w:sz="8" w:space="0" w:color="000000"/>
              <w:right w:val="single" w:sz="8" w:space="0" w:color="000000"/>
            </w:tcBorders>
            <w:vAlign w:val="center"/>
            <w:hideMark/>
          </w:tcPr>
          <w:p w14:paraId="258A5B2F" w14:textId="77777777" w:rsidR="00596935" w:rsidRPr="00596935" w:rsidRDefault="00596935" w:rsidP="00596935">
            <w:pPr>
              <w:rPr>
                <w:rFonts w:cs="Arial"/>
                <w:color w:val="000000"/>
                <w:sz w:val="20"/>
                <w:szCs w:val="20"/>
                <w:lang w:val="de-AT" w:eastAsia="de-AT"/>
              </w:rPr>
            </w:pPr>
          </w:p>
        </w:tc>
        <w:tc>
          <w:tcPr>
            <w:tcW w:w="388" w:type="pct"/>
            <w:vMerge/>
            <w:tcBorders>
              <w:top w:val="single" w:sz="8" w:space="0" w:color="000000"/>
              <w:left w:val="single" w:sz="8" w:space="0" w:color="000000"/>
              <w:bottom w:val="single" w:sz="8" w:space="0" w:color="000000"/>
              <w:right w:val="single" w:sz="8" w:space="0" w:color="000000"/>
            </w:tcBorders>
            <w:vAlign w:val="center"/>
            <w:hideMark/>
          </w:tcPr>
          <w:p w14:paraId="47D8E77A" w14:textId="77777777" w:rsidR="00596935" w:rsidRPr="00596935" w:rsidRDefault="00596935" w:rsidP="00596935">
            <w:pPr>
              <w:rPr>
                <w:rFonts w:cs="Arial"/>
                <w:color w:val="000000"/>
                <w:sz w:val="20"/>
                <w:szCs w:val="20"/>
                <w:lang w:val="de-AT" w:eastAsia="de-AT"/>
              </w:rPr>
            </w:pPr>
          </w:p>
        </w:tc>
        <w:tc>
          <w:tcPr>
            <w:tcW w:w="418" w:type="pct"/>
            <w:vMerge/>
            <w:tcBorders>
              <w:top w:val="single" w:sz="8" w:space="0" w:color="000000"/>
              <w:left w:val="single" w:sz="8" w:space="0" w:color="000000"/>
              <w:bottom w:val="single" w:sz="8" w:space="0" w:color="000000"/>
              <w:right w:val="single" w:sz="8" w:space="0" w:color="auto"/>
            </w:tcBorders>
            <w:vAlign w:val="center"/>
            <w:hideMark/>
          </w:tcPr>
          <w:p w14:paraId="6734FF25" w14:textId="77777777" w:rsidR="00596935" w:rsidRPr="00596935" w:rsidRDefault="00596935" w:rsidP="00596935">
            <w:pPr>
              <w:rPr>
                <w:rFonts w:cs="Arial"/>
                <w:color w:val="000000"/>
                <w:sz w:val="20"/>
                <w:szCs w:val="20"/>
                <w:lang w:val="de-AT" w:eastAsia="de-AT"/>
              </w:rPr>
            </w:pPr>
          </w:p>
        </w:tc>
        <w:tc>
          <w:tcPr>
            <w:tcW w:w="336" w:type="pct"/>
            <w:tcBorders>
              <w:top w:val="nil"/>
              <w:left w:val="nil"/>
              <w:bottom w:val="single" w:sz="8" w:space="0" w:color="auto"/>
              <w:right w:val="nil"/>
            </w:tcBorders>
            <w:shd w:val="clear" w:color="000000" w:fill="D9D9D9"/>
            <w:hideMark/>
          </w:tcPr>
          <w:p w14:paraId="772D27BF"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mean</w:t>
            </w:r>
          </w:p>
        </w:tc>
        <w:tc>
          <w:tcPr>
            <w:tcW w:w="294" w:type="pct"/>
            <w:tcBorders>
              <w:top w:val="nil"/>
              <w:left w:val="nil"/>
              <w:bottom w:val="single" w:sz="8" w:space="0" w:color="auto"/>
              <w:right w:val="single" w:sz="8" w:space="0" w:color="000000"/>
            </w:tcBorders>
            <w:shd w:val="clear" w:color="000000" w:fill="D9D9D9"/>
            <w:noWrap/>
            <w:vAlign w:val="center"/>
            <w:hideMark/>
          </w:tcPr>
          <w:p w14:paraId="1A5ACD84"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sd</w:t>
            </w:r>
          </w:p>
        </w:tc>
        <w:tc>
          <w:tcPr>
            <w:tcW w:w="303" w:type="pct"/>
            <w:tcBorders>
              <w:top w:val="nil"/>
              <w:left w:val="nil"/>
              <w:bottom w:val="single" w:sz="8" w:space="0" w:color="auto"/>
              <w:right w:val="nil"/>
            </w:tcBorders>
            <w:shd w:val="clear" w:color="000000" w:fill="D9D9D9"/>
            <w:noWrap/>
            <w:vAlign w:val="bottom"/>
            <w:hideMark/>
          </w:tcPr>
          <w:p w14:paraId="288AEFA3" w14:textId="77777777" w:rsidR="00596935" w:rsidRPr="00596935" w:rsidRDefault="00596935" w:rsidP="00596935">
            <w:pPr>
              <w:jc w:val="center"/>
              <w:rPr>
                <w:rFonts w:cs="Arial"/>
                <w:i/>
                <w:iCs/>
                <w:color w:val="000000"/>
                <w:sz w:val="20"/>
                <w:szCs w:val="20"/>
                <w:lang w:val="de-AT" w:eastAsia="de-AT"/>
              </w:rPr>
            </w:pPr>
            <w:r w:rsidRPr="00596935">
              <w:rPr>
                <w:rFonts w:cs="Arial"/>
                <w:i/>
                <w:iCs/>
                <w:color w:val="000000"/>
                <w:sz w:val="20"/>
                <w:szCs w:val="20"/>
                <w:lang w:val="de-AT" w:eastAsia="de-AT"/>
              </w:rPr>
              <w:t>mean</w:t>
            </w:r>
          </w:p>
        </w:tc>
        <w:tc>
          <w:tcPr>
            <w:tcW w:w="292" w:type="pct"/>
            <w:tcBorders>
              <w:top w:val="nil"/>
              <w:left w:val="nil"/>
              <w:bottom w:val="single" w:sz="8" w:space="0" w:color="auto"/>
              <w:right w:val="single" w:sz="8" w:space="0" w:color="auto"/>
            </w:tcBorders>
            <w:shd w:val="clear" w:color="000000" w:fill="D9D9D9"/>
            <w:hideMark/>
          </w:tcPr>
          <w:p w14:paraId="7517F9E8" w14:textId="77777777" w:rsidR="00596935" w:rsidRPr="00596935" w:rsidRDefault="00596935" w:rsidP="00596935">
            <w:pPr>
              <w:jc w:val="center"/>
              <w:rPr>
                <w:rFonts w:cs="Arial"/>
                <w:i/>
                <w:iCs/>
                <w:color w:val="000000"/>
                <w:sz w:val="20"/>
                <w:szCs w:val="20"/>
                <w:lang w:val="de-AT" w:eastAsia="de-AT"/>
              </w:rPr>
            </w:pPr>
            <w:r w:rsidRPr="00596935">
              <w:rPr>
                <w:rFonts w:cs="Arial"/>
                <w:i/>
                <w:iCs/>
                <w:color w:val="000000"/>
                <w:sz w:val="20"/>
                <w:szCs w:val="20"/>
                <w:lang w:val="de-AT" w:eastAsia="de-AT"/>
              </w:rPr>
              <w:t>sd</w:t>
            </w:r>
          </w:p>
        </w:tc>
      </w:tr>
      <w:tr w:rsidR="00596935" w:rsidRPr="00596935" w14:paraId="2233460B" w14:textId="77777777" w:rsidTr="00596935">
        <w:trPr>
          <w:trHeight w:val="525"/>
        </w:trPr>
        <w:tc>
          <w:tcPr>
            <w:tcW w:w="466" w:type="pct"/>
            <w:tcBorders>
              <w:top w:val="nil"/>
              <w:left w:val="single" w:sz="4" w:space="0" w:color="auto"/>
              <w:bottom w:val="single" w:sz="8" w:space="0" w:color="auto"/>
              <w:right w:val="single" w:sz="4" w:space="0" w:color="auto"/>
            </w:tcBorders>
            <w:shd w:val="clear" w:color="auto" w:fill="auto"/>
            <w:vAlign w:val="center"/>
            <w:hideMark/>
          </w:tcPr>
          <w:p w14:paraId="3EF579E8" w14:textId="77777777" w:rsidR="003733D2" w:rsidRDefault="00596935" w:rsidP="003733D2">
            <w:pPr>
              <w:rPr>
                <w:rFonts w:cs="Arial"/>
                <w:color w:val="000000"/>
                <w:sz w:val="20"/>
                <w:szCs w:val="20"/>
                <w:lang w:val="de-AT" w:eastAsia="de-AT"/>
              </w:rPr>
            </w:pPr>
            <w:r w:rsidRPr="00596935">
              <w:rPr>
                <w:rFonts w:cs="Arial"/>
                <w:color w:val="000000"/>
                <w:sz w:val="20"/>
                <w:szCs w:val="20"/>
                <w:lang w:val="de-AT" w:eastAsia="de-AT"/>
              </w:rPr>
              <w:t>Fraysse</w:t>
            </w:r>
          </w:p>
          <w:p w14:paraId="7B6FE4D8" w14:textId="6A529E35" w:rsidR="00596935" w:rsidRPr="00596935" w:rsidRDefault="00596935" w:rsidP="003733D2">
            <w:pPr>
              <w:rPr>
                <w:rFonts w:cs="Arial"/>
                <w:color w:val="000000"/>
                <w:sz w:val="20"/>
                <w:szCs w:val="20"/>
                <w:lang w:val="de-AT" w:eastAsia="de-AT"/>
              </w:rPr>
            </w:pPr>
            <w:r w:rsidRPr="00596935">
              <w:rPr>
                <w:rFonts w:cs="Arial"/>
                <w:color w:val="000000"/>
                <w:sz w:val="20"/>
                <w:szCs w:val="20"/>
                <w:lang w:val="de-AT" w:eastAsia="de-AT"/>
              </w:rPr>
              <w:t>2001</w:t>
            </w:r>
          </w:p>
        </w:tc>
        <w:tc>
          <w:tcPr>
            <w:tcW w:w="350" w:type="pct"/>
            <w:tcBorders>
              <w:top w:val="nil"/>
              <w:left w:val="nil"/>
              <w:bottom w:val="single" w:sz="4" w:space="0" w:color="auto"/>
              <w:right w:val="single" w:sz="4" w:space="0" w:color="auto"/>
            </w:tcBorders>
            <w:shd w:val="clear" w:color="auto" w:fill="auto"/>
            <w:noWrap/>
            <w:vAlign w:val="center"/>
            <w:hideMark/>
          </w:tcPr>
          <w:p w14:paraId="0EAB26C3"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25</w:t>
            </w:r>
          </w:p>
        </w:tc>
        <w:tc>
          <w:tcPr>
            <w:tcW w:w="454" w:type="pct"/>
            <w:tcBorders>
              <w:top w:val="nil"/>
              <w:left w:val="nil"/>
              <w:bottom w:val="single" w:sz="4" w:space="0" w:color="auto"/>
              <w:right w:val="nil"/>
            </w:tcBorders>
            <w:shd w:val="clear" w:color="auto" w:fill="auto"/>
            <w:vAlign w:val="center"/>
            <w:hideMark/>
          </w:tcPr>
          <w:p w14:paraId="56FAB6B8"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APHAB</w:t>
            </w:r>
          </w:p>
        </w:tc>
        <w:tc>
          <w:tcPr>
            <w:tcW w:w="248" w:type="pct"/>
            <w:tcBorders>
              <w:top w:val="nil"/>
              <w:left w:val="single" w:sz="8" w:space="0" w:color="auto"/>
              <w:bottom w:val="single" w:sz="4" w:space="0" w:color="auto"/>
              <w:right w:val="single" w:sz="4" w:space="0" w:color="auto"/>
            </w:tcBorders>
            <w:shd w:val="clear" w:color="auto" w:fill="auto"/>
            <w:noWrap/>
            <w:vAlign w:val="center"/>
            <w:hideMark/>
          </w:tcPr>
          <w:p w14:paraId="6B408D4E"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39</w:t>
            </w:r>
          </w:p>
        </w:tc>
        <w:tc>
          <w:tcPr>
            <w:tcW w:w="198" w:type="pct"/>
            <w:tcBorders>
              <w:top w:val="nil"/>
              <w:left w:val="nil"/>
              <w:bottom w:val="single" w:sz="4" w:space="0" w:color="auto"/>
              <w:right w:val="single" w:sz="4" w:space="0" w:color="auto"/>
            </w:tcBorders>
            <w:shd w:val="clear" w:color="auto" w:fill="auto"/>
            <w:noWrap/>
            <w:vAlign w:val="center"/>
            <w:hideMark/>
          </w:tcPr>
          <w:p w14:paraId="2679C8B9"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35</w:t>
            </w:r>
          </w:p>
        </w:tc>
        <w:tc>
          <w:tcPr>
            <w:tcW w:w="235" w:type="pct"/>
            <w:tcBorders>
              <w:top w:val="nil"/>
              <w:left w:val="nil"/>
              <w:bottom w:val="single" w:sz="4" w:space="0" w:color="auto"/>
              <w:right w:val="single" w:sz="4" w:space="0" w:color="auto"/>
            </w:tcBorders>
            <w:shd w:val="clear" w:color="auto" w:fill="auto"/>
            <w:noWrap/>
            <w:vAlign w:val="center"/>
            <w:hideMark/>
          </w:tcPr>
          <w:p w14:paraId="29161D87"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22</w:t>
            </w:r>
          </w:p>
        </w:tc>
        <w:tc>
          <w:tcPr>
            <w:tcW w:w="226" w:type="pct"/>
            <w:tcBorders>
              <w:top w:val="nil"/>
              <w:left w:val="nil"/>
              <w:bottom w:val="single" w:sz="4" w:space="0" w:color="auto"/>
              <w:right w:val="single" w:sz="8" w:space="0" w:color="auto"/>
            </w:tcBorders>
            <w:shd w:val="clear" w:color="auto" w:fill="auto"/>
            <w:noWrap/>
            <w:vAlign w:val="center"/>
            <w:hideMark/>
          </w:tcPr>
          <w:p w14:paraId="50777FFC"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21</w:t>
            </w:r>
          </w:p>
        </w:tc>
        <w:tc>
          <w:tcPr>
            <w:tcW w:w="388" w:type="pct"/>
            <w:tcBorders>
              <w:top w:val="nil"/>
              <w:left w:val="nil"/>
              <w:bottom w:val="single" w:sz="4" w:space="0" w:color="auto"/>
              <w:right w:val="single" w:sz="4" w:space="0" w:color="auto"/>
            </w:tcBorders>
            <w:shd w:val="clear" w:color="auto" w:fill="auto"/>
            <w:noWrap/>
            <w:vAlign w:val="center"/>
            <w:hideMark/>
          </w:tcPr>
          <w:p w14:paraId="1375CC61"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403" w:type="pct"/>
            <w:tcBorders>
              <w:top w:val="nil"/>
              <w:left w:val="nil"/>
              <w:bottom w:val="single" w:sz="4" w:space="0" w:color="auto"/>
              <w:right w:val="single" w:sz="4" w:space="0" w:color="auto"/>
            </w:tcBorders>
            <w:shd w:val="clear" w:color="auto" w:fill="auto"/>
            <w:noWrap/>
            <w:vAlign w:val="center"/>
            <w:hideMark/>
          </w:tcPr>
          <w:p w14:paraId="292E52F2"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388" w:type="pct"/>
            <w:tcBorders>
              <w:top w:val="nil"/>
              <w:left w:val="nil"/>
              <w:bottom w:val="single" w:sz="4" w:space="0" w:color="auto"/>
              <w:right w:val="single" w:sz="4" w:space="0" w:color="auto"/>
            </w:tcBorders>
            <w:shd w:val="clear" w:color="auto" w:fill="auto"/>
            <w:noWrap/>
            <w:vAlign w:val="center"/>
            <w:hideMark/>
          </w:tcPr>
          <w:p w14:paraId="7130E01C"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418" w:type="pct"/>
            <w:tcBorders>
              <w:top w:val="nil"/>
              <w:left w:val="nil"/>
              <w:bottom w:val="single" w:sz="4" w:space="0" w:color="auto"/>
              <w:right w:val="single" w:sz="8" w:space="0" w:color="auto"/>
            </w:tcBorders>
            <w:shd w:val="clear" w:color="auto" w:fill="auto"/>
            <w:noWrap/>
            <w:vAlign w:val="center"/>
            <w:hideMark/>
          </w:tcPr>
          <w:p w14:paraId="7B1275F9"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336" w:type="pct"/>
            <w:tcBorders>
              <w:top w:val="nil"/>
              <w:left w:val="nil"/>
              <w:bottom w:val="single" w:sz="4" w:space="0" w:color="auto"/>
              <w:right w:val="single" w:sz="4" w:space="0" w:color="auto"/>
            </w:tcBorders>
            <w:shd w:val="clear" w:color="auto" w:fill="auto"/>
            <w:noWrap/>
            <w:vAlign w:val="center"/>
            <w:hideMark/>
          </w:tcPr>
          <w:p w14:paraId="0E44CF91"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294" w:type="pct"/>
            <w:tcBorders>
              <w:top w:val="nil"/>
              <w:left w:val="nil"/>
              <w:bottom w:val="single" w:sz="4" w:space="0" w:color="auto"/>
              <w:right w:val="single" w:sz="4" w:space="0" w:color="auto"/>
            </w:tcBorders>
            <w:shd w:val="clear" w:color="auto" w:fill="auto"/>
            <w:noWrap/>
            <w:vAlign w:val="center"/>
            <w:hideMark/>
          </w:tcPr>
          <w:p w14:paraId="00DB95C4"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303" w:type="pct"/>
            <w:tcBorders>
              <w:top w:val="nil"/>
              <w:left w:val="nil"/>
              <w:bottom w:val="single" w:sz="4" w:space="0" w:color="auto"/>
              <w:right w:val="single" w:sz="4" w:space="0" w:color="auto"/>
            </w:tcBorders>
            <w:shd w:val="clear" w:color="auto" w:fill="auto"/>
            <w:noWrap/>
            <w:vAlign w:val="center"/>
            <w:hideMark/>
          </w:tcPr>
          <w:p w14:paraId="030D3A80"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292" w:type="pct"/>
            <w:tcBorders>
              <w:top w:val="nil"/>
              <w:left w:val="nil"/>
              <w:bottom w:val="single" w:sz="4" w:space="0" w:color="auto"/>
              <w:right w:val="single" w:sz="8" w:space="0" w:color="auto"/>
            </w:tcBorders>
            <w:shd w:val="clear" w:color="auto" w:fill="auto"/>
            <w:noWrap/>
            <w:vAlign w:val="center"/>
            <w:hideMark/>
          </w:tcPr>
          <w:p w14:paraId="2D8A001E"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r>
      <w:tr w:rsidR="00596935" w:rsidRPr="00596935" w14:paraId="503D8F57" w14:textId="77777777" w:rsidTr="00596935">
        <w:trPr>
          <w:trHeight w:val="525"/>
        </w:trPr>
        <w:tc>
          <w:tcPr>
            <w:tcW w:w="466" w:type="pct"/>
            <w:tcBorders>
              <w:top w:val="nil"/>
              <w:left w:val="single" w:sz="4" w:space="0" w:color="auto"/>
              <w:bottom w:val="single" w:sz="8" w:space="0" w:color="auto"/>
              <w:right w:val="single" w:sz="4" w:space="0" w:color="auto"/>
            </w:tcBorders>
            <w:shd w:val="clear" w:color="auto" w:fill="auto"/>
            <w:vAlign w:val="center"/>
            <w:hideMark/>
          </w:tcPr>
          <w:p w14:paraId="671E2B08" w14:textId="77777777" w:rsidR="003733D2" w:rsidRDefault="00596935" w:rsidP="003733D2">
            <w:pPr>
              <w:rPr>
                <w:rFonts w:cs="Arial"/>
                <w:color w:val="000000"/>
                <w:sz w:val="20"/>
                <w:szCs w:val="20"/>
                <w:lang w:val="de-AT" w:eastAsia="de-AT"/>
              </w:rPr>
            </w:pPr>
            <w:r w:rsidRPr="00596935">
              <w:rPr>
                <w:rFonts w:cs="Arial"/>
                <w:color w:val="000000"/>
                <w:sz w:val="20"/>
                <w:szCs w:val="20"/>
                <w:lang w:val="de-AT" w:eastAsia="de-AT"/>
              </w:rPr>
              <w:t>Lenarz</w:t>
            </w:r>
          </w:p>
          <w:p w14:paraId="2412D599" w14:textId="0B65B14B" w:rsidR="00596935" w:rsidRPr="00596935" w:rsidRDefault="00596935" w:rsidP="003733D2">
            <w:pPr>
              <w:rPr>
                <w:rFonts w:cs="Arial"/>
                <w:color w:val="000000"/>
                <w:sz w:val="20"/>
                <w:szCs w:val="20"/>
                <w:lang w:val="de-AT" w:eastAsia="de-AT"/>
              </w:rPr>
            </w:pPr>
            <w:r w:rsidRPr="00596935">
              <w:rPr>
                <w:rFonts w:cs="Arial"/>
                <w:color w:val="000000"/>
                <w:sz w:val="20"/>
                <w:szCs w:val="20"/>
                <w:lang w:val="de-AT" w:eastAsia="de-AT"/>
              </w:rPr>
              <w:t>2001</w:t>
            </w:r>
          </w:p>
        </w:tc>
        <w:tc>
          <w:tcPr>
            <w:tcW w:w="350" w:type="pct"/>
            <w:tcBorders>
              <w:top w:val="nil"/>
              <w:left w:val="nil"/>
              <w:bottom w:val="single" w:sz="4" w:space="0" w:color="auto"/>
              <w:right w:val="single" w:sz="4" w:space="0" w:color="auto"/>
            </w:tcBorders>
            <w:shd w:val="clear" w:color="auto" w:fill="auto"/>
            <w:noWrap/>
            <w:vAlign w:val="center"/>
            <w:hideMark/>
          </w:tcPr>
          <w:p w14:paraId="01991641"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34</w:t>
            </w:r>
          </w:p>
        </w:tc>
        <w:tc>
          <w:tcPr>
            <w:tcW w:w="454" w:type="pct"/>
            <w:tcBorders>
              <w:top w:val="nil"/>
              <w:left w:val="nil"/>
              <w:bottom w:val="single" w:sz="4" w:space="0" w:color="auto"/>
              <w:right w:val="nil"/>
            </w:tcBorders>
            <w:shd w:val="clear" w:color="auto" w:fill="auto"/>
            <w:vAlign w:val="center"/>
            <w:hideMark/>
          </w:tcPr>
          <w:p w14:paraId="68F77844"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PHAB</w:t>
            </w:r>
          </w:p>
        </w:tc>
        <w:tc>
          <w:tcPr>
            <w:tcW w:w="248" w:type="pct"/>
            <w:tcBorders>
              <w:top w:val="nil"/>
              <w:left w:val="single" w:sz="8" w:space="0" w:color="auto"/>
              <w:bottom w:val="single" w:sz="4" w:space="0" w:color="auto"/>
              <w:right w:val="single" w:sz="4" w:space="0" w:color="auto"/>
            </w:tcBorders>
            <w:shd w:val="clear" w:color="auto" w:fill="auto"/>
            <w:noWrap/>
            <w:vAlign w:val="center"/>
            <w:hideMark/>
          </w:tcPr>
          <w:p w14:paraId="78CDB72F"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47</w:t>
            </w:r>
          </w:p>
        </w:tc>
        <w:tc>
          <w:tcPr>
            <w:tcW w:w="198" w:type="pct"/>
            <w:tcBorders>
              <w:top w:val="nil"/>
              <w:left w:val="nil"/>
              <w:bottom w:val="single" w:sz="4" w:space="0" w:color="auto"/>
              <w:right w:val="single" w:sz="4" w:space="0" w:color="auto"/>
            </w:tcBorders>
            <w:shd w:val="clear" w:color="auto" w:fill="auto"/>
            <w:noWrap/>
            <w:vAlign w:val="center"/>
            <w:hideMark/>
          </w:tcPr>
          <w:p w14:paraId="06F9780B"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45</w:t>
            </w:r>
          </w:p>
        </w:tc>
        <w:tc>
          <w:tcPr>
            <w:tcW w:w="235" w:type="pct"/>
            <w:tcBorders>
              <w:top w:val="nil"/>
              <w:left w:val="nil"/>
              <w:bottom w:val="single" w:sz="4" w:space="0" w:color="auto"/>
              <w:right w:val="single" w:sz="4" w:space="0" w:color="auto"/>
            </w:tcBorders>
            <w:shd w:val="clear" w:color="auto" w:fill="auto"/>
            <w:noWrap/>
            <w:vAlign w:val="center"/>
            <w:hideMark/>
          </w:tcPr>
          <w:p w14:paraId="2B7EFC1D"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28</w:t>
            </w:r>
          </w:p>
        </w:tc>
        <w:tc>
          <w:tcPr>
            <w:tcW w:w="226" w:type="pct"/>
            <w:tcBorders>
              <w:top w:val="nil"/>
              <w:left w:val="nil"/>
              <w:bottom w:val="single" w:sz="4" w:space="0" w:color="auto"/>
              <w:right w:val="single" w:sz="8" w:space="0" w:color="auto"/>
            </w:tcBorders>
            <w:shd w:val="clear" w:color="auto" w:fill="auto"/>
            <w:noWrap/>
            <w:vAlign w:val="center"/>
            <w:hideMark/>
          </w:tcPr>
          <w:p w14:paraId="419AAE44"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29</w:t>
            </w:r>
          </w:p>
        </w:tc>
        <w:tc>
          <w:tcPr>
            <w:tcW w:w="388" w:type="pct"/>
            <w:tcBorders>
              <w:top w:val="nil"/>
              <w:left w:val="nil"/>
              <w:bottom w:val="single" w:sz="4" w:space="0" w:color="auto"/>
              <w:right w:val="single" w:sz="4" w:space="0" w:color="auto"/>
            </w:tcBorders>
            <w:shd w:val="clear" w:color="auto" w:fill="auto"/>
            <w:noWrap/>
            <w:vAlign w:val="center"/>
            <w:hideMark/>
          </w:tcPr>
          <w:p w14:paraId="661C365A"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403" w:type="pct"/>
            <w:tcBorders>
              <w:top w:val="nil"/>
              <w:left w:val="nil"/>
              <w:bottom w:val="single" w:sz="4" w:space="0" w:color="auto"/>
              <w:right w:val="single" w:sz="4" w:space="0" w:color="auto"/>
            </w:tcBorders>
            <w:shd w:val="clear" w:color="auto" w:fill="auto"/>
            <w:noWrap/>
            <w:vAlign w:val="center"/>
            <w:hideMark/>
          </w:tcPr>
          <w:p w14:paraId="635DF7C1"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388" w:type="pct"/>
            <w:tcBorders>
              <w:top w:val="nil"/>
              <w:left w:val="nil"/>
              <w:bottom w:val="single" w:sz="4" w:space="0" w:color="auto"/>
              <w:right w:val="single" w:sz="4" w:space="0" w:color="auto"/>
            </w:tcBorders>
            <w:shd w:val="clear" w:color="auto" w:fill="auto"/>
            <w:noWrap/>
            <w:vAlign w:val="center"/>
            <w:hideMark/>
          </w:tcPr>
          <w:p w14:paraId="26F697E2"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418" w:type="pct"/>
            <w:tcBorders>
              <w:top w:val="nil"/>
              <w:left w:val="nil"/>
              <w:bottom w:val="single" w:sz="4" w:space="0" w:color="auto"/>
              <w:right w:val="single" w:sz="8" w:space="0" w:color="auto"/>
            </w:tcBorders>
            <w:shd w:val="clear" w:color="auto" w:fill="auto"/>
            <w:noWrap/>
            <w:vAlign w:val="center"/>
            <w:hideMark/>
          </w:tcPr>
          <w:p w14:paraId="5D2D7ABD"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336" w:type="pct"/>
            <w:tcBorders>
              <w:top w:val="nil"/>
              <w:left w:val="nil"/>
              <w:bottom w:val="single" w:sz="4" w:space="0" w:color="auto"/>
              <w:right w:val="single" w:sz="4" w:space="0" w:color="auto"/>
            </w:tcBorders>
            <w:shd w:val="clear" w:color="auto" w:fill="auto"/>
            <w:noWrap/>
            <w:vAlign w:val="center"/>
            <w:hideMark/>
          </w:tcPr>
          <w:p w14:paraId="34CA82FF"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294" w:type="pct"/>
            <w:tcBorders>
              <w:top w:val="nil"/>
              <w:left w:val="nil"/>
              <w:bottom w:val="single" w:sz="4" w:space="0" w:color="auto"/>
              <w:right w:val="single" w:sz="4" w:space="0" w:color="auto"/>
            </w:tcBorders>
            <w:shd w:val="clear" w:color="auto" w:fill="auto"/>
            <w:noWrap/>
            <w:vAlign w:val="center"/>
            <w:hideMark/>
          </w:tcPr>
          <w:p w14:paraId="58103E69"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303" w:type="pct"/>
            <w:tcBorders>
              <w:top w:val="nil"/>
              <w:left w:val="nil"/>
              <w:bottom w:val="single" w:sz="4" w:space="0" w:color="auto"/>
              <w:right w:val="single" w:sz="4" w:space="0" w:color="auto"/>
            </w:tcBorders>
            <w:shd w:val="clear" w:color="auto" w:fill="auto"/>
            <w:noWrap/>
            <w:vAlign w:val="center"/>
            <w:hideMark/>
          </w:tcPr>
          <w:p w14:paraId="023730D1"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292" w:type="pct"/>
            <w:tcBorders>
              <w:top w:val="nil"/>
              <w:left w:val="nil"/>
              <w:bottom w:val="single" w:sz="4" w:space="0" w:color="auto"/>
              <w:right w:val="single" w:sz="8" w:space="0" w:color="auto"/>
            </w:tcBorders>
            <w:shd w:val="clear" w:color="auto" w:fill="auto"/>
            <w:noWrap/>
            <w:vAlign w:val="center"/>
            <w:hideMark/>
          </w:tcPr>
          <w:p w14:paraId="1A588045"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r>
      <w:tr w:rsidR="00596935" w:rsidRPr="00596935" w14:paraId="3DBF0CCF" w14:textId="77777777" w:rsidTr="00596935">
        <w:trPr>
          <w:trHeight w:val="780"/>
        </w:trPr>
        <w:tc>
          <w:tcPr>
            <w:tcW w:w="466" w:type="pct"/>
            <w:tcBorders>
              <w:top w:val="nil"/>
              <w:left w:val="single" w:sz="4" w:space="0" w:color="auto"/>
              <w:bottom w:val="single" w:sz="8" w:space="0" w:color="auto"/>
              <w:right w:val="single" w:sz="4" w:space="0" w:color="auto"/>
            </w:tcBorders>
            <w:shd w:val="clear" w:color="auto" w:fill="auto"/>
            <w:vAlign w:val="center"/>
            <w:hideMark/>
          </w:tcPr>
          <w:p w14:paraId="175004C0" w14:textId="77777777" w:rsidR="003733D2" w:rsidRDefault="00596935" w:rsidP="003733D2">
            <w:pPr>
              <w:rPr>
                <w:rFonts w:cs="Arial"/>
                <w:color w:val="000000"/>
                <w:sz w:val="20"/>
                <w:szCs w:val="20"/>
                <w:lang w:val="de-AT" w:eastAsia="de-AT"/>
              </w:rPr>
            </w:pPr>
            <w:r w:rsidRPr="00596935">
              <w:rPr>
                <w:rFonts w:cs="Arial"/>
                <w:color w:val="000000"/>
                <w:sz w:val="20"/>
                <w:szCs w:val="20"/>
                <w:lang w:val="de-AT" w:eastAsia="de-AT"/>
              </w:rPr>
              <w:t>Luetje</w:t>
            </w:r>
          </w:p>
          <w:p w14:paraId="64B0D6E4" w14:textId="73D2FD55" w:rsidR="00596935" w:rsidRPr="00596935" w:rsidRDefault="00596935" w:rsidP="003733D2">
            <w:pPr>
              <w:rPr>
                <w:rFonts w:cs="Arial"/>
                <w:color w:val="000000"/>
                <w:sz w:val="20"/>
                <w:szCs w:val="20"/>
                <w:lang w:val="de-AT" w:eastAsia="de-AT"/>
              </w:rPr>
            </w:pPr>
            <w:r w:rsidRPr="00596935">
              <w:rPr>
                <w:rFonts w:cs="Arial"/>
                <w:color w:val="000000"/>
                <w:sz w:val="20"/>
                <w:szCs w:val="20"/>
                <w:lang w:val="de-AT" w:eastAsia="de-AT"/>
              </w:rPr>
              <w:t>2002</w:t>
            </w:r>
          </w:p>
        </w:tc>
        <w:tc>
          <w:tcPr>
            <w:tcW w:w="350" w:type="pct"/>
            <w:tcBorders>
              <w:top w:val="nil"/>
              <w:left w:val="nil"/>
              <w:bottom w:val="single" w:sz="4" w:space="0" w:color="auto"/>
              <w:right w:val="single" w:sz="4" w:space="0" w:color="auto"/>
            </w:tcBorders>
            <w:shd w:val="clear" w:color="auto" w:fill="auto"/>
            <w:noWrap/>
            <w:vAlign w:val="center"/>
            <w:hideMark/>
          </w:tcPr>
          <w:p w14:paraId="6F30E44F"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53</w:t>
            </w:r>
          </w:p>
        </w:tc>
        <w:tc>
          <w:tcPr>
            <w:tcW w:w="454" w:type="pct"/>
            <w:tcBorders>
              <w:top w:val="nil"/>
              <w:left w:val="nil"/>
              <w:bottom w:val="single" w:sz="4" w:space="0" w:color="auto"/>
              <w:right w:val="nil"/>
            </w:tcBorders>
            <w:shd w:val="clear" w:color="auto" w:fill="auto"/>
            <w:vAlign w:val="center"/>
            <w:hideMark/>
          </w:tcPr>
          <w:p w14:paraId="41B391BA"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PHAB, HDSS, SHACQ</w:t>
            </w:r>
          </w:p>
        </w:tc>
        <w:tc>
          <w:tcPr>
            <w:tcW w:w="248" w:type="pct"/>
            <w:tcBorders>
              <w:top w:val="nil"/>
              <w:left w:val="single" w:sz="8" w:space="0" w:color="auto"/>
              <w:bottom w:val="single" w:sz="4" w:space="0" w:color="auto"/>
              <w:right w:val="single" w:sz="4" w:space="0" w:color="auto"/>
            </w:tcBorders>
            <w:shd w:val="clear" w:color="auto" w:fill="auto"/>
            <w:noWrap/>
            <w:vAlign w:val="center"/>
            <w:hideMark/>
          </w:tcPr>
          <w:p w14:paraId="20EA5D1F"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198" w:type="pct"/>
            <w:tcBorders>
              <w:top w:val="nil"/>
              <w:left w:val="nil"/>
              <w:bottom w:val="single" w:sz="4" w:space="0" w:color="auto"/>
              <w:right w:val="single" w:sz="4" w:space="0" w:color="auto"/>
            </w:tcBorders>
            <w:shd w:val="clear" w:color="auto" w:fill="auto"/>
            <w:noWrap/>
            <w:vAlign w:val="center"/>
            <w:hideMark/>
          </w:tcPr>
          <w:p w14:paraId="5A032BDA"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235" w:type="pct"/>
            <w:tcBorders>
              <w:top w:val="nil"/>
              <w:left w:val="nil"/>
              <w:bottom w:val="single" w:sz="4" w:space="0" w:color="auto"/>
              <w:right w:val="single" w:sz="4" w:space="0" w:color="auto"/>
            </w:tcBorders>
            <w:shd w:val="clear" w:color="auto" w:fill="auto"/>
            <w:noWrap/>
            <w:vAlign w:val="center"/>
            <w:hideMark/>
          </w:tcPr>
          <w:p w14:paraId="46B62FDF"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226" w:type="pct"/>
            <w:tcBorders>
              <w:top w:val="nil"/>
              <w:left w:val="nil"/>
              <w:bottom w:val="single" w:sz="4" w:space="0" w:color="auto"/>
              <w:right w:val="single" w:sz="8" w:space="0" w:color="auto"/>
            </w:tcBorders>
            <w:shd w:val="clear" w:color="auto" w:fill="auto"/>
            <w:noWrap/>
            <w:vAlign w:val="center"/>
            <w:hideMark/>
          </w:tcPr>
          <w:p w14:paraId="56576A82"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388" w:type="pct"/>
            <w:tcBorders>
              <w:top w:val="nil"/>
              <w:left w:val="nil"/>
              <w:bottom w:val="single" w:sz="4" w:space="0" w:color="auto"/>
              <w:right w:val="single" w:sz="4" w:space="0" w:color="auto"/>
            </w:tcBorders>
            <w:shd w:val="clear" w:color="auto" w:fill="auto"/>
            <w:noWrap/>
            <w:vAlign w:val="center"/>
            <w:hideMark/>
          </w:tcPr>
          <w:p w14:paraId="729DD7AA"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403" w:type="pct"/>
            <w:tcBorders>
              <w:top w:val="nil"/>
              <w:left w:val="nil"/>
              <w:bottom w:val="single" w:sz="4" w:space="0" w:color="auto"/>
              <w:right w:val="single" w:sz="4" w:space="0" w:color="auto"/>
            </w:tcBorders>
            <w:shd w:val="clear" w:color="auto" w:fill="auto"/>
            <w:noWrap/>
            <w:vAlign w:val="center"/>
            <w:hideMark/>
          </w:tcPr>
          <w:p w14:paraId="2C6777D1"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388" w:type="pct"/>
            <w:tcBorders>
              <w:top w:val="nil"/>
              <w:left w:val="nil"/>
              <w:bottom w:val="single" w:sz="4" w:space="0" w:color="auto"/>
              <w:right w:val="single" w:sz="4" w:space="0" w:color="auto"/>
            </w:tcBorders>
            <w:shd w:val="clear" w:color="auto" w:fill="auto"/>
            <w:noWrap/>
            <w:vAlign w:val="center"/>
            <w:hideMark/>
          </w:tcPr>
          <w:p w14:paraId="186C4580"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418" w:type="pct"/>
            <w:tcBorders>
              <w:top w:val="nil"/>
              <w:left w:val="nil"/>
              <w:bottom w:val="single" w:sz="4" w:space="0" w:color="auto"/>
              <w:right w:val="single" w:sz="8" w:space="0" w:color="auto"/>
            </w:tcBorders>
            <w:shd w:val="clear" w:color="auto" w:fill="auto"/>
            <w:noWrap/>
            <w:vAlign w:val="center"/>
            <w:hideMark/>
          </w:tcPr>
          <w:p w14:paraId="0CB2F84D"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336" w:type="pct"/>
            <w:tcBorders>
              <w:top w:val="nil"/>
              <w:left w:val="nil"/>
              <w:bottom w:val="single" w:sz="4" w:space="0" w:color="auto"/>
              <w:right w:val="single" w:sz="4" w:space="0" w:color="auto"/>
            </w:tcBorders>
            <w:shd w:val="clear" w:color="auto" w:fill="auto"/>
            <w:noWrap/>
            <w:vAlign w:val="center"/>
            <w:hideMark/>
          </w:tcPr>
          <w:p w14:paraId="48EC494F"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294" w:type="pct"/>
            <w:tcBorders>
              <w:top w:val="nil"/>
              <w:left w:val="nil"/>
              <w:bottom w:val="single" w:sz="4" w:space="0" w:color="auto"/>
              <w:right w:val="single" w:sz="4" w:space="0" w:color="auto"/>
            </w:tcBorders>
            <w:shd w:val="clear" w:color="auto" w:fill="auto"/>
            <w:noWrap/>
            <w:vAlign w:val="center"/>
            <w:hideMark/>
          </w:tcPr>
          <w:p w14:paraId="2BC54367"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303" w:type="pct"/>
            <w:tcBorders>
              <w:top w:val="nil"/>
              <w:left w:val="nil"/>
              <w:bottom w:val="single" w:sz="4" w:space="0" w:color="auto"/>
              <w:right w:val="single" w:sz="4" w:space="0" w:color="auto"/>
            </w:tcBorders>
            <w:shd w:val="clear" w:color="auto" w:fill="auto"/>
            <w:noWrap/>
            <w:vAlign w:val="center"/>
            <w:hideMark/>
          </w:tcPr>
          <w:p w14:paraId="49B788E1"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292" w:type="pct"/>
            <w:tcBorders>
              <w:top w:val="nil"/>
              <w:left w:val="nil"/>
              <w:bottom w:val="single" w:sz="4" w:space="0" w:color="auto"/>
              <w:right w:val="single" w:sz="8" w:space="0" w:color="auto"/>
            </w:tcBorders>
            <w:shd w:val="clear" w:color="auto" w:fill="auto"/>
            <w:noWrap/>
            <w:vAlign w:val="center"/>
            <w:hideMark/>
          </w:tcPr>
          <w:p w14:paraId="210AFE00"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r>
      <w:tr w:rsidR="00596935" w:rsidRPr="00596935" w14:paraId="7014F474" w14:textId="77777777" w:rsidTr="00596935">
        <w:trPr>
          <w:trHeight w:val="525"/>
        </w:trPr>
        <w:tc>
          <w:tcPr>
            <w:tcW w:w="466" w:type="pct"/>
            <w:tcBorders>
              <w:top w:val="nil"/>
              <w:left w:val="single" w:sz="4" w:space="0" w:color="auto"/>
              <w:bottom w:val="single" w:sz="8" w:space="0" w:color="auto"/>
              <w:right w:val="single" w:sz="4" w:space="0" w:color="auto"/>
            </w:tcBorders>
            <w:shd w:val="clear" w:color="auto" w:fill="auto"/>
            <w:vAlign w:val="center"/>
            <w:hideMark/>
          </w:tcPr>
          <w:p w14:paraId="3CFD8FFB" w14:textId="77777777" w:rsidR="003733D2" w:rsidRDefault="00596935" w:rsidP="003733D2">
            <w:pPr>
              <w:rPr>
                <w:rFonts w:cs="Arial"/>
                <w:color w:val="000000"/>
                <w:sz w:val="20"/>
                <w:szCs w:val="20"/>
                <w:lang w:val="de-AT" w:eastAsia="de-AT"/>
              </w:rPr>
            </w:pPr>
            <w:r w:rsidRPr="00596935">
              <w:rPr>
                <w:rFonts w:cs="Arial"/>
                <w:color w:val="000000"/>
                <w:sz w:val="20"/>
                <w:szCs w:val="20"/>
                <w:lang w:val="de-AT" w:eastAsia="de-AT"/>
              </w:rPr>
              <w:t>Mosnier</w:t>
            </w:r>
          </w:p>
          <w:p w14:paraId="655B2DA0" w14:textId="66896933" w:rsidR="00596935" w:rsidRPr="00596935" w:rsidRDefault="00596935" w:rsidP="003733D2">
            <w:pPr>
              <w:rPr>
                <w:rFonts w:cs="Arial"/>
                <w:color w:val="000000"/>
                <w:sz w:val="20"/>
                <w:szCs w:val="20"/>
                <w:lang w:val="de-AT" w:eastAsia="de-AT"/>
              </w:rPr>
            </w:pPr>
            <w:r w:rsidRPr="00596935">
              <w:rPr>
                <w:rFonts w:cs="Arial"/>
                <w:color w:val="000000"/>
                <w:sz w:val="20"/>
                <w:szCs w:val="20"/>
                <w:lang w:val="de-AT" w:eastAsia="de-AT"/>
              </w:rPr>
              <w:t>2008</w:t>
            </w:r>
          </w:p>
        </w:tc>
        <w:tc>
          <w:tcPr>
            <w:tcW w:w="350" w:type="pct"/>
            <w:tcBorders>
              <w:top w:val="nil"/>
              <w:left w:val="nil"/>
              <w:bottom w:val="single" w:sz="4" w:space="0" w:color="auto"/>
              <w:right w:val="single" w:sz="4" w:space="0" w:color="auto"/>
            </w:tcBorders>
            <w:shd w:val="clear" w:color="auto" w:fill="auto"/>
            <w:noWrap/>
            <w:vAlign w:val="center"/>
            <w:hideMark/>
          </w:tcPr>
          <w:p w14:paraId="75F23773"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77</w:t>
            </w:r>
          </w:p>
        </w:tc>
        <w:tc>
          <w:tcPr>
            <w:tcW w:w="454" w:type="pct"/>
            <w:tcBorders>
              <w:top w:val="nil"/>
              <w:left w:val="nil"/>
              <w:bottom w:val="single" w:sz="4" w:space="0" w:color="auto"/>
              <w:right w:val="nil"/>
            </w:tcBorders>
            <w:shd w:val="clear" w:color="auto" w:fill="auto"/>
            <w:vAlign w:val="center"/>
            <w:hideMark/>
          </w:tcPr>
          <w:p w14:paraId="68463F4B"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GBI</w:t>
            </w:r>
          </w:p>
        </w:tc>
        <w:tc>
          <w:tcPr>
            <w:tcW w:w="248" w:type="pct"/>
            <w:tcBorders>
              <w:top w:val="nil"/>
              <w:left w:val="single" w:sz="8" w:space="0" w:color="auto"/>
              <w:bottom w:val="single" w:sz="4" w:space="0" w:color="auto"/>
              <w:right w:val="single" w:sz="4" w:space="0" w:color="auto"/>
            </w:tcBorders>
            <w:shd w:val="clear" w:color="auto" w:fill="auto"/>
            <w:noWrap/>
            <w:vAlign w:val="center"/>
            <w:hideMark/>
          </w:tcPr>
          <w:p w14:paraId="69F71EA6"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198" w:type="pct"/>
            <w:tcBorders>
              <w:top w:val="nil"/>
              <w:left w:val="nil"/>
              <w:bottom w:val="single" w:sz="4" w:space="0" w:color="auto"/>
              <w:right w:val="single" w:sz="4" w:space="0" w:color="auto"/>
            </w:tcBorders>
            <w:shd w:val="clear" w:color="auto" w:fill="auto"/>
            <w:noWrap/>
            <w:vAlign w:val="center"/>
            <w:hideMark/>
          </w:tcPr>
          <w:p w14:paraId="485FB08E"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235" w:type="pct"/>
            <w:tcBorders>
              <w:top w:val="nil"/>
              <w:left w:val="nil"/>
              <w:bottom w:val="single" w:sz="4" w:space="0" w:color="auto"/>
              <w:right w:val="single" w:sz="4" w:space="0" w:color="auto"/>
            </w:tcBorders>
            <w:shd w:val="clear" w:color="auto" w:fill="auto"/>
            <w:noWrap/>
            <w:vAlign w:val="center"/>
            <w:hideMark/>
          </w:tcPr>
          <w:p w14:paraId="1A0500CB"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226" w:type="pct"/>
            <w:tcBorders>
              <w:top w:val="nil"/>
              <w:left w:val="nil"/>
              <w:bottom w:val="single" w:sz="4" w:space="0" w:color="auto"/>
              <w:right w:val="single" w:sz="8" w:space="0" w:color="auto"/>
            </w:tcBorders>
            <w:shd w:val="clear" w:color="auto" w:fill="auto"/>
            <w:noWrap/>
            <w:vAlign w:val="center"/>
            <w:hideMark/>
          </w:tcPr>
          <w:p w14:paraId="4CFC30FB"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388" w:type="pct"/>
            <w:tcBorders>
              <w:top w:val="nil"/>
              <w:left w:val="nil"/>
              <w:bottom w:val="single" w:sz="4" w:space="0" w:color="auto"/>
              <w:right w:val="single" w:sz="4" w:space="0" w:color="auto"/>
            </w:tcBorders>
            <w:shd w:val="clear" w:color="auto" w:fill="auto"/>
            <w:noWrap/>
            <w:vAlign w:val="center"/>
            <w:hideMark/>
          </w:tcPr>
          <w:p w14:paraId="01EFE0BC"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17.8</w:t>
            </w:r>
          </w:p>
        </w:tc>
        <w:tc>
          <w:tcPr>
            <w:tcW w:w="403" w:type="pct"/>
            <w:tcBorders>
              <w:top w:val="nil"/>
              <w:left w:val="nil"/>
              <w:bottom w:val="single" w:sz="4" w:space="0" w:color="auto"/>
              <w:right w:val="single" w:sz="4" w:space="0" w:color="auto"/>
            </w:tcBorders>
            <w:shd w:val="clear" w:color="auto" w:fill="auto"/>
            <w:noWrap/>
            <w:vAlign w:val="center"/>
            <w:hideMark/>
          </w:tcPr>
          <w:p w14:paraId="6A8D2DB6"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22.8</w:t>
            </w:r>
          </w:p>
        </w:tc>
        <w:tc>
          <w:tcPr>
            <w:tcW w:w="388" w:type="pct"/>
            <w:tcBorders>
              <w:top w:val="nil"/>
              <w:left w:val="nil"/>
              <w:bottom w:val="single" w:sz="4" w:space="0" w:color="auto"/>
              <w:right w:val="single" w:sz="4" w:space="0" w:color="auto"/>
            </w:tcBorders>
            <w:shd w:val="clear" w:color="auto" w:fill="auto"/>
            <w:noWrap/>
            <w:vAlign w:val="center"/>
            <w:hideMark/>
          </w:tcPr>
          <w:p w14:paraId="451F9FC5"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14.1</w:t>
            </w:r>
          </w:p>
        </w:tc>
        <w:tc>
          <w:tcPr>
            <w:tcW w:w="418" w:type="pct"/>
            <w:tcBorders>
              <w:top w:val="nil"/>
              <w:left w:val="nil"/>
              <w:bottom w:val="single" w:sz="4" w:space="0" w:color="auto"/>
              <w:right w:val="single" w:sz="8" w:space="0" w:color="auto"/>
            </w:tcBorders>
            <w:shd w:val="clear" w:color="auto" w:fill="auto"/>
            <w:noWrap/>
            <w:vAlign w:val="center"/>
            <w:hideMark/>
          </w:tcPr>
          <w:p w14:paraId="694134B0"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1.7</w:t>
            </w:r>
          </w:p>
        </w:tc>
        <w:tc>
          <w:tcPr>
            <w:tcW w:w="336" w:type="pct"/>
            <w:tcBorders>
              <w:top w:val="nil"/>
              <w:left w:val="nil"/>
              <w:bottom w:val="single" w:sz="4" w:space="0" w:color="auto"/>
              <w:right w:val="single" w:sz="4" w:space="0" w:color="auto"/>
            </w:tcBorders>
            <w:shd w:val="clear" w:color="auto" w:fill="auto"/>
            <w:noWrap/>
            <w:vAlign w:val="center"/>
            <w:hideMark/>
          </w:tcPr>
          <w:p w14:paraId="058F21E7"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294" w:type="pct"/>
            <w:tcBorders>
              <w:top w:val="nil"/>
              <w:left w:val="nil"/>
              <w:bottom w:val="single" w:sz="4" w:space="0" w:color="auto"/>
              <w:right w:val="single" w:sz="4" w:space="0" w:color="auto"/>
            </w:tcBorders>
            <w:shd w:val="clear" w:color="auto" w:fill="auto"/>
            <w:noWrap/>
            <w:vAlign w:val="center"/>
            <w:hideMark/>
          </w:tcPr>
          <w:p w14:paraId="5F1445DA"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303" w:type="pct"/>
            <w:tcBorders>
              <w:top w:val="nil"/>
              <w:left w:val="nil"/>
              <w:bottom w:val="single" w:sz="4" w:space="0" w:color="auto"/>
              <w:right w:val="single" w:sz="4" w:space="0" w:color="auto"/>
            </w:tcBorders>
            <w:shd w:val="clear" w:color="auto" w:fill="auto"/>
            <w:noWrap/>
            <w:vAlign w:val="center"/>
            <w:hideMark/>
          </w:tcPr>
          <w:p w14:paraId="27C8991C"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292" w:type="pct"/>
            <w:tcBorders>
              <w:top w:val="nil"/>
              <w:left w:val="nil"/>
              <w:bottom w:val="single" w:sz="4" w:space="0" w:color="auto"/>
              <w:right w:val="single" w:sz="8" w:space="0" w:color="auto"/>
            </w:tcBorders>
            <w:shd w:val="clear" w:color="auto" w:fill="auto"/>
            <w:noWrap/>
            <w:vAlign w:val="center"/>
            <w:hideMark/>
          </w:tcPr>
          <w:p w14:paraId="55A683A3"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r>
      <w:tr w:rsidR="00596935" w:rsidRPr="00596935" w14:paraId="1CC21CDA" w14:textId="77777777" w:rsidTr="00596935">
        <w:trPr>
          <w:trHeight w:val="525"/>
        </w:trPr>
        <w:tc>
          <w:tcPr>
            <w:tcW w:w="466" w:type="pct"/>
            <w:tcBorders>
              <w:top w:val="nil"/>
              <w:left w:val="single" w:sz="4" w:space="0" w:color="auto"/>
              <w:bottom w:val="nil"/>
              <w:right w:val="single" w:sz="4" w:space="0" w:color="auto"/>
            </w:tcBorders>
            <w:shd w:val="clear" w:color="auto" w:fill="auto"/>
            <w:vAlign w:val="center"/>
            <w:hideMark/>
          </w:tcPr>
          <w:p w14:paraId="489A93F5" w14:textId="77777777" w:rsidR="003733D2" w:rsidRDefault="00596935" w:rsidP="003733D2">
            <w:pPr>
              <w:rPr>
                <w:rFonts w:cs="Arial"/>
                <w:color w:val="000000"/>
                <w:sz w:val="20"/>
                <w:szCs w:val="20"/>
                <w:lang w:val="de-AT" w:eastAsia="de-AT"/>
              </w:rPr>
            </w:pPr>
            <w:r w:rsidRPr="00596935">
              <w:rPr>
                <w:rFonts w:cs="Arial"/>
                <w:color w:val="000000"/>
                <w:sz w:val="20"/>
                <w:szCs w:val="20"/>
                <w:lang w:val="de-AT" w:eastAsia="de-AT"/>
              </w:rPr>
              <w:t>Saliba</w:t>
            </w:r>
          </w:p>
          <w:p w14:paraId="6EF30A16" w14:textId="6D2AF67E" w:rsidR="00596935" w:rsidRPr="00596935" w:rsidRDefault="00596935" w:rsidP="003733D2">
            <w:pPr>
              <w:rPr>
                <w:rFonts w:cs="Arial"/>
                <w:color w:val="000000"/>
                <w:sz w:val="20"/>
                <w:szCs w:val="20"/>
                <w:lang w:val="de-AT" w:eastAsia="de-AT"/>
              </w:rPr>
            </w:pPr>
            <w:r w:rsidRPr="00596935">
              <w:rPr>
                <w:rFonts w:cs="Arial"/>
                <w:color w:val="000000"/>
                <w:sz w:val="20"/>
                <w:szCs w:val="20"/>
                <w:lang w:val="de-AT" w:eastAsia="de-AT"/>
              </w:rPr>
              <w:t>2005</w:t>
            </w:r>
          </w:p>
        </w:tc>
        <w:tc>
          <w:tcPr>
            <w:tcW w:w="350" w:type="pct"/>
            <w:tcBorders>
              <w:top w:val="nil"/>
              <w:left w:val="nil"/>
              <w:bottom w:val="single" w:sz="4" w:space="0" w:color="auto"/>
              <w:right w:val="single" w:sz="4" w:space="0" w:color="auto"/>
            </w:tcBorders>
            <w:shd w:val="clear" w:color="auto" w:fill="auto"/>
            <w:noWrap/>
            <w:vAlign w:val="center"/>
            <w:hideMark/>
          </w:tcPr>
          <w:p w14:paraId="7CD6E93F"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8</w:t>
            </w:r>
          </w:p>
        </w:tc>
        <w:tc>
          <w:tcPr>
            <w:tcW w:w="454" w:type="pct"/>
            <w:tcBorders>
              <w:top w:val="nil"/>
              <w:left w:val="nil"/>
              <w:bottom w:val="single" w:sz="4" w:space="0" w:color="auto"/>
              <w:right w:val="nil"/>
            </w:tcBorders>
            <w:shd w:val="clear" w:color="auto" w:fill="auto"/>
            <w:vAlign w:val="center"/>
            <w:hideMark/>
          </w:tcPr>
          <w:p w14:paraId="5BBF0E72"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APHAB</w:t>
            </w:r>
          </w:p>
        </w:tc>
        <w:tc>
          <w:tcPr>
            <w:tcW w:w="248" w:type="pct"/>
            <w:tcBorders>
              <w:top w:val="nil"/>
              <w:left w:val="single" w:sz="8" w:space="0" w:color="auto"/>
              <w:bottom w:val="single" w:sz="4" w:space="0" w:color="auto"/>
              <w:right w:val="single" w:sz="4" w:space="0" w:color="auto"/>
            </w:tcBorders>
            <w:shd w:val="clear" w:color="auto" w:fill="auto"/>
            <w:noWrap/>
            <w:vAlign w:val="center"/>
            <w:hideMark/>
          </w:tcPr>
          <w:p w14:paraId="4B9A0F4B"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48</w:t>
            </w:r>
          </w:p>
        </w:tc>
        <w:tc>
          <w:tcPr>
            <w:tcW w:w="198" w:type="pct"/>
            <w:tcBorders>
              <w:top w:val="nil"/>
              <w:left w:val="nil"/>
              <w:bottom w:val="single" w:sz="4" w:space="0" w:color="auto"/>
              <w:right w:val="single" w:sz="4" w:space="0" w:color="auto"/>
            </w:tcBorders>
            <w:shd w:val="clear" w:color="auto" w:fill="auto"/>
            <w:noWrap/>
            <w:vAlign w:val="center"/>
            <w:hideMark/>
          </w:tcPr>
          <w:p w14:paraId="70498EF4"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47</w:t>
            </w:r>
          </w:p>
        </w:tc>
        <w:tc>
          <w:tcPr>
            <w:tcW w:w="235" w:type="pct"/>
            <w:tcBorders>
              <w:top w:val="nil"/>
              <w:left w:val="nil"/>
              <w:bottom w:val="single" w:sz="4" w:space="0" w:color="auto"/>
              <w:right w:val="single" w:sz="4" w:space="0" w:color="auto"/>
            </w:tcBorders>
            <w:shd w:val="clear" w:color="auto" w:fill="auto"/>
            <w:noWrap/>
            <w:vAlign w:val="center"/>
            <w:hideMark/>
          </w:tcPr>
          <w:p w14:paraId="50FE1742"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33</w:t>
            </w:r>
          </w:p>
        </w:tc>
        <w:tc>
          <w:tcPr>
            <w:tcW w:w="226" w:type="pct"/>
            <w:tcBorders>
              <w:top w:val="nil"/>
              <w:left w:val="nil"/>
              <w:bottom w:val="single" w:sz="4" w:space="0" w:color="auto"/>
              <w:right w:val="single" w:sz="8" w:space="0" w:color="auto"/>
            </w:tcBorders>
            <w:shd w:val="clear" w:color="auto" w:fill="auto"/>
            <w:noWrap/>
            <w:vAlign w:val="center"/>
            <w:hideMark/>
          </w:tcPr>
          <w:p w14:paraId="3ECF191E"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33</w:t>
            </w:r>
          </w:p>
        </w:tc>
        <w:tc>
          <w:tcPr>
            <w:tcW w:w="388" w:type="pct"/>
            <w:tcBorders>
              <w:top w:val="nil"/>
              <w:left w:val="nil"/>
              <w:bottom w:val="single" w:sz="4" w:space="0" w:color="auto"/>
              <w:right w:val="single" w:sz="4" w:space="0" w:color="auto"/>
            </w:tcBorders>
            <w:shd w:val="clear" w:color="auto" w:fill="auto"/>
            <w:noWrap/>
            <w:vAlign w:val="center"/>
            <w:hideMark/>
          </w:tcPr>
          <w:p w14:paraId="2A035B15"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403" w:type="pct"/>
            <w:tcBorders>
              <w:top w:val="nil"/>
              <w:left w:val="nil"/>
              <w:bottom w:val="single" w:sz="4" w:space="0" w:color="auto"/>
              <w:right w:val="single" w:sz="4" w:space="0" w:color="auto"/>
            </w:tcBorders>
            <w:shd w:val="clear" w:color="auto" w:fill="auto"/>
            <w:noWrap/>
            <w:vAlign w:val="center"/>
            <w:hideMark/>
          </w:tcPr>
          <w:p w14:paraId="5DC9FD88"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388" w:type="pct"/>
            <w:tcBorders>
              <w:top w:val="nil"/>
              <w:left w:val="nil"/>
              <w:bottom w:val="single" w:sz="4" w:space="0" w:color="auto"/>
              <w:right w:val="single" w:sz="4" w:space="0" w:color="auto"/>
            </w:tcBorders>
            <w:shd w:val="clear" w:color="auto" w:fill="auto"/>
            <w:noWrap/>
            <w:vAlign w:val="center"/>
            <w:hideMark/>
          </w:tcPr>
          <w:p w14:paraId="2910407F"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418" w:type="pct"/>
            <w:tcBorders>
              <w:top w:val="nil"/>
              <w:left w:val="nil"/>
              <w:bottom w:val="single" w:sz="4" w:space="0" w:color="auto"/>
              <w:right w:val="single" w:sz="8" w:space="0" w:color="auto"/>
            </w:tcBorders>
            <w:shd w:val="clear" w:color="auto" w:fill="auto"/>
            <w:noWrap/>
            <w:vAlign w:val="center"/>
            <w:hideMark/>
          </w:tcPr>
          <w:p w14:paraId="6F8705CD"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336" w:type="pct"/>
            <w:tcBorders>
              <w:top w:val="nil"/>
              <w:left w:val="nil"/>
              <w:bottom w:val="single" w:sz="4" w:space="0" w:color="auto"/>
              <w:right w:val="single" w:sz="4" w:space="0" w:color="auto"/>
            </w:tcBorders>
            <w:shd w:val="clear" w:color="auto" w:fill="auto"/>
            <w:noWrap/>
            <w:vAlign w:val="center"/>
            <w:hideMark/>
          </w:tcPr>
          <w:p w14:paraId="29F6761F"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294" w:type="pct"/>
            <w:tcBorders>
              <w:top w:val="nil"/>
              <w:left w:val="nil"/>
              <w:bottom w:val="single" w:sz="4" w:space="0" w:color="auto"/>
              <w:right w:val="single" w:sz="4" w:space="0" w:color="auto"/>
            </w:tcBorders>
            <w:shd w:val="clear" w:color="auto" w:fill="auto"/>
            <w:noWrap/>
            <w:vAlign w:val="center"/>
            <w:hideMark/>
          </w:tcPr>
          <w:p w14:paraId="6F1E456C"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303" w:type="pct"/>
            <w:tcBorders>
              <w:top w:val="nil"/>
              <w:left w:val="nil"/>
              <w:bottom w:val="single" w:sz="4" w:space="0" w:color="auto"/>
              <w:right w:val="single" w:sz="4" w:space="0" w:color="auto"/>
            </w:tcBorders>
            <w:shd w:val="clear" w:color="auto" w:fill="auto"/>
            <w:noWrap/>
            <w:vAlign w:val="center"/>
            <w:hideMark/>
          </w:tcPr>
          <w:p w14:paraId="775A28FB"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292" w:type="pct"/>
            <w:tcBorders>
              <w:top w:val="nil"/>
              <w:left w:val="nil"/>
              <w:bottom w:val="single" w:sz="4" w:space="0" w:color="auto"/>
              <w:right w:val="single" w:sz="8" w:space="0" w:color="auto"/>
            </w:tcBorders>
            <w:shd w:val="clear" w:color="auto" w:fill="auto"/>
            <w:noWrap/>
            <w:vAlign w:val="center"/>
            <w:hideMark/>
          </w:tcPr>
          <w:p w14:paraId="58E322FD"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r>
      <w:tr w:rsidR="00596935" w:rsidRPr="00596935" w14:paraId="57012B61" w14:textId="77777777" w:rsidTr="00596935">
        <w:trPr>
          <w:trHeight w:val="525"/>
        </w:trPr>
        <w:tc>
          <w:tcPr>
            <w:tcW w:w="466" w:type="pct"/>
            <w:tcBorders>
              <w:top w:val="single" w:sz="8" w:space="0" w:color="auto"/>
              <w:left w:val="single" w:sz="4" w:space="0" w:color="auto"/>
              <w:bottom w:val="single" w:sz="8" w:space="0" w:color="auto"/>
              <w:right w:val="single" w:sz="4" w:space="0" w:color="auto"/>
            </w:tcBorders>
            <w:shd w:val="clear" w:color="auto" w:fill="auto"/>
            <w:vAlign w:val="center"/>
            <w:hideMark/>
          </w:tcPr>
          <w:p w14:paraId="5DD9A1F9" w14:textId="77777777" w:rsidR="00596935" w:rsidRPr="00596935" w:rsidRDefault="00596935" w:rsidP="00596935">
            <w:pPr>
              <w:rPr>
                <w:rFonts w:cs="Arial"/>
                <w:color w:val="000000"/>
                <w:sz w:val="20"/>
                <w:szCs w:val="20"/>
                <w:lang w:val="de-AT" w:eastAsia="de-AT"/>
              </w:rPr>
            </w:pPr>
            <w:r w:rsidRPr="00596935">
              <w:rPr>
                <w:rFonts w:cs="Arial"/>
                <w:color w:val="000000"/>
                <w:sz w:val="20"/>
                <w:szCs w:val="20"/>
                <w:lang w:val="de-AT" w:eastAsia="de-AT"/>
              </w:rPr>
              <w:t>Schmutziger 2006</w:t>
            </w:r>
          </w:p>
        </w:tc>
        <w:tc>
          <w:tcPr>
            <w:tcW w:w="350" w:type="pct"/>
            <w:tcBorders>
              <w:top w:val="nil"/>
              <w:left w:val="nil"/>
              <w:bottom w:val="single" w:sz="4" w:space="0" w:color="auto"/>
              <w:right w:val="single" w:sz="4" w:space="0" w:color="auto"/>
            </w:tcBorders>
            <w:shd w:val="clear" w:color="auto" w:fill="auto"/>
            <w:noWrap/>
            <w:vAlign w:val="center"/>
            <w:hideMark/>
          </w:tcPr>
          <w:p w14:paraId="0127B1F1"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20</w:t>
            </w:r>
          </w:p>
        </w:tc>
        <w:tc>
          <w:tcPr>
            <w:tcW w:w="454" w:type="pct"/>
            <w:tcBorders>
              <w:top w:val="nil"/>
              <w:left w:val="nil"/>
              <w:bottom w:val="single" w:sz="4" w:space="0" w:color="auto"/>
              <w:right w:val="nil"/>
            </w:tcBorders>
            <w:shd w:val="clear" w:color="auto" w:fill="auto"/>
            <w:vAlign w:val="center"/>
            <w:hideMark/>
          </w:tcPr>
          <w:p w14:paraId="6AE20DEA"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GBI</w:t>
            </w:r>
          </w:p>
        </w:tc>
        <w:tc>
          <w:tcPr>
            <w:tcW w:w="248" w:type="pct"/>
            <w:tcBorders>
              <w:top w:val="nil"/>
              <w:left w:val="single" w:sz="8" w:space="0" w:color="auto"/>
              <w:bottom w:val="single" w:sz="4" w:space="0" w:color="auto"/>
              <w:right w:val="single" w:sz="4" w:space="0" w:color="auto"/>
            </w:tcBorders>
            <w:shd w:val="clear" w:color="auto" w:fill="auto"/>
            <w:noWrap/>
            <w:vAlign w:val="center"/>
            <w:hideMark/>
          </w:tcPr>
          <w:p w14:paraId="7D3CC005"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198" w:type="pct"/>
            <w:tcBorders>
              <w:top w:val="nil"/>
              <w:left w:val="nil"/>
              <w:bottom w:val="single" w:sz="4" w:space="0" w:color="auto"/>
              <w:right w:val="single" w:sz="4" w:space="0" w:color="auto"/>
            </w:tcBorders>
            <w:shd w:val="clear" w:color="auto" w:fill="auto"/>
            <w:noWrap/>
            <w:vAlign w:val="center"/>
            <w:hideMark/>
          </w:tcPr>
          <w:p w14:paraId="1E9F687E"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235" w:type="pct"/>
            <w:tcBorders>
              <w:top w:val="nil"/>
              <w:left w:val="nil"/>
              <w:bottom w:val="single" w:sz="4" w:space="0" w:color="auto"/>
              <w:right w:val="single" w:sz="4" w:space="0" w:color="auto"/>
            </w:tcBorders>
            <w:shd w:val="clear" w:color="auto" w:fill="auto"/>
            <w:noWrap/>
            <w:vAlign w:val="center"/>
            <w:hideMark/>
          </w:tcPr>
          <w:p w14:paraId="64787A2B"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226" w:type="pct"/>
            <w:tcBorders>
              <w:top w:val="nil"/>
              <w:left w:val="nil"/>
              <w:bottom w:val="single" w:sz="4" w:space="0" w:color="auto"/>
              <w:right w:val="single" w:sz="8" w:space="0" w:color="auto"/>
            </w:tcBorders>
            <w:shd w:val="clear" w:color="auto" w:fill="auto"/>
            <w:noWrap/>
            <w:vAlign w:val="center"/>
            <w:hideMark/>
          </w:tcPr>
          <w:p w14:paraId="7CF3C000"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388" w:type="pct"/>
            <w:tcBorders>
              <w:top w:val="nil"/>
              <w:left w:val="nil"/>
              <w:bottom w:val="single" w:sz="4" w:space="0" w:color="auto"/>
              <w:right w:val="single" w:sz="4" w:space="0" w:color="auto"/>
            </w:tcBorders>
            <w:shd w:val="clear" w:color="auto" w:fill="auto"/>
            <w:noWrap/>
            <w:vAlign w:val="center"/>
            <w:hideMark/>
          </w:tcPr>
          <w:p w14:paraId="2E19ADEC"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14.7</w:t>
            </w:r>
          </w:p>
        </w:tc>
        <w:tc>
          <w:tcPr>
            <w:tcW w:w="403" w:type="pct"/>
            <w:tcBorders>
              <w:top w:val="nil"/>
              <w:left w:val="nil"/>
              <w:bottom w:val="single" w:sz="4" w:space="0" w:color="auto"/>
              <w:right w:val="single" w:sz="4" w:space="0" w:color="auto"/>
            </w:tcBorders>
            <w:shd w:val="clear" w:color="auto" w:fill="auto"/>
            <w:noWrap/>
            <w:vAlign w:val="center"/>
            <w:hideMark/>
          </w:tcPr>
          <w:p w14:paraId="2A31FC32"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22.1</w:t>
            </w:r>
          </w:p>
        </w:tc>
        <w:tc>
          <w:tcPr>
            <w:tcW w:w="388" w:type="pct"/>
            <w:tcBorders>
              <w:top w:val="nil"/>
              <w:left w:val="nil"/>
              <w:bottom w:val="single" w:sz="4" w:space="0" w:color="auto"/>
              <w:right w:val="single" w:sz="4" w:space="0" w:color="auto"/>
            </w:tcBorders>
            <w:shd w:val="clear" w:color="auto" w:fill="auto"/>
            <w:noWrap/>
            <w:vAlign w:val="center"/>
            <w:hideMark/>
          </w:tcPr>
          <w:p w14:paraId="5AA4CC40"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5</w:t>
            </w:r>
          </w:p>
        </w:tc>
        <w:tc>
          <w:tcPr>
            <w:tcW w:w="418" w:type="pct"/>
            <w:tcBorders>
              <w:top w:val="nil"/>
              <w:left w:val="nil"/>
              <w:bottom w:val="single" w:sz="4" w:space="0" w:color="auto"/>
              <w:right w:val="single" w:sz="8" w:space="0" w:color="auto"/>
            </w:tcBorders>
            <w:shd w:val="clear" w:color="auto" w:fill="auto"/>
            <w:noWrap/>
            <w:vAlign w:val="center"/>
            <w:hideMark/>
          </w:tcPr>
          <w:p w14:paraId="7F3C9507"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-5</w:t>
            </w:r>
          </w:p>
        </w:tc>
        <w:tc>
          <w:tcPr>
            <w:tcW w:w="336" w:type="pct"/>
            <w:tcBorders>
              <w:top w:val="nil"/>
              <w:left w:val="nil"/>
              <w:bottom w:val="single" w:sz="4" w:space="0" w:color="auto"/>
              <w:right w:val="single" w:sz="4" w:space="0" w:color="auto"/>
            </w:tcBorders>
            <w:shd w:val="clear" w:color="auto" w:fill="auto"/>
            <w:noWrap/>
            <w:vAlign w:val="center"/>
            <w:hideMark/>
          </w:tcPr>
          <w:p w14:paraId="522E2F51"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294" w:type="pct"/>
            <w:tcBorders>
              <w:top w:val="nil"/>
              <w:left w:val="nil"/>
              <w:bottom w:val="single" w:sz="4" w:space="0" w:color="auto"/>
              <w:right w:val="single" w:sz="4" w:space="0" w:color="auto"/>
            </w:tcBorders>
            <w:shd w:val="clear" w:color="auto" w:fill="auto"/>
            <w:noWrap/>
            <w:vAlign w:val="center"/>
            <w:hideMark/>
          </w:tcPr>
          <w:p w14:paraId="50DA2758"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303" w:type="pct"/>
            <w:tcBorders>
              <w:top w:val="nil"/>
              <w:left w:val="nil"/>
              <w:bottom w:val="single" w:sz="4" w:space="0" w:color="auto"/>
              <w:right w:val="single" w:sz="4" w:space="0" w:color="auto"/>
            </w:tcBorders>
            <w:shd w:val="clear" w:color="auto" w:fill="auto"/>
            <w:noWrap/>
            <w:vAlign w:val="center"/>
            <w:hideMark/>
          </w:tcPr>
          <w:p w14:paraId="5C242A8B"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292" w:type="pct"/>
            <w:tcBorders>
              <w:top w:val="nil"/>
              <w:left w:val="nil"/>
              <w:bottom w:val="single" w:sz="4" w:space="0" w:color="auto"/>
              <w:right w:val="single" w:sz="8" w:space="0" w:color="auto"/>
            </w:tcBorders>
            <w:shd w:val="clear" w:color="auto" w:fill="auto"/>
            <w:noWrap/>
            <w:vAlign w:val="center"/>
            <w:hideMark/>
          </w:tcPr>
          <w:p w14:paraId="7280EC96"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r>
      <w:tr w:rsidR="00596935" w:rsidRPr="00596935" w14:paraId="660C1054" w14:textId="77777777" w:rsidTr="00596935">
        <w:trPr>
          <w:trHeight w:val="525"/>
        </w:trPr>
        <w:tc>
          <w:tcPr>
            <w:tcW w:w="466" w:type="pct"/>
            <w:tcBorders>
              <w:top w:val="nil"/>
              <w:left w:val="single" w:sz="4" w:space="0" w:color="auto"/>
              <w:bottom w:val="single" w:sz="8" w:space="0" w:color="auto"/>
              <w:right w:val="single" w:sz="4" w:space="0" w:color="auto"/>
            </w:tcBorders>
            <w:shd w:val="clear" w:color="auto" w:fill="auto"/>
            <w:vAlign w:val="center"/>
            <w:hideMark/>
          </w:tcPr>
          <w:p w14:paraId="26C02B70" w14:textId="77777777" w:rsidR="003733D2" w:rsidRDefault="00596935" w:rsidP="003733D2">
            <w:pPr>
              <w:rPr>
                <w:rFonts w:cs="Arial"/>
                <w:color w:val="000000"/>
                <w:sz w:val="20"/>
                <w:szCs w:val="20"/>
                <w:lang w:val="de-AT" w:eastAsia="de-AT"/>
              </w:rPr>
            </w:pPr>
            <w:r w:rsidRPr="00596935">
              <w:rPr>
                <w:rFonts w:cs="Arial"/>
                <w:color w:val="000000"/>
                <w:sz w:val="20"/>
                <w:szCs w:val="20"/>
                <w:lang w:val="de-AT" w:eastAsia="de-AT"/>
              </w:rPr>
              <w:t>Snik</w:t>
            </w:r>
          </w:p>
          <w:p w14:paraId="62EA0FDD" w14:textId="354F2F2C" w:rsidR="00596935" w:rsidRPr="00596935" w:rsidRDefault="00596935" w:rsidP="003733D2">
            <w:pPr>
              <w:rPr>
                <w:rFonts w:cs="Arial"/>
                <w:color w:val="000000"/>
                <w:sz w:val="20"/>
                <w:szCs w:val="20"/>
                <w:lang w:val="de-AT" w:eastAsia="de-AT"/>
              </w:rPr>
            </w:pPr>
            <w:r w:rsidRPr="00596935">
              <w:rPr>
                <w:rFonts w:cs="Arial"/>
                <w:color w:val="000000"/>
                <w:sz w:val="20"/>
                <w:szCs w:val="20"/>
                <w:lang w:val="de-AT" w:eastAsia="de-AT"/>
              </w:rPr>
              <w:t>2006</w:t>
            </w:r>
          </w:p>
        </w:tc>
        <w:tc>
          <w:tcPr>
            <w:tcW w:w="350" w:type="pct"/>
            <w:tcBorders>
              <w:top w:val="nil"/>
              <w:left w:val="nil"/>
              <w:bottom w:val="single" w:sz="4" w:space="0" w:color="auto"/>
              <w:right w:val="single" w:sz="4" w:space="0" w:color="auto"/>
            </w:tcBorders>
            <w:shd w:val="clear" w:color="auto" w:fill="auto"/>
            <w:noWrap/>
            <w:vAlign w:val="center"/>
            <w:hideMark/>
          </w:tcPr>
          <w:p w14:paraId="486F7324"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21</w:t>
            </w:r>
          </w:p>
        </w:tc>
        <w:tc>
          <w:tcPr>
            <w:tcW w:w="454" w:type="pct"/>
            <w:tcBorders>
              <w:top w:val="nil"/>
              <w:left w:val="nil"/>
              <w:bottom w:val="single" w:sz="4" w:space="0" w:color="auto"/>
              <w:right w:val="nil"/>
            </w:tcBorders>
            <w:shd w:val="clear" w:color="auto" w:fill="auto"/>
            <w:vAlign w:val="center"/>
            <w:hideMark/>
          </w:tcPr>
          <w:p w14:paraId="76A10E75"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GBI, NCIQ, SF-36</w:t>
            </w:r>
          </w:p>
        </w:tc>
        <w:tc>
          <w:tcPr>
            <w:tcW w:w="248" w:type="pct"/>
            <w:tcBorders>
              <w:top w:val="nil"/>
              <w:left w:val="single" w:sz="8" w:space="0" w:color="auto"/>
              <w:bottom w:val="single" w:sz="4" w:space="0" w:color="auto"/>
              <w:right w:val="single" w:sz="4" w:space="0" w:color="auto"/>
            </w:tcBorders>
            <w:shd w:val="clear" w:color="auto" w:fill="auto"/>
            <w:noWrap/>
            <w:vAlign w:val="center"/>
            <w:hideMark/>
          </w:tcPr>
          <w:p w14:paraId="1BB48B4D"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198" w:type="pct"/>
            <w:tcBorders>
              <w:top w:val="nil"/>
              <w:left w:val="nil"/>
              <w:bottom w:val="single" w:sz="4" w:space="0" w:color="auto"/>
              <w:right w:val="single" w:sz="4" w:space="0" w:color="auto"/>
            </w:tcBorders>
            <w:shd w:val="clear" w:color="auto" w:fill="auto"/>
            <w:noWrap/>
            <w:vAlign w:val="center"/>
            <w:hideMark/>
          </w:tcPr>
          <w:p w14:paraId="7850D8EB"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235" w:type="pct"/>
            <w:tcBorders>
              <w:top w:val="nil"/>
              <w:left w:val="nil"/>
              <w:bottom w:val="single" w:sz="4" w:space="0" w:color="auto"/>
              <w:right w:val="single" w:sz="4" w:space="0" w:color="auto"/>
            </w:tcBorders>
            <w:shd w:val="clear" w:color="auto" w:fill="auto"/>
            <w:noWrap/>
            <w:vAlign w:val="center"/>
            <w:hideMark/>
          </w:tcPr>
          <w:p w14:paraId="509EA84E"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226" w:type="pct"/>
            <w:tcBorders>
              <w:top w:val="nil"/>
              <w:left w:val="nil"/>
              <w:bottom w:val="single" w:sz="4" w:space="0" w:color="auto"/>
              <w:right w:val="single" w:sz="8" w:space="0" w:color="auto"/>
            </w:tcBorders>
            <w:shd w:val="clear" w:color="auto" w:fill="auto"/>
            <w:noWrap/>
            <w:vAlign w:val="center"/>
            <w:hideMark/>
          </w:tcPr>
          <w:p w14:paraId="71AB98C4"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388" w:type="pct"/>
            <w:tcBorders>
              <w:top w:val="nil"/>
              <w:left w:val="nil"/>
              <w:bottom w:val="single" w:sz="4" w:space="0" w:color="auto"/>
              <w:right w:val="single" w:sz="4" w:space="0" w:color="auto"/>
            </w:tcBorders>
            <w:shd w:val="clear" w:color="auto" w:fill="auto"/>
            <w:noWrap/>
            <w:vAlign w:val="center"/>
            <w:hideMark/>
          </w:tcPr>
          <w:p w14:paraId="5F108EA3"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33.9</w:t>
            </w:r>
          </w:p>
        </w:tc>
        <w:tc>
          <w:tcPr>
            <w:tcW w:w="403" w:type="pct"/>
            <w:tcBorders>
              <w:top w:val="nil"/>
              <w:left w:val="nil"/>
              <w:bottom w:val="single" w:sz="4" w:space="0" w:color="auto"/>
              <w:right w:val="single" w:sz="4" w:space="0" w:color="auto"/>
            </w:tcBorders>
            <w:shd w:val="clear" w:color="auto" w:fill="auto"/>
            <w:noWrap/>
            <w:vAlign w:val="center"/>
            <w:hideMark/>
          </w:tcPr>
          <w:p w14:paraId="193CF1BD"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41.5</w:t>
            </w:r>
          </w:p>
        </w:tc>
        <w:tc>
          <w:tcPr>
            <w:tcW w:w="388" w:type="pct"/>
            <w:tcBorders>
              <w:top w:val="nil"/>
              <w:left w:val="nil"/>
              <w:bottom w:val="single" w:sz="4" w:space="0" w:color="auto"/>
              <w:right w:val="single" w:sz="4" w:space="0" w:color="auto"/>
            </w:tcBorders>
            <w:shd w:val="clear" w:color="auto" w:fill="auto"/>
            <w:noWrap/>
            <w:vAlign w:val="center"/>
            <w:hideMark/>
          </w:tcPr>
          <w:p w14:paraId="52129010"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15.7</w:t>
            </w:r>
          </w:p>
        </w:tc>
        <w:tc>
          <w:tcPr>
            <w:tcW w:w="418" w:type="pct"/>
            <w:tcBorders>
              <w:top w:val="nil"/>
              <w:left w:val="nil"/>
              <w:bottom w:val="single" w:sz="4" w:space="0" w:color="auto"/>
              <w:right w:val="single" w:sz="8" w:space="0" w:color="auto"/>
            </w:tcBorders>
            <w:shd w:val="clear" w:color="auto" w:fill="auto"/>
            <w:noWrap/>
            <w:vAlign w:val="center"/>
            <w:hideMark/>
          </w:tcPr>
          <w:p w14:paraId="2D2D9CB1"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17.6</w:t>
            </w:r>
          </w:p>
        </w:tc>
        <w:tc>
          <w:tcPr>
            <w:tcW w:w="336" w:type="pct"/>
            <w:tcBorders>
              <w:top w:val="nil"/>
              <w:left w:val="nil"/>
              <w:bottom w:val="single" w:sz="4" w:space="0" w:color="auto"/>
              <w:right w:val="single" w:sz="4" w:space="0" w:color="auto"/>
            </w:tcBorders>
            <w:shd w:val="clear" w:color="auto" w:fill="auto"/>
            <w:noWrap/>
            <w:vAlign w:val="center"/>
            <w:hideMark/>
          </w:tcPr>
          <w:p w14:paraId="49E0F4D6"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294" w:type="pct"/>
            <w:tcBorders>
              <w:top w:val="nil"/>
              <w:left w:val="nil"/>
              <w:bottom w:val="single" w:sz="4" w:space="0" w:color="auto"/>
              <w:right w:val="single" w:sz="4" w:space="0" w:color="auto"/>
            </w:tcBorders>
            <w:shd w:val="clear" w:color="auto" w:fill="auto"/>
            <w:noWrap/>
            <w:vAlign w:val="center"/>
            <w:hideMark/>
          </w:tcPr>
          <w:p w14:paraId="561D9AF8"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303" w:type="pct"/>
            <w:tcBorders>
              <w:top w:val="nil"/>
              <w:left w:val="nil"/>
              <w:bottom w:val="single" w:sz="4" w:space="0" w:color="auto"/>
              <w:right w:val="single" w:sz="4" w:space="0" w:color="auto"/>
            </w:tcBorders>
            <w:shd w:val="clear" w:color="auto" w:fill="auto"/>
            <w:noWrap/>
            <w:vAlign w:val="center"/>
            <w:hideMark/>
          </w:tcPr>
          <w:p w14:paraId="48CF0525"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292" w:type="pct"/>
            <w:tcBorders>
              <w:top w:val="nil"/>
              <w:left w:val="nil"/>
              <w:bottom w:val="single" w:sz="4" w:space="0" w:color="auto"/>
              <w:right w:val="single" w:sz="8" w:space="0" w:color="auto"/>
            </w:tcBorders>
            <w:shd w:val="clear" w:color="auto" w:fill="auto"/>
            <w:noWrap/>
            <w:vAlign w:val="center"/>
            <w:hideMark/>
          </w:tcPr>
          <w:p w14:paraId="4905293E"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r>
      <w:tr w:rsidR="00596935" w:rsidRPr="00596935" w14:paraId="657332A1" w14:textId="77777777" w:rsidTr="00596935">
        <w:trPr>
          <w:trHeight w:val="525"/>
        </w:trPr>
        <w:tc>
          <w:tcPr>
            <w:tcW w:w="466" w:type="pct"/>
            <w:tcBorders>
              <w:top w:val="nil"/>
              <w:left w:val="single" w:sz="4" w:space="0" w:color="auto"/>
              <w:bottom w:val="nil"/>
              <w:right w:val="single" w:sz="4" w:space="0" w:color="auto"/>
            </w:tcBorders>
            <w:shd w:val="clear" w:color="auto" w:fill="auto"/>
            <w:vAlign w:val="center"/>
            <w:hideMark/>
          </w:tcPr>
          <w:p w14:paraId="77DB5A6D" w14:textId="77777777" w:rsidR="00596935" w:rsidRPr="00596935" w:rsidRDefault="00596935" w:rsidP="00596935">
            <w:pPr>
              <w:rPr>
                <w:rFonts w:cs="Arial"/>
                <w:color w:val="000000"/>
                <w:sz w:val="20"/>
                <w:szCs w:val="20"/>
                <w:lang w:val="de-AT" w:eastAsia="de-AT"/>
              </w:rPr>
            </w:pPr>
            <w:r w:rsidRPr="00596935">
              <w:rPr>
                <w:rFonts w:cs="Arial"/>
                <w:color w:val="000000"/>
                <w:sz w:val="20"/>
                <w:szCs w:val="20"/>
                <w:lang w:val="de-AT" w:eastAsia="de-AT"/>
              </w:rPr>
              <w:t>Sterkers 2003</w:t>
            </w:r>
          </w:p>
        </w:tc>
        <w:tc>
          <w:tcPr>
            <w:tcW w:w="350" w:type="pct"/>
            <w:tcBorders>
              <w:top w:val="nil"/>
              <w:left w:val="nil"/>
              <w:bottom w:val="single" w:sz="4" w:space="0" w:color="auto"/>
              <w:right w:val="single" w:sz="4" w:space="0" w:color="auto"/>
            </w:tcBorders>
            <w:shd w:val="clear" w:color="auto" w:fill="auto"/>
            <w:noWrap/>
            <w:vAlign w:val="center"/>
            <w:hideMark/>
          </w:tcPr>
          <w:p w14:paraId="352907BA"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125</w:t>
            </w:r>
          </w:p>
        </w:tc>
        <w:tc>
          <w:tcPr>
            <w:tcW w:w="454" w:type="pct"/>
            <w:tcBorders>
              <w:top w:val="nil"/>
              <w:left w:val="nil"/>
              <w:bottom w:val="single" w:sz="4" w:space="0" w:color="auto"/>
              <w:right w:val="nil"/>
            </w:tcBorders>
            <w:shd w:val="clear" w:color="auto" w:fill="auto"/>
            <w:vAlign w:val="center"/>
            <w:hideMark/>
          </w:tcPr>
          <w:p w14:paraId="021A356E"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GBI</w:t>
            </w:r>
          </w:p>
        </w:tc>
        <w:tc>
          <w:tcPr>
            <w:tcW w:w="248" w:type="pct"/>
            <w:tcBorders>
              <w:top w:val="nil"/>
              <w:left w:val="single" w:sz="8" w:space="0" w:color="auto"/>
              <w:bottom w:val="single" w:sz="4" w:space="0" w:color="auto"/>
              <w:right w:val="single" w:sz="4" w:space="0" w:color="auto"/>
            </w:tcBorders>
            <w:shd w:val="clear" w:color="auto" w:fill="auto"/>
            <w:noWrap/>
            <w:vAlign w:val="center"/>
            <w:hideMark/>
          </w:tcPr>
          <w:p w14:paraId="42805BAF"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198" w:type="pct"/>
            <w:tcBorders>
              <w:top w:val="nil"/>
              <w:left w:val="nil"/>
              <w:bottom w:val="single" w:sz="4" w:space="0" w:color="auto"/>
              <w:right w:val="single" w:sz="4" w:space="0" w:color="auto"/>
            </w:tcBorders>
            <w:shd w:val="clear" w:color="auto" w:fill="auto"/>
            <w:noWrap/>
            <w:vAlign w:val="center"/>
            <w:hideMark/>
          </w:tcPr>
          <w:p w14:paraId="514A0E2F"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235" w:type="pct"/>
            <w:tcBorders>
              <w:top w:val="nil"/>
              <w:left w:val="nil"/>
              <w:bottom w:val="single" w:sz="4" w:space="0" w:color="auto"/>
              <w:right w:val="single" w:sz="4" w:space="0" w:color="auto"/>
            </w:tcBorders>
            <w:shd w:val="clear" w:color="auto" w:fill="auto"/>
            <w:noWrap/>
            <w:vAlign w:val="center"/>
            <w:hideMark/>
          </w:tcPr>
          <w:p w14:paraId="210F081A"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226" w:type="pct"/>
            <w:tcBorders>
              <w:top w:val="nil"/>
              <w:left w:val="nil"/>
              <w:bottom w:val="single" w:sz="4" w:space="0" w:color="auto"/>
              <w:right w:val="single" w:sz="8" w:space="0" w:color="auto"/>
            </w:tcBorders>
            <w:shd w:val="clear" w:color="auto" w:fill="auto"/>
            <w:noWrap/>
            <w:vAlign w:val="center"/>
            <w:hideMark/>
          </w:tcPr>
          <w:p w14:paraId="58B69DEB"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388" w:type="pct"/>
            <w:tcBorders>
              <w:top w:val="nil"/>
              <w:left w:val="nil"/>
              <w:bottom w:val="single" w:sz="4" w:space="0" w:color="auto"/>
              <w:right w:val="single" w:sz="4" w:space="0" w:color="auto"/>
            </w:tcBorders>
            <w:shd w:val="clear" w:color="auto" w:fill="auto"/>
            <w:noWrap/>
            <w:vAlign w:val="center"/>
            <w:hideMark/>
          </w:tcPr>
          <w:p w14:paraId="70D51D5B"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18</w:t>
            </w:r>
          </w:p>
        </w:tc>
        <w:tc>
          <w:tcPr>
            <w:tcW w:w="403" w:type="pct"/>
            <w:tcBorders>
              <w:top w:val="nil"/>
              <w:left w:val="nil"/>
              <w:bottom w:val="single" w:sz="4" w:space="0" w:color="auto"/>
              <w:right w:val="single" w:sz="4" w:space="0" w:color="auto"/>
            </w:tcBorders>
            <w:shd w:val="clear" w:color="auto" w:fill="auto"/>
            <w:noWrap/>
            <w:vAlign w:val="center"/>
            <w:hideMark/>
          </w:tcPr>
          <w:p w14:paraId="3AD415DC"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20</w:t>
            </w:r>
          </w:p>
        </w:tc>
        <w:tc>
          <w:tcPr>
            <w:tcW w:w="388" w:type="pct"/>
            <w:tcBorders>
              <w:top w:val="nil"/>
              <w:left w:val="nil"/>
              <w:bottom w:val="single" w:sz="4" w:space="0" w:color="auto"/>
              <w:right w:val="single" w:sz="4" w:space="0" w:color="auto"/>
            </w:tcBorders>
            <w:shd w:val="clear" w:color="auto" w:fill="auto"/>
            <w:noWrap/>
            <w:vAlign w:val="center"/>
            <w:hideMark/>
          </w:tcPr>
          <w:p w14:paraId="75575EAD"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18</w:t>
            </w:r>
          </w:p>
        </w:tc>
        <w:tc>
          <w:tcPr>
            <w:tcW w:w="418" w:type="pct"/>
            <w:tcBorders>
              <w:top w:val="nil"/>
              <w:left w:val="nil"/>
              <w:bottom w:val="single" w:sz="4" w:space="0" w:color="auto"/>
              <w:right w:val="single" w:sz="8" w:space="0" w:color="auto"/>
            </w:tcBorders>
            <w:shd w:val="clear" w:color="auto" w:fill="auto"/>
            <w:noWrap/>
            <w:vAlign w:val="center"/>
            <w:hideMark/>
          </w:tcPr>
          <w:p w14:paraId="33D8172C"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2</w:t>
            </w:r>
          </w:p>
        </w:tc>
        <w:tc>
          <w:tcPr>
            <w:tcW w:w="336" w:type="pct"/>
            <w:tcBorders>
              <w:top w:val="nil"/>
              <w:left w:val="nil"/>
              <w:bottom w:val="single" w:sz="4" w:space="0" w:color="auto"/>
              <w:right w:val="single" w:sz="4" w:space="0" w:color="auto"/>
            </w:tcBorders>
            <w:shd w:val="clear" w:color="auto" w:fill="auto"/>
            <w:noWrap/>
            <w:vAlign w:val="center"/>
            <w:hideMark/>
          </w:tcPr>
          <w:p w14:paraId="03FDC46F"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294" w:type="pct"/>
            <w:tcBorders>
              <w:top w:val="nil"/>
              <w:left w:val="nil"/>
              <w:bottom w:val="single" w:sz="4" w:space="0" w:color="auto"/>
              <w:right w:val="single" w:sz="4" w:space="0" w:color="auto"/>
            </w:tcBorders>
            <w:shd w:val="clear" w:color="auto" w:fill="auto"/>
            <w:noWrap/>
            <w:vAlign w:val="center"/>
            <w:hideMark/>
          </w:tcPr>
          <w:p w14:paraId="39659ACF"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303" w:type="pct"/>
            <w:tcBorders>
              <w:top w:val="nil"/>
              <w:left w:val="nil"/>
              <w:bottom w:val="single" w:sz="4" w:space="0" w:color="auto"/>
              <w:right w:val="single" w:sz="4" w:space="0" w:color="auto"/>
            </w:tcBorders>
            <w:shd w:val="clear" w:color="auto" w:fill="auto"/>
            <w:noWrap/>
            <w:vAlign w:val="center"/>
            <w:hideMark/>
          </w:tcPr>
          <w:p w14:paraId="09F0D1CB"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292" w:type="pct"/>
            <w:tcBorders>
              <w:top w:val="nil"/>
              <w:left w:val="nil"/>
              <w:bottom w:val="single" w:sz="4" w:space="0" w:color="auto"/>
              <w:right w:val="single" w:sz="8" w:space="0" w:color="auto"/>
            </w:tcBorders>
            <w:shd w:val="clear" w:color="auto" w:fill="auto"/>
            <w:noWrap/>
            <w:vAlign w:val="center"/>
            <w:hideMark/>
          </w:tcPr>
          <w:p w14:paraId="76ACFD02"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r>
      <w:tr w:rsidR="00596935" w:rsidRPr="00596935" w14:paraId="7257C292" w14:textId="77777777" w:rsidTr="00596935">
        <w:trPr>
          <w:trHeight w:val="525"/>
        </w:trPr>
        <w:tc>
          <w:tcPr>
            <w:tcW w:w="466" w:type="pct"/>
            <w:tcBorders>
              <w:top w:val="single" w:sz="8" w:space="0" w:color="auto"/>
              <w:left w:val="single" w:sz="4" w:space="0" w:color="auto"/>
              <w:bottom w:val="nil"/>
              <w:right w:val="single" w:sz="4" w:space="0" w:color="auto"/>
            </w:tcBorders>
            <w:shd w:val="clear" w:color="auto" w:fill="auto"/>
            <w:vAlign w:val="center"/>
            <w:hideMark/>
          </w:tcPr>
          <w:p w14:paraId="31C553A9" w14:textId="77777777" w:rsidR="003733D2" w:rsidRDefault="00596935" w:rsidP="003733D2">
            <w:pPr>
              <w:rPr>
                <w:rFonts w:cs="Arial"/>
                <w:color w:val="000000"/>
                <w:sz w:val="20"/>
                <w:szCs w:val="20"/>
                <w:lang w:val="de-AT" w:eastAsia="de-AT"/>
              </w:rPr>
            </w:pPr>
            <w:r w:rsidRPr="00596935">
              <w:rPr>
                <w:rFonts w:cs="Arial"/>
                <w:color w:val="000000"/>
                <w:sz w:val="20"/>
                <w:szCs w:val="20"/>
                <w:lang w:val="de-AT" w:eastAsia="de-AT"/>
              </w:rPr>
              <w:t>Todt</w:t>
            </w:r>
          </w:p>
          <w:p w14:paraId="0F6A42E7" w14:textId="7A27398E" w:rsidR="00596935" w:rsidRPr="00596935" w:rsidRDefault="00596935" w:rsidP="003733D2">
            <w:pPr>
              <w:rPr>
                <w:rFonts w:cs="Arial"/>
                <w:color w:val="000000"/>
                <w:sz w:val="20"/>
                <w:szCs w:val="20"/>
                <w:lang w:val="de-AT" w:eastAsia="de-AT"/>
              </w:rPr>
            </w:pPr>
            <w:r w:rsidRPr="00596935">
              <w:rPr>
                <w:rFonts w:cs="Arial"/>
                <w:color w:val="000000"/>
                <w:sz w:val="20"/>
                <w:szCs w:val="20"/>
                <w:lang w:val="de-AT" w:eastAsia="de-AT"/>
              </w:rPr>
              <w:t>2002</w:t>
            </w:r>
          </w:p>
        </w:tc>
        <w:tc>
          <w:tcPr>
            <w:tcW w:w="350" w:type="pct"/>
            <w:tcBorders>
              <w:top w:val="nil"/>
              <w:left w:val="nil"/>
              <w:bottom w:val="single" w:sz="4" w:space="0" w:color="auto"/>
              <w:right w:val="single" w:sz="4" w:space="0" w:color="auto"/>
            </w:tcBorders>
            <w:shd w:val="clear" w:color="auto" w:fill="auto"/>
            <w:noWrap/>
            <w:vAlign w:val="center"/>
            <w:hideMark/>
          </w:tcPr>
          <w:p w14:paraId="7A95476B"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5</w:t>
            </w:r>
          </w:p>
        </w:tc>
        <w:tc>
          <w:tcPr>
            <w:tcW w:w="454" w:type="pct"/>
            <w:tcBorders>
              <w:top w:val="nil"/>
              <w:left w:val="nil"/>
              <w:bottom w:val="single" w:sz="4" w:space="0" w:color="auto"/>
              <w:right w:val="nil"/>
            </w:tcBorders>
            <w:shd w:val="clear" w:color="auto" w:fill="auto"/>
            <w:vAlign w:val="center"/>
            <w:hideMark/>
          </w:tcPr>
          <w:p w14:paraId="4BE1DA38"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APHAB</w:t>
            </w:r>
          </w:p>
        </w:tc>
        <w:tc>
          <w:tcPr>
            <w:tcW w:w="248" w:type="pct"/>
            <w:tcBorders>
              <w:top w:val="nil"/>
              <w:left w:val="single" w:sz="8" w:space="0" w:color="auto"/>
              <w:bottom w:val="single" w:sz="4" w:space="0" w:color="auto"/>
              <w:right w:val="single" w:sz="4" w:space="0" w:color="auto"/>
            </w:tcBorders>
            <w:shd w:val="clear" w:color="auto" w:fill="auto"/>
            <w:noWrap/>
            <w:vAlign w:val="center"/>
            <w:hideMark/>
          </w:tcPr>
          <w:p w14:paraId="327D640C"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25</w:t>
            </w:r>
          </w:p>
        </w:tc>
        <w:tc>
          <w:tcPr>
            <w:tcW w:w="198" w:type="pct"/>
            <w:tcBorders>
              <w:top w:val="nil"/>
              <w:left w:val="nil"/>
              <w:bottom w:val="single" w:sz="4" w:space="0" w:color="auto"/>
              <w:right w:val="single" w:sz="4" w:space="0" w:color="auto"/>
            </w:tcBorders>
            <w:shd w:val="clear" w:color="auto" w:fill="auto"/>
            <w:noWrap/>
            <w:vAlign w:val="center"/>
            <w:hideMark/>
          </w:tcPr>
          <w:p w14:paraId="0F73E1B3"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25</w:t>
            </w:r>
          </w:p>
        </w:tc>
        <w:tc>
          <w:tcPr>
            <w:tcW w:w="235" w:type="pct"/>
            <w:tcBorders>
              <w:top w:val="nil"/>
              <w:left w:val="nil"/>
              <w:bottom w:val="single" w:sz="4" w:space="0" w:color="auto"/>
              <w:right w:val="single" w:sz="4" w:space="0" w:color="auto"/>
            </w:tcBorders>
            <w:shd w:val="clear" w:color="auto" w:fill="auto"/>
            <w:noWrap/>
            <w:vAlign w:val="center"/>
            <w:hideMark/>
          </w:tcPr>
          <w:p w14:paraId="6BA6527D"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11</w:t>
            </w:r>
          </w:p>
        </w:tc>
        <w:tc>
          <w:tcPr>
            <w:tcW w:w="226" w:type="pct"/>
            <w:tcBorders>
              <w:top w:val="nil"/>
              <w:left w:val="nil"/>
              <w:bottom w:val="single" w:sz="4" w:space="0" w:color="auto"/>
              <w:right w:val="single" w:sz="8" w:space="0" w:color="auto"/>
            </w:tcBorders>
            <w:shd w:val="clear" w:color="auto" w:fill="auto"/>
            <w:noWrap/>
            <w:vAlign w:val="center"/>
            <w:hideMark/>
          </w:tcPr>
          <w:p w14:paraId="66B763AB"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26</w:t>
            </w:r>
          </w:p>
        </w:tc>
        <w:tc>
          <w:tcPr>
            <w:tcW w:w="388" w:type="pct"/>
            <w:tcBorders>
              <w:top w:val="nil"/>
              <w:left w:val="nil"/>
              <w:bottom w:val="single" w:sz="4" w:space="0" w:color="auto"/>
              <w:right w:val="single" w:sz="4" w:space="0" w:color="auto"/>
            </w:tcBorders>
            <w:shd w:val="clear" w:color="auto" w:fill="auto"/>
            <w:noWrap/>
            <w:vAlign w:val="center"/>
            <w:hideMark/>
          </w:tcPr>
          <w:p w14:paraId="24778472"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403" w:type="pct"/>
            <w:tcBorders>
              <w:top w:val="nil"/>
              <w:left w:val="nil"/>
              <w:bottom w:val="single" w:sz="4" w:space="0" w:color="auto"/>
              <w:right w:val="single" w:sz="4" w:space="0" w:color="auto"/>
            </w:tcBorders>
            <w:shd w:val="clear" w:color="auto" w:fill="auto"/>
            <w:noWrap/>
            <w:vAlign w:val="center"/>
            <w:hideMark/>
          </w:tcPr>
          <w:p w14:paraId="1820BD6B"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388" w:type="pct"/>
            <w:tcBorders>
              <w:top w:val="nil"/>
              <w:left w:val="nil"/>
              <w:bottom w:val="single" w:sz="4" w:space="0" w:color="auto"/>
              <w:right w:val="single" w:sz="4" w:space="0" w:color="auto"/>
            </w:tcBorders>
            <w:shd w:val="clear" w:color="auto" w:fill="auto"/>
            <w:noWrap/>
            <w:vAlign w:val="center"/>
            <w:hideMark/>
          </w:tcPr>
          <w:p w14:paraId="3B0F6798"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418" w:type="pct"/>
            <w:tcBorders>
              <w:top w:val="nil"/>
              <w:left w:val="nil"/>
              <w:bottom w:val="single" w:sz="4" w:space="0" w:color="auto"/>
              <w:right w:val="single" w:sz="8" w:space="0" w:color="auto"/>
            </w:tcBorders>
            <w:shd w:val="clear" w:color="auto" w:fill="auto"/>
            <w:noWrap/>
            <w:vAlign w:val="center"/>
            <w:hideMark/>
          </w:tcPr>
          <w:p w14:paraId="5906151F"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336" w:type="pct"/>
            <w:tcBorders>
              <w:top w:val="nil"/>
              <w:left w:val="nil"/>
              <w:bottom w:val="single" w:sz="4" w:space="0" w:color="auto"/>
              <w:right w:val="single" w:sz="4" w:space="0" w:color="auto"/>
            </w:tcBorders>
            <w:shd w:val="clear" w:color="auto" w:fill="auto"/>
            <w:noWrap/>
            <w:vAlign w:val="center"/>
            <w:hideMark/>
          </w:tcPr>
          <w:p w14:paraId="59653D79"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294" w:type="pct"/>
            <w:tcBorders>
              <w:top w:val="nil"/>
              <w:left w:val="nil"/>
              <w:bottom w:val="single" w:sz="4" w:space="0" w:color="auto"/>
              <w:right w:val="single" w:sz="4" w:space="0" w:color="auto"/>
            </w:tcBorders>
            <w:shd w:val="clear" w:color="auto" w:fill="auto"/>
            <w:noWrap/>
            <w:vAlign w:val="center"/>
            <w:hideMark/>
          </w:tcPr>
          <w:p w14:paraId="1BF4246D"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303" w:type="pct"/>
            <w:tcBorders>
              <w:top w:val="nil"/>
              <w:left w:val="nil"/>
              <w:bottom w:val="single" w:sz="4" w:space="0" w:color="auto"/>
              <w:right w:val="single" w:sz="4" w:space="0" w:color="auto"/>
            </w:tcBorders>
            <w:shd w:val="clear" w:color="auto" w:fill="auto"/>
            <w:noWrap/>
            <w:vAlign w:val="center"/>
            <w:hideMark/>
          </w:tcPr>
          <w:p w14:paraId="0026186F"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292" w:type="pct"/>
            <w:tcBorders>
              <w:top w:val="nil"/>
              <w:left w:val="nil"/>
              <w:bottom w:val="single" w:sz="4" w:space="0" w:color="auto"/>
              <w:right w:val="single" w:sz="8" w:space="0" w:color="auto"/>
            </w:tcBorders>
            <w:shd w:val="clear" w:color="auto" w:fill="auto"/>
            <w:noWrap/>
            <w:vAlign w:val="center"/>
            <w:hideMark/>
          </w:tcPr>
          <w:p w14:paraId="5083FB97"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r>
      <w:tr w:rsidR="00596935" w:rsidRPr="00596935" w14:paraId="1ACF3B83" w14:textId="77777777" w:rsidTr="00596935">
        <w:trPr>
          <w:trHeight w:val="525"/>
        </w:trPr>
        <w:tc>
          <w:tcPr>
            <w:tcW w:w="466" w:type="pct"/>
            <w:tcBorders>
              <w:top w:val="single" w:sz="8" w:space="0" w:color="auto"/>
              <w:left w:val="single" w:sz="4" w:space="0" w:color="auto"/>
              <w:bottom w:val="nil"/>
              <w:right w:val="single" w:sz="4" w:space="0" w:color="auto"/>
            </w:tcBorders>
            <w:shd w:val="clear" w:color="auto" w:fill="auto"/>
            <w:vAlign w:val="center"/>
            <w:hideMark/>
          </w:tcPr>
          <w:p w14:paraId="72BEBAE8" w14:textId="77777777" w:rsidR="003733D2" w:rsidRDefault="00596935" w:rsidP="003733D2">
            <w:pPr>
              <w:rPr>
                <w:rFonts w:cs="Arial"/>
                <w:color w:val="000000"/>
                <w:sz w:val="20"/>
                <w:szCs w:val="20"/>
                <w:lang w:val="de-AT" w:eastAsia="de-AT"/>
              </w:rPr>
            </w:pPr>
            <w:r w:rsidRPr="00596935">
              <w:rPr>
                <w:rFonts w:cs="Arial"/>
                <w:color w:val="000000"/>
                <w:sz w:val="20"/>
                <w:szCs w:val="20"/>
                <w:lang w:val="de-AT" w:eastAsia="de-AT"/>
              </w:rPr>
              <w:t>Uziel</w:t>
            </w:r>
          </w:p>
          <w:p w14:paraId="2BD046CA" w14:textId="1A153897" w:rsidR="00596935" w:rsidRPr="00596935" w:rsidRDefault="00596935" w:rsidP="003733D2">
            <w:pPr>
              <w:rPr>
                <w:rFonts w:cs="Arial"/>
                <w:color w:val="000000"/>
                <w:sz w:val="20"/>
                <w:szCs w:val="20"/>
                <w:lang w:val="de-AT" w:eastAsia="de-AT"/>
              </w:rPr>
            </w:pPr>
            <w:r w:rsidRPr="00596935">
              <w:rPr>
                <w:rFonts w:cs="Arial"/>
                <w:color w:val="000000"/>
                <w:sz w:val="20"/>
                <w:szCs w:val="20"/>
                <w:lang w:val="de-AT" w:eastAsia="de-AT"/>
              </w:rPr>
              <w:t>2003</w:t>
            </w:r>
          </w:p>
        </w:tc>
        <w:tc>
          <w:tcPr>
            <w:tcW w:w="350" w:type="pct"/>
            <w:tcBorders>
              <w:top w:val="nil"/>
              <w:left w:val="nil"/>
              <w:bottom w:val="single" w:sz="4" w:space="0" w:color="auto"/>
              <w:right w:val="single" w:sz="4" w:space="0" w:color="auto"/>
            </w:tcBorders>
            <w:shd w:val="clear" w:color="auto" w:fill="auto"/>
            <w:noWrap/>
            <w:vAlign w:val="center"/>
            <w:hideMark/>
          </w:tcPr>
          <w:p w14:paraId="70386EA6"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5</w:t>
            </w:r>
          </w:p>
        </w:tc>
        <w:tc>
          <w:tcPr>
            <w:tcW w:w="454" w:type="pct"/>
            <w:tcBorders>
              <w:top w:val="nil"/>
              <w:left w:val="nil"/>
              <w:bottom w:val="single" w:sz="4" w:space="0" w:color="auto"/>
              <w:right w:val="nil"/>
            </w:tcBorders>
            <w:shd w:val="clear" w:color="auto" w:fill="auto"/>
            <w:vAlign w:val="center"/>
            <w:hideMark/>
          </w:tcPr>
          <w:p w14:paraId="3FF9CA25"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APHAB, HDSS</w:t>
            </w:r>
          </w:p>
        </w:tc>
        <w:tc>
          <w:tcPr>
            <w:tcW w:w="248" w:type="pct"/>
            <w:tcBorders>
              <w:top w:val="nil"/>
              <w:left w:val="single" w:sz="8" w:space="0" w:color="auto"/>
              <w:bottom w:val="single" w:sz="4" w:space="0" w:color="auto"/>
              <w:right w:val="single" w:sz="4" w:space="0" w:color="auto"/>
            </w:tcBorders>
            <w:shd w:val="clear" w:color="auto" w:fill="auto"/>
            <w:noWrap/>
            <w:vAlign w:val="center"/>
            <w:hideMark/>
          </w:tcPr>
          <w:p w14:paraId="6CCCC062"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38</w:t>
            </w:r>
          </w:p>
        </w:tc>
        <w:tc>
          <w:tcPr>
            <w:tcW w:w="198" w:type="pct"/>
            <w:tcBorders>
              <w:top w:val="nil"/>
              <w:left w:val="nil"/>
              <w:bottom w:val="single" w:sz="4" w:space="0" w:color="auto"/>
              <w:right w:val="single" w:sz="4" w:space="0" w:color="auto"/>
            </w:tcBorders>
            <w:shd w:val="clear" w:color="auto" w:fill="auto"/>
            <w:noWrap/>
            <w:vAlign w:val="center"/>
            <w:hideMark/>
          </w:tcPr>
          <w:p w14:paraId="05FD72BB"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21</w:t>
            </w:r>
          </w:p>
        </w:tc>
        <w:tc>
          <w:tcPr>
            <w:tcW w:w="235" w:type="pct"/>
            <w:tcBorders>
              <w:top w:val="nil"/>
              <w:left w:val="nil"/>
              <w:bottom w:val="single" w:sz="4" w:space="0" w:color="auto"/>
              <w:right w:val="single" w:sz="4" w:space="0" w:color="auto"/>
            </w:tcBorders>
            <w:shd w:val="clear" w:color="auto" w:fill="auto"/>
            <w:noWrap/>
            <w:vAlign w:val="center"/>
            <w:hideMark/>
          </w:tcPr>
          <w:p w14:paraId="67271E9D"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18</w:t>
            </w:r>
          </w:p>
        </w:tc>
        <w:tc>
          <w:tcPr>
            <w:tcW w:w="226" w:type="pct"/>
            <w:tcBorders>
              <w:top w:val="nil"/>
              <w:left w:val="nil"/>
              <w:bottom w:val="single" w:sz="4" w:space="0" w:color="auto"/>
              <w:right w:val="single" w:sz="8" w:space="0" w:color="auto"/>
            </w:tcBorders>
            <w:shd w:val="clear" w:color="auto" w:fill="auto"/>
            <w:noWrap/>
            <w:vAlign w:val="center"/>
            <w:hideMark/>
          </w:tcPr>
          <w:p w14:paraId="62CE4D17"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35</w:t>
            </w:r>
          </w:p>
        </w:tc>
        <w:tc>
          <w:tcPr>
            <w:tcW w:w="388" w:type="pct"/>
            <w:tcBorders>
              <w:top w:val="nil"/>
              <w:left w:val="nil"/>
              <w:bottom w:val="single" w:sz="4" w:space="0" w:color="auto"/>
              <w:right w:val="single" w:sz="4" w:space="0" w:color="auto"/>
            </w:tcBorders>
            <w:shd w:val="clear" w:color="auto" w:fill="auto"/>
            <w:noWrap/>
            <w:vAlign w:val="center"/>
            <w:hideMark/>
          </w:tcPr>
          <w:p w14:paraId="1F706651"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403" w:type="pct"/>
            <w:tcBorders>
              <w:top w:val="nil"/>
              <w:left w:val="nil"/>
              <w:bottom w:val="single" w:sz="4" w:space="0" w:color="auto"/>
              <w:right w:val="single" w:sz="4" w:space="0" w:color="auto"/>
            </w:tcBorders>
            <w:shd w:val="clear" w:color="auto" w:fill="auto"/>
            <w:noWrap/>
            <w:vAlign w:val="center"/>
            <w:hideMark/>
          </w:tcPr>
          <w:p w14:paraId="3611E7AD"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388" w:type="pct"/>
            <w:tcBorders>
              <w:top w:val="nil"/>
              <w:left w:val="nil"/>
              <w:bottom w:val="single" w:sz="4" w:space="0" w:color="auto"/>
              <w:right w:val="single" w:sz="4" w:space="0" w:color="auto"/>
            </w:tcBorders>
            <w:shd w:val="clear" w:color="auto" w:fill="auto"/>
            <w:noWrap/>
            <w:vAlign w:val="center"/>
            <w:hideMark/>
          </w:tcPr>
          <w:p w14:paraId="67F19ECD"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418" w:type="pct"/>
            <w:tcBorders>
              <w:top w:val="nil"/>
              <w:left w:val="nil"/>
              <w:bottom w:val="single" w:sz="4" w:space="0" w:color="auto"/>
              <w:right w:val="single" w:sz="8" w:space="0" w:color="auto"/>
            </w:tcBorders>
            <w:shd w:val="clear" w:color="auto" w:fill="auto"/>
            <w:noWrap/>
            <w:vAlign w:val="center"/>
            <w:hideMark/>
          </w:tcPr>
          <w:p w14:paraId="3B661F33"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336" w:type="pct"/>
            <w:tcBorders>
              <w:top w:val="nil"/>
              <w:left w:val="nil"/>
              <w:bottom w:val="single" w:sz="4" w:space="0" w:color="auto"/>
              <w:right w:val="single" w:sz="4" w:space="0" w:color="auto"/>
            </w:tcBorders>
            <w:shd w:val="clear" w:color="auto" w:fill="auto"/>
            <w:noWrap/>
            <w:vAlign w:val="center"/>
            <w:hideMark/>
          </w:tcPr>
          <w:p w14:paraId="57C7C39D"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294" w:type="pct"/>
            <w:tcBorders>
              <w:top w:val="nil"/>
              <w:left w:val="nil"/>
              <w:bottom w:val="single" w:sz="4" w:space="0" w:color="auto"/>
              <w:right w:val="single" w:sz="4" w:space="0" w:color="auto"/>
            </w:tcBorders>
            <w:shd w:val="clear" w:color="auto" w:fill="auto"/>
            <w:noWrap/>
            <w:vAlign w:val="center"/>
            <w:hideMark/>
          </w:tcPr>
          <w:p w14:paraId="25A840F1"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303" w:type="pct"/>
            <w:tcBorders>
              <w:top w:val="nil"/>
              <w:left w:val="nil"/>
              <w:bottom w:val="single" w:sz="4" w:space="0" w:color="auto"/>
              <w:right w:val="single" w:sz="4" w:space="0" w:color="auto"/>
            </w:tcBorders>
            <w:shd w:val="clear" w:color="auto" w:fill="auto"/>
            <w:noWrap/>
            <w:vAlign w:val="center"/>
            <w:hideMark/>
          </w:tcPr>
          <w:p w14:paraId="42D02E66"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292" w:type="pct"/>
            <w:tcBorders>
              <w:top w:val="nil"/>
              <w:left w:val="nil"/>
              <w:bottom w:val="single" w:sz="4" w:space="0" w:color="auto"/>
              <w:right w:val="single" w:sz="8" w:space="0" w:color="auto"/>
            </w:tcBorders>
            <w:shd w:val="clear" w:color="auto" w:fill="auto"/>
            <w:noWrap/>
            <w:vAlign w:val="center"/>
            <w:hideMark/>
          </w:tcPr>
          <w:p w14:paraId="4790D885"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r>
      <w:tr w:rsidR="00596935" w:rsidRPr="00596935" w14:paraId="7E69A658" w14:textId="77777777" w:rsidTr="00596935">
        <w:trPr>
          <w:trHeight w:val="525"/>
        </w:trPr>
        <w:tc>
          <w:tcPr>
            <w:tcW w:w="466" w:type="pct"/>
            <w:tcBorders>
              <w:top w:val="single" w:sz="8" w:space="0" w:color="auto"/>
              <w:left w:val="single" w:sz="4" w:space="0" w:color="auto"/>
              <w:bottom w:val="single" w:sz="8" w:space="0" w:color="auto"/>
              <w:right w:val="single" w:sz="4" w:space="0" w:color="auto"/>
            </w:tcBorders>
            <w:shd w:val="clear" w:color="auto" w:fill="auto"/>
            <w:vAlign w:val="center"/>
            <w:hideMark/>
          </w:tcPr>
          <w:p w14:paraId="2433F5DC" w14:textId="77777777" w:rsidR="003733D2" w:rsidRDefault="00596935" w:rsidP="003733D2">
            <w:pPr>
              <w:rPr>
                <w:rFonts w:cs="Arial"/>
                <w:color w:val="000000"/>
                <w:sz w:val="20"/>
                <w:szCs w:val="20"/>
                <w:lang w:val="de-AT" w:eastAsia="de-AT"/>
              </w:rPr>
            </w:pPr>
            <w:r w:rsidRPr="00596935">
              <w:rPr>
                <w:rFonts w:cs="Arial"/>
                <w:color w:val="000000"/>
                <w:sz w:val="20"/>
                <w:szCs w:val="20"/>
                <w:lang w:val="de-AT" w:eastAsia="de-AT"/>
              </w:rPr>
              <w:t>Edfeldt</w:t>
            </w:r>
          </w:p>
          <w:p w14:paraId="1B2AD839" w14:textId="786BCB1D" w:rsidR="00596935" w:rsidRPr="00596935" w:rsidRDefault="00596935" w:rsidP="003733D2">
            <w:pPr>
              <w:rPr>
                <w:rFonts w:cs="Arial"/>
                <w:color w:val="000000"/>
                <w:sz w:val="20"/>
                <w:szCs w:val="20"/>
                <w:lang w:val="de-AT" w:eastAsia="de-AT"/>
              </w:rPr>
            </w:pPr>
            <w:r w:rsidRPr="00596935">
              <w:rPr>
                <w:rFonts w:cs="Arial"/>
                <w:color w:val="000000"/>
                <w:sz w:val="20"/>
                <w:szCs w:val="20"/>
                <w:lang w:val="de-AT" w:eastAsia="de-AT"/>
              </w:rPr>
              <w:t>2014</w:t>
            </w:r>
          </w:p>
        </w:tc>
        <w:tc>
          <w:tcPr>
            <w:tcW w:w="350" w:type="pct"/>
            <w:tcBorders>
              <w:top w:val="nil"/>
              <w:left w:val="nil"/>
              <w:bottom w:val="single" w:sz="4" w:space="0" w:color="auto"/>
              <w:right w:val="single" w:sz="4" w:space="0" w:color="auto"/>
            </w:tcBorders>
            <w:shd w:val="clear" w:color="auto" w:fill="auto"/>
            <w:noWrap/>
            <w:vAlign w:val="center"/>
            <w:hideMark/>
          </w:tcPr>
          <w:p w14:paraId="55B5CF0F"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15</w:t>
            </w:r>
          </w:p>
        </w:tc>
        <w:tc>
          <w:tcPr>
            <w:tcW w:w="454" w:type="pct"/>
            <w:tcBorders>
              <w:top w:val="nil"/>
              <w:left w:val="nil"/>
              <w:bottom w:val="single" w:sz="4" w:space="0" w:color="auto"/>
              <w:right w:val="nil"/>
            </w:tcBorders>
            <w:shd w:val="clear" w:color="auto" w:fill="auto"/>
            <w:vAlign w:val="center"/>
            <w:hideMark/>
          </w:tcPr>
          <w:p w14:paraId="3AD54FCF"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GHABP</w:t>
            </w:r>
          </w:p>
        </w:tc>
        <w:tc>
          <w:tcPr>
            <w:tcW w:w="248" w:type="pct"/>
            <w:tcBorders>
              <w:top w:val="nil"/>
              <w:left w:val="single" w:sz="8" w:space="0" w:color="auto"/>
              <w:bottom w:val="single" w:sz="4" w:space="0" w:color="auto"/>
              <w:right w:val="single" w:sz="4" w:space="0" w:color="auto"/>
            </w:tcBorders>
            <w:shd w:val="clear" w:color="auto" w:fill="auto"/>
            <w:noWrap/>
            <w:vAlign w:val="center"/>
            <w:hideMark/>
          </w:tcPr>
          <w:p w14:paraId="24639E7A"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198" w:type="pct"/>
            <w:tcBorders>
              <w:top w:val="nil"/>
              <w:left w:val="nil"/>
              <w:bottom w:val="single" w:sz="4" w:space="0" w:color="auto"/>
              <w:right w:val="single" w:sz="4" w:space="0" w:color="auto"/>
            </w:tcBorders>
            <w:shd w:val="clear" w:color="auto" w:fill="auto"/>
            <w:noWrap/>
            <w:vAlign w:val="center"/>
            <w:hideMark/>
          </w:tcPr>
          <w:p w14:paraId="1CC385D7"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235" w:type="pct"/>
            <w:tcBorders>
              <w:top w:val="nil"/>
              <w:left w:val="nil"/>
              <w:bottom w:val="single" w:sz="4" w:space="0" w:color="auto"/>
              <w:right w:val="single" w:sz="4" w:space="0" w:color="auto"/>
            </w:tcBorders>
            <w:shd w:val="clear" w:color="auto" w:fill="auto"/>
            <w:noWrap/>
            <w:vAlign w:val="center"/>
            <w:hideMark/>
          </w:tcPr>
          <w:p w14:paraId="13F24294"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226" w:type="pct"/>
            <w:tcBorders>
              <w:top w:val="nil"/>
              <w:left w:val="nil"/>
              <w:bottom w:val="single" w:sz="4" w:space="0" w:color="auto"/>
              <w:right w:val="single" w:sz="8" w:space="0" w:color="auto"/>
            </w:tcBorders>
            <w:shd w:val="clear" w:color="auto" w:fill="auto"/>
            <w:noWrap/>
            <w:vAlign w:val="center"/>
            <w:hideMark/>
          </w:tcPr>
          <w:p w14:paraId="4FF0E774"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388" w:type="pct"/>
            <w:tcBorders>
              <w:top w:val="nil"/>
              <w:left w:val="nil"/>
              <w:bottom w:val="single" w:sz="4" w:space="0" w:color="auto"/>
              <w:right w:val="single" w:sz="4" w:space="0" w:color="auto"/>
            </w:tcBorders>
            <w:shd w:val="clear" w:color="auto" w:fill="auto"/>
            <w:noWrap/>
            <w:vAlign w:val="center"/>
            <w:hideMark/>
          </w:tcPr>
          <w:p w14:paraId="67EC361D"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403" w:type="pct"/>
            <w:tcBorders>
              <w:top w:val="nil"/>
              <w:left w:val="nil"/>
              <w:bottom w:val="single" w:sz="4" w:space="0" w:color="auto"/>
              <w:right w:val="single" w:sz="4" w:space="0" w:color="auto"/>
            </w:tcBorders>
            <w:shd w:val="clear" w:color="auto" w:fill="auto"/>
            <w:noWrap/>
            <w:vAlign w:val="center"/>
            <w:hideMark/>
          </w:tcPr>
          <w:p w14:paraId="6BE4E2BB"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388" w:type="pct"/>
            <w:tcBorders>
              <w:top w:val="nil"/>
              <w:left w:val="nil"/>
              <w:bottom w:val="single" w:sz="4" w:space="0" w:color="auto"/>
              <w:right w:val="single" w:sz="4" w:space="0" w:color="auto"/>
            </w:tcBorders>
            <w:shd w:val="clear" w:color="auto" w:fill="auto"/>
            <w:noWrap/>
            <w:vAlign w:val="center"/>
            <w:hideMark/>
          </w:tcPr>
          <w:p w14:paraId="46DB04DD"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418" w:type="pct"/>
            <w:tcBorders>
              <w:top w:val="nil"/>
              <w:left w:val="nil"/>
              <w:bottom w:val="single" w:sz="4" w:space="0" w:color="auto"/>
              <w:right w:val="single" w:sz="8" w:space="0" w:color="auto"/>
            </w:tcBorders>
            <w:shd w:val="clear" w:color="auto" w:fill="auto"/>
            <w:noWrap/>
            <w:vAlign w:val="center"/>
            <w:hideMark/>
          </w:tcPr>
          <w:p w14:paraId="5B565F89"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336" w:type="pct"/>
            <w:tcBorders>
              <w:top w:val="nil"/>
              <w:left w:val="nil"/>
              <w:bottom w:val="single" w:sz="4" w:space="0" w:color="auto"/>
              <w:right w:val="single" w:sz="4" w:space="0" w:color="auto"/>
            </w:tcBorders>
            <w:shd w:val="clear" w:color="auto" w:fill="auto"/>
            <w:vAlign w:val="center"/>
            <w:hideMark/>
          </w:tcPr>
          <w:p w14:paraId="1B9BEF07"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25.7</w:t>
            </w:r>
          </w:p>
        </w:tc>
        <w:tc>
          <w:tcPr>
            <w:tcW w:w="294" w:type="pct"/>
            <w:tcBorders>
              <w:top w:val="nil"/>
              <w:left w:val="nil"/>
              <w:bottom w:val="single" w:sz="4" w:space="0" w:color="auto"/>
              <w:right w:val="single" w:sz="4" w:space="0" w:color="auto"/>
            </w:tcBorders>
            <w:shd w:val="clear" w:color="auto" w:fill="auto"/>
            <w:vAlign w:val="center"/>
            <w:hideMark/>
          </w:tcPr>
          <w:p w14:paraId="482D945E"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18,6</w:t>
            </w:r>
          </w:p>
        </w:tc>
        <w:tc>
          <w:tcPr>
            <w:tcW w:w="303" w:type="pct"/>
            <w:tcBorders>
              <w:top w:val="nil"/>
              <w:left w:val="nil"/>
              <w:bottom w:val="single" w:sz="4" w:space="0" w:color="auto"/>
              <w:right w:val="single" w:sz="4" w:space="0" w:color="auto"/>
            </w:tcBorders>
            <w:shd w:val="clear" w:color="auto" w:fill="auto"/>
            <w:noWrap/>
            <w:vAlign w:val="center"/>
            <w:hideMark/>
          </w:tcPr>
          <w:p w14:paraId="17A1B62A"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96.1</w:t>
            </w:r>
          </w:p>
        </w:tc>
        <w:tc>
          <w:tcPr>
            <w:tcW w:w="292" w:type="pct"/>
            <w:tcBorders>
              <w:top w:val="nil"/>
              <w:left w:val="nil"/>
              <w:bottom w:val="single" w:sz="4" w:space="0" w:color="auto"/>
              <w:right w:val="single" w:sz="8" w:space="0" w:color="auto"/>
            </w:tcBorders>
            <w:shd w:val="clear" w:color="auto" w:fill="auto"/>
            <w:noWrap/>
            <w:vAlign w:val="center"/>
            <w:hideMark/>
          </w:tcPr>
          <w:p w14:paraId="31D61ED5"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15</w:t>
            </w:r>
          </w:p>
        </w:tc>
      </w:tr>
      <w:tr w:rsidR="00596935" w:rsidRPr="00596935" w14:paraId="56BD1AA4" w14:textId="77777777" w:rsidTr="00596935">
        <w:trPr>
          <w:trHeight w:val="525"/>
        </w:trPr>
        <w:tc>
          <w:tcPr>
            <w:tcW w:w="466" w:type="pct"/>
            <w:tcBorders>
              <w:top w:val="nil"/>
              <w:left w:val="single" w:sz="4" w:space="0" w:color="auto"/>
              <w:bottom w:val="single" w:sz="4" w:space="0" w:color="auto"/>
              <w:right w:val="single" w:sz="4" w:space="0" w:color="auto"/>
            </w:tcBorders>
            <w:shd w:val="clear" w:color="auto" w:fill="auto"/>
            <w:vAlign w:val="center"/>
            <w:hideMark/>
          </w:tcPr>
          <w:p w14:paraId="1B85CE22" w14:textId="77777777" w:rsidR="003733D2" w:rsidRDefault="00596935" w:rsidP="003733D2">
            <w:pPr>
              <w:rPr>
                <w:rFonts w:cs="Arial"/>
                <w:color w:val="000000"/>
                <w:sz w:val="20"/>
                <w:szCs w:val="20"/>
                <w:lang w:val="de-AT" w:eastAsia="de-AT"/>
              </w:rPr>
            </w:pPr>
            <w:r w:rsidRPr="00596935">
              <w:rPr>
                <w:rFonts w:cs="Arial"/>
                <w:color w:val="000000"/>
                <w:sz w:val="20"/>
                <w:szCs w:val="20"/>
                <w:lang w:val="de-AT" w:eastAsia="de-AT"/>
              </w:rPr>
              <w:t>Ihler</w:t>
            </w:r>
          </w:p>
          <w:p w14:paraId="361F7D6C" w14:textId="7741BCB9" w:rsidR="00596935" w:rsidRPr="00596935" w:rsidRDefault="00596935" w:rsidP="003733D2">
            <w:pPr>
              <w:rPr>
                <w:rFonts w:cs="Arial"/>
                <w:color w:val="000000"/>
                <w:sz w:val="20"/>
                <w:szCs w:val="20"/>
                <w:lang w:val="de-AT" w:eastAsia="de-AT"/>
              </w:rPr>
            </w:pPr>
            <w:r w:rsidRPr="00596935">
              <w:rPr>
                <w:rFonts w:cs="Arial"/>
                <w:color w:val="000000"/>
                <w:sz w:val="20"/>
                <w:szCs w:val="20"/>
                <w:lang w:val="de-AT" w:eastAsia="de-AT"/>
              </w:rPr>
              <w:t>2014</w:t>
            </w:r>
          </w:p>
        </w:tc>
        <w:tc>
          <w:tcPr>
            <w:tcW w:w="350" w:type="pct"/>
            <w:tcBorders>
              <w:top w:val="nil"/>
              <w:left w:val="nil"/>
              <w:bottom w:val="single" w:sz="4" w:space="0" w:color="auto"/>
              <w:right w:val="single" w:sz="4" w:space="0" w:color="auto"/>
            </w:tcBorders>
            <w:shd w:val="clear" w:color="auto" w:fill="auto"/>
            <w:noWrap/>
            <w:vAlign w:val="center"/>
            <w:hideMark/>
          </w:tcPr>
          <w:p w14:paraId="711B7106"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10</w:t>
            </w:r>
          </w:p>
        </w:tc>
        <w:tc>
          <w:tcPr>
            <w:tcW w:w="454" w:type="pct"/>
            <w:tcBorders>
              <w:top w:val="nil"/>
              <w:left w:val="nil"/>
              <w:bottom w:val="single" w:sz="4" w:space="0" w:color="auto"/>
              <w:right w:val="nil"/>
            </w:tcBorders>
            <w:shd w:val="clear" w:color="auto" w:fill="auto"/>
            <w:vAlign w:val="center"/>
            <w:hideMark/>
          </w:tcPr>
          <w:p w14:paraId="44CBD663"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GBI</w:t>
            </w:r>
          </w:p>
        </w:tc>
        <w:tc>
          <w:tcPr>
            <w:tcW w:w="248" w:type="pct"/>
            <w:tcBorders>
              <w:top w:val="nil"/>
              <w:left w:val="single" w:sz="8" w:space="0" w:color="auto"/>
              <w:bottom w:val="single" w:sz="8" w:space="0" w:color="auto"/>
              <w:right w:val="single" w:sz="4" w:space="0" w:color="auto"/>
            </w:tcBorders>
            <w:shd w:val="clear" w:color="auto" w:fill="auto"/>
            <w:noWrap/>
            <w:vAlign w:val="center"/>
            <w:hideMark/>
          </w:tcPr>
          <w:p w14:paraId="5AEC5A52"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198" w:type="pct"/>
            <w:tcBorders>
              <w:top w:val="nil"/>
              <w:left w:val="nil"/>
              <w:bottom w:val="single" w:sz="8" w:space="0" w:color="auto"/>
              <w:right w:val="single" w:sz="4" w:space="0" w:color="auto"/>
            </w:tcBorders>
            <w:shd w:val="clear" w:color="auto" w:fill="auto"/>
            <w:noWrap/>
            <w:vAlign w:val="center"/>
            <w:hideMark/>
          </w:tcPr>
          <w:p w14:paraId="3851EB22"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235" w:type="pct"/>
            <w:tcBorders>
              <w:top w:val="nil"/>
              <w:left w:val="nil"/>
              <w:bottom w:val="single" w:sz="8" w:space="0" w:color="auto"/>
              <w:right w:val="single" w:sz="4" w:space="0" w:color="auto"/>
            </w:tcBorders>
            <w:shd w:val="clear" w:color="auto" w:fill="auto"/>
            <w:noWrap/>
            <w:vAlign w:val="center"/>
            <w:hideMark/>
          </w:tcPr>
          <w:p w14:paraId="39B64E0B"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226" w:type="pct"/>
            <w:tcBorders>
              <w:top w:val="nil"/>
              <w:left w:val="nil"/>
              <w:bottom w:val="single" w:sz="8" w:space="0" w:color="auto"/>
              <w:right w:val="single" w:sz="8" w:space="0" w:color="auto"/>
            </w:tcBorders>
            <w:shd w:val="clear" w:color="auto" w:fill="auto"/>
            <w:noWrap/>
            <w:vAlign w:val="center"/>
            <w:hideMark/>
          </w:tcPr>
          <w:p w14:paraId="21DCDBE8"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388" w:type="pct"/>
            <w:tcBorders>
              <w:top w:val="nil"/>
              <w:left w:val="nil"/>
              <w:bottom w:val="single" w:sz="8" w:space="0" w:color="auto"/>
              <w:right w:val="single" w:sz="4" w:space="0" w:color="auto"/>
            </w:tcBorders>
            <w:shd w:val="clear" w:color="auto" w:fill="auto"/>
            <w:noWrap/>
            <w:vAlign w:val="center"/>
            <w:hideMark/>
          </w:tcPr>
          <w:p w14:paraId="30ED19F1"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38.3</w:t>
            </w:r>
          </w:p>
        </w:tc>
        <w:tc>
          <w:tcPr>
            <w:tcW w:w="403" w:type="pct"/>
            <w:tcBorders>
              <w:top w:val="nil"/>
              <w:left w:val="nil"/>
              <w:bottom w:val="single" w:sz="8" w:space="0" w:color="auto"/>
              <w:right w:val="single" w:sz="4" w:space="0" w:color="auto"/>
            </w:tcBorders>
            <w:shd w:val="clear" w:color="auto" w:fill="auto"/>
            <w:vAlign w:val="center"/>
            <w:hideMark/>
          </w:tcPr>
          <w:p w14:paraId="1308F10B"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47.1</w:t>
            </w:r>
          </w:p>
        </w:tc>
        <w:tc>
          <w:tcPr>
            <w:tcW w:w="388" w:type="pct"/>
            <w:tcBorders>
              <w:top w:val="nil"/>
              <w:left w:val="nil"/>
              <w:bottom w:val="single" w:sz="8" w:space="0" w:color="auto"/>
              <w:right w:val="single" w:sz="4" w:space="0" w:color="auto"/>
            </w:tcBorders>
            <w:shd w:val="clear" w:color="auto" w:fill="auto"/>
            <w:vAlign w:val="center"/>
            <w:hideMark/>
          </w:tcPr>
          <w:p w14:paraId="5913F934"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11.7</w:t>
            </w:r>
          </w:p>
        </w:tc>
        <w:tc>
          <w:tcPr>
            <w:tcW w:w="418" w:type="pct"/>
            <w:tcBorders>
              <w:top w:val="nil"/>
              <w:left w:val="nil"/>
              <w:bottom w:val="single" w:sz="8" w:space="0" w:color="auto"/>
              <w:right w:val="single" w:sz="8" w:space="0" w:color="auto"/>
            </w:tcBorders>
            <w:shd w:val="clear" w:color="auto" w:fill="auto"/>
            <w:noWrap/>
            <w:vAlign w:val="center"/>
            <w:hideMark/>
          </w:tcPr>
          <w:p w14:paraId="6E4C214B"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18.4</w:t>
            </w:r>
          </w:p>
        </w:tc>
        <w:tc>
          <w:tcPr>
            <w:tcW w:w="336" w:type="pct"/>
            <w:tcBorders>
              <w:top w:val="nil"/>
              <w:left w:val="nil"/>
              <w:bottom w:val="single" w:sz="8" w:space="0" w:color="auto"/>
              <w:right w:val="single" w:sz="4" w:space="0" w:color="auto"/>
            </w:tcBorders>
            <w:shd w:val="clear" w:color="auto" w:fill="auto"/>
            <w:vAlign w:val="center"/>
            <w:hideMark/>
          </w:tcPr>
          <w:p w14:paraId="79A63F8A"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 </w:t>
            </w:r>
          </w:p>
        </w:tc>
        <w:tc>
          <w:tcPr>
            <w:tcW w:w="294" w:type="pct"/>
            <w:tcBorders>
              <w:top w:val="nil"/>
              <w:left w:val="nil"/>
              <w:bottom w:val="single" w:sz="8" w:space="0" w:color="auto"/>
              <w:right w:val="single" w:sz="4" w:space="0" w:color="auto"/>
            </w:tcBorders>
            <w:shd w:val="clear" w:color="auto" w:fill="auto"/>
            <w:vAlign w:val="center"/>
            <w:hideMark/>
          </w:tcPr>
          <w:p w14:paraId="79E096BA"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 </w:t>
            </w:r>
          </w:p>
        </w:tc>
        <w:tc>
          <w:tcPr>
            <w:tcW w:w="303" w:type="pct"/>
            <w:tcBorders>
              <w:top w:val="nil"/>
              <w:left w:val="nil"/>
              <w:bottom w:val="single" w:sz="8" w:space="0" w:color="auto"/>
              <w:right w:val="single" w:sz="4" w:space="0" w:color="auto"/>
            </w:tcBorders>
            <w:shd w:val="clear" w:color="auto" w:fill="auto"/>
            <w:noWrap/>
            <w:vAlign w:val="center"/>
            <w:hideMark/>
          </w:tcPr>
          <w:p w14:paraId="380358AE"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 </w:t>
            </w:r>
          </w:p>
        </w:tc>
        <w:tc>
          <w:tcPr>
            <w:tcW w:w="292" w:type="pct"/>
            <w:tcBorders>
              <w:top w:val="nil"/>
              <w:left w:val="nil"/>
              <w:bottom w:val="single" w:sz="8" w:space="0" w:color="auto"/>
              <w:right w:val="single" w:sz="8" w:space="0" w:color="auto"/>
            </w:tcBorders>
            <w:shd w:val="clear" w:color="auto" w:fill="auto"/>
            <w:noWrap/>
            <w:vAlign w:val="center"/>
            <w:hideMark/>
          </w:tcPr>
          <w:p w14:paraId="736DCF78"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r>
    </w:tbl>
    <w:p w14:paraId="2FB3DCB9" w14:textId="77777777" w:rsidR="00596935" w:rsidRPr="00596935" w:rsidRDefault="00596935" w:rsidP="00596935">
      <w:pPr>
        <w:spacing w:after="200" w:line="276" w:lineRule="auto"/>
        <w:rPr>
          <w:rFonts w:asciiTheme="minorHAnsi" w:eastAsiaTheme="minorHAnsi" w:hAnsiTheme="minorHAnsi" w:cstheme="minorBidi"/>
          <w:sz w:val="24"/>
          <w:szCs w:val="24"/>
          <w:highlight w:val="yellow"/>
          <w:lang w:val="en-GB" w:eastAsia="en-US"/>
        </w:rPr>
      </w:pPr>
    </w:p>
    <w:p w14:paraId="22276233" w14:textId="77777777" w:rsidR="00596935" w:rsidRPr="00596935" w:rsidRDefault="00596935" w:rsidP="00596935">
      <w:pPr>
        <w:spacing w:after="200" w:line="276" w:lineRule="auto"/>
        <w:rPr>
          <w:rFonts w:asciiTheme="minorHAnsi" w:eastAsiaTheme="minorHAnsi" w:hAnsiTheme="minorHAnsi" w:cstheme="minorBidi"/>
          <w:sz w:val="24"/>
          <w:szCs w:val="24"/>
          <w:highlight w:val="yellow"/>
          <w:lang w:val="en-GB" w:eastAsia="en-US"/>
        </w:rPr>
        <w:sectPr w:rsidR="00596935" w:rsidRPr="00596935" w:rsidSect="00596935">
          <w:pgSz w:w="16838" w:h="11906" w:orient="landscape"/>
          <w:pgMar w:top="1417" w:right="1417" w:bottom="1417" w:left="1134" w:header="708" w:footer="708" w:gutter="0"/>
          <w:cols w:space="708"/>
          <w:docGrid w:linePitch="360"/>
        </w:sectPr>
      </w:pPr>
    </w:p>
    <w:p w14:paraId="5BEF12D2" w14:textId="77777777" w:rsidR="00596935" w:rsidRPr="00C67966" w:rsidRDefault="00596935" w:rsidP="00C67966">
      <w:pPr>
        <w:pStyle w:val="Textbody"/>
        <w:rPr>
          <w:rFonts w:eastAsiaTheme="minorHAnsi"/>
        </w:rPr>
      </w:pPr>
      <w:r w:rsidRPr="00C67966">
        <w:rPr>
          <w:rFonts w:eastAsiaTheme="minorHAnsi"/>
        </w:rPr>
        <w:lastRenderedPageBreak/>
        <w:t xml:space="preserve">Five studies covering 25 patients reported on the outcomes of the APHAB. The data from these five studies were pooled together and are presented in </w:t>
      </w:r>
      <w:r w:rsidR="007F6475" w:rsidRPr="00C67966">
        <w:rPr>
          <w:rFonts w:eastAsiaTheme="minorHAnsi"/>
        </w:rPr>
        <w:fldChar w:fldCharType="begin"/>
      </w:r>
      <w:r w:rsidR="007F6475" w:rsidRPr="00C67966">
        <w:rPr>
          <w:rFonts w:eastAsiaTheme="minorHAnsi"/>
        </w:rPr>
        <w:instrText xml:space="preserve"> REF _Ref400646131 \h </w:instrText>
      </w:r>
      <w:r w:rsidR="00C67966" w:rsidRPr="00C67966">
        <w:rPr>
          <w:rFonts w:eastAsiaTheme="minorHAnsi"/>
        </w:rPr>
        <w:instrText xml:space="preserve"> \* MERGEFORMAT </w:instrText>
      </w:r>
      <w:r w:rsidR="007F6475" w:rsidRPr="00C67966">
        <w:rPr>
          <w:rFonts w:eastAsiaTheme="minorHAnsi"/>
        </w:rPr>
      </w:r>
      <w:r w:rsidR="007F6475" w:rsidRPr="00C67966">
        <w:rPr>
          <w:rFonts w:eastAsiaTheme="minorHAnsi"/>
        </w:rPr>
        <w:fldChar w:fldCharType="separate"/>
      </w:r>
      <w:r w:rsidR="00016592" w:rsidRPr="00C67966">
        <w:t xml:space="preserve">Table </w:t>
      </w:r>
      <w:r w:rsidR="00016592">
        <w:t>23</w:t>
      </w:r>
      <w:r w:rsidR="007F6475" w:rsidRPr="00C67966">
        <w:rPr>
          <w:rFonts w:eastAsiaTheme="minorHAnsi"/>
        </w:rPr>
        <w:fldChar w:fldCharType="end"/>
      </w:r>
      <w:r w:rsidR="007F6475" w:rsidRPr="00C67966">
        <w:rPr>
          <w:rFonts w:eastAsiaTheme="minorHAnsi"/>
        </w:rPr>
        <w:t>.</w:t>
      </w:r>
      <w:r w:rsidRPr="00C67966">
        <w:rPr>
          <w:rFonts w:eastAsiaTheme="minorHAnsi"/>
        </w:rPr>
        <w:t xml:space="preserve"> The summary data demonstrate that patients` experienced more difficulty in understanding speech in background noise and less difficulty in the ease of communication. </w:t>
      </w:r>
    </w:p>
    <w:p w14:paraId="7DB1E963" w14:textId="77777777" w:rsidR="00596935" w:rsidRPr="00C67966" w:rsidRDefault="00596935" w:rsidP="00C67966">
      <w:pPr>
        <w:pStyle w:val="Textbody"/>
        <w:rPr>
          <w:rFonts w:eastAsiaTheme="minorHAnsi"/>
        </w:rPr>
      </w:pPr>
    </w:p>
    <w:p w14:paraId="2D5378C5" w14:textId="77777777" w:rsidR="00596935" w:rsidRPr="00C67966" w:rsidRDefault="00D77AE9" w:rsidP="007F6475">
      <w:pPr>
        <w:pStyle w:val="Caption"/>
        <w:rPr>
          <w:rFonts w:ascii="Arial" w:eastAsiaTheme="minorHAnsi" w:hAnsi="Arial" w:cs="Arial"/>
          <w:lang w:val="en-GB" w:eastAsia="en-US"/>
        </w:rPr>
      </w:pPr>
      <w:bookmarkStart w:id="451" w:name="_Ref400644074"/>
      <w:bookmarkStart w:id="452" w:name="_Toc431917484"/>
      <w:r w:rsidRPr="00C67966">
        <w:rPr>
          <w:rFonts w:ascii="Arial" w:hAnsi="Arial" w:cs="Arial"/>
        </w:rPr>
        <w:t xml:space="preserve">Table </w:t>
      </w:r>
      <w:r w:rsidRPr="00C67966">
        <w:rPr>
          <w:rFonts w:ascii="Arial" w:hAnsi="Arial" w:cs="Arial"/>
        </w:rPr>
        <w:fldChar w:fldCharType="begin"/>
      </w:r>
      <w:r w:rsidRPr="00C67966">
        <w:rPr>
          <w:rFonts w:ascii="Arial" w:hAnsi="Arial" w:cs="Arial"/>
        </w:rPr>
        <w:instrText xml:space="preserve"> SEQ Table \* ARABIC </w:instrText>
      </w:r>
      <w:r w:rsidRPr="00C67966">
        <w:rPr>
          <w:rFonts w:ascii="Arial" w:hAnsi="Arial" w:cs="Arial"/>
        </w:rPr>
        <w:fldChar w:fldCharType="separate"/>
      </w:r>
      <w:r w:rsidR="00016592">
        <w:rPr>
          <w:rFonts w:ascii="Arial" w:hAnsi="Arial" w:cs="Arial"/>
          <w:noProof/>
        </w:rPr>
        <w:t>24</w:t>
      </w:r>
      <w:r w:rsidRPr="00C67966">
        <w:rPr>
          <w:rFonts w:ascii="Arial" w:hAnsi="Arial" w:cs="Arial"/>
        </w:rPr>
        <w:fldChar w:fldCharType="end"/>
      </w:r>
      <w:r w:rsidRPr="00C67966">
        <w:rPr>
          <w:rFonts w:ascii="Arial" w:hAnsi="Arial" w:cs="Arial"/>
          <w:lang w:val="en-US"/>
        </w:rPr>
        <w:t xml:space="preserve"> - </w:t>
      </w:r>
      <w:r w:rsidR="00596935" w:rsidRPr="00C67966">
        <w:rPr>
          <w:rFonts w:ascii="Arial" w:eastAsiaTheme="minorHAnsi" w:hAnsi="Arial" w:cs="Arial"/>
          <w:lang w:val="en-GB" w:eastAsia="en-US"/>
        </w:rPr>
        <w:t>Subjective outcomes VSB pooled</w:t>
      </w:r>
      <w:bookmarkEnd w:id="451"/>
      <w:bookmarkEnd w:id="452"/>
    </w:p>
    <w:tbl>
      <w:tblPr>
        <w:tblpPr w:leftFromText="141" w:rightFromText="141" w:vertAnchor="text" w:horzAnchor="margin" w:tblpY="114"/>
        <w:tblW w:w="5000" w:type="pct"/>
        <w:tblCellMar>
          <w:left w:w="70" w:type="dxa"/>
          <w:right w:w="70" w:type="dxa"/>
        </w:tblCellMar>
        <w:tblLook w:val="04A0" w:firstRow="1" w:lastRow="0" w:firstColumn="1" w:lastColumn="0" w:noHBand="0" w:noVBand="1"/>
        <w:tblDescription w:val="Subjective outcomes VSB pooled"/>
      </w:tblPr>
      <w:tblGrid>
        <w:gridCol w:w="2553"/>
        <w:gridCol w:w="1665"/>
        <w:gridCol w:w="1666"/>
        <w:gridCol w:w="1666"/>
        <w:gridCol w:w="1662"/>
      </w:tblGrid>
      <w:tr w:rsidR="00596935" w:rsidRPr="00596935" w14:paraId="0199A402" w14:textId="77777777" w:rsidTr="00596935">
        <w:trPr>
          <w:trHeight w:val="315"/>
        </w:trPr>
        <w:tc>
          <w:tcPr>
            <w:tcW w:w="5000" w:type="pct"/>
            <w:gridSpan w:val="5"/>
            <w:tcBorders>
              <w:top w:val="single" w:sz="8" w:space="0" w:color="auto"/>
              <w:left w:val="single" w:sz="8" w:space="0" w:color="auto"/>
              <w:bottom w:val="single" w:sz="8" w:space="0" w:color="auto"/>
              <w:right w:val="single" w:sz="8" w:space="0" w:color="000000"/>
            </w:tcBorders>
            <w:shd w:val="clear" w:color="000000" w:fill="F2DCDB"/>
            <w:noWrap/>
            <w:vAlign w:val="bottom"/>
            <w:hideMark/>
          </w:tcPr>
          <w:p w14:paraId="764CF681"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POOLED VSB DATA</w:t>
            </w:r>
          </w:p>
        </w:tc>
      </w:tr>
      <w:tr w:rsidR="00596935" w:rsidRPr="00596935" w14:paraId="32923AE6" w14:textId="77777777" w:rsidTr="00596935">
        <w:trPr>
          <w:trHeight w:val="300"/>
        </w:trPr>
        <w:tc>
          <w:tcPr>
            <w:tcW w:w="1386" w:type="pct"/>
            <w:vMerge w:val="restart"/>
            <w:tcBorders>
              <w:top w:val="nil"/>
              <w:left w:val="single" w:sz="8" w:space="0" w:color="auto"/>
              <w:bottom w:val="single" w:sz="8" w:space="0" w:color="000000"/>
              <w:right w:val="single" w:sz="8" w:space="0" w:color="auto"/>
            </w:tcBorders>
            <w:shd w:val="clear" w:color="000000" w:fill="D9D9D9"/>
            <w:noWrap/>
            <w:vAlign w:val="center"/>
            <w:hideMark/>
          </w:tcPr>
          <w:p w14:paraId="7E359EFD"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Outcome measure</w:t>
            </w:r>
          </w:p>
        </w:tc>
        <w:tc>
          <w:tcPr>
            <w:tcW w:w="904" w:type="pct"/>
            <w:vMerge w:val="restart"/>
            <w:tcBorders>
              <w:top w:val="nil"/>
              <w:left w:val="nil"/>
              <w:bottom w:val="single" w:sz="8" w:space="0" w:color="000000"/>
              <w:right w:val="single" w:sz="4" w:space="0" w:color="auto"/>
            </w:tcBorders>
            <w:shd w:val="clear" w:color="000000" w:fill="D9D9D9"/>
            <w:noWrap/>
            <w:vAlign w:val="center"/>
            <w:hideMark/>
          </w:tcPr>
          <w:p w14:paraId="6A214DF0"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Subscale </w:t>
            </w:r>
          </w:p>
        </w:tc>
        <w:tc>
          <w:tcPr>
            <w:tcW w:w="904" w:type="pct"/>
            <w:vMerge w:val="restart"/>
            <w:tcBorders>
              <w:top w:val="nil"/>
              <w:left w:val="single" w:sz="4" w:space="0" w:color="auto"/>
              <w:bottom w:val="single" w:sz="8" w:space="0" w:color="000000"/>
              <w:right w:val="single" w:sz="4" w:space="0" w:color="auto"/>
            </w:tcBorders>
            <w:shd w:val="clear" w:color="000000" w:fill="D9D9D9"/>
            <w:noWrap/>
            <w:vAlign w:val="center"/>
            <w:hideMark/>
          </w:tcPr>
          <w:p w14:paraId="1AB7E980"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range</w:t>
            </w:r>
          </w:p>
        </w:tc>
        <w:tc>
          <w:tcPr>
            <w:tcW w:w="904" w:type="pct"/>
            <w:vMerge w:val="restart"/>
            <w:tcBorders>
              <w:top w:val="nil"/>
              <w:left w:val="single" w:sz="4" w:space="0" w:color="auto"/>
              <w:bottom w:val="single" w:sz="8" w:space="0" w:color="000000"/>
              <w:right w:val="single" w:sz="4" w:space="0" w:color="auto"/>
            </w:tcBorders>
            <w:shd w:val="clear" w:color="000000" w:fill="D9D9D9"/>
            <w:noWrap/>
            <w:vAlign w:val="center"/>
            <w:hideMark/>
          </w:tcPr>
          <w:p w14:paraId="1C8589E7" w14:textId="77777777" w:rsidR="00596935" w:rsidRPr="00596935" w:rsidRDefault="00596935" w:rsidP="00596935">
            <w:pPr>
              <w:jc w:val="center"/>
              <w:rPr>
                <w:rFonts w:cs="Arial"/>
                <w:i/>
                <w:iCs/>
                <w:color w:val="000000"/>
                <w:sz w:val="20"/>
                <w:szCs w:val="20"/>
                <w:lang w:val="de-AT" w:eastAsia="de-AT"/>
              </w:rPr>
            </w:pPr>
            <w:r w:rsidRPr="00596935">
              <w:rPr>
                <w:rFonts w:cs="Arial"/>
                <w:i/>
                <w:iCs/>
                <w:color w:val="000000"/>
                <w:sz w:val="20"/>
                <w:szCs w:val="20"/>
                <w:lang w:val="de-AT" w:eastAsia="de-AT"/>
              </w:rPr>
              <w:t>mean</w:t>
            </w:r>
          </w:p>
        </w:tc>
        <w:tc>
          <w:tcPr>
            <w:tcW w:w="902" w:type="pct"/>
            <w:vMerge w:val="restart"/>
            <w:tcBorders>
              <w:top w:val="nil"/>
              <w:left w:val="single" w:sz="4" w:space="0" w:color="auto"/>
              <w:bottom w:val="single" w:sz="8" w:space="0" w:color="000000"/>
              <w:right w:val="single" w:sz="8" w:space="0" w:color="auto"/>
            </w:tcBorders>
            <w:shd w:val="clear" w:color="000000" w:fill="D9D9D9"/>
            <w:vAlign w:val="center"/>
            <w:hideMark/>
          </w:tcPr>
          <w:p w14:paraId="4A081173" w14:textId="77777777" w:rsidR="00596935" w:rsidRPr="00596935" w:rsidRDefault="00596935" w:rsidP="00596935">
            <w:pPr>
              <w:jc w:val="center"/>
              <w:rPr>
                <w:rFonts w:cs="Arial"/>
                <w:i/>
                <w:iCs/>
                <w:color w:val="000000"/>
                <w:sz w:val="20"/>
                <w:szCs w:val="20"/>
                <w:lang w:val="de-AT" w:eastAsia="de-AT"/>
              </w:rPr>
            </w:pPr>
            <w:r w:rsidRPr="00596935">
              <w:rPr>
                <w:rFonts w:cs="Arial"/>
                <w:i/>
                <w:iCs/>
                <w:color w:val="000000"/>
                <w:sz w:val="20"/>
                <w:szCs w:val="20"/>
                <w:lang w:val="de-AT" w:eastAsia="de-AT"/>
              </w:rPr>
              <w:t>sd across studies</w:t>
            </w:r>
          </w:p>
        </w:tc>
      </w:tr>
      <w:tr w:rsidR="00596935" w:rsidRPr="00596935" w14:paraId="5F3F03A8" w14:textId="77777777" w:rsidTr="00596935">
        <w:trPr>
          <w:trHeight w:val="315"/>
        </w:trPr>
        <w:tc>
          <w:tcPr>
            <w:tcW w:w="1386" w:type="pct"/>
            <w:vMerge/>
            <w:tcBorders>
              <w:top w:val="nil"/>
              <w:left w:val="single" w:sz="8" w:space="0" w:color="auto"/>
              <w:bottom w:val="single" w:sz="8" w:space="0" w:color="000000"/>
              <w:right w:val="single" w:sz="8" w:space="0" w:color="auto"/>
            </w:tcBorders>
            <w:vAlign w:val="center"/>
            <w:hideMark/>
          </w:tcPr>
          <w:p w14:paraId="2EEA6664" w14:textId="77777777" w:rsidR="00596935" w:rsidRPr="00596935" w:rsidRDefault="00596935" w:rsidP="00596935">
            <w:pPr>
              <w:rPr>
                <w:rFonts w:cs="Arial"/>
                <w:color w:val="000000"/>
                <w:sz w:val="20"/>
                <w:szCs w:val="20"/>
                <w:lang w:val="de-AT" w:eastAsia="de-AT"/>
              </w:rPr>
            </w:pPr>
          </w:p>
        </w:tc>
        <w:tc>
          <w:tcPr>
            <w:tcW w:w="904" w:type="pct"/>
            <w:vMerge/>
            <w:tcBorders>
              <w:top w:val="nil"/>
              <w:left w:val="nil"/>
              <w:bottom w:val="single" w:sz="8" w:space="0" w:color="000000"/>
              <w:right w:val="single" w:sz="4" w:space="0" w:color="auto"/>
            </w:tcBorders>
            <w:vAlign w:val="center"/>
            <w:hideMark/>
          </w:tcPr>
          <w:p w14:paraId="7166E630" w14:textId="77777777" w:rsidR="00596935" w:rsidRPr="00596935" w:rsidRDefault="00596935" w:rsidP="00596935">
            <w:pPr>
              <w:rPr>
                <w:rFonts w:cs="Arial"/>
                <w:color w:val="000000"/>
                <w:sz w:val="20"/>
                <w:szCs w:val="20"/>
                <w:lang w:val="de-AT" w:eastAsia="de-AT"/>
              </w:rPr>
            </w:pPr>
          </w:p>
        </w:tc>
        <w:tc>
          <w:tcPr>
            <w:tcW w:w="904" w:type="pct"/>
            <w:vMerge/>
            <w:tcBorders>
              <w:top w:val="nil"/>
              <w:left w:val="single" w:sz="4" w:space="0" w:color="auto"/>
              <w:bottom w:val="single" w:sz="8" w:space="0" w:color="000000"/>
              <w:right w:val="single" w:sz="4" w:space="0" w:color="auto"/>
            </w:tcBorders>
            <w:vAlign w:val="center"/>
            <w:hideMark/>
          </w:tcPr>
          <w:p w14:paraId="1399B3CE" w14:textId="77777777" w:rsidR="00596935" w:rsidRPr="00596935" w:rsidRDefault="00596935" w:rsidP="00596935">
            <w:pPr>
              <w:rPr>
                <w:rFonts w:cs="Arial"/>
                <w:color w:val="000000"/>
                <w:sz w:val="20"/>
                <w:szCs w:val="20"/>
                <w:lang w:val="de-AT" w:eastAsia="de-AT"/>
              </w:rPr>
            </w:pPr>
          </w:p>
        </w:tc>
        <w:tc>
          <w:tcPr>
            <w:tcW w:w="904" w:type="pct"/>
            <w:vMerge/>
            <w:tcBorders>
              <w:top w:val="nil"/>
              <w:left w:val="single" w:sz="4" w:space="0" w:color="auto"/>
              <w:bottom w:val="single" w:sz="8" w:space="0" w:color="000000"/>
              <w:right w:val="single" w:sz="4" w:space="0" w:color="auto"/>
            </w:tcBorders>
            <w:vAlign w:val="center"/>
            <w:hideMark/>
          </w:tcPr>
          <w:p w14:paraId="0A939CC3" w14:textId="77777777" w:rsidR="00596935" w:rsidRPr="00596935" w:rsidRDefault="00596935" w:rsidP="00596935">
            <w:pPr>
              <w:rPr>
                <w:rFonts w:cs="Arial"/>
                <w:i/>
                <w:iCs/>
                <w:color w:val="000000"/>
                <w:sz w:val="20"/>
                <w:szCs w:val="20"/>
                <w:lang w:val="de-AT" w:eastAsia="de-AT"/>
              </w:rPr>
            </w:pPr>
          </w:p>
        </w:tc>
        <w:tc>
          <w:tcPr>
            <w:tcW w:w="902" w:type="pct"/>
            <w:vMerge/>
            <w:tcBorders>
              <w:top w:val="nil"/>
              <w:left w:val="single" w:sz="4" w:space="0" w:color="auto"/>
              <w:bottom w:val="single" w:sz="8" w:space="0" w:color="000000"/>
              <w:right w:val="single" w:sz="8" w:space="0" w:color="auto"/>
            </w:tcBorders>
            <w:vAlign w:val="center"/>
            <w:hideMark/>
          </w:tcPr>
          <w:p w14:paraId="5BF19DC9" w14:textId="77777777" w:rsidR="00596935" w:rsidRPr="00596935" w:rsidRDefault="00596935" w:rsidP="00596935">
            <w:pPr>
              <w:jc w:val="center"/>
              <w:rPr>
                <w:rFonts w:cs="Arial"/>
                <w:i/>
                <w:iCs/>
                <w:color w:val="000000"/>
                <w:sz w:val="20"/>
                <w:szCs w:val="20"/>
                <w:lang w:val="de-AT" w:eastAsia="de-AT"/>
              </w:rPr>
            </w:pPr>
          </w:p>
        </w:tc>
      </w:tr>
      <w:tr w:rsidR="00596935" w:rsidRPr="00596935" w14:paraId="7BBAFA6F" w14:textId="77777777" w:rsidTr="00596935">
        <w:trPr>
          <w:trHeight w:val="300"/>
        </w:trPr>
        <w:tc>
          <w:tcPr>
            <w:tcW w:w="1386" w:type="pct"/>
            <w:vMerge w:val="restart"/>
            <w:tcBorders>
              <w:top w:val="nil"/>
              <w:left w:val="single" w:sz="8" w:space="0" w:color="auto"/>
              <w:bottom w:val="single" w:sz="8" w:space="0" w:color="000000"/>
              <w:right w:val="single" w:sz="8" w:space="0" w:color="auto"/>
            </w:tcBorders>
            <w:shd w:val="clear" w:color="auto" w:fill="auto"/>
            <w:vAlign w:val="center"/>
            <w:hideMark/>
          </w:tcPr>
          <w:p w14:paraId="0F7C237E"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(A)PHAB</w:t>
            </w:r>
          </w:p>
        </w:tc>
        <w:tc>
          <w:tcPr>
            <w:tcW w:w="904" w:type="pct"/>
            <w:tcBorders>
              <w:top w:val="nil"/>
              <w:left w:val="nil"/>
              <w:bottom w:val="single" w:sz="4" w:space="0" w:color="auto"/>
              <w:right w:val="single" w:sz="4" w:space="0" w:color="auto"/>
            </w:tcBorders>
            <w:shd w:val="clear" w:color="auto" w:fill="auto"/>
            <w:noWrap/>
            <w:hideMark/>
          </w:tcPr>
          <w:p w14:paraId="286A5BFC"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BN</w:t>
            </w:r>
          </w:p>
        </w:tc>
        <w:tc>
          <w:tcPr>
            <w:tcW w:w="904" w:type="pct"/>
            <w:tcBorders>
              <w:top w:val="nil"/>
              <w:left w:val="nil"/>
              <w:bottom w:val="single" w:sz="4" w:space="0" w:color="auto"/>
              <w:right w:val="single" w:sz="4" w:space="0" w:color="auto"/>
            </w:tcBorders>
            <w:shd w:val="clear" w:color="auto" w:fill="auto"/>
            <w:hideMark/>
          </w:tcPr>
          <w:p w14:paraId="1357A9C4"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25 to 48</w:t>
            </w:r>
          </w:p>
        </w:tc>
        <w:tc>
          <w:tcPr>
            <w:tcW w:w="904" w:type="pct"/>
            <w:tcBorders>
              <w:top w:val="nil"/>
              <w:left w:val="nil"/>
              <w:bottom w:val="single" w:sz="4" w:space="0" w:color="auto"/>
              <w:right w:val="single" w:sz="4" w:space="0" w:color="auto"/>
            </w:tcBorders>
            <w:shd w:val="clear" w:color="auto" w:fill="auto"/>
            <w:hideMark/>
          </w:tcPr>
          <w:p w14:paraId="2518882A"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39,4</w:t>
            </w:r>
          </w:p>
        </w:tc>
        <w:tc>
          <w:tcPr>
            <w:tcW w:w="902" w:type="pct"/>
            <w:tcBorders>
              <w:top w:val="nil"/>
              <w:left w:val="nil"/>
              <w:bottom w:val="single" w:sz="4" w:space="0" w:color="auto"/>
              <w:right w:val="single" w:sz="8" w:space="0" w:color="auto"/>
            </w:tcBorders>
            <w:shd w:val="clear" w:color="auto" w:fill="auto"/>
            <w:noWrap/>
            <w:vAlign w:val="bottom"/>
            <w:hideMark/>
          </w:tcPr>
          <w:p w14:paraId="392C836F"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9,24</w:t>
            </w:r>
          </w:p>
        </w:tc>
      </w:tr>
      <w:tr w:rsidR="00596935" w:rsidRPr="00596935" w14:paraId="04BF3440" w14:textId="77777777" w:rsidTr="00596935">
        <w:trPr>
          <w:trHeight w:val="300"/>
        </w:trPr>
        <w:tc>
          <w:tcPr>
            <w:tcW w:w="1386" w:type="pct"/>
            <w:vMerge/>
            <w:tcBorders>
              <w:top w:val="nil"/>
              <w:left w:val="single" w:sz="8" w:space="0" w:color="auto"/>
              <w:bottom w:val="single" w:sz="8" w:space="0" w:color="000000"/>
              <w:right w:val="single" w:sz="8" w:space="0" w:color="auto"/>
            </w:tcBorders>
            <w:vAlign w:val="center"/>
            <w:hideMark/>
          </w:tcPr>
          <w:p w14:paraId="4F266E9B" w14:textId="77777777" w:rsidR="00596935" w:rsidRPr="00596935" w:rsidRDefault="00596935" w:rsidP="00596935">
            <w:pPr>
              <w:rPr>
                <w:rFonts w:cs="Arial"/>
                <w:color w:val="000000"/>
                <w:sz w:val="20"/>
                <w:szCs w:val="20"/>
                <w:lang w:val="de-AT" w:eastAsia="de-AT"/>
              </w:rPr>
            </w:pPr>
          </w:p>
        </w:tc>
        <w:tc>
          <w:tcPr>
            <w:tcW w:w="904" w:type="pct"/>
            <w:tcBorders>
              <w:top w:val="nil"/>
              <w:left w:val="nil"/>
              <w:bottom w:val="single" w:sz="4" w:space="0" w:color="auto"/>
              <w:right w:val="single" w:sz="4" w:space="0" w:color="auto"/>
            </w:tcBorders>
            <w:shd w:val="clear" w:color="auto" w:fill="auto"/>
            <w:noWrap/>
            <w:vAlign w:val="bottom"/>
            <w:hideMark/>
          </w:tcPr>
          <w:p w14:paraId="106E1AEF"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RV</w:t>
            </w:r>
          </w:p>
        </w:tc>
        <w:tc>
          <w:tcPr>
            <w:tcW w:w="904" w:type="pct"/>
            <w:tcBorders>
              <w:top w:val="nil"/>
              <w:left w:val="nil"/>
              <w:bottom w:val="single" w:sz="4" w:space="0" w:color="auto"/>
              <w:right w:val="single" w:sz="4" w:space="0" w:color="auto"/>
            </w:tcBorders>
            <w:shd w:val="clear" w:color="auto" w:fill="auto"/>
            <w:noWrap/>
            <w:vAlign w:val="bottom"/>
            <w:hideMark/>
          </w:tcPr>
          <w:p w14:paraId="6B0C0881"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21 to 47</w:t>
            </w:r>
          </w:p>
        </w:tc>
        <w:tc>
          <w:tcPr>
            <w:tcW w:w="904" w:type="pct"/>
            <w:tcBorders>
              <w:top w:val="nil"/>
              <w:left w:val="nil"/>
              <w:bottom w:val="single" w:sz="4" w:space="0" w:color="auto"/>
              <w:right w:val="single" w:sz="4" w:space="0" w:color="auto"/>
            </w:tcBorders>
            <w:shd w:val="clear" w:color="auto" w:fill="auto"/>
            <w:noWrap/>
            <w:vAlign w:val="bottom"/>
            <w:hideMark/>
          </w:tcPr>
          <w:p w14:paraId="47AF3A38"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34,6</w:t>
            </w:r>
          </w:p>
        </w:tc>
        <w:tc>
          <w:tcPr>
            <w:tcW w:w="902" w:type="pct"/>
            <w:tcBorders>
              <w:top w:val="nil"/>
              <w:left w:val="nil"/>
              <w:bottom w:val="single" w:sz="4" w:space="0" w:color="auto"/>
              <w:right w:val="single" w:sz="8" w:space="0" w:color="auto"/>
            </w:tcBorders>
            <w:shd w:val="clear" w:color="auto" w:fill="auto"/>
            <w:noWrap/>
            <w:vAlign w:val="bottom"/>
            <w:hideMark/>
          </w:tcPr>
          <w:p w14:paraId="28594BD7"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11,6</w:t>
            </w:r>
          </w:p>
        </w:tc>
      </w:tr>
      <w:tr w:rsidR="00596935" w:rsidRPr="00596935" w14:paraId="443B7E9D" w14:textId="77777777" w:rsidTr="00596935">
        <w:trPr>
          <w:trHeight w:val="300"/>
        </w:trPr>
        <w:tc>
          <w:tcPr>
            <w:tcW w:w="1386" w:type="pct"/>
            <w:vMerge/>
            <w:tcBorders>
              <w:top w:val="nil"/>
              <w:left w:val="single" w:sz="8" w:space="0" w:color="auto"/>
              <w:bottom w:val="single" w:sz="8" w:space="0" w:color="000000"/>
              <w:right w:val="single" w:sz="8" w:space="0" w:color="auto"/>
            </w:tcBorders>
            <w:vAlign w:val="center"/>
            <w:hideMark/>
          </w:tcPr>
          <w:p w14:paraId="3644371E" w14:textId="77777777" w:rsidR="00596935" w:rsidRPr="00596935" w:rsidRDefault="00596935" w:rsidP="00596935">
            <w:pPr>
              <w:rPr>
                <w:rFonts w:cs="Arial"/>
                <w:color w:val="000000"/>
                <w:sz w:val="20"/>
                <w:szCs w:val="20"/>
                <w:lang w:val="de-AT" w:eastAsia="de-AT"/>
              </w:rPr>
            </w:pPr>
          </w:p>
        </w:tc>
        <w:tc>
          <w:tcPr>
            <w:tcW w:w="904" w:type="pct"/>
            <w:tcBorders>
              <w:top w:val="nil"/>
              <w:left w:val="nil"/>
              <w:bottom w:val="single" w:sz="4" w:space="0" w:color="auto"/>
              <w:right w:val="single" w:sz="4" w:space="0" w:color="auto"/>
            </w:tcBorders>
            <w:shd w:val="clear" w:color="auto" w:fill="auto"/>
            <w:noWrap/>
            <w:vAlign w:val="bottom"/>
            <w:hideMark/>
          </w:tcPr>
          <w:p w14:paraId="720358C1"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EC</w:t>
            </w:r>
          </w:p>
        </w:tc>
        <w:tc>
          <w:tcPr>
            <w:tcW w:w="904" w:type="pct"/>
            <w:tcBorders>
              <w:top w:val="nil"/>
              <w:left w:val="nil"/>
              <w:bottom w:val="single" w:sz="4" w:space="0" w:color="auto"/>
              <w:right w:val="single" w:sz="4" w:space="0" w:color="auto"/>
            </w:tcBorders>
            <w:shd w:val="clear" w:color="auto" w:fill="auto"/>
            <w:noWrap/>
            <w:vAlign w:val="bottom"/>
            <w:hideMark/>
          </w:tcPr>
          <w:p w14:paraId="0570E2AC"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11 to 33</w:t>
            </w:r>
          </w:p>
        </w:tc>
        <w:tc>
          <w:tcPr>
            <w:tcW w:w="904" w:type="pct"/>
            <w:tcBorders>
              <w:top w:val="nil"/>
              <w:left w:val="nil"/>
              <w:bottom w:val="single" w:sz="4" w:space="0" w:color="auto"/>
              <w:right w:val="single" w:sz="4" w:space="0" w:color="auto"/>
            </w:tcBorders>
            <w:shd w:val="clear" w:color="auto" w:fill="auto"/>
            <w:noWrap/>
            <w:vAlign w:val="bottom"/>
            <w:hideMark/>
          </w:tcPr>
          <w:p w14:paraId="56B48C04"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22,4</w:t>
            </w:r>
          </w:p>
        </w:tc>
        <w:tc>
          <w:tcPr>
            <w:tcW w:w="902" w:type="pct"/>
            <w:tcBorders>
              <w:top w:val="nil"/>
              <w:left w:val="nil"/>
              <w:bottom w:val="single" w:sz="4" w:space="0" w:color="auto"/>
              <w:right w:val="single" w:sz="8" w:space="0" w:color="auto"/>
            </w:tcBorders>
            <w:shd w:val="clear" w:color="auto" w:fill="auto"/>
            <w:noWrap/>
            <w:vAlign w:val="bottom"/>
            <w:hideMark/>
          </w:tcPr>
          <w:p w14:paraId="676C63BF"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8,56</w:t>
            </w:r>
          </w:p>
        </w:tc>
      </w:tr>
      <w:tr w:rsidR="00596935" w:rsidRPr="00596935" w14:paraId="76823B90" w14:textId="77777777" w:rsidTr="00596935">
        <w:trPr>
          <w:trHeight w:val="315"/>
        </w:trPr>
        <w:tc>
          <w:tcPr>
            <w:tcW w:w="1386" w:type="pct"/>
            <w:vMerge/>
            <w:tcBorders>
              <w:top w:val="nil"/>
              <w:left w:val="single" w:sz="8" w:space="0" w:color="auto"/>
              <w:bottom w:val="single" w:sz="8" w:space="0" w:color="000000"/>
              <w:right w:val="single" w:sz="8" w:space="0" w:color="auto"/>
            </w:tcBorders>
            <w:vAlign w:val="center"/>
            <w:hideMark/>
          </w:tcPr>
          <w:p w14:paraId="397519EA" w14:textId="77777777" w:rsidR="00596935" w:rsidRPr="00596935" w:rsidRDefault="00596935" w:rsidP="00596935">
            <w:pPr>
              <w:rPr>
                <w:rFonts w:cs="Arial"/>
                <w:color w:val="000000"/>
                <w:sz w:val="20"/>
                <w:szCs w:val="20"/>
                <w:lang w:val="de-AT" w:eastAsia="de-AT"/>
              </w:rPr>
            </w:pPr>
          </w:p>
        </w:tc>
        <w:tc>
          <w:tcPr>
            <w:tcW w:w="904" w:type="pct"/>
            <w:tcBorders>
              <w:top w:val="nil"/>
              <w:left w:val="nil"/>
              <w:bottom w:val="single" w:sz="8" w:space="0" w:color="auto"/>
              <w:right w:val="single" w:sz="4" w:space="0" w:color="auto"/>
            </w:tcBorders>
            <w:shd w:val="clear" w:color="auto" w:fill="auto"/>
            <w:noWrap/>
            <w:vAlign w:val="bottom"/>
            <w:hideMark/>
          </w:tcPr>
          <w:p w14:paraId="5C6FE76B"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AV</w:t>
            </w:r>
          </w:p>
        </w:tc>
        <w:tc>
          <w:tcPr>
            <w:tcW w:w="904" w:type="pct"/>
            <w:tcBorders>
              <w:top w:val="nil"/>
              <w:left w:val="nil"/>
              <w:bottom w:val="single" w:sz="8" w:space="0" w:color="auto"/>
              <w:right w:val="single" w:sz="4" w:space="0" w:color="auto"/>
            </w:tcBorders>
            <w:shd w:val="clear" w:color="auto" w:fill="auto"/>
            <w:noWrap/>
            <w:vAlign w:val="bottom"/>
            <w:hideMark/>
          </w:tcPr>
          <w:p w14:paraId="4C0DE3AA"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21 to 35</w:t>
            </w:r>
          </w:p>
        </w:tc>
        <w:tc>
          <w:tcPr>
            <w:tcW w:w="904" w:type="pct"/>
            <w:tcBorders>
              <w:top w:val="nil"/>
              <w:left w:val="nil"/>
              <w:bottom w:val="single" w:sz="8" w:space="0" w:color="auto"/>
              <w:right w:val="single" w:sz="4" w:space="0" w:color="auto"/>
            </w:tcBorders>
            <w:shd w:val="clear" w:color="auto" w:fill="auto"/>
            <w:noWrap/>
            <w:vAlign w:val="bottom"/>
            <w:hideMark/>
          </w:tcPr>
          <w:p w14:paraId="4BE3CAE5"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28,8</w:t>
            </w:r>
          </w:p>
        </w:tc>
        <w:tc>
          <w:tcPr>
            <w:tcW w:w="902" w:type="pct"/>
            <w:tcBorders>
              <w:top w:val="nil"/>
              <w:left w:val="nil"/>
              <w:bottom w:val="single" w:sz="8" w:space="0" w:color="auto"/>
              <w:right w:val="single" w:sz="8" w:space="0" w:color="auto"/>
            </w:tcBorders>
            <w:shd w:val="clear" w:color="auto" w:fill="auto"/>
            <w:noWrap/>
            <w:vAlign w:val="bottom"/>
            <w:hideMark/>
          </w:tcPr>
          <w:p w14:paraId="7CEBA0BC"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5,59</w:t>
            </w:r>
          </w:p>
        </w:tc>
      </w:tr>
      <w:tr w:rsidR="00596935" w:rsidRPr="00596935" w14:paraId="05364852" w14:textId="77777777" w:rsidTr="00596935">
        <w:trPr>
          <w:trHeight w:val="300"/>
        </w:trPr>
        <w:tc>
          <w:tcPr>
            <w:tcW w:w="1386"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7D33F979"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GBI</w:t>
            </w:r>
          </w:p>
        </w:tc>
        <w:tc>
          <w:tcPr>
            <w:tcW w:w="904" w:type="pct"/>
            <w:tcBorders>
              <w:top w:val="nil"/>
              <w:left w:val="nil"/>
              <w:bottom w:val="single" w:sz="4" w:space="0" w:color="auto"/>
              <w:right w:val="single" w:sz="4" w:space="0" w:color="auto"/>
            </w:tcBorders>
            <w:shd w:val="clear" w:color="auto" w:fill="auto"/>
            <w:hideMark/>
          </w:tcPr>
          <w:p w14:paraId="4DF68207"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Total</w:t>
            </w:r>
          </w:p>
        </w:tc>
        <w:tc>
          <w:tcPr>
            <w:tcW w:w="904" w:type="pct"/>
            <w:tcBorders>
              <w:top w:val="nil"/>
              <w:left w:val="nil"/>
              <w:bottom w:val="single" w:sz="4" w:space="0" w:color="auto"/>
              <w:right w:val="single" w:sz="4" w:space="0" w:color="auto"/>
            </w:tcBorders>
            <w:shd w:val="clear" w:color="auto" w:fill="auto"/>
            <w:noWrap/>
            <w:vAlign w:val="bottom"/>
            <w:hideMark/>
          </w:tcPr>
          <w:p w14:paraId="04E7361D"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14,7 to 38,3</w:t>
            </w:r>
          </w:p>
        </w:tc>
        <w:tc>
          <w:tcPr>
            <w:tcW w:w="904" w:type="pct"/>
            <w:tcBorders>
              <w:top w:val="nil"/>
              <w:left w:val="nil"/>
              <w:bottom w:val="single" w:sz="4" w:space="0" w:color="auto"/>
              <w:right w:val="single" w:sz="4" w:space="0" w:color="auto"/>
            </w:tcBorders>
            <w:shd w:val="clear" w:color="auto" w:fill="auto"/>
            <w:noWrap/>
            <w:vAlign w:val="bottom"/>
            <w:hideMark/>
          </w:tcPr>
          <w:p w14:paraId="3513BBC5"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24,5</w:t>
            </w:r>
          </w:p>
        </w:tc>
        <w:tc>
          <w:tcPr>
            <w:tcW w:w="902" w:type="pct"/>
            <w:tcBorders>
              <w:top w:val="nil"/>
              <w:left w:val="nil"/>
              <w:bottom w:val="single" w:sz="4" w:space="0" w:color="auto"/>
              <w:right w:val="single" w:sz="8" w:space="0" w:color="auto"/>
            </w:tcBorders>
            <w:shd w:val="clear" w:color="auto" w:fill="auto"/>
            <w:noWrap/>
            <w:vAlign w:val="bottom"/>
            <w:hideMark/>
          </w:tcPr>
          <w:p w14:paraId="5117481C"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10,8</w:t>
            </w:r>
          </w:p>
        </w:tc>
      </w:tr>
      <w:tr w:rsidR="00596935" w:rsidRPr="00596935" w14:paraId="6CE6F678" w14:textId="77777777" w:rsidTr="00596935">
        <w:trPr>
          <w:trHeight w:val="300"/>
        </w:trPr>
        <w:tc>
          <w:tcPr>
            <w:tcW w:w="1386" w:type="pct"/>
            <w:vMerge/>
            <w:tcBorders>
              <w:top w:val="nil"/>
              <w:left w:val="single" w:sz="8" w:space="0" w:color="auto"/>
              <w:bottom w:val="single" w:sz="8" w:space="0" w:color="000000"/>
              <w:right w:val="single" w:sz="8" w:space="0" w:color="auto"/>
            </w:tcBorders>
            <w:vAlign w:val="center"/>
            <w:hideMark/>
          </w:tcPr>
          <w:p w14:paraId="0E8125B8" w14:textId="77777777" w:rsidR="00596935" w:rsidRPr="00596935" w:rsidRDefault="00596935" w:rsidP="00596935">
            <w:pPr>
              <w:rPr>
                <w:rFonts w:cs="Arial"/>
                <w:color w:val="000000"/>
                <w:sz w:val="20"/>
                <w:szCs w:val="20"/>
                <w:lang w:val="de-AT" w:eastAsia="de-AT"/>
              </w:rPr>
            </w:pPr>
          </w:p>
        </w:tc>
        <w:tc>
          <w:tcPr>
            <w:tcW w:w="904" w:type="pct"/>
            <w:tcBorders>
              <w:top w:val="nil"/>
              <w:left w:val="nil"/>
              <w:bottom w:val="single" w:sz="4" w:space="0" w:color="auto"/>
              <w:right w:val="single" w:sz="4" w:space="0" w:color="auto"/>
            </w:tcBorders>
            <w:shd w:val="clear" w:color="auto" w:fill="auto"/>
            <w:hideMark/>
          </w:tcPr>
          <w:p w14:paraId="0B90B29A"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General</w:t>
            </w:r>
          </w:p>
        </w:tc>
        <w:tc>
          <w:tcPr>
            <w:tcW w:w="904" w:type="pct"/>
            <w:tcBorders>
              <w:top w:val="nil"/>
              <w:left w:val="nil"/>
              <w:bottom w:val="single" w:sz="4" w:space="0" w:color="auto"/>
              <w:right w:val="single" w:sz="4" w:space="0" w:color="auto"/>
            </w:tcBorders>
            <w:shd w:val="clear" w:color="auto" w:fill="auto"/>
            <w:noWrap/>
            <w:vAlign w:val="bottom"/>
            <w:hideMark/>
          </w:tcPr>
          <w:p w14:paraId="49207E9C"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20 to 47,1</w:t>
            </w:r>
          </w:p>
        </w:tc>
        <w:tc>
          <w:tcPr>
            <w:tcW w:w="904" w:type="pct"/>
            <w:tcBorders>
              <w:top w:val="nil"/>
              <w:left w:val="nil"/>
              <w:bottom w:val="single" w:sz="4" w:space="0" w:color="auto"/>
              <w:right w:val="single" w:sz="4" w:space="0" w:color="auto"/>
            </w:tcBorders>
            <w:shd w:val="clear" w:color="auto" w:fill="auto"/>
            <w:noWrap/>
            <w:vAlign w:val="bottom"/>
            <w:hideMark/>
          </w:tcPr>
          <w:p w14:paraId="7EA5F724"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30,7</w:t>
            </w:r>
          </w:p>
        </w:tc>
        <w:tc>
          <w:tcPr>
            <w:tcW w:w="902" w:type="pct"/>
            <w:tcBorders>
              <w:top w:val="nil"/>
              <w:left w:val="nil"/>
              <w:bottom w:val="single" w:sz="4" w:space="0" w:color="auto"/>
              <w:right w:val="single" w:sz="8" w:space="0" w:color="auto"/>
            </w:tcBorders>
            <w:shd w:val="clear" w:color="auto" w:fill="auto"/>
            <w:noWrap/>
            <w:vAlign w:val="bottom"/>
            <w:hideMark/>
          </w:tcPr>
          <w:p w14:paraId="4007236E"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12,6</w:t>
            </w:r>
          </w:p>
        </w:tc>
      </w:tr>
      <w:tr w:rsidR="00596935" w:rsidRPr="00596935" w14:paraId="486F7A71" w14:textId="77777777" w:rsidTr="00596935">
        <w:trPr>
          <w:trHeight w:val="300"/>
        </w:trPr>
        <w:tc>
          <w:tcPr>
            <w:tcW w:w="1386" w:type="pct"/>
            <w:vMerge/>
            <w:tcBorders>
              <w:top w:val="nil"/>
              <w:left w:val="single" w:sz="8" w:space="0" w:color="auto"/>
              <w:bottom w:val="single" w:sz="8" w:space="0" w:color="000000"/>
              <w:right w:val="single" w:sz="8" w:space="0" w:color="auto"/>
            </w:tcBorders>
            <w:vAlign w:val="center"/>
            <w:hideMark/>
          </w:tcPr>
          <w:p w14:paraId="738A4CAE" w14:textId="77777777" w:rsidR="00596935" w:rsidRPr="00596935" w:rsidRDefault="00596935" w:rsidP="00596935">
            <w:pPr>
              <w:rPr>
                <w:rFonts w:cs="Arial"/>
                <w:color w:val="000000"/>
                <w:sz w:val="20"/>
                <w:szCs w:val="20"/>
                <w:lang w:val="de-AT" w:eastAsia="de-AT"/>
              </w:rPr>
            </w:pPr>
          </w:p>
        </w:tc>
        <w:tc>
          <w:tcPr>
            <w:tcW w:w="904" w:type="pct"/>
            <w:tcBorders>
              <w:top w:val="nil"/>
              <w:left w:val="nil"/>
              <w:bottom w:val="single" w:sz="4" w:space="0" w:color="auto"/>
              <w:right w:val="single" w:sz="4" w:space="0" w:color="auto"/>
            </w:tcBorders>
            <w:shd w:val="clear" w:color="auto" w:fill="auto"/>
            <w:hideMark/>
          </w:tcPr>
          <w:p w14:paraId="1BACAF6A"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Social</w:t>
            </w:r>
          </w:p>
        </w:tc>
        <w:tc>
          <w:tcPr>
            <w:tcW w:w="904" w:type="pct"/>
            <w:tcBorders>
              <w:top w:val="nil"/>
              <w:left w:val="nil"/>
              <w:bottom w:val="single" w:sz="4" w:space="0" w:color="auto"/>
              <w:right w:val="single" w:sz="4" w:space="0" w:color="auto"/>
            </w:tcBorders>
            <w:shd w:val="clear" w:color="auto" w:fill="auto"/>
            <w:noWrap/>
            <w:vAlign w:val="bottom"/>
            <w:hideMark/>
          </w:tcPr>
          <w:p w14:paraId="4AD24741"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5 to 15,7</w:t>
            </w:r>
          </w:p>
        </w:tc>
        <w:tc>
          <w:tcPr>
            <w:tcW w:w="904" w:type="pct"/>
            <w:tcBorders>
              <w:top w:val="nil"/>
              <w:left w:val="nil"/>
              <w:bottom w:val="single" w:sz="4" w:space="0" w:color="auto"/>
              <w:right w:val="single" w:sz="4" w:space="0" w:color="auto"/>
            </w:tcBorders>
            <w:shd w:val="clear" w:color="auto" w:fill="auto"/>
            <w:noWrap/>
            <w:vAlign w:val="bottom"/>
            <w:hideMark/>
          </w:tcPr>
          <w:p w14:paraId="000468FA"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12,9</w:t>
            </w:r>
          </w:p>
        </w:tc>
        <w:tc>
          <w:tcPr>
            <w:tcW w:w="902" w:type="pct"/>
            <w:tcBorders>
              <w:top w:val="nil"/>
              <w:left w:val="nil"/>
              <w:bottom w:val="single" w:sz="4" w:space="0" w:color="auto"/>
              <w:right w:val="single" w:sz="8" w:space="0" w:color="auto"/>
            </w:tcBorders>
            <w:shd w:val="clear" w:color="auto" w:fill="auto"/>
            <w:noWrap/>
            <w:vAlign w:val="bottom"/>
            <w:hideMark/>
          </w:tcPr>
          <w:p w14:paraId="443BE290"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4,98</w:t>
            </w:r>
          </w:p>
        </w:tc>
      </w:tr>
      <w:tr w:rsidR="00596935" w:rsidRPr="00596935" w14:paraId="06F751B0" w14:textId="77777777" w:rsidTr="00596935">
        <w:trPr>
          <w:trHeight w:val="315"/>
        </w:trPr>
        <w:tc>
          <w:tcPr>
            <w:tcW w:w="1386" w:type="pct"/>
            <w:vMerge/>
            <w:tcBorders>
              <w:top w:val="nil"/>
              <w:left w:val="single" w:sz="8" w:space="0" w:color="auto"/>
              <w:bottom w:val="single" w:sz="8" w:space="0" w:color="000000"/>
              <w:right w:val="single" w:sz="8" w:space="0" w:color="auto"/>
            </w:tcBorders>
            <w:vAlign w:val="center"/>
            <w:hideMark/>
          </w:tcPr>
          <w:p w14:paraId="77B9175D" w14:textId="77777777" w:rsidR="00596935" w:rsidRPr="00596935" w:rsidRDefault="00596935" w:rsidP="00596935">
            <w:pPr>
              <w:rPr>
                <w:rFonts w:cs="Arial"/>
                <w:color w:val="000000"/>
                <w:sz w:val="20"/>
                <w:szCs w:val="20"/>
                <w:lang w:val="de-AT" w:eastAsia="de-AT"/>
              </w:rPr>
            </w:pPr>
          </w:p>
        </w:tc>
        <w:tc>
          <w:tcPr>
            <w:tcW w:w="904" w:type="pct"/>
            <w:tcBorders>
              <w:top w:val="nil"/>
              <w:left w:val="nil"/>
              <w:bottom w:val="single" w:sz="8" w:space="0" w:color="auto"/>
              <w:right w:val="single" w:sz="4" w:space="0" w:color="auto"/>
            </w:tcBorders>
            <w:shd w:val="clear" w:color="auto" w:fill="auto"/>
            <w:hideMark/>
          </w:tcPr>
          <w:p w14:paraId="12C25495"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Physical</w:t>
            </w:r>
          </w:p>
        </w:tc>
        <w:tc>
          <w:tcPr>
            <w:tcW w:w="904" w:type="pct"/>
            <w:tcBorders>
              <w:top w:val="nil"/>
              <w:left w:val="nil"/>
              <w:bottom w:val="single" w:sz="8" w:space="0" w:color="auto"/>
              <w:right w:val="single" w:sz="4" w:space="0" w:color="auto"/>
            </w:tcBorders>
            <w:shd w:val="clear" w:color="auto" w:fill="auto"/>
            <w:noWrap/>
            <w:vAlign w:val="bottom"/>
            <w:hideMark/>
          </w:tcPr>
          <w:p w14:paraId="44338D1A"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xml:space="preserve"> -5 to 17,4</w:t>
            </w:r>
          </w:p>
        </w:tc>
        <w:tc>
          <w:tcPr>
            <w:tcW w:w="904" w:type="pct"/>
            <w:tcBorders>
              <w:top w:val="nil"/>
              <w:left w:val="nil"/>
              <w:bottom w:val="single" w:sz="8" w:space="0" w:color="auto"/>
              <w:right w:val="single" w:sz="4" w:space="0" w:color="auto"/>
            </w:tcBorders>
            <w:shd w:val="clear" w:color="auto" w:fill="auto"/>
            <w:noWrap/>
            <w:vAlign w:val="bottom"/>
            <w:hideMark/>
          </w:tcPr>
          <w:p w14:paraId="08B90866"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6,94</w:t>
            </w:r>
          </w:p>
        </w:tc>
        <w:tc>
          <w:tcPr>
            <w:tcW w:w="902" w:type="pct"/>
            <w:tcBorders>
              <w:top w:val="nil"/>
              <w:left w:val="nil"/>
              <w:bottom w:val="single" w:sz="8" w:space="0" w:color="auto"/>
              <w:right w:val="single" w:sz="8" w:space="0" w:color="auto"/>
            </w:tcBorders>
            <w:shd w:val="clear" w:color="auto" w:fill="auto"/>
            <w:noWrap/>
            <w:vAlign w:val="bottom"/>
            <w:hideMark/>
          </w:tcPr>
          <w:p w14:paraId="3D83DE63"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10,48</w:t>
            </w:r>
          </w:p>
        </w:tc>
      </w:tr>
    </w:tbl>
    <w:p w14:paraId="5905789F" w14:textId="77777777" w:rsidR="00596935" w:rsidRPr="00596935" w:rsidRDefault="00596935" w:rsidP="00C67966">
      <w:pPr>
        <w:pStyle w:val="Textbody"/>
        <w:rPr>
          <w:rFonts w:eastAsiaTheme="minorHAnsi"/>
        </w:rPr>
      </w:pPr>
    </w:p>
    <w:p w14:paraId="41F141A1" w14:textId="77777777" w:rsidR="00596935" w:rsidRDefault="00596935" w:rsidP="00C67966">
      <w:pPr>
        <w:pStyle w:val="Textbody"/>
        <w:rPr>
          <w:rFonts w:eastAsiaTheme="minorHAnsi" w:cstheme="minorBidi"/>
        </w:rPr>
      </w:pPr>
      <w:r w:rsidRPr="00596935">
        <w:rPr>
          <w:rFonts w:eastAsiaTheme="minorHAnsi" w:cstheme="minorBidi"/>
        </w:rPr>
        <w:t>Three studies (SOUNDTEC) analyses subjective questionnaires such as the APHAB and a set of custom questions about sound quality, overall satisfaction and recommend to others. In total 94 patients were investigated for subjective outcomes with partially implantable SOUNDTEC device. Hough 2002 reported mean improvement of the APHAB questionnaire outcomes compared to baseline aided</w:t>
      </w:r>
      <w:r w:rsidR="00403E99">
        <w:rPr>
          <w:rFonts w:eastAsiaTheme="minorHAnsi" w:cstheme="minorBidi"/>
        </w:rPr>
        <w:t xml:space="preserve"> scores, but no data was given.</w:t>
      </w:r>
    </w:p>
    <w:p w14:paraId="5F6F9D78" w14:textId="77777777" w:rsidR="00403E99" w:rsidRPr="00596935" w:rsidRDefault="00403E99" w:rsidP="00C67966">
      <w:pPr>
        <w:pStyle w:val="Textbody"/>
        <w:rPr>
          <w:rFonts w:eastAsiaTheme="minorHAnsi" w:cstheme="minorBidi"/>
        </w:rPr>
      </w:pPr>
    </w:p>
    <w:p w14:paraId="57F8F895" w14:textId="77777777" w:rsidR="00596935" w:rsidRPr="00596935" w:rsidRDefault="00596935" w:rsidP="00C67966">
      <w:pPr>
        <w:pStyle w:val="Textbody"/>
        <w:rPr>
          <w:rFonts w:eastAsiaTheme="minorHAnsi" w:cstheme="minorBidi"/>
        </w:rPr>
      </w:pPr>
      <w:r w:rsidRPr="00596935">
        <w:rPr>
          <w:rFonts w:eastAsiaTheme="minorHAnsi"/>
        </w:rPr>
        <w:t xml:space="preserve">Seven studies were identified that assessed the subjective benefit of fully implantable middle ear implants (Carina and Esteem), in a total of 51 patients. All studies implemented only one self-assessment scale, with the most frequently used being the Profile of Hearing Aid Benefit ((A)PHAB). In all studies, patients were asked to fill in these questionnaires at one time point post-operatively, only one study (Bruschini 2010) provided unaided/ baseline data. Other tests included the </w:t>
      </w:r>
      <w:r w:rsidRPr="00596935">
        <w:rPr>
          <w:rFonts w:eastAsiaTheme="minorHAnsi"/>
          <w:i/>
        </w:rPr>
        <w:t xml:space="preserve">Client-orientated scale of improvement (COSI) </w:t>
      </w:r>
      <w:r w:rsidRPr="00596935">
        <w:rPr>
          <w:rFonts w:eastAsiaTheme="minorHAnsi"/>
        </w:rPr>
        <w:t xml:space="preserve">and the Glasgow Benefit Inventory (GBI). Data is summarized in </w:t>
      </w:r>
      <w:r w:rsidR="00D77AE9">
        <w:rPr>
          <w:rFonts w:eastAsiaTheme="minorHAnsi" w:cstheme="minorBidi"/>
          <w:highlight w:val="yellow"/>
        </w:rPr>
        <w:fldChar w:fldCharType="begin"/>
      </w:r>
      <w:r w:rsidR="00D77AE9">
        <w:rPr>
          <w:rFonts w:eastAsiaTheme="minorHAnsi"/>
        </w:rPr>
        <w:instrText xml:space="preserve"> REF _Ref400644150 \h </w:instrText>
      </w:r>
      <w:r w:rsidR="00C67966">
        <w:rPr>
          <w:rFonts w:eastAsiaTheme="minorHAnsi" w:cstheme="minorBidi"/>
          <w:highlight w:val="yellow"/>
        </w:rPr>
        <w:instrText xml:space="preserve"> \* MERGEFORMAT </w:instrText>
      </w:r>
      <w:r w:rsidR="00D77AE9">
        <w:rPr>
          <w:rFonts w:eastAsiaTheme="minorHAnsi" w:cstheme="minorBidi"/>
          <w:highlight w:val="yellow"/>
        </w:rPr>
      </w:r>
      <w:r w:rsidR="00D77AE9">
        <w:rPr>
          <w:rFonts w:eastAsiaTheme="minorHAnsi" w:cstheme="minorBidi"/>
          <w:highlight w:val="yellow"/>
        </w:rPr>
        <w:fldChar w:fldCharType="separate"/>
      </w:r>
      <w:r w:rsidR="00016592" w:rsidRPr="00403E99">
        <w:t xml:space="preserve">Table </w:t>
      </w:r>
      <w:r w:rsidR="00016592">
        <w:rPr>
          <w:noProof/>
        </w:rPr>
        <w:t>25</w:t>
      </w:r>
      <w:r w:rsidR="00016592" w:rsidRPr="00403E99">
        <w:t xml:space="preserve"> -</w:t>
      </w:r>
      <w:r w:rsidR="00016592" w:rsidRPr="00403E99">
        <w:rPr>
          <w:rFonts w:eastAsiaTheme="minorHAnsi"/>
          <w:lang w:val="en-GB" w:eastAsia="en-US"/>
        </w:rPr>
        <w:t xml:space="preserve"> Subjective outcomes comparator</w:t>
      </w:r>
      <w:r w:rsidR="00D77AE9">
        <w:rPr>
          <w:rFonts w:eastAsiaTheme="minorHAnsi" w:cstheme="minorBidi"/>
          <w:highlight w:val="yellow"/>
        </w:rPr>
        <w:fldChar w:fldCharType="end"/>
      </w:r>
    </w:p>
    <w:p w14:paraId="05654CDD" w14:textId="77777777" w:rsidR="00596935" w:rsidRPr="00596935" w:rsidRDefault="00596935" w:rsidP="00C67966">
      <w:pPr>
        <w:pStyle w:val="Textbody"/>
        <w:rPr>
          <w:rFonts w:eastAsiaTheme="minorHAnsi" w:cstheme="minorBidi"/>
        </w:rPr>
      </w:pPr>
    </w:p>
    <w:p w14:paraId="1A4280DF" w14:textId="77777777" w:rsidR="00596935" w:rsidRPr="00596935" w:rsidRDefault="00596935" w:rsidP="00C67966">
      <w:pPr>
        <w:pStyle w:val="Textbody"/>
        <w:rPr>
          <w:rFonts w:eastAsiaTheme="minorHAnsi" w:cstheme="minorBidi"/>
        </w:rPr>
      </w:pPr>
    </w:p>
    <w:p w14:paraId="0456A28A" w14:textId="77777777" w:rsidR="00596935" w:rsidRPr="00596935" w:rsidRDefault="00596935" w:rsidP="00596935">
      <w:pPr>
        <w:spacing w:after="200" w:line="276" w:lineRule="auto"/>
        <w:rPr>
          <w:rFonts w:asciiTheme="minorHAnsi" w:eastAsiaTheme="minorHAnsi" w:hAnsiTheme="minorHAnsi" w:cstheme="minorBidi"/>
          <w:sz w:val="24"/>
          <w:szCs w:val="24"/>
          <w:lang w:val="en-GB" w:eastAsia="en-US"/>
        </w:rPr>
        <w:sectPr w:rsidR="00596935" w:rsidRPr="00596935">
          <w:pgSz w:w="11906" w:h="16838"/>
          <w:pgMar w:top="1417" w:right="1417" w:bottom="1134" w:left="1417" w:header="708" w:footer="708" w:gutter="0"/>
          <w:cols w:space="708"/>
          <w:docGrid w:linePitch="360"/>
        </w:sectPr>
      </w:pPr>
    </w:p>
    <w:p w14:paraId="0AA62C1A" w14:textId="77777777" w:rsidR="00596935" w:rsidRPr="00403E99" w:rsidRDefault="00D77AE9" w:rsidP="00B34DB0">
      <w:pPr>
        <w:pStyle w:val="Caption"/>
        <w:rPr>
          <w:rFonts w:ascii="Arial" w:eastAsiaTheme="minorHAnsi" w:hAnsi="Arial" w:cs="Arial"/>
          <w:lang w:val="en-GB" w:eastAsia="en-US"/>
        </w:rPr>
      </w:pPr>
      <w:bookmarkStart w:id="453" w:name="_Ref400644150"/>
      <w:bookmarkStart w:id="454" w:name="_Toc431917485"/>
      <w:r w:rsidRPr="00403E99">
        <w:rPr>
          <w:rFonts w:ascii="Arial" w:hAnsi="Arial" w:cs="Arial"/>
        </w:rPr>
        <w:lastRenderedPageBreak/>
        <w:t xml:space="preserve">Table </w:t>
      </w:r>
      <w:r w:rsidRPr="00403E99">
        <w:rPr>
          <w:rFonts w:ascii="Arial" w:hAnsi="Arial" w:cs="Arial"/>
        </w:rPr>
        <w:fldChar w:fldCharType="begin"/>
      </w:r>
      <w:r w:rsidRPr="00403E99">
        <w:rPr>
          <w:rFonts w:ascii="Arial" w:hAnsi="Arial" w:cs="Arial"/>
        </w:rPr>
        <w:instrText xml:space="preserve"> SEQ Table \* ARABIC </w:instrText>
      </w:r>
      <w:r w:rsidRPr="00403E99">
        <w:rPr>
          <w:rFonts w:ascii="Arial" w:hAnsi="Arial" w:cs="Arial"/>
        </w:rPr>
        <w:fldChar w:fldCharType="separate"/>
      </w:r>
      <w:r w:rsidR="00016592">
        <w:rPr>
          <w:rFonts w:ascii="Arial" w:hAnsi="Arial" w:cs="Arial"/>
          <w:noProof/>
        </w:rPr>
        <w:t>25</w:t>
      </w:r>
      <w:r w:rsidRPr="00403E99">
        <w:rPr>
          <w:rFonts w:ascii="Arial" w:hAnsi="Arial" w:cs="Arial"/>
        </w:rPr>
        <w:fldChar w:fldCharType="end"/>
      </w:r>
      <w:r w:rsidRPr="00403E99">
        <w:rPr>
          <w:rFonts w:ascii="Arial" w:hAnsi="Arial" w:cs="Arial"/>
          <w:lang w:val="en-US"/>
        </w:rPr>
        <w:t xml:space="preserve"> -</w:t>
      </w:r>
      <w:r w:rsidR="00596935" w:rsidRPr="00403E99">
        <w:rPr>
          <w:rFonts w:ascii="Arial" w:eastAsiaTheme="minorHAnsi" w:hAnsi="Arial" w:cs="Arial"/>
          <w:lang w:val="en-GB" w:eastAsia="en-US"/>
        </w:rPr>
        <w:t xml:space="preserve"> Subjective outcomes comparator</w:t>
      </w:r>
      <w:bookmarkEnd w:id="453"/>
      <w:bookmarkEnd w:id="454"/>
    </w:p>
    <w:tbl>
      <w:tblPr>
        <w:tblW w:w="5000" w:type="pct"/>
        <w:tblCellMar>
          <w:left w:w="70" w:type="dxa"/>
          <w:right w:w="70" w:type="dxa"/>
        </w:tblCellMar>
        <w:tblLook w:val="04A0" w:firstRow="1" w:lastRow="0" w:firstColumn="1" w:lastColumn="0" w:noHBand="0" w:noVBand="1"/>
        <w:tblDescription w:val="Subjective outcomes comparator"/>
      </w:tblPr>
      <w:tblGrid>
        <w:gridCol w:w="1244"/>
        <w:gridCol w:w="655"/>
        <w:gridCol w:w="750"/>
        <w:gridCol w:w="701"/>
        <w:gridCol w:w="750"/>
        <w:gridCol w:w="701"/>
        <w:gridCol w:w="750"/>
        <w:gridCol w:w="655"/>
        <w:gridCol w:w="620"/>
        <w:gridCol w:w="704"/>
        <w:gridCol w:w="843"/>
        <w:gridCol w:w="713"/>
        <w:gridCol w:w="843"/>
        <w:gridCol w:w="701"/>
        <w:gridCol w:w="843"/>
        <w:gridCol w:w="713"/>
        <w:gridCol w:w="750"/>
        <w:gridCol w:w="796"/>
        <w:gridCol w:w="695"/>
      </w:tblGrid>
      <w:tr w:rsidR="00596935" w:rsidRPr="00B34DB0" w14:paraId="625F9ACB" w14:textId="77777777" w:rsidTr="00596935">
        <w:trPr>
          <w:trHeight w:val="300"/>
        </w:trPr>
        <w:tc>
          <w:tcPr>
            <w:tcW w:w="431" w:type="pct"/>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23F69C1E"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author</w:t>
            </w:r>
          </w:p>
        </w:tc>
        <w:tc>
          <w:tcPr>
            <w:tcW w:w="227" w:type="pct"/>
            <w:vMerge w:val="restart"/>
            <w:tcBorders>
              <w:top w:val="single" w:sz="8" w:space="0" w:color="000000"/>
              <w:left w:val="single" w:sz="8" w:space="0" w:color="000000"/>
              <w:bottom w:val="single" w:sz="8" w:space="0" w:color="000000"/>
              <w:right w:val="nil"/>
            </w:tcBorders>
            <w:shd w:val="clear" w:color="auto" w:fill="auto"/>
            <w:noWrap/>
            <w:vAlign w:val="center"/>
            <w:hideMark/>
          </w:tcPr>
          <w:p w14:paraId="46CFE6FE"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n</w:t>
            </w:r>
          </w:p>
        </w:tc>
        <w:tc>
          <w:tcPr>
            <w:tcW w:w="1952" w:type="pct"/>
            <w:gridSpan w:val="8"/>
            <w:tcBorders>
              <w:top w:val="single" w:sz="8" w:space="0" w:color="auto"/>
              <w:left w:val="single" w:sz="8" w:space="0" w:color="auto"/>
              <w:bottom w:val="single" w:sz="8" w:space="0" w:color="auto"/>
              <w:right w:val="single" w:sz="8" w:space="0" w:color="000000"/>
            </w:tcBorders>
            <w:shd w:val="clear" w:color="000000" w:fill="F2DCDB"/>
            <w:noWrap/>
            <w:vAlign w:val="bottom"/>
            <w:hideMark/>
          </w:tcPr>
          <w:p w14:paraId="30DD6BAD" w14:textId="77777777" w:rsidR="00596935" w:rsidRPr="00596935" w:rsidRDefault="00596935" w:rsidP="00596935">
            <w:pPr>
              <w:jc w:val="center"/>
              <w:rPr>
                <w:rFonts w:cs="Arial"/>
                <w:b/>
                <w:bCs/>
                <w:sz w:val="20"/>
                <w:szCs w:val="20"/>
                <w:lang w:val="de-AT" w:eastAsia="de-AT"/>
              </w:rPr>
            </w:pPr>
            <w:r w:rsidRPr="00596935">
              <w:rPr>
                <w:rFonts w:cs="Arial"/>
                <w:b/>
                <w:bCs/>
                <w:sz w:val="20"/>
                <w:szCs w:val="20"/>
                <w:lang w:val="de-AT" w:eastAsia="de-AT"/>
              </w:rPr>
              <w:t>(A)PHAB unaided/baseline</w:t>
            </w:r>
          </w:p>
        </w:tc>
        <w:tc>
          <w:tcPr>
            <w:tcW w:w="2390" w:type="pct"/>
            <w:gridSpan w:val="9"/>
            <w:tcBorders>
              <w:top w:val="single" w:sz="8" w:space="0" w:color="auto"/>
              <w:left w:val="nil"/>
              <w:bottom w:val="single" w:sz="8" w:space="0" w:color="auto"/>
              <w:right w:val="single" w:sz="8" w:space="0" w:color="000000"/>
            </w:tcBorders>
            <w:shd w:val="clear" w:color="000000" w:fill="F2DCDB"/>
            <w:noWrap/>
            <w:vAlign w:val="bottom"/>
            <w:hideMark/>
          </w:tcPr>
          <w:p w14:paraId="397897AD" w14:textId="77777777" w:rsidR="00596935" w:rsidRPr="00596935" w:rsidRDefault="00596935" w:rsidP="00596935">
            <w:pPr>
              <w:jc w:val="center"/>
              <w:rPr>
                <w:rFonts w:cs="Arial"/>
                <w:b/>
                <w:bCs/>
                <w:sz w:val="20"/>
                <w:szCs w:val="20"/>
                <w:lang w:val="en-US" w:eastAsia="de-AT"/>
              </w:rPr>
            </w:pPr>
            <w:r w:rsidRPr="00596935">
              <w:rPr>
                <w:rFonts w:cs="Arial"/>
                <w:b/>
                <w:bCs/>
                <w:sz w:val="20"/>
                <w:szCs w:val="20"/>
                <w:lang w:val="en-US" w:eastAsia="de-AT"/>
              </w:rPr>
              <w:t>(A)PHAB for Device 20 weeks to 12 months</w:t>
            </w:r>
          </w:p>
        </w:tc>
      </w:tr>
      <w:tr w:rsidR="003733D2" w:rsidRPr="00596935" w14:paraId="4BB47900" w14:textId="77777777" w:rsidTr="00596935">
        <w:trPr>
          <w:trHeight w:val="270"/>
        </w:trPr>
        <w:tc>
          <w:tcPr>
            <w:tcW w:w="431" w:type="pct"/>
            <w:vMerge/>
            <w:tcBorders>
              <w:top w:val="single" w:sz="8" w:space="0" w:color="000000"/>
              <w:left w:val="single" w:sz="8" w:space="0" w:color="000000"/>
              <w:bottom w:val="single" w:sz="8" w:space="0" w:color="000000"/>
              <w:right w:val="single" w:sz="8" w:space="0" w:color="000000"/>
            </w:tcBorders>
            <w:vAlign w:val="center"/>
            <w:hideMark/>
          </w:tcPr>
          <w:p w14:paraId="08C23A83" w14:textId="77777777" w:rsidR="00596935" w:rsidRPr="00596935" w:rsidRDefault="00596935" w:rsidP="00596935">
            <w:pPr>
              <w:rPr>
                <w:rFonts w:cs="Arial"/>
                <w:i/>
                <w:iCs/>
                <w:sz w:val="20"/>
                <w:szCs w:val="20"/>
                <w:lang w:val="en-US" w:eastAsia="de-AT"/>
              </w:rPr>
            </w:pPr>
          </w:p>
        </w:tc>
        <w:tc>
          <w:tcPr>
            <w:tcW w:w="227" w:type="pct"/>
            <w:vMerge/>
            <w:tcBorders>
              <w:top w:val="single" w:sz="8" w:space="0" w:color="000000"/>
              <w:left w:val="single" w:sz="8" w:space="0" w:color="000000"/>
              <w:bottom w:val="single" w:sz="8" w:space="0" w:color="000000"/>
              <w:right w:val="nil"/>
            </w:tcBorders>
            <w:vAlign w:val="center"/>
            <w:hideMark/>
          </w:tcPr>
          <w:p w14:paraId="1E4B621F" w14:textId="77777777" w:rsidR="00596935" w:rsidRPr="00596935" w:rsidRDefault="00596935" w:rsidP="00596935">
            <w:pPr>
              <w:rPr>
                <w:rFonts w:cs="Arial"/>
                <w:sz w:val="20"/>
                <w:szCs w:val="20"/>
                <w:lang w:val="en-US" w:eastAsia="de-AT"/>
              </w:rPr>
            </w:pPr>
          </w:p>
        </w:tc>
        <w:tc>
          <w:tcPr>
            <w:tcW w:w="260" w:type="pct"/>
            <w:tcBorders>
              <w:top w:val="nil"/>
              <w:left w:val="single" w:sz="8" w:space="0" w:color="auto"/>
              <w:bottom w:val="nil"/>
              <w:right w:val="nil"/>
            </w:tcBorders>
            <w:shd w:val="clear" w:color="000000" w:fill="D9D9D9"/>
            <w:hideMark/>
          </w:tcPr>
          <w:p w14:paraId="4D001162"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BN</w:t>
            </w:r>
          </w:p>
        </w:tc>
        <w:tc>
          <w:tcPr>
            <w:tcW w:w="243" w:type="pct"/>
            <w:tcBorders>
              <w:top w:val="nil"/>
              <w:left w:val="nil"/>
              <w:bottom w:val="nil"/>
              <w:right w:val="nil"/>
            </w:tcBorders>
            <w:shd w:val="clear" w:color="000000" w:fill="D9D9D9"/>
            <w:hideMark/>
          </w:tcPr>
          <w:p w14:paraId="16A7B971"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sd</w:t>
            </w:r>
          </w:p>
        </w:tc>
        <w:tc>
          <w:tcPr>
            <w:tcW w:w="260" w:type="pct"/>
            <w:tcBorders>
              <w:top w:val="nil"/>
              <w:left w:val="nil"/>
              <w:bottom w:val="nil"/>
              <w:right w:val="nil"/>
            </w:tcBorders>
            <w:shd w:val="clear" w:color="000000" w:fill="D9D9D9"/>
            <w:noWrap/>
            <w:hideMark/>
          </w:tcPr>
          <w:p w14:paraId="3B81D98D"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RV</w:t>
            </w:r>
          </w:p>
        </w:tc>
        <w:tc>
          <w:tcPr>
            <w:tcW w:w="243" w:type="pct"/>
            <w:tcBorders>
              <w:top w:val="nil"/>
              <w:left w:val="nil"/>
              <w:bottom w:val="nil"/>
              <w:right w:val="nil"/>
            </w:tcBorders>
            <w:shd w:val="clear" w:color="000000" w:fill="D9D9D9"/>
            <w:noWrap/>
            <w:hideMark/>
          </w:tcPr>
          <w:p w14:paraId="7F83C438"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sd</w:t>
            </w:r>
          </w:p>
        </w:tc>
        <w:tc>
          <w:tcPr>
            <w:tcW w:w="260" w:type="pct"/>
            <w:tcBorders>
              <w:top w:val="nil"/>
              <w:left w:val="nil"/>
              <w:bottom w:val="nil"/>
              <w:right w:val="nil"/>
            </w:tcBorders>
            <w:shd w:val="clear" w:color="000000" w:fill="D9D9D9"/>
            <w:hideMark/>
          </w:tcPr>
          <w:p w14:paraId="7D0B9BEA"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EC</w:t>
            </w:r>
          </w:p>
        </w:tc>
        <w:tc>
          <w:tcPr>
            <w:tcW w:w="227" w:type="pct"/>
            <w:tcBorders>
              <w:top w:val="nil"/>
              <w:left w:val="nil"/>
              <w:bottom w:val="nil"/>
              <w:right w:val="nil"/>
            </w:tcBorders>
            <w:shd w:val="clear" w:color="000000" w:fill="D9D9D9"/>
            <w:hideMark/>
          </w:tcPr>
          <w:p w14:paraId="41695EB6"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sd</w:t>
            </w:r>
          </w:p>
        </w:tc>
        <w:tc>
          <w:tcPr>
            <w:tcW w:w="215" w:type="pct"/>
            <w:tcBorders>
              <w:top w:val="nil"/>
              <w:left w:val="nil"/>
              <w:bottom w:val="nil"/>
              <w:right w:val="nil"/>
            </w:tcBorders>
            <w:shd w:val="clear" w:color="000000" w:fill="D9D9D9"/>
            <w:hideMark/>
          </w:tcPr>
          <w:p w14:paraId="02634BF4"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AV</w:t>
            </w:r>
          </w:p>
        </w:tc>
        <w:tc>
          <w:tcPr>
            <w:tcW w:w="243" w:type="pct"/>
            <w:tcBorders>
              <w:top w:val="nil"/>
              <w:left w:val="nil"/>
              <w:bottom w:val="nil"/>
              <w:right w:val="single" w:sz="8" w:space="0" w:color="auto"/>
            </w:tcBorders>
            <w:shd w:val="clear" w:color="000000" w:fill="D9D9D9"/>
            <w:hideMark/>
          </w:tcPr>
          <w:p w14:paraId="36658F55"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sd</w:t>
            </w:r>
          </w:p>
        </w:tc>
        <w:tc>
          <w:tcPr>
            <w:tcW w:w="292" w:type="pct"/>
            <w:tcBorders>
              <w:top w:val="nil"/>
              <w:left w:val="nil"/>
              <w:bottom w:val="nil"/>
              <w:right w:val="nil"/>
            </w:tcBorders>
            <w:shd w:val="clear" w:color="000000" w:fill="D9D9D9"/>
            <w:hideMark/>
          </w:tcPr>
          <w:p w14:paraId="7138727D"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BN</w:t>
            </w:r>
          </w:p>
        </w:tc>
        <w:tc>
          <w:tcPr>
            <w:tcW w:w="247" w:type="pct"/>
            <w:tcBorders>
              <w:top w:val="nil"/>
              <w:left w:val="nil"/>
              <w:bottom w:val="nil"/>
              <w:right w:val="nil"/>
            </w:tcBorders>
            <w:shd w:val="clear" w:color="000000" w:fill="D9D9D9"/>
            <w:hideMark/>
          </w:tcPr>
          <w:p w14:paraId="1D8D289D"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sd</w:t>
            </w:r>
          </w:p>
        </w:tc>
        <w:tc>
          <w:tcPr>
            <w:tcW w:w="292" w:type="pct"/>
            <w:tcBorders>
              <w:top w:val="nil"/>
              <w:left w:val="nil"/>
              <w:bottom w:val="nil"/>
              <w:right w:val="nil"/>
            </w:tcBorders>
            <w:shd w:val="clear" w:color="000000" w:fill="D9D9D9"/>
            <w:noWrap/>
            <w:hideMark/>
          </w:tcPr>
          <w:p w14:paraId="4B5BC49C"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RV</w:t>
            </w:r>
          </w:p>
        </w:tc>
        <w:tc>
          <w:tcPr>
            <w:tcW w:w="243" w:type="pct"/>
            <w:tcBorders>
              <w:top w:val="nil"/>
              <w:left w:val="nil"/>
              <w:bottom w:val="nil"/>
              <w:right w:val="nil"/>
            </w:tcBorders>
            <w:shd w:val="clear" w:color="000000" w:fill="D9D9D9"/>
            <w:hideMark/>
          </w:tcPr>
          <w:p w14:paraId="1A9269A5"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sd</w:t>
            </w:r>
          </w:p>
        </w:tc>
        <w:tc>
          <w:tcPr>
            <w:tcW w:w="292" w:type="pct"/>
            <w:tcBorders>
              <w:top w:val="nil"/>
              <w:left w:val="nil"/>
              <w:bottom w:val="nil"/>
              <w:right w:val="nil"/>
            </w:tcBorders>
            <w:shd w:val="clear" w:color="000000" w:fill="D9D9D9"/>
            <w:hideMark/>
          </w:tcPr>
          <w:p w14:paraId="7DEB91AA"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EC</w:t>
            </w:r>
          </w:p>
        </w:tc>
        <w:tc>
          <w:tcPr>
            <w:tcW w:w="247" w:type="pct"/>
            <w:tcBorders>
              <w:top w:val="nil"/>
              <w:left w:val="nil"/>
              <w:bottom w:val="nil"/>
              <w:right w:val="nil"/>
            </w:tcBorders>
            <w:shd w:val="clear" w:color="000000" w:fill="D9D9D9"/>
            <w:hideMark/>
          </w:tcPr>
          <w:p w14:paraId="514025D6"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sd</w:t>
            </w:r>
          </w:p>
        </w:tc>
        <w:tc>
          <w:tcPr>
            <w:tcW w:w="260" w:type="pct"/>
            <w:tcBorders>
              <w:top w:val="nil"/>
              <w:left w:val="nil"/>
              <w:bottom w:val="nil"/>
              <w:right w:val="nil"/>
            </w:tcBorders>
            <w:shd w:val="clear" w:color="000000" w:fill="D9D9D9"/>
            <w:hideMark/>
          </w:tcPr>
          <w:p w14:paraId="24F85EFB"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AV</w:t>
            </w:r>
          </w:p>
        </w:tc>
        <w:tc>
          <w:tcPr>
            <w:tcW w:w="276" w:type="pct"/>
            <w:tcBorders>
              <w:top w:val="nil"/>
              <w:left w:val="nil"/>
              <w:bottom w:val="nil"/>
              <w:right w:val="nil"/>
            </w:tcBorders>
            <w:shd w:val="clear" w:color="000000" w:fill="D9D9D9"/>
            <w:hideMark/>
          </w:tcPr>
          <w:p w14:paraId="67608DA9"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sd</w:t>
            </w:r>
          </w:p>
        </w:tc>
        <w:tc>
          <w:tcPr>
            <w:tcW w:w="243" w:type="pct"/>
            <w:tcBorders>
              <w:top w:val="nil"/>
              <w:left w:val="nil"/>
              <w:bottom w:val="nil"/>
              <w:right w:val="single" w:sz="4" w:space="0" w:color="auto"/>
            </w:tcBorders>
            <w:shd w:val="clear" w:color="000000" w:fill="D9D9D9"/>
            <w:hideMark/>
          </w:tcPr>
          <w:p w14:paraId="7E277B5C"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Total</w:t>
            </w:r>
          </w:p>
        </w:tc>
      </w:tr>
      <w:tr w:rsidR="00596935" w:rsidRPr="00596935" w14:paraId="314460D7" w14:textId="77777777" w:rsidTr="00596935">
        <w:trPr>
          <w:trHeight w:val="300"/>
        </w:trPr>
        <w:tc>
          <w:tcPr>
            <w:tcW w:w="431" w:type="pct"/>
            <w:vMerge w:val="restart"/>
            <w:tcBorders>
              <w:top w:val="nil"/>
              <w:left w:val="single" w:sz="8" w:space="0" w:color="000000"/>
              <w:bottom w:val="nil"/>
              <w:right w:val="single" w:sz="8" w:space="0" w:color="000000"/>
            </w:tcBorders>
            <w:shd w:val="clear" w:color="auto" w:fill="auto"/>
            <w:vAlign w:val="center"/>
            <w:hideMark/>
          </w:tcPr>
          <w:p w14:paraId="72C09F26" w14:textId="77777777" w:rsidR="003733D2" w:rsidRDefault="00596935" w:rsidP="003733D2">
            <w:pPr>
              <w:rPr>
                <w:rFonts w:cs="Arial"/>
                <w:sz w:val="20"/>
                <w:szCs w:val="20"/>
                <w:lang w:val="de-AT" w:eastAsia="de-AT"/>
              </w:rPr>
            </w:pPr>
            <w:r w:rsidRPr="00596935">
              <w:rPr>
                <w:rFonts w:cs="Arial"/>
                <w:sz w:val="20"/>
                <w:szCs w:val="20"/>
                <w:lang w:val="de-AT" w:eastAsia="de-AT"/>
              </w:rPr>
              <w:t>Chen</w:t>
            </w:r>
          </w:p>
          <w:p w14:paraId="6592C326" w14:textId="62A65D67" w:rsidR="00596935" w:rsidRPr="00596935" w:rsidRDefault="00596935" w:rsidP="003733D2">
            <w:pPr>
              <w:rPr>
                <w:rFonts w:cs="Arial"/>
                <w:sz w:val="20"/>
                <w:szCs w:val="20"/>
                <w:lang w:val="de-AT" w:eastAsia="de-AT"/>
              </w:rPr>
            </w:pPr>
            <w:r w:rsidRPr="00596935">
              <w:rPr>
                <w:rFonts w:cs="Arial"/>
                <w:sz w:val="20"/>
                <w:szCs w:val="20"/>
                <w:lang w:val="de-AT" w:eastAsia="de-AT"/>
              </w:rPr>
              <w:t>2004</w:t>
            </w:r>
          </w:p>
        </w:tc>
        <w:tc>
          <w:tcPr>
            <w:tcW w:w="227" w:type="pct"/>
            <w:vMerge w:val="restart"/>
            <w:tcBorders>
              <w:top w:val="nil"/>
              <w:left w:val="single" w:sz="8" w:space="0" w:color="000000"/>
              <w:bottom w:val="nil"/>
              <w:right w:val="nil"/>
            </w:tcBorders>
            <w:shd w:val="clear" w:color="auto" w:fill="auto"/>
            <w:noWrap/>
            <w:vAlign w:val="bottom"/>
            <w:hideMark/>
          </w:tcPr>
          <w:p w14:paraId="4A5573F4"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5</w:t>
            </w:r>
          </w:p>
        </w:tc>
        <w:tc>
          <w:tcPr>
            <w:tcW w:w="1952" w:type="pct"/>
            <w:gridSpan w:val="8"/>
            <w:vMerge w:val="restart"/>
            <w:tcBorders>
              <w:top w:val="single" w:sz="4" w:space="0" w:color="auto"/>
              <w:left w:val="single" w:sz="8" w:space="0" w:color="auto"/>
              <w:bottom w:val="single" w:sz="4" w:space="0" w:color="auto"/>
              <w:right w:val="single" w:sz="8" w:space="0" w:color="000000"/>
            </w:tcBorders>
            <w:shd w:val="clear" w:color="auto" w:fill="auto"/>
            <w:vAlign w:val="center"/>
            <w:hideMark/>
          </w:tcPr>
          <w:p w14:paraId="4B4E27BD"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NO  DATA REPORTED</w:t>
            </w:r>
          </w:p>
        </w:tc>
        <w:tc>
          <w:tcPr>
            <w:tcW w:w="292" w:type="pct"/>
            <w:tcBorders>
              <w:top w:val="single" w:sz="4" w:space="0" w:color="auto"/>
              <w:left w:val="nil"/>
              <w:bottom w:val="single" w:sz="4" w:space="0" w:color="auto"/>
              <w:right w:val="single" w:sz="4" w:space="0" w:color="auto"/>
            </w:tcBorders>
            <w:shd w:val="clear" w:color="auto" w:fill="auto"/>
            <w:noWrap/>
            <w:vAlign w:val="bottom"/>
            <w:hideMark/>
          </w:tcPr>
          <w:p w14:paraId="10575E2C"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22</w:t>
            </w:r>
          </w:p>
        </w:tc>
        <w:tc>
          <w:tcPr>
            <w:tcW w:w="247" w:type="pct"/>
            <w:tcBorders>
              <w:top w:val="single" w:sz="4" w:space="0" w:color="auto"/>
              <w:left w:val="nil"/>
              <w:bottom w:val="single" w:sz="4" w:space="0" w:color="auto"/>
              <w:right w:val="single" w:sz="4" w:space="0" w:color="auto"/>
            </w:tcBorders>
            <w:shd w:val="clear" w:color="auto" w:fill="auto"/>
            <w:noWrap/>
            <w:vAlign w:val="bottom"/>
            <w:hideMark/>
          </w:tcPr>
          <w:p w14:paraId="02C46FAA"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 xml:space="preserve"> -</w:t>
            </w:r>
          </w:p>
        </w:tc>
        <w:tc>
          <w:tcPr>
            <w:tcW w:w="292" w:type="pct"/>
            <w:tcBorders>
              <w:top w:val="single" w:sz="4" w:space="0" w:color="auto"/>
              <w:left w:val="nil"/>
              <w:bottom w:val="single" w:sz="4" w:space="0" w:color="auto"/>
              <w:right w:val="single" w:sz="4" w:space="0" w:color="auto"/>
            </w:tcBorders>
            <w:shd w:val="clear" w:color="auto" w:fill="auto"/>
            <w:noWrap/>
            <w:vAlign w:val="bottom"/>
            <w:hideMark/>
          </w:tcPr>
          <w:p w14:paraId="44FC90A5"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32</w:t>
            </w:r>
          </w:p>
        </w:tc>
        <w:tc>
          <w:tcPr>
            <w:tcW w:w="243" w:type="pct"/>
            <w:tcBorders>
              <w:top w:val="single" w:sz="4" w:space="0" w:color="auto"/>
              <w:left w:val="nil"/>
              <w:bottom w:val="single" w:sz="4" w:space="0" w:color="auto"/>
              <w:right w:val="single" w:sz="4" w:space="0" w:color="auto"/>
            </w:tcBorders>
            <w:shd w:val="clear" w:color="auto" w:fill="auto"/>
            <w:noWrap/>
            <w:vAlign w:val="bottom"/>
            <w:hideMark/>
          </w:tcPr>
          <w:p w14:paraId="2845D327"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 xml:space="preserve"> -</w:t>
            </w:r>
          </w:p>
        </w:tc>
        <w:tc>
          <w:tcPr>
            <w:tcW w:w="292" w:type="pct"/>
            <w:tcBorders>
              <w:top w:val="single" w:sz="4" w:space="0" w:color="auto"/>
              <w:left w:val="nil"/>
              <w:bottom w:val="single" w:sz="4" w:space="0" w:color="auto"/>
              <w:right w:val="single" w:sz="4" w:space="0" w:color="auto"/>
            </w:tcBorders>
            <w:shd w:val="clear" w:color="auto" w:fill="auto"/>
            <w:noWrap/>
            <w:vAlign w:val="bottom"/>
            <w:hideMark/>
          </w:tcPr>
          <w:p w14:paraId="19C2350B"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25</w:t>
            </w:r>
          </w:p>
        </w:tc>
        <w:tc>
          <w:tcPr>
            <w:tcW w:w="247" w:type="pct"/>
            <w:tcBorders>
              <w:top w:val="single" w:sz="4" w:space="0" w:color="auto"/>
              <w:left w:val="nil"/>
              <w:bottom w:val="single" w:sz="4" w:space="0" w:color="auto"/>
              <w:right w:val="single" w:sz="4" w:space="0" w:color="auto"/>
            </w:tcBorders>
            <w:shd w:val="clear" w:color="auto" w:fill="auto"/>
            <w:noWrap/>
            <w:vAlign w:val="bottom"/>
            <w:hideMark/>
          </w:tcPr>
          <w:p w14:paraId="4A79B179"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 xml:space="preserve"> -</w:t>
            </w:r>
          </w:p>
        </w:tc>
        <w:tc>
          <w:tcPr>
            <w:tcW w:w="260" w:type="pct"/>
            <w:tcBorders>
              <w:top w:val="single" w:sz="4" w:space="0" w:color="auto"/>
              <w:left w:val="nil"/>
              <w:bottom w:val="single" w:sz="4" w:space="0" w:color="auto"/>
              <w:right w:val="single" w:sz="4" w:space="0" w:color="auto"/>
            </w:tcBorders>
            <w:shd w:val="clear" w:color="auto" w:fill="auto"/>
            <w:noWrap/>
            <w:vAlign w:val="bottom"/>
            <w:hideMark/>
          </w:tcPr>
          <w:p w14:paraId="399A5DED"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-12</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14:paraId="7212274F"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 xml:space="preserve"> -</w:t>
            </w:r>
          </w:p>
        </w:tc>
        <w:tc>
          <w:tcPr>
            <w:tcW w:w="243" w:type="pct"/>
            <w:tcBorders>
              <w:top w:val="nil"/>
              <w:left w:val="nil"/>
              <w:bottom w:val="nil"/>
              <w:right w:val="single" w:sz="4" w:space="0" w:color="auto"/>
            </w:tcBorders>
            <w:shd w:val="clear" w:color="auto" w:fill="auto"/>
            <w:noWrap/>
            <w:vAlign w:val="center"/>
            <w:hideMark/>
          </w:tcPr>
          <w:p w14:paraId="3D7AF637"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w:t>
            </w:r>
          </w:p>
        </w:tc>
      </w:tr>
      <w:tr w:rsidR="00596935" w:rsidRPr="00596935" w14:paraId="5E73545F" w14:textId="77777777" w:rsidTr="00596935">
        <w:trPr>
          <w:trHeight w:val="270"/>
        </w:trPr>
        <w:tc>
          <w:tcPr>
            <w:tcW w:w="431" w:type="pct"/>
            <w:vMerge/>
            <w:tcBorders>
              <w:top w:val="nil"/>
              <w:left w:val="single" w:sz="8" w:space="0" w:color="000000"/>
              <w:bottom w:val="nil"/>
              <w:right w:val="single" w:sz="8" w:space="0" w:color="000000"/>
            </w:tcBorders>
            <w:vAlign w:val="center"/>
            <w:hideMark/>
          </w:tcPr>
          <w:p w14:paraId="2743EF2D" w14:textId="77777777" w:rsidR="00596935" w:rsidRPr="00596935" w:rsidRDefault="00596935" w:rsidP="00596935">
            <w:pPr>
              <w:rPr>
                <w:rFonts w:cs="Arial"/>
                <w:sz w:val="20"/>
                <w:szCs w:val="20"/>
                <w:lang w:val="de-AT" w:eastAsia="de-AT"/>
              </w:rPr>
            </w:pPr>
          </w:p>
        </w:tc>
        <w:tc>
          <w:tcPr>
            <w:tcW w:w="227" w:type="pct"/>
            <w:vMerge/>
            <w:tcBorders>
              <w:top w:val="nil"/>
              <w:left w:val="single" w:sz="8" w:space="0" w:color="000000"/>
              <w:bottom w:val="nil"/>
              <w:right w:val="nil"/>
            </w:tcBorders>
            <w:vAlign w:val="center"/>
            <w:hideMark/>
          </w:tcPr>
          <w:p w14:paraId="743B475E" w14:textId="77777777" w:rsidR="00596935" w:rsidRPr="00596935" w:rsidRDefault="00596935" w:rsidP="00596935">
            <w:pPr>
              <w:rPr>
                <w:rFonts w:cs="Arial"/>
                <w:sz w:val="20"/>
                <w:szCs w:val="20"/>
                <w:lang w:val="de-AT" w:eastAsia="de-AT"/>
              </w:rPr>
            </w:pPr>
          </w:p>
        </w:tc>
        <w:tc>
          <w:tcPr>
            <w:tcW w:w="1952" w:type="pct"/>
            <w:gridSpan w:val="8"/>
            <w:vMerge/>
            <w:tcBorders>
              <w:top w:val="single" w:sz="4" w:space="0" w:color="auto"/>
              <w:left w:val="single" w:sz="8" w:space="0" w:color="auto"/>
              <w:bottom w:val="single" w:sz="4" w:space="0" w:color="auto"/>
              <w:right w:val="single" w:sz="8" w:space="0" w:color="000000"/>
            </w:tcBorders>
            <w:vAlign w:val="center"/>
            <w:hideMark/>
          </w:tcPr>
          <w:p w14:paraId="212DDFEE" w14:textId="77777777" w:rsidR="00596935" w:rsidRPr="00596935" w:rsidRDefault="00596935" w:rsidP="00596935">
            <w:pPr>
              <w:rPr>
                <w:rFonts w:cs="Arial"/>
                <w:sz w:val="20"/>
                <w:szCs w:val="20"/>
                <w:lang w:val="de-AT" w:eastAsia="de-AT"/>
              </w:rPr>
            </w:pPr>
          </w:p>
        </w:tc>
        <w:tc>
          <w:tcPr>
            <w:tcW w:w="292" w:type="pct"/>
            <w:tcBorders>
              <w:top w:val="nil"/>
              <w:left w:val="nil"/>
              <w:bottom w:val="single" w:sz="4" w:space="0" w:color="auto"/>
              <w:right w:val="single" w:sz="4" w:space="0" w:color="auto"/>
            </w:tcBorders>
            <w:shd w:val="clear" w:color="auto" w:fill="auto"/>
            <w:noWrap/>
            <w:vAlign w:val="bottom"/>
            <w:hideMark/>
          </w:tcPr>
          <w:p w14:paraId="77F46DD2"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22#</w:t>
            </w:r>
          </w:p>
        </w:tc>
        <w:tc>
          <w:tcPr>
            <w:tcW w:w="247" w:type="pct"/>
            <w:tcBorders>
              <w:top w:val="nil"/>
              <w:left w:val="nil"/>
              <w:bottom w:val="single" w:sz="4" w:space="0" w:color="auto"/>
              <w:right w:val="single" w:sz="4" w:space="0" w:color="auto"/>
            </w:tcBorders>
            <w:shd w:val="clear" w:color="auto" w:fill="auto"/>
            <w:noWrap/>
            <w:vAlign w:val="bottom"/>
            <w:hideMark/>
          </w:tcPr>
          <w:p w14:paraId="7726129D"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 xml:space="preserve"> -</w:t>
            </w:r>
          </w:p>
        </w:tc>
        <w:tc>
          <w:tcPr>
            <w:tcW w:w="292" w:type="pct"/>
            <w:tcBorders>
              <w:top w:val="nil"/>
              <w:left w:val="nil"/>
              <w:bottom w:val="single" w:sz="4" w:space="0" w:color="auto"/>
              <w:right w:val="single" w:sz="4" w:space="0" w:color="auto"/>
            </w:tcBorders>
            <w:shd w:val="clear" w:color="auto" w:fill="auto"/>
            <w:noWrap/>
            <w:vAlign w:val="bottom"/>
            <w:hideMark/>
          </w:tcPr>
          <w:p w14:paraId="0AA4FEA9"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32#</w:t>
            </w:r>
          </w:p>
        </w:tc>
        <w:tc>
          <w:tcPr>
            <w:tcW w:w="243" w:type="pct"/>
            <w:tcBorders>
              <w:top w:val="nil"/>
              <w:left w:val="nil"/>
              <w:bottom w:val="single" w:sz="4" w:space="0" w:color="auto"/>
              <w:right w:val="single" w:sz="4" w:space="0" w:color="auto"/>
            </w:tcBorders>
            <w:shd w:val="clear" w:color="auto" w:fill="auto"/>
            <w:noWrap/>
            <w:vAlign w:val="bottom"/>
            <w:hideMark/>
          </w:tcPr>
          <w:p w14:paraId="76CA42FA"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 xml:space="preserve"> -</w:t>
            </w:r>
          </w:p>
        </w:tc>
        <w:tc>
          <w:tcPr>
            <w:tcW w:w="292" w:type="pct"/>
            <w:tcBorders>
              <w:top w:val="nil"/>
              <w:left w:val="nil"/>
              <w:bottom w:val="single" w:sz="4" w:space="0" w:color="auto"/>
              <w:right w:val="single" w:sz="4" w:space="0" w:color="auto"/>
            </w:tcBorders>
            <w:shd w:val="clear" w:color="auto" w:fill="auto"/>
            <w:noWrap/>
            <w:vAlign w:val="bottom"/>
            <w:hideMark/>
          </w:tcPr>
          <w:p w14:paraId="487869C1"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25#</w:t>
            </w:r>
          </w:p>
        </w:tc>
        <w:tc>
          <w:tcPr>
            <w:tcW w:w="247" w:type="pct"/>
            <w:tcBorders>
              <w:top w:val="nil"/>
              <w:left w:val="nil"/>
              <w:bottom w:val="single" w:sz="4" w:space="0" w:color="auto"/>
              <w:right w:val="single" w:sz="4" w:space="0" w:color="auto"/>
            </w:tcBorders>
            <w:shd w:val="clear" w:color="auto" w:fill="auto"/>
            <w:noWrap/>
            <w:vAlign w:val="bottom"/>
            <w:hideMark/>
          </w:tcPr>
          <w:p w14:paraId="4E7DF18C"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 xml:space="preserve"> -</w:t>
            </w:r>
          </w:p>
        </w:tc>
        <w:tc>
          <w:tcPr>
            <w:tcW w:w="260" w:type="pct"/>
            <w:tcBorders>
              <w:top w:val="nil"/>
              <w:left w:val="nil"/>
              <w:bottom w:val="single" w:sz="4" w:space="0" w:color="auto"/>
              <w:right w:val="single" w:sz="4" w:space="0" w:color="auto"/>
            </w:tcBorders>
            <w:shd w:val="clear" w:color="auto" w:fill="auto"/>
            <w:noWrap/>
            <w:vAlign w:val="bottom"/>
            <w:hideMark/>
          </w:tcPr>
          <w:p w14:paraId="50A858EE"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 xml:space="preserve"> -12#</w:t>
            </w:r>
          </w:p>
        </w:tc>
        <w:tc>
          <w:tcPr>
            <w:tcW w:w="276" w:type="pct"/>
            <w:tcBorders>
              <w:top w:val="nil"/>
              <w:left w:val="nil"/>
              <w:bottom w:val="single" w:sz="4" w:space="0" w:color="auto"/>
              <w:right w:val="single" w:sz="4" w:space="0" w:color="auto"/>
            </w:tcBorders>
            <w:shd w:val="clear" w:color="auto" w:fill="auto"/>
            <w:noWrap/>
            <w:vAlign w:val="bottom"/>
            <w:hideMark/>
          </w:tcPr>
          <w:p w14:paraId="656890D4"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 xml:space="preserve"> -</w:t>
            </w:r>
          </w:p>
        </w:tc>
        <w:tc>
          <w:tcPr>
            <w:tcW w:w="243" w:type="pct"/>
            <w:tcBorders>
              <w:top w:val="single" w:sz="4" w:space="0" w:color="auto"/>
              <w:left w:val="nil"/>
              <w:bottom w:val="single" w:sz="4" w:space="0" w:color="auto"/>
              <w:right w:val="single" w:sz="8" w:space="0" w:color="auto"/>
            </w:tcBorders>
            <w:shd w:val="clear" w:color="auto" w:fill="auto"/>
            <w:noWrap/>
            <w:vAlign w:val="bottom"/>
            <w:hideMark/>
          </w:tcPr>
          <w:p w14:paraId="77890435"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28#</w:t>
            </w:r>
          </w:p>
        </w:tc>
      </w:tr>
      <w:tr w:rsidR="00596935" w:rsidRPr="00596935" w14:paraId="2C0373B4" w14:textId="77777777" w:rsidTr="00596935">
        <w:trPr>
          <w:trHeight w:val="525"/>
        </w:trPr>
        <w:tc>
          <w:tcPr>
            <w:tcW w:w="431" w:type="pct"/>
            <w:tcBorders>
              <w:top w:val="single" w:sz="8" w:space="0" w:color="auto"/>
              <w:left w:val="single" w:sz="8" w:space="0" w:color="000000"/>
              <w:bottom w:val="single" w:sz="8" w:space="0" w:color="auto"/>
              <w:right w:val="single" w:sz="8" w:space="0" w:color="000000"/>
            </w:tcBorders>
            <w:shd w:val="clear" w:color="auto" w:fill="auto"/>
            <w:vAlign w:val="center"/>
            <w:hideMark/>
          </w:tcPr>
          <w:p w14:paraId="0978A8BE" w14:textId="77777777" w:rsidR="00596935" w:rsidRPr="00596935" w:rsidRDefault="00596935" w:rsidP="00596935">
            <w:pPr>
              <w:rPr>
                <w:rFonts w:cs="Arial"/>
                <w:sz w:val="20"/>
                <w:szCs w:val="20"/>
                <w:lang w:val="de-AT" w:eastAsia="de-AT"/>
              </w:rPr>
            </w:pPr>
            <w:r w:rsidRPr="00596935">
              <w:rPr>
                <w:rFonts w:cs="Arial"/>
                <w:sz w:val="20"/>
                <w:szCs w:val="20"/>
                <w:lang w:val="de-AT" w:eastAsia="de-AT"/>
              </w:rPr>
              <w:t>Gerard 2012</w:t>
            </w:r>
          </w:p>
        </w:tc>
        <w:tc>
          <w:tcPr>
            <w:tcW w:w="227" w:type="pct"/>
            <w:tcBorders>
              <w:top w:val="nil"/>
              <w:left w:val="nil"/>
              <w:bottom w:val="nil"/>
              <w:right w:val="nil"/>
            </w:tcBorders>
            <w:shd w:val="clear" w:color="auto" w:fill="auto"/>
            <w:vAlign w:val="bottom"/>
            <w:hideMark/>
          </w:tcPr>
          <w:p w14:paraId="74EE2789"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13</w:t>
            </w:r>
          </w:p>
        </w:tc>
        <w:tc>
          <w:tcPr>
            <w:tcW w:w="1952" w:type="pct"/>
            <w:gridSpan w:val="8"/>
            <w:tcBorders>
              <w:top w:val="single" w:sz="4" w:space="0" w:color="auto"/>
              <w:left w:val="single" w:sz="8" w:space="0" w:color="auto"/>
              <w:bottom w:val="single" w:sz="4" w:space="0" w:color="auto"/>
              <w:right w:val="single" w:sz="8" w:space="0" w:color="000000"/>
            </w:tcBorders>
            <w:shd w:val="clear" w:color="auto" w:fill="auto"/>
            <w:vAlign w:val="center"/>
            <w:hideMark/>
          </w:tcPr>
          <w:p w14:paraId="6F6F9A8B"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NO  DATA REPORTED</w:t>
            </w:r>
          </w:p>
        </w:tc>
        <w:tc>
          <w:tcPr>
            <w:tcW w:w="292" w:type="pct"/>
            <w:tcBorders>
              <w:top w:val="nil"/>
              <w:left w:val="nil"/>
              <w:bottom w:val="single" w:sz="4" w:space="0" w:color="auto"/>
              <w:right w:val="single" w:sz="4" w:space="0" w:color="auto"/>
            </w:tcBorders>
            <w:shd w:val="clear" w:color="auto" w:fill="auto"/>
            <w:vAlign w:val="center"/>
            <w:hideMark/>
          </w:tcPr>
          <w:p w14:paraId="2788B65E"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 xml:space="preserve"> -</w:t>
            </w:r>
          </w:p>
        </w:tc>
        <w:tc>
          <w:tcPr>
            <w:tcW w:w="247" w:type="pct"/>
            <w:tcBorders>
              <w:top w:val="nil"/>
              <w:left w:val="nil"/>
              <w:bottom w:val="single" w:sz="4" w:space="0" w:color="auto"/>
              <w:right w:val="single" w:sz="4" w:space="0" w:color="auto"/>
            </w:tcBorders>
            <w:shd w:val="clear" w:color="auto" w:fill="auto"/>
            <w:vAlign w:val="center"/>
            <w:hideMark/>
          </w:tcPr>
          <w:p w14:paraId="42C8EEF8"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 xml:space="preserve"> -</w:t>
            </w:r>
          </w:p>
        </w:tc>
        <w:tc>
          <w:tcPr>
            <w:tcW w:w="292" w:type="pct"/>
            <w:tcBorders>
              <w:top w:val="nil"/>
              <w:left w:val="nil"/>
              <w:bottom w:val="single" w:sz="4" w:space="0" w:color="auto"/>
              <w:right w:val="single" w:sz="4" w:space="0" w:color="auto"/>
            </w:tcBorders>
            <w:shd w:val="clear" w:color="auto" w:fill="auto"/>
            <w:vAlign w:val="center"/>
            <w:hideMark/>
          </w:tcPr>
          <w:p w14:paraId="31846A20"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 xml:space="preserve"> -</w:t>
            </w:r>
          </w:p>
        </w:tc>
        <w:tc>
          <w:tcPr>
            <w:tcW w:w="243" w:type="pct"/>
            <w:tcBorders>
              <w:top w:val="nil"/>
              <w:left w:val="nil"/>
              <w:bottom w:val="single" w:sz="4" w:space="0" w:color="auto"/>
              <w:right w:val="single" w:sz="4" w:space="0" w:color="auto"/>
            </w:tcBorders>
            <w:shd w:val="clear" w:color="auto" w:fill="auto"/>
            <w:vAlign w:val="center"/>
            <w:hideMark/>
          </w:tcPr>
          <w:p w14:paraId="3FE812C9"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 xml:space="preserve"> -</w:t>
            </w:r>
          </w:p>
        </w:tc>
        <w:tc>
          <w:tcPr>
            <w:tcW w:w="292" w:type="pct"/>
            <w:tcBorders>
              <w:top w:val="nil"/>
              <w:left w:val="nil"/>
              <w:bottom w:val="single" w:sz="4" w:space="0" w:color="auto"/>
              <w:right w:val="single" w:sz="4" w:space="0" w:color="auto"/>
            </w:tcBorders>
            <w:shd w:val="clear" w:color="auto" w:fill="auto"/>
            <w:vAlign w:val="center"/>
            <w:hideMark/>
          </w:tcPr>
          <w:p w14:paraId="45257599"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 xml:space="preserve"> -</w:t>
            </w:r>
          </w:p>
        </w:tc>
        <w:tc>
          <w:tcPr>
            <w:tcW w:w="247" w:type="pct"/>
            <w:tcBorders>
              <w:top w:val="nil"/>
              <w:left w:val="nil"/>
              <w:bottom w:val="single" w:sz="4" w:space="0" w:color="auto"/>
              <w:right w:val="single" w:sz="4" w:space="0" w:color="auto"/>
            </w:tcBorders>
            <w:shd w:val="clear" w:color="auto" w:fill="auto"/>
            <w:vAlign w:val="center"/>
            <w:hideMark/>
          </w:tcPr>
          <w:p w14:paraId="491D3A7C"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 xml:space="preserve"> -</w:t>
            </w:r>
          </w:p>
        </w:tc>
        <w:tc>
          <w:tcPr>
            <w:tcW w:w="260" w:type="pct"/>
            <w:tcBorders>
              <w:top w:val="nil"/>
              <w:left w:val="nil"/>
              <w:bottom w:val="single" w:sz="4" w:space="0" w:color="auto"/>
              <w:right w:val="single" w:sz="4" w:space="0" w:color="auto"/>
            </w:tcBorders>
            <w:shd w:val="clear" w:color="auto" w:fill="auto"/>
            <w:vAlign w:val="center"/>
            <w:hideMark/>
          </w:tcPr>
          <w:p w14:paraId="015980F7"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 xml:space="preserve"> -</w:t>
            </w:r>
          </w:p>
        </w:tc>
        <w:tc>
          <w:tcPr>
            <w:tcW w:w="276" w:type="pct"/>
            <w:tcBorders>
              <w:top w:val="nil"/>
              <w:left w:val="nil"/>
              <w:bottom w:val="single" w:sz="4" w:space="0" w:color="auto"/>
              <w:right w:val="single" w:sz="4" w:space="0" w:color="auto"/>
            </w:tcBorders>
            <w:shd w:val="clear" w:color="auto" w:fill="auto"/>
            <w:vAlign w:val="center"/>
            <w:hideMark/>
          </w:tcPr>
          <w:p w14:paraId="61B53601"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 xml:space="preserve"> -</w:t>
            </w:r>
          </w:p>
        </w:tc>
        <w:tc>
          <w:tcPr>
            <w:tcW w:w="243" w:type="pct"/>
            <w:tcBorders>
              <w:top w:val="nil"/>
              <w:left w:val="nil"/>
              <w:bottom w:val="single" w:sz="4" w:space="0" w:color="auto"/>
              <w:right w:val="single" w:sz="8" w:space="0" w:color="auto"/>
            </w:tcBorders>
            <w:shd w:val="clear" w:color="auto" w:fill="auto"/>
            <w:vAlign w:val="center"/>
            <w:hideMark/>
          </w:tcPr>
          <w:p w14:paraId="7FE5BFFE"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 xml:space="preserve"> -</w:t>
            </w:r>
          </w:p>
        </w:tc>
      </w:tr>
      <w:tr w:rsidR="00596935" w:rsidRPr="00596935" w14:paraId="2F2E8BA7" w14:textId="77777777" w:rsidTr="00596935">
        <w:trPr>
          <w:trHeight w:val="525"/>
        </w:trPr>
        <w:tc>
          <w:tcPr>
            <w:tcW w:w="431" w:type="pct"/>
            <w:tcBorders>
              <w:top w:val="nil"/>
              <w:left w:val="single" w:sz="8" w:space="0" w:color="000000"/>
              <w:bottom w:val="nil"/>
              <w:right w:val="single" w:sz="8" w:space="0" w:color="000000"/>
            </w:tcBorders>
            <w:shd w:val="clear" w:color="auto" w:fill="auto"/>
            <w:vAlign w:val="center"/>
            <w:hideMark/>
          </w:tcPr>
          <w:p w14:paraId="54C299E2" w14:textId="77777777" w:rsidR="003733D2" w:rsidRDefault="00596935" w:rsidP="003733D2">
            <w:pPr>
              <w:rPr>
                <w:rFonts w:cs="Arial"/>
                <w:sz w:val="20"/>
                <w:szCs w:val="20"/>
                <w:lang w:val="de-AT" w:eastAsia="de-AT"/>
              </w:rPr>
            </w:pPr>
            <w:r w:rsidRPr="00596935">
              <w:rPr>
                <w:rFonts w:cs="Arial"/>
                <w:sz w:val="20"/>
                <w:szCs w:val="20"/>
                <w:lang w:val="de-AT" w:eastAsia="de-AT"/>
              </w:rPr>
              <w:t>Kraus</w:t>
            </w:r>
          </w:p>
          <w:p w14:paraId="1B7A80C2" w14:textId="489664C5" w:rsidR="00596935" w:rsidRPr="00596935" w:rsidRDefault="00596935" w:rsidP="003733D2">
            <w:pPr>
              <w:rPr>
                <w:rFonts w:cs="Arial"/>
                <w:sz w:val="20"/>
                <w:szCs w:val="20"/>
                <w:lang w:val="de-AT" w:eastAsia="de-AT"/>
              </w:rPr>
            </w:pPr>
            <w:r w:rsidRPr="00596935">
              <w:rPr>
                <w:rFonts w:cs="Arial"/>
                <w:sz w:val="20"/>
                <w:szCs w:val="20"/>
                <w:lang w:val="de-AT" w:eastAsia="de-AT"/>
              </w:rPr>
              <w:t>2001</w:t>
            </w:r>
          </w:p>
        </w:tc>
        <w:tc>
          <w:tcPr>
            <w:tcW w:w="227" w:type="pct"/>
            <w:tcBorders>
              <w:top w:val="nil"/>
              <w:left w:val="nil"/>
              <w:bottom w:val="nil"/>
              <w:right w:val="nil"/>
            </w:tcBorders>
            <w:shd w:val="clear" w:color="auto" w:fill="auto"/>
            <w:noWrap/>
            <w:vAlign w:val="bottom"/>
            <w:hideMark/>
          </w:tcPr>
          <w:p w14:paraId="45AA4714"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 </w:t>
            </w:r>
          </w:p>
        </w:tc>
        <w:tc>
          <w:tcPr>
            <w:tcW w:w="1952" w:type="pct"/>
            <w:gridSpan w:val="8"/>
            <w:tcBorders>
              <w:top w:val="single" w:sz="4" w:space="0" w:color="auto"/>
              <w:left w:val="single" w:sz="8" w:space="0" w:color="auto"/>
              <w:bottom w:val="single" w:sz="4" w:space="0" w:color="auto"/>
              <w:right w:val="single" w:sz="8" w:space="0" w:color="000000"/>
            </w:tcBorders>
            <w:shd w:val="clear" w:color="auto" w:fill="auto"/>
            <w:vAlign w:val="bottom"/>
            <w:hideMark/>
          </w:tcPr>
          <w:p w14:paraId="30759160" w14:textId="77777777" w:rsidR="00596935" w:rsidRPr="00596935" w:rsidRDefault="00596935" w:rsidP="00596935">
            <w:pPr>
              <w:jc w:val="center"/>
              <w:rPr>
                <w:rFonts w:cs="Arial"/>
                <w:sz w:val="20"/>
                <w:szCs w:val="20"/>
                <w:lang w:val="en-US" w:eastAsia="de-AT"/>
              </w:rPr>
            </w:pPr>
            <w:r w:rsidRPr="00596935">
              <w:rPr>
                <w:rFonts w:cs="Arial"/>
                <w:sz w:val="20"/>
                <w:szCs w:val="20"/>
                <w:lang w:val="en-US" w:eastAsia="de-AT"/>
              </w:rPr>
              <w:t>reporting mean improvment compared to baseline aided scores, NO DATA REPORTED</w:t>
            </w:r>
          </w:p>
        </w:tc>
        <w:tc>
          <w:tcPr>
            <w:tcW w:w="292" w:type="pct"/>
            <w:tcBorders>
              <w:top w:val="nil"/>
              <w:left w:val="nil"/>
              <w:bottom w:val="single" w:sz="4" w:space="0" w:color="auto"/>
              <w:right w:val="single" w:sz="4" w:space="0" w:color="auto"/>
            </w:tcBorders>
            <w:shd w:val="clear" w:color="auto" w:fill="auto"/>
            <w:noWrap/>
            <w:vAlign w:val="center"/>
            <w:hideMark/>
          </w:tcPr>
          <w:p w14:paraId="2956D1D0" w14:textId="77777777" w:rsidR="00596935" w:rsidRPr="00596935" w:rsidRDefault="00596935" w:rsidP="00596935">
            <w:pPr>
              <w:jc w:val="center"/>
              <w:rPr>
                <w:rFonts w:cs="Arial"/>
                <w:sz w:val="20"/>
                <w:szCs w:val="20"/>
                <w:lang w:val="de-AT" w:eastAsia="de-AT"/>
              </w:rPr>
            </w:pPr>
            <w:r w:rsidRPr="00596935">
              <w:rPr>
                <w:rFonts w:cs="Arial"/>
                <w:sz w:val="20"/>
                <w:szCs w:val="20"/>
                <w:lang w:val="en-US" w:eastAsia="de-AT"/>
              </w:rPr>
              <w:t xml:space="preserve"> </w:t>
            </w:r>
            <w:r w:rsidRPr="00596935">
              <w:rPr>
                <w:rFonts w:cs="Arial"/>
                <w:sz w:val="20"/>
                <w:szCs w:val="20"/>
                <w:lang w:val="de-AT" w:eastAsia="de-AT"/>
              </w:rPr>
              <w:t>-</w:t>
            </w:r>
          </w:p>
        </w:tc>
        <w:tc>
          <w:tcPr>
            <w:tcW w:w="247" w:type="pct"/>
            <w:tcBorders>
              <w:top w:val="nil"/>
              <w:left w:val="nil"/>
              <w:bottom w:val="single" w:sz="4" w:space="0" w:color="auto"/>
              <w:right w:val="single" w:sz="4" w:space="0" w:color="auto"/>
            </w:tcBorders>
            <w:shd w:val="clear" w:color="auto" w:fill="auto"/>
            <w:noWrap/>
            <w:vAlign w:val="center"/>
            <w:hideMark/>
          </w:tcPr>
          <w:p w14:paraId="02BBEC69"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 xml:space="preserve"> -</w:t>
            </w:r>
          </w:p>
        </w:tc>
        <w:tc>
          <w:tcPr>
            <w:tcW w:w="292" w:type="pct"/>
            <w:tcBorders>
              <w:top w:val="nil"/>
              <w:left w:val="nil"/>
              <w:bottom w:val="single" w:sz="4" w:space="0" w:color="auto"/>
              <w:right w:val="single" w:sz="4" w:space="0" w:color="auto"/>
            </w:tcBorders>
            <w:shd w:val="clear" w:color="auto" w:fill="auto"/>
            <w:noWrap/>
            <w:vAlign w:val="center"/>
            <w:hideMark/>
          </w:tcPr>
          <w:p w14:paraId="7E69356F"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 xml:space="preserve"> -</w:t>
            </w:r>
          </w:p>
        </w:tc>
        <w:tc>
          <w:tcPr>
            <w:tcW w:w="243" w:type="pct"/>
            <w:tcBorders>
              <w:top w:val="nil"/>
              <w:left w:val="nil"/>
              <w:bottom w:val="single" w:sz="4" w:space="0" w:color="auto"/>
              <w:right w:val="single" w:sz="4" w:space="0" w:color="auto"/>
            </w:tcBorders>
            <w:shd w:val="clear" w:color="auto" w:fill="auto"/>
            <w:noWrap/>
            <w:vAlign w:val="center"/>
            <w:hideMark/>
          </w:tcPr>
          <w:p w14:paraId="2533D37F"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 xml:space="preserve"> -</w:t>
            </w:r>
          </w:p>
        </w:tc>
        <w:tc>
          <w:tcPr>
            <w:tcW w:w="292" w:type="pct"/>
            <w:tcBorders>
              <w:top w:val="nil"/>
              <w:left w:val="nil"/>
              <w:bottom w:val="single" w:sz="4" w:space="0" w:color="auto"/>
              <w:right w:val="single" w:sz="4" w:space="0" w:color="auto"/>
            </w:tcBorders>
            <w:shd w:val="clear" w:color="auto" w:fill="auto"/>
            <w:noWrap/>
            <w:vAlign w:val="center"/>
            <w:hideMark/>
          </w:tcPr>
          <w:p w14:paraId="50457665"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 xml:space="preserve"> -</w:t>
            </w:r>
          </w:p>
        </w:tc>
        <w:tc>
          <w:tcPr>
            <w:tcW w:w="247" w:type="pct"/>
            <w:tcBorders>
              <w:top w:val="nil"/>
              <w:left w:val="nil"/>
              <w:bottom w:val="single" w:sz="4" w:space="0" w:color="auto"/>
              <w:right w:val="single" w:sz="4" w:space="0" w:color="auto"/>
            </w:tcBorders>
            <w:shd w:val="clear" w:color="auto" w:fill="auto"/>
            <w:noWrap/>
            <w:vAlign w:val="center"/>
            <w:hideMark/>
          </w:tcPr>
          <w:p w14:paraId="13DBD091"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 xml:space="preserve"> -</w:t>
            </w:r>
          </w:p>
        </w:tc>
        <w:tc>
          <w:tcPr>
            <w:tcW w:w="260" w:type="pct"/>
            <w:tcBorders>
              <w:top w:val="nil"/>
              <w:left w:val="nil"/>
              <w:bottom w:val="single" w:sz="4" w:space="0" w:color="auto"/>
              <w:right w:val="single" w:sz="4" w:space="0" w:color="auto"/>
            </w:tcBorders>
            <w:shd w:val="clear" w:color="auto" w:fill="auto"/>
            <w:noWrap/>
            <w:vAlign w:val="center"/>
            <w:hideMark/>
          </w:tcPr>
          <w:p w14:paraId="72DD1647"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 xml:space="preserve"> -</w:t>
            </w:r>
          </w:p>
        </w:tc>
        <w:tc>
          <w:tcPr>
            <w:tcW w:w="276" w:type="pct"/>
            <w:tcBorders>
              <w:top w:val="nil"/>
              <w:left w:val="nil"/>
              <w:bottom w:val="single" w:sz="4" w:space="0" w:color="auto"/>
              <w:right w:val="single" w:sz="4" w:space="0" w:color="auto"/>
            </w:tcBorders>
            <w:shd w:val="clear" w:color="auto" w:fill="auto"/>
            <w:noWrap/>
            <w:vAlign w:val="center"/>
            <w:hideMark/>
          </w:tcPr>
          <w:p w14:paraId="26AC8633"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 xml:space="preserve"> -</w:t>
            </w:r>
          </w:p>
        </w:tc>
        <w:tc>
          <w:tcPr>
            <w:tcW w:w="243" w:type="pct"/>
            <w:tcBorders>
              <w:top w:val="nil"/>
              <w:left w:val="nil"/>
              <w:bottom w:val="single" w:sz="4" w:space="0" w:color="auto"/>
              <w:right w:val="single" w:sz="8" w:space="0" w:color="auto"/>
            </w:tcBorders>
            <w:shd w:val="clear" w:color="auto" w:fill="auto"/>
            <w:noWrap/>
            <w:vAlign w:val="center"/>
            <w:hideMark/>
          </w:tcPr>
          <w:p w14:paraId="43A5154A"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 xml:space="preserve"> -</w:t>
            </w:r>
          </w:p>
        </w:tc>
      </w:tr>
      <w:tr w:rsidR="003733D2" w:rsidRPr="00596935" w14:paraId="10F37143" w14:textId="77777777" w:rsidTr="00596935">
        <w:trPr>
          <w:trHeight w:val="525"/>
        </w:trPr>
        <w:tc>
          <w:tcPr>
            <w:tcW w:w="431" w:type="pct"/>
            <w:tcBorders>
              <w:top w:val="single" w:sz="8" w:space="0" w:color="auto"/>
              <w:left w:val="single" w:sz="8" w:space="0" w:color="000000"/>
              <w:bottom w:val="nil"/>
              <w:right w:val="single" w:sz="8" w:space="0" w:color="000000"/>
            </w:tcBorders>
            <w:shd w:val="clear" w:color="auto" w:fill="auto"/>
            <w:vAlign w:val="center"/>
            <w:hideMark/>
          </w:tcPr>
          <w:p w14:paraId="27B0625B" w14:textId="77777777" w:rsidR="00596935" w:rsidRPr="00596935" w:rsidRDefault="00596935" w:rsidP="00596935">
            <w:pPr>
              <w:rPr>
                <w:rFonts w:cs="Arial"/>
                <w:sz w:val="20"/>
                <w:szCs w:val="20"/>
                <w:lang w:val="de-AT" w:eastAsia="de-AT"/>
              </w:rPr>
            </w:pPr>
            <w:r w:rsidRPr="00596935">
              <w:rPr>
                <w:rFonts w:cs="Arial"/>
                <w:sz w:val="20"/>
                <w:szCs w:val="20"/>
                <w:lang w:val="de-AT" w:eastAsia="de-AT"/>
              </w:rPr>
              <w:t>Bruschini 2010</w:t>
            </w:r>
          </w:p>
        </w:tc>
        <w:tc>
          <w:tcPr>
            <w:tcW w:w="227" w:type="pct"/>
            <w:tcBorders>
              <w:top w:val="nil"/>
              <w:left w:val="nil"/>
              <w:bottom w:val="nil"/>
              <w:right w:val="nil"/>
            </w:tcBorders>
            <w:shd w:val="clear" w:color="auto" w:fill="auto"/>
            <w:noWrap/>
            <w:vAlign w:val="bottom"/>
            <w:hideMark/>
          </w:tcPr>
          <w:p w14:paraId="34BA0AFC"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7</w:t>
            </w:r>
          </w:p>
        </w:tc>
        <w:tc>
          <w:tcPr>
            <w:tcW w:w="260" w:type="pct"/>
            <w:tcBorders>
              <w:top w:val="nil"/>
              <w:left w:val="single" w:sz="8" w:space="0" w:color="auto"/>
              <w:bottom w:val="single" w:sz="4" w:space="0" w:color="auto"/>
              <w:right w:val="single" w:sz="4" w:space="0" w:color="auto"/>
            </w:tcBorders>
            <w:shd w:val="clear" w:color="auto" w:fill="auto"/>
            <w:vAlign w:val="center"/>
            <w:hideMark/>
          </w:tcPr>
          <w:p w14:paraId="60443BCA"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66.08</w:t>
            </w:r>
          </w:p>
        </w:tc>
        <w:tc>
          <w:tcPr>
            <w:tcW w:w="243" w:type="pct"/>
            <w:tcBorders>
              <w:top w:val="nil"/>
              <w:left w:val="nil"/>
              <w:bottom w:val="single" w:sz="4" w:space="0" w:color="auto"/>
              <w:right w:val="single" w:sz="4" w:space="0" w:color="auto"/>
            </w:tcBorders>
            <w:shd w:val="clear" w:color="auto" w:fill="auto"/>
            <w:noWrap/>
            <w:vAlign w:val="center"/>
            <w:hideMark/>
          </w:tcPr>
          <w:p w14:paraId="34B690D8"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0.12</w:t>
            </w:r>
          </w:p>
        </w:tc>
        <w:tc>
          <w:tcPr>
            <w:tcW w:w="260" w:type="pct"/>
            <w:tcBorders>
              <w:top w:val="nil"/>
              <w:left w:val="nil"/>
              <w:bottom w:val="single" w:sz="4" w:space="0" w:color="auto"/>
              <w:right w:val="single" w:sz="4" w:space="0" w:color="auto"/>
            </w:tcBorders>
            <w:shd w:val="clear" w:color="auto" w:fill="auto"/>
            <w:noWrap/>
            <w:vAlign w:val="center"/>
            <w:hideMark/>
          </w:tcPr>
          <w:p w14:paraId="5ADF8DDA"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78.33</w:t>
            </w:r>
          </w:p>
        </w:tc>
        <w:tc>
          <w:tcPr>
            <w:tcW w:w="243" w:type="pct"/>
            <w:tcBorders>
              <w:top w:val="nil"/>
              <w:left w:val="nil"/>
              <w:bottom w:val="single" w:sz="4" w:space="0" w:color="auto"/>
              <w:right w:val="single" w:sz="4" w:space="0" w:color="auto"/>
            </w:tcBorders>
            <w:shd w:val="clear" w:color="auto" w:fill="auto"/>
            <w:noWrap/>
            <w:vAlign w:val="center"/>
            <w:hideMark/>
          </w:tcPr>
          <w:p w14:paraId="4D51C6CD"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0.11</w:t>
            </w:r>
          </w:p>
        </w:tc>
        <w:tc>
          <w:tcPr>
            <w:tcW w:w="260" w:type="pct"/>
            <w:tcBorders>
              <w:top w:val="nil"/>
              <w:left w:val="nil"/>
              <w:bottom w:val="single" w:sz="4" w:space="0" w:color="auto"/>
              <w:right w:val="single" w:sz="4" w:space="0" w:color="auto"/>
            </w:tcBorders>
            <w:shd w:val="clear" w:color="auto" w:fill="auto"/>
            <w:noWrap/>
            <w:vAlign w:val="center"/>
            <w:hideMark/>
          </w:tcPr>
          <w:p w14:paraId="554481CF"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54.08</w:t>
            </w:r>
          </w:p>
        </w:tc>
        <w:tc>
          <w:tcPr>
            <w:tcW w:w="227" w:type="pct"/>
            <w:tcBorders>
              <w:top w:val="nil"/>
              <w:left w:val="nil"/>
              <w:bottom w:val="single" w:sz="4" w:space="0" w:color="auto"/>
              <w:right w:val="single" w:sz="4" w:space="0" w:color="auto"/>
            </w:tcBorders>
            <w:shd w:val="clear" w:color="auto" w:fill="auto"/>
            <w:noWrap/>
            <w:vAlign w:val="center"/>
            <w:hideMark/>
          </w:tcPr>
          <w:p w14:paraId="4034CC26"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0.19</w:t>
            </w:r>
          </w:p>
        </w:tc>
        <w:tc>
          <w:tcPr>
            <w:tcW w:w="215" w:type="pct"/>
            <w:tcBorders>
              <w:top w:val="nil"/>
              <w:left w:val="nil"/>
              <w:bottom w:val="single" w:sz="4" w:space="0" w:color="auto"/>
              <w:right w:val="single" w:sz="4" w:space="0" w:color="auto"/>
            </w:tcBorders>
            <w:shd w:val="clear" w:color="auto" w:fill="auto"/>
            <w:noWrap/>
            <w:vAlign w:val="center"/>
            <w:hideMark/>
          </w:tcPr>
          <w:p w14:paraId="4488A180"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4.33</w:t>
            </w:r>
          </w:p>
        </w:tc>
        <w:tc>
          <w:tcPr>
            <w:tcW w:w="243" w:type="pct"/>
            <w:tcBorders>
              <w:top w:val="nil"/>
              <w:left w:val="nil"/>
              <w:bottom w:val="single" w:sz="4" w:space="0" w:color="auto"/>
              <w:right w:val="single" w:sz="8" w:space="0" w:color="auto"/>
            </w:tcBorders>
            <w:shd w:val="clear" w:color="auto" w:fill="auto"/>
            <w:noWrap/>
            <w:vAlign w:val="center"/>
            <w:hideMark/>
          </w:tcPr>
          <w:p w14:paraId="48A88138"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0.06</w:t>
            </w:r>
          </w:p>
        </w:tc>
        <w:tc>
          <w:tcPr>
            <w:tcW w:w="292" w:type="pct"/>
            <w:tcBorders>
              <w:top w:val="nil"/>
              <w:left w:val="nil"/>
              <w:bottom w:val="single" w:sz="4" w:space="0" w:color="auto"/>
              <w:right w:val="single" w:sz="4" w:space="0" w:color="auto"/>
            </w:tcBorders>
            <w:shd w:val="clear" w:color="auto" w:fill="auto"/>
            <w:noWrap/>
            <w:vAlign w:val="center"/>
            <w:hideMark/>
          </w:tcPr>
          <w:p w14:paraId="03721365"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19.33*</w:t>
            </w:r>
          </w:p>
        </w:tc>
        <w:tc>
          <w:tcPr>
            <w:tcW w:w="247" w:type="pct"/>
            <w:tcBorders>
              <w:top w:val="nil"/>
              <w:left w:val="nil"/>
              <w:bottom w:val="single" w:sz="4" w:space="0" w:color="auto"/>
              <w:right w:val="single" w:sz="4" w:space="0" w:color="auto"/>
            </w:tcBorders>
            <w:shd w:val="clear" w:color="auto" w:fill="auto"/>
            <w:noWrap/>
            <w:vAlign w:val="center"/>
            <w:hideMark/>
          </w:tcPr>
          <w:p w14:paraId="4A5EB932"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0.12*</w:t>
            </w:r>
          </w:p>
        </w:tc>
        <w:tc>
          <w:tcPr>
            <w:tcW w:w="292" w:type="pct"/>
            <w:tcBorders>
              <w:top w:val="nil"/>
              <w:left w:val="nil"/>
              <w:bottom w:val="single" w:sz="4" w:space="0" w:color="auto"/>
              <w:right w:val="single" w:sz="4" w:space="0" w:color="auto"/>
            </w:tcBorders>
            <w:shd w:val="clear" w:color="auto" w:fill="auto"/>
            <w:noWrap/>
            <w:vAlign w:val="center"/>
            <w:hideMark/>
          </w:tcPr>
          <w:p w14:paraId="2EF39326"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19.83*</w:t>
            </w:r>
          </w:p>
        </w:tc>
        <w:tc>
          <w:tcPr>
            <w:tcW w:w="243" w:type="pct"/>
            <w:tcBorders>
              <w:top w:val="nil"/>
              <w:left w:val="nil"/>
              <w:bottom w:val="single" w:sz="4" w:space="0" w:color="auto"/>
              <w:right w:val="single" w:sz="4" w:space="0" w:color="auto"/>
            </w:tcBorders>
            <w:shd w:val="clear" w:color="auto" w:fill="auto"/>
            <w:noWrap/>
            <w:vAlign w:val="center"/>
            <w:hideMark/>
          </w:tcPr>
          <w:p w14:paraId="5160E66E"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0.1*</w:t>
            </w:r>
          </w:p>
        </w:tc>
        <w:tc>
          <w:tcPr>
            <w:tcW w:w="292" w:type="pct"/>
            <w:tcBorders>
              <w:top w:val="nil"/>
              <w:left w:val="nil"/>
              <w:bottom w:val="single" w:sz="4" w:space="0" w:color="auto"/>
              <w:right w:val="single" w:sz="4" w:space="0" w:color="auto"/>
            </w:tcBorders>
            <w:shd w:val="clear" w:color="auto" w:fill="auto"/>
            <w:noWrap/>
            <w:vAlign w:val="center"/>
            <w:hideMark/>
          </w:tcPr>
          <w:p w14:paraId="0D74EAB2"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10.33*</w:t>
            </w:r>
          </w:p>
        </w:tc>
        <w:tc>
          <w:tcPr>
            <w:tcW w:w="247" w:type="pct"/>
            <w:tcBorders>
              <w:top w:val="nil"/>
              <w:left w:val="nil"/>
              <w:bottom w:val="single" w:sz="4" w:space="0" w:color="auto"/>
              <w:right w:val="single" w:sz="4" w:space="0" w:color="auto"/>
            </w:tcBorders>
            <w:shd w:val="clear" w:color="auto" w:fill="auto"/>
            <w:noWrap/>
            <w:vAlign w:val="center"/>
            <w:hideMark/>
          </w:tcPr>
          <w:p w14:paraId="595C753F"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0.09*</w:t>
            </w:r>
          </w:p>
        </w:tc>
        <w:tc>
          <w:tcPr>
            <w:tcW w:w="260" w:type="pct"/>
            <w:tcBorders>
              <w:top w:val="nil"/>
              <w:left w:val="nil"/>
              <w:bottom w:val="single" w:sz="4" w:space="0" w:color="auto"/>
              <w:right w:val="single" w:sz="4" w:space="0" w:color="auto"/>
            </w:tcBorders>
            <w:shd w:val="clear" w:color="auto" w:fill="auto"/>
            <w:noWrap/>
            <w:vAlign w:val="center"/>
            <w:hideMark/>
          </w:tcPr>
          <w:p w14:paraId="4B0ACFC6"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2*</w:t>
            </w:r>
          </w:p>
        </w:tc>
        <w:tc>
          <w:tcPr>
            <w:tcW w:w="276" w:type="pct"/>
            <w:tcBorders>
              <w:top w:val="nil"/>
              <w:left w:val="nil"/>
              <w:bottom w:val="single" w:sz="4" w:space="0" w:color="auto"/>
              <w:right w:val="single" w:sz="4" w:space="0" w:color="auto"/>
            </w:tcBorders>
            <w:shd w:val="clear" w:color="auto" w:fill="auto"/>
            <w:noWrap/>
            <w:vAlign w:val="center"/>
            <w:hideMark/>
          </w:tcPr>
          <w:p w14:paraId="78D1A941"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0.02*</w:t>
            </w:r>
          </w:p>
        </w:tc>
        <w:tc>
          <w:tcPr>
            <w:tcW w:w="243" w:type="pct"/>
            <w:tcBorders>
              <w:top w:val="nil"/>
              <w:left w:val="nil"/>
              <w:bottom w:val="single" w:sz="4" w:space="0" w:color="auto"/>
              <w:right w:val="single" w:sz="8" w:space="0" w:color="auto"/>
            </w:tcBorders>
            <w:shd w:val="clear" w:color="auto" w:fill="auto"/>
            <w:noWrap/>
            <w:vAlign w:val="center"/>
            <w:hideMark/>
          </w:tcPr>
          <w:p w14:paraId="1E572A03"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 xml:space="preserve"> -</w:t>
            </w:r>
          </w:p>
        </w:tc>
      </w:tr>
      <w:tr w:rsidR="00596935" w:rsidRPr="00596935" w14:paraId="13369AB7" w14:textId="77777777" w:rsidTr="00596935">
        <w:trPr>
          <w:trHeight w:val="255"/>
        </w:trPr>
        <w:tc>
          <w:tcPr>
            <w:tcW w:w="431" w:type="pct"/>
            <w:vMerge w:val="restart"/>
            <w:tcBorders>
              <w:top w:val="single" w:sz="8" w:space="0" w:color="auto"/>
              <w:left w:val="single" w:sz="8" w:space="0" w:color="000000"/>
              <w:bottom w:val="single" w:sz="8" w:space="0" w:color="000000"/>
              <w:right w:val="single" w:sz="8" w:space="0" w:color="000000"/>
            </w:tcBorders>
            <w:shd w:val="clear" w:color="auto" w:fill="auto"/>
            <w:vAlign w:val="center"/>
            <w:hideMark/>
          </w:tcPr>
          <w:p w14:paraId="62EB6C53" w14:textId="77777777" w:rsidR="003733D2" w:rsidRDefault="00596935" w:rsidP="003733D2">
            <w:pPr>
              <w:rPr>
                <w:rFonts w:cs="Arial"/>
                <w:sz w:val="20"/>
                <w:szCs w:val="20"/>
                <w:lang w:val="de-AT" w:eastAsia="de-AT"/>
              </w:rPr>
            </w:pPr>
            <w:r w:rsidRPr="00596935">
              <w:rPr>
                <w:rFonts w:cs="Arial"/>
                <w:sz w:val="20"/>
                <w:szCs w:val="20"/>
                <w:lang w:val="de-AT" w:eastAsia="de-AT"/>
              </w:rPr>
              <w:t>Jenkins</w:t>
            </w:r>
          </w:p>
          <w:p w14:paraId="664CC558" w14:textId="7CA7A4C9" w:rsidR="00596935" w:rsidRPr="00596935" w:rsidRDefault="00596935" w:rsidP="003733D2">
            <w:pPr>
              <w:rPr>
                <w:rFonts w:cs="Arial"/>
                <w:sz w:val="20"/>
                <w:szCs w:val="20"/>
                <w:lang w:val="de-AT" w:eastAsia="de-AT"/>
              </w:rPr>
            </w:pPr>
            <w:r w:rsidRPr="00596935">
              <w:rPr>
                <w:rFonts w:cs="Arial"/>
                <w:sz w:val="20"/>
                <w:szCs w:val="20"/>
                <w:lang w:val="de-AT" w:eastAsia="de-AT"/>
              </w:rPr>
              <w:t>2008</w:t>
            </w:r>
          </w:p>
        </w:tc>
        <w:tc>
          <w:tcPr>
            <w:tcW w:w="227" w:type="pct"/>
            <w:tcBorders>
              <w:top w:val="nil"/>
              <w:left w:val="nil"/>
              <w:bottom w:val="nil"/>
              <w:right w:val="nil"/>
            </w:tcBorders>
            <w:shd w:val="clear" w:color="auto" w:fill="auto"/>
            <w:noWrap/>
            <w:vAlign w:val="bottom"/>
            <w:hideMark/>
          </w:tcPr>
          <w:p w14:paraId="2A3BAF0A"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 </w:t>
            </w:r>
          </w:p>
        </w:tc>
        <w:tc>
          <w:tcPr>
            <w:tcW w:w="1952" w:type="pct"/>
            <w:gridSpan w:val="8"/>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14:paraId="4EB6E5F4"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EXTRACTED FROM GRAPH</w:t>
            </w:r>
          </w:p>
        </w:tc>
        <w:tc>
          <w:tcPr>
            <w:tcW w:w="292" w:type="pct"/>
            <w:tcBorders>
              <w:top w:val="nil"/>
              <w:left w:val="single" w:sz="4" w:space="0" w:color="auto"/>
              <w:bottom w:val="single" w:sz="4" w:space="0" w:color="auto"/>
              <w:right w:val="single" w:sz="4" w:space="0" w:color="auto"/>
            </w:tcBorders>
            <w:shd w:val="clear" w:color="auto" w:fill="auto"/>
            <w:noWrap/>
            <w:vAlign w:val="bottom"/>
            <w:hideMark/>
          </w:tcPr>
          <w:p w14:paraId="59A09AE1"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38</w:t>
            </w:r>
          </w:p>
        </w:tc>
        <w:tc>
          <w:tcPr>
            <w:tcW w:w="247" w:type="pct"/>
            <w:tcBorders>
              <w:top w:val="nil"/>
              <w:left w:val="nil"/>
              <w:bottom w:val="single" w:sz="4" w:space="0" w:color="auto"/>
              <w:right w:val="single" w:sz="4" w:space="0" w:color="auto"/>
            </w:tcBorders>
            <w:shd w:val="clear" w:color="auto" w:fill="auto"/>
            <w:noWrap/>
            <w:vAlign w:val="bottom"/>
            <w:hideMark/>
          </w:tcPr>
          <w:p w14:paraId="01629065"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 xml:space="preserve"> -</w:t>
            </w:r>
          </w:p>
        </w:tc>
        <w:tc>
          <w:tcPr>
            <w:tcW w:w="292" w:type="pct"/>
            <w:tcBorders>
              <w:top w:val="nil"/>
              <w:left w:val="nil"/>
              <w:bottom w:val="single" w:sz="4" w:space="0" w:color="auto"/>
              <w:right w:val="single" w:sz="4" w:space="0" w:color="auto"/>
            </w:tcBorders>
            <w:shd w:val="clear" w:color="auto" w:fill="auto"/>
            <w:noWrap/>
            <w:vAlign w:val="bottom"/>
            <w:hideMark/>
          </w:tcPr>
          <w:p w14:paraId="3D4A2053"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35</w:t>
            </w:r>
          </w:p>
        </w:tc>
        <w:tc>
          <w:tcPr>
            <w:tcW w:w="243" w:type="pct"/>
            <w:tcBorders>
              <w:top w:val="nil"/>
              <w:left w:val="nil"/>
              <w:bottom w:val="single" w:sz="4" w:space="0" w:color="auto"/>
              <w:right w:val="single" w:sz="4" w:space="0" w:color="auto"/>
            </w:tcBorders>
            <w:shd w:val="clear" w:color="auto" w:fill="auto"/>
            <w:noWrap/>
            <w:vAlign w:val="bottom"/>
            <w:hideMark/>
          </w:tcPr>
          <w:p w14:paraId="5FC6DB61"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 xml:space="preserve"> -</w:t>
            </w:r>
          </w:p>
        </w:tc>
        <w:tc>
          <w:tcPr>
            <w:tcW w:w="292" w:type="pct"/>
            <w:tcBorders>
              <w:top w:val="nil"/>
              <w:left w:val="nil"/>
              <w:bottom w:val="single" w:sz="4" w:space="0" w:color="auto"/>
              <w:right w:val="single" w:sz="4" w:space="0" w:color="auto"/>
            </w:tcBorders>
            <w:shd w:val="clear" w:color="auto" w:fill="auto"/>
            <w:noWrap/>
            <w:vAlign w:val="bottom"/>
            <w:hideMark/>
          </w:tcPr>
          <w:p w14:paraId="6ADB0BA0"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22</w:t>
            </w:r>
          </w:p>
        </w:tc>
        <w:tc>
          <w:tcPr>
            <w:tcW w:w="247" w:type="pct"/>
            <w:tcBorders>
              <w:top w:val="nil"/>
              <w:left w:val="nil"/>
              <w:bottom w:val="single" w:sz="4" w:space="0" w:color="auto"/>
              <w:right w:val="single" w:sz="4" w:space="0" w:color="auto"/>
            </w:tcBorders>
            <w:shd w:val="clear" w:color="auto" w:fill="auto"/>
            <w:noWrap/>
            <w:vAlign w:val="bottom"/>
            <w:hideMark/>
          </w:tcPr>
          <w:p w14:paraId="7059EED6"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 xml:space="preserve"> -</w:t>
            </w:r>
          </w:p>
        </w:tc>
        <w:tc>
          <w:tcPr>
            <w:tcW w:w="260" w:type="pct"/>
            <w:tcBorders>
              <w:top w:val="nil"/>
              <w:left w:val="nil"/>
              <w:bottom w:val="single" w:sz="4" w:space="0" w:color="auto"/>
              <w:right w:val="single" w:sz="4" w:space="0" w:color="auto"/>
            </w:tcBorders>
            <w:shd w:val="clear" w:color="auto" w:fill="auto"/>
            <w:noWrap/>
            <w:vAlign w:val="bottom"/>
            <w:hideMark/>
          </w:tcPr>
          <w:p w14:paraId="452C6F5E"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-32</w:t>
            </w:r>
          </w:p>
        </w:tc>
        <w:tc>
          <w:tcPr>
            <w:tcW w:w="276" w:type="pct"/>
            <w:tcBorders>
              <w:top w:val="nil"/>
              <w:left w:val="nil"/>
              <w:bottom w:val="single" w:sz="4" w:space="0" w:color="auto"/>
              <w:right w:val="single" w:sz="4" w:space="0" w:color="auto"/>
            </w:tcBorders>
            <w:shd w:val="clear" w:color="auto" w:fill="auto"/>
            <w:noWrap/>
            <w:vAlign w:val="bottom"/>
            <w:hideMark/>
          </w:tcPr>
          <w:p w14:paraId="54B94B14"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 xml:space="preserve"> -</w:t>
            </w:r>
          </w:p>
        </w:tc>
        <w:tc>
          <w:tcPr>
            <w:tcW w:w="243" w:type="pct"/>
            <w:tcBorders>
              <w:top w:val="nil"/>
              <w:left w:val="nil"/>
              <w:bottom w:val="single" w:sz="4" w:space="0" w:color="auto"/>
              <w:right w:val="single" w:sz="8" w:space="0" w:color="auto"/>
            </w:tcBorders>
            <w:shd w:val="clear" w:color="auto" w:fill="auto"/>
            <w:noWrap/>
            <w:vAlign w:val="bottom"/>
            <w:hideMark/>
          </w:tcPr>
          <w:p w14:paraId="6382279D"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 xml:space="preserve"> -</w:t>
            </w:r>
          </w:p>
        </w:tc>
      </w:tr>
      <w:tr w:rsidR="00596935" w:rsidRPr="00596935" w14:paraId="159DBC83" w14:textId="77777777" w:rsidTr="00596935">
        <w:trPr>
          <w:trHeight w:val="270"/>
        </w:trPr>
        <w:tc>
          <w:tcPr>
            <w:tcW w:w="431" w:type="pct"/>
            <w:vMerge/>
            <w:tcBorders>
              <w:top w:val="single" w:sz="8" w:space="0" w:color="auto"/>
              <w:left w:val="single" w:sz="8" w:space="0" w:color="000000"/>
              <w:bottom w:val="single" w:sz="8" w:space="0" w:color="000000"/>
              <w:right w:val="single" w:sz="8" w:space="0" w:color="000000"/>
            </w:tcBorders>
            <w:vAlign w:val="center"/>
            <w:hideMark/>
          </w:tcPr>
          <w:p w14:paraId="30DA0871" w14:textId="77777777" w:rsidR="00596935" w:rsidRPr="00596935" w:rsidRDefault="00596935" w:rsidP="00596935">
            <w:pPr>
              <w:rPr>
                <w:rFonts w:cs="Arial"/>
                <w:sz w:val="20"/>
                <w:szCs w:val="20"/>
                <w:lang w:val="de-AT" w:eastAsia="de-AT"/>
              </w:rPr>
            </w:pPr>
          </w:p>
        </w:tc>
        <w:tc>
          <w:tcPr>
            <w:tcW w:w="227" w:type="pct"/>
            <w:tcBorders>
              <w:top w:val="nil"/>
              <w:left w:val="nil"/>
              <w:bottom w:val="nil"/>
              <w:right w:val="single" w:sz="4" w:space="0" w:color="auto"/>
            </w:tcBorders>
            <w:shd w:val="clear" w:color="auto" w:fill="auto"/>
            <w:noWrap/>
            <w:vAlign w:val="bottom"/>
            <w:hideMark/>
          </w:tcPr>
          <w:p w14:paraId="3782A61A"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 </w:t>
            </w:r>
          </w:p>
        </w:tc>
        <w:tc>
          <w:tcPr>
            <w:tcW w:w="1952" w:type="pct"/>
            <w:gridSpan w:val="8"/>
            <w:vMerge/>
            <w:tcBorders>
              <w:top w:val="nil"/>
              <w:left w:val="single" w:sz="4" w:space="0" w:color="auto"/>
              <w:bottom w:val="nil"/>
              <w:right w:val="single" w:sz="4" w:space="0" w:color="auto"/>
            </w:tcBorders>
            <w:vAlign w:val="center"/>
            <w:hideMark/>
          </w:tcPr>
          <w:p w14:paraId="2A2AFF20" w14:textId="77777777" w:rsidR="00596935" w:rsidRPr="00596935" w:rsidRDefault="00596935" w:rsidP="00596935">
            <w:pPr>
              <w:rPr>
                <w:rFonts w:cs="Arial"/>
                <w:sz w:val="20"/>
                <w:szCs w:val="20"/>
                <w:lang w:val="de-AT" w:eastAsia="de-AT"/>
              </w:rPr>
            </w:pPr>
          </w:p>
        </w:tc>
        <w:tc>
          <w:tcPr>
            <w:tcW w:w="292" w:type="pct"/>
            <w:tcBorders>
              <w:top w:val="nil"/>
              <w:left w:val="single" w:sz="4" w:space="0" w:color="auto"/>
              <w:bottom w:val="single" w:sz="4" w:space="0" w:color="auto"/>
              <w:right w:val="single" w:sz="4" w:space="0" w:color="auto"/>
            </w:tcBorders>
            <w:shd w:val="clear" w:color="auto" w:fill="auto"/>
            <w:noWrap/>
            <w:vAlign w:val="bottom"/>
            <w:hideMark/>
          </w:tcPr>
          <w:p w14:paraId="4E8A33A2"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47#</w:t>
            </w:r>
          </w:p>
        </w:tc>
        <w:tc>
          <w:tcPr>
            <w:tcW w:w="247" w:type="pct"/>
            <w:tcBorders>
              <w:top w:val="nil"/>
              <w:left w:val="nil"/>
              <w:bottom w:val="single" w:sz="4" w:space="0" w:color="auto"/>
              <w:right w:val="single" w:sz="4" w:space="0" w:color="auto"/>
            </w:tcBorders>
            <w:shd w:val="clear" w:color="auto" w:fill="auto"/>
            <w:noWrap/>
            <w:vAlign w:val="bottom"/>
            <w:hideMark/>
          </w:tcPr>
          <w:p w14:paraId="26EBB2DB"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 xml:space="preserve"> -</w:t>
            </w:r>
          </w:p>
        </w:tc>
        <w:tc>
          <w:tcPr>
            <w:tcW w:w="292" w:type="pct"/>
            <w:tcBorders>
              <w:top w:val="nil"/>
              <w:left w:val="nil"/>
              <w:bottom w:val="single" w:sz="4" w:space="0" w:color="auto"/>
              <w:right w:val="single" w:sz="4" w:space="0" w:color="auto"/>
            </w:tcBorders>
            <w:shd w:val="clear" w:color="auto" w:fill="auto"/>
            <w:noWrap/>
            <w:vAlign w:val="bottom"/>
            <w:hideMark/>
          </w:tcPr>
          <w:p w14:paraId="3B394FB4"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40#</w:t>
            </w:r>
          </w:p>
        </w:tc>
        <w:tc>
          <w:tcPr>
            <w:tcW w:w="243" w:type="pct"/>
            <w:tcBorders>
              <w:top w:val="nil"/>
              <w:left w:val="nil"/>
              <w:bottom w:val="single" w:sz="4" w:space="0" w:color="auto"/>
              <w:right w:val="single" w:sz="4" w:space="0" w:color="auto"/>
            </w:tcBorders>
            <w:shd w:val="clear" w:color="auto" w:fill="auto"/>
            <w:noWrap/>
            <w:vAlign w:val="bottom"/>
            <w:hideMark/>
          </w:tcPr>
          <w:p w14:paraId="20B3858F"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 xml:space="preserve"> -</w:t>
            </w:r>
          </w:p>
        </w:tc>
        <w:tc>
          <w:tcPr>
            <w:tcW w:w="292" w:type="pct"/>
            <w:tcBorders>
              <w:top w:val="nil"/>
              <w:left w:val="nil"/>
              <w:bottom w:val="single" w:sz="4" w:space="0" w:color="auto"/>
              <w:right w:val="single" w:sz="4" w:space="0" w:color="auto"/>
            </w:tcBorders>
            <w:shd w:val="clear" w:color="auto" w:fill="auto"/>
            <w:noWrap/>
            <w:vAlign w:val="bottom"/>
            <w:hideMark/>
          </w:tcPr>
          <w:p w14:paraId="22177846"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23#</w:t>
            </w:r>
          </w:p>
        </w:tc>
        <w:tc>
          <w:tcPr>
            <w:tcW w:w="247" w:type="pct"/>
            <w:tcBorders>
              <w:top w:val="nil"/>
              <w:left w:val="nil"/>
              <w:bottom w:val="single" w:sz="4" w:space="0" w:color="auto"/>
              <w:right w:val="single" w:sz="4" w:space="0" w:color="auto"/>
            </w:tcBorders>
            <w:shd w:val="clear" w:color="auto" w:fill="auto"/>
            <w:noWrap/>
            <w:vAlign w:val="bottom"/>
            <w:hideMark/>
          </w:tcPr>
          <w:p w14:paraId="796DC72E"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 xml:space="preserve"> -</w:t>
            </w:r>
          </w:p>
        </w:tc>
        <w:tc>
          <w:tcPr>
            <w:tcW w:w="260" w:type="pct"/>
            <w:tcBorders>
              <w:top w:val="nil"/>
              <w:left w:val="nil"/>
              <w:bottom w:val="single" w:sz="4" w:space="0" w:color="auto"/>
              <w:right w:val="single" w:sz="4" w:space="0" w:color="auto"/>
            </w:tcBorders>
            <w:shd w:val="clear" w:color="auto" w:fill="auto"/>
            <w:noWrap/>
            <w:vAlign w:val="bottom"/>
            <w:hideMark/>
          </w:tcPr>
          <w:p w14:paraId="037F20EE"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 xml:space="preserve"> -29#</w:t>
            </w:r>
          </w:p>
        </w:tc>
        <w:tc>
          <w:tcPr>
            <w:tcW w:w="276" w:type="pct"/>
            <w:tcBorders>
              <w:top w:val="nil"/>
              <w:left w:val="nil"/>
              <w:bottom w:val="single" w:sz="4" w:space="0" w:color="auto"/>
              <w:right w:val="single" w:sz="4" w:space="0" w:color="auto"/>
            </w:tcBorders>
            <w:shd w:val="clear" w:color="auto" w:fill="auto"/>
            <w:noWrap/>
            <w:vAlign w:val="bottom"/>
            <w:hideMark/>
          </w:tcPr>
          <w:p w14:paraId="3F1F0F9F"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 xml:space="preserve"> -</w:t>
            </w:r>
          </w:p>
        </w:tc>
        <w:tc>
          <w:tcPr>
            <w:tcW w:w="243" w:type="pct"/>
            <w:tcBorders>
              <w:top w:val="nil"/>
              <w:left w:val="nil"/>
              <w:bottom w:val="single" w:sz="4" w:space="0" w:color="auto"/>
              <w:right w:val="single" w:sz="8" w:space="0" w:color="auto"/>
            </w:tcBorders>
            <w:shd w:val="clear" w:color="auto" w:fill="auto"/>
            <w:noWrap/>
            <w:vAlign w:val="bottom"/>
            <w:hideMark/>
          </w:tcPr>
          <w:p w14:paraId="25A71357"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 xml:space="preserve"> -</w:t>
            </w:r>
          </w:p>
        </w:tc>
      </w:tr>
      <w:tr w:rsidR="00596935" w:rsidRPr="00596935" w14:paraId="21CD4131" w14:textId="77777777" w:rsidTr="00596935">
        <w:trPr>
          <w:trHeight w:val="525"/>
        </w:trPr>
        <w:tc>
          <w:tcPr>
            <w:tcW w:w="431" w:type="pct"/>
            <w:tcBorders>
              <w:top w:val="nil"/>
              <w:left w:val="single" w:sz="8" w:space="0" w:color="000000"/>
              <w:bottom w:val="nil"/>
              <w:right w:val="single" w:sz="8" w:space="0" w:color="000000"/>
            </w:tcBorders>
            <w:shd w:val="clear" w:color="auto" w:fill="auto"/>
            <w:vAlign w:val="center"/>
            <w:hideMark/>
          </w:tcPr>
          <w:p w14:paraId="5CD74871" w14:textId="77777777" w:rsidR="003733D2" w:rsidRDefault="00596935" w:rsidP="003733D2">
            <w:pPr>
              <w:rPr>
                <w:rFonts w:cs="Arial"/>
                <w:sz w:val="20"/>
                <w:szCs w:val="20"/>
                <w:lang w:val="de-AT" w:eastAsia="de-AT"/>
              </w:rPr>
            </w:pPr>
            <w:r w:rsidRPr="00596935">
              <w:rPr>
                <w:rFonts w:cs="Arial"/>
                <w:sz w:val="20"/>
                <w:szCs w:val="20"/>
                <w:lang w:val="de-AT" w:eastAsia="de-AT"/>
              </w:rPr>
              <w:t>Tringali</w:t>
            </w:r>
          </w:p>
          <w:p w14:paraId="5F55A124" w14:textId="4A02ECC5" w:rsidR="00596935" w:rsidRPr="00596935" w:rsidRDefault="00596935" w:rsidP="003733D2">
            <w:pPr>
              <w:rPr>
                <w:rFonts w:cs="Arial"/>
                <w:sz w:val="20"/>
                <w:szCs w:val="20"/>
                <w:lang w:val="de-AT" w:eastAsia="de-AT"/>
              </w:rPr>
            </w:pPr>
            <w:r w:rsidRPr="00596935">
              <w:rPr>
                <w:rFonts w:cs="Arial"/>
                <w:sz w:val="20"/>
                <w:szCs w:val="20"/>
                <w:lang w:val="de-AT" w:eastAsia="de-AT"/>
              </w:rPr>
              <w:t>2013</w:t>
            </w:r>
          </w:p>
        </w:tc>
        <w:tc>
          <w:tcPr>
            <w:tcW w:w="227" w:type="pct"/>
            <w:tcBorders>
              <w:top w:val="nil"/>
              <w:left w:val="nil"/>
              <w:bottom w:val="nil"/>
              <w:right w:val="nil"/>
            </w:tcBorders>
            <w:shd w:val="clear" w:color="auto" w:fill="auto"/>
            <w:noWrap/>
            <w:vAlign w:val="bottom"/>
            <w:hideMark/>
          </w:tcPr>
          <w:p w14:paraId="7313BAB7"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 </w:t>
            </w:r>
          </w:p>
        </w:tc>
        <w:tc>
          <w:tcPr>
            <w:tcW w:w="1952" w:type="pct"/>
            <w:gridSpan w:val="8"/>
            <w:tcBorders>
              <w:top w:val="single" w:sz="4" w:space="0" w:color="auto"/>
              <w:left w:val="single" w:sz="8" w:space="0" w:color="auto"/>
              <w:bottom w:val="single" w:sz="4" w:space="0" w:color="auto"/>
              <w:right w:val="single" w:sz="8" w:space="0" w:color="000000"/>
            </w:tcBorders>
            <w:shd w:val="clear" w:color="auto" w:fill="auto"/>
            <w:vAlign w:val="center"/>
            <w:hideMark/>
          </w:tcPr>
          <w:p w14:paraId="56EEFA1C" w14:textId="77777777" w:rsidR="00596935" w:rsidRPr="00596935" w:rsidRDefault="00596935" w:rsidP="00596935">
            <w:pPr>
              <w:jc w:val="center"/>
              <w:rPr>
                <w:rFonts w:cs="Arial"/>
                <w:sz w:val="20"/>
                <w:szCs w:val="20"/>
                <w:lang w:val="en-US" w:eastAsia="de-AT"/>
              </w:rPr>
            </w:pPr>
            <w:r w:rsidRPr="00596935">
              <w:rPr>
                <w:rFonts w:cs="Arial"/>
                <w:sz w:val="20"/>
                <w:szCs w:val="20"/>
                <w:lang w:val="en-US" w:eastAsia="de-AT"/>
              </w:rPr>
              <w:t>aided with contra HAs compared to unaided</w:t>
            </w:r>
          </w:p>
        </w:tc>
        <w:tc>
          <w:tcPr>
            <w:tcW w:w="292" w:type="pct"/>
            <w:tcBorders>
              <w:top w:val="nil"/>
              <w:left w:val="nil"/>
              <w:bottom w:val="single" w:sz="4" w:space="0" w:color="auto"/>
              <w:right w:val="single" w:sz="4" w:space="0" w:color="auto"/>
            </w:tcBorders>
            <w:shd w:val="clear" w:color="auto" w:fill="auto"/>
            <w:vAlign w:val="center"/>
            <w:hideMark/>
          </w:tcPr>
          <w:p w14:paraId="28FDF949" w14:textId="77777777" w:rsidR="00596935" w:rsidRPr="00596935" w:rsidRDefault="00596935" w:rsidP="00596935">
            <w:pPr>
              <w:jc w:val="center"/>
              <w:rPr>
                <w:rFonts w:cs="Arial"/>
                <w:sz w:val="20"/>
                <w:szCs w:val="20"/>
                <w:lang w:val="de-AT" w:eastAsia="de-AT"/>
              </w:rPr>
            </w:pPr>
            <w:r w:rsidRPr="00596935">
              <w:rPr>
                <w:rFonts w:cs="Arial"/>
                <w:sz w:val="20"/>
                <w:szCs w:val="20"/>
                <w:lang w:val="en-US" w:eastAsia="de-AT"/>
              </w:rPr>
              <w:t xml:space="preserve"> </w:t>
            </w:r>
            <w:r w:rsidRPr="00596935">
              <w:rPr>
                <w:rFonts w:cs="Arial"/>
                <w:sz w:val="20"/>
                <w:szCs w:val="20"/>
                <w:lang w:val="de-AT" w:eastAsia="de-AT"/>
              </w:rPr>
              <w:t>-</w:t>
            </w:r>
          </w:p>
        </w:tc>
        <w:tc>
          <w:tcPr>
            <w:tcW w:w="247" w:type="pct"/>
            <w:tcBorders>
              <w:top w:val="nil"/>
              <w:left w:val="nil"/>
              <w:bottom w:val="single" w:sz="4" w:space="0" w:color="auto"/>
              <w:right w:val="single" w:sz="4" w:space="0" w:color="auto"/>
            </w:tcBorders>
            <w:shd w:val="clear" w:color="auto" w:fill="auto"/>
            <w:noWrap/>
            <w:vAlign w:val="center"/>
            <w:hideMark/>
          </w:tcPr>
          <w:p w14:paraId="32513BB0"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 xml:space="preserve"> -</w:t>
            </w:r>
          </w:p>
        </w:tc>
        <w:tc>
          <w:tcPr>
            <w:tcW w:w="292" w:type="pct"/>
            <w:tcBorders>
              <w:top w:val="nil"/>
              <w:left w:val="nil"/>
              <w:bottom w:val="single" w:sz="4" w:space="0" w:color="auto"/>
              <w:right w:val="single" w:sz="4" w:space="0" w:color="auto"/>
            </w:tcBorders>
            <w:shd w:val="clear" w:color="auto" w:fill="auto"/>
            <w:noWrap/>
            <w:vAlign w:val="center"/>
            <w:hideMark/>
          </w:tcPr>
          <w:p w14:paraId="716BA46E"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 xml:space="preserve"> -</w:t>
            </w:r>
          </w:p>
        </w:tc>
        <w:tc>
          <w:tcPr>
            <w:tcW w:w="243" w:type="pct"/>
            <w:tcBorders>
              <w:top w:val="nil"/>
              <w:left w:val="nil"/>
              <w:bottom w:val="single" w:sz="4" w:space="0" w:color="auto"/>
              <w:right w:val="single" w:sz="4" w:space="0" w:color="auto"/>
            </w:tcBorders>
            <w:shd w:val="clear" w:color="auto" w:fill="auto"/>
            <w:noWrap/>
            <w:vAlign w:val="center"/>
            <w:hideMark/>
          </w:tcPr>
          <w:p w14:paraId="498FF377"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 xml:space="preserve"> -</w:t>
            </w:r>
          </w:p>
        </w:tc>
        <w:tc>
          <w:tcPr>
            <w:tcW w:w="292" w:type="pct"/>
            <w:tcBorders>
              <w:top w:val="nil"/>
              <w:left w:val="nil"/>
              <w:bottom w:val="single" w:sz="4" w:space="0" w:color="auto"/>
              <w:right w:val="single" w:sz="4" w:space="0" w:color="auto"/>
            </w:tcBorders>
            <w:shd w:val="clear" w:color="auto" w:fill="auto"/>
            <w:noWrap/>
            <w:vAlign w:val="center"/>
            <w:hideMark/>
          </w:tcPr>
          <w:p w14:paraId="327BFE76"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 xml:space="preserve"> -</w:t>
            </w:r>
          </w:p>
        </w:tc>
        <w:tc>
          <w:tcPr>
            <w:tcW w:w="247" w:type="pct"/>
            <w:tcBorders>
              <w:top w:val="nil"/>
              <w:left w:val="nil"/>
              <w:bottom w:val="single" w:sz="4" w:space="0" w:color="auto"/>
              <w:right w:val="single" w:sz="4" w:space="0" w:color="auto"/>
            </w:tcBorders>
            <w:shd w:val="clear" w:color="auto" w:fill="auto"/>
            <w:noWrap/>
            <w:vAlign w:val="center"/>
            <w:hideMark/>
          </w:tcPr>
          <w:p w14:paraId="59DDD3BA"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 xml:space="preserve"> -</w:t>
            </w:r>
          </w:p>
        </w:tc>
        <w:tc>
          <w:tcPr>
            <w:tcW w:w="260" w:type="pct"/>
            <w:tcBorders>
              <w:top w:val="nil"/>
              <w:left w:val="nil"/>
              <w:bottom w:val="single" w:sz="4" w:space="0" w:color="auto"/>
              <w:right w:val="single" w:sz="4" w:space="0" w:color="auto"/>
            </w:tcBorders>
            <w:shd w:val="clear" w:color="auto" w:fill="auto"/>
            <w:noWrap/>
            <w:vAlign w:val="center"/>
            <w:hideMark/>
          </w:tcPr>
          <w:p w14:paraId="2E105EC3"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 xml:space="preserve"> -</w:t>
            </w:r>
          </w:p>
        </w:tc>
        <w:tc>
          <w:tcPr>
            <w:tcW w:w="276" w:type="pct"/>
            <w:tcBorders>
              <w:top w:val="nil"/>
              <w:left w:val="nil"/>
              <w:bottom w:val="single" w:sz="4" w:space="0" w:color="auto"/>
              <w:right w:val="single" w:sz="4" w:space="0" w:color="auto"/>
            </w:tcBorders>
            <w:shd w:val="clear" w:color="auto" w:fill="auto"/>
            <w:noWrap/>
            <w:vAlign w:val="center"/>
            <w:hideMark/>
          </w:tcPr>
          <w:p w14:paraId="451030A9"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 xml:space="preserve"> -</w:t>
            </w:r>
          </w:p>
        </w:tc>
        <w:tc>
          <w:tcPr>
            <w:tcW w:w="243" w:type="pct"/>
            <w:tcBorders>
              <w:top w:val="nil"/>
              <w:left w:val="nil"/>
              <w:bottom w:val="single" w:sz="4" w:space="0" w:color="auto"/>
              <w:right w:val="single" w:sz="8" w:space="0" w:color="auto"/>
            </w:tcBorders>
            <w:shd w:val="clear" w:color="auto" w:fill="auto"/>
            <w:noWrap/>
            <w:vAlign w:val="center"/>
            <w:hideMark/>
          </w:tcPr>
          <w:p w14:paraId="1927AAB9"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 xml:space="preserve"> -</w:t>
            </w:r>
          </w:p>
        </w:tc>
      </w:tr>
      <w:tr w:rsidR="003733D2" w:rsidRPr="00596935" w14:paraId="7D5F081E" w14:textId="77777777" w:rsidTr="00596935">
        <w:trPr>
          <w:trHeight w:val="465"/>
        </w:trPr>
        <w:tc>
          <w:tcPr>
            <w:tcW w:w="431" w:type="pct"/>
            <w:tcBorders>
              <w:top w:val="single" w:sz="8" w:space="0" w:color="auto"/>
              <w:left w:val="single" w:sz="8" w:space="0" w:color="000000"/>
              <w:bottom w:val="nil"/>
              <w:right w:val="single" w:sz="8" w:space="0" w:color="000000"/>
            </w:tcBorders>
            <w:shd w:val="clear" w:color="auto" w:fill="auto"/>
            <w:vAlign w:val="center"/>
            <w:hideMark/>
          </w:tcPr>
          <w:p w14:paraId="1AF743E8" w14:textId="77777777" w:rsidR="003733D2" w:rsidRDefault="00596935" w:rsidP="003733D2">
            <w:pPr>
              <w:rPr>
                <w:rFonts w:cs="Arial"/>
                <w:color w:val="000000"/>
                <w:sz w:val="20"/>
                <w:szCs w:val="20"/>
                <w:lang w:val="de-AT" w:eastAsia="de-AT"/>
              </w:rPr>
            </w:pPr>
            <w:r w:rsidRPr="00596935">
              <w:rPr>
                <w:rFonts w:cs="Arial"/>
                <w:color w:val="000000"/>
                <w:sz w:val="20"/>
                <w:szCs w:val="20"/>
                <w:lang w:val="de-AT" w:eastAsia="de-AT"/>
              </w:rPr>
              <w:t>Hough</w:t>
            </w:r>
          </w:p>
          <w:p w14:paraId="5A4AC14D" w14:textId="1AF4D4E7" w:rsidR="00596935" w:rsidRPr="00596935" w:rsidRDefault="00596935" w:rsidP="003733D2">
            <w:pPr>
              <w:rPr>
                <w:rFonts w:cs="Arial"/>
                <w:color w:val="000000"/>
                <w:sz w:val="20"/>
                <w:szCs w:val="20"/>
                <w:lang w:val="de-AT" w:eastAsia="de-AT"/>
              </w:rPr>
            </w:pPr>
            <w:r w:rsidRPr="00596935">
              <w:rPr>
                <w:rFonts w:cs="Arial"/>
                <w:color w:val="000000"/>
                <w:sz w:val="20"/>
                <w:szCs w:val="20"/>
                <w:lang w:val="de-AT" w:eastAsia="de-AT"/>
              </w:rPr>
              <w:t>2002</w:t>
            </w:r>
          </w:p>
        </w:tc>
        <w:tc>
          <w:tcPr>
            <w:tcW w:w="227" w:type="pct"/>
            <w:tcBorders>
              <w:top w:val="nil"/>
              <w:left w:val="nil"/>
              <w:bottom w:val="nil"/>
              <w:right w:val="nil"/>
            </w:tcBorders>
            <w:shd w:val="clear" w:color="auto" w:fill="auto"/>
            <w:noWrap/>
            <w:vAlign w:val="center"/>
            <w:hideMark/>
          </w:tcPr>
          <w:p w14:paraId="00E69246" w14:textId="77777777" w:rsidR="00596935" w:rsidRPr="00596935" w:rsidRDefault="00596935" w:rsidP="00596935">
            <w:pPr>
              <w:jc w:val="right"/>
              <w:rPr>
                <w:rFonts w:cs="Arial"/>
                <w:color w:val="000000"/>
                <w:sz w:val="20"/>
                <w:szCs w:val="20"/>
                <w:lang w:val="de-AT" w:eastAsia="de-AT"/>
              </w:rPr>
            </w:pPr>
            <w:r w:rsidRPr="00596935">
              <w:rPr>
                <w:rFonts w:cs="Arial"/>
                <w:color w:val="000000"/>
                <w:sz w:val="20"/>
                <w:szCs w:val="20"/>
                <w:lang w:val="de-AT" w:eastAsia="de-AT"/>
              </w:rPr>
              <w:t>95</w:t>
            </w:r>
          </w:p>
        </w:tc>
        <w:tc>
          <w:tcPr>
            <w:tcW w:w="260" w:type="pct"/>
            <w:tcBorders>
              <w:top w:val="nil"/>
              <w:left w:val="single" w:sz="8" w:space="0" w:color="auto"/>
              <w:bottom w:val="single" w:sz="4" w:space="0" w:color="auto"/>
              <w:right w:val="nil"/>
            </w:tcBorders>
            <w:shd w:val="clear" w:color="auto" w:fill="auto"/>
            <w:vAlign w:val="center"/>
            <w:hideMark/>
          </w:tcPr>
          <w:p w14:paraId="28863F1A"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34.5</w:t>
            </w:r>
          </w:p>
        </w:tc>
        <w:tc>
          <w:tcPr>
            <w:tcW w:w="243" w:type="pct"/>
            <w:tcBorders>
              <w:top w:val="nil"/>
              <w:left w:val="nil"/>
              <w:bottom w:val="single" w:sz="4" w:space="0" w:color="auto"/>
              <w:right w:val="nil"/>
            </w:tcBorders>
            <w:shd w:val="clear" w:color="auto" w:fill="auto"/>
            <w:vAlign w:val="center"/>
            <w:hideMark/>
          </w:tcPr>
          <w:p w14:paraId="412FA0B6"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18</w:t>
            </w:r>
          </w:p>
        </w:tc>
        <w:tc>
          <w:tcPr>
            <w:tcW w:w="260" w:type="pct"/>
            <w:tcBorders>
              <w:top w:val="nil"/>
              <w:left w:val="nil"/>
              <w:bottom w:val="single" w:sz="4" w:space="0" w:color="auto"/>
              <w:right w:val="nil"/>
            </w:tcBorders>
            <w:shd w:val="clear" w:color="auto" w:fill="auto"/>
            <w:vAlign w:val="center"/>
            <w:hideMark/>
          </w:tcPr>
          <w:p w14:paraId="5B354A68"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36.2</w:t>
            </w:r>
          </w:p>
        </w:tc>
        <w:tc>
          <w:tcPr>
            <w:tcW w:w="243" w:type="pct"/>
            <w:tcBorders>
              <w:top w:val="nil"/>
              <w:left w:val="nil"/>
              <w:bottom w:val="single" w:sz="4" w:space="0" w:color="auto"/>
              <w:right w:val="nil"/>
            </w:tcBorders>
            <w:shd w:val="clear" w:color="auto" w:fill="auto"/>
            <w:vAlign w:val="center"/>
            <w:hideMark/>
          </w:tcPr>
          <w:p w14:paraId="267469AD"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17</w:t>
            </w:r>
          </w:p>
        </w:tc>
        <w:tc>
          <w:tcPr>
            <w:tcW w:w="260" w:type="pct"/>
            <w:tcBorders>
              <w:top w:val="nil"/>
              <w:left w:val="nil"/>
              <w:bottom w:val="single" w:sz="4" w:space="0" w:color="auto"/>
              <w:right w:val="nil"/>
            </w:tcBorders>
            <w:shd w:val="clear" w:color="auto" w:fill="auto"/>
            <w:vAlign w:val="center"/>
            <w:hideMark/>
          </w:tcPr>
          <w:p w14:paraId="5B06C8EB"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33.4</w:t>
            </w:r>
          </w:p>
        </w:tc>
        <w:tc>
          <w:tcPr>
            <w:tcW w:w="227" w:type="pct"/>
            <w:tcBorders>
              <w:top w:val="nil"/>
              <w:left w:val="nil"/>
              <w:bottom w:val="single" w:sz="4" w:space="0" w:color="auto"/>
              <w:right w:val="nil"/>
            </w:tcBorders>
            <w:shd w:val="clear" w:color="auto" w:fill="auto"/>
            <w:vAlign w:val="center"/>
            <w:hideMark/>
          </w:tcPr>
          <w:p w14:paraId="2E56CC9E"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14.2</w:t>
            </w:r>
          </w:p>
        </w:tc>
        <w:tc>
          <w:tcPr>
            <w:tcW w:w="215" w:type="pct"/>
            <w:tcBorders>
              <w:top w:val="nil"/>
              <w:left w:val="nil"/>
              <w:bottom w:val="single" w:sz="4" w:space="0" w:color="auto"/>
              <w:right w:val="nil"/>
            </w:tcBorders>
            <w:shd w:val="clear" w:color="auto" w:fill="auto"/>
            <w:vAlign w:val="center"/>
            <w:hideMark/>
          </w:tcPr>
          <w:p w14:paraId="52F49CCB"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34.7</w:t>
            </w:r>
          </w:p>
        </w:tc>
        <w:tc>
          <w:tcPr>
            <w:tcW w:w="243" w:type="pct"/>
            <w:tcBorders>
              <w:top w:val="nil"/>
              <w:left w:val="nil"/>
              <w:bottom w:val="single" w:sz="4" w:space="0" w:color="auto"/>
              <w:right w:val="single" w:sz="8" w:space="0" w:color="auto"/>
            </w:tcBorders>
            <w:shd w:val="clear" w:color="auto" w:fill="auto"/>
            <w:vAlign w:val="center"/>
            <w:hideMark/>
          </w:tcPr>
          <w:p w14:paraId="0D2FF7F5"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12.5</w:t>
            </w:r>
          </w:p>
        </w:tc>
        <w:tc>
          <w:tcPr>
            <w:tcW w:w="292" w:type="pct"/>
            <w:tcBorders>
              <w:top w:val="nil"/>
              <w:left w:val="nil"/>
              <w:bottom w:val="single" w:sz="4" w:space="0" w:color="auto"/>
              <w:right w:val="single" w:sz="4" w:space="0" w:color="auto"/>
            </w:tcBorders>
            <w:shd w:val="clear" w:color="auto" w:fill="auto"/>
            <w:vAlign w:val="center"/>
            <w:hideMark/>
          </w:tcPr>
          <w:p w14:paraId="04482E2D"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38.8</w:t>
            </w:r>
          </w:p>
        </w:tc>
        <w:tc>
          <w:tcPr>
            <w:tcW w:w="247" w:type="pct"/>
            <w:tcBorders>
              <w:top w:val="nil"/>
              <w:left w:val="nil"/>
              <w:bottom w:val="single" w:sz="4" w:space="0" w:color="auto"/>
              <w:right w:val="single" w:sz="4" w:space="0" w:color="auto"/>
            </w:tcBorders>
            <w:shd w:val="clear" w:color="auto" w:fill="auto"/>
            <w:noWrap/>
            <w:vAlign w:val="center"/>
            <w:hideMark/>
          </w:tcPr>
          <w:p w14:paraId="6020225A"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23.7</w:t>
            </w:r>
          </w:p>
        </w:tc>
        <w:tc>
          <w:tcPr>
            <w:tcW w:w="292" w:type="pct"/>
            <w:tcBorders>
              <w:top w:val="nil"/>
              <w:left w:val="nil"/>
              <w:bottom w:val="single" w:sz="4" w:space="0" w:color="auto"/>
              <w:right w:val="single" w:sz="4" w:space="0" w:color="auto"/>
            </w:tcBorders>
            <w:shd w:val="clear" w:color="auto" w:fill="auto"/>
            <w:noWrap/>
            <w:vAlign w:val="center"/>
            <w:hideMark/>
          </w:tcPr>
          <w:p w14:paraId="4BD2C4C4"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44.5</w:t>
            </w:r>
          </w:p>
        </w:tc>
        <w:tc>
          <w:tcPr>
            <w:tcW w:w="243" w:type="pct"/>
            <w:tcBorders>
              <w:top w:val="nil"/>
              <w:left w:val="nil"/>
              <w:bottom w:val="single" w:sz="4" w:space="0" w:color="auto"/>
              <w:right w:val="single" w:sz="4" w:space="0" w:color="auto"/>
            </w:tcBorders>
            <w:shd w:val="clear" w:color="auto" w:fill="auto"/>
            <w:noWrap/>
            <w:vAlign w:val="center"/>
            <w:hideMark/>
          </w:tcPr>
          <w:p w14:paraId="6FD36685"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21.7</w:t>
            </w:r>
          </w:p>
        </w:tc>
        <w:tc>
          <w:tcPr>
            <w:tcW w:w="292" w:type="pct"/>
            <w:tcBorders>
              <w:top w:val="nil"/>
              <w:left w:val="nil"/>
              <w:bottom w:val="single" w:sz="4" w:space="0" w:color="auto"/>
              <w:right w:val="single" w:sz="4" w:space="0" w:color="auto"/>
            </w:tcBorders>
            <w:shd w:val="clear" w:color="auto" w:fill="auto"/>
            <w:vAlign w:val="center"/>
            <w:hideMark/>
          </w:tcPr>
          <w:p w14:paraId="1C10FBEC"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44.0</w:t>
            </w:r>
          </w:p>
        </w:tc>
        <w:tc>
          <w:tcPr>
            <w:tcW w:w="247" w:type="pct"/>
            <w:tcBorders>
              <w:top w:val="nil"/>
              <w:left w:val="nil"/>
              <w:bottom w:val="single" w:sz="4" w:space="0" w:color="auto"/>
              <w:right w:val="single" w:sz="4" w:space="0" w:color="auto"/>
            </w:tcBorders>
            <w:shd w:val="clear" w:color="auto" w:fill="auto"/>
            <w:noWrap/>
            <w:vAlign w:val="center"/>
            <w:hideMark/>
          </w:tcPr>
          <w:p w14:paraId="529D4D19"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21.0</w:t>
            </w:r>
          </w:p>
        </w:tc>
        <w:tc>
          <w:tcPr>
            <w:tcW w:w="260" w:type="pct"/>
            <w:tcBorders>
              <w:top w:val="nil"/>
              <w:left w:val="nil"/>
              <w:bottom w:val="single" w:sz="4" w:space="0" w:color="auto"/>
              <w:right w:val="single" w:sz="4" w:space="0" w:color="auto"/>
            </w:tcBorders>
            <w:shd w:val="clear" w:color="auto" w:fill="auto"/>
            <w:vAlign w:val="center"/>
            <w:hideMark/>
          </w:tcPr>
          <w:p w14:paraId="77A3930B"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42.4</w:t>
            </w:r>
          </w:p>
        </w:tc>
        <w:tc>
          <w:tcPr>
            <w:tcW w:w="276" w:type="pct"/>
            <w:tcBorders>
              <w:top w:val="nil"/>
              <w:left w:val="nil"/>
              <w:bottom w:val="single" w:sz="4" w:space="0" w:color="auto"/>
              <w:right w:val="single" w:sz="4" w:space="0" w:color="auto"/>
            </w:tcBorders>
            <w:shd w:val="clear" w:color="auto" w:fill="auto"/>
            <w:noWrap/>
            <w:vAlign w:val="center"/>
            <w:hideMark/>
          </w:tcPr>
          <w:p w14:paraId="594CFA77"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19.4</w:t>
            </w:r>
          </w:p>
        </w:tc>
        <w:tc>
          <w:tcPr>
            <w:tcW w:w="243" w:type="pct"/>
            <w:tcBorders>
              <w:top w:val="nil"/>
              <w:left w:val="nil"/>
              <w:bottom w:val="single" w:sz="4" w:space="0" w:color="auto"/>
              <w:right w:val="single" w:sz="8" w:space="0" w:color="auto"/>
            </w:tcBorders>
            <w:shd w:val="clear" w:color="auto" w:fill="auto"/>
            <w:noWrap/>
            <w:vAlign w:val="center"/>
            <w:hideMark/>
          </w:tcPr>
          <w:p w14:paraId="79318F9A"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 xml:space="preserve"> -</w:t>
            </w:r>
          </w:p>
        </w:tc>
      </w:tr>
      <w:tr w:rsidR="00596935" w:rsidRPr="00596935" w14:paraId="09392FC6" w14:textId="77777777" w:rsidTr="00596935">
        <w:trPr>
          <w:trHeight w:val="525"/>
        </w:trPr>
        <w:tc>
          <w:tcPr>
            <w:tcW w:w="431" w:type="pct"/>
            <w:tcBorders>
              <w:top w:val="single" w:sz="8" w:space="0" w:color="auto"/>
              <w:left w:val="single" w:sz="8" w:space="0" w:color="000000"/>
              <w:bottom w:val="single" w:sz="8" w:space="0" w:color="000000"/>
              <w:right w:val="single" w:sz="8" w:space="0" w:color="000000"/>
            </w:tcBorders>
            <w:shd w:val="clear" w:color="auto" w:fill="auto"/>
            <w:vAlign w:val="center"/>
            <w:hideMark/>
          </w:tcPr>
          <w:p w14:paraId="1BFC083B" w14:textId="77777777" w:rsidR="003733D2" w:rsidRDefault="00596935" w:rsidP="003733D2">
            <w:pPr>
              <w:rPr>
                <w:rFonts w:cs="Arial"/>
                <w:color w:val="000000"/>
                <w:sz w:val="20"/>
                <w:szCs w:val="20"/>
                <w:lang w:val="de-AT" w:eastAsia="de-AT"/>
              </w:rPr>
            </w:pPr>
            <w:r w:rsidRPr="00596935">
              <w:rPr>
                <w:rFonts w:cs="Arial"/>
                <w:color w:val="000000"/>
                <w:sz w:val="20"/>
                <w:szCs w:val="20"/>
                <w:lang w:val="de-AT" w:eastAsia="de-AT"/>
              </w:rPr>
              <w:t>Roland</w:t>
            </w:r>
          </w:p>
          <w:p w14:paraId="41C76CCC" w14:textId="2ED48604" w:rsidR="00596935" w:rsidRPr="00596935" w:rsidRDefault="00596935" w:rsidP="003733D2">
            <w:pPr>
              <w:rPr>
                <w:rFonts w:cs="Arial"/>
                <w:color w:val="000000"/>
                <w:sz w:val="20"/>
                <w:szCs w:val="20"/>
                <w:lang w:val="de-AT" w:eastAsia="de-AT"/>
              </w:rPr>
            </w:pPr>
            <w:r w:rsidRPr="00596935">
              <w:rPr>
                <w:rFonts w:cs="Arial"/>
                <w:color w:val="000000"/>
                <w:sz w:val="20"/>
                <w:szCs w:val="20"/>
                <w:lang w:val="de-AT" w:eastAsia="de-AT"/>
              </w:rPr>
              <w:t>2001</w:t>
            </w:r>
          </w:p>
        </w:tc>
        <w:tc>
          <w:tcPr>
            <w:tcW w:w="227" w:type="pct"/>
            <w:tcBorders>
              <w:top w:val="nil"/>
              <w:left w:val="nil"/>
              <w:bottom w:val="single" w:sz="8" w:space="0" w:color="000000"/>
              <w:right w:val="nil"/>
            </w:tcBorders>
            <w:shd w:val="clear" w:color="auto" w:fill="auto"/>
            <w:noWrap/>
            <w:vAlign w:val="center"/>
            <w:hideMark/>
          </w:tcPr>
          <w:p w14:paraId="1AA5985E"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23</w:t>
            </w:r>
          </w:p>
        </w:tc>
        <w:tc>
          <w:tcPr>
            <w:tcW w:w="1952" w:type="pct"/>
            <w:gridSpan w:val="8"/>
            <w:tcBorders>
              <w:top w:val="single" w:sz="4" w:space="0" w:color="auto"/>
              <w:left w:val="single" w:sz="8" w:space="0" w:color="auto"/>
              <w:bottom w:val="single" w:sz="8" w:space="0" w:color="auto"/>
              <w:right w:val="single" w:sz="8" w:space="0" w:color="000000"/>
            </w:tcBorders>
            <w:shd w:val="clear" w:color="auto" w:fill="auto"/>
            <w:vAlign w:val="center"/>
            <w:hideMark/>
          </w:tcPr>
          <w:p w14:paraId="5DD301D9"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NO  DATA REPORTED</w:t>
            </w:r>
          </w:p>
        </w:tc>
        <w:tc>
          <w:tcPr>
            <w:tcW w:w="292" w:type="pct"/>
            <w:tcBorders>
              <w:top w:val="nil"/>
              <w:left w:val="nil"/>
              <w:bottom w:val="single" w:sz="8" w:space="0" w:color="auto"/>
              <w:right w:val="single" w:sz="4" w:space="0" w:color="auto"/>
            </w:tcBorders>
            <w:shd w:val="clear" w:color="auto" w:fill="auto"/>
            <w:noWrap/>
            <w:vAlign w:val="center"/>
            <w:hideMark/>
          </w:tcPr>
          <w:p w14:paraId="02FAC86A" w14:textId="77777777" w:rsidR="00596935" w:rsidRPr="00596935" w:rsidRDefault="00596935" w:rsidP="00596935">
            <w:pPr>
              <w:rPr>
                <w:rFonts w:cs="Arial"/>
                <w:color w:val="000000"/>
                <w:sz w:val="20"/>
                <w:szCs w:val="20"/>
                <w:lang w:val="de-AT" w:eastAsia="de-AT"/>
              </w:rPr>
            </w:pPr>
            <w:r w:rsidRPr="00596935">
              <w:rPr>
                <w:rFonts w:cs="Arial"/>
                <w:color w:val="000000"/>
                <w:sz w:val="20"/>
                <w:szCs w:val="20"/>
                <w:lang w:val="de-AT" w:eastAsia="de-AT"/>
              </w:rPr>
              <w:t> </w:t>
            </w:r>
          </w:p>
        </w:tc>
        <w:tc>
          <w:tcPr>
            <w:tcW w:w="247" w:type="pct"/>
            <w:tcBorders>
              <w:top w:val="nil"/>
              <w:left w:val="nil"/>
              <w:bottom w:val="single" w:sz="8" w:space="0" w:color="auto"/>
              <w:right w:val="single" w:sz="4" w:space="0" w:color="auto"/>
            </w:tcBorders>
            <w:shd w:val="clear" w:color="auto" w:fill="auto"/>
            <w:noWrap/>
            <w:vAlign w:val="center"/>
            <w:hideMark/>
          </w:tcPr>
          <w:p w14:paraId="69E7312B" w14:textId="77777777" w:rsidR="00596935" w:rsidRPr="00596935" w:rsidRDefault="00596935" w:rsidP="00596935">
            <w:pPr>
              <w:rPr>
                <w:rFonts w:cs="Arial"/>
                <w:color w:val="000000"/>
                <w:sz w:val="20"/>
                <w:szCs w:val="20"/>
                <w:lang w:val="de-AT" w:eastAsia="de-AT"/>
              </w:rPr>
            </w:pPr>
            <w:r w:rsidRPr="00596935">
              <w:rPr>
                <w:rFonts w:cs="Arial"/>
                <w:color w:val="000000"/>
                <w:sz w:val="20"/>
                <w:szCs w:val="20"/>
                <w:lang w:val="de-AT" w:eastAsia="de-AT"/>
              </w:rPr>
              <w:t> </w:t>
            </w:r>
          </w:p>
        </w:tc>
        <w:tc>
          <w:tcPr>
            <w:tcW w:w="292" w:type="pct"/>
            <w:tcBorders>
              <w:top w:val="nil"/>
              <w:left w:val="nil"/>
              <w:bottom w:val="single" w:sz="8" w:space="0" w:color="auto"/>
              <w:right w:val="single" w:sz="4" w:space="0" w:color="auto"/>
            </w:tcBorders>
            <w:shd w:val="clear" w:color="auto" w:fill="auto"/>
            <w:vAlign w:val="center"/>
            <w:hideMark/>
          </w:tcPr>
          <w:p w14:paraId="65563455"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41</w:t>
            </w:r>
          </w:p>
        </w:tc>
        <w:tc>
          <w:tcPr>
            <w:tcW w:w="243" w:type="pct"/>
            <w:tcBorders>
              <w:top w:val="nil"/>
              <w:left w:val="nil"/>
              <w:bottom w:val="single" w:sz="8" w:space="0" w:color="auto"/>
              <w:right w:val="single" w:sz="4" w:space="0" w:color="auto"/>
            </w:tcBorders>
            <w:shd w:val="clear" w:color="auto" w:fill="auto"/>
            <w:vAlign w:val="center"/>
            <w:hideMark/>
          </w:tcPr>
          <w:p w14:paraId="37229F6F"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26</w:t>
            </w:r>
          </w:p>
        </w:tc>
        <w:tc>
          <w:tcPr>
            <w:tcW w:w="292" w:type="pct"/>
            <w:tcBorders>
              <w:top w:val="nil"/>
              <w:left w:val="nil"/>
              <w:bottom w:val="single" w:sz="8" w:space="0" w:color="auto"/>
              <w:right w:val="single" w:sz="4" w:space="0" w:color="auto"/>
            </w:tcBorders>
            <w:shd w:val="clear" w:color="auto" w:fill="auto"/>
            <w:noWrap/>
            <w:vAlign w:val="center"/>
            <w:hideMark/>
          </w:tcPr>
          <w:p w14:paraId="464B3725"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34.8</w:t>
            </w:r>
          </w:p>
        </w:tc>
        <w:tc>
          <w:tcPr>
            <w:tcW w:w="247" w:type="pct"/>
            <w:tcBorders>
              <w:top w:val="nil"/>
              <w:left w:val="nil"/>
              <w:bottom w:val="single" w:sz="8" w:space="0" w:color="auto"/>
              <w:right w:val="single" w:sz="4" w:space="0" w:color="auto"/>
            </w:tcBorders>
            <w:shd w:val="clear" w:color="auto" w:fill="auto"/>
            <w:noWrap/>
            <w:vAlign w:val="center"/>
            <w:hideMark/>
          </w:tcPr>
          <w:p w14:paraId="4E8F6DC4"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29</w:t>
            </w:r>
          </w:p>
        </w:tc>
        <w:tc>
          <w:tcPr>
            <w:tcW w:w="260" w:type="pct"/>
            <w:tcBorders>
              <w:top w:val="nil"/>
              <w:left w:val="nil"/>
              <w:bottom w:val="single" w:sz="8" w:space="0" w:color="auto"/>
              <w:right w:val="single" w:sz="4" w:space="0" w:color="auto"/>
            </w:tcBorders>
            <w:shd w:val="clear" w:color="auto" w:fill="auto"/>
            <w:noWrap/>
            <w:vAlign w:val="center"/>
            <w:hideMark/>
          </w:tcPr>
          <w:p w14:paraId="6F72E48C"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38.2</w:t>
            </w:r>
          </w:p>
        </w:tc>
        <w:tc>
          <w:tcPr>
            <w:tcW w:w="276" w:type="pct"/>
            <w:tcBorders>
              <w:top w:val="nil"/>
              <w:left w:val="nil"/>
              <w:bottom w:val="single" w:sz="8" w:space="0" w:color="auto"/>
              <w:right w:val="single" w:sz="4" w:space="0" w:color="auto"/>
            </w:tcBorders>
            <w:shd w:val="clear" w:color="auto" w:fill="auto"/>
            <w:noWrap/>
            <w:vAlign w:val="center"/>
            <w:hideMark/>
          </w:tcPr>
          <w:p w14:paraId="25B6C1BA"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25.1</w:t>
            </w:r>
          </w:p>
        </w:tc>
        <w:tc>
          <w:tcPr>
            <w:tcW w:w="243" w:type="pct"/>
            <w:tcBorders>
              <w:top w:val="nil"/>
              <w:left w:val="nil"/>
              <w:bottom w:val="single" w:sz="8" w:space="0" w:color="auto"/>
              <w:right w:val="single" w:sz="8" w:space="0" w:color="auto"/>
            </w:tcBorders>
            <w:shd w:val="clear" w:color="auto" w:fill="auto"/>
            <w:vAlign w:val="center"/>
            <w:hideMark/>
          </w:tcPr>
          <w:p w14:paraId="6F32C194"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28.9</w:t>
            </w:r>
          </w:p>
        </w:tc>
      </w:tr>
      <w:tr w:rsidR="00596935" w:rsidRPr="00596935" w14:paraId="49595B48" w14:textId="77777777" w:rsidTr="00596935">
        <w:trPr>
          <w:trHeight w:val="255"/>
        </w:trPr>
        <w:tc>
          <w:tcPr>
            <w:tcW w:w="5000" w:type="pct"/>
            <w:gridSpan w:val="19"/>
            <w:tcBorders>
              <w:top w:val="nil"/>
              <w:left w:val="nil"/>
              <w:bottom w:val="nil"/>
              <w:right w:val="nil"/>
            </w:tcBorders>
            <w:shd w:val="clear" w:color="auto" w:fill="auto"/>
            <w:vAlign w:val="bottom"/>
            <w:hideMark/>
          </w:tcPr>
          <w:p w14:paraId="71EA6CB5" w14:textId="77777777" w:rsidR="00596935" w:rsidRPr="00596935" w:rsidRDefault="00596935" w:rsidP="00596935">
            <w:pPr>
              <w:jc w:val="right"/>
              <w:rPr>
                <w:rFonts w:cs="Arial"/>
                <w:sz w:val="18"/>
                <w:szCs w:val="18"/>
                <w:lang w:val="de-AT" w:eastAsia="de-AT"/>
              </w:rPr>
            </w:pPr>
            <w:r w:rsidRPr="00596935">
              <w:rPr>
                <w:rFonts w:cs="Arial"/>
                <w:sz w:val="18"/>
                <w:szCs w:val="18"/>
                <w:lang w:val="de-AT" w:eastAsia="de-AT"/>
              </w:rPr>
              <w:t xml:space="preserve"># 12 months and above </w:t>
            </w:r>
          </w:p>
        </w:tc>
      </w:tr>
      <w:tr w:rsidR="00596935" w:rsidRPr="00B34DB0" w14:paraId="6A38A7F6" w14:textId="77777777" w:rsidTr="00596935">
        <w:trPr>
          <w:trHeight w:val="270"/>
        </w:trPr>
        <w:tc>
          <w:tcPr>
            <w:tcW w:w="5000" w:type="pct"/>
            <w:gridSpan w:val="19"/>
            <w:tcBorders>
              <w:top w:val="nil"/>
              <w:left w:val="nil"/>
              <w:bottom w:val="nil"/>
              <w:right w:val="nil"/>
            </w:tcBorders>
            <w:shd w:val="clear" w:color="auto" w:fill="auto"/>
            <w:hideMark/>
          </w:tcPr>
          <w:p w14:paraId="040FB8FE" w14:textId="77777777" w:rsidR="00596935" w:rsidRPr="00596935" w:rsidRDefault="00596935" w:rsidP="00596935">
            <w:pPr>
              <w:jc w:val="right"/>
              <w:rPr>
                <w:rFonts w:cs="Arial"/>
                <w:sz w:val="18"/>
                <w:szCs w:val="18"/>
                <w:lang w:val="en-US" w:eastAsia="de-AT"/>
              </w:rPr>
            </w:pPr>
            <w:r w:rsidRPr="00596935">
              <w:rPr>
                <w:rFonts w:cs="Arial"/>
                <w:sz w:val="18"/>
                <w:szCs w:val="18"/>
                <w:lang w:val="en-US" w:eastAsia="de-AT"/>
              </w:rPr>
              <w:t>Background Noise (BN), Reverberation (RV); Ease of Communication (EC), Aversiveness to Sound (AV)</w:t>
            </w:r>
          </w:p>
        </w:tc>
      </w:tr>
      <w:tr w:rsidR="00596935" w:rsidRPr="00596935" w14:paraId="67F50938" w14:textId="77777777" w:rsidTr="00596935">
        <w:trPr>
          <w:trHeight w:val="330"/>
        </w:trPr>
        <w:tc>
          <w:tcPr>
            <w:tcW w:w="431" w:type="pct"/>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1A907158"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author</w:t>
            </w:r>
          </w:p>
        </w:tc>
        <w:tc>
          <w:tcPr>
            <w:tcW w:w="227" w:type="pct"/>
            <w:vMerge w:val="restart"/>
            <w:tcBorders>
              <w:top w:val="single" w:sz="8" w:space="0" w:color="000000"/>
              <w:left w:val="single" w:sz="8" w:space="0" w:color="000000"/>
              <w:bottom w:val="single" w:sz="8" w:space="0" w:color="000000"/>
              <w:right w:val="nil"/>
            </w:tcBorders>
            <w:shd w:val="clear" w:color="auto" w:fill="auto"/>
            <w:noWrap/>
            <w:vAlign w:val="center"/>
            <w:hideMark/>
          </w:tcPr>
          <w:p w14:paraId="325902CE"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n</w:t>
            </w:r>
          </w:p>
        </w:tc>
        <w:tc>
          <w:tcPr>
            <w:tcW w:w="763" w:type="pct"/>
            <w:gridSpan w:val="3"/>
            <w:tcBorders>
              <w:top w:val="single" w:sz="8" w:space="0" w:color="auto"/>
              <w:left w:val="single" w:sz="8" w:space="0" w:color="auto"/>
              <w:bottom w:val="single" w:sz="8" w:space="0" w:color="000000"/>
              <w:right w:val="single" w:sz="8" w:space="0" w:color="000000"/>
            </w:tcBorders>
            <w:shd w:val="clear" w:color="000000" w:fill="F2DCDB"/>
            <w:noWrap/>
            <w:vAlign w:val="bottom"/>
            <w:hideMark/>
          </w:tcPr>
          <w:p w14:paraId="1BCD5767" w14:textId="77777777" w:rsidR="00596935" w:rsidRPr="00596935" w:rsidRDefault="00596935" w:rsidP="00596935">
            <w:pPr>
              <w:jc w:val="center"/>
              <w:rPr>
                <w:rFonts w:cs="Arial"/>
                <w:b/>
                <w:bCs/>
                <w:sz w:val="20"/>
                <w:szCs w:val="20"/>
                <w:lang w:val="de-AT" w:eastAsia="de-AT"/>
              </w:rPr>
            </w:pPr>
            <w:r w:rsidRPr="00596935">
              <w:rPr>
                <w:rFonts w:cs="Arial"/>
                <w:b/>
                <w:bCs/>
                <w:sz w:val="20"/>
                <w:szCs w:val="20"/>
                <w:lang w:val="de-AT" w:eastAsia="de-AT"/>
              </w:rPr>
              <w:t>GBI score</w:t>
            </w:r>
          </w:p>
        </w:tc>
        <w:tc>
          <w:tcPr>
            <w:tcW w:w="243" w:type="pct"/>
            <w:tcBorders>
              <w:top w:val="nil"/>
              <w:left w:val="nil"/>
              <w:bottom w:val="nil"/>
              <w:right w:val="nil"/>
            </w:tcBorders>
            <w:shd w:val="clear" w:color="auto" w:fill="auto"/>
            <w:noWrap/>
            <w:vAlign w:val="bottom"/>
            <w:hideMark/>
          </w:tcPr>
          <w:p w14:paraId="2F9ED798" w14:textId="77777777" w:rsidR="00596935" w:rsidRPr="00596935" w:rsidRDefault="00596935" w:rsidP="00596935">
            <w:pPr>
              <w:rPr>
                <w:rFonts w:cs="Arial"/>
                <w:b/>
                <w:bCs/>
                <w:sz w:val="20"/>
                <w:szCs w:val="20"/>
                <w:lang w:val="de-AT" w:eastAsia="de-AT"/>
              </w:rPr>
            </w:pPr>
          </w:p>
        </w:tc>
        <w:tc>
          <w:tcPr>
            <w:tcW w:w="945" w:type="pct"/>
            <w:gridSpan w:val="4"/>
            <w:tcBorders>
              <w:top w:val="single" w:sz="8" w:space="0" w:color="auto"/>
              <w:left w:val="single" w:sz="8" w:space="0" w:color="auto"/>
              <w:bottom w:val="single" w:sz="8" w:space="0" w:color="000000"/>
              <w:right w:val="single" w:sz="8" w:space="0" w:color="000000"/>
            </w:tcBorders>
            <w:shd w:val="clear" w:color="000000" w:fill="F2DCDB"/>
            <w:noWrap/>
            <w:vAlign w:val="bottom"/>
            <w:hideMark/>
          </w:tcPr>
          <w:p w14:paraId="7BC1BF80" w14:textId="77777777" w:rsidR="00596935" w:rsidRPr="00596935" w:rsidRDefault="00596935" w:rsidP="00596935">
            <w:pPr>
              <w:jc w:val="center"/>
              <w:rPr>
                <w:rFonts w:cs="Arial"/>
                <w:b/>
                <w:bCs/>
                <w:sz w:val="20"/>
                <w:szCs w:val="20"/>
                <w:lang w:val="de-AT" w:eastAsia="de-AT"/>
              </w:rPr>
            </w:pPr>
            <w:r w:rsidRPr="00596935">
              <w:rPr>
                <w:rFonts w:cs="Arial"/>
                <w:b/>
                <w:bCs/>
                <w:sz w:val="20"/>
                <w:szCs w:val="20"/>
                <w:lang w:val="de-AT" w:eastAsia="de-AT"/>
              </w:rPr>
              <w:t>COSI</w:t>
            </w:r>
          </w:p>
        </w:tc>
        <w:tc>
          <w:tcPr>
            <w:tcW w:w="292" w:type="pct"/>
            <w:tcBorders>
              <w:top w:val="nil"/>
              <w:left w:val="nil"/>
              <w:bottom w:val="nil"/>
              <w:right w:val="nil"/>
            </w:tcBorders>
            <w:shd w:val="clear" w:color="auto" w:fill="auto"/>
            <w:noWrap/>
            <w:vAlign w:val="bottom"/>
            <w:hideMark/>
          </w:tcPr>
          <w:p w14:paraId="52DC972C" w14:textId="77777777" w:rsidR="00596935" w:rsidRPr="00596935" w:rsidRDefault="00596935" w:rsidP="00596935">
            <w:pPr>
              <w:rPr>
                <w:rFonts w:cs="Arial"/>
                <w:sz w:val="20"/>
                <w:szCs w:val="20"/>
                <w:lang w:val="de-AT" w:eastAsia="de-AT"/>
              </w:rPr>
            </w:pPr>
          </w:p>
        </w:tc>
        <w:tc>
          <w:tcPr>
            <w:tcW w:w="2098" w:type="pct"/>
            <w:gridSpan w:val="8"/>
            <w:tcBorders>
              <w:top w:val="single" w:sz="8" w:space="0" w:color="auto"/>
              <w:left w:val="single" w:sz="8" w:space="0" w:color="auto"/>
              <w:bottom w:val="single" w:sz="8" w:space="0" w:color="000000"/>
              <w:right w:val="single" w:sz="8" w:space="0" w:color="000000"/>
            </w:tcBorders>
            <w:shd w:val="clear" w:color="000000" w:fill="F2DCDB"/>
            <w:noWrap/>
            <w:vAlign w:val="bottom"/>
            <w:hideMark/>
          </w:tcPr>
          <w:p w14:paraId="73A04E9E" w14:textId="77777777" w:rsidR="00596935" w:rsidRPr="00596935" w:rsidRDefault="00596935" w:rsidP="00596935">
            <w:pPr>
              <w:jc w:val="center"/>
              <w:rPr>
                <w:rFonts w:cs="Arial"/>
                <w:b/>
                <w:bCs/>
                <w:sz w:val="20"/>
                <w:szCs w:val="20"/>
                <w:lang w:val="de-AT" w:eastAsia="de-AT"/>
              </w:rPr>
            </w:pPr>
            <w:r w:rsidRPr="00596935">
              <w:rPr>
                <w:rFonts w:cs="Arial"/>
                <w:b/>
                <w:bCs/>
                <w:sz w:val="20"/>
                <w:szCs w:val="20"/>
                <w:lang w:val="de-AT" w:eastAsia="de-AT"/>
              </w:rPr>
              <w:t>custom questionnaire</w:t>
            </w:r>
          </w:p>
        </w:tc>
      </w:tr>
      <w:tr w:rsidR="00596935" w:rsidRPr="00596935" w14:paraId="45536B6A" w14:textId="77777777" w:rsidTr="00596935">
        <w:trPr>
          <w:trHeight w:val="315"/>
        </w:trPr>
        <w:tc>
          <w:tcPr>
            <w:tcW w:w="431" w:type="pct"/>
            <w:vMerge/>
            <w:tcBorders>
              <w:top w:val="single" w:sz="8" w:space="0" w:color="000000"/>
              <w:left w:val="single" w:sz="8" w:space="0" w:color="000000"/>
              <w:bottom w:val="single" w:sz="8" w:space="0" w:color="000000"/>
              <w:right w:val="single" w:sz="8" w:space="0" w:color="000000"/>
            </w:tcBorders>
            <w:vAlign w:val="center"/>
            <w:hideMark/>
          </w:tcPr>
          <w:p w14:paraId="3E6F9311" w14:textId="77777777" w:rsidR="00596935" w:rsidRPr="00596935" w:rsidRDefault="00596935" w:rsidP="00596935">
            <w:pPr>
              <w:rPr>
                <w:rFonts w:cs="Arial"/>
                <w:i/>
                <w:iCs/>
                <w:sz w:val="20"/>
                <w:szCs w:val="20"/>
                <w:lang w:val="de-AT" w:eastAsia="de-AT"/>
              </w:rPr>
            </w:pPr>
          </w:p>
        </w:tc>
        <w:tc>
          <w:tcPr>
            <w:tcW w:w="227" w:type="pct"/>
            <w:vMerge/>
            <w:tcBorders>
              <w:top w:val="single" w:sz="8" w:space="0" w:color="000000"/>
              <w:left w:val="single" w:sz="8" w:space="0" w:color="000000"/>
              <w:bottom w:val="single" w:sz="8" w:space="0" w:color="000000"/>
              <w:right w:val="nil"/>
            </w:tcBorders>
            <w:vAlign w:val="center"/>
            <w:hideMark/>
          </w:tcPr>
          <w:p w14:paraId="5969D854" w14:textId="77777777" w:rsidR="00596935" w:rsidRPr="00596935" w:rsidRDefault="00596935" w:rsidP="00596935">
            <w:pPr>
              <w:rPr>
                <w:rFonts w:cs="Arial"/>
                <w:sz w:val="20"/>
                <w:szCs w:val="20"/>
                <w:lang w:val="de-AT" w:eastAsia="de-AT"/>
              </w:rPr>
            </w:pPr>
          </w:p>
        </w:tc>
        <w:tc>
          <w:tcPr>
            <w:tcW w:w="763" w:type="pct"/>
            <w:gridSpan w:val="3"/>
            <w:tcBorders>
              <w:top w:val="nil"/>
              <w:left w:val="single" w:sz="8" w:space="0" w:color="auto"/>
              <w:bottom w:val="nil"/>
              <w:right w:val="single" w:sz="8" w:space="0" w:color="000000"/>
            </w:tcBorders>
            <w:shd w:val="clear" w:color="000000" w:fill="D9D9D9"/>
            <w:vAlign w:val="center"/>
            <w:hideMark/>
          </w:tcPr>
          <w:p w14:paraId="4C9CF099"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total</w:t>
            </w:r>
          </w:p>
        </w:tc>
        <w:tc>
          <w:tcPr>
            <w:tcW w:w="243" w:type="pct"/>
            <w:tcBorders>
              <w:top w:val="nil"/>
              <w:left w:val="nil"/>
              <w:bottom w:val="nil"/>
              <w:right w:val="nil"/>
            </w:tcBorders>
            <w:shd w:val="clear" w:color="auto" w:fill="auto"/>
            <w:vAlign w:val="bottom"/>
            <w:hideMark/>
          </w:tcPr>
          <w:p w14:paraId="3BC6EE81" w14:textId="77777777" w:rsidR="00596935" w:rsidRPr="00596935" w:rsidRDefault="00596935" w:rsidP="00596935">
            <w:pPr>
              <w:jc w:val="center"/>
              <w:rPr>
                <w:rFonts w:cs="Arial"/>
                <w:sz w:val="20"/>
                <w:szCs w:val="20"/>
                <w:lang w:val="de-AT" w:eastAsia="de-AT"/>
              </w:rPr>
            </w:pPr>
          </w:p>
        </w:tc>
        <w:tc>
          <w:tcPr>
            <w:tcW w:w="487" w:type="pct"/>
            <w:gridSpan w:val="2"/>
            <w:tcBorders>
              <w:top w:val="nil"/>
              <w:left w:val="single" w:sz="8" w:space="0" w:color="auto"/>
              <w:bottom w:val="nil"/>
              <w:right w:val="nil"/>
            </w:tcBorders>
            <w:shd w:val="clear" w:color="000000" w:fill="D9D9D9"/>
            <w:vAlign w:val="center"/>
            <w:hideMark/>
          </w:tcPr>
          <w:p w14:paraId="59B8AB4B"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in itinere</w:t>
            </w:r>
          </w:p>
        </w:tc>
        <w:tc>
          <w:tcPr>
            <w:tcW w:w="458" w:type="pct"/>
            <w:gridSpan w:val="2"/>
            <w:tcBorders>
              <w:top w:val="nil"/>
              <w:left w:val="nil"/>
              <w:bottom w:val="nil"/>
              <w:right w:val="single" w:sz="8" w:space="0" w:color="000000"/>
            </w:tcBorders>
            <w:shd w:val="clear" w:color="000000" w:fill="D9D9D9"/>
            <w:vAlign w:val="center"/>
            <w:hideMark/>
          </w:tcPr>
          <w:p w14:paraId="1C9053AF" w14:textId="77777777" w:rsidR="00596935" w:rsidRPr="00596935" w:rsidRDefault="00596935" w:rsidP="00596935">
            <w:pPr>
              <w:jc w:val="center"/>
              <w:rPr>
                <w:rFonts w:cs="Arial"/>
                <w:i/>
                <w:iCs/>
                <w:sz w:val="20"/>
                <w:szCs w:val="20"/>
                <w:lang w:val="de-AT" w:eastAsia="de-AT"/>
              </w:rPr>
            </w:pPr>
            <w:r w:rsidRPr="00596935">
              <w:rPr>
                <w:rFonts w:cs="Arial"/>
                <w:i/>
                <w:iCs/>
                <w:sz w:val="20"/>
                <w:szCs w:val="20"/>
                <w:lang w:val="de-AT" w:eastAsia="de-AT"/>
              </w:rPr>
              <w:t>final score</w:t>
            </w:r>
          </w:p>
        </w:tc>
        <w:tc>
          <w:tcPr>
            <w:tcW w:w="292" w:type="pct"/>
            <w:tcBorders>
              <w:top w:val="nil"/>
              <w:left w:val="nil"/>
              <w:bottom w:val="nil"/>
              <w:right w:val="nil"/>
            </w:tcBorders>
            <w:shd w:val="clear" w:color="auto" w:fill="auto"/>
            <w:hideMark/>
          </w:tcPr>
          <w:p w14:paraId="67E72894" w14:textId="77777777" w:rsidR="00596935" w:rsidRPr="00596935" w:rsidRDefault="00596935" w:rsidP="00596935">
            <w:pPr>
              <w:jc w:val="center"/>
              <w:rPr>
                <w:rFonts w:cs="Arial"/>
                <w:sz w:val="20"/>
                <w:szCs w:val="20"/>
                <w:lang w:val="de-AT" w:eastAsia="de-AT"/>
              </w:rPr>
            </w:pPr>
          </w:p>
        </w:tc>
        <w:tc>
          <w:tcPr>
            <w:tcW w:w="538" w:type="pct"/>
            <w:gridSpan w:val="2"/>
            <w:tcBorders>
              <w:top w:val="single" w:sz="8" w:space="0" w:color="000000"/>
              <w:left w:val="single" w:sz="8" w:space="0" w:color="auto"/>
              <w:bottom w:val="nil"/>
              <w:right w:val="single" w:sz="8" w:space="0" w:color="000000"/>
            </w:tcBorders>
            <w:shd w:val="clear" w:color="000000" w:fill="D9D9D9"/>
            <w:noWrap/>
            <w:vAlign w:val="center"/>
            <w:hideMark/>
          </w:tcPr>
          <w:p w14:paraId="2A0CA4F6"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soundquality</w:t>
            </w:r>
          </w:p>
        </w:tc>
        <w:tc>
          <w:tcPr>
            <w:tcW w:w="781" w:type="pct"/>
            <w:gridSpan w:val="3"/>
            <w:tcBorders>
              <w:top w:val="single" w:sz="8" w:space="0" w:color="000000"/>
              <w:left w:val="nil"/>
              <w:bottom w:val="nil"/>
              <w:right w:val="single" w:sz="8" w:space="0" w:color="000000"/>
            </w:tcBorders>
            <w:shd w:val="clear" w:color="000000" w:fill="D9D9D9"/>
            <w:noWrap/>
            <w:vAlign w:val="center"/>
            <w:hideMark/>
          </w:tcPr>
          <w:p w14:paraId="42213A1F"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overall satisfaction</w:t>
            </w:r>
          </w:p>
        </w:tc>
        <w:tc>
          <w:tcPr>
            <w:tcW w:w="779" w:type="pct"/>
            <w:gridSpan w:val="3"/>
            <w:tcBorders>
              <w:top w:val="single" w:sz="8" w:space="0" w:color="000000"/>
              <w:left w:val="nil"/>
              <w:bottom w:val="nil"/>
              <w:right w:val="single" w:sz="8" w:space="0" w:color="000000"/>
            </w:tcBorders>
            <w:shd w:val="clear" w:color="000000" w:fill="D9D9D9"/>
            <w:noWrap/>
            <w:vAlign w:val="center"/>
            <w:hideMark/>
          </w:tcPr>
          <w:p w14:paraId="0FBF9F6A"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recommend to others</w:t>
            </w:r>
          </w:p>
        </w:tc>
      </w:tr>
      <w:tr w:rsidR="00596935" w:rsidRPr="00596935" w14:paraId="0D61C3C9" w14:textId="77777777" w:rsidTr="00596935">
        <w:trPr>
          <w:trHeight w:val="315"/>
        </w:trPr>
        <w:tc>
          <w:tcPr>
            <w:tcW w:w="431" w:type="pct"/>
            <w:vMerge w:val="restart"/>
            <w:tcBorders>
              <w:top w:val="nil"/>
              <w:left w:val="single" w:sz="8" w:space="0" w:color="000000"/>
              <w:bottom w:val="nil"/>
              <w:right w:val="single" w:sz="8" w:space="0" w:color="000000"/>
            </w:tcBorders>
            <w:shd w:val="clear" w:color="auto" w:fill="auto"/>
            <w:vAlign w:val="center"/>
            <w:hideMark/>
          </w:tcPr>
          <w:p w14:paraId="147344F0" w14:textId="77777777" w:rsidR="003733D2" w:rsidRDefault="00596935" w:rsidP="003733D2">
            <w:pPr>
              <w:rPr>
                <w:rFonts w:cs="Arial"/>
                <w:sz w:val="20"/>
                <w:szCs w:val="20"/>
                <w:lang w:val="de-AT" w:eastAsia="de-AT"/>
              </w:rPr>
            </w:pPr>
            <w:r w:rsidRPr="00596935">
              <w:rPr>
                <w:rFonts w:cs="Arial"/>
                <w:sz w:val="20"/>
                <w:szCs w:val="20"/>
                <w:lang w:val="de-AT" w:eastAsia="de-AT"/>
              </w:rPr>
              <w:t>Barbara</w:t>
            </w:r>
          </w:p>
          <w:p w14:paraId="2C4CAD68" w14:textId="252865DC" w:rsidR="00596935" w:rsidRPr="00596935" w:rsidRDefault="00596935" w:rsidP="003733D2">
            <w:pPr>
              <w:rPr>
                <w:rFonts w:cs="Arial"/>
                <w:sz w:val="20"/>
                <w:szCs w:val="20"/>
                <w:lang w:val="de-AT" w:eastAsia="de-AT"/>
              </w:rPr>
            </w:pPr>
            <w:r w:rsidRPr="00596935">
              <w:rPr>
                <w:rFonts w:cs="Arial"/>
                <w:sz w:val="20"/>
                <w:szCs w:val="20"/>
                <w:lang w:val="de-AT" w:eastAsia="de-AT"/>
              </w:rPr>
              <w:t>2011</w:t>
            </w:r>
          </w:p>
        </w:tc>
        <w:tc>
          <w:tcPr>
            <w:tcW w:w="227" w:type="pct"/>
            <w:vMerge w:val="restart"/>
            <w:tcBorders>
              <w:top w:val="nil"/>
              <w:left w:val="single" w:sz="8" w:space="0" w:color="000000"/>
              <w:bottom w:val="nil"/>
              <w:right w:val="nil"/>
            </w:tcBorders>
            <w:shd w:val="clear" w:color="auto" w:fill="auto"/>
            <w:noWrap/>
            <w:vAlign w:val="center"/>
            <w:hideMark/>
          </w:tcPr>
          <w:p w14:paraId="14A537D7"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18</w:t>
            </w:r>
          </w:p>
        </w:tc>
        <w:tc>
          <w:tcPr>
            <w:tcW w:w="763" w:type="pct"/>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215BEA68"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8.98</w:t>
            </w:r>
          </w:p>
        </w:tc>
        <w:tc>
          <w:tcPr>
            <w:tcW w:w="243" w:type="pct"/>
            <w:tcBorders>
              <w:top w:val="nil"/>
              <w:left w:val="nil"/>
              <w:bottom w:val="nil"/>
              <w:right w:val="nil"/>
            </w:tcBorders>
            <w:shd w:val="clear" w:color="auto" w:fill="auto"/>
            <w:vAlign w:val="bottom"/>
            <w:hideMark/>
          </w:tcPr>
          <w:p w14:paraId="5E3C4D34" w14:textId="77777777" w:rsidR="00596935" w:rsidRPr="00596935" w:rsidRDefault="00596935" w:rsidP="00596935">
            <w:pPr>
              <w:jc w:val="center"/>
              <w:rPr>
                <w:rFonts w:cs="Arial"/>
                <w:sz w:val="20"/>
                <w:szCs w:val="20"/>
                <w:lang w:val="de-AT" w:eastAsia="de-AT"/>
              </w:rPr>
            </w:pPr>
          </w:p>
        </w:tc>
        <w:tc>
          <w:tcPr>
            <w:tcW w:w="487" w:type="pct"/>
            <w:gridSpan w:val="2"/>
            <w:tcBorders>
              <w:top w:val="single" w:sz="4" w:space="0" w:color="auto"/>
              <w:left w:val="single" w:sz="8" w:space="0" w:color="auto"/>
              <w:bottom w:val="single" w:sz="4" w:space="0" w:color="auto"/>
              <w:right w:val="single" w:sz="4" w:space="0" w:color="auto"/>
            </w:tcBorders>
            <w:shd w:val="clear" w:color="auto" w:fill="auto"/>
            <w:vAlign w:val="bottom"/>
            <w:hideMark/>
          </w:tcPr>
          <w:p w14:paraId="4A6AB149"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 xml:space="preserve"> -</w:t>
            </w:r>
          </w:p>
        </w:tc>
        <w:tc>
          <w:tcPr>
            <w:tcW w:w="458" w:type="pct"/>
            <w:gridSpan w:val="2"/>
            <w:tcBorders>
              <w:top w:val="single" w:sz="4" w:space="0" w:color="auto"/>
              <w:left w:val="nil"/>
              <w:bottom w:val="single" w:sz="4" w:space="0" w:color="auto"/>
              <w:right w:val="single" w:sz="8" w:space="0" w:color="000000"/>
            </w:tcBorders>
            <w:shd w:val="clear" w:color="auto" w:fill="auto"/>
            <w:noWrap/>
            <w:vAlign w:val="bottom"/>
            <w:hideMark/>
          </w:tcPr>
          <w:p w14:paraId="7A201ED9"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 xml:space="preserve"> -</w:t>
            </w:r>
          </w:p>
        </w:tc>
        <w:tc>
          <w:tcPr>
            <w:tcW w:w="292" w:type="pct"/>
            <w:tcBorders>
              <w:top w:val="nil"/>
              <w:left w:val="nil"/>
              <w:bottom w:val="nil"/>
              <w:right w:val="nil"/>
            </w:tcBorders>
            <w:shd w:val="clear" w:color="auto" w:fill="auto"/>
            <w:hideMark/>
          </w:tcPr>
          <w:p w14:paraId="3D4C6929" w14:textId="77777777" w:rsidR="00596935" w:rsidRPr="00596935" w:rsidRDefault="00596935" w:rsidP="00596935">
            <w:pPr>
              <w:jc w:val="center"/>
              <w:rPr>
                <w:rFonts w:cs="Arial"/>
                <w:sz w:val="20"/>
                <w:szCs w:val="20"/>
                <w:lang w:val="de-AT" w:eastAsia="de-AT"/>
              </w:rPr>
            </w:pPr>
          </w:p>
        </w:tc>
        <w:tc>
          <w:tcPr>
            <w:tcW w:w="247"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76B2D53" w14:textId="77777777" w:rsidR="00596935" w:rsidRPr="00596935" w:rsidRDefault="00596935" w:rsidP="00596935">
            <w:pPr>
              <w:rPr>
                <w:rFonts w:cs="Arial"/>
                <w:sz w:val="20"/>
                <w:szCs w:val="20"/>
                <w:lang w:val="de-AT" w:eastAsia="de-AT"/>
              </w:rPr>
            </w:pPr>
            <w:r w:rsidRPr="00596935">
              <w:rPr>
                <w:rFonts w:cs="Arial"/>
                <w:sz w:val="20"/>
                <w:szCs w:val="20"/>
                <w:lang w:val="de-AT" w:eastAsia="de-AT"/>
              </w:rPr>
              <w:t xml:space="preserve"> - </w:t>
            </w:r>
          </w:p>
        </w:tc>
        <w:tc>
          <w:tcPr>
            <w:tcW w:w="292" w:type="pct"/>
            <w:tcBorders>
              <w:top w:val="single" w:sz="4" w:space="0" w:color="auto"/>
              <w:left w:val="nil"/>
              <w:bottom w:val="single" w:sz="4" w:space="0" w:color="auto"/>
              <w:right w:val="single" w:sz="4" w:space="0" w:color="auto"/>
            </w:tcBorders>
            <w:shd w:val="clear" w:color="auto" w:fill="auto"/>
            <w:noWrap/>
            <w:vAlign w:val="center"/>
            <w:hideMark/>
          </w:tcPr>
          <w:p w14:paraId="25B6A46B" w14:textId="77777777" w:rsidR="00596935" w:rsidRPr="00596935" w:rsidRDefault="00596935" w:rsidP="00596935">
            <w:pPr>
              <w:rPr>
                <w:rFonts w:cs="Arial"/>
                <w:sz w:val="20"/>
                <w:szCs w:val="20"/>
                <w:lang w:val="de-AT" w:eastAsia="de-AT"/>
              </w:rPr>
            </w:pPr>
            <w:r w:rsidRPr="00596935">
              <w:rPr>
                <w:rFonts w:cs="Arial"/>
                <w:sz w:val="20"/>
                <w:szCs w:val="20"/>
                <w:lang w:val="de-AT" w:eastAsia="de-AT"/>
              </w:rPr>
              <w:t xml:space="preserve"> -</w:t>
            </w:r>
          </w:p>
        </w:tc>
        <w:tc>
          <w:tcPr>
            <w:tcW w:w="243" w:type="pct"/>
            <w:tcBorders>
              <w:top w:val="single" w:sz="4" w:space="0" w:color="auto"/>
              <w:left w:val="nil"/>
              <w:bottom w:val="single" w:sz="4" w:space="0" w:color="auto"/>
              <w:right w:val="single" w:sz="4" w:space="0" w:color="auto"/>
            </w:tcBorders>
            <w:shd w:val="clear" w:color="auto" w:fill="auto"/>
            <w:noWrap/>
            <w:vAlign w:val="bottom"/>
            <w:hideMark/>
          </w:tcPr>
          <w:p w14:paraId="6ACE597C" w14:textId="77777777" w:rsidR="00596935" w:rsidRPr="00596935" w:rsidRDefault="00596935" w:rsidP="00596935">
            <w:pPr>
              <w:rPr>
                <w:rFonts w:cs="Arial"/>
                <w:sz w:val="20"/>
                <w:szCs w:val="20"/>
                <w:lang w:val="de-AT" w:eastAsia="de-AT"/>
              </w:rPr>
            </w:pPr>
            <w:r w:rsidRPr="00596935">
              <w:rPr>
                <w:rFonts w:cs="Arial"/>
                <w:sz w:val="20"/>
                <w:szCs w:val="20"/>
                <w:lang w:val="de-AT" w:eastAsia="de-AT"/>
              </w:rPr>
              <w:t xml:space="preserve"> - </w:t>
            </w:r>
          </w:p>
        </w:tc>
        <w:tc>
          <w:tcPr>
            <w:tcW w:w="292" w:type="pct"/>
            <w:tcBorders>
              <w:top w:val="single" w:sz="4" w:space="0" w:color="auto"/>
              <w:left w:val="nil"/>
              <w:bottom w:val="single" w:sz="4" w:space="0" w:color="auto"/>
              <w:right w:val="single" w:sz="4" w:space="0" w:color="auto"/>
            </w:tcBorders>
            <w:shd w:val="clear" w:color="auto" w:fill="auto"/>
            <w:noWrap/>
            <w:vAlign w:val="bottom"/>
            <w:hideMark/>
          </w:tcPr>
          <w:p w14:paraId="094BE83B" w14:textId="77777777" w:rsidR="00596935" w:rsidRPr="00596935" w:rsidRDefault="00596935" w:rsidP="00596935">
            <w:pPr>
              <w:rPr>
                <w:rFonts w:cs="Arial"/>
                <w:sz w:val="20"/>
                <w:szCs w:val="20"/>
                <w:lang w:val="de-AT" w:eastAsia="de-AT"/>
              </w:rPr>
            </w:pPr>
            <w:r w:rsidRPr="00596935">
              <w:rPr>
                <w:rFonts w:cs="Arial"/>
                <w:sz w:val="20"/>
                <w:szCs w:val="20"/>
                <w:lang w:val="de-AT" w:eastAsia="de-AT"/>
              </w:rPr>
              <w:t xml:space="preserve"> - </w:t>
            </w:r>
          </w:p>
        </w:tc>
        <w:tc>
          <w:tcPr>
            <w:tcW w:w="247" w:type="pct"/>
            <w:tcBorders>
              <w:top w:val="single" w:sz="4" w:space="0" w:color="auto"/>
              <w:left w:val="nil"/>
              <w:bottom w:val="single" w:sz="4" w:space="0" w:color="auto"/>
              <w:right w:val="single" w:sz="4" w:space="0" w:color="auto"/>
            </w:tcBorders>
            <w:shd w:val="clear" w:color="auto" w:fill="auto"/>
            <w:noWrap/>
            <w:vAlign w:val="center"/>
            <w:hideMark/>
          </w:tcPr>
          <w:p w14:paraId="4018CE6A" w14:textId="77777777" w:rsidR="00596935" w:rsidRPr="00596935" w:rsidRDefault="00596935" w:rsidP="00596935">
            <w:pPr>
              <w:rPr>
                <w:rFonts w:cs="Arial"/>
                <w:sz w:val="20"/>
                <w:szCs w:val="20"/>
                <w:lang w:val="de-AT" w:eastAsia="de-AT"/>
              </w:rPr>
            </w:pPr>
            <w:r w:rsidRPr="00596935">
              <w:rPr>
                <w:rFonts w:cs="Arial"/>
                <w:sz w:val="20"/>
                <w:szCs w:val="20"/>
                <w:lang w:val="de-AT" w:eastAsia="de-AT"/>
              </w:rPr>
              <w:t xml:space="preserve"> -</w:t>
            </w:r>
          </w:p>
        </w:tc>
        <w:tc>
          <w:tcPr>
            <w:tcW w:w="260" w:type="pct"/>
            <w:tcBorders>
              <w:top w:val="single" w:sz="4" w:space="0" w:color="auto"/>
              <w:left w:val="nil"/>
              <w:bottom w:val="single" w:sz="4" w:space="0" w:color="auto"/>
              <w:right w:val="single" w:sz="4" w:space="0" w:color="auto"/>
            </w:tcBorders>
            <w:shd w:val="clear" w:color="auto" w:fill="auto"/>
            <w:noWrap/>
            <w:vAlign w:val="bottom"/>
            <w:hideMark/>
          </w:tcPr>
          <w:p w14:paraId="12B38E14" w14:textId="77777777" w:rsidR="00596935" w:rsidRPr="00596935" w:rsidRDefault="00596935" w:rsidP="00596935">
            <w:pPr>
              <w:rPr>
                <w:rFonts w:cs="Arial"/>
                <w:sz w:val="20"/>
                <w:szCs w:val="20"/>
                <w:lang w:val="de-AT" w:eastAsia="de-AT"/>
              </w:rPr>
            </w:pPr>
            <w:r w:rsidRPr="00596935">
              <w:rPr>
                <w:rFonts w:cs="Arial"/>
                <w:sz w:val="20"/>
                <w:szCs w:val="20"/>
                <w:lang w:val="de-AT" w:eastAsia="de-AT"/>
              </w:rPr>
              <w:t xml:space="preserve"> -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14:paraId="0D5E5961" w14:textId="77777777" w:rsidR="00596935" w:rsidRPr="00596935" w:rsidRDefault="00596935" w:rsidP="00596935">
            <w:pPr>
              <w:rPr>
                <w:rFonts w:cs="Arial"/>
                <w:sz w:val="20"/>
                <w:szCs w:val="20"/>
                <w:lang w:val="de-AT" w:eastAsia="de-AT"/>
              </w:rPr>
            </w:pPr>
            <w:r w:rsidRPr="00596935">
              <w:rPr>
                <w:rFonts w:cs="Arial"/>
                <w:sz w:val="20"/>
                <w:szCs w:val="20"/>
                <w:lang w:val="de-AT" w:eastAsia="de-AT"/>
              </w:rPr>
              <w:t xml:space="preserve"> - </w:t>
            </w:r>
          </w:p>
        </w:tc>
        <w:tc>
          <w:tcPr>
            <w:tcW w:w="243" w:type="pct"/>
            <w:tcBorders>
              <w:top w:val="single" w:sz="4" w:space="0" w:color="auto"/>
              <w:left w:val="nil"/>
              <w:bottom w:val="single" w:sz="4" w:space="0" w:color="auto"/>
              <w:right w:val="single" w:sz="8" w:space="0" w:color="auto"/>
            </w:tcBorders>
            <w:shd w:val="clear" w:color="auto" w:fill="auto"/>
            <w:noWrap/>
            <w:vAlign w:val="center"/>
            <w:hideMark/>
          </w:tcPr>
          <w:p w14:paraId="779795FB" w14:textId="77777777" w:rsidR="00596935" w:rsidRPr="00596935" w:rsidRDefault="00596935" w:rsidP="00596935">
            <w:pPr>
              <w:rPr>
                <w:rFonts w:cs="Arial"/>
                <w:sz w:val="20"/>
                <w:szCs w:val="20"/>
                <w:lang w:val="de-AT" w:eastAsia="de-AT"/>
              </w:rPr>
            </w:pPr>
            <w:r w:rsidRPr="00596935">
              <w:rPr>
                <w:rFonts w:cs="Arial"/>
                <w:sz w:val="20"/>
                <w:szCs w:val="20"/>
                <w:lang w:val="de-AT" w:eastAsia="de-AT"/>
              </w:rPr>
              <w:t xml:space="preserve"> -</w:t>
            </w:r>
          </w:p>
        </w:tc>
      </w:tr>
      <w:tr w:rsidR="00596935" w:rsidRPr="00596935" w14:paraId="0CCB0317" w14:textId="77777777" w:rsidTr="00596935">
        <w:trPr>
          <w:trHeight w:val="300"/>
        </w:trPr>
        <w:tc>
          <w:tcPr>
            <w:tcW w:w="431" w:type="pct"/>
            <w:vMerge/>
            <w:tcBorders>
              <w:top w:val="nil"/>
              <w:left w:val="single" w:sz="8" w:space="0" w:color="000000"/>
              <w:bottom w:val="nil"/>
              <w:right w:val="single" w:sz="8" w:space="0" w:color="000000"/>
            </w:tcBorders>
            <w:vAlign w:val="center"/>
            <w:hideMark/>
          </w:tcPr>
          <w:p w14:paraId="7AA0A466" w14:textId="77777777" w:rsidR="00596935" w:rsidRPr="00596935" w:rsidRDefault="00596935" w:rsidP="00596935">
            <w:pPr>
              <w:rPr>
                <w:rFonts w:cs="Arial"/>
                <w:sz w:val="20"/>
                <w:szCs w:val="20"/>
                <w:lang w:val="de-AT" w:eastAsia="de-AT"/>
              </w:rPr>
            </w:pPr>
          </w:p>
        </w:tc>
        <w:tc>
          <w:tcPr>
            <w:tcW w:w="227" w:type="pct"/>
            <w:vMerge/>
            <w:tcBorders>
              <w:top w:val="nil"/>
              <w:left w:val="single" w:sz="8" w:space="0" w:color="000000"/>
              <w:bottom w:val="nil"/>
              <w:right w:val="nil"/>
            </w:tcBorders>
            <w:vAlign w:val="center"/>
            <w:hideMark/>
          </w:tcPr>
          <w:p w14:paraId="7FCFC799" w14:textId="77777777" w:rsidR="00596935" w:rsidRPr="00596935" w:rsidRDefault="00596935" w:rsidP="00596935">
            <w:pPr>
              <w:rPr>
                <w:rFonts w:cs="Arial"/>
                <w:sz w:val="20"/>
                <w:szCs w:val="20"/>
                <w:lang w:val="de-AT" w:eastAsia="de-AT"/>
              </w:rPr>
            </w:pPr>
          </w:p>
        </w:tc>
        <w:tc>
          <w:tcPr>
            <w:tcW w:w="763" w:type="pct"/>
            <w:gridSpan w:val="3"/>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6129442C"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 xml:space="preserve"> -</w:t>
            </w:r>
          </w:p>
        </w:tc>
        <w:tc>
          <w:tcPr>
            <w:tcW w:w="243" w:type="pct"/>
            <w:tcBorders>
              <w:top w:val="nil"/>
              <w:left w:val="nil"/>
              <w:bottom w:val="nil"/>
              <w:right w:val="nil"/>
            </w:tcBorders>
            <w:shd w:val="clear" w:color="auto" w:fill="auto"/>
            <w:vAlign w:val="bottom"/>
            <w:hideMark/>
          </w:tcPr>
          <w:p w14:paraId="0729351D" w14:textId="77777777" w:rsidR="00596935" w:rsidRPr="00596935" w:rsidRDefault="00596935" w:rsidP="00596935">
            <w:pPr>
              <w:jc w:val="center"/>
              <w:rPr>
                <w:rFonts w:cs="Arial"/>
                <w:sz w:val="20"/>
                <w:szCs w:val="20"/>
                <w:lang w:val="de-AT" w:eastAsia="de-AT"/>
              </w:rPr>
            </w:pPr>
          </w:p>
        </w:tc>
        <w:tc>
          <w:tcPr>
            <w:tcW w:w="487" w:type="pct"/>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2E746F1"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17.9</w:t>
            </w:r>
          </w:p>
        </w:tc>
        <w:tc>
          <w:tcPr>
            <w:tcW w:w="458" w:type="pct"/>
            <w:gridSpan w:val="2"/>
            <w:tcBorders>
              <w:top w:val="single" w:sz="4" w:space="0" w:color="auto"/>
              <w:left w:val="nil"/>
              <w:bottom w:val="single" w:sz="4" w:space="0" w:color="auto"/>
              <w:right w:val="single" w:sz="8" w:space="0" w:color="000000"/>
            </w:tcBorders>
            <w:shd w:val="clear" w:color="auto" w:fill="auto"/>
            <w:noWrap/>
            <w:vAlign w:val="center"/>
            <w:hideMark/>
          </w:tcPr>
          <w:p w14:paraId="0D99683E"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19.4</w:t>
            </w:r>
          </w:p>
        </w:tc>
        <w:tc>
          <w:tcPr>
            <w:tcW w:w="292" w:type="pct"/>
            <w:tcBorders>
              <w:top w:val="nil"/>
              <w:left w:val="nil"/>
              <w:bottom w:val="nil"/>
              <w:right w:val="nil"/>
            </w:tcBorders>
            <w:shd w:val="clear" w:color="auto" w:fill="auto"/>
            <w:hideMark/>
          </w:tcPr>
          <w:p w14:paraId="5140BA16" w14:textId="77777777" w:rsidR="00596935" w:rsidRPr="00596935" w:rsidRDefault="00596935" w:rsidP="00596935">
            <w:pPr>
              <w:jc w:val="center"/>
              <w:rPr>
                <w:rFonts w:cs="Arial"/>
                <w:sz w:val="20"/>
                <w:szCs w:val="20"/>
                <w:lang w:val="de-AT" w:eastAsia="de-AT"/>
              </w:rPr>
            </w:pPr>
          </w:p>
        </w:tc>
        <w:tc>
          <w:tcPr>
            <w:tcW w:w="247" w:type="pct"/>
            <w:tcBorders>
              <w:top w:val="nil"/>
              <w:left w:val="single" w:sz="8" w:space="0" w:color="auto"/>
              <w:bottom w:val="single" w:sz="4" w:space="0" w:color="auto"/>
              <w:right w:val="single" w:sz="4" w:space="0" w:color="auto"/>
            </w:tcBorders>
            <w:shd w:val="clear" w:color="auto" w:fill="auto"/>
            <w:noWrap/>
            <w:vAlign w:val="center"/>
            <w:hideMark/>
          </w:tcPr>
          <w:p w14:paraId="3B2FB43C" w14:textId="77777777" w:rsidR="00596935" w:rsidRPr="00596935" w:rsidRDefault="00596935" w:rsidP="00596935">
            <w:pPr>
              <w:rPr>
                <w:rFonts w:cs="Arial"/>
                <w:sz w:val="20"/>
                <w:szCs w:val="20"/>
                <w:lang w:val="de-AT" w:eastAsia="de-AT"/>
              </w:rPr>
            </w:pPr>
            <w:r w:rsidRPr="00596935">
              <w:rPr>
                <w:rFonts w:cs="Arial"/>
                <w:sz w:val="20"/>
                <w:szCs w:val="20"/>
                <w:lang w:val="de-AT" w:eastAsia="de-AT"/>
              </w:rPr>
              <w:t xml:space="preserve"> -</w:t>
            </w:r>
          </w:p>
        </w:tc>
        <w:tc>
          <w:tcPr>
            <w:tcW w:w="292" w:type="pct"/>
            <w:tcBorders>
              <w:top w:val="nil"/>
              <w:left w:val="nil"/>
              <w:bottom w:val="single" w:sz="4" w:space="0" w:color="auto"/>
              <w:right w:val="single" w:sz="4" w:space="0" w:color="auto"/>
            </w:tcBorders>
            <w:shd w:val="clear" w:color="auto" w:fill="auto"/>
            <w:noWrap/>
            <w:vAlign w:val="center"/>
            <w:hideMark/>
          </w:tcPr>
          <w:p w14:paraId="30223E42" w14:textId="77777777" w:rsidR="00596935" w:rsidRPr="00596935" w:rsidRDefault="00596935" w:rsidP="00596935">
            <w:pPr>
              <w:rPr>
                <w:rFonts w:cs="Arial"/>
                <w:sz w:val="20"/>
                <w:szCs w:val="20"/>
                <w:lang w:val="de-AT" w:eastAsia="de-AT"/>
              </w:rPr>
            </w:pPr>
            <w:r w:rsidRPr="00596935">
              <w:rPr>
                <w:rFonts w:cs="Arial"/>
                <w:sz w:val="20"/>
                <w:szCs w:val="20"/>
                <w:lang w:val="de-AT" w:eastAsia="de-AT"/>
              </w:rPr>
              <w:t xml:space="preserve"> -</w:t>
            </w:r>
          </w:p>
        </w:tc>
        <w:tc>
          <w:tcPr>
            <w:tcW w:w="243" w:type="pct"/>
            <w:tcBorders>
              <w:top w:val="nil"/>
              <w:left w:val="nil"/>
              <w:bottom w:val="single" w:sz="4" w:space="0" w:color="auto"/>
              <w:right w:val="single" w:sz="4" w:space="0" w:color="auto"/>
            </w:tcBorders>
            <w:shd w:val="clear" w:color="auto" w:fill="auto"/>
            <w:noWrap/>
            <w:vAlign w:val="center"/>
            <w:hideMark/>
          </w:tcPr>
          <w:p w14:paraId="2CBB495D" w14:textId="77777777" w:rsidR="00596935" w:rsidRPr="00596935" w:rsidRDefault="00596935" w:rsidP="00596935">
            <w:pPr>
              <w:rPr>
                <w:rFonts w:cs="Arial"/>
                <w:sz w:val="20"/>
                <w:szCs w:val="20"/>
                <w:lang w:val="de-AT" w:eastAsia="de-AT"/>
              </w:rPr>
            </w:pPr>
            <w:r w:rsidRPr="00596935">
              <w:rPr>
                <w:rFonts w:cs="Arial"/>
                <w:sz w:val="20"/>
                <w:szCs w:val="20"/>
                <w:lang w:val="de-AT" w:eastAsia="de-AT"/>
              </w:rPr>
              <w:t xml:space="preserve"> -</w:t>
            </w:r>
          </w:p>
        </w:tc>
        <w:tc>
          <w:tcPr>
            <w:tcW w:w="292" w:type="pct"/>
            <w:tcBorders>
              <w:top w:val="nil"/>
              <w:left w:val="nil"/>
              <w:bottom w:val="single" w:sz="4" w:space="0" w:color="auto"/>
              <w:right w:val="single" w:sz="4" w:space="0" w:color="auto"/>
            </w:tcBorders>
            <w:shd w:val="clear" w:color="auto" w:fill="auto"/>
            <w:noWrap/>
            <w:vAlign w:val="center"/>
            <w:hideMark/>
          </w:tcPr>
          <w:p w14:paraId="27FA3108" w14:textId="77777777" w:rsidR="00596935" w:rsidRPr="00596935" w:rsidRDefault="00596935" w:rsidP="00596935">
            <w:pPr>
              <w:rPr>
                <w:rFonts w:cs="Arial"/>
                <w:sz w:val="20"/>
                <w:szCs w:val="20"/>
                <w:lang w:val="de-AT" w:eastAsia="de-AT"/>
              </w:rPr>
            </w:pPr>
            <w:r w:rsidRPr="00596935">
              <w:rPr>
                <w:rFonts w:cs="Arial"/>
                <w:sz w:val="20"/>
                <w:szCs w:val="20"/>
                <w:lang w:val="de-AT" w:eastAsia="de-AT"/>
              </w:rPr>
              <w:t xml:space="preserve"> -</w:t>
            </w:r>
          </w:p>
        </w:tc>
        <w:tc>
          <w:tcPr>
            <w:tcW w:w="247" w:type="pct"/>
            <w:tcBorders>
              <w:top w:val="nil"/>
              <w:left w:val="nil"/>
              <w:bottom w:val="single" w:sz="4" w:space="0" w:color="auto"/>
              <w:right w:val="single" w:sz="4" w:space="0" w:color="auto"/>
            </w:tcBorders>
            <w:shd w:val="clear" w:color="auto" w:fill="auto"/>
            <w:noWrap/>
            <w:vAlign w:val="center"/>
            <w:hideMark/>
          </w:tcPr>
          <w:p w14:paraId="4437B4E1" w14:textId="77777777" w:rsidR="00596935" w:rsidRPr="00596935" w:rsidRDefault="00596935" w:rsidP="00596935">
            <w:pPr>
              <w:rPr>
                <w:rFonts w:cs="Arial"/>
                <w:sz w:val="20"/>
                <w:szCs w:val="20"/>
                <w:lang w:val="de-AT" w:eastAsia="de-AT"/>
              </w:rPr>
            </w:pPr>
            <w:r w:rsidRPr="00596935">
              <w:rPr>
                <w:rFonts w:cs="Arial"/>
                <w:sz w:val="20"/>
                <w:szCs w:val="20"/>
                <w:lang w:val="de-AT" w:eastAsia="de-AT"/>
              </w:rPr>
              <w:t xml:space="preserve"> -</w:t>
            </w:r>
          </w:p>
        </w:tc>
        <w:tc>
          <w:tcPr>
            <w:tcW w:w="260" w:type="pct"/>
            <w:tcBorders>
              <w:top w:val="nil"/>
              <w:left w:val="nil"/>
              <w:bottom w:val="single" w:sz="4" w:space="0" w:color="auto"/>
              <w:right w:val="single" w:sz="4" w:space="0" w:color="auto"/>
            </w:tcBorders>
            <w:shd w:val="clear" w:color="auto" w:fill="auto"/>
            <w:noWrap/>
            <w:vAlign w:val="center"/>
            <w:hideMark/>
          </w:tcPr>
          <w:p w14:paraId="282305B0" w14:textId="77777777" w:rsidR="00596935" w:rsidRPr="00596935" w:rsidRDefault="00596935" w:rsidP="00596935">
            <w:pPr>
              <w:rPr>
                <w:rFonts w:cs="Arial"/>
                <w:sz w:val="20"/>
                <w:szCs w:val="20"/>
                <w:lang w:val="de-AT" w:eastAsia="de-AT"/>
              </w:rPr>
            </w:pPr>
            <w:r w:rsidRPr="00596935">
              <w:rPr>
                <w:rFonts w:cs="Arial"/>
                <w:sz w:val="20"/>
                <w:szCs w:val="20"/>
                <w:lang w:val="de-AT" w:eastAsia="de-AT"/>
              </w:rPr>
              <w:t xml:space="preserve"> -</w:t>
            </w:r>
          </w:p>
        </w:tc>
        <w:tc>
          <w:tcPr>
            <w:tcW w:w="276" w:type="pct"/>
            <w:tcBorders>
              <w:top w:val="nil"/>
              <w:left w:val="nil"/>
              <w:bottom w:val="single" w:sz="4" w:space="0" w:color="auto"/>
              <w:right w:val="single" w:sz="4" w:space="0" w:color="auto"/>
            </w:tcBorders>
            <w:shd w:val="clear" w:color="auto" w:fill="auto"/>
            <w:noWrap/>
            <w:vAlign w:val="center"/>
            <w:hideMark/>
          </w:tcPr>
          <w:p w14:paraId="629E04A1" w14:textId="77777777" w:rsidR="00596935" w:rsidRPr="00596935" w:rsidRDefault="00596935" w:rsidP="00596935">
            <w:pPr>
              <w:rPr>
                <w:rFonts w:cs="Arial"/>
                <w:sz w:val="20"/>
                <w:szCs w:val="20"/>
                <w:lang w:val="de-AT" w:eastAsia="de-AT"/>
              </w:rPr>
            </w:pPr>
            <w:r w:rsidRPr="00596935">
              <w:rPr>
                <w:rFonts w:cs="Arial"/>
                <w:sz w:val="20"/>
                <w:szCs w:val="20"/>
                <w:lang w:val="de-AT" w:eastAsia="de-AT"/>
              </w:rPr>
              <w:t xml:space="preserve"> -</w:t>
            </w:r>
          </w:p>
        </w:tc>
        <w:tc>
          <w:tcPr>
            <w:tcW w:w="243" w:type="pct"/>
            <w:tcBorders>
              <w:top w:val="nil"/>
              <w:left w:val="nil"/>
              <w:bottom w:val="single" w:sz="4" w:space="0" w:color="auto"/>
              <w:right w:val="single" w:sz="8" w:space="0" w:color="auto"/>
            </w:tcBorders>
            <w:shd w:val="clear" w:color="auto" w:fill="auto"/>
            <w:noWrap/>
            <w:vAlign w:val="center"/>
            <w:hideMark/>
          </w:tcPr>
          <w:p w14:paraId="63249091" w14:textId="77777777" w:rsidR="00596935" w:rsidRPr="00596935" w:rsidRDefault="00596935" w:rsidP="00596935">
            <w:pPr>
              <w:rPr>
                <w:rFonts w:cs="Arial"/>
                <w:sz w:val="20"/>
                <w:szCs w:val="20"/>
                <w:lang w:val="de-AT" w:eastAsia="de-AT"/>
              </w:rPr>
            </w:pPr>
            <w:r w:rsidRPr="00596935">
              <w:rPr>
                <w:rFonts w:cs="Arial"/>
                <w:sz w:val="20"/>
                <w:szCs w:val="20"/>
                <w:lang w:val="de-AT" w:eastAsia="de-AT"/>
              </w:rPr>
              <w:t xml:space="preserve"> -</w:t>
            </w:r>
          </w:p>
        </w:tc>
      </w:tr>
      <w:tr w:rsidR="00596935" w:rsidRPr="00596935" w14:paraId="181C2338" w14:textId="77777777" w:rsidTr="00596935">
        <w:trPr>
          <w:trHeight w:val="314"/>
        </w:trPr>
        <w:tc>
          <w:tcPr>
            <w:tcW w:w="431" w:type="pct"/>
            <w:tcBorders>
              <w:top w:val="single" w:sz="8" w:space="0" w:color="auto"/>
              <w:left w:val="single" w:sz="8" w:space="0" w:color="000000"/>
              <w:bottom w:val="single" w:sz="8" w:space="0" w:color="auto"/>
              <w:right w:val="single" w:sz="8" w:space="0" w:color="000000"/>
            </w:tcBorders>
            <w:shd w:val="clear" w:color="auto" w:fill="auto"/>
            <w:vAlign w:val="center"/>
            <w:hideMark/>
          </w:tcPr>
          <w:p w14:paraId="1DA817DB" w14:textId="77777777" w:rsidR="003733D2" w:rsidRDefault="00596935" w:rsidP="003733D2">
            <w:pPr>
              <w:rPr>
                <w:rFonts w:cs="Arial"/>
                <w:sz w:val="20"/>
                <w:szCs w:val="20"/>
                <w:lang w:val="de-AT" w:eastAsia="de-AT"/>
              </w:rPr>
            </w:pPr>
            <w:r w:rsidRPr="00596935">
              <w:rPr>
                <w:rFonts w:cs="Arial"/>
                <w:sz w:val="20"/>
                <w:szCs w:val="20"/>
                <w:lang w:val="de-AT" w:eastAsia="de-AT"/>
              </w:rPr>
              <w:t>Monini</w:t>
            </w:r>
          </w:p>
          <w:p w14:paraId="634238DC" w14:textId="54A7F863" w:rsidR="00596935" w:rsidRPr="00596935" w:rsidRDefault="00596935" w:rsidP="003733D2">
            <w:pPr>
              <w:rPr>
                <w:rFonts w:cs="Arial"/>
                <w:sz w:val="20"/>
                <w:szCs w:val="20"/>
                <w:lang w:val="de-AT" w:eastAsia="de-AT"/>
              </w:rPr>
            </w:pPr>
            <w:r w:rsidRPr="00596935">
              <w:rPr>
                <w:rFonts w:cs="Arial"/>
                <w:sz w:val="20"/>
                <w:szCs w:val="20"/>
                <w:lang w:val="de-AT" w:eastAsia="de-AT"/>
              </w:rPr>
              <w:t>2013</w:t>
            </w:r>
          </w:p>
        </w:tc>
        <w:tc>
          <w:tcPr>
            <w:tcW w:w="227" w:type="pct"/>
            <w:tcBorders>
              <w:top w:val="nil"/>
              <w:left w:val="nil"/>
              <w:bottom w:val="nil"/>
              <w:right w:val="nil"/>
            </w:tcBorders>
            <w:shd w:val="clear" w:color="auto" w:fill="auto"/>
            <w:noWrap/>
            <w:vAlign w:val="center"/>
            <w:hideMark/>
          </w:tcPr>
          <w:p w14:paraId="7E8C2FE7"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8</w:t>
            </w:r>
          </w:p>
        </w:tc>
        <w:tc>
          <w:tcPr>
            <w:tcW w:w="763" w:type="pct"/>
            <w:gridSpan w:val="3"/>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6316A4E8"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 xml:space="preserve"> -</w:t>
            </w:r>
          </w:p>
        </w:tc>
        <w:tc>
          <w:tcPr>
            <w:tcW w:w="243" w:type="pct"/>
            <w:tcBorders>
              <w:top w:val="nil"/>
              <w:left w:val="nil"/>
              <w:bottom w:val="nil"/>
              <w:right w:val="nil"/>
            </w:tcBorders>
            <w:shd w:val="clear" w:color="auto" w:fill="auto"/>
            <w:vAlign w:val="bottom"/>
            <w:hideMark/>
          </w:tcPr>
          <w:p w14:paraId="76C13903" w14:textId="77777777" w:rsidR="00596935" w:rsidRPr="00596935" w:rsidRDefault="00596935" w:rsidP="00596935">
            <w:pPr>
              <w:jc w:val="center"/>
              <w:rPr>
                <w:rFonts w:cs="Arial"/>
                <w:sz w:val="20"/>
                <w:szCs w:val="20"/>
                <w:lang w:val="de-AT" w:eastAsia="de-AT"/>
              </w:rPr>
            </w:pPr>
          </w:p>
        </w:tc>
        <w:tc>
          <w:tcPr>
            <w:tcW w:w="487" w:type="pct"/>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6DB51508"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 xml:space="preserve"> -</w:t>
            </w:r>
          </w:p>
        </w:tc>
        <w:tc>
          <w:tcPr>
            <w:tcW w:w="458" w:type="pct"/>
            <w:gridSpan w:val="2"/>
            <w:tcBorders>
              <w:top w:val="single" w:sz="4" w:space="0" w:color="auto"/>
              <w:left w:val="nil"/>
              <w:bottom w:val="single" w:sz="4" w:space="0" w:color="auto"/>
              <w:right w:val="single" w:sz="8" w:space="0" w:color="000000"/>
            </w:tcBorders>
            <w:shd w:val="clear" w:color="auto" w:fill="auto"/>
            <w:noWrap/>
            <w:vAlign w:val="center"/>
            <w:hideMark/>
          </w:tcPr>
          <w:p w14:paraId="56F4D84E"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22.7</w:t>
            </w:r>
          </w:p>
        </w:tc>
        <w:tc>
          <w:tcPr>
            <w:tcW w:w="292" w:type="pct"/>
            <w:tcBorders>
              <w:top w:val="nil"/>
              <w:left w:val="nil"/>
              <w:bottom w:val="nil"/>
              <w:right w:val="nil"/>
            </w:tcBorders>
            <w:shd w:val="clear" w:color="auto" w:fill="auto"/>
            <w:hideMark/>
          </w:tcPr>
          <w:p w14:paraId="0A1B00AE" w14:textId="77777777" w:rsidR="00596935" w:rsidRPr="00596935" w:rsidRDefault="00596935" w:rsidP="00596935">
            <w:pPr>
              <w:jc w:val="center"/>
              <w:rPr>
                <w:rFonts w:cs="Arial"/>
                <w:sz w:val="20"/>
                <w:szCs w:val="20"/>
                <w:lang w:val="de-AT" w:eastAsia="de-AT"/>
              </w:rPr>
            </w:pPr>
          </w:p>
        </w:tc>
        <w:tc>
          <w:tcPr>
            <w:tcW w:w="247" w:type="pct"/>
            <w:tcBorders>
              <w:top w:val="nil"/>
              <w:left w:val="single" w:sz="8" w:space="0" w:color="auto"/>
              <w:bottom w:val="single" w:sz="4" w:space="0" w:color="auto"/>
              <w:right w:val="single" w:sz="4" w:space="0" w:color="auto"/>
            </w:tcBorders>
            <w:shd w:val="clear" w:color="auto" w:fill="auto"/>
            <w:noWrap/>
            <w:vAlign w:val="center"/>
            <w:hideMark/>
          </w:tcPr>
          <w:p w14:paraId="48F5CC9B" w14:textId="77777777" w:rsidR="00596935" w:rsidRPr="00596935" w:rsidRDefault="00596935" w:rsidP="00596935">
            <w:pPr>
              <w:rPr>
                <w:rFonts w:cs="Arial"/>
                <w:sz w:val="20"/>
                <w:szCs w:val="20"/>
                <w:lang w:val="de-AT" w:eastAsia="de-AT"/>
              </w:rPr>
            </w:pPr>
            <w:r w:rsidRPr="00596935">
              <w:rPr>
                <w:rFonts w:cs="Arial"/>
                <w:sz w:val="20"/>
                <w:szCs w:val="20"/>
                <w:lang w:val="de-AT" w:eastAsia="de-AT"/>
              </w:rPr>
              <w:t xml:space="preserve"> -</w:t>
            </w:r>
          </w:p>
        </w:tc>
        <w:tc>
          <w:tcPr>
            <w:tcW w:w="292" w:type="pct"/>
            <w:tcBorders>
              <w:top w:val="nil"/>
              <w:left w:val="nil"/>
              <w:bottom w:val="single" w:sz="4" w:space="0" w:color="auto"/>
              <w:right w:val="single" w:sz="4" w:space="0" w:color="auto"/>
            </w:tcBorders>
            <w:shd w:val="clear" w:color="auto" w:fill="auto"/>
            <w:noWrap/>
            <w:vAlign w:val="center"/>
            <w:hideMark/>
          </w:tcPr>
          <w:p w14:paraId="18B73565" w14:textId="77777777" w:rsidR="00596935" w:rsidRPr="00596935" w:rsidRDefault="00596935" w:rsidP="00596935">
            <w:pPr>
              <w:rPr>
                <w:rFonts w:cs="Arial"/>
                <w:sz w:val="20"/>
                <w:szCs w:val="20"/>
                <w:lang w:val="de-AT" w:eastAsia="de-AT"/>
              </w:rPr>
            </w:pPr>
            <w:r w:rsidRPr="00596935">
              <w:rPr>
                <w:rFonts w:cs="Arial"/>
                <w:sz w:val="20"/>
                <w:szCs w:val="20"/>
                <w:lang w:val="de-AT" w:eastAsia="de-AT"/>
              </w:rPr>
              <w:t xml:space="preserve"> -</w:t>
            </w:r>
          </w:p>
        </w:tc>
        <w:tc>
          <w:tcPr>
            <w:tcW w:w="243" w:type="pct"/>
            <w:tcBorders>
              <w:top w:val="nil"/>
              <w:left w:val="nil"/>
              <w:bottom w:val="single" w:sz="4" w:space="0" w:color="auto"/>
              <w:right w:val="single" w:sz="4" w:space="0" w:color="auto"/>
            </w:tcBorders>
            <w:shd w:val="clear" w:color="auto" w:fill="auto"/>
            <w:noWrap/>
            <w:vAlign w:val="center"/>
            <w:hideMark/>
          </w:tcPr>
          <w:p w14:paraId="47882A6C" w14:textId="77777777" w:rsidR="00596935" w:rsidRPr="00596935" w:rsidRDefault="00596935" w:rsidP="00596935">
            <w:pPr>
              <w:rPr>
                <w:rFonts w:cs="Arial"/>
                <w:sz w:val="20"/>
                <w:szCs w:val="20"/>
                <w:lang w:val="de-AT" w:eastAsia="de-AT"/>
              </w:rPr>
            </w:pPr>
            <w:r w:rsidRPr="00596935">
              <w:rPr>
                <w:rFonts w:cs="Arial"/>
                <w:sz w:val="20"/>
                <w:szCs w:val="20"/>
                <w:lang w:val="de-AT" w:eastAsia="de-AT"/>
              </w:rPr>
              <w:t xml:space="preserve"> -</w:t>
            </w:r>
          </w:p>
        </w:tc>
        <w:tc>
          <w:tcPr>
            <w:tcW w:w="292" w:type="pct"/>
            <w:tcBorders>
              <w:top w:val="nil"/>
              <w:left w:val="nil"/>
              <w:bottom w:val="single" w:sz="4" w:space="0" w:color="auto"/>
              <w:right w:val="single" w:sz="4" w:space="0" w:color="auto"/>
            </w:tcBorders>
            <w:shd w:val="clear" w:color="auto" w:fill="auto"/>
            <w:noWrap/>
            <w:vAlign w:val="center"/>
            <w:hideMark/>
          </w:tcPr>
          <w:p w14:paraId="4DD05D0E" w14:textId="77777777" w:rsidR="00596935" w:rsidRPr="00596935" w:rsidRDefault="00596935" w:rsidP="00596935">
            <w:pPr>
              <w:rPr>
                <w:rFonts w:cs="Arial"/>
                <w:sz w:val="20"/>
                <w:szCs w:val="20"/>
                <w:lang w:val="de-AT" w:eastAsia="de-AT"/>
              </w:rPr>
            </w:pPr>
            <w:r w:rsidRPr="00596935">
              <w:rPr>
                <w:rFonts w:cs="Arial"/>
                <w:sz w:val="20"/>
                <w:szCs w:val="20"/>
                <w:lang w:val="de-AT" w:eastAsia="de-AT"/>
              </w:rPr>
              <w:t xml:space="preserve"> -</w:t>
            </w:r>
          </w:p>
        </w:tc>
        <w:tc>
          <w:tcPr>
            <w:tcW w:w="247" w:type="pct"/>
            <w:tcBorders>
              <w:top w:val="nil"/>
              <w:left w:val="nil"/>
              <w:bottom w:val="single" w:sz="4" w:space="0" w:color="auto"/>
              <w:right w:val="single" w:sz="4" w:space="0" w:color="auto"/>
            </w:tcBorders>
            <w:shd w:val="clear" w:color="auto" w:fill="auto"/>
            <w:noWrap/>
            <w:vAlign w:val="center"/>
            <w:hideMark/>
          </w:tcPr>
          <w:p w14:paraId="4D8ECA89" w14:textId="77777777" w:rsidR="00596935" w:rsidRPr="00596935" w:rsidRDefault="00596935" w:rsidP="00596935">
            <w:pPr>
              <w:rPr>
                <w:rFonts w:cs="Arial"/>
                <w:sz w:val="20"/>
                <w:szCs w:val="20"/>
                <w:lang w:val="de-AT" w:eastAsia="de-AT"/>
              </w:rPr>
            </w:pPr>
            <w:r w:rsidRPr="00596935">
              <w:rPr>
                <w:rFonts w:cs="Arial"/>
                <w:sz w:val="20"/>
                <w:szCs w:val="20"/>
                <w:lang w:val="de-AT" w:eastAsia="de-AT"/>
              </w:rPr>
              <w:t xml:space="preserve"> -</w:t>
            </w:r>
          </w:p>
        </w:tc>
        <w:tc>
          <w:tcPr>
            <w:tcW w:w="260" w:type="pct"/>
            <w:tcBorders>
              <w:top w:val="nil"/>
              <w:left w:val="nil"/>
              <w:bottom w:val="single" w:sz="4" w:space="0" w:color="auto"/>
              <w:right w:val="single" w:sz="4" w:space="0" w:color="auto"/>
            </w:tcBorders>
            <w:shd w:val="clear" w:color="auto" w:fill="auto"/>
            <w:noWrap/>
            <w:vAlign w:val="center"/>
            <w:hideMark/>
          </w:tcPr>
          <w:p w14:paraId="79FCCB8C" w14:textId="77777777" w:rsidR="00596935" w:rsidRPr="00596935" w:rsidRDefault="00596935" w:rsidP="00596935">
            <w:pPr>
              <w:rPr>
                <w:rFonts w:cs="Arial"/>
                <w:sz w:val="20"/>
                <w:szCs w:val="20"/>
                <w:lang w:val="de-AT" w:eastAsia="de-AT"/>
              </w:rPr>
            </w:pPr>
            <w:r w:rsidRPr="00596935">
              <w:rPr>
                <w:rFonts w:cs="Arial"/>
                <w:sz w:val="20"/>
                <w:szCs w:val="20"/>
                <w:lang w:val="de-AT" w:eastAsia="de-AT"/>
              </w:rPr>
              <w:t xml:space="preserve"> -</w:t>
            </w:r>
          </w:p>
        </w:tc>
        <w:tc>
          <w:tcPr>
            <w:tcW w:w="276" w:type="pct"/>
            <w:tcBorders>
              <w:top w:val="nil"/>
              <w:left w:val="nil"/>
              <w:bottom w:val="single" w:sz="4" w:space="0" w:color="auto"/>
              <w:right w:val="single" w:sz="4" w:space="0" w:color="auto"/>
            </w:tcBorders>
            <w:shd w:val="clear" w:color="auto" w:fill="auto"/>
            <w:noWrap/>
            <w:vAlign w:val="center"/>
            <w:hideMark/>
          </w:tcPr>
          <w:p w14:paraId="7219BBA2" w14:textId="77777777" w:rsidR="00596935" w:rsidRPr="00596935" w:rsidRDefault="00596935" w:rsidP="00596935">
            <w:pPr>
              <w:rPr>
                <w:rFonts w:cs="Arial"/>
                <w:sz w:val="20"/>
                <w:szCs w:val="20"/>
                <w:lang w:val="de-AT" w:eastAsia="de-AT"/>
              </w:rPr>
            </w:pPr>
            <w:r w:rsidRPr="00596935">
              <w:rPr>
                <w:rFonts w:cs="Arial"/>
                <w:sz w:val="20"/>
                <w:szCs w:val="20"/>
                <w:lang w:val="de-AT" w:eastAsia="de-AT"/>
              </w:rPr>
              <w:t xml:space="preserve"> -</w:t>
            </w:r>
          </w:p>
        </w:tc>
        <w:tc>
          <w:tcPr>
            <w:tcW w:w="243" w:type="pct"/>
            <w:tcBorders>
              <w:top w:val="nil"/>
              <w:left w:val="nil"/>
              <w:bottom w:val="single" w:sz="4" w:space="0" w:color="auto"/>
              <w:right w:val="single" w:sz="8" w:space="0" w:color="auto"/>
            </w:tcBorders>
            <w:shd w:val="clear" w:color="auto" w:fill="auto"/>
            <w:noWrap/>
            <w:vAlign w:val="center"/>
            <w:hideMark/>
          </w:tcPr>
          <w:p w14:paraId="604026C4" w14:textId="77777777" w:rsidR="00596935" w:rsidRPr="00596935" w:rsidRDefault="00596935" w:rsidP="00596935">
            <w:pPr>
              <w:rPr>
                <w:rFonts w:cs="Arial"/>
                <w:sz w:val="20"/>
                <w:szCs w:val="20"/>
                <w:lang w:val="de-AT" w:eastAsia="de-AT"/>
              </w:rPr>
            </w:pPr>
            <w:r w:rsidRPr="00596935">
              <w:rPr>
                <w:rFonts w:cs="Arial"/>
                <w:sz w:val="20"/>
                <w:szCs w:val="20"/>
                <w:lang w:val="de-AT" w:eastAsia="de-AT"/>
              </w:rPr>
              <w:t xml:space="preserve"> -</w:t>
            </w:r>
          </w:p>
        </w:tc>
      </w:tr>
      <w:tr w:rsidR="00596935" w:rsidRPr="00596935" w14:paraId="52674C4A" w14:textId="77777777" w:rsidTr="00596935">
        <w:trPr>
          <w:trHeight w:val="392"/>
        </w:trPr>
        <w:tc>
          <w:tcPr>
            <w:tcW w:w="431" w:type="pct"/>
            <w:tcBorders>
              <w:top w:val="nil"/>
              <w:left w:val="single" w:sz="8" w:space="0" w:color="000000"/>
              <w:bottom w:val="single" w:sz="8" w:space="0" w:color="000000"/>
              <w:right w:val="single" w:sz="8" w:space="0" w:color="000000"/>
            </w:tcBorders>
            <w:shd w:val="clear" w:color="auto" w:fill="auto"/>
            <w:vAlign w:val="center"/>
            <w:hideMark/>
          </w:tcPr>
          <w:p w14:paraId="11258769" w14:textId="77777777" w:rsidR="003733D2" w:rsidRDefault="00596935" w:rsidP="003733D2">
            <w:pPr>
              <w:rPr>
                <w:rFonts w:cs="Arial"/>
                <w:color w:val="000000"/>
                <w:sz w:val="20"/>
                <w:szCs w:val="20"/>
                <w:lang w:val="de-AT" w:eastAsia="de-AT"/>
              </w:rPr>
            </w:pPr>
            <w:r w:rsidRPr="00596935">
              <w:rPr>
                <w:rFonts w:cs="Arial"/>
                <w:color w:val="000000"/>
                <w:sz w:val="20"/>
                <w:szCs w:val="20"/>
                <w:lang w:val="de-AT" w:eastAsia="de-AT"/>
              </w:rPr>
              <w:t>Silverstein</w:t>
            </w:r>
          </w:p>
          <w:p w14:paraId="0A7FD20C" w14:textId="67C875AC" w:rsidR="00596935" w:rsidRPr="00596935" w:rsidRDefault="00596935" w:rsidP="003733D2">
            <w:pPr>
              <w:rPr>
                <w:rFonts w:cs="Arial"/>
                <w:color w:val="000000"/>
                <w:sz w:val="20"/>
                <w:szCs w:val="20"/>
                <w:lang w:val="de-AT" w:eastAsia="de-AT"/>
              </w:rPr>
            </w:pPr>
            <w:r w:rsidRPr="00596935">
              <w:rPr>
                <w:rFonts w:cs="Arial"/>
                <w:color w:val="000000"/>
                <w:sz w:val="20"/>
                <w:szCs w:val="20"/>
                <w:lang w:val="de-AT" w:eastAsia="de-AT"/>
              </w:rPr>
              <w:t>2006</w:t>
            </w:r>
          </w:p>
        </w:tc>
        <w:tc>
          <w:tcPr>
            <w:tcW w:w="227" w:type="pct"/>
            <w:tcBorders>
              <w:top w:val="nil"/>
              <w:left w:val="nil"/>
              <w:bottom w:val="single" w:sz="8" w:space="0" w:color="000000"/>
              <w:right w:val="nil"/>
            </w:tcBorders>
            <w:shd w:val="clear" w:color="auto" w:fill="auto"/>
            <w:noWrap/>
            <w:vAlign w:val="center"/>
            <w:hideMark/>
          </w:tcPr>
          <w:p w14:paraId="64A9BA66"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68</w:t>
            </w:r>
          </w:p>
        </w:tc>
        <w:tc>
          <w:tcPr>
            <w:tcW w:w="260" w:type="pct"/>
            <w:tcBorders>
              <w:top w:val="nil"/>
              <w:left w:val="single" w:sz="8" w:space="0" w:color="auto"/>
              <w:bottom w:val="single" w:sz="8" w:space="0" w:color="auto"/>
              <w:right w:val="single" w:sz="4" w:space="0" w:color="auto"/>
            </w:tcBorders>
            <w:shd w:val="clear" w:color="auto" w:fill="auto"/>
            <w:noWrap/>
            <w:vAlign w:val="center"/>
            <w:hideMark/>
          </w:tcPr>
          <w:p w14:paraId="5E60C30E"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 xml:space="preserve"> -</w:t>
            </w:r>
          </w:p>
        </w:tc>
        <w:tc>
          <w:tcPr>
            <w:tcW w:w="243" w:type="pct"/>
            <w:tcBorders>
              <w:top w:val="nil"/>
              <w:left w:val="nil"/>
              <w:bottom w:val="single" w:sz="8" w:space="0" w:color="auto"/>
              <w:right w:val="single" w:sz="4" w:space="0" w:color="auto"/>
            </w:tcBorders>
            <w:shd w:val="clear" w:color="auto" w:fill="auto"/>
            <w:noWrap/>
            <w:vAlign w:val="center"/>
            <w:hideMark/>
          </w:tcPr>
          <w:p w14:paraId="4127CE6C"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 xml:space="preserve"> -</w:t>
            </w:r>
          </w:p>
        </w:tc>
        <w:tc>
          <w:tcPr>
            <w:tcW w:w="260" w:type="pct"/>
            <w:tcBorders>
              <w:top w:val="nil"/>
              <w:left w:val="nil"/>
              <w:bottom w:val="single" w:sz="8" w:space="0" w:color="auto"/>
              <w:right w:val="single" w:sz="8" w:space="0" w:color="auto"/>
            </w:tcBorders>
            <w:shd w:val="clear" w:color="auto" w:fill="auto"/>
            <w:noWrap/>
            <w:vAlign w:val="center"/>
            <w:hideMark/>
          </w:tcPr>
          <w:p w14:paraId="2F26D303"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 xml:space="preserve"> -</w:t>
            </w:r>
          </w:p>
        </w:tc>
        <w:tc>
          <w:tcPr>
            <w:tcW w:w="243" w:type="pct"/>
            <w:tcBorders>
              <w:top w:val="nil"/>
              <w:left w:val="nil"/>
              <w:bottom w:val="nil"/>
              <w:right w:val="nil"/>
            </w:tcBorders>
            <w:shd w:val="clear" w:color="auto" w:fill="auto"/>
            <w:noWrap/>
            <w:vAlign w:val="bottom"/>
            <w:hideMark/>
          </w:tcPr>
          <w:p w14:paraId="7F79E264" w14:textId="77777777" w:rsidR="00596935" w:rsidRPr="00596935" w:rsidRDefault="00596935" w:rsidP="00596935">
            <w:pPr>
              <w:rPr>
                <w:rFonts w:cs="Arial"/>
                <w:sz w:val="20"/>
                <w:szCs w:val="20"/>
                <w:lang w:val="de-AT" w:eastAsia="de-AT"/>
              </w:rPr>
            </w:pPr>
          </w:p>
        </w:tc>
        <w:tc>
          <w:tcPr>
            <w:tcW w:w="260" w:type="pct"/>
            <w:tcBorders>
              <w:top w:val="nil"/>
              <w:left w:val="single" w:sz="8" w:space="0" w:color="auto"/>
              <w:bottom w:val="single" w:sz="8" w:space="0" w:color="auto"/>
              <w:right w:val="single" w:sz="4" w:space="0" w:color="auto"/>
            </w:tcBorders>
            <w:shd w:val="clear" w:color="auto" w:fill="auto"/>
            <w:noWrap/>
            <w:vAlign w:val="center"/>
            <w:hideMark/>
          </w:tcPr>
          <w:p w14:paraId="01EF2166" w14:textId="77777777" w:rsidR="00596935" w:rsidRPr="00596935" w:rsidRDefault="00596935" w:rsidP="00596935">
            <w:pPr>
              <w:rPr>
                <w:rFonts w:cs="Arial"/>
                <w:sz w:val="20"/>
                <w:szCs w:val="20"/>
                <w:lang w:val="de-AT" w:eastAsia="de-AT"/>
              </w:rPr>
            </w:pPr>
            <w:r w:rsidRPr="00596935">
              <w:rPr>
                <w:rFonts w:cs="Arial"/>
                <w:sz w:val="20"/>
                <w:szCs w:val="20"/>
                <w:lang w:val="de-AT" w:eastAsia="de-AT"/>
              </w:rPr>
              <w:t xml:space="preserve"> - </w:t>
            </w:r>
          </w:p>
        </w:tc>
        <w:tc>
          <w:tcPr>
            <w:tcW w:w="227" w:type="pct"/>
            <w:tcBorders>
              <w:top w:val="nil"/>
              <w:left w:val="nil"/>
              <w:bottom w:val="single" w:sz="8" w:space="0" w:color="auto"/>
              <w:right w:val="single" w:sz="4" w:space="0" w:color="auto"/>
            </w:tcBorders>
            <w:shd w:val="clear" w:color="auto" w:fill="auto"/>
            <w:noWrap/>
            <w:vAlign w:val="center"/>
            <w:hideMark/>
          </w:tcPr>
          <w:p w14:paraId="4DE0FE53" w14:textId="77777777" w:rsidR="00596935" w:rsidRPr="00596935" w:rsidRDefault="00596935" w:rsidP="00596935">
            <w:pPr>
              <w:rPr>
                <w:rFonts w:cs="Arial"/>
                <w:sz w:val="20"/>
                <w:szCs w:val="20"/>
                <w:lang w:val="de-AT" w:eastAsia="de-AT"/>
              </w:rPr>
            </w:pPr>
            <w:r w:rsidRPr="00596935">
              <w:rPr>
                <w:rFonts w:cs="Arial"/>
                <w:sz w:val="20"/>
                <w:szCs w:val="20"/>
                <w:lang w:val="de-AT" w:eastAsia="de-AT"/>
              </w:rPr>
              <w:t xml:space="preserve"> - </w:t>
            </w:r>
          </w:p>
        </w:tc>
        <w:tc>
          <w:tcPr>
            <w:tcW w:w="215" w:type="pct"/>
            <w:tcBorders>
              <w:top w:val="nil"/>
              <w:left w:val="nil"/>
              <w:bottom w:val="single" w:sz="8" w:space="0" w:color="auto"/>
              <w:right w:val="single" w:sz="4" w:space="0" w:color="auto"/>
            </w:tcBorders>
            <w:shd w:val="clear" w:color="auto" w:fill="auto"/>
            <w:noWrap/>
            <w:vAlign w:val="center"/>
            <w:hideMark/>
          </w:tcPr>
          <w:p w14:paraId="4B899FCE" w14:textId="77777777" w:rsidR="00596935" w:rsidRPr="00596935" w:rsidRDefault="00596935" w:rsidP="00596935">
            <w:pPr>
              <w:rPr>
                <w:rFonts w:cs="Arial"/>
                <w:sz w:val="20"/>
                <w:szCs w:val="20"/>
                <w:lang w:val="de-AT" w:eastAsia="de-AT"/>
              </w:rPr>
            </w:pPr>
            <w:r w:rsidRPr="00596935">
              <w:rPr>
                <w:rFonts w:cs="Arial"/>
                <w:sz w:val="20"/>
                <w:szCs w:val="20"/>
                <w:lang w:val="de-AT" w:eastAsia="de-AT"/>
              </w:rPr>
              <w:t xml:space="preserve"> - </w:t>
            </w:r>
          </w:p>
        </w:tc>
        <w:tc>
          <w:tcPr>
            <w:tcW w:w="243" w:type="pct"/>
            <w:tcBorders>
              <w:top w:val="nil"/>
              <w:left w:val="nil"/>
              <w:bottom w:val="single" w:sz="8" w:space="0" w:color="auto"/>
              <w:right w:val="single" w:sz="8" w:space="0" w:color="auto"/>
            </w:tcBorders>
            <w:shd w:val="clear" w:color="auto" w:fill="auto"/>
            <w:noWrap/>
            <w:vAlign w:val="center"/>
            <w:hideMark/>
          </w:tcPr>
          <w:p w14:paraId="79C470A8" w14:textId="77777777" w:rsidR="00596935" w:rsidRPr="00596935" w:rsidRDefault="00596935" w:rsidP="00596935">
            <w:pPr>
              <w:rPr>
                <w:rFonts w:cs="Arial"/>
                <w:sz w:val="20"/>
                <w:szCs w:val="20"/>
                <w:lang w:val="de-AT" w:eastAsia="de-AT"/>
              </w:rPr>
            </w:pPr>
            <w:r w:rsidRPr="00596935">
              <w:rPr>
                <w:rFonts w:cs="Arial"/>
                <w:sz w:val="20"/>
                <w:szCs w:val="20"/>
                <w:lang w:val="de-AT" w:eastAsia="de-AT"/>
              </w:rPr>
              <w:t xml:space="preserve"> - </w:t>
            </w:r>
          </w:p>
        </w:tc>
        <w:tc>
          <w:tcPr>
            <w:tcW w:w="292" w:type="pct"/>
            <w:tcBorders>
              <w:top w:val="nil"/>
              <w:left w:val="nil"/>
              <w:bottom w:val="nil"/>
              <w:right w:val="nil"/>
            </w:tcBorders>
            <w:shd w:val="clear" w:color="auto" w:fill="auto"/>
            <w:noWrap/>
            <w:vAlign w:val="bottom"/>
            <w:hideMark/>
          </w:tcPr>
          <w:p w14:paraId="0022E089" w14:textId="77777777" w:rsidR="00596935" w:rsidRPr="00596935" w:rsidRDefault="00596935" w:rsidP="00596935">
            <w:pPr>
              <w:rPr>
                <w:rFonts w:cs="Arial"/>
                <w:sz w:val="20"/>
                <w:szCs w:val="20"/>
                <w:lang w:val="de-AT" w:eastAsia="de-AT"/>
              </w:rPr>
            </w:pPr>
          </w:p>
        </w:tc>
        <w:tc>
          <w:tcPr>
            <w:tcW w:w="538" w:type="pct"/>
            <w:gridSpan w:val="2"/>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550C92DA"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2.9/3.3</w:t>
            </w:r>
          </w:p>
        </w:tc>
        <w:tc>
          <w:tcPr>
            <w:tcW w:w="781" w:type="pct"/>
            <w:gridSpan w:val="3"/>
            <w:tcBorders>
              <w:top w:val="single" w:sz="4" w:space="0" w:color="auto"/>
              <w:left w:val="nil"/>
              <w:bottom w:val="single" w:sz="8" w:space="0" w:color="auto"/>
              <w:right w:val="single" w:sz="4" w:space="0" w:color="auto"/>
            </w:tcBorders>
            <w:shd w:val="clear" w:color="auto" w:fill="auto"/>
            <w:noWrap/>
            <w:vAlign w:val="center"/>
            <w:hideMark/>
          </w:tcPr>
          <w:p w14:paraId="5E6AA00B"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2.9/3.3</w:t>
            </w:r>
          </w:p>
        </w:tc>
        <w:tc>
          <w:tcPr>
            <w:tcW w:w="779" w:type="pct"/>
            <w:gridSpan w:val="3"/>
            <w:tcBorders>
              <w:top w:val="single" w:sz="4" w:space="0" w:color="auto"/>
              <w:left w:val="nil"/>
              <w:bottom w:val="single" w:sz="8" w:space="0" w:color="auto"/>
              <w:right w:val="single" w:sz="8" w:space="0" w:color="000000"/>
            </w:tcBorders>
            <w:shd w:val="clear" w:color="auto" w:fill="auto"/>
            <w:noWrap/>
            <w:vAlign w:val="center"/>
            <w:hideMark/>
          </w:tcPr>
          <w:p w14:paraId="3B8AAEF9"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3.0/3.5</w:t>
            </w:r>
          </w:p>
        </w:tc>
      </w:tr>
      <w:tr w:rsidR="00596935" w:rsidRPr="001D51F0" w14:paraId="04FDCB88" w14:textId="77777777" w:rsidTr="00596935">
        <w:trPr>
          <w:trHeight w:val="345"/>
        </w:trPr>
        <w:tc>
          <w:tcPr>
            <w:tcW w:w="431" w:type="pct"/>
            <w:tcBorders>
              <w:top w:val="nil"/>
              <w:left w:val="nil"/>
              <w:bottom w:val="nil"/>
              <w:right w:val="nil"/>
            </w:tcBorders>
            <w:shd w:val="clear" w:color="auto" w:fill="auto"/>
            <w:noWrap/>
            <w:vAlign w:val="bottom"/>
            <w:hideMark/>
          </w:tcPr>
          <w:p w14:paraId="5FE697CF" w14:textId="77777777" w:rsidR="00596935" w:rsidRPr="00596935" w:rsidRDefault="00596935" w:rsidP="00596935">
            <w:pPr>
              <w:rPr>
                <w:rFonts w:cs="Arial"/>
                <w:sz w:val="20"/>
                <w:szCs w:val="20"/>
                <w:lang w:val="de-AT" w:eastAsia="de-AT"/>
              </w:rPr>
            </w:pPr>
          </w:p>
        </w:tc>
        <w:tc>
          <w:tcPr>
            <w:tcW w:w="227" w:type="pct"/>
            <w:tcBorders>
              <w:top w:val="nil"/>
              <w:left w:val="nil"/>
              <w:bottom w:val="nil"/>
              <w:right w:val="nil"/>
            </w:tcBorders>
            <w:shd w:val="clear" w:color="auto" w:fill="auto"/>
            <w:noWrap/>
            <w:vAlign w:val="bottom"/>
            <w:hideMark/>
          </w:tcPr>
          <w:p w14:paraId="2C5AD3BD" w14:textId="77777777" w:rsidR="00596935" w:rsidRPr="00596935" w:rsidRDefault="00596935" w:rsidP="00596935">
            <w:pPr>
              <w:rPr>
                <w:rFonts w:cs="Arial"/>
                <w:sz w:val="20"/>
                <w:szCs w:val="20"/>
                <w:lang w:val="de-AT" w:eastAsia="de-AT"/>
              </w:rPr>
            </w:pPr>
          </w:p>
        </w:tc>
        <w:tc>
          <w:tcPr>
            <w:tcW w:w="260" w:type="pct"/>
            <w:tcBorders>
              <w:top w:val="nil"/>
              <w:left w:val="nil"/>
              <w:bottom w:val="nil"/>
              <w:right w:val="nil"/>
            </w:tcBorders>
            <w:shd w:val="clear" w:color="auto" w:fill="auto"/>
            <w:vAlign w:val="bottom"/>
            <w:hideMark/>
          </w:tcPr>
          <w:p w14:paraId="3379D6F2" w14:textId="77777777" w:rsidR="00596935" w:rsidRPr="00596935" w:rsidRDefault="00596935" w:rsidP="00596935">
            <w:pPr>
              <w:rPr>
                <w:rFonts w:cs="Arial"/>
                <w:sz w:val="20"/>
                <w:szCs w:val="20"/>
                <w:lang w:val="de-AT" w:eastAsia="de-AT"/>
              </w:rPr>
            </w:pPr>
          </w:p>
        </w:tc>
        <w:tc>
          <w:tcPr>
            <w:tcW w:w="243" w:type="pct"/>
            <w:tcBorders>
              <w:top w:val="nil"/>
              <w:left w:val="nil"/>
              <w:bottom w:val="nil"/>
              <w:right w:val="nil"/>
            </w:tcBorders>
            <w:shd w:val="clear" w:color="auto" w:fill="auto"/>
            <w:noWrap/>
            <w:vAlign w:val="bottom"/>
            <w:hideMark/>
          </w:tcPr>
          <w:p w14:paraId="6437E139" w14:textId="77777777" w:rsidR="00596935" w:rsidRPr="00596935" w:rsidRDefault="00596935" w:rsidP="00596935">
            <w:pPr>
              <w:rPr>
                <w:rFonts w:cs="Arial"/>
                <w:sz w:val="20"/>
                <w:szCs w:val="20"/>
                <w:lang w:val="de-AT" w:eastAsia="de-AT"/>
              </w:rPr>
            </w:pPr>
          </w:p>
        </w:tc>
        <w:tc>
          <w:tcPr>
            <w:tcW w:w="260" w:type="pct"/>
            <w:tcBorders>
              <w:top w:val="nil"/>
              <w:left w:val="nil"/>
              <w:bottom w:val="nil"/>
              <w:right w:val="nil"/>
            </w:tcBorders>
            <w:shd w:val="clear" w:color="auto" w:fill="auto"/>
            <w:noWrap/>
            <w:vAlign w:val="bottom"/>
            <w:hideMark/>
          </w:tcPr>
          <w:p w14:paraId="4EC82358" w14:textId="77777777" w:rsidR="00596935" w:rsidRPr="00596935" w:rsidRDefault="00596935" w:rsidP="00596935">
            <w:pPr>
              <w:rPr>
                <w:rFonts w:cs="Arial"/>
                <w:sz w:val="20"/>
                <w:szCs w:val="20"/>
                <w:lang w:val="de-AT" w:eastAsia="de-AT"/>
              </w:rPr>
            </w:pPr>
          </w:p>
        </w:tc>
        <w:tc>
          <w:tcPr>
            <w:tcW w:w="243" w:type="pct"/>
            <w:tcBorders>
              <w:top w:val="nil"/>
              <w:left w:val="nil"/>
              <w:bottom w:val="nil"/>
              <w:right w:val="nil"/>
            </w:tcBorders>
            <w:shd w:val="clear" w:color="auto" w:fill="auto"/>
            <w:noWrap/>
            <w:vAlign w:val="bottom"/>
            <w:hideMark/>
          </w:tcPr>
          <w:p w14:paraId="6F00C66D" w14:textId="77777777" w:rsidR="00596935" w:rsidRPr="00596935" w:rsidRDefault="00596935" w:rsidP="00596935">
            <w:pPr>
              <w:rPr>
                <w:rFonts w:cs="Arial"/>
                <w:sz w:val="20"/>
                <w:szCs w:val="20"/>
                <w:lang w:val="de-AT" w:eastAsia="de-AT"/>
              </w:rPr>
            </w:pPr>
          </w:p>
        </w:tc>
        <w:tc>
          <w:tcPr>
            <w:tcW w:w="260" w:type="pct"/>
            <w:tcBorders>
              <w:top w:val="nil"/>
              <w:left w:val="nil"/>
              <w:bottom w:val="nil"/>
              <w:right w:val="nil"/>
            </w:tcBorders>
            <w:shd w:val="clear" w:color="auto" w:fill="auto"/>
            <w:noWrap/>
            <w:vAlign w:val="bottom"/>
            <w:hideMark/>
          </w:tcPr>
          <w:p w14:paraId="0BC92D2D" w14:textId="77777777" w:rsidR="00596935" w:rsidRPr="00596935" w:rsidRDefault="00596935" w:rsidP="00596935">
            <w:pPr>
              <w:rPr>
                <w:rFonts w:cs="Arial"/>
                <w:sz w:val="20"/>
                <w:szCs w:val="20"/>
                <w:lang w:val="de-AT" w:eastAsia="de-AT"/>
              </w:rPr>
            </w:pPr>
          </w:p>
        </w:tc>
        <w:tc>
          <w:tcPr>
            <w:tcW w:w="227" w:type="pct"/>
            <w:tcBorders>
              <w:top w:val="nil"/>
              <w:left w:val="nil"/>
              <w:bottom w:val="nil"/>
              <w:right w:val="nil"/>
            </w:tcBorders>
            <w:shd w:val="clear" w:color="auto" w:fill="auto"/>
            <w:noWrap/>
            <w:vAlign w:val="bottom"/>
            <w:hideMark/>
          </w:tcPr>
          <w:p w14:paraId="3FD6C847" w14:textId="77777777" w:rsidR="00596935" w:rsidRPr="00596935" w:rsidRDefault="00596935" w:rsidP="00596935">
            <w:pPr>
              <w:rPr>
                <w:rFonts w:cs="Arial"/>
                <w:sz w:val="20"/>
                <w:szCs w:val="20"/>
                <w:lang w:val="de-AT" w:eastAsia="de-AT"/>
              </w:rPr>
            </w:pPr>
          </w:p>
        </w:tc>
        <w:tc>
          <w:tcPr>
            <w:tcW w:w="215" w:type="pct"/>
            <w:tcBorders>
              <w:top w:val="nil"/>
              <w:left w:val="nil"/>
              <w:bottom w:val="nil"/>
              <w:right w:val="nil"/>
            </w:tcBorders>
            <w:shd w:val="clear" w:color="auto" w:fill="auto"/>
            <w:noWrap/>
            <w:vAlign w:val="bottom"/>
            <w:hideMark/>
          </w:tcPr>
          <w:p w14:paraId="2DCE16B9" w14:textId="77777777" w:rsidR="00596935" w:rsidRPr="00596935" w:rsidRDefault="00596935" w:rsidP="00596935">
            <w:pPr>
              <w:rPr>
                <w:rFonts w:cs="Arial"/>
                <w:sz w:val="20"/>
                <w:szCs w:val="20"/>
                <w:lang w:val="de-AT" w:eastAsia="de-AT"/>
              </w:rPr>
            </w:pPr>
          </w:p>
        </w:tc>
        <w:tc>
          <w:tcPr>
            <w:tcW w:w="243" w:type="pct"/>
            <w:tcBorders>
              <w:top w:val="nil"/>
              <w:left w:val="nil"/>
              <w:bottom w:val="nil"/>
              <w:right w:val="nil"/>
            </w:tcBorders>
            <w:shd w:val="clear" w:color="auto" w:fill="auto"/>
            <w:noWrap/>
            <w:vAlign w:val="bottom"/>
            <w:hideMark/>
          </w:tcPr>
          <w:p w14:paraId="564A8342" w14:textId="77777777" w:rsidR="00596935" w:rsidRPr="00596935" w:rsidRDefault="00596935" w:rsidP="00596935">
            <w:pPr>
              <w:rPr>
                <w:rFonts w:cs="Arial"/>
                <w:sz w:val="20"/>
                <w:szCs w:val="20"/>
                <w:lang w:val="de-AT" w:eastAsia="de-AT"/>
              </w:rPr>
            </w:pPr>
          </w:p>
        </w:tc>
        <w:tc>
          <w:tcPr>
            <w:tcW w:w="292" w:type="pct"/>
            <w:tcBorders>
              <w:top w:val="nil"/>
              <w:left w:val="nil"/>
              <w:bottom w:val="nil"/>
              <w:right w:val="nil"/>
            </w:tcBorders>
            <w:shd w:val="clear" w:color="auto" w:fill="auto"/>
            <w:noWrap/>
            <w:vAlign w:val="bottom"/>
            <w:hideMark/>
          </w:tcPr>
          <w:p w14:paraId="039A62D5" w14:textId="77777777" w:rsidR="00596935" w:rsidRPr="00596935" w:rsidRDefault="00596935" w:rsidP="00596935">
            <w:pPr>
              <w:rPr>
                <w:rFonts w:cs="Arial"/>
                <w:sz w:val="20"/>
                <w:szCs w:val="20"/>
                <w:lang w:val="de-AT" w:eastAsia="de-AT"/>
              </w:rPr>
            </w:pPr>
          </w:p>
        </w:tc>
        <w:tc>
          <w:tcPr>
            <w:tcW w:w="2098" w:type="pct"/>
            <w:gridSpan w:val="8"/>
            <w:tcBorders>
              <w:top w:val="single" w:sz="8" w:space="0" w:color="auto"/>
              <w:left w:val="nil"/>
              <w:bottom w:val="nil"/>
              <w:right w:val="nil"/>
            </w:tcBorders>
            <w:shd w:val="clear" w:color="auto" w:fill="auto"/>
            <w:noWrap/>
            <w:hideMark/>
          </w:tcPr>
          <w:p w14:paraId="54CE2F6A" w14:textId="77777777" w:rsidR="00596935" w:rsidRPr="000B7EA5" w:rsidRDefault="00596935" w:rsidP="00596935">
            <w:pPr>
              <w:jc w:val="right"/>
              <w:rPr>
                <w:rFonts w:cs="Arial"/>
                <w:sz w:val="16"/>
                <w:szCs w:val="16"/>
                <w:lang w:val="it-IT" w:eastAsia="de-AT"/>
              </w:rPr>
            </w:pPr>
            <w:r w:rsidRPr="000B7EA5">
              <w:rPr>
                <w:rFonts w:cs="Arial"/>
                <w:sz w:val="16"/>
                <w:szCs w:val="16"/>
                <w:lang w:val="it-IT" w:eastAsia="de-AT"/>
              </w:rPr>
              <w:t>Data(SI/AI): Silverstein Institute [SI] and Atkins Institute [AI])</w:t>
            </w:r>
          </w:p>
        </w:tc>
      </w:tr>
    </w:tbl>
    <w:p w14:paraId="1775C19A" w14:textId="77777777" w:rsidR="00596935" w:rsidRPr="000B7EA5" w:rsidRDefault="00596935" w:rsidP="00596935">
      <w:pPr>
        <w:spacing w:after="200" w:line="276" w:lineRule="auto"/>
        <w:rPr>
          <w:rFonts w:asciiTheme="minorHAnsi" w:eastAsiaTheme="minorHAnsi" w:hAnsiTheme="minorHAnsi" w:cstheme="minorBidi"/>
          <w:sz w:val="24"/>
          <w:szCs w:val="24"/>
          <w:lang w:val="it-IT" w:eastAsia="en-US"/>
        </w:rPr>
      </w:pPr>
    </w:p>
    <w:p w14:paraId="1B90F655" w14:textId="77777777" w:rsidR="00596935" w:rsidRPr="000B7EA5" w:rsidRDefault="00596935" w:rsidP="00596935">
      <w:pPr>
        <w:spacing w:after="200" w:line="276" w:lineRule="auto"/>
        <w:rPr>
          <w:rFonts w:asciiTheme="minorHAnsi" w:eastAsiaTheme="minorHAnsi" w:hAnsiTheme="minorHAnsi"/>
          <w:sz w:val="24"/>
          <w:szCs w:val="24"/>
          <w:lang w:val="it-IT" w:eastAsia="en-US"/>
        </w:rPr>
        <w:sectPr w:rsidR="00596935" w:rsidRPr="000B7EA5" w:rsidSect="00596935">
          <w:pgSz w:w="16838" w:h="11906" w:orient="landscape"/>
          <w:pgMar w:top="1417" w:right="1417" w:bottom="1417" w:left="1134" w:header="708" w:footer="708" w:gutter="0"/>
          <w:cols w:space="708"/>
          <w:docGrid w:linePitch="360"/>
        </w:sectPr>
      </w:pPr>
    </w:p>
    <w:p w14:paraId="2346D600" w14:textId="77777777" w:rsidR="00596935" w:rsidRPr="00403E99" w:rsidRDefault="00596935" w:rsidP="00403E99">
      <w:pPr>
        <w:pStyle w:val="Textbody"/>
        <w:rPr>
          <w:rFonts w:eastAsiaTheme="minorHAnsi"/>
        </w:rPr>
      </w:pPr>
      <w:r w:rsidRPr="00403E99">
        <w:rPr>
          <w:rFonts w:eastAsiaTheme="minorHAnsi"/>
          <w:i/>
          <w:u w:val="single"/>
        </w:rPr>
        <w:lastRenderedPageBreak/>
        <w:t>GBI:</w:t>
      </w:r>
      <w:r w:rsidRPr="00403E99">
        <w:rPr>
          <w:rFonts w:eastAsiaTheme="minorHAnsi"/>
        </w:rPr>
        <w:t xml:space="preserve"> Five studies covering 253 patients reported on the outcomes of the GBI. The pooled data across all studies is presented in </w:t>
      </w:r>
      <w:r w:rsidR="00D77AE9" w:rsidRPr="00403E99">
        <w:rPr>
          <w:rFonts w:eastAsiaTheme="minorHAnsi"/>
        </w:rPr>
        <w:fldChar w:fldCharType="begin"/>
      </w:r>
      <w:r w:rsidR="00D77AE9" w:rsidRPr="00403E99">
        <w:rPr>
          <w:rFonts w:eastAsiaTheme="minorHAnsi"/>
        </w:rPr>
        <w:instrText xml:space="preserve"> REF _Ref400644113 \h </w:instrText>
      </w:r>
      <w:r w:rsidR="00403E99" w:rsidRPr="00403E99">
        <w:rPr>
          <w:rFonts w:eastAsiaTheme="minorHAnsi"/>
        </w:rPr>
        <w:instrText xml:space="preserve"> \* MERGEFORMAT </w:instrText>
      </w:r>
      <w:r w:rsidR="00D77AE9" w:rsidRPr="00403E99">
        <w:rPr>
          <w:rFonts w:eastAsiaTheme="minorHAnsi"/>
        </w:rPr>
      </w:r>
      <w:r w:rsidR="00D77AE9" w:rsidRPr="00403E99">
        <w:rPr>
          <w:rFonts w:eastAsiaTheme="minorHAnsi"/>
        </w:rPr>
        <w:fldChar w:fldCharType="separate"/>
      </w:r>
      <w:r w:rsidR="00016592" w:rsidRPr="00C67966">
        <w:t xml:space="preserve">Table </w:t>
      </w:r>
      <w:r w:rsidR="00016592">
        <w:t>23</w:t>
      </w:r>
      <w:r w:rsidR="00016592" w:rsidRPr="00C67966">
        <w:t xml:space="preserve"> - </w:t>
      </w:r>
      <w:r w:rsidR="00016592" w:rsidRPr="00C67966">
        <w:rPr>
          <w:rFonts w:eastAsiaTheme="minorHAnsi"/>
          <w:lang w:val="en-GB" w:eastAsia="en-US"/>
        </w:rPr>
        <w:t>Subjective outcomes VSB</w:t>
      </w:r>
      <w:r w:rsidR="00D77AE9" w:rsidRPr="00403E99">
        <w:rPr>
          <w:rFonts w:eastAsiaTheme="minorHAnsi"/>
        </w:rPr>
        <w:fldChar w:fldCharType="end"/>
      </w:r>
      <w:r w:rsidRPr="00403E99">
        <w:rPr>
          <w:rFonts w:eastAsiaTheme="minorHAnsi"/>
        </w:rPr>
        <w:t>. Results indicate a significant positive impact of aided hearing on general health. The same, however, cannot be said for physical and social health where patients report almost no change in health status.</w:t>
      </w:r>
    </w:p>
    <w:p w14:paraId="6F8C7D89" w14:textId="77777777" w:rsidR="00596935" w:rsidRPr="00403E99" w:rsidRDefault="00596935" w:rsidP="00403E99">
      <w:pPr>
        <w:pStyle w:val="Textbody"/>
        <w:rPr>
          <w:rFonts w:eastAsiaTheme="minorHAnsi"/>
        </w:rPr>
      </w:pPr>
      <w:r w:rsidRPr="00403E99">
        <w:rPr>
          <w:rFonts w:eastAsiaTheme="minorHAnsi"/>
        </w:rPr>
        <w:t xml:space="preserve">The GBI score for the SOUNDTEC, given by Barbara 2011 was 8.98. Data is summarized in </w:t>
      </w:r>
      <w:r w:rsidR="00D77AE9" w:rsidRPr="00403E99">
        <w:rPr>
          <w:rFonts w:eastAsiaTheme="minorHAnsi"/>
          <w:highlight w:val="yellow"/>
        </w:rPr>
        <w:fldChar w:fldCharType="begin"/>
      </w:r>
      <w:r w:rsidR="00D77AE9" w:rsidRPr="00403E99">
        <w:rPr>
          <w:rFonts w:eastAsiaTheme="minorHAnsi"/>
          <w:highlight w:val="yellow"/>
        </w:rPr>
        <w:instrText xml:space="preserve"> REF _Ref400644150 \h </w:instrText>
      </w:r>
      <w:r w:rsidR="00403E99" w:rsidRPr="00403E99">
        <w:rPr>
          <w:rFonts w:eastAsiaTheme="minorHAnsi"/>
          <w:highlight w:val="yellow"/>
        </w:rPr>
        <w:instrText xml:space="preserve"> \* MERGEFORMAT </w:instrText>
      </w:r>
      <w:r w:rsidR="00D77AE9" w:rsidRPr="00403E99">
        <w:rPr>
          <w:rFonts w:eastAsiaTheme="minorHAnsi"/>
          <w:highlight w:val="yellow"/>
        </w:rPr>
      </w:r>
      <w:r w:rsidR="00D77AE9" w:rsidRPr="00403E99">
        <w:rPr>
          <w:rFonts w:eastAsiaTheme="minorHAnsi"/>
          <w:highlight w:val="yellow"/>
        </w:rPr>
        <w:fldChar w:fldCharType="separate"/>
      </w:r>
      <w:r w:rsidR="00016592" w:rsidRPr="00403E99">
        <w:t xml:space="preserve">Table </w:t>
      </w:r>
      <w:r w:rsidR="00016592">
        <w:t>25</w:t>
      </w:r>
      <w:r w:rsidR="00016592" w:rsidRPr="00403E99">
        <w:t xml:space="preserve"> -</w:t>
      </w:r>
      <w:r w:rsidR="00016592" w:rsidRPr="00403E99">
        <w:rPr>
          <w:rFonts w:eastAsiaTheme="minorHAnsi"/>
          <w:lang w:val="en-GB" w:eastAsia="en-US"/>
        </w:rPr>
        <w:t xml:space="preserve"> Subjective outcomes comparator</w:t>
      </w:r>
      <w:r w:rsidR="00D77AE9" w:rsidRPr="00403E99">
        <w:rPr>
          <w:rFonts w:eastAsiaTheme="minorHAnsi"/>
          <w:highlight w:val="yellow"/>
        </w:rPr>
        <w:fldChar w:fldCharType="end"/>
      </w:r>
      <w:r w:rsidR="00D77AE9" w:rsidRPr="00403E99">
        <w:rPr>
          <w:rFonts w:eastAsiaTheme="minorHAnsi"/>
        </w:rPr>
        <w:t>.</w:t>
      </w:r>
    </w:p>
    <w:p w14:paraId="7BB8F22B" w14:textId="77777777" w:rsidR="00596935" w:rsidRPr="00403E99" w:rsidRDefault="00596935" w:rsidP="00403E99">
      <w:pPr>
        <w:pStyle w:val="Textbody"/>
        <w:rPr>
          <w:rFonts w:eastAsiaTheme="minorHAnsi"/>
        </w:rPr>
      </w:pPr>
      <w:r w:rsidRPr="00403E99">
        <w:rPr>
          <w:rFonts w:eastAsiaTheme="minorHAnsi"/>
        </w:rPr>
        <w:t>Only one study, reporting on 18 patients presented</w:t>
      </w:r>
      <w:r w:rsidR="00403E99">
        <w:rPr>
          <w:rFonts w:eastAsiaTheme="minorHAnsi"/>
        </w:rPr>
        <w:t xml:space="preserve"> GBI outcomes (total score of 8.</w:t>
      </w:r>
      <w:r w:rsidRPr="00403E99">
        <w:rPr>
          <w:rFonts w:eastAsiaTheme="minorHAnsi"/>
        </w:rPr>
        <w:t xml:space="preserve">98). The data had to be extrapolated from the graph and only showed a total score which does not give any information whether beneficial for the patient or not. The data is presented in </w:t>
      </w:r>
      <w:r w:rsidR="00D77AE9" w:rsidRPr="00403E99">
        <w:rPr>
          <w:rFonts w:eastAsiaTheme="minorHAnsi"/>
          <w:highlight w:val="yellow"/>
        </w:rPr>
        <w:fldChar w:fldCharType="begin"/>
      </w:r>
      <w:r w:rsidR="00D77AE9" w:rsidRPr="00403E99">
        <w:rPr>
          <w:rFonts w:eastAsiaTheme="minorHAnsi"/>
        </w:rPr>
        <w:instrText xml:space="preserve"> REF _Ref400644150 \h </w:instrText>
      </w:r>
      <w:r w:rsidR="00403E99" w:rsidRPr="00403E99">
        <w:rPr>
          <w:rFonts w:eastAsiaTheme="minorHAnsi"/>
          <w:highlight w:val="yellow"/>
        </w:rPr>
        <w:instrText xml:space="preserve"> \* MERGEFORMAT </w:instrText>
      </w:r>
      <w:r w:rsidR="00D77AE9" w:rsidRPr="00403E99">
        <w:rPr>
          <w:rFonts w:eastAsiaTheme="minorHAnsi"/>
          <w:highlight w:val="yellow"/>
        </w:rPr>
      </w:r>
      <w:r w:rsidR="00D77AE9" w:rsidRPr="00403E99">
        <w:rPr>
          <w:rFonts w:eastAsiaTheme="minorHAnsi"/>
          <w:highlight w:val="yellow"/>
        </w:rPr>
        <w:fldChar w:fldCharType="separate"/>
      </w:r>
      <w:r w:rsidR="00016592" w:rsidRPr="00403E99">
        <w:t xml:space="preserve">Table </w:t>
      </w:r>
      <w:r w:rsidR="00016592">
        <w:t>25</w:t>
      </w:r>
      <w:r w:rsidR="00016592" w:rsidRPr="00403E99">
        <w:t xml:space="preserve"> -</w:t>
      </w:r>
      <w:r w:rsidR="00016592" w:rsidRPr="00403E99">
        <w:rPr>
          <w:rFonts w:eastAsiaTheme="minorHAnsi"/>
          <w:lang w:val="en-GB" w:eastAsia="en-US"/>
        </w:rPr>
        <w:t xml:space="preserve"> Subjective outcomes comparator</w:t>
      </w:r>
      <w:r w:rsidR="00D77AE9" w:rsidRPr="00403E99">
        <w:rPr>
          <w:rFonts w:eastAsiaTheme="minorHAnsi"/>
          <w:highlight w:val="yellow"/>
        </w:rPr>
        <w:fldChar w:fldCharType="end"/>
      </w:r>
      <w:r w:rsidR="00403E99">
        <w:rPr>
          <w:rFonts w:eastAsiaTheme="minorHAnsi"/>
        </w:rPr>
        <w:t>.</w:t>
      </w:r>
    </w:p>
    <w:p w14:paraId="012F5024" w14:textId="77777777" w:rsidR="00596935" w:rsidRPr="00403E99" w:rsidRDefault="00596935" w:rsidP="00403E99">
      <w:pPr>
        <w:pStyle w:val="Textbody"/>
        <w:rPr>
          <w:rFonts w:eastAsiaTheme="minorHAnsi"/>
        </w:rPr>
      </w:pPr>
    </w:p>
    <w:p w14:paraId="0F221394" w14:textId="77777777" w:rsidR="00596935" w:rsidRPr="00403E99" w:rsidRDefault="00596935" w:rsidP="00403E99">
      <w:pPr>
        <w:pStyle w:val="Textbody"/>
        <w:rPr>
          <w:rFonts w:eastAsiaTheme="minorHAnsi"/>
        </w:rPr>
      </w:pPr>
      <w:r w:rsidRPr="00403E99">
        <w:rPr>
          <w:rFonts w:eastAsiaTheme="minorHAnsi"/>
          <w:i/>
          <w:u w:val="single"/>
        </w:rPr>
        <w:t>Client-orientated scale of improvement (COSI)</w:t>
      </w:r>
      <w:r w:rsidRPr="00403E99">
        <w:rPr>
          <w:rFonts w:eastAsiaTheme="minorHAnsi"/>
          <w:u w:val="single"/>
        </w:rPr>
        <w:t xml:space="preserve">: </w:t>
      </w:r>
      <w:r w:rsidRPr="00403E99">
        <w:rPr>
          <w:rFonts w:eastAsiaTheme="minorHAnsi"/>
        </w:rPr>
        <w:t xml:space="preserve">No studies were identified implementing the COSI in VSB recipients. In comparison, COSI sclaes were used in two studies evaluating the subjective benefit of fully-implant MEI. Ina  group of 18 patients Barbara (2011) measured an in itinere and final scores of 17,9 and 19,4; indicating an improvement with aided hearing. Another study by Monini (2013) also found high degree of improvement </w:t>
      </w:r>
      <w:r w:rsidR="00403E99">
        <w:rPr>
          <w:rFonts w:eastAsiaTheme="minorHAnsi"/>
        </w:rPr>
        <w:t>reaching a final score of 22.7.</w:t>
      </w:r>
    </w:p>
    <w:p w14:paraId="2955C579" w14:textId="77777777" w:rsidR="00596935" w:rsidRPr="00403E99" w:rsidRDefault="00596935" w:rsidP="00403E99">
      <w:pPr>
        <w:pStyle w:val="Textbody"/>
        <w:rPr>
          <w:rFonts w:eastAsiaTheme="minorHAnsi"/>
        </w:rPr>
      </w:pPr>
      <w:r w:rsidRPr="00403E99">
        <w:rPr>
          <w:rFonts w:eastAsiaTheme="minorHAnsi"/>
        </w:rPr>
        <w:t>The COSI outcomes for 2 studies (partially implantable SOUNDTEC device) (n=26) for one itinere timepoint (some time after surgery, not specified) and a final score were 17.9 and 19.4/22.7 respectively.</w:t>
      </w:r>
    </w:p>
    <w:p w14:paraId="5A85747B" w14:textId="77777777" w:rsidR="00596935" w:rsidRPr="00403E99" w:rsidRDefault="00596935" w:rsidP="00403E99">
      <w:pPr>
        <w:pStyle w:val="Textbody"/>
        <w:rPr>
          <w:rFonts w:eastAsiaTheme="minorHAnsi"/>
        </w:rPr>
      </w:pPr>
      <w:r w:rsidRPr="00403E99">
        <w:rPr>
          <w:rFonts w:eastAsiaTheme="minorHAnsi"/>
        </w:rPr>
        <w:t xml:space="preserve">Two studies were identified implementing the COSI in fully implantable middle ear implant recipients. In a group of 18 patients Barbara (2011) measured an in itinere and final scores of 17,9 and 19,4; indicating an improvement with aided hearing. Another study by Monini (2013) also found high degree of improvement reaching a final score of 22.7. Please see </w:t>
      </w:r>
      <w:r w:rsidR="00D77AE9" w:rsidRPr="00403E99">
        <w:rPr>
          <w:rFonts w:eastAsiaTheme="minorHAnsi"/>
        </w:rPr>
        <w:fldChar w:fldCharType="begin"/>
      </w:r>
      <w:r w:rsidR="00D77AE9" w:rsidRPr="00403E99">
        <w:rPr>
          <w:rFonts w:eastAsiaTheme="minorHAnsi"/>
        </w:rPr>
        <w:instrText xml:space="preserve"> REF _Ref400644150 \h </w:instrText>
      </w:r>
      <w:r w:rsidR="00403E99" w:rsidRPr="00403E99">
        <w:rPr>
          <w:rFonts w:eastAsiaTheme="minorHAnsi"/>
        </w:rPr>
        <w:instrText xml:space="preserve"> \* MERGEFORMAT </w:instrText>
      </w:r>
      <w:r w:rsidR="00D77AE9" w:rsidRPr="00403E99">
        <w:rPr>
          <w:rFonts w:eastAsiaTheme="minorHAnsi"/>
        </w:rPr>
      </w:r>
      <w:r w:rsidR="00D77AE9" w:rsidRPr="00403E99">
        <w:rPr>
          <w:rFonts w:eastAsiaTheme="minorHAnsi"/>
        </w:rPr>
        <w:fldChar w:fldCharType="separate"/>
      </w:r>
      <w:r w:rsidR="00016592" w:rsidRPr="00403E99">
        <w:t xml:space="preserve">Table </w:t>
      </w:r>
      <w:r w:rsidR="00016592">
        <w:rPr>
          <w:noProof/>
        </w:rPr>
        <w:t>25</w:t>
      </w:r>
      <w:r w:rsidR="00016592" w:rsidRPr="00403E99">
        <w:t xml:space="preserve"> -</w:t>
      </w:r>
      <w:r w:rsidR="00016592" w:rsidRPr="00016592">
        <w:rPr>
          <w:rFonts w:eastAsiaTheme="minorHAnsi"/>
        </w:rPr>
        <w:t xml:space="preserve"> </w:t>
      </w:r>
      <w:r w:rsidR="00016592" w:rsidRPr="00403E99">
        <w:rPr>
          <w:rFonts w:eastAsiaTheme="minorHAnsi"/>
          <w:lang w:val="en-GB" w:eastAsia="en-US"/>
        </w:rPr>
        <w:t>Subjective outcomes comparator</w:t>
      </w:r>
      <w:r w:rsidR="00D77AE9" w:rsidRPr="00403E99">
        <w:rPr>
          <w:rFonts w:eastAsiaTheme="minorHAnsi"/>
        </w:rPr>
        <w:fldChar w:fldCharType="end"/>
      </w:r>
    </w:p>
    <w:p w14:paraId="4CD279BF" w14:textId="77777777" w:rsidR="00596935" w:rsidRPr="00403E99" w:rsidRDefault="00596935" w:rsidP="00403E99">
      <w:pPr>
        <w:pStyle w:val="Textbody"/>
        <w:rPr>
          <w:rFonts w:eastAsiaTheme="minorHAnsi"/>
        </w:rPr>
      </w:pPr>
    </w:p>
    <w:p w14:paraId="41957B7D" w14:textId="77777777" w:rsidR="00596935" w:rsidRPr="00596935" w:rsidRDefault="001C7CE7" w:rsidP="00403E99">
      <w:pPr>
        <w:pStyle w:val="Heading30"/>
        <w:rPr>
          <w:rFonts w:eastAsiaTheme="minorHAnsi"/>
          <w:lang w:eastAsia="en-US"/>
        </w:rPr>
      </w:pPr>
      <w:bookmarkStart w:id="455" w:name="_Toc431917576"/>
      <w:r>
        <w:rPr>
          <w:rFonts w:eastAsiaTheme="minorHAnsi"/>
          <w:lang w:eastAsia="en-US"/>
        </w:rPr>
        <w:t>B.6.2</w:t>
      </w:r>
      <w:r w:rsidRPr="004B68D2">
        <w:rPr>
          <w:rFonts w:eastAsiaTheme="minorHAnsi"/>
          <w:lang w:val="en-US" w:eastAsia="en-US"/>
        </w:rPr>
        <w:tab/>
      </w:r>
      <w:r w:rsidR="00596935" w:rsidRPr="00596935">
        <w:rPr>
          <w:rFonts w:eastAsiaTheme="minorHAnsi"/>
          <w:lang w:eastAsia="en-US"/>
        </w:rPr>
        <w:t>Safety Outcomes</w:t>
      </w:r>
      <w:bookmarkEnd w:id="455"/>
    </w:p>
    <w:p w14:paraId="1EAF41DB" w14:textId="77777777" w:rsidR="00596935" w:rsidRPr="00403E99" w:rsidRDefault="00596935" w:rsidP="00403E99">
      <w:pPr>
        <w:pStyle w:val="Textbody"/>
        <w:rPr>
          <w:rFonts w:eastAsiaTheme="minorHAnsi"/>
        </w:rPr>
      </w:pPr>
      <w:r w:rsidRPr="00403E99">
        <w:rPr>
          <w:rFonts w:eastAsiaTheme="minorHAnsi"/>
        </w:rPr>
        <w:t xml:space="preserve">Seven studies covering a total of 1398 patients reported on complications following VSB implantation. The overall rate of complications is given below, followed by the incidence rate of the different adverse events. The full list of complications reported in the literature is presented in </w:t>
      </w:r>
      <w:r w:rsidR="00D77AE9" w:rsidRPr="00403E99">
        <w:rPr>
          <w:rFonts w:eastAsiaTheme="minorHAnsi"/>
        </w:rPr>
        <w:fldChar w:fldCharType="begin"/>
      </w:r>
      <w:r w:rsidR="00D77AE9" w:rsidRPr="00403E99">
        <w:rPr>
          <w:rFonts w:eastAsiaTheme="minorHAnsi"/>
        </w:rPr>
        <w:instrText xml:space="preserve"> REF _Ref400644319 \h </w:instrText>
      </w:r>
      <w:r w:rsidR="00403E99" w:rsidRPr="00403E99">
        <w:rPr>
          <w:rFonts w:eastAsiaTheme="minorHAnsi"/>
        </w:rPr>
        <w:instrText xml:space="preserve"> \* MERGEFORMAT </w:instrText>
      </w:r>
      <w:r w:rsidR="00D77AE9" w:rsidRPr="00403E99">
        <w:rPr>
          <w:rFonts w:eastAsiaTheme="minorHAnsi"/>
        </w:rPr>
      </w:r>
      <w:r w:rsidR="00D77AE9" w:rsidRPr="00403E99">
        <w:rPr>
          <w:rFonts w:eastAsiaTheme="minorHAnsi"/>
        </w:rPr>
        <w:fldChar w:fldCharType="separate"/>
      </w:r>
      <w:r w:rsidR="00016592" w:rsidRPr="00403E99">
        <w:t xml:space="preserve">Table </w:t>
      </w:r>
      <w:r w:rsidR="00016592">
        <w:t>26</w:t>
      </w:r>
      <w:r w:rsidR="00016592" w:rsidRPr="00016592">
        <w:rPr>
          <w:lang w:val="en-GB"/>
        </w:rPr>
        <w:t xml:space="preserve"> - </w:t>
      </w:r>
      <w:r w:rsidR="00016592" w:rsidRPr="00403E99">
        <w:rPr>
          <w:rFonts w:eastAsiaTheme="minorHAnsi"/>
          <w:lang w:val="en-GB" w:eastAsia="en-US"/>
        </w:rPr>
        <w:t>Adverse events VSB</w:t>
      </w:r>
      <w:r w:rsidR="00D77AE9" w:rsidRPr="00403E99">
        <w:rPr>
          <w:rFonts w:eastAsiaTheme="minorHAnsi"/>
        </w:rPr>
        <w:fldChar w:fldCharType="end"/>
      </w:r>
      <w:r w:rsidRPr="00403E99">
        <w:rPr>
          <w:rFonts w:eastAsiaTheme="minorHAnsi"/>
        </w:rPr>
        <w:t xml:space="preserve"> and </w:t>
      </w:r>
      <w:r w:rsidR="00D77AE9" w:rsidRPr="00403E99">
        <w:rPr>
          <w:rFonts w:eastAsiaTheme="minorHAnsi"/>
        </w:rPr>
        <w:fldChar w:fldCharType="begin"/>
      </w:r>
      <w:r w:rsidR="00D77AE9" w:rsidRPr="00403E99">
        <w:rPr>
          <w:rFonts w:eastAsiaTheme="minorHAnsi"/>
        </w:rPr>
        <w:instrText xml:space="preserve"> REF _Ref400644327 \h </w:instrText>
      </w:r>
      <w:r w:rsidR="00403E99" w:rsidRPr="00403E99">
        <w:rPr>
          <w:rFonts w:eastAsiaTheme="minorHAnsi"/>
        </w:rPr>
        <w:instrText xml:space="preserve"> \* MERGEFORMAT </w:instrText>
      </w:r>
      <w:r w:rsidR="00D77AE9" w:rsidRPr="00403E99">
        <w:rPr>
          <w:rFonts w:eastAsiaTheme="minorHAnsi"/>
        </w:rPr>
      </w:r>
      <w:r w:rsidR="00D77AE9" w:rsidRPr="00403E99">
        <w:rPr>
          <w:rFonts w:eastAsiaTheme="minorHAnsi"/>
        </w:rPr>
        <w:fldChar w:fldCharType="separate"/>
      </w:r>
      <w:r w:rsidR="00016592" w:rsidRPr="00403E99">
        <w:t xml:space="preserve">Table </w:t>
      </w:r>
      <w:r w:rsidR="00016592">
        <w:t>27</w:t>
      </w:r>
      <w:r w:rsidR="00016592" w:rsidRPr="00016592">
        <w:rPr>
          <w:rFonts w:eastAsiaTheme="minorHAnsi"/>
        </w:rPr>
        <w:t xml:space="preserve"> </w:t>
      </w:r>
      <w:r w:rsidR="00016592" w:rsidRPr="00016592">
        <w:rPr>
          <w:lang w:val="en-GB"/>
        </w:rPr>
        <w:t xml:space="preserve">- </w:t>
      </w:r>
      <w:r w:rsidR="00016592" w:rsidRPr="00403E99">
        <w:rPr>
          <w:rFonts w:eastAsiaTheme="minorHAnsi"/>
          <w:lang w:val="en-GB" w:eastAsia="en-US"/>
        </w:rPr>
        <w:t>Adverse events comparator</w:t>
      </w:r>
      <w:r w:rsidR="00D77AE9" w:rsidRPr="00403E99">
        <w:rPr>
          <w:rFonts w:eastAsiaTheme="minorHAnsi"/>
        </w:rPr>
        <w:fldChar w:fldCharType="end"/>
      </w:r>
      <w:r w:rsidR="00D77AE9" w:rsidRPr="00403E99">
        <w:rPr>
          <w:rFonts w:eastAsiaTheme="minorHAnsi"/>
        </w:rPr>
        <w:t>.</w:t>
      </w:r>
    </w:p>
    <w:p w14:paraId="447E210F" w14:textId="77777777" w:rsidR="00596935" w:rsidRPr="00596935" w:rsidRDefault="00596935" w:rsidP="00403E99">
      <w:pPr>
        <w:pStyle w:val="Textbody"/>
        <w:rPr>
          <w:rFonts w:eastAsiaTheme="minorHAnsi"/>
        </w:rPr>
      </w:pPr>
    </w:p>
    <w:p w14:paraId="35C726A0" w14:textId="77777777" w:rsidR="00596935" w:rsidRPr="00596935" w:rsidRDefault="00596935" w:rsidP="00596935">
      <w:pPr>
        <w:spacing w:after="200" w:line="276" w:lineRule="auto"/>
        <w:rPr>
          <w:rFonts w:asciiTheme="minorHAnsi" w:eastAsiaTheme="minorHAnsi" w:hAnsiTheme="minorHAnsi" w:cstheme="minorBidi"/>
          <w:sz w:val="24"/>
          <w:szCs w:val="24"/>
          <w:lang w:val="en-GB" w:eastAsia="en-US"/>
        </w:rPr>
      </w:pPr>
    </w:p>
    <w:p w14:paraId="34218A5D" w14:textId="77777777" w:rsidR="00596935" w:rsidRPr="00596935" w:rsidRDefault="00596935" w:rsidP="00596935">
      <w:pPr>
        <w:spacing w:after="200" w:line="276" w:lineRule="auto"/>
        <w:rPr>
          <w:rFonts w:asciiTheme="minorHAnsi" w:eastAsiaTheme="minorHAnsi" w:hAnsiTheme="minorHAnsi" w:cstheme="minorBidi"/>
          <w:sz w:val="24"/>
          <w:szCs w:val="24"/>
          <w:lang w:val="en-GB" w:eastAsia="en-US"/>
        </w:rPr>
        <w:sectPr w:rsidR="00596935" w:rsidRPr="00596935">
          <w:pgSz w:w="11906" w:h="16838"/>
          <w:pgMar w:top="1417" w:right="1417" w:bottom="1134" w:left="1417" w:header="708" w:footer="708" w:gutter="0"/>
          <w:cols w:space="708"/>
          <w:docGrid w:linePitch="360"/>
        </w:sectPr>
      </w:pPr>
    </w:p>
    <w:p w14:paraId="05C5DB25" w14:textId="77777777" w:rsidR="00596935" w:rsidRPr="00403E99" w:rsidRDefault="00D77AE9" w:rsidP="00C67966">
      <w:pPr>
        <w:pStyle w:val="Caption"/>
        <w:rPr>
          <w:rFonts w:ascii="Arial" w:eastAsiaTheme="minorHAnsi" w:hAnsi="Arial" w:cs="Arial"/>
          <w:lang w:val="en-GB" w:eastAsia="en-US"/>
        </w:rPr>
      </w:pPr>
      <w:bookmarkStart w:id="456" w:name="_Ref400647807"/>
      <w:bookmarkStart w:id="457" w:name="_Ref400644319"/>
      <w:bookmarkStart w:id="458" w:name="_Toc431917486"/>
      <w:r w:rsidRPr="00403E99">
        <w:rPr>
          <w:rFonts w:ascii="Arial" w:hAnsi="Arial" w:cs="Arial"/>
        </w:rPr>
        <w:lastRenderedPageBreak/>
        <w:t xml:space="preserve">Table </w:t>
      </w:r>
      <w:r w:rsidRPr="00403E99">
        <w:rPr>
          <w:rFonts w:ascii="Arial" w:hAnsi="Arial" w:cs="Arial"/>
        </w:rPr>
        <w:fldChar w:fldCharType="begin"/>
      </w:r>
      <w:r w:rsidRPr="00403E99">
        <w:rPr>
          <w:rFonts w:ascii="Arial" w:hAnsi="Arial" w:cs="Arial"/>
        </w:rPr>
        <w:instrText xml:space="preserve"> SEQ Table \* ARABIC </w:instrText>
      </w:r>
      <w:r w:rsidRPr="00403E99">
        <w:rPr>
          <w:rFonts w:ascii="Arial" w:hAnsi="Arial" w:cs="Arial"/>
        </w:rPr>
        <w:fldChar w:fldCharType="separate"/>
      </w:r>
      <w:r w:rsidR="00016592">
        <w:rPr>
          <w:rFonts w:ascii="Arial" w:hAnsi="Arial" w:cs="Arial"/>
          <w:noProof/>
        </w:rPr>
        <w:t>26</w:t>
      </w:r>
      <w:r w:rsidRPr="00403E99">
        <w:rPr>
          <w:rFonts w:ascii="Arial" w:hAnsi="Arial" w:cs="Arial"/>
        </w:rPr>
        <w:fldChar w:fldCharType="end"/>
      </w:r>
      <w:bookmarkEnd w:id="456"/>
      <w:r w:rsidRPr="00403E99">
        <w:rPr>
          <w:rFonts w:ascii="Arial" w:hAnsi="Arial" w:cs="Arial"/>
          <w:lang w:val="de-AT"/>
        </w:rPr>
        <w:t xml:space="preserve"> - </w:t>
      </w:r>
      <w:r w:rsidR="00596935" w:rsidRPr="00403E99">
        <w:rPr>
          <w:rFonts w:ascii="Arial" w:eastAsiaTheme="minorHAnsi" w:hAnsi="Arial" w:cs="Arial"/>
          <w:lang w:val="en-GB" w:eastAsia="en-US"/>
        </w:rPr>
        <w:t>Adverse events VSB</w:t>
      </w:r>
      <w:bookmarkEnd w:id="457"/>
      <w:bookmarkEnd w:id="458"/>
    </w:p>
    <w:tbl>
      <w:tblPr>
        <w:tblpPr w:leftFromText="141" w:rightFromText="141" w:horzAnchor="margin" w:tblpXSpec="center" w:tblpY="525"/>
        <w:tblW w:w="12060" w:type="dxa"/>
        <w:tblCellMar>
          <w:left w:w="70" w:type="dxa"/>
          <w:right w:w="70" w:type="dxa"/>
        </w:tblCellMar>
        <w:tblLook w:val="04A0" w:firstRow="1" w:lastRow="0" w:firstColumn="1" w:lastColumn="0" w:noHBand="0" w:noVBand="1"/>
        <w:tblDescription w:val="Adverse events VSB"/>
      </w:tblPr>
      <w:tblGrid>
        <w:gridCol w:w="1988"/>
        <w:gridCol w:w="800"/>
        <w:gridCol w:w="820"/>
        <w:gridCol w:w="840"/>
        <w:gridCol w:w="820"/>
        <w:gridCol w:w="800"/>
        <w:gridCol w:w="772"/>
        <w:gridCol w:w="800"/>
        <w:gridCol w:w="780"/>
        <w:gridCol w:w="880"/>
        <w:gridCol w:w="760"/>
        <w:gridCol w:w="1000"/>
        <w:gridCol w:w="1000"/>
      </w:tblGrid>
      <w:tr w:rsidR="00596935" w:rsidRPr="00596935" w14:paraId="12C5A372" w14:textId="77777777" w:rsidTr="00596935">
        <w:trPr>
          <w:trHeight w:val="810"/>
        </w:trPr>
        <w:tc>
          <w:tcPr>
            <w:tcW w:w="198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274C740" w14:textId="77777777" w:rsidR="00596935" w:rsidRPr="00596935" w:rsidRDefault="00596935" w:rsidP="00596935">
            <w:pPr>
              <w:rPr>
                <w:rFonts w:cs="Arial"/>
                <w:color w:val="000000"/>
                <w:sz w:val="16"/>
                <w:szCs w:val="16"/>
                <w:lang w:val="de-AT" w:eastAsia="de-AT"/>
              </w:rPr>
            </w:pPr>
            <w:r w:rsidRPr="00596935">
              <w:rPr>
                <w:rFonts w:cs="Arial"/>
                <w:color w:val="000000"/>
                <w:sz w:val="16"/>
                <w:szCs w:val="16"/>
                <w:lang w:val="de-AT" w:eastAsia="de-AT"/>
              </w:rPr>
              <w:t>Adverse Events</w:t>
            </w:r>
            <w:r w:rsidRPr="00596935">
              <w:rPr>
                <w:rFonts w:cs="Arial"/>
                <w:b/>
                <w:bCs/>
                <w:color w:val="000000"/>
                <w:sz w:val="16"/>
                <w:szCs w:val="16"/>
                <w:lang w:val="de-AT" w:eastAsia="de-AT"/>
              </w:rPr>
              <w:t xml:space="preserve"> VSB</w:t>
            </w:r>
            <w:r w:rsidRPr="00596935">
              <w:rPr>
                <w:rFonts w:cs="Arial"/>
                <w:color w:val="000000"/>
                <w:sz w:val="16"/>
                <w:szCs w:val="16"/>
                <w:lang w:val="de-AT" w:eastAsia="de-AT"/>
              </w:rPr>
              <w:t xml:space="preserve"> reported</w:t>
            </w:r>
          </w:p>
        </w:tc>
        <w:tc>
          <w:tcPr>
            <w:tcW w:w="800" w:type="dxa"/>
            <w:tcBorders>
              <w:top w:val="single" w:sz="8" w:space="0" w:color="000000"/>
              <w:left w:val="nil"/>
              <w:bottom w:val="single" w:sz="8" w:space="0" w:color="000000"/>
              <w:right w:val="single" w:sz="8" w:space="0" w:color="000000"/>
            </w:tcBorders>
            <w:shd w:val="clear" w:color="000000" w:fill="D9D9D9"/>
            <w:vAlign w:val="center"/>
            <w:hideMark/>
          </w:tcPr>
          <w:p w14:paraId="250CAD8E" w14:textId="77777777" w:rsidR="00596935" w:rsidRPr="00596935" w:rsidRDefault="00596935" w:rsidP="00596935">
            <w:pPr>
              <w:jc w:val="center"/>
              <w:rPr>
                <w:rFonts w:cs="Arial"/>
                <w:color w:val="000000"/>
                <w:sz w:val="16"/>
                <w:szCs w:val="16"/>
                <w:lang w:val="de-AT" w:eastAsia="de-AT"/>
              </w:rPr>
            </w:pPr>
            <w:r w:rsidRPr="00596935">
              <w:rPr>
                <w:rFonts w:cs="Arial"/>
                <w:color w:val="000000"/>
                <w:sz w:val="16"/>
                <w:szCs w:val="16"/>
                <w:lang w:val="de-AT" w:eastAsia="de-AT"/>
              </w:rPr>
              <w:t>Fisch 2001</w:t>
            </w:r>
          </w:p>
        </w:tc>
        <w:tc>
          <w:tcPr>
            <w:tcW w:w="820" w:type="dxa"/>
            <w:tcBorders>
              <w:top w:val="single" w:sz="8" w:space="0" w:color="000000"/>
              <w:left w:val="nil"/>
              <w:bottom w:val="single" w:sz="8" w:space="0" w:color="000000"/>
              <w:right w:val="single" w:sz="8" w:space="0" w:color="000000"/>
            </w:tcBorders>
            <w:shd w:val="clear" w:color="000000" w:fill="D9D9D9"/>
            <w:vAlign w:val="center"/>
            <w:hideMark/>
          </w:tcPr>
          <w:p w14:paraId="726AE91D" w14:textId="77777777" w:rsidR="00596935" w:rsidRPr="00596935" w:rsidRDefault="00596935" w:rsidP="00596935">
            <w:pPr>
              <w:jc w:val="center"/>
              <w:rPr>
                <w:rFonts w:cs="Arial"/>
                <w:color w:val="000000"/>
                <w:sz w:val="16"/>
                <w:szCs w:val="16"/>
                <w:lang w:val="de-AT" w:eastAsia="de-AT"/>
              </w:rPr>
            </w:pPr>
            <w:r w:rsidRPr="00596935">
              <w:rPr>
                <w:rFonts w:cs="Arial"/>
                <w:color w:val="000000"/>
                <w:sz w:val="16"/>
                <w:szCs w:val="16"/>
                <w:lang w:val="de-AT" w:eastAsia="de-AT"/>
              </w:rPr>
              <w:t>Fraysse 2001</w:t>
            </w:r>
          </w:p>
        </w:tc>
        <w:tc>
          <w:tcPr>
            <w:tcW w:w="840" w:type="dxa"/>
            <w:tcBorders>
              <w:top w:val="single" w:sz="8" w:space="0" w:color="000000"/>
              <w:left w:val="nil"/>
              <w:bottom w:val="single" w:sz="8" w:space="0" w:color="000000"/>
              <w:right w:val="single" w:sz="8" w:space="0" w:color="000000"/>
            </w:tcBorders>
            <w:shd w:val="clear" w:color="000000" w:fill="D9D9D9"/>
            <w:vAlign w:val="center"/>
            <w:hideMark/>
          </w:tcPr>
          <w:p w14:paraId="0A7DF726" w14:textId="77777777" w:rsidR="00596935" w:rsidRPr="00596935" w:rsidRDefault="00596935" w:rsidP="00596935">
            <w:pPr>
              <w:jc w:val="center"/>
              <w:rPr>
                <w:rFonts w:cs="Arial"/>
                <w:color w:val="000000"/>
                <w:sz w:val="16"/>
                <w:szCs w:val="16"/>
                <w:lang w:val="de-AT" w:eastAsia="de-AT"/>
              </w:rPr>
            </w:pPr>
            <w:r w:rsidRPr="00596935">
              <w:rPr>
                <w:rFonts w:cs="Arial"/>
                <w:color w:val="000000"/>
                <w:sz w:val="16"/>
                <w:szCs w:val="16"/>
                <w:lang w:val="de-AT" w:eastAsia="de-AT"/>
              </w:rPr>
              <w:t>Labassi  2005</w:t>
            </w:r>
          </w:p>
        </w:tc>
        <w:tc>
          <w:tcPr>
            <w:tcW w:w="820" w:type="dxa"/>
            <w:tcBorders>
              <w:top w:val="single" w:sz="8" w:space="0" w:color="000000"/>
              <w:left w:val="nil"/>
              <w:bottom w:val="single" w:sz="8" w:space="0" w:color="000000"/>
              <w:right w:val="single" w:sz="8" w:space="0" w:color="000000"/>
            </w:tcBorders>
            <w:shd w:val="clear" w:color="000000" w:fill="D9D9D9"/>
            <w:vAlign w:val="center"/>
            <w:hideMark/>
          </w:tcPr>
          <w:p w14:paraId="1D7F18CA" w14:textId="77777777" w:rsidR="00596935" w:rsidRPr="00596935" w:rsidRDefault="00596935" w:rsidP="00596935">
            <w:pPr>
              <w:jc w:val="center"/>
              <w:rPr>
                <w:rFonts w:cs="Arial"/>
                <w:color w:val="000000"/>
                <w:sz w:val="16"/>
                <w:szCs w:val="16"/>
                <w:lang w:val="de-AT" w:eastAsia="de-AT"/>
              </w:rPr>
            </w:pPr>
            <w:r w:rsidRPr="00596935">
              <w:rPr>
                <w:rFonts w:cs="Arial"/>
                <w:color w:val="000000"/>
                <w:sz w:val="16"/>
                <w:szCs w:val="16"/>
                <w:lang w:val="de-AT" w:eastAsia="de-AT"/>
              </w:rPr>
              <w:t>Mosnier 2008</w:t>
            </w:r>
          </w:p>
        </w:tc>
        <w:tc>
          <w:tcPr>
            <w:tcW w:w="800" w:type="dxa"/>
            <w:tcBorders>
              <w:top w:val="single" w:sz="8" w:space="0" w:color="000000"/>
              <w:left w:val="nil"/>
              <w:bottom w:val="single" w:sz="8" w:space="0" w:color="000000"/>
              <w:right w:val="single" w:sz="8" w:space="0" w:color="000000"/>
            </w:tcBorders>
            <w:shd w:val="clear" w:color="000000" w:fill="D9D9D9"/>
            <w:vAlign w:val="center"/>
            <w:hideMark/>
          </w:tcPr>
          <w:p w14:paraId="2FE6C8C3" w14:textId="77777777" w:rsidR="00596935" w:rsidRPr="00596935" w:rsidRDefault="00596935" w:rsidP="00596935">
            <w:pPr>
              <w:jc w:val="center"/>
              <w:rPr>
                <w:rFonts w:cs="Arial"/>
                <w:color w:val="000000"/>
                <w:sz w:val="16"/>
                <w:szCs w:val="16"/>
                <w:lang w:val="de-AT" w:eastAsia="de-AT"/>
              </w:rPr>
            </w:pPr>
            <w:r w:rsidRPr="00596935">
              <w:rPr>
                <w:rFonts w:cs="Arial"/>
                <w:color w:val="000000"/>
                <w:sz w:val="16"/>
                <w:szCs w:val="16"/>
                <w:lang w:val="de-AT" w:eastAsia="de-AT"/>
              </w:rPr>
              <w:t>Luetje 2010</w:t>
            </w:r>
          </w:p>
        </w:tc>
        <w:tc>
          <w:tcPr>
            <w:tcW w:w="772" w:type="dxa"/>
            <w:tcBorders>
              <w:top w:val="single" w:sz="8" w:space="0" w:color="000000"/>
              <w:left w:val="nil"/>
              <w:bottom w:val="single" w:sz="8" w:space="0" w:color="000000"/>
              <w:right w:val="single" w:sz="8" w:space="0" w:color="000000"/>
            </w:tcBorders>
            <w:shd w:val="clear" w:color="000000" w:fill="D9D9D9"/>
            <w:vAlign w:val="center"/>
            <w:hideMark/>
          </w:tcPr>
          <w:p w14:paraId="43B0B057" w14:textId="77777777" w:rsidR="00596935" w:rsidRPr="00596935" w:rsidRDefault="00596935" w:rsidP="00596935">
            <w:pPr>
              <w:jc w:val="center"/>
              <w:rPr>
                <w:rFonts w:cs="Arial"/>
                <w:color w:val="000000"/>
                <w:sz w:val="16"/>
                <w:szCs w:val="16"/>
                <w:lang w:val="de-AT" w:eastAsia="de-AT"/>
              </w:rPr>
            </w:pPr>
            <w:r w:rsidRPr="00596935">
              <w:rPr>
                <w:rFonts w:cs="Arial"/>
                <w:color w:val="000000"/>
                <w:sz w:val="16"/>
                <w:szCs w:val="16"/>
                <w:lang w:val="de-AT" w:eastAsia="de-AT"/>
              </w:rPr>
              <w:t>Schmuz-iger, 2006</w:t>
            </w:r>
          </w:p>
        </w:tc>
        <w:tc>
          <w:tcPr>
            <w:tcW w:w="800" w:type="dxa"/>
            <w:tcBorders>
              <w:top w:val="single" w:sz="8" w:space="0" w:color="000000"/>
              <w:left w:val="nil"/>
              <w:bottom w:val="single" w:sz="8" w:space="0" w:color="000000"/>
              <w:right w:val="single" w:sz="8" w:space="0" w:color="000000"/>
            </w:tcBorders>
            <w:shd w:val="clear" w:color="000000" w:fill="D9D9D9"/>
            <w:vAlign w:val="center"/>
            <w:hideMark/>
          </w:tcPr>
          <w:p w14:paraId="6C69C8BA" w14:textId="77777777" w:rsidR="00596935" w:rsidRPr="00596935" w:rsidRDefault="00596935" w:rsidP="00596935">
            <w:pPr>
              <w:jc w:val="center"/>
              <w:rPr>
                <w:rFonts w:cs="Arial"/>
                <w:color w:val="000000"/>
                <w:sz w:val="16"/>
                <w:szCs w:val="16"/>
                <w:lang w:val="de-AT" w:eastAsia="de-AT"/>
              </w:rPr>
            </w:pPr>
            <w:r w:rsidRPr="00596935">
              <w:rPr>
                <w:rFonts w:cs="Arial"/>
                <w:color w:val="000000"/>
                <w:sz w:val="16"/>
                <w:szCs w:val="16"/>
                <w:lang w:val="de-AT" w:eastAsia="de-AT"/>
              </w:rPr>
              <w:t>Sterkers  2003</w:t>
            </w:r>
          </w:p>
        </w:tc>
        <w:tc>
          <w:tcPr>
            <w:tcW w:w="780" w:type="dxa"/>
            <w:tcBorders>
              <w:top w:val="single" w:sz="8" w:space="0" w:color="000000"/>
              <w:left w:val="nil"/>
              <w:bottom w:val="single" w:sz="8" w:space="0" w:color="000000"/>
              <w:right w:val="single" w:sz="8" w:space="0" w:color="000000"/>
            </w:tcBorders>
            <w:shd w:val="clear" w:color="000000" w:fill="D9D9D9"/>
            <w:vAlign w:val="center"/>
            <w:hideMark/>
          </w:tcPr>
          <w:p w14:paraId="31468095" w14:textId="77777777" w:rsidR="00596935" w:rsidRPr="00596935" w:rsidRDefault="00596935" w:rsidP="00596935">
            <w:pPr>
              <w:jc w:val="center"/>
              <w:rPr>
                <w:rFonts w:cs="Arial"/>
                <w:color w:val="000000"/>
                <w:sz w:val="16"/>
                <w:szCs w:val="16"/>
                <w:lang w:val="de-AT" w:eastAsia="de-AT"/>
              </w:rPr>
            </w:pPr>
            <w:r w:rsidRPr="00596935">
              <w:rPr>
                <w:rFonts w:cs="Arial"/>
                <w:color w:val="000000"/>
                <w:sz w:val="16"/>
                <w:szCs w:val="16"/>
                <w:lang w:val="de-AT" w:eastAsia="de-AT"/>
              </w:rPr>
              <w:t>n studies</w:t>
            </w:r>
          </w:p>
        </w:tc>
        <w:tc>
          <w:tcPr>
            <w:tcW w:w="880" w:type="dxa"/>
            <w:tcBorders>
              <w:top w:val="single" w:sz="8" w:space="0" w:color="000000"/>
              <w:left w:val="nil"/>
              <w:bottom w:val="single" w:sz="8" w:space="0" w:color="000000"/>
              <w:right w:val="single" w:sz="8" w:space="0" w:color="000000"/>
            </w:tcBorders>
            <w:shd w:val="clear" w:color="000000" w:fill="D9D9D9"/>
            <w:vAlign w:val="center"/>
            <w:hideMark/>
          </w:tcPr>
          <w:p w14:paraId="78BF9517" w14:textId="77777777" w:rsidR="00596935" w:rsidRPr="00596935" w:rsidRDefault="00596935" w:rsidP="00596935">
            <w:pPr>
              <w:jc w:val="center"/>
              <w:rPr>
                <w:rFonts w:cs="Arial"/>
                <w:color w:val="000000"/>
                <w:sz w:val="16"/>
                <w:szCs w:val="16"/>
                <w:lang w:val="de-AT" w:eastAsia="de-AT"/>
              </w:rPr>
            </w:pPr>
            <w:r w:rsidRPr="00596935">
              <w:rPr>
                <w:rFonts w:cs="Arial"/>
                <w:color w:val="000000"/>
                <w:sz w:val="16"/>
                <w:szCs w:val="16"/>
                <w:lang w:val="de-AT" w:eastAsia="de-AT"/>
              </w:rPr>
              <w:t>Total n of subjects</w:t>
            </w:r>
          </w:p>
        </w:tc>
        <w:tc>
          <w:tcPr>
            <w:tcW w:w="760" w:type="dxa"/>
            <w:tcBorders>
              <w:top w:val="single" w:sz="8" w:space="0" w:color="000000"/>
              <w:left w:val="nil"/>
              <w:bottom w:val="single" w:sz="8" w:space="0" w:color="000000"/>
              <w:right w:val="single" w:sz="8" w:space="0" w:color="000000"/>
            </w:tcBorders>
            <w:shd w:val="clear" w:color="000000" w:fill="D9D9D9"/>
            <w:vAlign w:val="center"/>
            <w:hideMark/>
          </w:tcPr>
          <w:p w14:paraId="68C77FB3" w14:textId="77777777" w:rsidR="00596935" w:rsidRPr="00596935" w:rsidRDefault="00596935" w:rsidP="00596935">
            <w:pPr>
              <w:jc w:val="center"/>
              <w:rPr>
                <w:rFonts w:cs="Arial"/>
                <w:color w:val="000000"/>
                <w:sz w:val="16"/>
                <w:szCs w:val="16"/>
                <w:lang w:val="de-AT" w:eastAsia="de-AT"/>
              </w:rPr>
            </w:pPr>
            <w:r w:rsidRPr="00596935">
              <w:rPr>
                <w:rFonts w:cs="Arial"/>
                <w:color w:val="000000"/>
                <w:sz w:val="16"/>
                <w:szCs w:val="16"/>
                <w:lang w:val="de-AT" w:eastAsia="de-AT"/>
              </w:rPr>
              <w:t>n cases</w:t>
            </w:r>
          </w:p>
        </w:tc>
        <w:tc>
          <w:tcPr>
            <w:tcW w:w="1000" w:type="dxa"/>
            <w:tcBorders>
              <w:top w:val="single" w:sz="8" w:space="0" w:color="000000"/>
              <w:left w:val="nil"/>
              <w:bottom w:val="single" w:sz="8" w:space="0" w:color="000000"/>
              <w:right w:val="single" w:sz="4" w:space="0" w:color="000000"/>
            </w:tcBorders>
            <w:shd w:val="clear" w:color="000000" w:fill="D9D9D9"/>
            <w:vAlign w:val="center"/>
            <w:hideMark/>
          </w:tcPr>
          <w:p w14:paraId="487AE90B" w14:textId="77777777" w:rsidR="00596935" w:rsidRPr="00596935" w:rsidRDefault="00596935" w:rsidP="00596935">
            <w:pPr>
              <w:jc w:val="center"/>
              <w:rPr>
                <w:rFonts w:cs="Arial"/>
                <w:color w:val="000000"/>
                <w:sz w:val="16"/>
                <w:szCs w:val="16"/>
                <w:lang w:val="de-AT" w:eastAsia="de-AT"/>
              </w:rPr>
            </w:pPr>
            <w:r w:rsidRPr="00596935">
              <w:rPr>
                <w:rFonts w:cs="Arial"/>
                <w:color w:val="000000"/>
                <w:sz w:val="16"/>
                <w:szCs w:val="16"/>
                <w:lang w:val="de-AT" w:eastAsia="de-AT"/>
              </w:rPr>
              <w:t>incidence when reported</w:t>
            </w:r>
          </w:p>
        </w:tc>
        <w:tc>
          <w:tcPr>
            <w:tcW w:w="1000" w:type="dxa"/>
            <w:tcBorders>
              <w:top w:val="single" w:sz="8" w:space="0" w:color="000000"/>
              <w:left w:val="nil"/>
              <w:bottom w:val="single" w:sz="8" w:space="0" w:color="000000"/>
              <w:right w:val="single" w:sz="8" w:space="0" w:color="000000"/>
            </w:tcBorders>
            <w:shd w:val="clear" w:color="000000" w:fill="D9D9D9"/>
            <w:vAlign w:val="center"/>
            <w:hideMark/>
          </w:tcPr>
          <w:p w14:paraId="2E4B1DDE" w14:textId="77777777" w:rsidR="00596935" w:rsidRPr="00596935" w:rsidRDefault="00596935" w:rsidP="00596935">
            <w:pPr>
              <w:jc w:val="center"/>
              <w:rPr>
                <w:rFonts w:cs="Arial"/>
                <w:color w:val="000000"/>
                <w:sz w:val="16"/>
                <w:szCs w:val="16"/>
                <w:lang w:val="de-AT" w:eastAsia="de-AT"/>
              </w:rPr>
            </w:pPr>
            <w:r w:rsidRPr="00596935">
              <w:rPr>
                <w:rFonts w:cs="Arial"/>
                <w:color w:val="000000"/>
                <w:sz w:val="16"/>
                <w:szCs w:val="16"/>
                <w:lang w:val="de-AT" w:eastAsia="de-AT"/>
              </w:rPr>
              <w:t>incidence across all studies</w:t>
            </w:r>
          </w:p>
        </w:tc>
      </w:tr>
      <w:tr w:rsidR="00596935" w:rsidRPr="00596935" w14:paraId="7AE0F732" w14:textId="77777777" w:rsidTr="00596935">
        <w:trPr>
          <w:trHeight w:val="300"/>
        </w:trPr>
        <w:tc>
          <w:tcPr>
            <w:tcW w:w="1988" w:type="dxa"/>
            <w:tcBorders>
              <w:top w:val="nil"/>
              <w:left w:val="single" w:sz="8" w:space="0" w:color="000000"/>
              <w:bottom w:val="single" w:sz="4" w:space="0" w:color="000000"/>
              <w:right w:val="single" w:sz="8" w:space="0" w:color="000000"/>
            </w:tcBorders>
            <w:shd w:val="clear" w:color="auto" w:fill="auto"/>
            <w:vAlign w:val="center"/>
            <w:hideMark/>
          </w:tcPr>
          <w:p w14:paraId="431BFF11" w14:textId="77777777" w:rsidR="00596935" w:rsidRPr="00596935" w:rsidRDefault="00596935" w:rsidP="00596935">
            <w:pPr>
              <w:rPr>
                <w:rFonts w:cs="Arial"/>
                <w:b/>
                <w:bCs/>
                <w:sz w:val="20"/>
                <w:szCs w:val="20"/>
                <w:lang w:val="de-AT" w:eastAsia="de-AT"/>
              </w:rPr>
            </w:pPr>
            <w:r w:rsidRPr="00596935">
              <w:rPr>
                <w:rFonts w:cs="Arial"/>
                <w:b/>
                <w:bCs/>
                <w:sz w:val="20"/>
                <w:szCs w:val="20"/>
                <w:lang w:val="de-AT" w:eastAsia="de-AT"/>
              </w:rPr>
              <w:t>taste disturbances</w:t>
            </w:r>
          </w:p>
        </w:tc>
        <w:tc>
          <w:tcPr>
            <w:tcW w:w="800" w:type="dxa"/>
            <w:tcBorders>
              <w:top w:val="nil"/>
              <w:left w:val="nil"/>
              <w:bottom w:val="single" w:sz="4" w:space="0" w:color="000000"/>
              <w:right w:val="single" w:sz="8" w:space="0" w:color="000000"/>
            </w:tcBorders>
            <w:shd w:val="clear" w:color="auto" w:fill="auto"/>
            <w:noWrap/>
            <w:vAlign w:val="center"/>
            <w:hideMark/>
          </w:tcPr>
          <w:p w14:paraId="241500ED"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6</w:t>
            </w:r>
          </w:p>
        </w:tc>
        <w:tc>
          <w:tcPr>
            <w:tcW w:w="820" w:type="dxa"/>
            <w:tcBorders>
              <w:top w:val="nil"/>
              <w:left w:val="nil"/>
              <w:bottom w:val="single" w:sz="4" w:space="0" w:color="000000"/>
              <w:right w:val="single" w:sz="8" w:space="0" w:color="000000"/>
            </w:tcBorders>
            <w:shd w:val="clear" w:color="auto" w:fill="auto"/>
            <w:noWrap/>
            <w:vAlign w:val="center"/>
            <w:hideMark/>
          </w:tcPr>
          <w:p w14:paraId="54D13E17"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840" w:type="dxa"/>
            <w:tcBorders>
              <w:top w:val="nil"/>
              <w:left w:val="nil"/>
              <w:bottom w:val="single" w:sz="4" w:space="0" w:color="000000"/>
              <w:right w:val="single" w:sz="8" w:space="0" w:color="000000"/>
            </w:tcBorders>
            <w:shd w:val="clear" w:color="auto" w:fill="auto"/>
            <w:noWrap/>
            <w:vAlign w:val="center"/>
            <w:hideMark/>
          </w:tcPr>
          <w:p w14:paraId="7A47E8D2"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820" w:type="dxa"/>
            <w:tcBorders>
              <w:top w:val="nil"/>
              <w:left w:val="nil"/>
              <w:bottom w:val="single" w:sz="4" w:space="0" w:color="000000"/>
              <w:right w:val="single" w:sz="8" w:space="0" w:color="000000"/>
            </w:tcBorders>
            <w:shd w:val="clear" w:color="auto" w:fill="auto"/>
            <w:noWrap/>
            <w:vAlign w:val="center"/>
            <w:hideMark/>
          </w:tcPr>
          <w:p w14:paraId="33BBB2C8"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6</w:t>
            </w:r>
          </w:p>
        </w:tc>
        <w:tc>
          <w:tcPr>
            <w:tcW w:w="800" w:type="dxa"/>
            <w:tcBorders>
              <w:top w:val="nil"/>
              <w:left w:val="nil"/>
              <w:bottom w:val="single" w:sz="4" w:space="0" w:color="000000"/>
              <w:right w:val="single" w:sz="8" w:space="0" w:color="000000"/>
            </w:tcBorders>
            <w:shd w:val="clear" w:color="auto" w:fill="auto"/>
            <w:noWrap/>
            <w:vAlign w:val="center"/>
            <w:hideMark/>
          </w:tcPr>
          <w:p w14:paraId="42C66B1D"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772" w:type="dxa"/>
            <w:tcBorders>
              <w:top w:val="nil"/>
              <w:left w:val="nil"/>
              <w:bottom w:val="single" w:sz="4" w:space="0" w:color="000000"/>
              <w:right w:val="single" w:sz="8" w:space="0" w:color="000000"/>
            </w:tcBorders>
            <w:shd w:val="clear" w:color="auto" w:fill="auto"/>
            <w:noWrap/>
            <w:vAlign w:val="center"/>
            <w:hideMark/>
          </w:tcPr>
          <w:p w14:paraId="510803D0"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3</w:t>
            </w:r>
          </w:p>
        </w:tc>
        <w:tc>
          <w:tcPr>
            <w:tcW w:w="800" w:type="dxa"/>
            <w:tcBorders>
              <w:top w:val="nil"/>
              <w:left w:val="nil"/>
              <w:bottom w:val="single" w:sz="4" w:space="0" w:color="000000"/>
              <w:right w:val="single" w:sz="8" w:space="0" w:color="000000"/>
            </w:tcBorders>
            <w:shd w:val="clear" w:color="auto" w:fill="auto"/>
            <w:vAlign w:val="center"/>
            <w:hideMark/>
          </w:tcPr>
          <w:p w14:paraId="3B8718F5"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7</w:t>
            </w:r>
          </w:p>
        </w:tc>
        <w:tc>
          <w:tcPr>
            <w:tcW w:w="780" w:type="dxa"/>
            <w:tcBorders>
              <w:top w:val="nil"/>
              <w:left w:val="nil"/>
              <w:bottom w:val="single" w:sz="4" w:space="0" w:color="000000"/>
              <w:right w:val="single" w:sz="8" w:space="0" w:color="000000"/>
            </w:tcBorders>
            <w:shd w:val="clear" w:color="000000" w:fill="D9D9D9"/>
            <w:vAlign w:val="center"/>
            <w:hideMark/>
          </w:tcPr>
          <w:p w14:paraId="48D5330A"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4</w:t>
            </w:r>
          </w:p>
        </w:tc>
        <w:tc>
          <w:tcPr>
            <w:tcW w:w="880" w:type="dxa"/>
            <w:tcBorders>
              <w:top w:val="nil"/>
              <w:left w:val="nil"/>
              <w:bottom w:val="single" w:sz="4" w:space="0" w:color="000000"/>
              <w:right w:val="single" w:sz="8" w:space="0" w:color="000000"/>
            </w:tcBorders>
            <w:shd w:val="clear" w:color="000000" w:fill="D9D9D9"/>
            <w:vAlign w:val="center"/>
            <w:hideMark/>
          </w:tcPr>
          <w:p w14:paraId="3613DDC6"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239</w:t>
            </w:r>
          </w:p>
        </w:tc>
        <w:tc>
          <w:tcPr>
            <w:tcW w:w="760" w:type="dxa"/>
            <w:tcBorders>
              <w:top w:val="nil"/>
              <w:left w:val="nil"/>
              <w:bottom w:val="single" w:sz="4" w:space="0" w:color="000000"/>
              <w:right w:val="single" w:sz="8" w:space="0" w:color="000000"/>
            </w:tcBorders>
            <w:shd w:val="clear" w:color="000000" w:fill="D9D9D9"/>
            <w:noWrap/>
            <w:vAlign w:val="bottom"/>
            <w:hideMark/>
          </w:tcPr>
          <w:p w14:paraId="332FD849"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26</w:t>
            </w:r>
          </w:p>
        </w:tc>
        <w:tc>
          <w:tcPr>
            <w:tcW w:w="1000" w:type="dxa"/>
            <w:tcBorders>
              <w:top w:val="nil"/>
              <w:left w:val="nil"/>
              <w:bottom w:val="single" w:sz="4" w:space="0" w:color="000000"/>
              <w:right w:val="single" w:sz="4" w:space="0" w:color="000000"/>
            </w:tcBorders>
            <w:shd w:val="clear" w:color="auto" w:fill="auto"/>
            <w:noWrap/>
            <w:vAlign w:val="bottom"/>
            <w:hideMark/>
          </w:tcPr>
          <w:p w14:paraId="4D893CD0"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10,9</w:t>
            </w:r>
          </w:p>
        </w:tc>
        <w:tc>
          <w:tcPr>
            <w:tcW w:w="1000" w:type="dxa"/>
            <w:tcBorders>
              <w:top w:val="nil"/>
              <w:left w:val="nil"/>
              <w:bottom w:val="single" w:sz="4" w:space="0" w:color="000000"/>
              <w:right w:val="single" w:sz="8" w:space="0" w:color="000000"/>
            </w:tcBorders>
            <w:shd w:val="clear" w:color="auto" w:fill="auto"/>
            <w:noWrap/>
            <w:vAlign w:val="center"/>
            <w:hideMark/>
          </w:tcPr>
          <w:p w14:paraId="24EEDEAA"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1,86</w:t>
            </w:r>
          </w:p>
        </w:tc>
      </w:tr>
      <w:tr w:rsidR="00596935" w:rsidRPr="00596935" w14:paraId="1E652695" w14:textId="77777777" w:rsidTr="00596935">
        <w:trPr>
          <w:trHeight w:val="300"/>
        </w:trPr>
        <w:tc>
          <w:tcPr>
            <w:tcW w:w="1988" w:type="dxa"/>
            <w:tcBorders>
              <w:top w:val="nil"/>
              <w:left w:val="single" w:sz="8" w:space="0" w:color="000000"/>
              <w:bottom w:val="single" w:sz="4" w:space="0" w:color="000000"/>
              <w:right w:val="single" w:sz="8" w:space="0" w:color="000000"/>
            </w:tcBorders>
            <w:shd w:val="clear" w:color="auto" w:fill="auto"/>
            <w:vAlign w:val="center"/>
            <w:hideMark/>
          </w:tcPr>
          <w:p w14:paraId="23783865" w14:textId="77777777" w:rsidR="00596935" w:rsidRPr="00596935" w:rsidRDefault="00596935" w:rsidP="00596935">
            <w:pPr>
              <w:rPr>
                <w:rFonts w:cs="Arial"/>
                <w:b/>
                <w:bCs/>
                <w:sz w:val="20"/>
                <w:szCs w:val="20"/>
                <w:lang w:val="de-AT" w:eastAsia="de-AT"/>
              </w:rPr>
            </w:pPr>
            <w:r w:rsidRPr="00596935">
              <w:rPr>
                <w:rFonts w:cs="Arial"/>
                <w:b/>
                <w:bCs/>
                <w:sz w:val="20"/>
                <w:szCs w:val="20"/>
                <w:lang w:val="de-AT" w:eastAsia="de-AT"/>
              </w:rPr>
              <w:t>middle ear effusion</w:t>
            </w:r>
          </w:p>
        </w:tc>
        <w:tc>
          <w:tcPr>
            <w:tcW w:w="800" w:type="dxa"/>
            <w:tcBorders>
              <w:top w:val="nil"/>
              <w:left w:val="nil"/>
              <w:bottom w:val="single" w:sz="4" w:space="0" w:color="000000"/>
              <w:right w:val="single" w:sz="8" w:space="0" w:color="000000"/>
            </w:tcBorders>
            <w:shd w:val="clear" w:color="auto" w:fill="auto"/>
            <w:noWrap/>
            <w:vAlign w:val="center"/>
            <w:hideMark/>
          </w:tcPr>
          <w:p w14:paraId="56183EA6"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820" w:type="dxa"/>
            <w:tcBorders>
              <w:top w:val="nil"/>
              <w:left w:val="nil"/>
              <w:bottom w:val="single" w:sz="4" w:space="0" w:color="000000"/>
              <w:right w:val="single" w:sz="8" w:space="0" w:color="000000"/>
            </w:tcBorders>
            <w:shd w:val="clear" w:color="auto" w:fill="auto"/>
            <w:noWrap/>
            <w:vAlign w:val="center"/>
            <w:hideMark/>
          </w:tcPr>
          <w:p w14:paraId="7B285CD7"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840" w:type="dxa"/>
            <w:tcBorders>
              <w:top w:val="nil"/>
              <w:left w:val="nil"/>
              <w:bottom w:val="single" w:sz="4" w:space="0" w:color="000000"/>
              <w:right w:val="single" w:sz="8" w:space="0" w:color="000000"/>
            </w:tcBorders>
            <w:shd w:val="clear" w:color="auto" w:fill="auto"/>
            <w:noWrap/>
            <w:vAlign w:val="center"/>
            <w:hideMark/>
          </w:tcPr>
          <w:p w14:paraId="567E8B95"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820" w:type="dxa"/>
            <w:tcBorders>
              <w:top w:val="nil"/>
              <w:left w:val="nil"/>
              <w:bottom w:val="single" w:sz="4" w:space="0" w:color="000000"/>
              <w:right w:val="single" w:sz="8" w:space="0" w:color="000000"/>
            </w:tcBorders>
            <w:shd w:val="clear" w:color="auto" w:fill="auto"/>
            <w:noWrap/>
            <w:vAlign w:val="center"/>
            <w:hideMark/>
          </w:tcPr>
          <w:p w14:paraId="4FBDA71F"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800" w:type="dxa"/>
            <w:tcBorders>
              <w:top w:val="nil"/>
              <w:left w:val="nil"/>
              <w:bottom w:val="single" w:sz="4" w:space="0" w:color="000000"/>
              <w:right w:val="single" w:sz="8" w:space="0" w:color="000000"/>
            </w:tcBorders>
            <w:shd w:val="clear" w:color="auto" w:fill="auto"/>
            <w:noWrap/>
            <w:vAlign w:val="center"/>
            <w:hideMark/>
          </w:tcPr>
          <w:p w14:paraId="39C141DB"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772" w:type="dxa"/>
            <w:tcBorders>
              <w:top w:val="nil"/>
              <w:left w:val="nil"/>
              <w:bottom w:val="single" w:sz="4" w:space="0" w:color="000000"/>
              <w:right w:val="single" w:sz="8" w:space="0" w:color="000000"/>
            </w:tcBorders>
            <w:shd w:val="clear" w:color="auto" w:fill="auto"/>
            <w:noWrap/>
            <w:vAlign w:val="center"/>
            <w:hideMark/>
          </w:tcPr>
          <w:p w14:paraId="4608301F"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800" w:type="dxa"/>
            <w:tcBorders>
              <w:top w:val="nil"/>
              <w:left w:val="nil"/>
              <w:bottom w:val="single" w:sz="4" w:space="0" w:color="000000"/>
              <w:right w:val="single" w:sz="8" w:space="0" w:color="000000"/>
            </w:tcBorders>
            <w:shd w:val="clear" w:color="auto" w:fill="auto"/>
            <w:noWrap/>
            <w:vAlign w:val="center"/>
            <w:hideMark/>
          </w:tcPr>
          <w:p w14:paraId="432AECA1"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0</w:t>
            </w:r>
          </w:p>
        </w:tc>
        <w:tc>
          <w:tcPr>
            <w:tcW w:w="780" w:type="dxa"/>
            <w:tcBorders>
              <w:top w:val="nil"/>
              <w:left w:val="nil"/>
              <w:bottom w:val="single" w:sz="4" w:space="0" w:color="000000"/>
              <w:right w:val="single" w:sz="8" w:space="0" w:color="000000"/>
            </w:tcBorders>
            <w:shd w:val="clear" w:color="000000" w:fill="D9D9D9"/>
            <w:noWrap/>
            <w:vAlign w:val="center"/>
            <w:hideMark/>
          </w:tcPr>
          <w:p w14:paraId="60C4AE62"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1</w:t>
            </w:r>
          </w:p>
        </w:tc>
        <w:tc>
          <w:tcPr>
            <w:tcW w:w="880" w:type="dxa"/>
            <w:tcBorders>
              <w:top w:val="nil"/>
              <w:left w:val="nil"/>
              <w:bottom w:val="single" w:sz="4" w:space="0" w:color="000000"/>
              <w:right w:val="single" w:sz="8" w:space="0" w:color="000000"/>
            </w:tcBorders>
            <w:shd w:val="clear" w:color="000000" w:fill="D9D9D9"/>
            <w:noWrap/>
            <w:vAlign w:val="center"/>
            <w:hideMark/>
          </w:tcPr>
          <w:p w14:paraId="7462D3E5"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95</w:t>
            </w:r>
          </w:p>
        </w:tc>
        <w:tc>
          <w:tcPr>
            <w:tcW w:w="760" w:type="dxa"/>
            <w:tcBorders>
              <w:top w:val="nil"/>
              <w:left w:val="nil"/>
              <w:bottom w:val="single" w:sz="4" w:space="0" w:color="000000"/>
              <w:right w:val="single" w:sz="8" w:space="0" w:color="000000"/>
            </w:tcBorders>
            <w:shd w:val="clear" w:color="000000" w:fill="D9D9D9"/>
            <w:noWrap/>
            <w:vAlign w:val="bottom"/>
            <w:hideMark/>
          </w:tcPr>
          <w:p w14:paraId="0E67E06C"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0</w:t>
            </w:r>
          </w:p>
        </w:tc>
        <w:tc>
          <w:tcPr>
            <w:tcW w:w="1000" w:type="dxa"/>
            <w:tcBorders>
              <w:top w:val="nil"/>
              <w:left w:val="nil"/>
              <w:bottom w:val="single" w:sz="4" w:space="0" w:color="000000"/>
              <w:right w:val="single" w:sz="4" w:space="0" w:color="000000"/>
            </w:tcBorders>
            <w:shd w:val="clear" w:color="auto" w:fill="auto"/>
            <w:noWrap/>
            <w:vAlign w:val="bottom"/>
            <w:hideMark/>
          </w:tcPr>
          <w:p w14:paraId="421935D3"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0,00</w:t>
            </w:r>
          </w:p>
        </w:tc>
        <w:tc>
          <w:tcPr>
            <w:tcW w:w="1000" w:type="dxa"/>
            <w:tcBorders>
              <w:top w:val="nil"/>
              <w:left w:val="nil"/>
              <w:bottom w:val="single" w:sz="4" w:space="0" w:color="000000"/>
              <w:right w:val="single" w:sz="8" w:space="0" w:color="000000"/>
            </w:tcBorders>
            <w:shd w:val="clear" w:color="auto" w:fill="auto"/>
            <w:noWrap/>
            <w:vAlign w:val="center"/>
            <w:hideMark/>
          </w:tcPr>
          <w:p w14:paraId="5C32A808"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0,00</w:t>
            </w:r>
          </w:p>
        </w:tc>
      </w:tr>
      <w:tr w:rsidR="00596935" w:rsidRPr="00596935" w14:paraId="32A1AC0A" w14:textId="77777777" w:rsidTr="00596935">
        <w:trPr>
          <w:trHeight w:val="300"/>
        </w:trPr>
        <w:tc>
          <w:tcPr>
            <w:tcW w:w="1988" w:type="dxa"/>
            <w:tcBorders>
              <w:top w:val="nil"/>
              <w:left w:val="single" w:sz="8" w:space="0" w:color="000000"/>
              <w:bottom w:val="single" w:sz="4" w:space="0" w:color="000000"/>
              <w:right w:val="single" w:sz="8" w:space="0" w:color="000000"/>
            </w:tcBorders>
            <w:shd w:val="clear" w:color="auto" w:fill="auto"/>
            <w:vAlign w:val="center"/>
            <w:hideMark/>
          </w:tcPr>
          <w:p w14:paraId="2985D648" w14:textId="77777777" w:rsidR="00596935" w:rsidRPr="00596935" w:rsidRDefault="00596935" w:rsidP="00596935">
            <w:pPr>
              <w:rPr>
                <w:rFonts w:cs="Arial"/>
                <w:b/>
                <w:bCs/>
                <w:sz w:val="20"/>
                <w:szCs w:val="20"/>
                <w:lang w:val="de-AT" w:eastAsia="de-AT"/>
              </w:rPr>
            </w:pPr>
            <w:r w:rsidRPr="00596935">
              <w:rPr>
                <w:rFonts w:cs="Arial"/>
                <w:b/>
                <w:bCs/>
                <w:sz w:val="20"/>
                <w:szCs w:val="20"/>
                <w:lang w:val="de-AT" w:eastAsia="de-AT"/>
              </w:rPr>
              <w:t>pain</w:t>
            </w:r>
          </w:p>
        </w:tc>
        <w:tc>
          <w:tcPr>
            <w:tcW w:w="800" w:type="dxa"/>
            <w:tcBorders>
              <w:top w:val="nil"/>
              <w:left w:val="nil"/>
              <w:bottom w:val="single" w:sz="4" w:space="0" w:color="000000"/>
              <w:right w:val="single" w:sz="8" w:space="0" w:color="000000"/>
            </w:tcBorders>
            <w:shd w:val="clear" w:color="auto" w:fill="auto"/>
            <w:noWrap/>
            <w:vAlign w:val="center"/>
            <w:hideMark/>
          </w:tcPr>
          <w:p w14:paraId="0E7A4BD2"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820" w:type="dxa"/>
            <w:tcBorders>
              <w:top w:val="nil"/>
              <w:left w:val="nil"/>
              <w:bottom w:val="single" w:sz="4" w:space="0" w:color="000000"/>
              <w:right w:val="single" w:sz="8" w:space="0" w:color="000000"/>
            </w:tcBorders>
            <w:shd w:val="clear" w:color="auto" w:fill="auto"/>
            <w:noWrap/>
            <w:vAlign w:val="center"/>
            <w:hideMark/>
          </w:tcPr>
          <w:p w14:paraId="04BB6B98"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3</w:t>
            </w:r>
          </w:p>
        </w:tc>
        <w:tc>
          <w:tcPr>
            <w:tcW w:w="840" w:type="dxa"/>
            <w:tcBorders>
              <w:top w:val="nil"/>
              <w:left w:val="nil"/>
              <w:bottom w:val="single" w:sz="4" w:space="0" w:color="000000"/>
              <w:right w:val="single" w:sz="8" w:space="0" w:color="000000"/>
            </w:tcBorders>
            <w:shd w:val="clear" w:color="auto" w:fill="auto"/>
            <w:noWrap/>
            <w:vAlign w:val="center"/>
            <w:hideMark/>
          </w:tcPr>
          <w:p w14:paraId="251B5174"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820" w:type="dxa"/>
            <w:tcBorders>
              <w:top w:val="nil"/>
              <w:left w:val="nil"/>
              <w:bottom w:val="single" w:sz="4" w:space="0" w:color="000000"/>
              <w:right w:val="single" w:sz="8" w:space="0" w:color="000000"/>
            </w:tcBorders>
            <w:shd w:val="clear" w:color="auto" w:fill="auto"/>
            <w:noWrap/>
            <w:vAlign w:val="center"/>
            <w:hideMark/>
          </w:tcPr>
          <w:p w14:paraId="2410A190"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800" w:type="dxa"/>
            <w:tcBorders>
              <w:top w:val="nil"/>
              <w:left w:val="nil"/>
              <w:bottom w:val="single" w:sz="4" w:space="0" w:color="000000"/>
              <w:right w:val="single" w:sz="8" w:space="0" w:color="000000"/>
            </w:tcBorders>
            <w:shd w:val="clear" w:color="auto" w:fill="auto"/>
            <w:noWrap/>
            <w:vAlign w:val="center"/>
            <w:hideMark/>
          </w:tcPr>
          <w:p w14:paraId="2D12E3A9"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772" w:type="dxa"/>
            <w:tcBorders>
              <w:top w:val="nil"/>
              <w:left w:val="nil"/>
              <w:bottom w:val="single" w:sz="4" w:space="0" w:color="000000"/>
              <w:right w:val="single" w:sz="8" w:space="0" w:color="000000"/>
            </w:tcBorders>
            <w:shd w:val="clear" w:color="auto" w:fill="auto"/>
            <w:noWrap/>
            <w:vAlign w:val="center"/>
            <w:hideMark/>
          </w:tcPr>
          <w:p w14:paraId="48B495C6"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800" w:type="dxa"/>
            <w:tcBorders>
              <w:top w:val="nil"/>
              <w:left w:val="nil"/>
              <w:bottom w:val="single" w:sz="4" w:space="0" w:color="000000"/>
              <w:right w:val="single" w:sz="8" w:space="0" w:color="000000"/>
            </w:tcBorders>
            <w:shd w:val="clear" w:color="auto" w:fill="auto"/>
            <w:vAlign w:val="center"/>
            <w:hideMark/>
          </w:tcPr>
          <w:p w14:paraId="52E29C6E"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1</w:t>
            </w:r>
          </w:p>
        </w:tc>
        <w:tc>
          <w:tcPr>
            <w:tcW w:w="780" w:type="dxa"/>
            <w:tcBorders>
              <w:top w:val="nil"/>
              <w:left w:val="nil"/>
              <w:bottom w:val="single" w:sz="4" w:space="0" w:color="000000"/>
              <w:right w:val="single" w:sz="8" w:space="0" w:color="000000"/>
            </w:tcBorders>
            <w:shd w:val="clear" w:color="000000" w:fill="D9D9D9"/>
            <w:vAlign w:val="center"/>
            <w:hideMark/>
          </w:tcPr>
          <w:p w14:paraId="5A97F715"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2</w:t>
            </w:r>
          </w:p>
        </w:tc>
        <w:tc>
          <w:tcPr>
            <w:tcW w:w="880" w:type="dxa"/>
            <w:tcBorders>
              <w:top w:val="nil"/>
              <w:left w:val="nil"/>
              <w:bottom w:val="single" w:sz="4" w:space="0" w:color="000000"/>
              <w:right w:val="single" w:sz="8" w:space="0" w:color="000000"/>
            </w:tcBorders>
            <w:shd w:val="clear" w:color="000000" w:fill="D9D9D9"/>
            <w:vAlign w:val="center"/>
            <w:hideMark/>
          </w:tcPr>
          <w:p w14:paraId="12EED9A4"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120</w:t>
            </w:r>
          </w:p>
        </w:tc>
        <w:tc>
          <w:tcPr>
            <w:tcW w:w="760" w:type="dxa"/>
            <w:tcBorders>
              <w:top w:val="nil"/>
              <w:left w:val="nil"/>
              <w:bottom w:val="single" w:sz="4" w:space="0" w:color="000000"/>
              <w:right w:val="single" w:sz="8" w:space="0" w:color="000000"/>
            </w:tcBorders>
            <w:shd w:val="clear" w:color="000000" w:fill="D9D9D9"/>
            <w:noWrap/>
            <w:vAlign w:val="bottom"/>
            <w:hideMark/>
          </w:tcPr>
          <w:p w14:paraId="70202977"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4</w:t>
            </w:r>
          </w:p>
        </w:tc>
        <w:tc>
          <w:tcPr>
            <w:tcW w:w="1000" w:type="dxa"/>
            <w:tcBorders>
              <w:top w:val="nil"/>
              <w:left w:val="nil"/>
              <w:bottom w:val="single" w:sz="4" w:space="0" w:color="000000"/>
              <w:right w:val="single" w:sz="4" w:space="0" w:color="000000"/>
            </w:tcBorders>
            <w:shd w:val="clear" w:color="auto" w:fill="auto"/>
            <w:noWrap/>
            <w:vAlign w:val="bottom"/>
            <w:hideMark/>
          </w:tcPr>
          <w:p w14:paraId="1CE39F9C"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3,33</w:t>
            </w:r>
          </w:p>
        </w:tc>
        <w:tc>
          <w:tcPr>
            <w:tcW w:w="1000" w:type="dxa"/>
            <w:tcBorders>
              <w:top w:val="nil"/>
              <w:left w:val="nil"/>
              <w:bottom w:val="single" w:sz="4" w:space="0" w:color="000000"/>
              <w:right w:val="single" w:sz="8" w:space="0" w:color="000000"/>
            </w:tcBorders>
            <w:shd w:val="clear" w:color="auto" w:fill="auto"/>
            <w:noWrap/>
            <w:vAlign w:val="center"/>
            <w:hideMark/>
          </w:tcPr>
          <w:p w14:paraId="636EF45E"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0,29</w:t>
            </w:r>
          </w:p>
        </w:tc>
      </w:tr>
      <w:tr w:rsidR="00596935" w:rsidRPr="00596935" w14:paraId="0FEEAD22" w14:textId="77777777" w:rsidTr="00596935">
        <w:trPr>
          <w:trHeight w:val="300"/>
        </w:trPr>
        <w:tc>
          <w:tcPr>
            <w:tcW w:w="1988" w:type="dxa"/>
            <w:tcBorders>
              <w:top w:val="nil"/>
              <w:left w:val="single" w:sz="8" w:space="0" w:color="000000"/>
              <w:bottom w:val="single" w:sz="4" w:space="0" w:color="000000"/>
              <w:right w:val="single" w:sz="8" w:space="0" w:color="000000"/>
            </w:tcBorders>
            <w:shd w:val="clear" w:color="auto" w:fill="auto"/>
            <w:vAlign w:val="center"/>
            <w:hideMark/>
          </w:tcPr>
          <w:p w14:paraId="7F51D911" w14:textId="77777777" w:rsidR="00596935" w:rsidRPr="00596935" w:rsidRDefault="00596935" w:rsidP="00596935">
            <w:pPr>
              <w:rPr>
                <w:rFonts w:cs="Arial"/>
                <w:b/>
                <w:bCs/>
                <w:sz w:val="20"/>
                <w:szCs w:val="20"/>
                <w:lang w:val="de-AT" w:eastAsia="de-AT"/>
              </w:rPr>
            </w:pPr>
            <w:r w:rsidRPr="00596935">
              <w:rPr>
                <w:rFonts w:cs="Arial"/>
                <w:b/>
                <w:bCs/>
                <w:sz w:val="20"/>
                <w:szCs w:val="20"/>
                <w:lang w:val="de-AT" w:eastAsia="de-AT"/>
              </w:rPr>
              <w:t>vertigo / dizziness</w:t>
            </w:r>
          </w:p>
        </w:tc>
        <w:tc>
          <w:tcPr>
            <w:tcW w:w="800" w:type="dxa"/>
            <w:tcBorders>
              <w:top w:val="nil"/>
              <w:left w:val="nil"/>
              <w:bottom w:val="single" w:sz="4" w:space="0" w:color="000000"/>
              <w:right w:val="single" w:sz="8" w:space="0" w:color="000000"/>
            </w:tcBorders>
            <w:shd w:val="clear" w:color="auto" w:fill="auto"/>
            <w:noWrap/>
            <w:vAlign w:val="center"/>
            <w:hideMark/>
          </w:tcPr>
          <w:p w14:paraId="02014E6D"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820" w:type="dxa"/>
            <w:tcBorders>
              <w:top w:val="nil"/>
              <w:left w:val="nil"/>
              <w:bottom w:val="single" w:sz="4" w:space="0" w:color="000000"/>
              <w:right w:val="single" w:sz="8" w:space="0" w:color="000000"/>
            </w:tcBorders>
            <w:shd w:val="clear" w:color="auto" w:fill="auto"/>
            <w:noWrap/>
            <w:vAlign w:val="center"/>
            <w:hideMark/>
          </w:tcPr>
          <w:p w14:paraId="072A58C9"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840" w:type="dxa"/>
            <w:tcBorders>
              <w:top w:val="nil"/>
              <w:left w:val="nil"/>
              <w:bottom w:val="single" w:sz="4" w:space="0" w:color="000000"/>
              <w:right w:val="single" w:sz="8" w:space="0" w:color="000000"/>
            </w:tcBorders>
            <w:shd w:val="clear" w:color="auto" w:fill="auto"/>
            <w:noWrap/>
            <w:vAlign w:val="center"/>
            <w:hideMark/>
          </w:tcPr>
          <w:p w14:paraId="7E9CB870"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820" w:type="dxa"/>
            <w:tcBorders>
              <w:top w:val="nil"/>
              <w:left w:val="nil"/>
              <w:bottom w:val="single" w:sz="4" w:space="0" w:color="000000"/>
              <w:right w:val="single" w:sz="8" w:space="0" w:color="000000"/>
            </w:tcBorders>
            <w:shd w:val="clear" w:color="auto" w:fill="auto"/>
            <w:noWrap/>
            <w:vAlign w:val="center"/>
            <w:hideMark/>
          </w:tcPr>
          <w:p w14:paraId="5D5C91F8"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800" w:type="dxa"/>
            <w:tcBorders>
              <w:top w:val="nil"/>
              <w:left w:val="nil"/>
              <w:bottom w:val="single" w:sz="4" w:space="0" w:color="000000"/>
              <w:right w:val="single" w:sz="8" w:space="0" w:color="000000"/>
            </w:tcBorders>
            <w:shd w:val="clear" w:color="auto" w:fill="auto"/>
            <w:noWrap/>
            <w:vAlign w:val="center"/>
            <w:hideMark/>
          </w:tcPr>
          <w:p w14:paraId="4358BA60"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772" w:type="dxa"/>
            <w:tcBorders>
              <w:top w:val="nil"/>
              <w:left w:val="nil"/>
              <w:bottom w:val="single" w:sz="4" w:space="0" w:color="000000"/>
              <w:right w:val="single" w:sz="8" w:space="0" w:color="000000"/>
            </w:tcBorders>
            <w:shd w:val="clear" w:color="auto" w:fill="auto"/>
            <w:noWrap/>
            <w:vAlign w:val="center"/>
            <w:hideMark/>
          </w:tcPr>
          <w:p w14:paraId="3DF2C234"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800" w:type="dxa"/>
            <w:tcBorders>
              <w:top w:val="nil"/>
              <w:left w:val="nil"/>
              <w:bottom w:val="single" w:sz="4" w:space="0" w:color="000000"/>
              <w:right w:val="single" w:sz="8" w:space="0" w:color="000000"/>
            </w:tcBorders>
            <w:shd w:val="clear" w:color="auto" w:fill="auto"/>
            <w:noWrap/>
            <w:vAlign w:val="center"/>
            <w:hideMark/>
          </w:tcPr>
          <w:p w14:paraId="251109C0"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0</w:t>
            </w:r>
          </w:p>
        </w:tc>
        <w:tc>
          <w:tcPr>
            <w:tcW w:w="780" w:type="dxa"/>
            <w:tcBorders>
              <w:top w:val="nil"/>
              <w:left w:val="nil"/>
              <w:bottom w:val="single" w:sz="4" w:space="0" w:color="000000"/>
              <w:right w:val="single" w:sz="8" w:space="0" w:color="000000"/>
            </w:tcBorders>
            <w:shd w:val="clear" w:color="000000" w:fill="D9D9D9"/>
            <w:noWrap/>
            <w:vAlign w:val="center"/>
            <w:hideMark/>
          </w:tcPr>
          <w:p w14:paraId="19AFE1D2"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1</w:t>
            </w:r>
          </w:p>
        </w:tc>
        <w:tc>
          <w:tcPr>
            <w:tcW w:w="880" w:type="dxa"/>
            <w:tcBorders>
              <w:top w:val="nil"/>
              <w:left w:val="nil"/>
              <w:bottom w:val="single" w:sz="4" w:space="0" w:color="000000"/>
              <w:right w:val="single" w:sz="8" w:space="0" w:color="000000"/>
            </w:tcBorders>
            <w:shd w:val="clear" w:color="000000" w:fill="D9D9D9"/>
            <w:noWrap/>
            <w:vAlign w:val="center"/>
            <w:hideMark/>
          </w:tcPr>
          <w:p w14:paraId="0B76EB51"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95</w:t>
            </w:r>
          </w:p>
        </w:tc>
        <w:tc>
          <w:tcPr>
            <w:tcW w:w="760" w:type="dxa"/>
            <w:tcBorders>
              <w:top w:val="nil"/>
              <w:left w:val="nil"/>
              <w:bottom w:val="single" w:sz="4" w:space="0" w:color="000000"/>
              <w:right w:val="single" w:sz="8" w:space="0" w:color="000000"/>
            </w:tcBorders>
            <w:shd w:val="clear" w:color="000000" w:fill="D9D9D9"/>
            <w:noWrap/>
            <w:vAlign w:val="bottom"/>
            <w:hideMark/>
          </w:tcPr>
          <w:p w14:paraId="6C2E347A"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0</w:t>
            </w:r>
          </w:p>
        </w:tc>
        <w:tc>
          <w:tcPr>
            <w:tcW w:w="1000" w:type="dxa"/>
            <w:tcBorders>
              <w:top w:val="nil"/>
              <w:left w:val="nil"/>
              <w:bottom w:val="single" w:sz="4" w:space="0" w:color="000000"/>
              <w:right w:val="single" w:sz="4" w:space="0" w:color="000000"/>
            </w:tcBorders>
            <w:shd w:val="clear" w:color="auto" w:fill="auto"/>
            <w:noWrap/>
            <w:vAlign w:val="bottom"/>
            <w:hideMark/>
          </w:tcPr>
          <w:p w14:paraId="43A0130C"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0,00</w:t>
            </w:r>
          </w:p>
        </w:tc>
        <w:tc>
          <w:tcPr>
            <w:tcW w:w="1000" w:type="dxa"/>
            <w:tcBorders>
              <w:top w:val="nil"/>
              <w:left w:val="nil"/>
              <w:bottom w:val="single" w:sz="4" w:space="0" w:color="000000"/>
              <w:right w:val="single" w:sz="8" w:space="0" w:color="000000"/>
            </w:tcBorders>
            <w:shd w:val="clear" w:color="auto" w:fill="auto"/>
            <w:noWrap/>
            <w:vAlign w:val="center"/>
            <w:hideMark/>
          </w:tcPr>
          <w:p w14:paraId="6F078E65"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0,00</w:t>
            </w:r>
          </w:p>
        </w:tc>
      </w:tr>
      <w:tr w:rsidR="00596935" w:rsidRPr="00596935" w14:paraId="56A7FF37" w14:textId="77777777" w:rsidTr="00596935">
        <w:trPr>
          <w:trHeight w:val="300"/>
        </w:trPr>
        <w:tc>
          <w:tcPr>
            <w:tcW w:w="1988" w:type="dxa"/>
            <w:tcBorders>
              <w:top w:val="nil"/>
              <w:left w:val="single" w:sz="8" w:space="0" w:color="000000"/>
              <w:bottom w:val="single" w:sz="4" w:space="0" w:color="000000"/>
              <w:right w:val="single" w:sz="8" w:space="0" w:color="000000"/>
            </w:tcBorders>
            <w:shd w:val="clear" w:color="auto" w:fill="auto"/>
            <w:vAlign w:val="center"/>
            <w:hideMark/>
          </w:tcPr>
          <w:p w14:paraId="5274AF51" w14:textId="77777777" w:rsidR="00596935" w:rsidRPr="00596935" w:rsidRDefault="00596935" w:rsidP="00596935">
            <w:pPr>
              <w:rPr>
                <w:rFonts w:cs="Arial"/>
                <w:b/>
                <w:bCs/>
                <w:sz w:val="20"/>
                <w:szCs w:val="20"/>
                <w:lang w:val="de-AT" w:eastAsia="de-AT"/>
              </w:rPr>
            </w:pPr>
            <w:r w:rsidRPr="00596935">
              <w:rPr>
                <w:rFonts w:cs="Arial"/>
                <w:b/>
                <w:bCs/>
                <w:sz w:val="20"/>
                <w:szCs w:val="20"/>
                <w:lang w:val="de-AT" w:eastAsia="de-AT"/>
              </w:rPr>
              <w:t>tinnitus</w:t>
            </w:r>
          </w:p>
        </w:tc>
        <w:tc>
          <w:tcPr>
            <w:tcW w:w="800" w:type="dxa"/>
            <w:tcBorders>
              <w:top w:val="nil"/>
              <w:left w:val="nil"/>
              <w:bottom w:val="single" w:sz="4" w:space="0" w:color="000000"/>
              <w:right w:val="single" w:sz="8" w:space="0" w:color="000000"/>
            </w:tcBorders>
            <w:shd w:val="clear" w:color="auto" w:fill="auto"/>
            <w:noWrap/>
            <w:vAlign w:val="center"/>
            <w:hideMark/>
          </w:tcPr>
          <w:p w14:paraId="61769895"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1</w:t>
            </w:r>
          </w:p>
        </w:tc>
        <w:tc>
          <w:tcPr>
            <w:tcW w:w="820" w:type="dxa"/>
            <w:tcBorders>
              <w:top w:val="nil"/>
              <w:left w:val="nil"/>
              <w:bottom w:val="single" w:sz="4" w:space="0" w:color="000000"/>
              <w:right w:val="single" w:sz="8" w:space="0" w:color="000000"/>
            </w:tcBorders>
            <w:shd w:val="clear" w:color="auto" w:fill="auto"/>
            <w:noWrap/>
            <w:vAlign w:val="center"/>
            <w:hideMark/>
          </w:tcPr>
          <w:p w14:paraId="1DC86406"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840" w:type="dxa"/>
            <w:tcBorders>
              <w:top w:val="nil"/>
              <w:left w:val="nil"/>
              <w:bottom w:val="single" w:sz="4" w:space="0" w:color="000000"/>
              <w:right w:val="single" w:sz="8" w:space="0" w:color="000000"/>
            </w:tcBorders>
            <w:shd w:val="clear" w:color="auto" w:fill="auto"/>
            <w:noWrap/>
            <w:vAlign w:val="center"/>
            <w:hideMark/>
          </w:tcPr>
          <w:p w14:paraId="2BB1F021"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820" w:type="dxa"/>
            <w:tcBorders>
              <w:top w:val="nil"/>
              <w:left w:val="nil"/>
              <w:bottom w:val="single" w:sz="4" w:space="0" w:color="000000"/>
              <w:right w:val="single" w:sz="8" w:space="0" w:color="000000"/>
            </w:tcBorders>
            <w:shd w:val="clear" w:color="auto" w:fill="auto"/>
            <w:noWrap/>
            <w:vAlign w:val="center"/>
            <w:hideMark/>
          </w:tcPr>
          <w:p w14:paraId="6455F36F"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800" w:type="dxa"/>
            <w:tcBorders>
              <w:top w:val="nil"/>
              <w:left w:val="nil"/>
              <w:bottom w:val="single" w:sz="4" w:space="0" w:color="000000"/>
              <w:right w:val="single" w:sz="8" w:space="0" w:color="000000"/>
            </w:tcBorders>
            <w:shd w:val="clear" w:color="auto" w:fill="auto"/>
            <w:noWrap/>
            <w:vAlign w:val="center"/>
            <w:hideMark/>
          </w:tcPr>
          <w:p w14:paraId="5068D42C"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772" w:type="dxa"/>
            <w:tcBorders>
              <w:top w:val="nil"/>
              <w:left w:val="nil"/>
              <w:bottom w:val="single" w:sz="4" w:space="0" w:color="000000"/>
              <w:right w:val="single" w:sz="8" w:space="0" w:color="000000"/>
            </w:tcBorders>
            <w:shd w:val="clear" w:color="auto" w:fill="auto"/>
            <w:noWrap/>
            <w:vAlign w:val="center"/>
            <w:hideMark/>
          </w:tcPr>
          <w:p w14:paraId="60A07692"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2</w:t>
            </w:r>
          </w:p>
        </w:tc>
        <w:tc>
          <w:tcPr>
            <w:tcW w:w="800" w:type="dxa"/>
            <w:tcBorders>
              <w:top w:val="nil"/>
              <w:left w:val="nil"/>
              <w:bottom w:val="single" w:sz="4" w:space="0" w:color="000000"/>
              <w:right w:val="single" w:sz="8" w:space="0" w:color="000000"/>
            </w:tcBorders>
            <w:shd w:val="clear" w:color="auto" w:fill="auto"/>
            <w:vAlign w:val="center"/>
            <w:hideMark/>
          </w:tcPr>
          <w:p w14:paraId="06F1B009"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1</w:t>
            </w:r>
          </w:p>
        </w:tc>
        <w:tc>
          <w:tcPr>
            <w:tcW w:w="780" w:type="dxa"/>
            <w:tcBorders>
              <w:top w:val="nil"/>
              <w:left w:val="nil"/>
              <w:bottom w:val="single" w:sz="4" w:space="0" w:color="000000"/>
              <w:right w:val="single" w:sz="8" w:space="0" w:color="000000"/>
            </w:tcBorders>
            <w:shd w:val="clear" w:color="000000" w:fill="D9D9D9"/>
            <w:vAlign w:val="center"/>
            <w:hideMark/>
          </w:tcPr>
          <w:p w14:paraId="00FAF974"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3</w:t>
            </w:r>
          </w:p>
        </w:tc>
        <w:tc>
          <w:tcPr>
            <w:tcW w:w="880" w:type="dxa"/>
            <w:tcBorders>
              <w:top w:val="nil"/>
              <w:left w:val="nil"/>
              <w:bottom w:val="single" w:sz="4" w:space="0" w:color="000000"/>
              <w:right w:val="single" w:sz="8" w:space="0" w:color="000000"/>
            </w:tcBorders>
            <w:shd w:val="clear" w:color="000000" w:fill="D9D9D9"/>
            <w:vAlign w:val="center"/>
            <w:hideMark/>
          </w:tcPr>
          <w:p w14:paraId="374082C0"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162</w:t>
            </w:r>
          </w:p>
        </w:tc>
        <w:tc>
          <w:tcPr>
            <w:tcW w:w="760" w:type="dxa"/>
            <w:tcBorders>
              <w:top w:val="nil"/>
              <w:left w:val="nil"/>
              <w:bottom w:val="single" w:sz="4" w:space="0" w:color="000000"/>
              <w:right w:val="single" w:sz="8" w:space="0" w:color="000000"/>
            </w:tcBorders>
            <w:shd w:val="clear" w:color="000000" w:fill="D9D9D9"/>
            <w:noWrap/>
            <w:vAlign w:val="bottom"/>
            <w:hideMark/>
          </w:tcPr>
          <w:p w14:paraId="40E4CEA7"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4</w:t>
            </w:r>
          </w:p>
        </w:tc>
        <w:tc>
          <w:tcPr>
            <w:tcW w:w="1000" w:type="dxa"/>
            <w:tcBorders>
              <w:top w:val="nil"/>
              <w:left w:val="nil"/>
              <w:bottom w:val="single" w:sz="4" w:space="0" w:color="000000"/>
              <w:right w:val="single" w:sz="4" w:space="0" w:color="000000"/>
            </w:tcBorders>
            <w:shd w:val="clear" w:color="auto" w:fill="auto"/>
            <w:noWrap/>
            <w:vAlign w:val="bottom"/>
            <w:hideMark/>
          </w:tcPr>
          <w:p w14:paraId="24D8A5E0"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2,47</w:t>
            </w:r>
          </w:p>
        </w:tc>
        <w:tc>
          <w:tcPr>
            <w:tcW w:w="1000" w:type="dxa"/>
            <w:tcBorders>
              <w:top w:val="nil"/>
              <w:left w:val="nil"/>
              <w:bottom w:val="single" w:sz="4" w:space="0" w:color="000000"/>
              <w:right w:val="single" w:sz="8" w:space="0" w:color="000000"/>
            </w:tcBorders>
            <w:shd w:val="clear" w:color="auto" w:fill="auto"/>
            <w:noWrap/>
            <w:vAlign w:val="center"/>
            <w:hideMark/>
          </w:tcPr>
          <w:p w14:paraId="2660479C"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0,29</w:t>
            </w:r>
          </w:p>
        </w:tc>
      </w:tr>
      <w:tr w:rsidR="00596935" w:rsidRPr="00596935" w14:paraId="4B5DB2A7" w14:textId="77777777" w:rsidTr="00596935">
        <w:trPr>
          <w:trHeight w:val="300"/>
        </w:trPr>
        <w:tc>
          <w:tcPr>
            <w:tcW w:w="1988" w:type="dxa"/>
            <w:tcBorders>
              <w:top w:val="nil"/>
              <w:left w:val="single" w:sz="8" w:space="0" w:color="000000"/>
              <w:bottom w:val="single" w:sz="4" w:space="0" w:color="000000"/>
              <w:right w:val="single" w:sz="8" w:space="0" w:color="000000"/>
            </w:tcBorders>
            <w:shd w:val="clear" w:color="auto" w:fill="auto"/>
            <w:vAlign w:val="center"/>
            <w:hideMark/>
          </w:tcPr>
          <w:p w14:paraId="05F6CF21" w14:textId="77777777" w:rsidR="00596935" w:rsidRPr="00596935" w:rsidRDefault="00596935" w:rsidP="00596935">
            <w:pPr>
              <w:rPr>
                <w:rFonts w:cs="Arial"/>
                <w:b/>
                <w:bCs/>
                <w:sz w:val="20"/>
                <w:szCs w:val="20"/>
                <w:lang w:val="de-AT" w:eastAsia="de-AT"/>
              </w:rPr>
            </w:pPr>
            <w:r w:rsidRPr="00596935">
              <w:rPr>
                <w:rFonts w:cs="Arial"/>
                <w:b/>
                <w:bCs/>
                <w:sz w:val="20"/>
                <w:szCs w:val="20"/>
                <w:lang w:val="de-AT" w:eastAsia="de-AT"/>
              </w:rPr>
              <w:t>facial palsy</w:t>
            </w:r>
          </w:p>
        </w:tc>
        <w:tc>
          <w:tcPr>
            <w:tcW w:w="800" w:type="dxa"/>
            <w:tcBorders>
              <w:top w:val="nil"/>
              <w:left w:val="nil"/>
              <w:bottom w:val="single" w:sz="4" w:space="0" w:color="000000"/>
              <w:right w:val="single" w:sz="8" w:space="0" w:color="000000"/>
            </w:tcBorders>
            <w:shd w:val="clear" w:color="auto" w:fill="auto"/>
            <w:noWrap/>
            <w:vAlign w:val="center"/>
            <w:hideMark/>
          </w:tcPr>
          <w:p w14:paraId="6874D8E9"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0</w:t>
            </w:r>
          </w:p>
        </w:tc>
        <w:tc>
          <w:tcPr>
            <w:tcW w:w="820" w:type="dxa"/>
            <w:tcBorders>
              <w:top w:val="nil"/>
              <w:left w:val="nil"/>
              <w:bottom w:val="single" w:sz="4" w:space="0" w:color="000000"/>
              <w:right w:val="single" w:sz="8" w:space="0" w:color="000000"/>
            </w:tcBorders>
            <w:shd w:val="clear" w:color="auto" w:fill="auto"/>
            <w:noWrap/>
            <w:vAlign w:val="center"/>
            <w:hideMark/>
          </w:tcPr>
          <w:p w14:paraId="65B25E20"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1</w:t>
            </w:r>
          </w:p>
        </w:tc>
        <w:tc>
          <w:tcPr>
            <w:tcW w:w="840" w:type="dxa"/>
            <w:tcBorders>
              <w:top w:val="nil"/>
              <w:left w:val="nil"/>
              <w:bottom w:val="single" w:sz="4" w:space="0" w:color="000000"/>
              <w:right w:val="single" w:sz="8" w:space="0" w:color="000000"/>
            </w:tcBorders>
            <w:shd w:val="clear" w:color="auto" w:fill="auto"/>
            <w:noWrap/>
            <w:vAlign w:val="center"/>
            <w:hideMark/>
          </w:tcPr>
          <w:p w14:paraId="06D1D8A8"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2</w:t>
            </w:r>
          </w:p>
        </w:tc>
        <w:tc>
          <w:tcPr>
            <w:tcW w:w="820" w:type="dxa"/>
            <w:tcBorders>
              <w:top w:val="nil"/>
              <w:left w:val="nil"/>
              <w:bottom w:val="single" w:sz="4" w:space="0" w:color="000000"/>
              <w:right w:val="single" w:sz="8" w:space="0" w:color="000000"/>
            </w:tcBorders>
            <w:shd w:val="clear" w:color="auto" w:fill="auto"/>
            <w:noWrap/>
            <w:vAlign w:val="center"/>
            <w:hideMark/>
          </w:tcPr>
          <w:p w14:paraId="3B714F24"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800" w:type="dxa"/>
            <w:tcBorders>
              <w:top w:val="nil"/>
              <w:left w:val="nil"/>
              <w:bottom w:val="single" w:sz="4" w:space="0" w:color="000000"/>
              <w:right w:val="single" w:sz="8" w:space="0" w:color="000000"/>
            </w:tcBorders>
            <w:shd w:val="clear" w:color="auto" w:fill="auto"/>
            <w:noWrap/>
            <w:vAlign w:val="center"/>
            <w:hideMark/>
          </w:tcPr>
          <w:p w14:paraId="04F5F511"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772" w:type="dxa"/>
            <w:tcBorders>
              <w:top w:val="nil"/>
              <w:left w:val="nil"/>
              <w:bottom w:val="single" w:sz="4" w:space="0" w:color="000000"/>
              <w:right w:val="single" w:sz="8" w:space="0" w:color="000000"/>
            </w:tcBorders>
            <w:shd w:val="clear" w:color="auto" w:fill="auto"/>
            <w:noWrap/>
            <w:vAlign w:val="center"/>
            <w:hideMark/>
          </w:tcPr>
          <w:p w14:paraId="6AC7509C"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800" w:type="dxa"/>
            <w:tcBorders>
              <w:top w:val="nil"/>
              <w:left w:val="nil"/>
              <w:bottom w:val="single" w:sz="4" w:space="0" w:color="000000"/>
              <w:right w:val="single" w:sz="8" w:space="0" w:color="000000"/>
            </w:tcBorders>
            <w:shd w:val="clear" w:color="auto" w:fill="auto"/>
            <w:noWrap/>
            <w:vAlign w:val="center"/>
            <w:hideMark/>
          </w:tcPr>
          <w:p w14:paraId="7B6C5CCA"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780" w:type="dxa"/>
            <w:tcBorders>
              <w:top w:val="nil"/>
              <w:left w:val="nil"/>
              <w:bottom w:val="single" w:sz="4" w:space="0" w:color="000000"/>
              <w:right w:val="single" w:sz="8" w:space="0" w:color="000000"/>
            </w:tcBorders>
            <w:shd w:val="clear" w:color="000000" w:fill="D9D9D9"/>
            <w:noWrap/>
            <w:vAlign w:val="center"/>
            <w:hideMark/>
          </w:tcPr>
          <w:p w14:paraId="0730B5C9"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3</w:t>
            </w:r>
          </w:p>
        </w:tc>
        <w:tc>
          <w:tcPr>
            <w:tcW w:w="880" w:type="dxa"/>
            <w:tcBorders>
              <w:top w:val="nil"/>
              <w:left w:val="nil"/>
              <w:bottom w:val="single" w:sz="4" w:space="0" w:color="000000"/>
              <w:right w:val="single" w:sz="8" w:space="0" w:color="000000"/>
            </w:tcBorders>
            <w:shd w:val="clear" w:color="000000" w:fill="D9D9D9"/>
            <w:noWrap/>
            <w:vAlign w:val="center"/>
            <w:hideMark/>
          </w:tcPr>
          <w:p w14:paraId="72BA91FE"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1172</w:t>
            </w:r>
          </w:p>
        </w:tc>
        <w:tc>
          <w:tcPr>
            <w:tcW w:w="760" w:type="dxa"/>
            <w:tcBorders>
              <w:top w:val="nil"/>
              <w:left w:val="nil"/>
              <w:bottom w:val="single" w:sz="4" w:space="0" w:color="000000"/>
              <w:right w:val="single" w:sz="8" w:space="0" w:color="000000"/>
            </w:tcBorders>
            <w:shd w:val="clear" w:color="000000" w:fill="D9D9D9"/>
            <w:noWrap/>
            <w:vAlign w:val="bottom"/>
            <w:hideMark/>
          </w:tcPr>
          <w:p w14:paraId="7A7FC364"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7</w:t>
            </w:r>
          </w:p>
        </w:tc>
        <w:tc>
          <w:tcPr>
            <w:tcW w:w="1000" w:type="dxa"/>
            <w:tcBorders>
              <w:top w:val="nil"/>
              <w:left w:val="nil"/>
              <w:bottom w:val="single" w:sz="4" w:space="0" w:color="000000"/>
              <w:right w:val="single" w:sz="4" w:space="0" w:color="000000"/>
            </w:tcBorders>
            <w:shd w:val="clear" w:color="auto" w:fill="auto"/>
            <w:noWrap/>
            <w:vAlign w:val="bottom"/>
            <w:hideMark/>
          </w:tcPr>
          <w:p w14:paraId="1277D8EE"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0,60</w:t>
            </w:r>
          </w:p>
        </w:tc>
        <w:tc>
          <w:tcPr>
            <w:tcW w:w="1000" w:type="dxa"/>
            <w:tcBorders>
              <w:top w:val="nil"/>
              <w:left w:val="nil"/>
              <w:bottom w:val="single" w:sz="4" w:space="0" w:color="000000"/>
              <w:right w:val="single" w:sz="8" w:space="0" w:color="000000"/>
            </w:tcBorders>
            <w:shd w:val="clear" w:color="auto" w:fill="auto"/>
            <w:noWrap/>
            <w:vAlign w:val="center"/>
            <w:hideMark/>
          </w:tcPr>
          <w:p w14:paraId="1AC9D0D8"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0,50</w:t>
            </w:r>
          </w:p>
        </w:tc>
      </w:tr>
      <w:tr w:rsidR="00596935" w:rsidRPr="00596935" w14:paraId="60023439" w14:textId="77777777" w:rsidTr="00596935">
        <w:trPr>
          <w:trHeight w:val="300"/>
        </w:trPr>
        <w:tc>
          <w:tcPr>
            <w:tcW w:w="1988" w:type="dxa"/>
            <w:tcBorders>
              <w:top w:val="nil"/>
              <w:left w:val="single" w:sz="8" w:space="0" w:color="000000"/>
              <w:bottom w:val="single" w:sz="4" w:space="0" w:color="000000"/>
              <w:right w:val="single" w:sz="8" w:space="0" w:color="000000"/>
            </w:tcBorders>
            <w:shd w:val="clear" w:color="auto" w:fill="auto"/>
            <w:vAlign w:val="center"/>
            <w:hideMark/>
          </w:tcPr>
          <w:p w14:paraId="649B95BF" w14:textId="77777777" w:rsidR="00596935" w:rsidRPr="00596935" w:rsidRDefault="00596935" w:rsidP="00596935">
            <w:pPr>
              <w:rPr>
                <w:rFonts w:cs="Arial"/>
                <w:b/>
                <w:bCs/>
                <w:sz w:val="20"/>
                <w:szCs w:val="20"/>
                <w:lang w:val="de-AT" w:eastAsia="de-AT"/>
              </w:rPr>
            </w:pPr>
            <w:r w:rsidRPr="00596935">
              <w:rPr>
                <w:rFonts w:cs="Arial"/>
                <w:b/>
                <w:bCs/>
                <w:sz w:val="20"/>
                <w:szCs w:val="20"/>
                <w:lang w:val="de-AT" w:eastAsia="de-AT"/>
              </w:rPr>
              <w:t>limited benefit</w:t>
            </w:r>
          </w:p>
        </w:tc>
        <w:tc>
          <w:tcPr>
            <w:tcW w:w="800" w:type="dxa"/>
            <w:tcBorders>
              <w:top w:val="nil"/>
              <w:left w:val="nil"/>
              <w:bottom w:val="single" w:sz="4" w:space="0" w:color="000000"/>
              <w:right w:val="single" w:sz="8" w:space="0" w:color="000000"/>
            </w:tcBorders>
            <w:shd w:val="clear" w:color="auto" w:fill="auto"/>
            <w:noWrap/>
            <w:vAlign w:val="center"/>
            <w:hideMark/>
          </w:tcPr>
          <w:p w14:paraId="3FCC9B80"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820" w:type="dxa"/>
            <w:tcBorders>
              <w:top w:val="nil"/>
              <w:left w:val="nil"/>
              <w:bottom w:val="single" w:sz="4" w:space="0" w:color="000000"/>
              <w:right w:val="single" w:sz="8" w:space="0" w:color="000000"/>
            </w:tcBorders>
            <w:shd w:val="clear" w:color="auto" w:fill="auto"/>
            <w:noWrap/>
            <w:vAlign w:val="center"/>
            <w:hideMark/>
          </w:tcPr>
          <w:p w14:paraId="2776528C"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840" w:type="dxa"/>
            <w:tcBorders>
              <w:top w:val="nil"/>
              <w:left w:val="nil"/>
              <w:bottom w:val="single" w:sz="4" w:space="0" w:color="000000"/>
              <w:right w:val="single" w:sz="8" w:space="0" w:color="000000"/>
            </w:tcBorders>
            <w:shd w:val="clear" w:color="auto" w:fill="auto"/>
            <w:noWrap/>
            <w:vAlign w:val="center"/>
            <w:hideMark/>
          </w:tcPr>
          <w:p w14:paraId="01497E8F"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820" w:type="dxa"/>
            <w:tcBorders>
              <w:top w:val="nil"/>
              <w:left w:val="nil"/>
              <w:bottom w:val="single" w:sz="4" w:space="0" w:color="000000"/>
              <w:right w:val="single" w:sz="8" w:space="0" w:color="000000"/>
            </w:tcBorders>
            <w:shd w:val="clear" w:color="auto" w:fill="auto"/>
            <w:noWrap/>
            <w:vAlign w:val="center"/>
            <w:hideMark/>
          </w:tcPr>
          <w:p w14:paraId="7B88E22D"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800" w:type="dxa"/>
            <w:tcBorders>
              <w:top w:val="nil"/>
              <w:left w:val="nil"/>
              <w:bottom w:val="single" w:sz="4" w:space="0" w:color="000000"/>
              <w:right w:val="single" w:sz="8" w:space="0" w:color="000000"/>
            </w:tcBorders>
            <w:shd w:val="clear" w:color="auto" w:fill="auto"/>
            <w:noWrap/>
            <w:vAlign w:val="center"/>
            <w:hideMark/>
          </w:tcPr>
          <w:p w14:paraId="4D59DB53"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772" w:type="dxa"/>
            <w:tcBorders>
              <w:top w:val="nil"/>
              <w:left w:val="nil"/>
              <w:bottom w:val="single" w:sz="4" w:space="0" w:color="000000"/>
              <w:right w:val="single" w:sz="8" w:space="0" w:color="000000"/>
            </w:tcBorders>
            <w:shd w:val="clear" w:color="auto" w:fill="auto"/>
            <w:noWrap/>
            <w:vAlign w:val="center"/>
            <w:hideMark/>
          </w:tcPr>
          <w:p w14:paraId="0B3FD1A7"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800" w:type="dxa"/>
            <w:tcBorders>
              <w:top w:val="nil"/>
              <w:left w:val="nil"/>
              <w:bottom w:val="single" w:sz="4" w:space="0" w:color="000000"/>
              <w:right w:val="single" w:sz="8" w:space="0" w:color="000000"/>
            </w:tcBorders>
            <w:shd w:val="clear" w:color="auto" w:fill="auto"/>
            <w:vAlign w:val="center"/>
            <w:hideMark/>
          </w:tcPr>
          <w:p w14:paraId="2A5AA69F"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3</w:t>
            </w:r>
          </w:p>
        </w:tc>
        <w:tc>
          <w:tcPr>
            <w:tcW w:w="780" w:type="dxa"/>
            <w:tcBorders>
              <w:top w:val="nil"/>
              <w:left w:val="nil"/>
              <w:bottom w:val="single" w:sz="4" w:space="0" w:color="000000"/>
              <w:right w:val="single" w:sz="8" w:space="0" w:color="000000"/>
            </w:tcBorders>
            <w:shd w:val="clear" w:color="000000" w:fill="D9D9D9"/>
            <w:vAlign w:val="center"/>
            <w:hideMark/>
          </w:tcPr>
          <w:p w14:paraId="72B6E904"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1</w:t>
            </w:r>
          </w:p>
        </w:tc>
        <w:tc>
          <w:tcPr>
            <w:tcW w:w="880" w:type="dxa"/>
            <w:tcBorders>
              <w:top w:val="nil"/>
              <w:left w:val="nil"/>
              <w:bottom w:val="single" w:sz="4" w:space="0" w:color="000000"/>
              <w:right w:val="single" w:sz="8" w:space="0" w:color="000000"/>
            </w:tcBorders>
            <w:shd w:val="clear" w:color="000000" w:fill="D9D9D9"/>
            <w:vAlign w:val="center"/>
            <w:hideMark/>
          </w:tcPr>
          <w:p w14:paraId="6E1634B0" w14:textId="77777777" w:rsidR="00596935" w:rsidRPr="00596935" w:rsidRDefault="00596935" w:rsidP="00596935">
            <w:pPr>
              <w:jc w:val="center"/>
              <w:rPr>
                <w:rFonts w:cs="Arial"/>
                <w:sz w:val="20"/>
                <w:szCs w:val="20"/>
                <w:lang w:val="de-AT" w:eastAsia="de-AT"/>
              </w:rPr>
            </w:pPr>
            <w:r w:rsidRPr="00596935">
              <w:rPr>
                <w:rFonts w:cs="Arial"/>
                <w:sz w:val="20"/>
                <w:szCs w:val="20"/>
                <w:lang w:val="de-AT" w:eastAsia="de-AT"/>
              </w:rPr>
              <w:t>95</w:t>
            </w:r>
          </w:p>
        </w:tc>
        <w:tc>
          <w:tcPr>
            <w:tcW w:w="760" w:type="dxa"/>
            <w:tcBorders>
              <w:top w:val="nil"/>
              <w:left w:val="nil"/>
              <w:bottom w:val="single" w:sz="4" w:space="0" w:color="000000"/>
              <w:right w:val="single" w:sz="8" w:space="0" w:color="000000"/>
            </w:tcBorders>
            <w:shd w:val="clear" w:color="000000" w:fill="D9D9D9"/>
            <w:noWrap/>
            <w:vAlign w:val="bottom"/>
            <w:hideMark/>
          </w:tcPr>
          <w:p w14:paraId="64F0360D"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3</w:t>
            </w:r>
          </w:p>
        </w:tc>
        <w:tc>
          <w:tcPr>
            <w:tcW w:w="1000" w:type="dxa"/>
            <w:tcBorders>
              <w:top w:val="nil"/>
              <w:left w:val="nil"/>
              <w:bottom w:val="single" w:sz="4" w:space="0" w:color="000000"/>
              <w:right w:val="single" w:sz="4" w:space="0" w:color="000000"/>
            </w:tcBorders>
            <w:shd w:val="clear" w:color="auto" w:fill="auto"/>
            <w:noWrap/>
            <w:vAlign w:val="bottom"/>
            <w:hideMark/>
          </w:tcPr>
          <w:p w14:paraId="6E568323"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3,16</w:t>
            </w:r>
          </w:p>
        </w:tc>
        <w:tc>
          <w:tcPr>
            <w:tcW w:w="1000" w:type="dxa"/>
            <w:tcBorders>
              <w:top w:val="nil"/>
              <w:left w:val="nil"/>
              <w:bottom w:val="single" w:sz="4" w:space="0" w:color="000000"/>
              <w:right w:val="single" w:sz="8" w:space="0" w:color="000000"/>
            </w:tcBorders>
            <w:shd w:val="clear" w:color="auto" w:fill="auto"/>
            <w:noWrap/>
            <w:vAlign w:val="center"/>
            <w:hideMark/>
          </w:tcPr>
          <w:p w14:paraId="07F1BD92"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0,21</w:t>
            </w:r>
          </w:p>
        </w:tc>
      </w:tr>
      <w:tr w:rsidR="00596935" w:rsidRPr="00596935" w14:paraId="19E32E47" w14:textId="77777777" w:rsidTr="00596935">
        <w:trPr>
          <w:trHeight w:val="300"/>
        </w:trPr>
        <w:tc>
          <w:tcPr>
            <w:tcW w:w="1988" w:type="dxa"/>
            <w:tcBorders>
              <w:top w:val="nil"/>
              <w:left w:val="single" w:sz="8" w:space="0" w:color="000000"/>
              <w:bottom w:val="single" w:sz="4" w:space="0" w:color="000000"/>
              <w:right w:val="single" w:sz="8" w:space="0" w:color="000000"/>
            </w:tcBorders>
            <w:shd w:val="clear" w:color="auto" w:fill="auto"/>
            <w:vAlign w:val="center"/>
            <w:hideMark/>
          </w:tcPr>
          <w:p w14:paraId="4F9A52A9" w14:textId="77777777" w:rsidR="00596935" w:rsidRPr="00596935" w:rsidRDefault="00596935" w:rsidP="00596935">
            <w:pPr>
              <w:rPr>
                <w:rFonts w:cs="Arial"/>
                <w:b/>
                <w:bCs/>
                <w:sz w:val="20"/>
                <w:szCs w:val="20"/>
                <w:lang w:val="de-AT" w:eastAsia="de-AT"/>
              </w:rPr>
            </w:pPr>
            <w:r w:rsidRPr="00596935">
              <w:rPr>
                <w:rFonts w:cs="Arial"/>
                <w:b/>
                <w:bCs/>
                <w:sz w:val="20"/>
                <w:szCs w:val="20"/>
                <w:lang w:val="de-AT" w:eastAsia="de-AT"/>
              </w:rPr>
              <w:t>headaches</w:t>
            </w:r>
          </w:p>
        </w:tc>
        <w:tc>
          <w:tcPr>
            <w:tcW w:w="800" w:type="dxa"/>
            <w:tcBorders>
              <w:top w:val="nil"/>
              <w:left w:val="nil"/>
              <w:bottom w:val="single" w:sz="4" w:space="0" w:color="000000"/>
              <w:right w:val="single" w:sz="8" w:space="0" w:color="000000"/>
            </w:tcBorders>
            <w:shd w:val="clear" w:color="auto" w:fill="auto"/>
            <w:noWrap/>
            <w:vAlign w:val="center"/>
            <w:hideMark/>
          </w:tcPr>
          <w:p w14:paraId="6E620312"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820" w:type="dxa"/>
            <w:tcBorders>
              <w:top w:val="nil"/>
              <w:left w:val="nil"/>
              <w:bottom w:val="single" w:sz="4" w:space="0" w:color="000000"/>
              <w:right w:val="single" w:sz="8" w:space="0" w:color="000000"/>
            </w:tcBorders>
            <w:shd w:val="clear" w:color="auto" w:fill="auto"/>
            <w:noWrap/>
            <w:vAlign w:val="center"/>
            <w:hideMark/>
          </w:tcPr>
          <w:p w14:paraId="411CB609"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840" w:type="dxa"/>
            <w:tcBorders>
              <w:top w:val="nil"/>
              <w:left w:val="nil"/>
              <w:bottom w:val="single" w:sz="4" w:space="0" w:color="000000"/>
              <w:right w:val="single" w:sz="8" w:space="0" w:color="000000"/>
            </w:tcBorders>
            <w:shd w:val="clear" w:color="auto" w:fill="auto"/>
            <w:noWrap/>
            <w:vAlign w:val="center"/>
            <w:hideMark/>
          </w:tcPr>
          <w:p w14:paraId="058051B6"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820" w:type="dxa"/>
            <w:tcBorders>
              <w:top w:val="nil"/>
              <w:left w:val="nil"/>
              <w:bottom w:val="single" w:sz="4" w:space="0" w:color="000000"/>
              <w:right w:val="single" w:sz="8" w:space="0" w:color="000000"/>
            </w:tcBorders>
            <w:shd w:val="clear" w:color="auto" w:fill="auto"/>
            <w:noWrap/>
            <w:vAlign w:val="center"/>
            <w:hideMark/>
          </w:tcPr>
          <w:p w14:paraId="26CB6FD0"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800" w:type="dxa"/>
            <w:tcBorders>
              <w:top w:val="nil"/>
              <w:left w:val="nil"/>
              <w:bottom w:val="single" w:sz="4" w:space="0" w:color="000000"/>
              <w:right w:val="single" w:sz="8" w:space="0" w:color="000000"/>
            </w:tcBorders>
            <w:shd w:val="clear" w:color="auto" w:fill="auto"/>
            <w:noWrap/>
            <w:vAlign w:val="center"/>
            <w:hideMark/>
          </w:tcPr>
          <w:p w14:paraId="658D36FB"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772" w:type="dxa"/>
            <w:tcBorders>
              <w:top w:val="nil"/>
              <w:left w:val="nil"/>
              <w:bottom w:val="single" w:sz="4" w:space="0" w:color="000000"/>
              <w:right w:val="single" w:sz="8" w:space="0" w:color="000000"/>
            </w:tcBorders>
            <w:shd w:val="clear" w:color="auto" w:fill="auto"/>
            <w:noWrap/>
            <w:vAlign w:val="center"/>
            <w:hideMark/>
          </w:tcPr>
          <w:p w14:paraId="758332C4"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2</w:t>
            </w:r>
          </w:p>
        </w:tc>
        <w:tc>
          <w:tcPr>
            <w:tcW w:w="800" w:type="dxa"/>
            <w:tcBorders>
              <w:top w:val="nil"/>
              <w:left w:val="nil"/>
              <w:bottom w:val="single" w:sz="4" w:space="0" w:color="000000"/>
              <w:right w:val="single" w:sz="8" w:space="0" w:color="000000"/>
            </w:tcBorders>
            <w:shd w:val="clear" w:color="auto" w:fill="auto"/>
            <w:noWrap/>
            <w:vAlign w:val="center"/>
            <w:hideMark/>
          </w:tcPr>
          <w:p w14:paraId="453F8582"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0</w:t>
            </w:r>
          </w:p>
        </w:tc>
        <w:tc>
          <w:tcPr>
            <w:tcW w:w="780" w:type="dxa"/>
            <w:tcBorders>
              <w:top w:val="nil"/>
              <w:left w:val="nil"/>
              <w:bottom w:val="single" w:sz="4" w:space="0" w:color="000000"/>
              <w:right w:val="single" w:sz="8" w:space="0" w:color="000000"/>
            </w:tcBorders>
            <w:shd w:val="clear" w:color="000000" w:fill="D9D9D9"/>
            <w:noWrap/>
            <w:vAlign w:val="center"/>
            <w:hideMark/>
          </w:tcPr>
          <w:p w14:paraId="30F1B341"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2</w:t>
            </w:r>
          </w:p>
        </w:tc>
        <w:tc>
          <w:tcPr>
            <w:tcW w:w="880" w:type="dxa"/>
            <w:tcBorders>
              <w:top w:val="nil"/>
              <w:left w:val="nil"/>
              <w:bottom w:val="single" w:sz="4" w:space="0" w:color="000000"/>
              <w:right w:val="single" w:sz="8" w:space="0" w:color="000000"/>
            </w:tcBorders>
            <w:shd w:val="clear" w:color="000000" w:fill="D9D9D9"/>
            <w:noWrap/>
            <w:vAlign w:val="center"/>
            <w:hideMark/>
          </w:tcPr>
          <w:p w14:paraId="43769516"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115</w:t>
            </w:r>
          </w:p>
        </w:tc>
        <w:tc>
          <w:tcPr>
            <w:tcW w:w="760" w:type="dxa"/>
            <w:tcBorders>
              <w:top w:val="nil"/>
              <w:left w:val="nil"/>
              <w:bottom w:val="single" w:sz="4" w:space="0" w:color="000000"/>
              <w:right w:val="single" w:sz="8" w:space="0" w:color="000000"/>
            </w:tcBorders>
            <w:shd w:val="clear" w:color="000000" w:fill="D9D9D9"/>
            <w:noWrap/>
            <w:vAlign w:val="bottom"/>
            <w:hideMark/>
          </w:tcPr>
          <w:p w14:paraId="374249FB"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2</w:t>
            </w:r>
          </w:p>
        </w:tc>
        <w:tc>
          <w:tcPr>
            <w:tcW w:w="1000" w:type="dxa"/>
            <w:tcBorders>
              <w:top w:val="nil"/>
              <w:left w:val="nil"/>
              <w:bottom w:val="single" w:sz="4" w:space="0" w:color="000000"/>
              <w:right w:val="single" w:sz="4" w:space="0" w:color="000000"/>
            </w:tcBorders>
            <w:shd w:val="clear" w:color="auto" w:fill="auto"/>
            <w:noWrap/>
            <w:vAlign w:val="bottom"/>
            <w:hideMark/>
          </w:tcPr>
          <w:p w14:paraId="051CE59F"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1,74</w:t>
            </w:r>
          </w:p>
        </w:tc>
        <w:tc>
          <w:tcPr>
            <w:tcW w:w="1000" w:type="dxa"/>
            <w:tcBorders>
              <w:top w:val="nil"/>
              <w:left w:val="nil"/>
              <w:bottom w:val="single" w:sz="4" w:space="0" w:color="000000"/>
              <w:right w:val="single" w:sz="8" w:space="0" w:color="000000"/>
            </w:tcBorders>
            <w:shd w:val="clear" w:color="auto" w:fill="auto"/>
            <w:noWrap/>
            <w:vAlign w:val="center"/>
            <w:hideMark/>
          </w:tcPr>
          <w:p w14:paraId="40A1CA85"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0,14</w:t>
            </w:r>
          </w:p>
        </w:tc>
      </w:tr>
      <w:tr w:rsidR="00596935" w:rsidRPr="00596935" w14:paraId="5752E6AB" w14:textId="77777777" w:rsidTr="00596935">
        <w:trPr>
          <w:trHeight w:val="300"/>
        </w:trPr>
        <w:tc>
          <w:tcPr>
            <w:tcW w:w="1988" w:type="dxa"/>
            <w:tcBorders>
              <w:top w:val="nil"/>
              <w:left w:val="single" w:sz="8" w:space="0" w:color="000000"/>
              <w:bottom w:val="single" w:sz="4" w:space="0" w:color="000000"/>
              <w:right w:val="single" w:sz="8" w:space="0" w:color="000000"/>
            </w:tcBorders>
            <w:shd w:val="clear" w:color="auto" w:fill="auto"/>
            <w:vAlign w:val="center"/>
            <w:hideMark/>
          </w:tcPr>
          <w:p w14:paraId="3B732B17" w14:textId="77777777" w:rsidR="00596935" w:rsidRPr="00596935" w:rsidRDefault="00596935" w:rsidP="00596935">
            <w:pPr>
              <w:rPr>
                <w:rFonts w:cs="Arial"/>
                <w:b/>
                <w:bCs/>
                <w:sz w:val="20"/>
                <w:szCs w:val="20"/>
                <w:lang w:val="de-AT" w:eastAsia="de-AT"/>
              </w:rPr>
            </w:pPr>
            <w:r w:rsidRPr="00596935">
              <w:rPr>
                <w:rFonts w:cs="Arial"/>
                <w:b/>
                <w:bCs/>
                <w:sz w:val="20"/>
                <w:szCs w:val="20"/>
                <w:lang w:val="de-AT" w:eastAsia="de-AT"/>
              </w:rPr>
              <w:t>revision surgery</w:t>
            </w:r>
          </w:p>
        </w:tc>
        <w:tc>
          <w:tcPr>
            <w:tcW w:w="800" w:type="dxa"/>
            <w:tcBorders>
              <w:top w:val="nil"/>
              <w:left w:val="nil"/>
              <w:bottom w:val="single" w:sz="4" w:space="0" w:color="000000"/>
              <w:right w:val="single" w:sz="8" w:space="0" w:color="000000"/>
            </w:tcBorders>
            <w:shd w:val="clear" w:color="auto" w:fill="auto"/>
            <w:noWrap/>
            <w:vAlign w:val="center"/>
            <w:hideMark/>
          </w:tcPr>
          <w:p w14:paraId="4C48EE44"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1</w:t>
            </w:r>
          </w:p>
        </w:tc>
        <w:tc>
          <w:tcPr>
            <w:tcW w:w="820" w:type="dxa"/>
            <w:tcBorders>
              <w:top w:val="nil"/>
              <w:left w:val="nil"/>
              <w:bottom w:val="single" w:sz="4" w:space="0" w:color="000000"/>
              <w:right w:val="single" w:sz="8" w:space="0" w:color="000000"/>
            </w:tcBorders>
            <w:shd w:val="clear" w:color="auto" w:fill="auto"/>
            <w:noWrap/>
            <w:vAlign w:val="center"/>
            <w:hideMark/>
          </w:tcPr>
          <w:p w14:paraId="24E98989"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840" w:type="dxa"/>
            <w:tcBorders>
              <w:top w:val="nil"/>
              <w:left w:val="nil"/>
              <w:bottom w:val="single" w:sz="4" w:space="0" w:color="000000"/>
              <w:right w:val="single" w:sz="8" w:space="0" w:color="000000"/>
            </w:tcBorders>
            <w:shd w:val="clear" w:color="auto" w:fill="auto"/>
            <w:noWrap/>
            <w:vAlign w:val="center"/>
            <w:hideMark/>
          </w:tcPr>
          <w:p w14:paraId="2E4E16A6"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16</w:t>
            </w:r>
          </w:p>
        </w:tc>
        <w:tc>
          <w:tcPr>
            <w:tcW w:w="820" w:type="dxa"/>
            <w:tcBorders>
              <w:top w:val="nil"/>
              <w:left w:val="nil"/>
              <w:bottom w:val="single" w:sz="4" w:space="0" w:color="000000"/>
              <w:right w:val="single" w:sz="8" w:space="0" w:color="000000"/>
            </w:tcBorders>
            <w:shd w:val="clear" w:color="auto" w:fill="auto"/>
            <w:noWrap/>
            <w:vAlign w:val="center"/>
            <w:hideMark/>
          </w:tcPr>
          <w:p w14:paraId="04C7BBE5"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12</w:t>
            </w:r>
          </w:p>
        </w:tc>
        <w:tc>
          <w:tcPr>
            <w:tcW w:w="800" w:type="dxa"/>
            <w:tcBorders>
              <w:top w:val="nil"/>
              <w:left w:val="nil"/>
              <w:bottom w:val="single" w:sz="4" w:space="0" w:color="000000"/>
              <w:right w:val="single" w:sz="8" w:space="0" w:color="000000"/>
            </w:tcBorders>
            <w:shd w:val="clear" w:color="auto" w:fill="auto"/>
            <w:noWrap/>
            <w:vAlign w:val="center"/>
            <w:hideMark/>
          </w:tcPr>
          <w:p w14:paraId="7D7FEEA5"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4</w:t>
            </w:r>
          </w:p>
        </w:tc>
        <w:tc>
          <w:tcPr>
            <w:tcW w:w="772" w:type="dxa"/>
            <w:tcBorders>
              <w:top w:val="nil"/>
              <w:left w:val="nil"/>
              <w:bottom w:val="single" w:sz="4" w:space="0" w:color="000000"/>
              <w:right w:val="single" w:sz="8" w:space="0" w:color="000000"/>
            </w:tcBorders>
            <w:shd w:val="clear" w:color="auto" w:fill="auto"/>
            <w:noWrap/>
            <w:vAlign w:val="center"/>
            <w:hideMark/>
          </w:tcPr>
          <w:p w14:paraId="2FF32176"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3</w:t>
            </w:r>
          </w:p>
        </w:tc>
        <w:tc>
          <w:tcPr>
            <w:tcW w:w="800" w:type="dxa"/>
            <w:tcBorders>
              <w:top w:val="nil"/>
              <w:left w:val="nil"/>
              <w:bottom w:val="single" w:sz="4" w:space="0" w:color="000000"/>
              <w:right w:val="single" w:sz="8" w:space="0" w:color="000000"/>
            </w:tcBorders>
            <w:shd w:val="clear" w:color="auto" w:fill="auto"/>
            <w:noWrap/>
            <w:vAlign w:val="center"/>
            <w:hideMark/>
          </w:tcPr>
          <w:p w14:paraId="1D57668A"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780" w:type="dxa"/>
            <w:tcBorders>
              <w:top w:val="nil"/>
              <w:left w:val="nil"/>
              <w:bottom w:val="single" w:sz="4" w:space="0" w:color="000000"/>
              <w:right w:val="single" w:sz="8" w:space="0" w:color="000000"/>
            </w:tcBorders>
            <w:shd w:val="clear" w:color="000000" w:fill="D9D9D9"/>
            <w:noWrap/>
            <w:vAlign w:val="center"/>
            <w:hideMark/>
          </w:tcPr>
          <w:p w14:paraId="3D05783A"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5</w:t>
            </w:r>
          </w:p>
        </w:tc>
        <w:tc>
          <w:tcPr>
            <w:tcW w:w="880" w:type="dxa"/>
            <w:tcBorders>
              <w:top w:val="nil"/>
              <w:left w:val="nil"/>
              <w:bottom w:val="single" w:sz="4" w:space="0" w:color="000000"/>
              <w:right w:val="single" w:sz="8" w:space="0" w:color="000000"/>
            </w:tcBorders>
            <w:shd w:val="clear" w:color="000000" w:fill="D9D9D9"/>
            <w:noWrap/>
            <w:vAlign w:val="center"/>
            <w:hideMark/>
          </w:tcPr>
          <w:p w14:paraId="15E21679"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1278</w:t>
            </w:r>
          </w:p>
        </w:tc>
        <w:tc>
          <w:tcPr>
            <w:tcW w:w="760" w:type="dxa"/>
            <w:tcBorders>
              <w:top w:val="nil"/>
              <w:left w:val="nil"/>
              <w:bottom w:val="single" w:sz="4" w:space="0" w:color="000000"/>
              <w:right w:val="single" w:sz="8" w:space="0" w:color="000000"/>
            </w:tcBorders>
            <w:shd w:val="clear" w:color="000000" w:fill="D9D9D9"/>
            <w:noWrap/>
            <w:vAlign w:val="bottom"/>
            <w:hideMark/>
          </w:tcPr>
          <w:p w14:paraId="1D84EBC9"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38</w:t>
            </w:r>
          </w:p>
        </w:tc>
        <w:tc>
          <w:tcPr>
            <w:tcW w:w="1000" w:type="dxa"/>
            <w:tcBorders>
              <w:top w:val="nil"/>
              <w:left w:val="nil"/>
              <w:bottom w:val="single" w:sz="4" w:space="0" w:color="000000"/>
              <w:right w:val="single" w:sz="4" w:space="0" w:color="000000"/>
            </w:tcBorders>
            <w:shd w:val="clear" w:color="auto" w:fill="auto"/>
            <w:noWrap/>
            <w:vAlign w:val="bottom"/>
            <w:hideMark/>
          </w:tcPr>
          <w:p w14:paraId="0F5650F8"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2,97</w:t>
            </w:r>
          </w:p>
        </w:tc>
        <w:tc>
          <w:tcPr>
            <w:tcW w:w="1000" w:type="dxa"/>
            <w:tcBorders>
              <w:top w:val="nil"/>
              <w:left w:val="nil"/>
              <w:bottom w:val="single" w:sz="4" w:space="0" w:color="000000"/>
              <w:right w:val="single" w:sz="8" w:space="0" w:color="000000"/>
            </w:tcBorders>
            <w:shd w:val="clear" w:color="auto" w:fill="auto"/>
            <w:noWrap/>
            <w:vAlign w:val="center"/>
            <w:hideMark/>
          </w:tcPr>
          <w:p w14:paraId="7D6CF07D"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2,72</w:t>
            </w:r>
          </w:p>
        </w:tc>
      </w:tr>
      <w:tr w:rsidR="00596935" w:rsidRPr="00596935" w14:paraId="28BA6962" w14:textId="77777777" w:rsidTr="00596935">
        <w:trPr>
          <w:trHeight w:val="300"/>
        </w:trPr>
        <w:tc>
          <w:tcPr>
            <w:tcW w:w="1988" w:type="dxa"/>
            <w:tcBorders>
              <w:top w:val="nil"/>
              <w:left w:val="single" w:sz="8" w:space="0" w:color="000000"/>
              <w:bottom w:val="single" w:sz="4" w:space="0" w:color="000000"/>
              <w:right w:val="single" w:sz="8" w:space="0" w:color="000000"/>
            </w:tcBorders>
            <w:shd w:val="clear" w:color="auto" w:fill="auto"/>
            <w:vAlign w:val="center"/>
            <w:hideMark/>
          </w:tcPr>
          <w:p w14:paraId="22680052" w14:textId="77777777" w:rsidR="00596935" w:rsidRPr="00596935" w:rsidRDefault="00596935" w:rsidP="00596935">
            <w:pPr>
              <w:rPr>
                <w:rFonts w:cs="Arial"/>
                <w:b/>
                <w:bCs/>
                <w:sz w:val="20"/>
                <w:szCs w:val="20"/>
                <w:lang w:val="de-AT" w:eastAsia="de-AT"/>
              </w:rPr>
            </w:pPr>
            <w:r w:rsidRPr="00596935">
              <w:rPr>
                <w:rFonts w:cs="Arial"/>
                <w:b/>
                <w:bCs/>
                <w:sz w:val="20"/>
                <w:szCs w:val="20"/>
                <w:lang w:val="de-AT" w:eastAsia="de-AT"/>
              </w:rPr>
              <w:t>skin flap problems</w:t>
            </w:r>
          </w:p>
        </w:tc>
        <w:tc>
          <w:tcPr>
            <w:tcW w:w="800" w:type="dxa"/>
            <w:tcBorders>
              <w:top w:val="nil"/>
              <w:left w:val="nil"/>
              <w:bottom w:val="single" w:sz="4" w:space="0" w:color="000000"/>
              <w:right w:val="single" w:sz="8" w:space="0" w:color="000000"/>
            </w:tcBorders>
            <w:shd w:val="clear" w:color="auto" w:fill="auto"/>
            <w:noWrap/>
            <w:vAlign w:val="center"/>
            <w:hideMark/>
          </w:tcPr>
          <w:p w14:paraId="0AE1073C"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820" w:type="dxa"/>
            <w:tcBorders>
              <w:top w:val="nil"/>
              <w:left w:val="nil"/>
              <w:bottom w:val="single" w:sz="4" w:space="0" w:color="000000"/>
              <w:right w:val="single" w:sz="8" w:space="0" w:color="000000"/>
            </w:tcBorders>
            <w:shd w:val="clear" w:color="auto" w:fill="auto"/>
            <w:noWrap/>
            <w:vAlign w:val="center"/>
            <w:hideMark/>
          </w:tcPr>
          <w:p w14:paraId="75DF3A2C"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840" w:type="dxa"/>
            <w:tcBorders>
              <w:top w:val="nil"/>
              <w:left w:val="nil"/>
              <w:bottom w:val="single" w:sz="4" w:space="0" w:color="000000"/>
              <w:right w:val="single" w:sz="8" w:space="0" w:color="000000"/>
            </w:tcBorders>
            <w:shd w:val="clear" w:color="auto" w:fill="auto"/>
            <w:noWrap/>
            <w:vAlign w:val="center"/>
            <w:hideMark/>
          </w:tcPr>
          <w:p w14:paraId="0FC79EBA"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9</w:t>
            </w:r>
          </w:p>
        </w:tc>
        <w:tc>
          <w:tcPr>
            <w:tcW w:w="820" w:type="dxa"/>
            <w:tcBorders>
              <w:top w:val="nil"/>
              <w:left w:val="nil"/>
              <w:bottom w:val="single" w:sz="4" w:space="0" w:color="000000"/>
              <w:right w:val="single" w:sz="8" w:space="0" w:color="000000"/>
            </w:tcBorders>
            <w:shd w:val="clear" w:color="auto" w:fill="auto"/>
            <w:noWrap/>
            <w:vAlign w:val="center"/>
            <w:hideMark/>
          </w:tcPr>
          <w:p w14:paraId="7820F90B"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9</w:t>
            </w:r>
          </w:p>
        </w:tc>
        <w:tc>
          <w:tcPr>
            <w:tcW w:w="800" w:type="dxa"/>
            <w:tcBorders>
              <w:top w:val="nil"/>
              <w:left w:val="nil"/>
              <w:bottom w:val="single" w:sz="4" w:space="0" w:color="000000"/>
              <w:right w:val="single" w:sz="8" w:space="0" w:color="000000"/>
            </w:tcBorders>
            <w:shd w:val="clear" w:color="auto" w:fill="auto"/>
            <w:noWrap/>
            <w:vAlign w:val="center"/>
            <w:hideMark/>
          </w:tcPr>
          <w:p w14:paraId="23FF1309"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772" w:type="dxa"/>
            <w:tcBorders>
              <w:top w:val="nil"/>
              <w:left w:val="nil"/>
              <w:bottom w:val="single" w:sz="4" w:space="0" w:color="000000"/>
              <w:right w:val="single" w:sz="8" w:space="0" w:color="000000"/>
            </w:tcBorders>
            <w:shd w:val="clear" w:color="auto" w:fill="auto"/>
            <w:noWrap/>
            <w:vAlign w:val="center"/>
            <w:hideMark/>
          </w:tcPr>
          <w:p w14:paraId="0B89F373"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800" w:type="dxa"/>
            <w:tcBorders>
              <w:top w:val="nil"/>
              <w:left w:val="nil"/>
              <w:bottom w:val="single" w:sz="4" w:space="0" w:color="000000"/>
              <w:right w:val="single" w:sz="8" w:space="0" w:color="000000"/>
            </w:tcBorders>
            <w:shd w:val="clear" w:color="auto" w:fill="auto"/>
            <w:noWrap/>
            <w:vAlign w:val="center"/>
            <w:hideMark/>
          </w:tcPr>
          <w:p w14:paraId="464D3893"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780" w:type="dxa"/>
            <w:tcBorders>
              <w:top w:val="nil"/>
              <w:left w:val="nil"/>
              <w:bottom w:val="single" w:sz="4" w:space="0" w:color="000000"/>
              <w:right w:val="single" w:sz="8" w:space="0" w:color="000000"/>
            </w:tcBorders>
            <w:shd w:val="clear" w:color="000000" w:fill="D9D9D9"/>
            <w:noWrap/>
            <w:vAlign w:val="center"/>
            <w:hideMark/>
          </w:tcPr>
          <w:p w14:paraId="1B804947"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2</w:t>
            </w:r>
          </w:p>
        </w:tc>
        <w:tc>
          <w:tcPr>
            <w:tcW w:w="880" w:type="dxa"/>
            <w:tcBorders>
              <w:top w:val="nil"/>
              <w:left w:val="nil"/>
              <w:bottom w:val="single" w:sz="4" w:space="0" w:color="000000"/>
              <w:right w:val="single" w:sz="8" w:space="0" w:color="000000"/>
            </w:tcBorders>
            <w:shd w:val="clear" w:color="000000" w:fill="D9D9D9"/>
            <w:noWrap/>
            <w:vAlign w:val="center"/>
            <w:hideMark/>
          </w:tcPr>
          <w:p w14:paraId="2387F586"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1177</w:t>
            </w:r>
          </w:p>
        </w:tc>
        <w:tc>
          <w:tcPr>
            <w:tcW w:w="760" w:type="dxa"/>
            <w:tcBorders>
              <w:top w:val="nil"/>
              <w:left w:val="nil"/>
              <w:bottom w:val="single" w:sz="4" w:space="0" w:color="000000"/>
              <w:right w:val="single" w:sz="8" w:space="0" w:color="000000"/>
            </w:tcBorders>
            <w:shd w:val="clear" w:color="000000" w:fill="D9D9D9"/>
            <w:noWrap/>
            <w:vAlign w:val="bottom"/>
            <w:hideMark/>
          </w:tcPr>
          <w:p w14:paraId="31E2C928"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18</w:t>
            </w:r>
          </w:p>
        </w:tc>
        <w:tc>
          <w:tcPr>
            <w:tcW w:w="1000" w:type="dxa"/>
            <w:tcBorders>
              <w:top w:val="nil"/>
              <w:left w:val="nil"/>
              <w:bottom w:val="single" w:sz="4" w:space="0" w:color="000000"/>
              <w:right w:val="single" w:sz="4" w:space="0" w:color="000000"/>
            </w:tcBorders>
            <w:shd w:val="clear" w:color="auto" w:fill="auto"/>
            <w:noWrap/>
            <w:vAlign w:val="bottom"/>
            <w:hideMark/>
          </w:tcPr>
          <w:p w14:paraId="644BD534"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1,53</w:t>
            </w:r>
          </w:p>
        </w:tc>
        <w:tc>
          <w:tcPr>
            <w:tcW w:w="1000" w:type="dxa"/>
            <w:tcBorders>
              <w:top w:val="nil"/>
              <w:left w:val="nil"/>
              <w:bottom w:val="single" w:sz="4" w:space="0" w:color="000000"/>
              <w:right w:val="single" w:sz="8" w:space="0" w:color="000000"/>
            </w:tcBorders>
            <w:shd w:val="clear" w:color="auto" w:fill="auto"/>
            <w:noWrap/>
            <w:vAlign w:val="center"/>
            <w:hideMark/>
          </w:tcPr>
          <w:p w14:paraId="4C3F0548"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1,29</w:t>
            </w:r>
          </w:p>
        </w:tc>
      </w:tr>
      <w:tr w:rsidR="00596935" w:rsidRPr="00596935" w14:paraId="3D1E0B27" w14:textId="77777777" w:rsidTr="00596935">
        <w:trPr>
          <w:trHeight w:val="300"/>
        </w:trPr>
        <w:tc>
          <w:tcPr>
            <w:tcW w:w="1988" w:type="dxa"/>
            <w:tcBorders>
              <w:top w:val="nil"/>
              <w:left w:val="single" w:sz="8" w:space="0" w:color="000000"/>
              <w:bottom w:val="single" w:sz="4" w:space="0" w:color="000000"/>
              <w:right w:val="single" w:sz="8" w:space="0" w:color="000000"/>
            </w:tcBorders>
            <w:shd w:val="clear" w:color="auto" w:fill="auto"/>
            <w:vAlign w:val="center"/>
            <w:hideMark/>
          </w:tcPr>
          <w:p w14:paraId="1269A05B" w14:textId="77777777" w:rsidR="00596935" w:rsidRPr="00596935" w:rsidRDefault="00596935" w:rsidP="00596935">
            <w:pPr>
              <w:rPr>
                <w:rFonts w:cs="Arial"/>
                <w:b/>
                <w:bCs/>
                <w:sz w:val="20"/>
                <w:szCs w:val="20"/>
                <w:lang w:val="de-AT" w:eastAsia="de-AT"/>
              </w:rPr>
            </w:pPr>
            <w:r w:rsidRPr="00596935">
              <w:rPr>
                <w:rFonts w:cs="Arial"/>
                <w:b/>
                <w:bCs/>
                <w:sz w:val="20"/>
                <w:szCs w:val="20"/>
                <w:lang w:val="de-AT" w:eastAsia="de-AT"/>
              </w:rPr>
              <w:t>implant failure</w:t>
            </w:r>
          </w:p>
        </w:tc>
        <w:tc>
          <w:tcPr>
            <w:tcW w:w="800" w:type="dxa"/>
            <w:tcBorders>
              <w:top w:val="nil"/>
              <w:left w:val="nil"/>
              <w:bottom w:val="single" w:sz="4" w:space="0" w:color="000000"/>
              <w:right w:val="single" w:sz="8" w:space="0" w:color="000000"/>
            </w:tcBorders>
            <w:shd w:val="clear" w:color="auto" w:fill="auto"/>
            <w:noWrap/>
            <w:vAlign w:val="center"/>
            <w:hideMark/>
          </w:tcPr>
          <w:p w14:paraId="79398F08"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820" w:type="dxa"/>
            <w:tcBorders>
              <w:top w:val="nil"/>
              <w:left w:val="nil"/>
              <w:bottom w:val="single" w:sz="4" w:space="0" w:color="000000"/>
              <w:right w:val="single" w:sz="8" w:space="0" w:color="000000"/>
            </w:tcBorders>
            <w:shd w:val="clear" w:color="auto" w:fill="auto"/>
            <w:noWrap/>
            <w:vAlign w:val="center"/>
            <w:hideMark/>
          </w:tcPr>
          <w:p w14:paraId="30312D27"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840" w:type="dxa"/>
            <w:tcBorders>
              <w:top w:val="nil"/>
              <w:left w:val="nil"/>
              <w:bottom w:val="single" w:sz="4" w:space="0" w:color="000000"/>
              <w:right w:val="single" w:sz="8" w:space="0" w:color="000000"/>
            </w:tcBorders>
            <w:shd w:val="clear" w:color="auto" w:fill="auto"/>
            <w:noWrap/>
            <w:vAlign w:val="center"/>
            <w:hideMark/>
          </w:tcPr>
          <w:p w14:paraId="699E05C3"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27</w:t>
            </w:r>
          </w:p>
        </w:tc>
        <w:tc>
          <w:tcPr>
            <w:tcW w:w="820" w:type="dxa"/>
            <w:tcBorders>
              <w:top w:val="nil"/>
              <w:left w:val="nil"/>
              <w:bottom w:val="single" w:sz="4" w:space="0" w:color="000000"/>
              <w:right w:val="single" w:sz="8" w:space="0" w:color="000000"/>
            </w:tcBorders>
            <w:shd w:val="clear" w:color="auto" w:fill="auto"/>
            <w:noWrap/>
            <w:vAlign w:val="center"/>
            <w:hideMark/>
          </w:tcPr>
          <w:p w14:paraId="6E4FE673"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7</w:t>
            </w:r>
          </w:p>
        </w:tc>
        <w:tc>
          <w:tcPr>
            <w:tcW w:w="800" w:type="dxa"/>
            <w:tcBorders>
              <w:top w:val="nil"/>
              <w:left w:val="nil"/>
              <w:bottom w:val="single" w:sz="4" w:space="0" w:color="000000"/>
              <w:right w:val="single" w:sz="8" w:space="0" w:color="000000"/>
            </w:tcBorders>
            <w:shd w:val="clear" w:color="auto" w:fill="auto"/>
            <w:noWrap/>
            <w:vAlign w:val="center"/>
            <w:hideMark/>
          </w:tcPr>
          <w:p w14:paraId="0A48B71A"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772" w:type="dxa"/>
            <w:tcBorders>
              <w:top w:val="nil"/>
              <w:left w:val="nil"/>
              <w:bottom w:val="single" w:sz="4" w:space="0" w:color="000000"/>
              <w:right w:val="single" w:sz="8" w:space="0" w:color="000000"/>
            </w:tcBorders>
            <w:shd w:val="clear" w:color="auto" w:fill="auto"/>
            <w:noWrap/>
            <w:vAlign w:val="center"/>
            <w:hideMark/>
          </w:tcPr>
          <w:p w14:paraId="22A51486"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800" w:type="dxa"/>
            <w:tcBorders>
              <w:top w:val="nil"/>
              <w:left w:val="nil"/>
              <w:bottom w:val="single" w:sz="4" w:space="0" w:color="000000"/>
              <w:right w:val="single" w:sz="8" w:space="0" w:color="000000"/>
            </w:tcBorders>
            <w:shd w:val="clear" w:color="auto" w:fill="auto"/>
            <w:noWrap/>
            <w:vAlign w:val="center"/>
            <w:hideMark/>
          </w:tcPr>
          <w:p w14:paraId="3211155F"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780" w:type="dxa"/>
            <w:tcBorders>
              <w:top w:val="nil"/>
              <w:left w:val="nil"/>
              <w:bottom w:val="single" w:sz="4" w:space="0" w:color="000000"/>
              <w:right w:val="single" w:sz="8" w:space="0" w:color="000000"/>
            </w:tcBorders>
            <w:shd w:val="clear" w:color="000000" w:fill="D9D9D9"/>
            <w:noWrap/>
            <w:vAlign w:val="center"/>
            <w:hideMark/>
          </w:tcPr>
          <w:p w14:paraId="546DBC4C"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2</w:t>
            </w:r>
          </w:p>
        </w:tc>
        <w:tc>
          <w:tcPr>
            <w:tcW w:w="880" w:type="dxa"/>
            <w:tcBorders>
              <w:top w:val="nil"/>
              <w:left w:val="nil"/>
              <w:bottom w:val="single" w:sz="4" w:space="0" w:color="000000"/>
              <w:right w:val="single" w:sz="8" w:space="0" w:color="000000"/>
            </w:tcBorders>
            <w:shd w:val="clear" w:color="000000" w:fill="D9D9D9"/>
            <w:noWrap/>
            <w:vAlign w:val="center"/>
            <w:hideMark/>
          </w:tcPr>
          <w:p w14:paraId="10DD80D6"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1177</w:t>
            </w:r>
          </w:p>
        </w:tc>
        <w:tc>
          <w:tcPr>
            <w:tcW w:w="760" w:type="dxa"/>
            <w:tcBorders>
              <w:top w:val="nil"/>
              <w:left w:val="nil"/>
              <w:bottom w:val="single" w:sz="4" w:space="0" w:color="000000"/>
              <w:right w:val="single" w:sz="8" w:space="0" w:color="000000"/>
            </w:tcBorders>
            <w:shd w:val="clear" w:color="000000" w:fill="D9D9D9"/>
            <w:noWrap/>
            <w:vAlign w:val="bottom"/>
            <w:hideMark/>
          </w:tcPr>
          <w:p w14:paraId="1CA44153"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27</w:t>
            </w:r>
          </w:p>
        </w:tc>
        <w:tc>
          <w:tcPr>
            <w:tcW w:w="1000" w:type="dxa"/>
            <w:tcBorders>
              <w:top w:val="nil"/>
              <w:left w:val="nil"/>
              <w:bottom w:val="single" w:sz="4" w:space="0" w:color="000000"/>
              <w:right w:val="single" w:sz="4" w:space="0" w:color="000000"/>
            </w:tcBorders>
            <w:shd w:val="clear" w:color="auto" w:fill="auto"/>
            <w:noWrap/>
            <w:vAlign w:val="bottom"/>
            <w:hideMark/>
          </w:tcPr>
          <w:p w14:paraId="646ACDBD"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2,29</w:t>
            </w:r>
          </w:p>
        </w:tc>
        <w:tc>
          <w:tcPr>
            <w:tcW w:w="1000" w:type="dxa"/>
            <w:tcBorders>
              <w:top w:val="nil"/>
              <w:left w:val="nil"/>
              <w:bottom w:val="single" w:sz="4" w:space="0" w:color="000000"/>
              <w:right w:val="single" w:sz="8" w:space="0" w:color="000000"/>
            </w:tcBorders>
            <w:shd w:val="clear" w:color="auto" w:fill="auto"/>
            <w:noWrap/>
            <w:vAlign w:val="center"/>
            <w:hideMark/>
          </w:tcPr>
          <w:p w14:paraId="7063BB87"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1,93</w:t>
            </w:r>
          </w:p>
        </w:tc>
      </w:tr>
      <w:tr w:rsidR="00596935" w:rsidRPr="00596935" w14:paraId="67816F61" w14:textId="77777777" w:rsidTr="00596935">
        <w:trPr>
          <w:trHeight w:val="300"/>
        </w:trPr>
        <w:tc>
          <w:tcPr>
            <w:tcW w:w="1988" w:type="dxa"/>
            <w:tcBorders>
              <w:top w:val="nil"/>
              <w:left w:val="single" w:sz="8" w:space="0" w:color="000000"/>
              <w:bottom w:val="single" w:sz="4" w:space="0" w:color="000000"/>
              <w:right w:val="single" w:sz="8" w:space="0" w:color="000000"/>
            </w:tcBorders>
            <w:shd w:val="clear" w:color="auto" w:fill="auto"/>
            <w:vAlign w:val="center"/>
            <w:hideMark/>
          </w:tcPr>
          <w:p w14:paraId="449E9A3B" w14:textId="77777777" w:rsidR="00596935" w:rsidRPr="00596935" w:rsidRDefault="00596935" w:rsidP="00596935">
            <w:pPr>
              <w:rPr>
                <w:rFonts w:cs="Arial"/>
                <w:b/>
                <w:bCs/>
                <w:sz w:val="20"/>
                <w:szCs w:val="20"/>
                <w:lang w:val="de-AT" w:eastAsia="de-AT"/>
              </w:rPr>
            </w:pPr>
            <w:r w:rsidRPr="00596935">
              <w:rPr>
                <w:rFonts w:cs="Arial"/>
                <w:b/>
                <w:bCs/>
                <w:sz w:val="20"/>
                <w:szCs w:val="20"/>
                <w:lang w:val="de-AT" w:eastAsia="de-AT"/>
              </w:rPr>
              <w:t>aural fullnes</w:t>
            </w:r>
          </w:p>
        </w:tc>
        <w:tc>
          <w:tcPr>
            <w:tcW w:w="800" w:type="dxa"/>
            <w:tcBorders>
              <w:top w:val="nil"/>
              <w:left w:val="nil"/>
              <w:bottom w:val="single" w:sz="4" w:space="0" w:color="000000"/>
              <w:right w:val="single" w:sz="8" w:space="0" w:color="000000"/>
            </w:tcBorders>
            <w:shd w:val="clear" w:color="auto" w:fill="auto"/>
            <w:noWrap/>
            <w:vAlign w:val="center"/>
            <w:hideMark/>
          </w:tcPr>
          <w:p w14:paraId="138F92B7"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820" w:type="dxa"/>
            <w:tcBorders>
              <w:top w:val="nil"/>
              <w:left w:val="nil"/>
              <w:bottom w:val="single" w:sz="4" w:space="0" w:color="000000"/>
              <w:right w:val="single" w:sz="8" w:space="0" w:color="000000"/>
            </w:tcBorders>
            <w:shd w:val="clear" w:color="auto" w:fill="auto"/>
            <w:noWrap/>
            <w:vAlign w:val="center"/>
            <w:hideMark/>
          </w:tcPr>
          <w:p w14:paraId="05FC42B0"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840" w:type="dxa"/>
            <w:tcBorders>
              <w:top w:val="nil"/>
              <w:left w:val="nil"/>
              <w:bottom w:val="single" w:sz="4" w:space="0" w:color="000000"/>
              <w:right w:val="single" w:sz="8" w:space="0" w:color="000000"/>
            </w:tcBorders>
            <w:shd w:val="clear" w:color="auto" w:fill="auto"/>
            <w:noWrap/>
            <w:vAlign w:val="center"/>
            <w:hideMark/>
          </w:tcPr>
          <w:p w14:paraId="39970300"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820" w:type="dxa"/>
            <w:tcBorders>
              <w:top w:val="nil"/>
              <w:left w:val="nil"/>
              <w:bottom w:val="single" w:sz="4" w:space="0" w:color="000000"/>
              <w:right w:val="single" w:sz="8" w:space="0" w:color="000000"/>
            </w:tcBorders>
            <w:shd w:val="clear" w:color="auto" w:fill="auto"/>
            <w:noWrap/>
            <w:vAlign w:val="center"/>
            <w:hideMark/>
          </w:tcPr>
          <w:p w14:paraId="715ADF27"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21</w:t>
            </w:r>
          </w:p>
        </w:tc>
        <w:tc>
          <w:tcPr>
            <w:tcW w:w="800" w:type="dxa"/>
            <w:tcBorders>
              <w:top w:val="nil"/>
              <w:left w:val="nil"/>
              <w:bottom w:val="single" w:sz="4" w:space="0" w:color="000000"/>
              <w:right w:val="single" w:sz="8" w:space="0" w:color="000000"/>
            </w:tcBorders>
            <w:shd w:val="clear" w:color="auto" w:fill="auto"/>
            <w:noWrap/>
            <w:vAlign w:val="center"/>
            <w:hideMark/>
          </w:tcPr>
          <w:p w14:paraId="462FD84C"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772" w:type="dxa"/>
            <w:tcBorders>
              <w:top w:val="nil"/>
              <w:left w:val="nil"/>
              <w:bottom w:val="single" w:sz="4" w:space="0" w:color="000000"/>
              <w:right w:val="single" w:sz="8" w:space="0" w:color="000000"/>
            </w:tcBorders>
            <w:shd w:val="clear" w:color="auto" w:fill="auto"/>
            <w:noWrap/>
            <w:vAlign w:val="center"/>
            <w:hideMark/>
          </w:tcPr>
          <w:p w14:paraId="3489C2A3"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800" w:type="dxa"/>
            <w:tcBorders>
              <w:top w:val="nil"/>
              <w:left w:val="nil"/>
              <w:bottom w:val="single" w:sz="4" w:space="0" w:color="000000"/>
              <w:right w:val="single" w:sz="8" w:space="0" w:color="000000"/>
            </w:tcBorders>
            <w:shd w:val="clear" w:color="auto" w:fill="auto"/>
            <w:noWrap/>
            <w:vAlign w:val="center"/>
            <w:hideMark/>
          </w:tcPr>
          <w:p w14:paraId="23FCB7B1"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780" w:type="dxa"/>
            <w:tcBorders>
              <w:top w:val="nil"/>
              <w:left w:val="nil"/>
              <w:bottom w:val="single" w:sz="4" w:space="0" w:color="000000"/>
              <w:right w:val="single" w:sz="8" w:space="0" w:color="000000"/>
            </w:tcBorders>
            <w:shd w:val="clear" w:color="000000" w:fill="D9D9D9"/>
            <w:noWrap/>
            <w:vAlign w:val="center"/>
            <w:hideMark/>
          </w:tcPr>
          <w:p w14:paraId="311FB7ED"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1</w:t>
            </w:r>
          </w:p>
        </w:tc>
        <w:tc>
          <w:tcPr>
            <w:tcW w:w="880" w:type="dxa"/>
            <w:tcBorders>
              <w:top w:val="nil"/>
              <w:left w:val="nil"/>
              <w:bottom w:val="single" w:sz="4" w:space="0" w:color="000000"/>
              <w:right w:val="single" w:sz="8" w:space="0" w:color="000000"/>
            </w:tcBorders>
            <w:shd w:val="clear" w:color="000000" w:fill="D9D9D9"/>
            <w:noWrap/>
            <w:vAlign w:val="center"/>
            <w:hideMark/>
          </w:tcPr>
          <w:p w14:paraId="28DFC289"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77</w:t>
            </w:r>
          </w:p>
        </w:tc>
        <w:tc>
          <w:tcPr>
            <w:tcW w:w="760" w:type="dxa"/>
            <w:tcBorders>
              <w:top w:val="nil"/>
              <w:left w:val="nil"/>
              <w:bottom w:val="single" w:sz="4" w:space="0" w:color="000000"/>
              <w:right w:val="single" w:sz="8" w:space="0" w:color="000000"/>
            </w:tcBorders>
            <w:shd w:val="clear" w:color="000000" w:fill="D9D9D9"/>
            <w:noWrap/>
            <w:vAlign w:val="bottom"/>
            <w:hideMark/>
          </w:tcPr>
          <w:p w14:paraId="2B36C788"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21</w:t>
            </w:r>
          </w:p>
        </w:tc>
        <w:tc>
          <w:tcPr>
            <w:tcW w:w="1000" w:type="dxa"/>
            <w:tcBorders>
              <w:top w:val="nil"/>
              <w:left w:val="nil"/>
              <w:bottom w:val="single" w:sz="4" w:space="0" w:color="000000"/>
              <w:right w:val="single" w:sz="4" w:space="0" w:color="000000"/>
            </w:tcBorders>
            <w:shd w:val="clear" w:color="auto" w:fill="auto"/>
            <w:noWrap/>
            <w:vAlign w:val="bottom"/>
            <w:hideMark/>
          </w:tcPr>
          <w:p w14:paraId="6F916400"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27,3</w:t>
            </w:r>
          </w:p>
        </w:tc>
        <w:tc>
          <w:tcPr>
            <w:tcW w:w="1000" w:type="dxa"/>
            <w:tcBorders>
              <w:top w:val="nil"/>
              <w:left w:val="nil"/>
              <w:bottom w:val="single" w:sz="4" w:space="0" w:color="000000"/>
              <w:right w:val="single" w:sz="8" w:space="0" w:color="000000"/>
            </w:tcBorders>
            <w:shd w:val="clear" w:color="auto" w:fill="auto"/>
            <w:noWrap/>
            <w:vAlign w:val="center"/>
            <w:hideMark/>
          </w:tcPr>
          <w:p w14:paraId="37B64BA9"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1,50</w:t>
            </w:r>
          </w:p>
        </w:tc>
      </w:tr>
      <w:tr w:rsidR="00596935" w:rsidRPr="00596935" w14:paraId="1FAF5514" w14:textId="77777777" w:rsidTr="00596935">
        <w:trPr>
          <w:trHeight w:val="315"/>
        </w:trPr>
        <w:tc>
          <w:tcPr>
            <w:tcW w:w="1988" w:type="dxa"/>
            <w:tcBorders>
              <w:top w:val="nil"/>
              <w:left w:val="single" w:sz="8" w:space="0" w:color="000000"/>
              <w:bottom w:val="nil"/>
              <w:right w:val="single" w:sz="8" w:space="0" w:color="000000"/>
            </w:tcBorders>
            <w:shd w:val="clear" w:color="auto" w:fill="auto"/>
            <w:vAlign w:val="center"/>
            <w:hideMark/>
          </w:tcPr>
          <w:p w14:paraId="6B9AC609" w14:textId="77777777" w:rsidR="00596935" w:rsidRPr="00596935" w:rsidRDefault="00596935" w:rsidP="00596935">
            <w:pPr>
              <w:rPr>
                <w:rFonts w:cs="Arial"/>
                <w:b/>
                <w:bCs/>
                <w:sz w:val="20"/>
                <w:szCs w:val="20"/>
                <w:lang w:val="de-AT" w:eastAsia="de-AT"/>
              </w:rPr>
            </w:pPr>
            <w:r w:rsidRPr="00596935">
              <w:rPr>
                <w:rFonts w:cs="Arial"/>
                <w:b/>
                <w:bCs/>
                <w:sz w:val="20"/>
                <w:szCs w:val="20"/>
                <w:lang w:val="de-AT" w:eastAsia="de-AT"/>
              </w:rPr>
              <w:t>complications</w:t>
            </w:r>
          </w:p>
        </w:tc>
        <w:tc>
          <w:tcPr>
            <w:tcW w:w="800" w:type="dxa"/>
            <w:tcBorders>
              <w:top w:val="nil"/>
              <w:left w:val="nil"/>
              <w:bottom w:val="nil"/>
              <w:right w:val="single" w:sz="8" w:space="0" w:color="000000"/>
            </w:tcBorders>
            <w:shd w:val="clear" w:color="auto" w:fill="auto"/>
            <w:noWrap/>
            <w:vAlign w:val="center"/>
            <w:hideMark/>
          </w:tcPr>
          <w:p w14:paraId="2BAC3365"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8</w:t>
            </w:r>
          </w:p>
        </w:tc>
        <w:tc>
          <w:tcPr>
            <w:tcW w:w="820" w:type="dxa"/>
            <w:tcBorders>
              <w:top w:val="nil"/>
              <w:left w:val="nil"/>
              <w:bottom w:val="nil"/>
              <w:right w:val="single" w:sz="8" w:space="0" w:color="000000"/>
            </w:tcBorders>
            <w:shd w:val="clear" w:color="auto" w:fill="auto"/>
            <w:noWrap/>
            <w:vAlign w:val="center"/>
            <w:hideMark/>
          </w:tcPr>
          <w:p w14:paraId="083C615E"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4</w:t>
            </w:r>
          </w:p>
        </w:tc>
        <w:tc>
          <w:tcPr>
            <w:tcW w:w="840" w:type="dxa"/>
            <w:tcBorders>
              <w:top w:val="nil"/>
              <w:left w:val="nil"/>
              <w:bottom w:val="nil"/>
              <w:right w:val="single" w:sz="8" w:space="0" w:color="000000"/>
            </w:tcBorders>
            <w:shd w:val="clear" w:color="auto" w:fill="auto"/>
            <w:noWrap/>
            <w:vAlign w:val="center"/>
            <w:hideMark/>
          </w:tcPr>
          <w:p w14:paraId="0F70050E"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54</w:t>
            </w:r>
          </w:p>
        </w:tc>
        <w:tc>
          <w:tcPr>
            <w:tcW w:w="820" w:type="dxa"/>
            <w:tcBorders>
              <w:top w:val="nil"/>
              <w:left w:val="nil"/>
              <w:bottom w:val="nil"/>
              <w:right w:val="single" w:sz="8" w:space="0" w:color="000000"/>
            </w:tcBorders>
            <w:shd w:val="clear" w:color="auto" w:fill="auto"/>
            <w:noWrap/>
            <w:vAlign w:val="center"/>
            <w:hideMark/>
          </w:tcPr>
          <w:p w14:paraId="577E9C83"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55</w:t>
            </w:r>
          </w:p>
        </w:tc>
        <w:tc>
          <w:tcPr>
            <w:tcW w:w="800" w:type="dxa"/>
            <w:tcBorders>
              <w:top w:val="nil"/>
              <w:left w:val="nil"/>
              <w:bottom w:val="nil"/>
              <w:right w:val="single" w:sz="8" w:space="0" w:color="000000"/>
            </w:tcBorders>
            <w:shd w:val="clear" w:color="auto" w:fill="auto"/>
            <w:noWrap/>
            <w:vAlign w:val="center"/>
            <w:hideMark/>
          </w:tcPr>
          <w:p w14:paraId="2F4730CC"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4</w:t>
            </w:r>
          </w:p>
        </w:tc>
        <w:tc>
          <w:tcPr>
            <w:tcW w:w="772" w:type="dxa"/>
            <w:tcBorders>
              <w:top w:val="nil"/>
              <w:left w:val="nil"/>
              <w:bottom w:val="nil"/>
              <w:right w:val="single" w:sz="8" w:space="0" w:color="000000"/>
            </w:tcBorders>
            <w:shd w:val="clear" w:color="auto" w:fill="auto"/>
            <w:noWrap/>
            <w:vAlign w:val="center"/>
            <w:hideMark/>
          </w:tcPr>
          <w:p w14:paraId="5927C877"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10</w:t>
            </w:r>
          </w:p>
        </w:tc>
        <w:tc>
          <w:tcPr>
            <w:tcW w:w="800" w:type="dxa"/>
            <w:tcBorders>
              <w:top w:val="nil"/>
              <w:left w:val="nil"/>
              <w:bottom w:val="nil"/>
              <w:right w:val="single" w:sz="8" w:space="0" w:color="000000"/>
            </w:tcBorders>
            <w:shd w:val="clear" w:color="auto" w:fill="auto"/>
            <w:noWrap/>
            <w:vAlign w:val="center"/>
            <w:hideMark/>
          </w:tcPr>
          <w:p w14:paraId="66426C92"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12</w:t>
            </w:r>
          </w:p>
        </w:tc>
        <w:tc>
          <w:tcPr>
            <w:tcW w:w="780" w:type="dxa"/>
            <w:tcBorders>
              <w:top w:val="nil"/>
              <w:left w:val="nil"/>
              <w:bottom w:val="nil"/>
              <w:right w:val="single" w:sz="8" w:space="0" w:color="000000"/>
            </w:tcBorders>
            <w:shd w:val="clear" w:color="000000" w:fill="D9D9D9"/>
            <w:noWrap/>
            <w:vAlign w:val="center"/>
            <w:hideMark/>
          </w:tcPr>
          <w:p w14:paraId="1D4C1A19"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7</w:t>
            </w:r>
          </w:p>
        </w:tc>
        <w:tc>
          <w:tcPr>
            <w:tcW w:w="880" w:type="dxa"/>
            <w:tcBorders>
              <w:top w:val="nil"/>
              <w:left w:val="nil"/>
              <w:bottom w:val="nil"/>
              <w:right w:val="single" w:sz="8" w:space="0" w:color="000000"/>
            </w:tcBorders>
            <w:shd w:val="clear" w:color="000000" w:fill="D9D9D9"/>
            <w:noWrap/>
            <w:vAlign w:val="center"/>
            <w:hideMark/>
          </w:tcPr>
          <w:p w14:paraId="0B91EAA1"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1398</w:t>
            </w:r>
          </w:p>
        </w:tc>
        <w:tc>
          <w:tcPr>
            <w:tcW w:w="760" w:type="dxa"/>
            <w:tcBorders>
              <w:top w:val="nil"/>
              <w:left w:val="nil"/>
              <w:bottom w:val="nil"/>
              <w:right w:val="single" w:sz="8" w:space="0" w:color="000000"/>
            </w:tcBorders>
            <w:shd w:val="clear" w:color="000000" w:fill="D9D9D9"/>
            <w:noWrap/>
            <w:vAlign w:val="bottom"/>
            <w:hideMark/>
          </w:tcPr>
          <w:p w14:paraId="77E2E924"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147</w:t>
            </w:r>
          </w:p>
        </w:tc>
        <w:tc>
          <w:tcPr>
            <w:tcW w:w="1000" w:type="dxa"/>
            <w:tcBorders>
              <w:top w:val="nil"/>
              <w:left w:val="nil"/>
              <w:bottom w:val="nil"/>
              <w:right w:val="single" w:sz="4" w:space="0" w:color="000000"/>
            </w:tcBorders>
            <w:shd w:val="clear" w:color="auto" w:fill="auto"/>
            <w:noWrap/>
            <w:vAlign w:val="bottom"/>
            <w:hideMark/>
          </w:tcPr>
          <w:p w14:paraId="5717154B"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10,5</w:t>
            </w:r>
          </w:p>
        </w:tc>
        <w:tc>
          <w:tcPr>
            <w:tcW w:w="1000" w:type="dxa"/>
            <w:tcBorders>
              <w:top w:val="nil"/>
              <w:left w:val="nil"/>
              <w:bottom w:val="nil"/>
              <w:right w:val="single" w:sz="8" w:space="0" w:color="000000"/>
            </w:tcBorders>
            <w:shd w:val="clear" w:color="auto" w:fill="auto"/>
            <w:noWrap/>
            <w:vAlign w:val="center"/>
            <w:hideMark/>
          </w:tcPr>
          <w:p w14:paraId="2B98CAF8"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10,52</w:t>
            </w:r>
          </w:p>
        </w:tc>
      </w:tr>
      <w:tr w:rsidR="00596935" w:rsidRPr="00596935" w14:paraId="09F9AFA9" w14:textId="77777777" w:rsidTr="00596935">
        <w:trPr>
          <w:trHeight w:val="315"/>
        </w:trPr>
        <w:tc>
          <w:tcPr>
            <w:tcW w:w="1988" w:type="dxa"/>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245F9099" w14:textId="77777777" w:rsidR="00596935" w:rsidRPr="00596935" w:rsidRDefault="00596935" w:rsidP="00596935">
            <w:pPr>
              <w:rPr>
                <w:rFonts w:cs="Arial"/>
                <w:b/>
                <w:bCs/>
                <w:sz w:val="20"/>
                <w:szCs w:val="20"/>
                <w:lang w:val="de-AT" w:eastAsia="de-AT"/>
              </w:rPr>
            </w:pPr>
            <w:r w:rsidRPr="00596935">
              <w:rPr>
                <w:rFonts w:cs="Arial"/>
                <w:b/>
                <w:bCs/>
                <w:sz w:val="20"/>
                <w:szCs w:val="20"/>
                <w:lang w:val="de-AT" w:eastAsia="de-AT"/>
              </w:rPr>
              <w:t>TOTAL EVENTS</w:t>
            </w:r>
          </w:p>
        </w:tc>
        <w:tc>
          <w:tcPr>
            <w:tcW w:w="800" w:type="dxa"/>
            <w:tcBorders>
              <w:top w:val="single" w:sz="8" w:space="0" w:color="000000"/>
              <w:left w:val="nil"/>
              <w:bottom w:val="single" w:sz="8" w:space="0" w:color="000000"/>
              <w:right w:val="single" w:sz="8" w:space="0" w:color="000000"/>
            </w:tcBorders>
            <w:shd w:val="clear" w:color="000000" w:fill="D9D9D9"/>
            <w:noWrap/>
            <w:vAlign w:val="center"/>
            <w:hideMark/>
          </w:tcPr>
          <w:p w14:paraId="013AF722"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47</w:t>
            </w:r>
          </w:p>
        </w:tc>
        <w:tc>
          <w:tcPr>
            <w:tcW w:w="820" w:type="dxa"/>
            <w:tcBorders>
              <w:top w:val="single" w:sz="8" w:space="0" w:color="000000"/>
              <w:left w:val="nil"/>
              <w:bottom w:val="single" w:sz="8" w:space="0" w:color="000000"/>
              <w:right w:val="single" w:sz="8" w:space="0" w:color="000000"/>
            </w:tcBorders>
            <w:shd w:val="clear" w:color="000000" w:fill="D9D9D9"/>
            <w:noWrap/>
            <w:vAlign w:val="center"/>
            <w:hideMark/>
          </w:tcPr>
          <w:p w14:paraId="4E2773A5"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25</w:t>
            </w:r>
          </w:p>
        </w:tc>
        <w:tc>
          <w:tcPr>
            <w:tcW w:w="840" w:type="dxa"/>
            <w:tcBorders>
              <w:top w:val="single" w:sz="8" w:space="0" w:color="000000"/>
              <w:left w:val="nil"/>
              <w:bottom w:val="single" w:sz="8" w:space="0" w:color="000000"/>
              <w:right w:val="single" w:sz="8" w:space="0" w:color="000000"/>
            </w:tcBorders>
            <w:shd w:val="clear" w:color="000000" w:fill="D9D9D9"/>
            <w:noWrap/>
            <w:vAlign w:val="center"/>
            <w:hideMark/>
          </w:tcPr>
          <w:p w14:paraId="5A8C65CB"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1100</w:t>
            </w:r>
          </w:p>
        </w:tc>
        <w:tc>
          <w:tcPr>
            <w:tcW w:w="820" w:type="dxa"/>
            <w:tcBorders>
              <w:top w:val="single" w:sz="8" w:space="0" w:color="000000"/>
              <w:left w:val="nil"/>
              <w:bottom w:val="single" w:sz="8" w:space="0" w:color="000000"/>
              <w:right w:val="single" w:sz="8" w:space="0" w:color="000000"/>
            </w:tcBorders>
            <w:shd w:val="clear" w:color="000000" w:fill="D9D9D9"/>
            <w:noWrap/>
            <w:vAlign w:val="center"/>
            <w:hideMark/>
          </w:tcPr>
          <w:p w14:paraId="572A14C8"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77</w:t>
            </w:r>
          </w:p>
        </w:tc>
        <w:tc>
          <w:tcPr>
            <w:tcW w:w="800" w:type="dxa"/>
            <w:tcBorders>
              <w:top w:val="single" w:sz="8" w:space="0" w:color="000000"/>
              <w:left w:val="nil"/>
              <w:bottom w:val="single" w:sz="8" w:space="0" w:color="000000"/>
              <w:right w:val="single" w:sz="8" w:space="0" w:color="000000"/>
            </w:tcBorders>
            <w:shd w:val="clear" w:color="000000" w:fill="D9D9D9"/>
            <w:noWrap/>
            <w:vAlign w:val="center"/>
            <w:hideMark/>
          </w:tcPr>
          <w:p w14:paraId="046C160D"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34</w:t>
            </w:r>
          </w:p>
        </w:tc>
        <w:tc>
          <w:tcPr>
            <w:tcW w:w="772" w:type="dxa"/>
            <w:tcBorders>
              <w:top w:val="single" w:sz="8" w:space="0" w:color="000000"/>
              <w:left w:val="nil"/>
              <w:bottom w:val="single" w:sz="8" w:space="0" w:color="000000"/>
              <w:right w:val="single" w:sz="8" w:space="0" w:color="000000"/>
            </w:tcBorders>
            <w:shd w:val="clear" w:color="000000" w:fill="D9D9D9"/>
            <w:noWrap/>
            <w:vAlign w:val="center"/>
            <w:hideMark/>
          </w:tcPr>
          <w:p w14:paraId="41969896"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20</w:t>
            </w:r>
          </w:p>
        </w:tc>
        <w:tc>
          <w:tcPr>
            <w:tcW w:w="800" w:type="dxa"/>
            <w:tcBorders>
              <w:top w:val="single" w:sz="8" w:space="0" w:color="000000"/>
              <w:left w:val="nil"/>
              <w:bottom w:val="single" w:sz="8" w:space="0" w:color="000000"/>
              <w:right w:val="single" w:sz="8" w:space="0" w:color="000000"/>
            </w:tcBorders>
            <w:shd w:val="clear" w:color="000000" w:fill="D9D9D9"/>
            <w:noWrap/>
            <w:vAlign w:val="center"/>
            <w:hideMark/>
          </w:tcPr>
          <w:p w14:paraId="49687E3F"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95</w:t>
            </w:r>
          </w:p>
        </w:tc>
        <w:tc>
          <w:tcPr>
            <w:tcW w:w="780" w:type="dxa"/>
            <w:tcBorders>
              <w:top w:val="single" w:sz="8" w:space="0" w:color="000000"/>
              <w:left w:val="nil"/>
              <w:bottom w:val="single" w:sz="8" w:space="0" w:color="000000"/>
              <w:right w:val="single" w:sz="8" w:space="0" w:color="000000"/>
            </w:tcBorders>
            <w:shd w:val="clear" w:color="000000" w:fill="D9D9D9"/>
            <w:noWrap/>
            <w:vAlign w:val="center"/>
            <w:hideMark/>
          </w:tcPr>
          <w:p w14:paraId="48C002DD"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880" w:type="dxa"/>
            <w:tcBorders>
              <w:top w:val="single" w:sz="8" w:space="0" w:color="000000"/>
              <w:left w:val="nil"/>
              <w:bottom w:val="single" w:sz="8" w:space="0" w:color="000000"/>
              <w:right w:val="single" w:sz="8" w:space="0" w:color="000000"/>
            </w:tcBorders>
            <w:shd w:val="clear" w:color="000000" w:fill="D9D9D9"/>
            <w:noWrap/>
            <w:vAlign w:val="center"/>
            <w:hideMark/>
          </w:tcPr>
          <w:p w14:paraId="093AB92C"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760" w:type="dxa"/>
            <w:tcBorders>
              <w:top w:val="single" w:sz="8" w:space="0" w:color="000000"/>
              <w:left w:val="nil"/>
              <w:bottom w:val="single" w:sz="8" w:space="0" w:color="000000"/>
              <w:right w:val="single" w:sz="8" w:space="0" w:color="000000"/>
            </w:tcBorders>
            <w:shd w:val="clear" w:color="000000" w:fill="D9D9D9"/>
            <w:noWrap/>
            <w:vAlign w:val="bottom"/>
            <w:hideMark/>
          </w:tcPr>
          <w:p w14:paraId="2CDE7B24"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1398</w:t>
            </w:r>
          </w:p>
        </w:tc>
        <w:tc>
          <w:tcPr>
            <w:tcW w:w="1000" w:type="dxa"/>
            <w:tcBorders>
              <w:top w:val="single" w:sz="8" w:space="0" w:color="000000"/>
              <w:left w:val="nil"/>
              <w:bottom w:val="single" w:sz="8" w:space="0" w:color="000000"/>
              <w:right w:val="single" w:sz="4" w:space="0" w:color="000000"/>
            </w:tcBorders>
            <w:shd w:val="clear" w:color="000000" w:fill="D9D9D9"/>
            <w:noWrap/>
            <w:vAlign w:val="bottom"/>
            <w:hideMark/>
          </w:tcPr>
          <w:p w14:paraId="6E26E9B8"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c>
          <w:tcPr>
            <w:tcW w:w="1000" w:type="dxa"/>
            <w:tcBorders>
              <w:top w:val="single" w:sz="8" w:space="0" w:color="000000"/>
              <w:left w:val="nil"/>
              <w:bottom w:val="single" w:sz="8" w:space="0" w:color="000000"/>
              <w:right w:val="single" w:sz="8" w:space="0" w:color="000000"/>
            </w:tcBorders>
            <w:shd w:val="clear" w:color="000000" w:fill="D9D9D9"/>
            <w:noWrap/>
            <w:vAlign w:val="center"/>
            <w:hideMark/>
          </w:tcPr>
          <w:p w14:paraId="65E12949" w14:textId="77777777" w:rsidR="00596935" w:rsidRPr="00596935" w:rsidRDefault="00596935" w:rsidP="00596935">
            <w:pPr>
              <w:jc w:val="center"/>
              <w:rPr>
                <w:rFonts w:cs="Arial"/>
                <w:color w:val="000000"/>
                <w:sz w:val="20"/>
                <w:szCs w:val="20"/>
                <w:lang w:val="de-AT" w:eastAsia="de-AT"/>
              </w:rPr>
            </w:pPr>
            <w:r w:rsidRPr="00596935">
              <w:rPr>
                <w:rFonts w:cs="Arial"/>
                <w:color w:val="000000"/>
                <w:sz w:val="20"/>
                <w:szCs w:val="20"/>
                <w:lang w:val="de-AT" w:eastAsia="de-AT"/>
              </w:rPr>
              <w:t> </w:t>
            </w:r>
          </w:p>
        </w:tc>
      </w:tr>
    </w:tbl>
    <w:p w14:paraId="57C664B0" w14:textId="77777777" w:rsidR="00D77AE9" w:rsidRDefault="00D77AE9" w:rsidP="00596935">
      <w:pPr>
        <w:spacing w:after="200" w:line="276" w:lineRule="auto"/>
        <w:rPr>
          <w:rFonts w:asciiTheme="minorHAnsi" w:eastAsiaTheme="minorHAnsi" w:hAnsiTheme="minorHAnsi" w:cstheme="minorBidi"/>
          <w:sz w:val="24"/>
          <w:szCs w:val="24"/>
          <w:lang w:val="en-GB" w:eastAsia="en-US"/>
        </w:rPr>
      </w:pPr>
    </w:p>
    <w:p w14:paraId="71118AA0" w14:textId="77777777" w:rsidR="00D77AE9" w:rsidRDefault="00D77AE9" w:rsidP="00596935">
      <w:pPr>
        <w:spacing w:after="200" w:line="276" w:lineRule="auto"/>
        <w:rPr>
          <w:rFonts w:asciiTheme="minorHAnsi" w:eastAsiaTheme="minorHAnsi" w:hAnsiTheme="minorHAnsi" w:cstheme="minorBidi"/>
          <w:sz w:val="24"/>
          <w:szCs w:val="24"/>
          <w:lang w:val="en-GB" w:eastAsia="en-US"/>
        </w:rPr>
      </w:pPr>
    </w:p>
    <w:p w14:paraId="49002265" w14:textId="77777777" w:rsidR="00D77AE9" w:rsidRPr="00596935" w:rsidRDefault="00D77AE9" w:rsidP="00596935">
      <w:pPr>
        <w:spacing w:after="200" w:line="276" w:lineRule="auto"/>
        <w:rPr>
          <w:rFonts w:asciiTheme="minorHAnsi" w:eastAsiaTheme="minorHAnsi" w:hAnsiTheme="minorHAnsi" w:cstheme="minorBidi"/>
          <w:sz w:val="24"/>
          <w:szCs w:val="24"/>
          <w:lang w:val="en-GB" w:eastAsia="en-US"/>
        </w:rPr>
        <w:sectPr w:rsidR="00D77AE9" w:rsidRPr="00596935" w:rsidSect="00596935">
          <w:pgSz w:w="16838" w:h="11906" w:orient="landscape"/>
          <w:pgMar w:top="1417" w:right="1417" w:bottom="1417" w:left="1134" w:header="708" w:footer="708" w:gutter="0"/>
          <w:cols w:space="708"/>
          <w:docGrid w:linePitch="360"/>
        </w:sectPr>
      </w:pPr>
    </w:p>
    <w:p w14:paraId="253469B7" w14:textId="77777777" w:rsidR="00596935" w:rsidRPr="00403E99" w:rsidRDefault="00D77AE9" w:rsidP="00C67966">
      <w:pPr>
        <w:pStyle w:val="Caption"/>
        <w:rPr>
          <w:rFonts w:ascii="Arial" w:eastAsiaTheme="minorHAnsi" w:hAnsi="Arial" w:cs="Arial"/>
          <w:lang w:val="en-GB" w:eastAsia="en-US"/>
        </w:rPr>
      </w:pPr>
      <w:bookmarkStart w:id="459" w:name="_Ref431222462"/>
      <w:bookmarkStart w:id="460" w:name="_Ref400644327"/>
      <w:bookmarkStart w:id="461" w:name="_Toc431917487"/>
      <w:r w:rsidRPr="00403E99">
        <w:rPr>
          <w:rFonts w:ascii="Arial" w:hAnsi="Arial" w:cs="Arial"/>
        </w:rPr>
        <w:lastRenderedPageBreak/>
        <w:t xml:space="preserve">Table </w:t>
      </w:r>
      <w:r w:rsidRPr="00403E99">
        <w:rPr>
          <w:rFonts w:ascii="Arial" w:hAnsi="Arial" w:cs="Arial"/>
        </w:rPr>
        <w:fldChar w:fldCharType="begin"/>
      </w:r>
      <w:r w:rsidRPr="00403E99">
        <w:rPr>
          <w:rFonts w:ascii="Arial" w:hAnsi="Arial" w:cs="Arial"/>
        </w:rPr>
        <w:instrText xml:space="preserve"> SEQ Table \* ARABIC </w:instrText>
      </w:r>
      <w:r w:rsidRPr="00403E99">
        <w:rPr>
          <w:rFonts w:ascii="Arial" w:hAnsi="Arial" w:cs="Arial"/>
        </w:rPr>
        <w:fldChar w:fldCharType="separate"/>
      </w:r>
      <w:r w:rsidR="00016592">
        <w:rPr>
          <w:rFonts w:ascii="Arial" w:hAnsi="Arial" w:cs="Arial"/>
          <w:noProof/>
        </w:rPr>
        <w:t>27</w:t>
      </w:r>
      <w:r w:rsidRPr="00403E99">
        <w:rPr>
          <w:rFonts w:ascii="Arial" w:hAnsi="Arial" w:cs="Arial"/>
        </w:rPr>
        <w:fldChar w:fldCharType="end"/>
      </w:r>
      <w:bookmarkEnd w:id="459"/>
      <w:r w:rsidRPr="00403E99">
        <w:rPr>
          <w:rFonts w:ascii="Arial" w:hAnsi="Arial" w:cs="Arial"/>
          <w:lang w:val="de-AT"/>
        </w:rPr>
        <w:t xml:space="preserve"> - </w:t>
      </w:r>
      <w:r w:rsidR="00596935" w:rsidRPr="00403E99">
        <w:rPr>
          <w:rFonts w:ascii="Arial" w:eastAsiaTheme="minorHAnsi" w:hAnsi="Arial" w:cs="Arial"/>
          <w:lang w:val="en-GB" w:eastAsia="en-US"/>
        </w:rPr>
        <w:t>Adverse events comparator</w:t>
      </w:r>
      <w:bookmarkEnd w:id="460"/>
      <w:bookmarkEnd w:id="461"/>
    </w:p>
    <w:tbl>
      <w:tblPr>
        <w:tblW w:w="5074" w:type="pct"/>
        <w:tblInd w:w="-214" w:type="dxa"/>
        <w:tblCellMar>
          <w:left w:w="70" w:type="dxa"/>
          <w:right w:w="70" w:type="dxa"/>
        </w:tblCellMar>
        <w:tblLook w:val="04A0" w:firstRow="1" w:lastRow="0" w:firstColumn="1" w:lastColumn="0" w:noHBand="0" w:noVBand="1"/>
        <w:tblDescription w:val="Adverse events comparator"/>
      </w:tblPr>
      <w:tblGrid>
        <w:gridCol w:w="2924"/>
        <w:gridCol w:w="781"/>
        <w:gridCol w:w="751"/>
        <w:gridCol w:w="751"/>
        <w:gridCol w:w="751"/>
        <w:gridCol w:w="751"/>
        <w:gridCol w:w="711"/>
        <w:gridCol w:w="801"/>
        <w:gridCol w:w="801"/>
        <w:gridCol w:w="901"/>
        <w:gridCol w:w="902"/>
        <w:gridCol w:w="852"/>
        <w:gridCol w:w="908"/>
        <w:gridCol w:w="1154"/>
        <w:gridCol w:w="902"/>
      </w:tblGrid>
      <w:tr w:rsidR="00596935" w:rsidRPr="00596935" w14:paraId="137137BE" w14:textId="77777777" w:rsidTr="00596935">
        <w:trPr>
          <w:trHeight w:val="372"/>
        </w:trPr>
        <w:tc>
          <w:tcPr>
            <w:tcW w:w="999" w:type="pct"/>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66C84FF8"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 xml:space="preserve">Adverse Events </w:t>
            </w:r>
            <w:r w:rsidRPr="00596935">
              <w:rPr>
                <w:rFonts w:cs="Arial"/>
                <w:b/>
                <w:bCs/>
                <w:color w:val="000000"/>
                <w:sz w:val="18"/>
                <w:szCs w:val="18"/>
                <w:lang w:val="de-AT" w:eastAsia="de-AT"/>
              </w:rPr>
              <w:t xml:space="preserve">Comparator </w:t>
            </w:r>
            <w:r w:rsidRPr="00596935">
              <w:rPr>
                <w:rFonts w:cs="Arial"/>
                <w:color w:val="000000"/>
                <w:sz w:val="18"/>
                <w:szCs w:val="18"/>
                <w:lang w:val="de-AT" w:eastAsia="de-AT"/>
              </w:rPr>
              <w:t>reported</w:t>
            </w:r>
          </w:p>
        </w:tc>
        <w:tc>
          <w:tcPr>
            <w:tcW w:w="267" w:type="pct"/>
            <w:tcBorders>
              <w:top w:val="single" w:sz="8" w:space="0" w:color="000000"/>
              <w:left w:val="nil"/>
              <w:bottom w:val="single" w:sz="8" w:space="0" w:color="000000"/>
              <w:right w:val="single" w:sz="8" w:space="0" w:color="000000"/>
            </w:tcBorders>
            <w:shd w:val="clear" w:color="000000" w:fill="D9D9D9"/>
            <w:vAlign w:val="center"/>
            <w:hideMark/>
          </w:tcPr>
          <w:p w14:paraId="2DB0C9AB"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Barbara 2014</w:t>
            </w:r>
          </w:p>
        </w:tc>
        <w:tc>
          <w:tcPr>
            <w:tcW w:w="256" w:type="pct"/>
            <w:tcBorders>
              <w:top w:val="single" w:sz="8" w:space="0" w:color="000000"/>
              <w:left w:val="nil"/>
              <w:bottom w:val="single" w:sz="8" w:space="0" w:color="000000"/>
              <w:right w:val="single" w:sz="8" w:space="0" w:color="000000"/>
            </w:tcBorders>
            <w:shd w:val="clear" w:color="000000" w:fill="D9D9D9"/>
            <w:vAlign w:val="center"/>
            <w:hideMark/>
          </w:tcPr>
          <w:p w14:paraId="72356029"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Chen 2004</w:t>
            </w:r>
          </w:p>
        </w:tc>
        <w:tc>
          <w:tcPr>
            <w:tcW w:w="256" w:type="pct"/>
            <w:tcBorders>
              <w:top w:val="single" w:sz="8" w:space="0" w:color="000000"/>
              <w:left w:val="nil"/>
              <w:bottom w:val="single" w:sz="8" w:space="0" w:color="000000"/>
              <w:right w:val="single" w:sz="8" w:space="0" w:color="000000"/>
            </w:tcBorders>
            <w:shd w:val="clear" w:color="000000" w:fill="D9D9D9"/>
            <w:vAlign w:val="center"/>
            <w:hideMark/>
          </w:tcPr>
          <w:p w14:paraId="04B70A32"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Gerard 2012</w:t>
            </w:r>
          </w:p>
        </w:tc>
        <w:tc>
          <w:tcPr>
            <w:tcW w:w="256" w:type="pct"/>
            <w:tcBorders>
              <w:top w:val="single" w:sz="8" w:space="0" w:color="000000"/>
              <w:left w:val="nil"/>
              <w:bottom w:val="single" w:sz="8" w:space="0" w:color="000000"/>
              <w:right w:val="single" w:sz="8" w:space="0" w:color="000000"/>
            </w:tcBorders>
            <w:shd w:val="clear" w:color="000000" w:fill="D9D9D9"/>
            <w:vAlign w:val="center"/>
            <w:hideMark/>
          </w:tcPr>
          <w:p w14:paraId="7D0ED908"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Memari 2011</w:t>
            </w:r>
          </w:p>
        </w:tc>
        <w:tc>
          <w:tcPr>
            <w:tcW w:w="256" w:type="pct"/>
            <w:tcBorders>
              <w:top w:val="single" w:sz="8" w:space="0" w:color="000000"/>
              <w:left w:val="nil"/>
              <w:bottom w:val="single" w:sz="8" w:space="0" w:color="000000"/>
              <w:right w:val="single" w:sz="8" w:space="0" w:color="000000"/>
            </w:tcBorders>
            <w:shd w:val="clear" w:color="000000" w:fill="D9D9D9"/>
            <w:vAlign w:val="center"/>
            <w:hideMark/>
          </w:tcPr>
          <w:p w14:paraId="3DA902F0"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Kraus 2011</w:t>
            </w:r>
          </w:p>
        </w:tc>
        <w:tc>
          <w:tcPr>
            <w:tcW w:w="243" w:type="pct"/>
            <w:vMerge w:val="restart"/>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17E294EB"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n studies</w:t>
            </w:r>
          </w:p>
        </w:tc>
        <w:tc>
          <w:tcPr>
            <w:tcW w:w="274" w:type="pct"/>
            <w:vMerge w:val="restart"/>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6A77CC24"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Total n subjects</w:t>
            </w:r>
          </w:p>
        </w:tc>
        <w:tc>
          <w:tcPr>
            <w:tcW w:w="274" w:type="pct"/>
            <w:vMerge w:val="restart"/>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10DF79F1"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n subjects</w:t>
            </w:r>
          </w:p>
        </w:tc>
        <w:tc>
          <w:tcPr>
            <w:tcW w:w="308" w:type="pct"/>
            <w:vMerge w:val="restart"/>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6855C580"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incidence when reported</w:t>
            </w:r>
          </w:p>
        </w:tc>
        <w:tc>
          <w:tcPr>
            <w:tcW w:w="308" w:type="pct"/>
            <w:vMerge w:val="restart"/>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3D86AD1F"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incidence in literature</w:t>
            </w:r>
          </w:p>
        </w:tc>
        <w:tc>
          <w:tcPr>
            <w:tcW w:w="291" w:type="pct"/>
            <w:tcBorders>
              <w:top w:val="single" w:sz="8" w:space="0" w:color="000000"/>
              <w:left w:val="nil"/>
              <w:bottom w:val="single" w:sz="8" w:space="0" w:color="000000"/>
              <w:right w:val="single" w:sz="8" w:space="0" w:color="000000"/>
            </w:tcBorders>
            <w:shd w:val="clear" w:color="000000" w:fill="D9D9D9"/>
            <w:vAlign w:val="center"/>
            <w:hideMark/>
          </w:tcPr>
          <w:p w14:paraId="72AC4E22"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Jenkins 2008</w:t>
            </w:r>
          </w:p>
        </w:tc>
        <w:tc>
          <w:tcPr>
            <w:tcW w:w="310" w:type="pct"/>
            <w:vMerge w:val="restart"/>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573E6051"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incidence</w:t>
            </w:r>
          </w:p>
        </w:tc>
        <w:tc>
          <w:tcPr>
            <w:tcW w:w="394" w:type="pct"/>
            <w:tcBorders>
              <w:top w:val="single" w:sz="8" w:space="0" w:color="000000"/>
              <w:left w:val="nil"/>
              <w:bottom w:val="single" w:sz="8" w:space="0" w:color="000000"/>
              <w:right w:val="single" w:sz="8" w:space="0" w:color="000000"/>
            </w:tcBorders>
            <w:shd w:val="clear" w:color="000000" w:fill="D9D9D9"/>
            <w:vAlign w:val="center"/>
            <w:hideMark/>
          </w:tcPr>
          <w:p w14:paraId="0F01E7E8"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Hough   2002</w:t>
            </w:r>
          </w:p>
        </w:tc>
        <w:tc>
          <w:tcPr>
            <w:tcW w:w="308" w:type="pct"/>
            <w:vMerge w:val="restart"/>
            <w:tcBorders>
              <w:top w:val="single" w:sz="8" w:space="0" w:color="000000"/>
              <w:left w:val="single" w:sz="8" w:space="0" w:color="000000"/>
              <w:bottom w:val="single" w:sz="8" w:space="0" w:color="000000"/>
              <w:right w:val="single" w:sz="8" w:space="0" w:color="000000"/>
            </w:tcBorders>
            <w:shd w:val="clear" w:color="000000" w:fill="D9D9D9"/>
            <w:noWrap/>
            <w:vAlign w:val="center"/>
            <w:hideMark/>
          </w:tcPr>
          <w:p w14:paraId="572A7902"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incidence</w:t>
            </w:r>
          </w:p>
        </w:tc>
      </w:tr>
      <w:tr w:rsidR="00596935" w:rsidRPr="00596935" w14:paraId="1D020773" w14:textId="77777777" w:rsidTr="00596935">
        <w:trPr>
          <w:trHeight w:val="224"/>
        </w:trPr>
        <w:tc>
          <w:tcPr>
            <w:tcW w:w="999" w:type="pct"/>
            <w:vMerge/>
            <w:tcBorders>
              <w:top w:val="single" w:sz="8" w:space="0" w:color="000000"/>
              <w:left w:val="single" w:sz="8" w:space="0" w:color="000000"/>
              <w:bottom w:val="single" w:sz="8" w:space="0" w:color="000000"/>
              <w:right w:val="single" w:sz="8" w:space="0" w:color="000000"/>
            </w:tcBorders>
            <w:vAlign w:val="center"/>
            <w:hideMark/>
          </w:tcPr>
          <w:p w14:paraId="79742AB8" w14:textId="77777777" w:rsidR="00596935" w:rsidRPr="00596935" w:rsidRDefault="00596935" w:rsidP="00596935">
            <w:pPr>
              <w:rPr>
                <w:rFonts w:cs="Arial"/>
                <w:color w:val="000000"/>
                <w:sz w:val="18"/>
                <w:szCs w:val="18"/>
                <w:lang w:val="de-AT" w:eastAsia="de-AT"/>
              </w:rPr>
            </w:pPr>
          </w:p>
        </w:tc>
        <w:tc>
          <w:tcPr>
            <w:tcW w:w="267" w:type="pct"/>
            <w:tcBorders>
              <w:top w:val="nil"/>
              <w:left w:val="nil"/>
              <w:bottom w:val="single" w:sz="8" w:space="0" w:color="000000"/>
              <w:right w:val="single" w:sz="8" w:space="0" w:color="000000"/>
            </w:tcBorders>
            <w:shd w:val="clear" w:color="000000" w:fill="F2DCDB"/>
            <w:vAlign w:val="center"/>
            <w:hideMark/>
          </w:tcPr>
          <w:p w14:paraId="7897C59C"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Esteem</w:t>
            </w:r>
          </w:p>
        </w:tc>
        <w:tc>
          <w:tcPr>
            <w:tcW w:w="256" w:type="pct"/>
            <w:tcBorders>
              <w:top w:val="nil"/>
              <w:left w:val="nil"/>
              <w:bottom w:val="single" w:sz="8" w:space="0" w:color="000000"/>
              <w:right w:val="single" w:sz="8" w:space="0" w:color="000000"/>
            </w:tcBorders>
            <w:shd w:val="clear" w:color="000000" w:fill="F2DCDB"/>
            <w:vAlign w:val="center"/>
            <w:hideMark/>
          </w:tcPr>
          <w:p w14:paraId="7184D9BF"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Esteem</w:t>
            </w:r>
          </w:p>
        </w:tc>
        <w:tc>
          <w:tcPr>
            <w:tcW w:w="256" w:type="pct"/>
            <w:tcBorders>
              <w:top w:val="nil"/>
              <w:left w:val="nil"/>
              <w:bottom w:val="single" w:sz="8" w:space="0" w:color="000000"/>
              <w:right w:val="single" w:sz="8" w:space="0" w:color="000000"/>
            </w:tcBorders>
            <w:shd w:val="clear" w:color="000000" w:fill="F2DCDB"/>
            <w:vAlign w:val="center"/>
            <w:hideMark/>
          </w:tcPr>
          <w:p w14:paraId="10A259C5"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Esteem</w:t>
            </w:r>
          </w:p>
        </w:tc>
        <w:tc>
          <w:tcPr>
            <w:tcW w:w="256" w:type="pct"/>
            <w:tcBorders>
              <w:top w:val="nil"/>
              <w:left w:val="nil"/>
              <w:bottom w:val="single" w:sz="8" w:space="0" w:color="000000"/>
              <w:right w:val="single" w:sz="8" w:space="0" w:color="000000"/>
            </w:tcBorders>
            <w:shd w:val="clear" w:color="000000" w:fill="F2DCDB"/>
            <w:vAlign w:val="center"/>
            <w:hideMark/>
          </w:tcPr>
          <w:p w14:paraId="3F5A84E7"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Esteem</w:t>
            </w:r>
          </w:p>
        </w:tc>
        <w:tc>
          <w:tcPr>
            <w:tcW w:w="256" w:type="pct"/>
            <w:tcBorders>
              <w:top w:val="nil"/>
              <w:left w:val="nil"/>
              <w:bottom w:val="single" w:sz="8" w:space="0" w:color="000000"/>
              <w:right w:val="single" w:sz="8" w:space="0" w:color="000000"/>
            </w:tcBorders>
            <w:shd w:val="clear" w:color="000000" w:fill="F2DCDB"/>
            <w:vAlign w:val="center"/>
            <w:hideMark/>
          </w:tcPr>
          <w:p w14:paraId="0EA95D73"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Esteem</w:t>
            </w:r>
          </w:p>
        </w:tc>
        <w:tc>
          <w:tcPr>
            <w:tcW w:w="243" w:type="pct"/>
            <w:vMerge/>
            <w:tcBorders>
              <w:top w:val="single" w:sz="8" w:space="0" w:color="000000"/>
              <w:left w:val="single" w:sz="8" w:space="0" w:color="000000"/>
              <w:bottom w:val="single" w:sz="8" w:space="0" w:color="000000"/>
              <w:right w:val="single" w:sz="8" w:space="0" w:color="000000"/>
            </w:tcBorders>
            <w:vAlign w:val="center"/>
            <w:hideMark/>
          </w:tcPr>
          <w:p w14:paraId="1272BBDA" w14:textId="77777777" w:rsidR="00596935" w:rsidRPr="00596935" w:rsidRDefault="00596935" w:rsidP="00596935">
            <w:pPr>
              <w:rPr>
                <w:rFonts w:cs="Arial"/>
                <w:color w:val="000000"/>
                <w:sz w:val="18"/>
                <w:szCs w:val="18"/>
                <w:lang w:val="de-AT" w:eastAsia="de-AT"/>
              </w:rPr>
            </w:pPr>
          </w:p>
        </w:tc>
        <w:tc>
          <w:tcPr>
            <w:tcW w:w="274" w:type="pct"/>
            <w:vMerge/>
            <w:tcBorders>
              <w:top w:val="single" w:sz="8" w:space="0" w:color="000000"/>
              <w:left w:val="single" w:sz="8" w:space="0" w:color="000000"/>
              <w:bottom w:val="single" w:sz="8" w:space="0" w:color="000000"/>
              <w:right w:val="single" w:sz="8" w:space="0" w:color="000000"/>
            </w:tcBorders>
            <w:vAlign w:val="center"/>
            <w:hideMark/>
          </w:tcPr>
          <w:p w14:paraId="569D6114" w14:textId="77777777" w:rsidR="00596935" w:rsidRPr="00596935" w:rsidRDefault="00596935" w:rsidP="00596935">
            <w:pPr>
              <w:rPr>
                <w:rFonts w:cs="Arial"/>
                <w:color w:val="000000"/>
                <w:sz w:val="18"/>
                <w:szCs w:val="18"/>
                <w:lang w:val="de-AT" w:eastAsia="de-AT"/>
              </w:rPr>
            </w:pPr>
          </w:p>
        </w:tc>
        <w:tc>
          <w:tcPr>
            <w:tcW w:w="274" w:type="pct"/>
            <w:vMerge/>
            <w:tcBorders>
              <w:top w:val="single" w:sz="8" w:space="0" w:color="000000"/>
              <w:left w:val="single" w:sz="8" w:space="0" w:color="000000"/>
              <w:bottom w:val="single" w:sz="8" w:space="0" w:color="000000"/>
              <w:right w:val="single" w:sz="8" w:space="0" w:color="000000"/>
            </w:tcBorders>
            <w:vAlign w:val="center"/>
            <w:hideMark/>
          </w:tcPr>
          <w:p w14:paraId="6EA20FA9" w14:textId="77777777" w:rsidR="00596935" w:rsidRPr="00596935" w:rsidRDefault="00596935" w:rsidP="00596935">
            <w:pPr>
              <w:rPr>
                <w:rFonts w:cs="Arial"/>
                <w:color w:val="000000"/>
                <w:sz w:val="18"/>
                <w:szCs w:val="18"/>
                <w:lang w:val="de-AT" w:eastAsia="de-AT"/>
              </w:rPr>
            </w:pPr>
          </w:p>
        </w:tc>
        <w:tc>
          <w:tcPr>
            <w:tcW w:w="308" w:type="pct"/>
            <w:vMerge/>
            <w:tcBorders>
              <w:top w:val="single" w:sz="8" w:space="0" w:color="000000"/>
              <w:left w:val="single" w:sz="8" w:space="0" w:color="000000"/>
              <w:bottom w:val="single" w:sz="8" w:space="0" w:color="000000"/>
              <w:right w:val="single" w:sz="8" w:space="0" w:color="000000"/>
            </w:tcBorders>
            <w:vAlign w:val="center"/>
            <w:hideMark/>
          </w:tcPr>
          <w:p w14:paraId="5A3FA69A" w14:textId="77777777" w:rsidR="00596935" w:rsidRPr="00596935" w:rsidRDefault="00596935" w:rsidP="00596935">
            <w:pPr>
              <w:rPr>
                <w:rFonts w:cs="Arial"/>
                <w:color w:val="000000"/>
                <w:sz w:val="18"/>
                <w:szCs w:val="18"/>
                <w:lang w:val="de-AT" w:eastAsia="de-AT"/>
              </w:rPr>
            </w:pPr>
          </w:p>
        </w:tc>
        <w:tc>
          <w:tcPr>
            <w:tcW w:w="308" w:type="pct"/>
            <w:vMerge/>
            <w:tcBorders>
              <w:top w:val="single" w:sz="8" w:space="0" w:color="000000"/>
              <w:left w:val="single" w:sz="8" w:space="0" w:color="000000"/>
              <w:bottom w:val="single" w:sz="8" w:space="0" w:color="000000"/>
              <w:right w:val="single" w:sz="8" w:space="0" w:color="000000"/>
            </w:tcBorders>
            <w:vAlign w:val="center"/>
            <w:hideMark/>
          </w:tcPr>
          <w:p w14:paraId="56E7447A" w14:textId="77777777" w:rsidR="00596935" w:rsidRPr="00596935" w:rsidRDefault="00596935" w:rsidP="00596935">
            <w:pPr>
              <w:rPr>
                <w:rFonts w:cs="Arial"/>
                <w:color w:val="000000"/>
                <w:sz w:val="18"/>
                <w:szCs w:val="18"/>
                <w:lang w:val="de-AT" w:eastAsia="de-AT"/>
              </w:rPr>
            </w:pPr>
          </w:p>
        </w:tc>
        <w:tc>
          <w:tcPr>
            <w:tcW w:w="291" w:type="pct"/>
            <w:tcBorders>
              <w:top w:val="nil"/>
              <w:left w:val="nil"/>
              <w:bottom w:val="single" w:sz="8" w:space="0" w:color="000000"/>
              <w:right w:val="single" w:sz="8" w:space="0" w:color="000000"/>
            </w:tcBorders>
            <w:shd w:val="clear" w:color="000000" w:fill="F2DCDB"/>
            <w:vAlign w:val="center"/>
            <w:hideMark/>
          </w:tcPr>
          <w:p w14:paraId="013AD0B2"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Carina</w:t>
            </w:r>
          </w:p>
        </w:tc>
        <w:tc>
          <w:tcPr>
            <w:tcW w:w="310" w:type="pct"/>
            <w:vMerge/>
            <w:tcBorders>
              <w:top w:val="single" w:sz="8" w:space="0" w:color="000000"/>
              <w:left w:val="single" w:sz="8" w:space="0" w:color="000000"/>
              <w:bottom w:val="single" w:sz="8" w:space="0" w:color="000000"/>
              <w:right w:val="single" w:sz="8" w:space="0" w:color="000000"/>
            </w:tcBorders>
            <w:vAlign w:val="center"/>
            <w:hideMark/>
          </w:tcPr>
          <w:p w14:paraId="4864DE02" w14:textId="77777777" w:rsidR="00596935" w:rsidRPr="00596935" w:rsidRDefault="00596935" w:rsidP="00596935">
            <w:pPr>
              <w:rPr>
                <w:rFonts w:cs="Arial"/>
                <w:color w:val="000000"/>
                <w:sz w:val="18"/>
                <w:szCs w:val="18"/>
                <w:lang w:val="de-AT" w:eastAsia="de-AT"/>
              </w:rPr>
            </w:pPr>
          </w:p>
        </w:tc>
        <w:tc>
          <w:tcPr>
            <w:tcW w:w="394" w:type="pct"/>
            <w:tcBorders>
              <w:top w:val="nil"/>
              <w:left w:val="nil"/>
              <w:bottom w:val="single" w:sz="8" w:space="0" w:color="000000"/>
              <w:right w:val="single" w:sz="8" w:space="0" w:color="000000"/>
            </w:tcBorders>
            <w:shd w:val="clear" w:color="000000" w:fill="F2DCDB"/>
            <w:vAlign w:val="center"/>
            <w:hideMark/>
          </w:tcPr>
          <w:p w14:paraId="60A5C60C"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SOUNDTEC</w:t>
            </w:r>
          </w:p>
        </w:tc>
        <w:tc>
          <w:tcPr>
            <w:tcW w:w="308" w:type="pct"/>
            <w:vMerge/>
            <w:tcBorders>
              <w:top w:val="single" w:sz="8" w:space="0" w:color="000000"/>
              <w:left w:val="single" w:sz="8" w:space="0" w:color="000000"/>
              <w:bottom w:val="single" w:sz="8" w:space="0" w:color="000000"/>
              <w:right w:val="single" w:sz="8" w:space="0" w:color="000000"/>
            </w:tcBorders>
            <w:vAlign w:val="center"/>
            <w:hideMark/>
          </w:tcPr>
          <w:p w14:paraId="52AB9F10" w14:textId="77777777" w:rsidR="00596935" w:rsidRPr="00596935" w:rsidRDefault="00596935" w:rsidP="00596935">
            <w:pPr>
              <w:rPr>
                <w:rFonts w:cs="Arial"/>
                <w:color w:val="000000"/>
                <w:sz w:val="18"/>
                <w:szCs w:val="18"/>
                <w:lang w:val="de-AT" w:eastAsia="de-AT"/>
              </w:rPr>
            </w:pPr>
          </w:p>
        </w:tc>
      </w:tr>
      <w:tr w:rsidR="00596935" w:rsidRPr="00596935" w14:paraId="191F4F50" w14:textId="77777777" w:rsidTr="00596935">
        <w:trPr>
          <w:trHeight w:val="300"/>
        </w:trPr>
        <w:tc>
          <w:tcPr>
            <w:tcW w:w="999" w:type="pct"/>
            <w:tcBorders>
              <w:top w:val="nil"/>
              <w:left w:val="single" w:sz="8" w:space="0" w:color="000000"/>
              <w:bottom w:val="single" w:sz="4" w:space="0" w:color="000000"/>
              <w:right w:val="single" w:sz="8" w:space="0" w:color="000000"/>
            </w:tcBorders>
            <w:shd w:val="clear" w:color="auto" w:fill="auto"/>
            <w:vAlign w:val="center"/>
            <w:hideMark/>
          </w:tcPr>
          <w:p w14:paraId="71E48A0F" w14:textId="77777777" w:rsidR="00596935" w:rsidRPr="00596935" w:rsidRDefault="00596935" w:rsidP="00596935">
            <w:pPr>
              <w:rPr>
                <w:rFonts w:cs="Arial"/>
                <w:b/>
                <w:bCs/>
                <w:sz w:val="18"/>
                <w:szCs w:val="18"/>
                <w:lang w:val="de-AT" w:eastAsia="de-AT"/>
              </w:rPr>
            </w:pPr>
            <w:r w:rsidRPr="00596935">
              <w:rPr>
                <w:rFonts w:cs="Arial"/>
                <w:b/>
                <w:bCs/>
                <w:sz w:val="18"/>
                <w:szCs w:val="18"/>
                <w:lang w:val="de-AT" w:eastAsia="de-AT"/>
              </w:rPr>
              <w:t>taste disturbances</w:t>
            </w:r>
          </w:p>
        </w:tc>
        <w:tc>
          <w:tcPr>
            <w:tcW w:w="267" w:type="pct"/>
            <w:tcBorders>
              <w:top w:val="nil"/>
              <w:left w:val="nil"/>
              <w:bottom w:val="single" w:sz="4" w:space="0" w:color="000000"/>
              <w:right w:val="single" w:sz="8" w:space="0" w:color="000000"/>
            </w:tcBorders>
            <w:shd w:val="clear" w:color="auto" w:fill="auto"/>
            <w:vAlign w:val="center"/>
            <w:hideMark/>
          </w:tcPr>
          <w:p w14:paraId="679165FF"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10</w:t>
            </w:r>
          </w:p>
        </w:tc>
        <w:tc>
          <w:tcPr>
            <w:tcW w:w="256" w:type="pct"/>
            <w:tcBorders>
              <w:top w:val="nil"/>
              <w:left w:val="nil"/>
              <w:bottom w:val="single" w:sz="4" w:space="0" w:color="000000"/>
              <w:right w:val="single" w:sz="8" w:space="0" w:color="000000"/>
            </w:tcBorders>
            <w:shd w:val="clear" w:color="auto" w:fill="auto"/>
            <w:vAlign w:val="center"/>
            <w:hideMark/>
          </w:tcPr>
          <w:p w14:paraId="5002CDEA"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56" w:type="pct"/>
            <w:tcBorders>
              <w:top w:val="nil"/>
              <w:left w:val="nil"/>
              <w:bottom w:val="single" w:sz="4" w:space="0" w:color="000000"/>
              <w:right w:val="single" w:sz="8" w:space="0" w:color="000000"/>
            </w:tcBorders>
            <w:shd w:val="clear" w:color="auto" w:fill="auto"/>
            <w:vAlign w:val="center"/>
            <w:hideMark/>
          </w:tcPr>
          <w:p w14:paraId="16A26187"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0</w:t>
            </w:r>
          </w:p>
        </w:tc>
        <w:tc>
          <w:tcPr>
            <w:tcW w:w="256" w:type="pct"/>
            <w:tcBorders>
              <w:top w:val="nil"/>
              <w:left w:val="nil"/>
              <w:bottom w:val="single" w:sz="4" w:space="0" w:color="000000"/>
              <w:right w:val="single" w:sz="8" w:space="0" w:color="000000"/>
            </w:tcBorders>
            <w:shd w:val="clear" w:color="auto" w:fill="auto"/>
            <w:vAlign w:val="center"/>
            <w:hideMark/>
          </w:tcPr>
          <w:p w14:paraId="6E843183"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1</w:t>
            </w:r>
          </w:p>
        </w:tc>
        <w:tc>
          <w:tcPr>
            <w:tcW w:w="256" w:type="pct"/>
            <w:tcBorders>
              <w:top w:val="nil"/>
              <w:left w:val="nil"/>
              <w:bottom w:val="single" w:sz="4" w:space="0" w:color="000000"/>
              <w:right w:val="single" w:sz="8" w:space="0" w:color="000000"/>
            </w:tcBorders>
            <w:shd w:val="clear" w:color="auto" w:fill="auto"/>
            <w:vAlign w:val="center"/>
            <w:hideMark/>
          </w:tcPr>
          <w:p w14:paraId="606C54A4"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24</w:t>
            </w:r>
          </w:p>
        </w:tc>
        <w:tc>
          <w:tcPr>
            <w:tcW w:w="243" w:type="pct"/>
            <w:tcBorders>
              <w:top w:val="nil"/>
              <w:left w:val="nil"/>
              <w:bottom w:val="single" w:sz="4" w:space="0" w:color="000000"/>
              <w:right w:val="single" w:sz="8" w:space="0" w:color="000000"/>
            </w:tcBorders>
            <w:shd w:val="clear" w:color="000000" w:fill="D9D9D9"/>
            <w:vAlign w:val="center"/>
            <w:hideMark/>
          </w:tcPr>
          <w:p w14:paraId="36F800B4"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4</w:t>
            </w:r>
          </w:p>
        </w:tc>
        <w:tc>
          <w:tcPr>
            <w:tcW w:w="274" w:type="pct"/>
            <w:tcBorders>
              <w:top w:val="nil"/>
              <w:left w:val="nil"/>
              <w:bottom w:val="single" w:sz="4" w:space="0" w:color="000000"/>
              <w:right w:val="single" w:sz="8" w:space="0" w:color="000000"/>
            </w:tcBorders>
            <w:shd w:val="clear" w:color="000000" w:fill="D9D9D9"/>
            <w:vAlign w:val="center"/>
            <w:hideMark/>
          </w:tcPr>
          <w:p w14:paraId="633FCD29"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111</w:t>
            </w:r>
          </w:p>
        </w:tc>
        <w:tc>
          <w:tcPr>
            <w:tcW w:w="274" w:type="pct"/>
            <w:tcBorders>
              <w:top w:val="nil"/>
              <w:left w:val="nil"/>
              <w:bottom w:val="single" w:sz="4" w:space="0" w:color="000000"/>
              <w:right w:val="single" w:sz="8" w:space="0" w:color="000000"/>
            </w:tcBorders>
            <w:shd w:val="clear" w:color="000000" w:fill="D9D9D9"/>
            <w:noWrap/>
            <w:vAlign w:val="center"/>
            <w:hideMark/>
          </w:tcPr>
          <w:p w14:paraId="21AE7A95"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39</w:t>
            </w:r>
          </w:p>
        </w:tc>
        <w:tc>
          <w:tcPr>
            <w:tcW w:w="308" w:type="pct"/>
            <w:tcBorders>
              <w:top w:val="nil"/>
              <w:left w:val="nil"/>
              <w:bottom w:val="single" w:sz="4" w:space="0" w:color="000000"/>
              <w:right w:val="single" w:sz="8" w:space="0" w:color="000000"/>
            </w:tcBorders>
            <w:shd w:val="clear" w:color="auto" w:fill="auto"/>
            <w:noWrap/>
            <w:vAlign w:val="center"/>
            <w:hideMark/>
          </w:tcPr>
          <w:p w14:paraId="3DA1740E"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35,1</w:t>
            </w:r>
          </w:p>
        </w:tc>
        <w:tc>
          <w:tcPr>
            <w:tcW w:w="308" w:type="pct"/>
            <w:tcBorders>
              <w:top w:val="nil"/>
              <w:left w:val="nil"/>
              <w:bottom w:val="single" w:sz="4" w:space="0" w:color="000000"/>
              <w:right w:val="single" w:sz="8" w:space="0" w:color="000000"/>
            </w:tcBorders>
            <w:shd w:val="clear" w:color="auto" w:fill="auto"/>
            <w:noWrap/>
            <w:vAlign w:val="center"/>
            <w:hideMark/>
          </w:tcPr>
          <w:p w14:paraId="75EE1353"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22,2</w:t>
            </w:r>
          </w:p>
        </w:tc>
        <w:tc>
          <w:tcPr>
            <w:tcW w:w="291" w:type="pct"/>
            <w:tcBorders>
              <w:top w:val="nil"/>
              <w:left w:val="nil"/>
              <w:bottom w:val="single" w:sz="4" w:space="0" w:color="000000"/>
              <w:right w:val="single" w:sz="8" w:space="0" w:color="000000"/>
            </w:tcBorders>
            <w:shd w:val="clear" w:color="auto" w:fill="auto"/>
            <w:noWrap/>
            <w:vAlign w:val="center"/>
            <w:hideMark/>
          </w:tcPr>
          <w:p w14:paraId="496859FA"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 </w:t>
            </w:r>
          </w:p>
        </w:tc>
        <w:tc>
          <w:tcPr>
            <w:tcW w:w="310" w:type="pct"/>
            <w:tcBorders>
              <w:top w:val="nil"/>
              <w:left w:val="nil"/>
              <w:bottom w:val="single" w:sz="4" w:space="0" w:color="000000"/>
              <w:right w:val="single" w:sz="8" w:space="0" w:color="000000"/>
            </w:tcBorders>
            <w:shd w:val="clear" w:color="auto" w:fill="auto"/>
            <w:noWrap/>
            <w:vAlign w:val="center"/>
            <w:hideMark/>
          </w:tcPr>
          <w:p w14:paraId="4350AB5B"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 </w:t>
            </w:r>
          </w:p>
        </w:tc>
        <w:tc>
          <w:tcPr>
            <w:tcW w:w="394" w:type="pct"/>
            <w:tcBorders>
              <w:top w:val="nil"/>
              <w:left w:val="nil"/>
              <w:bottom w:val="single" w:sz="4" w:space="0" w:color="000000"/>
              <w:right w:val="single" w:sz="8" w:space="0" w:color="000000"/>
            </w:tcBorders>
            <w:shd w:val="clear" w:color="auto" w:fill="auto"/>
            <w:noWrap/>
            <w:vAlign w:val="center"/>
            <w:hideMark/>
          </w:tcPr>
          <w:p w14:paraId="08CA8C3E"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2</w:t>
            </w:r>
          </w:p>
        </w:tc>
        <w:tc>
          <w:tcPr>
            <w:tcW w:w="308" w:type="pct"/>
            <w:tcBorders>
              <w:top w:val="nil"/>
              <w:left w:val="nil"/>
              <w:bottom w:val="single" w:sz="4" w:space="0" w:color="000000"/>
              <w:right w:val="single" w:sz="8" w:space="0" w:color="000000"/>
            </w:tcBorders>
            <w:shd w:val="clear" w:color="auto" w:fill="auto"/>
            <w:noWrap/>
            <w:vAlign w:val="bottom"/>
            <w:hideMark/>
          </w:tcPr>
          <w:p w14:paraId="5D72D341"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1,941748</w:t>
            </w:r>
          </w:p>
        </w:tc>
      </w:tr>
      <w:tr w:rsidR="00596935" w:rsidRPr="00596935" w14:paraId="18ADBA48" w14:textId="77777777" w:rsidTr="00596935">
        <w:trPr>
          <w:trHeight w:val="300"/>
        </w:trPr>
        <w:tc>
          <w:tcPr>
            <w:tcW w:w="999" w:type="pct"/>
            <w:tcBorders>
              <w:top w:val="nil"/>
              <w:left w:val="single" w:sz="8" w:space="0" w:color="000000"/>
              <w:bottom w:val="single" w:sz="4" w:space="0" w:color="000000"/>
              <w:right w:val="single" w:sz="8" w:space="0" w:color="000000"/>
            </w:tcBorders>
            <w:shd w:val="clear" w:color="auto" w:fill="auto"/>
            <w:vAlign w:val="center"/>
            <w:hideMark/>
          </w:tcPr>
          <w:p w14:paraId="61327CB6" w14:textId="77777777" w:rsidR="00596935" w:rsidRPr="00596935" w:rsidRDefault="00596935" w:rsidP="00596935">
            <w:pPr>
              <w:rPr>
                <w:rFonts w:cs="Arial"/>
                <w:b/>
                <w:bCs/>
                <w:sz w:val="18"/>
                <w:szCs w:val="18"/>
                <w:lang w:val="de-AT" w:eastAsia="de-AT"/>
              </w:rPr>
            </w:pPr>
            <w:r w:rsidRPr="00596935">
              <w:rPr>
                <w:rFonts w:cs="Arial"/>
                <w:b/>
                <w:bCs/>
                <w:sz w:val="18"/>
                <w:szCs w:val="18"/>
                <w:lang w:val="de-AT" w:eastAsia="de-AT"/>
              </w:rPr>
              <w:t>middle ear effusion</w:t>
            </w:r>
          </w:p>
        </w:tc>
        <w:tc>
          <w:tcPr>
            <w:tcW w:w="267" w:type="pct"/>
            <w:tcBorders>
              <w:top w:val="nil"/>
              <w:left w:val="nil"/>
              <w:bottom w:val="single" w:sz="4" w:space="0" w:color="000000"/>
              <w:right w:val="single" w:sz="8" w:space="0" w:color="000000"/>
            </w:tcBorders>
            <w:shd w:val="clear" w:color="auto" w:fill="auto"/>
            <w:vAlign w:val="center"/>
            <w:hideMark/>
          </w:tcPr>
          <w:p w14:paraId="68E74B59"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56" w:type="pct"/>
            <w:tcBorders>
              <w:top w:val="nil"/>
              <w:left w:val="nil"/>
              <w:bottom w:val="single" w:sz="4" w:space="0" w:color="000000"/>
              <w:right w:val="single" w:sz="8" w:space="0" w:color="000000"/>
            </w:tcBorders>
            <w:shd w:val="clear" w:color="auto" w:fill="auto"/>
            <w:vAlign w:val="center"/>
            <w:hideMark/>
          </w:tcPr>
          <w:p w14:paraId="0C42917E"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56" w:type="pct"/>
            <w:tcBorders>
              <w:top w:val="nil"/>
              <w:left w:val="nil"/>
              <w:bottom w:val="single" w:sz="4" w:space="0" w:color="000000"/>
              <w:right w:val="single" w:sz="8" w:space="0" w:color="000000"/>
            </w:tcBorders>
            <w:shd w:val="clear" w:color="auto" w:fill="auto"/>
            <w:vAlign w:val="center"/>
            <w:hideMark/>
          </w:tcPr>
          <w:p w14:paraId="70D4416C"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56" w:type="pct"/>
            <w:tcBorders>
              <w:top w:val="nil"/>
              <w:left w:val="nil"/>
              <w:bottom w:val="single" w:sz="4" w:space="0" w:color="000000"/>
              <w:right w:val="single" w:sz="8" w:space="0" w:color="000000"/>
            </w:tcBorders>
            <w:shd w:val="clear" w:color="auto" w:fill="auto"/>
            <w:vAlign w:val="center"/>
            <w:hideMark/>
          </w:tcPr>
          <w:p w14:paraId="19DEC459"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56" w:type="pct"/>
            <w:tcBorders>
              <w:top w:val="nil"/>
              <w:left w:val="nil"/>
              <w:bottom w:val="single" w:sz="4" w:space="0" w:color="000000"/>
              <w:right w:val="single" w:sz="8" w:space="0" w:color="000000"/>
            </w:tcBorders>
            <w:shd w:val="clear" w:color="auto" w:fill="auto"/>
            <w:vAlign w:val="center"/>
            <w:hideMark/>
          </w:tcPr>
          <w:p w14:paraId="121F4468"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18</w:t>
            </w:r>
          </w:p>
        </w:tc>
        <w:tc>
          <w:tcPr>
            <w:tcW w:w="243" w:type="pct"/>
            <w:tcBorders>
              <w:top w:val="nil"/>
              <w:left w:val="nil"/>
              <w:bottom w:val="single" w:sz="4" w:space="0" w:color="000000"/>
              <w:right w:val="single" w:sz="8" w:space="0" w:color="000000"/>
            </w:tcBorders>
            <w:shd w:val="clear" w:color="000000" w:fill="D9D9D9"/>
            <w:vAlign w:val="center"/>
            <w:hideMark/>
          </w:tcPr>
          <w:p w14:paraId="548FF47D"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1</w:t>
            </w:r>
          </w:p>
        </w:tc>
        <w:tc>
          <w:tcPr>
            <w:tcW w:w="274" w:type="pct"/>
            <w:tcBorders>
              <w:top w:val="nil"/>
              <w:left w:val="nil"/>
              <w:bottom w:val="single" w:sz="4" w:space="0" w:color="000000"/>
              <w:right w:val="single" w:sz="8" w:space="0" w:color="000000"/>
            </w:tcBorders>
            <w:shd w:val="clear" w:color="000000" w:fill="D9D9D9"/>
            <w:vAlign w:val="center"/>
            <w:hideMark/>
          </w:tcPr>
          <w:p w14:paraId="31A34DC8"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57</w:t>
            </w:r>
          </w:p>
        </w:tc>
        <w:tc>
          <w:tcPr>
            <w:tcW w:w="274" w:type="pct"/>
            <w:tcBorders>
              <w:top w:val="nil"/>
              <w:left w:val="nil"/>
              <w:bottom w:val="single" w:sz="4" w:space="0" w:color="000000"/>
              <w:right w:val="single" w:sz="8" w:space="0" w:color="000000"/>
            </w:tcBorders>
            <w:shd w:val="clear" w:color="000000" w:fill="D9D9D9"/>
            <w:noWrap/>
            <w:vAlign w:val="center"/>
            <w:hideMark/>
          </w:tcPr>
          <w:p w14:paraId="60EBBA7C"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18</w:t>
            </w:r>
          </w:p>
        </w:tc>
        <w:tc>
          <w:tcPr>
            <w:tcW w:w="308" w:type="pct"/>
            <w:tcBorders>
              <w:top w:val="nil"/>
              <w:left w:val="nil"/>
              <w:bottom w:val="single" w:sz="4" w:space="0" w:color="000000"/>
              <w:right w:val="single" w:sz="8" w:space="0" w:color="000000"/>
            </w:tcBorders>
            <w:shd w:val="clear" w:color="auto" w:fill="auto"/>
            <w:noWrap/>
            <w:vAlign w:val="center"/>
            <w:hideMark/>
          </w:tcPr>
          <w:p w14:paraId="4E5E162A"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31,6</w:t>
            </w:r>
          </w:p>
        </w:tc>
        <w:tc>
          <w:tcPr>
            <w:tcW w:w="308" w:type="pct"/>
            <w:tcBorders>
              <w:top w:val="nil"/>
              <w:left w:val="nil"/>
              <w:bottom w:val="single" w:sz="4" w:space="0" w:color="000000"/>
              <w:right w:val="single" w:sz="8" w:space="0" w:color="000000"/>
            </w:tcBorders>
            <w:shd w:val="clear" w:color="auto" w:fill="auto"/>
            <w:noWrap/>
            <w:vAlign w:val="center"/>
            <w:hideMark/>
          </w:tcPr>
          <w:p w14:paraId="0A853169"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10,2</w:t>
            </w:r>
          </w:p>
        </w:tc>
        <w:tc>
          <w:tcPr>
            <w:tcW w:w="291" w:type="pct"/>
            <w:tcBorders>
              <w:top w:val="nil"/>
              <w:left w:val="nil"/>
              <w:bottom w:val="single" w:sz="4" w:space="0" w:color="000000"/>
              <w:right w:val="single" w:sz="8" w:space="0" w:color="000000"/>
            </w:tcBorders>
            <w:shd w:val="clear" w:color="auto" w:fill="auto"/>
            <w:noWrap/>
            <w:vAlign w:val="center"/>
            <w:hideMark/>
          </w:tcPr>
          <w:p w14:paraId="32C54F0E"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3</w:t>
            </w:r>
          </w:p>
        </w:tc>
        <w:tc>
          <w:tcPr>
            <w:tcW w:w="310" w:type="pct"/>
            <w:tcBorders>
              <w:top w:val="nil"/>
              <w:left w:val="nil"/>
              <w:bottom w:val="single" w:sz="4" w:space="0" w:color="000000"/>
              <w:right w:val="single" w:sz="8" w:space="0" w:color="000000"/>
            </w:tcBorders>
            <w:shd w:val="clear" w:color="auto" w:fill="auto"/>
            <w:noWrap/>
            <w:vAlign w:val="center"/>
            <w:hideMark/>
          </w:tcPr>
          <w:p w14:paraId="5676919E"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15</w:t>
            </w:r>
          </w:p>
        </w:tc>
        <w:tc>
          <w:tcPr>
            <w:tcW w:w="394" w:type="pct"/>
            <w:tcBorders>
              <w:top w:val="nil"/>
              <w:left w:val="nil"/>
              <w:bottom w:val="single" w:sz="4" w:space="0" w:color="000000"/>
              <w:right w:val="single" w:sz="8" w:space="0" w:color="000000"/>
            </w:tcBorders>
            <w:shd w:val="clear" w:color="auto" w:fill="auto"/>
            <w:noWrap/>
            <w:vAlign w:val="center"/>
            <w:hideMark/>
          </w:tcPr>
          <w:p w14:paraId="1DBD49D2"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1</w:t>
            </w:r>
          </w:p>
        </w:tc>
        <w:tc>
          <w:tcPr>
            <w:tcW w:w="308" w:type="pct"/>
            <w:tcBorders>
              <w:top w:val="nil"/>
              <w:left w:val="nil"/>
              <w:bottom w:val="single" w:sz="4" w:space="0" w:color="000000"/>
              <w:right w:val="single" w:sz="8" w:space="0" w:color="000000"/>
            </w:tcBorders>
            <w:shd w:val="clear" w:color="auto" w:fill="auto"/>
            <w:noWrap/>
            <w:vAlign w:val="bottom"/>
            <w:hideMark/>
          </w:tcPr>
          <w:p w14:paraId="01C5B497"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 </w:t>
            </w:r>
          </w:p>
        </w:tc>
      </w:tr>
      <w:tr w:rsidR="00596935" w:rsidRPr="00596935" w14:paraId="300D69D2" w14:textId="77777777" w:rsidTr="00596935">
        <w:trPr>
          <w:trHeight w:val="300"/>
        </w:trPr>
        <w:tc>
          <w:tcPr>
            <w:tcW w:w="999" w:type="pct"/>
            <w:tcBorders>
              <w:top w:val="nil"/>
              <w:left w:val="single" w:sz="8" w:space="0" w:color="000000"/>
              <w:bottom w:val="single" w:sz="4" w:space="0" w:color="000000"/>
              <w:right w:val="single" w:sz="8" w:space="0" w:color="000000"/>
            </w:tcBorders>
            <w:shd w:val="clear" w:color="auto" w:fill="auto"/>
            <w:vAlign w:val="center"/>
            <w:hideMark/>
          </w:tcPr>
          <w:p w14:paraId="5BD02330" w14:textId="77777777" w:rsidR="00596935" w:rsidRPr="00596935" w:rsidRDefault="00596935" w:rsidP="00596935">
            <w:pPr>
              <w:rPr>
                <w:rFonts w:cs="Arial"/>
                <w:b/>
                <w:bCs/>
                <w:sz w:val="18"/>
                <w:szCs w:val="18"/>
                <w:lang w:val="de-AT" w:eastAsia="de-AT"/>
              </w:rPr>
            </w:pPr>
            <w:r w:rsidRPr="00596935">
              <w:rPr>
                <w:rFonts w:cs="Arial"/>
                <w:b/>
                <w:bCs/>
                <w:sz w:val="18"/>
                <w:szCs w:val="18"/>
                <w:lang w:val="de-AT" w:eastAsia="de-AT"/>
              </w:rPr>
              <w:t>pain</w:t>
            </w:r>
          </w:p>
        </w:tc>
        <w:tc>
          <w:tcPr>
            <w:tcW w:w="267" w:type="pct"/>
            <w:tcBorders>
              <w:top w:val="nil"/>
              <w:left w:val="nil"/>
              <w:bottom w:val="single" w:sz="4" w:space="0" w:color="000000"/>
              <w:right w:val="single" w:sz="8" w:space="0" w:color="000000"/>
            </w:tcBorders>
            <w:shd w:val="clear" w:color="auto" w:fill="auto"/>
            <w:vAlign w:val="center"/>
            <w:hideMark/>
          </w:tcPr>
          <w:p w14:paraId="5AE2E0C5"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56" w:type="pct"/>
            <w:tcBorders>
              <w:top w:val="nil"/>
              <w:left w:val="nil"/>
              <w:bottom w:val="single" w:sz="4" w:space="0" w:color="000000"/>
              <w:right w:val="single" w:sz="8" w:space="0" w:color="000000"/>
            </w:tcBorders>
            <w:shd w:val="clear" w:color="auto" w:fill="auto"/>
            <w:vAlign w:val="center"/>
            <w:hideMark/>
          </w:tcPr>
          <w:p w14:paraId="4CD5DAD4"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6</w:t>
            </w:r>
          </w:p>
        </w:tc>
        <w:tc>
          <w:tcPr>
            <w:tcW w:w="256" w:type="pct"/>
            <w:tcBorders>
              <w:top w:val="nil"/>
              <w:left w:val="nil"/>
              <w:bottom w:val="single" w:sz="4" w:space="0" w:color="000000"/>
              <w:right w:val="single" w:sz="8" w:space="0" w:color="000000"/>
            </w:tcBorders>
            <w:shd w:val="clear" w:color="auto" w:fill="auto"/>
            <w:vAlign w:val="center"/>
            <w:hideMark/>
          </w:tcPr>
          <w:p w14:paraId="4338DB1F"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56" w:type="pct"/>
            <w:tcBorders>
              <w:top w:val="nil"/>
              <w:left w:val="nil"/>
              <w:bottom w:val="single" w:sz="4" w:space="0" w:color="000000"/>
              <w:right w:val="single" w:sz="8" w:space="0" w:color="000000"/>
            </w:tcBorders>
            <w:shd w:val="clear" w:color="auto" w:fill="auto"/>
            <w:vAlign w:val="center"/>
            <w:hideMark/>
          </w:tcPr>
          <w:p w14:paraId="773B0182"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56" w:type="pct"/>
            <w:tcBorders>
              <w:top w:val="nil"/>
              <w:left w:val="nil"/>
              <w:bottom w:val="single" w:sz="4" w:space="0" w:color="000000"/>
              <w:right w:val="single" w:sz="8" w:space="0" w:color="000000"/>
            </w:tcBorders>
            <w:shd w:val="clear" w:color="auto" w:fill="auto"/>
            <w:vAlign w:val="center"/>
            <w:hideMark/>
          </w:tcPr>
          <w:p w14:paraId="2DB5E2D8"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12</w:t>
            </w:r>
          </w:p>
        </w:tc>
        <w:tc>
          <w:tcPr>
            <w:tcW w:w="243" w:type="pct"/>
            <w:tcBorders>
              <w:top w:val="nil"/>
              <w:left w:val="nil"/>
              <w:bottom w:val="single" w:sz="4" w:space="0" w:color="000000"/>
              <w:right w:val="single" w:sz="8" w:space="0" w:color="000000"/>
            </w:tcBorders>
            <w:shd w:val="clear" w:color="000000" w:fill="D9D9D9"/>
            <w:vAlign w:val="center"/>
            <w:hideMark/>
          </w:tcPr>
          <w:p w14:paraId="35CC53CF"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2</w:t>
            </w:r>
          </w:p>
        </w:tc>
        <w:tc>
          <w:tcPr>
            <w:tcW w:w="274" w:type="pct"/>
            <w:tcBorders>
              <w:top w:val="nil"/>
              <w:left w:val="nil"/>
              <w:bottom w:val="single" w:sz="4" w:space="0" w:color="000000"/>
              <w:right w:val="single" w:sz="8" w:space="0" w:color="000000"/>
            </w:tcBorders>
            <w:shd w:val="clear" w:color="000000" w:fill="D9D9D9"/>
            <w:vAlign w:val="center"/>
            <w:hideMark/>
          </w:tcPr>
          <w:p w14:paraId="7AB7EFC8"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64</w:t>
            </w:r>
          </w:p>
        </w:tc>
        <w:tc>
          <w:tcPr>
            <w:tcW w:w="274" w:type="pct"/>
            <w:tcBorders>
              <w:top w:val="nil"/>
              <w:left w:val="nil"/>
              <w:bottom w:val="single" w:sz="4" w:space="0" w:color="000000"/>
              <w:right w:val="single" w:sz="8" w:space="0" w:color="000000"/>
            </w:tcBorders>
            <w:shd w:val="clear" w:color="000000" w:fill="D9D9D9"/>
            <w:noWrap/>
            <w:vAlign w:val="center"/>
            <w:hideMark/>
          </w:tcPr>
          <w:p w14:paraId="7D76C5B6"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18</w:t>
            </w:r>
          </w:p>
        </w:tc>
        <w:tc>
          <w:tcPr>
            <w:tcW w:w="308" w:type="pct"/>
            <w:tcBorders>
              <w:top w:val="nil"/>
              <w:left w:val="nil"/>
              <w:bottom w:val="single" w:sz="4" w:space="0" w:color="000000"/>
              <w:right w:val="single" w:sz="8" w:space="0" w:color="000000"/>
            </w:tcBorders>
            <w:shd w:val="clear" w:color="auto" w:fill="auto"/>
            <w:noWrap/>
            <w:vAlign w:val="center"/>
            <w:hideMark/>
          </w:tcPr>
          <w:p w14:paraId="508BD346"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28,1</w:t>
            </w:r>
          </w:p>
        </w:tc>
        <w:tc>
          <w:tcPr>
            <w:tcW w:w="308" w:type="pct"/>
            <w:tcBorders>
              <w:top w:val="nil"/>
              <w:left w:val="nil"/>
              <w:bottom w:val="single" w:sz="4" w:space="0" w:color="000000"/>
              <w:right w:val="single" w:sz="8" w:space="0" w:color="000000"/>
            </w:tcBorders>
            <w:shd w:val="clear" w:color="auto" w:fill="auto"/>
            <w:noWrap/>
            <w:vAlign w:val="center"/>
            <w:hideMark/>
          </w:tcPr>
          <w:p w14:paraId="1F34FD86"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10,2</w:t>
            </w:r>
          </w:p>
        </w:tc>
        <w:tc>
          <w:tcPr>
            <w:tcW w:w="291" w:type="pct"/>
            <w:tcBorders>
              <w:top w:val="nil"/>
              <w:left w:val="nil"/>
              <w:bottom w:val="single" w:sz="4" w:space="0" w:color="000000"/>
              <w:right w:val="single" w:sz="8" w:space="0" w:color="000000"/>
            </w:tcBorders>
            <w:shd w:val="clear" w:color="auto" w:fill="auto"/>
            <w:noWrap/>
            <w:vAlign w:val="center"/>
            <w:hideMark/>
          </w:tcPr>
          <w:p w14:paraId="4EEEB008"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 </w:t>
            </w:r>
          </w:p>
        </w:tc>
        <w:tc>
          <w:tcPr>
            <w:tcW w:w="310" w:type="pct"/>
            <w:tcBorders>
              <w:top w:val="nil"/>
              <w:left w:val="nil"/>
              <w:bottom w:val="single" w:sz="4" w:space="0" w:color="000000"/>
              <w:right w:val="single" w:sz="8" w:space="0" w:color="000000"/>
            </w:tcBorders>
            <w:shd w:val="clear" w:color="auto" w:fill="auto"/>
            <w:noWrap/>
            <w:vAlign w:val="center"/>
            <w:hideMark/>
          </w:tcPr>
          <w:p w14:paraId="35E3FF25"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 </w:t>
            </w:r>
          </w:p>
        </w:tc>
        <w:tc>
          <w:tcPr>
            <w:tcW w:w="394" w:type="pct"/>
            <w:tcBorders>
              <w:top w:val="nil"/>
              <w:left w:val="nil"/>
              <w:bottom w:val="single" w:sz="4" w:space="0" w:color="000000"/>
              <w:right w:val="single" w:sz="8" w:space="0" w:color="000000"/>
            </w:tcBorders>
            <w:shd w:val="clear" w:color="auto" w:fill="auto"/>
            <w:noWrap/>
            <w:vAlign w:val="center"/>
            <w:hideMark/>
          </w:tcPr>
          <w:p w14:paraId="06BFF8ED"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2</w:t>
            </w:r>
          </w:p>
        </w:tc>
        <w:tc>
          <w:tcPr>
            <w:tcW w:w="308" w:type="pct"/>
            <w:tcBorders>
              <w:top w:val="nil"/>
              <w:left w:val="nil"/>
              <w:bottom w:val="single" w:sz="4" w:space="0" w:color="000000"/>
              <w:right w:val="single" w:sz="8" w:space="0" w:color="000000"/>
            </w:tcBorders>
            <w:shd w:val="clear" w:color="auto" w:fill="auto"/>
            <w:noWrap/>
            <w:vAlign w:val="bottom"/>
            <w:hideMark/>
          </w:tcPr>
          <w:p w14:paraId="0DBD3E58"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 </w:t>
            </w:r>
          </w:p>
        </w:tc>
      </w:tr>
      <w:tr w:rsidR="00596935" w:rsidRPr="00596935" w14:paraId="27740453" w14:textId="77777777" w:rsidTr="00596935">
        <w:trPr>
          <w:trHeight w:val="300"/>
        </w:trPr>
        <w:tc>
          <w:tcPr>
            <w:tcW w:w="999" w:type="pct"/>
            <w:tcBorders>
              <w:top w:val="nil"/>
              <w:left w:val="single" w:sz="8" w:space="0" w:color="000000"/>
              <w:bottom w:val="single" w:sz="4" w:space="0" w:color="000000"/>
              <w:right w:val="single" w:sz="8" w:space="0" w:color="000000"/>
            </w:tcBorders>
            <w:shd w:val="clear" w:color="auto" w:fill="auto"/>
            <w:vAlign w:val="center"/>
            <w:hideMark/>
          </w:tcPr>
          <w:p w14:paraId="0DA16B71" w14:textId="77777777" w:rsidR="00596935" w:rsidRPr="00596935" w:rsidRDefault="00596935" w:rsidP="00596935">
            <w:pPr>
              <w:rPr>
                <w:rFonts w:cs="Arial"/>
                <w:b/>
                <w:bCs/>
                <w:sz w:val="18"/>
                <w:szCs w:val="18"/>
                <w:lang w:val="de-AT" w:eastAsia="de-AT"/>
              </w:rPr>
            </w:pPr>
            <w:r w:rsidRPr="00596935">
              <w:rPr>
                <w:rFonts w:cs="Arial"/>
                <w:b/>
                <w:bCs/>
                <w:sz w:val="18"/>
                <w:szCs w:val="18"/>
                <w:lang w:val="de-AT" w:eastAsia="de-AT"/>
              </w:rPr>
              <w:t>vertigo / dizziness</w:t>
            </w:r>
          </w:p>
        </w:tc>
        <w:tc>
          <w:tcPr>
            <w:tcW w:w="267" w:type="pct"/>
            <w:tcBorders>
              <w:top w:val="nil"/>
              <w:left w:val="nil"/>
              <w:bottom w:val="single" w:sz="4" w:space="0" w:color="000000"/>
              <w:right w:val="single" w:sz="8" w:space="0" w:color="000000"/>
            </w:tcBorders>
            <w:shd w:val="clear" w:color="auto" w:fill="auto"/>
            <w:vAlign w:val="center"/>
            <w:hideMark/>
          </w:tcPr>
          <w:p w14:paraId="04A392D7"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56" w:type="pct"/>
            <w:tcBorders>
              <w:top w:val="nil"/>
              <w:left w:val="nil"/>
              <w:bottom w:val="single" w:sz="4" w:space="0" w:color="000000"/>
              <w:right w:val="single" w:sz="8" w:space="0" w:color="000000"/>
            </w:tcBorders>
            <w:shd w:val="clear" w:color="auto" w:fill="auto"/>
            <w:vAlign w:val="center"/>
            <w:hideMark/>
          </w:tcPr>
          <w:p w14:paraId="1244EBD8"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56" w:type="pct"/>
            <w:tcBorders>
              <w:top w:val="nil"/>
              <w:left w:val="nil"/>
              <w:bottom w:val="single" w:sz="4" w:space="0" w:color="000000"/>
              <w:right w:val="single" w:sz="8" w:space="0" w:color="000000"/>
            </w:tcBorders>
            <w:shd w:val="clear" w:color="auto" w:fill="auto"/>
            <w:vAlign w:val="center"/>
            <w:hideMark/>
          </w:tcPr>
          <w:p w14:paraId="7918779C"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56" w:type="pct"/>
            <w:tcBorders>
              <w:top w:val="nil"/>
              <w:left w:val="nil"/>
              <w:bottom w:val="single" w:sz="4" w:space="0" w:color="000000"/>
              <w:right w:val="single" w:sz="8" w:space="0" w:color="000000"/>
            </w:tcBorders>
            <w:shd w:val="clear" w:color="auto" w:fill="auto"/>
            <w:vAlign w:val="center"/>
            <w:hideMark/>
          </w:tcPr>
          <w:p w14:paraId="3AB19A14"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0</w:t>
            </w:r>
          </w:p>
        </w:tc>
        <w:tc>
          <w:tcPr>
            <w:tcW w:w="256" w:type="pct"/>
            <w:tcBorders>
              <w:top w:val="nil"/>
              <w:left w:val="nil"/>
              <w:bottom w:val="single" w:sz="4" w:space="0" w:color="000000"/>
              <w:right w:val="single" w:sz="8" w:space="0" w:color="000000"/>
            </w:tcBorders>
            <w:shd w:val="clear" w:color="auto" w:fill="auto"/>
            <w:vAlign w:val="center"/>
            <w:hideMark/>
          </w:tcPr>
          <w:p w14:paraId="4A70B53A"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11</w:t>
            </w:r>
          </w:p>
        </w:tc>
        <w:tc>
          <w:tcPr>
            <w:tcW w:w="243" w:type="pct"/>
            <w:tcBorders>
              <w:top w:val="nil"/>
              <w:left w:val="nil"/>
              <w:bottom w:val="single" w:sz="4" w:space="0" w:color="000000"/>
              <w:right w:val="single" w:sz="8" w:space="0" w:color="000000"/>
            </w:tcBorders>
            <w:shd w:val="clear" w:color="000000" w:fill="D9D9D9"/>
            <w:vAlign w:val="center"/>
            <w:hideMark/>
          </w:tcPr>
          <w:p w14:paraId="60E5423E"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2</w:t>
            </w:r>
          </w:p>
        </w:tc>
        <w:tc>
          <w:tcPr>
            <w:tcW w:w="274" w:type="pct"/>
            <w:tcBorders>
              <w:top w:val="nil"/>
              <w:left w:val="nil"/>
              <w:bottom w:val="single" w:sz="4" w:space="0" w:color="000000"/>
              <w:right w:val="single" w:sz="8" w:space="0" w:color="000000"/>
            </w:tcBorders>
            <w:shd w:val="clear" w:color="000000" w:fill="D9D9D9"/>
            <w:vAlign w:val="center"/>
            <w:hideMark/>
          </w:tcPr>
          <w:p w14:paraId="562B2C00"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67</w:t>
            </w:r>
          </w:p>
        </w:tc>
        <w:tc>
          <w:tcPr>
            <w:tcW w:w="274" w:type="pct"/>
            <w:tcBorders>
              <w:top w:val="nil"/>
              <w:left w:val="nil"/>
              <w:bottom w:val="single" w:sz="4" w:space="0" w:color="000000"/>
              <w:right w:val="single" w:sz="8" w:space="0" w:color="000000"/>
            </w:tcBorders>
            <w:shd w:val="clear" w:color="000000" w:fill="D9D9D9"/>
            <w:noWrap/>
            <w:vAlign w:val="center"/>
            <w:hideMark/>
          </w:tcPr>
          <w:p w14:paraId="5143CFEB"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11</w:t>
            </w:r>
          </w:p>
        </w:tc>
        <w:tc>
          <w:tcPr>
            <w:tcW w:w="308" w:type="pct"/>
            <w:tcBorders>
              <w:top w:val="nil"/>
              <w:left w:val="nil"/>
              <w:bottom w:val="single" w:sz="4" w:space="0" w:color="000000"/>
              <w:right w:val="single" w:sz="8" w:space="0" w:color="000000"/>
            </w:tcBorders>
            <w:shd w:val="clear" w:color="auto" w:fill="auto"/>
            <w:noWrap/>
            <w:vAlign w:val="center"/>
            <w:hideMark/>
          </w:tcPr>
          <w:p w14:paraId="318C54FF"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16,4</w:t>
            </w:r>
          </w:p>
        </w:tc>
        <w:tc>
          <w:tcPr>
            <w:tcW w:w="308" w:type="pct"/>
            <w:tcBorders>
              <w:top w:val="nil"/>
              <w:left w:val="nil"/>
              <w:bottom w:val="single" w:sz="4" w:space="0" w:color="000000"/>
              <w:right w:val="single" w:sz="8" w:space="0" w:color="000000"/>
            </w:tcBorders>
            <w:shd w:val="clear" w:color="auto" w:fill="auto"/>
            <w:noWrap/>
            <w:vAlign w:val="center"/>
            <w:hideMark/>
          </w:tcPr>
          <w:p w14:paraId="6FA58051"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6,25</w:t>
            </w:r>
          </w:p>
        </w:tc>
        <w:tc>
          <w:tcPr>
            <w:tcW w:w="291" w:type="pct"/>
            <w:tcBorders>
              <w:top w:val="nil"/>
              <w:left w:val="nil"/>
              <w:bottom w:val="single" w:sz="4" w:space="0" w:color="000000"/>
              <w:right w:val="single" w:sz="8" w:space="0" w:color="000000"/>
            </w:tcBorders>
            <w:shd w:val="clear" w:color="auto" w:fill="auto"/>
            <w:noWrap/>
            <w:vAlign w:val="center"/>
            <w:hideMark/>
          </w:tcPr>
          <w:p w14:paraId="3B38A0C8"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1</w:t>
            </w:r>
          </w:p>
        </w:tc>
        <w:tc>
          <w:tcPr>
            <w:tcW w:w="310" w:type="pct"/>
            <w:tcBorders>
              <w:top w:val="nil"/>
              <w:left w:val="nil"/>
              <w:bottom w:val="single" w:sz="4" w:space="0" w:color="000000"/>
              <w:right w:val="single" w:sz="8" w:space="0" w:color="000000"/>
            </w:tcBorders>
            <w:shd w:val="clear" w:color="auto" w:fill="auto"/>
            <w:noWrap/>
            <w:vAlign w:val="center"/>
            <w:hideMark/>
          </w:tcPr>
          <w:p w14:paraId="067CEE27"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5</w:t>
            </w:r>
          </w:p>
        </w:tc>
        <w:tc>
          <w:tcPr>
            <w:tcW w:w="394" w:type="pct"/>
            <w:tcBorders>
              <w:top w:val="nil"/>
              <w:left w:val="nil"/>
              <w:bottom w:val="single" w:sz="4" w:space="0" w:color="000000"/>
              <w:right w:val="single" w:sz="8" w:space="0" w:color="000000"/>
            </w:tcBorders>
            <w:shd w:val="clear" w:color="auto" w:fill="auto"/>
            <w:noWrap/>
            <w:vAlign w:val="center"/>
            <w:hideMark/>
          </w:tcPr>
          <w:p w14:paraId="01C90B50"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2</w:t>
            </w:r>
          </w:p>
        </w:tc>
        <w:tc>
          <w:tcPr>
            <w:tcW w:w="308" w:type="pct"/>
            <w:tcBorders>
              <w:top w:val="nil"/>
              <w:left w:val="nil"/>
              <w:bottom w:val="single" w:sz="4" w:space="0" w:color="000000"/>
              <w:right w:val="single" w:sz="8" w:space="0" w:color="000000"/>
            </w:tcBorders>
            <w:shd w:val="clear" w:color="auto" w:fill="auto"/>
            <w:noWrap/>
            <w:vAlign w:val="bottom"/>
            <w:hideMark/>
          </w:tcPr>
          <w:p w14:paraId="18C3B7EF"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1,941748</w:t>
            </w:r>
          </w:p>
        </w:tc>
      </w:tr>
      <w:tr w:rsidR="00596935" w:rsidRPr="00596935" w14:paraId="4BF2015C" w14:textId="77777777" w:rsidTr="00596935">
        <w:trPr>
          <w:trHeight w:val="300"/>
        </w:trPr>
        <w:tc>
          <w:tcPr>
            <w:tcW w:w="999" w:type="pct"/>
            <w:tcBorders>
              <w:top w:val="nil"/>
              <w:left w:val="single" w:sz="8" w:space="0" w:color="000000"/>
              <w:bottom w:val="single" w:sz="4" w:space="0" w:color="000000"/>
              <w:right w:val="single" w:sz="8" w:space="0" w:color="000000"/>
            </w:tcBorders>
            <w:shd w:val="clear" w:color="auto" w:fill="auto"/>
            <w:vAlign w:val="center"/>
            <w:hideMark/>
          </w:tcPr>
          <w:p w14:paraId="28D6ACFC" w14:textId="77777777" w:rsidR="00596935" w:rsidRPr="00596935" w:rsidRDefault="00596935" w:rsidP="00596935">
            <w:pPr>
              <w:rPr>
                <w:rFonts w:cs="Arial"/>
                <w:b/>
                <w:bCs/>
                <w:sz w:val="18"/>
                <w:szCs w:val="18"/>
                <w:lang w:val="de-AT" w:eastAsia="de-AT"/>
              </w:rPr>
            </w:pPr>
            <w:r w:rsidRPr="00596935">
              <w:rPr>
                <w:rFonts w:cs="Arial"/>
                <w:b/>
                <w:bCs/>
                <w:sz w:val="18"/>
                <w:szCs w:val="18"/>
                <w:lang w:val="de-AT" w:eastAsia="de-AT"/>
              </w:rPr>
              <w:t>tinnitus</w:t>
            </w:r>
          </w:p>
        </w:tc>
        <w:tc>
          <w:tcPr>
            <w:tcW w:w="267" w:type="pct"/>
            <w:tcBorders>
              <w:top w:val="nil"/>
              <w:left w:val="nil"/>
              <w:bottom w:val="single" w:sz="4" w:space="0" w:color="000000"/>
              <w:right w:val="single" w:sz="8" w:space="0" w:color="000000"/>
            </w:tcBorders>
            <w:shd w:val="clear" w:color="auto" w:fill="auto"/>
            <w:vAlign w:val="center"/>
            <w:hideMark/>
          </w:tcPr>
          <w:p w14:paraId="4EB7084D"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56" w:type="pct"/>
            <w:tcBorders>
              <w:top w:val="nil"/>
              <w:left w:val="nil"/>
              <w:bottom w:val="single" w:sz="4" w:space="0" w:color="000000"/>
              <w:right w:val="single" w:sz="8" w:space="0" w:color="000000"/>
            </w:tcBorders>
            <w:shd w:val="clear" w:color="auto" w:fill="auto"/>
            <w:vAlign w:val="center"/>
            <w:hideMark/>
          </w:tcPr>
          <w:p w14:paraId="5EC65A1F"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1</w:t>
            </w:r>
          </w:p>
        </w:tc>
        <w:tc>
          <w:tcPr>
            <w:tcW w:w="256" w:type="pct"/>
            <w:tcBorders>
              <w:top w:val="nil"/>
              <w:left w:val="nil"/>
              <w:bottom w:val="single" w:sz="4" w:space="0" w:color="000000"/>
              <w:right w:val="single" w:sz="8" w:space="0" w:color="000000"/>
            </w:tcBorders>
            <w:shd w:val="clear" w:color="auto" w:fill="auto"/>
            <w:vAlign w:val="center"/>
            <w:hideMark/>
          </w:tcPr>
          <w:p w14:paraId="7A7C4388"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56" w:type="pct"/>
            <w:tcBorders>
              <w:top w:val="nil"/>
              <w:left w:val="nil"/>
              <w:bottom w:val="single" w:sz="4" w:space="0" w:color="000000"/>
              <w:right w:val="single" w:sz="8" w:space="0" w:color="000000"/>
            </w:tcBorders>
            <w:shd w:val="clear" w:color="auto" w:fill="auto"/>
            <w:vAlign w:val="center"/>
            <w:hideMark/>
          </w:tcPr>
          <w:p w14:paraId="0C37A44E"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0</w:t>
            </w:r>
          </w:p>
        </w:tc>
        <w:tc>
          <w:tcPr>
            <w:tcW w:w="256" w:type="pct"/>
            <w:tcBorders>
              <w:top w:val="nil"/>
              <w:left w:val="nil"/>
              <w:bottom w:val="single" w:sz="4" w:space="0" w:color="000000"/>
              <w:right w:val="single" w:sz="8" w:space="0" w:color="000000"/>
            </w:tcBorders>
            <w:shd w:val="clear" w:color="auto" w:fill="auto"/>
            <w:vAlign w:val="center"/>
            <w:hideMark/>
          </w:tcPr>
          <w:p w14:paraId="4DA70D64"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10</w:t>
            </w:r>
          </w:p>
        </w:tc>
        <w:tc>
          <w:tcPr>
            <w:tcW w:w="243" w:type="pct"/>
            <w:tcBorders>
              <w:top w:val="nil"/>
              <w:left w:val="nil"/>
              <w:bottom w:val="single" w:sz="4" w:space="0" w:color="000000"/>
              <w:right w:val="single" w:sz="8" w:space="0" w:color="000000"/>
            </w:tcBorders>
            <w:shd w:val="clear" w:color="000000" w:fill="D9D9D9"/>
            <w:vAlign w:val="center"/>
            <w:hideMark/>
          </w:tcPr>
          <w:p w14:paraId="1CB992FE"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3</w:t>
            </w:r>
          </w:p>
        </w:tc>
        <w:tc>
          <w:tcPr>
            <w:tcW w:w="274" w:type="pct"/>
            <w:tcBorders>
              <w:top w:val="nil"/>
              <w:left w:val="nil"/>
              <w:bottom w:val="single" w:sz="4" w:space="0" w:color="000000"/>
              <w:right w:val="single" w:sz="8" w:space="0" w:color="000000"/>
            </w:tcBorders>
            <w:shd w:val="clear" w:color="000000" w:fill="D9D9D9"/>
            <w:vAlign w:val="center"/>
            <w:hideMark/>
          </w:tcPr>
          <w:p w14:paraId="1648CFB3"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74</w:t>
            </w:r>
          </w:p>
        </w:tc>
        <w:tc>
          <w:tcPr>
            <w:tcW w:w="274" w:type="pct"/>
            <w:tcBorders>
              <w:top w:val="nil"/>
              <w:left w:val="nil"/>
              <w:bottom w:val="single" w:sz="4" w:space="0" w:color="000000"/>
              <w:right w:val="single" w:sz="8" w:space="0" w:color="000000"/>
            </w:tcBorders>
            <w:shd w:val="clear" w:color="000000" w:fill="D9D9D9"/>
            <w:noWrap/>
            <w:vAlign w:val="center"/>
            <w:hideMark/>
          </w:tcPr>
          <w:p w14:paraId="0254CD10"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14</w:t>
            </w:r>
          </w:p>
        </w:tc>
        <w:tc>
          <w:tcPr>
            <w:tcW w:w="308" w:type="pct"/>
            <w:tcBorders>
              <w:top w:val="nil"/>
              <w:left w:val="nil"/>
              <w:bottom w:val="single" w:sz="4" w:space="0" w:color="000000"/>
              <w:right w:val="single" w:sz="8" w:space="0" w:color="000000"/>
            </w:tcBorders>
            <w:shd w:val="clear" w:color="auto" w:fill="auto"/>
            <w:noWrap/>
            <w:vAlign w:val="center"/>
            <w:hideMark/>
          </w:tcPr>
          <w:p w14:paraId="0A4B99C9"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18,9</w:t>
            </w:r>
          </w:p>
        </w:tc>
        <w:tc>
          <w:tcPr>
            <w:tcW w:w="308" w:type="pct"/>
            <w:tcBorders>
              <w:top w:val="nil"/>
              <w:left w:val="nil"/>
              <w:bottom w:val="single" w:sz="4" w:space="0" w:color="000000"/>
              <w:right w:val="single" w:sz="8" w:space="0" w:color="000000"/>
            </w:tcBorders>
            <w:shd w:val="clear" w:color="auto" w:fill="auto"/>
            <w:noWrap/>
            <w:vAlign w:val="center"/>
            <w:hideMark/>
          </w:tcPr>
          <w:p w14:paraId="115765A1"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7,95</w:t>
            </w:r>
          </w:p>
        </w:tc>
        <w:tc>
          <w:tcPr>
            <w:tcW w:w="291" w:type="pct"/>
            <w:tcBorders>
              <w:top w:val="nil"/>
              <w:left w:val="nil"/>
              <w:bottom w:val="single" w:sz="4" w:space="0" w:color="000000"/>
              <w:right w:val="single" w:sz="8" w:space="0" w:color="000000"/>
            </w:tcBorders>
            <w:shd w:val="clear" w:color="auto" w:fill="auto"/>
            <w:noWrap/>
            <w:vAlign w:val="center"/>
            <w:hideMark/>
          </w:tcPr>
          <w:p w14:paraId="60E27F09"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1</w:t>
            </w:r>
          </w:p>
        </w:tc>
        <w:tc>
          <w:tcPr>
            <w:tcW w:w="310" w:type="pct"/>
            <w:tcBorders>
              <w:top w:val="nil"/>
              <w:left w:val="nil"/>
              <w:bottom w:val="single" w:sz="4" w:space="0" w:color="000000"/>
              <w:right w:val="single" w:sz="8" w:space="0" w:color="000000"/>
            </w:tcBorders>
            <w:shd w:val="clear" w:color="auto" w:fill="auto"/>
            <w:noWrap/>
            <w:vAlign w:val="center"/>
            <w:hideMark/>
          </w:tcPr>
          <w:p w14:paraId="6C3057A4"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 </w:t>
            </w:r>
          </w:p>
        </w:tc>
        <w:tc>
          <w:tcPr>
            <w:tcW w:w="394" w:type="pct"/>
            <w:tcBorders>
              <w:top w:val="nil"/>
              <w:left w:val="nil"/>
              <w:bottom w:val="single" w:sz="4" w:space="0" w:color="000000"/>
              <w:right w:val="single" w:sz="8" w:space="0" w:color="000000"/>
            </w:tcBorders>
            <w:shd w:val="clear" w:color="auto" w:fill="auto"/>
            <w:noWrap/>
            <w:vAlign w:val="center"/>
            <w:hideMark/>
          </w:tcPr>
          <w:p w14:paraId="159F2F28"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1</w:t>
            </w:r>
          </w:p>
        </w:tc>
        <w:tc>
          <w:tcPr>
            <w:tcW w:w="308" w:type="pct"/>
            <w:tcBorders>
              <w:top w:val="nil"/>
              <w:left w:val="nil"/>
              <w:bottom w:val="single" w:sz="4" w:space="0" w:color="000000"/>
              <w:right w:val="single" w:sz="8" w:space="0" w:color="000000"/>
            </w:tcBorders>
            <w:shd w:val="clear" w:color="auto" w:fill="auto"/>
            <w:noWrap/>
            <w:vAlign w:val="bottom"/>
            <w:hideMark/>
          </w:tcPr>
          <w:p w14:paraId="16E0DFAF"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 </w:t>
            </w:r>
          </w:p>
        </w:tc>
      </w:tr>
      <w:tr w:rsidR="00596935" w:rsidRPr="00596935" w14:paraId="0CB1C255" w14:textId="77777777" w:rsidTr="00596935">
        <w:trPr>
          <w:trHeight w:val="300"/>
        </w:trPr>
        <w:tc>
          <w:tcPr>
            <w:tcW w:w="999" w:type="pct"/>
            <w:tcBorders>
              <w:top w:val="nil"/>
              <w:left w:val="single" w:sz="8" w:space="0" w:color="000000"/>
              <w:bottom w:val="single" w:sz="4" w:space="0" w:color="000000"/>
              <w:right w:val="single" w:sz="8" w:space="0" w:color="000000"/>
            </w:tcBorders>
            <w:shd w:val="clear" w:color="auto" w:fill="auto"/>
            <w:vAlign w:val="center"/>
            <w:hideMark/>
          </w:tcPr>
          <w:p w14:paraId="1E2AF686" w14:textId="77777777" w:rsidR="00596935" w:rsidRPr="00596935" w:rsidRDefault="00596935" w:rsidP="00596935">
            <w:pPr>
              <w:rPr>
                <w:rFonts w:cs="Arial"/>
                <w:b/>
                <w:bCs/>
                <w:sz w:val="18"/>
                <w:szCs w:val="18"/>
                <w:lang w:val="de-AT" w:eastAsia="de-AT"/>
              </w:rPr>
            </w:pPr>
            <w:r w:rsidRPr="00596935">
              <w:rPr>
                <w:rFonts w:cs="Arial"/>
                <w:b/>
                <w:bCs/>
                <w:sz w:val="18"/>
                <w:szCs w:val="18"/>
                <w:lang w:val="de-AT" w:eastAsia="de-AT"/>
              </w:rPr>
              <w:t>nausea</w:t>
            </w:r>
          </w:p>
        </w:tc>
        <w:tc>
          <w:tcPr>
            <w:tcW w:w="267" w:type="pct"/>
            <w:tcBorders>
              <w:top w:val="nil"/>
              <w:left w:val="nil"/>
              <w:bottom w:val="single" w:sz="4" w:space="0" w:color="000000"/>
              <w:right w:val="single" w:sz="8" w:space="0" w:color="000000"/>
            </w:tcBorders>
            <w:shd w:val="clear" w:color="auto" w:fill="auto"/>
            <w:vAlign w:val="center"/>
            <w:hideMark/>
          </w:tcPr>
          <w:p w14:paraId="71402CD2"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56" w:type="pct"/>
            <w:tcBorders>
              <w:top w:val="nil"/>
              <w:left w:val="nil"/>
              <w:bottom w:val="single" w:sz="4" w:space="0" w:color="000000"/>
              <w:right w:val="single" w:sz="8" w:space="0" w:color="000000"/>
            </w:tcBorders>
            <w:shd w:val="clear" w:color="auto" w:fill="auto"/>
            <w:vAlign w:val="center"/>
            <w:hideMark/>
          </w:tcPr>
          <w:p w14:paraId="460472B1"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56" w:type="pct"/>
            <w:tcBorders>
              <w:top w:val="nil"/>
              <w:left w:val="nil"/>
              <w:bottom w:val="single" w:sz="4" w:space="0" w:color="000000"/>
              <w:right w:val="single" w:sz="8" w:space="0" w:color="000000"/>
            </w:tcBorders>
            <w:shd w:val="clear" w:color="auto" w:fill="auto"/>
            <w:vAlign w:val="center"/>
            <w:hideMark/>
          </w:tcPr>
          <w:p w14:paraId="33B0DAA0"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56" w:type="pct"/>
            <w:tcBorders>
              <w:top w:val="nil"/>
              <w:left w:val="nil"/>
              <w:bottom w:val="single" w:sz="4" w:space="0" w:color="000000"/>
              <w:right w:val="single" w:sz="8" w:space="0" w:color="000000"/>
            </w:tcBorders>
            <w:shd w:val="clear" w:color="auto" w:fill="auto"/>
            <w:vAlign w:val="center"/>
            <w:hideMark/>
          </w:tcPr>
          <w:p w14:paraId="22BFFC4D"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56" w:type="pct"/>
            <w:tcBorders>
              <w:top w:val="nil"/>
              <w:left w:val="nil"/>
              <w:bottom w:val="single" w:sz="4" w:space="0" w:color="000000"/>
              <w:right w:val="single" w:sz="8" w:space="0" w:color="000000"/>
            </w:tcBorders>
            <w:shd w:val="clear" w:color="auto" w:fill="auto"/>
            <w:vAlign w:val="center"/>
            <w:hideMark/>
          </w:tcPr>
          <w:p w14:paraId="3A3ED716"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43" w:type="pct"/>
            <w:tcBorders>
              <w:top w:val="nil"/>
              <w:left w:val="nil"/>
              <w:bottom w:val="single" w:sz="4" w:space="0" w:color="000000"/>
              <w:right w:val="single" w:sz="8" w:space="0" w:color="000000"/>
            </w:tcBorders>
            <w:shd w:val="clear" w:color="000000" w:fill="D9D9D9"/>
            <w:vAlign w:val="center"/>
            <w:hideMark/>
          </w:tcPr>
          <w:p w14:paraId="17CE3AEA"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74" w:type="pct"/>
            <w:tcBorders>
              <w:top w:val="nil"/>
              <w:left w:val="nil"/>
              <w:bottom w:val="single" w:sz="4" w:space="0" w:color="000000"/>
              <w:right w:val="single" w:sz="8" w:space="0" w:color="000000"/>
            </w:tcBorders>
            <w:shd w:val="clear" w:color="000000" w:fill="D9D9D9"/>
            <w:vAlign w:val="center"/>
            <w:hideMark/>
          </w:tcPr>
          <w:p w14:paraId="5DB6E744"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74" w:type="pct"/>
            <w:tcBorders>
              <w:top w:val="nil"/>
              <w:left w:val="nil"/>
              <w:bottom w:val="single" w:sz="4" w:space="0" w:color="000000"/>
              <w:right w:val="single" w:sz="8" w:space="0" w:color="000000"/>
            </w:tcBorders>
            <w:shd w:val="clear" w:color="000000" w:fill="D9D9D9"/>
            <w:noWrap/>
            <w:vAlign w:val="center"/>
            <w:hideMark/>
          </w:tcPr>
          <w:p w14:paraId="4CD307C0"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 </w:t>
            </w:r>
          </w:p>
        </w:tc>
        <w:tc>
          <w:tcPr>
            <w:tcW w:w="308" w:type="pct"/>
            <w:tcBorders>
              <w:top w:val="nil"/>
              <w:left w:val="nil"/>
              <w:bottom w:val="single" w:sz="4" w:space="0" w:color="000000"/>
              <w:right w:val="single" w:sz="8" w:space="0" w:color="000000"/>
            </w:tcBorders>
            <w:shd w:val="clear" w:color="auto" w:fill="auto"/>
            <w:noWrap/>
            <w:vAlign w:val="center"/>
            <w:hideMark/>
          </w:tcPr>
          <w:p w14:paraId="56DD27BE"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 </w:t>
            </w:r>
          </w:p>
        </w:tc>
        <w:tc>
          <w:tcPr>
            <w:tcW w:w="308" w:type="pct"/>
            <w:tcBorders>
              <w:top w:val="nil"/>
              <w:left w:val="nil"/>
              <w:bottom w:val="single" w:sz="4" w:space="0" w:color="000000"/>
              <w:right w:val="single" w:sz="8" w:space="0" w:color="000000"/>
            </w:tcBorders>
            <w:shd w:val="clear" w:color="auto" w:fill="auto"/>
            <w:noWrap/>
            <w:vAlign w:val="center"/>
            <w:hideMark/>
          </w:tcPr>
          <w:p w14:paraId="7D4A7970"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 </w:t>
            </w:r>
          </w:p>
        </w:tc>
        <w:tc>
          <w:tcPr>
            <w:tcW w:w="291" w:type="pct"/>
            <w:tcBorders>
              <w:top w:val="nil"/>
              <w:left w:val="nil"/>
              <w:bottom w:val="single" w:sz="4" w:space="0" w:color="000000"/>
              <w:right w:val="single" w:sz="8" w:space="0" w:color="000000"/>
            </w:tcBorders>
            <w:shd w:val="clear" w:color="auto" w:fill="auto"/>
            <w:noWrap/>
            <w:vAlign w:val="center"/>
            <w:hideMark/>
          </w:tcPr>
          <w:p w14:paraId="2D21C097"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 </w:t>
            </w:r>
          </w:p>
        </w:tc>
        <w:tc>
          <w:tcPr>
            <w:tcW w:w="310" w:type="pct"/>
            <w:tcBorders>
              <w:top w:val="nil"/>
              <w:left w:val="nil"/>
              <w:bottom w:val="single" w:sz="4" w:space="0" w:color="000000"/>
              <w:right w:val="single" w:sz="8" w:space="0" w:color="000000"/>
            </w:tcBorders>
            <w:shd w:val="clear" w:color="auto" w:fill="auto"/>
            <w:noWrap/>
            <w:vAlign w:val="center"/>
            <w:hideMark/>
          </w:tcPr>
          <w:p w14:paraId="02E620EC"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 </w:t>
            </w:r>
          </w:p>
        </w:tc>
        <w:tc>
          <w:tcPr>
            <w:tcW w:w="394" w:type="pct"/>
            <w:tcBorders>
              <w:top w:val="nil"/>
              <w:left w:val="nil"/>
              <w:bottom w:val="single" w:sz="4" w:space="0" w:color="000000"/>
              <w:right w:val="single" w:sz="8" w:space="0" w:color="000000"/>
            </w:tcBorders>
            <w:shd w:val="clear" w:color="auto" w:fill="auto"/>
            <w:noWrap/>
            <w:vAlign w:val="center"/>
            <w:hideMark/>
          </w:tcPr>
          <w:p w14:paraId="5189BCD3"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1</w:t>
            </w:r>
          </w:p>
        </w:tc>
        <w:tc>
          <w:tcPr>
            <w:tcW w:w="308" w:type="pct"/>
            <w:tcBorders>
              <w:top w:val="nil"/>
              <w:left w:val="nil"/>
              <w:bottom w:val="single" w:sz="4" w:space="0" w:color="000000"/>
              <w:right w:val="single" w:sz="8" w:space="0" w:color="000000"/>
            </w:tcBorders>
            <w:shd w:val="clear" w:color="auto" w:fill="auto"/>
            <w:noWrap/>
            <w:vAlign w:val="bottom"/>
            <w:hideMark/>
          </w:tcPr>
          <w:p w14:paraId="2C1DC23F"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 </w:t>
            </w:r>
          </w:p>
        </w:tc>
      </w:tr>
      <w:tr w:rsidR="00596935" w:rsidRPr="00596935" w14:paraId="3743DBE4" w14:textId="77777777" w:rsidTr="00596935">
        <w:trPr>
          <w:trHeight w:val="510"/>
        </w:trPr>
        <w:tc>
          <w:tcPr>
            <w:tcW w:w="999" w:type="pct"/>
            <w:tcBorders>
              <w:top w:val="nil"/>
              <w:left w:val="single" w:sz="8" w:space="0" w:color="000000"/>
              <w:bottom w:val="single" w:sz="4" w:space="0" w:color="000000"/>
              <w:right w:val="single" w:sz="8" w:space="0" w:color="000000"/>
            </w:tcBorders>
            <w:shd w:val="clear" w:color="auto" w:fill="auto"/>
            <w:vAlign w:val="center"/>
            <w:hideMark/>
          </w:tcPr>
          <w:p w14:paraId="1A78E962" w14:textId="77777777" w:rsidR="00596935" w:rsidRPr="00596935" w:rsidRDefault="00596935" w:rsidP="00596935">
            <w:pPr>
              <w:rPr>
                <w:rFonts w:cs="Arial"/>
                <w:b/>
                <w:bCs/>
                <w:sz w:val="18"/>
                <w:szCs w:val="18"/>
                <w:lang w:val="en-US" w:eastAsia="de-AT"/>
              </w:rPr>
            </w:pPr>
            <w:r w:rsidRPr="00596935">
              <w:rPr>
                <w:rFonts w:cs="Arial"/>
                <w:b/>
                <w:bCs/>
                <w:sz w:val="18"/>
                <w:szCs w:val="18"/>
                <w:lang w:val="en-US" w:eastAsia="de-AT"/>
              </w:rPr>
              <w:t>facial palsy/facial nerve damage</w:t>
            </w:r>
          </w:p>
        </w:tc>
        <w:tc>
          <w:tcPr>
            <w:tcW w:w="267" w:type="pct"/>
            <w:tcBorders>
              <w:top w:val="nil"/>
              <w:left w:val="nil"/>
              <w:bottom w:val="single" w:sz="4" w:space="0" w:color="000000"/>
              <w:right w:val="single" w:sz="8" w:space="0" w:color="000000"/>
            </w:tcBorders>
            <w:shd w:val="clear" w:color="auto" w:fill="auto"/>
            <w:noWrap/>
            <w:vAlign w:val="center"/>
            <w:hideMark/>
          </w:tcPr>
          <w:p w14:paraId="2B9E186A"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3</w:t>
            </w:r>
          </w:p>
        </w:tc>
        <w:tc>
          <w:tcPr>
            <w:tcW w:w="256" w:type="pct"/>
            <w:tcBorders>
              <w:top w:val="nil"/>
              <w:left w:val="nil"/>
              <w:bottom w:val="single" w:sz="4" w:space="0" w:color="000000"/>
              <w:right w:val="single" w:sz="8" w:space="0" w:color="000000"/>
            </w:tcBorders>
            <w:shd w:val="clear" w:color="auto" w:fill="auto"/>
            <w:noWrap/>
            <w:vAlign w:val="center"/>
            <w:hideMark/>
          </w:tcPr>
          <w:p w14:paraId="6B1B5CBE"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56" w:type="pct"/>
            <w:tcBorders>
              <w:top w:val="nil"/>
              <w:left w:val="nil"/>
              <w:bottom w:val="single" w:sz="4" w:space="0" w:color="000000"/>
              <w:right w:val="single" w:sz="8" w:space="0" w:color="000000"/>
            </w:tcBorders>
            <w:shd w:val="clear" w:color="auto" w:fill="auto"/>
            <w:noWrap/>
            <w:vAlign w:val="center"/>
            <w:hideMark/>
          </w:tcPr>
          <w:p w14:paraId="13C1D4BF"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1</w:t>
            </w:r>
          </w:p>
        </w:tc>
        <w:tc>
          <w:tcPr>
            <w:tcW w:w="256" w:type="pct"/>
            <w:tcBorders>
              <w:top w:val="nil"/>
              <w:left w:val="nil"/>
              <w:bottom w:val="single" w:sz="4" w:space="0" w:color="000000"/>
              <w:right w:val="single" w:sz="8" w:space="0" w:color="000000"/>
            </w:tcBorders>
            <w:shd w:val="clear" w:color="auto" w:fill="auto"/>
            <w:noWrap/>
            <w:vAlign w:val="center"/>
            <w:hideMark/>
          </w:tcPr>
          <w:p w14:paraId="0E0B5046"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2</w:t>
            </w:r>
          </w:p>
        </w:tc>
        <w:tc>
          <w:tcPr>
            <w:tcW w:w="256" w:type="pct"/>
            <w:tcBorders>
              <w:top w:val="nil"/>
              <w:left w:val="nil"/>
              <w:bottom w:val="single" w:sz="4" w:space="0" w:color="000000"/>
              <w:right w:val="single" w:sz="8" w:space="0" w:color="000000"/>
            </w:tcBorders>
            <w:shd w:val="clear" w:color="auto" w:fill="auto"/>
            <w:noWrap/>
            <w:vAlign w:val="center"/>
            <w:hideMark/>
          </w:tcPr>
          <w:p w14:paraId="63133956"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4</w:t>
            </w:r>
          </w:p>
        </w:tc>
        <w:tc>
          <w:tcPr>
            <w:tcW w:w="243" w:type="pct"/>
            <w:tcBorders>
              <w:top w:val="nil"/>
              <w:left w:val="nil"/>
              <w:bottom w:val="single" w:sz="4" w:space="0" w:color="000000"/>
              <w:right w:val="single" w:sz="8" w:space="0" w:color="000000"/>
            </w:tcBorders>
            <w:shd w:val="clear" w:color="000000" w:fill="D9D9D9"/>
            <w:noWrap/>
            <w:vAlign w:val="center"/>
            <w:hideMark/>
          </w:tcPr>
          <w:p w14:paraId="738B8303"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4</w:t>
            </w:r>
          </w:p>
        </w:tc>
        <w:tc>
          <w:tcPr>
            <w:tcW w:w="274" w:type="pct"/>
            <w:tcBorders>
              <w:top w:val="nil"/>
              <w:left w:val="nil"/>
              <w:bottom w:val="single" w:sz="4" w:space="0" w:color="000000"/>
              <w:right w:val="single" w:sz="8" w:space="0" w:color="000000"/>
            </w:tcBorders>
            <w:shd w:val="clear" w:color="000000" w:fill="D9D9D9"/>
            <w:noWrap/>
            <w:vAlign w:val="center"/>
            <w:hideMark/>
          </w:tcPr>
          <w:p w14:paraId="4A2E0413"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111</w:t>
            </w:r>
          </w:p>
        </w:tc>
        <w:tc>
          <w:tcPr>
            <w:tcW w:w="274" w:type="pct"/>
            <w:tcBorders>
              <w:top w:val="nil"/>
              <w:left w:val="nil"/>
              <w:bottom w:val="single" w:sz="4" w:space="0" w:color="000000"/>
              <w:right w:val="single" w:sz="8" w:space="0" w:color="000000"/>
            </w:tcBorders>
            <w:shd w:val="clear" w:color="000000" w:fill="D9D9D9"/>
            <w:noWrap/>
            <w:vAlign w:val="center"/>
            <w:hideMark/>
          </w:tcPr>
          <w:p w14:paraId="625F1BA6"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14</w:t>
            </w:r>
          </w:p>
        </w:tc>
        <w:tc>
          <w:tcPr>
            <w:tcW w:w="308" w:type="pct"/>
            <w:tcBorders>
              <w:top w:val="nil"/>
              <w:left w:val="nil"/>
              <w:bottom w:val="single" w:sz="4" w:space="0" w:color="000000"/>
              <w:right w:val="single" w:sz="8" w:space="0" w:color="000000"/>
            </w:tcBorders>
            <w:shd w:val="clear" w:color="auto" w:fill="auto"/>
            <w:noWrap/>
            <w:vAlign w:val="center"/>
            <w:hideMark/>
          </w:tcPr>
          <w:p w14:paraId="75B4ABD5"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12,6</w:t>
            </w:r>
          </w:p>
        </w:tc>
        <w:tc>
          <w:tcPr>
            <w:tcW w:w="308" w:type="pct"/>
            <w:tcBorders>
              <w:top w:val="nil"/>
              <w:left w:val="nil"/>
              <w:bottom w:val="single" w:sz="4" w:space="0" w:color="000000"/>
              <w:right w:val="single" w:sz="8" w:space="0" w:color="000000"/>
            </w:tcBorders>
            <w:shd w:val="clear" w:color="auto" w:fill="auto"/>
            <w:noWrap/>
            <w:vAlign w:val="center"/>
            <w:hideMark/>
          </w:tcPr>
          <w:p w14:paraId="2F31063D"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7,95</w:t>
            </w:r>
          </w:p>
        </w:tc>
        <w:tc>
          <w:tcPr>
            <w:tcW w:w="291" w:type="pct"/>
            <w:tcBorders>
              <w:top w:val="nil"/>
              <w:left w:val="nil"/>
              <w:bottom w:val="single" w:sz="4" w:space="0" w:color="000000"/>
              <w:right w:val="single" w:sz="8" w:space="0" w:color="000000"/>
            </w:tcBorders>
            <w:shd w:val="clear" w:color="auto" w:fill="auto"/>
            <w:noWrap/>
            <w:vAlign w:val="center"/>
            <w:hideMark/>
          </w:tcPr>
          <w:p w14:paraId="06C90F61"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 </w:t>
            </w:r>
          </w:p>
        </w:tc>
        <w:tc>
          <w:tcPr>
            <w:tcW w:w="310" w:type="pct"/>
            <w:tcBorders>
              <w:top w:val="nil"/>
              <w:left w:val="nil"/>
              <w:bottom w:val="single" w:sz="4" w:space="0" w:color="000000"/>
              <w:right w:val="single" w:sz="8" w:space="0" w:color="000000"/>
            </w:tcBorders>
            <w:shd w:val="clear" w:color="auto" w:fill="auto"/>
            <w:noWrap/>
            <w:vAlign w:val="center"/>
            <w:hideMark/>
          </w:tcPr>
          <w:p w14:paraId="6A5FBF12"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 </w:t>
            </w:r>
          </w:p>
        </w:tc>
        <w:tc>
          <w:tcPr>
            <w:tcW w:w="394" w:type="pct"/>
            <w:tcBorders>
              <w:top w:val="nil"/>
              <w:left w:val="nil"/>
              <w:bottom w:val="single" w:sz="4" w:space="0" w:color="000000"/>
              <w:right w:val="single" w:sz="8" w:space="0" w:color="000000"/>
            </w:tcBorders>
            <w:shd w:val="clear" w:color="auto" w:fill="auto"/>
            <w:noWrap/>
            <w:vAlign w:val="center"/>
            <w:hideMark/>
          </w:tcPr>
          <w:p w14:paraId="763216A3"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 </w:t>
            </w:r>
          </w:p>
        </w:tc>
        <w:tc>
          <w:tcPr>
            <w:tcW w:w="308" w:type="pct"/>
            <w:tcBorders>
              <w:top w:val="nil"/>
              <w:left w:val="nil"/>
              <w:bottom w:val="single" w:sz="4" w:space="0" w:color="000000"/>
              <w:right w:val="single" w:sz="8" w:space="0" w:color="000000"/>
            </w:tcBorders>
            <w:shd w:val="clear" w:color="auto" w:fill="auto"/>
            <w:noWrap/>
            <w:vAlign w:val="bottom"/>
            <w:hideMark/>
          </w:tcPr>
          <w:p w14:paraId="7A9B6A24"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 </w:t>
            </w:r>
          </w:p>
        </w:tc>
      </w:tr>
      <w:tr w:rsidR="00596935" w:rsidRPr="00596935" w14:paraId="4C0F9F80" w14:textId="77777777" w:rsidTr="00596935">
        <w:trPr>
          <w:trHeight w:val="300"/>
        </w:trPr>
        <w:tc>
          <w:tcPr>
            <w:tcW w:w="999" w:type="pct"/>
            <w:tcBorders>
              <w:top w:val="nil"/>
              <w:left w:val="single" w:sz="8" w:space="0" w:color="000000"/>
              <w:bottom w:val="single" w:sz="4" w:space="0" w:color="000000"/>
              <w:right w:val="single" w:sz="8" w:space="0" w:color="000000"/>
            </w:tcBorders>
            <w:shd w:val="clear" w:color="auto" w:fill="auto"/>
            <w:vAlign w:val="center"/>
            <w:hideMark/>
          </w:tcPr>
          <w:p w14:paraId="41579A90" w14:textId="77777777" w:rsidR="00596935" w:rsidRPr="00596935" w:rsidRDefault="00596935" w:rsidP="00596935">
            <w:pPr>
              <w:rPr>
                <w:rFonts w:cs="Arial"/>
                <w:b/>
                <w:bCs/>
                <w:sz w:val="18"/>
                <w:szCs w:val="18"/>
                <w:lang w:val="de-AT" w:eastAsia="de-AT"/>
              </w:rPr>
            </w:pPr>
            <w:r w:rsidRPr="00596935">
              <w:rPr>
                <w:rFonts w:cs="Arial"/>
                <w:b/>
                <w:bCs/>
                <w:sz w:val="18"/>
                <w:szCs w:val="18"/>
                <w:lang w:val="de-AT" w:eastAsia="de-AT"/>
              </w:rPr>
              <w:t>limited benefit</w:t>
            </w:r>
          </w:p>
        </w:tc>
        <w:tc>
          <w:tcPr>
            <w:tcW w:w="267" w:type="pct"/>
            <w:tcBorders>
              <w:top w:val="nil"/>
              <w:left w:val="nil"/>
              <w:bottom w:val="single" w:sz="4" w:space="0" w:color="000000"/>
              <w:right w:val="single" w:sz="8" w:space="0" w:color="000000"/>
            </w:tcBorders>
            <w:shd w:val="clear" w:color="auto" w:fill="auto"/>
            <w:vAlign w:val="center"/>
            <w:hideMark/>
          </w:tcPr>
          <w:p w14:paraId="58D14CE5"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56" w:type="pct"/>
            <w:tcBorders>
              <w:top w:val="nil"/>
              <w:left w:val="nil"/>
              <w:bottom w:val="single" w:sz="4" w:space="0" w:color="000000"/>
              <w:right w:val="single" w:sz="8" w:space="0" w:color="000000"/>
            </w:tcBorders>
            <w:shd w:val="clear" w:color="auto" w:fill="auto"/>
            <w:vAlign w:val="center"/>
            <w:hideMark/>
          </w:tcPr>
          <w:p w14:paraId="707FCB13"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5</w:t>
            </w:r>
          </w:p>
        </w:tc>
        <w:tc>
          <w:tcPr>
            <w:tcW w:w="256" w:type="pct"/>
            <w:tcBorders>
              <w:top w:val="nil"/>
              <w:left w:val="nil"/>
              <w:bottom w:val="single" w:sz="4" w:space="0" w:color="000000"/>
              <w:right w:val="single" w:sz="8" w:space="0" w:color="000000"/>
            </w:tcBorders>
            <w:shd w:val="clear" w:color="auto" w:fill="auto"/>
            <w:vAlign w:val="center"/>
            <w:hideMark/>
          </w:tcPr>
          <w:p w14:paraId="719E8897"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56" w:type="pct"/>
            <w:tcBorders>
              <w:top w:val="nil"/>
              <w:left w:val="nil"/>
              <w:bottom w:val="single" w:sz="4" w:space="0" w:color="000000"/>
              <w:right w:val="single" w:sz="8" w:space="0" w:color="000000"/>
            </w:tcBorders>
            <w:shd w:val="clear" w:color="auto" w:fill="auto"/>
            <w:vAlign w:val="center"/>
            <w:hideMark/>
          </w:tcPr>
          <w:p w14:paraId="69EB1040"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2</w:t>
            </w:r>
          </w:p>
        </w:tc>
        <w:tc>
          <w:tcPr>
            <w:tcW w:w="256" w:type="pct"/>
            <w:tcBorders>
              <w:top w:val="nil"/>
              <w:left w:val="nil"/>
              <w:bottom w:val="single" w:sz="4" w:space="0" w:color="000000"/>
              <w:right w:val="single" w:sz="8" w:space="0" w:color="000000"/>
            </w:tcBorders>
            <w:shd w:val="clear" w:color="auto" w:fill="auto"/>
            <w:vAlign w:val="center"/>
            <w:hideMark/>
          </w:tcPr>
          <w:p w14:paraId="79DB49C7"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4</w:t>
            </w:r>
          </w:p>
        </w:tc>
        <w:tc>
          <w:tcPr>
            <w:tcW w:w="243" w:type="pct"/>
            <w:tcBorders>
              <w:top w:val="nil"/>
              <w:left w:val="nil"/>
              <w:bottom w:val="single" w:sz="4" w:space="0" w:color="000000"/>
              <w:right w:val="single" w:sz="8" w:space="0" w:color="000000"/>
            </w:tcBorders>
            <w:shd w:val="clear" w:color="000000" w:fill="D9D9D9"/>
            <w:vAlign w:val="center"/>
            <w:hideMark/>
          </w:tcPr>
          <w:p w14:paraId="6CAA5206"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3</w:t>
            </w:r>
          </w:p>
        </w:tc>
        <w:tc>
          <w:tcPr>
            <w:tcW w:w="274" w:type="pct"/>
            <w:tcBorders>
              <w:top w:val="nil"/>
              <w:left w:val="nil"/>
              <w:bottom w:val="single" w:sz="4" w:space="0" w:color="000000"/>
              <w:right w:val="single" w:sz="8" w:space="0" w:color="000000"/>
            </w:tcBorders>
            <w:shd w:val="clear" w:color="000000" w:fill="D9D9D9"/>
            <w:vAlign w:val="center"/>
            <w:hideMark/>
          </w:tcPr>
          <w:p w14:paraId="5D199E66"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74</w:t>
            </w:r>
          </w:p>
        </w:tc>
        <w:tc>
          <w:tcPr>
            <w:tcW w:w="274" w:type="pct"/>
            <w:tcBorders>
              <w:top w:val="nil"/>
              <w:left w:val="nil"/>
              <w:bottom w:val="single" w:sz="4" w:space="0" w:color="000000"/>
              <w:right w:val="single" w:sz="8" w:space="0" w:color="000000"/>
            </w:tcBorders>
            <w:shd w:val="clear" w:color="000000" w:fill="D9D9D9"/>
            <w:noWrap/>
            <w:vAlign w:val="center"/>
            <w:hideMark/>
          </w:tcPr>
          <w:p w14:paraId="3ADE9063"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14</w:t>
            </w:r>
          </w:p>
        </w:tc>
        <w:tc>
          <w:tcPr>
            <w:tcW w:w="308" w:type="pct"/>
            <w:tcBorders>
              <w:top w:val="nil"/>
              <w:left w:val="nil"/>
              <w:bottom w:val="single" w:sz="4" w:space="0" w:color="000000"/>
              <w:right w:val="single" w:sz="8" w:space="0" w:color="000000"/>
            </w:tcBorders>
            <w:shd w:val="clear" w:color="auto" w:fill="auto"/>
            <w:noWrap/>
            <w:vAlign w:val="center"/>
            <w:hideMark/>
          </w:tcPr>
          <w:p w14:paraId="0755FDEF"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18,9</w:t>
            </w:r>
          </w:p>
        </w:tc>
        <w:tc>
          <w:tcPr>
            <w:tcW w:w="308" w:type="pct"/>
            <w:tcBorders>
              <w:top w:val="nil"/>
              <w:left w:val="nil"/>
              <w:bottom w:val="single" w:sz="4" w:space="0" w:color="000000"/>
              <w:right w:val="single" w:sz="8" w:space="0" w:color="000000"/>
            </w:tcBorders>
            <w:shd w:val="clear" w:color="auto" w:fill="auto"/>
            <w:noWrap/>
            <w:vAlign w:val="center"/>
            <w:hideMark/>
          </w:tcPr>
          <w:p w14:paraId="08FB76BF"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7,95</w:t>
            </w:r>
          </w:p>
        </w:tc>
        <w:tc>
          <w:tcPr>
            <w:tcW w:w="291" w:type="pct"/>
            <w:tcBorders>
              <w:top w:val="nil"/>
              <w:left w:val="nil"/>
              <w:bottom w:val="single" w:sz="4" w:space="0" w:color="000000"/>
              <w:right w:val="single" w:sz="8" w:space="0" w:color="000000"/>
            </w:tcBorders>
            <w:shd w:val="clear" w:color="auto" w:fill="auto"/>
            <w:noWrap/>
            <w:vAlign w:val="center"/>
            <w:hideMark/>
          </w:tcPr>
          <w:p w14:paraId="3207245A"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 </w:t>
            </w:r>
          </w:p>
        </w:tc>
        <w:tc>
          <w:tcPr>
            <w:tcW w:w="310" w:type="pct"/>
            <w:tcBorders>
              <w:top w:val="nil"/>
              <w:left w:val="nil"/>
              <w:bottom w:val="single" w:sz="4" w:space="0" w:color="000000"/>
              <w:right w:val="single" w:sz="8" w:space="0" w:color="000000"/>
            </w:tcBorders>
            <w:shd w:val="clear" w:color="auto" w:fill="auto"/>
            <w:noWrap/>
            <w:vAlign w:val="center"/>
            <w:hideMark/>
          </w:tcPr>
          <w:p w14:paraId="570A558E"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 </w:t>
            </w:r>
          </w:p>
        </w:tc>
        <w:tc>
          <w:tcPr>
            <w:tcW w:w="394" w:type="pct"/>
            <w:tcBorders>
              <w:top w:val="nil"/>
              <w:left w:val="nil"/>
              <w:bottom w:val="single" w:sz="4" w:space="0" w:color="000000"/>
              <w:right w:val="single" w:sz="8" w:space="0" w:color="000000"/>
            </w:tcBorders>
            <w:shd w:val="clear" w:color="auto" w:fill="auto"/>
            <w:noWrap/>
            <w:vAlign w:val="center"/>
            <w:hideMark/>
          </w:tcPr>
          <w:p w14:paraId="4280FFA7"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 </w:t>
            </w:r>
          </w:p>
        </w:tc>
        <w:tc>
          <w:tcPr>
            <w:tcW w:w="308" w:type="pct"/>
            <w:tcBorders>
              <w:top w:val="nil"/>
              <w:left w:val="nil"/>
              <w:bottom w:val="single" w:sz="4" w:space="0" w:color="000000"/>
              <w:right w:val="single" w:sz="8" w:space="0" w:color="000000"/>
            </w:tcBorders>
            <w:shd w:val="clear" w:color="auto" w:fill="auto"/>
            <w:noWrap/>
            <w:vAlign w:val="bottom"/>
            <w:hideMark/>
          </w:tcPr>
          <w:p w14:paraId="69DC860D"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 </w:t>
            </w:r>
          </w:p>
        </w:tc>
      </w:tr>
      <w:tr w:rsidR="00596935" w:rsidRPr="00596935" w14:paraId="75BE0839" w14:textId="77777777" w:rsidTr="00596935">
        <w:trPr>
          <w:trHeight w:val="300"/>
        </w:trPr>
        <w:tc>
          <w:tcPr>
            <w:tcW w:w="999" w:type="pct"/>
            <w:tcBorders>
              <w:top w:val="nil"/>
              <w:left w:val="single" w:sz="8" w:space="0" w:color="000000"/>
              <w:bottom w:val="single" w:sz="4" w:space="0" w:color="000000"/>
              <w:right w:val="single" w:sz="8" w:space="0" w:color="000000"/>
            </w:tcBorders>
            <w:shd w:val="clear" w:color="auto" w:fill="auto"/>
            <w:vAlign w:val="center"/>
            <w:hideMark/>
          </w:tcPr>
          <w:p w14:paraId="0E66D83B" w14:textId="77777777" w:rsidR="00596935" w:rsidRPr="00596935" w:rsidRDefault="00596935" w:rsidP="00596935">
            <w:pPr>
              <w:rPr>
                <w:rFonts w:cs="Arial"/>
                <w:b/>
                <w:bCs/>
                <w:sz w:val="18"/>
                <w:szCs w:val="18"/>
                <w:lang w:val="de-AT" w:eastAsia="de-AT"/>
              </w:rPr>
            </w:pPr>
            <w:r w:rsidRPr="00596935">
              <w:rPr>
                <w:rFonts w:cs="Arial"/>
                <w:b/>
                <w:bCs/>
                <w:sz w:val="18"/>
                <w:szCs w:val="18"/>
                <w:lang w:val="de-AT" w:eastAsia="de-AT"/>
              </w:rPr>
              <w:t>headaches</w:t>
            </w:r>
          </w:p>
        </w:tc>
        <w:tc>
          <w:tcPr>
            <w:tcW w:w="267" w:type="pct"/>
            <w:tcBorders>
              <w:top w:val="nil"/>
              <w:left w:val="nil"/>
              <w:bottom w:val="single" w:sz="4" w:space="0" w:color="000000"/>
              <w:right w:val="single" w:sz="8" w:space="0" w:color="000000"/>
            </w:tcBorders>
            <w:shd w:val="clear" w:color="auto" w:fill="auto"/>
            <w:vAlign w:val="center"/>
            <w:hideMark/>
          </w:tcPr>
          <w:p w14:paraId="1A820409"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56" w:type="pct"/>
            <w:tcBorders>
              <w:top w:val="nil"/>
              <w:left w:val="nil"/>
              <w:bottom w:val="single" w:sz="4" w:space="0" w:color="000000"/>
              <w:right w:val="single" w:sz="8" w:space="0" w:color="000000"/>
            </w:tcBorders>
            <w:shd w:val="clear" w:color="auto" w:fill="auto"/>
            <w:vAlign w:val="center"/>
            <w:hideMark/>
          </w:tcPr>
          <w:p w14:paraId="08E19461"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56" w:type="pct"/>
            <w:tcBorders>
              <w:top w:val="nil"/>
              <w:left w:val="nil"/>
              <w:bottom w:val="single" w:sz="4" w:space="0" w:color="000000"/>
              <w:right w:val="single" w:sz="8" w:space="0" w:color="000000"/>
            </w:tcBorders>
            <w:shd w:val="clear" w:color="auto" w:fill="auto"/>
            <w:vAlign w:val="center"/>
            <w:hideMark/>
          </w:tcPr>
          <w:p w14:paraId="51060F2D"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56" w:type="pct"/>
            <w:tcBorders>
              <w:top w:val="nil"/>
              <w:left w:val="nil"/>
              <w:bottom w:val="single" w:sz="4" w:space="0" w:color="000000"/>
              <w:right w:val="single" w:sz="8" w:space="0" w:color="000000"/>
            </w:tcBorders>
            <w:shd w:val="clear" w:color="auto" w:fill="auto"/>
            <w:vAlign w:val="center"/>
            <w:hideMark/>
          </w:tcPr>
          <w:p w14:paraId="70810531"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1</w:t>
            </w:r>
          </w:p>
        </w:tc>
        <w:tc>
          <w:tcPr>
            <w:tcW w:w="256" w:type="pct"/>
            <w:tcBorders>
              <w:top w:val="nil"/>
              <w:left w:val="nil"/>
              <w:bottom w:val="single" w:sz="4" w:space="0" w:color="000000"/>
              <w:right w:val="single" w:sz="8" w:space="0" w:color="000000"/>
            </w:tcBorders>
            <w:shd w:val="clear" w:color="auto" w:fill="auto"/>
            <w:vAlign w:val="center"/>
            <w:hideMark/>
          </w:tcPr>
          <w:p w14:paraId="20B10C75"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3</w:t>
            </w:r>
          </w:p>
        </w:tc>
        <w:tc>
          <w:tcPr>
            <w:tcW w:w="243" w:type="pct"/>
            <w:tcBorders>
              <w:top w:val="nil"/>
              <w:left w:val="nil"/>
              <w:bottom w:val="single" w:sz="4" w:space="0" w:color="000000"/>
              <w:right w:val="single" w:sz="8" w:space="0" w:color="000000"/>
            </w:tcBorders>
            <w:shd w:val="clear" w:color="000000" w:fill="D9D9D9"/>
            <w:vAlign w:val="center"/>
            <w:hideMark/>
          </w:tcPr>
          <w:p w14:paraId="4337AE75"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2</w:t>
            </w:r>
          </w:p>
        </w:tc>
        <w:tc>
          <w:tcPr>
            <w:tcW w:w="274" w:type="pct"/>
            <w:tcBorders>
              <w:top w:val="nil"/>
              <w:left w:val="nil"/>
              <w:bottom w:val="single" w:sz="4" w:space="0" w:color="000000"/>
              <w:right w:val="single" w:sz="8" w:space="0" w:color="000000"/>
            </w:tcBorders>
            <w:shd w:val="clear" w:color="000000" w:fill="D9D9D9"/>
            <w:vAlign w:val="center"/>
            <w:hideMark/>
          </w:tcPr>
          <w:p w14:paraId="4A2CA30F"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67</w:t>
            </w:r>
          </w:p>
        </w:tc>
        <w:tc>
          <w:tcPr>
            <w:tcW w:w="274" w:type="pct"/>
            <w:tcBorders>
              <w:top w:val="nil"/>
              <w:left w:val="nil"/>
              <w:bottom w:val="single" w:sz="4" w:space="0" w:color="000000"/>
              <w:right w:val="single" w:sz="8" w:space="0" w:color="000000"/>
            </w:tcBorders>
            <w:shd w:val="clear" w:color="000000" w:fill="D9D9D9"/>
            <w:noWrap/>
            <w:vAlign w:val="center"/>
            <w:hideMark/>
          </w:tcPr>
          <w:p w14:paraId="2D784726"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4</w:t>
            </w:r>
          </w:p>
        </w:tc>
        <w:tc>
          <w:tcPr>
            <w:tcW w:w="308" w:type="pct"/>
            <w:tcBorders>
              <w:top w:val="nil"/>
              <w:left w:val="nil"/>
              <w:bottom w:val="single" w:sz="4" w:space="0" w:color="000000"/>
              <w:right w:val="single" w:sz="8" w:space="0" w:color="000000"/>
            </w:tcBorders>
            <w:shd w:val="clear" w:color="auto" w:fill="auto"/>
            <w:noWrap/>
            <w:vAlign w:val="center"/>
            <w:hideMark/>
          </w:tcPr>
          <w:p w14:paraId="7A4E4854"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5,97</w:t>
            </w:r>
          </w:p>
        </w:tc>
        <w:tc>
          <w:tcPr>
            <w:tcW w:w="308" w:type="pct"/>
            <w:tcBorders>
              <w:top w:val="nil"/>
              <w:left w:val="nil"/>
              <w:bottom w:val="single" w:sz="4" w:space="0" w:color="000000"/>
              <w:right w:val="single" w:sz="8" w:space="0" w:color="000000"/>
            </w:tcBorders>
            <w:shd w:val="clear" w:color="auto" w:fill="auto"/>
            <w:noWrap/>
            <w:vAlign w:val="center"/>
            <w:hideMark/>
          </w:tcPr>
          <w:p w14:paraId="2839C251"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2,27</w:t>
            </w:r>
          </w:p>
        </w:tc>
        <w:tc>
          <w:tcPr>
            <w:tcW w:w="291" w:type="pct"/>
            <w:tcBorders>
              <w:top w:val="nil"/>
              <w:left w:val="nil"/>
              <w:bottom w:val="single" w:sz="4" w:space="0" w:color="000000"/>
              <w:right w:val="single" w:sz="8" w:space="0" w:color="000000"/>
            </w:tcBorders>
            <w:shd w:val="clear" w:color="auto" w:fill="auto"/>
            <w:noWrap/>
            <w:vAlign w:val="center"/>
            <w:hideMark/>
          </w:tcPr>
          <w:p w14:paraId="4AE06462"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 </w:t>
            </w:r>
          </w:p>
        </w:tc>
        <w:tc>
          <w:tcPr>
            <w:tcW w:w="310" w:type="pct"/>
            <w:tcBorders>
              <w:top w:val="nil"/>
              <w:left w:val="nil"/>
              <w:bottom w:val="single" w:sz="4" w:space="0" w:color="000000"/>
              <w:right w:val="single" w:sz="8" w:space="0" w:color="000000"/>
            </w:tcBorders>
            <w:shd w:val="clear" w:color="auto" w:fill="auto"/>
            <w:noWrap/>
            <w:vAlign w:val="center"/>
            <w:hideMark/>
          </w:tcPr>
          <w:p w14:paraId="1D77DDF8"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 </w:t>
            </w:r>
          </w:p>
        </w:tc>
        <w:tc>
          <w:tcPr>
            <w:tcW w:w="394" w:type="pct"/>
            <w:tcBorders>
              <w:top w:val="nil"/>
              <w:left w:val="nil"/>
              <w:bottom w:val="single" w:sz="4" w:space="0" w:color="000000"/>
              <w:right w:val="single" w:sz="8" w:space="0" w:color="000000"/>
            </w:tcBorders>
            <w:shd w:val="clear" w:color="auto" w:fill="auto"/>
            <w:noWrap/>
            <w:vAlign w:val="center"/>
            <w:hideMark/>
          </w:tcPr>
          <w:p w14:paraId="1A8B28D2"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 </w:t>
            </w:r>
          </w:p>
        </w:tc>
        <w:tc>
          <w:tcPr>
            <w:tcW w:w="308" w:type="pct"/>
            <w:tcBorders>
              <w:top w:val="nil"/>
              <w:left w:val="nil"/>
              <w:bottom w:val="single" w:sz="4" w:space="0" w:color="000000"/>
              <w:right w:val="single" w:sz="8" w:space="0" w:color="000000"/>
            </w:tcBorders>
            <w:shd w:val="clear" w:color="auto" w:fill="auto"/>
            <w:noWrap/>
            <w:vAlign w:val="bottom"/>
            <w:hideMark/>
          </w:tcPr>
          <w:p w14:paraId="67A9BCD4"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 </w:t>
            </w:r>
          </w:p>
        </w:tc>
      </w:tr>
      <w:tr w:rsidR="00596935" w:rsidRPr="00596935" w14:paraId="07819DCB" w14:textId="77777777" w:rsidTr="00596935">
        <w:trPr>
          <w:trHeight w:val="300"/>
        </w:trPr>
        <w:tc>
          <w:tcPr>
            <w:tcW w:w="999" w:type="pct"/>
            <w:tcBorders>
              <w:top w:val="nil"/>
              <w:left w:val="single" w:sz="8" w:space="0" w:color="000000"/>
              <w:bottom w:val="single" w:sz="4" w:space="0" w:color="000000"/>
              <w:right w:val="single" w:sz="8" w:space="0" w:color="000000"/>
            </w:tcBorders>
            <w:shd w:val="clear" w:color="auto" w:fill="auto"/>
            <w:vAlign w:val="center"/>
            <w:hideMark/>
          </w:tcPr>
          <w:p w14:paraId="164E728A" w14:textId="77777777" w:rsidR="00596935" w:rsidRPr="00596935" w:rsidRDefault="00596935" w:rsidP="00596935">
            <w:pPr>
              <w:rPr>
                <w:rFonts w:cs="Arial"/>
                <w:b/>
                <w:bCs/>
                <w:sz w:val="18"/>
                <w:szCs w:val="18"/>
                <w:lang w:val="de-AT" w:eastAsia="de-AT"/>
              </w:rPr>
            </w:pPr>
            <w:r w:rsidRPr="00596935">
              <w:rPr>
                <w:rFonts w:cs="Arial"/>
                <w:b/>
                <w:bCs/>
                <w:sz w:val="18"/>
                <w:szCs w:val="18"/>
                <w:lang w:val="de-AT" w:eastAsia="de-AT"/>
              </w:rPr>
              <w:t>skin flap problems</w:t>
            </w:r>
          </w:p>
        </w:tc>
        <w:tc>
          <w:tcPr>
            <w:tcW w:w="267" w:type="pct"/>
            <w:tcBorders>
              <w:top w:val="nil"/>
              <w:left w:val="nil"/>
              <w:bottom w:val="single" w:sz="4" w:space="0" w:color="000000"/>
              <w:right w:val="single" w:sz="8" w:space="0" w:color="000000"/>
            </w:tcBorders>
            <w:shd w:val="clear" w:color="auto" w:fill="auto"/>
            <w:vAlign w:val="center"/>
            <w:hideMark/>
          </w:tcPr>
          <w:p w14:paraId="5A8CC71D"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56" w:type="pct"/>
            <w:tcBorders>
              <w:top w:val="nil"/>
              <w:left w:val="nil"/>
              <w:bottom w:val="single" w:sz="4" w:space="0" w:color="000000"/>
              <w:right w:val="single" w:sz="8" w:space="0" w:color="000000"/>
            </w:tcBorders>
            <w:shd w:val="clear" w:color="auto" w:fill="auto"/>
            <w:vAlign w:val="center"/>
            <w:hideMark/>
          </w:tcPr>
          <w:p w14:paraId="65BF791A"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56" w:type="pct"/>
            <w:tcBorders>
              <w:top w:val="nil"/>
              <w:left w:val="nil"/>
              <w:bottom w:val="single" w:sz="4" w:space="0" w:color="000000"/>
              <w:right w:val="single" w:sz="8" w:space="0" w:color="000000"/>
            </w:tcBorders>
            <w:shd w:val="clear" w:color="auto" w:fill="auto"/>
            <w:vAlign w:val="center"/>
            <w:hideMark/>
          </w:tcPr>
          <w:p w14:paraId="7D95C4EA"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56" w:type="pct"/>
            <w:tcBorders>
              <w:top w:val="nil"/>
              <w:left w:val="nil"/>
              <w:bottom w:val="single" w:sz="4" w:space="0" w:color="000000"/>
              <w:right w:val="single" w:sz="8" w:space="0" w:color="000000"/>
            </w:tcBorders>
            <w:shd w:val="clear" w:color="auto" w:fill="auto"/>
            <w:vAlign w:val="center"/>
            <w:hideMark/>
          </w:tcPr>
          <w:p w14:paraId="75B0497A"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56" w:type="pct"/>
            <w:tcBorders>
              <w:top w:val="nil"/>
              <w:left w:val="nil"/>
              <w:bottom w:val="single" w:sz="4" w:space="0" w:color="000000"/>
              <w:right w:val="single" w:sz="8" w:space="0" w:color="000000"/>
            </w:tcBorders>
            <w:shd w:val="clear" w:color="auto" w:fill="auto"/>
            <w:vAlign w:val="center"/>
            <w:hideMark/>
          </w:tcPr>
          <w:p w14:paraId="06FFD2EC"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43" w:type="pct"/>
            <w:tcBorders>
              <w:top w:val="nil"/>
              <w:left w:val="nil"/>
              <w:bottom w:val="single" w:sz="4" w:space="0" w:color="000000"/>
              <w:right w:val="single" w:sz="8" w:space="0" w:color="000000"/>
            </w:tcBorders>
            <w:shd w:val="clear" w:color="000000" w:fill="D9D9D9"/>
            <w:vAlign w:val="center"/>
            <w:hideMark/>
          </w:tcPr>
          <w:p w14:paraId="1F4B561E"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74" w:type="pct"/>
            <w:tcBorders>
              <w:top w:val="nil"/>
              <w:left w:val="nil"/>
              <w:bottom w:val="single" w:sz="4" w:space="0" w:color="000000"/>
              <w:right w:val="single" w:sz="8" w:space="0" w:color="000000"/>
            </w:tcBorders>
            <w:shd w:val="clear" w:color="000000" w:fill="D9D9D9"/>
            <w:vAlign w:val="center"/>
            <w:hideMark/>
          </w:tcPr>
          <w:p w14:paraId="28338116"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74" w:type="pct"/>
            <w:tcBorders>
              <w:top w:val="nil"/>
              <w:left w:val="nil"/>
              <w:bottom w:val="single" w:sz="4" w:space="0" w:color="000000"/>
              <w:right w:val="single" w:sz="8" w:space="0" w:color="000000"/>
            </w:tcBorders>
            <w:shd w:val="clear" w:color="000000" w:fill="D9D9D9"/>
            <w:noWrap/>
            <w:vAlign w:val="center"/>
            <w:hideMark/>
          </w:tcPr>
          <w:p w14:paraId="5AEBE7B5"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 </w:t>
            </w:r>
          </w:p>
        </w:tc>
        <w:tc>
          <w:tcPr>
            <w:tcW w:w="308" w:type="pct"/>
            <w:tcBorders>
              <w:top w:val="nil"/>
              <w:left w:val="nil"/>
              <w:bottom w:val="single" w:sz="4" w:space="0" w:color="000000"/>
              <w:right w:val="single" w:sz="8" w:space="0" w:color="000000"/>
            </w:tcBorders>
            <w:shd w:val="clear" w:color="auto" w:fill="auto"/>
            <w:noWrap/>
            <w:vAlign w:val="center"/>
            <w:hideMark/>
          </w:tcPr>
          <w:p w14:paraId="2724E5DE"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 </w:t>
            </w:r>
          </w:p>
        </w:tc>
        <w:tc>
          <w:tcPr>
            <w:tcW w:w="308" w:type="pct"/>
            <w:tcBorders>
              <w:top w:val="nil"/>
              <w:left w:val="nil"/>
              <w:bottom w:val="single" w:sz="4" w:space="0" w:color="000000"/>
              <w:right w:val="single" w:sz="8" w:space="0" w:color="000000"/>
            </w:tcBorders>
            <w:shd w:val="clear" w:color="auto" w:fill="auto"/>
            <w:noWrap/>
            <w:vAlign w:val="center"/>
            <w:hideMark/>
          </w:tcPr>
          <w:p w14:paraId="4D934AB1"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 </w:t>
            </w:r>
          </w:p>
        </w:tc>
        <w:tc>
          <w:tcPr>
            <w:tcW w:w="291" w:type="pct"/>
            <w:tcBorders>
              <w:top w:val="nil"/>
              <w:left w:val="nil"/>
              <w:bottom w:val="single" w:sz="4" w:space="0" w:color="000000"/>
              <w:right w:val="single" w:sz="8" w:space="0" w:color="000000"/>
            </w:tcBorders>
            <w:shd w:val="clear" w:color="auto" w:fill="auto"/>
            <w:noWrap/>
            <w:vAlign w:val="center"/>
            <w:hideMark/>
          </w:tcPr>
          <w:p w14:paraId="26A5485C"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 </w:t>
            </w:r>
          </w:p>
        </w:tc>
        <w:tc>
          <w:tcPr>
            <w:tcW w:w="310" w:type="pct"/>
            <w:tcBorders>
              <w:top w:val="nil"/>
              <w:left w:val="nil"/>
              <w:bottom w:val="single" w:sz="4" w:space="0" w:color="000000"/>
              <w:right w:val="single" w:sz="8" w:space="0" w:color="000000"/>
            </w:tcBorders>
            <w:shd w:val="clear" w:color="auto" w:fill="auto"/>
            <w:noWrap/>
            <w:vAlign w:val="center"/>
            <w:hideMark/>
          </w:tcPr>
          <w:p w14:paraId="2DD5C604"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 </w:t>
            </w:r>
          </w:p>
        </w:tc>
        <w:tc>
          <w:tcPr>
            <w:tcW w:w="394" w:type="pct"/>
            <w:tcBorders>
              <w:top w:val="nil"/>
              <w:left w:val="nil"/>
              <w:bottom w:val="single" w:sz="4" w:space="0" w:color="000000"/>
              <w:right w:val="single" w:sz="8" w:space="0" w:color="000000"/>
            </w:tcBorders>
            <w:shd w:val="clear" w:color="auto" w:fill="auto"/>
            <w:noWrap/>
            <w:vAlign w:val="center"/>
            <w:hideMark/>
          </w:tcPr>
          <w:p w14:paraId="7D1A6410"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2</w:t>
            </w:r>
          </w:p>
        </w:tc>
        <w:tc>
          <w:tcPr>
            <w:tcW w:w="308" w:type="pct"/>
            <w:tcBorders>
              <w:top w:val="nil"/>
              <w:left w:val="nil"/>
              <w:bottom w:val="single" w:sz="4" w:space="0" w:color="000000"/>
              <w:right w:val="single" w:sz="8" w:space="0" w:color="000000"/>
            </w:tcBorders>
            <w:shd w:val="clear" w:color="auto" w:fill="auto"/>
            <w:noWrap/>
            <w:vAlign w:val="bottom"/>
            <w:hideMark/>
          </w:tcPr>
          <w:p w14:paraId="787DA721"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1,941748</w:t>
            </w:r>
          </w:p>
        </w:tc>
      </w:tr>
      <w:tr w:rsidR="00596935" w:rsidRPr="00596935" w14:paraId="517C61B5" w14:textId="77777777" w:rsidTr="00596935">
        <w:trPr>
          <w:trHeight w:val="300"/>
        </w:trPr>
        <w:tc>
          <w:tcPr>
            <w:tcW w:w="999" w:type="pct"/>
            <w:tcBorders>
              <w:top w:val="nil"/>
              <w:left w:val="single" w:sz="8" w:space="0" w:color="000000"/>
              <w:bottom w:val="single" w:sz="4" w:space="0" w:color="000000"/>
              <w:right w:val="single" w:sz="8" w:space="0" w:color="000000"/>
            </w:tcBorders>
            <w:shd w:val="clear" w:color="auto" w:fill="auto"/>
            <w:vAlign w:val="center"/>
            <w:hideMark/>
          </w:tcPr>
          <w:p w14:paraId="128F3184" w14:textId="77777777" w:rsidR="00596935" w:rsidRPr="00596935" w:rsidRDefault="00596935" w:rsidP="00596935">
            <w:pPr>
              <w:rPr>
                <w:rFonts w:cs="Arial"/>
                <w:b/>
                <w:bCs/>
                <w:sz w:val="18"/>
                <w:szCs w:val="18"/>
                <w:lang w:val="de-AT" w:eastAsia="de-AT"/>
              </w:rPr>
            </w:pPr>
            <w:r w:rsidRPr="00596935">
              <w:rPr>
                <w:rFonts w:cs="Arial"/>
                <w:b/>
                <w:bCs/>
                <w:sz w:val="18"/>
                <w:szCs w:val="18"/>
                <w:lang w:val="de-AT" w:eastAsia="de-AT"/>
              </w:rPr>
              <w:t>aural fullnes</w:t>
            </w:r>
          </w:p>
        </w:tc>
        <w:tc>
          <w:tcPr>
            <w:tcW w:w="267" w:type="pct"/>
            <w:tcBorders>
              <w:top w:val="nil"/>
              <w:left w:val="nil"/>
              <w:bottom w:val="single" w:sz="4" w:space="0" w:color="000000"/>
              <w:right w:val="single" w:sz="8" w:space="0" w:color="000000"/>
            </w:tcBorders>
            <w:shd w:val="clear" w:color="auto" w:fill="auto"/>
            <w:vAlign w:val="center"/>
            <w:hideMark/>
          </w:tcPr>
          <w:p w14:paraId="1A6B5458"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56" w:type="pct"/>
            <w:tcBorders>
              <w:top w:val="nil"/>
              <w:left w:val="nil"/>
              <w:bottom w:val="single" w:sz="4" w:space="0" w:color="000000"/>
              <w:right w:val="single" w:sz="8" w:space="0" w:color="000000"/>
            </w:tcBorders>
            <w:shd w:val="clear" w:color="auto" w:fill="auto"/>
            <w:vAlign w:val="center"/>
            <w:hideMark/>
          </w:tcPr>
          <w:p w14:paraId="228F8112"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56" w:type="pct"/>
            <w:tcBorders>
              <w:top w:val="nil"/>
              <w:left w:val="nil"/>
              <w:bottom w:val="single" w:sz="4" w:space="0" w:color="000000"/>
              <w:right w:val="single" w:sz="8" w:space="0" w:color="000000"/>
            </w:tcBorders>
            <w:shd w:val="clear" w:color="auto" w:fill="auto"/>
            <w:vAlign w:val="center"/>
            <w:hideMark/>
          </w:tcPr>
          <w:p w14:paraId="765765DA"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56" w:type="pct"/>
            <w:tcBorders>
              <w:top w:val="nil"/>
              <w:left w:val="nil"/>
              <w:bottom w:val="single" w:sz="4" w:space="0" w:color="000000"/>
              <w:right w:val="single" w:sz="8" w:space="0" w:color="000000"/>
            </w:tcBorders>
            <w:shd w:val="clear" w:color="auto" w:fill="auto"/>
            <w:vAlign w:val="center"/>
            <w:hideMark/>
          </w:tcPr>
          <w:p w14:paraId="11EB65FE"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56" w:type="pct"/>
            <w:tcBorders>
              <w:top w:val="nil"/>
              <w:left w:val="nil"/>
              <w:bottom w:val="single" w:sz="4" w:space="0" w:color="000000"/>
              <w:right w:val="single" w:sz="8" w:space="0" w:color="000000"/>
            </w:tcBorders>
            <w:shd w:val="clear" w:color="auto" w:fill="auto"/>
            <w:vAlign w:val="center"/>
            <w:hideMark/>
          </w:tcPr>
          <w:p w14:paraId="0EB47640"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43" w:type="pct"/>
            <w:tcBorders>
              <w:top w:val="nil"/>
              <w:left w:val="nil"/>
              <w:bottom w:val="single" w:sz="4" w:space="0" w:color="000000"/>
              <w:right w:val="single" w:sz="8" w:space="0" w:color="000000"/>
            </w:tcBorders>
            <w:shd w:val="clear" w:color="000000" w:fill="D9D9D9"/>
            <w:vAlign w:val="center"/>
            <w:hideMark/>
          </w:tcPr>
          <w:p w14:paraId="3C2938D6"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74" w:type="pct"/>
            <w:tcBorders>
              <w:top w:val="nil"/>
              <w:left w:val="nil"/>
              <w:bottom w:val="single" w:sz="4" w:space="0" w:color="000000"/>
              <w:right w:val="single" w:sz="8" w:space="0" w:color="000000"/>
            </w:tcBorders>
            <w:shd w:val="clear" w:color="000000" w:fill="D9D9D9"/>
            <w:vAlign w:val="center"/>
            <w:hideMark/>
          </w:tcPr>
          <w:p w14:paraId="14763D71"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74" w:type="pct"/>
            <w:tcBorders>
              <w:top w:val="nil"/>
              <w:left w:val="nil"/>
              <w:bottom w:val="single" w:sz="4" w:space="0" w:color="000000"/>
              <w:right w:val="single" w:sz="8" w:space="0" w:color="000000"/>
            </w:tcBorders>
            <w:shd w:val="clear" w:color="000000" w:fill="D9D9D9"/>
            <w:noWrap/>
            <w:vAlign w:val="center"/>
            <w:hideMark/>
          </w:tcPr>
          <w:p w14:paraId="171FC769"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 </w:t>
            </w:r>
          </w:p>
        </w:tc>
        <w:tc>
          <w:tcPr>
            <w:tcW w:w="308" w:type="pct"/>
            <w:tcBorders>
              <w:top w:val="nil"/>
              <w:left w:val="nil"/>
              <w:bottom w:val="single" w:sz="4" w:space="0" w:color="000000"/>
              <w:right w:val="single" w:sz="8" w:space="0" w:color="000000"/>
            </w:tcBorders>
            <w:shd w:val="clear" w:color="auto" w:fill="auto"/>
            <w:noWrap/>
            <w:vAlign w:val="center"/>
            <w:hideMark/>
          </w:tcPr>
          <w:p w14:paraId="3931B2D4"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 </w:t>
            </w:r>
          </w:p>
        </w:tc>
        <w:tc>
          <w:tcPr>
            <w:tcW w:w="308" w:type="pct"/>
            <w:tcBorders>
              <w:top w:val="nil"/>
              <w:left w:val="nil"/>
              <w:bottom w:val="single" w:sz="4" w:space="0" w:color="000000"/>
              <w:right w:val="single" w:sz="8" w:space="0" w:color="000000"/>
            </w:tcBorders>
            <w:shd w:val="clear" w:color="auto" w:fill="auto"/>
            <w:noWrap/>
            <w:vAlign w:val="center"/>
            <w:hideMark/>
          </w:tcPr>
          <w:p w14:paraId="42A644E2"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 </w:t>
            </w:r>
          </w:p>
        </w:tc>
        <w:tc>
          <w:tcPr>
            <w:tcW w:w="291" w:type="pct"/>
            <w:tcBorders>
              <w:top w:val="nil"/>
              <w:left w:val="nil"/>
              <w:bottom w:val="single" w:sz="4" w:space="0" w:color="000000"/>
              <w:right w:val="single" w:sz="8" w:space="0" w:color="000000"/>
            </w:tcBorders>
            <w:shd w:val="clear" w:color="auto" w:fill="auto"/>
            <w:noWrap/>
            <w:vAlign w:val="center"/>
            <w:hideMark/>
          </w:tcPr>
          <w:p w14:paraId="7FAD7215"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2</w:t>
            </w:r>
          </w:p>
        </w:tc>
        <w:tc>
          <w:tcPr>
            <w:tcW w:w="310" w:type="pct"/>
            <w:tcBorders>
              <w:top w:val="nil"/>
              <w:left w:val="nil"/>
              <w:bottom w:val="single" w:sz="4" w:space="0" w:color="000000"/>
              <w:right w:val="single" w:sz="8" w:space="0" w:color="000000"/>
            </w:tcBorders>
            <w:shd w:val="clear" w:color="auto" w:fill="auto"/>
            <w:noWrap/>
            <w:vAlign w:val="center"/>
            <w:hideMark/>
          </w:tcPr>
          <w:p w14:paraId="3BFE839E"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 </w:t>
            </w:r>
          </w:p>
        </w:tc>
        <w:tc>
          <w:tcPr>
            <w:tcW w:w="394" w:type="pct"/>
            <w:tcBorders>
              <w:top w:val="nil"/>
              <w:left w:val="nil"/>
              <w:bottom w:val="single" w:sz="4" w:space="0" w:color="000000"/>
              <w:right w:val="single" w:sz="8" w:space="0" w:color="000000"/>
            </w:tcBorders>
            <w:shd w:val="clear" w:color="auto" w:fill="auto"/>
            <w:noWrap/>
            <w:vAlign w:val="center"/>
            <w:hideMark/>
          </w:tcPr>
          <w:p w14:paraId="2E0C2522"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1</w:t>
            </w:r>
          </w:p>
        </w:tc>
        <w:tc>
          <w:tcPr>
            <w:tcW w:w="308" w:type="pct"/>
            <w:tcBorders>
              <w:top w:val="nil"/>
              <w:left w:val="nil"/>
              <w:bottom w:val="single" w:sz="4" w:space="0" w:color="000000"/>
              <w:right w:val="single" w:sz="8" w:space="0" w:color="000000"/>
            </w:tcBorders>
            <w:shd w:val="clear" w:color="auto" w:fill="auto"/>
            <w:noWrap/>
            <w:vAlign w:val="bottom"/>
            <w:hideMark/>
          </w:tcPr>
          <w:p w14:paraId="22F94FF0"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0,970874</w:t>
            </w:r>
          </w:p>
        </w:tc>
      </w:tr>
      <w:tr w:rsidR="00596935" w:rsidRPr="00596935" w14:paraId="6B64E617" w14:textId="77777777" w:rsidTr="00596935">
        <w:trPr>
          <w:trHeight w:val="300"/>
        </w:trPr>
        <w:tc>
          <w:tcPr>
            <w:tcW w:w="999" w:type="pct"/>
            <w:tcBorders>
              <w:top w:val="nil"/>
              <w:left w:val="single" w:sz="8" w:space="0" w:color="000000"/>
              <w:bottom w:val="single" w:sz="4" w:space="0" w:color="000000"/>
              <w:right w:val="single" w:sz="8" w:space="0" w:color="000000"/>
            </w:tcBorders>
            <w:shd w:val="clear" w:color="auto" w:fill="auto"/>
            <w:vAlign w:val="center"/>
            <w:hideMark/>
          </w:tcPr>
          <w:p w14:paraId="2BBD4D73" w14:textId="77777777" w:rsidR="00596935" w:rsidRPr="00596935" w:rsidRDefault="00596935" w:rsidP="00596935">
            <w:pPr>
              <w:rPr>
                <w:rFonts w:cs="Arial"/>
                <w:b/>
                <w:bCs/>
                <w:sz w:val="18"/>
                <w:szCs w:val="18"/>
                <w:lang w:val="de-AT" w:eastAsia="de-AT"/>
              </w:rPr>
            </w:pPr>
            <w:r w:rsidRPr="00596935">
              <w:rPr>
                <w:rFonts w:cs="Arial"/>
                <w:b/>
                <w:bCs/>
                <w:sz w:val="18"/>
                <w:szCs w:val="18"/>
                <w:lang w:val="de-AT" w:eastAsia="de-AT"/>
              </w:rPr>
              <w:t>wound infection</w:t>
            </w:r>
          </w:p>
        </w:tc>
        <w:tc>
          <w:tcPr>
            <w:tcW w:w="267" w:type="pct"/>
            <w:tcBorders>
              <w:top w:val="nil"/>
              <w:left w:val="nil"/>
              <w:bottom w:val="single" w:sz="4" w:space="0" w:color="000000"/>
              <w:right w:val="single" w:sz="8" w:space="0" w:color="000000"/>
            </w:tcBorders>
            <w:shd w:val="clear" w:color="auto" w:fill="auto"/>
            <w:vAlign w:val="center"/>
            <w:hideMark/>
          </w:tcPr>
          <w:p w14:paraId="1850EF73"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56" w:type="pct"/>
            <w:tcBorders>
              <w:top w:val="nil"/>
              <w:left w:val="nil"/>
              <w:bottom w:val="single" w:sz="4" w:space="0" w:color="000000"/>
              <w:right w:val="single" w:sz="8" w:space="0" w:color="000000"/>
            </w:tcBorders>
            <w:shd w:val="clear" w:color="auto" w:fill="auto"/>
            <w:vAlign w:val="center"/>
            <w:hideMark/>
          </w:tcPr>
          <w:p w14:paraId="73FECADE"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1</w:t>
            </w:r>
          </w:p>
        </w:tc>
        <w:tc>
          <w:tcPr>
            <w:tcW w:w="256" w:type="pct"/>
            <w:tcBorders>
              <w:top w:val="nil"/>
              <w:left w:val="nil"/>
              <w:bottom w:val="single" w:sz="4" w:space="0" w:color="000000"/>
              <w:right w:val="single" w:sz="8" w:space="0" w:color="000000"/>
            </w:tcBorders>
            <w:shd w:val="clear" w:color="auto" w:fill="auto"/>
            <w:vAlign w:val="center"/>
            <w:hideMark/>
          </w:tcPr>
          <w:p w14:paraId="10B99A6A"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3</w:t>
            </w:r>
          </w:p>
        </w:tc>
        <w:tc>
          <w:tcPr>
            <w:tcW w:w="256" w:type="pct"/>
            <w:tcBorders>
              <w:top w:val="nil"/>
              <w:left w:val="nil"/>
              <w:bottom w:val="single" w:sz="4" w:space="0" w:color="000000"/>
              <w:right w:val="single" w:sz="8" w:space="0" w:color="000000"/>
            </w:tcBorders>
            <w:shd w:val="clear" w:color="auto" w:fill="auto"/>
            <w:vAlign w:val="center"/>
            <w:hideMark/>
          </w:tcPr>
          <w:p w14:paraId="3B65A069"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0</w:t>
            </w:r>
          </w:p>
        </w:tc>
        <w:tc>
          <w:tcPr>
            <w:tcW w:w="256" w:type="pct"/>
            <w:tcBorders>
              <w:top w:val="nil"/>
              <w:left w:val="nil"/>
              <w:bottom w:val="single" w:sz="4" w:space="0" w:color="000000"/>
              <w:right w:val="single" w:sz="8" w:space="0" w:color="000000"/>
            </w:tcBorders>
            <w:shd w:val="clear" w:color="auto" w:fill="auto"/>
            <w:vAlign w:val="center"/>
            <w:hideMark/>
          </w:tcPr>
          <w:p w14:paraId="44C7B60F"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43" w:type="pct"/>
            <w:tcBorders>
              <w:top w:val="nil"/>
              <w:left w:val="nil"/>
              <w:bottom w:val="single" w:sz="4" w:space="0" w:color="000000"/>
              <w:right w:val="single" w:sz="8" w:space="0" w:color="000000"/>
            </w:tcBorders>
            <w:shd w:val="clear" w:color="000000" w:fill="D9D9D9"/>
            <w:vAlign w:val="center"/>
            <w:hideMark/>
          </w:tcPr>
          <w:p w14:paraId="3CA03617"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3</w:t>
            </w:r>
          </w:p>
        </w:tc>
        <w:tc>
          <w:tcPr>
            <w:tcW w:w="274" w:type="pct"/>
            <w:tcBorders>
              <w:top w:val="nil"/>
              <w:left w:val="nil"/>
              <w:bottom w:val="single" w:sz="4" w:space="0" w:color="000000"/>
              <w:right w:val="single" w:sz="8" w:space="0" w:color="000000"/>
            </w:tcBorders>
            <w:shd w:val="clear" w:color="000000" w:fill="D9D9D9"/>
            <w:vAlign w:val="center"/>
            <w:hideMark/>
          </w:tcPr>
          <w:p w14:paraId="6947E59F"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27</w:t>
            </w:r>
          </w:p>
        </w:tc>
        <w:tc>
          <w:tcPr>
            <w:tcW w:w="274" w:type="pct"/>
            <w:tcBorders>
              <w:top w:val="nil"/>
              <w:left w:val="nil"/>
              <w:bottom w:val="single" w:sz="4" w:space="0" w:color="000000"/>
              <w:right w:val="single" w:sz="8" w:space="0" w:color="000000"/>
            </w:tcBorders>
            <w:shd w:val="clear" w:color="000000" w:fill="D9D9D9"/>
            <w:noWrap/>
            <w:vAlign w:val="center"/>
            <w:hideMark/>
          </w:tcPr>
          <w:p w14:paraId="0640F9BB"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7</w:t>
            </w:r>
          </w:p>
        </w:tc>
        <w:tc>
          <w:tcPr>
            <w:tcW w:w="308" w:type="pct"/>
            <w:tcBorders>
              <w:top w:val="nil"/>
              <w:left w:val="nil"/>
              <w:bottom w:val="single" w:sz="4" w:space="0" w:color="000000"/>
              <w:right w:val="single" w:sz="8" w:space="0" w:color="000000"/>
            </w:tcBorders>
            <w:shd w:val="clear" w:color="auto" w:fill="auto"/>
            <w:noWrap/>
            <w:vAlign w:val="center"/>
            <w:hideMark/>
          </w:tcPr>
          <w:p w14:paraId="05B91CCE"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25,9</w:t>
            </w:r>
          </w:p>
        </w:tc>
        <w:tc>
          <w:tcPr>
            <w:tcW w:w="308" w:type="pct"/>
            <w:tcBorders>
              <w:top w:val="nil"/>
              <w:left w:val="nil"/>
              <w:bottom w:val="single" w:sz="4" w:space="0" w:color="000000"/>
              <w:right w:val="single" w:sz="8" w:space="0" w:color="000000"/>
            </w:tcBorders>
            <w:shd w:val="clear" w:color="auto" w:fill="auto"/>
            <w:noWrap/>
            <w:vAlign w:val="center"/>
            <w:hideMark/>
          </w:tcPr>
          <w:p w14:paraId="2992C236"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3,98</w:t>
            </w:r>
          </w:p>
        </w:tc>
        <w:tc>
          <w:tcPr>
            <w:tcW w:w="291" w:type="pct"/>
            <w:tcBorders>
              <w:top w:val="nil"/>
              <w:left w:val="nil"/>
              <w:bottom w:val="single" w:sz="4" w:space="0" w:color="000000"/>
              <w:right w:val="single" w:sz="8" w:space="0" w:color="000000"/>
            </w:tcBorders>
            <w:shd w:val="clear" w:color="auto" w:fill="auto"/>
            <w:noWrap/>
            <w:vAlign w:val="center"/>
            <w:hideMark/>
          </w:tcPr>
          <w:p w14:paraId="7E314E02"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 </w:t>
            </w:r>
          </w:p>
        </w:tc>
        <w:tc>
          <w:tcPr>
            <w:tcW w:w="310" w:type="pct"/>
            <w:tcBorders>
              <w:top w:val="nil"/>
              <w:left w:val="nil"/>
              <w:bottom w:val="single" w:sz="4" w:space="0" w:color="000000"/>
              <w:right w:val="single" w:sz="8" w:space="0" w:color="000000"/>
            </w:tcBorders>
            <w:shd w:val="clear" w:color="auto" w:fill="auto"/>
            <w:noWrap/>
            <w:vAlign w:val="center"/>
            <w:hideMark/>
          </w:tcPr>
          <w:p w14:paraId="448A8C00"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 </w:t>
            </w:r>
          </w:p>
        </w:tc>
        <w:tc>
          <w:tcPr>
            <w:tcW w:w="394" w:type="pct"/>
            <w:tcBorders>
              <w:top w:val="nil"/>
              <w:left w:val="nil"/>
              <w:bottom w:val="single" w:sz="4" w:space="0" w:color="000000"/>
              <w:right w:val="single" w:sz="8" w:space="0" w:color="000000"/>
            </w:tcBorders>
            <w:shd w:val="clear" w:color="auto" w:fill="auto"/>
            <w:noWrap/>
            <w:vAlign w:val="center"/>
            <w:hideMark/>
          </w:tcPr>
          <w:p w14:paraId="1229BDC9"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 </w:t>
            </w:r>
          </w:p>
        </w:tc>
        <w:tc>
          <w:tcPr>
            <w:tcW w:w="308" w:type="pct"/>
            <w:tcBorders>
              <w:top w:val="nil"/>
              <w:left w:val="nil"/>
              <w:bottom w:val="single" w:sz="4" w:space="0" w:color="000000"/>
              <w:right w:val="single" w:sz="8" w:space="0" w:color="000000"/>
            </w:tcBorders>
            <w:shd w:val="clear" w:color="auto" w:fill="auto"/>
            <w:noWrap/>
            <w:vAlign w:val="bottom"/>
            <w:hideMark/>
          </w:tcPr>
          <w:p w14:paraId="66627D11"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 </w:t>
            </w:r>
          </w:p>
        </w:tc>
      </w:tr>
      <w:tr w:rsidR="00596935" w:rsidRPr="00596935" w14:paraId="72FA39E2" w14:textId="77777777" w:rsidTr="00596935">
        <w:trPr>
          <w:trHeight w:val="300"/>
        </w:trPr>
        <w:tc>
          <w:tcPr>
            <w:tcW w:w="999" w:type="pct"/>
            <w:tcBorders>
              <w:top w:val="nil"/>
              <w:left w:val="single" w:sz="8" w:space="0" w:color="000000"/>
              <w:bottom w:val="single" w:sz="4" w:space="0" w:color="000000"/>
              <w:right w:val="single" w:sz="8" w:space="0" w:color="000000"/>
            </w:tcBorders>
            <w:shd w:val="clear" w:color="auto" w:fill="auto"/>
            <w:vAlign w:val="center"/>
            <w:hideMark/>
          </w:tcPr>
          <w:p w14:paraId="18DBF64C" w14:textId="77777777" w:rsidR="00596935" w:rsidRPr="00596935" w:rsidRDefault="00596935" w:rsidP="00596935">
            <w:pPr>
              <w:rPr>
                <w:rFonts w:cs="Arial"/>
                <w:b/>
                <w:bCs/>
                <w:sz w:val="18"/>
                <w:szCs w:val="18"/>
                <w:lang w:val="de-AT" w:eastAsia="de-AT"/>
              </w:rPr>
            </w:pPr>
            <w:r w:rsidRPr="00596935">
              <w:rPr>
                <w:rFonts w:cs="Arial"/>
                <w:b/>
                <w:bCs/>
                <w:sz w:val="18"/>
                <w:szCs w:val="18"/>
                <w:lang w:val="de-AT" w:eastAsia="de-AT"/>
              </w:rPr>
              <w:t>TM perforation</w:t>
            </w:r>
          </w:p>
        </w:tc>
        <w:tc>
          <w:tcPr>
            <w:tcW w:w="267" w:type="pct"/>
            <w:tcBorders>
              <w:top w:val="nil"/>
              <w:left w:val="nil"/>
              <w:bottom w:val="single" w:sz="4" w:space="0" w:color="000000"/>
              <w:right w:val="single" w:sz="8" w:space="0" w:color="000000"/>
            </w:tcBorders>
            <w:shd w:val="clear" w:color="auto" w:fill="auto"/>
            <w:vAlign w:val="center"/>
            <w:hideMark/>
          </w:tcPr>
          <w:p w14:paraId="4984717D"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56" w:type="pct"/>
            <w:tcBorders>
              <w:top w:val="nil"/>
              <w:left w:val="nil"/>
              <w:bottom w:val="single" w:sz="4" w:space="0" w:color="000000"/>
              <w:right w:val="single" w:sz="8" w:space="0" w:color="000000"/>
            </w:tcBorders>
            <w:shd w:val="clear" w:color="auto" w:fill="auto"/>
            <w:vAlign w:val="center"/>
            <w:hideMark/>
          </w:tcPr>
          <w:p w14:paraId="7902A4DE"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56" w:type="pct"/>
            <w:tcBorders>
              <w:top w:val="nil"/>
              <w:left w:val="nil"/>
              <w:bottom w:val="single" w:sz="4" w:space="0" w:color="000000"/>
              <w:right w:val="single" w:sz="8" w:space="0" w:color="000000"/>
            </w:tcBorders>
            <w:shd w:val="clear" w:color="auto" w:fill="auto"/>
            <w:vAlign w:val="center"/>
            <w:hideMark/>
          </w:tcPr>
          <w:p w14:paraId="757BDE64"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56" w:type="pct"/>
            <w:tcBorders>
              <w:top w:val="nil"/>
              <w:left w:val="nil"/>
              <w:bottom w:val="single" w:sz="4" w:space="0" w:color="000000"/>
              <w:right w:val="single" w:sz="8" w:space="0" w:color="000000"/>
            </w:tcBorders>
            <w:shd w:val="clear" w:color="auto" w:fill="auto"/>
            <w:vAlign w:val="center"/>
            <w:hideMark/>
          </w:tcPr>
          <w:p w14:paraId="2C0FAB60"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56" w:type="pct"/>
            <w:tcBorders>
              <w:top w:val="nil"/>
              <w:left w:val="nil"/>
              <w:bottom w:val="single" w:sz="4" w:space="0" w:color="000000"/>
              <w:right w:val="single" w:sz="8" w:space="0" w:color="000000"/>
            </w:tcBorders>
            <w:shd w:val="clear" w:color="auto" w:fill="auto"/>
            <w:vAlign w:val="center"/>
            <w:hideMark/>
          </w:tcPr>
          <w:p w14:paraId="702E3DE4"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43" w:type="pct"/>
            <w:tcBorders>
              <w:top w:val="nil"/>
              <w:left w:val="nil"/>
              <w:bottom w:val="single" w:sz="4" w:space="0" w:color="000000"/>
              <w:right w:val="single" w:sz="8" w:space="0" w:color="000000"/>
            </w:tcBorders>
            <w:shd w:val="clear" w:color="000000" w:fill="D9D9D9"/>
            <w:vAlign w:val="center"/>
            <w:hideMark/>
          </w:tcPr>
          <w:p w14:paraId="390940A0"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74" w:type="pct"/>
            <w:tcBorders>
              <w:top w:val="nil"/>
              <w:left w:val="nil"/>
              <w:bottom w:val="single" w:sz="4" w:space="0" w:color="000000"/>
              <w:right w:val="single" w:sz="8" w:space="0" w:color="000000"/>
            </w:tcBorders>
            <w:shd w:val="clear" w:color="000000" w:fill="D9D9D9"/>
            <w:vAlign w:val="center"/>
            <w:hideMark/>
          </w:tcPr>
          <w:p w14:paraId="33010A13"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74" w:type="pct"/>
            <w:tcBorders>
              <w:top w:val="nil"/>
              <w:left w:val="nil"/>
              <w:bottom w:val="single" w:sz="4" w:space="0" w:color="000000"/>
              <w:right w:val="single" w:sz="8" w:space="0" w:color="000000"/>
            </w:tcBorders>
            <w:shd w:val="clear" w:color="000000" w:fill="D9D9D9"/>
            <w:noWrap/>
            <w:vAlign w:val="center"/>
            <w:hideMark/>
          </w:tcPr>
          <w:p w14:paraId="49EC4D79"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 </w:t>
            </w:r>
          </w:p>
        </w:tc>
        <w:tc>
          <w:tcPr>
            <w:tcW w:w="308" w:type="pct"/>
            <w:tcBorders>
              <w:top w:val="nil"/>
              <w:left w:val="nil"/>
              <w:bottom w:val="single" w:sz="4" w:space="0" w:color="000000"/>
              <w:right w:val="single" w:sz="8" w:space="0" w:color="000000"/>
            </w:tcBorders>
            <w:shd w:val="clear" w:color="auto" w:fill="auto"/>
            <w:noWrap/>
            <w:vAlign w:val="center"/>
            <w:hideMark/>
          </w:tcPr>
          <w:p w14:paraId="0964FB3E"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 </w:t>
            </w:r>
          </w:p>
        </w:tc>
        <w:tc>
          <w:tcPr>
            <w:tcW w:w="308" w:type="pct"/>
            <w:tcBorders>
              <w:top w:val="nil"/>
              <w:left w:val="nil"/>
              <w:bottom w:val="single" w:sz="4" w:space="0" w:color="000000"/>
              <w:right w:val="single" w:sz="8" w:space="0" w:color="000000"/>
            </w:tcBorders>
            <w:shd w:val="clear" w:color="auto" w:fill="auto"/>
            <w:noWrap/>
            <w:vAlign w:val="center"/>
            <w:hideMark/>
          </w:tcPr>
          <w:p w14:paraId="02073CAA"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 </w:t>
            </w:r>
          </w:p>
        </w:tc>
        <w:tc>
          <w:tcPr>
            <w:tcW w:w="291" w:type="pct"/>
            <w:tcBorders>
              <w:top w:val="nil"/>
              <w:left w:val="nil"/>
              <w:bottom w:val="single" w:sz="4" w:space="0" w:color="000000"/>
              <w:right w:val="single" w:sz="8" w:space="0" w:color="000000"/>
            </w:tcBorders>
            <w:shd w:val="clear" w:color="auto" w:fill="auto"/>
            <w:noWrap/>
            <w:vAlign w:val="center"/>
            <w:hideMark/>
          </w:tcPr>
          <w:p w14:paraId="6AAEEFA4"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 </w:t>
            </w:r>
          </w:p>
        </w:tc>
        <w:tc>
          <w:tcPr>
            <w:tcW w:w="310" w:type="pct"/>
            <w:tcBorders>
              <w:top w:val="nil"/>
              <w:left w:val="nil"/>
              <w:bottom w:val="single" w:sz="4" w:space="0" w:color="000000"/>
              <w:right w:val="single" w:sz="8" w:space="0" w:color="000000"/>
            </w:tcBorders>
            <w:shd w:val="clear" w:color="auto" w:fill="auto"/>
            <w:noWrap/>
            <w:vAlign w:val="center"/>
            <w:hideMark/>
          </w:tcPr>
          <w:p w14:paraId="542C5506"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 </w:t>
            </w:r>
          </w:p>
        </w:tc>
        <w:tc>
          <w:tcPr>
            <w:tcW w:w="394" w:type="pct"/>
            <w:tcBorders>
              <w:top w:val="nil"/>
              <w:left w:val="nil"/>
              <w:bottom w:val="single" w:sz="4" w:space="0" w:color="000000"/>
              <w:right w:val="single" w:sz="8" w:space="0" w:color="000000"/>
            </w:tcBorders>
            <w:shd w:val="clear" w:color="auto" w:fill="auto"/>
            <w:noWrap/>
            <w:vAlign w:val="center"/>
            <w:hideMark/>
          </w:tcPr>
          <w:p w14:paraId="43C6ADFB"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1</w:t>
            </w:r>
          </w:p>
        </w:tc>
        <w:tc>
          <w:tcPr>
            <w:tcW w:w="308" w:type="pct"/>
            <w:tcBorders>
              <w:top w:val="nil"/>
              <w:left w:val="nil"/>
              <w:bottom w:val="single" w:sz="4" w:space="0" w:color="000000"/>
              <w:right w:val="single" w:sz="8" w:space="0" w:color="000000"/>
            </w:tcBorders>
            <w:shd w:val="clear" w:color="auto" w:fill="auto"/>
            <w:noWrap/>
            <w:vAlign w:val="bottom"/>
            <w:hideMark/>
          </w:tcPr>
          <w:p w14:paraId="380D581E"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 </w:t>
            </w:r>
          </w:p>
        </w:tc>
      </w:tr>
      <w:tr w:rsidR="00596935" w:rsidRPr="00596935" w14:paraId="4B7AA547" w14:textId="77777777" w:rsidTr="00596935">
        <w:trPr>
          <w:trHeight w:val="300"/>
        </w:trPr>
        <w:tc>
          <w:tcPr>
            <w:tcW w:w="999" w:type="pct"/>
            <w:tcBorders>
              <w:top w:val="nil"/>
              <w:left w:val="single" w:sz="8" w:space="0" w:color="000000"/>
              <w:bottom w:val="single" w:sz="4" w:space="0" w:color="000000"/>
              <w:right w:val="single" w:sz="8" w:space="0" w:color="000000"/>
            </w:tcBorders>
            <w:shd w:val="clear" w:color="auto" w:fill="auto"/>
            <w:vAlign w:val="center"/>
            <w:hideMark/>
          </w:tcPr>
          <w:p w14:paraId="048B7BC8" w14:textId="77777777" w:rsidR="00596935" w:rsidRPr="00596935" w:rsidRDefault="00596935" w:rsidP="00596935">
            <w:pPr>
              <w:rPr>
                <w:rFonts w:cs="Arial"/>
                <w:b/>
                <w:bCs/>
                <w:sz w:val="18"/>
                <w:szCs w:val="18"/>
                <w:lang w:val="de-AT" w:eastAsia="de-AT"/>
              </w:rPr>
            </w:pPr>
            <w:r w:rsidRPr="00596935">
              <w:rPr>
                <w:rFonts w:cs="Arial"/>
                <w:b/>
                <w:bCs/>
                <w:sz w:val="18"/>
                <w:szCs w:val="18"/>
                <w:lang w:val="de-AT" w:eastAsia="de-AT"/>
              </w:rPr>
              <w:t>external otitis</w:t>
            </w:r>
          </w:p>
        </w:tc>
        <w:tc>
          <w:tcPr>
            <w:tcW w:w="267" w:type="pct"/>
            <w:tcBorders>
              <w:top w:val="nil"/>
              <w:left w:val="nil"/>
              <w:bottom w:val="single" w:sz="4" w:space="0" w:color="000000"/>
              <w:right w:val="single" w:sz="8" w:space="0" w:color="000000"/>
            </w:tcBorders>
            <w:shd w:val="clear" w:color="auto" w:fill="auto"/>
            <w:vAlign w:val="center"/>
            <w:hideMark/>
          </w:tcPr>
          <w:p w14:paraId="761851B0"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56" w:type="pct"/>
            <w:tcBorders>
              <w:top w:val="nil"/>
              <w:left w:val="nil"/>
              <w:bottom w:val="single" w:sz="4" w:space="0" w:color="000000"/>
              <w:right w:val="single" w:sz="8" w:space="0" w:color="000000"/>
            </w:tcBorders>
            <w:shd w:val="clear" w:color="auto" w:fill="auto"/>
            <w:vAlign w:val="center"/>
            <w:hideMark/>
          </w:tcPr>
          <w:p w14:paraId="1E02C952"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4</w:t>
            </w:r>
          </w:p>
        </w:tc>
        <w:tc>
          <w:tcPr>
            <w:tcW w:w="256" w:type="pct"/>
            <w:tcBorders>
              <w:top w:val="nil"/>
              <w:left w:val="nil"/>
              <w:bottom w:val="single" w:sz="4" w:space="0" w:color="000000"/>
              <w:right w:val="single" w:sz="8" w:space="0" w:color="000000"/>
            </w:tcBorders>
            <w:shd w:val="clear" w:color="auto" w:fill="auto"/>
            <w:vAlign w:val="center"/>
            <w:hideMark/>
          </w:tcPr>
          <w:p w14:paraId="6BF21658"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56" w:type="pct"/>
            <w:tcBorders>
              <w:top w:val="nil"/>
              <w:left w:val="nil"/>
              <w:bottom w:val="single" w:sz="4" w:space="0" w:color="000000"/>
              <w:right w:val="single" w:sz="8" w:space="0" w:color="000000"/>
            </w:tcBorders>
            <w:shd w:val="clear" w:color="auto" w:fill="auto"/>
            <w:vAlign w:val="center"/>
            <w:hideMark/>
          </w:tcPr>
          <w:p w14:paraId="415019B7"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56" w:type="pct"/>
            <w:tcBorders>
              <w:top w:val="nil"/>
              <w:left w:val="nil"/>
              <w:bottom w:val="single" w:sz="4" w:space="0" w:color="000000"/>
              <w:right w:val="single" w:sz="8" w:space="0" w:color="000000"/>
            </w:tcBorders>
            <w:shd w:val="clear" w:color="auto" w:fill="auto"/>
            <w:vAlign w:val="center"/>
            <w:hideMark/>
          </w:tcPr>
          <w:p w14:paraId="38F7631D"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43" w:type="pct"/>
            <w:tcBorders>
              <w:top w:val="nil"/>
              <w:left w:val="nil"/>
              <w:bottom w:val="single" w:sz="4" w:space="0" w:color="000000"/>
              <w:right w:val="single" w:sz="8" w:space="0" w:color="000000"/>
            </w:tcBorders>
            <w:shd w:val="clear" w:color="000000" w:fill="D9D9D9"/>
            <w:vAlign w:val="center"/>
            <w:hideMark/>
          </w:tcPr>
          <w:p w14:paraId="05A21D04"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1</w:t>
            </w:r>
          </w:p>
        </w:tc>
        <w:tc>
          <w:tcPr>
            <w:tcW w:w="274" w:type="pct"/>
            <w:tcBorders>
              <w:top w:val="nil"/>
              <w:left w:val="nil"/>
              <w:bottom w:val="single" w:sz="4" w:space="0" w:color="000000"/>
              <w:right w:val="single" w:sz="8" w:space="0" w:color="000000"/>
            </w:tcBorders>
            <w:shd w:val="clear" w:color="000000" w:fill="D9D9D9"/>
            <w:vAlign w:val="center"/>
            <w:hideMark/>
          </w:tcPr>
          <w:p w14:paraId="373FCEE3"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7</w:t>
            </w:r>
          </w:p>
        </w:tc>
        <w:tc>
          <w:tcPr>
            <w:tcW w:w="274" w:type="pct"/>
            <w:tcBorders>
              <w:top w:val="nil"/>
              <w:left w:val="nil"/>
              <w:bottom w:val="single" w:sz="4" w:space="0" w:color="000000"/>
              <w:right w:val="single" w:sz="8" w:space="0" w:color="000000"/>
            </w:tcBorders>
            <w:shd w:val="clear" w:color="000000" w:fill="D9D9D9"/>
            <w:noWrap/>
            <w:vAlign w:val="center"/>
            <w:hideMark/>
          </w:tcPr>
          <w:p w14:paraId="25F0A94B"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4</w:t>
            </w:r>
          </w:p>
        </w:tc>
        <w:tc>
          <w:tcPr>
            <w:tcW w:w="308" w:type="pct"/>
            <w:tcBorders>
              <w:top w:val="nil"/>
              <w:left w:val="nil"/>
              <w:bottom w:val="single" w:sz="4" w:space="0" w:color="000000"/>
              <w:right w:val="single" w:sz="8" w:space="0" w:color="000000"/>
            </w:tcBorders>
            <w:shd w:val="clear" w:color="auto" w:fill="auto"/>
            <w:noWrap/>
            <w:vAlign w:val="center"/>
            <w:hideMark/>
          </w:tcPr>
          <w:p w14:paraId="1C9B5905"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57,1</w:t>
            </w:r>
          </w:p>
        </w:tc>
        <w:tc>
          <w:tcPr>
            <w:tcW w:w="308" w:type="pct"/>
            <w:tcBorders>
              <w:top w:val="nil"/>
              <w:left w:val="nil"/>
              <w:bottom w:val="single" w:sz="4" w:space="0" w:color="000000"/>
              <w:right w:val="single" w:sz="8" w:space="0" w:color="000000"/>
            </w:tcBorders>
            <w:shd w:val="clear" w:color="auto" w:fill="auto"/>
            <w:noWrap/>
            <w:vAlign w:val="center"/>
            <w:hideMark/>
          </w:tcPr>
          <w:p w14:paraId="0EB2E631"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2,27</w:t>
            </w:r>
          </w:p>
        </w:tc>
        <w:tc>
          <w:tcPr>
            <w:tcW w:w="291" w:type="pct"/>
            <w:tcBorders>
              <w:top w:val="nil"/>
              <w:left w:val="nil"/>
              <w:bottom w:val="single" w:sz="4" w:space="0" w:color="000000"/>
              <w:right w:val="single" w:sz="8" w:space="0" w:color="000000"/>
            </w:tcBorders>
            <w:shd w:val="clear" w:color="auto" w:fill="auto"/>
            <w:noWrap/>
            <w:vAlign w:val="center"/>
            <w:hideMark/>
          </w:tcPr>
          <w:p w14:paraId="0035A352"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 </w:t>
            </w:r>
          </w:p>
        </w:tc>
        <w:tc>
          <w:tcPr>
            <w:tcW w:w="310" w:type="pct"/>
            <w:tcBorders>
              <w:top w:val="nil"/>
              <w:left w:val="nil"/>
              <w:bottom w:val="single" w:sz="4" w:space="0" w:color="000000"/>
              <w:right w:val="single" w:sz="8" w:space="0" w:color="000000"/>
            </w:tcBorders>
            <w:shd w:val="clear" w:color="auto" w:fill="auto"/>
            <w:noWrap/>
            <w:vAlign w:val="center"/>
            <w:hideMark/>
          </w:tcPr>
          <w:p w14:paraId="24C73923"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 </w:t>
            </w:r>
          </w:p>
        </w:tc>
        <w:tc>
          <w:tcPr>
            <w:tcW w:w="394" w:type="pct"/>
            <w:tcBorders>
              <w:top w:val="nil"/>
              <w:left w:val="nil"/>
              <w:bottom w:val="single" w:sz="4" w:space="0" w:color="000000"/>
              <w:right w:val="single" w:sz="8" w:space="0" w:color="000000"/>
            </w:tcBorders>
            <w:shd w:val="clear" w:color="auto" w:fill="auto"/>
            <w:noWrap/>
            <w:vAlign w:val="center"/>
            <w:hideMark/>
          </w:tcPr>
          <w:p w14:paraId="09E7BDF9"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1</w:t>
            </w:r>
          </w:p>
        </w:tc>
        <w:tc>
          <w:tcPr>
            <w:tcW w:w="308" w:type="pct"/>
            <w:tcBorders>
              <w:top w:val="nil"/>
              <w:left w:val="nil"/>
              <w:bottom w:val="single" w:sz="4" w:space="0" w:color="000000"/>
              <w:right w:val="single" w:sz="8" w:space="0" w:color="000000"/>
            </w:tcBorders>
            <w:shd w:val="clear" w:color="auto" w:fill="auto"/>
            <w:noWrap/>
            <w:vAlign w:val="bottom"/>
            <w:hideMark/>
          </w:tcPr>
          <w:p w14:paraId="1A6FBB8C"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 </w:t>
            </w:r>
          </w:p>
        </w:tc>
      </w:tr>
      <w:tr w:rsidR="00596935" w:rsidRPr="00596935" w14:paraId="5500B571" w14:textId="77777777" w:rsidTr="00596935">
        <w:trPr>
          <w:trHeight w:val="370"/>
        </w:trPr>
        <w:tc>
          <w:tcPr>
            <w:tcW w:w="999" w:type="pct"/>
            <w:tcBorders>
              <w:top w:val="nil"/>
              <w:left w:val="single" w:sz="8" w:space="0" w:color="000000"/>
              <w:bottom w:val="single" w:sz="4" w:space="0" w:color="000000"/>
              <w:right w:val="single" w:sz="8" w:space="0" w:color="000000"/>
            </w:tcBorders>
            <w:shd w:val="clear" w:color="auto" w:fill="auto"/>
            <w:vAlign w:val="center"/>
            <w:hideMark/>
          </w:tcPr>
          <w:p w14:paraId="3B237035" w14:textId="77777777" w:rsidR="00596935" w:rsidRPr="00596935" w:rsidRDefault="00596935" w:rsidP="00596935">
            <w:pPr>
              <w:rPr>
                <w:rFonts w:cs="Arial"/>
                <w:b/>
                <w:bCs/>
                <w:sz w:val="18"/>
                <w:szCs w:val="18"/>
                <w:lang w:val="de-AT" w:eastAsia="de-AT"/>
              </w:rPr>
            </w:pPr>
            <w:r w:rsidRPr="00596935">
              <w:rPr>
                <w:rFonts w:cs="Arial"/>
                <w:b/>
                <w:bCs/>
                <w:sz w:val="18"/>
                <w:szCs w:val="18"/>
                <w:lang w:val="de-AT" w:eastAsia="de-AT"/>
              </w:rPr>
              <w:t xml:space="preserve">deterioration in hearing </w:t>
            </w:r>
          </w:p>
        </w:tc>
        <w:tc>
          <w:tcPr>
            <w:tcW w:w="267" w:type="pct"/>
            <w:tcBorders>
              <w:top w:val="nil"/>
              <w:left w:val="nil"/>
              <w:bottom w:val="single" w:sz="4" w:space="0" w:color="000000"/>
              <w:right w:val="single" w:sz="8" w:space="0" w:color="000000"/>
            </w:tcBorders>
            <w:shd w:val="clear" w:color="auto" w:fill="auto"/>
            <w:vAlign w:val="center"/>
            <w:hideMark/>
          </w:tcPr>
          <w:p w14:paraId="59946BCE"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56" w:type="pct"/>
            <w:tcBorders>
              <w:top w:val="nil"/>
              <w:left w:val="nil"/>
              <w:bottom w:val="single" w:sz="4" w:space="0" w:color="000000"/>
              <w:right w:val="single" w:sz="8" w:space="0" w:color="000000"/>
            </w:tcBorders>
            <w:shd w:val="clear" w:color="auto" w:fill="auto"/>
            <w:vAlign w:val="center"/>
            <w:hideMark/>
          </w:tcPr>
          <w:p w14:paraId="2DF8B3C6"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56" w:type="pct"/>
            <w:tcBorders>
              <w:top w:val="nil"/>
              <w:left w:val="nil"/>
              <w:bottom w:val="single" w:sz="4" w:space="0" w:color="000000"/>
              <w:right w:val="single" w:sz="8" w:space="0" w:color="000000"/>
            </w:tcBorders>
            <w:shd w:val="clear" w:color="auto" w:fill="auto"/>
            <w:vAlign w:val="center"/>
            <w:hideMark/>
          </w:tcPr>
          <w:p w14:paraId="39158906"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3</w:t>
            </w:r>
          </w:p>
        </w:tc>
        <w:tc>
          <w:tcPr>
            <w:tcW w:w="256" w:type="pct"/>
            <w:tcBorders>
              <w:top w:val="nil"/>
              <w:left w:val="nil"/>
              <w:bottom w:val="single" w:sz="4" w:space="0" w:color="000000"/>
              <w:right w:val="single" w:sz="8" w:space="0" w:color="000000"/>
            </w:tcBorders>
            <w:shd w:val="clear" w:color="auto" w:fill="auto"/>
            <w:vAlign w:val="center"/>
            <w:hideMark/>
          </w:tcPr>
          <w:p w14:paraId="0A3679B5"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56" w:type="pct"/>
            <w:tcBorders>
              <w:top w:val="nil"/>
              <w:left w:val="nil"/>
              <w:bottom w:val="single" w:sz="4" w:space="0" w:color="000000"/>
              <w:right w:val="single" w:sz="8" w:space="0" w:color="000000"/>
            </w:tcBorders>
            <w:shd w:val="clear" w:color="auto" w:fill="auto"/>
            <w:vAlign w:val="center"/>
            <w:hideMark/>
          </w:tcPr>
          <w:p w14:paraId="66E7D604"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43" w:type="pct"/>
            <w:tcBorders>
              <w:top w:val="nil"/>
              <w:left w:val="nil"/>
              <w:bottom w:val="single" w:sz="4" w:space="0" w:color="000000"/>
              <w:right w:val="single" w:sz="8" w:space="0" w:color="000000"/>
            </w:tcBorders>
            <w:shd w:val="clear" w:color="000000" w:fill="D9D9D9"/>
            <w:vAlign w:val="center"/>
            <w:hideMark/>
          </w:tcPr>
          <w:p w14:paraId="670A394F"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1</w:t>
            </w:r>
          </w:p>
        </w:tc>
        <w:tc>
          <w:tcPr>
            <w:tcW w:w="274" w:type="pct"/>
            <w:tcBorders>
              <w:top w:val="nil"/>
              <w:left w:val="nil"/>
              <w:bottom w:val="single" w:sz="4" w:space="0" w:color="000000"/>
              <w:right w:val="single" w:sz="8" w:space="0" w:color="000000"/>
            </w:tcBorders>
            <w:shd w:val="clear" w:color="000000" w:fill="D9D9D9"/>
            <w:vAlign w:val="center"/>
            <w:hideMark/>
          </w:tcPr>
          <w:p w14:paraId="0E456E15"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10</w:t>
            </w:r>
          </w:p>
        </w:tc>
        <w:tc>
          <w:tcPr>
            <w:tcW w:w="274" w:type="pct"/>
            <w:tcBorders>
              <w:top w:val="nil"/>
              <w:left w:val="nil"/>
              <w:bottom w:val="single" w:sz="4" w:space="0" w:color="000000"/>
              <w:right w:val="single" w:sz="8" w:space="0" w:color="000000"/>
            </w:tcBorders>
            <w:shd w:val="clear" w:color="000000" w:fill="D9D9D9"/>
            <w:noWrap/>
            <w:vAlign w:val="center"/>
            <w:hideMark/>
          </w:tcPr>
          <w:p w14:paraId="189CE210"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3</w:t>
            </w:r>
          </w:p>
        </w:tc>
        <w:tc>
          <w:tcPr>
            <w:tcW w:w="308" w:type="pct"/>
            <w:tcBorders>
              <w:top w:val="nil"/>
              <w:left w:val="nil"/>
              <w:bottom w:val="single" w:sz="4" w:space="0" w:color="000000"/>
              <w:right w:val="single" w:sz="8" w:space="0" w:color="000000"/>
            </w:tcBorders>
            <w:shd w:val="clear" w:color="auto" w:fill="auto"/>
            <w:noWrap/>
            <w:vAlign w:val="center"/>
            <w:hideMark/>
          </w:tcPr>
          <w:p w14:paraId="55994FC3"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30,0</w:t>
            </w:r>
          </w:p>
        </w:tc>
        <w:tc>
          <w:tcPr>
            <w:tcW w:w="308" w:type="pct"/>
            <w:tcBorders>
              <w:top w:val="nil"/>
              <w:left w:val="nil"/>
              <w:bottom w:val="single" w:sz="4" w:space="0" w:color="000000"/>
              <w:right w:val="single" w:sz="8" w:space="0" w:color="000000"/>
            </w:tcBorders>
            <w:shd w:val="clear" w:color="auto" w:fill="auto"/>
            <w:noWrap/>
            <w:vAlign w:val="center"/>
            <w:hideMark/>
          </w:tcPr>
          <w:p w14:paraId="7595BE68"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1,70</w:t>
            </w:r>
          </w:p>
        </w:tc>
        <w:tc>
          <w:tcPr>
            <w:tcW w:w="291" w:type="pct"/>
            <w:tcBorders>
              <w:top w:val="nil"/>
              <w:left w:val="nil"/>
              <w:bottom w:val="single" w:sz="4" w:space="0" w:color="000000"/>
              <w:right w:val="single" w:sz="8" w:space="0" w:color="000000"/>
            </w:tcBorders>
            <w:shd w:val="clear" w:color="auto" w:fill="auto"/>
            <w:noWrap/>
            <w:vAlign w:val="center"/>
            <w:hideMark/>
          </w:tcPr>
          <w:p w14:paraId="0CB6A26E"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 </w:t>
            </w:r>
          </w:p>
        </w:tc>
        <w:tc>
          <w:tcPr>
            <w:tcW w:w="310" w:type="pct"/>
            <w:tcBorders>
              <w:top w:val="nil"/>
              <w:left w:val="nil"/>
              <w:bottom w:val="single" w:sz="4" w:space="0" w:color="000000"/>
              <w:right w:val="single" w:sz="8" w:space="0" w:color="000000"/>
            </w:tcBorders>
            <w:shd w:val="clear" w:color="auto" w:fill="auto"/>
            <w:noWrap/>
            <w:vAlign w:val="center"/>
            <w:hideMark/>
          </w:tcPr>
          <w:p w14:paraId="5582192C"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 </w:t>
            </w:r>
          </w:p>
        </w:tc>
        <w:tc>
          <w:tcPr>
            <w:tcW w:w="394" w:type="pct"/>
            <w:tcBorders>
              <w:top w:val="nil"/>
              <w:left w:val="nil"/>
              <w:bottom w:val="single" w:sz="4" w:space="0" w:color="000000"/>
              <w:right w:val="single" w:sz="8" w:space="0" w:color="000000"/>
            </w:tcBorders>
            <w:shd w:val="clear" w:color="auto" w:fill="auto"/>
            <w:noWrap/>
            <w:vAlign w:val="center"/>
            <w:hideMark/>
          </w:tcPr>
          <w:p w14:paraId="7B0C8433"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 </w:t>
            </w:r>
          </w:p>
        </w:tc>
        <w:tc>
          <w:tcPr>
            <w:tcW w:w="308" w:type="pct"/>
            <w:tcBorders>
              <w:top w:val="nil"/>
              <w:left w:val="nil"/>
              <w:bottom w:val="single" w:sz="4" w:space="0" w:color="000000"/>
              <w:right w:val="single" w:sz="8" w:space="0" w:color="000000"/>
            </w:tcBorders>
            <w:shd w:val="clear" w:color="auto" w:fill="auto"/>
            <w:noWrap/>
            <w:vAlign w:val="bottom"/>
            <w:hideMark/>
          </w:tcPr>
          <w:p w14:paraId="2A3882DA"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 </w:t>
            </w:r>
          </w:p>
        </w:tc>
      </w:tr>
      <w:tr w:rsidR="00596935" w:rsidRPr="00596935" w14:paraId="2341674D" w14:textId="77777777" w:rsidTr="00596935">
        <w:trPr>
          <w:trHeight w:val="300"/>
        </w:trPr>
        <w:tc>
          <w:tcPr>
            <w:tcW w:w="999" w:type="pct"/>
            <w:tcBorders>
              <w:top w:val="nil"/>
              <w:left w:val="single" w:sz="8" w:space="0" w:color="000000"/>
              <w:bottom w:val="single" w:sz="4" w:space="0" w:color="000000"/>
              <w:right w:val="single" w:sz="8" w:space="0" w:color="000000"/>
            </w:tcBorders>
            <w:shd w:val="clear" w:color="auto" w:fill="auto"/>
            <w:vAlign w:val="center"/>
            <w:hideMark/>
          </w:tcPr>
          <w:p w14:paraId="173D9E7F" w14:textId="77777777" w:rsidR="00596935" w:rsidRPr="00596935" w:rsidRDefault="00596935" w:rsidP="00596935">
            <w:pPr>
              <w:rPr>
                <w:rFonts w:cs="Arial"/>
                <w:b/>
                <w:bCs/>
                <w:sz w:val="18"/>
                <w:szCs w:val="18"/>
                <w:lang w:val="de-AT" w:eastAsia="de-AT"/>
              </w:rPr>
            </w:pPr>
            <w:r w:rsidRPr="00596935">
              <w:rPr>
                <w:rFonts w:cs="Arial"/>
                <w:b/>
                <w:bCs/>
                <w:sz w:val="18"/>
                <w:szCs w:val="18"/>
                <w:lang w:val="de-AT" w:eastAsia="de-AT"/>
              </w:rPr>
              <w:t>miscellaneous</w:t>
            </w:r>
          </w:p>
        </w:tc>
        <w:tc>
          <w:tcPr>
            <w:tcW w:w="267" w:type="pct"/>
            <w:tcBorders>
              <w:top w:val="nil"/>
              <w:left w:val="nil"/>
              <w:bottom w:val="single" w:sz="4" w:space="0" w:color="000000"/>
              <w:right w:val="single" w:sz="8" w:space="0" w:color="000000"/>
            </w:tcBorders>
            <w:shd w:val="clear" w:color="auto" w:fill="auto"/>
            <w:vAlign w:val="center"/>
            <w:hideMark/>
          </w:tcPr>
          <w:p w14:paraId="31F63DF0"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56" w:type="pct"/>
            <w:tcBorders>
              <w:top w:val="nil"/>
              <w:left w:val="nil"/>
              <w:bottom w:val="single" w:sz="4" w:space="0" w:color="000000"/>
              <w:right w:val="single" w:sz="8" w:space="0" w:color="000000"/>
            </w:tcBorders>
            <w:shd w:val="clear" w:color="auto" w:fill="auto"/>
            <w:vAlign w:val="center"/>
            <w:hideMark/>
          </w:tcPr>
          <w:p w14:paraId="4EB2E4D2"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56" w:type="pct"/>
            <w:tcBorders>
              <w:top w:val="nil"/>
              <w:left w:val="nil"/>
              <w:bottom w:val="single" w:sz="4" w:space="0" w:color="000000"/>
              <w:right w:val="single" w:sz="8" w:space="0" w:color="000000"/>
            </w:tcBorders>
            <w:shd w:val="clear" w:color="auto" w:fill="auto"/>
            <w:vAlign w:val="center"/>
            <w:hideMark/>
          </w:tcPr>
          <w:p w14:paraId="400134D0"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56" w:type="pct"/>
            <w:tcBorders>
              <w:top w:val="nil"/>
              <w:left w:val="nil"/>
              <w:bottom w:val="single" w:sz="4" w:space="0" w:color="000000"/>
              <w:right w:val="single" w:sz="8" w:space="0" w:color="000000"/>
            </w:tcBorders>
            <w:shd w:val="clear" w:color="auto" w:fill="auto"/>
            <w:vAlign w:val="center"/>
            <w:hideMark/>
          </w:tcPr>
          <w:p w14:paraId="0953F851"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56" w:type="pct"/>
            <w:tcBorders>
              <w:top w:val="nil"/>
              <w:left w:val="nil"/>
              <w:bottom w:val="single" w:sz="4" w:space="0" w:color="000000"/>
              <w:right w:val="single" w:sz="8" w:space="0" w:color="000000"/>
            </w:tcBorders>
            <w:shd w:val="clear" w:color="auto" w:fill="auto"/>
            <w:vAlign w:val="center"/>
            <w:hideMark/>
          </w:tcPr>
          <w:p w14:paraId="7569EC5A"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30</w:t>
            </w:r>
          </w:p>
        </w:tc>
        <w:tc>
          <w:tcPr>
            <w:tcW w:w="243" w:type="pct"/>
            <w:tcBorders>
              <w:top w:val="nil"/>
              <w:left w:val="nil"/>
              <w:bottom w:val="single" w:sz="4" w:space="0" w:color="000000"/>
              <w:right w:val="single" w:sz="8" w:space="0" w:color="000000"/>
            </w:tcBorders>
            <w:shd w:val="clear" w:color="000000" w:fill="D9D9D9"/>
            <w:vAlign w:val="center"/>
            <w:hideMark/>
          </w:tcPr>
          <w:p w14:paraId="7B9D29FC"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1</w:t>
            </w:r>
          </w:p>
        </w:tc>
        <w:tc>
          <w:tcPr>
            <w:tcW w:w="274" w:type="pct"/>
            <w:tcBorders>
              <w:top w:val="nil"/>
              <w:left w:val="nil"/>
              <w:bottom w:val="single" w:sz="4" w:space="0" w:color="000000"/>
              <w:right w:val="single" w:sz="8" w:space="0" w:color="000000"/>
            </w:tcBorders>
            <w:shd w:val="clear" w:color="000000" w:fill="D9D9D9"/>
            <w:vAlign w:val="center"/>
            <w:hideMark/>
          </w:tcPr>
          <w:p w14:paraId="57609AF6"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57</w:t>
            </w:r>
          </w:p>
        </w:tc>
        <w:tc>
          <w:tcPr>
            <w:tcW w:w="274" w:type="pct"/>
            <w:tcBorders>
              <w:top w:val="nil"/>
              <w:left w:val="nil"/>
              <w:bottom w:val="single" w:sz="4" w:space="0" w:color="000000"/>
              <w:right w:val="single" w:sz="8" w:space="0" w:color="000000"/>
            </w:tcBorders>
            <w:shd w:val="clear" w:color="000000" w:fill="D9D9D9"/>
            <w:noWrap/>
            <w:vAlign w:val="center"/>
            <w:hideMark/>
          </w:tcPr>
          <w:p w14:paraId="3025B74B"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30</w:t>
            </w:r>
          </w:p>
        </w:tc>
        <w:tc>
          <w:tcPr>
            <w:tcW w:w="308" w:type="pct"/>
            <w:tcBorders>
              <w:top w:val="nil"/>
              <w:left w:val="nil"/>
              <w:bottom w:val="single" w:sz="4" w:space="0" w:color="000000"/>
              <w:right w:val="single" w:sz="8" w:space="0" w:color="000000"/>
            </w:tcBorders>
            <w:shd w:val="clear" w:color="auto" w:fill="auto"/>
            <w:noWrap/>
            <w:vAlign w:val="center"/>
            <w:hideMark/>
          </w:tcPr>
          <w:p w14:paraId="31F58F9D"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52,6</w:t>
            </w:r>
          </w:p>
        </w:tc>
        <w:tc>
          <w:tcPr>
            <w:tcW w:w="308" w:type="pct"/>
            <w:tcBorders>
              <w:top w:val="nil"/>
              <w:left w:val="nil"/>
              <w:bottom w:val="single" w:sz="4" w:space="0" w:color="000000"/>
              <w:right w:val="single" w:sz="8" w:space="0" w:color="000000"/>
            </w:tcBorders>
            <w:shd w:val="clear" w:color="auto" w:fill="auto"/>
            <w:noWrap/>
            <w:vAlign w:val="center"/>
            <w:hideMark/>
          </w:tcPr>
          <w:p w14:paraId="34934BEF"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17,0</w:t>
            </w:r>
          </w:p>
        </w:tc>
        <w:tc>
          <w:tcPr>
            <w:tcW w:w="291" w:type="pct"/>
            <w:tcBorders>
              <w:top w:val="nil"/>
              <w:left w:val="nil"/>
              <w:bottom w:val="single" w:sz="4" w:space="0" w:color="000000"/>
              <w:right w:val="single" w:sz="8" w:space="0" w:color="000000"/>
            </w:tcBorders>
            <w:shd w:val="clear" w:color="auto" w:fill="auto"/>
            <w:noWrap/>
            <w:vAlign w:val="center"/>
            <w:hideMark/>
          </w:tcPr>
          <w:p w14:paraId="11D4D7C2"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 </w:t>
            </w:r>
          </w:p>
        </w:tc>
        <w:tc>
          <w:tcPr>
            <w:tcW w:w="310" w:type="pct"/>
            <w:tcBorders>
              <w:top w:val="nil"/>
              <w:left w:val="nil"/>
              <w:bottom w:val="single" w:sz="4" w:space="0" w:color="000000"/>
              <w:right w:val="single" w:sz="8" w:space="0" w:color="000000"/>
            </w:tcBorders>
            <w:shd w:val="clear" w:color="auto" w:fill="auto"/>
            <w:noWrap/>
            <w:vAlign w:val="center"/>
            <w:hideMark/>
          </w:tcPr>
          <w:p w14:paraId="2D65EF57"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 </w:t>
            </w:r>
          </w:p>
        </w:tc>
        <w:tc>
          <w:tcPr>
            <w:tcW w:w="394" w:type="pct"/>
            <w:tcBorders>
              <w:top w:val="nil"/>
              <w:left w:val="nil"/>
              <w:bottom w:val="single" w:sz="4" w:space="0" w:color="000000"/>
              <w:right w:val="single" w:sz="8" w:space="0" w:color="000000"/>
            </w:tcBorders>
            <w:shd w:val="clear" w:color="auto" w:fill="auto"/>
            <w:noWrap/>
            <w:vAlign w:val="center"/>
            <w:hideMark/>
          </w:tcPr>
          <w:p w14:paraId="3A9BA97C"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 </w:t>
            </w:r>
          </w:p>
        </w:tc>
        <w:tc>
          <w:tcPr>
            <w:tcW w:w="308" w:type="pct"/>
            <w:tcBorders>
              <w:top w:val="nil"/>
              <w:left w:val="nil"/>
              <w:bottom w:val="single" w:sz="4" w:space="0" w:color="000000"/>
              <w:right w:val="single" w:sz="8" w:space="0" w:color="000000"/>
            </w:tcBorders>
            <w:shd w:val="clear" w:color="auto" w:fill="auto"/>
            <w:noWrap/>
            <w:vAlign w:val="bottom"/>
            <w:hideMark/>
          </w:tcPr>
          <w:p w14:paraId="00C1BB77"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 </w:t>
            </w:r>
          </w:p>
        </w:tc>
      </w:tr>
      <w:tr w:rsidR="00596935" w:rsidRPr="00596935" w14:paraId="1A693CF8" w14:textId="77777777" w:rsidTr="00596935">
        <w:trPr>
          <w:trHeight w:val="395"/>
        </w:trPr>
        <w:tc>
          <w:tcPr>
            <w:tcW w:w="999" w:type="pct"/>
            <w:tcBorders>
              <w:top w:val="nil"/>
              <w:left w:val="single" w:sz="8" w:space="0" w:color="000000"/>
              <w:bottom w:val="single" w:sz="4" w:space="0" w:color="000000"/>
              <w:right w:val="single" w:sz="8" w:space="0" w:color="000000"/>
            </w:tcBorders>
            <w:shd w:val="clear" w:color="auto" w:fill="auto"/>
            <w:vAlign w:val="center"/>
            <w:hideMark/>
          </w:tcPr>
          <w:p w14:paraId="1F24A8C0" w14:textId="77777777" w:rsidR="00596935" w:rsidRPr="00596935" w:rsidRDefault="00596935" w:rsidP="00596935">
            <w:pPr>
              <w:rPr>
                <w:rFonts w:cs="Arial"/>
                <w:b/>
                <w:bCs/>
                <w:sz w:val="18"/>
                <w:szCs w:val="18"/>
                <w:lang w:val="de-AT" w:eastAsia="de-AT"/>
              </w:rPr>
            </w:pPr>
            <w:r w:rsidRPr="00596935">
              <w:rPr>
                <w:rFonts w:cs="Arial"/>
                <w:b/>
                <w:bCs/>
                <w:sz w:val="18"/>
                <w:szCs w:val="18"/>
                <w:lang w:val="de-AT" w:eastAsia="de-AT"/>
              </w:rPr>
              <w:t>partial device extrusion</w:t>
            </w:r>
          </w:p>
        </w:tc>
        <w:tc>
          <w:tcPr>
            <w:tcW w:w="267" w:type="pct"/>
            <w:tcBorders>
              <w:top w:val="nil"/>
              <w:left w:val="nil"/>
              <w:bottom w:val="single" w:sz="4" w:space="0" w:color="000000"/>
              <w:right w:val="single" w:sz="8" w:space="0" w:color="000000"/>
            </w:tcBorders>
            <w:shd w:val="clear" w:color="auto" w:fill="auto"/>
            <w:vAlign w:val="center"/>
            <w:hideMark/>
          </w:tcPr>
          <w:p w14:paraId="5C6AA06F"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56" w:type="pct"/>
            <w:tcBorders>
              <w:top w:val="nil"/>
              <w:left w:val="nil"/>
              <w:bottom w:val="single" w:sz="4" w:space="0" w:color="000000"/>
              <w:right w:val="single" w:sz="8" w:space="0" w:color="000000"/>
            </w:tcBorders>
            <w:shd w:val="clear" w:color="auto" w:fill="auto"/>
            <w:vAlign w:val="center"/>
            <w:hideMark/>
          </w:tcPr>
          <w:p w14:paraId="019999E2"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56" w:type="pct"/>
            <w:tcBorders>
              <w:top w:val="nil"/>
              <w:left w:val="nil"/>
              <w:bottom w:val="single" w:sz="4" w:space="0" w:color="000000"/>
              <w:right w:val="single" w:sz="8" w:space="0" w:color="000000"/>
            </w:tcBorders>
            <w:shd w:val="clear" w:color="auto" w:fill="auto"/>
            <w:vAlign w:val="center"/>
            <w:hideMark/>
          </w:tcPr>
          <w:p w14:paraId="7CB11CE8"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56" w:type="pct"/>
            <w:tcBorders>
              <w:top w:val="nil"/>
              <w:left w:val="nil"/>
              <w:bottom w:val="single" w:sz="4" w:space="0" w:color="000000"/>
              <w:right w:val="single" w:sz="8" w:space="0" w:color="000000"/>
            </w:tcBorders>
            <w:shd w:val="clear" w:color="auto" w:fill="auto"/>
            <w:vAlign w:val="center"/>
            <w:hideMark/>
          </w:tcPr>
          <w:p w14:paraId="31AEFE1F"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56" w:type="pct"/>
            <w:tcBorders>
              <w:top w:val="nil"/>
              <w:left w:val="nil"/>
              <w:bottom w:val="single" w:sz="4" w:space="0" w:color="000000"/>
              <w:right w:val="single" w:sz="8" w:space="0" w:color="000000"/>
            </w:tcBorders>
            <w:shd w:val="clear" w:color="auto" w:fill="auto"/>
            <w:vAlign w:val="center"/>
            <w:hideMark/>
          </w:tcPr>
          <w:p w14:paraId="2157CACC"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43" w:type="pct"/>
            <w:tcBorders>
              <w:top w:val="nil"/>
              <w:left w:val="nil"/>
              <w:bottom w:val="single" w:sz="4" w:space="0" w:color="000000"/>
              <w:right w:val="single" w:sz="8" w:space="0" w:color="000000"/>
            </w:tcBorders>
            <w:shd w:val="clear" w:color="000000" w:fill="D9D9D9"/>
            <w:vAlign w:val="center"/>
            <w:hideMark/>
          </w:tcPr>
          <w:p w14:paraId="400BBE4A"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74" w:type="pct"/>
            <w:tcBorders>
              <w:top w:val="nil"/>
              <w:left w:val="nil"/>
              <w:bottom w:val="single" w:sz="4" w:space="0" w:color="000000"/>
              <w:right w:val="single" w:sz="8" w:space="0" w:color="000000"/>
            </w:tcBorders>
            <w:shd w:val="clear" w:color="000000" w:fill="D9D9D9"/>
            <w:vAlign w:val="center"/>
            <w:hideMark/>
          </w:tcPr>
          <w:p w14:paraId="1D8FEFFB"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74" w:type="pct"/>
            <w:tcBorders>
              <w:top w:val="nil"/>
              <w:left w:val="nil"/>
              <w:bottom w:val="single" w:sz="4" w:space="0" w:color="000000"/>
              <w:right w:val="single" w:sz="8" w:space="0" w:color="000000"/>
            </w:tcBorders>
            <w:shd w:val="clear" w:color="000000" w:fill="D9D9D9"/>
            <w:noWrap/>
            <w:vAlign w:val="center"/>
            <w:hideMark/>
          </w:tcPr>
          <w:p w14:paraId="35F63485"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 </w:t>
            </w:r>
          </w:p>
        </w:tc>
        <w:tc>
          <w:tcPr>
            <w:tcW w:w="308" w:type="pct"/>
            <w:tcBorders>
              <w:top w:val="nil"/>
              <w:left w:val="nil"/>
              <w:bottom w:val="single" w:sz="4" w:space="0" w:color="000000"/>
              <w:right w:val="single" w:sz="8" w:space="0" w:color="000000"/>
            </w:tcBorders>
            <w:shd w:val="clear" w:color="auto" w:fill="auto"/>
            <w:noWrap/>
            <w:vAlign w:val="center"/>
            <w:hideMark/>
          </w:tcPr>
          <w:p w14:paraId="41499EF8"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 </w:t>
            </w:r>
          </w:p>
        </w:tc>
        <w:tc>
          <w:tcPr>
            <w:tcW w:w="308" w:type="pct"/>
            <w:tcBorders>
              <w:top w:val="nil"/>
              <w:left w:val="nil"/>
              <w:bottom w:val="single" w:sz="4" w:space="0" w:color="000000"/>
              <w:right w:val="single" w:sz="8" w:space="0" w:color="000000"/>
            </w:tcBorders>
            <w:shd w:val="clear" w:color="auto" w:fill="auto"/>
            <w:noWrap/>
            <w:vAlign w:val="center"/>
            <w:hideMark/>
          </w:tcPr>
          <w:p w14:paraId="406462F7"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 </w:t>
            </w:r>
          </w:p>
        </w:tc>
        <w:tc>
          <w:tcPr>
            <w:tcW w:w="291" w:type="pct"/>
            <w:tcBorders>
              <w:top w:val="nil"/>
              <w:left w:val="nil"/>
              <w:bottom w:val="single" w:sz="4" w:space="0" w:color="000000"/>
              <w:right w:val="single" w:sz="8" w:space="0" w:color="000000"/>
            </w:tcBorders>
            <w:shd w:val="clear" w:color="auto" w:fill="auto"/>
            <w:noWrap/>
            <w:vAlign w:val="center"/>
            <w:hideMark/>
          </w:tcPr>
          <w:p w14:paraId="66357385"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3</w:t>
            </w:r>
          </w:p>
        </w:tc>
        <w:tc>
          <w:tcPr>
            <w:tcW w:w="310" w:type="pct"/>
            <w:tcBorders>
              <w:top w:val="nil"/>
              <w:left w:val="nil"/>
              <w:bottom w:val="single" w:sz="4" w:space="0" w:color="000000"/>
              <w:right w:val="single" w:sz="8" w:space="0" w:color="000000"/>
            </w:tcBorders>
            <w:shd w:val="clear" w:color="auto" w:fill="auto"/>
            <w:noWrap/>
            <w:vAlign w:val="center"/>
            <w:hideMark/>
          </w:tcPr>
          <w:p w14:paraId="2B9DB4B2"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 </w:t>
            </w:r>
          </w:p>
        </w:tc>
        <w:tc>
          <w:tcPr>
            <w:tcW w:w="394" w:type="pct"/>
            <w:tcBorders>
              <w:top w:val="nil"/>
              <w:left w:val="nil"/>
              <w:bottom w:val="single" w:sz="4" w:space="0" w:color="000000"/>
              <w:right w:val="single" w:sz="8" w:space="0" w:color="000000"/>
            </w:tcBorders>
            <w:shd w:val="clear" w:color="auto" w:fill="auto"/>
            <w:noWrap/>
            <w:vAlign w:val="center"/>
            <w:hideMark/>
          </w:tcPr>
          <w:p w14:paraId="5C29E269"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 </w:t>
            </w:r>
          </w:p>
        </w:tc>
        <w:tc>
          <w:tcPr>
            <w:tcW w:w="308" w:type="pct"/>
            <w:tcBorders>
              <w:top w:val="nil"/>
              <w:left w:val="nil"/>
              <w:bottom w:val="single" w:sz="4" w:space="0" w:color="000000"/>
              <w:right w:val="single" w:sz="8" w:space="0" w:color="000000"/>
            </w:tcBorders>
            <w:shd w:val="clear" w:color="auto" w:fill="auto"/>
            <w:noWrap/>
            <w:vAlign w:val="bottom"/>
            <w:hideMark/>
          </w:tcPr>
          <w:p w14:paraId="4DDFB680"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 </w:t>
            </w:r>
          </w:p>
        </w:tc>
      </w:tr>
      <w:tr w:rsidR="00596935" w:rsidRPr="00596935" w14:paraId="0EB069D8" w14:textId="77777777" w:rsidTr="00596935">
        <w:trPr>
          <w:trHeight w:val="289"/>
        </w:trPr>
        <w:tc>
          <w:tcPr>
            <w:tcW w:w="999" w:type="pct"/>
            <w:tcBorders>
              <w:top w:val="nil"/>
              <w:left w:val="single" w:sz="8" w:space="0" w:color="000000"/>
              <w:bottom w:val="single" w:sz="4" w:space="0" w:color="000000"/>
              <w:right w:val="single" w:sz="8" w:space="0" w:color="000000"/>
            </w:tcBorders>
            <w:shd w:val="clear" w:color="auto" w:fill="auto"/>
            <w:vAlign w:val="center"/>
            <w:hideMark/>
          </w:tcPr>
          <w:p w14:paraId="5254C238" w14:textId="77777777" w:rsidR="00596935" w:rsidRPr="00596935" w:rsidRDefault="00596935" w:rsidP="00596935">
            <w:pPr>
              <w:rPr>
                <w:rFonts w:cs="Arial"/>
                <w:b/>
                <w:bCs/>
                <w:sz w:val="18"/>
                <w:szCs w:val="18"/>
                <w:lang w:val="de-AT" w:eastAsia="de-AT"/>
              </w:rPr>
            </w:pPr>
            <w:r w:rsidRPr="00596935">
              <w:rPr>
                <w:rFonts w:cs="Arial"/>
                <w:b/>
                <w:bCs/>
                <w:sz w:val="18"/>
                <w:szCs w:val="18"/>
                <w:lang w:val="de-AT" w:eastAsia="de-AT"/>
              </w:rPr>
              <w:t>implant malfunction/failure</w:t>
            </w:r>
          </w:p>
        </w:tc>
        <w:tc>
          <w:tcPr>
            <w:tcW w:w="267" w:type="pct"/>
            <w:tcBorders>
              <w:top w:val="nil"/>
              <w:left w:val="nil"/>
              <w:bottom w:val="single" w:sz="4" w:space="0" w:color="000000"/>
              <w:right w:val="single" w:sz="8" w:space="0" w:color="000000"/>
            </w:tcBorders>
            <w:shd w:val="clear" w:color="auto" w:fill="auto"/>
            <w:vAlign w:val="center"/>
            <w:hideMark/>
          </w:tcPr>
          <w:p w14:paraId="18ABCD2A"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56" w:type="pct"/>
            <w:tcBorders>
              <w:top w:val="nil"/>
              <w:left w:val="nil"/>
              <w:bottom w:val="single" w:sz="4" w:space="0" w:color="000000"/>
              <w:right w:val="single" w:sz="8" w:space="0" w:color="000000"/>
            </w:tcBorders>
            <w:shd w:val="clear" w:color="auto" w:fill="auto"/>
            <w:vAlign w:val="center"/>
            <w:hideMark/>
          </w:tcPr>
          <w:p w14:paraId="11EA908A"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2</w:t>
            </w:r>
          </w:p>
        </w:tc>
        <w:tc>
          <w:tcPr>
            <w:tcW w:w="256" w:type="pct"/>
            <w:tcBorders>
              <w:top w:val="nil"/>
              <w:left w:val="nil"/>
              <w:bottom w:val="single" w:sz="4" w:space="0" w:color="000000"/>
              <w:right w:val="single" w:sz="8" w:space="0" w:color="000000"/>
            </w:tcBorders>
            <w:shd w:val="clear" w:color="auto" w:fill="auto"/>
            <w:vAlign w:val="center"/>
            <w:hideMark/>
          </w:tcPr>
          <w:p w14:paraId="6EB7AE29"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56" w:type="pct"/>
            <w:tcBorders>
              <w:top w:val="nil"/>
              <w:left w:val="nil"/>
              <w:bottom w:val="single" w:sz="4" w:space="0" w:color="000000"/>
              <w:right w:val="single" w:sz="8" w:space="0" w:color="000000"/>
            </w:tcBorders>
            <w:shd w:val="clear" w:color="auto" w:fill="auto"/>
            <w:vAlign w:val="center"/>
            <w:hideMark/>
          </w:tcPr>
          <w:p w14:paraId="17A1454C"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1</w:t>
            </w:r>
          </w:p>
        </w:tc>
        <w:tc>
          <w:tcPr>
            <w:tcW w:w="256" w:type="pct"/>
            <w:tcBorders>
              <w:top w:val="nil"/>
              <w:left w:val="nil"/>
              <w:bottom w:val="single" w:sz="4" w:space="0" w:color="000000"/>
              <w:right w:val="single" w:sz="8" w:space="0" w:color="000000"/>
            </w:tcBorders>
            <w:shd w:val="clear" w:color="auto" w:fill="auto"/>
            <w:vAlign w:val="center"/>
            <w:hideMark/>
          </w:tcPr>
          <w:p w14:paraId="20EC2564"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43" w:type="pct"/>
            <w:tcBorders>
              <w:top w:val="nil"/>
              <w:left w:val="nil"/>
              <w:bottom w:val="single" w:sz="4" w:space="0" w:color="000000"/>
              <w:right w:val="single" w:sz="8" w:space="0" w:color="000000"/>
            </w:tcBorders>
            <w:shd w:val="clear" w:color="000000" w:fill="D9D9D9"/>
            <w:vAlign w:val="center"/>
            <w:hideMark/>
          </w:tcPr>
          <w:p w14:paraId="1E632A52"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2</w:t>
            </w:r>
          </w:p>
        </w:tc>
        <w:tc>
          <w:tcPr>
            <w:tcW w:w="274" w:type="pct"/>
            <w:tcBorders>
              <w:top w:val="nil"/>
              <w:left w:val="nil"/>
              <w:bottom w:val="single" w:sz="4" w:space="0" w:color="000000"/>
              <w:right w:val="single" w:sz="8" w:space="0" w:color="000000"/>
            </w:tcBorders>
            <w:shd w:val="clear" w:color="000000" w:fill="D9D9D9"/>
            <w:vAlign w:val="center"/>
            <w:hideMark/>
          </w:tcPr>
          <w:p w14:paraId="5D5B6015"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17</w:t>
            </w:r>
          </w:p>
        </w:tc>
        <w:tc>
          <w:tcPr>
            <w:tcW w:w="274" w:type="pct"/>
            <w:tcBorders>
              <w:top w:val="nil"/>
              <w:left w:val="nil"/>
              <w:bottom w:val="single" w:sz="4" w:space="0" w:color="000000"/>
              <w:right w:val="single" w:sz="8" w:space="0" w:color="000000"/>
            </w:tcBorders>
            <w:shd w:val="clear" w:color="000000" w:fill="D9D9D9"/>
            <w:noWrap/>
            <w:vAlign w:val="center"/>
            <w:hideMark/>
          </w:tcPr>
          <w:p w14:paraId="1581ECBC"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3</w:t>
            </w:r>
          </w:p>
        </w:tc>
        <w:tc>
          <w:tcPr>
            <w:tcW w:w="308" w:type="pct"/>
            <w:tcBorders>
              <w:top w:val="nil"/>
              <w:left w:val="nil"/>
              <w:bottom w:val="single" w:sz="4" w:space="0" w:color="000000"/>
              <w:right w:val="single" w:sz="8" w:space="0" w:color="000000"/>
            </w:tcBorders>
            <w:shd w:val="clear" w:color="auto" w:fill="auto"/>
            <w:noWrap/>
            <w:vAlign w:val="center"/>
            <w:hideMark/>
          </w:tcPr>
          <w:p w14:paraId="34639960"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17,6</w:t>
            </w:r>
          </w:p>
        </w:tc>
        <w:tc>
          <w:tcPr>
            <w:tcW w:w="308" w:type="pct"/>
            <w:tcBorders>
              <w:top w:val="nil"/>
              <w:left w:val="nil"/>
              <w:bottom w:val="single" w:sz="4" w:space="0" w:color="000000"/>
              <w:right w:val="single" w:sz="8" w:space="0" w:color="000000"/>
            </w:tcBorders>
            <w:shd w:val="clear" w:color="auto" w:fill="auto"/>
            <w:noWrap/>
            <w:vAlign w:val="center"/>
            <w:hideMark/>
          </w:tcPr>
          <w:p w14:paraId="6BFFD0BD"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1,7</w:t>
            </w:r>
          </w:p>
        </w:tc>
        <w:tc>
          <w:tcPr>
            <w:tcW w:w="291" w:type="pct"/>
            <w:tcBorders>
              <w:top w:val="nil"/>
              <w:left w:val="nil"/>
              <w:bottom w:val="single" w:sz="4" w:space="0" w:color="000000"/>
              <w:right w:val="single" w:sz="8" w:space="0" w:color="000000"/>
            </w:tcBorders>
            <w:shd w:val="clear" w:color="auto" w:fill="auto"/>
            <w:noWrap/>
            <w:vAlign w:val="center"/>
            <w:hideMark/>
          </w:tcPr>
          <w:p w14:paraId="4FF7CCD5"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9</w:t>
            </w:r>
          </w:p>
        </w:tc>
        <w:tc>
          <w:tcPr>
            <w:tcW w:w="310" w:type="pct"/>
            <w:tcBorders>
              <w:top w:val="nil"/>
              <w:left w:val="nil"/>
              <w:bottom w:val="single" w:sz="4" w:space="0" w:color="000000"/>
              <w:right w:val="single" w:sz="8" w:space="0" w:color="000000"/>
            </w:tcBorders>
            <w:shd w:val="clear" w:color="auto" w:fill="auto"/>
            <w:noWrap/>
            <w:vAlign w:val="center"/>
            <w:hideMark/>
          </w:tcPr>
          <w:p w14:paraId="7079F00D"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45</w:t>
            </w:r>
          </w:p>
        </w:tc>
        <w:tc>
          <w:tcPr>
            <w:tcW w:w="394" w:type="pct"/>
            <w:tcBorders>
              <w:top w:val="nil"/>
              <w:left w:val="nil"/>
              <w:bottom w:val="single" w:sz="4" w:space="0" w:color="000000"/>
              <w:right w:val="single" w:sz="8" w:space="0" w:color="000000"/>
            </w:tcBorders>
            <w:shd w:val="clear" w:color="auto" w:fill="auto"/>
            <w:noWrap/>
            <w:vAlign w:val="center"/>
            <w:hideMark/>
          </w:tcPr>
          <w:p w14:paraId="10FB196A"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 </w:t>
            </w:r>
          </w:p>
        </w:tc>
        <w:tc>
          <w:tcPr>
            <w:tcW w:w="308" w:type="pct"/>
            <w:tcBorders>
              <w:top w:val="nil"/>
              <w:left w:val="nil"/>
              <w:bottom w:val="single" w:sz="4" w:space="0" w:color="000000"/>
              <w:right w:val="single" w:sz="8" w:space="0" w:color="000000"/>
            </w:tcBorders>
            <w:shd w:val="clear" w:color="auto" w:fill="auto"/>
            <w:noWrap/>
            <w:vAlign w:val="bottom"/>
            <w:hideMark/>
          </w:tcPr>
          <w:p w14:paraId="0C0AA033"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 </w:t>
            </w:r>
          </w:p>
        </w:tc>
      </w:tr>
      <w:tr w:rsidR="00596935" w:rsidRPr="00596935" w14:paraId="3602A4EF" w14:textId="77777777" w:rsidTr="00596935">
        <w:trPr>
          <w:trHeight w:val="300"/>
        </w:trPr>
        <w:tc>
          <w:tcPr>
            <w:tcW w:w="999" w:type="pct"/>
            <w:tcBorders>
              <w:top w:val="nil"/>
              <w:left w:val="single" w:sz="8" w:space="0" w:color="000000"/>
              <w:bottom w:val="single" w:sz="4" w:space="0" w:color="000000"/>
              <w:right w:val="single" w:sz="8" w:space="0" w:color="000000"/>
            </w:tcBorders>
            <w:shd w:val="clear" w:color="auto" w:fill="auto"/>
            <w:vAlign w:val="center"/>
            <w:hideMark/>
          </w:tcPr>
          <w:p w14:paraId="20D9487B" w14:textId="77777777" w:rsidR="00596935" w:rsidRPr="00596935" w:rsidRDefault="00596935" w:rsidP="00596935">
            <w:pPr>
              <w:rPr>
                <w:rFonts w:cs="Arial"/>
                <w:b/>
                <w:bCs/>
                <w:sz w:val="18"/>
                <w:szCs w:val="18"/>
                <w:lang w:val="de-AT" w:eastAsia="de-AT"/>
              </w:rPr>
            </w:pPr>
            <w:r w:rsidRPr="00596935">
              <w:rPr>
                <w:rFonts w:cs="Arial"/>
                <w:b/>
                <w:bCs/>
                <w:sz w:val="18"/>
                <w:szCs w:val="18"/>
                <w:lang w:val="de-AT" w:eastAsia="de-AT"/>
              </w:rPr>
              <w:t>revision surgery</w:t>
            </w:r>
          </w:p>
        </w:tc>
        <w:tc>
          <w:tcPr>
            <w:tcW w:w="267" w:type="pct"/>
            <w:tcBorders>
              <w:top w:val="nil"/>
              <w:left w:val="nil"/>
              <w:bottom w:val="single" w:sz="4" w:space="0" w:color="000000"/>
              <w:right w:val="single" w:sz="8" w:space="0" w:color="000000"/>
            </w:tcBorders>
            <w:shd w:val="clear" w:color="auto" w:fill="auto"/>
            <w:vAlign w:val="center"/>
            <w:hideMark/>
          </w:tcPr>
          <w:p w14:paraId="4ABE5553"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56" w:type="pct"/>
            <w:tcBorders>
              <w:top w:val="nil"/>
              <w:left w:val="nil"/>
              <w:bottom w:val="single" w:sz="4" w:space="0" w:color="000000"/>
              <w:right w:val="single" w:sz="8" w:space="0" w:color="000000"/>
            </w:tcBorders>
            <w:shd w:val="clear" w:color="auto" w:fill="auto"/>
            <w:vAlign w:val="center"/>
            <w:hideMark/>
          </w:tcPr>
          <w:p w14:paraId="02DC254D"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56" w:type="pct"/>
            <w:tcBorders>
              <w:top w:val="nil"/>
              <w:left w:val="nil"/>
              <w:bottom w:val="single" w:sz="4" w:space="0" w:color="000000"/>
              <w:right w:val="single" w:sz="8" w:space="0" w:color="000000"/>
            </w:tcBorders>
            <w:shd w:val="clear" w:color="auto" w:fill="auto"/>
            <w:vAlign w:val="center"/>
            <w:hideMark/>
          </w:tcPr>
          <w:p w14:paraId="528FADC6"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4</w:t>
            </w:r>
          </w:p>
        </w:tc>
        <w:tc>
          <w:tcPr>
            <w:tcW w:w="256" w:type="pct"/>
            <w:tcBorders>
              <w:top w:val="nil"/>
              <w:left w:val="nil"/>
              <w:bottom w:val="single" w:sz="4" w:space="0" w:color="000000"/>
              <w:right w:val="single" w:sz="8" w:space="0" w:color="000000"/>
            </w:tcBorders>
            <w:shd w:val="clear" w:color="auto" w:fill="auto"/>
            <w:vAlign w:val="center"/>
            <w:hideMark/>
          </w:tcPr>
          <w:p w14:paraId="6D0A649D"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1</w:t>
            </w:r>
          </w:p>
        </w:tc>
        <w:tc>
          <w:tcPr>
            <w:tcW w:w="256" w:type="pct"/>
            <w:tcBorders>
              <w:top w:val="nil"/>
              <w:left w:val="nil"/>
              <w:bottom w:val="single" w:sz="4" w:space="0" w:color="000000"/>
              <w:right w:val="single" w:sz="8" w:space="0" w:color="000000"/>
            </w:tcBorders>
            <w:shd w:val="clear" w:color="auto" w:fill="auto"/>
            <w:vAlign w:val="center"/>
            <w:hideMark/>
          </w:tcPr>
          <w:p w14:paraId="42C2CA27"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43" w:type="pct"/>
            <w:tcBorders>
              <w:top w:val="nil"/>
              <w:left w:val="nil"/>
              <w:bottom w:val="single" w:sz="4" w:space="0" w:color="000000"/>
              <w:right w:val="single" w:sz="8" w:space="0" w:color="000000"/>
            </w:tcBorders>
            <w:shd w:val="clear" w:color="000000" w:fill="D9D9D9"/>
            <w:vAlign w:val="center"/>
            <w:hideMark/>
          </w:tcPr>
          <w:p w14:paraId="45D22265"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2</w:t>
            </w:r>
          </w:p>
        </w:tc>
        <w:tc>
          <w:tcPr>
            <w:tcW w:w="274" w:type="pct"/>
            <w:tcBorders>
              <w:top w:val="nil"/>
              <w:left w:val="nil"/>
              <w:bottom w:val="single" w:sz="4" w:space="0" w:color="000000"/>
              <w:right w:val="single" w:sz="8" w:space="0" w:color="000000"/>
            </w:tcBorders>
            <w:shd w:val="clear" w:color="000000" w:fill="D9D9D9"/>
            <w:vAlign w:val="center"/>
            <w:hideMark/>
          </w:tcPr>
          <w:p w14:paraId="297E4992"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20</w:t>
            </w:r>
          </w:p>
        </w:tc>
        <w:tc>
          <w:tcPr>
            <w:tcW w:w="274" w:type="pct"/>
            <w:tcBorders>
              <w:top w:val="nil"/>
              <w:left w:val="nil"/>
              <w:bottom w:val="single" w:sz="4" w:space="0" w:color="000000"/>
              <w:right w:val="single" w:sz="8" w:space="0" w:color="000000"/>
            </w:tcBorders>
            <w:shd w:val="clear" w:color="000000" w:fill="D9D9D9"/>
            <w:noWrap/>
            <w:vAlign w:val="center"/>
            <w:hideMark/>
          </w:tcPr>
          <w:p w14:paraId="6CD92773"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5</w:t>
            </w:r>
          </w:p>
        </w:tc>
        <w:tc>
          <w:tcPr>
            <w:tcW w:w="308" w:type="pct"/>
            <w:tcBorders>
              <w:top w:val="nil"/>
              <w:left w:val="nil"/>
              <w:bottom w:val="single" w:sz="4" w:space="0" w:color="000000"/>
              <w:right w:val="single" w:sz="8" w:space="0" w:color="000000"/>
            </w:tcBorders>
            <w:shd w:val="clear" w:color="auto" w:fill="auto"/>
            <w:noWrap/>
            <w:vAlign w:val="center"/>
            <w:hideMark/>
          </w:tcPr>
          <w:p w14:paraId="61CB5692"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25,0</w:t>
            </w:r>
          </w:p>
        </w:tc>
        <w:tc>
          <w:tcPr>
            <w:tcW w:w="308" w:type="pct"/>
            <w:tcBorders>
              <w:top w:val="nil"/>
              <w:left w:val="nil"/>
              <w:bottom w:val="single" w:sz="4" w:space="0" w:color="000000"/>
              <w:right w:val="single" w:sz="8" w:space="0" w:color="000000"/>
            </w:tcBorders>
            <w:shd w:val="clear" w:color="auto" w:fill="auto"/>
            <w:noWrap/>
            <w:vAlign w:val="center"/>
            <w:hideMark/>
          </w:tcPr>
          <w:p w14:paraId="50C4F92D"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2,84</w:t>
            </w:r>
          </w:p>
        </w:tc>
        <w:tc>
          <w:tcPr>
            <w:tcW w:w="291" w:type="pct"/>
            <w:tcBorders>
              <w:top w:val="nil"/>
              <w:left w:val="nil"/>
              <w:bottom w:val="single" w:sz="4" w:space="0" w:color="000000"/>
              <w:right w:val="single" w:sz="8" w:space="0" w:color="000000"/>
            </w:tcBorders>
            <w:shd w:val="clear" w:color="auto" w:fill="auto"/>
            <w:noWrap/>
            <w:vAlign w:val="center"/>
            <w:hideMark/>
          </w:tcPr>
          <w:p w14:paraId="2F9820E5"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 </w:t>
            </w:r>
          </w:p>
        </w:tc>
        <w:tc>
          <w:tcPr>
            <w:tcW w:w="310" w:type="pct"/>
            <w:tcBorders>
              <w:top w:val="nil"/>
              <w:left w:val="nil"/>
              <w:bottom w:val="single" w:sz="4" w:space="0" w:color="000000"/>
              <w:right w:val="single" w:sz="8" w:space="0" w:color="000000"/>
            </w:tcBorders>
            <w:shd w:val="clear" w:color="auto" w:fill="auto"/>
            <w:noWrap/>
            <w:vAlign w:val="center"/>
            <w:hideMark/>
          </w:tcPr>
          <w:p w14:paraId="7A32BA18"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 </w:t>
            </w:r>
          </w:p>
        </w:tc>
        <w:tc>
          <w:tcPr>
            <w:tcW w:w="394" w:type="pct"/>
            <w:tcBorders>
              <w:top w:val="nil"/>
              <w:left w:val="nil"/>
              <w:bottom w:val="single" w:sz="4" w:space="0" w:color="000000"/>
              <w:right w:val="single" w:sz="8" w:space="0" w:color="000000"/>
            </w:tcBorders>
            <w:shd w:val="clear" w:color="auto" w:fill="auto"/>
            <w:noWrap/>
            <w:vAlign w:val="center"/>
            <w:hideMark/>
          </w:tcPr>
          <w:p w14:paraId="071A20CF"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1</w:t>
            </w:r>
          </w:p>
        </w:tc>
        <w:tc>
          <w:tcPr>
            <w:tcW w:w="308" w:type="pct"/>
            <w:tcBorders>
              <w:top w:val="nil"/>
              <w:left w:val="nil"/>
              <w:bottom w:val="single" w:sz="4" w:space="0" w:color="000000"/>
              <w:right w:val="single" w:sz="8" w:space="0" w:color="000000"/>
            </w:tcBorders>
            <w:shd w:val="clear" w:color="auto" w:fill="auto"/>
            <w:noWrap/>
            <w:vAlign w:val="bottom"/>
            <w:hideMark/>
          </w:tcPr>
          <w:p w14:paraId="106962DE"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0,970874</w:t>
            </w:r>
          </w:p>
        </w:tc>
      </w:tr>
      <w:tr w:rsidR="00596935" w:rsidRPr="00596935" w14:paraId="4691D5C0" w14:textId="77777777" w:rsidTr="00596935">
        <w:trPr>
          <w:trHeight w:val="315"/>
        </w:trPr>
        <w:tc>
          <w:tcPr>
            <w:tcW w:w="999" w:type="pct"/>
            <w:tcBorders>
              <w:top w:val="nil"/>
              <w:left w:val="single" w:sz="8" w:space="0" w:color="000000"/>
              <w:bottom w:val="nil"/>
              <w:right w:val="single" w:sz="8" w:space="0" w:color="000000"/>
            </w:tcBorders>
            <w:shd w:val="clear" w:color="auto" w:fill="auto"/>
            <w:vAlign w:val="center"/>
            <w:hideMark/>
          </w:tcPr>
          <w:p w14:paraId="1E7E26D7" w14:textId="77777777" w:rsidR="00596935" w:rsidRPr="00596935" w:rsidRDefault="00596935" w:rsidP="00596935">
            <w:pPr>
              <w:rPr>
                <w:rFonts w:cs="Arial"/>
                <w:b/>
                <w:bCs/>
                <w:sz w:val="18"/>
                <w:szCs w:val="18"/>
                <w:lang w:val="de-AT" w:eastAsia="de-AT"/>
              </w:rPr>
            </w:pPr>
            <w:r w:rsidRPr="00596935">
              <w:rPr>
                <w:rFonts w:cs="Arial"/>
                <w:b/>
                <w:bCs/>
                <w:sz w:val="18"/>
                <w:szCs w:val="18"/>
                <w:lang w:val="de-AT" w:eastAsia="de-AT"/>
              </w:rPr>
              <w:t>explantation</w:t>
            </w:r>
          </w:p>
        </w:tc>
        <w:tc>
          <w:tcPr>
            <w:tcW w:w="267" w:type="pct"/>
            <w:tcBorders>
              <w:top w:val="nil"/>
              <w:left w:val="nil"/>
              <w:bottom w:val="nil"/>
              <w:right w:val="single" w:sz="8" w:space="0" w:color="000000"/>
            </w:tcBorders>
            <w:shd w:val="clear" w:color="auto" w:fill="auto"/>
            <w:vAlign w:val="center"/>
            <w:hideMark/>
          </w:tcPr>
          <w:p w14:paraId="68A4BA8E"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56" w:type="pct"/>
            <w:tcBorders>
              <w:top w:val="nil"/>
              <w:left w:val="nil"/>
              <w:bottom w:val="nil"/>
              <w:right w:val="single" w:sz="8" w:space="0" w:color="000000"/>
            </w:tcBorders>
            <w:shd w:val="clear" w:color="auto" w:fill="auto"/>
            <w:vAlign w:val="center"/>
            <w:hideMark/>
          </w:tcPr>
          <w:p w14:paraId="1295B91F"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56" w:type="pct"/>
            <w:tcBorders>
              <w:top w:val="nil"/>
              <w:left w:val="nil"/>
              <w:bottom w:val="nil"/>
              <w:right w:val="single" w:sz="8" w:space="0" w:color="000000"/>
            </w:tcBorders>
            <w:shd w:val="clear" w:color="auto" w:fill="auto"/>
            <w:vAlign w:val="center"/>
            <w:hideMark/>
          </w:tcPr>
          <w:p w14:paraId="14EBA472"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2</w:t>
            </w:r>
          </w:p>
        </w:tc>
        <w:tc>
          <w:tcPr>
            <w:tcW w:w="256" w:type="pct"/>
            <w:tcBorders>
              <w:top w:val="nil"/>
              <w:left w:val="nil"/>
              <w:bottom w:val="nil"/>
              <w:right w:val="single" w:sz="8" w:space="0" w:color="000000"/>
            </w:tcBorders>
            <w:shd w:val="clear" w:color="auto" w:fill="auto"/>
            <w:vAlign w:val="center"/>
            <w:hideMark/>
          </w:tcPr>
          <w:p w14:paraId="2F105626"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1</w:t>
            </w:r>
          </w:p>
        </w:tc>
        <w:tc>
          <w:tcPr>
            <w:tcW w:w="256" w:type="pct"/>
            <w:tcBorders>
              <w:top w:val="nil"/>
              <w:left w:val="nil"/>
              <w:bottom w:val="nil"/>
              <w:right w:val="single" w:sz="8" w:space="0" w:color="000000"/>
            </w:tcBorders>
            <w:shd w:val="clear" w:color="auto" w:fill="auto"/>
            <w:vAlign w:val="center"/>
            <w:hideMark/>
          </w:tcPr>
          <w:p w14:paraId="20C5B424"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43" w:type="pct"/>
            <w:tcBorders>
              <w:top w:val="nil"/>
              <w:left w:val="nil"/>
              <w:bottom w:val="nil"/>
              <w:right w:val="single" w:sz="8" w:space="0" w:color="000000"/>
            </w:tcBorders>
            <w:shd w:val="clear" w:color="000000" w:fill="D9D9D9"/>
            <w:vAlign w:val="center"/>
            <w:hideMark/>
          </w:tcPr>
          <w:p w14:paraId="5B9C95BA"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2</w:t>
            </w:r>
          </w:p>
        </w:tc>
        <w:tc>
          <w:tcPr>
            <w:tcW w:w="274" w:type="pct"/>
            <w:tcBorders>
              <w:top w:val="nil"/>
              <w:left w:val="nil"/>
              <w:bottom w:val="nil"/>
              <w:right w:val="single" w:sz="8" w:space="0" w:color="000000"/>
            </w:tcBorders>
            <w:shd w:val="clear" w:color="000000" w:fill="D9D9D9"/>
            <w:vAlign w:val="center"/>
            <w:hideMark/>
          </w:tcPr>
          <w:p w14:paraId="2128F9CE"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20</w:t>
            </w:r>
          </w:p>
        </w:tc>
        <w:tc>
          <w:tcPr>
            <w:tcW w:w="274" w:type="pct"/>
            <w:tcBorders>
              <w:top w:val="nil"/>
              <w:left w:val="nil"/>
              <w:bottom w:val="nil"/>
              <w:right w:val="single" w:sz="8" w:space="0" w:color="000000"/>
            </w:tcBorders>
            <w:shd w:val="clear" w:color="000000" w:fill="D9D9D9"/>
            <w:noWrap/>
            <w:vAlign w:val="center"/>
            <w:hideMark/>
          </w:tcPr>
          <w:p w14:paraId="3C0429A1"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3</w:t>
            </w:r>
          </w:p>
        </w:tc>
        <w:tc>
          <w:tcPr>
            <w:tcW w:w="308" w:type="pct"/>
            <w:tcBorders>
              <w:top w:val="nil"/>
              <w:left w:val="nil"/>
              <w:bottom w:val="nil"/>
              <w:right w:val="single" w:sz="8" w:space="0" w:color="000000"/>
            </w:tcBorders>
            <w:shd w:val="clear" w:color="auto" w:fill="auto"/>
            <w:noWrap/>
            <w:vAlign w:val="center"/>
            <w:hideMark/>
          </w:tcPr>
          <w:p w14:paraId="06BDDE82"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15,0</w:t>
            </w:r>
          </w:p>
        </w:tc>
        <w:tc>
          <w:tcPr>
            <w:tcW w:w="308" w:type="pct"/>
            <w:tcBorders>
              <w:top w:val="nil"/>
              <w:left w:val="nil"/>
              <w:bottom w:val="nil"/>
              <w:right w:val="single" w:sz="8" w:space="0" w:color="000000"/>
            </w:tcBorders>
            <w:shd w:val="clear" w:color="auto" w:fill="auto"/>
            <w:noWrap/>
            <w:vAlign w:val="center"/>
            <w:hideMark/>
          </w:tcPr>
          <w:p w14:paraId="3D0DCC9C"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1,70</w:t>
            </w:r>
          </w:p>
        </w:tc>
        <w:tc>
          <w:tcPr>
            <w:tcW w:w="291" w:type="pct"/>
            <w:tcBorders>
              <w:top w:val="nil"/>
              <w:left w:val="nil"/>
              <w:bottom w:val="nil"/>
              <w:right w:val="single" w:sz="8" w:space="0" w:color="000000"/>
            </w:tcBorders>
            <w:shd w:val="clear" w:color="auto" w:fill="auto"/>
            <w:noWrap/>
            <w:vAlign w:val="center"/>
            <w:hideMark/>
          </w:tcPr>
          <w:p w14:paraId="556F5D07"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6</w:t>
            </w:r>
          </w:p>
        </w:tc>
        <w:tc>
          <w:tcPr>
            <w:tcW w:w="310" w:type="pct"/>
            <w:tcBorders>
              <w:top w:val="nil"/>
              <w:left w:val="nil"/>
              <w:bottom w:val="nil"/>
              <w:right w:val="single" w:sz="8" w:space="0" w:color="000000"/>
            </w:tcBorders>
            <w:shd w:val="clear" w:color="auto" w:fill="auto"/>
            <w:noWrap/>
            <w:vAlign w:val="center"/>
            <w:hideMark/>
          </w:tcPr>
          <w:p w14:paraId="2C50C603"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 </w:t>
            </w:r>
          </w:p>
        </w:tc>
        <w:tc>
          <w:tcPr>
            <w:tcW w:w="394" w:type="pct"/>
            <w:tcBorders>
              <w:top w:val="nil"/>
              <w:left w:val="nil"/>
              <w:bottom w:val="nil"/>
              <w:right w:val="single" w:sz="8" w:space="0" w:color="000000"/>
            </w:tcBorders>
            <w:shd w:val="clear" w:color="auto" w:fill="auto"/>
            <w:noWrap/>
            <w:vAlign w:val="center"/>
            <w:hideMark/>
          </w:tcPr>
          <w:p w14:paraId="31C92D38"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 </w:t>
            </w:r>
          </w:p>
        </w:tc>
        <w:tc>
          <w:tcPr>
            <w:tcW w:w="308" w:type="pct"/>
            <w:tcBorders>
              <w:top w:val="nil"/>
              <w:left w:val="nil"/>
              <w:bottom w:val="nil"/>
              <w:right w:val="single" w:sz="8" w:space="0" w:color="000000"/>
            </w:tcBorders>
            <w:shd w:val="clear" w:color="auto" w:fill="auto"/>
            <w:noWrap/>
            <w:vAlign w:val="bottom"/>
            <w:hideMark/>
          </w:tcPr>
          <w:p w14:paraId="0DD885CE"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 </w:t>
            </w:r>
          </w:p>
        </w:tc>
      </w:tr>
      <w:tr w:rsidR="00596935" w:rsidRPr="00596935" w14:paraId="1A0F8992" w14:textId="77777777" w:rsidTr="00596935">
        <w:trPr>
          <w:trHeight w:val="315"/>
        </w:trPr>
        <w:tc>
          <w:tcPr>
            <w:tcW w:w="999" w:type="pct"/>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63C1FD24" w14:textId="77777777" w:rsidR="00596935" w:rsidRPr="00596935" w:rsidRDefault="00596935" w:rsidP="00596935">
            <w:pPr>
              <w:rPr>
                <w:rFonts w:cs="Arial"/>
                <w:b/>
                <w:bCs/>
                <w:sz w:val="18"/>
                <w:szCs w:val="18"/>
                <w:lang w:val="de-AT" w:eastAsia="de-AT"/>
              </w:rPr>
            </w:pPr>
            <w:r w:rsidRPr="00596935">
              <w:rPr>
                <w:rFonts w:cs="Arial"/>
                <w:b/>
                <w:bCs/>
                <w:sz w:val="18"/>
                <w:szCs w:val="18"/>
                <w:lang w:val="de-AT" w:eastAsia="de-AT"/>
              </w:rPr>
              <w:t>TOTAL EVENTS</w:t>
            </w:r>
          </w:p>
        </w:tc>
        <w:tc>
          <w:tcPr>
            <w:tcW w:w="267" w:type="pct"/>
            <w:tcBorders>
              <w:top w:val="single" w:sz="8" w:space="0" w:color="000000"/>
              <w:left w:val="nil"/>
              <w:bottom w:val="single" w:sz="8" w:space="0" w:color="000000"/>
              <w:right w:val="single" w:sz="8" w:space="0" w:color="000000"/>
            </w:tcBorders>
            <w:shd w:val="clear" w:color="000000" w:fill="D9D9D9"/>
            <w:vAlign w:val="center"/>
            <w:hideMark/>
          </w:tcPr>
          <w:p w14:paraId="2419387A"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13</w:t>
            </w:r>
          </w:p>
        </w:tc>
        <w:tc>
          <w:tcPr>
            <w:tcW w:w="256" w:type="pct"/>
            <w:tcBorders>
              <w:top w:val="single" w:sz="8" w:space="0" w:color="000000"/>
              <w:left w:val="nil"/>
              <w:bottom w:val="single" w:sz="8" w:space="0" w:color="000000"/>
              <w:right w:val="single" w:sz="8" w:space="0" w:color="000000"/>
            </w:tcBorders>
            <w:shd w:val="clear" w:color="000000" w:fill="D9D9D9"/>
            <w:vAlign w:val="center"/>
            <w:hideMark/>
          </w:tcPr>
          <w:p w14:paraId="76987775"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17</w:t>
            </w:r>
          </w:p>
        </w:tc>
        <w:tc>
          <w:tcPr>
            <w:tcW w:w="256" w:type="pct"/>
            <w:tcBorders>
              <w:top w:val="single" w:sz="8" w:space="0" w:color="000000"/>
              <w:left w:val="nil"/>
              <w:bottom w:val="single" w:sz="8" w:space="0" w:color="000000"/>
              <w:right w:val="single" w:sz="8" w:space="0" w:color="000000"/>
            </w:tcBorders>
            <w:shd w:val="clear" w:color="000000" w:fill="D9D9D9"/>
            <w:vAlign w:val="center"/>
            <w:hideMark/>
          </w:tcPr>
          <w:p w14:paraId="522BCD39"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8</w:t>
            </w:r>
          </w:p>
        </w:tc>
        <w:tc>
          <w:tcPr>
            <w:tcW w:w="256" w:type="pct"/>
            <w:tcBorders>
              <w:top w:val="single" w:sz="8" w:space="0" w:color="000000"/>
              <w:left w:val="nil"/>
              <w:bottom w:val="single" w:sz="8" w:space="0" w:color="000000"/>
              <w:right w:val="single" w:sz="8" w:space="0" w:color="000000"/>
            </w:tcBorders>
            <w:shd w:val="clear" w:color="000000" w:fill="D9D9D9"/>
            <w:vAlign w:val="center"/>
            <w:hideMark/>
          </w:tcPr>
          <w:p w14:paraId="756CD826"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5</w:t>
            </w:r>
          </w:p>
        </w:tc>
        <w:tc>
          <w:tcPr>
            <w:tcW w:w="256" w:type="pct"/>
            <w:tcBorders>
              <w:top w:val="single" w:sz="8" w:space="0" w:color="000000"/>
              <w:left w:val="nil"/>
              <w:bottom w:val="single" w:sz="8" w:space="0" w:color="000000"/>
              <w:right w:val="single" w:sz="8" w:space="0" w:color="000000"/>
            </w:tcBorders>
            <w:shd w:val="clear" w:color="000000" w:fill="D9D9D9"/>
            <w:vAlign w:val="center"/>
            <w:hideMark/>
          </w:tcPr>
          <w:p w14:paraId="6BAD1ED7"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133</w:t>
            </w:r>
          </w:p>
        </w:tc>
        <w:tc>
          <w:tcPr>
            <w:tcW w:w="243" w:type="pct"/>
            <w:tcBorders>
              <w:top w:val="single" w:sz="8" w:space="0" w:color="000000"/>
              <w:left w:val="nil"/>
              <w:bottom w:val="single" w:sz="8" w:space="0" w:color="000000"/>
              <w:right w:val="single" w:sz="8" w:space="0" w:color="000000"/>
            </w:tcBorders>
            <w:shd w:val="clear" w:color="000000" w:fill="D9D9D9"/>
            <w:vAlign w:val="center"/>
            <w:hideMark/>
          </w:tcPr>
          <w:p w14:paraId="6B8513D1"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5</w:t>
            </w:r>
          </w:p>
        </w:tc>
        <w:tc>
          <w:tcPr>
            <w:tcW w:w="274" w:type="pct"/>
            <w:tcBorders>
              <w:top w:val="single" w:sz="8" w:space="0" w:color="000000"/>
              <w:left w:val="nil"/>
              <w:bottom w:val="single" w:sz="8" w:space="0" w:color="000000"/>
              <w:right w:val="single" w:sz="8" w:space="0" w:color="000000"/>
            </w:tcBorders>
            <w:shd w:val="clear" w:color="000000" w:fill="D9D9D9"/>
            <w:vAlign w:val="center"/>
            <w:hideMark/>
          </w:tcPr>
          <w:p w14:paraId="6B56208D"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74" w:type="pct"/>
            <w:tcBorders>
              <w:top w:val="single" w:sz="8" w:space="0" w:color="000000"/>
              <w:left w:val="nil"/>
              <w:bottom w:val="single" w:sz="8" w:space="0" w:color="000000"/>
              <w:right w:val="single" w:sz="8" w:space="0" w:color="000000"/>
            </w:tcBorders>
            <w:shd w:val="clear" w:color="000000" w:fill="D9D9D9"/>
            <w:noWrap/>
            <w:vAlign w:val="center"/>
            <w:hideMark/>
          </w:tcPr>
          <w:p w14:paraId="622BA327"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 </w:t>
            </w:r>
          </w:p>
        </w:tc>
        <w:tc>
          <w:tcPr>
            <w:tcW w:w="308" w:type="pct"/>
            <w:tcBorders>
              <w:top w:val="single" w:sz="8" w:space="0" w:color="000000"/>
              <w:left w:val="nil"/>
              <w:bottom w:val="single" w:sz="8" w:space="0" w:color="000000"/>
              <w:right w:val="single" w:sz="8" w:space="0" w:color="000000"/>
            </w:tcBorders>
            <w:shd w:val="clear" w:color="000000" w:fill="D9D9D9"/>
            <w:noWrap/>
            <w:vAlign w:val="center"/>
            <w:hideMark/>
          </w:tcPr>
          <w:p w14:paraId="3F1EF898"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 </w:t>
            </w:r>
          </w:p>
        </w:tc>
        <w:tc>
          <w:tcPr>
            <w:tcW w:w="308" w:type="pct"/>
            <w:tcBorders>
              <w:top w:val="single" w:sz="8" w:space="0" w:color="000000"/>
              <w:left w:val="nil"/>
              <w:bottom w:val="single" w:sz="8" w:space="0" w:color="000000"/>
              <w:right w:val="single" w:sz="8" w:space="0" w:color="000000"/>
            </w:tcBorders>
            <w:shd w:val="clear" w:color="000000" w:fill="D9D9D9"/>
            <w:noWrap/>
            <w:vAlign w:val="center"/>
            <w:hideMark/>
          </w:tcPr>
          <w:p w14:paraId="2233A880"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 </w:t>
            </w:r>
          </w:p>
        </w:tc>
        <w:tc>
          <w:tcPr>
            <w:tcW w:w="291" w:type="pct"/>
            <w:tcBorders>
              <w:top w:val="single" w:sz="8" w:space="0" w:color="000000"/>
              <w:left w:val="nil"/>
              <w:bottom w:val="single" w:sz="8" w:space="0" w:color="000000"/>
              <w:right w:val="single" w:sz="8" w:space="0" w:color="000000"/>
            </w:tcBorders>
            <w:shd w:val="clear" w:color="000000" w:fill="D9D9D9"/>
            <w:noWrap/>
            <w:vAlign w:val="center"/>
            <w:hideMark/>
          </w:tcPr>
          <w:p w14:paraId="32D402B4"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14</w:t>
            </w:r>
          </w:p>
        </w:tc>
        <w:tc>
          <w:tcPr>
            <w:tcW w:w="310" w:type="pct"/>
            <w:tcBorders>
              <w:top w:val="single" w:sz="8" w:space="0" w:color="000000"/>
              <w:left w:val="nil"/>
              <w:bottom w:val="single" w:sz="8" w:space="0" w:color="000000"/>
              <w:right w:val="single" w:sz="8" w:space="0" w:color="000000"/>
            </w:tcBorders>
            <w:shd w:val="clear" w:color="000000" w:fill="D9D9D9"/>
            <w:noWrap/>
            <w:vAlign w:val="center"/>
            <w:hideMark/>
          </w:tcPr>
          <w:p w14:paraId="0A7882D1"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 </w:t>
            </w:r>
          </w:p>
        </w:tc>
        <w:tc>
          <w:tcPr>
            <w:tcW w:w="394" w:type="pct"/>
            <w:tcBorders>
              <w:top w:val="single" w:sz="8" w:space="0" w:color="000000"/>
              <w:left w:val="nil"/>
              <w:bottom w:val="single" w:sz="8" w:space="0" w:color="000000"/>
              <w:right w:val="single" w:sz="8" w:space="0" w:color="000000"/>
            </w:tcBorders>
            <w:shd w:val="clear" w:color="000000" w:fill="D9D9D9"/>
            <w:noWrap/>
            <w:vAlign w:val="center"/>
            <w:hideMark/>
          </w:tcPr>
          <w:p w14:paraId="4C3F5415"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14</w:t>
            </w:r>
          </w:p>
        </w:tc>
        <w:tc>
          <w:tcPr>
            <w:tcW w:w="308" w:type="pct"/>
            <w:tcBorders>
              <w:top w:val="single" w:sz="8" w:space="0" w:color="000000"/>
              <w:left w:val="nil"/>
              <w:bottom w:val="single" w:sz="8" w:space="0" w:color="000000"/>
              <w:right w:val="single" w:sz="8" w:space="0" w:color="000000"/>
            </w:tcBorders>
            <w:shd w:val="clear" w:color="000000" w:fill="D9D9D9"/>
            <w:noWrap/>
            <w:vAlign w:val="bottom"/>
            <w:hideMark/>
          </w:tcPr>
          <w:p w14:paraId="34898066"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 </w:t>
            </w:r>
          </w:p>
        </w:tc>
      </w:tr>
      <w:tr w:rsidR="00596935" w:rsidRPr="00596935" w14:paraId="6060F4D1" w14:textId="77777777" w:rsidTr="00596935">
        <w:trPr>
          <w:trHeight w:val="300"/>
        </w:trPr>
        <w:tc>
          <w:tcPr>
            <w:tcW w:w="999" w:type="pct"/>
            <w:tcBorders>
              <w:top w:val="nil"/>
              <w:left w:val="single" w:sz="8" w:space="0" w:color="000000"/>
              <w:bottom w:val="single" w:sz="4" w:space="0" w:color="000000"/>
              <w:right w:val="single" w:sz="8" w:space="0" w:color="000000"/>
            </w:tcBorders>
            <w:shd w:val="clear" w:color="000000" w:fill="D9D9D9"/>
            <w:vAlign w:val="center"/>
            <w:hideMark/>
          </w:tcPr>
          <w:p w14:paraId="611D6893" w14:textId="77777777" w:rsidR="00596935" w:rsidRPr="00596935" w:rsidRDefault="00596935" w:rsidP="00596935">
            <w:pPr>
              <w:rPr>
                <w:rFonts w:cs="Arial"/>
                <w:b/>
                <w:bCs/>
                <w:color w:val="000000"/>
                <w:sz w:val="18"/>
                <w:szCs w:val="18"/>
                <w:lang w:val="de-AT" w:eastAsia="de-AT"/>
              </w:rPr>
            </w:pPr>
            <w:r w:rsidRPr="00596935">
              <w:rPr>
                <w:rFonts w:cs="Arial"/>
                <w:b/>
                <w:bCs/>
                <w:color w:val="000000"/>
                <w:sz w:val="18"/>
                <w:szCs w:val="18"/>
                <w:lang w:val="de-AT" w:eastAsia="de-AT"/>
              </w:rPr>
              <w:t>N AFFECTED</w:t>
            </w:r>
          </w:p>
        </w:tc>
        <w:tc>
          <w:tcPr>
            <w:tcW w:w="267" w:type="pct"/>
            <w:tcBorders>
              <w:top w:val="nil"/>
              <w:left w:val="nil"/>
              <w:bottom w:val="single" w:sz="4" w:space="0" w:color="000000"/>
              <w:right w:val="single" w:sz="8" w:space="0" w:color="000000"/>
            </w:tcBorders>
            <w:shd w:val="clear" w:color="000000" w:fill="D9D9D9"/>
            <w:vAlign w:val="center"/>
            <w:hideMark/>
          </w:tcPr>
          <w:p w14:paraId="4041B4A1"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13</w:t>
            </w:r>
          </w:p>
        </w:tc>
        <w:tc>
          <w:tcPr>
            <w:tcW w:w="256" w:type="pct"/>
            <w:tcBorders>
              <w:top w:val="nil"/>
              <w:left w:val="nil"/>
              <w:bottom w:val="single" w:sz="4" w:space="0" w:color="000000"/>
              <w:right w:val="single" w:sz="8" w:space="0" w:color="000000"/>
            </w:tcBorders>
            <w:shd w:val="clear" w:color="000000" w:fill="D9D9D9"/>
            <w:vAlign w:val="center"/>
            <w:hideMark/>
          </w:tcPr>
          <w:p w14:paraId="33BB6D8A"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7</w:t>
            </w:r>
          </w:p>
        </w:tc>
        <w:tc>
          <w:tcPr>
            <w:tcW w:w="256" w:type="pct"/>
            <w:tcBorders>
              <w:top w:val="nil"/>
              <w:left w:val="nil"/>
              <w:bottom w:val="single" w:sz="4" w:space="0" w:color="000000"/>
              <w:right w:val="single" w:sz="8" w:space="0" w:color="000000"/>
            </w:tcBorders>
            <w:shd w:val="clear" w:color="000000" w:fill="D9D9D9"/>
            <w:vAlign w:val="center"/>
            <w:hideMark/>
          </w:tcPr>
          <w:p w14:paraId="386613EF"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8</w:t>
            </w:r>
          </w:p>
        </w:tc>
        <w:tc>
          <w:tcPr>
            <w:tcW w:w="256" w:type="pct"/>
            <w:tcBorders>
              <w:top w:val="nil"/>
              <w:left w:val="nil"/>
              <w:bottom w:val="single" w:sz="4" w:space="0" w:color="000000"/>
              <w:right w:val="single" w:sz="8" w:space="0" w:color="000000"/>
            </w:tcBorders>
            <w:shd w:val="clear" w:color="000000" w:fill="D9D9D9"/>
            <w:hideMark/>
          </w:tcPr>
          <w:p w14:paraId="3F1798A2"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4</w:t>
            </w:r>
          </w:p>
        </w:tc>
        <w:tc>
          <w:tcPr>
            <w:tcW w:w="256" w:type="pct"/>
            <w:tcBorders>
              <w:top w:val="nil"/>
              <w:left w:val="nil"/>
              <w:bottom w:val="single" w:sz="4" w:space="0" w:color="000000"/>
              <w:right w:val="single" w:sz="8" w:space="0" w:color="000000"/>
            </w:tcBorders>
            <w:shd w:val="clear" w:color="000000" w:fill="D9D9D9"/>
            <w:noWrap/>
            <w:hideMark/>
          </w:tcPr>
          <w:p w14:paraId="07474C68"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52</w:t>
            </w:r>
          </w:p>
        </w:tc>
        <w:tc>
          <w:tcPr>
            <w:tcW w:w="243" w:type="pct"/>
            <w:tcBorders>
              <w:top w:val="nil"/>
              <w:left w:val="nil"/>
              <w:bottom w:val="single" w:sz="4" w:space="0" w:color="000000"/>
              <w:right w:val="single" w:sz="8" w:space="0" w:color="000000"/>
            </w:tcBorders>
            <w:shd w:val="clear" w:color="000000" w:fill="D9D9D9"/>
            <w:noWrap/>
            <w:hideMark/>
          </w:tcPr>
          <w:p w14:paraId="554AE52E"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74" w:type="pct"/>
            <w:tcBorders>
              <w:top w:val="nil"/>
              <w:left w:val="nil"/>
              <w:bottom w:val="single" w:sz="4" w:space="0" w:color="000000"/>
              <w:right w:val="single" w:sz="8" w:space="0" w:color="000000"/>
            </w:tcBorders>
            <w:shd w:val="clear" w:color="000000" w:fill="D9D9D9"/>
            <w:noWrap/>
            <w:hideMark/>
          </w:tcPr>
          <w:p w14:paraId="354706C7"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74" w:type="pct"/>
            <w:tcBorders>
              <w:top w:val="nil"/>
              <w:left w:val="nil"/>
              <w:bottom w:val="single" w:sz="4" w:space="0" w:color="000000"/>
              <w:right w:val="single" w:sz="8" w:space="0" w:color="000000"/>
            </w:tcBorders>
            <w:shd w:val="clear" w:color="000000" w:fill="D9D9D9"/>
            <w:noWrap/>
            <w:vAlign w:val="center"/>
            <w:hideMark/>
          </w:tcPr>
          <w:p w14:paraId="00DBDDCF"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84</w:t>
            </w:r>
          </w:p>
        </w:tc>
        <w:tc>
          <w:tcPr>
            <w:tcW w:w="308" w:type="pct"/>
            <w:tcBorders>
              <w:top w:val="nil"/>
              <w:left w:val="nil"/>
              <w:bottom w:val="single" w:sz="4" w:space="0" w:color="000000"/>
              <w:right w:val="single" w:sz="8" w:space="0" w:color="000000"/>
            </w:tcBorders>
            <w:shd w:val="clear" w:color="000000" w:fill="D9D9D9"/>
            <w:noWrap/>
            <w:vAlign w:val="center"/>
            <w:hideMark/>
          </w:tcPr>
          <w:p w14:paraId="0DD8F5B1"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 </w:t>
            </w:r>
          </w:p>
        </w:tc>
        <w:tc>
          <w:tcPr>
            <w:tcW w:w="308" w:type="pct"/>
            <w:tcBorders>
              <w:top w:val="nil"/>
              <w:left w:val="nil"/>
              <w:bottom w:val="single" w:sz="4" w:space="0" w:color="000000"/>
              <w:right w:val="single" w:sz="8" w:space="0" w:color="000000"/>
            </w:tcBorders>
            <w:shd w:val="clear" w:color="000000" w:fill="D9D9D9"/>
            <w:noWrap/>
            <w:vAlign w:val="center"/>
            <w:hideMark/>
          </w:tcPr>
          <w:p w14:paraId="57563036"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 </w:t>
            </w:r>
          </w:p>
        </w:tc>
        <w:tc>
          <w:tcPr>
            <w:tcW w:w="291" w:type="pct"/>
            <w:tcBorders>
              <w:top w:val="nil"/>
              <w:left w:val="nil"/>
              <w:bottom w:val="single" w:sz="4" w:space="0" w:color="000000"/>
              <w:right w:val="single" w:sz="8" w:space="0" w:color="000000"/>
            </w:tcBorders>
            <w:shd w:val="clear" w:color="000000" w:fill="D9D9D9"/>
            <w:noWrap/>
            <w:vAlign w:val="bottom"/>
            <w:hideMark/>
          </w:tcPr>
          <w:p w14:paraId="208473B4"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14</w:t>
            </w:r>
          </w:p>
        </w:tc>
        <w:tc>
          <w:tcPr>
            <w:tcW w:w="310" w:type="pct"/>
            <w:tcBorders>
              <w:top w:val="nil"/>
              <w:left w:val="nil"/>
              <w:bottom w:val="single" w:sz="4" w:space="0" w:color="000000"/>
              <w:right w:val="single" w:sz="8" w:space="0" w:color="000000"/>
            </w:tcBorders>
            <w:shd w:val="clear" w:color="000000" w:fill="D9D9D9"/>
            <w:noWrap/>
            <w:vAlign w:val="bottom"/>
            <w:hideMark/>
          </w:tcPr>
          <w:p w14:paraId="145787BA"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 </w:t>
            </w:r>
          </w:p>
        </w:tc>
        <w:tc>
          <w:tcPr>
            <w:tcW w:w="394" w:type="pct"/>
            <w:tcBorders>
              <w:top w:val="nil"/>
              <w:left w:val="nil"/>
              <w:bottom w:val="single" w:sz="4" w:space="0" w:color="000000"/>
              <w:right w:val="single" w:sz="8" w:space="0" w:color="000000"/>
            </w:tcBorders>
            <w:shd w:val="clear" w:color="000000" w:fill="D9D9D9"/>
            <w:noWrap/>
            <w:vAlign w:val="bottom"/>
            <w:hideMark/>
          </w:tcPr>
          <w:p w14:paraId="7CFE9B0C"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14</w:t>
            </w:r>
          </w:p>
        </w:tc>
        <w:tc>
          <w:tcPr>
            <w:tcW w:w="308" w:type="pct"/>
            <w:tcBorders>
              <w:top w:val="nil"/>
              <w:left w:val="nil"/>
              <w:bottom w:val="single" w:sz="4" w:space="0" w:color="000000"/>
              <w:right w:val="single" w:sz="8" w:space="0" w:color="000000"/>
            </w:tcBorders>
            <w:shd w:val="clear" w:color="000000" w:fill="D9D9D9"/>
            <w:noWrap/>
            <w:vAlign w:val="bottom"/>
            <w:hideMark/>
          </w:tcPr>
          <w:p w14:paraId="4E8F0934"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13,59223</w:t>
            </w:r>
          </w:p>
        </w:tc>
      </w:tr>
      <w:tr w:rsidR="00596935" w:rsidRPr="00596935" w14:paraId="0BE892A1" w14:textId="77777777" w:rsidTr="00596935">
        <w:trPr>
          <w:trHeight w:val="315"/>
        </w:trPr>
        <w:tc>
          <w:tcPr>
            <w:tcW w:w="999" w:type="pct"/>
            <w:tcBorders>
              <w:top w:val="nil"/>
              <w:left w:val="single" w:sz="8" w:space="0" w:color="000000"/>
              <w:bottom w:val="single" w:sz="8" w:space="0" w:color="000000"/>
              <w:right w:val="single" w:sz="8" w:space="0" w:color="000000"/>
            </w:tcBorders>
            <w:shd w:val="clear" w:color="000000" w:fill="D9D9D9"/>
            <w:vAlign w:val="center"/>
            <w:hideMark/>
          </w:tcPr>
          <w:p w14:paraId="029CE978" w14:textId="77777777" w:rsidR="00596935" w:rsidRPr="00596935" w:rsidRDefault="00596935" w:rsidP="00596935">
            <w:pPr>
              <w:rPr>
                <w:rFonts w:cs="Arial"/>
                <w:b/>
                <w:bCs/>
                <w:color w:val="000000"/>
                <w:sz w:val="18"/>
                <w:szCs w:val="18"/>
                <w:lang w:val="de-AT" w:eastAsia="de-AT"/>
              </w:rPr>
            </w:pPr>
            <w:r w:rsidRPr="00596935">
              <w:rPr>
                <w:rFonts w:cs="Arial"/>
                <w:b/>
                <w:bCs/>
                <w:color w:val="000000"/>
                <w:sz w:val="18"/>
                <w:szCs w:val="18"/>
                <w:lang w:val="de-AT" w:eastAsia="de-AT"/>
              </w:rPr>
              <w:t>N SAMPLE</w:t>
            </w:r>
          </w:p>
        </w:tc>
        <w:tc>
          <w:tcPr>
            <w:tcW w:w="267" w:type="pct"/>
            <w:tcBorders>
              <w:top w:val="nil"/>
              <w:left w:val="nil"/>
              <w:bottom w:val="single" w:sz="8" w:space="0" w:color="000000"/>
              <w:right w:val="single" w:sz="8" w:space="0" w:color="000000"/>
            </w:tcBorders>
            <w:shd w:val="clear" w:color="000000" w:fill="D9D9D9"/>
            <w:vAlign w:val="center"/>
            <w:hideMark/>
          </w:tcPr>
          <w:p w14:paraId="58B55784"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34</w:t>
            </w:r>
          </w:p>
        </w:tc>
        <w:tc>
          <w:tcPr>
            <w:tcW w:w="256" w:type="pct"/>
            <w:tcBorders>
              <w:top w:val="nil"/>
              <w:left w:val="nil"/>
              <w:bottom w:val="single" w:sz="8" w:space="0" w:color="000000"/>
              <w:right w:val="single" w:sz="8" w:space="0" w:color="000000"/>
            </w:tcBorders>
            <w:shd w:val="clear" w:color="000000" w:fill="D9D9D9"/>
            <w:vAlign w:val="center"/>
            <w:hideMark/>
          </w:tcPr>
          <w:p w14:paraId="3FEB4244"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7</w:t>
            </w:r>
          </w:p>
        </w:tc>
        <w:tc>
          <w:tcPr>
            <w:tcW w:w="256" w:type="pct"/>
            <w:tcBorders>
              <w:top w:val="nil"/>
              <w:left w:val="nil"/>
              <w:bottom w:val="single" w:sz="8" w:space="0" w:color="000000"/>
              <w:right w:val="single" w:sz="8" w:space="0" w:color="000000"/>
            </w:tcBorders>
            <w:shd w:val="clear" w:color="000000" w:fill="D9D9D9"/>
            <w:vAlign w:val="center"/>
            <w:hideMark/>
          </w:tcPr>
          <w:p w14:paraId="3F59F6FB"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10</w:t>
            </w:r>
          </w:p>
        </w:tc>
        <w:tc>
          <w:tcPr>
            <w:tcW w:w="256" w:type="pct"/>
            <w:tcBorders>
              <w:top w:val="nil"/>
              <w:left w:val="nil"/>
              <w:bottom w:val="single" w:sz="8" w:space="0" w:color="000000"/>
              <w:right w:val="single" w:sz="8" w:space="0" w:color="000000"/>
            </w:tcBorders>
            <w:shd w:val="clear" w:color="000000" w:fill="D9D9D9"/>
            <w:hideMark/>
          </w:tcPr>
          <w:p w14:paraId="7964D193"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10</w:t>
            </w:r>
          </w:p>
        </w:tc>
        <w:tc>
          <w:tcPr>
            <w:tcW w:w="256" w:type="pct"/>
            <w:tcBorders>
              <w:top w:val="nil"/>
              <w:left w:val="nil"/>
              <w:bottom w:val="single" w:sz="8" w:space="0" w:color="000000"/>
              <w:right w:val="single" w:sz="8" w:space="0" w:color="000000"/>
            </w:tcBorders>
            <w:shd w:val="clear" w:color="000000" w:fill="D9D9D9"/>
            <w:noWrap/>
            <w:hideMark/>
          </w:tcPr>
          <w:p w14:paraId="2BC8DECD"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57</w:t>
            </w:r>
          </w:p>
        </w:tc>
        <w:tc>
          <w:tcPr>
            <w:tcW w:w="243" w:type="pct"/>
            <w:tcBorders>
              <w:top w:val="nil"/>
              <w:left w:val="nil"/>
              <w:bottom w:val="single" w:sz="8" w:space="0" w:color="000000"/>
              <w:right w:val="single" w:sz="8" w:space="0" w:color="000000"/>
            </w:tcBorders>
            <w:shd w:val="clear" w:color="000000" w:fill="D9D9D9"/>
            <w:noWrap/>
            <w:hideMark/>
          </w:tcPr>
          <w:p w14:paraId="5418359D"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74" w:type="pct"/>
            <w:tcBorders>
              <w:top w:val="nil"/>
              <w:left w:val="nil"/>
              <w:bottom w:val="single" w:sz="8" w:space="0" w:color="000000"/>
              <w:right w:val="single" w:sz="8" w:space="0" w:color="000000"/>
            </w:tcBorders>
            <w:shd w:val="clear" w:color="000000" w:fill="D9D9D9"/>
            <w:noWrap/>
            <w:hideMark/>
          </w:tcPr>
          <w:p w14:paraId="3FCDAB64" w14:textId="77777777" w:rsidR="00596935" w:rsidRPr="00596935" w:rsidRDefault="00596935" w:rsidP="00596935">
            <w:pPr>
              <w:jc w:val="center"/>
              <w:rPr>
                <w:rFonts w:cs="Arial"/>
                <w:sz w:val="18"/>
                <w:szCs w:val="18"/>
                <w:lang w:val="de-AT" w:eastAsia="de-AT"/>
              </w:rPr>
            </w:pPr>
            <w:r w:rsidRPr="00596935">
              <w:rPr>
                <w:rFonts w:cs="Arial"/>
                <w:sz w:val="18"/>
                <w:szCs w:val="18"/>
                <w:lang w:val="de-AT" w:eastAsia="de-AT"/>
              </w:rPr>
              <w:t> </w:t>
            </w:r>
          </w:p>
        </w:tc>
        <w:tc>
          <w:tcPr>
            <w:tcW w:w="274" w:type="pct"/>
            <w:tcBorders>
              <w:top w:val="nil"/>
              <w:left w:val="nil"/>
              <w:bottom w:val="single" w:sz="8" w:space="0" w:color="000000"/>
              <w:right w:val="single" w:sz="8" w:space="0" w:color="000000"/>
            </w:tcBorders>
            <w:shd w:val="clear" w:color="000000" w:fill="D9D9D9"/>
            <w:noWrap/>
            <w:vAlign w:val="center"/>
            <w:hideMark/>
          </w:tcPr>
          <w:p w14:paraId="5034EF9F"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118</w:t>
            </w:r>
          </w:p>
        </w:tc>
        <w:tc>
          <w:tcPr>
            <w:tcW w:w="308" w:type="pct"/>
            <w:tcBorders>
              <w:top w:val="nil"/>
              <w:left w:val="nil"/>
              <w:bottom w:val="single" w:sz="8" w:space="0" w:color="000000"/>
              <w:right w:val="single" w:sz="8" w:space="0" w:color="000000"/>
            </w:tcBorders>
            <w:shd w:val="clear" w:color="000000" w:fill="D9D9D9"/>
            <w:noWrap/>
            <w:vAlign w:val="center"/>
            <w:hideMark/>
          </w:tcPr>
          <w:p w14:paraId="19D98DDE"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 </w:t>
            </w:r>
          </w:p>
        </w:tc>
        <w:tc>
          <w:tcPr>
            <w:tcW w:w="308" w:type="pct"/>
            <w:tcBorders>
              <w:top w:val="nil"/>
              <w:left w:val="nil"/>
              <w:bottom w:val="single" w:sz="8" w:space="0" w:color="000000"/>
              <w:right w:val="single" w:sz="8" w:space="0" w:color="000000"/>
            </w:tcBorders>
            <w:shd w:val="clear" w:color="000000" w:fill="D9D9D9"/>
            <w:noWrap/>
            <w:vAlign w:val="center"/>
            <w:hideMark/>
          </w:tcPr>
          <w:p w14:paraId="4A242EBA"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 </w:t>
            </w:r>
          </w:p>
        </w:tc>
        <w:tc>
          <w:tcPr>
            <w:tcW w:w="291" w:type="pct"/>
            <w:tcBorders>
              <w:top w:val="nil"/>
              <w:left w:val="nil"/>
              <w:bottom w:val="single" w:sz="8" w:space="0" w:color="000000"/>
              <w:right w:val="single" w:sz="8" w:space="0" w:color="000000"/>
            </w:tcBorders>
            <w:shd w:val="clear" w:color="000000" w:fill="D9D9D9"/>
            <w:noWrap/>
            <w:vAlign w:val="bottom"/>
            <w:hideMark/>
          </w:tcPr>
          <w:p w14:paraId="69216E6F"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20</w:t>
            </w:r>
          </w:p>
        </w:tc>
        <w:tc>
          <w:tcPr>
            <w:tcW w:w="310" w:type="pct"/>
            <w:tcBorders>
              <w:top w:val="nil"/>
              <w:left w:val="nil"/>
              <w:bottom w:val="single" w:sz="8" w:space="0" w:color="000000"/>
              <w:right w:val="single" w:sz="8" w:space="0" w:color="000000"/>
            </w:tcBorders>
            <w:shd w:val="clear" w:color="000000" w:fill="D9D9D9"/>
            <w:noWrap/>
            <w:vAlign w:val="bottom"/>
            <w:hideMark/>
          </w:tcPr>
          <w:p w14:paraId="4296827F"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 </w:t>
            </w:r>
          </w:p>
        </w:tc>
        <w:tc>
          <w:tcPr>
            <w:tcW w:w="394" w:type="pct"/>
            <w:tcBorders>
              <w:top w:val="nil"/>
              <w:left w:val="nil"/>
              <w:bottom w:val="single" w:sz="8" w:space="0" w:color="000000"/>
              <w:right w:val="single" w:sz="8" w:space="0" w:color="000000"/>
            </w:tcBorders>
            <w:shd w:val="clear" w:color="000000" w:fill="D9D9D9"/>
            <w:noWrap/>
            <w:vAlign w:val="bottom"/>
            <w:hideMark/>
          </w:tcPr>
          <w:p w14:paraId="23192ABD"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103</w:t>
            </w:r>
          </w:p>
        </w:tc>
        <w:tc>
          <w:tcPr>
            <w:tcW w:w="308" w:type="pct"/>
            <w:tcBorders>
              <w:top w:val="nil"/>
              <w:left w:val="nil"/>
              <w:bottom w:val="single" w:sz="8" w:space="0" w:color="000000"/>
              <w:right w:val="single" w:sz="8" w:space="0" w:color="000000"/>
            </w:tcBorders>
            <w:shd w:val="clear" w:color="000000" w:fill="D9D9D9"/>
            <w:noWrap/>
            <w:vAlign w:val="bottom"/>
            <w:hideMark/>
          </w:tcPr>
          <w:p w14:paraId="17895E05" w14:textId="77777777" w:rsidR="00596935" w:rsidRPr="00596935" w:rsidRDefault="00596935" w:rsidP="00596935">
            <w:pPr>
              <w:jc w:val="center"/>
              <w:rPr>
                <w:rFonts w:cs="Arial"/>
                <w:color w:val="000000"/>
                <w:sz w:val="18"/>
                <w:szCs w:val="18"/>
                <w:lang w:val="de-AT" w:eastAsia="de-AT"/>
              </w:rPr>
            </w:pPr>
            <w:r w:rsidRPr="00596935">
              <w:rPr>
                <w:rFonts w:cs="Arial"/>
                <w:color w:val="000000"/>
                <w:sz w:val="18"/>
                <w:szCs w:val="18"/>
                <w:lang w:val="de-AT" w:eastAsia="de-AT"/>
              </w:rPr>
              <w:t> </w:t>
            </w:r>
          </w:p>
        </w:tc>
      </w:tr>
    </w:tbl>
    <w:p w14:paraId="744DCF6D" w14:textId="77777777" w:rsidR="00596935" w:rsidRPr="00596935" w:rsidRDefault="00596935" w:rsidP="00596935">
      <w:pPr>
        <w:spacing w:after="200" w:line="276" w:lineRule="auto"/>
        <w:rPr>
          <w:rFonts w:asciiTheme="minorHAnsi" w:eastAsiaTheme="minorHAnsi" w:hAnsiTheme="minorHAnsi" w:cstheme="minorBidi"/>
          <w:sz w:val="24"/>
          <w:szCs w:val="24"/>
          <w:lang w:val="en-GB" w:eastAsia="en-US"/>
        </w:rPr>
      </w:pPr>
    </w:p>
    <w:p w14:paraId="681B777D" w14:textId="77777777" w:rsidR="00596935" w:rsidRPr="00596935" w:rsidRDefault="00596935" w:rsidP="00596935">
      <w:pPr>
        <w:spacing w:after="200" w:line="276" w:lineRule="auto"/>
        <w:rPr>
          <w:rFonts w:asciiTheme="minorHAnsi" w:eastAsiaTheme="minorHAnsi" w:hAnsiTheme="minorHAnsi" w:cstheme="minorBidi"/>
          <w:sz w:val="24"/>
          <w:szCs w:val="24"/>
          <w:lang w:val="en-GB" w:eastAsia="en-US"/>
        </w:rPr>
        <w:sectPr w:rsidR="00596935" w:rsidRPr="00596935" w:rsidSect="00596935">
          <w:pgSz w:w="16838" w:h="11906" w:orient="landscape"/>
          <w:pgMar w:top="1417" w:right="1417" w:bottom="1417" w:left="1134" w:header="708" w:footer="708" w:gutter="0"/>
          <w:cols w:space="708"/>
          <w:docGrid w:linePitch="360"/>
        </w:sectPr>
      </w:pPr>
    </w:p>
    <w:p w14:paraId="00C3F006" w14:textId="77777777" w:rsidR="00596935" w:rsidRPr="00596935" w:rsidRDefault="00596935" w:rsidP="00403E99">
      <w:pPr>
        <w:pStyle w:val="Textbody"/>
        <w:rPr>
          <w:rFonts w:eastAsiaTheme="minorHAnsi"/>
        </w:rPr>
      </w:pPr>
      <w:r w:rsidRPr="00596935">
        <w:rPr>
          <w:rFonts w:eastAsiaTheme="minorHAnsi"/>
          <w:i/>
        </w:rPr>
        <w:lastRenderedPageBreak/>
        <w:t xml:space="preserve">Complications/Adverse events: </w:t>
      </w:r>
      <w:r w:rsidRPr="00596935">
        <w:rPr>
          <w:rFonts w:eastAsiaTheme="minorHAnsi"/>
        </w:rPr>
        <w:t>Complications were observed in 142 patients who received a VSB, which is equivalent to 10.5% of the overall sample. The incidence of complications observed for comparable devices were: 71.2% for the Esteem, 70% for the Carina, and 13.6% for the SOUNDTEC Direct Drive.</w:t>
      </w:r>
    </w:p>
    <w:p w14:paraId="77DBC216" w14:textId="77777777" w:rsidR="00596935" w:rsidRPr="00596935" w:rsidRDefault="00596935" w:rsidP="00403E99">
      <w:pPr>
        <w:pStyle w:val="Textbody"/>
        <w:rPr>
          <w:rFonts w:eastAsiaTheme="minorHAnsi"/>
        </w:rPr>
      </w:pPr>
      <w:r w:rsidRPr="00596935">
        <w:rPr>
          <w:rFonts w:eastAsiaTheme="minorHAnsi"/>
          <w:i/>
        </w:rPr>
        <w:t>Infection rates</w:t>
      </w:r>
      <w:r w:rsidRPr="00596935">
        <w:rPr>
          <w:rFonts w:eastAsiaTheme="minorHAnsi"/>
        </w:rPr>
        <w:t>: Wound infections were not observed with any partially implantable MEI; but were observed with the Esteem, in which the incidence rate was 3.98%</w:t>
      </w:r>
    </w:p>
    <w:p w14:paraId="44B1B0C4" w14:textId="77777777" w:rsidR="00596935" w:rsidRPr="00596935" w:rsidRDefault="00596935" w:rsidP="00403E99">
      <w:pPr>
        <w:pStyle w:val="Textbody"/>
        <w:rPr>
          <w:rFonts w:eastAsiaTheme="minorHAnsi"/>
        </w:rPr>
      </w:pPr>
      <w:r w:rsidRPr="00596935">
        <w:rPr>
          <w:rFonts w:eastAsiaTheme="minorHAnsi"/>
          <w:i/>
        </w:rPr>
        <w:t>Taste disturbance</w:t>
      </w:r>
      <w:r w:rsidRPr="00596935">
        <w:rPr>
          <w:rFonts w:eastAsiaTheme="minorHAnsi"/>
        </w:rPr>
        <w:t>: Taste disturbances were reported by 26 patients in four studies, indicating an incidence of 1.86% in the literature. In comparable devices the incidence rates were; 22.2% for the Esteem, 0% for the Carina and 1.94% for the SOUNDTEC</w:t>
      </w:r>
    </w:p>
    <w:p w14:paraId="6FD72E6F" w14:textId="77777777" w:rsidR="00596935" w:rsidRPr="00596935" w:rsidRDefault="00596935" w:rsidP="00403E99">
      <w:pPr>
        <w:pStyle w:val="Textbody"/>
        <w:rPr>
          <w:rFonts w:eastAsiaTheme="minorHAnsi"/>
        </w:rPr>
      </w:pPr>
      <w:r w:rsidRPr="00596935">
        <w:rPr>
          <w:rFonts w:eastAsiaTheme="minorHAnsi"/>
          <w:i/>
        </w:rPr>
        <w:t>Fibrosis</w:t>
      </w:r>
      <w:r w:rsidRPr="00596935">
        <w:rPr>
          <w:rFonts w:eastAsiaTheme="minorHAnsi"/>
        </w:rPr>
        <w:t>: No studies reported on the presence of fibrosis.  A few skin flap problems were observed in two studies, indicating an incidence rate of 1.29% in the literature for the VSB. The SOUNDTEC partially implantable MEI also lead to skin flap problems in 1.94% of cases.</w:t>
      </w:r>
    </w:p>
    <w:p w14:paraId="2D1D535C" w14:textId="77777777" w:rsidR="00596935" w:rsidRPr="00596935" w:rsidRDefault="00596935" w:rsidP="00403E99">
      <w:pPr>
        <w:pStyle w:val="Textbody"/>
        <w:rPr>
          <w:rFonts w:eastAsiaTheme="minorHAnsi"/>
        </w:rPr>
      </w:pPr>
      <w:r w:rsidRPr="00596935">
        <w:rPr>
          <w:rFonts w:eastAsiaTheme="minorHAnsi"/>
          <w:i/>
        </w:rPr>
        <w:t>Aural fullness</w:t>
      </w:r>
      <w:r w:rsidRPr="00596935">
        <w:rPr>
          <w:rFonts w:eastAsiaTheme="minorHAnsi"/>
        </w:rPr>
        <w:t>: Aural fullness was reported by 21 patients in a single study, resulting in an incidence of 27.3%. Across all included studies this rate dropped to 1.5%. The incidence rate for comparable devices were: 0% with the Esteem, 10% with the Carina, and 0.9% with the SOUNDTEC.</w:t>
      </w:r>
    </w:p>
    <w:p w14:paraId="5913ADC9" w14:textId="77777777" w:rsidR="00596935" w:rsidRPr="00596935" w:rsidRDefault="00596935" w:rsidP="00403E99">
      <w:pPr>
        <w:pStyle w:val="Textbody"/>
        <w:rPr>
          <w:rFonts w:eastAsiaTheme="minorHAnsi"/>
        </w:rPr>
      </w:pPr>
      <w:r w:rsidRPr="00596935">
        <w:rPr>
          <w:rFonts w:eastAsiaTheme="minorHAnsi"/>
          <w:i/>
        </w:rPr>
        <w:t>Acoustic trauma</w:t>
      </w:r>
      <w:r w:rsidRPr="00596935">
        <w:rPr>
          <w:rFonts w:eastAsiaTheme="minorHAnsi"/>
        </w:rPr>
        <w:t xml:space="preserve">: Defined as a damage to the inner ear, acoustic trauma can be demonstrated by a shift in bone conduction pure tone thresholds. Twelve studies were found reporting on BC thresholds following VSB implantation. All except one demonstrated a threshold shift of less than 5 dB. The remaining study demonstrated a mean shift of 8 dB two years after implantation. A change of 10 dB or less is said to be clinically not significant. A threshold shift less than 5 dB was also observed in comparable partially and fully implantable MEI. </w:t>
      </w:r>
    </w:p>
    <w:p w14:paraId="62FEEF27" w14:textId="77777777" w:rsidR="00596935" w:rsidRPr="00596935" w:rsidRDefault="00596935" w:rsidP="00403E99">
      <w:pPr>
        <w:pStyle w:val="Textbody"/>
        <w:rPr>
          <w:rFonts w:eastAsiaTheme="minorHAnsi"/>
        </w:rPr>
      </w:pPr>
      <w:r w:rsidRPr="00596935">
        <w:rPr>
          <w:rFonts w:eastAsiaTheme="minorHAnsi"/>
          <w:i/>
        </w:rPr>
        <w:t>Dizziness</w:t>
      </w:r>
      <w:r w:rsidRPr="00596935">
        <w:rPr>
          <w:rFonts w:eastAsiaTheme="minorHAnsi"/>
        </w:rPr>
        <w:t>: Dizziness and/or vertigo was addressed as a potential adverse event by Sterkers (2003), and was not observed in any of the included 95 patients. Dizziness was reported following MEI implantation at a rate of 6.25% with Esteem, 5% with the Carina, and 1.94% with the SOUNDTEC.</w:t>
      </w:r>
    </w:p>
    <w:p w14:paraId="6929A406" w14:textId="77777777" w:rsidR="00596935" w:rsidRPr="00596935" w:rsidRDefault="00596935" w:rsidP="00403E99">
      <w:pPr>
        <w:pStyle w:val="Textbody"/>
        <w:rPr>
          <w:rFonts w:eastAsiaTheme="minorHAnsi"/>
        </w:rPr>
      </w:pPr>
      <w:r w:rsidRPr="00596935">
        <w:rPr>
          <w:rFonts w:eastAsiaTheme="minorHAnsi"/>
          <w:i/>
        </w:rPr>
        <w:t>Damage to the middle ear</w:t>
      </w:r>
      <w:r w:rsidRPr="00596935">
        <w:rPr>
          <w:rFonts w:eastAsiaTheme="minorHAnsi"/>
        </w:rPr>
        <w:t xml:space="preserve">: Damage to the middle ear could be demonstrated by an occurring pathology in the middle ear, or by a shift in air conduction pure tone thresholds. The occurrence of middle ear effusion was rated by Sterkers (2003), and was not observed in any of their patients. Pure tone AC thresholds were not examined by any VSB studies. The incidence of ME effusion observed following comparable devices were: 10.2% with the Esteem, 15% with the Carina, and 0.97% with the SOUNDTEC. </w:t>
      </w:r>
    </w:p>
    <w:p w14:paraId="7D8679DB" w14:textId="77777777" w:rsidR="00596935" w:rsidRPr="00596935" w:rsidRDefault="00596935" w:rsidP="00403E99">
      <w:pPr>
        <w:pStyle w:val="Textbody"/>
        <w:rPr>
          <w:rFonts w:eastAsiaTheme="minorHAnsi"/>
        </w:rPr>
      </w:pPr>
      <w:r w:rsidRPr="00596935">
        <w:rPr>
          <w:rFonts w:eastAsiaTheme="minorHAnsi"/>
        </w:rPr>
        <w:t xml:space="preserve">Revision surgery: The rate of revision surgery was mentioned in five studies covering a total of 1278 patients. Revision surgery was required in 2.72% of cases in the literature, </w:t>
      </w:r>
      <w:r w:rsidRPr="00596935">
        <w:rPr>
          <w:rFonts w:eastAsiaTheme="minorHAnsi"/>
        </w:rPr>
        <w:lastRenderedPageBreak/>
        <w:t>and was mostly due to implant failure. Following implantation of comparable devices revision surgery occurred at a rate of 2.84% with Esteem and 0.94% with SOUNDTEC.</w:t>
      </w:r>
    </w:p>
    <w:p w14:paraId="2AFDB42E" w14:textId="77777777" w:rsidR="00596935" w:rsidRPr="00596935" w:rsidRDefault="00596935" w:rsidP="00403E99">
      <w:pPr>
        <w:pStyle w:val="Textbody"/>
        <w:rPr>
          <w:rFonts w:eastAsiaTheme="minorHAnsi"/>
        </w:rPr>
      </w:pPr>
      <w:r w:rsidRPr="00596935">
        <w:rPr>
          <w:rFonts w:eastAsiaTheme="minorHAnsi"/>
        </w:rPr>
        <w:t>Device failure and explantation: The rate of device failure and explantation as reported in two studies was 1.93%. in 1177 patients. In these two studies, Labassi (2005) and Sterkers (2003) indicated device malfunctions or failures of the first generation models of the Vibrant Soundbridge, and that very few were observed with second generation models since 1999.</w:t>
      </w:r>
      <w:r w:rsidR="006075AF">
        <w:rPr>
          <w:rFonts w:eastAsiaTheme="minorHAnsi"/>
        </w:rPr>
        <w:t xml:space="preserve"> </w:t>
      </w:r>
      <w:r w:rsidRPr="00596935">
        <w:rPr>
          <w:rFonts w:eastAsiaTheme="minorHAnsi"/>
        </w:rPr>
        <w:t>Labassi (2005) further reported a 0.3% failure rate of the new devices. The incidence of device failure or malfunction for comparable fully implantable devices were 1.7% for the Esteem and 45% for the Carina. None have been so far observed with the SOUNDTEC.</w:t>
      </w:r>
    </w:p>
    <w:p w14:paraId="61F618A8" w14:textId="77777777" w:rsidR="00596935" w:rsidRPr="00596935" w:rsidRDefault="00596935" w:rsidP="00403E99">
      <w:pPr>
        <w:pStyle w:val="Textbody"/>
        <w:rPr>
          <w:rFonts w:eastAsiaTheme="minorHAnsi"/>
        </w:rPr>
      </w:pPr>
      <w:r w:rsidRPr="00596935">
        <w:rPr>
          <w:rFonts w:eastAsiaTheme="minorHAnsi"/>
        </w:rPr>
        <w:t>Mortality: There was no report of mortality associated with the devices or procedures in the literature of partially or fully implantable middle ear implants.</w:t>
      </w:r>
    </w:p>
    <w:p w14:paraId="391CDDF7" w14:textId="77777777" w:rsidR="00596935" w:rsidRPr="00403E99" w:rsidRDefault="00596935" w:rsidP="00403E99">
      <w:pPr>
        <w:pStyle w:val="Textbody"/>
      </w:pPr>
    </w:p>
    <w:p w14:paraId="237C2D04" w14:textId="77777777" w:rsidR="000737E8" w:rsidRPr="00403E99" w:rsidRDefault="000737E8" w:rsidP="00403E99">
      <w:pPr>
        <w:pStyle w:val="Heading20"/>
      </w:pPr>
      <w:bookmarkStart w:id="462" w:name="_Toc191822174"/>
      <w:bookmarkStart w:id="463" w:name="_Toc191822224"/>
      <w:bookmarkStart w:id="464" w:name="_Toc191822274"/>
      <w:bookmarkStart w:id="465" w:name="_Toc258501791"/>
      <w:bookmarkStart w:id="466" w:name="_Toc312340167"/>
      <w:bookmarkStart w:id="467" w:name="_Toc337546901"/>
      <w:bookmarkStart w:id="468" w:name="_Toc431917577"/>
      <w:bookmarkStart w:id="469" w:name="_Toc191822175"/>
      <w:bookmarkStart w:id="470" w:name="_Toc191822225"/>
      <w:bookmarkStart w:id="471" w:name="_Toc191822275"/>
      <w:bookmarkStart w:id="472" w:name="_Toc258501792"/>
      <w:bookmarkStart w:id="473" w:name="_Toc312340168"/>
      <w:bookmarkStart w:id="474" w:name="_Toc337546902"/>
      <w:r w:rsidRPr="00403E99">
        <w:t>B.7</w:t>
      </w:r>
      <w:r w:rsidRPr="00403E99">
        <w:tab/>
        <w:t>Extended assessment of comparative harms</w:t>
      </w:r>
      <w:bookmarkEnd w:id="462"/>
      <w:bookmarkEnd w:id="463"/>
      <w:bookmarkEnd w:id="464"/>
      <w:bookmarkEnd w:id="465"/>
      <w:bookmarkEnd w:id="466"/>
      <w:bookmarkEnd w:id="467"/>
      <w:bookmarkEnd w:id="468"/>
    </w:p>
    <w:p w14:paraId="6DD7B596" w14:textId="77777777" w:rsidR="000737E8" w:rsidRDefault="000737E8" w:rsidP="00C67966">
      <w:pPr>
        <w:pStyle w:val="Textbody"/>
      </w:pPr>
      <w:r>
        <w:t>A comprehensive search strategy was used to identify all studies on MEI, and the citations found were complemented by a manual search of the study bibliographies. Bibliographies available from manufacturer websites were also used in this process to identify any publications that were not found by the online database search. Therefore, it can be said all relevant publications were included in this submission and no reports on device safety including patients were missed.</w:t>
      </w:r>
    </w:p>
    <w:p w14:paraId="075E321C" w14:textId="77777777" w:rsidR="000737E8" w:rsidRDefault="000737E8" w:rsidP="00C67966">
      <w:pPr>
        <w:pStyle w:val="Textbody"/>
      </w:pPr>
    </w:p>
    <w:p w14:paraId="43B4FDF7" w14:textId="77777777" w:rsidR="000737E8" w:rsidRPr="0080769D" w:rsidRDefault="000737E8" w:rsidP="00C67966">
      <w:pPr>
        <w:pStyle w:val="Textbody"/>
      </w:pPr>
      <w:r w:rsidRPr="000737E8">
        <w:t>All adverse events associated with the Vibrant Soundbridge have been presented in section B6. The non-randomized trials included in this section present complications observed within a short and long-term follow-up after implantation, and have reported on all complications occurring within the specified time frame. This means that any delayed adverse event, if occurring, would have been reported. No further complications are anticipated to occur in association with receiving a MEI.</w:t>
      </w:r>
    </w:p>
    <w:p w14:paraId="117FC380" w14:textId="77777777" w:rsidR="00403E99" w:rsidRDefault="00403E99">
      <w:pPr>
        <w:rPr>
          <w:rFonts w:cs="Arial"/>
          <w:lang w:val="en-US" w:eastAsia="de-AT"/>
        </w:rPr>
      </w:pPr>
      <w:r>
        <w:br w:type="page"/>
      </w:r>
    </w:p>
    <w:p w14:paraId="6D7BC603" w14:textId="77777777" w:rsidR="000737E8" w:rsidRPr="000737E8" w:rsidRDefault="000737E8" w:rsidP="000737E8">
      <w:pPr>
        <w:pStyle w:val="Heading20"/>
      </w:pPr>
      <w:bookmarkStart w:id="475" w:name="_Toc431917578"/>
      <w:r w:rsidRPr="00703BC0">
        <w:rPr>
          <w:rFonts w:cs="Arial"/>
        </w:rPr>
        <w:lastRenderedPageBreak/>
        <w:t>B.8</w:t>
      </w:r>
      <w:r w:rsidRPr="00703BC0">
        <w:rPr>
          <w:rFonts w:cs="Arial"/>
        </w:rPr>
        <w:tab/>
      </w:r>
      <w:r w:rsidRPr="000737E8">
        <w:t>Interpretation of the clinical evidence</w:t>
      </w:r>
      <w:bookmarkEnd w:id="469"/>
      <w:bookmarkEnd w:id="470"/>
      <w:bookmarkEnd w:id="471"/>
      <w:bookmarkEnd w:id="472"/>
      <w:bookmarkEnd w:id="473"/>
      <w:bookmarkEnd w:id="474"/>
      <w:bookmarkEnd w:id="475"/>
    </w:p>
    <w:p w14:paraId="406849FD" w14:textId="77777777" w:rsidR="000737E8" w:rsidRPr="00703BC0" w:rsidRDefault="000737E8" w:rsidP="00C67966">
      <w:pPr>
        <w:pStyle w:val="Textbody"/>
      </w:pPr>
      <w:r w:rsidRPr="00703BC0">
        <w:t xml:space="preserve">The present review relies on </w:t>
      </w:r>
      <w:r>
        <w:t>best available</w:t>
      </w:r>
      <w:r w:rsidRPr="00703BC0">
        <w:t xml:space="preserve"> </w:t>
      </w:r>
      <w:r>
        <w:t xml:space="preserve">evidence on Middle Ear Implants </w:t>
      </w:r>
      <w:r w:rsidRPr="00703BC0">
        <w:t xml:space="preserve">to draw conclusions about </w:t>
      </w:r>
      <w:r>
        <w:t>their</w:t>
      </w:r>
      <w:r w:rsidRPr="00703BC0">
        <w:t xml:space="preserve"> relative </w:t>
      </w:r>
      <w:r>
        <w:t>effectiveness and safety.</w:t>
      </w:r>
    </w:p>
    <w:p w14:paraId="7BEB5423" w14:textId="77777777" w:rsidR="000737E8" w:rsidRPr="00703BC0" w:rsidRDefault="000737E8" w:rsidP="00C67966">
      <w:pPr>
        <w:pStyle w:val="Textbody"/>
      </w:pPr>
      <w:r w:rsidRPr="00703BC0">
        <w:t>Overall</w:t>
      </w:r>
      <w:r>
        <w:t>,</w:t>
      </w:r>
      <w:r w:rsidRPr="00703BC0">
        <w:t xml:space="preserve"> an assessment of the study characteristics that could potentially influence test validity</w:t>
      </w:r>
      <w:r>
        <w:t xml:space="preserve"> showed that</w:t>
      </w:r>
      <w:r w:rsidRPr="00703BC0">
        <w:t xml:space="preserve"> the following </w:t>
      </w:r>
      <w:r>
        <w:t xml:space="preserve">studies </w:t>
      </w:r>
      <w:r w:rsidRPr="00196B2C">
        <w:t xml:space="preserve">demonstrated notable characteristics that differed from all </w:t>
      </w:r>
      <w:r>
        <w:t>studies</w:t>
      </w:r>
      <w:r w:rsidRPr="00196B2C">
        <w:t>:</w:t>
      </w:r>
    </w:p>
    <w:p w14:paraId="0E07ABC5" w14:textId="77777777" w:rsidR="000737E8" w:rsidRPr="0080769D" w:rsidRDefault="000737E8" w:rsidP="00403E99">
      <w:pPr>
        <w:pStyle w:val="Textbody"/>
        <w:numPr>
          <w:ilvl w:val="0"/>
          <w:numId w:val="65"/>
        </w:numPr>
        <w:ind w:left="567"/>
      </w:pPr>
      <w:r w:rsidRPr="00C67966">
        <w:t xml:space="preserve">Memari </w:t>
      </w:r>
      <w:r w:rsidRPr="00C67966">
        <w:fldChar w:fldCharType="begin"/>
      </w:r>
      <w:r w:rsidR="00D85D29">
        <w:instrText xml:space="preserve"> ADDIN REFMGR.CITE &lt;Refman&gt;&lt;Cite&gt;&lt;Author&gt;Memari&lt;/Author&gt;&lt;Year&gt;2011&lt;/Year&gt;&lt;RecNum&gt;94&lt;/RecNum&gt;&lt;IDText&gt;Safety and patient selection of totally implantable hearing aid surgery: Envoy system, Esteem&lt;/IDText&gt;&lt;MDL Ref_Type="Journal"&gt;&lt;Ref_Type&gt;Journal&lt;/Ref_Type&gt;&lt;Ref_ID&gt;94&lt;/Ref_ID&gt;&lt;Title_Primary&gt;Safety and patient selection of totally implantable hearing aid surgery: Envoy system, Esteem&lt;/Title_Primary&gt;&lt;Authors_Primary&gt;Memari,F.&lt;/Authors_Primary&gt;&lt;Authors_Primary&gt;Asghari,A.&lt;/Authors_Primary&gt;&lt;Authors_Primary&gt;Daneshi,A.&lt;/Authors_Primary&gt;&lt;Authors_Primary&gt;Jalali,A.&lt;/Authors_Primary&gt;&lt;Date_Primary&gt;2011/10&lt;/Date_Primary&gt;&lt;Keywords&gt;Audiometry&lt;/Keywords&gt;&lt;Keywords&gt;Auditory Threshold&lt;/Keywords&gt;&lt;Keywords&gt;complications&lt;/Keywords&gt;&lt;Keywords&gt;diagnosis&lt;/Keywords&gt;&lt;Keywords&gt;Follow-Up Studies&lt;/Keywords&gt;&lt;Keywords&gt;Hearing&lt;/Keywords&gt;&lt;Keywords&gt;Hearing Aids&lt;/Keywords&gt;&lt;Keywords&gt;Hearing Loss&lt;/Keywords&gt;&lt;Keywords&gt;Hearing Loss,Sensorineural&lt;/Keywords&gt;&lt;Keywords&gt;Humans&lt;/Keywords&gt;&lt;Keywords&gt;methods&lt;/Keywords&gt;&lt;Keywords&gt;Ossicular Prosthesis&lt;/Keywords&gt;&lt;Keywords&gt;Patient Selection&lt;/Keywords&gt;&lt;Keywords&gt;physiology&lt;/Keywords&gt;&lt;Keywords&gt;physiopathology&lt;/Keywords&gt;&lt;Keywords&gt;Postoperative Complications&lt;/Keywords&gt;&lt;Keywords&gt;Prospective Studies&lt;/Keywords&gt;&lt;Keywords&gt;Prosthesis Design&lt;/Keywords&gt;&lt;Keywords&gt;Prosthesis Implantation&lt;/Keywords&gt;&lt;Keywords&gt;surgery&lt;/Keywords&gt;&lt;Keywords&gt;Temporal Bone&lt;/Keywords&gt;&lt;Keywords&gt;Tomography,X-Ray Computed&lt;/Keywords&gt;&lt;Keywords&gt;Treatment Outcome&lt;/Keywords&gt;&lt;Reprint&gt;On Request 03/08/13&lt;/Reprint&gt;&lt;Start_Page&gt;1421&lt;/Start_Page&gt;&lt;End_Page&gt;1425&lt;/End_Page&gt;&lt;Periodical&gt;Eur.Arch.Otorhinolaryngol.&lt;/Periodical&gt;&lt;Volume&gt;268&lt;/Volume&gt;&lt;Issue&gt;10&lt;/Issue&gt;&lt;Misc_3&gt;10.1007/s00405-011-1507-0 [doi]&lt;/Misc_3&gt;&lt;Address&gt;Department of ORL and HNS, Rasool-e-Akram Medical Center, Tehran University of Medical Sciences and Health Services, Tehran, Iran. memari1@gmail.com&lt;/Address&gt;&lt;Web_URL&gt;PM:21328002&lt;/Web_URL&gt;&lt;ZZ_JournalStdAbbrev&gt;&lt;f name="System"&gt;Eur.Arch.Otorhinolaryngol.&lt;/f&gt;&lt;/ZZ_JournalStdAbbrev&gt;&lt;ZZ_WorkformID&gt;1&lt;/ZZ_WorkformID&gt;&lt;/MDL&gt;&lt;/Cite&gt;&lt;/Refman&gt;</w:instrText>
      </w:r>
      <w:r w:rsidRPr="00C67966">
        <w:fldChar w:fldCharType="separate"/>
      </w:r>
      <w:r w:rsidRPr="00C67966">
        <w:rPr>
          <w:noProof/>
        </w:rPr>
        <w:t>(Memari et al., 2011)</w:t>
      </w:r>
      <w:r w:rsidRPr="00C67966">
        <w:fldChar w:fldCharType="end"/>
      </w:r>
      <w:r w:rsidRPr="000737E8">
        <w:t xml:space="preserve"> is unique in that it represents a different geographical location (</w:t>
      </w:r>
      <w:r w:rsidRPr="0080769D">
        <w:t>Iran) and may reflect differences in the provision of health care.</w:t>
      </w:r>
    </w:p>
    <w:p w14:paraId="57554B27" w14:textId="77777777" w:rsidR="000737E8" w:rsidRPr="00C67966" w:rsidRDefault="000737E8" w:rsidP="00403E99">
      <w:pPr>
        <w:pStyle w:val="Textbody"/>
        <w:numPr>
          <w:ilvl w:val="0"/>
          <w:numId w:val="65"/>
        </w:numPr>
        <w:ind w:left="567"/>
      </w:pPr>
      <w:r w:rsidRPr="00C67966">
        <w:t xml:space="preserve">In three studies, Pok et al. </w:t>
      </w:r>
      <w:r w:rsidRPr="000B7EA5">
        <w:rPr>
          <w:lang w:val="fr-FR"/>
        </w:rPr>
        <w:t xml:space="preserve">(2010), Sziklai et al. (2011) and Gerard et al. </w:t>
      </w:r>
      <w:r w:rsidRPr="00C67966">
        <w:t>(2012), the length of follow-up was not specified. The first two studies are of prospective design and it could be assumed that data was collected at initial fitting. The latter is a retrospective study where a longer follow-up could be assumed</w:t>
      </w:r>
      <w:r>
        <w:t xml:space="preserve"> </w:t>
      </w:r>
      <w:r>
        <w:fldChar w:fldCharType="begin">
          <w:fldData xml:space="preserve">PFJlZm1hbj48Q2l0ZT48QXV0aG9yPkdlcmFyZDwvQXV0aG9yPjxZZWFyPjIwMTI8L1llYXI+PFJl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</w:fldData>
        </w:fldChar>
      </w:r>
      <w:r w:rsidR="00D85D29">
        <w:instrText xml:space="preserve"> ADDIN REFMGR.CITE </w:instrText>
      </w:r>
      <w:r w:rsidR="00D85D29">
        <w:fldChar w:fldCharType="begin">
          <w:fldData xml:space="preserve">PFJlZm1hbj48Q2l0ZT48QXV0aG9yPkdlcmFyZDwvQXV0aG9yPjxZZWFyPjIwMTI8L1llYXI+PFJl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</w:fldData>
        </w:fldChar>
      </w:r>
      <w:r w:rsidR="00D85D29">
        <w:instrText xml:space="preserve"> ADDIN EN.CITE.DATA </w:instrText>
      </w:r>
      <w:r w:rsidR="00D85D29">
        <w:fldChar w:fldCharType="end"/>
      </w:r>
      <w:r>
        <w:fldChar w:fldCharType="separate"/>
      </w:r>
      <w:r>
        <w:rPr>
          <w:noProof/>
        </w:rPr>
        <w:t>(Gerard et al., 2012;Pok et al., 2010;Sziklai I, 2011)</w:t>
      </w:r>
      <w:r>
        <w:fldChar w:fldCharType="end"/>
      </w:r>
      <w:r w:rsidRPr="00C67966">
        <w:t>.</w:t>
      </w:r>
    </w:p>
    <w:p w14:paraId="7E3105E9" w14:textId="77777777" w:rsidR="000737E8" w:rsidRDefault="000737E8" w:rsidP="00C67966">
      <w:pPr>
        <w:pStyle w:val="Textbody"/>
      </w:pPr>
      <w:r>
        <w:t>Keeping these studies in mind, the literature available on middle ear implants demonstrates that implantation of the VSB:</w:t>
      </w:r>
    </w:p>
    <w:p w14:paraId="39BCA751" w14:textId="77777777" w:rsidR="000737E8" w:rsidRPr="000737E8" w:rsidRDefault="000737E8" w:rsidP="00403E99">
      <w:pPr>
        <w:pStyle w:val="Textbody"/>
        <w:numPr>
          <w:ilvl w:val="0"/>
          <w:numId w:val="86"/>
        </w:numPr>
        <w:ind w:left="567" w:hanging="207"/>
      </w:pPr>
      <w:r w:rsidRPr="00C67966">
        <w:t xml:space="preserve">Results in a </w:t>
      </w:r>
      <w:r w:rsidRPr="000737E8">
        <w:t>significant improvement in sound-field hearing thresholds</w:t>
      </w:r>
    </w:p>
    <w:p w14:paraId="156BA904" w14:textId="77777777" w:rsidR="000737E8" w:rsidRPr="0080769D" w:rsidRDefault="000737E8" w:rsidP="00403E99">
      <w:pPr>
        <w:pStyle w:val="Textbody"/>
        <w:numPr>
          <w:ilvl w:val="0"/>
          <w:numId w:val="86"/>
        </w:numPr>
        <w:ind w:left="567" w:hanging="207"/>
      </w:pPr>
      <w:r w:rsidRPr="0080769D">
        <w:t>Results in significantly better speech recognition/comprehension in quiet and noisy situations</w:t>
      </w:r>
    </w:p>
    <w:p w14:paraId="5E3FC915" w14:textId="77777777" w:rsidR="000737E8" w:rsidRPr="00596935" w:rsidRDefault="000737E8" w:rsidP="00403E99">
      <w:pPr>
        <w:pStyle w:val="Textbody"/>
        <w:numPr>
          <w:ilvl w:val="0"/>
          <w:numId w:val="86"/>
        </w:numPr>
        <w:ind w:left="567" w:hanging="207"/>
      </w:pPr>
      <w:r w:rsidRPr="00596935">
        <w:t>Leads to few difficulties in understanding speech in relatively easy listening conditions, as compared to noisy conditions; and improves health in general</w:t>
      </w:r>
    </w:p>
    <w:p w14:paraId="5012012C" w14:textId="77777777" w:rsidR="000737E8" w:rsidRPr="00596935" w:rsidRDefault="000737E8" w:rsidP="00403E99">
      <w:pPr>
        <w:pStyle w:val="Textbody"/>
        <w:numPr>
          <w:ilvl w:val="0"/>
          <w:numId w:val="86"/>
        </w:numPr>
        <w:ind w:left="567" w:hanging="207"/>
      </w:pPr>
      <w:r w:rsidRPr="00596935">
        <w:t>Is a safe procedure with minor adverse events resolving on their own or with local treatment</w:t>
      </w:r>
    </w:p>
    <w:p w14:paraId="5DC3C6F4" w14:textId="77777777" w:rsidR="000737E8" w:rsidRDefault="000737E8" w:rsidP="00C67966">
      <w:pPr>
        <w:pStyle w:val="Textbody"/>
      </w:pPr>
      <w:r>
        <w:t>Assessment of VSB outcomes at a long-term follow-up demonstrate:</w:t>
      </w:r>
    </w:p>
    <w:p w14:paraId="3AB473E7" w14:textId="77777777" w:rsidR="000737E8" w:rsidRPr="001324AF" w:rsidRDefault="000737E8" w:rsidP="00403E99">
      <w:pPr>
        <w:pStyle w:val="Textbody"/>
        <w:numPr>
          <w:ilvl w:val="0"/>
          <w:numId w:val="87"/>
        </w:numPr>
        <w:ind w:left="567" w:hanging="207"/>
      </w:pPr>
      <w:r>
        <w:t>A small but non-significant shift in bone conduction thresholds over time</w:t>
      </w:r>
    </w:p>
    <w:p w14:paraId="37CF4906" w14:textId="77777777" w:rsidR="000737E8" w:rsidRPr="001324AF" w:rsidRDefault="000737E8" w:rsidP="00403E99">
      <w:pPr>
        <w:pStyle w:val="Textbody"/>
        <w:numPr>
          <w:ilvl w:val="0"/>
          <w:numId w:val="87"/>
        </w:numPr>
        <w:ind w:left="567" w:hanging="207"/>
      </w:pPr>
      <w:r>
        <w:t>Constant functional gain</w:t>
      </w:r>
    </w:p>
    <w:p w14:paraId="2631386F" w14:textId="77777777" w:rsidR="000737E8" w:rsidRPr="00380384" w:rsidRDefault="000737E8" w:rsidP="00403E99">
      <w:pPr>
        <w:pStyle w:val="Textbody"/>
        <w:numPr>
          <w:ilvl w:val="0"/>
          <w:numId w:val="87"/>
        </w:numPr>
        <w:ind w:left="567" w:hanging="207"/>
      </w:pPr>
      <w:r>
        <w:t xml:space="preserve">Slight decrease in </w:t>
      </w:r>
      <w:r w:rsidRPr="00380384">
        <w:t xml:space="preserve">recognition/comprehension </w:t>
      </w:r>
      <w:r>
        <w:t>over time, yet still significantly better outcomes than baseline</w:t>
      </w:r>
    </w:p>
    <w:p w14:paraId="494EB837" w14:textId="77777777" w:rsidR="000737E8" w:rsidRPr="00380384" w:rsidRDefault="000737E8" w:rsidP="00403E99">
      <w:pPr>
        <w:pStyle w:val="Textbody"/>
        <w:numPr>
          <w:ilvl w:val="0"/>
          <w:numId w:val="87"/>
        </w:numPr>
        <w:ind w:left="567" w:hanging="207"/>
      </w:pPr>
      <w:r>
        <w:t>Sustained subjective benefit</w:t>
      </w:r>
    </w:p>
    <w:p w14:paraId="6BFDF12A" w14:textId="77777777" w:rsidR="000737E8" w:rsidRDefault="000737E8" w:rsidP="00C67966">
      <w:pPr>
        <w:pStyle w:val="Textbody"/>
      </w:pPr>
      <w:r>
        <w:t>In the field of middle ear implants it can be concluded that the VSB is;</w:t>
      </w:r>
    </w:p>
    <w:p w14:paraId="0819DAA3" w14:textId="77777777" w:rsidR="000737E8" w:rsidRPr="000737E8" w:rsidRDefault="000737E8" w:rsidP="00403E99">
      <w:pPr>
        <w:pStyle w:val="Textbody"/>
        <w:numPr>
          <w:ilvl w:val="0"/>
          <w:numId w:val="88"/>
        </w:numPr>
        <w:ind w:left="567" w:hanging="207"/>
      </w:pPr>
      <w:r w:rsidRPr="000737E8">
        <w:t>At least as effective as other partially or fully implantable MEI</w:t>
      </w:r>
    </w:p>
    <w:p w14:paraId="62E554C9" w14:textId="77777777" w:rsidR="000737E8" w:rsidRPr="0080769D" w:rsidRDefault="000737E8" w:rsidP="00403E99">
      <w:pPr>
        <w:pStyle w:val="Textbody"/>
        <w:numPr>
          <w:ilvl w:val="0"/>
          <w:numId w:val="88"/>
        </w:numPr>
        <w:ind w:left="567" w:hanging="207"/>
      </w:pPr>
      <w:r w:rsidRPr="0080769D">
        <w:t>At least as safe as other partially implantable MEI</w:t>
      </w:r>
    </w:p>
    <w:p w14:paraId="12F29E5B" w14:textId="77777777" w:rsidR="000737E8" w:rsidRPr="00596935" w:rsidRDefault="000737E8" w:rsidP="00403E99">
      <w:pPr>
        <w:pStyle w:val="Textbody"/>
        <w:numPr>
          <w:ilvl w:val="0"/>
          <w:numId w:val="88"/>
        </w:numPr>
        <w:ind w:left="567" w:hanging="207"/>
      </w:pPr>
      <w:r w:rsidRPr="00596935">
        <w:t>Superior in terms of safety in regard to fully-implantable MEI</w:t>
      </w:r>
    </w:p>
    <w:p w14:paraId="00B1BBCA" w14:textId="77777777" w:rsidR="000737E8" w:rsidRPr="00D77AE9" w:rsidRDefault="000737E8" w:rsidP="00C67966">
      <w:pPr>
        <w:pStyle w:val="Textbody"/>
      </w:pPr>
      <w:r w:rsidRPr="00596935">
        <w:t xml:space="preserve">The evidence base used to reach the conclusions above are summarised in </w:t>
      </w:r>
      <w:r w:rsidR="00A82510">
        <w:rPr>
          <w:highlight w:val="yellow"/>
        </w:rPr>
        <w:fldChar w:fldCharType="begin"/>
      </w:r>
      <w:r w:rsidR="00A82510">
        <w:instrText xml:space="preserve"> REF _Ref400644454 \h </w:instrText>
      </w:r>
      <w:r w:rsidR="00A82510">
        <w:rPr>
          <w:highlight w:val="yellow"/>
        </w:rPr>
      </w:r>
      <w:r w:rsidR="00A82510">
        <w:rPr>
          <w:highlight w:val="yellow"/>
        </w:rPr>
        <w:fldChar w:fldCharType="separate"/>
      </w:r>
      <w:r w:rsidR="00016592" w:rsidRPr="00D85D29">
        <w:t xml:space="preserve">Table </w:t>
      </w:r>
      <w:r w:rsidR="00016592">
        <w:rPr>
          <w:noProof/>
        </w:rPr>
        <w:t>28</w:t>
      </w:r>
      <w:r w:rsidR="00A82510">
        <w:rPr>
          <w:highlight w:val="yellow"/>
        </w:rPr>
        <w:fldChar w:fldCharType="end"/>
      </w:r>
      <w:r w:rsidR="00A82510">
        <w:t xml:space="preserve"> </w:t>
      </w:r>
      <w:r w:rsidRPr="00D77AE9">
        <w:t>with respect to important features of the evidence outlined in Section B.8 of the PBAC Guidelines.</w:t>
      </w:r>
    </w:p>
    <w:p w14:paraId="3D7DE6BC" w14:textId="77777777" w:rsidR="000737E8" w:rsidRPr="00703BC0" w:rsidRDefault="000737E8" w:rsidP="000737E8">
      <w:pPr>
        <w:rPr>
          <w:rFonts w:cs="Arial"/>
        </w:rPr>
        <w:sectPr w:rsidR="000737E8" w:rsidRPr="00703BC0" w:rsidSect="008846BA">
          <w:pgSz w:w="11907" w:h="16840" w:code="9"/>
          <w:pgMar w:top="1418" w:right="1418" w:bottom="1701" w:left="1814" w:header="720" w:footer="720" w:gutter="0"/>
          <w:paperSrc w:first="7" w:other="7"/>
          <w:cols w:space="720"/>
          <w:noEndnote/>
          <w:docGrid w:linePitch="299"/>
        </w:sectPr>
      </w:pPr>
    </w:p>
    <w:p w14:paraId="22099689" w14:textId="77777777" w:rsidR="000737E8" w:rsidRPr="00D85D29" w:rsidRDefault="00A82510" w:rsidP="00A82510">
      <w:pPr>
        <w:pStyle w:val="Caption"/>
        <w:rPr>
          <w:rFonts w:ascii="Arial" w:hAnsi="Arial" w:cs="Arial"/>
        </w:rPr>
      </w:pPr>
      <w:bookmarkStart w:id="476" w:name="_Ref400644454"/>
      <w:bookmarkStart w:id="477" w:name="_Toc335666053"/>
      <w:bookmarkStart w:id="478" w:name="_Toc337547018"/>
      <w:bookmarkStart w:id="479" w:name="_Toc431917488"/>
      <w:r w:rsidRPr="00D85D29">
        <w:rPr>
          <w:rFonts w:ascii="Arial" w:hAnsi="Arial" w:cs="Arial"/>
        </w:rPr>
        <w:lastRenderedPageBreak/>
        <w:t xml:space="preserve">Table </w:t>
      </w:r>
      <w:r w:rsidRPr="00D85D29">
        <w:rPr>
          <w:rFonts w:ascii="Arial" w:hAnsi="Arial" w:cs="Arial"/>
        </w:rPr>
        <w:fldChar w:fldCharType="begin"/>
      </w:r>
      <w:r w:rsidRPr="00D85D29">
        <w:rPr>
          <w:rFonts w:ascii="Arial" w:hAnsi="Arial" w:cs="Arial"/>
        </w:rPr>
        <w:instrText xml:space="preserve"> SEQ Table \* ARABIC </w:instrText>
      </w:r>
      <w:r w:rsidRPr="00D85D29">
        <w:rPr>
          <w:rFonts w:ascii="Arial" w:hAnsi="Arial" w:cs="Arial"/>
        </w:rPr>
        <w:fldChar w:fldCharType="separate"/>
      </w:r>
      <w:r w:rsidR="00016592">
        <w:rPr>
          <w:rFonts w:ascii="Arial" w:hAnsi="Arial" w:cs="Arial"/>
          <w:noProof/>
        </w:rPr>
        <w:t>28</w:t>
      </w:r>
      <w:r w:rsidRPr="00D85D29">
        <w:rPr>
          <w:rFonts w:ascii="Arial" w:hAnsi="Arial" w:cs="Arial"/>
        </w:rPr>
        <w:fldChar w:fldCharType="end"/>
      </w:r>
      <w:bookmarkEnd w:id="476"/>
      <w:r w:rsidRPr="00D85D29">
        <w:rPr>
          <w:rFonts w:ascii="Arial" w:hAnsi="Arial" w:cs="Arial"/>
          <w:lang w:val="en-US"/>
        </w:rPr>
        <w:t xml:space="preserve"> - </w:t>
      </w:r>
      <w:r w:rsidR="000737E8" w:rsidRPr="00D85D29">
        <w:rPr>
          <w:rFonts w:ascii="Arial" w:hAnsi="Arial" w:cs="Arial"/>
        </w:rPr>
        <w:t>Summary of the evidence base supporting the therapeutic</w:t>
      </w:r>
      <w:r w:rsidR="00D85D29" w:rsidRPr="00D85D29">
        <w:rPr>
          <w:rFonts w:ascii="Arial" w:hAnsi="Arial" w:cs="Arial"/>
          <w:lang w:val="en-US"/>
        </w:rPr>
        <w:t xml:space="preserve"> </w:t>
      </w:r>
      <w:r w:rsidR="000737E8" w:rsidRPr="00D85D29">
        <w:rPr>
          <w:rFonts w:ascii="Arial" w:hAnsi="Arial" w:cs="Arial"/>
        </w:rPr>
        <w:t>claims</w:t>
      </w:r>
      <w:bookmarkEnd w:id="477"/>
      <w:bookmarkEnd w:id="478"/>
      <w:bookmarkEnd w:id="479"/>
    </w:p>
    <w:tbl>
      <w:tblPr>
        <w:tblStyle w:val="Tabellenraster1"/>
        <w:tblW w:w="0" w:type="auto"/>
        <w:tblLook w:val="04A0" w:firstRow="1" w:lastRow="0" w:firstColumn="1" w:lastColumn="0" w:noHBand="0" w:noVBand="1"/>
        <w:tblDescription w:val="Summary of the evidence base supporting the therapeutic claims"/>
      </w:tblPr>
      <w:tblGrid>
        <w:gridCol w:w="1713"/>
        <w:gridCol w:w="3640"/>
        <w:gridCol w:w="3119"/>
        <w:gridCol w:w="2954"/>
        <w:gridCol w:w="2511"/>
      </w:tblGrid>
      <w:tr w:rsidR="000737E8" w:rsidRPr="00703BC0" w14:paraId="4903F15E" w14:textId="77777777" w:rsidTr="001C2E0E">
        <w:trPr>
          <w:tblHeader/>
        </w:trPr>
        <w:tc>
          <w:tcPr>
            <w:tcW w:w="1713" w:type="dxa"/>
          </w:tcPr>
          <w:p w14:paraId="64E0DBB6" w14:textId="77777777" w:rsidR="000737E8" w:rsidRPr="00703BC0" w:rsidRDefault="000737E8" w:rsidP="000737E8">
            <w:pPr>
              <w:pStyle w:val="Tabletext"/>
              <w:rPr>
                <w:rFonts w:ascii="Arial" w:hAnsi="Arial" w:cs="Arial"/>
                <w:b/>
              </w:rPr>
            </w:pPr>
            <w:r w:rsidRPr="00703BC0">
              <w:rPr>
                <w:rFonts w:ascii="Arial" w:hAnsi="Arial" w:cs="Arial"/>
                <w:b/>
              </w:rPr>
              <w:t>Comparison</w:t>
            </w:r>
          </w:p>
        </w:tc>
        <w:tc>
          <w:tcPr>
            <w:tcW w:w="3640" w:type="dxa"/>
          </w:tcPr>
          <w:p w14:paraId="2159BC12" w14:textId="77777777" w:rsidR="000737E8" w:rsidRPr="00703BC0" w:rsidRDefault="000737E8" w:rsidP="000737E8">
            <w:pPr>
              <w:pStyle w:val="Tabletext"/>
              <w:rPr>
                <w:rFonts w:ascii="Arial" w:hAnsi="Arial" w:cs="Arial"/>
                <w:b/>
              </w:rPr>
            </w:pPr>
            <w:r w:rsidRPr="00703BC0">
              <w:rPr>
                <w:rFonts w:ascii="Arial" w:hAnsi="Arial" w:cs="Arial"/>
                <w:b/>
              </w:rPr>
              <w:t>Therapeutic claim</w:t>
            </w:r>
          </w:p>
        </w:tc>
        <w:tc>
          <w:tcPr>
            <w:tcW w:w="3119" w:type="dxa"/>
          </w:tcPr>
          <w:p w14:paraId="0A90C80C" w14:textId="77777777" w:rsidR="000737E8" w:rsidRPr="00D85D29" w:rsidRDefault="000737E8" w:rsidP="000737E8">
            <w:pPr>
              <w:pStyle w:val="Tabletext"/>
              <w:rPr>
                <w:rFonts w:ascii="Arial" w:hAnsi="Arial" w:cs="Arial"/>
                <w:b/>
                <w:lang w:val="en-US"/>
              </w:rPr>
            </w:pPr>
            <w:r w:rsidRPr="00D85D29">
              <w:rPr>
                <w:rFonts w:ascii="Arial" w:hAnsi="Arial" w:cs="Arial"/>
                <w:b/>
                <w:lang w:val="en-US"/>
              </w:rPr>
              <w:t>The level and quality of the evidence</w:t>
            </w:r>
          </w:p>
        </w:tc>
        <w:tc>
          <w:tcPr>
            <w:tcW w:w="0" w:type="auto"/>
          </w:tcPr>
          <w:p w14:paraId="6F572F1A" w14:textId="77777777" w:rsidR="000737E8" w:rsidRPr="00D85D29" w:rsidRDefault="000737E8" w:rsidP="000737E8">
            <w:pPr>
              <w:pStyle w:val="Tabletext"/>
              <w:rPr>
                <w:rFonts w:ascii="Arial" w:hAnsi="Arial" w:cs="Arial"/>
                <w:b/>
                <w:lang w:val="en-US"/>
              </w:rPr>
            </w:pPr>
            <w:r w:rsidRPr="00D85D29">
              <w:rPr>
                <w:rFonts w:ascii="Arial" w:hAnsi="Arial" w:cs="Arial"/>
                <w:b/>
                <w:lang w:val="en-US"/>
              </w:rPr>
              <w:t>Statistical precision and size of the effect</w:t>
            </w:r>
          </w:p>
        </w:tc>
        <w:tc>
          <w:tcPr>
            <w:tcW w:w="0" w:type="auto"/>
          </w:tcPr>
          <w:p w14:paraId="7EB6E1DE" w14:textId="77777777" w:rsidR="000737E8" w:rsidRPr="00D85D29" w:rsidRDefault="000737E8" w:rsidP="000737E8">
            <w:pPr>
              <w:pStyle w:val="Tabletext"/>
              <w:rPr>
                <w:rFonts w:ascii="Arial" w:hAnsi="Arial" w:cs="Arial"/>
                <w:b/>
                <w:lang w:val="en-US"/>
              </w:rPr>
            </w:pPr>
            <w:r w:rsidRPr="00D85D29">
              <w:rPr>
                <w:rFonts w:ascii="Arial" w:hAnsi="Arial" w:cs="Arial"/>
                <w:b/>
                <w:lang w:val="en-US"/>
              </w:rPr>
              <w:t>Consistency of the results over the trials presented</w:t>
            </w:r>
          </w:p>
        </w:tc>
      </w:tr>
      <w:tr w:rsidR="000737E8" w:rsidRPr="00703BC0" w14:paraId="2DD1E15A" w14:textId="77777777" w:rsidTr="00403E99">
        <w:tc>
          <w:tcPr>
            <w:tcW w:w="1713" w:type="dxa"/>
            <w:vMerge w:val="restart"/>
          </w:tcPr>
          <w:p w14:paraId="374F7665" w14:textId="77777777" w:rsidR="000737E8" w:rsidRPr="00D85D29" w:rsidRDefault="000737E8" w:rsidP="000737E8">
            <w:pPr>
              <w:pStyle w:val="Tabletext"/>
              <w:rPr>
                <w:rFonts w:ascii="Arial" w:hAnsi="Arial" w:cs="Arial"/>
                <w:lang w:val="en-US"/>
              </w:rPr>
            </w:pPr>
            <w:r w:rsidRPr="00D85D29">
              <w:rPr>
                <w:rFonts w:ascii="Arial" w:hAnsi="Arial" w:cs="Arial"/>
                <w:lang w:val="en-US"/>
              </w:rPr>
              <w:t>Partially implantable MEI for patients with SNHL+medical condition vs. no treatment</w:t>
            </w:r>
          </w:p>
        </w:tc>
        <w:tc>
          <w:tcPr>
            <w:tcW w:w="3640" w:type="dxa"/>
          </w:tcPr>
          <w:p w14:paraId="7E7DD2F6" w14:textId="77777777" w:rsidR="000737E8" w:rsidRPr="00D85D29" w:rsidRDefault="000737E8" w:rsidP="000737E8">
            <w:pPr>
              <w:pStyle w:val="Tabletext"/>
              <w:rPr>
                <w:rFonts w:ascii="Arial" w:hAnsi="Arial" w:cs="Arial"/>
                <w:lang w:val="en-US"/>
              </w:rPr>
            </w:pPr>
            <w:r w:rsidRPr="00D85D29">
              <w:rPr>
                <w:rFonts w:ascii="Arial" w:hAnsi="Arial" w:cs="Arial"/>
                <w:lang w:val="en-US"/>
              </w:rPr>
              <w:t>Significant improvement in sound-field hearing thresholds</w:t>
            </w:r>
          </w:p>
        </w:tc>
        <w:tc>
          <w:tcPr>
            <w:tcW w:w="3119" w:type="dxa"/>
            <w:vMerge w:val="restart"/>
          </w:tcPr>
          <w:p w14:paraId="3C131224" w14:textId="77777777" w:rsidR="000737E8" w:rsidRPr="00703BC0" w:rsidRDefault="000737E8" w:rsidP="000737E8">
            <w:pPr>
              <w:pStyle w:val="Tabletext"/>
              <w:rPr>
                <w:rFonts w:ascii="Arial" w:hAnsi="Arial" w:cs="Arial"/>
              </w:rPr>
            </w:pPr>
            <w:r w:rsidRPr="00D85D29">
              <w:rPr>
                <w:rFonts w:ascii="Arial" w:hAnsi="Arial" w:cs="Arial"/>
                <w:lang w:val="en-US"/>
              </w:rPr>
              <w:t xml:space="preserve">Level III to Level IV evidence from non-randomised pre-post or with/without studies. </w:t>
            </w:r>
            <w:r w:rsidRPr="00241BD3">
              <w:rPr>
                <w:rFonts w:ascii="Arial" w:hAnsi="Arial" w:cs="Arial"/>
                <w:b/>
              </w:rPr>
              <w:t>Refere</w:t>
            </w:r>
            <w:r>
              <w:rPr>
                <w:rFonts w:ascii="Arial" w:hAnsi="Arial" w:cs="Arial"/>
                <w:b/>
              </w:rPr>
              <w:t>nce stan</w:t>
            </w:r>
            <w:r w:rsidRPr="00241BD3">
              <w:rPr>
                <w:rFonts w:ascii="Arial" w:hAnsi="Arial" w:cs="Arial"/>
                <w:b/>
              </w:rPr>
              <w:t>dard</w:t>
            </w:r>
            <w:r>
              <w:rPr>
                <w:rFonts w:ascii="Arial" w:hAnsi="Arial" w:cs="Arial"/>
              </w:rPr>
              <w:t xml:space="preserve"> in audiology is dedicated clinical follow-up.</w:t>
            </w:r>
          </w:p>
        </w:tc>
        <w:tc>
          <w:tcPr>
            <w:tcW w:w="0" w:type="auto"/>
          </w:tcPr>
          <w:p w14:paraId="42ABC2C6" w14:textId="77777777" w:rsidR="000737E8" w:rsidRPr="00D85D29" w:rsidRDefault="000737E8" w:rsidP="000737E8">
            <w:pPr>
              <w:pStyle w:val="Tabletext"/>
              <w:rPr>
                <w:rFonts w:ascii="Arial" w:hAnsi="Arial" w:cs="Arial"/>
                <w:lang w:val="en-US"/>
              </w:rPr>
            </w:pPr>
            <w:r w:rsidRPr="00D85D29">
              <w:rPr>
                <w:rFonts w:ascii="Arial" w:hAnsi="Arial" w:cs="Arial"/>
                <w:lang w:val="en-US"/>
              </w:rPr>
              <w:t>Based on clinical significance defined as a shift in</w:t>
            </w:r>
            <w:r w:rsidR="00D85D29" w:rsidRPr="00D85D29">
              <w:rPr>
                <w:rFonts w:ascii="Arial" w:hAnsi="Arial" w:cs="Arial"/>
                <w:lang w:val="en-US"/>
              </w:rPr>
              <w:t xml:space="preserve"> threshold &gt; 10 dB HL </w:t>
            </w:r>
          </w:p>
        </w:tc>
        <w:tc>
          <w:tcPr>
            <w:tcW w:w="0" w:type="auto"/>
          </w:tcPr>
          <w:p w14:paraId="525BFBA6" w14:textId="77777777" w:rsidR="000737E8" w:rsidRPr="00D85D29" w:rsidRDefault="000737E8" w:rsidP="000737E8">
            <w:pPr>
              <w:pStyle w:val="Tabletext"/>
              <w:rPr>
                <w:rFonts w:ascii="Arial" w:hAnsi="Arial" w:cs="Arial"/>
                <w:lang w:val="en-US"/>
              </w:rPr>
            </w:pPr>
            <w:r w:rsidRPr="00D85D29">
              <w:rPr>
                <w:rFonts w:ascii="Arial" w:hAnsi="Arial" w:cs="Arial"/>
                <w:lang w:val="en-US"/>
              </w:rPr>
              <w:t>Demonstrated in 15/16 studies covering 377 patients</w:t>
            </w:r>
          </w:p>
        </w:tc>
      </w:tr>
      <w:tr w:rsidR="000737E8" w:rsidRPr="00703BC0" w14:paraId="4E8BCCF2" w14:textId="77777777" w:rsidTr="00403E99">
        <w:tc>
          <w:tcPr>
            <w:tcW w:w="1713" w:type="dxa"/>
            <w:vMerge/>
          </w:tcPr>
          <w:p w14:paraId="67BF0F90" w14:textId="77777777" w:rsidR="000737E8" w:rsidRPr="00D85D29" w:rsidRDefault="000737E8" w:rsidP="000737E8">
            <w:pPr>
              <w:pStyle w:val="Tabletext"/>
              <w:rPr>
                <w:rFonts w:ascii="Arial" w:hAnsi="Arial" w:cs="Arial"/>
                <w:lang w:val="en-US"/>
              </w:rPr>
            </w:pPr>
          </w:p>
        </w:tc>
        <w:tc>
          <w:tcPr>
            <w:tcW w:w="3640" w:type="dxa"/>
          </w:tcPr>
          <w:p w14:paraId="27C4E74C" w14:textId="77777777" w:rsidR="000737E8" w:rsidRPr="00D85D29" w:rsidRDefault="000737E8" w:rsidP="000737E8">
            <w:pPr>
              <w:pStyle w:val="Tabletext"/>
              <w:rPr>
                <w:rFonts w:ascii="Arial" w:hAnsi="Arial" w:cs="Arial"/>
                <w:lang w:val="en-US"/>
              </w:rPr>
            </w:pPr>
            <w:r w:rsidRPr="00D85D29">
              <w:rPr>
                <w:rFonts w:ascii="Arial" w:hAnsi="Arial" w:cs="Arial"/>
                <w:lang w:val="en-US"/>
              </w:rPr>
              <w:t xml:space="preserve">Significantly better speech recognition/comprehension in quiet </w:t>
            </w:r>
          </w:p>
        </w:tc>
        <w:tc>
          <w:tcPr>
            <w:tcW w:w="3119" w:type="dxa"/>
            <w:vMerge/>
          </w:tcPr>
          <w:p w14:paraId="47EA1C3C" w14:textId="77777777" w:rsidR="000737E8" w:rsidRPr="00D85D29" w:rsidRDefault="000737E8" w:rsidP="000737E8">
            <w:pPr>
              <w:pStyle w:val="Tabletext"/>
              <w:rPr>
                <w:rFonts w:ascii="Arial" w:hAnsi="Arial" w:cs="Arial"/>
                <w:lang w:val="en-US"/>
              </w:rPr>
            </w:pPr>
          </w:p>
        </w:tc>
        <w:tc>
          <w:tcPr>
            <w:tcW w:w="0" w:type="auto"/>
          </w:tcPr>
          <w:p w14:paraId="7B4A0A87" w14:textId="77777777" w:rsidR="000737E8" w:rsidRPr="00D85D29" w:rsidRDefault="000737E8" w:rsidP="000737E8">
            <w:pPr>
              <w:pStyle w:val="Tabletext"/>
              <w:rPr>
                <w:rFonts w:ascii="Arial" w:hAnsi="Arial" w:cs="Arial"/>
                <w:lang w:val="en-US"/>
              </w:rPr>
            </w:pPr>
            <w:r w:rsidRPr="00D85D29">
              <w:rPr>
                <w:rFonts w:ascii="Arial" w:hAnsi="Arial" w:cs="Arial"/>
                <w:lang w:val="en-US"/>
              </w:rPr>
              <w:t>Meta-analysis: mean improvement of 35.69% (95% CI levels, 29.23 - 42.15), Z = 10.83 (P&lt; 0.00001)</w:t>
            </w:r>
            <w:r w:rsidR="00D85D29" w:rsidRPr="00D85D29">
              <w:rPr>
                <w:rFonts w:ascii="Arial" w:hAnsi="Arial" w:cs="Arial"/>
                <w:lang w:val="en-US"/>
              </w:rPr>
              <w:t xml:space="preserve"> (see </w:t>
            </w:r>
            <w:r w:rsidR="00D85D29">
              <w:rPr>
                <w:rFonts w:ascii="Arial" w:hAnsi="Arial" w:cs="Arial"/>
                <w:lang w:val="en-US"/>
              </w:rPr>
              <w:fldChar w:fldCharType="begin"/>
            </w:r>
            <w:r w:rsidR="00D85D29">
              <w:rPr>
                <w:rFonts w:ascii="Arial" w:hAnsi="Arial" w:cs="Arial"/>
                <w:lang w:val="en-US"/>
              </w:rPr>
              <w:instrText xml:space="preserve"> REF _Ref400647674 \h </w:instrText>
            </w:r>
            <w:r w:rsidR="00D85D29">
              <w:rPr>
                <w:rFonts w:ascii="Arial" w:hAnsi="Arial" w:cs="Arial"/>
                <w:lang w:val="en-US"/>
              </w:rPr>
            </w:r>
            <w:r w:rsidR="00D85D29">
              <w:rPr>
                <w:rFonts w:ascii="Arial" w:hAnsi="Arial" w:cs="Arial"/>
                <w:lang w:val="en-US"/>
              </w:rPr>
              <w:fldChar w:fldCharType="separate"/>
            </w:r>
            <w:r w:rsidR="00016592" w:rsidRPr="00016592">
              <w:rPr>
                <w:rFonts w:ascii="Arial" w:hAnsi="Arial" w:cs="Arial"/>
                <w:lang w:val="en-US"/>
              </w:rPr>
              <w:t xml:space="preserve">Table </w:t>
            </w:r>
            <w:r w:rsidR="00016592" w:rsidRPr="00016592">
              <w:rPr>
                <w:rFonts w:ascii="Arial" w:hAnsi="Arial" w:cs="Arial"/>
                <w:noProof/>
                <w:lang w:val="en-US"/>
              </w:rPr>
              <w:t>18</w:t>
            </w:r>
            <w:r w:rsidR="00D85D29">
              <w:rPr>
                <w:rFonts w:ascii="Arial" w:hAnsi="Arial" w:cs="Arial"/>
                <w:lang w:val="en-US"/>
              </w:rPr>
              <w:fldChar w:fldCharType="end"/>
            </w:r>
            <w:r w:rsidRPr="00D85D29">
              <w:rPr>
                <w:rFonts w:ascii="Arial" w:hAnsi="Arial" w:cs="Arial"/>
                <w:lang w:val="en-US"/>
              </w:rPr>
              <w:t>)</w:t>
            </w:r>
          </w:p>
        </w:tc>
        <w:tc>
          <w:tcPr>
            <w:tcW w:w="0" w:type="auto"/>
          </w:tcPr>
          <w:p w14:paraId="6282C9FD" w14:textId="77777777" w:rsidR="000737E8" w:rsidRPr="00D85D29" w:rsidRDefault="000737E8" w:rsidP="000737E8">
            <w:pPr>
              <w:pStyle w:val="Tabletext"/>
              <w:rPr>
                <w:rFonts w:ascii="Arial" w:hAnsi="Arial" w:cs="Arial"/>
                <w:lang w:val="en-US"/>
              </w:rPr>
            </w:pPr>
            <w:r w:rsidRPr="00D85D29">
              <w:rPr>
                <w:rFonts w:ascii="Arial" w:hAnsi="Arial" w:cs="Arial"/>
                <w:lang w:val="en-US"/>
              </w:rPr>
              <w:t>Improvement in speech comprehension scores in all seven included studies</w:t>
            </w:r>
          </w:p>
        </w:tc>
      </w:tr>
      <w:tr w:rsidR="000737E8" w:rsidRPr="00703BC0" w14:paraId="22DFABA6" w14:textId="77777777" w:rsidTr="00403E99">
        <w:tc>
          <w:tcPr>
            <w:tcW w:w="1713" w:type="dxa"/>
            <w:vMerge/>
          </w:tcPr>
          <w:p w14:paraId="6442382D" w14:textId="77777777" w:rsidR="000737E8" w:rsidRPr="00D85D29" w:rsidRDefault="000737E8" w:rsidP="000737E8">
            <w:pPr>
              <w:pStyle w:val="Tabletext"/>
              <w:rPr>
                <w:rFonts w:ascii="Arial" w:hAnsi="Arial" w:cs="Arial"/>
                <w:lang w:val="en-US"/>
              </w:rPr>
            </w:pPr>
          </w:p>
        </w:tc>
        <w:tc>
          <w:tcPr>
            <w:tcW w:w="3640" w:type="dxa"/>
          </w:tcPr>
          <w:p w14:paraId="5B721580" w14:textId="77777777" w:rsidR="000737E8" w:rsidRPr="00D85D29" w:rsidRDefault="000737E8" w:rsidP="000737E8">
            <w:pPr>
              <w:pStyle w:val="Tabletext"/>
              <w:rPr>
                <w:rFonts w:ascii="Arial" w:hAnsi="Arial" w:cs="Arial"/>
                <w:lang w:val="en-US"/>
              </w:rPr>
            </w:pPr>
            <w:r w:rsidRPr="00D85D29">
              <w:rPr>
                <w:rFonts w:ascii="Arial" w:hAnsi="Arial" w:cs="Arial"/>
                <w:lang w:val="en-US"/>
              </w:rPr>
              <w:t>Significantly better speech recognition/comprehension in noisy situations</w:t>
            </w:r>
          </w:p>
        </w:tc>
        <w:tc>
          <w:tcPr>
            <w:tcW w:w="3119" w:type="dxa"/>
            <w:vMerge/>
          </w:tcPr>
          <w:p w14:paraId="42AFB2B5" w14:textId="77777777" w:rsidR="000737E8" w:rsidRPr="00D85D29" w:rsidRDefault="000737E8" w:rsidP="000737E8">
            <w:pPr>
              <w:pStyle w:val="Tabletext"/>
              <w:rPr>
                <w:rFonts w:ascii="Arial" w:hAnsi="Arial" w:cs="Arial"/>
                <w:lang w:val="en-US"/>
              </w:rPr>
            </w:pPr>
          </w:p>
        </w:tc>
        <w:tc>
          <w:tcPr>
            <w:tcW w:w="0" w:type="auto"/>
          </w:tcPr>
          <w:p w14:paraId="6967901C" w14:textId="77777777" w:rsidR="000737E8" w:rsidRPr="00D85D29" w:rsidRDefault="000737E8" w:rsidP="000737E8">
            <w:pPr>
              <w:pStyle w:val="Tabletext"/>
              <w:rPr>
                <w:rFonts w:ascii="Arial" w:hAnsi="Arial" w:cs="Arial"/>
                <w:lang w:val="en-US"/>
              </w:rPr>
            </w:pPr>
            <w:r w:rsidRPr="00D85D29">
              <w:rPr>
                <w:rFonts w:ascii="Arial" w:hAnsi="Arial" w:cs="Arial"/>
                <w:lang w:val="en-US"/>
              </w:rPr>
              <w:t>Based on clinical significance defined as a me</w:t>
            </w:r>
            <w:r w:rsidR="00D85D29" w:rsidRPr="00D85D29">
              <w:rPr>
                <w:rFonts w:ascii="Arial" w:hAnsi="Arial" w:cs="Arial"/>
                <w:lang w:val="en-US"/>
              </w:rPr>
              <w:t xml:space="preserve">an change of 10% (see </w:t>
            </w:r>
            <w:r w:rsidR="00D85D29">
              <w:rPr>
                <w:rFonts w:ascii="Arial" w:hAnsi="Arial" w:cs="Arial"/>
                <w:lang w:val="en-US"/>
              </w:rPr>
              <w:fldChar w:fldCharType="begin"/>
            </w:r>
            <w:r w:rsidR="00D85D29">
              <w:rPr>
                <w:rFonts w:ascii="Arial" w:hAnsi="Arial" w:cs="Arial"/>
                <w:lang w:val="en-US"/>
              </w:rPr>
              <w:instrText xml:space="preserve"> REF _Ref400647710 \h </w:instrText>
            </w:r>
            <w:r w:rsidR="00D85D29">
              <w:rPr>
                <w:rFonts w:ascii="Arial" w:hAnsi="Arial" w:cs="Arial"/>
                <w:lang w:val="en-US"/>
              </w:rPr>
            </w:r>
            <w:r w:rsidR="00D85D29">
              <w:rPr>
                <w:rFonts w:ascii="Arial" w:hAnsi="Arial" w:cs="Arial"/>
                <w:lang w:val="en-US"/>
              </w:rPr>
              <w:fldChar w:fldCharType="separate"/>
            </w:r>
            <w:r w:rsidR="00016592" w:rsidRPr="00016592">
              <w:rPr>
                <w:rFonts w:ascii="Arial" w:hAnsi="Arial" w:cs="Arial"/>
                <w:lang w:val="en-US"/>
              </w:rPr>
              <w:t xml:space="preserve">Table </w:t>
            </w:r>
            <w:r w:rsidR="00016592" w:rsidRPr="00016592">
              <w:rPr>
                <w:rFonts w:ascii="Arial" w:hAnsi="Arial" w:cs="Arial"/>
                <w:noProof/>
                <w:lang w:val="en-US"/>
              </w:rPr>
              <w:t>21</w:t>
            </w:r>
            <w:r w:rsidR="00D85D29">
              <w:rPr>
                <w:rFonts w:ascii="Arial" w:hAnsi="Arial" w:cs="Arial"/>
                <w:lang w:val="en-US"/>
              </w:rPr>
              <w:fldChar w:fldCharType="end"/>
            </w:r>
            <w:r w:rsidR="00D85D29">
              <w:rPr>
                <w:rFonts w:ascii="Arial" w:hAnsi="Arial" w:cs="Arial"/>
                <w:lang w:val="en-US"/>
              </w:rPr>
              <w:t>)</w:t>
            </w:r>
          </w:p>
        </w:tc>
        <w:tc>
          <w:tcPr>
            <w:tcW w:w="0" w:type="auto"/>
          </w:tcPr>
          <w:p w14:paraId="45107184" w14:textId="77777777" w:rsidR="000737E8" w:rsidRPr="00D85D29" w:rsidRDefault="000737E8" w:rsidP="000737E8">
            <w:pPr>
              <w:pStyle w:val="Tabletext"/>
              <w:rPr>
                <w:rFonts w:ascii="Arial" w:hAnsi="Arial" w:cs="Arial"/>
                <w:lang w:val="en-US"/>
              </w:rPr>
            </w:pPr>
            <w:r w:rsidRPr="00D85D29">
              <w:rPr>
                <w:rFonts w:ascii="Arial" w:hAnsi="Arial" w:cs="Arial"/>
                <w:lang w:val="en-US"/>
              </w:rPr>
              <w:t>Consistent improvement seen in three studies</w:t>
            </w:r>
          </w:p>
        </w:tc>
      </w:tr>
      <w:tr w:rsidR="000737E8" w:rsidRPr="00703BC0" w14:paraId="370BD3C9" w14:textId="77777777" w:rsidTr="00403E99">
        <w:tc>
          <w:tcPr>
            <w:tcW w:w="1713" w:type="dxa"/>
            <w:vMerge/>
          </w:tcPr>
          <w:p w14:paraId="79C8B8D9" w14:textId="77777777" w:rsidR="000737E8" w:rsidRPr="00D85D29" w:rsidRDefault="000737E8" w:rsidP="000737E8">
            <w:pPr>
              <w:pStyle w:val="Tabletext"/>
              <w:rPr>
                <w:rFonts w:ascii="Arial" w:hAnsi="Arial" w:cs="Arial"/>
                <w:lang w:val="en-US"/>
              </w:rPr>
            </w:pPr>
          </w:p>
        </w:tc>
        <w:tc>
          <w:tcPr>
            <w:tcW w:w="3640" w:type="dxa"/>
          </w:tcPr>
          <w:p w14:paraId="246849DB" w14:textId="77777777" w:rsidR="000737E8" w:rsidRPr="00D85D29" w:rsidRDefault="000737E8" w:rsidP="000737E8">
            <w:pPr>
              <w:pStyle w:val="Tabletext"/>
              <w:rPr>
                <w:rFonts w:ascii="Arial" w:hAnsi="Arial" w:cs="Arial"/>
                <w:lang w:val="en-US"/>
              </w:rPr>
            </w:pPr>
            <w:r w:rsidRPr="00D85D29">
              <w:rPr>
                <w:rFonts w:ascii="Arial" w:hAnsi="Arial" w:cs="Arial"/>
                <w:lang w:val="en-US"/>
              </w:rPr>
              <w:t>Few difficulties in understanding speech in relatively easy listening conditions, as compared to noisy conditions; and improves health in general</w:t>
            </w:r>
          </w:p>
        </w:tc>
        <w:tc>
          <w:tcPr>
            <w:tcW w:w="3119" w:type="dxa"/>
            <w:vMerge/>
          </w:tcPr>
          <w:p w14:paraId="4FE61520" w14:textId="77777777" w:rsidR="000737E8" w:rsidRPr="00D85D29" w:rsidRDefault="000737E8" w:rsidP="000737E8">
            <w:pPr>
              <w:pStyle w:val="Tabletext"/>
              <w:rPr>
                <w:rFonts w:ascii="Arial" w:hAnsi="Arial" w:cs="Arial"/>
                <w:lang w:val="en-US"/>
              </w:rPr>
            </w:pPr>
          </w:p>
        </w:tc>
        <w:tc>
          <w:tcPr>
            <w:tcW w:w="0" w:type="auto"/>
          </w:tcPr>
          <w:p w14:paraId="48C539CD" w14:textId="77777777" w:rsidR="000737E8" w:rsidRPr="00D85D29" w:rsidRDefault="000737E8" w:rsidP="000737E8">
            <w:pPr>
              <w:pStyle w:val="Tabletext"/>
              <w:rPr>
                <w:rFonts w:ascii="Arial" w:hAnsi="Arial" w:cs="Arial"/>
                <w:lang w:val="en-US"/>
              </w:rPr>
            </w:pPr>
            <w:r w:rsidRPr="00D85D29">
              <w:rPr>
                <w:rFonts w:ascii="Arial" w:hAnsi="Arial" w:cs="Arial"/>
                <w:lang w:val="en-US"/>
              </w:rPr>
              <w:t>No unaided comparison available, statistical ana</w:t>
            </w:r>
            <w:r w:rsidR="00D85D29" w:rsidRPr="00D85D29">
              <w:rPr>
                <w:rFonts w:ascii="Arial" w:hAnsi="Arial" w:cs="Arial"/>
                <w:lang w:val="en-US"/>
              </w:rPr>
              <w:t xml:space="preserve">lysis not applicable (see </w:t>
            </w:r>
            <w:r w:rsidR="00D85D29">
              <w:rPr>
                <w:rFonts w:ascii="Arial" w:hAnsi="Arial" w:cs="Arial"/>
                <w:lang w:val="en-US"/>
              </w:rPr>
              <w:fldChar w:fldCharType="begin"/>
            </w:r>
            <w:r w:rsidR="00D85D29">
              <w:rPr>
                <w:rFonts w:ascii="Arial" w:hAnsi="Arial" w:cs="Arial"/>
                <w:lang w:val="en-US"/>
              </w:rPr>
              <w:instrText xml:space="preserve"> REF _Ref400647710 \h </w:instrText>
            </w:r>
            <w:r w:rsidR="00D85D29">
              <w:rPr>
                <w:rFonts w:ascii="Arial" w:hAnsi="Arial" w:cs="Arial"/>
                <w:lang w:val="en-US"/>
              </w:rPr>
            </w:r>
            <w:r w:rsidR="00D85D29">
              <w:rPr>
                <w:rFonts w:ascii="Arial" w:hAnsi="Arial" w:cs="Arial"/>
                <w:lang w:val="en-US"/>
              </w:rPr>
              <w:fldChar w:fldCharType="separate"/>
            </w:r>
            <w:r w:rsidR="00016592" w:rsidRPr="00016592">
              <w:rPr>
                <w:rFonts w:ascii="Arial" w:hAnsi="Arial" w:cs="Arial"/>
                <w:lang w:val="en-US"/>
              </w:rPr>
              <w:t xml:space="preserve">Table </w:t>
            </w:r>
            <w:r w:rsidR="00016592" w:rsidRPr="00016592">
              <w:rPr>
                <w:rFonts w:ascii="Arial" w:hAnsi="Arial" w:cs="Arial"/>
                <w:noProof/>
                <w:lang w:val="en-US"/>
              </w:rPr>
              <w:t>21</w:t>
            </w:r>
            <w:r w:rsidR="00D85D29">
              <w:rPr>
                <w:rFonts w:ascii="Arial" w:hAnsi="Arial" w:cs="Arial"/>
                <w:lang w:val="en-US"/>
              </w:rPr>
              <w:fldChar w:fldCharType="end"/>
            </w:r>
            <w:r w:rsidRPr="00D85D29">
              <w:rPr>
                <w:rFonts w:ascii="Arial" w:hAnsi="Arial" w:cs="Arial"/>
                <w:lang w:val="en-US"/>
              </w:rPr>
              <w:t>)</w:t>
            </w:r>
          </w:p>
        </w:tc>
        <w:tc>
          <w:tcPr>
            <w:tcW w:w="0" w:type="auto"/>
          </w:tcPr>
          <w:p w14:paraId="51474AC2" w14:textId="77777777" w:rsidR="000737E8" w:rsidRPr="00D85D29" w:rsidRDefault="000737E8" w:rsidP="000737E8">
            <w:pPr>
              <w:pStyle w:val="Tabletext"/>
              <w:rPr>
                <w:rFonts w:ascii="Arial" w:hAnsi="Arial" w:cs="Arial"/>
                <w:lang w:val="en-US"/>
              </w:rPr>
            </w:pPr>
            <w:r w:rsidRPr="00D85D29">
              <w:rPr>
                <w:rFonts w:ascii="Arial" w:hAnsi="Arial" w:cs="Arial"/>
                <w:lang w:val="en-US"/>
              </w:rPr>
              <w:t>Comparable values across included studies</w:t>
            </w:r>
          </w:p>
        </w:tc>
      </w:tr>
      <w:tr w:rsidR="000737E8" w:rsidRPr="00703BC0" w14:paraId="789BC96E" w14:textId="77777777" w:rsidTr="00403E99">
        <w:tc>
          <w:tcPr>
            <w:tcW w:w="1713" w:type="dxa"/>
            <w:vMerge/>
          </w:tcPr>
          <w:p w14:paraId="5BC8A1A8" w14:textId="77777777" w:rsidR="000737E8" w:rsidRPr="00D85D29" w:rsidRDefault="000737E8" w:rsidP="000737E8">
            <w:pPr>
              <w:pStyle w:val="Tabletext"/>
              <w:rPr>
                <w:rFonts w:ascii="Arial" w:hAnsi="Arial" w:cs="Arial"/>
                <w:lang w:val="en-US"/>
              </w:rPr>
            </w:pPr>
          </w:p>
        </w:tc>
        <w:tc>
          <w:tcPr>
            <w:tcW w:w="3640" w:type="dxa"/>
          </w:tcPr>
          <w:p w14:paraId="3AEE897E" w14:textId="77777777" w:rsidR="000737E8" w:rsidRPr="00D85D29" w:rsidRDefault="000737E8" w:rsidP="000737E8">
            <w:pPr>
              <w:pStyle w:val="Tabletext"/>
              <w:rPr>
                <w:rFonts w:ascii="Arial" w:hAnsi="Arial" w:cs="Arial"/>
                <w:lang w:val="en-US"/>
              </w:rPr>
            </w:pPr>
            <w:r w:rsidRPr="00D85D29">
              <w:rPr>
                <w:rFonts w:ascii="Arial" w:hAnsi="Arial" w:cs="Arial"/>
                <w:lang w:val="en-US"/>
              </w:rPr>
              <w:t>Is a safe procedure with minor adverse events resolving on their own or with local treatment</w:t>
            </w:r>
          </w:p>
        </w:tc>
        <w:tc>
          <w:tcPr>
            <w:tcW w:w="3119" w:type="dxa"/>
            <w:vMerge/>
          </w:tcPr>
          <w:p w14:paraId="6C1D69FB" w14:textId="77777777" w:rsidR="000737E8" w:rsidRPr="00D85D29" w:rsidRDefault="000737E8" w:rsidP="000737E8">
            <w:pPr>
              <w:pStyle w:val="Tabletext"/>
              <w:rPr>
                <w:rFonts w:ascii="Arial" w:hAnsi="Arial" w:cs="Arial"/>
                <w:lang w:val="en-US"/>
              </w:rPr>
            </w:pPr>
          </w:p>
        </w:tc>
        <w:tc>
          <w:tcPr>
            <w:tcW w:w="0" w:type="auto"/>
          </w:tcPr>
          <w:p w14:paraId="3F77BFC4" w14:textId="77777777" w:rsidR="000737E8" w:rsidRPr="00D85D29" w:rsidRDefault="00D85D29" w:rsidP="000737E8">
            <w:pPr>
              <w:pStyle w:val="Tabletext"/>
              <w:rPr>
                <w:rFonts w:ascii="Arial" w:hAnsi="Arial" w:cs="Arial"/>
                <w:lang w:val="en-US"/>
              </w:rPr>
            </w:pPr>
            <w:r w:rsidRPr="00D85D29">
              <w:rPr>
                <w:rFonts w:ascii="Arial" w:hAnsi="Arial" w:cs="Arial"/>
                <w:lang w:val="en-US"/>
              </w:rPr>
              <w:t>Sta</w:t>
            </w:r>
            <w:r w:rsidR="000737E8" w:rsidRPr="00D85D29">
              <w:rPr>
                <w:rFonts w:ascii="Arial" w:hAnsi="Arial" w:cs="Arial"/>
                <w:lang w:val="en-US"/>
              </w:rPr>
              <w:t>tistical ana</w:t>
            </w:r>
            <w:r>
              <w:rPr>
                <w:rFonts w:ascii="Arial" w:hAnsi="Arial" w:cs="Arial"/>
                <w:lang w:val="en-US"/>
              </w:rPr>
              <w:t xml:space="preserve">lysis not applicable (see </w:t>
            </w:r>
            <w:r>
              <w:rPr>
                <w:rFonts w:ascii="Arial" w:hAnsi="Arial" w:cs="Arial"/>
                <w:lang w:val="en-US"/>
              </w:rPr>
              <w:fldChar w:fldCharType="begin"/>
            </w:r>
            <w:r>
              <w:rPr>
                <w:rFonts w:ascii="Arial" w:hAnsi="Arial" w:cs="Arial"/>
                <w:lang w:val="en-US"/>
              </w:rPr>
              <w:instrText xml:space="preserve"> REF _Ref400647807 \h </w:instrText>
            </w:r>
            <w:r>
              <w:rPr>
                <w:rFonts w:ascii="Arial" w:hAnsi="Arial" w:cs="Arial"/>
                <w:lang w:val="en-US"/>
              </w:rPr>
            </w:r>
            <w:r>
              <w:rPr>
                <w:rFonts w:ascii="Arial" w:hAnsi="Arial" w:cs="Arial"/>
                <w:lang w:val="en-US"/>
              </w:rPr>
              <w:fldChar w:fldCharType="separate"/>
            </w:r>
            <w:r w:rsidR="00016592" w:rsidRPr="00016592">
              <w:rPr>
                <w:rFonts w:ascii="Arial" w:hAnsi="Arial" w:cs="Arial"/>
                <w:lang w:val="en-US"/>
              </w:rPr>
              <w:t xml:space="preserve">Table </w:t>
            </w:r>
            <w:r w:rsidR="00016592" w:rsidRPr="00016592">
              <w:rPr>
                <w:rFonts w:ascii="Arial" w:hAnsi="Arial" w:cs="Arial"/>
                <w:noProof/>
                <w:lang w:val="en-US"/>
              </w:rPr>
              <w:t>26</w:t>
            </w:r>
            <w:r>
              <w:rPr>
                <w:rFonts w:ascii="Arial" w:hAnsi="Arial" w:cs="Arial"/>
                <w:lang w:val="en-US"/>
              </w:rPr>
              <w:fldChar w:fldCharType="end"/>
            </w:r>
            <w:r>
              <w:rPr>
                <w:rFonts w:ascii="Arial" w:hAnsi="Arial" w:cs="Arial"/>
                <w:lang w:val="en-US"/>
              </w:rPr>
              <w:t xml:space="preserve"> </w:t>
            </w:r>
            <w:r w:rsidR="000737E8" w:rsidRPr="00D85D29">
              <w:rPr>
                <w:rFonts w:ascii="Arial" w:hAnsi="Arial" w:cs="Arial"/>
                <w:lang w:val="en-US"/>
              </w:rPr>
              <w:t>)</w:t>
            </w:r>
          </w:p>
        </w:tc>
        <w:tc>
          <w:tcPr>
            <w:tcW w:w="0" w:type="auto"/>
          </w:tcPr>
          <w:p w14:paraId="70048629" w14:textId="77777777" w:rsidR="000737E8" w:rsidRPr="00703BC0" w:rsidRDefault="000737E8" w:rsidP="000737E8">
            <w:pPr>
              <w:pStyle w:val="Tabletext"/>
              <w:rPr>
                <w:rFonts w:ascii="Arial" w:hAnsi="Arial" w:cs="Arial"/>
              </w:rPr>
            </w:pPr>
            <w:r>
              <w:rPr>
                <w:rFonts w:ascii="Arial" w:hAnsi="Arial" w:cs="Arial"/>
              </w:rPr>
              <w:t>Not applicable</w:t>
            </w:r>
          </w:p>
        </w:tc>
      </w:tr>
      <w:tr w:rsidR="000737E8" w:rsidRPr="00703BC0" w14:paraId="151152BA" w14:textId="77777777" w:rsidTr="00403E99">
        <w:tc>
          <w:tcPr>
            <w:tcW w:w="1713" w:type="dxa"/>
            <w:vMerge/>
          </w:tcPr>
          <w:p w14:paraId="0B8B6897" w14:textId="77777777" w:rsidR="000737E8" w:rsidRPr="00703BC0" w:rsidRDefault="000737E8" w:rsidP="000737E8">
            <w:pPr>
              <w:pStyle w:val="Tabletext"/>
              <w:rPr>
                <w:rFonts w:ascii="Arial" w:hAnsi="Arial" w:cs="Arial"/>
              </w:rPr>
            </w:pPr>
          </w:p>
        </w:tc>
        <w:tc>
          <w:tcPr>
            <w:tcW w:w="3640" w:type="dxa"/>
          </w:tcPr>
          <w:p w14:paraId="7E38246C" w14:textId="77777777" w:rsidR="000737E8" w:rsidRPr="00D85D29" w:rsidRDefault="000737E8" w:rsidP="000737E8">
            <w:pPr>
              <w:pStyle w:val="Tabletext"/>
              <w:rPr>
                <w:rFonts w:ascii="Arial" w:hAnsi="Arial" w:cs="Arial"/>
                <w:lang w:val="en-US"/>
              </w:rPr>
            </w:pPr>
            <w:r w:rsidRPr="00D85D29">
              <w:rPr>
                <w:rFonts w:ascii="Arial" w:hAnsi="Arial" w:cs="Arial"/>
                <w:lang w:val="en-US"/>
              </w:rPr>
              <w:t>Small but non-significant shift in bone conduction thresholds over time</w:t>
            </w:r>
          </w:p>
        </w:tc>
        <w:tc>
          <w:tcPr>
            <w:tcW w:w="3119" w:type="dxa"/>
            <w:vMerge/>
          </w:tcPr>
          <w:p w14:paraId="4ADA2C95" w14:textId="77777777" w:rsidR="000737E8" w:rsidRPr="00D85D29" w:rsidRDefault="000737E8" w:rsidP="000737E8">
            <w:pPr>
              <w:pStyle w:val="Tabletext"/>
              <w:rPr>
                <w:rFonts w:ascii="Arial" w:hAnsi="Arial" w:cs="Arial"/>
                <w:lang w:val="en-US"/>
              </w:rPr>
            </w:pPr>
          </w:p>
        </w:tc>
        <w:tc>
          <w:tcPr>
            <w:tcW w:w="0" w:type="auto"/>
          </w:tcPr>
          <w:p w14:paraId="2EED38F4" w14:textId="77777777" w:rsidR="000737E8" w:rsidRPr="00D85D29" w:rsidRDefault="000737E8" w:rsidP="000737E8">
            <w:pPr>
              <w:pStyle w:val="Tabletext"/>
              <w:rPr>
                <w:rFonts w:ascii="Arial" w:hAnsi="Arial" w:cs="Arial"/>
                <w:lang w:val="en-US"/>
              </w:rPr>
            </w:pPr>
            <w:r w:rsidRPr="00D85D29">
              <w:rPr>
                <w:rFonts w:ascii="Arial" w:hAnsi="Arial" w:cs="Arial"/>
                <w:lang w:val="en-US"/>
              </w:rPr>
              <w:t>Based on clinical significance defined as a shift in threshold &lt; 10 dB HL</w:t>
            </w:r>
          </w:p>
        </w:tc>
        <w:tc>
          <w:tcPr>
            <w:tcW w:w="0" w:type="auto"/>
          </w:tcPr>
          <w:p w14:paraId="5DAEC6E6" w14:textId="77777777" w:rsidR="000737E8" w:rsidRPr="00D85D29" w:rsidRDefault="000737E8" w:rsidP="000737E8">
            <w:pPr>
              <w:pStyle w:val="Tabletext"/>
              <w:rPr>
                <w:rFonts w:ascii="Arial" w:hAnsi="Arial" w:cs="Arial"/>
                <w:lang w:val="en-US"/>
              </w:rPr>
            </w:pPr>
            <w:r w:rsidRPr="00D85D29">
              <w:rPr>
                <w:rFonts w:ascii="Arial" w:hAnsi="Arial" w:cs="Arial"/>
                <w:lang w:val="en-US"/>
              </w:rPr>
              <w:t>Demonstrated in 5 studies at a long-term follow-up</w:t>
            </w:r>
          </w:p>
        </w:tc>
      </w:tr>
      <w:tr w:rsidR="000737E8" w:rsidRPr="00703BC0" w14:paraId="6C36D1D9" w14:textId="77777777" w:rsidTr="00403E99">
        <w:tc>
          <w:tcPr>
            <w:tcW w:w="1713" w:type="dxa"/>
            <w:vMerge/>
          </w:tcPr>
          <w:p w14:paraId="549F75FF" w14:textId="77777777" w:rsidR="000737E8" w:rsidRPr="00D85D29" w:rsidRDefault="000737E8" w:rsidP="000737E8">
            <w:pPr>
              <w:pStyle w:val="Tabletext"/>
              <w:rPr>
                <w:rFonts w:ascii="Arial" w:hAnsi="Arial" w:cs="Arial"/>
                <w:lang w:val="en-US"/>
              </w:rPr>
            </w:pPr>
          </w:p>
        </w:tc>
        <w:tc>
          <w:tcPr>
            <w:tcW w:w="3640" w:type="dxa"/>
          </w:tcPr>
          <w:p w14:paraId="047E9BF8" w14:textId="77777777" w:rsidR="000737E8" w:rsidRPr="00D85D29" w:rsidRDefault="000737E8" w:rsidP="000737E8">
            <w:pPr>
              <w:pStyle w:val="Tabletext"/>
              <w:rPr>
                <w:rFonts w:ascii="Arial" w:hAnsi="Arial" w:cs="Arial"/>
                <w:lang w:val="en-US"/>
              </w:rPr>
            </w:pPr>
            <w:r w:rsidRPr="00D85D29">
              <w:rPr>
                <w:rFonts w:ascii="Arial" w:hAnsi="Arial" w:cs="Arial"/>
                <w:lang w:val="en-US"/>
              </w:rPr>
              <w:t>Constant functional gain over time</w:t>
            </w:r>
          </w:p>
        </w:tc>
        <w:tc>
          <w:tcPr>
            <w:tcW w:w="3119" w:type="dxa"/>
            <w:vMerge/>
          </w:tcPr>
          <w:p w14:paraId="083234E4" w14:textId="77777777" w:rsidR="000737E8" w:rsidRPr="00D85D29" w:rsidRDefault="000737E8" w:rsidP="000737E8">
            <w:pPr>
              <w:pStyle w:val="Tabletext"/>
              <w:rPr>
                <w:rFonts w:ascii="Arial" w:hAnsi="Arial" w:cs="Arial"/>
                <w:lang w:val="en-US"/>
              </w:rPr>
            </w:pPr>
          </w:p>
        </w:tc>
        <w:tc>
          <w:tcPr>
            <w:tcW w:w="0" w:type="auto"/>
          </w:tcPr>
          <w:p w14:paraId="0923C05C" w14:textId="77777777" w:rsidR="000737E8" w:rsidRPr="00D85D29" w:rsidRDefault="000737E8" w:rsidP="000737E8">
            <w:pPr>
              <w:pStyle w:val="Tabletext"/>
              <w:rPr>
                <w:rFonts w:ascii="Arial" w:hAnsi="Arial" w:cs="Arial"/>
                <w:lang w:val="en-US"/>
              </w:rPr>
            </w:pPr>
            <w:r w:rsidRPr="00D85D29">
              <w:rPr>
                <w:rFonts w:ascii="Arial" w:hAnsi="Arial" w:cs="Arial"/>
                <w:lang w:val="en-US"/>
              </w:rPr>
              <w:t>Long-term mean FG:26 dB</w:t>
            </w:r>
          </w:p>
          <w:p w14:paraId="3B973F5F" w14:textId="77777777" w:rsidR="000737E8" w:rsidRPr="00D85D29" w:rsidRDefault="000737E8" w:rsidP="000737E8">
            <w:pPr>
              <w:pStyle w:val="Tabletext"/>
              <w:rPr>
                <w:rFonts w:ascii="Arial" w:hAnsi="Arial" w:cs="Arial"/>
                <w:lang w:val="en-US"/>
              </w:rPr>
            </w:pPr>
            <w:r w:rsidRPr="00D85D29">
              <w:rPr>
                <w:rFonts w:ascii="Arial" w:hAnsi="Arial" w:cs="Arial"/>
                <w:lang w:val="en-US"/>
              </w:rPr>
              <w:t>Short-term mean FG: 27 dB</w:t>
            </w:r>
          </w:p>
        </w:tc>
        <w:tc>
          <w:tcPr>
            <w:tcW w:w="0" w:type="auto"/>
          </w:tcPr>
          <w:p w14:paraId="3466F0F6" w14:textId="77777777" w:rsidR="000737E8" w:rsidRPr="00703BC0" w:rsidRDefault="000737E8" w:rsidP="000737E8">
            <w:pPr>
              <w:pStyle w:val="Tabletext"/>
              <w:rPr>
                <w:rFonts w:ascii="Arial" w:hAnsi="Arial" w:cs="Arial"/>
              </w:rPr>
            </w:pPr>
            <w:r w:rsidRPr="0020530D">
              <w:rPr>
                <w:rFonts w:ascii="Arial" w:hAnsi="Arial" w:cs="Arial"/>
              </w:rPr>
              <w:t>Single study by Mosnier (2008)</w:t>
            </w:r>
          </w:p>
        </w:tc>
      </w:tr>
      <w:tr w:rsidR="000737E8" w:rsidRPr="00703BC0" w14:paraId="341A97C5" w14:textId="77777777" w:rsidTr="00403E99">
        <w:tc>
          <w:tcPr>
            <w:tcW w:w="1713" w:type="dxa"/>
            <w:vMerge/>
          </w:tcPr>
          <w:p w14:paraId="0E1D72C9" w14:textId="77777777" w:rsidR="000737E8" w:rsidRPr="00703BC0" w:rsidRDefault="000737E8" w:rsidP="000737E8">
            <w:pPr>
              <w:pStyle w:val="Tabletext"/>
              <w:rPr>
                <w:rFonts w:ascii="Arial" w:hAnsi="Arial" w:cs="Arial"/>
              </w:rPr>
            </w:pPr>
          </w:p>
        </w:tc>
        <w:tc>
          <w:tcPr>
            <w:tcW w:w="3640" w:type="dxa"/>
          </w:tcPr>
          <w:p w14:paraId="1AC953BA" w14:textId="77777777" w:rsidR="000737E8" w:rsidRPr="00D85D29" w:rsidRDefault="000737E8" w:rsidP="000737E8">
            <w:pPr>
              <w:pStyle w:val="Tabletext"/>
              <w:rPr>
                <w:rFonts w:ascii="Arial" w:hAnsi="Arial" w:cs="Arial"/>
                <w:lang w:val="en-US"/>
              </w:rPr>
            </w:pPr>
            <w:r w:rsidRPr="00D85D29">
              <w:rPr>
                <w:rFonts w:ascii="Arial" w:hAnsi="Arial" w:cs="Arial"/>
                <w:lang w:val="en-US"/>
              </w:rPr>
              <w:t>Slight decrease in recognition/ comprehension over time, yet still significantly better outcomes than baseline</w:t>
            </w:r>
          </w:p>
        </w:tc>
        <w:tc>
          <w:tcPr>
            <w:tcW w:w="3119" w:type="dxa"/>
            <w:vMerge/>
          </w:tcPr>
          <w:p w14:paraId="389DBDB8" w14:textId="77777777" w:rsidR="000737E8" w:rsidRPr="00D85D29" w:rsidRDefault="000737E8" w:rsidP="000737E8">
            <w:pPr>
              <w:pStyle w:val="Tabletext"/>
              <w:rPr>
                <w:rFonts w:ascii="Arial" w:hAnsi="Arial" w:cs="Arial"/>
                <w:lang w:val="en-US"/>
              </w:rPr>
            </w:pPr>
          </w:p>
        </w:tc>
        <w:tc>
          <w:tcPr>
            <w:tcW w:w="0" w:type="auto"/>
          </w:tcPr>
          <w:p w14:paraId="168409B2" w14:textId="77777777" w:rsidR="000737E8" w:rsidRPr="00D85D29" w:rsidRDefault="000737E8" w:rsidP="000737E8">
            <w:pPr>
              <w:pStyle w:val="Tabletext"/>
              <w:rPr>
                <w:rFonts w:ascii="Arial" w:hAnsi="Arial" w:cs="Arial"/>
                <w:lang w:val="en-US"/>
              </w:rPr>
            </w:pPr>
            <w:r w:rsidRPr="00D85D29">
              <w:rPr>
                <w:rFonts w:ascii="Arial" w:hAnsi="Arial" w:cs="Arial"/>
                <w:lang w:val="en-US"/>
              </w:rPr>
              <w:t>Mean WRS at long-term: 81 +/-5.3%; at short-term: 89 +/- 4.0% (N=27, paired t-test, p 0.05)</w:t>
            </w:r>
          </w:p>
        </w:tc>
        <w:tc>
          <w:tcPr>
            <w:tcW w:w="0" w:type="auto"/>
          </w:tcPr>
          <w:p w14:paraId="6274C0F0" w14:textId="77777777" w:rsidR="000737E8" w:rsidRPr="00703BC0" w:rsidRDefault="000737E8" w:rsidP="000737E8">
            <w:pPr>
              <w:pStyle w:val="Tabletext"/>
              <w:rPr>
                <w:rFonts w:ascii="Arial" w:hAnsi="Arial" w:cs="Arial"/>
              </w:rPr>
            </w:pPr>
            <w:r>
              <w:rPr>
                <w:rFonts w:ascii="Arial" w:hAnsi="Arial" w:cs="Arial"/>
              </w:rPr>
              <w:t>Single study by Mosnier (2008)</w:t>
            </w:r>
          </w:p>
        </w:tc>
      </w:tr>
      <w:tr w:rsidR="000737E8" w:rsidRPr="00703BC0" w14:paraId="1DC999D7" w14:textId="77777777" w:rsidTr="00403E99">
        <w:trPr>
          <w:trHeight w:val="1238"/>
        </w:trPr>
        <w:tc>
          <w:tcPr>
            <w:tcW w:w="1713" w:type="dxa"/>
            <w:vMerge/>
          </w:tcPr>
          <w:p w14:paraId="7B3D3F92" w14:textId="77777777" w:rsidR="000737E8" w:rsidRPr="00703BC0" w:rsidRDefault="000737E8" w:rsidP="000737E8">
            <w:pPr>
              <w:pStyle w:val="Tabletext"/>
              <w:rPr>
                <w:rFonts w:ascii="Arial" w:hAnsi="Arial" w:cs="Arial"/>
              </w:rPr>
            </w:pPr>
          </w:p>
        </w:tc>
        <w:tc>
          <w:tcPr>
            <w:tcW w:w="3640" w:type="dxa"/>
          </w:tcPr>
          <w:p w14:paraId="77BCD087" w14:textId="77777777" w:rsidR="000737E8" w:rsidRPr="00703BC0" w:rsidRDefault="000737E8" w:rsidP="000737E8">
            <w:pPr>
              <w:pStyle w:val="Tabletext"/>
              <w:rPr>
                <w:rFonts w:ascii="Arial" w:hAnsi="Arial" w:cs="Arial"/>
              </w:rPr>
            </w:pPr>
            <w:r w:rsidRPr="006419A6">
              <w:rPr>
                <w:rFonts w:ascii="Arial" w:hAnsi="Arial" w:cs="Arial"/>
              </w:rPr>
              <w:t>Sustained subjective benefit</w:t>
            </w:r>
          </w:p>
        </w:tc>
        <w:tc>
          <w:tcPr>
            <w:tcW w:w="3119" w:type="dxa"/>
            <w:vMerge/>
          </w:tcPr>
          <w:p w14:paraId="2198BB10" w14:textId="77777777" w:rsidR="000737E8" w:rsidRPr="00703BC0" w:rsidRDefault="000737E8" w:rsidP="000737E8">
            <w:pPr>
              <w:pStyle w:val="Tabletext"/>
              <w:rPr>
                <w:rFonts w:ascii="Arial" w:hAnsi="Arial" w:cs="Arial"/>
              </w:rPr>
            </w:pPr>
          </w:p>
        </w:tc>
        <w:tc>
          <w:tcPr>
            <w:tcW w:w="0" w:type="auto"/>
          </w:tcPr>
          <w:p w14:paraId="7B4D1D91" w14:textId="77777777" w:rsidR="000737E8" w:rsidRPr="00D85D29" w:rsidRDefault="000737E8" w:rsidP="000737E8">
            <w:pPr>
              <w:pStyle w:val="Tabletext"/>
              <w:rPr>
                <w:rFonts w:ascii="Arial" w:hAnsi="Arial" w:cs="Arial"/>
                <w:lang w:val="en-US"/>
              </w:rPr>
            </w:pPr>
            <w:r w:rsidRPr="00D85D29">
              <w:rPr>
                <w:rFonts w:ascii="Arial" w:hAnsi="Arial" w:cs="Arial"/>
                <w:lang w:val="en-US"/>
              </w:rPr>
              <w:t>Device satisfaction at: long-term: 77%); short term: 80%.</w:t>
            </w:r>
          </w:p>
          <w:p w14:paraId="58742BD3" w14:textId="77777777" w:rsidR="000737E8" w:rsidRPr="00D85D29" w:rsidRDefault="000737E8" w:rsidP="000737E8">
            <w:pPr>
              <w:pStyle w:val="Tabletext"/>
              <w:rPr>
                <w:rFonts w:ascii="Arial" w:hAnsi="Arial" w:cs="Arial"/>
                <w:lang w:val="en-US"/>
              </w:rPr>
            </w:pPr>
            <w:r w:rsidRPr="00D85D29">
              <w:rPr>
                <w:rFonts w:ascii="Arial" w:hAnsi="Arial" w:cs="Arial"/>
                <w:lang w:val="en-US"/>
              </w:rPr>
              <w:t>GBI total score at short-term:</w:t>
            </w:r>
          </w:p>
          <w:p w14:paraId="7BC22A12" w14:textId="77777777" w:rsidR="000737E8" w:rsidRPr="00703BC0" w:rsidRDefault="000737E8" w:rsidP="000737E8">
            <w:pPr>
              <w:pStyle w:val="Tabletext"/>
              <w:rPr>
                <w:rFonts w:ascii="Arial" w:hAnsi="Arial" w:cs="Arial"/>
              </w:rPr>
            </w:pPr>
            <w:r>
              <w:rPr>
                <w:rFonts w:ascii="Arial" w:hAnsi="Arial" w:cs="Arial"/>
              </w:rPr>
              <w:t xml:space="preserve">15.4 +/-1.68; long-term: 17.8 +/- </w:t>
            </w:r>
            <w:r w:rsidRPr="0020530D">
              <w:rPr>
                <w:rFonts w:ascii="Arial" w:hAnsi="Arial" w:cs="Arial"/>
              </w:rPr>
              <w:t>2.78</w:t>
            </w:r>
            <w:r>
              <w:rPr>
                <w:rFonts w:ascii="Arial" w:hAnsi="Arial" w:cs="Arial"/>
              </w:rPr>
              <w:t xml:space="preserve"> </w:t>
            </w:r>
          </w:p>
        </w:tc>
        <w:tc>
          <w:tcPr>
            <w:tcW w:w="0" w:type="auto"/>
          </w:tcPr>
          <w:p w14:paraId="62D4EE5F" w14:textId="77777777" w:rsidR="000737E8" w:rsidRPr="00703BC0" w:rsidRDefault="000737E8" w:rsidP="000737E8">
            <w:pPr>
              <w:pStyle w:val="Tabletext"/>
              <w:rPr>
                <w:rFonts w:ascii="Arial" w:hAnsi="Arial" w:cs="Arial"/>
              </w:rPr>
            </w:pPr>
            <w:r w:rsidRPr="0020530D">
              <w:rPr>
                <w:rFonts w:ascii="Arial" w:hAnsi="Arial" w:cs="Arial"/>
              </w:rPr>
              <w:t>Single study by Mosnier (2008)</w:t>
            </w:r>
          </w:p>
        </w:tc>
      </w:tr>
    </w:tbl>
    <w:p w14:paraId="5A1F9316" w14:textId="77777777" w:rsidR="000737E8" w:rsidRPr="00703BC0" w:rsidRDefault="000737E8" w:rsidP="000737E8">
      <w:pPr>
        <w:rPr>
          <w:rFonts w:cs="Arial"/>
        </w:rPr>
        <w:sectPr w:rsidR="000737E8" w:rsidRPr="00703BC0" w:rsidSect="008846BA">
          <w:pgSz w:w="16840" w:h="11907" w:orient="landscape" w:code="9"/>
          <w:pgMar w:top="1814" w:right="1418" w:bottom="1418" w:left="1701" w:header="720" w:footer="720" w:gutter="0"/>
          <w:paperSrc w:first="7" w:other="7"/>
          <w:cols w:space="720"/>
          <w:noEndnote/>
          <w:docGrid w:linePitch="299"/>
        </w:sectPr>
      </w:pPr>
    </w:p>
    <w:p w14:paraId="085AA5DC" w14:textId="77777777" w:rsidR="000737E8" w:rsidRPr="00403E99" w:rsidRDefault="000737E8" w:rsidP="00C67966">
      <w:pPr>
        <w:pStyle w:val="Textbody"/>
        <w:rPr>
          <w:b/>
        </w:rPr>
      </w:pPr>
      <w:r w:rsidRPr="00403E99">
        <w:rPr>
          <w:b/>
        </w:rPr>
        <w:lastRenderedPageBreak/>
        <w:t>Form of economic evaluation</w:t>
      </w:r>
    </w:p>
    <w:p w14:paraId="1899ADDC" w14:textId="77777777" w:rsidR="00403E99" w:rsidRDefault="000737E8" w:rsidP="00403E99">
      <w:pPr>
        <w:pStyle w:val="Textbody"/>
        <w:rPr>
          <w:lang w:val="en-AU"/>
        </w:rPr>
      </w:pPr>
      <w:r w:rsidRPr="000737E8">
        <w:t xml:space="preserve">As the main comparator is No Treatment, hearing-related outcome measures for No Treatment are very </w:t>
      </w:r>
      <w:r w:rsidRPr="0080769D">
        <w:t>limited. As such, a cost-effectiveness anal</w:t>
      </w:r>
      <w:r w:rsidRPr="00596935">
        <w:t>ysis which incorporates the costs of the partially implantable Middle Ear Implants and the cost for No Treatment (opportunity costs for the society) should be sufficient to determine the cost-effectiveness of insertion of a partially implantable Middle Ear implant relative to No Treatment and to each</w:t>
      </w:r>
      <w:r w:rsidR="00A82510">
        <w:t>.</w:t>
      </w:r>
      <w:r w:rsidR="00A82510" w:rsidDel="00A82510">
        <w:rPr>
          <w:lang w:val="en-AU"/>
        </w:rPr>
        <w:t xml:space="preserve"> </w:t>
      </w:r>
      <w:bookmarkStart w:id="480" w:name="_Toc191822178"/>
      <w:bookmarkStart w:id="481" w:name="_Toc191822228"/>
      <w:bookmarkStart w:id="482" w:name="_Toc191822278"/>
      <w:bookmarkStart w:id="483" w:name="_Toc258501795"/>
      <w:bookmarkStart w:id="484" w:name="_Toc273301505"/>
      <w:bookmarkStart w:id="485" w:name="_Toc400549418"/>
    </w:p>
    <w:p w14:paraId="5AAF8898" w14:textId="148B1AE2" w:rsidR="000D59CC" w:rsidRPr="009A1A2E" w:rsidRDefault="000D59CC" w:rsidP="00213B3B">
      <w:pPr>
        <w:pStyle w:val="Heading1"/>
        <w:spacing w:line="360" w:lineRule="auto"/>
        <w:jc w:val="both"/>
        <w:rPr>
          <w:lang w:val="en-AU"/>
        </w:rPr>
      </w:pPr>
      <w:bookmarkStart w:id="486" w:name="_Toc431917579"/>
      <w:r w:rsidRPr="009A1A2E">
        <w:rPr>
          <w:lang w:val="en-AU"/>
        </w:rPr>
        <w:lastRenderedPageBreak/>
        <w:t>C.</w:t>
      </w:r>
      <w:r w:rsidRPr="009A1A2E">
        <w:rPr>
          <w:lang w:val="en-AU"/>
        </w:rPr>
        <w:tab/>
        <w:t>Translating</w:t>
      </w:r>
      <w:r w:rsidR="001F54EF">
        <w:rPr>
          <w:lang w:val="en-AU"/>
        </w:rPr>
        <w:t xml:space="preserve"> the clinical evaluation to the </w:t>
      </w:r>
      <w:r w:rsidRPr="009A1A2E">
        <w:rPr>
          <w:lang w:val="en-AU"/>
        </w:rPr>
        <w:t>listing requested for inclusion in the economic evaluation</w:t>
      </w:r>
      <w:bookmarkEnd w:id="480"/>
      <w:bookmarkEnd w:id="481"/>
      <w:bookmarkEnd w:id="482"/>
      <w:bookmarkEnd w:id="483"/>
      <w:bookmarkEnd w:id="484"/>
      <w:bookmarkEnd w:id="485"/>
      <w:bookmarkEnd w:id="486"/>
    </w:p>
    <w:p w14:paraId="1B18077D" w14:textId="77777777" w:rsidR="00304A7B" w:rsidRPr="009A1A2E" w:rsidRDefault="00304A7B" w:rsidP="000B07B2">
      <w:pPr>
        <w:pStyle w:val="Textbody"/>
        <w:rPr>
          <w:lang w:val="en-AU"/>
        </w:rPr>
      </w:pPr>
      <w:r w:rsidRPr="009A1A2E">
        <w:rPr>
          <w:lang w:val="en-AU"/>
        </w:rPr>
        <w:t>Section C is provided to show that the conclusion of superior effectiveness and equal safety justifies a cost-</w:t>
      </w:r>
      <w:r w:rsidR="00D76E6A" w:rsidRPr="009A1A2E">
        <w:rPr>
          <w:lang w:val="en-AU"/>
        </w:rPr>
        <w:t>effectiveness</w:t>
      </w:r>
      <w:r w:rsidRPr="009A1A2E">
        <w:rPr>
          <w:lang w:val="en-AU"/>
        </w:rPr>
        <w:t xml:space="preserve"> analysis after issues of applicability are addressed.</w:t>
      </w:r>
    </w:p>
    <w:p w14:paraId="03E3F8D7" w14:textId="77777777" w:rsidR="00304A7B" w:rsidRPr="009A1A2E" w:rsidRDefault="00004A48" w:rsidP="000B07B2">
      <w:pPr>
        <w:pStyle w:val="Textbody"/>
        <w:rPr>
          <w:lang w:val="en-AU"/>
        </w:rPr>
      </w:pPr>
      <w:r w:rsidRPr="009A1A2E">
        <w:rPr>
          <w:lang w:val="en-AU"/>
        </w:rPr>
        <w:t>Strangely enough only few papers follow a coherent presentation of data which reduces the amount of extractable papers from 8</w:t>
      </w:r>
      <w:r w:rsidR="002F3262" w:rsidRPr="009A1A2E">
        <w:rPr>
          <w:lang w:val="en-AU"/>
        </w:rPr>
        <w:t>6</w:t>
      </w:r>
      <w:r w:rsidRPr="009A1A2E">
        <w:rPr>
          <w:lang w:val="en-AU"/>
        </w:rPr>
        <w:t xml:space="preserve"> (which met the PICO criteria) to 4</w:t>
      </w:r>
      <w:r w:rsidR="002F3262" w:rsidRPr="009A1A2E">
        <w:rPr>
          <w:lang w:val="en-AU"/>
        </w:rPr>
        <w:t>7</w:t>
      </w:r>
      <w:r w:rsidRPr="009A1A2E">
        <w:rPr>
          <w:lang w:val="en-AU"/>
        </w:rPr>
        <w:t xml:space="preserve"> (which finally could be used for data analysis) clearly documenting the missing of generally valid standards of how to describe data in order to make outcomes comparable.</w:t>
      </w:r>
      <w:r w:rsidR="00304A7B" w:rsidRPr="009A1A2E">
        <w:rPr>
          <w:lang w:val="en-AU"/>
        </w:rPr>
        <w:t xml:space="preserve"> We are well aware of the fact that the evidence presented in part B is far away from the quality of randomized controlled trials (RCT), an evidence level that is normally </w:t>
      </w:r>
      <w:r w:rsidR="00D76E6A" w:rsidRPr="009A1A2E">
        <w:rPr>
          <w:lang w:val="en-AU"/>
        </w:rPr>
        <w:t>applied</w:t>
      </w:r>
      <w:r w:rsidR="00304A7B" w:rsidRPr="009A1A2E">
        <w:rPr>
          <w:lang w:val="en-AU"/>
        </w:rPr>
        <w:t xml:space="preserve"> in drug applications. To our knowledge, no evidence of higher level than that used in part B is available. Especially RCTs cannot be performed with medical devices of high risk classes or products that require surgery, because any kind of sham surgery is forbidden for aspects of ethics.</w:t>
      </w:r>
    </w:p>
    <w:p w14:paraId="5BCE0CF2" w14:textId="77777777" w:rsidR="00304A7B" w:rsidRPr="009A1A2E" w:rsidRDefault="00304A7B" w:rsidP="000B07B2">
      <w:pPr>
        <w:pStyle w:val="Textbody"/>
        <w:rPr>
          <w:lang w:val="en-AU"/>
        </w:rPr>
      </w:pPr>
      <w:r w:rsidRPr="009A1A2E">
        <w:rPr>
          <w:lang w:val="en-AU"/>
        </w:rPr>
        <w:t>Nevertheless, the evidence obtained from systematic literature searches provides a plausible rationale supporting our claims.</w:t>
      </w:r>
    </w:p>
    <w:p w14:paraId="0AD38CA3" w14:textId="77777777" w:rsidR="00AF355A" w:rsidRPr="009A1A2E" w:rsidRDefault="00304A7B" w:rsidP="000B07B2">
      <w:pPr>
        <w:pStyle w:val="Textbody"/>
        <w:rPr>
          <w:highlight w:val="lightGray"/>
          <w:lang w:val="en-AU"/>
        </w:rPr>
      </w:pPr>
      <w:r w:rsidRPr="009A1A2E">
        <w:rPr>
          <w:lang w:val="en-AU"/>
        </w:rPr>
        <w:t xml:space="preserve">Cost-Effectiveness Analysis (CEA) is the evaluation of the costs and consequences of alternative interventions using clinical outcomes in “natural units.” The natural units can include a range of clinical end points such as, life years gained, functional gain, complications avoided, or speech understanding in different conditions. The goal of CEA is to maximize societal health benefits while functioning within a constrained budget. Although there are several advantages of CEA, the major disadvantage is the inability to provide interdisease comparisons; therefore, it cannot measure the opportunity cost of implementing one intervention over another choice. Due to the inherent scarcity of health care resources, the “opportunity cost” refers to the loss of health benefits that would have been created if the resources were used in another health care sector. Another disadvantage of CEA is defining the most important effectiveness end point to report. The appropriate measure should reflect the objective of performing the analysis, and it should consider units that would improve policy decision-making. The quality of effectiveness data is imperative to a strong economic evaluation. The quality of effectiveness study design can be graded based on the NHMRC levels of evidence </w:t>
      </w:r>
      <w:r w:rsidRPr="009A1A2E">
        <w:rPr>
          <w:lang w:val="en-AU"/>
        </w:rPr>
        <w:lastRenderedPageBreak/>
        <w:t>(</w:t>
      </w:r>
      <w:r w:rsidR="00F62A44" w:rsidRPr="009A1A2E">
        <w:rPr>
          <w:lang w:val="en-AU"/>
        </w:rPr>
        <w:t>https://www.nhmrc.gov.au/</w:t>
      </w:r>
      <w:r w:rsidRPr="009A1A2E">
        <w:rPr>
          <w:lang w:val="en-AU"/>
        </w:rPr>
        <w:t xml:space="preserve">). There will always be a certain amount of uncertainty associated with both cost and </w:t>
      </w:r>
      <w:r w:rsidR="0019059B" w:rsidRPr="009A1A2E">
        <w:rPr>
          <w:lang w:val="en-AU"/>
        </w:rPr>
        <w:t xml:space="preserve">consequent </w:t>
      </w:r>
      <w:r w:rsidRPr="009A1A2E">
        <w:rPr>
          <w:lang w:val="en-AU"/>
        </w:rPr>
        <w:t>data collection.</w:t>
      </w:r>
    </w:p>
    <w:p w14:paraId="70C71231" w14:textId="77777777" w:rsidR="00155F0C" w:rsidRPr="00F27F7F" w:rsidRDefault="00337C2F" w:rsidP="00155F0C">
      <w:pPr>
        <w:spacing w:line="360" w:lineRule="auto"/>
        <w:jc w:val="both"/>
        <w:rPr>
          <w:rFonts w:cs="Arial"/>
          <w:lang w:val="en-GB"/>
        </w:rPr>
      </w:pPr>
      <w:r w:rsidRPr="00D85D29">
        <w:t>Section B.8</w:t>
      </w:r>
      <w:r w:rsidR="00516B52" w:rsidRPr="00D85D29">
        <w:t xml:space="preserve"> (Discussion)</w:t>
      </w:r>
      <w:r w:rsidRPr="00D85D29">
        <w:t xml:space="preserve"> of this</w:t>
      </w:r>
      <w:r w:rsidRPr="009A1A2E">
        <w:t xml:space="preserve"> submission concluded </w:t>
      </w:r>
      <w:r w:rsidR="00155F0C" w:rsidRPr="00F27F7F">
        <w:rPr>
          <w:rFonts w:cs="Arial"/>
          <w:lang w:val="en-GB"/>
        </w:rPr>
        <w:t>that partially implantable MEI for SNHL+medical condition (Vibrant Soundbridge) are, when compared to no treatment, superior in terms of effectiveness and non-inferior in terms of safety outcomes; and when compared to other partially implantable MEI is non-inferior/at least as safe and effective. These conclusions are derived from the indirect comparison of non-randomised trials. Due to the nature of the studies and the consequent uncertainty, the economic evaluation of choice for either comparison is a cost-effectiveness model which is presented in Section D.</w:t>
      </w:r>
    </w:p>
    <w:p w14:paraId="2011DEDC" w14:textId="77777777" w:rsidR="004E377A" w:rsidRPr="009A1A2E" w:rsidRDefault="00155F0C" w:rsidP="00155F0C">
      <w:pPr>
        <w:pStyle w:val="Textbody"/>
        <w:rPr>
          <w:lang w:val="en-AU"/>
        </w:rPr>
      </w:pPr>
      <w:r w:rsidRPr="00F27F7F">
        <w:rPr>
          <w:lang w:val="en-GB"/>
        </w:rPr>
        <w:t>This section is provided to show that the therapeutic standpoints of the proposed medical device in comparison to no treatment and other partially implantable MEI and the choice of a cost-effectiveness model in either case is valid after issues in the translation of the evidence is considered.</w:t>
      </w:r>
    </w:p>
    <w:p w14:paraId="4FB3ECAE" w14:textId="77777777" w:rsidR="00D8568C" w:rsidRDefault="00D8568C" w:rsidP="00590A24">
      <w:pPr>
        <w:rPr>
          <w:lang w:val="en-US"/>
        </w:rPr>
      </w:pPr>
      <w:bookmarkStart w:id="487" w:name="_Toc400549419"/>
      <w:bookmarkStart w:id="488" w:name="_Toc431917580"/>
    </w:p>
    <w:p w14:paraId="689F578A" w14:textId="77777777" w:rsidR="00337C2F" w:rsidRPr="00D8568C" w:rsidRDefault="002F06AC" w:rsidP="009A7DB9">
      <w:pPr>
        <w:pStyle w:val="Heading20"/>
      </w:pPr>
      <w:r w:rsidRPr="00D8568C">
        <w:t>C.1.1</w:t>
      </w:r>
      <w:r w:rsidRPr="00D8568C">
        <w:tab/>
        <w:t>Applicability</w:t>
      </w:r>
      <w:r w:rsidR="0072591F" w:rsidRPr="00D8568C">
        <w:t xml:space="preserve"> of outcome comparison</w:t>
      </w:r>
      <w:r w:rsidR="00174D64" w:rsidRPr="00D8568C">
        <w:t>s</w:t>
      </w:r>
      <w:bookmarkEnd w:id="487"/>
      <w:bookmarkEnd w:id="488"/>
    </w:p>
    <w:p w14:paraId="43EE3D1F" w14:textId="77777777" w:rsidR="00155F0C" w:rsidRPr="00F27F7F" w:rsidRDefault="00155F0C" w:rsidP="00155F0C">
      <w:pPr>
        <w:spacing w:line="360" w:lineRule="auto"/>
        <w:jc w:val="both"/>
        <w:rPr>
          <w:rFonts w:cs="Arial"/>
          <w:lang w:val="en-GB"/>
        </w:rPr>
      </w:pPr>
      <w:r w:rsidRPr="00F27F7F">
        <w:rPr>
          <w:rFonts w:cs="Arial"/>
          <w:lang w:val="en-GB"/>
        </w:rPr>
        <w:t xml:space="preserve">The clinical setting for the studies included in this submission reflects a population that is intended to be treated with a partially implantable active middle ear implant for sensorineural hearing loss due to the inability to wear or benefit from hearing aids. The degree of hearing loss varied from mild to severe, and the type of an existing outer ear medical condition varied. Therefore, overall the study participants are representative of the target population in Australia. </w:t>
      </w:r>
    </w:p>
    <w:p w14:paraId="25ABAEFF" w14:textId="77777777" w:rsidR="00155F0C" w:rsidRPr="00F27F7F" w:rsidRDefault="00155F0C" w:rsidP="00155F0C">
      <w:pPr>
        <w:spacing w:line="360" w:lineRule="auto"/>
        <w:jc w:val="both"/>
        <w:rPr>
          <w:rFonts w:cs="Arial"/>
          <w:lang w:val="en-GB"/>
        </w:rPr>
      </w:pPr>
      <w:r w:rsidRPr="00F27F7F">
        <w:rPr>
          <w:rFonts w:cs="Arial"/>
          <w:lang w:val="en-GB"/>
        </w:rPr>
        <w:t>The age of the study participants ranged from 18 to 86 years; and there were slightly more males than females with the percentages of 53.9</w:t>
      </w:r>
      <w:r>
        <w:rPr>
          <w:rFonts w:cs="Arial"/>
          <w:lang w:val="en-GB"/>
        </w:rPr>
        <w:t> </w:t>
      </w:r>
      <w:r w:rsidRPr="00F27F7F">
        <w:rPr>
          <w:rFonts w:cs="Arial"/>
          <w:lang w:val="en-GB"/>
        </w:rPr>
        <w:t>% and 46.1</w:t>
      </w:r>
      <w:r>
        <w:rPr>
          <w:rFonts w:cs="Arial"/>
          <w:lang w:val="en-GB"/>
        </w:rPr>
        <w:t> </w:t>
      </w:r>
      <w:r w:rsidRPr="00F27F7F">
        <w:rPr>
          <w:rFonts w:cs="Arial"/>
          <w:lang w:val="en-GB"/>
        </w:rPr>
        <w:t>%. The most informative study of the target population comes from Wilson et al. (1999) who provided prevalence values for different types of hearing loss by age group. This study covered individuals with any type of hearing loss who were aged 15 up to 70+ years, including 55</w:t>
      </w:r>
      <w:r>
        <w:rPr>
          <w:rFonts w:cs="Arial"/>
          <w:lang w:val="en-GB"/>
        </w:rPr>
        <w:t> </w:t>
      </w:r>
      <w:r w:rsidRPr="00F27F7F">
        <w:rPr>
          <w:rFonts w:cs="Arial"/>
          <w:lang w:val="en-GB"/>
        </w:rPr>
        <w:t>% males (510) and 45</w:t>
      </w:r>
      <w:r>
        <w:rPr>
          <w:rFonts w:cs="Arial"/>
          <w:lang w:val="en-GB"/>
        </w:rPr>
        <w:t> </w:t>
      </w:r>
      <w:r w:rsidRPr="00F27F7F">
        <w:rPr>
          <w:rFonts w:cs="Arial"/>
          <w:lang w:val="en-GB"/>
        </w:rPr>
        <w:t>% females (416). These demographic data may be an overestimation of the target population with sensorineural hearing loss. Nevertheless, there appears to be a good overlap between the study and target populations.</w:t>
      </w:r>
    </w:p>
    <w:p w14:paraId="46653338" w14:textId="77777777" w:rsidR="00304A7B" w:rsidRPr="009A1A2E" w:rsidRDefault="00155F0C" w:rsidP="00155F0C">
      <w:pPr>
        <w:pStyle w:val="Textbody"/>
        <w:rPr>
          <w:lang w:val="en-AU"/>
        </w:rPr>
      </w:pPr>
      <w:r w:rsidRPr="00F27F7F">
        <w:rPr>
          <w:lang w:val="en-GB"/>
        </w:rPr>
        <w:t>Overall, no issues were seen in the applicability of the study population to the target Australian population.</w:t>
      </w:r>
    </w:p>
    <w:p w14:paraId="336AC93B" w14:textId="77777777" w:rsidR="00237CB6" w:rsidRPr="009A1A2E" w:rsidRDefault="0072591F" w:rsidP="009A7DB9">
      <w:pPr>
        <w:pStyle w:val="Heading20"/>
      </w:pPr>
      <w:bookmarkStart w:id="489" w:name="_Toc400549420"/>
      <w:bookmarkStart w:id="490" w:name="_Toc431917581"/>
      <w:r w:rsidRPr="009A1A2E">
        <w:lastRenderedPageBreak/>
        <w:t>C.1.2</w:t>
      </w:r>
      <w:r w:rsidRPr="009A1A2E">
        <w:tab/>
      </w:r>
      <w:bookmarkEnd w:id="489"/>
      <w:r w:rsidR="00155F0C" w:rsidRPr="003B1DCD">
        <w:t>Circumstances</w:t>
      </w:r>
      <w:r w:rsidR="00155F0C">
        <w:t xml:space="preserve"> of use</w:t>
      </w:r>
      <w:bookmarkEnd w:id="490"/>
      <w:r w:rsidRPr="009A1A2E">
        <w:t xml:space="preserve"> </w:t>
      </w:r>
    </w:p>
    <w:p w14:paraId="22B6A6C4" w14:textId="77777777" w:rsidR="00155F0C" w:rsidRPr="00F27F7F" w:rsidRDefault="00155F0C" w:rsidP="00155F0C">
      <w:pPr>
        <w:spacing w:line="360" w:lineRule="auto"/>
        <w:jc w:val="both"/>
        <w:rPr>
          <w:rFonts w:cs="Arial"/>
          <w:lang w:val="en-GB"/>
        </w:rPr>
      </w:pPr>
      <w:r w:rsidRPr="00F27F7F">
        <w:rPr>
          <w:rFonts w:cs="Arial"/>
          <w:lang w:val="en-GB"/>
        </w:rPr>
        <w:t>The circumstances of use for a middle ear implant are not expected to change between the studies and the target population due to the following:</w:t>
      </w:r>
    </w:p>
    <w:p w14:paraId="542867DF" w14:textId="77777777" w:rsidR="00155F0C" w:rsidRPr="00F27F7F" w:rsidRDefault="00155F0C" w:rsidP="00155F0C">
      <w:pPr>
        <w:pStyle w:val="ListParagraph"/>
        <w:numPr>
          <w:ilvl w:val="0"/>
          <w:numId w:val="92"/>
        </w:numPr>
        <w:spacing w:after="200" w:line="360" w:lineRule="auto"/>
        <w:contextualSpacing/>
        <w:jc w:val="both"/>
        <w:rPr>
          <w:rFonts w:cs="Arial"/>
          <w:lang w:val="en-GB"/>
        </w:rPr>
      </w:pPr>
      <w:r w:rsidRPr="00F27F7F">
        <w:rPr>
          <w:rFonts w:cs="Arial"/>
          <w:lang w:val="en-GB"/>
        </w:rPr>
        <w:t xml:space="preserve">There are universal standards for audiological equipment </w:t>
      </w:r>
    </w:p>
    <w:p w14:paraId="2D25B878" w14:textId="77777777" w:rsidR="00155F0C" w:rsidRPr="00F27F7F" w:rsidRDefault="00155F0C" w:rsidP="00155F0C">
      <w:pPr>
        <w:pStyle w:val="ListParagraph"/>
        <w:numPr>
          <w:ilvl w:val="0"/>
          <w:numId w:val="92"/>
        </w:numPr>
        <w:spacing w:after="200" w:line="360" w:lineRule="auto"/>
        <w:contextualSpacing/>
        <w:jc w:val="both"/>
        <w:rPr>
          <w:rFonts w:cs="Arial"/>
          <w:lang w:val="en-GB"/>
        </w:rPr>
      </w:pPr>
      <w:r w:rsidRPr="00F27F7F">
        <w:rPr>
          <w:rFonts w:cs="Arial"/>
          <w:lang w:val="en-GB"/>
        </w:rPr>
        <w:t>Candidacy assessment is based upon guidelines that are recognized worldwide, and the procedure is thus carried out similarly in different countries</w:t>
      </w:r>
    </w:p>
    <w:p w14:paraId="1B22A0FF" w14:textId="77777777" w:rsidR="00155F0C" w:rsidRPr="00F27F7F" w:rsidRDefault="00155F0C" w:rsidP="00155F0C">
      <w:pPr>
        <w:pStyle w:val="ListParagraph"/>
        <w:numPr>
          <w:ilvl w:val="0"/>
          <w:numId w:val="92"/>
        </w:numPr>
        <w:spacing w:after="200" w:line="360" w:lineRule="auto"/>
        <w:contextualSpacing/>
        <w:jc w:val="both"/>
        <w:rPr>
          <w:rFonts w:cs="Arial"/>
          <w:lang w:val="en-GB"/>
        </w:rPr>
      </w:pPr>
      <w:r w:rsidRPr="00F27F7F">
        <w:rPr>
          <w:rFonts w:cs="Arial"/>
          <w:lang w:val="en-GB"/>
        </w:rPr>
        <w:t>The decision for providing MEI implantation is made after an individual is assessed against candidacy criteria which are determined by the manufacturer</w:t>
      </w:r>
    </w:p>
    <w:p w14:paraId="1A872277" w14:textId="77777777" w:rsidR="00155F0C" w:rsidRPr="00F27F7F" w:rsidRDefault="00155F0C" w:rsidP="00155F0C">
      <w:pPr>
        <w:pStyle w:val="ListParagraph"/>
        <w:numPr>
          <w:ilvl w:val="0"/>
          <w:numId w:val="92"/>
        </w:numPr>
        <w:spacing w:after="200" w:line="360" w:lineRule="auto"/>
        <w:contextualSpacing/>
        <w:jc w:val="both"/>
        <w:rPr>
          <w:rFonts w:cs="Arial"/>
          <w:lang w:val="en-GB"/>
        </w:rPr>
      </w:pPr>
      <w:r w:rsidRPr="00F27F7F">
        <w:rPr>
          <w:rFonts w:cs="Arial"/>
          <w:lang w:val="en-GB"/>
        </w:rPr>
        <w:t>MEI implantation is delivered under general anaesthesia by a trained surgeon</w:t>
      </w:r>
    </w:p>
    <w:p w14:paraId="4D42022D" w14:textId="0DA7CFC9" w:rsidR="00AA1B38" w:rsidRPr="009A1A2E" w:rsidRDefault="00155F0C" w:rsidP="00155F0C">
      <w:pPr>
        <w:pStyle w:val="Textbody"/>
        <w:rPr>
          <w:lang w:val="en-AU"/>
        </w:rPr>
      </w:pPr>
      <w:r w:rsidRPr="00F27F7F">
        <w:rPr>
          <w:lang w:val="en-GB"/>
        </w:rPr>
        <w:t>It is anticipated that the surgical procedure taken may differ between clinics. This is determined by patient anatomy and surgeon`s preference. Effectiveness outcomes remain unaffected by this variety while safety outcomes may slightly, but not significantly, vary between the different approaches. The same variety seen in the literature is expected to be seen in the target population.</w:t>
      </w:r>
    </w:p>
    <w:p w14:paraId="785A551B" w14:textId="77777777" w:rsidR="00237CB6" w:rsidRPr="009A1A2E" w:rsidRDefault="00237CB6" w:rsidP="00D42D83">
      <w:pPr>
        <w:spacing w:line="360" w:lineRule="auto"/>
        <w:jc w:val="both"/>
        <w:rPr>
          <w:highlight w:val="lightGray"/>
        </w:rPr>
      </w:pPr>
    </w:p>
    <w:p w14:paraId="3C7FE811" w14:textId="77777777" w:rsidR="00B64250" w:rsidRPr="00FB0940" w:rsidRDefault="004F4B3F" w:rsidP="009A7DB9">
      <w:pPr>
        <w:pStyle w:val="Heading20"/>
      </w:pPr>
      <w:bookmarkStart w:id="491" w:name="_Toc400549421"/>
      <w:bookmarkStart w:id="492" w:name="_Toc431917582"/>
      <w:r w:rsidRPr="009A1A2E">
        <w:t>C.1.</w:t>
      </w:r>
      <w:r w:rsidR="00D941C6" w:rsidRPr="009A1A2E">
        <w:t>3</w:t>
      </w:r>
      <w:r w:rsidRPr="009A1A2E">
        <w:tab/>
      </w:r>
      <w:bookmarkEnd w:id="491"/>
      <w:r w:rsidR="00FB0940" w:rsidRPr="00FB0940">
        <w:t>Extrapolation issues</w:t>
      </w:r>
      <w:bookmarkEnd w:id="492"/>
    </w:p>
    <w:p w14:paraId="11F6A660" w14:textId="77777777" w:rsidR="00FB0940" w:rsidRPr="00F27F7F" w:rsidRDefault="00FB0940" w:rsidP="00FB0940">
      <w:pPr>
        <w:spacing w:line="360" w:lineRule="auto"/>
        <w:jc w:val="both"/>
        <w:rPr>
          <w:rFonts w:cs="Arial"/>
          <w:lang w:val="en-GB"/>
        </w:rPr>
      </w:pPr>
      <w:r w:rsidRPr="00F27F7F">
        <w:rPr>
          <w:rFonts w:cs="Arial"/>
          <w:lang w:val="en-GB"/>
        </w:rPr>
        <w:t xml:space="preserve">All identified studies reported the exact number or proportion of events occurring over a single follow-up period; and as given in </w:t>
      </w:r>
      <w:r>
        <w:rPr>
          <w:rFonts w:cs="Arial"/>
          <w:lang w:val="en-GB"/>
        </w:rPr>
        <w:fldChar w:fldCharType="begin"/>
      </w:r>
      <w:r>
        <w:rPr>
          <w:rFonts w:cs="Arial"/>
          <w:lang w:val="en-GB"/>
        </w:rPr>
        <w:instrText xml:space="preserve"> REF _Ref400636012 \h  \* MERGEFORMAT </w:instrText>
      </w:r>
      <w:r>
        <w:rPr>
          <w:rFonts w:cs="Arial"/>
          <w:lang w:val="en-GB"/>
        </w:rPr>
      </w:r>
      <w:r>
        <w:rPr>
          <w:rFonts w:cs="Arial"/>
          <w:lang w:val="en-GB"/>
        </w:rPr>
        <w:fldChar w:fldCharType="separate"/>
      </w:r>
      <w:r w:rsidR="00016592" w:rsidRPr="00016592">
        <w:rPr>
          <w:rFonts w:cs="Arial"/>
          <w:lang w:val="en-GB"/>
        </w:rPr>
        <w:t>Table 15</w:t>
      </w:r>
      <w:r>
        <w:rPr>
          <w:rFonts w:cs="Arial"/>
          <w:lang w:val="en-GB"/>
        </w:rPr>
        <w:fldChar w:fldCharType="end"/>
      </w:r>
      <w:r w:rsidRPr="00F27F7F">
        <w:rPr>
          <w:rFonts w:cs="Arial"/>
          <w:lang w:val="en-GB"/>
        </w:rPr>
        <w:t>, these periods ranged from a few months up to 11 years. In addition, almost none of the studies reported time-to-event data that would allow the calculation of event rates. In order to use the available information in a ba</w:t>
      </w:r>
      <w:bookmarkStart w:id="493" w:name="_GoBack"/>
      <w:bookmarkEnd w:id="493"/>
      <w:r w:rsidRPr="00F27F7F">
        <w:rPr>
          <w:rFonts w:cs="Arial"/>
          <w:lang w:val="en-GB"/>
        </w:rPr>
        <w:t>se-case cost-effectiveness analysis, the observed probability of events were transformed into time-based probabilities. To reduce uncertainty, studies reporting outcomes at a timeframe shorter than 6 months were excluded from the economic evaluation unless they were the only source of information. The methods implemented and the estimated base-case values are described in Section D.4. No other extrapolation issues were identified.</w:t>
      </w:r>
    </w:p>
    <w:p w14:paraId="3E596E51" w14:textId="77777777" w:rsidR="00C06D8A" w:rsidRPr="009A1A2E" w:rsidRDefault="00C06D8A" w:rsidP="00FB0940">
      <w:pPr>
        <w:pStyle w:val="Textbody"/>
        <w:rPr>
          <w:lang w:val="en-AU"/>
        </w:rPr>
      </w:pPr>
    </w:p>
    <w:p w14:paraId="07E9F12C" w14:textId="77777777" w:rsidR="00337C2F" w:rsidRPr="001C7CE7" w:rsidRDefault="004F4B3F" w:rsidP="009A7DB9">
      <w:pPr>
        <w:pStyle w:val="Heading20"/>
      </w:pPr>
      <w:bookmarkStart w:id="494" w:name="_Toc400549422"/>
      <w:bookmarkStart w:id="495" w:name="_Toc431917583"/>
      <w:r w:rsidRPr="001C7CE7">
        <w:t>C.1.</w:t>
      </w:r>
      <w:r w:rsidR="00D941C6" w:rsidRPr="001C7CE7">
        <w:t>4</w:t>
      </w:r>
      <w:r w:rsidR="00657C80">
        <w:tab/>
      </w:r>
      <w:r w:rsidR="00657C80" w:rsidRPr="00657C80">
        <w:rPr>
          <w:lang w:val="en-US"/>
        </w:rPr>
        <w:t>Transformation</w:t>
      </w:r>
      <w:r w:rsidR="00BC0FE6" w:rsidRPr="001C7CE7">
        <w:t xml:space="preserve"> i</w:t>
      </w:r>
      <w:r w:rsidR="00337C2F" w:rsidRPr="001C7CE7">
        <w:t>ssues</w:t>
      </w:r>
      <w:bookmarkEnd w:id="494"/>
      <w:bookmarkEnd w:id="495"/>
    </w:p>
    <w:p w14:paraId="34D5CCFF" w14:textId="63B65C10" w:rsidR="00FB0940" w:rsidRPr="00F27F7F" w:rsidRDefault="00FB0940" w:rsidP="00FB0940">
      <w:pPr>
        <w:spacing w:line="360" w:lineRule="auto"/>
        <w:jc w:val="both"/>
        <w:rPr>
          <w:rFonts w:cs="Arial"/>
          <w:lang w:val="en-GB"/>
        </w:rPr>
      </w:pPr>
      <w:r w:rsidRPr="00F27F7F">
        <w:rPr>
          <w:rFonts w:cs="Arial"/>
          <w:lang w:val="en-GB"/>
        </w:rPr>
        <w:t xml:space="preserve">Studies investigating outcomes with the Vibrant Soundbridge AMEI reported final outcomes, while those investigating the </w:t>
      </w:r>
      <w:r>
        <w:rPr>
          <w:rFonts w:cs="Arial"/>
          <w:lang w:val="en-GB"/>
        </w:rPr>
        <w:t>Maxum/</w:t>
      </w:r>
      <w:r w:rsidRPr="00F27F7F">
        <w:rPr>
          <w:rFonts w:cs="Arial"/>
          <w:lang w:val="en-GB"/>
        </w:rPr>
        <w:t xml:space="preserve">SOUNDTEC AMEI did not report final quality of life outcomes. Instead of measuring utility weights, the proportion of difficulties </w:t>
      </w:r>
      <w:r w:rsidRPr="00F27F7F">
        <w:rPr>
          <w:rFonts w:cs="Arial"/>
          <w:lang w:val="en-GB"/>
        </w:rPr>
        <w:lastRenderedPageBreak/>
        <w:t>in everyday life was measured using the APHAB. It was not possible to transform these outcomes into utility weights and the outcomes were used directly in the economic model comparing the different AMEI.</w:t>
      </w:r>
    </w:p>
    <w:p w14:paraId="09262C54" w14:textId="77777777" w:rsidR="00337C2F" w:rsidRPr="00FB0940" w:rsidRDefault="00337C2F" w:rsidP="00FB0940">
      <w:pPr>
        <w:pStyle w:val="Textbody"/>
        <w:rPr>
          <w:lang w:val="en-GB"/>
        </w:rPr>
      </w:pPr>
    </w:p>
    <w:p w14:paraId="187F5641" w14:textId="77777777" w:rsidR="003B76D4" w:rsidRPr="009A1A2E" w:rsidRDefault="003B76D4" w:rsidP="005A5012">
      <w:pPr>
        <w:pStyle w:val="Textbody"/>
        <w:rPr>
          <w:lang w:val="en-AU"/>
        </w:rPr>
      </w:pPr>
    </w:p>
    <w:p w14:paraId="681CB6E1" w14:textId="77777777" w:rsidR="003B76D4" w:rsidRPr="009A1A2E" w:rsidRDefault="003B76D4" w:rsidP="005A5012">
      <w:pPr>
        <w:pStyle w:val="Textbody"/>
        <w:rPr>
          <w:lang w:val="en-AU"/>
        </w:rPr>
        <w:sectPr w:rsidR="003B76D4" w:rsidRPr="009A1A2E" w:rsidSect="00031697">
          <w:headerReference w:type="default" r:id="rId57"/>
          <w:footerReference w:type="default" r:id="rId58"/>
          <w:type w:val="continuous"/>
          <w:pgSz w:w="11907" w:h="16840" w:code="9"/>
          <w:pgMar w:top="1418" w:right="1418" w:bottom="1701" w:left="1814" w:header="720" w:footer="720" w:gutter="0"/>
          <w:paperSrc w:first="7" w:other="7"/>
          <w:cols w:space="720"/>
          <w:noEndnote/>
          <w:docGrid w:linePitch="299"/>
        </w:sectPr>
      </w:pPr>
    </w:p>
    <w:p w14:paraId="30A0C994" w14:textId="77777777" w:rsidR="00CB2E8F" w:rsidRPr="009A1A2E" w:rsidRDefault="003B76D4" w:rsidP="003B76D4">
      <w:pPr>
        <w:pStyle w:val="Heading1"/>
        <w:rPr>
          <w:lang w:val="en-AU"/>
        </w:rPr>
      </w:pPr>
      <w:bookmarkStart w:id="496" w:name="_Toc312340171"/>
      <w:bookmarkStart w:id="497" w:name="_Toc400549424"/>
      <w:bookmarkStart w:id="498" w:name="_Toc431917584"/>
      <w:r w:rsidRPr="009A1A2E">
        <w:rPr>
          <w:lang w:val="en-AU"/>
        </w:rPr>
        <w:lastRenderedPageBreak/>
        <w:t>D.</w:t>
      </w:r>
      <w:r w:rsidRPr="009A1A2E">
        <w:rPr>
          <w:lang w:val="en-AU"/>
        </w:rPr>
        <w:tab/>
        <w:t>E</w:t>
      </w:r>
      <w:r w:rsidR="00CB2E8F" w:rsidRPr="009A1A2E">
        <w:rPr>
          <w:lang w:val="en-AU"/>
        </w:rPr>
        <w:t xml:space="preserve">conomic evaluation for the main </w:t>
      </w:r>
      <w:bookmarkEnd w:id="496"/>
      <w:r w:rsidR="00A06B60" w:rsidRPr="009A1A2E">
        <w:rPr>
          <w:lang w:val="en-AU"/>
        </w:rPr>
        <w:t>indication</w:t>
      </w:r>
      <w:bookmarkEnd w:id="497"/>
      <w:bookmarkEnd w:id="498"/>
    </w:p>
    <w:p w14:paraId="23620590" w14:textId="77777777" w:rsidR="00A70A66" w:rsidRPr="009A1A2E" w:rsidRDefault="00A70A66" w:rsidP="005A5012">
      <w:pPr>
        <w:pStyle w:val="Textbody"/>
        <w:rPr>
          <w:lang w:val="en-AU"/>
        </w:rPr>
      </w:pPr>
      <w:r w:rsidRPr="009A1A2E">
        <w:rPr>
          <w:rFonts w:eastAsiaTheme="minorHAnsi"/>
          <w:lang w:val="en-AU"/>
        </w:rPr>
        <w:t>A US study, published in 2000, on the costs of severe-to-profound hearing loss concluded that direct and indirect costs (including medical, non-medical, educational and lost productivity costs) amounted to an average lifetime cost per individual of US $297,000. Total costs varied depending on when the hearing loss began. Costs for individuals with prelingual onset of hearing loss exceeded US $1 million, whereas costs for those with severe-to</w:t>
      </w:r>
      <w:r w:rsidR="0049371E" w:rsidRPr="009A1A2E">
        <w:rPr>
          <w:rFonts w:eastAsiaTheme="minorHAnsi"/>
          <w:lang w:val="en-AU"/>
        </w:rPr>
        <w:t xml:space="preserve"> </w:t>
      </w:r>
      <w:r w:rsidRPr="009A1A2E">
        <w:rPr>
          <w:rFonts w:eastAsiaTheme="minorHAnsi"/>
          <w:lang w:val="en-AU"/>
        </w:rPr>
        <w:t>profound hearing loss acquired later in life averaged US $43,000</w:t>
      </w:r>
      <w:r w:rsidR="000C156B" w:rsidRPr="009A1A2E">
        <w:rPr>
          <w:rFonts w:eastAsiaTheme="minorHAnsi"/>
          <w:lang w:val="en-AU"/>
        </w:rPr>
        <w:t xml:space="preserve"> </w:t>
      </w:r>
      <w:r w:rsidR="000C156B" w:rsidRPr="009A1A2E">
        <w:rPr>
          <w:rFonts w:eastAsiaTheme="minorHAnsi"/>
          <w:lang w:val="en-AU"/>
        </w:rPr>
        <w:fldChar w:fldCharType="begin"/>
      </w:r>
      <w:r w:rsidR="00D85D29">
        <w:rPr>
          <w:rFonts w:eastAsiaTheme="minorHAnsi"/>
          <w:lang w:val="en-AU"/>
        </w:rPr>
        <w:instrText xml:space="preserve"> ADDIN REFMGR.CITE &lt;Refman&gt;&lt;Cite&gt;&lt;Author&gt;Mohr&lt;/Author&gt;&lt;Year&gt;2000&lt;/Year&gt;&lt;RecNum&gt;634&lt;/RecNum&gt;&lt;IDText&gt;The societal costs of severe to profound hearing loss in the United States&lt;/IDText&gt;&lt;MDL Ref_Type="Journal"&gt;&lt;Ref_Type&gt;Journal&lt;/Ref_Type&gt;&lt;Ref_ID&gt;634&lt;/Ref_ID&gt;&lt;Title_Primary&gt;The societal costs of severe to profound hearing loss in the United States&lt;/Title_Primary&gt;&lt;Authors_Primary&gt;Mohr,P.E.&lt;/Authors_Primary&gt;&lt;Authors_Primary&gt;Feldman,J.J.&lt;/Authors_Primary&gt;&lt;Authors_Primary&gt;Dunbar,J.L.&lt;/Authors_Primary&gt;&lt;Date_Primary&gt;2000/4&lt;/Date_Primary&gt;&lt;Keywords&gt;Age of Onset&lt;/Keywords&gt;&lt;Keywords&gt;Cochlear Implantation&lt;/Keywords&gt;&lt;Keywords&gt;Cohort Studies&lt;/Keywords&gt;&lt;Keywords&gt;Cost of Illness&lt;/Keywords&gt;&lt;Keywords&gt;Deafness&lt;/Keywords&gt;&lt;Keywords&gt;economics&lt;/Keywords&gt;&lt;Keywords&gt;Hearing&lt;/Keywords&gt;&lt;Keywords&gt;Hearing Loss&lt;/Keywords&gt;&lt;Keywords&gt;Humans&lt;/Keywords&gt;&lt;Keywords&gt;Models,Economic&lt;/Keywords&gt;&lt;Keywords&gt;Sociology&lt;/Keywords&gt;&lt;Keywords&gt;therapy&lt;/Keywords&gt;&lt;Keywords&gt;United States&lt;/Keywords&gt;&lt;Reprint&gt;Not in File&lt;/Reprint&gt;&lt;Start_Page&gt;1&lt;/Start_Page&gt;&lt;End_Page&gt;4&lt;/End_Page&gt;&lt;Periodical&gt;Policy Anal.Brief.H.Ser.&lt;/Periodical&gt;&lt;Volume&gt;2&lt;/Volume&gt;&lt;Issue&gt;1&lt;/Issue&gt;&lt;Web_URL&gt;PM:11763878&lt;/Web_URL&gt;&lt;ZZ_JournalFull&gt;&lt;f name="System"&gt;Policy Anal.Brief.H.Ser.&lt;/f&gt;&lt;/ZZ_JournalFull&gt;&lt;ZZ_WorkformID&gt;1&lt;/ZZ_WorkformID&gt;&lt;/MDL&gt;&lt;/Cite&gt;&lt;/Refman&gt;</w:instrText>
      </w:r>
      <w:r w:rsidR="000C156B" w:rsidRPr="009A1A2E">
        <w:rPr>
          <w:rFonts w:eastAsiaTheme="minorHAnsi"/>
          <w:lang w:val="en-AU"/>
        </w:rPr>
        <w:fldChar w:fldCharType="separate"/>
      </w:r>
      <w:r w:rsidR="000C156B" w:rsidRPr="009A1A2E">
        <w:rPr>
          <w:rFonts w:eastAsiaTheme="minorHAnsi"/>
          <w:noProof/>
          <w:lang w:val="en-AU"/>
        </w:rPr>
        <w:t>(Mohr et al., 2000)</w:t>
      </w:r>
      <w:r w:rsidR="000C156B" w:rsidRPr="009A1A2E">
        <w:rPr>
          <w:rFonts w:eastAsiaTheme="minorHAnsi"/>
          <w:lang w:val="en-AU"/>
        </w:rPr>
        <w:fldChar w:fldCharType="end"/>
      </w:r>
      <w:r w:rsidR="000C156B" w:rsidRPr="009A1A2E">
        <w:rPr>
          <w:rFonts w:eastAsiaTheme="minorHAnsi"/>
          <w:lang w:val="en-AU"/>
        </w:rPr>
        <w:t>.</w:t>
      </w:r>
      <w:r w:rsidRPr="009A1A2E">
        <w:rPr>
          <w:rFonts w:eastAsiaTheme="minorHAnsi"/>
          <w:lang w:val="en-AU"/>
        </w:rPr>
        <w:t xml:space="preserve"> A more recent US study, on age-related hearing loss, estimated direct medical costs and lost productivity costs using national, state and city data for 2002 and projected costs for 2030. In 2002, lost productivity costs due to age-related hearing loss were approximately $1.4 billion at the national level; this was estimated to reach $9 billion by the year 2030. Medical costs associated with the first year of treatment for Americans with hearing loss aged 65 and older were estimated at $1,292 per person, or $8.2 billion nationally</w:t>
      </w:r>
      <w:r w:rsidR="000C156B" w:rsidRPr="009A1A2E">
        <w:rPr>
          <w:rFonts w:eastAsiaTheme="minorHAnsi"/>
          <w:lang w:val="en-AU"/>
        </w:rPr>
        <w:t xml:space="preserve"> </w:t>
      </w:r>
      <w:r w:rsidR="000C156B" w:rsidRPr="009A1A2E">
        <w:rPr>
          <w:rFonts w:eastAsiaTheme="minorHAnsi"/>
          <w:lang w:val="en-AU"/>
        </w:rPr>
        <w:fldChar w:fldCharType="begin"/>
      </w:r>
      <w:r w:rsidR="00D85D29">
        <w:rPr>
          <w:rFonts w:eastAsiaTheme="minorHAnsi"/>
          <w:lang w:val="en-AU"/>
        </w:rPr>
        <w:instrText xml:space="preserve"> ADDIN REFMGR.CITE &lt;Refman&gt;&lt;Cite&gt;&lt;Author&gt;Stucky&lt;/Author&gt;&lt;Year&gt;2010&lt;/Year&gt;&lt;RecNum&gt;635&lt;/RecNum&gt;&lt;IDText&gt;The economic effect of age-related hearing loss: national, state, and local estimates, 2002 and 2030&lt;/IDText&gt;&lt;MDL Ref_Type="Journal"&gt;&lt;Ref_Type&gt;Journal&lt;/Ref_Type&gt;&lt;Ref_ID&gt;635&lt;/Ref_ID&gt;&lt;Title_Primary&gt;The economic effect of age-related hearing loss: national, state, and local estimates, 2002 and 2030&lt;/Title_Primary&gt;&lt;Authors_Primary&gt;Stucky,S.R.&lt;/Authors_Primary&gt;&lt;Authors_Primary&gt;Wolf,K.E.&lt;/Authors_Primary&gt;&lt;Authors_Primary&gt;Kuo,T.&lt;/Authors_Primary&gt;&lt;Date_Primary&gt;2010/3&lt;/Date_Primary&gt;&lt;Keywords&gt;Aged&lt;/Keywords&gt;&lt;Keywords&gt;economics&lt;/Keywords&gt;&lt;Keywords&gt;epidemiology&lt;/Keywords&gt;&lt;Keywords&gt;Forecasting&lt;/Keywords&gt;&lt;Keywords&gt;Health Care Costs&lt;/Keywords&gt;&lt;Keywords&gt;Hearing&lt;/Keywords&gt;&lt;Keywords&gt;Hearing Loss&lt;/Keywords&gt;&lt;Keywords&gt;Humans&lt;/Keywords&gt;&lt;Keywords&gt;Models,Econometric&lt;/Keywords&gt;&lt;Keywords&gt;Prevalence&lt;/Keywords&gt;&lt;Keywords&gt;trends&lt;/Keywords&gt;&lt;Keywords&gt;United States&lt;/Keywords&gt;&lt;Reprint&gt;Not in File&lt;/Reprint&gt;&lt;Start_Page&gt;618&lt;/Start_Page&gt;&lt;End_Page&gt;619&lt;/End_Page&gt;&lt;Periodical&gt;J.Am.Geriatr.Soc.&lt;/Periodical&gt;&lt;Volume&gt;58&lt;/Volume&gt;&lt;Issue&gt;3&lt;/Issue&gt;&lt;Misc_3&gt;JGS2746 [pii];10.1111/j.1532-5415.2010.02746.x [doi]&lt;/Misc_3&gt;&lt;Web_URL&gt;PM:20398138&lt;/Web_URL&gt;&lt;ZZ_JournalFull&gt;&lt;f name="System"&gt;J.Am.Geriatr.Soc.&lt;/f&gt;&lt;/ZZ_JournalFull&gt;&lt;ZZ_WorkformID&gt;1&lt;/ZZ_WorkformID&gt;&lt;/MDL&gt;&lt;/Cite&gt;&lt;/Refman&gt;</w:instrText>
      </w:r>
      <w:r w:rsidR="000C156B" w:rsidRPr="009A1A2E">
        <w:rPr>
          <w:rFonts w:eastAsiaTheme="minorHAnsi"/>
          <w:lang w:val="en-AU"/>
        </w:rPr>
        <w:fldChar w:fldCharType="separate"/>
      </w:r>
      <w:r w:rsidR="000C156B" w:rsidRPr="009A1A2E">
        <w:rPr>
          <w:rFonts w:eastAsiaTheme="minorHAnsi"/>
          <w:noProof/>
          <w:lang w:val="en-AU"/>
        </w:rPr>
        <w:t>(Stucky et al., 2010)</w:t>
      </w:r>
      <w:r w:rsidR="000C156B" w:rsidRPr="009A1A2E">
        <w:rPr>
          <w:rFonts w:eastAsiaTheme="minorHAnsi"/>
          <w:lang w:val="en-AU"/>
        </w:rPr>
        <w:fldChar w:fldCharType="end"/>
      </w:r>
      <w:r w:rsidR="000C156B" w:rsidRPr="009A1A2E">
        <w:rPr>
          <w:rFonts w:eastAsiaTheme="minorHAnsi"/>
          <w:lang w:val="en-AU"/>
        </w:rPr>
        <w:t>.</w:t>
      </w:r>
    </w:p>
    <w:p w14:paraId="027C3424" w14:textId="77777777" w:rsidR="003A1E77" w:rsidRPr="009A1A2E" w:rsidRDefault="003A1E77" w:rsidP="005A5012">
      <w:pPr>
        <w:pStyle w:val="Textbody"/>
        <w:rPr>
          <w:rFonts w:eastAsiaTheme="minorHAnsi"/>
          <w:lang w:val="en-AU"/>
        </w:rPr>
      </w:pPr>
      <w:r w:rsidRPr="009A1A2E">
        <w:rPr>
          <w:rFonts w:eastAsiaTheme="minorHAnsi"/>
          <w:lang w:val="en-AU"/>
        </w:rPr>
        <w:t xml:space="preserve">The requested MBS fee amount represents a </w:t>
      </w:r>
      <w:r w:rsidR="00F07DD5" w:rsidRPr="009A1A2E">
        <w:rPr>
          <w:rFonts w:eastAsiaTheme="minorHAnsi"/>
          <w:lang w:val="en-AU"/>
        </w:rPr>
        <w:t>cost-effectiveness</w:t>
      </w:r>
      <w:r w:rsidRPr="009A1A2E">
        <w:rPr>
          <w:rFonts w:eastAsiaTheme="minorHAnsi"/>
          <w:lang w:val="en-AU"/>
        </w:rPr>
        <w:t xml:space="preserve"> fee for </w:t>
      </w:r>
      <w:r w:rsidR="0049371E" w:rsidRPr="009A1A2E">
        <w:rPr>
          <w:rFonts w:eastAsiaTheme="minorHAnsi"/>
          <w:lang w:val="en-AU"/>
        </w:rPr>
        <w:t>the Vibrant Soundbridge (VSB, MED-EL Australasia)</w:t>
      </w:r>
      <w:r w:rsidR="00F07DD5" w:rsidRPr="009A1A2E">
        <w:rPr>
          <w:rFonts w:eastAsiaTheme="minorHAnsi"/>
          <w:lang w:val="en-AU"/>
        </w:rPr>
        <w:t xml:space="preserve"> implantation</w:t>
      </w:r>
      <w:r w:rsidRPr="009A1A2E">
        <w:rPr>
          <w:rFonts w:eastAsiaTheme="minorHAnsi"/>
          <w:lang w:val="en-AU"/>
        </w:rPr>
        <w:t xml:space="preserve"> compared with </w:t>
      </w:r>
      <w:r w:rsidR="0049371E" w:rsidRPr="009A1A2E">
        <w:rPr>
          <w:rFonts w:eastAsiaTheme="minorHAnsi"/>
          <w:lang w:val="en-AU"/>
        </w:rPr>
        <w:t>the Ototronix MAXUM</w:t>
      </w:r>
      <w:r w:rsidR="004B77CD" w:rsidRPr="009A1A2E">
        <w:rPr>
          <w:rFonts w:eastAsiaTheme="minorHAnsi"/>
          <w:lang w:val="en-AU"/>
        </w:rPr>
        <w:t>/</w:t>
      </w:r>
      <w:r w:rsidR="00AD4A72" w:rsidRPr="009A1A2E">
        <w:rPr>
          <w:rFonts w:eastAsiaTheme="minorHAnsi"/>
          <w:lang w:val="en-AU"/>
        </w:rPr>
        <w:t>SOUNDTEC</w:t>
      </w:r>
      <w:r w:rsidR="0049371E" w:rsidRPr="009A1A2E">
        <w:rPr>
          <w:rFonts w:eastAsiaTheme="minorHAnsi"/>
          <w:lang w:val="en-AU"/>
        </w:rPr>
        <w:t xml:space="preserve"> and </w:t>
      </w:r>
      <w:r w:rsidR="005A7BEB" w:rsidRPr="009A1A2E">
        <w:rPr>
          <w:rFonts w:eastAsiaTheme="minorHAnsi"/>
          <w:lang w:val="en-AU"/>
        </w:rPr>
        <w:t xml:space="preserve">both </w:t>
      </w:r>
      <w:r w:rsidR="0049371E" w:rsidRPr="009A1A2E">
        <w:rPr>
          <w:rFonts w:eastAsiaTheme="minorHAnsi"/>
          <w:lang w:val="en-AU"/>
        </w:rPr>
        <w:t xml:space="preserve">compared </w:t>
      </w:r>
      <w:r w:rsidR="005A7BEB" w:rsidRPr="009A1A2E">
        <w:rPr>
          <w:rFonts w:eastAsiaTheme="minorHAnsi"/>
          <w:lang w:val="en-AU"/>
        </w:rPr>
        <w:t>to No T</w:t>
      </w:r>
      <w:r w:rsidR="00F07DD5" w:rsidRPr="009A1A2E">
        <w:rPr>
          <w:rFonts w:eastAsiaTheme="minorHAnsi"/>
          <w:lang w:val="en-AU"/>
        </w:rPr>
        <w:t>reatment</w:t>
      </w:r>
      <w:r w:rsidRPr="009A1A2E">
        <w:rPr>
          <w:rFonts w:eastAsiaTheme="minorHAnsi"/>
          <w:lang w:val="en-AU"/>
        </w:rPr>
        <w:t xml:space="preserve">. This reflects the clinical evidence demonstrating that </w:t>
      </w:r>
      <w:r w:rsidR="00F07DD5" w:rsidRPr="009A1A2E">
        <w:rPr>
          <w:rFonts w:eastAsiaTheme="minorHAnsi"/>
          <w:lang w:val="en-AU"/>
        </w:rPr>
        <w:t>Middle Ear implantation</w:t>
      </w:r>
      <w:r w:rsidRPr="009A1A2E">
        <w:rPr>
          <w:rFonts w:eastAsiaTheme="minorHAnsi"/>
          <w:lang w:val="en-AU"/>
        </w:rPr>
        <w:t xml:space="preserve"> </w:t>
      </w:r>
      <w:r w:rsidR="00F07DD5" w:rsidRPr="009A1A2E">
        <w:rPr>
          <w:rFonts w:eastAsiaTheme="minorHAnsi"/>
          <w:lang w:val="en-AU"/>
        </w:rPr>
        <w:t xml:space="preserve">is superior in terms of clinical effectiveness </w:t>
      </w:r>
      <w:r w:rsidR="00AD366D" w:rsidRPr="009A1A2E">
        <w:rPr>
          <w:rFonts w:eastAsiaTheme="minorHAnsi"/>
          <w:lang w:val="en-AU"/>
        </w:rPr>
        <w:t>and</w:t>
      </w:r>
      <w:r w:rsidRPr="009A1A2E">
        <w:rPr>
          <w:rFonts w:eastAsiaTheme="minorHAnsi"/>
          <w:lang w:val="en-AU"/>
        </w:rPr>
        <w:t xml:space="preserve"> </w:t>
      </w:r>
      <w:r w:rsidR="00F07DD5" w:rsidRPr="009A1A2E">
        <w:rPr>
          <w:rFonts w:eastAsiaTheme="minorHAnsi"/>
          <w:lang w:val="en-AU"/>
        </w:rPr>
        <w:t xml:space="preserve">the treatment is as </w:t>
      </w:r>
      <w:r w:rsidRPr="009A1A2E">
        <w:rPr>
          <w:rFonts w:eastAsiaTheme="minorHAnsi"/>
          <w:lang w:val="en-AU"/>
        </w:rPr>
        <w:t xml:space="preserve">safe as </w:t>
      </w:r>
      <w:r w:rsidR="00F07DD5" w:rsidRPr="009A1A2E">
        <w:rPr>
          <w:rFonts w:eastAsiaTheme="minorHAnsi"/>
          <w:lang w:val="en-AU"/>
        </w:rPr>
        <w:t xml:space="preserve">comparable </w:t>
      </w:r>
      <w:r w:rsidR="00F15265" w:rsidRPr="009A1A2E">
        <w:rPr>
          <w:rFonts w:eastAsiaTheme="minorHAnsi"/>
          <w:lang w:val="en-AU"/>
        </w:rPr>
        <w:t>s</w:t>
      </w:r>
      <w:r w:rsidR="00F07DD5" w:rsidRPr="009A1A2E">
        <w:rPr>
          <w:rFonts w:eastAsiaTheme="minorHAnsi"/>
          <w:lang w:val="en-AU"/>
        </w:rPr>
        <w:t>urgical treatment options</w:t>
      </w:r>
      <w:r w:rsidRPr="009A1A2E">
        <w:rPr>
          <w:rFonts w:eastAsiaTheme="minorHAnsi"/>
          <w:lang w:val="en-AU"/>
        </w:rPr>
        <w:t xml:space="preserve"> (Section B). </w:t>
      </w:r>
    </w:p>
    <w:p w14:paraId="71E8FFD9" w14:textId="77777777" w:rsidR="00516B52" w:rsidRPr="009A1A2E" w:rsidRDefault="00516B52" w:rsidP="005A5012">
      <w:pPr>
        <w:pStyle w:val="Textbody"/>
        <w:rPr>
          <w:rFonts w:eastAsiaTheme="minorHAnsi"/>
          <w:lang w:val="en-AU"/>
        </w:rPr>
      </w:pPr>
    </w:p>
    <w:p w14:paraId="12AC1F93" w14:textId="77777777" w:rsidR="008B4451" w:rsidRPr="00B55968" w:rsidRDefault="00B55968" w:rsidP="00B55968">
      <w:pPr>
        <w:pStyle w:val="Heading20"/>
        <w:rPr>
          <w:rFonts w:eastAsiaTheme="minorHAnsi"/>
        </w:rPr>
      </w:pPr>
      <w:bookmarkStart w:id="499" w:name="_Toc431917585"/>
      <w:r w:rsidRPr="00B55968">
        <w:rPr>
          <w:rFonts w:eastAsiaTheme="minorHAnsi"/>
        </w:rPr>
        <w:t>D.1</w:t>
      </w:r>
      <w:r w:rsidRPr="00B55968">
        <w:rPr>
          <w:rFonts w:eastAsiaTheme="minorHAnsi"/>
        </w:rPr>
        <w:tab/>
      </w:r>
      <w:r w:rsidR="008B4451" w:rsidRPr="00B55968">
        <w:rPr>
          <w:rFonts w:eastAsiaTheme="minorHAnsi"/>
        </w:rPr>
        <w:t>Decision model</w:t>
      </w:r>
      <w:bookmarkEnd w:id="499"/>
    </w:p>
    <w:p w14:paraId="7043F8A1" w14:textId="77777777" w:rsidR="00C80001" w:rsidRPr="00932A48" w:rsidRDefault="00C80001" w:rsidP="00C80001">
      <w:pPr>
        <w:spacing w:line="360" w:lineRule="auto"/>
        <w:jc w:val="both"/>
        <w:rPr>
          <w:rFonts w:cs="Arial"/>
          <w:lang w:val="en-GB"/>
        </w:rPr>
      </w:pPr>
      <w:bookmarkStart w:id="500" w:name="_Ref400530909"/>
      <w:bookmarkStart w:id="501" w:name="_Toc400395615"/>
      <w:bookmarkStart w:id="502" w:name="_Ref400530901"/>
      <w:r w:rsidRPr="00932A48">
        <w:rPr>
          <w:rFonts w:cs="Arial"/>
          <w:lang w:val="en-GB"/>
        </w:rPr>
        <w:t>The systematic review of the literature presented in Section B has shown that partially implantable MEI for SNHL+medical condition (Vibrant Soundbridge) are, when compared to no treatment, superior in terms of effectiveness and non-inferior in terms of safety outcomes. Using the grid provided</w:t>
      </w:r>
      <w:r w:rsidR="00220336">
        <w:rPr>
          <w:rFonts w:cs="Arial"/>
          <w:lang w:val="en-GB"/>
        </w:rPr>
        <w:t xml:space="preserve"> in</w:t>
      </w:r>
      <w:r w:rsidRPr="00932A48">
        <w:rPr>
          <w:rFonts w:cs="Arial"/>
          <w:lang w:val="en-GB"/>
        </w:rPr>
        <w:t xml:space="preserve"> </w:t>
      </w:r>
      <w:r>
        <w:rPr>
          <w:rFonts w:cs="Arial"/>
          <w:lang w:val="en-GB"/>
        </w:rPr>
        <w:fldChar w:fldCharType="begin"/>
      </w:r>
      <w:r>
        <w:rPr>
          <w:rFonts w:cs="Arial"/>
          <w:lang w:val="en-GB"/>
        </w:rPr>
        <w:instrText xml:space="preserve"> REF _Ref430955012 \h </w:instrText>
      </w:r>
      <w:r>
        <w:rPr>
          <w:rFonts w:cs="Arial"/>
          <w:lang w:val="en-GB"/>
        </w:rPr>
      </w:r>
      <w:r>
        <w:rPr>
          <w:rFonts w:cs="Arial"/>
          <w:lang w:val="en-GB"/>
        </w:rPr>
        <w:fldChar w:fldCharType="separate"/>
      </w:r>
      <w:r w:rsidR="00016592" w:rsidRPr="009A1A2E">
        <w:rPr>
          <w:rFonts w:cs="Arial"/>
        </w:rPr>
        <w:t xml:space="preserve">Table </w:t>
      </w:r>
      <w:r w:rsidR="00016592">
        <w:rPr>
          <w:rFonts w:cs="Arial"/>
          <w:noProof/>
        </w:rPr>
        <w:t>29</w:t>
      </w:r>
      <w:r>
        <w:rPr>
          <w:rFonts w:cs="Arial"/>
          <w:lang w:val="en-GB"/>
        </w:rPr>
        <w:fldChar w:fldCharType="end"/>
      </w:r>
      <w:r>
        <w:rPr>
          <w:rFonts w:cs="Arial"/>
          <w:lang w:val="en-GB"/>
        </w:rPr>
        <w:t xml:space="preserve"> </w:t>
      </w:r>
      <w:r w:rsidRPr="00932A48">
        <w:rPr>
          <w:rFonts w:cs="Arial"/>
          <w:lang w:val="en-GB"/>
        </w:rPr>
        <w:t>the appropriate economic evaluation is a cost-effectiveness or cost-utility analysis. Considering that the underlying data come from non-randomised studies, a modelling approach was taken.</w:t>
      </w:r>
    </w:p>
    <w:p w14:paraId="7AA63B76" w14:textId="77777777" w:rsidR="00C80001" w:rsidRPr="009A1A2E" w:rsidRDefault="00C80001" w:rsidP="00C80001">
      <w:pPr>
        <w:pStyle w:val="Caption"/>
        <w:rPr>
          <w:rFonts w:ascii="Arial" w:hAnsi="Arial" w:cs="Arial"/>
          <w:lang w:val="en-AU"/>
        </w:rPr>
      </w:pPr>
      <w:bookmarkStart w:id="503" w:name="_Ref430955012"/>
      <w:bookmarkStart w:id="504" w:name="_Toc431917489"/>
      <w:r w:rsidRPr="009A1A2E">
        <w:rPr>
          <w:rFonts w:ascii="Arial" w:hAnsi="Arial" w:cs="Arial"/>
          <w:lang w:val="en-AU"/>
        </w:rPr>
        <w:lastRenderedPageBreak/>
        <w:t xml:space="preserve">Table </w:t>
      </w:r>
      <w:r w:rsidRPr="009A1A2E">
        <w:rPr>
          <w:rFonts w:ascii="Arial" w:hAnsi="Arial" w:cs="Arial"/>
          <w:lang w:val="en-AU"/>
        </w:rPr>
        <w:fldChar w:fldCharType="begin"/>
      </w:r>
      <w:r w:rsidRPr="009A1A2E">
        <w:rPr>
          <w:rFonts w:ascii="Arial" w:hAnsi="Arial" w:cs="Arial"/>
          <w:lang w:val="en-AU"/>
        </w:rPr>
        <w:instrText xml:space="preserve"> SEQ Table \* ARABIC </w:instrText>
      </w:r>
      <w:r w:rsidRPr="009A1A2E">
        <w:rPr>
          <w:rFonts w:ascii="Arial" w:hAnsi="Arial" w:cs="Arial"/>
          <w:lang w:val="en-AU"/>
        </w:rPr>
        <w:fldChar w:fldCharType="separate"/>
      </w:r>
      <w:r w:rsidR="00016592">
        <w:rPr>
          <w:rFonts w:ascii="Arial" w:hAnsi="Arial" w:cs="Arial"/>
          <w:noProof/>
          <w:lang w:val="en-AU"/>
        </w:rPr>
        <w:t>29</w:t>
      </w:r>
      <w:r w:rsidRPr="009A1A2E">
        <w:rPr>
          <w:rFonts w:ascii="Arial" w:hAnsi="Arial" w:cs="Arial"/>
          <w:lang w:val="en-AU"/>
        </w:rPr>
        <w:fldChar w:fldCharType="end"/>
      </w:r>
      <w:bookmarkEnd w:id="503"/>
      <w:r w:rsidRPr="009A1A2E">
        <w:rPr>
          <w:rFonts w:ascii="Arial" w:hAnsi="Arial" w:cs="Arial"/>
          <w:lang w:val="en-AU"/>
        </w:rPr>
        <w:t xml:space="preserve"> - Classification of an intervention for determination of economic evaluation to be presented</w:t>
      </w:r>
      <w:bookmarkEnd w:id="50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Description w:val="Classification of an intervention for determination of economic evaluation to be presented"/>
      </w:tblPr>
      <w:tblGrid>
        <w:gridCol w:w="631"/>
        <w:gridCol w:w="1051"/>
        <w:gridCol w:w="1480"/>
        <w:gridCol w:w="985"/>
        <w:gridCol w:w="2208"/>
        <w:gridCol w:w="1449"/>
        <w:gridCol w:w="985"/>
      </w:tblGrid>
      <w:tr w:rsidR="00C80001" w:rsidRPr="009A1A2E" w14:paraId="17A4166F" w14:textId="77777777" w:rsidTr="004F015F">
        <w:trPr>
          <w:jc w:val="center"/>
        </w:trPr>
        <w:tc>
          <w:tcPr>
            <w:tcW w:w="1682" w:type="dxa"/>
            <w:gridSpan w:val="2"/>
            <w:vMerge w:val="restart"/>
          </w:tcPr>
          <w:p w14:paraId="56440B30" w14:textId="77777777" w:rsidR="00C80001" w:rsidRPr="009A1A2E" w:rsidRDefault="00C80001" w:rsidP="00C80001">
            <w:pPr>
              <w:keepNext/>
              <w:tabs>
                <w:tab w:val="left" w:pos="2835"/>
              </w:tabs>
              <w:rPr>
                <w:rFonts w:eastAsiaTheme="minorEastAsia" w:cs="Arial"/>
                <w:sz w:val="18"/>
                <w:szCs w:val="18"/>
                <w:lang w:eastAsia="ja-JP"/>
              </w:rPr>
            </w:pPr>
          </w:p>
        </w:tc>
        <w:tc>
          <w:tcPr>
            <w:tcW w:w="7107" w:type="dxa"/>
            <w:gridSpan w:val="5"/>
          </w:tcPr>
          <w:p w14:paraId="0B6E0AE1" w14:textId="77777777" w:rsidR="00C80001" w:rsidRPr="009A1A2E" w:rsidRDefault="00C80001" w:rsidP="00C80001">
            <w:pPr>
              <w:keepNext/>
              <w:tabs>
                <w:tab w:val="left" w:pos="2835"/>
              </w:tabs>
              <w:jc w:val="center"/>
              <w:rPr>
                <w:rFonts w:eastAsiaTheme="minorEastAsia" w:cs="Arial"/>
                <w:b/>
                <w:sz w:val="18"/>
                <w:szCs w:val="18"/>
                <w:lang w:eastAsia="ja-JP"/>
              </w:rPr>
            </w:pPr>
            <w:r w:rsidRPr="009A1A2E">
              <w:rPr>
                <w:rFonts w:eastAsiaTheme="minorEastAsia" w:cs="Arial"/>
                <w:b/>
                <w:sz w:val="18"/>
                <w:szCs w:val="18"/>
                <w:lang w:eastAsia="ja-JP"/>
              </w:rPr>
              <w:t>Comparative effectiveness versus comparator</w:t>
            </w:r>
          </w:p>
        </w:tc>
      </w:tr>
      <w:tr w:rsidR="00C80001" w:rsidRPr="009A1A2E" w14:paraId="75779A48" w14:textId="77777777" w:rsidTr="004F015F">
        <w:trPr>
          <w:jc w:val="center"/>
        </w:trPr>
        <w:tc>
          <w:tcPr>
            <w:tcW w:w="1682" w:type="dxa"/>
            <w:gridSpan w:val="2"/>
            <w:vMerge/>
          </w:tcPr>
          <w:p w14:paraId="0CFD58C0" w14:textId="77777777" w:rsidR="00C80001" w:rsidRPr="009A1A2E" w:rsidRDefault="00C80001" w:rsidP="00C80001">
            <w:pPr>
              <w:keepNext/>
              <w:tabs>
                <w:tab w:val="left" w:pos="2835"/>
              </w:tabs>
              <w:rPr>
                <w:rFonts w:eastAsiaTheme="minorEastAsia" w:cs="Arial"/>
                <w:sz w:val="18"/>
                <w:szCs w:val="18"/>
                <w:lang w:eastAsia="ja-JP"/>
              </w:rPr>
            </w:pPr>
          </w:p>
        </w:tc>
        <w:tc>
          <w:tcPr>
            <w:tcW w:w="2465" w:type="dxa"/>
            <w:gridSpan w:val="2"/>
            <w:vAlign w:val="center"/>
          </w:tcPr>
          <w:p w14:paraId="6E42689B" w14:textId="77777777" w:rsidR="00C80001" w:rsidRPr="009A1A2E" w:rsidRDefault="00C80001" w:rsidP="00C80001">
            <w:pPr>
              <w:keepNext/>
              <w:tabs>
                <w:tab w:val="left" w:pos="2835"/>
              </w:tabs>
              <w:jc w:val="center"/>
              <w:rPr>
                <w:rFonts w:eastAsiaTheme="minorEastAsia" w:cs="Arial"/>
                <w:sz w:val="18"/>
                <w:szCs w:val="18"/>
                <w:u w:val="single"/>
                <w:lang w:eastAsia="ja-JP"/>
              </w:rPr>
            </w:pPr>
            <w:r w:rsidRPr="009A1A2E">
              <w:rPr>
                <w:rFonts w:eastAsiaTheme="minorEastAsia" w:cs="Arial"/>
                <w:sz w:val="18"/>
                <w:szCs w:val="18"/>
                <w:u w:val="single"/>
                <w:lang w:eastAsia="ja-JP"/>
              </w:rPr>
              <w:t>Superior</w:t>
            </w:r>
          </w:p>
        </w:tc>
        <w:tc>
          <w:tcPr>
            <w:tcW w:w="2208" w:type="dxa"/>
            <w:vAlign w:val="center"/>
          </w:tcPr>
          <w:p w14:paraId="04B3FE9E" w14:textId="77777777" w:rsidR="00C80001" w:rsidRPr="009A1A2E" w:rsidRDefault="00C80001" w:rsidP="00C80001">
            <w:pPr>
              <w:keepNext/>
              <w:tabs>
                <w:tab w:val="left" w:pos="2835"/>
              </w:tabs>
              <w:jc w:val="center"/>
              <w:rPr>
                <w:rFonts w:eastAsiaTheme="minorEastAsia" w:cs="Arial"/>
                <w:sz w:val="18"/>
                <w:szCs w:val="18"/>
                <w:u w:val="single"/>
                <w:lang w:eastAsia="ja-JP"/>
              </w:rPr>
            </w:pPr>
            <w:r w:rsidRPr="009A1A2E">
              <w:rPr>
                <w:rFonts w:eastAsiaTheme="minorEastAsia" w:cs="Arial"/>
                <w:sz w:val="18"/>
                <w:szCs w:val="18"/>
                <w:u w:val="single"/>
                <w:lang w:eastAsia="ja-JP"/>
              </w:rPr>
              <w:t>Non-inferior</w:t>
            </w:r>
          </w:p>
        </w:tc>
        <w:tc>
          <w:tcPr>
            <w:tcW w:w="2434" w:type="dxa"/>
            <w:gridSpan w:val="2"/>
            <w:vAlign w:val="center"/>
          </w:tcPr>
          <w:p w14:paraId="083BB411" w14:textId="77777777" w:rsidR="00C80001" w:rsidRPr="009A1A2E" w:rsidRDefault="00C80001" w:rsidP="00C80001">
            <w:pPr>
              <w:keepNext/>
              <w:tabs>
                <w:tab w:val="left" w:pos="2835"/>
              </w:tabs>
              <w:jc w:val="center"/>
              <w:rPr>
                <w:rFonts w:eastAsiaTheme="minorEastAsia" w:cs="Arial"/>
                <w:sz w:val="18"/>
                <w:szCs w:val="18"/>
                <w:u w:val="single"/>
                <w:lang w:eastAsia="ja-JP"/>
              </w:rPr>
            </w:pPr>
            <w:r w:rsidRPr="009A1A2E">
              <w:rPr>
                <w:rFonts w:eastAsiaTheme="minorEastAsia" w:cs="Arial"/>
                <w:sz w:val="18"/>
                <w:szCs w:val="18"/>
                <w:u w:val="single"/>
                <w:lang w:eastAsia="ja-JP"/>
              </w:rPr>
              <w:t>Inferior</w:t>
            </w:r>
          </w:p>
        </w:tc>
      </w:tr>
      <w:tr w:rsidR="00C80001" w:rsidRPr="009A1A2E" w14:paraId="1C7FF6A0" w14:textId="77777777" w:rsidTr="004F015F">
        <w:trPr>
          <w:cantSplit/>
          <w:trHeight w:val="20"/>
          <w:jc w:val="center"/>
        </w:trPr>
        <w:tc>
          <w:tcPr>
            <w:tcW w:w="631" w:type="dxa"/>
            <w:vMerge w:val="restart"/>
            <w:textDirection w:val="btLr"/>
            <w:vAlign w:val="center"/>
          </w:tcPr>
          <w:p w14:paraId="0866BF82" w14:textId="77777777" w:rsidR="00C80001" w:rsidRPr="009A1A2E" w:rsidRDefault="00C80001" w:rsidP="00C80001">
            <w:pPr>
              <w:keepNext/>
              <w:tabs>
                <w:tab w:val="left" w:pos="2835"/>
              </w:tabs>
              <w:ind w:left="113" w:right="113"/>
              <w:jc w:val="center"/>
              <w:rPr>
                <w:rFonts w:eastAsiaTheme="minorEastAsia" w:cs="Arial"/>
                <w:b/>
                <w:sz w:val="18"/>
                <w:szCs w:val="18"/>
                <w:lang w:eastAsia="ja-JP"/>
              </w:rPr>
            </w:pPr>
            <w:r w:rsidRPr="009A1A2E">
              <w:rPr>
                <w:rFonts w:eastAsiaTheme="minorEastAsia" w:cs="Arial"/>
                <w:b/>
                <w:sz w:val="18"/>
                <w:szCs w:val="18"/>
                <w:lang w:eastAsia="ja-JP"/>
              </w:rPr>
              <w:t>Comparative safety versus comparator</w:t>
            </w:r>
          </w:p>
        </w:tc>
        <w:tc>
          <w:tcPr>
            <w:tcW w:w="1051" w:type="dxa"/>
            <w:vMerge w:val="restart"/>
            <w:vAlign w:val="center"/>
          </w:tcPr>
          <w:p w14:paraId="68CDA1BC" w14:textId="77777777" w:rsidR="00C80001" w:rsidRPr="009A1A2E" w:rsidRDefault="00C80001" w:rsidP="00C80001">
            <w:pPr>
              <w:keepNext/>
              <w:tabs>
                <w:tab w:val="left" w:pos="2835"/>
              </w:tabs>
              <w:rPr>
                <w:rFonts w:eastAsiaTheme="minorEastAsia" w:cs="Arial"/>
                <w:sz w:val="18"/>
                <w:szCs w:val="18"/>
                <w:u w:val="single"/>
                <w:lang w:eastAsia="ja-JP"/>
              </w:rPr>
            </w:pPr>
            <w:r w:rsidRPr="009A1A2E">
              <w:rPr>
                <w:rFonts w:eastAsiaTheme="minorEastAsia" w:cs="Arial"/>
                <w:sz w:val="18"/>
                <w:szCs w:val="18"/>
                <w:u w:val="single"/>
                <w:lang w:eastAsia="ja-JP"/>
              </w:rPr>
              <w:t>Superior</w:t>
            </w:r>
          </w:p>
        </w:tc>
        <w:tc>
          <w:tcPr>
            <w:tcW w:w="2465" w:type="dxa"/>
            <w:gridSpan w:val="2"/>
            <w:vMerge w:val="restart"/>
            <w:shd w:val="clear" w:color="auto" w:fill="FFFFFF" w:themeFill="background1"/>
            <w:vAlign w:val="center"/>
          </w:tcPr>
          <w:p w14:paraId="33C29C63" w14:textId="77777777" w:rsidR="00C80001" w:rsidRPr="009A1A2E" w:rsidRDefault="00C80001" w:rsidP="00C80001">
            <w:pPr>
              <w:keepNext/>
              <w:tabs>
                <w:tab w:val="left" w:pos="2835"/>
              </w:tabs>
              <w:jc w:val="center"/>
              <w:rPr>
                <w:rFonts w:eastAsiaTheme="minorEastAsia" w:cs="Arial"/>
                <w:sz w:val="18"/>
                <w:szCs w:val="18"/>
                <w:lang w:eastAsia="ja-JP"/>
              </w:rPr>
            </w:pPr>
            <w:r w:rsidRPr="009A1A2E">
              <w:rPr>
                <w:rFonts w:eastAsiaTheme="minorEastAsia" w:cs="Arial"/>
                <w:sz w:val="18"/>
                <w:szCs w:val="18"/>
                <w:lang w:eastAsia="ja-JP"/>
              </w:rPr>
              <w:t>CEA/CUA</w:t>
            </w:r>
          </w:p>
        </w:tc>
        <w:tc>
          <w:tcPr>
            <w:tcW w:w="2208" w:type="dxa"/>
            <w:vMerge w:val="restart"/>
            <w:vAlign w:val="center"/>
          </w:tcPr>
          <w:p w14:paraId="4BF65BCE" w14:textId="77777777" w:rsidR="00C80001" w:rsidRPr="009A1A2E" w:rsidRDefault="00C80001" w:rsidP="00C80001">
            <w:pPr>
              <w:keepNext/>
              <w:tabs>
                <w:tab w:val="left" w:pos="2835"/>
              </w:tabs>
              <w:jc w:val="center"/>
              <w:rPr>
                <w:rFonts w:eastAsiaTheme="minorEastAsia" w:cs="Arial"/>
                <w:sz w:val="18"/>
                <w:szCs w:val="18"/>
                <w:lang w:eastAsia="ja-JP"/>
              </w:rPr>
            </w:pPr>
            <w:r w:rsidRPr="009A1A2E">
              <w:rPr>
                <w:rFonts w:eastAsiaTheme="minorEastAsia" w:cs="Arial"/>
                <w:sz w:val="18"/>
                <w:szCs w:val="18"/>
                <w:lang w:eastAsia="ja-JP"/>
              </w:rPr>
              <w:t>CEA/CUA</w:t>
            </w:r>
          </w:p>
        </w:tc>
        <w:tc>
          <w:tcPr>
            <w:tcW w:w="1449" w:type="dxa"/>
          </w:tcPr>
          <w:p w14:paraId="452CBF82" w14:textId="77777777" w:rsidR="00C80001" w:rsidRPr="009A1A2E" w:rsidRDefault="00C80001" w:rsidP="00C80001">
            <w:pPr>
              <w:keepNext/>
              <w:tabs>
                <w:tab w:val="left" w:pos="2835"/>
              </w:tabs>
              <w:rPr>
                <w:rFonts w:eastAsiaTheme="minorEastAsia" w:cs="Arial"/>
                <w:sz w:val="18"/>
                <w:szCs w:val="18"/>
                <w:u w:val="single"/>
                <w:lang w:eastAsia="ja-JP"/>
              </w:rPr>
            </w:pPr>
            <w:r w:rsidRPr="009A1A2E">
              <w:rPr>
                <w:rFonts w:eastAsiaTheme="minorEastAsia" w:cs="Arial"/>
                <w:sz w:val="18"/>
                <w:szCs w:val="18"/>
                <w:u w:val="single"/>
                <w:lang w:eastAsia="ja-JP"/>
              </w:rPr>
              <w:t>Net clinical benefit</w:t>
            </w:r>
          </w:p>
        </w:tc>
        <w:tc>
          <w:tcPr>
            <w:tcW w:w="985" w:type="dxa"/>
            <w:vAlign w:val="center"/>
          </w:tcPr>
          <w:p w14:paraId="60BBB79D" w14:textId="77777777" w:rsidR="00C80001" w:rsidRPr="009A1A2E" w:rsidRDefault="00C80001" w:rsidP="00C80001">
            <w:pPr>
              <w:keepNext/>
              <w:tabs>
                <w:tab w:val="left" w:pos="2835"/>
              </w:tabs>
              <w:jc w:val="center"/>
              <w:rPr>
                <w:rFonts w:eastAsiaTheme="minorEastAsia" w:cs="Arial"/>
                <w:sz w:val="18"/>
                <w:szCs w:val="18"/>
                <w:lang w:eastAsia="ja-JP"/>
              </w:rPr>
            </w:pPr>
            <w:r w:rsidRPr="009A1A2E">
              <w:rPr>
                <w:rFonts w:eastAsiaTheme="minorEastAsia" w:cs="Arial"/>
                <w:sz w:val="18"/>
                <w:szCs w:val="18"/>
                <w:lang w:eastAsia="ja-JP"/>
              </w:rPr>
              <w:t>CEA/CUA</w:t>
            </w:r>
          </w:p>
        </w:tc>
      </w:tr>
      <w:tr w:rsidR="00C80001" w:rsidRPr="009A1A2E" w14:paraId="2F653688" w14:textId="77777777" w:rsidTr="004F015F">
        <w:trPr>
          <w:cantSplit/>
          <w:trHeight w:val="20"/>
          <w:jc w:val="center"/>
        </w:trPr>
        <w:tc>
          <w:tcPr>
            <w:tcW w:w="631" w:type="dxa"/>
            <w:vMerge/>
          </w:tcPr>
          <w:p w14:paraId="742523E0" w14:textId="77777777" w:rsidR="00C80001" w:rsidRPr="009A1A2E" w:rsidRDefault="00C80001" w:rsidP="00C80001">
            <w:pPr>
              <w:tabs>
                <w:tab w:val="left" w:pos="2835"/>
              </w:tabs>
              <w:rPr>
                <w:rFonts w:eastAsiaTheme="minorEastAsia" w:cs="Arial"/>
                <w:sz w:val="18"/>
                <w:szCs w:val="18"/>
                <w:lang w:eastAsia="ja-JP"/>
              </w:rPr>
            </w:pPr>
          </w:p>
        </w:tc>
        <w:tc>
          <w:tcPr>
            <w:tcW w:w="1051" w:type="dxa"/>
            <w:vMerge/>
            <w:vAlign w:val="center"/>
          </w:tcPr>
          <w:p w14:paraId="4FDE3AB7" w14:textId="77777777" w:rsidR="00C80001" w:rsidRPr="009A1A2E" w:rsidRDefault="00C80001" w:rsidP="00C80001">
            <w:pPr>
              <w:tabs>
                <w:tab w:val="left" w:pos="2835"/>
              </w:tabs>
              <w:rPr>
                <w:rFonts w:eastAsiaTheme="minorEastAsia" w:cs="Arial"/>
                <w:sz w:val="18"/>
                <w:szCs w:val="18"/>
                <w:u w:val="single"/>
                <w:lang w:eastAsia="ja-JP"/>
              </w:rPr>
            </w:pPr>
          </w:p>
        </w:tc>
        <w:tc>
          <w:tcPr>
            <w:tcW w:w="2465" w:type="dxa"/>
            <w:gridSpan w:val="2"/>
            <w:vMerge/>
            <w:shd w:val="clear" w:color="auto" w:fill="FFFFFF" w:themeFill="background1"/>
            <w:vAlign w:val="center"/>
          </w:tcPr>
          <w:p w14:paraId="1B7F5F84" w14:textId="77777777" w:rsidR="00C80001" w:rsidRPr="009A1A2E" w:rsidRDefault="00C80001" w:rsidP="00C80001">
            <w:pPr>
              <w:tabs>
                <w:tab w:val="left" w:pos="2835"/>
              </w:tabs>
              <w:jc w:val="center"/>
              <w:rPr>
                <w:rFonts w:eastAsiaTheme="minorEastAsia" w:cs="Arial"/>
                <w:sz w:val="18"/>
                <w:szCs w:val="18"/>
                <w:lang w:eastAsia="ja-JP"/>
              </w:rPr>
            </w:pPr>
          </w:p>
        </w:tc>
        <w:tc>
          <w:tcPr>
            <w:tcW w:w="2208" w:type="dxa"/>
            <w:vMerge/>
            <w:vAlign w:val="center"/>
          </w:tcPr>
          <w:p w14:paraId="0080070D" w14:textId="77777777" w:rsidR="00C80001" w:rsidRPr="009A1A2E" w:rsidRDefault="00C80001" w:rsidP="00C80001">
            <w:pPr>
              <w:tabs>
                <w:tab w:val="left" w:pos="2835"/>
              </w:tabs>
              <w:jc w:val="center"/>
              <w:rPr>
                <w:rFonts w:eastAsiaTheme="minorEastAsia" w:cs="Arial"/>
                <w:sz w:val="18"/>
                <w:szCs w:val="18"/>
                <w:lang w:eastAsia="ja-JP"/>
              </w:rPr>
            </w:pPr>
          </w:p>
        </w:tc>
        <w:tc>
          <w:tcPr>
            <w:tcW w:w="1449" w:type="dxa"/>
          </w:tcPr>
          <w:p w14:paraId="4A9B24C3" w14:textId="77777777" w:rsidR="00C80001" w:rsidRPr="009A1A2E" w:rsidRDefault="00C80001" w:rsidP="00C80001">
            <w:pPr>
              <w:tabs>
                <w:tab w:val="left" w:pos="2835"/>
              </w:tabs>
              <w:rPr>
                <w:rFonts w:eastAsiaTheme="minorEastAsia" w:cs="Arial"/>
                <w:sz w:val="18"/>
                <w:szCs w:val="18"/>
                <w:u w:val="single"/>
                <w:lang w:eastAsia="ja-JP"/>
              </w:rPr>
            </w:pPr>
            <w:r w:rsidRPr="009A1A2E">
              <w:rPr>
                <w:rFonts w:eastAsiaTheme="minorEastAsia" w:cs="Arial"/>
                <w:sz w:val="18"/>
                <w:szCs w:val="18"/>
                <w:u w:val="single"/>
                <w:lang w:eastAsia="ja-JP"/>
              </w:rPr>
              <w:t>Neutral benefit</w:t>
            </w:r>
          </w:p>
        </w:tc>
        <w:tc>
          <w:tcPr>
            <w:tcW w:w="985" w:type="dxa"/>
            <w:vAlign w:val="center"/>
          </w:tcPr>
          <w:p w14:paraId="3CDE18AB" w14:textId="77777777" w:rsidR="00C80001" w:rsidRPr="009A1A2E" w:rsidRDefault="00C80001" w:rsidP="002A7E8C">
            <w:pPr>
              <w:tabs>
                <w:tab w:val="left" w:pos="2835"/>
              </w:tabs>
              <w:jc w:val="center"/>
              <w:rPr>
                <w:rFonts w:eastAsiaTheme="minorEastAsia" w:cs="Arial"/>
                <w:sz w:val="18"/>
                <w:szCs w:val="18"/>
                <w:lang w:eastAsia="ja-JP"/>
              </w:rPr>
            </w:pPr>
            <w:r w:rsidRPr="009A1A2E">
              <w:rPr>
                <w:rFonts w:eastAsiaTheme="minorEastAsia" w:cs="Arial"/>
                <w:sz w:val="18"/>
                <w:szCs w:val="18"/>
                <w:lang w:eastAsia="ja-JP"/>
              </w:rPr>
              <w:t>CEA/CUA</w:t>
            </w:r>
          </w:p>
        </w:tc>
      </w:tr>
      <w:tr w:rsidR="00C80001" w:rsidRPr="009A1A2E" w14:paraId="3B6464E5" w14:textId="77777777" w:rsidTr="004F015F">
        <w:trPr>
          <w:cantSplit/>
          <w:trHeight w:val="20"/>
          <w:jc w:val="center"/>
        </w:trPr>
        <w:tc>
          <w:tcPr>
            <w:tcW w:w="631" w:type="dxa"/>
            <w:vMerge/>
          </w:tcPr>
          <w:p w14:paraId="58E9D426" w14:textId="77777777" w:rsidR="00C80001" w:rsidRPr="009A1A2E" w:rsidRDefault="00C80001" w:rsidP="00C80001">
            <w:pPr>
              <w:tabs>
                <w:tab w:val="left" w:pos="2835"/>
              </w:tabs>
              <w:rPr>
                <w:rFonts w:eastAsiaTheme="minorEastAsia" w:cs="Arial"/>
                <w:sz w:val="18"/>
                <w:szCs w:val="18"/>
                <w:lang w:eastAsia="ja-JP"/>
              </w:rPr>
            </w:pPr>
          </w:p>
        </w:tc>
        <w:tc>
          <w:tcPr>
            <w:tcW w:w="1051" w:type="dxa"/>
            <w:vMerge/>
            <w:vAlign w:val="center"/>
          </w:tcPr>
          <w:p w14:paraId="1D7CA05B" w14:textId="77777777" w:rsidR="00C80001" w:rsidRPr="009A1A2E" w:rsidRDefault="00C80001" w:rsidP="00C80001">
            <w:pPr>
              <w:tabs>
                <w:tab w:val="left" w:pos="2835"/>
              </w:tabs>
              <w:rPr>
                <w:rFonts w:eastAsiaTheme="minorEastAsia" w:cs="Arial"/>
                <w:sz w:val="18"/>
                <w:szCs w:val="18"/>
                <w:u w:val="single"/>
                <w:lang w:eastAsia="ja-JP"/>
              </w:rPr>
            </w:pPr>
          </w:p>
        </w:tc>
        <w:tc>
          <w:tcPr>
            <w:tcW w:w="2465" w:type="dxa"/>
            <w:gridSpan w:val="2"/>
            <w:vMerge/>
            <w:tcBorders>
              <w:bottom w:val="single" w:sz="4" w:space="0" w:color="auto"/>
            </w:tcBorders>
            <w:shd w:val="clear" w:color="auto" w:fill="FFFFFF" w:themeFill="background1"/>
            <w:vAlign w:val="center"/>
          </w:tcPr>
          <w:p w14:paraId="512081C6" w14:textId="77777777" w:rsidR="00C80001" w:rsidRPr="009A1A2E" w:rsidRDefault="00C80001" w:rsidP="00C80001">
            <w:pPr>
              <w:tabs>
                <w:tab w:val="left" w:pos="2835"/>
              </w:tabs>
              <w:jc w:val="center"/>
              <w:rPr>
                <w:rFonts w:eastAsiaTheme="minorEastAsia" w:cs="Arial"/>
                <w:sz w:val="18"/>
                <w:szCs w:val="18"/>
                <w:lang w:eastAsia="ja-JP"/>
              </w:rPr>
            </w:pPr>
          </w:p>
        </w:tc>
        <w:tc>
          <w:tcPr>
            <w:tcW w:w="2208" w:type="dxa"/>
            <w:vMerge/>
            <w:vAlign w:val="center"/>
          </w:tcPr>
          <w:p w14:paraId="671F640A" w14:textId="77777777" w:rsidR="00C80001" w:rsidRPr="009A1A2E" w:rsidRDefault="00C80001" w:rsidP="00C80001">
            <w:pPr>
              <w:tabs>
                <w:tab w:val="left" w:pos="2835"/>
              </w:tabs>
              <w:jc w:val="center"/>
              <w:rPr>
                <w:rFonts w:eastAsiaTheme="minorEastAsia" w:cs="Arial"/>
                <w:sz w:val="18"/>
                <w:szCs w:val="18"/>
                <w:lang w:eastAsia="ja-JP"/>
              </w:rPr>
            </w:pPr>
          </w:p>
        </w:tc>
        <w:tc>
          <w:tcPr>
            <w:tcW w:w="1449" w:type="dxa"/>
          </w:tcPr>
          <w:p w14:paraId="3A4DCF0A" w14:textId="77777777" w:rsidR="00C80001" w:rsidRPr="009A1A2E" w:rsidRDefault="00C80001" w:rsidP="00C80001">
            <w:pPr>
              <w:tabs>
                <w:tab w:val="left" w:pos="2835"/>
              </w:tabs>
              <w:rPr>
                <w:rFonts w:eastAsiaTheme="minorEastAsia" w:cs="Arial"/>
                <w:sz w:val="18"/>
                <w:szCs w:val="18"/>
                <w:u w:val="single"/>
                <w:lang w:eastAsia="ja-JP"/>
              </w:rPr>
            </w:pPr>
            <w:r w:rsidRPr="009A1A2E">
              <w:rPr>
                <w:rFonts w:eastAsiaTheme="minorEastAsia" w:cs="Arial"/>
                <w:sz w:val="18"/>
                <w:szCs w:val="18"/>
                <w:u w:val="single"/>
                <w:lang w:eastAsia="ja-JP"/>
              </w:rPr>
              <w:t>Net harms</w:t>
            </w:r>
          </w:p>
        </w:tc>
        <w:tc>
          <w:tcPr>
            <w:tcW w:w="985" w:type="dxa"/>
            <w:vAlign w:val="center"/>
          </w:tcPr>
          <w:p w14:paraId="560C92B1" w14:textId="77777777" w:rsidR="00C80001" w:rsidRPr="009A1A2E" w:rsidRDefault="00C80001" w:rsidP="002A7E8C">
            <w:pPr>
              <w:tabs>
                <w:tab w:val="left" w:pos="2835"/>
              </w:tabs>
              <w:jc w:val="center"/>
              <w:rPr>
                <w:rFonts w:eastAsiaTheme="minorEastAsia" w:cs="Arial"/>
                <w:sz w:val="18"/>
                <w:szCs w:val="18"/>
                <w:lang w:eastAsia="ja-JP"/>
              </w:rPr>
            </w:pPr>
            <w:r w:rsidRPr="009A1A2E">
              <w:rPr>
                <w:rFonts w:eastAsiaTheme="minorEastAsia" w:cs="Arial"/>
                <w:sz w:val="18"/>
                <w:szCs w:val="18"/>
                <w:lang w:eastAsia="ja-JP"/>
              </w:rPr>
              <w:t>None</w:t>
            </w:r>
          </w:p>
        </w:tc>
      </w:tr>
      <w:tr w:rsidR="00C80001" w:rsidRPr="009A1A2E" w14:paraId="3BE61AF3" w14:textId="77777777" w:rsidTr="004F015F">
        <w:trPr>
          <w:cantSplit/>
          <w:trHeight w:val="750"/>
          <w:jc w:val="center"/>
        </w:trPr>
        <w:tc>
          <w:tcPr>
            <w:tcW w:w="631" w:type="dxa"/>
            <w:vMerge/>
          </w:tcPr>
          <w:p w14:paraId="157F81CE" w14:textId="77777777" w:rsidR="00C80001" w:rsidRPr="009A1A2E" w:rsidRDefault="00C80001" w:rsidP="00C80001">
            <w:pPr>
              <w:tabs>
                <w:tab w:val="left" w:pos="2835"/>
              </w:tabs>
              <w:rPr>
                <w:rFonts w:eastAsiaTheme="minorEastAsia" w:cs="Arial"/>
                <w:sz w:val="18"/>
                <w:szCs w:val="18"/>
                <w:lang w:eastAsia="ja-JP"/>
              </w:rPr>
            </w:pPr>
          </w:p>
        </w:tc>
        <w:tc>
          <w:tcPr>
            <w:tcW w:w="1051" w:type="dxa"/>
            <w:vAlign w:val="center"/>
          </w:tcPr>
          <w:p w14:paraId="57A382CB" w14:textId="77777777" w:rsidR="00C80001" w:rsidRPr="009A1A2E" w:rsidRDefault="00C80001" w:rsidP="00C80001">
            <w:pPr>
              <w:tabs>
                <w:tab w:val="left" w:pos="2835"/>
              </w:tabs>
              <w:rPr>
                <w:rFonts w:eastAsiaTheme="minorEastAsia" w:cs="Arial"/>
                <w:sz w:val="18"/>
                <w:szCs w:val="18"/>
                <w:u w:val="single"/>
                <w:lang w:eastAsia="ja-JP"/>
              </w:rPr>
            </w:pPr>
            <w:r w:rsidRPr="009A1A2E">
              <w:rPr>
                <w:rFonts w:eastAsiaTheme="minorEastAsia" w:cs="Arial"/>
                <w:sz w:val="18"/>
                <w:szCs w:val="18"/>
                <w:u w:val="single"/>
                <w:lang w:eastAsia="ja-JP"/>
              </w:rPr>
              <w:t>Non-inferior</w:t>
            </w:r>
          </w:p>
        </w:tc>
        <w:tc>
          <w:tcPr>
            <w:tcW w:w="2465" w:type="dxa"/>
            <w:gridSpan w:val="2"/>
            <w:shd w:val="clear" w:color="auto" w:fill="C6D9F1" w:themeFill="text2" w:themeFillTint="33"/>
            <w:vAlign w:val="center"/>
          </w:tcPr>
          <w:p w14:paraId="36DD801C" w14:textId="77777777" w:rsidR="00C80001" w:rsidRPr="009A1A2E" w:rsidRDefault="00C80001" w:rsidP="00C80001">
            <w:pPr>
              <w:tabs>
                <w:tab w:val="left" w:pos="2835"/>
              </w:tabs>
              <w:jc w:val="center"/>
              <w:rPr>
                <w:rFonts w:eastAsiaTheme="minorEastAsia" w:cs="Arial"/>
                <w:sz w:val="18"/>
                <w:szCs w:val="18"/>
                <w:lang w:eastAsia="ja-JP"/>
              </w:rPr>
            </w:pPr>
            <w:r w:rsidRPr="009A1A2E">
              <w:rPr>
                <w:rFonts w:eastAsiaTheme="minorEastAsia" w:cs="Arial"/>
                <w:sz w:val="18"/>
                <w:szCs w:val="18"/>
                <w:lang w:eastAsia="ja-JP"/>
              </w:rPr>
              <w:t>CEA/CUA</w:t>
            </w:r>
          </w:p>
        </w:tc>
        <w:tc>
          <w:tcPr>
            <w:tcW w:w="2208" w:type="dxa"/>
            <w:vAlign w:val="center"/>
          </w:tcPr>
          <w:p w14:paraId="6A888E42" w14:textId="77777777" w:rsidR="00C80001" w:rsidRPr="009A1A2E" w:rsidRDefault="00C80001" w:rsidP="002A7E8C">
            <w:pPr>
              <w:tabs>
                <w:tab w:val="left" w:pos="2835"/>
              </w:tabs>
              <w:jc w:val="center"/>
              <w:rPr>
                <w:rFonts w:eastAsiaTheme="minorEastAsia" w:cs="Arial"/>
                <w:sz w:val="18"/>
                <w:szCs w:val="18"/>
                <w:lang w:eastAsia="ja-JP"/>
              </w:rPr>
            </w:pPr>
            <w:r w:rsidRPr="009A1A2E">
              <w:rPr>
                <w:rFonts w:eastAsiaTheme="minorEastAsia" w:cs="Arial"/>
                <w:sz w:val="18"/>
                <w:szCs w:val="18"/>
                <w:lang w:eastAsia="ja-JP"/>
              </w:rPr>
              <w:t>CEA/CUA</w:t>
            </w:r>
          </w:p>
        </w:tc>
        <w:tc>
          <w:tcPr>
            <w:tcW w:w="2434" w:type="dxa"/>
            <w:gridSpan w:val="2"/>
            <w:vAlign w:val="center"/>
          </w:tcPr>
          <w:p w14:paraId="13C65CE3" w14:textId="77777777" w:rsidR="00C80001" w:rsidRPr="009A1A2E" w:rsidRDefault="00C80001" w:rsidP="002A7E8C">
            <w:pPr>
              <w:tabs>
                <w:tab w:val="left" w:pos="2835"/>
              </w:tabs>
              <w:jc w:val="center"/>
              <w:rPr>
                <w:rFonts w:eastAsiaTheme="minorEastAsia" w:cs="Arial"/>
                <w:sz w:val="18"/>
                <w:szCs w:val="18"/>
                <w:lang w:eastAsia="ja-JP"/>
              </w:rPr>
            </w:pPr>
            <w:r w:rsidRPr="009A1A2E">
              <w:rPr>
                <w:rFonts w:eastAsiaTheme="minorEastAsia" w:cs="Arial"/>
                <w:sz w:val="18"/>
                <w:szCs w:val="18"/>
                <w:lang w:eastAsia="ja-JP"/>
              </w:rPr>
              <w:t>None</w:t>
            </w:r>
          </w:p>
        </w:tc>
      </w:tr>
      <w:tr w:rsidR="00C80001" w:rsidRPr="009A1A2E" w14:paraId="2B0F7068" w14:textId="77777777" w:rsidTr="004F015F">
        <w:trPr>
          <w:cantSplit/>
          <w:trHeight w:val="20"/>
          <w:jc w:val="center"/>
        </w:trPr>
        <w:tc>
          <w:tcPr>
            <w:tcW w:w="631" w:type="dxa"/>
            <w:vMerge/>
          </w:tcPr>
          <w:p w14:paraId="05A4B5BF" w14:textId="77777777" w:rsidR="00C80001" w:rsidRPr="009A1A2E" w:rsidRDefault="00C80001" w:rsidP="00C80001">
            <w:pPr>
              <w:tabs>
                <w:tab w:val="left" w:pos="2835"/>
              </w:tabs>
              <w:rPr>
                <w:rFonts w:eastAsiaTheme="minorEastAsia" w:cs="Arial"/>
                <w:sz w:val="18"/>
                <w:szCs w:val="18"/>
                <w:lang w:eastAsia="ja-JP"/>
              </w:rPr>
            </w:pPr>
          </w:p>
        </w:tc>
        <w:tc>
          <w:tcPr>
            <w:tcW w:w="1051" w:type="dxa"/>
            <w:vMerge w:val="restart"/>
            <w:vAlign w:val="center"/>
          </w:tcPr>
          <w:p w14:paraId="1ADD0F38" w14:textId="77777777" w:rsidR="00C80001" w:rsidRPr="009A1A2E" w:rsidRDefault="00C80001" w:rsidP="00C80001">
            <w:pPr>
              <w:tabs>
                <w:tab w:val="left" w:pos="2835"/>
              </w:tabs>
              <w:rPr>
                <w:rFonts w:eastAsiaTheme="minorEastAsia" w:cs="Arial"/>
                <w:sz w:val="18"/>
                <w:szCs w:val="18"/>
                <w:u w:val="single"/>
                <w:lang w:eastAsia="ja-JP"/>
              </w:rPr>
            </w:pPr>
            <w:r w:rsidRPr="009A1A2E">
              <w:rPr>
                <w:rFonts w:eastAsiaTheme="minorEastAsia" w:cs="Arial"/>
                <w:sz w:val="18"/>
                <w:szCs w:val="18"/>
                <w:u w:val="single"/>
                <w:lang w:eastAsia="ja-JP"/>
              </w:rPr>
              <w:t>Inferior</w:t>
            </w:r>
          </w:p>
        </w:tc>
        <w:tc>
          <w:tcPr>
            <w:tcW w:w="1480" w:type="dxa"/>
            <w:vAlign w:val="center"/>
          </w:tcPr>
          <w:p w14:paraId="2D9D9EFA" w14:textId="77777777" w:rsidR="00C80001" w:rsidRPr="009A1A2E" w:rsidRDefault="00C80001" w:rsidP="00C80001">
            <w:pPr>
              <w:tabs>
                <w:tab w:val="left" w:pos="2835"/>
              </w:tabs>
              <w:rPr>
                <w:rFonts w:eastAsiaTheme="minorEastAsia" w:cs="Arial"/>
                <w:sz w:val="18"/>
                <w:szCs w:val="18"/>
                <w:u w:val="single"/>
                <w:lang w:eastAsia="ja-JP"/>
              </w:rPr>
            </w:pPr>
            <w:r w:rsidRPr="009A1A2E">
              <w:rPr>
                <w:rFonts w:eastAsiaTheme="minorEastAsia" w:cs="Arial"/>
                <w:sz w:val="18"/>
                <w:szCs w:val="18"/>
                <w:u w:val="single"/>
                <w:lang w:eastAsia="ja-JP"/>
              </w:rPr>
              <w:t>Net clinical benefit</w:t>
            </w:r>
          </w:p>
        </w:tc>
        <w:tc>
          <w:tcPr>
            <w:tcW w:w="985" w:type="dxa"/>
            <w:vAlign w:val="center"/>
          </w:tcPr>
          <w:p w14:paraId="12E8A92D" w14:textId="77777777" w:rsidR="00C80001" w:rsidRPr="009A1A2E" w:rsidRDefault="00C80001" w:rsidP="00C80001">
            <w:pPr>
              <w:tabs>
                <w:tab w:val="left" w:pos="2835"/>
              </w:tabs>
              <w:jc w:val="center"/>
              <w:rPr>
                <w:rFonts w:eastAsiaTheme="minorEastAsia" w:cs="Arial"/>
                <w:sz w:val="18"/>
                <w:szCs w:val="18"/>
                <w:lang w:eastAsia="ja-JP"/>
              </w:rPr>
            </w:pPr>
            <w:r w:rsidRPr="009A1A2E">
              <w:rPr>
                <w:rFonts w:eastAsiaTheme="minorEastAsia" w:cs="Arial"/>
                <w:sz w:val="18"/>
                <w:szCs w:val="18"/>
                <w:lang w:eastAsia="ja-JP"/>
              </w:rPr>
              <w:t>CEA/CUA</w:t>
            </w:r>
          </w:p>
        </w:tc>
        <w:tc>
          <w:tcPr>
            <w:tcW w:w="2208" w:type="dxa"/>
            <w:vMerge w:val="restart"/>
            <w:vAlign w:val="center"/>
          </w:tcPr>
          <w:p w14:paraId="02AEDA59" w14:textId="77777777" w:rsidR="00C80001" w:rsidRPr="009A1A2E" w:rsidRDefault="00C80001" w:rsidP="002A7E8C">
            <w:pPr>
              <w:tabs>
                <w:tab w:val="left" w:pos="2835"/>
              </w:tabs>
              <w:jc w:val="center"/>
              <w:rPr>
                <w:rFonts w:eastAsiaTheme="minorEastAsia" w:cs="Arial"/>
                <w:sz w:val="18"/>
                <w:szCs w:val="18"/>
                <w:lang w:eastAsia="ja-JP"/>
              </w:rPr>
            </w:pPr>
            <w:r w:rsidRPr="009A1A2E">
              <w:rPr>
                <w:rFonts w:eastAsiaTheme="minorEastAsia" w:cs="Arial"/>
                <w:sz w:val="18"/>
                <w:szCs w:val="18"/>
                <w:lang w:eastAsia="ja-JP"/>
              </w:rPr>
              <w:t>None</w:t>
            </w:r>
          </w:p>
        </w:tc>
        <w:tc>
          <w:tcPr>
            <w:tcW w:w="2434" w:type="dxa"/>
            <w:gridSpan w:val="2"/>
            <w:vMerge w:val="restart"/>
            <w:vAlign w:val="center"/>
          </w:tcPr>
          <w:p w14:paraId="08FB4840" w14:textId="77777777" w:rsidR="00C80001" w:rsidRPr="009A1A2E" w:rsidRDefault="00C80001" w:rsidP="002A7E8C">
            <w:pPr>
              <w:tabs>
                <w:tab w:val="left" w:pos="2835"/>
              </w:tabs>
              <w:jc w:val="center"/>
              <w:rPr>
                <w:rFonts w:eastAsiaTheme="minorEastAsia" w:cs="Arial"/>
                <w:sz w:val="18"/>
                <w:szCs w:val="18"/>
                <w:lang w:eastAsia="ja-JP"/>
              </w:rPr>
            </w:pPr>
            <w:r w:rsidRPr="009A1A2E">
              <w:rPr>
                <w:rFonts w:eastAsiaTheme="minorEastAsia" w:cs="Arial"/>
                <w:sz w:val="18"/>
                <w:szCs w:val="18"/>
                <w:lang w:eastAsia="ja-JP"/>
              </w:rPr>
              <w:t>None</w:t>
            </w:r>
          </w:p>
        </w:tc>
      </w:tr>
      <w:tr w:rsidR="00C80001" w:rsidRPr="009A1A2E" w14:paraId="6F35241D" w14:textId="77777777" w:rsidTr="004F015F">
        <w:trPr>
          <w:trHeight w:val="20"/>
          <w:jc w:val="center"/>
        </w:trPr>
        <w:tc>
          <w:tcPr>
            <w:tcW w:w="631" w:type="dxa"/>
            <w:vMerge/>
          </w:tcPr>
          <w:p w14:paraId="0A581640" w14:textId="77777777" w:rsidR="00C80001" w:rsidRPr="009A1A2E" w:rsidRDefault="00C80001" w:rsidP="00C80001">
            <w:pPr>
              <w:tabs>
                <w:tab w:val="left" w:pos="2835"/>
              </w:tabs>
              <w:rPr>
                <w:rFonts w:eastAsiaTheme="minorEastAsia" w:cs="Arial"/>
                <w:sz w:val="18"/>
                <w:szCs w:val="18"/>
                <w:lang w:eastAsia="ja-JP"/>
              </w:rPr>
            </w:pPr>
          </w:p>
        </w:tc>
        <w:tc>
          <w:tcPr>
            <w:tcW w:w="1051" w:type="dxa"/>
            <w:vMerge/>
          </w:tcPr>
          <w:p w14:paraId="705A3C9F" w14:textId="77777777" w:rsidR="00C80001" w:rsidRPr="009A1A2E" w:rsidRDefault="00C80001" w:rsidP="00C80001">
            <w:pPr>
              <w:tabs>
                <w:tab w:val="left" w:pos="2835"/>
              </w:tabs>
              <w:rPr>
                <w:rFonts w:eastAsiaTheme="minorEastAsia" w:cs="Arial"/>
                <w:sz w:val="18"/>
                <w:szCs w:val="18"/>
                <w:lang w:eastAsia="ja-JP"/>
              </w:rPr>
            </w:pPr>
          </w:p>
        </w:tc>
        <w:tc>
          <w:tcPr>
            <w:tcW w:w="1480" w:type="dxa"/>
            <w:vAlign w:val="center"/>
          </w:tcPr>
          <w:p w14:paraId="50D49E21" w14:textId="77777777" w:rsidR="00C80001" w:rsidRPr="009A1A2E" w:rsidRDefault="00C80001" w:rsidP="00C80001">
            <w:pPr>
              <w:tabs>
                <w:tab w:val="left" w:pos="2835"/>
              </w:tabs>
              <w:rPr>
                <w:rFonts w:eastAsiaTheme="minorEastAsia" w:cs="Arial"/>
                <w:sz w:val="18"/>
                <w:szCs w:val="18"/>
                <w:u w:val="single"/>
                <w:lang w:eastAsia="ja-JP"/>
              </w:rPr>
            </w:pPr>
            <w:r w:rsidRPr="009A1A2E">
              <w:rPr>
                <w:rFonts w:eastAsiaTheme="minorEastAsia" w:cs="Arial"/>
                <w:sz w:val="18"/>
                <w:szCs w:val="18"/>
                <w:u w:val="single"/>
                <w:lang w:eastAsia="ja-JP"/>
              </w:rPr>
              <w:t>Neutral benefit</w:t>
            </w:r>
          </w:p>
        </w:tc>
        <w:tc>
          <w:tcPr>
            <w:tcW w:w="985" w:type="dxa"/>
            <w:vAlign w:val="center"/>
          </w:tcPr>
          <w:p w14:paraId="07C32BB0" w14:textId="77777777" w:rsidR="00C80001" w:rsidRPr="009A1A2E" w:rsidRDefault="00C80001" w:rsidP="002A7E8C">
            <w:pPr>
              <w:tabs>
                <w:tab w:val="left" w:pos="2835"/>
              </w:tabs>
              <w:jc w:val="center"/>
              <w:rPr>
                <w:rFonts w:eastAsiaTheme="minorEastAsia" w:cs="Arial"/>
                <w:sz w:val="18"/>
                <w:szCs w:val="18"/>
                <w:lang w:eastAsia="ja-JP"/>
              </w:rPr>
            </w:pPr>
            <w:r w:rsidRPr="009A1A2E">
              <w:rPr>
                <w:rFonts w:eastAsiaTheme="minorEastAsia" w:cs="Arial"/>
                <w:sz w:val="18"/>
                <w:szCs w:val="18"/>
                <w:lang w:eastAsia="ja-JP"/>
              </w:rPr>
              <w:t>CEA/CUA</w:t>
            </w:r>
          </w:p>
        </w:tc>
        <w:tc>
          <w:tcPr>
            <w:tcW w:w="2208" w:type="dxa"/>
            <w:vMerge/>
            <w:vAlign w:val="center"/>
          </w:tcPr>
          <w:p w14:paraId="656FAE4A" w14:textId="77777777" w:rsidR="00C80001" w:rsidRPr="009A1A2E" w:rsidRDefault="00C80001" w:rsidP="00C80001">
            <w:pPr>
              <w:tabs>
                <w:tab w:val="left" w:pos="2835"/>
              </w:tabs>
              <w:jc w:val="center"/>
              <w:rPr>
                <w:rFonts w:eastAsiaTheme="minorEastAsia" w:cs="Arial"/>
                <w:sz w:val="18"/>
                <w:szCs w:val="18"/>
                <w:lang w:eastAsia="ja-JP"/>
              </w:rPr>
            </w:pPr>
          </w:p>
        </w:tc>
        <w:tc>
          <w:tcPr>
            <w:tcW w:w="2434" w:type="dxa"/>
            <w:gridSpan w:val="2"/>
            <w:vMerge/>
          </w:tcPr>
          <w:p w14:paraId="087E454C" w14:textId="77777777" w:rsidR="00C80001" w:rsidRPr="009A1A2E" w:rsidRDefault="00C80001" w:rsidP="00C80001">
            <w:pPr>
              <w:tabs>
                <w:tab w:val="left" w:pos="2835"/>
              </w:tabs>
              <w:rPr>
                <w:rFonts w:eastAsiaTheme="minorEastAsia" w:cs="Arial"/>
                <w:sz w:val="18"/>
                <w:szCs w:val="18"/>
                <w:lang w:eastAsia="ja-JP"/>
              </w:rPr>
            </w:pPr>
          </w:p>
        </w:tc>
      </w:tr>
      <w:tr w:rsidR="00C80001" w:rsidRPr="009A1A2E" w14:paraId="1E1C00F5" w14:textId="77777777" w:rsidTr="004F015F">
        <w:trPr>
          <w:trHeight w:val="20"/>
          <w:jc w:val="center"/>
        </w:trPr>
        <w:tc>
          <w:tcPr>
            <w:tcW w:w="631" w:type="dxa"/>
            <w:vMerge/>
          </w:tcPr>
          <w:p w14:paraId="64B74C84" w14:textId="77777777" w:rsidR="00C80001" w:rsidRPr="009A1A2E" w:rsidRDefault="00C80001" w:rsidP="00C80001">
            <w:pPr>
              <w:tabs>
                <w:tab w:val="left" w:pos="2835"/>
              </w:tabs>
              <w:rPr>
                <w:rFonts w:eastAsiaTheme="minorEastAsia" w:cs="Arial"/>
                <w:sz w:val="18"/>
                <w:szCs w:val="18"/>
                <w:lang w:eastAsia="ja-JP"/>
              </w:rPr>
            </w:pPr>
          </w:p>
        </w:tc>
        <w:tc>
          <w:tcPr>
            <w:tcW w:w="1051" w:type="dxa"/>
            <w:vMerge/>
          </w:tcPr>
          <w:p w14:paraId="66FF5804" w14:textId="77777777" w:rsidR="00C80001" w:rsidRPr="009A1A2E" w:rsidRDefault="00C80001" w:rsidP="00C80001">
            <w:pPr>
              <w:tabs>
                <w:tab w:val="left" w:pos="2835"/>
              </w:tabs>
              <w:rPr>
                <w:rFonts w:eastAsiaTheme="minorEastAsia" w:cs="Arial"/>
                <w:sz w:val="18"/>
                <w:szCs w:val="18"/>
                <w:lang w:eastAsia="ja-JP"/>
              </w:rPr>
            </w:pPr>
          </w:p>
        </w:tc>
        <w:tc>
          <w:tcPr>
            <w:tcW w:w="1480" w:type="dxa"/>
            <w:vAlign w:val="center"/>
          </w:tcPr>
          <w:p w14:paraId="6CE07927" w14:textId="77777777" w:rsidR="00C80001" w:rsidRPr="009A1A2E" w:rsidRDefault="00C80001" w:rsidP="00C80001">
            <w:pPr>
              <w:tabs>
                <w:tab w:val="left" w:pos="2835"/>
              </w:tabs>
              <w:rPr>
                <w:rFonts w:eastAsiaTheme="minorEastAsia" w:cs="Arial"/>
                <w:sz w:val="18"/>
                <w:szCs w:val="18"/>
                <w:u w:val="single"/>
                <w:lang w:eastAsia="ja-JP"/>
              </w:rPr>
            </w:pPr>
            <w:r w:rsidRPr="009A1A2E">
              <w:rPr>
                <w:rFonts w:eastAsiaTheme="minorEastAsia" w:cs="Arial"/>
                <w:sz w:val="18"/>
                <w:szCs w:val="18"/>
                <w:u w:val="single"/>
                <w:lang w:eastAsia="ja-JP"/>
              </w:rPr>
              <w:t>Net harms</w:t>
            </w:r>
          </w:p>
        </w:tc>
        <w:tc>
          <w:tcPr>
            <w:tcW w:w="985" w:type="dxa"/>
            <w:vAlign w:val="center"/>
          </w:tcPr>
          <w:p w14:paraId="7A94B5FD" w14:textId="77777777" w:rsidR="00C80001" w:rsidRPr="009A1A2E" w:rsidRDefault="00C80001" w:rsidP="002A7E8C">
            <w:pPr>
              <w:tabs>
                <w:tab w:val="left" w:pos="2835"/>
              </w:tabs>
              <w:jc w:val="center"/>
              <w:rPr>
                <w:rFonts w:eastAsiaTheme="minorEastAsia" w:cs="Arial"/>
                <w:sz w:val="18"/>
                <w:szCs w:val="18"/>
                <w:lang w:eastAsia="ja-JP"/>
              </w:rPr>
            </w:pPr>
            <w:r w:rsidRPr="009A1A2E">
              <w:rPr>
                <w:rFonts w:eastAsiaTheme="minorEastAsia" w:cs="Arial"/>
                <w:sz w:val="18"/>
                <w:szCs w:val="18"/>
                <w:lang w:eastAsia="ja-JP"/>
              </w:rPr>
              <w:t>None</w:t>
            </w:r>
          </w:p>
        </w:tc>
        <w:tc>
          <w:tcPr>
            <w:tcW w:w="2208" w:type="dxa"/>
            <w:vMerge/>
            <w:vAlign w:val="center"/>
          </w:tcPr>
          <w:p w14:paraId="3616AF9C" w14:textId="77777777" w:rsidR="00C80001" w:rsidRPr="009A1A2E" w:rsidRDefault="00C80001" w:rsidP="00C80001">
            <w:pPr>
              <w:tabs>
                <w:tab w:val="left" w:pos="2835"/>
              </w:tabs>
              <w:jc w:val="center"/>
              <w:rPr>
                <w:rFonts w:eastAsiaTheme="minorEastAsia" w:cs="Arial"/>
                <w:sz w:val="18"/>
                <w:szCs w:val="18"/>
                <w:lang w:eastAsia="ja-JP"/>
              </w:rPr>
            </w:pPr>
          </w:p>
        </w:tc>
        <w:tc>
          <w:tcPr>
            <w:tcW w:w="2434" w:type="dxa"/>
            <w:gridSpan w:val="2"/>
            <w:vMerge/>
          </w:tcPr>
          <w:p w14:paraId="1F5BC186" w14:textId="77777777" w:rsidR="00C80001" w:rsidRPr="009A1A2E" w:rsidRDefault="00C80001" w:rsidP="00C80001">
            <w:pPr>
              <w:tabs>
                <w:tab w:val="left" w:pos="2835"/>
              </w:tabs>
              <w:rPr>
                <w:rFonts w:eastAsiaTheme="minorEastAsia" w:cs="Arial"/>
                <w:sz w:val="18"/>
                <w:szCs w:val="18"/>
                <w:lang w:eastAsia="ja-JP"/>
              </w:rPr>
            </w:pPr>
          </w:p>
        </w:tc>
      </w:tr>
    </w:tbl>
    <w:p w14:paraId="335D7139" w14:textId="77777777" w:rsidR="00C80001" w:rsidRPr="00932A48" w:rsidRDefault="00C80001" w:rsidP="00C80001">
      <w:pPr>
        <w:spacing w:line="360" w:lineRule="auto"/>
        <w:jc w:val="both"/>
        <w:rPr>
          <w:rFonts w:cs="Arial"/>
          <w:lang w:val="en-GB"/>
        </w:rPr>
      </w:pPr>
    </w:p>
    <w:p w14:paraId="22CD76B8" w14:textId="77777777" w:rsidR="00C80001" w:rsidRPr="00932A48" w:rsidRDefault="00C80001" w:rsidP="00C80001">
      <w:pPr>
        <w:spacing w:line="360" w:lineRule="auto"/>
        <w:jc w:val="both"/>
        <w:rPr>
          <w:rFonts w:cs="Arial"/>
          <w:lang w:val="en-GB"/>
        </w:rPr>
      </w:pPr>
      <w:r w:rsidRPr="00932A48">
        <w:rPr>
          <w:rFonts w:cs="Arial"/>
          <w:lang w:val="en-GB"/>
        </w:rPr>
        <w:t>An economic evaluation of the proposed medical service against other MEI is also carried out in this submission. The evidence from Section B shows the partially implantable MEI for SNHL+medical condition (Vibrant Soundbridge) to be non-inferior to/at least as safe and effective as other partially implantable MEI (Maxum). This conclusion is limited to the small number of non-randomised studies available for the comparator, however covering a large number of participants. The decision is also conservative as the number of adverse events is slightly higher and subjective outcomes relatively worse with the comparator.</w:t>
      </w:r>
    </w:p>
    <w:p w14:paraId="3F50309C" w14:textId="77777777" w:rsidR="00C80001" w:rsidRPr="00932A48" w:rsidRDefault="00C80001" w:rsidP="00C80001">
      <w:pPr>
        <w:spacing w:line="360" w:lineRule="auto"/>
        <w:jc w:val="both"/>
        <w:rPr>
          <w:rFonts w:cs="Arial"/>
          <w:lang w:val="en-GB"/>
        </w:rPr>
      </w:pPr>
      <w:r w:rsidRPr="00932A48">
        <w:rPr>
          <w:rFonts w:cs="Arial"/>
          <w:lang w:val="en-GB"/>
        </w:rPr>
        <w:t>Using the classification grid a cost-minimization analysis is the most appropriate for this comparison. However, discrepancies in the design of the two MEI systems lead to differences in the surgical procedure, the amount of follow-up required and in the everyday handling and use of the device. It is believed that the differences between the two systems cannot be reduced to a simple comparison of costs. The economic evaluation of choice is a modelled cost-effectiveness</w:t>
      </w:r>
      <w:r w:rsidR="006962CA">
        <w:rPr>
          <w:rFonts w:cs="Arial"/>
          <w:lang w:val="en-GB"/>
        </w:rPr>
        <w:t xml:space="preserve"> (CE)</w:t>
      </w:r>
      <w:r w:rsidRPr="00932A48">
        <w:rPr>
          <w:rFonts w:cs="Arial"/>
          <w:lang w:val="en-GB"/>
        </w:rPr>
        <w:t xml:space="preserve"> analysis.</w:t>
      </w:r>
    </w:p>
    <w:bookmarkEnd w:id="500"/>
    <w:bookmarkEnd w:id="501"/>
    <w:bookmarkEnd w:id="502"/>
    <w:p w14:paraId="02659A41" w14:textId="77777777" w:rsidR="00BA3548" w:rsidRPr="009A1A2E" w:rsidRDefault="00BA3548" w:rsidP="005A5012">
      <w:pPr>
        <w:pStyle w:val="Textbody"/>
        <w:rPr>
          <w:rFonts w:eastAsiaTheme="minorHAnsi"/>
          <w:lang w:val="en-AU"/>
        </w:rPr>
      </w:pPr>
    </w:p>
    <w:p w14:paraId="0EDB7154" w14:textId="77777777" w:rsidR="003A1E77" w:rsidRPr="009A1A2E" w:rsidRDefault="00B55968" w:rsidP="00213B3B">
      <w:pPr>
        <w:pStyle w:val="Heading20"/>
        <w:spacing w:line="360" w:lineRule="auto"/>
        <w:jc w:val="both"/>
        <w:rPr>
          <w:lang w:val="en-AU"/>
        </w:rPr>
      </w:pPr>
      <w:bookmarkStart w:id="505" w:name="_Toc400549425"/>
      <w:bookmarkStart w:id="506" w:name="_Toc431917586"/>
      <w:r>
        <w:rPr>
          <w:lang w:val="en-AU"/>
        </w:rPr>
        <w:t>D.2</w:t>
      </w:r>
      <w:r w:rsidR="00CE4F1F" w:rsidRPr="009A1A2E">
        <w:rPr>
          <w:lang w:val="en-AU"/>
        </w:rPr>
        <w:tab/>
      </w:r>
      <w:r w:rsidR="00F15265" w:rsidRPr="009A1A2E">
        <w:rPr>
          <w:lang w:val="en-AU"/>
        </w:rPr>
        <w:t>Population and circumstances of use reflected in the economic evaluation</w:t>
      </w:r>
      <w:bookmarkEnd w:id="505"/>
      <w:bookmarkEnd w:id="506"/>
    </w:p>
    <w:p w14:paraId="13976276" w14:textId="77777777" w:rsidR="00C80001" w:rsidRPr="009A1A2E" w:rsidRDefault="00C80001" w:rsidP="00C80001">
      <w:pPr>
        <w:pStyle w:val="Heading30"/>
        <w:spacing w:line="360" w:lineRule="auto"/>
        <w:jc w:val="both"/>
        <w:rPr>
          <w:lang w:val="en-AU"/>
        </w:rPr>
      </w:pPr>
      <w:bookmarkStart w:id="507" w:name="_Toc431917587"/>
      <w:r>
        <w:rPr>
          <w:lang w:val="en-AU"/>
        </w:rPr>
        <w:t>D</w:t>
      </w:r>
      <w:r w:rsidRPr="009A1A2E">
        <w:rPr>
          <w:lang w:val="en-AU"/>
        </w:rPr>
        <w:t>.</w:t>
      </w:r>
      <w:r>
        <w:rPr>
          <w:lang w:val="en-AU"/>
        </w:rPr>
        <w:t>2</w:t>
      </w:r>
      <w:r w:rsidRPr="009A1A2E">
        <w:rPr>
          <w:lang w:val="en-AU"/>
        </w:rPr>
        <w:t>.1</w:t>
      </w:r>
      <w:r w:rsidRPr="009A1A2E">
        <w:rPr>
          <w:lang w:val="en-AU"/>
        </w:rPr>
        <w:tab/>
      </w:r>
      <w:r>
        <w:rPr>
          <w:lang w:val="en-AU"/>
        </w:rPr>
        <w:t>Baseline population</w:t>
      </w:r>
      <w:bookmarkEnd w:id="507"/>
    </w:p>
    <w:p w14:paraId="31A9032A" w14:textId="77777777" w:rsidR="00C80001" w:rsidRDefault="00C80001" w:rsidP="00C80001">
      <w:pPr>
        <w:spacing w:line="360" w:lineRule="auto"/>
        <w:jc w:val="both"/>
        <w:rPr>
          <w:rFonts w:cs="Arial"/>
          <w:lang w:val="en-GB"/>
        </w:rPr>
      </w:pPr>
      <w:r w:rsidRPr="00932A48">
        <w:rPr>
          <w:rFonts w:cs="Arial"/>
          <w:lang w:val="en-GB"/>
        </w:rPr>
        <w:t xml:space="preserve">The baseline population for both base-case analyses includes adults with sensorineural hearing loss who cannot wear or benefit from hearing aids due to several reasons. Adults are considered being 18 years of age and above. The age and sex distribution of the included studies, when reported, reflect the general population. The study demographics </w:t>
      </w:r>
      <w:r w:rsidRPr="00932A48">
        <w:rPr>
          <w:rFonts w:cs="Arial"/>
          <w:lang w:val="en-GB"/>
        </w:rPr>
        <w:lastRenderedPageBreak/>
        <w:t xml:space="preserve">of each CE model are compared to the target population in </w:t>
      </w:r>
      <w:r>
        <w:rPr>
          <w:rFonts w:cs="Arial"/>
          <w:highlight w:val="yellow"/>
          <w:lang w:val="en-GB"/>
        </w:rPr>
        <w:fldChar w:fldCharType="begin"/>
      </w:r>
      <w:r>
        <w:rPr>
          <w:rFonts w:cs="Arial"/>
          <w:lang w:val="en-GB"/>
        </w:rPr>
        <w:instrText xml:space="preserve"> REF _Ref430955430 \h </w:instrText>
      </w:r>
      <w:r>
        <w:rPr>
          <w:rFonts w:cs="Arial"/>
          <w:highlight w:val="yellow"/>
          <w:lang w:val="en-GB"/>
        </w:rPr>
      </w:r>
      <w:r>
        <w:rPr>
          <w:rFonts w:cs="Arial"/>
          <w:highlight w:val="yellow"/>
          <w:lang w:val="en-GB"/>
        </w:rPr>
        <w:fldChar w:fldCharType="separate"/>
      </w:r>
      <w:r w:rsidR="00016592" w:rsidRPr="00A83F80">
        <w:rPr>
          <w:rFonts w:cs="Arial"/>
        </w:rPr>
        <w:t xml:space="preserve">Table </w:t>
      </w:r>
      <w:r w:rsidR="00016592">
        <w:rPr>
          <w:rFonts w:cs="Arial"/>
          <w:noProof/>
        </w:rPr>
        <w:t>30</w:t>
      </w:r>
      <w:r>
        <w:rPr>
          <w:rFonts w:cs="Arial"/>
          <w:highlight w:val="yellow"/>
          <w:lang w:val="en-GB"/>
        </w:rPr>
        <w:fldChar w:fldCharType="end"/>
      </w:r>
      <w:r w:rsidRPr="00932A48">
        <w:rPr>
          <w:rFonts w:cs="Arial"/>
          <w:lang w:val="en-GB"/>
        </w:rPr>
        <w:t>. Values for the target population are those estimated from Wilson et al. (1999) and described previously in section C.1.1.</w:t>
      </w:r>
    </w:p>
    <w:p w14:paraId="3BEB21DF" w14:textId="77777777" w:rsidR="00495FB7" w:rsidRPr="009A1A2E" w:rsidRDefault="00C80001" w:rsidP="00C80001">
      <w:pPr>
        <w:pStyle w:val="Textbody"/>
        <w:rPr>
          <w:lang w:val="en-AU"/>
        </w:rPr>
      </w:pPr>
      <w:r w:rsidRPr="00932A48">
        <w:rPr>
          <w:lang w:val="en-GB"/>
        </w:rPr>
        <w:t xml:space="preserve">A start age of 53 was used for both models. This is the mean age at implantation from </w:t>
      </w:r>
      <w:r w:rsidR="006962CA">
        <w:rPr>
          <w:lang w:val="en-GB"/>
        </w:rPr>
        <w:t>which</w:t>
      </w:r>
      <w:r w:rsidR="006962CA" w:rsidRPr="00932A48">
        <w:rPr>
          <w:lang w:val="en-GB"/>
        </w:rPr>
        <w:t xml:space="preserve"> </w:t>
      </w:r>
      <w:r w:rsidRPr="00932A48">
        <w:rPr>
          <w:lang w:val="en-GB"/>
        </w:rPr>
        <w:t>health utility values were obtained from. This study was identified in the systematic review carried out for the following section D.3.</w:t>
      </w:r>
    </w:p>
    <w:p w14:paraId="467F4A05" w14:textId="77777777" w:rsidR="00F15265" w:rsidRDefault="00F15265" w:rsidP="00FC1F8A">
      <w:pPr>
        <w:pStyle w:val="Textbody"/>
        <w:rPr>
          <w:lang w:val="en-AU"/>
        </w:rPr>
      </w:pPr>
    </w:p>
    <w:p w14:paraId="1C476BC6" w14:textId="77777777" w:rsidR="00C80001" w:rsidRPr="009A1A2E" w:rsidRDefault="00C80001" w:rsidP="00C80001">
      <w:pPr>
        <w:pStyle w:val="Heading30"/>
        <w:spacing w:line="360" w:lineRule="auto"/>
        <w:jc w:val="both"/>
        <w:rPr>
          <w:lang w:val="en-AU"/>
        </w:rPr>
      </w:pPr>
      <w:bookmarkStart w:id="508" w:name="_Toc431917588"/>
      <w:r>
        <w:rPr>
          <w:lang w:val="en-AU"/>
        </w:rPr>
        <w:t>D</w:t>
      </w:r>
      <w:r w:rsidRPr="009A1A2E">
        <w:rPr>
          <w:lang w:val="en-AU"/>
        </w:rPr>
        <w:t>.</w:t>
      </w:r>
      <w:r>
        <w:rPr>
          <w:lang w:val="en-AU"/>
        </w:rPr>
        <w:t>2</w:t>
      </w:r>
      <w:r w:rsidRPr="009A1A2E">
        <w:rPr>
          <w:lang w:val="en-AU"/>
        </w:rPr>
        <w:t>.</w:t>
      </w:r>
      <w:r>
        <w:rPr>
          <w:lang w:val="en-AU"/>
        </w:rPr>
        <w:t>2</w:t>
      </w:r>
      <w:r w:rsidRPr="009A1A2E">
        <w:rPr>
          <w:lang w:val="en-AU"/>
        </w:rPr>
        <w:tab/>
      </w:r>
      <w:r>
        <w:rPr>
          <w:lang w:val="en-AU"/>
        </w:rPr>
        <w:t>Circumstances of use</w:t>
      </w:r>
      <w:bookmarkEnd w:id="508"/>
    </w:p>
    <w:p w14:paraId="7AFE491E" w14:textId="77777777" w:rsidR="00C80001" w:rsidRPr="00932A48" w:rsidRDefault="00C80001" w:rsidP="00C80001">
      <w:pPr>
        <w:spacing w:line="360" w:lineRule="auto"/>
        <w:jc w:val="both"/>
        <w:rPr>
          <w:rFonts w:cs="Arial"/>
          <w:lang w:val="en-GB"/>
        </w:rPr>
      </w:pPr>
      <w:r w:rsidRPr="00932A48">
        <w:rPr>
          <w:rFonts w:cs="Arial"/>
          <w:lang w:val="en-GB"/>
        </w:rPr>
        <w:t>According to the clinical management algorithm presented in Section A.5, the proposed medical service can be offered as first- or second-line treatment to individuals who have mild-to-severe sensorineural hearing loss and a recurring/persistent medical condition in the outer ear. The line of treatment depends on whether the identified medical condition could be eradicated by conservative interventions and whether a hearing aid could be trialled. Hearing aid use has been proven to exacerbate individuals` conditions. Current treatment options for such patients include no treatment or treatment with an active middle ear implant.</w:t>
      </w:r>
    </w:p>
    <w:p w14:paraId="0847FAF7" w14:textId="77777777" w:rsidR="00C80001" w:rsidRPr="00932A48" w:rsidRDefault="006962CA" w:rsidP="00C80001">
      <w:pPr>
        <w:spacing w:line="360" w:lineRule="auto"/>
        <w:jc w:val="both"/>
        <w:rPr>
          <w:rFonts w:cs="Arial"/>
          <w:lang w:val="en-GB"/>
        </w:rPr>
      </w:pPr>
      <w:r>
        <w:rPr>
          <w:rFonts w:cs="Arial"/>
          <w:lang w:val="en-GB"/>
        </w:rPr>
        <w:t>Ano</w:t>
      </w:r>
      <w:r w:rsidR="00C80001" w:rsidRPr="00932A48">
        <w:rPr>
          <w:rFonts w:cs="Arial"/>
          <w:lang w:val="en-GB"/>
        </w:rPr>
        <w:t>ther partially implantable MEI intended for individuals with sensorineural hearing loss is the Maxum. According to the candidacy criteria, this implant system can only be provided as second-line treatment to those who have trialled a hearing aid but are not satisfied with their experience.</w:t>
      </w:r>
    </w:p>
    <w:p w14:paraId="4C737AF8" w14:textId="77777777" w:rsidR="00C80001" w:rsidRPr="00932A48" w:rsidRDefault="00C80001" w:rsidP="00C80001">
      <w:pPr>
        <w:spacing w:line="360" w:lineRule="auto"/>
        <w:jc w:val="both"/>
        <w:rPr>
          <w:rFonts w:cs="Arial"/>
          <w:lang w:val="en-GB"/>
        </w:rPr>
      </w:pPr>
      <w:r w:rsidRPr="00932A48">
        <w:rPr>
          <w:rFonts w:cs="Arial"/>
          <w:lang w:val="en-GB"/>
        </w:rPr>
        <w:t>The provision of either MEI is on a one-off basis after assessing individuals against candidacy criteria that are determined by the manufacturer. The criteria for the two AMEI systems can be seen in sections A.2 and A.4 respectively. Candidacy assessment is carried out by audiologists using calibrated diagnostic devices and validated language-specific speech material.</w:t>
      </w:r>
    </w:p>
    <w:p w14:paraId="05416080" w14:textId="77777777" w:rsidR="00C80001" w:rsidRPr="00932A48" w:rsidRDefault="00C80001" w:rsidP="00C80001">
      <w:pPr>
        <w:spacing w:line="360" w:lineRule="auto"/>
        <w:jc w:val="both"/>
        <w:rPr>
          <w:rFonts w:cs="Arial"/>
          <w:lang w:val="en-GB"/>
        </w:rPr>
      </w:pPr>
      <w:r w:rsidRPr="00932A48">
        <w:rPr>
          <w:rFonts w:cs="Arial"/>
          <w:lang w:val="en-GB"/>
        </w:rPr>
        <w:t>Implantation with either device is carried out by a trained surgeon under local or general anaesthesia. After a healing process of 4-10 weeks patients are invited to the clinic/hospital to activate the device. They are then followed-up on a regular basis to assess device functionality and outcomes. Throughout their lifetime users of partially implantable AMEI are contraindicated to undergo MRI without removing their magnet.</w:t>
      </w:r>
    </w:p>
    <w:p w14:paraId="381FD143" w14:textId="77777777" w:rsidR="00C80001" w:rsidRDefault="00C80001" w:rsidP="00C80001">
      <w:pPr>
        <w:pStyle w:val="Textbody"/>
        <w:rPr>
          <w:lang w:val="en-GB"/>
        </w:rPr>
      </w:pPr>
      <w:r w:rsidRPr="00932A48">
        <w:rPr>
          <w:lang w:val="en-GB"/>
        </w:rPr>
        <w:t>Differences in circumstances of use for each CE model are tabulated against the target population in</w:t>
      </w:r>
      <w:r>
        <w:rPr>
          <w:lang w:val="en-GB"/>
        </w:rPr>
        <w:t xml:space="preserve"> </w:t>
      </w:r>
      <w:r>
        <w:rPr>
          <w:lang w:val="en-GB"/>
        </w:rPr>
        <w:fldChar w:fldCharType="begin"/>
      </w:r>
      <w:r>
        <w:rPr>
          <w:lang w:val="en-GB"/>
        </w:rPr>
        <w:instrText xml:space="preserve"> REF _Ref430955430 \h </w:instrText>
      </w:r>
      <w:r>
        <w:rPr>
          <w:lang w:val="en-GB"/>
        </w:rPr>
      </w:r>
      <w:r>
        <w:rPr>
          <w:lang w:val="en-GB"/>
        </w:rPr>
        <w:fldChar w:fldCharType="separate"/>
      </w:r>
      <w:r w:rsidR="00016592" w:rsidRPr="00A83F80">
        <w:t xml:space="preserve">Table </w:t>
      </w:r>
      <w:r w:rsidR="00016592">
        <w:rPr>
          <w:noProof/>
        </w:rPr>
        <w:t>30</w:t>
      </w:r>
      <w:r>
        <w:rPr>
          <w:lang w:val="en-GB"/>
        </w:rPr>
        <w:fldChar w:fldCharType="end"/>
      </w:r>
      <w:r>
        <w:rPr>
          <w:lang w:val="en-GB"/>
        </w:rPr>
        <w:t>.</w:t>
      </w:r>
    </w:p>
    <w:p w14:paraId="37ABCB1C" w14:textId="77777777" w:rsidR="00C80001" w:rsidRDefault="00C80001">
      <w:pPr>
        <w:rPr>
          <w:rFonts w:cs="Arial"/>
          <w:lang w:val="en-GB" w:eastAsia="de-AT"/>
        </w:rPr>
      </w:pPr>
      <w:r>
        <w:rPr>
          <w:lang w:val="en-GB"/>
        </w:rPr>
        <w:br w:type="page"/>
      </w:r>
    </w:p>
    <w:p w14:paraId="549BCDDB" w14:textId="77777777" w:rsidR="00C80001" w:rsidRPr="005C1F7C" w:rsidRDefault="00C80001" w:rsidP="00C80001">
      <w:pPr>
        <w:pStyle w:val="Caption"/>
        <w:rPr>
          <w:rFonts w:ascii="Arial" w:hAnsi="Arial" w:cs="Arial"/>
          <w:lang w:val="en-AU"/>
        </w:rPr>
      </w:pPr>
      <w:bookmarkStart w:id="509" w:name="_Ref430955430"/>
      <w:bookmarkStart w:id="510" w:name="_Toc431917490"/>
      <w:r w:rsidRPr="00A83F80">
        <w:rPr>
          <w:rFonts w:ascii="Arial" w:hAnsi="Arial" w:cs="Arial"/>
        </w:rPr>
        <w:lastRenderedPageBreak/>
        <w:t xml:space="preserve">Table </w:t>
      </w:r>
      <w:r w:rsidR="00CF0322" w:rsidRPr="00A83F80">
        <w:rPr>
          <w:rFonts w:ascii="Arial" w:hAnsi="Arial" w:cs="Arial"/>
        </w:rPr>
        <w:fldChar w:fldCharType="begin"/>
      </w:r>
      <w:r w:rsidR="00CF0322" w:rsidRPr="00A83F80">
        <w:rPr>
          <w:rFonts w:ascii="Arial" w:hAnsi="Arial" w:cs="Arial"/>
        </w:rPr>
        <w:instrText xml:space="preserve"> SEQ Table \* ARABIC </w:instrText>
      </w:r>
      <w:r w:rsidR="00CF0322" w:rsidRPr="00A83F80">
        <w:rPr>
          <w:rFonts w:ascii="Arial" w:hAnsi="Arial" w:cs="Arial"/>
        </w:rPr>
        <w:fldChar w:fldCharType="separate"/>
      </w:r>
      <w:r w:rsidR="00016592">
        <w:rPr>
          <w:rFonts w:ascii="Arial" w:hAnsi="Arial" w:cs="Arial"/>
          <w:noProof/>
        </w:rPr>
        <w:t>30</w:t>
      </w:r>
      <w:r w:rsidR="00CF0322" w:rsidRPr="00A83F80">
        <w:rPr>
          <w:rFonts w:ascii="Arial" w:hAnsi="Arial" w:cs="Arial"/>
          <w:noProof/>
        </w:rPr>
        <w:fldChar w:fldCharType="end"/>
      </w:r>
      <w:bookmarkEnd w:id="509"/>
      <w:r w:rsidRPr="00A83F80">
        <w:rPr>
          <w:rFonts w:ascii="Arial" w:hAnsi="Arial" w:cs="Arial"/>
          <w:lang w:val="en-US"/>
        </w:rPr>
        <w:t xml:space="preserve"> </w:t>
      </w:r>
      <w:r w:rsidRPr="006E6951">
        <w:rPr>
          <w:rFonts w:ascii="Arial" w:hAnsi="Arial" w:cs="Arial"/>
          <w:lang w:val="en-AU"/>
        </w:rPr>
        <w:t>–</w:t>
      </w:r>
      <w:r w:rsidRPr="00E0477C">
        <w:rPr>
          <w:rFonts w:ascii="Arial" w:hAnsi="Arial" w:cs="Arial"/>
          <w:lang w:val="en-AU"/>
        </w:rPr>
        <w:t xml:space="preserve"> </w:t>
      </w:r>
      <w:r w:rsidRPr="005C1F7C">
        <w:rPr>
          <w:rFonts w:ascii="Arial" w:hAnsi="Arial" w:cs="Arial"/>
          <w:lang w:val="en-AU"/>
        </w:rPr>
        <w:t>Comparison of baseline populations and circumstances of use</w:t>
      </w:r>
      <w:bookmarkEnd w:id="510"/>
    </w:p>
    <w:p w14:paraId="78353ED8" w14:textId="77777777" w:rsidR="00C80001" w:rsidRDefault="00C80001" w:rsidP="00C80001">
      <w:pPr>
        <w:spacing w:line="360" w:lineRule="auto"/>
        <w:jc w:val="both"/>
        <w:rPr>
          <w:rFonts w:cs="Arial"/>
          <w:lang w:val="en-GB"/>
        </w:rPr>
      </w:pPr>
    </w:p>
    <w:p w14:paraId="2DB8E113" w14:textId="77777777" w:rsidR="00C80001" w:rsidRDefault="00C80001" w:rsidP="00C80001">
      <w:pPr>
        <w:spacing w:line="360" w:lineRule="auto"/>
        <w:jc w:val="both"/>
        <w:rPr>
          <w:rFonts w:cs="Arial"/>
          <w:lang w:val="en-GB"/>
        </w:rPr>
      </w:pPr>
      <w:r w:rsidRPr="00C80001">
        <w:rPr>
          <w:noProof/>
        </w:rPr>
        <w:drawing>
          <wp:inline distT="0" distB="0" distL="0" distR="0" wp14:anchorId="73121CF4" wp14:editId="42E5545E">
            <wp:extent cx="5508625" cy="5950169"/>
            <wp:effectExtent l="0" t="0" r="0" b="0"/>
            <wp:docPr id="7" name="Grafik 7" descr="Comparison of baseline populations and circumstances of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08625" cy="5950169"/>
                    </a:xfrm>
                    <a:prstGeom prst="rect">
                      <a:avLst/>
                    </a:prstGeom>
                    <a:noFill/>
                    <a:ln>
                      <a:noFill/>
                    </a:ln>
                  </pic:spPr>
                </pic:pic>
              </a:graphicData>
            </a:graphic>
          </wp:inline>
        </w:drawing>
      </w:r>
    </w:p>
    <w:p w14:paraId="289F7271" w14:textId="77777777" w:rsidR="00C80001" w:rsidRPr="00C80001" w:rsidRDefault="00C80001" w:rsidP="00C80001">
      <w:pPr>
        <w:spacing w:line="360" w:lineRule="auto"/>
        <w:jc w:val="both"/>
        <w:rPr>
          <w:rFonts w:cs="Arial"/>
          <w:lang w:val="en-US"/>
        </w:rPr>
      </w:pPr>
    </w:p>
    <w:p w14:paraId="07F6190B" w14:textId="77777777" w:rsidR="00C80001" w:rsidRPr="009A1A2E" w:rsidRDefault="00C80001" w:rsidP="00FC1F8A">
      <w:pPr>
        <w:pStyle w:val="Textbody"/>
        <w:rPr>
          <w:lang w:val="en-AU"/>
        </w:rPr>
      </w:pPr>
    </w:p>
    <w:p w14:paraId="072B731F" w14:textId="77777777" w:rsidR="003A1E77" w:rsidRPr="009A1A2E" w:rsidRDefault="00B55968" w:rsidP="00E01546">
      <w:pPr>
        <w:pStyle w:val="Heading20"/>
        <w:spacing w:line="360" w:lineRule="auto"/>
        <w:rPr>
          <w:lang w:val="en-AU"/>
        </w:rPr>
      </w:pPr>
      <w:bookmarkStart w:id="511" w:name="_Toc400549426"/>
      <w:bookmarkStart w:id="512" w:name="_Toc431917589"/>
      <w:r>
        <w:rPr>
          <w:lang w:val="en-AU"/>
        </w:rPr>
        <w:lastRenderedPageBreak/>
        <w:t>D.3</w:t>
      </w:r>
      <w:r w:rsidR="003A1E77" w:rsidRPr="009A1A2E">
        <w:rPr>
          <w:lang w:val="en-AU"/>
        </w:rPr>
        <w:tab/>
      </w:r>
      <w:bookmarkEnd w:id="511"/>
      <w:r w:rsidR="00C80001">
        <w:rPr>
          <w:lang w:val="en-AU"/>
        </w:rPr>
        <w:t>Structure and rationale of the economic evaluations</w:t>
      </w:r>
      <w:bookmarkEnd w:id="512"/>
    </w:p>
    <w:p w14:paraId="28EC219D" w14:textId="77777777" w:rsidR="003A1E77" w:rsidRPr="009A1A2E" w:rsidRDefault="00B55968" w:rsidP="00213B3B">
      <w:pPr>
        <w:pStyle w:val="Heading30"/>
        <w:spacing w:line="360" w:lineRule="auto"/>
        <w:jc w:val="both"/>
        <w:rPr>
          <w:lang w:val="en-AU"/>
        </w:rPr>
      </w:pPr>
      <w:bookmarkStart w:id="513" w:name="_Toc400549427"/>
      <w:bookmarkStart w:id="514" w:name="_Toc431917590"/>
      <w:r>
        <w:rPr>
          <w:lang w:val="en-AU"/>
        </w:rPr>
        <w:t>D.3</w:t>
      </w:r>
      <w:r w:rsidR="003A1E77" w:rsidRPr="009A1A2E">
        <w:rPr>
          <w:lang w:val="en-AU"/>
        </w:rPr>
        <w:t>.</w:t>
      </w:r>
      <w:r w:rsidR="00311D5E" w:rsidRPr="009A1A2E">
        <w:rPr>
          <w:lang w:val="en-AU"/>
        </w:rPr>
        <w:t>1</w:t>
      </w:r>
      <w:r w:rsidR="003A1E77" w:rsidRPr="009A1A2E">
        <w:rPr>
          <w:lang w:val="en-AU"/>
        </w:rPr>
        <w:tab/>
      </w:r>
      <w:bookmarkEnd w:id="513"/>
      <w:r w:rsidR="00C80001">
        <w:rPr>
          <w:lang w:val="en-AU"/>
        </w:rPr>
        <w:t>Systematic literature review</w:t>
      </w:r>
      <w:bookmarkEnd w:id="514"/>
    </w:p>
    <w:p w14:paraId="05D2441A" w14:textId="77777777" w:rsidR="00C80001" w:rsidRPr="00932A48" w:rsidRDefault="00C80001" w:rsidP="00C80001">
      <w:pPr>
        <w:spacing w:line="360" w:lineRule="auto"/>
        <w:jc w:val="both"/>
        <w:rPr>
          <w:rFonts w:cs="Arial"/>
          <w:lang w:val="en-GB"/>
        </w:rPr>
      </w:pPr>
      <w:r w:rsidRPr="00932A48">
        <w:rPr>
          <w:rFonts w:cs="Arial"/>
          <w:lang w:val="en-GB"/>
        </w:rPr>
        <w:t>As part of the systematic review carried out for section B, studies carrying out economic evaluations or assessing costs or quality of life of partially implantable active middle ear implants were also identified. Details of the search strategy and inclusion/exclusion criteria can be found in the respective parts of this section.</w:t>
      </w:r>
    </w:p>
    <w:p w14:paraId="6E8B5888" w14:textId="77777777" w:rsidR="00BA6A89" w:rsidRDefault="00C80001" w:rsidP="00C80001">
      <w:pPr>
        <w:pStyle w:val="Textbody"/>
        <w:rPr>
          <w:lang w:val="en-GB"/>
        </w:rPr>
      </w:pPr>
      <w:r w:rsidRPr="00932A48">
        <w:rPr>
          <w:lang w:val="en-GB"/>
        </w:rPr>
        <w:t xml:space="preserve">Of the 47 studies included in the systematic review, 5 had carried out an economic evaluation. Three of these were health technology assessment reviews, and two were primary research. These studies are described in </w:t>
      </w:r>
      <w:r>
        <w:rPr>
          <w:highlight w:val="yellow"/>
          <w:lang w:val="en-GB"/>
        </w:rPr>
        <w:fldChar w:fldCharType="begin"/>
      </w:r>
      <w:r>
        <w:rPr>
          <w:lang w:val="en-GB"/>
        </w:rPr>
        <w:instrText xml:space="preserve"> REF _Ref430955978 \h </w:instrText>
      </w:r>
      <w:r>
        <w:rPr>
          <w:highlight w:val="yellow"/>
          <w:lang w:val="en-GB"/>
        </w:rPr>
      </w:r>
      <w:r>
        <w:rPr>
          <w:highlight w:val="yellow"/>
          <w:lang w:val="en-GB"/>
        </w:rPr>
        <w:fldChar w:fldCharType="separate"/>
      </w:r>
      <w:r w:rsidR="00016592" w:rsidRPr="00A83F80">
        <w:t xml:space="preserve">Table </w:t>
      </w:r>
      <w:r w:rsidR="00016592">
        <w:rPr>
          <w:noProof/>
        </w:rPr>
        <w:t>31</w:t>
      </w:r>
      <w:r>
        <w:rPr>
          <w:highlight w:val="yellow"/>
          <w:lang w:val="en-GB"/>
        </w:rPr>
        <w:fldChar w:fldCharType="end"/>
      </w:r>
      <w:r>
        <w:rPr>
          <w:lang w:val="en-GB"/>
        </w:rPr>
        <w:t>.</w:t>
      </w:r>
    </w:p>
    <w:p w14:paraId="72D0575C" w14:textId="77777777" w:rsidR="00C80001" w:rsidRPr="00932A48" w:rsidRDefault="00C80001" w:rsidP="00C80001">
      <w:pPr>
        <w:spacing w:line="360" w:lineRule="auto"/>
        <w:jc w:val="both"/>
        <w:rPr>
          <w:rFonts w:cs="Arial"/>
          <w:lang w:val="en-GB"/>
        </w:rPr>
      </w:pPr>
      <w:r w:rsidRPr="00932A48">
        <w:rPr>
          <w:rFonts w:cs="Arial"/>
          <w:lang w:val="en-GB"/>
        </w:rPr>
        <w:t>The HTA reviews identified have been previously described in Section B.2. The analyses carried out in these reports included an economic decision model by Alberta Health and Wellness (2011), a cost analysis by CEDIT (2002) and a cost minimisation analysis by the MSAC (2010). In all of these publications the costs of different MEI were pooled together and consequently could not be used in the current model.</w:t>
      </w:r>
    </w:p>
    <w:p w14:paraId="3DB44B4D" w14:textId="77777777" w:rsidR="00C80001" w:rsidRPr="00932A48" w:rsidRDefault="00C80001" w:rsidP="00C80001">
      <w:pPr>
        <w:spacing w:line="360" w:lineRule="auto"/>
        <w:jc w:val="both"/>
        <w:rPr>
          <w:rFonts w:cs="Arial"/>
          <w:lang w:val="en-GB"/>
        </w:rPr>
      </w:pPr>
      <w:r w:rsidRPr="00932A48">
        <w:rPr>
          <w:rFonts w:cs="Arial"/>
          <w:lang w:val="en-GB"/>
        </w:rPr>
        <w:t xml:space="preserve">The decision model developed by AHW was developed for the application of MEI in moderate to severe sensorineural, conductive and mixed hearing loss. The application of the proposed medical service (of this submission) in sensorineural hearing loss only covered a small part of the overall decision model and appeared to over-simplify the treatment pathway: Individuals were successful or not successful after determining MEI candidacy, and if not successful required device revision or no further intervention. The decision model was hence not used for informing the cost effectiveness models developed for this submission. </w:t>
      </w:r>
    </w:p>
    <w:p w14:paraId="48B98B95" w14:textId="77777777" w:rsidR="00C80001" w:rsidRPr="00932A48" w:rsidRDefault="00C80001" w:rsidP="00C80001">
      <w:pPr>
        <w:spacing w:line="360" w:lineRule="auto"/>
        <w:jc w:val="both"/>
        <w:rPr>
          <w:rFonts w:cs="Arial"/>
          <w:lang w:val="en-GB"/>
        </w:rPr>
      </w:pPr>
      <w:r w:rsidRPr="00932A48">
        <w:rPr>
          <w:rFonts w:cs="Arial"/>
          <w:lang w:val="en-GB"/>
        </w:rPr>
        <w:t>The two primary research papers consisted of a cost-effectiveness analysis of two different types of MEI in individuals with sensorineural hearing loss and severe external otitis (Snik et al. 2006), and a cost-utility analysis of the Vibrant Soundbridge in individuals with sensorineural or conductive/mixed hearing loss (Edfeldt et al. 2014). Both studies had a prospective case series design with data collection before and after implantation.</w:t>
      </w:r>
    </w:p>
    <w:p w14:paraId="112CBF54" w14:textId="77777777" w:rsidR="00C80001" w:rsidRDefault="00C80001" w:rsidP="00C80001">
      <w:pPr>
        <w:pStyle w:val="Textbody"/>
        <w:rPr>
          <w:lang w:val="en-GB"/>
        </w:rPr>
      </w:pPr>
    </w:p>
    <w:p w14:paraId="7CB4B814" w14:textId="77777777" w:rsidR="00C80001" w:rsidRPr="009A1A2E" w:rsidRDefault="00C80001" w:rsidP="00C80001">
      <w:pPr>
        <w:pStyle w:val="Textbody"/>
        <w:rPr>
          <w:lang w:val="en-AU"/>
        </w:rPr>
      </w:pPr>
    </w:p>
    <w:p w14:paraId="3C06CACE" w14:textId="77777777" w:rsidR="00C80001" w:rsidRDefault="00C80001" w:rsidP="00FC1F8A">
      <w:pPr>
        <w:pStyle w:val="Textbody"/>
        <w:rPr>
          <w:lang w:val="en-AU"/>
        </w:rPr>
        <w:sectPr w:rsidR="00C80001" w:rsidSect="00695C41">
          <w:headerReference w:type="default" r:id="rId60"/>
          <w:footerReference w:type="default" r:id="rId61"/>
          <w:pgSz w:w="11907" w:h="16840" w:code="9"/>
          <w:pgMar w:top="1418" w:right="1418" w:bottom="1701" w:left="1814" w:header="720" w:footer="720" w:gutter="0"/>
          <w:paperSrc w:first="7" w:other="7"/>
          <w:cols w:space="720"/>
          <w:noEndnote/>
          <w:docGrid w:linePitch="299"/>
        </w:sectPr>
      </w:pPr>
    </w:p>
    <w:p w14:paraId="6B9F1E45" w14:textId="77777777" w:rsidR="00C80001" w:rsidRPr="005C1F7C" w:rsidRDefault="00C80001" w:rsidP="00C80001">
      <w:pPr>
        <w:pStyle w:val="Caption"/>
        <w:rPr>
          <w:rFonts w:ascii="Arial" w:hAnsi="Arial" w:cs="Arial"/>
          <w:lang w:val="en-AU"/>
        </w:rPr>
      </w:pPr>
      <w:bookmarkStart w:id="515" w:name="_Ref430955978"/>
      <w:bookmarkStart w:id="516" w:name="_Toc431917491"/>
      <w:r w:rsidRPr="00A83F80">
        <w:rPr>
          <w:rFonts w:ascii="Arial" w:hAnsi="Arial" w:cs="Arial"/>
        </w:rPr>
        <w:lastRenderedPageBreak/>
        <w:t xml:space="preserve">Table </w:t>
      </w:r>
      <w:r w:rsidR="00CF0322" w:rsidRPr="00A83F80">
        <w:rPr>
          <w:rFonts w:ascii="Arial" w:hAnsi="Arial" w:cs="Arial"/>
        </w:rPr>
        <w:fldChar w:fldCharType="begin"/>
      </w:r>
      <w:r w:rsidR="00CF0322" w:rsidRPr="00A83F80">
        <w:rPr>
          <w:rFonts w:ascii="Arial" w:hAnsi="Arial" w:cs="Arial"/>
        </w:rPr>
        <w:instrText xml:space="preserve"> SEQ Table \* ARABIC </w:instrText>
      </w:r>
      <w:r w:rsidR="00CF0322" w:rsidRPr="00A83F80">
        <w:rPr>
          <w:rFonts w:ascii="Arial" w:hAnsi="Arial" w:cs="Arial"/>
        </w:rPr>
        <w:fldChar w:fldCharType="separate"/>
      </w:r>
      <w:r w:rsidR="00016592">
        <w:rPr>
          <w:rFonts w:ascii="Arial" w:hAnsi="Arial" w:cs="Arial"/>
          <w:noProof/>
        </w:rPr>
        <w:t>31</w:t>
      </w:r>
      <w:r w:rsidR="00CF0322" w:rsidRPr="00A83F80">
        <w:rPr>
          <w:rFonts w:ascii="Arial" w:hAnsi="Arial" w:cs="Arial"/>
          <w:noProof/>
        </w:rPr>
        <w:fldChar w:fldCharType="end"/>
      </w:r>
      <w:bookmarkEnd w:id="515"/>
      <w:r w:rsidRPr="00A83F80">
        <w:rPr>
          <w:rFonts w:ascii="Arial" w:hAnsi="Arial" w:cs="Arial"/>
          <w:lang w:val="en-US"/>
        </w:rPr>
        <w:t xml:space="preserve"> </w:t>
      </w:r>
      <w:r w:rsidRPr="008261A6">
        <w:rPr>
          <w:rFonts w:ascii="Arial" w:hAnsi="Arial" w:cs="Arial"/>
          <w:lang w:val="en-AU"/>
        </w:rPr>
        <w:t xml:space="preserve">– </w:t>
      </w:r>
      <w:r w:rsidRPr="00E0477C">
        <w:rPr>
          <w:rFonts w:ascii="Arial" w:hAnsi="Arial" w:cs="Arial"/>
          <w:lang w:val="en-GB"/>
        </w:rPr>
        <w:t>Overview of economic evaluations identified in the literature</w:t>
      </w:r>
      <w:bookmarkEnd w:id="516"/>
    </w:p>
    <w:p w14:paraId="52592A50" w14:textId="77777777" w:rsidR="00285CFC" w:rsidRDefault="00285CFC" w:rsidP="00FC1F8A">
      <w:pPr>
        <w:pStyle w:val="Textbody"/>
        <w:rPr>
          <w:lang w:val="en-AU"/>
        </w:rPr>
      </w:pPr>
    </w:p>
    <w:tbl>
      <w:tblPr>
        <w:tblW w:w="14900" w:type="dxa"/>
        <w:tblInd w:w="93" w:type="dxa"/>
        <w:tblLook w:val="04A0" w:firstRow="1" w:lastRow="0" w:firstColumn="1" w:lastColumn="0" w:noHBand="0" w:noVBand="1"/>
        <w:tblDescription w:val="Overview of economic evaluations identified in the literature"/>
      </w:tblPr>
      <w:tblGrid>
        <w:gridCol w:w="2056"/>
        <w:gridCol w:w="1200"/>
        <w:gridCol w:w="1642"/>
        <w:gridCol w:w="1780"/>
        <w:gridCol w:w="1400"/>
        <w:gridCol w:w="1934"/>
        <w:gridCol w:w="2028"/>
        <w:gridCol w:w="2860"/>
      </w:tblGrid>
      <w:tr w:rsidR="00C80001" w:rsidRPr="004F42E3" w14:paraId="659D5929" w14:textId="77777777" w:rsidTr="00C80001">
        <w:trPr>
          <w:trHeight w:val="600"/>
        </w:trPr>
        <w:tc>
          <w:tcPr>
            <w:tcW w:w="2056" w:type="dxa"/>
            <w:tcBorders>
              <w:top w:val="single" w:sz="8" w:space="0" w:color="auto"/>
              <w:left w:val="single" w:sz="8" w:space="0" w:color="auto"/>
              <w:bottom w:val="nil"/>
              <w:right w:val="nil"/>
            </w:tcBorders>
            <w:shd w:val="clear" w:color="auto" w:fill="auto"/>
            <w:vAlign w:val="center"/>
            <w:hideMark/>
          </w:tcPr>
          <w:p w14:paraId="41B9129C" w14:textId="77777777" w:rsidR="00C80001" w:rsidRPr="004F42E3" w:rsidRDefault="00C80001" w:rsidP="00C80001">
            <w:pPr>
              <w:jc w:val="center"/>
              <w:rPr>
                <w:rFonts w:cs="Arial"/>
                <w:b/>
                <w:bCs/>
                <w:color w:val="000000"/>
                <w:sz w:val="18"/>
                <w:szCs w:val="18"/>
                <w:lang w:val="en-US" w:eastAsia="en-US"/>
              </w:rPr>
            </w:pPr>
            <w:r w:rsidRPr="004F42E3">
              <w:rPr>
                <w:rFonts w:cs="Arial"/>
                <w:b/>
                <w:bCs/>
                <w:color w:val="000000"/>
                <w:sz w:val="18"/>
                <w:szCs w:val="18"/>
                <w:lang w:val="en-US" w:eastAsia="en-US"/>
              </w:rPr>
              <w:t>Publication</w:t>
            </w:r>
          </w:p>
        </w:tc>
        <w:tc>
          <w:tcPr>
            <w:tcW w:w="1200" w:type="dxa"/>
            <w:tcBorders>
              <w:top w:val="single" w:sz="8" w:space="0" w:color="auto"/>
              <w:left w:val="nil"/>
              <w:bottom w:val="nil"/>
              <w:right w:val="nil"/>
            </w:tcBorders>
            <w:shd w:val="clear" w:color="auto" w:fill="auto"/>
            <w:noWrap/>
            <w:vAlign w:val="center"/>
            <w:hideMark/>
          </w:tcPr>
          <w:p w14:paraId="740BB273" w14:textId="77777777" w:rsidR="00C80001" w:rsidRPr="004F42E3" w:rsidRDefault="00C80001" w:rsidP="00C80001">
            <w:pPr>
              <w:jc w:val="center"/>
              <w:rPr>
                <w:rFonts w:cs="Arial"/>
                <w:b/>
                <w:bCs/>
                <w:color w:val="000000"/>
                <w:sz w:val="18"/>
                <w:szCs w:val="18"/>
                <w:lang w:val="en-US" w:eastAsia="en-US"/>
              </w:rPr>
            </w:pPr>
            <w:r w:rsidRPr="004F42E3">
              <w:rPr>
                <w:rFonts w:cs="Arial"/>
                <w:b/>
                <w:bCs/>
                <w:color w:val="000000"/>
                <w:sz w:val="18"/>
                <w:szCs w:val="18"/>
                <w:lang w:val="en-US" w:eastAsia="en-US"/>
              </w:rPr>
              <w:t>Country</w:t>
            </w:r>
          </w:p>
        </w:tc>
        <w:tc>
          <w:tcPr>
            <w:tcW w:w="1642" w:type="dxa"/>
            <w:tcBorders>
              <w:top w:val="single" w:sz="8" w:space="0" w:color="auto"/>
              <w:left w:val="nil"/>
              <w:bottom w:val="nil"/>
              <w:right w:val="nil"/>
            </w:tcBorders>
            <w:shd w:val="clear" w:color="auto" w:fill="auto"/>
            <w:vAlign w:val="center"/>
            <w:hideMark/>
          </w:tcPr>
          <w:p w14:paraId="7FC9E66D" w14:textId="77777777" w:rsidR="00C80001" w:rsidRPr="004F42E3" w:rsidRDefault="00C80001" w:rsidP="00C80001">
            <w:pPr>
              <w:jc w:val="center"/>
              <w:rPr>
                <w:rFonts w:cs="Arial"/>
                <w:b/>
                <w:bCs/>
                <w:color w:val="000000"/>
                <w:sz w:val="18"/>
                <w:szCs w:val="18"/>
                <w:lang w:val="en-US" w:eastAsia="en-US"/>
              </w:rPr>
            </w:pPr>
            <w:r w:rsidRPr="004F42E3">
              <w:rPr>
                <w:rFonts w:cs="Arial"/>
                <w:b/>
                <w:bCs/>
                <w:color w:val="000000"/>
                <w:sz w:val="18"/>
                <w:szCs w:val="18"/>
                <w:lang w:val="en-US" w:eastAsia="en-US"/>
              </w:rPr>
              <w:t>Study design</w:t>
            </w:r>
          </w:p>
        </w:tc>
        <w:tc>
          <w:tcPr>
            <w:tcW w:w="1780" w:type="dxa"/>
            <w:tcBorders>
              <w:top w:val="single" w:sz="8" w:space="0" w:color="auto"/>
              <w:left w:val="nil"/>
              <w:bottom w:val="nil"/>
              <w:right w:val="nil"/>
            </w:tcBorders>
            <w:shd w:val="clear" w:color="auto" w:fill="auto"/>
            <w:noWrap/>
            <w:vAlign w:val="center"/>
            <w:hideMark/>
          </w:tcPr>
          <w:p w14:paraId="7F99DF27" w14:textId="77777777" w:rsidR="00C80001" w:rsidRPr="004F42E3" w:rsidRDefault="00C80001" w:rsidP="00C80001">
            <w:pPr>
              <w:jc w:val="center"/>
              <w:rPr>
                <w:rFonts w:cs="Arial"/>
                <w:b/>
                <w:bCs/>
                <w:color w:val="000000"/>
                <w:sz w:val="18"/>
                <w:szCs w:val="18"/>
                <w:lang w:val="en-US" w:eastAsia="en-US"/>
              </w:rPr>
            </w:pPr>
            <w:r w:rsidRPr="004F42E3">
              <w:rPr>
                <w:rFonts w:cs="Arial"/>
                <w:b/>
                <w:bCs/>
                <w:color w:val="000000"/>
                <w:sz w:val="18"/>
                <w:szCs w:val="18"/>
                <w:lang w:val="en-US" w:eastAsia="en-US"/>
              </w:rPr>
              <w:t>Intervention</w:t>
            </w:r>
          </w:p>
        </w:tc>
        <w:tc>
          <w:tcPr>
            <w:tcW w:w="1400" w:type="dxa"/>
            <w:tcBorders>
              <w:top w:val="single" w:sz="8" w:space="0" w:color="auto"/>
              <w:left w:val="nil"/>
              <w:bottom w:val="nil"/>
              <w:right w:val="nil"/>
            </w:tcBorders>
            <w:shd w:val="clear" w:color="auto" w:fill="auto"/>
            <w:noWrap/>
            <w:vAlign w:val="center"/>
            <w:hideMark/>
          </w:tcPr>
          <w:p w14:paraId="4D12C93D" w14:textId="77777777" w:rsidR="00C80001" w:rsidRPr="004F42E3" w:rsidRDefault="00C80001" w:rsidP="00C80001">
            <w:pPr>
              <w:jc w:val="center"/>
              <w:rPr>
                <w:rFonts w:cs="Arial"/>
                <w:b/>
                <w:bCs/>
                <w:color w:val="000000"/>
                <w:sz w:val="18"/>
                <w:szCs w:val="18"/>
                <w:lang w:val="en-US" w:eastAsia="en-US"/>
              </w:rPr>
            </w:pPr>
            <w:r w:rsidRPr="004F42E3">
              <w:rPr>
                <w:rFonts w:cs="Arial"/>
                <w:b/>
                <w:bCs/>
                <w:color w:val="000000"/>
                <w:sz w:val="18"/>
                <w:szCs w:val="18"/>
                <w:lang w:val="en-US" w:eastAsia="en-US"/>
              </w:rPr>
              <w:t>Comparators</w:t>
            </w:r>
          </w:p>
        </w:tc>
        <w:tc>
          <w:tcPr>
            <w:tcW w:w="1934" w:type="dxa"/>
            <w:tcBorders>
              <w:top w:val="single" w:sz="8" w:space="0" w:color="auto"/>
              <w:left w:val="nil"/>
              <w:bottom w:val="nil"/>
              <w:right w:val="nil"/>
            </w:tcBorders>
            <w:shd w:val="clear" w:color="auto" w:fill="auto"/>
            <w:vAlign w:val="center"/>
            <w:hideMark/>
          </w:tcPr>
          <w:p w14:paraId="64BEFC8E" w14:textId="77777777" w:rsidR="00C80001" w:rsidRPr="004F42E3" w:rsidRDefault="00C80001" w:rsidP="00C80001">
            <w:pPr>
              <w:jc w:val="center"/>
              <w:rPr>
                <w:rFonts w:cs="Arial"/>
                <w:b/>
                <w:bCs/>
                <w:color w:val="000000"/>
                <w:sz w:val="18"/>
                <w:szCs w:val="18"/>
                <w:lang w:val="en-US" w:eastAsia="en-US"/>
              </w:rPr>
            </w:pPr>
            <w:r w:rsidRPr="004F42E3">
              <w:rPr>
                <w:rFonts w:cs="Arial"/>
                <w:b/>
                <w:bCs/>
                <w:color w:val="000000"/>
                <w:sz w:val="18"/>
                <w:szCs w:val="18"/>
                <w:lang w:val="en-US" w:eastAsia="en-US"/>
              </w:rPr>
              <w:t>Perspective for analysis</w:t>
            </w:r>
          </w:p>
        </w:tc>
        <w:tc>
          <w:tcPr>
            <w:tcW w:w="2028" w:type="dxa"/>
            <w:tcBorders>
              <w:top w:val="single" w:sz="8" w:space="0" w:color="auto"/>
              <w:left w:val="nil"/>
              <w:bottom w:val="nil"/>
              <w:right w:val="nil"/>
            </w:tcBorders>
            <w:shd w:val="clear" w:color="auto" w:fill="auto"/>
            <w:vAlign w:val="center"/>
            <w:hideMark/>
          </w:tcPr>
          <w:p w14:paraId="0DEBB3CC" w14:textId="77777777" w:rsidR="00C80001" w:rsidRPr="004F42E3" w:rsidRDefault="00C80001" w:rsidP="00C80001">
            <w:pPr>
              <w:jc w:val="center"/>
              <w:rPr>
                <w:rFonts w:cs="Arial"/>
                <w:b/>
                <w:bCs/>
                <w:color w:val="000000"/>
                <w:sz w:val="18"/>
                <w:szCs w:val="18"/>
                <w:lang w:val="en-US" w:eastAsia="en-US"/>
              </w:rPr>
            </w:pPr>
            <w:r w:rsidRPr="004F42E3">
              <w:rPr>
                <w:rFonts w:cs="Arial"/>
                <w:b/>
                <w:bCs/>
                <w:color w:val="000000"/>
                <w:sz w:val="18"/>
                <w:szCs w:val="18"/>
                <w:lang w:val="en-US" w:eastAsia="en-US"/>
              </w:rPr>
              <w:t>Outcome</w:t>
            </w:r>
          </w:p>
        </w:tc>
        <w:tc>
          <w:tcPr>
            <w:tcW w:w="2860" w:type="dxa"/>
            <w:tcBorders>
              <w:top w:val="single" w:sz="8" w:space="0" w:color="auto"/>
              <w:left w:val="nil"/>
              <w:bottom w:val="nil"/>
              <w:right w:val="single" w:sz="8" w:space="0" w:color="auto"/>
            </w:tcBorders>
            <w:shd w:val="clear" w:color="auto" w:fill="auto"/>
            <w:noWrap/>
            <w:vAlign w:val="center"/>
            <w:hideMark/>
          </w:tcPr>
          <w:p w14:paraId="265D5547" w14:textId="77777777" w:rsidR="00C80001" w:rsidRPr="004F42E3" w:rsidRDefault="00C80001" w:rsidP="00C80001">
            <w:pPr>
              <w:jc w:val="center"/>
              <w:rPr>
                <w:rFonts w:cs="Arial"/>
                <w:b/>
                <w:bCs/>
                <w:color w:val="000000"/>
                <w:sz w:val="18"/>
                <w:szCs w:val="18"/>
                <w:lang w:val="en-US" w:eastAsia="en-US"/>
              </w:rPr>
            </w:pPr>
            <w:r w:rsidRPr="004F42E3">
              <w:rPr>
                <w:rFonts w:cs="Arial"/>
                <w:b/>
                <w:bCs/>
                <w:color w:val="000000"/>
                <w:sz w:val="18"/>
                <w:szCs w:val="18"/>
                <w:lang w:val="en-US" w:eastAsia="en-US"/>
              </w:rPr>
              <w:t>Comments</w:t>
            </w:r>
          </w:p>
        </w:tc>
      </w:tr>
      <w:tr w:rsidR="00C80001" w:rsidRPr="004F42E3" w14:paraId="2C3019D0" w14:textId="77777777" w:rsidTr="00C80001">
        <w:trPr>
          <w:trHeight w:val="765"/>
        </w:trPr>
        <w:tc>
          <w:tcPr>
            <w:tcW w:w="2056" w:type="dxa"/>
            <w:tcBorders>
              <w:top w:val="single" w:sz="4" w:space="0" w:color="auto"/>
              <w:left w:val="single" w:sz="8" w:space="0" w:color="auto"/>
              <w:bottom w:val="single" w:sz="4" w:space="0" w:color="auto"/>
              <w:right w:val="single" w:sz="4" w:space="0" w:color="auto"/>
            </w:tcBorders>
            <w:shd w:val="clear" w:color="auto" w:fill="auto"/>
            <w:hideMark/>
          </w:tcPr>
          <w:p w14:paraId="607267F6" w14:textId="77777777" w:rsidR="00C80001" w:rsidRPr="004F42E3" w:rsidRDefault="00C80001" w:rsidP="00C80001">
            <w:pPr>
              <w:rPr>
                <w:rFonts w:cs="Arial"/>
                <w:color w:val="000000"/>
                <w:sz w:val="18"/>
                <w:szCs w:val="18"/>
                <w:lang w:val="en-US" w:eastAsia="en-US"/>
              </w:rPr>
            </w:pPr>
            <w:r w:rsidRPr="004F42E3">
              <w:rPr>
                <w:rFonts w:cs="Arial"/>
                <w:color w:val="000000"/>
                <w:sz w:val="18"/>
                <w:szCs w:val="18"/>
                <w:lang w:val="en-US" w:eastAsia="en-US"/>
              </w:rPr>
              <w:t>Edfeldt et al. 2014</w:t>
            </w:r>
          </w:p>
        </w:tc>
        <w:tc>
          <w:tcPr>
            <w:tcW w:w="1200" w:type="dxa"/>
            <w:tcBorders>
              <w:top w:val="single" w:sz="4" w:space="0" w:color="auto"/>
              <w:left w:val="nil"/>
              <w:bottom w:val="single" w:sz="4" w:space="0" w:color="auto"/>
              <w:right w:val="single" w:sz="4" w:space="0" w:color="auto"/>
            </w:tcBorders>
            <w:shd w:val="clear" w:color="auto" w:fill="auto"/>
            <w:hideMark/>
          </w:tcPr>
          <w:p w14:paraId="200B420E" w14:textId="77777777" w:rsidR="00C80001" w:rsidRPr="004F42E3" w:rsidRDefault="00C80001" w:rsidP="00C80001">
            <w:pPr>
              <w:rPr>
                <w:rFonts w:cs="Arial"/>
                <w:color w:val="000000"/>
                <w:sz w:val="18"/>
                <w:szCs w:val="18"/>
                <w:lang w:val="en-US" w:eastAsia="en-US"/>
              </w:rPr>
            </w:pPr>
            <w:r w:rsidRPr="004F42E3">
              <w:rPr>
                <w:rFonts w:cs="Arial"/>
                <w:color w:val="000000"/>
                <w:sz w:val="18"/>
                <w:szCs w:val="18"/>
                <w:lang w:val="en-US" w:eastAsia="en-US"/>
              </w:rPr>
              <w:t>Sweden and Norway</w:t>
            </w:r>
          </w:p>
        </w:tc>
        <w:tc>
          <w:tcPr>
            <w:tcW w:w="1642" w:type="dxa"/>
            <w:tcBorders>
              <w:top w:val="single" w:sz="4" w:space="0" w:color="auto"/>
              <w:left w:val="nil"/>
              <w:bottom w:val="single" w:sz="4" w:space="0" w:color="auto"/>
              <w:right w:val="single" w:sz="4" w:space="0" w:color="auto"/>
            </w:tcBorders>
            <w:shd w:val="clear" w:color="auto" w:fill="auto"/>
            <w:hideMark/>
          </w:tcPr>
          <w:p w14:paraId="6AF1C5F6" w14:textId="77777777" w:rsidR="00C80001" w:rsidRPr="004F42E3" w:rsidRDefault="00C80001" w:rsidP="00C80001">
            <w:pPr>
              <w:rPr>
                <w:rFonts w:cs="Arial"/>
                <w:color w:val="000000"/>
                <w:sz w:val="18"/>
                <w:szCs w:val="18"/>
                <w:lang w:val="en-US" w:eastAsia="en-US"/>
              </w:rPr>
            </w:pPr>
            <w:r w:rsidRPr="004F42E3">
              <w:rPr>
                <w:rFonts w:cs="Arial"/>
                <w:color w:val="000000"/>
                <w:sz w:val="18"/>
                <w:szCs w:val="18"/>
                <w:lang w:val="en-US" w:eastAsia="en-US"/>
              </w:rPr>
              <w:t>Cost-utility analysis</w:t>
            </w:r>
          </w:p>
        </w:tc>
        <w:tc>
          <w:tcPr>
            <w:tcW w:w="1780" w:type="dxa"/>
            <w:tcBorders>
              <w:top w:val="single" w:sz="4" w:space="0" w:color="auto"/>
              <w:left w:val="nil"/>
              <w:bottom w:val="single" w:sz="4" w:space="0" w:color="auto"/>
              <w:right w:val="single" w:sz="4" w:space="0" w:color="auto"/>
            </w:tcBorders>
            <w:shd w:val="clear" w:color="auto" w:fill="auto"/>
            <w:hideMark/>
          </w:tcPr>
          <w:p w14:paraId="58445505" w14:textId="77777777" w:rsidR="00C80001" w:rsidRPr="004F42E3" w:rsidRDefault="00C80001" w:rsidP="00C80001">
            <w:pPr>
              <w:rPr>
                <w:rFonts w:cs="Arial"/>
                <w:color w:val="000000"/>
                <w:sz w:val="18"/>
                <w:szCs w:val="18"/>
                <w:lang w:val="en-US" w:eastAsia="en-US"/>
              </w:rPr>
            </w:pPr>
            <w:r w:rsidRPr="004F42E3">
              <w:rPr>
                <w:rFonts w:cs="Arial"/>
                <w:color w:val="000000"/>
                <w:sz w:val="18"/>
                <w:szCs w:val="18"/>
                <w:lang w:val="en-US" w:eastAsia="en-US"/>
              </w:rPr>
              <w:t>VSB</w:t>
            </w:r>
          </w:p>
        </w:tc>
        <w:tc>
          <w:tcPr>
            <w:tcW w:w="1400" w:type="dxa"/>
            <w:tcBorders>
              <w:top w:val="single" w:sz="4" w:space="0" w:color="auto"/>
              <w:left w:val="nil"/>
              <w:bottom w:val="single" w:sz="4" w:space="0" w:color="auto"/>
              <w:right w:val="single" w:sz="4" w:space="0" w:color="auto"/>
            </w:tcBorders>
            <w:shd w:val="clear" w:color="auto" w:fill="auto"/>
            <w:noWrap/>
            <w:hideMark/>
          </w:tcPr>
          <w:p w14:paraId="507E74F6" w14:textId="77777777" w:rsidR="00C80001" w:rsidRPr="004F42E3" w:rsidRDefault="00C80001" w:rsidP="00C80001">
            <w:pPr>
              <w:rPr>
                <w:rFonts w:cs="Arial"/>
                <w:color w:val="000000"/>
                <w:sz w:val="18"/>
                <w:szCs w:val="18"/>
                <w:lang w:val="en-US" w:eastAsia="en-US"/>
              </w:rPr>
            </w:pPr>
            <w:r w:rsidRPr="004F42E3">
              <w:rPr>
                <w:rFonts w:cs="Arial"/>
                <w:color w:val="000000"/>
                <w:sz w:val="18"/>
                <w:szCs w:val="18"/>
                <w:lang w:val="en-US" w:eastAsia="en-US"/>
              </w:rPr>
              <w:t>None</w:t>
            </w:r>
          </w:p>
        </w:tc>
        <w:tc>
          <w:tcPr>
            <w:tcW w:w="1934" w:type="dxa"/>
            <w:tcBorders>
              <w:top w:val="single" w:sz="4" w:space="0" w:color="auto"/>
              <w:left w:val="nil"/>
              <w:bottom w:val="single" w:sz="4" w:space="0" w:color="auto"/>
              <w:right w:val="single" w:sz="4" w:space="0" w:color="auto"/>
            </w:tcBorders>
            <w:shd w:val="clear" w:color="auto" w:fill="auto"/>
            <w:hideMark/>
          </w:tcPr>
          <w:p w14:paraId="1E59DA89" w14:textId="77777777" w:rsidR="00C80001" w:rsidRPr="004F42E3" w:rsidRDefault="00C80001" w:rsidP="00C80001">
            <w:pPr>
              <w:rPr>
                <w:rFonts w:cs="Arial"/>
                <w:color w:val="000000"/>
                <w:sz w:val="18"/>
                <w:szCs w:val="18"/>
                <w:lang w:val="en-US" w:eastAsia="en-US"/>
              </w:rPr>
            </w:pPr>
            <w:r w:rsidRPr="004F42E3">
              <w:rPr>
                <w:rFonts w:cs="Arial"/>
                <w:color w:val="000000"/>
                <w:sz w:val="18"/>
                <w:szCs w:val="18"/>
                <w:lang w:val="en-US" w:eastAsia="en-US"/>
              </w:rPr>
              <w:t>Hospital</w:t>
            </w:r>
          </w:p>
        </w:tc>
        <w:tc>
          <w:tcPr>
            <w:tcW w:w="2028" w:type="dxa"/>
            <w:tcBorders>
              <w:top w:val="single" w:sz="4" w:space="0" w:color="auto"/>
              <w:left w:val="nil"/>
              <w:bottom w:val="single" w:sz="4" w:space="0" w:color="auto"/>
              <w:right w:val="single" w:sz="4" w:space="0" w:color="auto"/>
            </w:tcBorders>
            <w:shd w:val="clear" w:color="auto" w:fill="auto"/>
            <w:hideMark/>
          </w:tcPr>
          <w:p w14:paraId="78217316" w14:textId="77777777" w:rsidR="00C80001" w:rsidRPr="004F42E3" w:rsidRDefault="00C80001" w:rsidP="00C80001">
            <w:pPr>
              <w:rPr>
                <w:rFonts w:cs="Arial"/>
                <w:color w:val="000000"/>
                <w:sz w:val="18"/>
                <w:szCs w:val="18"/>
                <w:lang w:val="en-US" w:eastAsia="en-US"/>
              </w:rPr>
            </w:pPr>
            <w:r w:rsidRPr="004F42E3">
              <w:rPr>
                <w:rFonts w:cs="Arial"/>
                <w:color w:val="000000"/>
                <w:sz w:val="18"/>
                <w:szCs w:val="18"/>
                <w:lang w:val="en-US" w:eastAsia="en-US"/>
              </w:rPr>
              <w:t>Utility gain: 0,09 Cost/QALY: € 7</w:t>
            </w:r>
            <w:r w:rsidR="00B30091">
              <w:rPr>
                <w:rFonts w:cs="Arial"/>
                <w:color w:val="000000"/>
                <w:sz w:val="18"/>
                <w:szCs w:val="18"/>
                <w:lang w:val="en-US" w:eastAsia="en-US"/>
              </w:rPr>
              <w:t>.</w:t>
            </w:r>
            <w:r w:rsidRPr="004F42E3">
              <w:rPr>
                <w:rFonts w:cs="Arial"/>
                <w:color w:val="000000"/>
                <w:sz w:val="18"/>
                <w:szCs w:val="18"/>
                <w:lang w:val="en-US" w:eastAsia="en-US"/>
              </w:rPr>
              <w:t xml:space="preserve">260 </w:t>
            </w:r>
          </w:p>
        </w:tc>
        <w:tc>
          <w:tcPr>
            <w:tcW w:w="2860" w:type="dxa"/>
            <w:tcBorders>
              <w:top w:val="single" w:sz="4" w:space="0" w:color="auto"/>
              <w:left w:val="nil"/>
              <w:bottom w:val="single" w:sz="4" w:space="0" w:color="auto"/>
              <w:right w:val="single" w:sz="8" w:space="0" w:color="auto"/>
            </w:tcBorders>
            <w:shd w:val="clear" w:color="auto" w:fill="auto"/>
            <w:hideMark/>
          </w:tcPr>
          <w:p w14:paraId="36491179" w14:textId="77777777" w:rsidR="00C80001" w:rsidRPr="004F42E3" w:rsidRDefault="00C80001" w:rsidP="00C80001">
            <w:pPr>
              <w:rPr>
                <w:rFonts w:cs="Arial"/>
                <w:color w:val="000000"/>
                <w:sz w:val="18"/>
                <w:szCs w:val="18"/>
                <w:lang w:val="en-US" w:eastAsia="en-US"/>
              </w:rPr>
            </w:pPr>
            <w:r w:rsidRPr="004F42E3">
              <w:rPr>
                <w:rFonts w:cs="Arial"/>
                <w:color w:val="000000"/>
                <w:sz w:val="18"/>
                <w:szCs w:val="18"/>
                <w:lang w:val="en-US" w:eastAsia="en-US"/>
              </w:rPr>
              <w:t>Utility values obtained before and after implantation rather than from a comparator group.</w:t>
            </w:r>
          </w:p>
        </w:tc>
      </w:tr>
      <w:tr w:rsidR="00C80001" w:rsidRPr="004F42E3" w14:paraId="22887893" w14:textId="77777777" w:rsidTr="00C80001">
        <w:trPr>
          <w:trHeight w:val="1275"/>
        </w:trPr>
        <w:tc>
          <w:tcPr>
            <w:tcW w:w="2056" w:type="dxa"/>
            <w:tcBorders>
              <w:top w:val="nil"/>
              <w:left w:val="single" w:sz="8" w:space="0" w:color="auto"/>
              <w:bottom w:val="single" w:sz="4" w:space="0" w:color="auto"/>
              <w:right w:val="single" w:sz="4" w:space="0" w:color="auto"/>
            </w:tcBorders>
            <w:shd w:val="clear" w:color="auto" w:fill="auto"/>
            <w:hideMark/>
          </w:tcPr>
          <w:p w14:paraId="4C5B05A5" w14:textId="77777777" w:rsidR="00C80001" w:rsidRPr="004F42E3" w:rsidRDefault="00C80001" w:rsidP="00C80001">
            <w:pPr>
              <w:rPr>
                <w:rFonts w:cs="Arial"/>
                <w:color w:val="000000"/>
                <w:sz w:val="18"/>
                <w:szCs w:val="18"/>
                <w:lang w:val="en-US" w:eastAsia="en-US"/>
              </w:rPr>
            </w:pPr>
            <w:r w:rsidRPr="004F42E3">
              <w:rPr>
                <w:rFonts w:cs="Arial"/>
                <w:color w:val="000000"/>
                <w:sz w:val="18"/>
                <w:szCs w:val="18"/>
                <w:lang w:val="en-US" w:eastAsia="en-US"/>
              </w:rPr>
              <w:t>Snik et al. 2006</w:t>
            </w:r>
          </w:p>
        </w:tc>
        <w:tc>
          <w:tcPr>
            <w:tcW w:w="1200" w:type="dxa"/>
            <w:tcBorders>
              <w:top w:val="nil"/>
              <w:left w:val="nil"/>
              <w:bottom w:val="single" w:sz="4" w:space="0" w:color="auto"/>
              <w:right w:val="single" w:sz="4" w:space="0" w:color="auto"/>
            </w:tcBorders>
            <w:shd w:val="clear" w:color="auto" w:fill="auto"/>
            <w:hideMark/>
          </w:tcPr>
          <w:p w14:paraId="5AF476E9" w14:textId="77777777" w:rsidR="00C80001" w:rsidRPr="004F42E3" w:rsidRDefault="00C80001" w:rsidP="00C80001">
            <w:pPr>
              <w:jc w:val="center"/>
              <w:rPr>
                <w:rFonts w:cs="Arial"/>
                <w:color w:val="000000"/>
                <w:sz w:val="18"/>
                <w:szCs w:val="18"/>
                <w:lang w:val="en-US" w:eastAsia="en-US"/>
              </w:rPr>
            </w:pPr>
            <w:r w:rsidRPr="004F42E3">
              <w:rPr>
                <w:rFonts w:cs="Arial"/>
                <w:color w:val="000000"/>
                <w:sz w:val="18"/>
                <w:szCs w:val="18"/>
                <w:lang w:val="en-US" w:eastAsia="en-US"/>
              </w:rPr>
              <w:t>The Netherlands</w:t>
            </w:r>
          </w:p>
        </w:tc>
        <w:tc>
          <w:tcPr>
            <w:tcW w:w="1642" w:type="dxa"/>
            <w:tcBorders>
              <w:top w:val="nil"/>
              <w:left w:val="nil"/>
              <w:bottom w:val="single" w:sz="4" w:space="0" w:color="auto"/>
              <w:right w:val="single" w:sz="4" w:space="0" w:color="auto"/>
            </w:tcBorders>
            <w:shd w:val="clear" w:color="auto" w:fill="auto"/>
            <w:hideMark/>
          </w:tcPr>
          <w:p w14:paraId="6F82BF07" w14:textId="77777777" w:rsidR="00C80001" w:rsidRPr="004F42E3" w:rsidRDefault="00C80001" w:rsidP="00C80001">
            <w:pPr>
              <w:rPr>
                <w:rFonts w:cs="Arial"/>
                <w:color w:val="000000"/>
                <w:sz w:val="18"/>
                <w:szCs w:val="18"/>
                <w:lang w:val="en-US" w:eastAsia="en-US"/>
              </w:rPr>
            </w:pPr>
            <w:r w:rsidRPr="004F42E3">
              <w:rPr>
                <w:rFonts w:cs="Arial"/>
                <w:color w:val="000000"/>
                <w:sz w:val="18"/>
                <w:szCs w:val="18"/>
                <w:lang w:val="en-US" w:eastAsia="en-US"/>
              </w:rPr>
              <w:t>Cost-effectiveness analysis</w:t>
            </w:r>
          </w:p>
        </w:tc>
        <w:tc>
          <w:tcPr>
            <w:tcW w:w="1780" w:type="dxa"/>
            <w:tcBorders>
              <w:top w:val="nil"/>
              <w:left w:val="nil"/>
              <w:bottom w:val="single" w:sz="4" w:space="0" w:color="auto"/>
              <w:right w:val="single" w:sz="4" w:space="0" w:color="auto"/>
            </w:tcBorders>
            <w:shd w:val="clear" w:color="auto" w:fill="auto"/>
            <w:hideMark/>
          </w:tcPr>
          <w:p w14:paraId="05E76F73" w14:textId="77777777" w:rsidR="00C80001" w:rsidRPr="004F42E3" w:rsidRDefault="00C80001" w:rsidP="00C80001">
            <w:pPr>
              <w:rPr>
                <w:rFonts w:cs="Arial"/>
                <w:color w:val="000000"/>
                <w:sz w:val="18"/>
                <w:szCs w:val="18"/>
                <w:lang w:val="en-US" w:eastAsia="en-US"/>
              </w:rPr>
            </w:pPr>
            <w:r w:rsidRPr="004F42E3">
              <w:rPr>
                <w:rFonts w:cs="Arial"/>
                <w:color w:val="000000"/>
                <w:sz w:val="18"/>
                <w:szCs w:val="18"/>
                <w:lang w:val="en-US" w:eastAsia="en-US"/>
              </w:rPr>
              <w:t>MEI (VSB, Otologics MET)</w:t>
            </w:r>
          </w:p>
        </w:tc>
        <w:tc>
          <w:tcPr>
            <w:tcW w:w="1400" w:type="dxa"/>
            <w:tcBorders>
              <w:top w:val="nil"/>
              <w:left w:val="nil"/>
              <w:bottom w:val="single" w:sz="4" w:space="0" w:color="auto"/>
              <w:right w:val="single" w:sz="4" w:space="0" w:color="auto"/>
            </w:tcBorders>
            <w:shd w:val="clear" w:color="auto" w:fill="auto"/>
            <w:hideMark/>
          </w:tcPr>
          <w:p w14:paraId="1AAB44A7" w14:textId="77777777" w:rsidR="00C80001" w:rsidRPr="004F42E3" w:rsidRDefault="00C80001" w:rsidP="00C80001">
            <w:pPr>
              <w:rPr>
                <w:rFonts w:cs="Arial"/>
                <w:color w:val="000000"/>
                <w:sz w:val="18"/>
                <w:szCs w:val="18"/>
                <w:lang w:val="en-US" w:eastAsia="en-US"/>
              </w:rPr>
            </w:pPr>
            <w:r w:rsidRPr="004F42E3">
              <w:rPr>
                <w:rFonts w:cs="Arial"/>
                <w:color w:val="000000"/>
                <w:sz w:val="18"/>
                <w:szCs w:val="18"/>
                <w:lang w:val="en-US" w:eastAsia="en-US"/>
              </w:rPr>
              <w:t>None</w:t>
            </w:r>
          </w:p>
        </w:tc>
        <w:tc>
          <w:tcPr>
            <w:tcW w:w="1934" w:type="dxa"/>
            <w:tcBorders>
              <w:top w:val="nil"/>
              <w:left w:val="nil"/>
              <w:bottom w:val="single" w:sz="4" w:space="0" w:color="auto"/>
              <w:right w:val="single" w:sz="4" w:space="0" w:color="auto"/>
            </w:tcBorders>
            <w:shd w:val="clear" w:color="auto" w:fill="auto"/>
            <w:hideMark/>
          </w:tcPr>
          <w:p w14:paraId="37758526" w14:textId="77777777" w:rsidR="00C80001" w:rsidRPr="004F42E3" w:rsidRDefault="00C80001" w:rsidP="00C80001">
            <w:pPr>
              <w:rPr>
                <w:rFonts w:cs="Arial"/>
                <w:color w:val="000000"/>
                <w:sz w:val="18"/>
                <w:szCs w:val="18"/>
                <w:lang w:val="en-US" w:eastAsia="en-US"/>
              </w:rPr>
            </w:pPr>
            <w:r w:rsidRPr="004F42E3">
              <w:rPr>
                <w:rFonts w:cs="Arial"/>
                <w:color w:val="000000"/>
                <w:sz w:val="18"/>
                <w:szCs w:val="18"/>
                <w:lang w:val="en-US" w:eastAsia="en-US"/>
              </w:rPr>
              <w:t>Healthcare system/payer</w:t>
            </w:r>
          </w:p>
        </w:tc>
        <w:tc>
          <w:tcPr>
            <w:tcW w:w="2028" w:type="dxa"/>
            <w:tcBorders>
              <w:top w:val="nil"/>
              <w:left w:val="nil"/>
              <w:bottom w:val="single" w:sz="4" w:space="0" w:color="auto"/>
              <w:right w:val="single" w:sz="4" w:space="0" w:color="auto"/>
            </w:tcBorders>
            <w:shd w:val="clear" w:color="auto" w:fill="auto"/>
            <w:hideMark/>
          </w:tcPr>
          <w:p w14:paraId="3281CB69" w14:textId="77777777" w:rsidR="00C80001" w:rsidRPr="004F42E3" w:rsidRDefault="00C80001" w:rsidP="00C80001">
            <w:pPr>
              <w:rPr>
                <w:rFonts w:cs="Arial"/>
                <w:color w:val="000000"/>
                <w:sz w:val="18"/>
                <w:szCs w:val="18"/>
                <w:lang w:val="en-US" w:eastAsia="en-US"/>
              </w:rPr>
            </w:pPr>
            <w:r w:rsidRPr="004F42E3">
              <w:rPr>
                <w:rFonts w:cs="Arial"/>
                <w:color w:val="000000"/>
                <w:sz w:val="18"/>
                <w:szCs w:val="18"/>
                <w:lang w:val="en-US" w:eastAsia="en-US"/>
              </w:rPr>
              <w:t>Utility gain: 0,05 Cost/QALY: € 16</w:t>
            </w:r>
            <w:r w:rsidR="00B30091">
              <w:rPr>
                <w:rFonts w:cs="Arial"/>
                <w:color w:val="000000"/>
                <w:sz w:val="18"/>
                <w:szCs w:val="18"/>
                <w:lang w:val="en-US" w:eastAsia="en-US"/>
              </w:rPr>
              <w:t>.</w:t>
            </w:r>
            <w:r w:rsidRPr="004F42E3">
              <w:rPr>
                <w:rFonts w:cs="Arial"/>
                <w:color w:val="000000"/>
                <w:sz w:val="18"/>
                <w:szCs w:val="18"/>
                <w:lang w:val="en-US" w:eastAsia="en-US"/>
              </w:rPr>
              <w:t xml:space="preserve">085 </w:t>
            </w:r>
          </w:p>
        </w:tc>
        <w:tc>
          <w:tcPr>
            <w:tcW w:w="2860" w:type="dxa"/>
            <w:tcBorders>
              <w:top w:val="nil"/>
              <w:left w:val="nil"/>
              <w:bottom w:val="single" w:sz="4" w:space="0" w:color="auto"/>
              <w:right w:val="single" w:sz="8" w:space="0" w:color="auto"/>
            </w:tcBorders>
            <w:shd w:val="clear" w:color="auto" w:fill="auto"/>
            <w:hideMark/>
          </w:tcPr>
          <w:p w14:paraId="3865555C" w14:textId="77777777" w:rsidR="00C80001" w:rsidRPr="004F42E3" w:rsidRDefault="00C80001" w:rsidP="00C80001">
            <w:pPr>
              <w:rPr>
                <w:rFonts w:cs="Arial"/>
                <w:color w:val="000000"/>
                <w:sz w:val="18"/>
                <w:szCs w:val="18"/>
                <w:lang w:val="en-US" w:eastAsia="en-US"/>
              </w:rPr>
            </w:pPr>
            <w:r w:rsidRPr="004F42E3">
              <w:rPr>
                <w:rFonts w:cs="Arial"/>
                <w:color w:val="000000"/>
                <w:sz w:val="18"/>
                <w:szCs w:val="18"/>
                <w:lang w:val="en-US" w:eastAsia="en-US"/>
              </w:rPr>
              <w:t>Utility values obtained before and after implantation rather than from a comparator group. Outcomes obtained for each MEI are pooled together.</w:t>
            </w:r>
          </w:p>
        </w:tc>
      </w:tr>
      <w:tr w:rsidR="00C80001" w:rsidRPr="004F42E3" w14:paraId="0B7F174E" w14:textId="77777777" w:rsidTr="00C80001">
        <w:trPr>
          <w:trHeight w:val="765"/>
        </w:trPr>
        <w:tc>
          <w:tcPr>
            <w:tcW w:w="2056" w:type="dxa"/>
            <w:tcBorders>
              <w:top w:val="nil"/>
              <w:left w:val="single" w:sz="8" w:space="0" w:color="auto"/>
              <w:bottom w:val="single" w:sz="4" w:space="0" w:color="auto"/>
              <w:right w:val="single" w:sz="4" w:space="0" w:color="auto"/>
            </w:tcBorders>
            <w:shd w:val="clear" w:color="auto" w:fill="auto"/>
            <w:hideMark/>
          </w:tcPr>
          <w:p w14:paraId="6886642F" w14:textId="77777777" w:rsidR="00C80001" w:rsidRPr="004F42E3" w:rsidRDefault="00C80001" w:rsidP="00C80001">
            <w:pPr>
              <w:rPr>
                <w:rFonts w:cs="Arial"/>
                <w:color w:val="000000"/>
                <w:sz w:val="18"/>
                <w:szCs w:val="18"/>
                <w:lang w:val="en-US" w:eastAsia="en-US"/>
              </w:rPr>
            </w:pPr>
            <w:r w:rsidRPr="004F42E3">
              <w:rPr>
                <w:rFonts w:cs="Arial"/>
                <w:color w:val="000000"/>
                <w:sz w:val="18"/>
                <w:szCs w:val="18"/>
                <w:lang w:val="en-US" w:eastAsia="en-US"/>
              </w:rPr>
              <w:t>Alberta Health and Wellness (2011)</w:t>
            </w:r>
          </w:p>
        </w:tc>
        <w:tc>
          <w:tcPr>
            <w:tcW w:w="1200" w:type="dxa"/>
            <w:tcBorders>
              <w:top w:val="nil"/>
              <w:left w:val="nil"/>
              <w:bottom w:val="single" w:sz="4" w:space="0" w:color="auto"/>
              <w:right w:val="single" w:sz="4" w:space="0" w:color="auto"/>
            </w:tcBorders>
            <w:shd w:val="clear" w:color="auto" w:fill="auto"/>
            <w:noWrap/>
            <w:hideMark/>
          </w:tcPr>
          <w:p w14:paraId="06BE558A" w14:textId="77777777" w:rsidR="00C80001" w:rsidRPr="004F42E3" w:rsidRDefault="00C80001" w:rsidP="00C80001">
            <w:pPr>
              <w:rPr>
                <w:rFonts w:cs="Arial"/>
                <w:color w:val="000000"/>
                <w:sz w:val="18"/>
                <w:szCs w:val="18"/>
                <w:lang w:val="en-US" w:eastAsia="en-US"/>
              </w:rPr>
            </w:pPr>
            <w:r w:rsidRPr="004F42E3">
              <w:rPr>
                <w:rFonts w:cs="Arial"/>
                <w:color w:val="000000"/>
                <w:sz w:val="18"/>
                <w:szCs w:val="18"/>
                <w:lang w:val="en-US" w:eastAsia="en-US"/>
              </w:rPr>
              <w:t>Canada</w:t>
            </w:r>
          </w:p>
        </w:tc>
        <w:tc>
          <w:tcPr>
            <w:tcW w:w="1642" w:type="dxa"/>
            <w:tcBorders>
              <w:top w:val="nil"/>
              <w:left w:val="nil"/>
              <w:bottom w:val="single" w:sz="4" w:space="0" w:color="auto"/>
              <w:right w:val="single" w:sz="4" w:space="0" w:color="auto"/>
            </w:tcBorders>
            <w:shd w:val="clear" w:color="auto" w:fill="auto"/>
            <w:hideMark/>
          </w:tcPr>
          <w:p w14:paraId="4EE44947" w14:textId="77777777" w:rsidR="00C80001" w:rsidRPr="004F42E3" w:rsidRDefault="00C80001" w:rsidP="00C80001">
            <w:pPr>
              <w:rPr>
                <w:rFonts w:cs="Arial"/>
                <w:color w:val="000000"/>
                <w:sz w:val="18"/>
                <w:szCs w:val="18"/>
                <w:lang w:val="en-US" w:eastAsia="en-US"/>
              </w:rPr>
            </w:pPr>
            <w:r w:rsidRPr="004F42E3">
              <w:rPr>
                <w:rFonts w:cs="Arial"/>
                <w:color w:val="000000"/>
                <w:sz w:val="18"/>
                <w:szCs w:val="18"/>
                <w:lang w:val="en-US" w:eastAsia="en-US"/>
              </w:rPr>
              <w:t xml:space="preserve">Decision model </w:t>
            </w:r>
          </w:p>
        </w:tc>
        <w:tc>
          <w:tcPr>
            <w:tcW w:w="1780" w:type="dxa"/>
            <w:tcBorders>
              <w:top w:val="nil"/>
              <w:left w:val="nil"/>
              <w:bottom w:val="single" w:sz="4" w:space="0" w:color="auto"/>
              <w:right w:val="single" w:sz="4" w:space="0" w:color="auto"/>
            </w:tcBorders>
            <w:shd w:val="clear" w:color="auto" w:fill="auto"/>
            <w:hideMark/>
          </w:tcPr>
          <w:p w14:paraId="26DC00D6" w14:textId="77777777" w:rsidR="00C80001" w:rsidRPr="004F42E3" w:rsidRDefault="00C80001" w:rsidP="00C80001">
            <w:pPr>
              <w:rPr>
                <w:rFonts w:cs="Arial"/>
                <w:color w:val="000000"/>
                <w:sz w:val="18"/>
                <w:szCs w:val="18"/>
                <w:lang w:val="en-US" w:eastAsia="en-US"/>
              </w:rPr>
            </w:pPr>
            <w:r w:rsidRPr="004F42E3">
              <w:rPr>
                <w:rFonts w:cs="Arial"/>
                <w:color w:val="000000"/>
                <w:sz w:val="18"/>
                <w:szCs w:val="18"/>
                <w:lang w:val="en-US" w:eastAsia="en-US"/>
              </w:rPr>
              <w:t>MEI (VSB, Esteem, Carina)</w:t>
            </w:r>
          </w:p>
        </w:tc>
        <w:tc>
          <w:tcPr>
            <w:tcW w:w="1400" w:type="dxa"/>
            <w:tcBorders>
              <w:top w:val="nil"/>
              <w:left w:val="nil"/>
              <w:bottom w:val="single" w:sz="4" w:space="0" w:color="auto"/>
              <w:right w:val="single" w:sz="4" w:space="0" w:color="auto"/>
            </w:tcBorders>
            <w:shd w:val="clear" w:color="auto" w:fill="auto"/>
            <w:noWrap/>
            <w:hideMark/>
          </w:tcPr>
          <w:p w14:paraId="6118D5A0" w14:textId="77777777" w:rsidR="00C80001" w:rsidRPr="004F42E3" w:rsidRDefault="00C80001" w:rsidP="00C80001">
            <w:pPr>
              <w:rPr>
                <w:rFonts w:cs="Arial"/>
                <w:color w:val="000000"/>
                <w:sz w:val="18"/>
                <w:szCs w:val="18"/>
                <w:lang w:val="en-US" w:eastAsia="en-US"/>
              </w:rPr>
            </w:pPr>
            <w:r w:rsidRPr="004F42E3">
              <w:rPr>
                <w:rFonts w:cs="Arial"/>
                <w:color w:val="000000"/>
                <w:sz w:val="18"/>
                <w:szCs w:val="18"/>
                <w:lang w:val="en-US" w:eastAsia="en-US"/>
              </w:rPr>
              <w:t>HA, BAHA, CI</w:t>
            </w:r>
          </w:p>
        </w:tc>
        <w:tc>
          <w:tcPr>
            <w:tcW w:w="1934" w:type="dxa"/>
            <w:tcBorders>
              <w:top w:val="nil"/>
              <w:left w:val="nil"/>
              <w:bottom w:val="single" w:sz="4" w:space="0" w:color="auto"/>
              <w:right w:val="single" w:sz="4" w:space="0" w:color="auto"/>
            </w:tcBorders>
            <w:shd w:val="clear" w:color="auto" w:fill="auto"/>
            <w:hideMark/>
          </w:tcPr>
          <w:p w14:paraId="10C84AB2" w14:textId="77777777" w:rsidR="00C80001" w:rsidRPr="004F42E3" w:rsidRDefault="00C80001" w:rsidP="00C80001">
            <w:pPr>
              <w:rPr>
                <w:rFonts w:cs="Arial"/>
                <w:color w:val="000000"/>
                <w:sz w:val="18"/>
                <w:szCs w:val="18"/>
                <w:lang w:val="en-US" w:eastAsia="en-US"/>
              </w:rPr>
            </w:pPr>
            <w:r w:rsidRPr="004F42E3">
              <w:rPr>
                <w:rFonts w:cs="Arial"/>
                <w:color w:val="000000"/>
                <w:sz w:val="18"/>
                <w:szCs w:val="18"/>
                <w:lang w:val="en-US" w:eastAsia="en-US"/>
              </w:rPr>
              <w:t>Healthcare system/payer</w:t>
            </w:r>
          </w:p>
        </w:tc>
        <w:tc>
          <w:tcPr>
            <w:tcW w:w="2028" w:type="dxa"/>
            <w:tcBorders>
              <w:top w:val="nil"/>
              <w:left w:val="nil"/>
              <w:bottom w:val="single" w:sz="4" w:space="0" w:color="auto"/>
              <w:right w:val="single" w:sz="4" w:space="0" w:color="auto"/>
            </w:tcBorders>
            <w:shd w:val="clear" w:color="auto" w:fill="auto"/>
            <w:hideMark/>
          </w:tcPr>
          <w:p w14:paraId="6EE653E5" w14:textId="77777777" w:rsidR="00C80001" w:rsidRPr="004F42E3" w:rsidRDefault="00C80001" w:rsidP="00C80001">
            <w:pPr>
              <w:rPr>
                <w:rFonts w:cs="Arial"/>
                <w:color w:val="000000"/>
                <w:sz w:val="18"/>
                <w:szCs w:val="18"/>
                <w:lang w:val="en-US" w:eastAsia="en-US"/>
              </w:rPr>
            </w:pPr>
            <w:r w:rsidRPr="004F42E3">
              <w:rPr>
                <w:rFonts w:cs="Arial"/>
                <w:color w:val="000000"/>
                <w:sz w:val="18"/>
                <w:szCs w:val="18"/>
                <w:lang w:val="en-US" w:eastAsia="en-US"/>
              </w:rPr>
              <w:t>Total cost</w:t>
            </w:r>
            <w:r w:rsidRPr="004F42E3">
              <w:rPr>
                <w:rFonts w:cs="Arial"/>
                <w:color w:val="000000"/>
                <w:sz w:val="18"/>
                <w:szCs w:val="18"/>
                <w:lang w:val="en-US" w:eastAsia="en-US"/>
              </w:rPr>
              <w:br/>
              <w:t>of MEI over 5 years: $2`677</w:t>
            </w:r>
            <w:r w:rsidR="00B30091">
              <w:rPr>
                <w:rFonts w:cs="Arial"/>
                <w:color w:val="000000"/>
                <w:sz w:val="18"/>
                <w:szCs w:val="18"/>
                <w:lang w:val="en-US" w:eastAsia="en-US"/>
              </w:rPr>
              <w:t>.</w:t>
            </w:r>
            <w:r w:rsidRPr="004F42E3">
              <w:rPr>
                <w:rFonts w:cs="Arial"/>
                <w:color w:val="000000"/>
                <w:sz w:val="18"/>
                <w:szCs w:val="18"/>
                <w:lang w:val="en-US" w:eastAsia="en-US"/>
              </w:rPr>
              <w:t>497</w:t>
            </w:r>
          </w:p>
        </w:tc>
        <w:tc>
          <w:tcPr>
            <w:tcW w:w="2860" w:type="dxa"/>
            <w:tcBorders>
              <w:top w:val="nil"/>
              <w:left w:val="nil"/>
              <w:bottom w:val="single" w:sz="4" w:space="0" w:color="auto"/>
              <w:right w:val="single" w:sz="8" w:space="0" w:color="auto"/>
            </w:tcBorders>
            <w:shd w:val="clear" w:color="auto" w:fill="auto"/>
            <w:hideMark/>
          </w:tcPr>
          <w:p w14:paraId="152D721A" w14:textId="77777777" w:rsidR="00C80001" w:rsidRPr="004F42E3" w:rsidRDefault="00C80001" w:rsidP="00C80001">
            <w:pPr>
              <w:rPr>
                <w:rFonts w:cs="Arial"/>
                <w:color w:val="000000"/>
                <w:sz w:val="18"/>
                <w:szCs w:val="18"/>
                <w:lang w:val="en-US" w:eastAsia="en-US"/>
              </w:rPr>
            </w:pPr>
            <w:r w:rsidRPr="004F42E3">
              <w:rPr>
                <w:rFonts w:cs="Arial"/>
                <w:color w:val="000000"/>
                <w:sz w:val="18"/>
                <w:szCs w:val="18"/>
                <w:lang w:val="en-US" w:eastAsia="en-US"/>
              </w:rPr>
              <w:t>The cost was calculated as an</w:t>
            </w:r>
            <w:r w:rsidRPr="004F42E3">
              <w:rPr>
                <w:rFonts w:cs="Arial"/>
                <w:color w:val="000000"/>
                <w:sz w:val="18"/>
                <w:szCs w:val="18"/>
                <w:lang w:val="en-US" w:eastAsia="en-US"/>
              </w:rPr>
              <w:br/>
              <w:t>average of the inflated cost (5%) over 5 years.</w:t>
            </w:r>
          </w:p>
        </w:tc>
      </w:tr>
      <w:tr w:rsidR="00C80001" w:rsidRPr="004F42E3" w14:paraId="2B8C234C" w14:textId="77777777" w:rsidTr="00C80001">
        <w:trPr>
          <w:trHeight w:val="1410"/>
        </w:trPr>
        <w:tc>
          <w:tcPr>
            <w:tcW w:w="2056" w:type="dxa"/>
            <w:tcBorders>
              <w:top w:val="nil"/>
              <w:left w:val="single" w:sz="8" w:space="0" w:color="auto"/>
              <w:bottom w:val="single" w:sz="4" w:space="0" w:color="auto"/>
              <w:right w:val="single" w:sz="4" w:space="0" w:color="auto"/>
            </w:tcBorders>
            <w:shd w:val="clear" w:color="auto" w:fill="auto"/>
            <w:hideMark/>
          </w:tcPr>
          <w:p w14:paraId="25ADC63B" w14:textId="77777777" w:rsidR="00C80001" w:rsidRPr="004F42E3" w:rsidRDefault="00C80001" w:rsidP="00C80001">
            <w:pPr>
              <w:rPr>
                <w:rFonts w:cs="Arial"/>
                <w:color w:val="000000"/>
                <w:sz w:val="18"/>
                <w:szCs w:val="18"/>
                <w:lang w:val="en-US" w:eastAsia="en-US"/>
              </w:rPr>
            </w:pPr>
            <w:r w:rsidRPr="004F42E3">
              <w:rPr>
                <w:rFonts w:cs="Arial"/>
                <w:color w:val="000000"/>
                <w:sz w:val="18"/>
                <w:szCs w:val="18"/>
                <w:lang w:val="en-US" w:eastAsia="en-US"/>
              </w:rPr>
              <w:t>Medical Services Advisory Committee (2010)</w:t>
            </w:r>
          </w:p>
        </w:tc>
        <w:tc>
          <w:tcPr>
            <w:tcW w:w="1200" w:type="dxa"/>
            <w:tcBorders>
              <w:top w:val="nil"/>
              <w:left w:val="nil"/>
              <w:bottom w:val="single" w:sz="4" w:space="0" w:color="auto"/>
              <w:right w:val="single" w:sz="4" w:space="0" w:color="auto"/>
            </w:tcBorders>
            <w:shd w:val="clear" w:color="auto" w:fill="auto"/>
            <w:noWrap/>
            <w:hideMark/>
          </w:tcPr>
          <w:p w14:paraId="169A966F" w14:textId="77777777" w:rsidR="00C80001" w:rsidRPr="004F42E3" w:rsidRDefault="00C80001" w:rsidP="00C80001">
            <w:pPr>
              <w:rPr>
                <w:rFonts w:cs="Arial"/>
                <w:color w:val="000000"/>
                <w:sz w:val="18"/>
                <w:szCs w:val="18"/>
                <w:lang w:val="en-US" w:eastAsia="en-US"/>
              </w:rPr>
            </w:pPr>
            <w:r w:rsidRPr="004F42E3">
              <w:rPr>
                <w:rFonts w:cs="Arial"/>
                <w:color w:val="000000"/>
                <w:sz w:val="18"/>
                <w:szCs w:val="18"/>
                <w:lang w:val="en-US" w:eastAsia="en-US"/>
              </w:rPr>
              <w:t>Australia</w:t>
            </w:r>
          </w:p>
        </w:tc>
        <w:tc>
          <w:tcPr>
            <w:tcW w:w="1642" w:type="dxa"/>
            <w:tcBorders>
              <w:top w:val="nil"/>
              <w:left w:val="nil"/>
              <w:bottom w:val="single" w:sz="4" w:space="0" w:color="auto"/>
              <w:right w:val="single" w:sz="4" w:space="0" w:color="auto"/>
            </w:tcBorders>
            <w:shd w:val="clear" w:color="auto" w:fill="auto"/>
            <w:hideMark/>
          </w:tcPr>
          <w:p w14:paraId="4389E15D" w14:textId="77777777" w:rsidR="00C80001" w:rsidRPr="004F42E3" w:rsidRDefault="00C80001" w:rsidP="00C80001">
            <w:pPr>
              <w:rPr>
                <w:rFonts w:cs="Arial"/>
                <w:color w:val="000000"/>
                <w:sz w:val="18"/>
                <w:szCs w:val="18"/>
                <w:lang w:val="en-US" w:eastAsia="en-US"/>
              </w:rPr>
            </w:pPr>
            <w:r w:rsidRPr="004F42E3">
              <w:rPr>
                <w:rFonts w:cs="Arial"/>
                <w:color w:val="000000"/>
                <w:sz w:val="18"/>
                <w:szCs w:val="18"/>
                <w:lang w:val="en-US" w:eastAsia="en-US"/>
              </w:rPr>
              <w:t>Cost-minimisation analysis</w:t>
            </w:r>
          </w:p>
        </w:tc>
        <w:tc>
          <w:tcPr>
            <w:tcW w:w="1780" w:type="dxa"/>
            <w:tcBorders>
              <w:top w:val="nil"/>
              <w:left w:val="nil"/>
              <w:bottom w:val="single" w:sz="4" w:space="0" w:color="auto"/>
              <w:right w:val="single" w:sz="4" w:space="0" w:color="auto"/>
            </w:tcBorders>
            <w:shd w:val="clear" w:color="auto" w:fill="auto"/>
            <w:hideMark/>
          </w:tcPr>
          <w:p w14:paraId="1B9779BD" w14:textId="77777777" w:rsidR="00C80001" w:rsidRPr="004F42E3" w:rsidRDefault="00C80001" w:rsidP="00C80001">
            <w:pPr>
              <w:rPr>
                <w:rFonts w:cs="Arial"/>
                <w:color w:val="000000"/>
                <w:sz w:val="18"/>
                <w:szCs w:val="18"/>
                <w:lang w:val="en-US" w:eastAsia="en-US"/>
              </w:rPr>
            </w:pPr>
            <w:r w:rsidRPr="004F42E3">
              <w:rPr>
                <w:rFonts w:cs="Arial"/>
                <w:color w:val="000000"/>
                <w:sz w:val="18"/>
                <w:szCs w:val="18"/>
                <w:lang w:val="en-US" w:eastAsia="en-US"/>
              </w:rPr>
              <w:t xml:space="preserve">MEI (VSB, Otologics MET, Esteem, Rion , SOUNDTEC, TICA MEIs) </w:t>
            </w:r>
          </w:p>
        </w:tc>
        <w:tc>
          <w:tcPr>
            <w:tcW w:w="1400" w:type="dxa"/>
            <w:tcBorders>
              <w:top w:val="nil"/>
              <w:left w:val="nil"/>
              <w:bottom w:val="single" w:sz="4" w:space="0" w:color="auto"/>
              <w:right w:val="single" w:sz="4" w:space="0" w:color="auto"/>
            </w:tcBorders>
            <w:shd w:val="clear" w:color="auto" w:fill="auto"/>
            <w:noWrap/>
            <w:hideMark/>
          </w:tcPr>
          <w:p w14:paraId="1D26100B" w14:textId="77777777" w:rsidR="00C80001" w:rsidRPr="004F42E3" w:rsidRDefault="00C80001" w:rsidP="00C80001">
            <w:pPr>
              <w:rPr>
                <w:rFonts w:cs="Arial"/>
                <w:color w:val="000000"/>
                <w:sz w:val="18"/>
                <w:szCs w:val="18"/>
                <w:lang w:val="en-US" w:eastAsia="en-US"/>
              </w:rPr>
            </w:pPr>
            <w:r w:rsidRPr="004F42E3">
              <w:rPr>
                <w:rFonts w:cs="Arial"/>
                <w:color w:val="000000"/>
                <w:sz w:val="18"/>
                <w:szCs w:val="18"/>
                <w:lang w:val="en-US" w:eastAsia="en-US"/>
              </w:rPr>
              <w:t>BAHA, CI</w:t>
            </w:r>
          </w:p>
        </w:tc>
        <w:tc>
          <w:tcPr>
            <w:tcW w:w="1934" w:type="dxa"/>
            <w:tcBorders>
              <w:top w:val="nil"/>
              <w:left w:val="nil"/>
              <w:bottom w:val="single" w:sz="4" w:space="0" w:color="auto"/>
              <w:right w:val="single" w:sz="4" w:space="0" w:color="auto"/>
            </w:tcBorders>
            <w:shd w:val="clear" w:color="auto" w:fill="auto"/>
            <w:hideMark/>
          </w:tcPr>
          <w:p w14:paraId="58423B4E" w14:textId="77777777" w:rsidR="00C80001" w:rsidRPr="004F42E3" w:rsidRDefault="00C80001" w:rsidP="00C80001">
            <w:pPr>
              <w:rPr>
                <w:rFonts w:cs="Arial"/>
                <w:color w:val="000000"/>
                <w:sz w:val="18"/>
                <w:szCs w:val="18"/>
                <w:lang w:val="en-US" w:eastAsia="en-US"/>
              </w:rPr>
            </w:pPr>
            <w:r w:rsidRPr="004F42E3">
              <w:rPr>
                <w:rFonts w:cs="Arial"/>
                <w:color w:val="000000"/>
                <w:sz w:val="18"/>
                <w:szCs w:val="18"/>
                <w:lang w:val="en-US" w:eastAsia="en-US"/>
              </w:rPr>
              <w:t>limited societal</w:t>
            </w:r>
          </w:p>
        </w:tc>
        <w:tc>
          <w:tcPr>
            <w:tcW w:w="2028" w:type="dxa"/>
            <w:tcBorders>
              <w:top w:val="nil"/>
              <w:left w:val="nil"/>
              <w:bottom w:val="single" w:sz="4" w:space="0" w:color="auto"/>
              <w:right w:val="single" w:sz="4" w:space="0" w:color="auto"/>
            </w:tcBorders>
            <w:shd w:val="clear" w:color="auto" w:fill="auto"/>
            <w:hideMark/>
          </w:tcPr>
          <w:p w14:paraId="7FE9F9D9" w14:textId="77777777" w:rsidR="00C80001" w:rsidRPr="004F42E3" w:rsidRDefault="00C80001" w:rsidP="00C80001">
            <w:pPr>
              <w:rPr>
                <w:rFonts w:cs="Arial"/>
                <w:color w:val="000000"/>
                <w:sz w:val="18"/>
                <w:szCs w:val="18"/>
                <w:lang w:val="en-US" w:eastAsia="en-US"/>
              </w:rPr>
            </w:pPr>
            <w:r w:rsidRPr="004F42E3">
              <w:rPr>
                <w:rFonts w:cs="Arial"/>
                <w:color w:val="000000"/>
                <w:sz w:val="18"/>
                <w:szCs w:val="18"/>
                <w:lang w:val="en-US" w:eastAsia="en-US"/>
              </w:rPr>
              <w:t>Average cost of</w:t>
            </w:r>
            <w:r w:rsidRPr="004F42E3">
              <w:rPr>
                <w:rFonts w:cs="Arial"/>
                <w:color w:val="000000"/>
                <w:sz w:val="18"/>
                <w:szCs w:val="18"/>
                <w:lang w:val="en-US" w:eastAsia="en-US"/>
              </w:rPr>
              <w:br/>
              <w:t>MEI: $23</w:t>
            </w:r>
            <w:r w:rsidR="00B30091">
              <w:rPr>
                <w:rFonts w:cs="Arial"/>
                <w:color w:val="000000"/>
                <w:sz w:val="18"/>
                <w:szCs w:val="18"/>
                <w:lang w:val="en-US" w:eastAsia="en-US"/>
              </w:rPr>
              <w:t>.</w:t>
            </w:r>
            <w:r w:rsidRPr="004F42E3">
              <w:rPr>
                <w:rFonts w:cs="Arial"/>
                <w:color w:val="000000"/>
                <w:sz w:val="18"/>
                <w:szCs w:val="18"/>
                <w:lang w:val="en-US" w:eastAsia="en-US"/>
              </w:rPr>
              <w:t>873</w:t>
            </w:r>
          </w:p>
        </w:tc>
        <w:tc>
          <w:tcPr>
            <w:tcW w:w="2860" w:type="dxa"/>
            <w:tcBorders>
              <w:top w:val="nil"/>
              <w:left w:val="nil"/>
              <w:bottom w:val="single" w:sz="4" w:space="0" w:color="auto"/>
              <w:right w:val="single" w:sz="8" w:space="0" w:color="auto"/>
            </w:tcBorders>
            <w:shd w:val="clear" w:color="auto" w:fill="auto"/>
            <w:hideMark/>
          </w:tcPr>
          <w:p w14:paraId="4E22E3DB" w14:textId="77777777" w:rsidR="00C80001" w:rsidRPr="004F42E3" w:rsidRDefault="00C80001" w:rsidP="00C80001">
            <w:pPr>
              <w:rPr>
                <w:rFonts w:cs="Arial"/>
                <w:color w:val="000000"/>
                <w:sz w:val="18"/>
                <w:szCs w:val="18"/>
                <w:lang w:val="en-US" w:eastAsia="en-US"/>
              </w:rPr>
            </w:pPr>
            <w:r w:rsidRPr="004F42E3">
              <w:rPr>
                <w:rFonts w:cs="Arial"/>
                <w:color w:val="000000"/>
                <w:sz w:val="18"/>
                <w:szCs w:val="18"/>
                <w:lang w:val="en-US" w:eastAsia="en-US"/>
              </w:rPr>
              <w:t>All implants deemed as being equally effective on primary outcome.</w:t>
            </w:r>
          </w:p>
        </w:tc>
      </w:tr>
      <w:tr w:rsidR="00C80001" w:rsidRPr="004F42E3" w14:paraId="5B146DC1" w14:textId="77777777" w:rsidTr="00C80001">
        <w:trPr>
          <w:trHeight w:val="1170"/>
        </w:trPr>
        <w:tc>
          <w:tcPr>
            <w:tcW w:w="2056" w:type="dxa"/>
            <w:tcBorders>
              <w:top w:val="nil"/>
              <w:left w:val="single" w:sz="8" w:space="0" w:color="auto"/>
              <w:bottom w:val="single" w:sz="8" w:space="0" w:color="auto"/>
              <w:right w:val="single" w:sz="4" w:space="0" w:color="auto"/>
            </w:tcBorders>
            <w:shd w:val="clear" w:color="auto" w:fill="auto"/>
            <w:hideMark/>
          </w:tcPr>
          <w:p w14:paraId="3A32F32D" w14:textId="77777777" w:rsidR="00C80001" w:rsidRPr="004F42E3" w:rsidRDefault="00C80001" w:rsidP="00C80001">
            <w:pPr>
              <w:rPr>
                <w:rFonts w:cs="Arial"/>
                <w:color w:val="000000"/>
                <w:sz w:val="18"/>
                <w:szCs w:val="18"/>
                <w:lang w:val="fr-FR" w:eastAsia="en-US"/>
              </w:rPr>
            </w:pPr>
            <w:r w:rsidRPr="004F42E3">
              <w:rPr>
                <w:rFonts w:cs="Arial"/>
                <w:color w:val="000000"/>
                <w:sz w:val="18"/>
                <w:szCs w:val="18"/>
                <w:lang w:val="fr-FR" w:eastAsia="en-US"/>
              </w:rPr>
              <w:t>Comite d'Evaluation et de Diffusion des Innovations Technologiques (2002)</w:t>
            </w:r>
          </w:p>
        </w:tc>
        <w:tc>
          <w:tcPr>
            <w:tcW w:w="1200" w:type="dxa"/>
            <w:tcBorders>
              <w:top w:val="nil"/>
              <w:left w:val="nil"/>
              <w:bottom w:val="single" w:sz="8" w:space="0" w:color="auto"/>
              <w:right w:val="single" w:sz="4" w:space="0" w:color="auto"/>
            </w:tcBorders>
            <w:shd w:val="clear" w:color="auto" w:fill="auto"/>
            <w:noWrap/>
            <w:hideMark/>
          </w:tcPr>
          <w:p w14:paraId="4FA7D3A6" w14:textId="77777777" w:rsidR="00C80001" w:rsidRPr="004F42E3" w:rsidRDefault="00C80001" w:rsidP="00C80001">
            <w:pPr>
              <w:rPr>
                <w:rFonts w:cs="Arial"/>
                <w:color w:val="000000"/>
                <w:sz w:val="18"/>
                <w:szCs w:val="18"/>
                <w:lang w:val="en-US" w:eastAsia="en-US"/>
              </w:rPr>
            </w:pPr>
            <w:r w:rsidRPr="004F42E3">
              <w:rPr>
                <w:rFonts w:cs="Arial"/>
                <w:color w:val="000000"/>
                <w:sz w:val="18"/>
                <w:szCs w:val="18"/>
                <w:lang w:val="en-US" w:eastAsia="en-US"/>
              </w:rPr>
              <w:t>France</w:t>
            </w:r>
          </w:p>
        </w:tc>
        <w:tc>
          <w:tcPr>
            <w:tcW w:w="1642" w:type="dxa"/>
            <w:tcBorders>
              <w:top w:val="nil"/>
              <w:left w:val="nil"/>
              <w:bottom w:val="single" w:sz="8" w:space="0" w:color="auto"/>
              <w:right w:val="single" w:sz="4" w:space="0" w:color="auto"/>
            </w:tcBorders>
            <w:shd w:val="clear" w:color="auto" w:fill="auto"/>
            <w:hideMark/>
          </w:tcPr>
          <w:p w14:paraId="746F5A06" w14:textId="77777777" w:rsidR="00C80001" w:rsidRPr="004F42E3" w:rsidRDefault="00C80001" w:rsidP="00C80001">
            <w:pPr>
              <w:rPr>
                <w:rFonts w:cs="Arial"/>
                <w:color w:val="000000"/>
                <w:sz w:val="18"/>
                <w:szCs w:val="18"/>
                <w:lang w:val="en-US" w:eastAsia="en-US"/>
              </w:rPr>
            </w:pPr>
            <w:r w:rsidRPr="004F42E3">
              <w:rPr>
                <w:rFonts w:cs="Arial"/>
                <w:color w:val="000000"/>
                <w:sz w:val="18"/>
                <w:szCs w:val="18"/>
                <w:lang w:val="en-US" w:eastAsia="en-US"/>
              </w:rPr>
              <w:t>Cost analysis per case</w:t>
            </w:r>
          </w:p>
        </w:tc>
        <w:tc>
          <w:tcPr>
            <w:tcW w:w="1780" w:type="dxa"/>
            <w:tcBorders>
              <w:top w:val="nil"/>
              <w:left w:val="nil"/>
              <w:bottom w:val="single" w:sz="8" w:space="0" w:color="auto"/>
              <w:right w:val="single" w:sz="4" w:space="0" w:color="auto"/>
            </w:tcBorders>
            <w:shd w:val="clear" w:color="auto" w:fill="auto"/>
            <w:hideMark/>
          </w:tcPr>
          <w:p w14:paraId="6EDD8666" w14:textId="77777777" w:rsidR="00C80001" w:rsidRPr="004F42E3" w:rsidRDefault="00C80001" w:rsidP="00C80001">
            <w:pPr>
              <w:rPr>
                <w:rFonts w:cs="Arial"/>
                <w:color w:val="000000"/>
                <w:sz w:val="18"/>
                <w:szCs w:val="18"/>
                <w:lang w:val="fr-FR" w:eastAsia="en-US"/>
              </w:rPr>
            </w:pPr>
            <w:r w:rsidRPr="004F42E3">
              <w:rPr>
                <w:rFonts w:cs="Arial"/>
                <w:color w:val="000000"/>
                <w:sz w:val="18"/>
                <w:szCs w:val="18"/>
                <w:lang w:val="fr-FR" w:eastAsia="en-US"/>
              </w:rPr>
              <w:t>MEI (VSB, Otologics MET, SOUNDTEC)</w:t>
            </w:r>
          </w:p>
        </w:tc>
        <w:tc>
          <w:tcPr>
            <w:tcW w:w="1400" w:type="dxa"/>
            <w:tcBorders>
              <w:top w:val="nil"/>
              <w:left w:val="nil"/>
              <w:bottom w:val="single" w:sz="8" w:space="0" w:color="auto"/>
              <w:right w:val="single" w:sz="4" w:space="0" w:color="auto"/>
            </w:tcBorders>
            <w:shd w:val="clear" w:color="auto" w:fill="auto"/>
            <w:noWrap/>
            <w:hideMark/>
          </w:tcPr>
          <w:p w14:paraId="4379D863" w14:textId="77777777" w:rsidR="00C80001" w:rsidRPr="004F42E3" w:rsidRDefault="00C80001" w:rsidP="00C80001">
            <w:pPr>
              <w:rPr>
                <w:rFonts w:cs="Arial"/>
                <w:color w:val="000000"/>
                <w:sz w:val="18"/>
                <w:szCs w:val="18"/>
                <w:lang w:val="en-US" w:eastAsia="en-US"/>
              </w:rPr>
            </w:pPr>
            <w:r w:rsidRPr="004F42E3">
              <w:rPr>
                <w:rFonts w:cs="Arial"/>
                <w:color w:val="000000"/>
                <w:sz w:val="18"/>
                <w:szCs w:val="18"/>
                <w:lang w:val="en-US" w:eastAsia="en-US"/>
              </w:rPr>
              <w:t>None</w:t>
            </w:r>
          </w:p>
        </w:tc>
        <w:tc>
          <w:tcPr>
            <w:tcW w:w="1934" w:type="dxa"/>
            <w:tcBorders>
              <w:top w:val="nil"/>
              <w:left w:val="nil"/>
              <w:bottom w:val="single" w:sz="8" w:space="0" w:color="auto"/>
              <w:right w:val="single" w:sz="4" w:space="0" w:color="auto"/>
            </w:tcBorders>
            <w:shd w:val="clear" w:color="auto" w:fill="auto"/>
            <w:noWrap/>
            <w:hideMark/>
          </w:tcPr>
          <w:p w14:paraId="346F2602" w14:textId="77777777" w:rsidR="00C80001" w:rsidRPr="004F42E3" w:rsidRDefault="00C80001" w:rsidP="00C80001">
            <w:pPr>
              <w:rPr>
                <w:rFonts w:cs="Arial"/>
                <w:color w:val="000000"/>
                <w:sz w:val="18"/>
                <w:szCs w:val="18"/>
                <w:lang w:val="en-US" w:eastAsia="en-US"/>
              </w:rPr>
            </w:pPr>
            <w:r w:rsidRPr="004F42E3">
              <w:rPr>
                <w:rFonts w:cs="Arial"/>
                <w:color w:val="000000"/>
                <w:sz w:val="18"/>
                <w:szCs w:val="18"/>
                <w:lang w:val="en-US" w:eastAsia="en-US"/>
              </w:rPr>
              <w:t>Hospital</w:t>
            </w:r>
          </w:p>
        </w:tc>
        <w:tc>
          <w:tcPr>
            <w:tcW w:w="2028" w:type="dxa"/>
            <w:tcBorders>
              <w:top w:val="nil"/>
              <w:left w:val="nil"/>
              <w:bottom w:val="single" w:sz="8" w:space="0" w:color="auto"/>
              <w:right w:val="single" w:sz="4" w:space="0" w:color="auto"/>
            </w:tcBorders>
            <w:shd w:val="clear" w:color="auto" w:fill="auto"/>
            <w:hideMark/>
          </w:tcPr>
          <w:p w14:paraId="2711DE9D" w14:textId="77777777" w:rsidR="00C80001" w:rsidRPr="00B30091" w:rsidRDefault="00C80001" w:rsidP="00C80001">
            <w:pPr>
              <w:rPr>
                <w:rFonts w:cs="Arial"/>
                <w:color w:val="000000"/>
                <w:sz w:val="18"/>
                <w:szCs w:val="18"/>
                <w:lang w:val="en-US" w:eastAsia="en-US"/>
              </w:rPr>
            </w:pPr>
            <w:r w:rsidRPr="00B30091">
              <w:rPr>
                <w:rFonts w:cs="Arial"/>
                <w:color w:val="000000"/>
                <w:sz w:val="18"/>
                <w:szCs w:val="18"/>
                <w:lang w:val="en-US" w:eastAsia="en-US"/>
              </w:rPr>
              <w:t>$19</w:t>
            </w:r>
            <w:r w:rsidR="00B30091">
              <w:rPr>
                <w:rFonts w:cs="Arial"/>
                <w:color w:val="000000"/>
                <w:sz w:val="18"/>
                <w:szCs w:val="18"/>
                <w:lang w:val="en-US" w:eastAsia="en-US"/>
              </w:rPr>
              <w:t>.</w:t>
            </w:r>
            <w:r w:rsidRPr="00B30091">
              <w:rPr>
                <w:rFonts w:cs="Arial"/>
                <w:color w:val="000000"/>
                <w:sz w:val="18"/>
                <w:szCs w:val="18"/>
                <w:lang w:val="en-US" w:eastAsia="en-US"/>
              </w:rPr>
              <w:t>173/case</w:t>
            </w:r>
          </w:p>
        </w:tc>
        <w:tc>
          <w:tcPr>
            <w:tcW w:w="2860" w:type="dxa"/>
            <w:tcBorders>
              <w:top w:val="nil"/>
              <w:left w:val="nil"/>
              <w:bottom w:val="single" w:sz="8" w:space="0" w:color="auto"/>
              <w:right w:val="single" w:sz="8" w:space="0" w:color="auto"/>
            </w:tcBorders>
            <w:shd w:val="clear" w:color="auto" w:fill="auto"/>
            <w:hideMark/>
          </w:tcPr>
          <w:p w14:paraId="7395F63D" w14:textId="77777777" w:rsidR="00C80001" w:rsidRPr="004F42E3" w:rsidRDefault="00C80001" w:rsidP="00C80001">
            <w:pPr>
              <w:rPr>
                <w:rFonts w:cs="Arial"/>
                <w:color w:val="000000"/>
                <w:sz w:val="18"/>
                <w:szCs w:val="18"/>
                <w:lang w:val="en-US" w:eastAsia="en-US"/>
              </w:rPr>
            </w:pPr>
            <w:r w:rsidRPr="004F42E3">
              <w:rPr>
                <w:rFonts w:cs="Arial"/>
                <w:color w:val="000000"/>
                <w:sz w:val="18"/>
                <w:szCs w:val="18"/>
                <w:lang w:val="en-US" w:eastAsia="en-US"/>
              </w:rPr>
              <w:t>Information based on executive summary, full text not available in English.</w:t>
            </w:r>
          </w:p>
        </w:tc>
      </w:tr>
    </w:tbl>
    <w:p w14:paraId="39C37F06" w14:textId="77777777" w:rsidR="00C80001" w:rsidRPr="00C80001" w:rsidRDefault="00C80001" w:rsidP="00FC1F8A">
      <w:pPr>
        <w:pStyle w:val="Textbody"/>
      </w:pPr>
    </w:p>
    <w:p w14:paraId="1BECD0F7" w14:textId="77777777" w:rsidR="00C80001" w:rsidRDefault="00C80001" w:rsidP="00FC1F8A">
      <w:pPr>
        <w:pStyle w:val="Textbody"/>
        <w:rPr>
          <w:lang w:val="en-AU"/>
        </w:rPr>
      </w:pPr>
    </w:p>
    <w:p w14:paraId="671947A7" w14:textId="77777777" w:rsidR="00C80001" w:rsidRPr="00C80001" w:rsidRDefault="00C80001" w:rsidP="00FC1F8A">
      <w:pPr>
        <w:pStyle w:val="Textbody"/>
        <w:sectPr w:rsidR="00C80001" w:rsidRPr="00C80001" w:rsidSect="00C80001">
          <w:pgSz w:w="16840" w:h="11907" w:orient="landscape" w:code="9"/>
          <w:pgMar w:top="1814" w:right="1418" w:bottom="1418" w:left="1701" w:header="720" w:footer="720" w:gutter="0"/>
          <w:paperSrc w:first="7" w:other="7"/>
          <w:cols w:space="720"/>
          <w:noEndnote/>
          <w:docGrid w:linePitch="299"/>
        </w:sectPr>
      </w:pPr>
    </w:p>
    <w:p w14:paraId="4FDECD26" w14:textId="77777777" w:rsidR="00C80001" w:rsidRPr="00932A48" w:rsidRDefault="00C80001" w:rsidP="00C80001">
      <w:pPr>
        <w:spacing w:line="360" w:lineRule="auto"/>
        <w:jc w:val="both"/>
        <w:rPr>
          <w:rFonts w:cs="Arial"/>
        </w:rPr>
      </w:pPr>
      <w:r w:rsidRPr="00932A48">
        <w:rPr>
          <w:rFonts w:cs="Arial"/>
          <w:color w:val="231F1F"/>
          <w:lang w:val="en-GB"/>
        </w:rPr>
        <w:lastRenderedPageBreak/>
        <w:t>The study by Snik et al. evaluated individuals who received a MEI within a 4-year period at a single clinic in Nijmegen, the Netherlands. 13 patients received the Vibrant Soundbridge with the 404 audio processor and 8 patients received the Otologics MET device with the standard button audio processor. Quality of life was measured using the SF-36 prior to middle ear implant (MEI) surgery and 6 and 12 months after device activation</w:t>
      </w:r>
      <w:r w:rsidRPr="00932A48">
        <w:rPr>
          <w:rFonts w:cs="Arial"/>
        </w:rPr>
        <w:t xml:space="preserve">. Costs included in analysis were the direct costs related to the selection phase, implantation procedure (ENT specialist, surgical nurse, anaesthesia, surgical assistance), hospital-stay of 2 days, follow-up care (ENT specialist, audiologist, assistant), and consumables </w:t>
      </w:r>
      <w:r w:rsidR="004F42E3">
        <w:rPr>
          <w:rFonts w:cs="Arial"/>
        </w:rPr>
        <w:t xml:space="preserve">(including the device itself). </w:t>
      </w:r>
      <w:r w:rsidRPr="00932A48">
        <w:rPr>
          <w:rFonts w:cs="Arial"/>
          <w:color w:val="231F1F"/>
          <w:lang w:val="en-GB"/>
        </w:rPr>
        <w:t>QALYs were calculated by multiplying the health utility gain scores with the number of profitable years a MEI can be worn. Individual profitable usage periods in years were calculated by subtracting the average hearing loss from the maximum hearing loss (3 frequency PTA of 70 dB HL for the Vibrant Soundbridge and 80-dB HL for the Otologics MET) and dividing this by an assumed deterioration of 1 dB per year (average at 0.5, 1.0, and 2.0 kHz). The</w:t>
      </w:r>
      <w:r w:rsidRPr="00932A48">
        <w:rPr>
          <w:rFonts w:cs="Arial"/>
        </w:rPr>
        <w:t xml:space="preserve"> cost per QALY for MEI was thus calculated to be €</w:t>
      </w:r>
      <w:r w:rsidR="004F42E3">
        <w:rPr>
          <w:rFonts w:cs="Arial"/>
        </w:rPr>
        <w:t> </w:t>
      </w:r>
      <w:r w:rsidRPr="00932A48">
        <w:rPr>
          <w:rFonts w:cs="Arial"/>
        </w:rPr>
        <w:t>16</w:t>
      </w:r>
      <w:r w:rsidR="00AD5624">
        <w:rPr>
          <w:rFonts w:cs="Arial"/>
        </w:rPr>
        <w:t>.</w:t>
      </w:r>
      <w:r w:rsidRPr="00932A48">
        <w:rPr>
          <w:rFonts w:cs="Arial"/>
        </w:rPr>
        <w:t>085 (AUD 25</w:t>
      </w:r>
      <w:r w:rsidR="00AD5624">
        <w:rPr>
          <w:rFonts w:cs="Arial"/>
        </w:rPr>
        <w:t>.</w:t>
      </w:r>
      <w:r w:rsidRPr="00932A48">
        <w:rPr>
          <w:rFonts w:cs="Arial"/>
        </w:rPr>
        <w:t xml:space="preserve">647). It was concluded that  middle-ear implantation proved to be a cost-effective and justified health care intervention. </w:t>
      </w:r>
    </w:p>
    <w:p w14:paraId="317111D5" w14:textId="77777777" w:rsidR="00C80001" w:rsidRPr="00932A48" w:rsidRDefault="00C80001" w:rsidP="00C80001">
      <w:pPr>
        <w:spacing w:line="360" w:lineRule="auto"/>
        <w:jc w:val="both"/>
        <w:rPr>
          <w:rFonts w:cs="Arial"/>
        </w:rPr>
      </w:pPr>
      <w:r w:rsidRPr="00932A48">
        <w:rPr>
          <w:rFonts w:cs="Arial"/>
        </w:rPr>
        <w:t xml:space="preserve">Several limitations to this study were noted. </w:t>
      </w:r>
      <w:r w:rsidRPr="00932A48">
        <w:rPr>
          <w:rFonts w:cs="Arial"/>
          <w:color w:val="231F1F"/>
          <w:lang w:val="en-GB"/>
        </w:rPr>
        <w:t xml:space="preserve">Due to the unavailability of other QOL and cost-effectiveness data on middle-ear implantation, comparisons were made with studies on cochlear implants. It must be noted that the target populations for the two hearing devices are not equal: The middle-ear implant is used in subjects with mild-to-severe sensorineural hearing loss, while the cochlear implant is offered to deaf subjects. Next and most importantly, the </w:t>
      </w:r>
      <w:r w:rsidRPr="00932A48">
        <w:rPr>
          <w:rFonts w:cs="Arial"/>
        </w:rPr>
        <w:t xml:space="preserve">two different types of MEI devices (Vibrant Soundbridge and Otologics MET) were combined in the analysis because of small patient numbers in each group. No conclusions could, therefore, be drawn about the relative cost-effectiveness of the independent devices. MEI was also not compared to any other treatment modality. Furthermore, the use of a generic (as opposed to disease specific) quality of life instrument in this patient population may not be appropriate. Last but not least, a sensitivity analysis was not performed. </w:t>
      </w:r>
    </w:p>
    <w:p w14:paraId="59C5E8DA" w14:textId="77777777" w:rsidR="00C80001" w:rsidRPr="00932A48" w:rsidRDefault="00C80001" w:rsidP="00C80001">
      <w:pPr>
        <w:spacing w:line="360" w:lineRule="auto"/>
        <w:jc w:val="both"/>
        <w:rPr>
          <w:rFonts w:cs="Arial"/>
        </w:rPr>
      </w:pPr>
      <w:r w:rsidRPr="00932A48">
        <w:rPr>
          <w:rFonts w:cs="Arial"/>
        </w:rPr>
        <w:t>This study provides a lot of information for the target population; however, particularly because of the data from the two devices being pooled together the results could not be used in the current submission.</w:t>
      </w:r>
    </w:p>
    <w:p w14:paraId="1882D02F" w14:textId="77777777" w:rsidR="00C80001" w:rsidRPr="00932A48" w:rsidRDefault="00C80001" w:rsidP="004939F1">
      <w:pPr>
        <w:spacing w:line="360" w:lineRule="auto"/>
        <w:jc w:val="both"/>
        <w:rPr>
          <w:rFonts w:cs="Arial"/>
          <w:color w:val="000000"/>
        </w:rPr>
      </w:pPr>
      <w:r w:rsidRPr="00932A48">
        <w:rPr>
          <w:rFonts w:cs="Arial"/>
        </w:rPr>
        <w:t>The second study by</w:t>
      </w:r>
      <w:r w:rsidRPr="00932A48">
        <w:rPr>
          <w:rFonts w:cs="Arial"/>
          <w:color w:val="231F1F"/>
          <w:lang w:val="en-GB"/>
        </w:rPr>
        <w:t xml:space="preserve"> </w:t>
      </w:r>
      <w:r w:rsidRPr="00932A48">
        <w:rPr>
          <w:rFonts w:cs="Arial"/>
          <w:color w:val="000000"/>
        </w:rPr>
        <w:t xml:space="preserve">Edfeldt et al. evaluated individuals who received a Vibrant Soundbridge over a period of </w:t>
      </w:r>
      <w:r w:rsidRPr="00B30091">
        <w:rPr>
          <w:rFonts w:cs="Arial"/>
          <w:color w:val="000000"/>
        </w:rPr>
        <w:t>2.5 years</w:t>
      </w:r>
      <w:r w:rsidRPr="00932A48">
        <w:rPr>
          <w:rFonts w:cs="Arial"/>
          <w:color w:val="000000"/>
        </w:rPr>
        <w:t xml:space="preserve"> in six different centres in Norway and Sweden. After trialling hearing aids, 24 patients with sensorineural (SNHL), conductive (CHL), or mixed hearing loss (MHL) were implanted due to medical reasons and received the </w:t>
      </w:r>
      <w:r w:rsidRPr="00932A48">
        <w:rPr>
          <w:rFonts w:cs="Arial"/>
          <w:color w:val="000000"/>
        </w:rPr>
        <w:lastRenderedPageBreak/>
        <w:t>Amadé audio processor. Quality of life was measured using the mark 2 and 3 of the Health Utilities Index (HUI) prior to middle ear implant (MEI) surgery and 6 months after device activation. Costs included in analysis were the direct costs related to preoperative assessment, implantation procedure (ENT specialist, surgical nurse, anaesthesia, surgical assistance, hospital stay), follow-up care (ENT specialist, three clini</w:t>
      </w:r>
      <w:r w:rsidR="004F42E3">
        <w:rPr>
          <w:rFonts w:cs="Arial"/>
          <w:color w:val="000000"/>
        </w:rPr>
        <w:t xml:space="preserve">cal visits), and device costs. </w:t>
      </w:r>
      <w:r w:rsidRPr="00932A48">
        <w:rPr>
          <w:rFonts w:cs="Arial"/>
          <w:color w:val="000000"/>
        </w:rPr>
        <w:t xml:space="preserve">QALYs were again calculated by multiplying the health utility gain scores with the number of profitable years. The estimation of profitable years was this time based upon hearing </w:t>
      </w:r>
      <w:r w:rsidR="004939F1">
        <w:rPr>
          <w:rFonts w:cs="Arial"/>
          <w:color w:val="000000"/>
        </w:rPr>
        <w:t xml:space="preserve">levels at </w:t>
      </w:r>
      <w:r w:rsidR="004939F1" w:rsidRPr="00AD5624">
        <w:rPr>
          <w:rFonts w:cs="Arial"/>
          <w:color w:val="000000"/>
        </w:rPr>
        <w:t>0.5, 1.0, 2.0 and 4.0 </w:t>
      </w:r>
      <w:r w:rsidRPr="00AD5624">
        <w:rPr>
          <w:rFonts w:cs="Arial"/>
          <w:color w:val="000000"/>
        </w:rPr>
        <w:t>kHz. Using the HUI-3, the cost/QALY for patients with SNHL was estimated at €</w:t>
      </w:r>
      <w:r w:rsidR="004939F1" w:rsidRPr="00AD5624">
        <w:rPr>
          <w:rFonts w:cs="Arial"/>
          <w:color w:val="000000"/>
        </w:rPr>
        <w:t> 7`260 (AUD </w:t>
      </w:r>
      <w:r w:rsidRPr="00AD5624">
        <w:rPr>
          <w:rFonts w:cs="Arial"/>
          <w:color w:val="000000"/>
        </w:rPr>
        <w:t>10</w:t>
      </w:r>
      <w:r w:rsidR="00AD5624">
        <w:rPr>
          <w:rFonts w:cs="Arial"/>
          <w:color w:val="000000"/>
        </w:rPr>
        <w:t>.</w:t>
      </w:r>
      <w:r w:rsidRPr="00AD5624">
        <w:rPr>
          <w:rFonts w:cs="Arial"/>
          <w:color w:val="000000"/>
        </w:rPr>
        <w:t>454). An</w:t>
      </w:r>
      <w:r w:rsidRPr="00932A48">
        <w:rPr>
          <w:rFonts w:cs="Arial"/>
          <w:color w:val="000000"/>
        </w:rPr>
        <w:t xml:space="preserve"> estimation of utility gain with the </w:t>
      </w:r>
      <w:r w:rsidR="004F42E3">
        <w:rPr>
          <w:rFonts w:cs="Arial"/>
          <w:color w:val="000000"/>
        </w:rPr>
        <w:t>two versions of the HUI (Mark 2 and </w:t>
      </w:r>
      <w:r w:rsidRPr="00932A48">
        <w:rPr>
          <w:rFonts w:cs="Arial"/>
          <w:color w:val="000000"/>
        </w:rPr>
        <w:t>3) can be considered as a sensitivity analysis. The authors concluded that “hearing restoration using an active middle ear implant (AMEI) is a highly cost-effective treatment for a selected group of patients with no other possibilities for auditory rehabilitation”.</w:t>
      </w:r>
    </w:p>
    <w:p w14:paraId="6D795E82" w14:textId="77777777" w:rsidR="00C80001" w:rsidRPr="00932A48" w:rsidRDefault="00C80001" w:rsidP="00C80001">
      <w:pPr>
        <w:spacing w:line="360" w:lineRule="auto"/>
        <w:jc w:val="both"/>
        <w:rPr>
          <w:rFonts w:cs="Arial"/>
          <w:color w:val="000000"/>
        </w:rPr>
      </w:pPr>
      <w:r w:rsidRPr="00932A48">
        <w:rPr>
          <w:rFonts w:cs="Arial"/>
          <w:color w:val="000000"/>
        </w:rPr>
        <w:t>One of the major limitations of this study is in the collection and utilization of costs data. This information was obtained not at the individual level but from two centres (Uppsala and Oslo) thought to be representative of the respective countries, and then the cheaper costs were entered into analysis. Another limitation is that utility data from individuals with different types of hearing loss were pooled together. This means that both cost and utility data are not representative of the target population.</w:t>
      </w:r>
    </w:p>
    <w:p w14:paraId="642B8D59" w14:textId="77777777" w:rsidR="00C80001" w:rsidRPr="00932A48" w:rsidRDefault="00C80001" w:rsidP="00C80001">
      <w:pPr>
        <w:spacing w:line="360" w:lineRule="auto"/>
        <w:jc w:val="both"/>
        <w:rPr>
          <w:rFonts w:cs="Arial"/>
          <w:color w:val="000000"/>
        </w:rPr>
      </w:pPr>
      <w:r w:rsidRPr="00932A48">
        <w:rPr>
          <w:rFonts w:cs="Arial"/>
          <w:color w:val="000000"/>
        </w:rPr>
        <w:t>Considering that this study is the only economic evaluation that has really investigated generic QOL outcomes with the proposed medical service, the authors were contacted to gain access to individual level utility data for use in this submission. Cost data were disregarded and not included in the models.</w:t>
      </w:r>
    </w:p>
    <w:p w14:paraId="75DA6D5D" w14:textId="77777777" w:rsidR="00C80001" w:rsidRPr="00932A48" w:rsidRDefault="00C80001" w:rsidP="00C80001">
      <w:pPr>
        <w:spacing w:line="360" w:lineRule="auto"/>
        <w:jc w:val="both"/>
        <w:rPr>
          <w:rFonts w:cs="Arial"/>
          <w:lang w:val="en-US"/>
        </w:rPr>
      </w:pPr>
      <w:r w:rsidRPr="00932A48">
        <w:rPr>
          <w:rFonts w:cs="Arial"/>
          <w:lang w:val="en-US"/>
        </w:rPr>
        <w:t>Overall, there were no studies identified in the literature that could inform the structure of a new cost-effectiveness model; and only one study that could supply the model with QOL data. The CE models for this submission were developed in TreeAge Pro (Williamstown, MA, USA) together with professionals in the field to determine a representative model of implant use and follow-up care.</w:t>
      </w:r>
    </w:p>
    <w:p w14:paraId="57A2876A" w14:textId="77777777" w:rsidR="00C80001" w:rsidRPr="009A1A2E" w:rsidRDefault="00C80001" w:rsidP="00FC1F8A">
      <w:pPr>
        <w:pStyle w:val="Textbody"/>
        <w:rPr>
          <w:lang w:val="en-AU"/>
        </w:rPr>
      </w:pPr>
    </w:p>
    <w:p w14:paraId="1131C673" w14:textId="77777777" w:rsidR="00285CFC" w:rsidRPr="009A1A2E" w:rsidRDefault="00B55968" w:rsidP="00285CFC">
      <w:pPr>
        <w:pStyle w:val="Heading30"/>
        <w:spacing w:line="360" w:lineRule="auto"/>
        <w:jc w:val="both"/>
        <w:rPr>
          <w:lang w:val="en-AU"/>
        </w:rPr>
      </w:pPr>
      <w:bookmarkStart w:id="517" w:name="_Toc400549428"/>
      <w:bookmarkStart w:id="518" w:name="_Toc431917591"/>
      <w:r>
        <w:rPr>
          <w:lang w:val="en-AU"/>
        </w:rPr>
        <w:t>D.3</w:t>
      </w:r>
      <w:r w:rsidR="00285CFC" w:rsidRPr="009A1A2E">
        <w:rPr>
          <w:lang w:val="en-AU"/>
        </w:rPr>
        <w:t>.2</w:t>
      </w:r>
      <w:r w:rsidR="00285CFC" w:rsidRPr="009A1A2E">
        <w:rPr>
          <w:lang w:val="en-AU"/>
        </w:rPr>
        <w:tab/>
      </w:r>
      <w:bookmarkEnd w:id="517"/>
      <w:r w:rsidR="004939F1">
        <w:rPr>
          <w:lang w:val="en-AU"/>
        </w:rPr>
        <w:t>Structure of the economic model and its justification</w:t>
      </w:r>
      <w:bookmarkEnd w:id="518"/>
    </w:p>
    <w:p w14:paraId="3D96F48E" w14:textId="77777777" w:rsidR="004939F1" w:rsidRPr="00932A48" w:rsidRDefault="004939F1" w:rsidP="004939F1">
      <w:pPr>
        <w:spacing w:line="360" w:lineRule="auto"/>
        <w:jc w:val="both"/>
        <w:rPr>
          <w:rFonts w:cs="Arial"/>
          <w:lang w:val="en-GB"/>
        </w:rPr>
      </w:pPr>
      <w:r w:rsidRPr="00932A48">
        <w:rPr>
          <w:rFonts w:cs="Arial"/>
          <w:lang w:val="en-GB"/>
        </w:rPr>
        <w:t xml:space="preserve">A state-transition model was developed to represent the pathways by which a person might or might not receive an active middle ear implant and the clinical events that might occur following their decision. The model was evaluated first to compare partially-implantable middle ear implants (the Vibrant Soundbridge) against no intervention, and </w:t>
      </w:r>
      <w:r w:rsidRPr="00932A48">
        <w:rPr>
          <w:rFonts w:cs="Arial"/>
          <w:lang w:val="en-GB"/>
        </w:rPr>
        <w:lastRenderedPageBreak/>
        <w:t>then for comparing different MEI (Vibrant Soundbridge and SOUNDTEC/MAXUM) against each other while omitting the no intervention arm. The clinical events in the model are defined as events that can affect the costs and course of treatment in the short or long-term. Results from the systematic review in Section B highlighted the occurrence of adverse events in the post-operative period, including device failure, which resolved on their own; remained unresolved over time; or required revision surgery, ex-plantation or re-implantation. Therefore, the main economic model included the following main health states:</w:t>
      </w:r>
    </w:p>
    <w:p w14:paraId="6330D010" w14:textId="77777777" w:rsidR="004939F1" w:rsidRPr="00932A48" w:rsidRDefault="004939F1" w:rsidP="004939F1">
      <w:pPr>
        <w:pStyle w:val="ListParagraph"/>
        <w:numPr>
          <w:ilvl w:val="0"/>
          <w:numId w:val="93"/>
        </w:numPr>
        <w:spacing w:after="200" w:line="360" w:lineRule="auto"/>
        <w:contextualSpacing/>
        <w:jc w:val="both"/>
        <w:rPr>
          <w:rFonts w:cs="Arial"/>
          <w:lang w:val="en-GB"/>
        </w:rPr>
      </w:pPr>
      <w:r w:rsidRPr="00932A48">
        <w:rPr>
          <w:rFonts w:cs="Arial"/>
          <w:lang w:val="en-GB"/>
        </w:rPr>
        <w:t xml:space="preserve">Successful </w:t>
      </w:r>
    </w:p>
    <w:p w14:paraId="62AAE5E7" w14:textId="77777777" w:rsidR="004939F1" w:rsidRPr="00932A48" w:rsidRDefault="004939F1" w:rsidP="004939F1">
      <w:pPr>
        <w:pStyle w:val="ListParagraph"/>
        <w:numPr>
          <w:ilvl w:val="0"/>
          <w:numId w:val="93"/>
        </w:numPr>
        <w:spacing w:after="200" w:line="360" w:lineRule="auto"/>
        <w:contextualSpacing/>
        <w:jc w:val="both"/>
        <w:rPr>
          <w:rFonts w:cs="Arial"/>
          <w:lang w:val="en-GB"/>
        </w:rPr>
      </w:pPr>
      <w:r w:rsidRPr="00932A48">
        <w:rPr>
          <w:rFonts w:cs="Arial"/>
          <w:lang w:val="en-GB"/>
        </w:rPr>
        <w:t>Successful with complications</w:t>
      </w:r>
    </w:p>
    <w:p w14:paraId="5142C4EE" w14:textId="77777777" w:rsidR="004939F1" w:rsidRPr="00932A48" w:rsidRDefault="004939F1" w:rsidP="004939F1">
      <w:pPr>
        <w:pStyle w:val="ListParagraph"/>
        <w:numPr>
          <w:ilvl w:val="0"/>
          <w:numId w:val="93"/>
        </w:numPr>
        <w:spacing w:after="200" w:line="360" w:lineRule="auto"/>
        <w:contextualSpacing/>
        <w:jc w:val="both"/>
        <w:rPr>
          <w:rFonts w:cs="Arial"/>
          <w:lang w:val="en-GB"/>
        </w:rPr>
      </w:pPr>
      <w:r w:rsidRPr="00932A48">
        <w:rPr>
          <w:rFonts w:cs="Arial"/>
          <w:lang w:val="en-GB"/>
        </w:rPr>
        <w:t>MEI failure</w:t>
      </w:r>
    </w:p>
    <w:p w14:paraId="0989BB87" w14:textId="77777777" w:rsidR="005531D6" w:rsidRPr="005531D6" w:rsidRDefault="004939F1" w:rsidP="005531D6">
      <w:pPr>
        <w:pStyle w:val="Textbody"/>
        <w:rPr>
          <w:lang w:val="en-GB"/>
        </w:rPr>
      </w:pPr>
      <w:r w:rsidRPr="00932A48">
        <w:rPr>
          <w:lang w:val="en-GB"/>
        </w:rPr>
        <w:t>A description of all the health states can be found in</w:t>
      </w:r>
      <w:r w:rsidR="005531D6">
        <w:rPr>
          <w:lang w:val="en-GB"/>
        </w:rPr>
        <w:fldChar w:fldCharType="begin"/>
      </w:r>
      <w:r w:rsidR="005531D6">
        <w:rPr>
          <w:lang w:val="en-GB"/>
        </w:rPr>
        <w:instrText xml:space="preserve"> REF _Ref430958553 \h </w:instrText>
      </w:r>
      <w:r w:rsidR="005531D6">
        <w:rPr>
          <w:lang w:val="en-GB"/>
        </w:rPr>
      </w:r>
      <w:r w:rsidR="005531D6">
        <w:rPr>
          <w:lang w:val="en-GB"/>
        </w:rPr>
        <w:fldChar w:fldCharType="separate"/>
      </w:r>
      <w:r w:rsidR="00016592" w:rsidRPr="00A83F80">
        <w:t xml:space="preserve">Table </w:t>
      </w:r>
      <w:r w:rsidR="00016592">
        <w:rPr>
          <w:noProof/>
        </w:rPr>
        <w:t>32</w:t>
      </w:r>
      <w:r w:rsidR="005531D6">
        <w:rPr>
          <w:lang w:val="en-GB"/>
        </w:rPr>
        <w:fldChar w:fldCharType="end"/>
      </w:r>
      <w:r w:rsidR="005531D6">
        <w:rPr>
          <w:lang w:val="en-GB"/>
        </w:rPr>
        <w:t xml:space="preserve">. </w:t>
      </w:r>
    </w:p>
    <w:p w14:paraId="03EBCE16" w14:textId="77777777" w:rsidR="005531D6" w:rsidRDefault="005531D6" w:rsidP="005531D6">
      <w:pPr>
        <w:pStyle w:val="Textbody"/>
        <w:rPr>
          <w:lang w:val="en-AU"/>
        </w:rPr>
      </w:pPr>
    </w:p>
    <w:p w14:paraId="084DE3A2" w14:textId="77777777" w:rsidR="005531D6" w:rsidRPr="005C1F7C" w:rsidRDefault="005531D6" w:rsidP="005531D6">
      <w:pPr>
        <w:pStyle w:val="Caption"/>
        <w:rPr>
          <w:rFonts w:ascii="Arial" w:hAnsi="Arial" w:cs="Arial"/>
          <w:lang w:val="en-AU"/>
        </w:rPr>
      </w:pPr>
      <w:bookmarkStart w:id="519" w:name="_Ref430958553"/>
      <w:bookmarkStart w:id="520" w:name="_Toc431917492"/>
      <w:r w:rsidRPr="00A83F80">
        <w:rPr>
          <w:rFonts w:ascii="Arial" w:hAnsi="Arial" w:cs="Arial"/>
        </w:rPr>
        <w:t xml:space="preserve">Table </w:t>
      </w:r>
      <w:r w:rsidR="00CF0322" w:rsidRPr="00A83F80">
        <w:rPr>
          <w:rFonts w:ascii="Arial" w:hAnsi="Arial" w:cs="Arial"/>
        </w:rPr>
        <w:fldChar w:fldCharType="begin"/>
      </w:r>
      <w:r w:rsidR="00CF0322" w:rsidRPr="00A83F80">
        <w:rPr>
          <w:rFonts w:ascii="Arial" w:hAnsi="Arial" w:cs="Arial"/>
        </w:rPr>
        <w:instrText xml:space="preserve"> SEQ Table \* ARABIC </w:instrText>
      </w:r>
      <w:r w:rsidR="00CF0322" w:rsidRPr="00A83F80">
        <w:rPr>
          <w:rFonts w:ascii="Arial" w:hAnsi="Arial" w:cs="Arial"/>
        </w:rPr>
        <w:fldChar w:fldCharType="separate"/>
      </w:r>
      <w:r w:rsidR="00016592">
        <w:rPr>
          <w:rFonts w:ascii="Arial" w:hAnsi="Arial" w:cs="Arial"/>
          <w:noProof/>
        </w:rPr>
        <w:t>32</w:t>
      </w:r>
      <w:r w:rsidR="00CF0322" w:rsidRPr="00A83F80">
        <w:rPr>
          <w:rFonts w:ascii="Arial" w:hAnsi="Arial" w:cs="Arial"/>
          <w:noProof/>
        </w:rPr>
        <w:fldChar w:fldCharType="end"/>
      </w:r>
      <w:bookmarkEnd w:id="519"/>
      <w:r w:rsidRPr="00A83F80">
        <w:rPr>
          <w:rFonts w:ascii="Arial" w:hAnsi="Arial" w:cs="Arial"/>
          <w:lang w:val="en-US"/>
        </w:rPr>
        <w:t xml:space="preserve"> </w:t>
      </w:r>
      <w:r w:rsidRPr="008261A6">
        <w:rPr>
          <w:rFonts w:ascii="Arial" w:hAnsi="Arial" w:cs="Arial"/>
          <w:lang w:val="en-AU"/>
        </w:rPr>
        <w:t xml:space="preserve">– </w:t>
      </w:r>
      <w:r w:rsidRPr="00E0477C">
        <w:rPr>
          <w:rFonts w:ascii="Arial" w:hAnsi="Arial" w:cs="Arial"/>
          <w:lang w:val="en-GB"/>
        </w:rPr>
        <w:t>The main Markov states included in the main economic evaluation</w:t>
      </w:r>
      <w:bookmarkEnd w:id="520"/>
    </w:p>
    <w:p w14:paraId="2F2275D3" w14:textId="77777777" w:rsidR="005531D6" w:rsidRDefault="005531D6" w:rsidP="004D1FF6">
      <w:pPr>
        <w:pStyle w:val="Textbody"/>
        <w:rPr>
          <w:lang w:val="en-AU"/>
        </w:rPr>
      </w:pPr>
    </w:p>
    <w:tbl>
      <w:tblPr>
        <w:tblW w:w="8800" w:type="dxa"/>
        <w:tblInd w:w="93" w:type="dxa"/>
        <w:tblLook w:val="04A0" w:firstRow="1" w:lastRow="0" w:firstColumn="1" w:lastColumn="0" w:noHBand="0" w:noVBand="1"/>
        <w:tblDescription w:val="The main Markov states included in the main economic evaluation - Model state and definition"/>
      </w:tblPr>
      <w:tblGrid>
        <w:gridCol w:w="2400"/>
        <w:gridCol w:w="6400"/>
      </w:tblGrid>
      <w:tr w:rsidR="005531D6" w:rsidRPr="005531D6" w14:paraId="4881DE68" w14:textId="77777777" w:rsidTr="005531D6">
        <w:trPr>
          <w:trHeight w:val="420"/>
        </w:trPr>
        <w:tc>
          <w:tcPr>
            <w:tcW w:w="240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80EED6D" w14:textId="77777777" w:rsidR="005531D6" w:rsidRPr="005531D6" w:rsidRDefault="005531D6" w:rsidP="005531D6">
            <w:pPr>
              <w:jc w:val="center"/>
              <w:rPr>
                <w:rFonts w:cs="Arial"/>
                <w:b/>
                <w:bCs/>
                <w:color w:val="000000"/>
                <w:lang w:val="en-US" w:eastAsia="en-US"/>
              </w:rPr>
            </w:pPr>
            <w:r w:rsidRPr="005531D6">
              <w:rPr>
                <w:rFonts w:cs="Arial"/>
                <w:b/>
                <w:bCs/>
                <w:color w:val="000000"/>
                <w:lang w:val="en-US" w:eastAsia="en-US"/>
              </w:rPr>
              <w:t>Model state</w:t>
            </w:r>
          </w:p>
        </w:tc>
        <w:tc>
          <w:tcPr>
            <w:tcW w:w="6400" w:type="dxa"/>
            <w:tcBorders>
              <w:top w:val="single" w:sz="8" w:space="0" w:color="auto"/>
              <w:left w:val="nil"/>
              <w:bottom w:val="single" w:sz="4" w:space="0" w:color="auto"/>
              <w:right w:val="single" w:sz="8" w:space="0" w:color="auto"/>
            </w:tcBorders>
            <w:shd w:val="clear" w:color="auto" w:fill="auto"/>
            <w:vAlign w:val="center"/>
            <w:hideMark/>
          </w:tcPr>
          <w:p w14:paraId="4FB75D44" w14:textId="77777777" w:rsidR="005531D6" w:rsidRPr="005531D6" w:rsidRDefault="005531D6" w:rsidP="005531D6">
            <w:pPr>
              <w:jc w:val="center"/>
              <w:rPr>
                <w:rFonts w:cs="Arial"/>
                <w:b/>
                <w:bCs/>
                <w:color w:val="000000"/>
                <w:lang w:val="en-US" w:eastAsia="en-US"/>
              </w:rPr>
            </w:pPr>
            <w:r w:rsidRPr="005531D6">
              <w:rPr>
                <w:rFonts w:cs="Arial"/>
                <w:b/>
                <w:bCs/>
                <w:color w:val="000000"/>
                <w:lang w:val="en-US" w:eastAsia="en-US"/>
              </w:rPr>
              <w:t>Definition</w:t>
            </w:r>
          </w:p>
        </w:tc>
      </w:tr>
      <w:tr w:rsidR="005531D6" w:rsidRPr="005531D6" w14:paraId="6BC562B7" w14:textId="77777777" w:rsidTr="005531D6">
        <w:trPr>
          <w:trHeight w:val="600"/>
        </w:trPr>
        <w:tc>
          <w:tcPr>
            <w:tcW w:w="2400" w:type="dxa"/>
            <w:tcBorders>
              <w:top w:val="nil"/>
              <w:left w:val="single" w:sz="8" w:space="0" w:color="auto"/>
              <w:bottom w:val="single" w:sz="4" w:space="0" w:color="auto"/>
              <w:right w:val="single" w:sz="4" w:space="0" w:color="auto"/>
            </w:tcBorders>
            <w:shd w:val="clear" w:color="auto" w:fill="auto"/>
            <w:noWrap/>
            <w:vAlign w:val="center"/>
            <w:hideMark/>
          </w:tcPr>
          <w:p w14:paraId="393E1A6B" w14:textId="77777777" w:rsidR="005531D6" w:rsidRPr="005531D6" w:rsidRDefault="005531D6" w:rsidP="005531D6">
            <w:pPr>
              <w:rPr>
                <w:rFonts w:cs="Arial"/>
                <w:b/>
                <w:bCs/>
                <w:color w:val="000000"/>
                <w:sz w:val="20"/>
                <w:szCs w:val="20"/>
                <w:lang w:val="en-US" w:eastAsia="en-US"/>
              </w:rPr>
            </w:pPr>
            <w:r w:rsidRPr="005531D6">
              <w:rPr>
                <w:rFonts w:cs="Arial"/>
                <w:b/>
                <w:bCs/>
                <w:color w:val="000000"/>
                <w:sz w:val="20"/>
                <w:szCs w:val="20"/>
                <w:lang w:val="en-US" w:eastAsia="en-US"/>
              </w:rPr>
              <w:t xml:space="preserve">Successful </w:t>
            </w:r>
          </w:p>
        </w:tc>
        <w:tc>
          <w:tcPr>
            <w:tcW w:w="6400" w:type="dxa"/>
            <w:tcBorders>
              <w:top w:val="nil"/>
              <w:left w:val="nil"/>
              <w:bottom w:val="single" w:sz="4" w:space="0" w:color="auto"/>
              <w:right w:val="single" w:sz="8" w:space="0" w:color="auto"/>
            </w:tcBorders>
            <w:shd w:val="clear" w:color="auto" w:fill="auto"/>
            <w:vAlign w:val="center"/>
            <w:hideMark/>
          </w:tcPr>
          <w:p w14:paraId="1E883E29" w14:textId="77777777" w:rsidR="005531D6" w:rsidRPr="005531D6" w:rsidRDefault="005531D6" w:rsidP="005531D6">
            <w:pPr>
              <w:rPr>
                <w:rFonts w:cs="Arial"/>
                <w:color w:val="000000"/>
                <w:sz w:val="18"/>
                <w:szCs w:val="18"/>
                <w:lang w:val="en-US" w:eastAsia="en-US"/>
              </w:rPr>
            </w:pPr>
            <w:r w:rsidRPr="005531D6">
              <w:rPr>
                <w:rFonts w:cs="Arial"/>
                <w:color w:val="000000"/>
                <w:sz w:val="18"/>
                <w:szCs w:val="18"/>
                <w:lang w:val="en-US" w:eastAsia="en-US"/>
              </w:rPr>
              <w:t>Individuals achieve an audiological and subjective benefit of wearing a MEI without experiencing any complications</w:t>
            </w:r>
          </w:p>
        </w:tc>
      </w:tr>
      <w:tr w:rsidR="005531D6" w:rsidRPr="005531D6" w14:paraId="1E597738" w14:textId="77777777" w:rsidTr="005531D6">
        <w:trPr>
          <w:trHeight w:val="630"/>
        </w:trPr>
        <w:tc>
          <w:tcPr>
            <w:tcW w:w="2400" w:type="dxa"/>
            <w:tcBorders>
              <w:top w:val="nil"/>
              <w:left w:val="single" w:sz="8" w:space="0" w:color="auto"/>
              <w:bottom w:val="single" w:sz="4" w:space="0" w:color="auto"/>
              <w:right w:val="single" w:sz="4" w:space="0" w:color="auto"/>
            </w:tcBorders>
            <w:shd w:val="clear" w:color="auto" w:fill="auto"/>
            <w:vAlign w:val="center"/>
            <w:hideMark/>
          </w:tcPr>
          <w:p w14:paraId="0E68ECB0" w14:textId="77777777" w:rsidR="005531D6" w:rsidRPr="005531D6" w:rsidRDefault="005531D6" w:rsidP="005531D6">
            <w:pPr>
              <w:rPr>
                <w:rFonts w:cs="Arial"/>
                <w:b/>
                <w:bCs/>
                <w:color w:val="000000"/>
                <w:sz w:val="20"/>
                <w:szCs w:val="20"/>
                <w:lang w:val="en-US" w:eastAsia="en-US"/>
              </w:rPr>
            </w:pPr>
            <w:r w:rsidRPr="005531D6">
              <w:rPr>
                <w:rFonts w:cs="Arial"/>
                <w:b/>
                <w:bCs/>
                <w:color w:val="000000"/>
                <w:sz w:val="20"/>
                <w:szCs w:val="20"/>
                <w:lang w:val="en-US" w:eastAsia="en-US"/>
              </w:rPr>
              <w:t>Successful with complications</w:t>
            </w:r>
          </w:p>
        </w:tc>
        <w:tc>
          <w:tcPr>
            <w:tcW w:w="6400" w:type="dxa"/>
            <w:tcBorders>
              <w:top w:val="nil"/>
              <w:left w:val="nil"/>
              <w:bottom w:val="single" w:sz="4" w:space="0" w:color="auto"/>
              <w:right w:val="single" w:sz="8" w:space="0" w:color="auto"/>
            </w:tcBorders>
            <w:shd w:val="clear" w:color="auto" w:fill="auto"/>
            <w:vAlign w:val="center"/>
            <w:hideMark/>
          </w:tcPr>
          <w:p w14:paraId="6A4CC61F" w14:textId="77777777" w:rsidR="005531D6" w:rsidRPr="005531D6" w:rsidRDefault="005531D6" w:rsidP="005531D6">
            <w:pPr>
              <w:rPr>
                <w:rFonts w:cs="Arial"/>
                <w:color w:val="000000"/>
                <w:sz w:val="18"/>
                <w:szCs w:val="18"/>
                <w:lang w:val="en-US" w:eastAsia="en-US"/>
              </w:rPr>
            </w:pPr>
            <w:r w:rsidRPr="005531D6">
              <w:rPr>
                <w:rFonts w:cs="Arial"/>
                <w:color w:val="000000"/>
                <w:sz w:val="18"/>
                <w:szCs w:val="18"/>
                <w:lang w:val="en-US" w:eastAsia="en-US"/>
              </w:rPr>
              <w:t>Individuals experience a complication that may resolve on it`s own or require surgical revision</w:t>
            </w:r>
          </w:p>
        </w:tc>
      </w:tr>
      <w:tr w:rsidR="005531D6" w:rsidRPr="005531D6" w14:paraId="2CD4F87C" w14:textId="77777777" w:rsidTr="005531D6">
        <w:trPr>
          <w:trHeight w:val="570"/>
        </w:trPr>
        <w:tc>
          <w:tcPr>
            <w:tcW w:w="2400" w:type="dxa"/>
            <w:tcBorders>
              <w:top w:val="nil"/>
              <w:left w:val="single" w:sz="8" w:space="0" w:color="auto"/>
              <w:bottom w:val="single" w:sz="4" w:space="0" w:color="auto"/>
              <w:right w:val="single" w:sz="4" w:space="0" w:color="auto"/>
            </w:tcBorders>
            <w:shd w:val="clear" w:color="auto" w:fill="auto"/>
            <w:noWrap/>
            <w:vAlign w:val="center"/>
            <w:hideMark/>
          </w:tcPr>
          <w:p w14:paraId="693F5EA8" w14:textId="77777777" w:rsidR="005531D6" w:rsidRPr="005531D6" w:rsidRDefault="005531D6" w:rsidP="005531D6">
            <w:pPr>
              <w:rPr>
                <w:rFonts w:cs="Arial"/>
                <w:b/>
                <w:bCs/>
                <w:color w:val="000000"/>
                <w:sz w:val="20"/>
                <w:szCs w:val="20"/>
                <w:lang w:val="en-US" w:eastAsia="en-US"/>
              </w:rPr>
            </w:pPr>
            <w:r w:rsidRPr="005531D6">
              <w:rPr>
                <w:rFonts w:cs="Arial"/>
                <w:b/>
                <w:bCs/>
                <w:color w:val="000000"/>
                <w:sz w:val="20"/>
                <w:szCs w:val="20"/>
                <w:lang w:val="en-US" w:eastAsia="en-US"/>
              </w:rPr>
              <w:t>MEI failure</w:t>
            </w:r>
          </w:p>
        </w:tc>
        <w:tc>
          <w:tcPr>
            <w:tcW w:w="6400" w:type="dxa"/>
            <w:tcBorders>
              <w:top w:val="nil"/>
              <w:left w:val="nil"/>
              <w:bottom w:val="single" w:sz="4" w:space="0" w:color="auto"/>
              <w:right w:val="single" w:sz="8" w:space="0" w:color="auto"/>
            </w:tcBorders>
            <w:shd w:val="clear" w:color="auto" w:fill="auto"/>
            <w:vAlign w:val="center"/>
            <w:hideMark/>
          </w:tcPr>
          <w:p w14:paraId="3F1F3F87" w14:textId="77777777" w:rsidR="005531D6" w:rsidRPr="005531D6" w:rsidRDefault="005531D6" w:rsidP="005531D6">
            <w:pPr>
              <w:rPr>
                <w:rFonts w:cs="Arial"/>
                <w:color w:val="000000"/>
                <w:sz w:val="18"/>
                <w:szCs w:val="18"/>
                <w:lang w:val="en-US" w:eastAsia="en-US"/>
              </w:rPr>
            </w:pPr>
            <w:r w:rsidRPr="005531D6">
              <w:rPr>
                <w:rFonts w:cs="Arial"/>
                <w:color w:val="000000"/>
                <w:sz w:val="18"/>
                <w:szCs w:val="18"/>
                <w:lang w:val="en-US" w:eastAsia="en-US"/>
              </w:rPr>
              <w:t>The occurrence of device failure that requires explantation and possibly re-implantation with a new device</w:t>
            </w:r>
          </w:p>
        </w:tc>
      </w:tr>
      <w:tr w:rsidR="005531D6" w:rsidRPr="005531D6" w14:paraId="19A724A4" w14:textId="77777777" w:rsidTr="005531D6">
        <w:trPr>
          <w:trHeight w:val="555"/>
        </w:trPr>
        <w:tc>
          <w:tcPr>
            <w:tcW w:w="2400" w:type="dxa"/>
            <w:tcBorders>
              <w:top w:val="nil"/>
              <w:left w:val="single" w:sz="8" w:space="0" w:color="auto"/>
              <w:bottom w:val="single" w:sz="4" w:space="0" w:color="auto"/>
              <w:right w:val="single" w:sz="4" w:space="0" w:color="auto"/>
            </w:tcBorders>
            <w:shd w:val="clear" w:color="auto" w:fill="auto"/>
            <w:noWrap/>
            <w:vAlign w:val="center"/>
            <w:hideMark/>
          </w:tcPr>
          <w:p w14:paraId="014D69BE" w14:textId="77777777" w:rsidR="005531D6" w:rsidRPr="005531D6" w:rsidRDefault="005531D6" w:rsidP="005531D6">
            <w:pPr>
              <w:rPr>
                <w:rFonts w:cs="Arial"/>
                <w:b/>
                <w:bCs/>
                <w:color w:val="000000"/>
                <w:sz w:val="20"/>
                <w:szCs w:val="20"/>
                <w:lang w:val="en-US" w:eastAsia="en-US"/>
              </w:rPr>
            </w:pPr>
            <w:r w:rsidRPr="005531D6">
              <w:rPr>
                <w:rFonts w:cs="Arial"/>
                <w:b/>
                <w:bCs/>
                <w:color w:val="000000"/>
                <w:sz w:val="20"/>
                <w:szCs w:val="20"/>
                <w:lang w:val="en-US" w:eastAsia="en-US"/>
              </w:rPr>
              <w:t>Cease MEI</w:t>
            </w:r>
          </w:p>
        </w:tc>
        <w:tc>
          <w:tcPr>
            <w:tcW w:w="6400" w:type="dxa"/>
            <w:tcBorders>
              <w:top w:val="nil"/>
              <w:left w:val="nil"/>
              <w:bottom w:val="single" w:sz="4" w:space="0" w:color="auto"/>
              <w:right w:val="single" w:sz="8" w:space="0" w:color="auto"/>
            </w:tcBorders>
            <w:shd w:val="clear" w:color="auto" w:fill="auto"/>
            <w:vAlign w:val="center"/>
            <w:hideMark/>
          </w:tcPr>
          <w:p w14:paraId="11DE5673" w14:textId="77777777" w:rsidR="005531D6" w:rsidRPr="005531D6" w:rsidRDefault="005531D6" w:rsidP="005531D6">
            <w:pPr>
              <w:rPr>
                <w:rFonts w:cs="Arial"/>
                <w:color w:val="000000"/>
                <w:sz w:val="18"/>
                <w:szCs w:val="18"/>
                <w:lang w:val="en-US" w:eastAsia="en-US"/>
              </w:rPr>
            </w:pPr>
            <w:r w:rsidRPr="005531D6">
              <w:rPr>
                <w:rFonts w:cs="Arial"/>
                <w:color w:val="000000"/>
                <w:sz w:val="18"/>
                <w:szCs w:val="18"/>
                <w:lang w:val="en-US" w:eastAsia="en-US"/>
              </w:rPr>
              <w:t>Individuals voluntarily decide to stop wearing their device at any point during the model</w:t>
            </w:r>
          </w:p>
        </w:tc>
      </w:tr>
      <w:tr w:rsidR="005531D6" w:rsidRPr="005531D6" w14:paraId="6E4F5CBA" w14:textId="77777777" w:rsidTr="005531D6">
        <w:trPr>
          <w:trHeight w:val="495"/>
        </w:trPr>
        <w:tc>
          <w:tcPr>
            <w:tcW w:w="2400" w:type="dxa"/>
            <w:tcBorders>
              <w:top w:val="nil"/>
              <w:left w:val="single" w:sz="8" w:space="0" w:color="auto"/>
              <w:bottom w:val="single" w:sz="8" w:space="0" w:color="auto"/>
              <w:right w:val="single" w:sz="4" w:space="0" w:color="auto"/>
            </w:tcBorders>
            <w:shd w:val="clear" w:color="auto" w:fill="auto"/>
            <w:noWrap/>
            <w:vAlign w:val="center"/>
            <w:hideMark/>
          </w:tcPr>
          <w:p w14:paraId="3C3562A9" w14:textId="77777777" w:rsidR="005531D6" w:rsidRPr="005531D6" w:rsidRDefault="005531D6" w:rsidP="005531D6">
            <w:pPr>
              <w:rPr>
                <w:rFonts w:cs="Arial"/>
                <w:b/>
                <w:bCs/>
                <w:color w:val="000000"/>
                <w:sz w:val="20"/>
                <w:szCs w:val="20"/>
                <w:lang w:val="en-US" w:eastAsia="en-US"/>
              </w:rPr>
            </w:pPr>
            <w:r w:rsidRPr="005531D6">
              <w:rPr>
                <w:rFonts w:cs="Arial"/>
                <w:b/>
                <w:bCs/>
                <w:color w:val="000000"/>
                <w:sz w:val="20"/>
                <w:szCs w:val="20"/>
                <w:lang w:val="en-US" w:eastAsia="en-US"/>
              </w:rPr>
              <w:t>Death</w:t>
            </w:r>
          </w:p>
        </w:tc>
        <w:tc>
          <w:tcPr>
            <w:tcW w:w="6400" w:type="dxa"/>
            <w:tcBorders>
              <w:top w:val="nil"/>
              <w:left w:val="nil"/>
              <w:bottom w:val="single" w:sz="8" w:space="0" w:color="auto"/>
              <w:right w:val="single" w:sz="8" w:space="0" w:color="auto"/>
            </w:tcBorders>
            <w:shd w:val="clear" w:color="auto" w:fill="auto"/>
            <w:vAlign w:val="center"/>
            <w:hideMark/>
          </w:tcPr>
          <w:p w14:paraId="6716BCA1" w14:textId="77777777" w:rsidR="005531D6" w:rsidRPr="005531D6" w:rsidRDefault="005531D6" w:rsidP="005531D6">
            <w:pPr>
              <w:rPr>
                <w:rFonts w:cs="Arial"/>
                <w:color w:val="000000"/>
                <w:sz w:val="18"/>
                <w:szCs w:val="18"/>
                <w:lang w:val="en-US" w:eastAsia="en-US"/>
              </w:rPr>
            </w:pPr>
            <w:r w:rsidRPr="005531D6">
              <w:rPr>
                <w:rFonts w:cs="Arial"/>
                <w:color w:val="000000"/>
                <w:sz w:val="18"/>
                <w:szCs w:val="18"/>
                <w:lang w:val="en-US" w:eastAsia="en-US"/>
              </w:rPr>
              <w:t>All-cause mortality</w:t>
            </w:r>
          </w:p>
        </w:tc>
      </w:tr>
    </w:tbl>
    <w:p w14:paraId="75A54F84" w14:textId="77777777" w:rsidR="005531D6" w:rsidRDefault="005531D6" w:rsidP="005531D6">
      <w:pPr>
        <w:spacing w:line="360" w:lineRule="auto"/>
        <w:jc w:val="both"/>
        <w:rPr>
          <w:rFonts w:cs="Arial"/>
          <w:lang w:val="en-GB"/>
        </w:rPr>
      </w:pPr>
    </w:p>
    <w:p w14:paraId="61E87635" w14:textId="77777777" w:rsidR="005531D6" w:rsidRPr="00932A48" w:rsidRDefault="005531D6" w:rsidP="005531D6">
      <w:pPr>
        <w:spacing w:line="360" w:lineRule="auto"/>
        <w:jc w:val="both"/>
        <w:rPr>
          <w:rFonts w:cs="Arial"/>
          <w:lang w:val="en-GB"/>
        </w:rPr>
      </w:pPr>
      <w:r w:rsidRPr="00932A48">
        <w:rPr>
          <w:rFonts w:cs="Arial"/>
          <w:lang w:val="en-GB"/>
        </w:rPr>
        <w:t>A person in the `successful` state may not experience any adverse events at all and remain successfully aided; they may experience an adverse event and move on to the `successful with complications` state; or experience problems in device function and move on to the `MEI failure` state.</w:t>
      </w:r>
    </w:p>
    <w:p w14:paraId="2E0BC7D1" w14:textId="77777777" w:rsidR="005531D6" w:rsidRPr="00932A48" w:rsidRDefault="005531D6" w:rsidP="005531D6">
      <w:pPr>
        <w:spacing w:line="360" w:lineRule="auto"/>
        <w:jc w:val="both"/>
        <w:rPr>
          <w:rFonts w:cs="Arial"/>
          <w:lang w:val="en-GB"/>
        </w:rPr>
      </w:pPr>
      <w:r w:rsidRPr="00932A48">
        <w:rPr>
          <w:rFonts w:cs="Arial"/>
          <w:lang w:val="en-GB"/>
        </w:rPr>
        <w:t>Individuals in the `successful with complications` state may, as a result of their condition resolving on its` own or with a surgical revision, move on to the `successful` state; or remain affected over the long-term and decide to keep using their device despite of complications and remain in the `successful with complications` state or stop using their device and move on to the `cease MEI` state.</w:t>
      </w:r>
    </w:p>
    <w:p w14:paraId="14FD5A5F" w14:textId="77777777" w:rsidR="005531D6" w:rsidRDefault="005531D6" w:rsidP="005531D6">
      <w:pPr>
        <w:pStyle w:val="Textbody"/>
        <w:rPr>
          <w:lang w:val="en-AU"/>
        </w:rPr>
      </w:pPr>
      <w:r w:rsidRPr="00932A48">
        <w:rPr>
          <w:lang w:val="en-GB"/>
        </w:rPr>
        <w:t xml:space="preserve">Individuals in the `MEI failure` state may choose to undergo surgery to remove the </w:t>
      </w:r>
      <w:r w:rsidRPr="00932A48">
        <w:rPr>
          <w:lang w:val="en-GB"/>
        </w:rPr>
        <w:lastRenderedPageBreak/>
        <w:t>internal components and move into the `cease MEI` state; or choose to undergo implantation to receive a new device, with the possible outcomes of being successful, successful with complications, having a MEI failure or discontinuing treatment.</w:t>
      </w:r>
    </w:p>
    <w:p w14:paraId="56809FE3" w14:textId="77777777" w:rsidR="005531D6" w:rsidRPr="00932A48" w:rsidRDefault="005531D6" w:rsidP="005531D6">
      <w:pPr>
        <w:spacing w:line="360" w:lineRule="auto"/>
        <w:jc w:val="both"/>
        <w:rPr>
          <w:rFonts w:cs="Arial"/>
          <w:lang w:val="en-GB"/>
        </w:rPr>
      </w:pPr>
      <w:r w:rsidRPr="00932A48">
        <w:rPr>
          <w:rFonts w:cs="Arial"/>
          <w:lang w:val="en-GB"/>
        </w:rPr>
        <w:t xml:space="preserve">Individuals enter the model after being screened for implant candidacy by a multidisciplinary team. In the economic model </w:t>
      </w:r>
      <w:r w:rsidRPr="004F42E3">
        <w:rPr>
          <w:rFonts w:cs="Arial"/>
          <w:lang w:val="en-GB"/>
        </w:rPr>
        <w:t xml:space="preserve">depicted in </w:t>
      </w:r>
      <w:r w:rsidR="00995B6B" w:rsidRPr="004F42E3">
        <w:rPr>
          <w:rFonts w:cs="Arial"/>
          <w:lang w:val="en-GB"/>
        </w:rPr>
        <w:fldChar w:fldCharType="begin"/>
      </w:r>
      <w:r w:rsidR="00995B6B" w:rsidRPr="004F42E3">
        <w:rPr>
          <w:rFonts w:cs="Arial"/>
          <w:lang w:val="en-GB"/>
        </w:rPr>
        <w:instrText xml:space="preserve"> REF _Ref431287168 \h  \* MERGEFORMAT </w:instrText>
      </w:r>
      <w:r w:rsidR="00995B6B" w:rsidRPr="004F42E3">
        <w:rPr>
          <w:rFonts w:cs="Arial"/>
          <w:lang w:val="en-GB"/>
        </w:rPr>
      </w:r>
      <w:r w:rsidR="00995B6B" w:rsidRPr="004F42E3">
        <w:rPr>
          <w:rFonts w:cs="Arial"/>
          <w:lang w:val="en-GB"/>
        </w:rPr>
        <w:fldChar w:fldCharType="separate"/>
      </w:r>
      <w:r w:rsidR="00016592" w:rsidRPr="00016592">
        <w:t xml:space="preserve">Fig </w:t>
      </w:r>
      <w:r w:rsidR="00016592" w:rsidRPr="00016592">
        <w:rPr>
          <w:noProof/>
        </w:rPr>
        <w:t>11</w:t>
      </w:r>
      <w:r w:rsidR="00995B6B" w:rsidRPr="004F42E3">
        <w:rPr>
          <w:rFonts w:cs="Arial"/>
          <w:lang w:val="en-GB"/>
        </w:rPr>
        <w:fldChar w:fldCharType="end"/>
      </w:r>
      <w:r w:rsidRPr="004F42E3">
        <w:rPr>
          <w:rFonts w:cs="Arial"/>
          <w:lang w:val="en-GB"/>
        </w:rPr>
        <w:t>, those</w:t>
      </w:r>
      <w:r w:rsidRPr="00932A48">
        <w:rPr>
          <w:rFonts w:cs="Arial"/>
          <w:lang w:val="en-GB"/>
        </w:rPr>
        <w:t xml:space="preserve"> who are not candidates or decide against receiving AMEI follow the branch No Intervention and are assigned the costs of candidacy assessment. These individuals are at risk of recurring pathologies that require medical treatment at any point in their life. The probability of recurring pathologies is estimated from the literature. The successful or unsuccessful outcome of such treatments should not affect the quality of life or health state of individuals, but is expected to incur higher costs if unsuccessful and requiring further treatment. Individuals who decide to receive an AMEI follow the branch MEI Implantation and are assigned all the costs related to candidacy assessment, surgery and short-term follow-up. The MEI Implantation node is associated with three main health states (successful, successful with complications, MEI failure) and two absorbing states, cease MEI and death. This does not imply that individuals stop using their implant straight away after device activation, or that MEI implantation leads to death. As there is no evidence of this happening in the literature, the dead state is included to take account for all-cause mortality over time in the population that is being modelled. People undergoing the implantation procedure are allocated to potential short-term outcomes (success, success with complications, MEI failure) on the basis of probabilities calculated from the literature. In each cycle of the model, individuals who are successful after surgery are further at risk of developing adverse events; and those starting off in the `successful with complications` and `MEI failure` states are at risk of encountering another adverse event or failure. The safety outcomes of the systematic review carried out in Section B were used for populating the model and the costs associated with the management of each clinical event was sought from the Australian population. Effectiveness outcomes in the unaided (before implantation) and aided (after implantation) situations were also sought from the literature. All assumptions underlying the model structure are summarized in </w:t>
      </w:r>
      <w:r w:rsidR="002F011A">
        <w:rPr>
          <w:rFonts w:cs="Arial"/>
          <w:highlight w:val="yellow"/>
          <w:lang w:val="en-GB"/>
        </w:rPr>
        <w:fldChar w:fldCharType="begin"/>
      </w:r>
      <w:r w:rsidR="002F011A">
        <w:rPr>
          <w:rFonts w:cs="Arial"/>
          <w:lang w:val="en-GB"/>
        </w:rPr>
        <w:instrText xml:space="preserve"> REF _Ref430958894 \h </w:instrText>
      </w:r>
      <w:r w:rsidR="002F011A">
        <w:rPr>
          <w:rFonts w:cs="Arial"/>
          <w:highlight w:val="yellow"/>
          <w:lang w:val="en-GB"/>
        </w:rPr>
      </w:r>
      <w:r w:rsidR="002F011A">
        <w:rPr>
          <w:rFonts w:cs="Arial"/>
          <w:highlight w:val="yellow"/>
          <w:lang w:val="en-GB"/>
        </w:rPr>
        <w:fldChar w:fldCharType="separate"/>
      </w:r>
      <w:r w:rsidR="00016592" w:rsidRPr="00A83F80">
        <w:rPr>
          <w:rFonts w:cs="Arial"/>
        </w:rPr>
        <w:t xml:space="preserve">Table </w:t>
      </w:r>
      <w:r w:rsidR="00016592">
        <w:rPr>
          <w:rFonts w:cs="Arial"/>
          <w:noProof/>
        </w:rPr>
        <w:t>33</w:t>
      </w:r>
      <w:r w:rsidR="002F011A">
        <w:rPr>
          <w:rFonts w:cs="Arial"/>
          <w:highlight w:val="yellow"/>
          <w:lang w:val="en-GB"/>
        </w:rPr>
        <w:fldChar w:fldCharType="end"/>
      </w:r>
      <w:r w:rsidR="002F011A">
        <w:rPr>
          <w:rFonts w:cs="Arial"/>
          <w:lang w:val="en-GB"/>
        </w:rPr>
        <w:t>.</w:t>
      </w:r>
    </w:p>
    <w:p w14:paraId="1F82BC35" w14:textId="77777777" w:rsidR="004F015F" w:rsidRDefault="004F015F" w:rsidP="005531D6">
      <w:pPr>
        <w:pStyle w:val="Textbody"/>
        <w:rPr>
          <w:lang w:val="en-GB"/>
        </w:rPr>
        <w:sectPr w:rsidR="004F015F" w:rsidSect="00695C41">
          <w:pgSz w:w="11907" w:h="16840" w:code="9"/>
          <w:pgMar w:top="1418" w:right="1418" w:bottom="1701" w:left="1814" w:header="720" w:footer="720" w:gutter="0"/>
          <w:paperSrc w:first="7" w:other="7"/>
          <w:cols w:space="720"/>
          <w:noEndnote/>
          <w:docGrid w:linePitch="299"/>
        </w:sectPr>
      </w:pPr>
    </w:p>
    <w:p w14:paraId="757AF094" w14:textId="77777777" w:rsidR="004F015F" w:rsidRDefault="00CF24B7" w:rsidP="004F015F">
      <w:pPr>
        <w:pStyle w:val="Textbody"/>
        <w:jc w:val="left"/>
        <w:rPr>
          <w:u w:val="single"/>
        </w:rPr>
      </w:pPr>
      <w:r>
        <w:rPr>
          <w:noProof/>
          <w:u w:val="single"/>
          <w:lang w:val="en-AU" w:eastAsia="en-AU"/>
        </w:rPr>
        <w:lastRenderedPageBreak/>
        <w:drawing>
          <wp:inline distT="0" distB="0" distL="0" distR="0" wp14:anchorId="72BA847D" wp14:editId="47498A5F">
            <wp:extent cx="5508625" cy="4721450"/>
            <wp:effectExtent l="0" t="0" r="0" b="3175"/>
            <wp:docPr id="14" name="Picture 14" descr="Structure of the economic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Vibrant\HTA\Countries\Australia\Authority\MSAC\1365_SNHL\Economical modelling\Analysis\VSB vs NO treatment.tiff"/>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508625" cy="4721450"/>
                    </a:xfrm>
                    <a:prstGeom prst="rect">
                      <a:avLst/>
                    </a:prstGeom>
                    <a:noFill/>
                    <a:ln>
                      <a:noFill/>
                    </a:ln>
                  </pic:spPr>
                </pic:pic>
              </a:graphicData>
            </a:graphic>
          </wp:inline>
        </w:drawing>
      </w:r>
    </w:p>
    <w:p w14:paraId="086C47DE" w14:textId="77777777" w:rsidR="004F015F" w:rsidRDefault="004F015F" w:rsidP="00CF24B7">
      <w:pPr>
        <w:pStyle w:val="Textbody"/>
        <w:jc w:val="left"/>
        <w:rPr>
          <w:rFonts w:eastAsiaTheme="minorHAnsi"/>
          <w:b/>
          <w:sz w:val="20"/>
          <w:szCs w:val="20"/>
          <w:u w:val="single"/>
          <w:lang w:val="en-GB" w:eastAsia="en-US"/>
        </w:rPr>
      </w:pPr>
      <w:bookmarkStart w:id="521" w:name="_Ref431287168"/>
      <w:bookmarkStart w:id="522" w:name="_Toc431653920"/>
      <w:r w:rsidRPr="00DA6869">
        <w:rPr>
          <w:b/>
          <w:sz w:val="20"/>
          <w:szCs w:val="20"/>
          <w:u w:val="single"/>
        </w:rPr>
        <w:t xml:space="preserve">Fig </w:t>
      </w:r>
      <w:r w:rsidRPr="00DA6869">
        <w:rPr>
          <w:b/>
          <w:sz w:val="20"/>
          <w:szCs w:val="20"/>
          <w:u w:val="single"/>
        </w:rPr>
        <w:fldChar w:fldCharType="begin"/>
      </w:r>
      <w:r w:rsidRPr="00DA6869">
        <w:rPr>
          <w:b/>
          <w:sz w:val="20"/>
          <w:szCs w:val="20"/>
          <w:u w:val="single"/>
        </w:rPr>
        <w:instrText xml:space="preserve"> SEQ Fig \* ARABIC </w:instrText>
      </w:r>
      <w:r w:rsidRPr="00DA6869">
        <w:rPr>
          <w:b/>
          <w:sz w:val="20"/>
          <w:szCs w:val="20"/>
          <w:u w:val="single"/>
        </w:rPr>
        <w:fldChar w:fldCharType="separate"/>
      </w:r>
      <w:r w:rsidR="00016592">
        <w:rPr>
          <w:b/>
          <w:noProof/>
          <w:sz w:val="20"/>
          <w:szCs w:val="20"/>
          <w:u w:val="single"/>
        </w:rPr>
        <w:t>11</w:t>
      </w:r>
      <w:r w:rsidRPr="00DA6869">
        <w:rPr>
          <w:b/>
          <w:sz w:val="20"/>
          <w:szCs w:val="20"/>
          <w:u w:val="single"/>
        </w:rPr>
        <w:fldChar w:fldCharType="end"/>
      </w:r>
      <w:bookmarkEnd w:id="521"/>
      <w:r w:rsidRPr="00DA6869">
        <w:rPr>
          <w:rFonts w:eastAsiaTheme="minorHAnsi"/>
          <w:b/>
          <w:sz w:val="20"/>
          <w:szCs w:val="20"/>
          <w:u w:val="single"/>
          <w:lang w:val="en-GB" w:eastAsia="en-US"/>
        </w:rPr>
        <w:t xml:space="preserve"> – Structure of the economic model</w:t>
      </w:r>
      <w:bookmarkEnd w:id="522"/>
    </w:p>
    <w:p w14:paraId="3D0DCAEB" w14:textId="77777777" w:rsidR="00CF24B7" w:rsidRDefault="00CF24B7" w:rsidP="00CF24B7">
      <w:pPr>
        <w:pStyle w:val="Textbody"/>
        <w:jc w:val="left"/>
        <w:rPr>
          <w:rFonts w:eastAsiaTheme="minorHAnsi"/>
          <w:b/>
          <w:sz w:val="20"/>
          <w:szCs w:val="20"/>
          <w:u w:val="single"/>
          <w:lang w:val="en-GB" w:eastAsia="en-US"/>
        </w:rPr>
      </w:pPr>
    </w:p>
    <w:p w14:paraId="552E66D9" w14:textId="77777777" w:rsidR="00CF24B7" w:rsidRPr="00CF24B7" w:rsidRDefault="00CF24B7" w:rsidP="00CF24B7">
      <w:pPr>
        <w:pStyle w:val="Textbody"/>
        <w:jc w:val="left"/>
        <w:rPr>
          <w:b/>
          <w:sz w:val="20"/>
          <w:szCs w:val="20"/>
          <w:lang w:val="en-GB"/>
        </w:rPr>
        <w:sectPr w:rsidR="00CF24B7" w:rsidRPr="00CF24B7" w:rsidSect="00CF24B7">
          <w:pgSz w:w="11907" w:h="16840" w:code="9"/>
          <w:pgMar w:top="1418" w:right="1418" w:bottom="1701" w:left="1814" w:header="720" w:footer="720" w:gutter="0"/>
          <w:paperSrc w:first="7" w:other="7"/>
          <w:cols w:space="720"/>
          <w:noEndnote/>
          <w:docGrid w:linePitch="299"/>
        </w:sectPr>
      </w:pPr>
    </w:p>
    <w:p w14:paraId="702C65A0" w14:textId="77777777" w:rsidR="002F011A" w:rsidRPr="00932A48" w:rsidRDefault="002F011A" w:rsidP="002F011A">
      <w:pPr>
        <w:spacing w:line="360" w:lineRule="auto"/>
        <w:jc w:val="both"/>
        <w:rPr>
          <w:rFonts w:cs="Arial"/>
          <w:lang w:val="en-GB"/>
        </w:rPr>
      </w:pPr>
      <w:r w:rsidRPr="00932A48">
        <w:rPr>
          <w:rFonts w:cs="Arial"/>
          <w:lang w:val="en-GB"/>
        </w:rPr>
        <w:lastRenderedPageBreak/>
        <w:t>For evaluating the different middle ear implant systems against each other, the MEI implantation branch of the model was cloned and the Markov states were named according to the respective devices. Individuals with mild-to-severe sensorineural hearing loss enter the model after candidacy assessment and then follow the VSB or M</w:t>
      </w:r>
      <w:r w:rsidR="00F1584B">
        <w:rPr>
          <w:rFonts w:cs="Arial"/>
          <w:lang w:val="en-GB"/>
        </w:rPr>
        <w:t>A</w:t>
      </w:r>
      <w:r w:rsidRPr="00932A48">
        <w:rPr>
          <w:rFonts w:cs="Arial"/>
          <w:lang w:val="en-GB"/>
        </w:rPr>
        <w:t>X</w:t>
      </w:r>
      <w:r w:rsidR="00F1584B">
        <w:rPr>
          <w:rFonts w:cs="Arial"/>
          <w:lang w:val="en-GB"/>
        </w:rPr>
        <w:t>U</w:t>
      </w:r>
      <w:r w:rsidRPr="00932A48">
        <w:rPr>
          <w:rFonts w:cs="Arial"/>
          <w:lang w:val="en-GB"/>
        </w:rPr>
        <w:t xml:space="preserve">M implantation arm of the model depending on the clinical decision. The new Markov model was populated using data from the literature. </w:t>
      </w:r>
    </w:p>
    <w:p w14:paraId="7243A04F" w14:textId="77777777" w:rsidR="002F011A" w:rsidRPr="005531D6" w:rsidRDefault="002F011A" w:rsidP="002F011A">
      <w:pPr>
        <w:pStyle w:val="Textbody"/>
        <w:rPr>
          <w:lang w:val="en-GB"/>
        </w:rPr>
      </w:pPr>
    </w:p>
    <w:p w14:paraId="2769FA33" w14:textId="77777777" w:rsidR="002F011A" w:rsidRPr="005C1F7C" w:rsidRDefault="002F011A" w:rsidP="002F011A">
      <w:pPr>
        <w:pStyle w:val="Caption"/>
        <w:rPr>
          <w:rFonts w:ascii="Arial" w:hAnsi="Arial" w:cs="Arial"/>
          <w:lang w:val="en-AU"/>
        </w:rPr>
      </w:pPr>
      <w:bookmarkStart w:id="523" w:name="_Ref430958894"/>
      <w:bookmarkStart w:id="524" w:name="_Toc431917493"/>
      <w:r w:rsidRPr="00A83F80">
        <w:rPr>
          <w:rFonts w:ascii="Arial" w:hAnsi="Arial" w:cs="Arial"/>
        </w:rPr>
        <w:t xml:space="preserve">Table </w:t>
      </w:r>
      <w:r w:rsidR="00CF0322" w:rsidRPr="00A83F80">
        <w:rPr>
          <w:rFonts w:ascii="Arial" w:hAnsi="Arial" w:cs="Arial"/>
        </w:rPr>
        <w:fldChar w:fldCharType="begin"/>
      </w:r>
      <w:r w:rsidR="00CF0322" w:rsidRPr="00A83F80">
        <w:rPr>
          <w:rFonts w:ascii="Arial" w:hAnsi="Arial" w:cs="Arial"/>
        </w:rPr>
        <w:instrText xml:space="preserve"> SEQ Table \* ARABIC </w:instrText>
      </w:r>
      <w:r w:rsidR="00CF0322" w:rsidRPr="00A83F80">
        <w:rPr>
          <w:rFonts w:ascii="Arial" w:hAnsi="Arial" w:cs="Arial"/>
        </w:rPr>
        <w:fldChar w:fldCharType="separate"/>
      </w:r>
      <w:r w:rsidR="00016592">
        <w:rPr>
          <w:rFonts w:ascii="Arial" w:hAnsi="Arial" w:cs="Arial"/>
          <w:noProof/>
        </w:rPr>
        <w:t>33</w:t>
      </w:r>
      <w:r w:rsidR="00CF0322" w:rsidRPr="00A83F80">
        <w:rPr>
          <w:rFonts w:ascii="Arial" w:hAnsi="Arial" w:cs="Arial"/>
          <w:noProof/>
        </w:rPr>
        <w:fldChar w:fldCharType="end"/>
      </w:r>
      <w:bookmarkEnd w:id="523"/>
      <w:r w:rsidRPr="00A83F80">
        <w:rPr>
          <w:rFonts w:ascii="Arial" w:hAnsi="Arial" w:cs="Arial"/>
          <w:lang w:val="en-US"/>
        </w:rPr>
        <w:t xml:space="preserve"> </w:t>
      </w:r>
      <w:r w:rsidRPr="008261A6">
        <w:rPr>
          <w:rFonts w:ascii="Arial" w:hAnsi="Arial" w:cs="Arial"/>
          <w:lang w:val="en-AU"/>
        </w:rPr>
        <w:t xml:space="preserve">– </w:t>
      </w:r>
      <w:r w:rsidRPr="00E0477C">
        <w:rPr>
          <w:rFonts w:ascii="Arial" w:hAnsi="Arial" w:cs="Arial"/>
          <w:lang w:val="en-GB"/>
        </w:rPr>
        <w:t>Base case model assumptions</w:t>
      </w:r>
      <w:bookmarkEnd w:id="524"/>
    </w:p>
    <w:tbl>
      <w:tblPr>
        <w:tblW w:w="9220" w:type="dxa"/>
        <w:tblInd w:w="93" w:type="dxa"/>
        <w:tblLook w:val="04A0" w:firstRow="1" w:lastRow="0" w:firstColumn="1" w:lastColumn="0" w:noHBand="0" w:noVBand="1"/>
        <w:tblDescription w:val="Base case model assumptions"/>
      </w:tblPr>
      <w:tblGrid>
        <w:gridCol w:w="4800"/>
        <w:gridCol w:w="4420"/>
      </w:tblGrid>
      <w:tr w:rsidR="002F011A" w:rsidRPr="002F011A" w14:paraId="37ECB8ED" w14:textId="77777777" w:rsidTr="002F011A">
        <w:trPr>
          <w:trHeight w:val="600"/>
        </w:trPr>
        <w:tc>
          <w:tcPr>
            <w:tcW w:w="480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27B047FA" w14:textId="77777777" w:rsidR="002F011A" w:rsidRPr="002F011A" w:rsidRDefault="002F011A" w:rsidP="002F011A">
            <w:pPr>
              <w:jc w:val="center"/>
              <w:rPr>
                <w:rFonts w:cs="Arial"/>
                <w:b/>
                <w:bCs/>
                <w:color w:val="000000"/>
                <w:lang w:val="en-US" w:eastAsia="en-US"/>
              </w:rPr>
            </w:pPr>
            <w:r w:rsidRPr="002F011A">
              <w:rPr>
                <w:rFonts w:cs="Arial"/>
                <w:b/>
                <w:bCs/>
                <w:color w:val="000000"/>
                <w:lang w:val="en-US" w:eastAsia="en-US"/>
              </w:rPr>
              <w:t>Assumption</w:t>
            </w:r>
          </w:p>
        </w:tc>
        <w:tc>
          <w:tcPr>
            <w:tcW w:w="4420" w:type="dxa"/>
            <w:tcBorders>
              <w:top w:val="single" w:sz="8" w:space="0" w:color="auto"/>
              <w:left w:val="nil"/>
              <w:bottom w:val="single" w:sz="4" w:space="0" w:color="auto"/>
              <w:right w:val="single" w:sz="8" w:space="0" w:color="auto"/>
            </w:tcBorders>
            <w:shd w:val="clear" w:color="auto" w:fill="auto"/>
            <w:vAlign w:val="center"/>
            <w:hideMark/>
          </w:tcPr>
          <w:p w14:paraId="30C6064E" w14:textId="77777777" w:rsidR="002F011A" w:rsidRPr="002F011A" w:rsidRDefault="002F011A" w:rsidP="002F011A">
            <w:pPr>
              <w:jc w:val="center"/>
              <w:rPr>
                <w:rFonts w:cs="Arial"/>
                <w:b/>
                <w:bCs/>
                <w:color w:val="000000"/>
                <w:lang w:val="en-US" w:eastAsia="en-US"/>
              </w:rPr>
            </w:pPr>
            <w:r w:rsidRPr="002F011A">
              <w:rPr>
                <w:rFonts w:cs="Arial"/>
                <w:b/>
                <w:bCs/>
                <w:color w:val="000000"/>
                <w:lang w:val="en-US" w:eastAsia="en-US"/>
              </w:rPr>
              <w:t>Comment</w:t>
            </w:r>
          </w:p>
        </w:tc>
      </w:tr>
      <w:tr w:rsidR="002F011A" w:rsidRPr="002F011A" w14:paraId="67C21E81" w14:textId="77777777" w:rsidTr="002F011A">
        <w:trPr>
          <w:trHeight w:val="765"/>
        </w:trPr>
        <w:tc>
          <w:tcPr>
            <w:tcW w:w="4800" w:type="dxa"/>
            <w:tcBorders>
              <w:top w:val="nil"/>
              <w:left w:val="single" w:sz="8" w:space="0" w:color="auto"/>
              <w:bottom w:val="single" w:sz="4" w:space="0" w:color="auto"/>
              <w:right w:val="single" w:sz="4" w:space="0" w:color="auto"/>
            </w:tcBorders>
            <w:shd w:val="clear" w:color="auto" w:fill="auto"/>
            <w:vAlign w:val="center"/>
            <w:hideMark/>
          </w:tcPr>
          <w:p w14:paraId="0F7F26BB" w14:textId="77777777" w:rsidR="002F011A" w:rsidRPr="002F011A" w:rsidRDefault="002F011A" w:rsidP="002F011A">
            <w:pPr>
              <w:rPr>
                <w:rFonts w:cs="Arial"/>
                <w:color w:val="000000"/>
                <w:sz w:val="20"/>
                <w:szCs w:val="20"/>
                <w:lang w:val="en-US" w:eastAsia="en-US"/>
              </w:rPr>
            </w:pPr>
            <w:r w:rsidRPr="002F011A">
              <w:rPr>
                <w:rFonts w:cs="Arial"/>
                <w:color w:val="000000"/>
                <w:sz w:val="20"/>
                <w:szCs w:val="20"/>
                <w:lang w:val="en-US" w:eastAsia="en-US"/>
              </w:rPr>
              <w:t>Individuals who remain unaided are at constant risk of experiencing a recurring pathology in the same ear.</w:t>
            </w:r>
          </w:p>
        </w:tc>
        <w:tc>
          <w:tcPr>
            <w:tcW w:w="4420" w:type="dxa"/>
            <w:tcBorders>
              <w:top w:val="nil"/>
              <w:left w:val="nil"/>
              <w:bottom w:val="single" w:sz="4" w:space="0" w:color="auto"/>
              <w:right w:val="single" w:sz="8" w:space="0" w:color="auto"/>
            </w:tcBorders>
            <w:shd w:val="clear" w:color="auto" w:fill="auto"/>
            <w:vAlign w:val="center"/>
            <w:hideMark/>
          </w:tcPr>
          <w:p w14:paraId="1BFD841D" w14:textId="77777777" w:rsidR="002F011A" w:rsidRPr="002F011A" w:rsidRDefault="002F011A" w:rsidP="002F011A">
            <w:pPr>
              <w:rPr>
                <w:rFonts w:cs="Arial"/>
                <w:color w:val="000000"/>
                <w:sz w:val="20"/>
                <w:szCs w:val="20"/>
                <w:lang w:val="en-US" w:eastAsia="en-US"/>
              </w:rPr>
            </w:pPr>
            <w:r w:rsidRPr="002F011A">
              <w:rPr>
                <w:rFonts w:cs="Arial"/>
                <w:color w:val="000000"/>
                <w:sz w:val="20"/>
                <w:szCs w:val="20"/>
                <w:lang w:val="en-US" w:eastAsia="en-US"/>
              </w:rPr>
              <w:t>It is unknown whether repeated treatment decreases the chance of an outer ear pathology to reoccur.</w:t>
            </w:r>
          </w:p>
        </w:tc>
      </w:tr>
      <w:tr w:rsidR="002F011A" w:rsidRPr="002F011A" w14:paraId="51C6162F" w14:textId="77777777" w:rsidTr="002F011A">
        <w:trPr>
          <w:trHeight w:val="765"/>
        </w:trPr>
        <w:tc>
          <w:tcPr>
            <w:tcW w:w="4800" w:type="dxa"/>
            <w:tcBorders>
              <w:top w:val="nil"/>
              <w:left w:val="single" w:sz="8" w:space="0" w:color="auto"/>
              <w:bottom w:val="single" w:sz="4" w:space="0" w:color="auto"/>
              <w:right w:val="single" w:sz="4" w:space="0" w:color="auto"/>
            </w:tcBorders>
            <w:shd w:val="clear" w:color="auto" w:fill="auto"/>
            <w:vAlign w:val="center"/>
            <w:hideMark/>
          </w:tcPr>
          <w:p w14:paraId="1D193021" w14:textId="77777777" w:rsidR="002F011A" w:rsidRPr="002F011A" w:rsidRDefault="002F011A" w:rsidP="002F011A">
            <w:pPr>
              <w:rPr>
                <w:rFonts w:cs="Arial"/>
                <w:color w:val="000000"/>
                <w:sz w:val="20"/>
                <w:szCs w:val="20"/>
                <w:lang w:val="en-US" w:eastAsia="en-US"/>
              </w:rPr>
            </w:pPr>
            <w:r w:rsidRPr="002F011A">
              <w:rPr>
                <w:rFonts w:cs="Arial"/>
                <w:color w:val="000000"/>
                <w:sz w:val="20"/>
                <w:szCs w:val="20"/>
                <w:lang w:val="en-US" w:eastAsia="en-US"/>
              </w:rPr>
              <w:t>Conservative treatment of recurring pathologies, whether succesful or not, does not alter the quality of life of individuals receiving no intervention.</w:t>
            </w:r>
          </w:p>
        </w:tc>
        <w:tc>
          <w:tcPr>
            <w:tcW w:w="4420" w:type="dxa"/>
            <w:tcBorders>
              <w:top w:val="nil"/>
              <w:left w:val="nil"/>
              <w:bottom w:val="single" w:sz="4" w:space="0" w:color="auto"/>
              <w:right w:val="single" w:sz="8" w:space="0" w:color="auto"/>
            </w:tcBorders>
            <w:shd w:val="clear" w:color="auto" w:fill="auto"/>
            <w:vAlign w:val="center"/>
            <w:hideMark/>
          </w:tcPr>
          <w:p w14:paraId="6A581FBA" w14:textId="77777777" w:rsidR="002F011A" w:rsidRPr="002F011A" w:rsidRDefault="002F011A" w:rsidP="002F011A">
            <w:pPr>
              <w:rPr>
                <w:rFonts w:cs="Arial"/>
                <w:color w:val="000000"/>
                <w:sz w:val="20"/>
                <w:szCs w:val="20"/>
                <w:lang w:val="en-US" w:eastAsia="en-US"/>
              </w:rPr>
            </w:pPr>
            <w:r w:rsidRPr="002F011A">
              <w:rPr>
                <w:rFonts w:cs="Arial"/>
                <w:color w:val="000000"/>
                <w:sz w:val="20"/>
                <w:szCs w:val="20"/>
                <w:lang w:val="en-US" w:eastAsia="en-US"/>
              </w:rPr>
              <w:t>The succesful erradication of an outer ear condition may positivtely affect QOL, however minimum, as the pathology may reoccur.</w:t>
            </w:r>
          </w:p>
        </w:tc>
      </w:tr>
      <w:tr w:rsidR="002F011A" w:rsidRPr="002F011A" w14:paraId="0153F768" w14:textId="77777777" w:rsidTr="002F011A">
        <w:trPr>
          <w:trHeight w:val="1275"/>
        </w:trPr>
        <w:tc>
          <w:tcPr>
            <w:tcW w:w="4800" w:type="dxa"/>
            <w:tcBorders>
              <w:top w:val="nil"/>
              <w:left w:val="single" w:sz="8" w:space="0" w:color="auto"/>
              <w:bottom w:val="single" w:sz="4" w:space="0" w:color="auto"/>
              <w:right w:val="single" w:sz="4" w:space="0" w:color="auto"/>
            </w:tcBorders>
            <w:shd w:val="clear" w:color="auto" w:fill="auto"/>
            <w:vAlign w:val="center"/>
            <w:hideMark/>
          </w:tcPr>
          <w:p w14:paraId="374DED54" w14:textId="77777777" w:rsidR="002F011A" w:rsidRPr="002F011A" w:rsidRDefault="002F011A" w:rsidP="002F011A">
            <w:pPr>
              <w:rPr>
                <w:rFonts w:cs="Arial"/>
                <w:color w:val="000000"/>
                <w:sz w:val="20"/>
                <w:szCs w:val="20"/>
                <w:lang w:val="en-US" w:eastAsia="en-US"/>
              </w:rPr>
            </w:pPr>
            <w:r w:rsidRPr="002F011A">
              <w:rPr>
                <w:rFonts w:cs="Arial"/>
                <w:color w:val="000000"/>
                <w:sz w:val="20"/>
                <w:szCs w:val="20"/>
                <w:lang w:val="en-US" w:eastAsia="en-US"/>
              </w:rPr>
              <w:t>Individuals who are successfully aided do not cease to use their device.</w:t>
            </w:r>
          </w:p>
        </w:tc>
        <w:tc>
          <w:tcPr>
            <w:tcW w:w="4420" w:type="dxa"/>
            <w:tcBorders>
              <w:top w:val="nil"/>
              <w:left w:val="nil"/>
              <w:bottom w:val="single" w:sz="4" w:space="0" w:color="auto"/>
              <w:right w:val="single" w:sz="8" w:space="0" w:color="auto"/>
            </w:tcBorders>
            <w:shd w:val="clear" w:color="auto" w:fill="auto"/>
            <w:vAlign w:val="center"/>
            <w:hideMark/>
          </w:tcPr>
          <w:p w14:paraId="43968AB4" w14:textId="77777777" w:rsidR="002F011A" w:rsidRPr="002F011A" w:rsidRDefault="002F011A" w:rsidP="002F011A">
            <w:pPr>
              <w:rPr>
                <w:rFonts w:cs="Arial"/>
                <w:color w:val="000000"/>
                <w:sz w:val="20"/>
                <w:szCs w:val="20"/>
                <w:lang w:val="en-US" w:eastAsia="en-US"/>
              </w:rPr>
            </w:pPr>
            <w:r w:rsidRPr="002F011A">
              <w:rPr>
                <w:rFonts w:cs="Arial"/>
                <w:color w:val="000000"/>
                <w:sz w:val="20"/>
                <w:szCs w:val="20"/>
                <w:lang w:val="en-US" w:eastAsia="en-US"/>
              </w:rPr>
              <w:t xml:space="preserve">Studies demonstrate patients to stop using their device after various complications. Unsatisfactory benefit due to decreased gain or hearing loss can also be categorized as an adverse event. </w:t>
            </w:r>
          </w:p>
        </w:tc>
      </w:tr>
      <w:tr w:rsidR="002F011A" w:rsidRPr="002F011A" w14:paraId="37AD3F23" w14:textId="77777777" w:rsidTr="002F011A">
        <w:trPr>
          <w:trHeight w:val="510"/>
        </w:trPr>
        <w:tc>
          <w:tcPr>
            <w:tcW w:w="4800" w:type="dxa"/>
            <w:tcBorders>
              <w:top w:val="nil"/>
              <w:left w:val="single" w:sz="8" w:space="0" w:color="auto"/>
              <w:bottom w:val="single" w:sz="4" w:space="0" w:color="auto"/>
              <w:right w:val="single" w:sz="4" w:space="0" w:color="auto"/>
            </w:tcBorders>
            <w:shd w:val="clear" w:color="auto" w:fill="auto"/>
            <w:vAlign w:val="center"/>
            <w:hideMark/>
          </w:tcPr>
          <w:p w14:paraId="0D47065C" w14:textId="77777777" w:rsidR="002F011A" w:rsidRPr="002F011A" w:rsidRDefault="002F011A" w:rsidP="002F011A">
            <w:pPr>
              <w:rPr>
                <w:rFonts w:cs="Arial"/>
                <w:color w:val="000000"/>
                <w:sz w:val="20"/>
                <w:szCs w:val="20"/>
                <w:lang w:val="en-US" w:eastAsia="en-US"/>
              </w:rPr>
            </w:pPr>
            <w:r w:rsidRPr="002F011A">
              <w:rPr>
                <w:rFonts w:cs="Arial"/>
                <w:color w:val="000000"/>
                <w:sz w:val="20"/>
                <w:szCs w:val="20"/>
                <w:lang w:val="en-US" w:eastAsia="en-US"/>
              </w:rPr>
              <w:t>Surgical revision provides a full resolution of adverse events.</w:t>
            </w:r>
          </w:p>
        </w:tc>
        <w:tc>
          <w:tcPr>
            <w:tcW w:w="4420" w:type="dxa"/>
            <w:tcBorders>
              <w:top w:val="nil"/>
              <w:left w:val="nil"/>
              <w:bottom w:val="single" w:sz="4" w:space="0" w:color="auto"/>
              <w:right w:val="single" w:sz="8" w:space="0" w:color="auto"/>
            </w:tcBorders>
            <w:shd w:val="clear" w:color="auto" w:fill="auto"/>
            <w:vAlign w:val="center"/>
            <w:hideMark/>
          </w:tcPr>
          <w:p w14:paraId="78CBA606" w14:textId="77777777" w:rsidR="002F011A" w:rsidRPr="002F011A" w:rsidRDefault="002F011A" w:rsidP="002F011A">
            <w:pPr>
              <w:rPr>
                <w:rFonts w:cs="Arial"/>
                <w:color w:val="000000"/>
                <w:sz w:val="20"/>
                <w:szCs w:val="20"/>
                <w:lang w:val="en-US" w:eastAsia="en-US"/>
              </w:rPr>
            </w:pPr>
            <w:r w:rsidRPr="002F011A">
              <w:rPr>
                <w:rFonts w:cs="Arial"/>
                <w:color w:val="000000"/>
                <w:sz w:val="20"/>
                <w:szCs w:val="20"/>
                <w:lang w:val="en-US" w:eastAsia="en-US"/>
              </w:rPr>
              <w:t xml:space="preserve">This reflects general clinical practice. </w:t>
            </w:r>
          </w:p>
        </w:tc>
      </w:tr>
      <w:tr w:rsidR="002F011A" w:rsidRPr="002F011A" w14:paraId="40F26573" w14:textId="77777777" w:rsidTr="002F011A">
        <w:trPr>
          <w:trHeight w:val="945"/>
        </w:trPr>
        <w:tc>
          <w:tcPr>
            <w:tcW w:w="4800" w:type="dxa"/>
            <w:tcBorders>
              <w:top w:val="nil"/>
              <w:left w:val="single" w:sz="8" w:space="0" w:color="auto"/>
              <w:bottom w:val="single" w:sz="4" w:space="0" w:color="auto"/>
              <w:right w:val="single" w:sz="4" w:space="0" w:color="auto"/>
            </w:tcBorders>
            <w:shd w:val="clear" w:color="auto" w:fill="auto"/>
            <w:vAlign w:val="center"/>
            <w:hideMark/>
          </w:tcPr>
          <w:p w14:paraId="0C5BE2D5" w14:textId="77777777" w:rsidR="002F011A" w:rsidRPr="002F011A" w:rsidRDefault="002F011A" w:rsidP="002F011A">
            <w:pPr>
              <w:rPr>
                <w:rFonts w:cs="Arial"/>
                <w:color w:val="000000"/>
                <w:sz w:val="20"/>
                <w:szCs w:val="20"/>
                <w:lang w:val="en-US" w:eastAsia="en-US"/>
              </w:rPr>
            </w:pPr>
            <w:r w:rsidRPr="002F011A">
              <w:rPr>
                <w:rFonts w:cs="Arial"/>
                <w:color w:val="000000"/>
                <w:sz w:val="20"/>
                <w:szCs w:val="20"/>
                <w:lang w:val="en-US" w:eastAsia="en-US"/>
              </w:rPr>
              <w:t>Re-implantation with a new implant ocurrs in the same ear from which a failed device is explanted from.</w:t>
            </w:r>
          </w:p>
        </w:tc>
        <w:tc>
          <w:tcPr>
            <w:tcW w:w="4420" w:type="dxa"/>
            <w:tcBorders>
              <w:top w:val="nil"/>
              <w:left w:val="nil"/>
              <w:bottom w:val="single" w:sz="4" w:space="0" w:color="auto"/>
              <w:right w:val="single" w:sz="8" w:space="0" w:color="auto"/>
            </w:tcBorders>
            <w:shd w:val="clear" w:color="auto" w:fill="auto"/>
            <w:vAlign w:val="center"/>
            <w:hideMark/>
          </w:tcPr>
          <w:p w14:paraId="3C19B2F0" w14:textId="77777777" w:rsidR="002F011A" w:rsidRPr="002F011A" w:rsidRDefault="002F011A" w:rsidP="002F011A">
            <w:pPr>
              <w:rPr>
                <w:rFonts w:cs="Arial"/>
                <w:color w:val="000000"/>
                <w:sz w:val="20"/>
                <w:szCs w:val="20"/>
                <w:lang w:val="en-US" w:eastAsia="en-US"/>
              </w:rPr>
            </w:pPr>
            <w:r w:rsidRPr="002F011A">
              <w:rPr>
                <w:rFonts w:cs="Arial"/>
                <w:color w:val="000000"/>
                <w:sz w:val="20"/>
                <w:szCs w:val="20"/>
                <w:lang w:val="en-US" w:eastAsia="en-US"/>
              </w:rPr>
              <w:t xml:space="preserve">This reflects general clinical practice. </w:t>
            </w:r>
          </w:p>
        </w:tc>
      </w:tr>
      <w:tr w:rsidR="002F011A" w:rsidRPr="002F011A" w14:paraId="0FF1E058" w14:textId="77777777" w:rsidTr="002F011A">
        <w:trPr>
          <w:trHeight w:val="720"/>
        </w:trPr>
        <w:tc>
          <w:tcPr>
            <w:tcW w:w="4800" w:type="dxa"/>
            <w:tcBorders>
              <w:top w:val="nil"/>
              <w:left w:val="single" w:sz="8" w:space="0" w:color="auto"/>
              <w:bottom w:val="single" w:sz="4" w:space="0" w:color="auto"/>
              <w:right w:val="single" w:sz="4" w:space="0" w:color="auto"/>
            </w:tcBorders>
            <w:shd w:val="clear" w:color="auto" w:fill="auto"/>
            <w:vAlign w:val="center"/>
            <w:hideMark/>
          </w:tcPr>
          <w:p w14:paraId="2E2AB276" w14:textId="77777777" w:rsidR="002F011A" w:rsidRPr="002F011A" w:rsidRDefault="002F011A" w:rsidP="002F011A">
            <w:pPr>
              <w:rPr>
                <w:rFonts w:cs="Arial"/>
                <w:color w:val="000000"/>
                <w:sz w:val="20"/>
                <w:szCs w:val="20"/>
                <w:lang w:val="en-US" w:eastAsia="en-US"/>
              </w:rPr>
            </w:pPr>
            <w:r w:rsidRPr="002F011A">
              <w:rPr>
                <w:rFonts w:cs="Arial"/>
                <w:color w:val="000000"/>
                <w:sz w:val="20"/>
                <w:szCs w:val="20"/>
                <w:lang w:val="en-US" w:eastAsia="en-US"/>
              </w:rPr>
              <w:t>The rate of device failure and reimplantation does not vary significantly between partially implantable MEI.</w:t>
            </w:r>
          </w:p>
        </w:tc>
        <w:tc>
          <w:tcPr>
            <w:tcW w:w="4420" w:type="dxa"/>
            <w:tcBorders>
              <w:top w:val="nil"/>
              <w:left w:val="nil"/>
              <w:bottom w:val="single" w:sz="4" w:space="0" w:color="auto"/>
              <w:right w:val="single" w:sz="8" w:space="0" w:color="auto"/>
            </w:tcBorders>
            <w:shd w:val="clear" w:color="auto" w:fill="auto"/>
            <w:vAlign w:val="center"/>
            <w:hideMark/>
          </w:tcPr>
          <w:p w14:paraId="370D2FDC" w14:textId="77777777" w:rsidR="002F011A" w:rsidRPr="002F011A" w:rsidRDefault="002F011A" w:rsidP="002F011A">
            <w:pPr>
              <w:rPr>
                <w:rFonts w:cs="Arial"/>
                <w:color w:val="000000"/>
                <w:sz w:val="20"/>
                <w:szCs w:val="20"/>
                <w:lang w:val="en-US" w:eastAsia="en-US"/>
              </w:rPr>
            </w:pPr>
            <w:r w:rsidRPr="002F011A">
              <w:rPr>
                <w:rFonts w:cs="Arial"/>
                <w:color w:val="000000"/>
                <w:sz w:val="20"/>
                <w:szCs w:val="20"/>
                <w:lang w:val="en-US" w:eastAsia="en-US"/>
              </w:rPr>
              <w:t>Differences in de</w:t>
            </w:r>
            <w:r w:rsidR="00F1584B">
              <w:rPr>
                <w:rFonts w:cs="Arial"/>
                <w:color w:val="000000"/>
                <w:sz w:val="20"/>
                <w:szCs w:val="20"/>
                <w:lang w:val="en-US" w:eastAsia="en-US"/>
              </w:rPr>
              <w:t>s</w:t>
            </w:r>
            <w:r w:rsidRPr="002F011A">
              <w:rPr>
                <w:rFonts w:cs="Arial"/>
                <w:color w:val="000000"/>
                <w:sz w:val="20"/>
                <w:szCs w:val="20"/>
                <w:lang w:val="en-US" w:eastAsia="en-US"/>
              </w:rPr>
              <w:t>ign and surgical application of partially implantable MEI is not large.</w:t>
            </w:r>
          </w:p>
        </w:tc>
      </w:tr>
      <w:tr w:rsidR="002F011A" w:rsidRPr="002F011A" w14:paraId="0EC18F73" w14:textId="77777777" w:rsidTr="002F011A">
        <w:trPr>
          <w:trHeight w:val="975"/>
        </w:trPr>
        <w:tc>
          <w:tcPr>
            <w:tcW w:w="4800" w:type="dxa"/>
            <w:tcBorders>
              <w:top w:val="nil"/>
              <w:left w:val="single" w:sz="8" w:space="0" w:color="auto"/>
              <w:bottom w:val="single" w:sz="4" w:space="0" w:color="auto"/>
              <w:right w:val="single" w:sz="4" w:space="0" w:color="auto"/>
            </w:tcBorders>
            <w:shd w:val="clear" w:color="auto" w:fill="auto"/>
            <w:vAlign w:val="center"/>
            <w:hideMark/>
          </w:tcPr>
          <w:p w14:paraId="4D384624" w14:textId="77777777" w:rsidR="002F011A" w:rsidRPr="002F011A" w:rsidRDefault="002F011A" w:rsidP="002F011A">
            <w:pPr>
              <w:rPr>
                <w:rFonts w:cs="Arial"/>
                <w:color w:val="000000"/>
                <w:sz w:val="20"/>
                <w:szCs w:val="20"/>
                <w:lang w:val="en-US" w:eastAsia="en-US"/>
              </w:rPr>
            </w:pPr>
            <w:r w:rsidRPr="002F011A">
              <w:rPr>
                <w:rFonts w:cs="Arial"/>
                <w:color w:val="000000"/>
                <w:sz w:val="20"/>
                <w:szCs w:val="20"/>
                <w:lang w:val="en-US" w:eastAsia="en-US"/>
              </w:rPr>
              <w:t>Individuals wear their device for at least six months before potentially deciding to stop using their device.</w:t>
            </w:r>
          </w:p>
        </w:tc>
        <w:tc>
          <w:tcPr>
            <w:tcW w:w="4420" w:type="dxa"/>
            <w:tcBorders>
              <w:top w:val="nil"/>
              <w:left w:val="nil"/>
              <w:bottom w:val="single" w:sz="4" w:space="0" w:color="auto"/>
              <w:right w:val="single" w:sz="8" w:space="0" w:color="auto"/>
            </w:tcBorders>
            <w:shd w:val="clear" w:color="auto" w:fill="auto"/>
            <w:vAlign w:val="center"/>
            <w:hideMark/>
          </w:tcPr>
          <w:p w14:paraId="02E7B96F" w14:textId="77777777" w:rsidR="002F011A" w:rsidRPr="002F011A" w:rsidRDefault="002F011A" w:rsidP="002F011A">
            <w:pPr>
              <w:rPr>
                <w:rFonts w:cs="Arial"/>
                <w:color w:val="000000"/>
                <w:sz w:val="20"/>
                <w:szCs w:val="20"/>
                <w:lang w:val="en-US" w:eastAsia="en-US"/>
              </w:rPr>
            </w:pPr>
            <w:r w:rsidRPr="002F011A">
              <w:rPr>
                <w:rFonts w:cs="Arial"/>
                <w:color w:val="000000"/>
                <w:sz w:val="20"/>
                <w:szCs w:val="20"/>
                <w:lang w:val="en-US" w:eastAsia="en-US"/>
              </w:rPr>
              <w:t>Individuals that do not experience a device failure try out their device for a few months before making a decision to stop using their device.</w:t>
            </w:r>
          </w:p>
        </w:tc>
      </w:tr>
      <w:tr w:rsidR="002F011A" w:rsidRPr="002F011A" w14:paraId="2749FE79" w14:textId="77777777" w:rsidTr="002F011A">
        <w:trPr>
          <w:trHeight w:val="780"/>
        </w:trPr>
        <w:tc>
          <w:tcPr>
            <w:tcW w:w="4800" w:type="dxa"/>
            <w:tcBorders>
              <w:top w:val="nil"/>
              <w:left w:val="single" w:sz="8" w:space="0" w:color="auto"/>
              <w:bottom w:val="single" w:sz="8" w:space="0" w:color="auto"/>
              <w:right w:val="single" w:sz="4" w:space="0" w:color="auto"/>
            </w:tcBorders>
            <w:shd w:val="clear" w:color="auto" w:fill="auto"/>
            <w:vAlign w:val="center"/>
            <w:hideMark/>
          </w:tcPr>
          <w:p w14:paraId="32A8E421" w14:textId="77777777" w:rsidR="002F011A" w:rsidRPr="002F011A" w:rsidRDefault="002F011A" w:rsidP="002F011A">
            <w:pPr>
              <w:rPr>
                <w:rFonts w:cs="Arial"/>
                <w:color w:val="000000"/>
                <w:sz w:val="20"/>
                <w:szCs w:val="20"/>
                <w:lang w:val="en-US" w:eastAsia="en-US"/>
              </w:rPr>
            </w:pPr>
            <w:r w:rsidRPr="002F011A">
              <w:rPr>
                <w:rFonts w:cs="Arial"/>
                <w:color w:val="000000"/>
                <w:sz w:val="20"/>
                <w:szCs w:val="20"/>
                <w:lang w:val="en-US" w:eastAsia="en-US"/>
              </w:rPr>
              <w:t>All-cause mortality in the hearing impaired population is equal to that in the general population.</w:t>
            </w:r>
          </w:p>
        </w:tc>
        <w:tc>
          <w:tcPr>
            <w:tcW w:w="4420" w:type="dxa"/>
            <w:tcBorders>
              <w:top w:val="nil"/>
              <w:left w:val="nil"/>
              <w:bottom w:val="single" w:sz="8" w:space="0" w:color="auto"/>
              <w:right w:val="single" w:sz="8" w:space="0" w:color="auto"/>
            </w:tcBorders>
            <w:shd w:val="clear" w:color="auto" w:fill="auto"/>
            <w:vAlign w:val="center"/>
            <w:hideMark/>
          </w:tcPr>
          <w:p w14:paraId="14449D0F" w14:textId="77777777" w:rsidR="002F011A" w:rsidRPr="002F011A" w:rsidRDefault="002F011A" w:rsidP="002F011A">
            <w:pPr>
              <w:rPr>
                <w:rFonts w:cs="Arial"/>
                <w:color w:val="000000"/>
                <w:sz w:val="20"/>
                <w:szCs w:val="20"/>
                <w:lang w:val="en-US" w:eastAsia="en-US"/>
              </w:rPr>
            </w:pPr>
            <w:r w:rsidRPr="002F011A">
              <w:rPr>
                <w:rFonts w:cs="Arial"/>
                <w:color w:val="000000"/>
                <w:sz w:val="20"/>
                <w:szCs w:val="20"/>
                <w:lang w:val="en-US" w:eastAsia="en-US"/>
              </w:rPr>
              <w:t>Hearing loss or implantation with a partially implantable MEI does not impact mortality.</w:t>
            </w:r>
          </w:p>
        </w:tc>
      </w:tr>
    </w:tbl>
    <w:p w14:paraId="47684632" w14:textId="77777777" w:rsidR="003733D2" w:rsidRDefault="003733D2" w:rsidP="00D269C2">
      <w:bookmarkStart w:id="525" w:name="_Toc431917592"/>
    </w:p>
    <w:p w14:paraId="3E051AEA" w14:textId="77777777" w:rsidR="003733D2" w:rsidRDefault="003733D2">
      <w:pPr>
        <w:rPr>
          <w:b/>
          <w:bCs/>
          <w:sz w:val="28"/>
          <w:szCs w:val="32"/>
        </w:rPr>
      </w:pPr>
      <w:r>
        <w:br w:type="page"/>
      </w:r>
    </w:p>
    <w:p w14:paraId="17871E3D" w14:textId="0659CC73" w:rsidR="00FE353B" w:rsidRPr="009A1A2E" w:rsidRDefault="00FE353B" w:rsidP="00FE353B">
      <w:pPr>
        <w:pStyle w:val="Heading30"/>
        <w:spacing w:line="360" w:lineRule="auto"/>
        <w:jc w:val="both"/>
        <w:rPr>
          <w:lang w:val="en-AU"/>
        </w:rPr>
      </w:pPr>
      <w:r>
        <w:rPr>
          <w:lang w:val="en-AU"/>
        </w:rPr>
        <w:lastRenderedPageBreak/>
        <w:t>D.3</w:t>
      </w:r>
      <w:r w:rsidRPr="009A1A2E">
        <w:rPr>
          <w:lang w:val="en-AU"/>
        </w:rPr>
        <w:t>.</w:t>
      </w:r>
      <w:r>
        <w:rPr>
          <w:lang w:val="en-AU"/>
        </w:rPr>
        <w:t>3</w:t>
      </w:r>
      <w:r w:rsidRPr="009A1A2E">
        <w:rPr>
          <w:lang w:val="en-AU"/>
        </w:rPr>
        <w:tab/>
      </w:r>
      <w:r>
        <w:rPr>
          <w:lang w:val="en-AU"/>
        </w:rPr>
        <w:t>Time horizon and outcomes used in the economic evaluation</w:t>
      </w:r>
      <w:bookmarkEnd w:id="525"/>
    </w:p>
    <w:p w14:paraId="359FB7A5" w14:textId="77777777" w:rsidR="00FE353B" w:rsidRPr="00932A48" w:rsidRDefault="00FE353B" w:rsidP="00FE353B">
      <w:pPr>
        <w:spacing w:line="360" w:lineRule="auto"/>
        <w:jc w:val="both"/>
        <w:rPr>
          <w:rFonts w:cs="Arial"/>
          <w:lang w:val="en-GB"/>
        </w:rPr>
      </w:pPr>
      <w:r w:rsidRPr="00932A48">
        <w:rPr>
          <w:rFonts w:cs="Arial"/>
          <w:lang w:val="en-GB"/>
        </w:rPr>
        <w:t xml:space="preserve">The time horizon for the economic models was 10 years. This is shorter than the time horizon proposed in the Decision Analytic Protocol; however, it is long enough for differences between interventions to become apparent and to avoid extrapolating too far beyond the available data. Outcomes with the </w:t>
      </w:r>
      <w:r w:rsidR="00DA6869">
        <w:rPr>
          <w:rFonts w:cs="Arial"/>
          <w:lang w:val="en-GB"/>
        </w:rPr>
        <w:t>Maxum/Soundtec</w:t>
      </w:r>
      <w:r w:rsidRPr="00932A48">
        <w:rPr>
          <w:rFonts w:cs="Arial"/>
          <w:lang w:val="en-GB"/>
        </w:rPr>
        <w:t xml:space="preserve"> were only available at 3 and 12 months of device use.</w:t>
      </w:r>
    </w:p>
    <w:p w14:paraId="4B54F23B" w14:textId="77777777" w:rsidR="00FE353B" w:rsidRPr="00932A48" w:rsidRDefault="00FE353B" w:rsidP="00FE353B">
      <w:pPr>
        <w:spacing w:line="360" w:lineRule="auto"/>
        <w:jc w:val="both"/>
        <w:rPr>
          <w:rFonts w:cs="Arial"/>
          <w:lang w:val="en-GB"/>
        </w:rPr>
      </w:pPr>
      <w:r w:rsidRPr="00932A48">
        <w:rPr>
          <w:rFonts w:cs="Arial"/>
          <w:lang w:val="en-GB"/>
        </w:rPr>
        <w:t>The cycle length was set to 6 months. In clinical practice, adverse events usually occur immediately or soon after surgery and are resolved at most within a few months. Additionally, in the case of revision surgery or re-implantation, six-months allows for a waiting period and delivery of surgical tools if needed. Hence, a half-cycle correction was not applied.</w:t>
      </w:r>
    </w:p>
    <w:p w14:paraId="14DDB19B" w14:textId="77777777" w:rsidR="00FE353B" w:rsidRPr="00932A48" w:rsidRDefault="00FE353B" w:rsidP="00FE353B">
      <w:pPr>
        <w:spacing w:line="360" w:lineRule="auto"/>
        <w:jc w:val="both"/>
        <w:rPr>
          <w:rFonts w:cs="Arial"/>
          <w:lang w:val="en-GB"/>
        </w:rPr>
      </w:pPr>
      <w:r w:rsidRPr="00932A48">
        <w:rPr>
          <w:rFonts w:cs="Arial"/>
          <w:lang w:val="en-GB"/>
        </w:rPr>
        <w:t xml:space="preserve">Outcomes included in the models are the direct costs related to pre-operative assessment, surgery, hospital stay, follow-up and consumables (including battery and device costs). The primary effectiveness outcome is the ICER based upon utility values for the main economic evaluation. For the evaluation comparing different MEI, patient perceived benefit was the preferred outcome as no utility measures were available with </w:t>
      </w:r>
      <w:r w:rsidR="00DA6869">
        <w:rPr>
          <w:rFonts w:cs="Arial"/>
          <w:lang w:val="en-GB"/>
        </w:rPr>
        <w:t>Maxum/Soundtec</w:t>
      </w:r>
      <w:r w:rsidRPr="00932A48">
        <w:rPr>
          <w:rFonts w:cs="Arial"/>
          <w:lang w:val="en-GB"/>
        </w:rPr>
        <w:t xml:space="preserve"> implants.</w:t>
      </w:r>
    </w:p>
    <w:p w14:paraId="17F33791" w14:textId="77777777" w:rsidR="00FE353B" w:rsidRPr="00FE353B" w:rsidRDefault="00FE353B" w:rsidP="00FE353B">
      <w:pPr>
        <w:pStyle w:val="Textbody"/>
        <w:rPr>
          <w:lang w:val="en-GB"/>
        </w:rPr>
      </w:pPr>
    </w:p>
    <w:p w14:paraId="68A76840" w14:textId="77777777" w:rsidR="00FE353B" w:rsidRPr="009A1A2E" w:rsidRDefault="00FE353B" w:rsidP="00FE353B">
      <w:pPr>
        <w:pStyle w:val="Heading30"/>
        <w:spacing w:line="360" w:lineRule="auto"/>
        <w:jc w:val="both"/>
        <w:rPr>
          <w:lang w:val="en-AU"/>
        </w:rPr>
      </w:pPr>
      <w:bookmarkStart w:id="526" w:name="_Toc431917593"/>
      <w:r>
        <w:rPr>
          <w:lang w:val="en-AU"/>
        </w:rPr>
        <w:t>D.3</w:t>
      </w:r>
      <w:r w:rsidRPr="009A1A2E">
        <w:rPr>
          <w:lang w:val="en-AU"/>
        </w:rPr>
        <w:t>.</w:t>
      </w:r>
      <w:r>
        <w:rPr>
          <w:lang w:val="en-AU"/>
        </w:rPr>
        <w:t>4</w:t>
      </w:r>
      <w:r w:rsidRPr="009A1A2E">
        <w:rPr>
          <w:lang w:val="en-AU"/>
        </w:rPr>
        <w:tab/>
      </w:r>
      <w:r>
        <w:rPr>
          <w:lang w:val="en-AU"/>
        </w:rPr>
        <w:t>Discounting</w:t>
      </w:r>
      <w:bookmarkEnd w:id="526"/>
    </w:p>
    <w:p w14:paraId="79575063" w14:textId="77777777" w:rsidR="00FE353B" w:rsidRPr="00932A48" w:rsidRDefault="00FE353B" w:rsidP="00FE353B">
      <w:pPr>
        <w:spacing w:line="360" w:lineRule="auto"/>
        <w:jc w:val="both"/>
        <w:rPr>
          <w:rFonts w:cs="Arial"/>
          <w:lang w:val="en-GB"/>
        </w:rPr>
      </w:pPr>
      <w:r w:rsidRPr="00932A48">
        <w:rPr>
          <w:rFonts w:cs="Arial"/>
          <w:lang w:val="en-GB"/>
        </w:rPr>
        <w:t>All costs and outcomes were discounted using a 5</w:t>
      </w:r>
      <w:r w:rsidR="004F42E3">
        <w:rPr>
          <w:rFonts w:cs="Arial"/>
          <w:lang w:val="en-GB"/>
        </w:rPr>
        <w:t> </w:t>
      </w:r>
      <w:r w:rsidRPr="00932A48">
        <w:rPr>
          <w:rFonts w:cs="Arial"/>
          <w:lang w:val="en-GB"/>
        </w:rPr>
        <w:t>% discount rate as recommended by the Medical Services Advisory Committee.</w:t>
      </w:r>
    </w:p>
    <w:p w14:paraId="25B3F0CF" w14:textId="77777777" w:rsidR="00FE353B" w:rsidRDefault="00FE353B" w:rsidP="00FE353B">
      <w:pPr>
        <w:pStyle w:val="Textbody"/>
        <w:rPr>
          <w:lang w:val="en-GB"/>
        </w:rPr>
      </w:pPr>
    </w:p>
    <w:p w14:paraId="0329FF02" w14:textId="77777777" w:rsidR="00FE353B" w:rsidRPr="009A1A2E" w:rsidRDefault="00FE353B" w:rsidP="00FE353B">
      <w:pPr>
        <w:pStyle w:val="Heading30"/>
        <w:spacing w:line="360" w:lineRule="auto"/>
        <w:jc w:val="both"/>
        <w:rPr>
          <w:lang w:val="en-AU"/>
        </w:rPr>
      </w:pPr>
      <w:bookmarkStart w:id="527" w:name="_Toc431917594"/>
      <w:r>
        <w:rPr>
          <w:lang w:val="en-AU"/>
        </w:rPr>
        <w:t>D.3</w:t>
      </w:r>
      <w:r w:rsidRPr="009A1A2E">
        <w:rPr>
          <w:lang w:val="en-AU"/>
        </w:rPr>
        <w:t>.</w:t>
      </w:r>
      <w:r>
        <w:rPr>
          <w:lang w:val="en-AU"/>
        </w:rPr>
        <w:t>5</w:t>
      </w:r>
      <w:r w:rsidRPr="009A1A2E">
        <w:rPr>
          <w:lang w:val="en-AU"/>
        </w:rPr>
        <w:tab/>
      </w:r>
      <w:r>
        <w:rPr>
          <w:lang w:val="en-AU"/>
        </w:rPr>
        <w:t>Methods used to generate the results</w:t>
      </w:r>
      <w:bookmarkEnd w:id="527"/>
    </w:p>
    <w:p w14:paraId="7D289FFA" w14:textId="77777777" w:rsidR="00FE353B" w:rsidRPr="00932A48" w:rsidRDefault="00FE353B" w:rsidP="00FE353B">
      <w:pPr>
        <w:spacing w:line="360" w:lineRule="auto"/>
        <w:jc w:val="both"/>
        <w:rPr>
          <w:rFonts w:cs="Arial"/>
          <w:lang w:val="en-GB"/>
        </w:rPr>
      </w:pPr>
      <w:r w:rsidRPr="00932A48">
        <w:rPr>
          <w:rFonts w:cs="Arial"/>
          <w:lang w:val="en-GB"/>
        </w:rPr>
        <w:t>Cost-effectiveness analyses were carried out using cohort (expected value) analysis using results from the literature. To test the robustness of the results, deterministic sensitivity analyses was carried out on all probability and cost estimates by applying ranges around the point estimates used in the base-case analysis. A Poisson distribution was assigned to all probability estimates except VSB device failure to calculate confidence intervals. For VSB device failure the minimum and maximum values based upon the CSR were used. Cost estimates were varied by ±25</w:t>
      </w:r>
      <w:r>
        <w:rPr>
          <w:rFonts w:cs="Arial"/>
          <w:lang w:val="en-GB"/>
        </w:rPr>
        <w:t> </w:t>
      </w:r>
      <w:r w:rsidRPr="00932A48">
        <w:rPr>
          <w:rFonts w:cs="Arial"/>
          <w:lang w:val="en-GB"/>
        </w:rPr>
        <w:t xml:space="preserve">%. </w:t>
      </w:r>
    </w:p>
    <w:p w14:paraId="1A8E3921" w14:textId="77777777" w:rsidR="00FE353B" w:rsidRPr="00932A48" w:rsidRDefault="00FE353B" w:rsidP="00FE353B">
      <w:pPr>
        <w:spacing w:line="360" w:lineRule="auto"/>
        <w:jc w:val="both"/>
        <w:rPr>
          <w:rFonts w:cs="Arial"/>
          <w:lang w:val="en-GB"/>
        </w:rPr>
      </w:pPr>
      <w:r w:rsidRPr="00932A48">
        <w:rPr>
          <w:rFonts w:cs="Arial"/>
          <w:lang w:val="en-GB"/>
        </w:rPr>
        <w:lastRenderedPageBreak/>
        <w:t xml:space="preserve">Variables found to be sensitive in DSA were entered into probabilistic sensitivity analysis. Probability distributions were assigned to the point-estimates used in the base-case analyses. Beta distributions were assigned to transition probabilities, Gamma distributions were assigned to cost variables and Gaussian distributions were assigned to utility measures. The variables included in PSA, the sampling distributions and the parameterisations of the sampling distributions are reported in </w:t>
      </w:r>
      <w:r w:rsidRPr="00632AB0">
        <w:rPr>
          <w:rFonts w:cs="Arial"/>
          <w:lang w:val="en-GB"/>
        </w:rPr>
        <w:t>Appendix D.</w:t>
      </w:r>
    </w:p>
    <w:p w14:paraId="5D326268" w14:textId="77777777" w:rsidR="009A114F" w:rsidRPr="00FE353B" w:rsidRDefault="009A114F" w:rsidP="00FE353B">
      <w:pPr>
        <w:pStyle w:val="Textbody"/>
        <w:rPr>
          <w:lang w:val="en-GB"/>
        </w:rPr>
      </w:pPr>
    </w:p>
    <w:p w14:paraId="70F60B31" w14:textId="77777777" w:rsidR="00DE5501" w:rsidRPr="009A1A2E" w:rsidRDefault="00B55968" w:rsidP="00DE5501">
      <w:pPr>
        <w:pStyle w:val="Heading20"/>
        <w:spacing w:line="360" w:lineRule="auto"/>
        <w:jc w:val="both"/>
        <w:rPr>
          <w:lang w:val="en-AU"/>
        </w:rPr>
      </w:pPr>
      <w:bookmarkStart w:id="528" w:name="_Toc400549429"/>
      <w:bookmarkStart w:id="529" w:name="_Toc431917595"/>
      <w:r>
        <w:rPr>
          <w:sz w:val="28"/>
          <w:lang w:val="en-AU"/>
        </w:rPr>
        <w:t>D.4</w:t>
      </w:r>
      <w:r w:rsidR="00DE5501" w:rsidRPr="009A1A2E">
        <w:rPr>
          <w:sz w:val="28"/>
          <w:lang w:val="en-AU"/>
        </w:rPr>
        <w:tab/>
      </w:r>
      <w:r w:rsidR="00DE5501" w:rsidRPr="009A1A2E">
        <w:rPr>
          <w:lang w:val="en-AU"/>
        </w:rPr>
        <w:t>Variables in the economic evaluation</w:t>
      </w:r>
      <w:bookmarkEnd w:id="528"/>
      <w:bookmarkEnd w:id="529"/>
    </w:p>
    <w:p w14:paraId="2A1847B8" w14:textId="77777777" w:rsidR="000F397B" w:rsidRPr="009A1A2E" w:rsidRDefault="00B55968" w:rsidP="000F397B">
      <w:pPr>
        <w:pStyle w:val="Heading30"/>
        <w:spacing w:line="360" w:lineRule="auto"/>
        <w:jc w:val="both"/>
        <w:rPr>
          <w:lang w:val="en-AU"/>
        </w:rPr>
      </w:pPr>
      <w:bookmarkStart w:id="530" w:name="_Toc400549430"/>
      <w:bookmarkStart w:id="531" w:name="_Toc431917596"/>
      <w:r>
        <w:rPr>
          <w:lang w:val="en-AU"/>
        </w:rPr>
        <w:t>D.4</w:t>
      </w:r>
      <w:r w:rsidR="000F397B" w:rsidRPr="009A1A2E">
        <w:rPr>
          <w:lang w:val="en-AU"/>
        </w:rPr>
        <w:t>.1</w:t>
      </w:r>
      <w:r w:rsidR="000F397B" w:rsidRPr="009A1A2E">
        <w:rPr>
          <w:lang w:val="en-AU"/>
        </w:rPr>
        <w:tab/>
      </w:r>
      <w:bookmarkEnd w:id="530"/>
      <w:r w:rsidR="004E09BB">
        <w:rPr>
          <w:lang w:val="en-AU"/>
        </w:rPr>
        <w:t>Transition probabilities</w:t>
      </w:r>
      <w:bookmarkEnd w:id="531"/>
    </w:p>
    <w:p w14:paraId="00842D7F" w14:textId="59B781D0" w:rsidR="0055396F" w:rsidRDefault="004E09BB" w:rsidP="004E09BB">
      <w:pPr>
        <w:pStyle w:val="Textbody"/>
        <w:rPr>
          <w:lang w:val="en-GB"/>
        </w:rPr>
      </w:pPr>
      <w:r w:rsidRPr="00932A48">
        <w:rPr>
          <w:lang w:val="en-GB"/>
        </w:rPr>
        <w:t>Most of the transition probabilities were based upon information from studies identified in the literature. As previously reported in Section C.1.3., the studies reported outcomes from differential follow-up periods and only very few provided time-to-event data. In order to be consistent in our methods and for transition probabilities to be comparable, observed event probabilities were transformed into instantaneous 6 month rates using the declining exponential approximation to life expectancy (DEALE) method (Beck et al. 1982), which assumes a constant risk over time. These calculations were based upon the mean duration of follow-up unless the study timeframe was same for all participants. The instantaneous rates were then converted back into 6-month probabilities using the equation 1-(1-r)^1/t for obtaining base-case values. The value of instantaneous rates was limited to a maximum of 1 for inclusion in analyses.</w:t>
      </w:r>
      <w:r w:rsidR="00D87A29">
        <w:rPr>
          <w:lang w:val="en-GB"/>
        </w:rPr>
        <w:t xml:space="preserve"> A summary of all parameters input into economic evaluation are provided in Appendix D.</w:t>
      </w:r>
    </w:p>
    <w:p w14:paraId="69D217D5" w14:textId="77777777" w:rsidR="004E09BB" w:rsidRPr="009A1A2E" w:rsidRDefault="004E09BB" w:rsidP="009A114F">
      <w:pPr>
        <w:pStyle w:val="Textbody"/>
        <w:rPr>
          <w:lang w:val="en-AU"/>
        </w:rPr>
      </w:pPr>
    </w:p>
    <w:p w14:paraId="3BE93726" w14:textId="77777777" w:rsidR="004E09BB" w:rsidRPr="00932A48" w:rsidRDefault="004E09BB" w:rsidP="004E09BB">
      <w:pPr>
        <w:pStyle w:val="Heading4"/>
        <w:spacing w:line="360" w:lineRule="auto"/>
        <w:ind w:left="864" w:hanging="864"/>
        <w:jc w:val="both"/>
        <w:rPr>
          <w:rFonts w:cs="Arial"/>
          <w:lang w:val="en-GB"/>
        </w:rPr>
      </w:pPr>
      <w:r w:rsidRPr="00932A48">
        <w:rPr>
          <w:rFonts w:cs="Arial"/>
          <w:lang w:val="en-GB"/>
        </w:rPr>
        <w:t>Recurring pathologies</w:t>
      </w:r>
    </w:p>
    <w:p w14:paraId="7CF579E7" w14:textId="77777777" w:rsidR="004E09BB" w:rsidRPr="00932A48" w:rsidRDefault="004E09BB" w:rsidP="004E09BB">
      <w:pPr>
        <w:spacing w:line="360" w:lineRule="auto"/>
        <w:jc w:val="both"/>
        <w:rPr>
          <w:rFonts w:cs="Arial"/>
          <w:lang w:val="en-GB"/>
        </w:rPr>
      </w:pPr>
      <w:r w:rsidRPr="00932A48">
        <w:rPr>
          <w:rFonts w:cs="Arial"/>
          <w:lang w:val="en-GB"/>
        </w:rPr>
        <w:t xml:space="preserve">The three most common outer ear pathologies are otitis externa, EAC exostoses and excessive cerumen. A literature search was carried out to identify studies reporting epidemiological values on these conditions. Only few studies were found that investigated the number of recurring or chronic cases. The observed probability of recurring pathologies in the identified studies was </w:t>
      </w:r>
      <w:r w:rsidRPr="00AD5624">
        <w:rPr>
          <w:rFonts w:cs="Arial"/>
          <w:lang w:val="en-GB"/>
        </w:rPr>
        <w:t>respectively 25 %, 2.4 % and 3.2 %.</w:t>
      </w:r>
      <w:r w:rsidRPr="00932A48">
        <w:rPr>
          <w:rFonts w:cs="Arial"/>
          <w:lang w:val="en-GB"/>
        </w:rPr>
        <w:t xml:space="preserve"> The high prevalence of otitis externa could be due to the much smaller sample size and much shorter study timeframe. This study is however accepted worldwide as a significant resource. </w:t>
      </w:r>
    </w:p>
    <w:p w14:paraId="70528F99" w14:textId="77777777" w:rsidR="004E09BB" w:rsidRPr="00932A48" w:rsidRDefault="004E09BB" w:rsidP="004E09BB">
      <w:pPr>
        <w:spacing w:line="360" w:lineRule="auto"/>
        <w:jc w:val="both"/>
        <w:rPr>
          <w:rFonts w:cs="Arial"/>
          <w:lang w:val="en-GB"/>
        </w:rPr>
      </w:pPr>
      <w:r>
        <w:rPr>
          <w:rFonts w:cs="Arial"/>
          <w:highlight w:val="yellow"/>
          <w:lang w:val="en-GB"/>
        </w:rPr>
        <w:lastRenderedPageBreak/>
        <w:fldChar w:fldCharType="begin"/>
      </w:r>
      <w:r>
        <w:rPr>
          <w:rFonts w:cs="Arial"/>
          <w:lang w:val="en-GB"/>
        </w:rPr>
        <w:instrText xml:space="preserve"> REF _Ref430959493 \h </w:instrText>
      </w:r>
      <w:r>
        <w:rPr>
          <w:rFonts w:cs="Arial"/>
          <w:highlight w:val="yellow"/>
          <w:lang w:val="en-GB"/>
        </w:rPr>
      </w:r>
      <w:r>
        <w:rPr>
          <w:rFonts w:cs="Arial"/>
          <w:highlight w:val="yellow"/>
          <w:lang w:val="en-GB"/>
        </w:rPr>
        <w:fldChar w:fldCharType="separate"/>
      </w:r>
      <w:r w:rsidR="00016592" w:rsidRPr="00A83F80">
        <w:rPr>
          <w:rFonts w:cs="Arial"/>
        </w:rPr>
        <w:t xml:space="preserve">Table </w:t>
      </w:r>
      <w:r w:rsidR="00016592">
        <w:rPr>
          <w:rFonts w:cs="Arial"/>
          <w:noProof/>
        </w:rPr>
        <w:t>34</w:t>
      </w:r>
      <w:r>
        <w:rPr>
          <w:rFonts w:cs="Arial"/>
          <w:highlight w:val="yellow"/>
          <w:lang w:val="en-GB"/>
        </w:rPr>
        <w:fldChar w:fldCharType="end"/>
      </w:r>
      <w:r>
        <w:rPr>
          <w:rFonts w:cs="Arial"/>
          <w:lang w:val="en-GB"/>
        </w:rPr>
        <w:t xml:space="preserve"> </w:t>
      </w:r>
      <w:r w:rsidRPr="00932A48">
        <w:rPr>
          <w:rFonts w:cs="Arial"/>
          <w:lang w:val="en-GB"/>
        </w:rPr>
        <w:t xml:space="preserve">lists the </w:t>
      </w:r>
      <w:r w:rsidR="003A78F4">
        <w:rPr>
          <w:rFonts w:cs="Arial"/>
          <w:lang w:val="en-GB"/>
        </w:rPr>
        <w:t>study demographics used for estimating the 6-month probability</w:t>
      </w:r>
      <w:r w:rsidRPr="00932A48">
        <w:rPr>
          <w:rFonts w:cs="Arial"/>
          <w:lang w:val="en-GB"/>
        </w:rPr>
        <w:t xml:space="preserve"> </w:t>
      </w:r>
      <w:r w:rsidR="003A78F4">
        <w:rPr>
          <w:rFonts w:cs="Arial"/>
          <w:lang w:val="en-GB"/>
        </w:rPr>
        <w:t>of</w:t>
      </w:r>
      <w:r w:rsidRPr="00932A48">
        <w:rPr>
          <w:rFonts w:cs="Arial"/>
          <w:lang w:val="en-GB"/>
        </w:rPr>
        <w:t xml:space="preserve"> each variable. Assuming that individuals are constantly at risk of a recurring pathology, the estimated base-case values were kept constant in the model.</w:t>
      </w:r>
    </w:p>
    <w:p w14:paraId="2A5BC403" w14:textId="77777777" w:rsidR="004E09BB" w:rsidRDefault="004E09BB" w:rsidP="004E09BB">
      <w:pPr>
        <w:spacing w:line="360" w:lineRule="auto"/>
        <w:jc w:val="both"/>
        <w:rPr>
          <w:rFonts w:cs="Arial"/>
          <w:highlight w:val="yellow"/>
          <w:lang w:val="en-GB"/>
        </w:rPr>
      </w:pPr>
    </w:p>
    <w:p w14:paraId="1D7B826E" w14:textId="77777777" w:rsidR="004E09BB" w:rsidRPr="005C1F7C" w:rsidRDefault="004E09BB" w:rsidP="004E09BB">
      <w:pPr>
        <w:pStyle w:val="Caption"/>
        <w:rPr>
          <w:rFonts w:ascii="Arial" w:hAnsi="Arial" w:cs="Arial"/>
          <w:lang w:val="en-AU"/>
        </w:rPr>
      </w:pPr>
      <w:bookmarkStart w:id="532" w:name="_Ref430959493"/>
      <w:bookmarkStart w:id="533" w:name="_Toc431917494"/>
      <w:r w:rsidRPr="00A83F80">
        <w:rPr>
          <w:rFonts w:ascii="Arial" w:hAnsi="Arial" w:cs="Arial"/>
        </w:rPr>
        <w:t xml:space="preserve">Table </w:t>
      </w:r>
      <w:r w:rsidR="00CF0322" w:rsidRPr="00A83F80">
        <w:rPr>
          <w:rFonts w:ascii="Arial" w:hAnsi="Arial" w:cs="Arial"/>
        </w:rPr>
        <w:fldChar w:fldCharType="begin"/>
      </w:r>
      <w:r w:rsidR="00CF0322" w:rsidRPr="00A83F80">
        <w:rPr>
          <w:rFonts w:ascii="Arial" w:hAnsi="Arial" w:cs="Arial"/>
        </w:rPr>
        <w:instrText xml:space="preserve"> SEQ Table \* ARABIC </w:instrText>
      </w:r>
      <w:r w:rsidR="00CF0322" w:rsidRPr="00A83F80">
        <w:rPr>
          <w:rFonts w:ascii="Arial" w:hAnsi="Arial" w:cs="Arial"/>
        </w:rPr>
        <w:fldChar w:fldCharType="separate"/>
      </w:r>
      <w:r w:rsidR="00016592">
        <w:rPr>
          <w:rFonts w:ascii="Arial" w:hAnsi="Arial" w:cs="Arial"/>
          <w:noProof/>
        </w:rPr>
        <w:t>34</w:t>
      </w:r>
      <w:r w:rsidR="00CF0322" w:rsidRPr="00A83F80">
        <w:rPr>
          <w:rFonts w:ascii="Arial" w:hAnsi="Arial" w:cs="Arial"/>
          <w:noProof/>
        </w:rPr>
        <w:fldChar w:fldCharType="end"/>
      </w:r>
      <w:bookmarkEnd w:id="532"/>
      <w:r w:rsidRPr="00A83F80">
        <w:rPr>
          <w:rFonts w:ascii="Arial" w:hAnsi="Arial" w:cs="Arial"/>
          <w:lang w:val="en-US"/>
        </w:rPr>
        <w:t xml:space="preserve"> </w:t>
      </w:r>
      <w:r w:rsidRPr="008261A6">
        <w:rPr>
          <w:rFonts w:ascii="Arial" w:hAnsi="Arial" w:cs="Arial"/>
          <w:lang w:val="en-AU"/>
        </w:rPr>
        <w:t xml:space="preserve">– </w:t>
      </w:r>
      <w:r w:rsidRPr="00E0477C">
        <w:rPr>
          <w:rFonts w:ascii="Arial" w:hAnsi="Arial" w:cs="Arial"/>
          <w:lang w:val="en-GB"/>
        </w:rPr>
        <w:t>The estimated rate of recurring pathologies</w:t>
      </w:r>
      <w:bookmarkEnd w:id="533"/>
    </w:p>
    <w:tbl>
      <w:tblPr>
        <w:tblW w:w="8718" w:type="dxa"/>
        <w:jc w:val="center"/>
        <w:tblLook w:val="04A0" w:firstRow="1" w:lastRow="0" w:firstColumn="1" w:lastColumn="0" w:noHBand="0" w:noVBand="1"/>
        <w:tblDescription w:val="The estimated rate of recurring pathologies"/>
      </w:tblPr>
      <w:tblGrid>
        <w:gridCol w:w="1180"/>
        <w:gridCol w:w="1840"/>
        <w:gridCol w:w="550"/>
        <w:gridCol w:w="900"/>
        <w:gridCol w:w="1060"/>
        <w:gridCol w:w="1480"/>
        <w:gridCol w:w="1708"/>
      </w:tblGrid>
      <w:tr w:rsidR="005B184C" w:rsidRPr="005B184C" w14:paraId="397F9E10" w14:textId="77777777" w:rsidTr="00E01546">
        <w:trPr>
          <w:trHeight w:val="1050"/>
          <w:jc w:val="center"/>
        </w:trPr>
        <w:tc>
          <w:tcPr>
            <w:tcW w:w="118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2647798C" w14:textId="77777777" w:rsidR="005B184C" w:rsidRPr="005B184C" w:rsidRDefault="005B184C" w:rsidP="005B184C">
            <w:pPr>
              <w:jc w:val="center"/>
              <w:rPr>
                <w:rFonts w:cs="Arial"/>
                <w:b/>
                <w:bCs/>
                <w:color w:val="000000"/>
                <w:lang w:val="en-US" w:eastAsia="en-US"/>
              </w:rPr>
            </w:pPr>
            <w:r w:rsidRPr="005B184C">
              <w:rPr>
                <w:rFonts w:cs="Arial"/>
                <w:b/>
                <w:bCs/>
                <w:color w:val="000000"/>
                <w:lang w:val="en-US" w:eastAsia="en-US"/>
              </w:rPr>
              <w:t>Source</w:t>
            </w:r>
          </w:p>
        </w:tc>
        <w:tc>
          <w:tcPr>
            <w:tcW w:w="1840" w:type="dxa"/>
            <w:tcBorders>
              <w:top w:val="single" w:sz="8" w:space="0" w:color="auto"/>
              <w:left w:val="nil"/>
              <w:bottom w:val="single" w:sz="4" w:space="0" w:color="auto"/>
              <w:right w:val="single" w:sz="4" w:space="0" w:color="auto"/>
            </w:tcBorders>
            <w:shd w:val="clear" w:color="auto" w:fill="auto"/>
            <w:vAlign w:val="center"/>
            <w:hideMark/>
          </w:tcPr>
          <w:p w14:paraId="1F0EC38E" w14:textId="77777777" w:rsidR="005B184C" w:rsidRPr="005B184C" w:rsidRDefault="005B184C" w:rsidP="005B184C">
            <w:pPr>
              <w:jc w:val="center"/>
              <w:rPr>
                <w:rFonts w:cs="Arial"/>
                <w:b/>
                <w:bCs/>
                <w:color w:val="000000"/>
                <w:lang w:val="en-US" w:eastAsia="en-US"/>
              </w:rPr>
            </w:pPr>
            <w:r w:rsidRPr="005B184C">
              <w:rPr>
                <w:rFonts w:cs="Arial"/>
                <w:b/>
                <w:bCs/>
                <w:color w:val="000000"/>
                <w:lang w:val="en-US" w:eastAsia="en-US"/>
              </w:rPr>
              <w:t>Pathology</w:t>
            </w:r>
          </w:p>
        </w:tc>
        <w:tc>
          <w:tcPr>
            <w:tcW w:w="550" w:type="dxa"/>
            <w:tcBorders>
              <w:top w:val="single" w:sz="8" w:space="0" w:color="auto"/>
              <w:left w:val="nil"/>
              <w:bottom w:val="single" w:sz="4" w:space="0" w:color="auto"/>
              <w:right w:val="single" w:sz="4" w:space="0" w:color="auto"/>
            </w:tcBorders>
            <w:shd w:val="clear" w:color="auto" w:fill="auto"/>
            <w:vAlign w:val="center"/>
            <w:hideMark/>
          </w:tcPr>
          <w:p w14:paraId="1470F44F" w14:textId="77777777" w:rsidR="005B184C" w:rsidRPr="005B184C" w:rsidRDefault="005B184C" w:rsidP="005B184C">
            <w:pPr>
              <w:jc w:val="center"/>
              <w:rPr>
                <w:rFonts w:cs="Arial"/>
                <w:b/>
                <w:bCs/>
                <w:color w:val="000000"/>
                <w:lang w:val="en-US" w:eastAsia="en-US"/>
              </w:rPr>
            </w:pPr>
            <w:r w:rsidRPr="005B184C">
              <w:rPr>
                <w:rFonts w:cs="Arial"/>
                <w:b/>
                <w:bCs/>
                <w:color w:val="000000"/>
                <w:lang w:val="en-US" w:eastAsia="en-US"/>
              </w:rPr>
              <w:t xml:space="preserve">n </w:t>
            </w:r>
          </w:p>
        </w:tc>
        <w:tc>
          <w:tcPr>
            <w:tcW w:w="900" w:type="dxa"/>
            <w:tcBorders>
              <w:top w:val="single" w:sz="8" w:space="0" w:color="auto"/>
              <w:left w:val="nil"/>
              <w:bottom w:val="single" w:sz="4" w:space="0" w:color="auto"/>
              <w:right w:val="single" w:sz="4" w:space="0" w:color="auto"/>
            </w:tcBorders>
            <w:shd w:val="clear" w:color="auto" w:fill="auto"/>
            <w:vAlign w:val="center"/>
            <w:hideMark/>
          </w:tcPr>
          <w:p w14:paraId="4C592662" w14:textId="77777777" w:rsidR="005B184C" w:rsidRPr="005B184C" w:rsidRDefault="005B184C" w:rsidP="005B184C">
            <w:pPr>
              <w:jc w:val="center"/>
              <w:rPr>
                <w:rFonts w:cs="Arial"/>
                <w:b/>
                <w:bCs/>
                <w:color w:val="000000"/>
                <w:lang w:val="en-US" w:eastAsia="en-US"/>
              </w:rPr>
            </w:pPr>
            <w:r w:rsidRPr="005B184C">
              <w:rPr>
                <w:rFonts w:cs="Arial"/>
                <w:b/>
                <w:bCs/>
                <w:color w:val="000000"/>
                <w:lang w:val="en-US" w:eastAsia="en-US"/>
              </w:rPr>
              <w:t>Event count</w:t>
            </w:r>
          </w:p>
        </w:tc>
        <w:tc>
          <w:tcPr>
            <w:tcW w:w="1060" w:type="dxa"/>
            <w:tcBorders>
              <w:top w:val="single" w:sz="8" w:space="0" w:color="auto"/>
              <w:left w:val="nil"/>
              <w:bottom w:val="single" w:sz="4" w:space="0" w:color="auto"/>
              <w:right w:val="single" w:sz="4" w:space="0" w:color="auto"/>
            </w:tcBorders>
            <w:shd w:val="clear" w:color="auto" w:fill="auto"/>
            <w:vAlign w:val="center"/>
            <w:hideMark/>
          </w:tcPr>
          <w:p w14:paraId="13225379" w14:textId="77777777" w:rsidR="005B184C" w:rsidRPr="005B184C" w:rsidRDefault="005B184C" w:rsidP="005B184C">
            <w:pPr>
              <w:jc w:val="center"/>
              <w:rPr>
                <w:rFonts w:cs="Arial"/>
                <w:b/>
                <w:bCs/>
                <w:color w:val="000000"/>
                <w:lang w:val="en-US" w:eastAsia="en-US"/>
              </w:rPr>
            </w:pPr>
            <w:r w:rsidRPr="005B184C">
              <w:rPr>
                <w:rFonts w:cs="Arial"/>
                <w:b/>
                <w:bCs/>
                <w:color w:val="000000"/>
                <w:lang w:val="en-US" w:eastAsia="en-US"/>
              </w:rPr>
              <w:t>Time interval</w:t>
            </w:r>
          </w:p>
        </w:tc>
        <w:tc>
          <w:tcPr>
            <w:tcW w:w="1480" w:type="dxa"/>
            <w:tcBorders>
              <w:top w:val="single" w:sz="8" w:space="0" w:color="auto"/>
              <w:left w:val="nil"/>
              <w:bottom w:val="single" w:sz="4" w:space="0" w:color="auto"/>
              <w:right w:val="single" w:sz="4" w:space="0" w:color="auto"/>
            </w:tcBorders>
            <w:shd w:val="clear" w:color="auto" w:fill="auto"/>
            <w:vAlign w:val="center"/>
            <w:hideMark/>
          </w:tcPr>
          <w:p w14:paraId="26E90294" w14:textId="77777777" w:rsidR="005B184C" w:rsidRPr="005B184C" w:rsidRDefault="005B184C" w:rsidP="005B184C">
            <w:pPr>
              <w:jc w:val="center"/>
              <w:rPr>
                <w:rFonts w:cs="Arial"/>
                <w:b/>
                <w:bCs/>
                <w:color w:val="000000"/>
                <w:lang w:val="en-US" w:eastAsia="en-US"/>
              </w:rPr>
            </w:pPr>
            <w:r w:rsidRPr="005B184C">
              <w:rPr>
                <w:rFonts w:cs="Arial"/>
                <w:b/>
                <w:bCs/>
                <w:color w:val="000000"/>
                <w:lang w:val="en-US" w:eastAsia="en-US"/>
              </w:rPr>
              <w:t>Observed probability</w:t>
            </w:r>
          </w:p>
        </w:tc>
        <w:tc>
          <w:tcPr>
            <w:tcW w:w="1708" w:type="dxa"/>
            <w:tcBorders>
              <w:top w:val="single" w:sz="8" w:space="0" w:color="auto"/>
              <w:left w:val="nil"/>
              <w:bottom w:val="single" w:sz="4" w:space="0" w:color="auto"/>
              <w:right w:val="single" w:sz="8" w:space="0" w:color="auto"/>
            </w:tcBorders>
            <w:shd w:val="clear" w:color="auto" w:fill="auto"/>
            <w:vAlign w:val="center"/>
            <w:hideMark/>
          </w:tcPr>
          <w:p w14:paraId="5414B564" w14:textId="77777777" w:rsidR="005B184C" w:rsidRPr="005B184C" w:rsidRDefault="005B184C" w:rsidP="005B184C">
            <w:pPr>
              <w:jc w:val="center"/>
              <w:rPr>
                <w:rFonts w:cs="Arial"/>
                <w:b/>
                <w:bCs/>
                <w:color w:val="000000"/>
                <w:lang w:val="en-US" w:eastAsia="en-US"/>
              </w:rPr>
            </w:pPr>
            <w:r w:rsidRPr="005B184C">
              <w:rPr>
                <w:rFonts w:cs="Arial"/>
                <w:b/>
                <w:bCs/>
                <w:color w:val="000000"/>
                <w:lang w:val="en-US" w:eastAsia="en-US"/>
              </w:rPr>
              <w:t>Instantaneous rate</w:t>
            </w:r>
          </w:p>
        </w:tc>
      </w:tr>
      <w:tr w:rsidR="005B184C" w:rsidRPr="005B184C" w14:paraId="157E1E6C" w14:textId="77777777" w:rsidTr="00E01546">
        <w:trPr>
          <w:trHeight w:val="656"/>
          <w:jc w:val="center"/>
        </w:trPr>
        <w:tc>
          <w:tcPr>
            <w:tcW w:w="1180" w:type="dxa"/>
            <w:tcBorders>
              <w:top w:val="nil"/>
              <w:left w:val="single" w:sz="8" w:space="0" w:color="auto"/>
              <w:bottom w:val="single" w:sz="4" w:space="0" w:color="auto"/>
              <w:right w:val="single" w:sz="4" w:space="0" w:color="auto"/>
            </w:tcBorders>
            <w:shd w:val="clear" w:color="auto" w:fill="auto"/>
            <w:noWrap/>
            <w:vAlign w:val="center"/>
            <w:hideMark/>
          </w:tcPr>
          <w:p w14:paraId="6FDF9264" w14:textId="77777777" w:rsidR="005B184C" w:rsidRPr="005B184C" w:rsidRDefault="005B184C" w:rsidP="005B184C">
            <w:pPr>
              <w:rPr>
                <w:rFonts w:cs="Arial"/>
                <w:color w:val="000000"/>
                <w:sz w:val="20"/>
                <w:szCs w:val="20"/>
                <w:lang w:val="en-US" w:eastAsia="en-US"/>
              </w:rPr>
            </w:pPr>
            <w:r w:rsidRPr="005B184C">
              <w:rPr>
                <w:rFonts w:cs="Arial"/>
                <w:color w:val="000000"/>
                <w:sz w:val="20"/>
                <w:szCs w:val="20"/>
                <w:lang w:val="en-US" w:eastAsia="en-US"/>
              </w:rPr>
              <w:t>Agius 1992</w:t>
            </w:r>
          </w:p>
        </w:tc>
        <w:tc>
          <w:tcPr>
            <w:tcW w:w="1840" w:type="dxa"/>
            <w:tcBorders>
              <w:top w:val="nil"/>
              <w:left w:val="nil"/>
              <w:bottom w:val="single" w:sz="4" w:space="0" w:color="auto"/>
              <w:right w:val="single" w:sz="4" w:space="0" w:color="auto"/>
            </w:tcBorders>
            <w:shd w:val="clear" w:color="auto" w:fill="auto"/>
            <w:noWrap/>
            <w:vAlign w:val="center"/>
            <w:hideMark/>
          </w:tcPr>
          <w:p w14:paraId="6F000A93" w14:textId="77777777" w:rsidR="005B184C" w:rsidRPr="005B184C" w:rsidRDefault="005B184C" w:rsidP="005B184C">
            <w:pPr>
              <w:rPr>
                <w:rFonts w:cs="Arial"/>
                <w:color w:val="000000"/>
                <w:sz w:val="20"/>
                <w:szCs w:val="20"/>
                <w:lang w:val="en-US" w:eastAsia="en-US"/>
              </w:rPr>
            </w:pPr>
            <w:r w:rsidRPr="005B184C">
              <w:rPr>
                <w:rFonts w:cs="Arial"/>
                <w:color w:val="000000"/>
                <w:sz w:val="20"/>
                <w:szCs w:val="20"/>
                <w:lang w:val="en-US" w:eastAsia="en-US"/>
              </w:rPr>
              <w:t>Otitis externa</w:t>
            </w:r>
          </w:p>
        </w:tc>
        <w:tc>
          <w:tcPr>
            <w:tcW w:w="550" w:type="dxa"/>
            <w:tcBorders>
              <w:top w:val="nil"/>
              <w:left w:val="nil"/>
              <w:bottom w:val="single" w:sz="4" w:space="0" w:color="auto"/>
              <w:right w:val="single" w:sz="4" w:space="0" w:color="auto"/>
            </w:tcBorders>
            <w:shd w:val="clear" w:color="auto" w:fill="auto"/>
            <w:noWrap/>
            <w:vAlign w:val="center"/>
            <w:hideMark/>
          </w:tcPr>
          <w:p w14:paraId="6FA29A2B" w14:textId="77777777" w:rsidR="005B184C" w:rsidRPr="005B184C" w:rsidRDefault="005B184C" w:rsidP="005B184C">
            <w:pPr>
              <w:jc w:val="center"/>
              <w:rPr>
                <w:rFonts w:cs="Arial"/>
                <w:color w:val="000000"/>
                <w:sz w:val="20"/>
                <w:szCs w:val="20"/>
                <w:lang w:val="en-US" w:eastAsia="en-US"/>
              </w:rPr>
            </w:pPr>
            <w:r w:rsidRPr="005B184C">
              <w:rPr>
                <w:rFonts w:cs="Arial"/>
                <w:color w:val="000000"/>
                <w:sz w:val="20"/>
                <w:szCs w:val="20"/>
                <w:lang w:val="en-US" w:eastAsia="en-US"/>
              </w:rPr>
              <w:t>48</w:t>
            </w:r>
          </w:p>
        </w:tc>
        <w:tc>
          <w:tcPr>
            <w:tcW w:w="900" w:type="dxa"/>
            <w:tcBorders>
              <w:top w:val="nil"/>
              <w:left w:val="nil"/>
              <w:bottom w:val="single" w:sz="4" w:space="0" w:color="auto"/>
              <w:right w:val="single" w:sz="4" w:space="0" w:color="auto"/>
            </w:tcBorders>
            <w:shd w:val="clear" w:color="auto" w:fill="auto"/>
            <w:noWrap/>
            <w:vAlign w:val="center"/>
            <w:hideMark/>
          </w:tcPr>
          <w:p w14:paraId="4C014BB2" w14:textId="77777777" w:rsidR="005B184C" w:rsidRPr="005B184C" w:rsidRDefault="005B184C" w:rsidP="005B184C">
            <w:pPr>
              <w:jc w:val="center"/>
              <w:rPr>
                <w:rFonts w:cs="Arial"/>
                <w:color w:val="000000"/>
                <w:sz w:val="20"/>
                <w:szCs w:val="20"/>
                <w:lang w:val="en-US" w:eastAsia="en-US"/>
              </w:rPr>
            </w:pPr>
            <w:r w:rsidRPr="005B184C">
              <w:rPr>
                <w:rFonts w:cs="Arial"/>
                <w:color w:val="000000"/>
                <w:sz w:val="20"/>
                <w:szCs w:val="20"/>
                <w:lang w:val="en-US" w:eastAsia="en-US"/>
              </w:rPr>
              <w:t>13</w:t>
            </w:r>
          </w:p>
        </w:tc>
        <w:tc>
          <w:tcPr>
            <w:tcW w:w="1060" w:type="dxa"/>
            <w:tcBorders>
              <w:top w:val="nil"/>
              <w:left w:val="nil"/>
              <w:bottom w:val="single" w:sz="4" w:space="0" w:color="auto"/>
              <w:right w:val="single" w:sz="4" w:space="0" w:color="auto"/>
            </w:tcBorders>
            <w:shd w:val="clear" w:color="auto" w:fill="auto"/>
            <w:noWrap/>
            <w:vAlign w:val="center"/>
            <w:hideMark/>
          </w:tcPr>
          <w:p w14:paraId="68C1D10A" w14:textId="77777777" w:rsidR="005B184C" w:rsidRPr="005B184C" w:rsidRDefault="005B184C" w:rsidP="005B184C">
            <w:pPr>
              <w:jc w:val="center"/>
              <w:rPr>
                <w:rFonts w:cs="Arial"/>
                <w:color w:val="000000"/>
                <w:sz w:val="20"/>
                <w:szCs w:val="20"/>
                <w:lang w:val="en-US" w:eastAsia="en-US"/>
              </w:rPr>
            </w:pPr>
            <w:r w:rsidRPr="005B184C">
              <w:rPr>
                <w:rFonts w:cs="Arial"/>
                <w:color w:val="000000"/>
                <w:sz w:val="20"/>
                <w:szCs w:val="20"/>
                <w:lang w:val="en-US" w:eastAsia="en-US"/>
              </w:rPr>
              <w:t>2 w</w:t>
            </w:r>
          </w:p>
        </w:tc>
        <w:tc>
          <w:tcPr>
            <w:tcW w:w="1480" w:type="dxa"/>
            <w:tcBorders>
              <w:top w:val="nil"/>
              <w:left w:val="nil"/>
              <w:bottom w:val="single" w:sz="4" w:space="0" w:color="auto"/>
              <w:right w:val="single" w:sz="4" w:space="0" w:color="auto"/>
            </w:tcBorders>
            <w:shd w:val="clear" w:color="auto" w:fill="auto"/>
            <w:noWrap/>
            <w:vAlign w:val="center"/>
            <w:hideMark/>
          </w:tcPr>
          <w:p w14:paraId="6E7D639E" w14:textId="77777777" w:rsidR="005B184C" w:rsidRPr="005B184C" w:rsidRDefault="005B184C" w:rsidP="005B184C">
            <w:pPr>
              <w:jc w:val="center"/>
              <w:rPr>
                <w:rFonts w:cs="Arial"/>
                <w:color w:val="000000"/>
                <w:sz w:val="20"/>
                <w:szCs w:val="20"/>
                <w:lang w:val="en-US" w:eastAsia="en-US"/>
              </w:rPr>
            </w:pPr>
            <w:r w:rsidRPr="005B184C">
              <w:rPr>
                <w:rFonts w:cs="Arial"/>
                <w:color w:val="000000"/>
                <w:sz w:val="20"/>
                <w:szCs w:val="20"/>
                <w:lang w:val="en-US" w:eastAsia="en-US"/>
              </w:rPr>
              <w:t>0,27083</w:t>
            </w:r>
          </w:p>
        </w:tc>
        <w:tc>
          <w:tcPr>
            <w:tcW w:w="1708" w:type="dxa"/>
            <w:tcBorders>
              <w:top w:val="nil"/>
              <w:left w:val="nil"/>
              <w:bottom w:val="single" w:sz="4" w:space="0" w:color="auto"/>
              <w:right w:val="single" w:sz="8" w:space="0" w:color="auto"/>
            </w:tcBorders>
            <w:shd w:val="clear" w:color="auto" w:fill="auto"/>
            <w:vAlign w:val="center"/>
            <w:hideMark/>
          </w:tcPr>
          <w:p w14:paraId="5B638F52" w14:textId="77777777" w:rsidR="005B184C" w:rsidRPr="005B184C" w:rsidRDefault="005B184C" w:rsidP="005B184C">
            <w:pPr>
              <w:jc w:val="center"/>
              <w:rPr>
                <w:rFonts w:cs="Arial"/>
                <w:color w:val="000000"/>
                <w:sz w:val="20"/>
                <w:szCs w:val="20"/>
                <w:lang w:val="en-US" w:eastAsia="en-US"/>
              </w:rPr>
            </w:pPr>
            <w:r w:rsidRPr="005B184C">
              <w:rPr>
                <w:rFonts w:cs="Arial"/>
                <w:color w:val="000000"/>
                <w:sz w:val="20"/>
                <w:szCs w:val="20"/>
                <w:lang w:val="en-US" w:eastAsia="en-US"/>
              </w:rPr>
              <w:t>1</w:t>
            </w:r>
          </w:p>
        </w:tc>
      </w:tr>
      <w:tr w:rsidR="005B184C" w:rsidRPr="005B184C" w14:paraId="182532A8" w14:textId="77777777" w:rsidTr="00E01546">
        <w:trPr>
          <w:trHeight w:val="694"/>
          <w:jc w:val="center"/>
        </w:trPr>
        <w:tc>
          <w:tcPr>
            <w:tcW w:w="1180" w:type="dxa"/>
            <w:tcBorders>
              <w:top w:val="nil"/>
              <w:left w:val="single" w:sz="8" w:space="0" w:color="auto"/>
              <w:bottom w:val="single" w:sz="4" w:space="0" w:color="auto"/>
              <w:right w:val="single" w:sz="4" w:space="0" w:color="auto"/>
            </w:tcBorders>
            <w:shd w:val="clear" w:color="auto" w:fill="auto"/>
            <w:noWrap/>
            <w:vAlign w:val="center"/>
            <w:hideMark/>
          </w:tcPr>
          <w:p w14:paraId="2261E2B6" w14:textId="77777777" w:rsidR="005B184C" w:rsidRPr="005B184C" w:rsidRDefault="005B184C" w:rsidP="005B184C">
            <w:pPr>
              <w:rPr>
                <w:rFonts w:cs="Arial"/>
                <w:color w:val="000000"/>
                <w:sz w:val="20"/>
                <w:szCs w:val="20"/>
                <w:lang w:val="en-US" w:eastAsia="en-US"/>
              </w:rPr>
            </w:pPr>
            <w:r w:rsidRPr="005B184C">
              <w:rPr>
                <w:rFonts w:cs="Arial"/>
                <w:color w:val="000000"/>
                <w:sz w:val="20"/>
                <w:szCs w:val="20"/>
                <w:lang w:val="en-US" w:eastAsia="en-US"/>
              </w:rPr>
              <w:t>House 2008</w:t>
            </w:r>
          </w:p>
        </w:tc>
        <w:tc>
          <w:tcPr>
            <w:tcW w:w="1840" w:type="dxa"/>
            <w:tcBorders>
              <w:top w:val="nil"/>
              <w:left w:val="nil"/>
              <w:bottom w:val="single" w:sz="4" w:space="0" w:color="auto"/>
              <w:right w:val="single" w:sz="4" w:space="0" w:color="auto"/>
            </w:tcBorders>
            <w:shd w:val="clear" w:color="auto" w:fill="auto"/>
            <w:noWrap/>
            <w:vAlign w:val="center"/>
            <w:hideMark/>
          </w:tcPr>
          <w:p w14:paraId="204332EA" w14:textId="77777777" w:rsidR="005B184C" w:rsidRPr="005B184C" w:rsidRDefault="005B184C" w:rsidP="005B184C">
            <w:pPr>
              <w:rPr>
                <w:rFonts w:cs="Arial"/>
                <w:color w:val="000000"/>
                <w:sz w:val="20"/>
                <w:szCs w:val="20"/>
                <w:lang w:val="en-US" w:eastAsia="en-US"/>
              </w:rPr>
            </w:pPr>
            <w:r w:rsidRPr="005B184C">
              <w:rPr>
                <w:rFonts w:cs="Arial"/>
                <w:color w:val="000000"/>
                <w:sz w:val="20"/>
                <w:szCs w:val="20"/>
                <w:lang w:val="en-US" w:eastAsia="en-US"/>
              </w:rPr>
              <w:t>EAC exostosis</w:t>
            </w:r>
          </w:p>
        </w:tc>
        <w:tc>
          <w:tcPr>
            <w:tcW w:w="550" w:type="dxa"/>
            <w:tcBorders>
              <w:top w:val="nil"/>
              <w:left w:val="nil"/>
              <w:bottom w:val="single" w:sz="4" w:space="0" w:color="auto"/>
              <w:right w:val="single" w:sz="4" w:space="0" w:color="auto"/>
            </w:tcBorders>
            <w:shd w:val="clear" w:color="auto" w:fill="auto"/>
            <w:noWrap/>
            <w:vAlign w:val="center"/>
            <w:hideMark/>
          </w:tcPr>
          <w:p w14:paraId="4D0509D5" w14:textId="77777777" w:rsidR="005B184C" w:rsidRPr="005B184C" w:rsidRDefault="005B184C" w:rsidP="005B184C">
            <w:pPr>
              <w:jc w:val="center"/>
              <w:rPr>
                <w:rFonts w:cs="Arial"/>
                <w:color w:val="000000"/>
                <w:sz w:val="20"/>
                <w:szCs w:val="20"/>
                <w:lang w:val="en-US" w:eastAsia="en-US"/>
              </w:rPr>
            </w:pPr>
            <w:r w:rsidRPr="005B184C">
              <w:rPr>
                <w:rFonts w:cs="Arial"/>
                <w:color w:val="000000"/>
                <w:sz w:val="20"/>
                <w:szCs w:val="20"/>
                <w:lang w:val="en-US" w:eastAsia="en-US"/>
              </w:rPr>
              <w:t>91</w:t>
            </w:r>
          </w:p>
        </w:tc>
        <w:tc>
          <w:tcPr>
            <w:tcW w:w="900" w:type="dxa"/>
            <w:tcBorders>
              <w:top w:val="nil"/>
              <w:left w:val="nil"/>
              <w:bottom w:val="single" w:sz="4" w:space="0" w:color="auto"/>
              <w:right w:val="single" w:sz="4" w:space="0" w:color="auto"/>
            </w:tcBorders>
            <w:shd w:val="clear" w:color="auto" w:fill="auto"/>
            <w:noWrap/>
            <w:vAlign w:val="center"/>
            <w:hideMark/>
          </w:tcPr>
          <w:p w14:paraId="55570D84" w14:textId="77777777" w:rsidR="005B184C" w:rsidRPr="005B184C" w:rsidRDefault="005B184C" w:rsidP="005B184C">
            <w:pPr>
              <w:jc w:val="center"/>
              <w:rPr>
                <w:rFonts w:cs="Arial"/>
                <w:color w:val="000000"/>
                <w:sz w:val="20"/>
                <w:szCs w:val="20"/>
                <w:lang w:val="en-US" w:eastAsia="en-US"/>
              </w:rPr>
            </w:pPr>
            <w:r w:rsidRPr="005B184C">
              <w:rPr>
                <w:rFonts w:cs="Arial"/>
                <w:color w:val="000000"/>
                <w:sz w:val="20"/>
                <w:szCs w:val="20"/>
                <w:lang w:val="en-US" w:eastAsia="en-US"/>
              </w:rPr>
              <w:t>8</w:t>
            </w:r>
          </w:p>
        </w:tc>
        <w:tc>
          <w:tcPr>
            <w:tcW w:w="1060" w:type="dxa"/>
            <w:tcBorders>
              <w:top w:val="nil"/>
              <w:left w:val="nil"/>
              <w:bottom w:val="single" w:sz="4" w:space="0" w:color="auto"/>
              <w:right w:val="single" w:sz="4" w:space="0" w:color="auto"/>
            </w:tcBorders>
            <w:shd w:val="clear" w:color="auto" w:fill="auto"/>
            <w:noWrap/>
            <w:vAlign w:val="center"/>
            <w:hideMark/>
          </w:tcPr>
          <w:p w14:paraId="07AE5254" w14:textId="77777777" w:rsidR="005B184C" w:rsidRPr="005B184C" w:rsidRDefault="005B184C" w:rsidP="005B184C">
            <w:pPr>
              <w:jc w:val="center"/>
              <w:rPr>
                <w:rFonts w:cs="Arial"/>
                <w:color w:val="000000"/>
                <w:sz w:val="20"/>
                <w:szCs w:val="20"/>
                <w:lang w:val="en-US" w:eastAsia="en-US"/>
              </w:rPr>
            </w:pPr>
            <w:r w:rsidRPr="005B184C">
              <w:rPr>
                <w:rFonts w:cs="Arial"/>
                <w:color w:val="000000"/>
                <w:sz w:val="20"/>
                <w:szCs w:val="20"/>
                <w:lang w:val="en-US" w:eastAsia="en-US"/>
              </w:rPr>
              <w:t>2 (1-15) yrs</w:t>
            </w:r>
          </w:p>
        </w:tc>
        <w:tc>
          <w:tcPr>
            <w:tcW w:w="1480" w:type="dxa"/>
            <w:tcBorders>
              <w:top w:val="nil"/>
              <w:left w:val="nil"/>
              <w:bottom w:val="single" w:sz="4" w:space="0" w:color="auto"/>
              <w:right w:val="single" w:sz="4" w:space="0" w:color="auto"/>
            </w:tcBorders>
            <w:shd w:val="clear" w:color="auto" w:fill="auto"/>
            <w:noWrap/>
            <w:vAlign w:val="center"/>
            <w:hideMark/>
          </w:tcPr>
          <w:p w14:paraId="45991E08" w14:textId="77777777" w:rsidR="005B184C" w:rsidRPr="005B184C" w:rsidRDefault="005B184C" w:rsidP="005B184C">
            <w:pPr>
              <w:jc w:val="center"/>
              <w:rPr>
                <w:rFonts w:cs="Arial"/>
                <w:color w:val="000000"/>
                <w:sz w:val="20"/>
                <w:szCs w:val="20"/>
                <w:lang w:val="en-US" w:eastAsia="en-US"/>
              </w:rPr>
            </w:pPr>
            <w:r w:rsidRPr="005B184C">
              <w:rPr>
                <w:rFonts w:cs="Arial"/>
                <w:color w:val="000000"/>
                <w:sz w:val="20"/>
                <w:szCs w:val="20"/>
                <w:lang w:val="en-US" w:eastAsia="en-US"/>
              </w:rPr>
              <w:t>0,08791</w:t>
            </w:r>
          </w:p>
        </w:tc>
        <w:tc>
          <w:tcPr>
            <w:tcW w:w="1708" w:type="dxa"/>
            <w:tcBorders>
              <w:top w:val="nil"/>
              <w:left w:val="nil"/>
              <w:bottom w:val="single" w:sz="4" w:space="0" w:color="auto"/>
              <w:right w:val="single" w:sz="8" w:space="0" w:color="auto"/>
            </w:tcBorders>
            <w:shd w:val="clear" w:color="auto" w:fill="auto"/>
            <w:vAlign w:val="center"/>
            <w:hideMark/>
          </w:tcPr>
          <w:p w14:paraId="1E21F79E" w14:textId="77777777" w:rsidR="005B184C" w:rsidRPr="005B184C" w:rsidRDefault="005B184C" w:rsidP="005B184C">
            <w:pPr>
              <w:jc w:val="center"/>
              <w:rPr>
                <w:rFonts w:cs="Arial"/>
                <w:color w:val="000000"/>
                <w:sz w:val="20"/>
                <w:szCs w:val="20"/>
                <w:lang w:val="en-US" w:eastAsia="en-US"/>
              </w:rPr>
            </w:pPr>
            <w:r w:rsidRPr="005B184C">
              <w:rPr>
                <w:rFonts w:cs="Arial"/>
                <w:color w:val="000000"/>
                <w:sz w:val="20"/>
                <w:szCs w:val="20"/>
                <w:lang w:val="en-US" w:eastAsia="en-US"/>
              </w:rPr>
              <w:t>0,023</w:t>
            </w:r>
          </w:p>
        </w:tc>
      </w:tr>
      <w:tr w:rsidR="005B184C" w:rsidRPr="005B184C" w14:paraId="2C172ED7" w14:textId="77777777" w:rsidTr="00E01546">
        <w:trPr>
          <w:trHeight w:val="704"/>
          <w:jc w:val="center"/>
        </w:trPr>
        <w:tc>
          <w:tcPr>
            <w:tcW w:w="1180" w:type="dxa"/>
            <w:tcBorders>
              <w:top w:val="nil"/>
              <w:left w:val="single" w:sz="8" w:space="0" w:color="auto"/>
              <w:bottom w:val="single" w:sz="8" w:space="0" w:color="auto"/>
              <w:right w:val="single" w:sz="4" w:space="0" w:color="auto"/>
            </w:tcBorders>
            <w:shd w:val="clear" w:color="auto" w:fill="auto"/>
            <w:noWrap/>
            <w:vAlign w:val="center"/>
            <w:hideMark/>
          </w:tcPr>
          <w:p w14:paraId="66150ABB" w14:textId="77777777" w:rsidR="005B184C" w:rsidRPr="005B184C" w:rsidRDefault="005B184C" w:rsidP="005B184C">
            <w:pPr>
              <w:rPr>
                <w:rFonts w:cs="Arial"/>
                <w:color w:val="000000"/>
                <w:sz w:val="20"/>
                <w:szCs w:val="20"/>
                <w:lang w:val="en-US" w:eastAsia="en-US"/>
              </w:rPr>
            </w:pPr>
            <w:r w:rsidRPr="005B184C">
              <w:rPr>
                <w:rFonts w:cs="Arial"/>
                <w:color w:val="000000"/>
                <w:sz w:val="20"/>
                <w:szCs w:val="20"/>
                <w:lang w:val="en-US" w:eastAsia="en-US"/>
              </w:rPr>
              <w:t>Ahmed 2009</w:t>
            </w:r>
          </w:p>
        </w:tc>
        <w:tc>
          <w:tcPr>
            <w:tcW w:w="1840" w:type="dxa"/>
            <w:tcBorders>
              <w:top w:val="nil"/>
              <w:left w:val="nil"/>
              <w:bottom w:val="single" w:sz="8" w:space="0" w:color="auto"/>
              <w:right w:val="single" w:sz="4" w:space="0" w:color="auto"/>
            </w:tcBorders>
            <w:shd w:val="clear" w:color="auto" w:fill="auto"/>
            <w:vAlign w:val="center"/>
            <w:hideMark/>
          </w:tcPr>
          <w:p w14:paraId="50498E82" w14:textId="77777777" w:rsidR="005B184C" w:rsidRPr="005B184C" w:rsidRDefault="005B184C" w:rsidP="005B184C">
            <w:pPr>
              <w:rPr>
                <w:rFonts w:cs="Arial"/>
                <w:color w:val="000000"/>
                <w:sz w:val="20"/>
                <w:szCs w:val="20"/>
                <w:lang w:val="en-US" w:eastAsia="en-US"/>
              </w:rPr>
            </w:pPr>
            <w:r w:rsidRPr="005B184C">
              <w:rPr>
                <w:rFonts w:cs="Arial"/>
                <w:color w:val="000000"/>
                <w:sz w:val="20"/>
                <w:szCs w:val="20"/>
                <w:lang w:val="en-US" w:eastAsia="en-US"/>
              </w:rPr>
              <w:t>Excessive cerumen</w:t>
            </w:r>
          </w:p>
        </w:tc>
        <w:tc>
          <w:tcPr>
            <w:tcW w:w="550" w:type="dxa"/>
            <w:tcBorders>
              <w:top w:val="nil"/>
              <w:left w:val="nil"/>
              <w:bottom w:val="single" w:sz="8" w:space="0" w:color="auto"/>
              <w:right w:val="single" w:sz="4" w:space="0" w:color="auto"/>
            </w:tcBorders>
            <w:shd w:val="clear" w:color="auto" w:fill="auto"/>
            <w:noWrap/>
            <w:vAlign w:val="center"/>
            <w:hideMark/>
          </w:tcPr>
          <w:p w14:paraId="30ED049E" w14:textId="77777777" w:rsidR="005B184C" w:rsidRPr="005B184C" w:rsidRDefault="005B184C" w:rsidP="005B184C">
            <w:pPr>
              <w:jc w:val="center"/>
              <w:rPr>
                <w:rFonts w:cs="Arial"/>
                <w:color w:val="000000"/>
                <w:sz w:val="20"/>
                <w:szCs w:val="20"/>
                <w:lang w:val="en-US" w:eastAsia="en-US"/>
              </w:rPr>
            </w:pPr>
            <w:r w:rsidRPr="005B184C">
              <w:rPr>
                <w:rFonts w:cs="Arial"/>
                <w:color w:val="000000"/>
                <w:sz w:val="20"/>
                <w:szCs w:val="20"/>
                <w:lang w:val="en-US" w:eastAsia="en-US"/>
              </w:rPr>
              <w:t>500</w:t>
            </w:r>
          </w:p>
        </w:tc>
        <w:tc>
          <w:tcPr>
            <w:tcW w:w="900" w:type="dxa"/>
            <w:tcBorders>
              <w:top w:val="nil"/>
              <w:left w:val="nil"/>
              <w:bottom w:val="single" w:sz="8" w:space="0" w:color="auto"/>
              <w:right w:val="single" w:sz="4" w:space="0" w:color="auto"/>
            </w:tcBorders>
            <w:shd w:val="clear" w:color="auto" w:fill="auto"/>
            <w:noWrap/>
            <w:vAlign w:val="center"/>
            <w:hideMark/>
          </w:tcPr>
          <w:p w14:paraId="0FD6F0C0" w14:textId="77777777" w:rsidR="005B184C" w:rsidRPr="005B184C" w:rsidRDefault="005B184C" w:rsidP="005B184C">
            <w:pPr>
              <w:jc w:val="center"/>
              <w:rPr>
                <w:rFonts w:cs="Arial"/>
                <w:color w:val="000000"/>
                <w:sz w:val="20"/>
                <w:szCs w:val="20"/>
                <w:lang w:val="en-US" w:eastAsia="en-US"/>
              </w:rPr>
            </w:pPr>
            <w:r w:rsidRPr="005B184C">
              <w:rPr>
                <w:rFonts w:cs="Arial"/>
                <w:color w:val="000000"/>
                <w:sz w:val="20"/>
                <w:szCs w:val="20"/>
                <w:lang w:val="en-US" w:eastAsia="en-US"/>
              </w:rPr>
              <w:t>16</w:t>
            </w:r>
          </w:p>
        </w:tc>
        <w:tc>
          <w:tcPr>
            <w:tcW w:w="1060" w:type="dxa"/>
            <w:tcBorders>
              <w:top w:val="nil"/>
              <w:left w:val="nil"/>
              <w:bottom w:val="single" w:sz="8" w:space="0" w:color="auto"/>
              <w:right w:val="single" w:sz="4" w:space="0" w:color="auto"/>
            </w:tcBorders>
            <w:shd w:val="clear" w:color="auto" w:fill="auto"/>
            <w:noWrap/>
            <w:vAlign w:val="center"/>
            <w:hideMark/>
          </w:tcPr>
          <w:p w14:paraId="43DEB6F0" w14:textId="77777777" w:rsidR="005B184C" w:rsidRPr="005B184C" w:rsidRDefault="005B184C" w:rsidP="005B184C">
            <w:pPr>
              <w:jc w:val="center"/>
              <w:rPr>
                <w:rFonts w:cs="Arial"/>
                <w:color w:val="000000"/>
                <w:sz w:val="20"/>
                <w:szCs w:val="20"/>
                <w:lang w:val="en-US" w:eastAsia="en-US"/>
              </w:rPr>
            </w:pPr>
            <w:r w:rsidRPr="005B184C">
              <w:rPr>
                <w:rFonts w:cs="Arial"/>
                <w:color w:val="000000"/>
                <w:sz w:val="20"/>
                <w:szCs w:val="20"/>
                <w:lang w:val="en-US" w:eastAsia="en-US"/>
              </w:rPr>
              <w:t>up to 2 yrs</w:t>
            </w:r>
          </w:p>
        </w:tc>
        <w:tc>
          <w:tcPr>
            <w:tcW w:w="1480" w:type="dxa"/>
            <w:tcBorders>
              <w:top w:val="nil"/>
              <w:left w:val="nil"/>
              <w:bottom w:val="single" w:sz="8" w:space="0" w:color="auto"/>
              <w:right w:val="single" w:sz="4" w:space="0" w:color="auto"/>
            </w:tcBorders>
            <w:shd w:val="clear" w:color="auto" w:fill="auto"/>
            <w:noWrap/>
            <w:vAlign w:val="center"/>
            <w:hideMark/>
          </w:tcPr>
          <w:p w14:paraId="521CF013" w14:textId="77777777" w:rsidR="005B184C" w:rsidRPr="005B184C" w:rsidRDefault="005B184C" w:rsidP="005B184C">
            <w:pPr>
              <w:jc w:val="center"/>
              <w:rPr>
                <w:rFonts w:cs="Arial"/>
                <w:color w:val="000000"/>
                <w:sz w:val="20"/>
                <w:szCs w:val="20"/>
                <w:lang w:val="en-US" w:eastAsia="en-US"/>
              </w:rPr>
            </w:pPr>
            <w:r w:rsidRPr="005B184C">
              <w:rPr>
                <w:rFonts w:cs="Arial"/>
                <w:color w:val="000000"/>
                <w:sz w:val="20"/>
                <w:szCs w:val="20"/>
                <w:lang w:val="en-US" w:eastAsia="en-US"/>
              </w:rPr>
              <w:t>0,03200</w:t>
            </w:r>
          </w:p>
        </w:tc>
        <w:tc>
          <w:tcPr>
            <w:tcW w:w="1708" w:type="dxa"/>
            <w:tcBorders>
              <w:top w:val="nil"/>
              <w:left w:val="nil"/>
              <w:bottom w:val="single" w:sz="8" w:space="0" w:color="auto"/>
              <w:right w:val="single" w:sz="8" w:space="0" w:color="auto"/>
            </w:tcBorders>
            <w:shd w:val="clear" w:color="auto" w:fill="auto"/>
            <w:vAlign w:val="center"/>
            <w:hideMark/>
          </w:tcPr>
          <w:p w14:paraId="3B32EF68" w14:textId="77777777" w:rsidR="005B184C" w:rsidRPr="005B184C" w:rsidRDefault="005B184C" w:rsidP="005B184C">
            <w:pPr>
              <w:jc w:val="center"/>
              <w:rPr>
                <w:rFonts w:cs="Arial"/>
                <w:color w:val="000000"/>
                <w:sz w:val="20"/>
                <w:szCs w:val="20"/>
                <w:lang w:val="en-US" w:eastAsia="en-US"/>
              </w:rPr>
            </w:pPr>
            <w:r w:rsidRPr="005B184C">
              <w:rPr>
                <w:rFonts w:cs="Arial"/>
                <w:color w:val="000000"/>
                <w:sz w:val="20"/>
                <w:szCs w:val="20"/>
                <w:lang w:val="en-US" w:eastAsia="en-US"/>
              </w:rPr>
              <w:t>0,0081</w:t>
            </w:r>
          </w:p>
        </w:tc>
      </w:tr>
    </w:tbl>
    <w:p w14:paraId="106CC194" w14:textId="77777777" w:rsidR="000F397B" w:rsidRDefault="000F397B" w:rsidP="004E09BB">
      <w:pPr>
        <w:pStyle w:val="Textbody"/>
        <w:rPr>
          <w:lang w:val="en-GB"/>
        </w:rPr>
      </w:pPr>
    </w:p>
    <w:p w14:paraId="374B0B94" w14:textId="77777777" w:rsidR="009A114F" w:rsidRPr="004E09BB" w:rsidRDefault="009A114F" w:rsidP="004E09BB">
      <w:pPr>
        <w:pStyle w:val="Textbody"/>
        <w:rPr>
          <w:lang w:val="en-GB"/>
        </w:rPr>
      </w:pPr>
    </w:p>
    <w:p w14:paraId="55080B2D" w14:textId="77777777" w:rsidR="004E09BB" w:rsidRPr="00932A48" w:rsidRDefault="004E09BB" w:rsidP="009A114F">
      <w:pPr>
        <w:pStyle w:val="Heading4"/>
        <w:spacing w:line="360" w:lineRule="auto"/>
        <w:ind w:left="864" w:hanging="864"/>
        <w:jc w:val="both"/>
        <w:rPr>
          <w:rFonts w:cs="Arial"/>
          <w:lang w:val="en-GB"/>
        </w:rPr>
      </w:pPr>
      <w:r w:rsidRPr="00932A48">
        <w:rPr>
          <w:rFonts w:cs="Arial"/>
          <w:lang w:val="en-GB"/>
        </w:rPr>
        <w:t xml:space="preserve">Adverse events </w:t>
      </w:r>
    </w:p>
    <w:p w14:paraId="30A19218" w14:textId="77777777" w:rsidR="004E09BB" w:rsidRPr="00932A48" w:rsidRDefault="004E09BB" w:rsidP="009A114F">
      <w:pPr>
        <w:spacing w:line="360" w:lineRule="auto"/>
        <w:jc w:val="both"/>
        <w:rPr>
          <w:rFonts w:cs="Arial"/>
          <w:lang w:val="en-GB"/>
        </w:rPr>
      </w:pPr>
      <w:r w:rsidRPr="00932A48">
        <w:rPr>
          <w:rFonts w:cs="Arial"/>
          <w:lang w:val="en-GB"/>
        </w:rPr>
        <w:t xml:space="preserve">In the scope of the economic evaluation an adverse event refers to minor events that are not related to a device failure and can resolve on their own or with surgical treatment. Of the eight studies identified in Section B.6.2 that reported on safety outcomes with AMEI, four provided sufficient information over a long enough study timeframe for the Vibrant Soundbridge and </w:t>
      </w:r>
      <w:r w:rsidR="004F42E3">
        <w:rPr>
          <w:rFonts w:cs="Arial"/>
          <w:lang w:val="en-GB"/>
        </w:rPr>
        <w:t>Maxum/Soundtec</w:t>
      </w:r>
      <w:r w:rsidRPr="00932A48">
        <w:rPr>
          <w:rFonts w:cs="Arial"/>
          <w:lang w:val="en-GB"/>
        </w:rPr>
        <w:t xml:space="preserve">. These studies were re-evaluated to obtain values for all possible outcomes of having an adverse event. The study characteristics and derived estimates are given in </w:t>
      </w:r>
      <w:r w:rsidR="009A114F">
        <w:rPr>
          <w:rFonts w:cs="Arial"/>
          <w:highlight w:val="yellow"/>
          <w:lang w:val="en-GB"/>
        </w:rPr>
        <w:fldChar w:fldCharType="begin"/>
      </w:r>
      <w:r w:rsidR="009A114F">
        <w:rPr>
          <w:rFonts w:cs="Arial"/>
          <w:lang w:val="en-GB"/>
        </w:rPr>
        <w:instrText xml:space="preserve"> REF _Ref400388018 \h </w:instrText>
      </w:r>
      <w:r w:rsidR="009A114F">
        <w:rPr>
          <w:rFonts w:cs="Arial"/>
          <w:highlight w:val="yellow"/>
          <w:lang w:val="en-GB"/>
        </w:rPr>
      </w:r>
      <w:r w:rsidR="009A114F">
        <w:rPr>
          <w:rFonts w:cs="Arial"/>
          <w:highlight w:val="yellow"/>
          <w:lang w:val="en-GB"/>
        </w:rPr>
        <w:fldChar w:fldCharType="separate"/>
      </w:r>
      <w:r w:rsidR="00016592" w:rsidRPr="009A114F">
        <w:rPr>
          <w:rFonts w:cs="Arial"/>
        </w:rPr>
        <w:t xml:space="preserve">Table </w:t>
      </w:r>
      <w:r w:rsidR="00016592">
        <w:rPr>
          <w:rFonts w:cs="Arial"/>
          <w:noProof/>
        </w:rPr>
        <w:t>35</w:t>
      </w:r>
      <w:r w:rsidR="009A114F">
        <w:rPr>
          <w:rFonts w:cs="Arial"/>
          <w:highlight w:val="yellow"/>
          <w:lang w:val="en-GB"/>
        </w:rPr>
        <w:fldChar w:fldCharType="end"/>
      </w:r>
      <w:r w:rsidRPr="00932A48">
        <w:rPr>
          <w:rFonts w:cs="Arial"/>
          <w:lang w:val="en-GB"/>
        </w:rPr>
        <w:t>. For the VSB the weighted mean (based on sample size) of the instantaneous rates were used to derive the 6-month probability of the respective variables. Considering that individuals are at constant risk at developing an adverse event, estimated probabilities were kept constant in the model.</w:t>
      </w:r>
    </w:p>
    <w:p w14:paraId="416E66E7" w14:textId="77777777" w:rsidR="00D54A2F" w:rsidRPr="004E09BB" w:rsidRDefault="00D54A2F" w:rsidP="009A114F">
      <w:pPr>
        <w:pStyle w:val="Textbody"/>
        <w:rPr>
          <w:sz w:val="20"/>
          <w:szCs w:val="20"/>
          <w:lang w:val="en-GB"/>
        </w:rPr>
      </w:pPr>
    </w:p>
    <w:p w14:paraId="436E90FF" w14:textId="77777777" w:rsidR="00D54A2F" w:rsidRPr="009A1A2E" w:rsidRDefault="00D54A2F" w:rsidP="00D54A2F">
      <w:pPr>
        <w:jc w:val="both"/>
      </w:pPr>
    </w:p>
    <w:p w14:paraId="03BD61C1" w14:textId="77777777" w:rsidR="00D54A2F" w:rsidRPr="009A1A2E" w:rsidRDefault="00D54A2F" w:rsidP="00D54A2F">
      <w:pPr>
        <w:jc w:val="both"/>
        <w:sectPr w:rsidR="00D54A2F" w:rsidRPr="009A1A2E" w:rsidSect="00695C41">
          <w:pgSz w:w="11907" w:h="16840" w:code="9"/>
          <w:pgMar w:top="1418" w:right="1418" w:bottom="1701" w:left="1814" w:header="720" w:footer="720" w:gutter="0"/>
          <w:paperSrc w:first="7" w:other="7"/>
          <w:cols w:space="720"/>
          <w:noEndnote/>
          <w:docGrid w:linePitch="299"/>
        </w:sectPr>
      </w:pPr>
    </w:p>
    <w:p w14:paraId="135BD7CC" w14:textId="77777777" w:rsidR="004D1FF6" w:rsidRDefault="004D1FF6" w:rsidP="004D1FF6">
      <w:pPr>
        <w:pStyle w:val="Caption"/>
        <w:rPr>
          <w:rFonts w:ascii="Arial" w:hAnsi="Arial" w:cs="Arial"/>
          <w:lang w:val="en-GB"/>
        </w:rPr>
      </w:pPr>
      <w:bookmarkStart w:id="534" w:name="_Ref400388018"/>
      <w:bookmarkStart w:id="535" w:name="_Toc400395617"/>
      <w:bookmarkStart w:id="536" w:name="_Toc431917495"/>
      <w:r w:rsidRPr="009A114F">
        <w:rPr>
          <w:rFonts w:ascii="Arial" w:hAnsi="Arial" w:cs="Arial"/>
          <w:lang w:val="en-AU"/>
        </w:rPr>
        <w:lastRenderedPageBreak/>
        <w:t xml:space="preserve">Table </w:t>
      </w:r>
      <w:r w:rsidRPr="009A114F">
        <w:rPr>
          <w:rFonts w:ascii="Arial" w:hAnsi="Arial" w:cs="Arial"/>
          <w:lang w:val="en-AU"/>
        </w:rPr>
        <w:fldChar w:fldCharType="begin"/>
      </w:r>
      <w:r w:rsidRPr="009A114F">
        <w:rPr>
          <w:rFonts w:ascii="Arial" w:hAnsi="Arial" w:cs="Arial"/>
          <w:lang w:val="en-AU"/>
        </w:rPr>
        <w:instrText xml:space="preserve"> SEQ Table \* ARABIC </w:instrText>
      </w:r>
      <w:r w:rsidRPr="009A114F">
        <w:rPr>
          <w:rFonts w:ascii="Arial" w:hAnsi="Arial" w:cs="Arial"/>
          <w:lang w:val="en-AU"/>
        </w:rPr>
        <w:fldChar w:fldCharType="separate"/>
      </w:r>
      <w:r w:rsidR="00016592">
        <w:rPr>
          <w:rFonts w:ascii="Arial" w:hAnsi="Arial" w:cs="Arial"/>
          <w:noProof/>
          <w:lang w:val="en-AU"/>
        </w:rPr>
        <w:t>35</w:t>
      </w:r>
      <w:r w:rsidRPr="009A114F">
        <w:rPr>
          <w:rFonts w:ascii="Arial" w:hAnsi="Arial" w:cs="Arial"/>
          <w:lang w:val="en-AU"/>
        </w:rPr>
        <w:fldChar w:fldCharType="end"/>
      </w:r>
      <w:bookmarkEnd w:id="534"/>
      <w:r w:rsidRPr="009A114F">
        <w:rPr>
          <w:rFonts w:ascii="Arial" w:hAnsi="Arial" w:cs="Arial"/>
          <w:lang w:val="en-AU"/>
        </w:rPr>
        <w:t xml:space="preserve"> - </w:t>
      </w:r>
      <w:bookmarkEnd w:id="535"/>
      <w:r w:rsidR="009A114F" w:rsidRPr="009A114F">
        <w:rPr>
          <w:rFonts w:ascii="Arial" w:hAnsi="Arial" w:cs="Arial"/>
          <w:lang w:val="en-GB"/>
        </w:rPr>
        <w:t>Estimated rate of adverse events in individual studies</w:t>
      </w:r>
      <w:bookmarkEnd w:id="536"/>
    </w:p>
    <w:tbl>
      <w:tblPr>
        <w:tblW w:w="10243" w:type="dxa"/>
        <w:tblInd w:w="93" w:type="dxa"/>
        <w:tblLook w:val="04A0" w:firstRow="1" w:lastRow="0" w:firstColumn="1" w:lastColumn="0" w:noHBand="0" w:noVBand="1"/>
        <w:tblDescription w:val="Estimated rate of adverse events in individual studies"/>
      </w:tblPr>
      <w:tblGrid>
        <w:gridCol w:w="1378"/>
        <w:gridCol w:w="1157"/>
        <w:gridCol w:w="816"/>
        <w:gridCol w:w="1708"/>
        <w:gridCol w:w="816"/>
        <w:gridCol w:w="1708"/>
        <w:gridCol w:w="952"/>
        <w:gridCol w:w="1708"/>
      </w:tblGrid>
      <w:tr w:rsidR="009A114F" w:rsidRPr="009A114F" w14:paraId="5C49391B" w14:textId="77777777" w:rsidTr="009A114F">
        <w:trPr>
          <w:trHeight w:val="420"/>
        </w:trPr>
        <w:tc>
          <w:tcPr>
            <w:tcW w:w="137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57266CE" w14:textId="77777777" w:rsidR="009A114F" w:rsidRPr="009A114F" w:rsidRDefault="009A114F" w:rsidP="009A114F">
            <w:pPr>
              <w:rPr>
                <w:rFonts w:cs="Arial"/>
                <w:color w:val="000000"/>
                <w:lang w:val="en-US" w:eastAsia="en-US"/>
              </w:rPr>
            </w:pPr>
            <w:r w:rsidRPr="009A114F">
              <w:rPr>
                <w:rFonts w:cs="Arial"/>
                <w:color w:val="000000"/>
                <w:lang w:val="en-US" w:eastAsia="en-US"/>
              </w:rPr>
              <w:t> </w:t>
            </w:r>
          </w:p>
        </w:tc>
        <w:tc>
          <w:tcPr>
            <w:tcW w:w="1157" w:type="dxa"/>
            <w:tcBorders>
              <w:top w:val="single" w:sz="8" w:space="0" w:color="auto"/>
              <w:left w:val="nil"/>
              <w:bottom w:val="single" w:sz="4" w:space="0" w:color="auto"/>
              <w:right w:val="single" w:sz="4" w:space="0" w:color="auto"/>
            </w:tcBorders>
            <w:shd w:val="clear" w:color="auto" w:fill="auto"/>
            <w:noWrap/>
            <w:vAlign w:val="center"/>
            <w:hideMark/>
          </w:tcPr>
          <w:p w14:paraId="50DEC16E" w14:textId="77777777" w:rsidR="009A114F" w:rsidRPr="009A114F" w:rsidRDefault="009A114F" w:rsidP="009A114F">
            <w:pPr>
              <w:rPr>
                <w:rFonts w:cs="Arial"/>
                <w:color w:val="000000"/>
                <w:lang w:val="en-US" w:eastAsia="en-US"/>
              </w:rPr>
            </w:pPr>
            <w:r w:rsidRPr="009A114F">
              <w:rPr>
                <w:rFonts w:cs="Arial"/>
                <w:color w:val="000000"/>
                <w:lang w:val="en-US" w:eastAsia="en-US"/>
              </w:rPr>
              <w:t> </w:t>
            </w:r>
          </w:p>
        </w:tc>
        <w:tc>
          <w:tcPr>
            <w:tcW w:w="2524" w:type="dxa"/>
            <w:gridSpan w:val="2"/>
            <w:tcBorders>
              <w:top w:val="single" w:sz="8" w:space="0" w:color="auto"/>
              <w:left w:val="nil"/>
              <w:bottom w:val="single" w:sz="4" w:space="0" w:color="auto"/>
              <w:right w:val="single" w:sz="4" w:space="0" w:color="auto"/>
            </w:tcBorders>
            <w:shd w:val="clear" w:color="auto" w:fill="auto"/>
            <w:noWrap/>
            <w:vAlign w:val="center"/>
            <w:hideMark/>
          </w:tcPr>
          <w:p w14:paraId="0CAF7593" w14:textId="77777777" w:rsidR="009A114F" w:rsidRPr="009A114F" w:rsidRDefault="009A114F" w:rsidP="009A114F">
            <w:pPr>
              <w:jc w:val="center"/>
              <w:rPr>
                <w:rFonts w:cs="Arial"/>
                <w:b/>
                <w:bCs/>
                <w:color w:val="000000"/>
                <w:lang w:val="en-US" w:eastAsia="en-US"/>
              </w:rPr>
            </w:pPr>
            <w:r w:rsidRPr="009A114F">
              <w:rPr>
                <w:rFonts w:cs="Arial"/>
                <w:b/>
                <w:bCs/>
                <w:color w:val="000000"/>
                <w:lang w:val="en-US" w:eastAsia="en-US"/>
              </w:rPr>
              <w:t>All adverse events</w:t>
            </w:r>
          </w:p>
        </w:tc>
        <w:tc>
          <w:tcPr>
            <w:tcW w:w="2524" w:type="dxa"/>
            <w:gridSpan w:val="2"/>
            <w:tcBorders>
              <w:top w:val="single" w:sz="8" w:space="0" w:color="auto"/>
              <w:left w:val="nil"/>
              <w:bottom w:val="single" w:sz="4" w:space="0" w:color="auto"/>
              <w:right w:val="single" w:sz="4" w:space="0" w:color="auto"/>
            </w:tcBorders>
            <w:shd w:val="clear" w:color="auto" w:fill="auto"/>
            <w:noWrap/>
            <w:vAlign w:val="center"/>
            <w:hideMark/>
          </w:tcPr>
          <w:p w14:paraId="423E4F5C" w14:textId="77777777" w:rsidR="009A114F" w:rsidRPr="009A114F" w:rsidRDefault="009A114F" w:rsidP="009A114F">
            <w:pPr>
              <w:jc w:val="center"/>
              <w:rPr>
                <w:rFonts w:cs="Arial"/>
                <w:b/>
                <w:bCs/>
                <w:color w:val="000000"/>
                <w:lang w:val="en-US" w:eastAsia="en-US"/>
              </w:rPr>
            </w:pPr>
            <w:r w:rsidRPr="009A114F">
              <w:rPr>
                <w:rFonts w:cs="Arial"/>
                <w:b/>
                <w:bCs/>
                <w:color w:val="000000"/>
                <w:lang w:val="en-US" w:eastAsia="en-US"/>
              </w:rPr>
              <w:t>Unresolved AE</w:t>
            </w:r>
          </w:p>
        </w:tc>
        <w:tc>
          <w:tcPr>
            <w:tcW w:w="2660" w:type="dxa"/>
            <w:gridSpan w:val="2"/>
            <w:tcBorders>
              <w:top w:val="single" w:sz="8" w:space="0" w:color="auto"/>
              <w:left w:val="nil"/>
              <w:bottom w:val="single" w:sz="4" w:space="0" w:color="auto"/>
              <w:right w:val="single" w:sz="8" w:space="0" w:color="000000"/>
            </w:tcBorders>
            <w:shd w:val="clear" w:color="auto" w:fill="auto"/>
            <w:noWrap/>
            <w:vAlign w:val="center"/>
            <w:hideMark/>
          </w:tcPr>
          <w:p w14:paraId="6B7756C8" w14:textId="77777777" w:rsidR="009A114F" w:rsidRPr="009A114F" w:rsidRDefault="009A114F" w:rsidP="009A114F">
            <w:pPr>
              <w:jc w:val="center"/>
              <w:rPr>
                <w:rFonts w:cs="Arial"/>
                <w:b/>
                <w:bCs/>
                <w:color w:val="000000"/>
                <w:lang w:val="en-US" w:eastAsia="en-US"/>
              </w:rPr>
            </w:pPr>
            <w:r w:rsidRPr="009A114F">
              <w:rPr>
                <w:rFonts w:cs="Arial"/>
                <w:b/>
                <w:bCs/>
                <w:color w:val="000000"/>
                <w:lang w:val="en-US" w:eastAsia="en-US"/>
              </w:rPr>
              <w:t>Surgical revision</w:t>
            </w:r>
          </w:p>
        </w:tc>
      </w:tr>
      <w:tr w:rsidR="009A114F" w:rsidRPr="009A114F" w14:paraId="141C0B2E" w14:textId="77777777" w:rsidTr="009A114F">
        <w:trPr>
          <w:trHeight w:val="1035"/>
        </w:trPr>
        <w:tc>
          <w:tcPr>
            <w:tcW w:w="1378" w:type="dxa"/>
            <w:tcBorders>
              <w:top w:val="nil"/>
              <w:left w:val="single" w:sz="8" w:space="0" w:color="auto"/>
              <w:bottom w:val="single" w:sz="4" w:space="0" w:color="auto"/>
              <w:right w:val="single" w:sz="4" w:space="0" w:color="auto"/>
            </w:tcBorders>
            <w:shd w:val="clear" w:color="auto" w:fill="auto"/>
            <w:vAlign w:val="center"/>
            <w:hideMark/>
          </w:tcPr>
          <w:p w14:paraId="0020A3CB" w14:textId="77777777" w:rsidR="009A114F" w:rsidRPr="009A114F" w:rsidRDefault="009A114F" w:rsidP="009A114F">
            <w:pPr>
              <w:rPr>
                <w:rFonts w:cs="Arial"/>
                <w:b/>
                <w:bCs/>
                <w:color w:val="000000"/>
                <w:lang w:val="en-US" w:eastAsia="en-US"/>
              </w:rPr>
            </w:pPr>
            <w:r w:rsidRPr="009A114F">
              <w:rPr>
                <w:rFonts w:cs="Arial"/>
                <w:b/>
                <w:bCs/>
                <w:color w:val="000000"/>
                <w:lang w:val="en-US" w:eastAsia="en-US"/>
              </w:rPr>
              <w:t>Source</w:t>
            </w:r>
          </w:p>
        </w:tc>
        <w:tc>
          <w:tcPr>
            <w:tcW w:w="1157" w:type="dxa"/>
            <w:tcBorders>
              <w:top w:val="nil"/>
              <w:left w:val="nil"/>
              <w:bottom w:val="single" w:sz="4" w:space="0" w:color="auto"/>
              <w:right w:val="single" w:sz="4" w:space="0" w:color="auto"/>
            </w:tcBorders>
            <w:shd w:val="clear" w:color="auto" w:fill="auto"/>
            <w:vAlign w:val="center"/>
            <w:hideMark/>
          </w:tcPr>
          <w:p w14:paraId="7F385432" w14:textId="77777777" w:rsidR="009A114F" w:rsidRPr="009A114F" w:rsidRDefault="009A114F" w:rsidP="009A114F">
            <w:pPr>
              <w:jc w:val="center"/>
              <w:rPr>
                <w:rFonts w:cs="Arial"/>
                <w:b/>
                <w:bCs/>
                <w:color w:val="000000"/>
                <w:lang w:val="en-US" w:eastAsia="en-US"/>
              </w:rPr>
            </w:pPr>
            <w:r w:rsidRPr="009A114F">
              <w:rPr>
                <w:rFonts w:cs="Arial"/>
                <w:b/>
                <w:bCs/>
                <w:color w:val="000000"/>
                <w:lang w:val="en-US" w:eastAsia="en-US"/>
              </w:rPr>
              <w:t>Time interval (months)</w:t>
            </w:r>
          </w:p>
        </w:tc>
        <w:tc>
          <w:tcPr>
            <w:tcW w:w="816" w:type="dxa"/>
            <w:tcBorders>
              <w:top w:val="nil"/>
              <w:left w:val="nil"/>
              <w:bottom w:val="single" w:sz="4" w:space="0" w:color="auto"/>
              <w:right w:val="single" w:sz="4" w:space="0" w:color="auto"/>
            </w:tcBorders>
            <w:shd w:val="clear" w:color="auto" w:fill="auto"/>
            <w:vAlign w:val="center"/>
            <w:hideMark/>
          </w:tcPr>
          <w:p w14:paraId="2F02FDE0" w14:textId="77777777" w:rsidR="009A114F" w:rsidRPr="009A114F" w:rsidRDefault="009A114F" w:rsidP="009A114F">
            <w:pPr>
              <w:jc w:val="center"/>
              <w:rPr>
                <w:rFonts w:cs="Arial"/>
                <w:b/>
                <w:bCs/>
                <w:color w:val="000000"/>
                <w:lang w:val="en-US" w:eastAsia="en-US"/>
              </w:rPr>
            </w:pPr>
            <w:r w:rsidRPr="009A114F">
              <w:rPr>
                <w:rFonts w:cs="Arial"/>
                <w:b/>
                <w:bCs/>
                <w:color w:val="000000"/>
                <w:lang w:val="en-US" w:eastAsia="en-US"/>
              </w:rPr>
              <w:t>Event count</w:t>
            </w:r>
          </w:p>
        </w:tc>
        <w:tc>
          <w:tcPr>
            <w:tcW w:w="1708" w:type="dxa"/>
            <w:tcBorders>
              <w:top w:val="nil"/>
              <w:left w:val="nil"/>
              <w:bottom w:val="single" w:sz="4" w:space="0" w:color="auto"/>
              <w:right w:val="single" w:sz="4" w:space="0" w:color="auto"/>
            </w:tcBorders>
            <w:shd w:val="clear" w:color="auto" w:fill="auto"/>
            <w:vAlign w:val="center"/>
            <w:hideMark/>
          </w:tcPr>
          <w:p w14:paraId="20D2380B" w14:textId="77777777" w:rsidR="009A114F" w:rsidRPr="009A114F" w:rsidRDefault="009A114F" w:rsidP="009A114F">
            <w:pPr>
              <w:jc w:val="center"/>
              <w:rPr>
                <w:rFonts w:cs="Arial"/>
                <w:b/>
                <w:bCs/>
                <w:color w:val="000000"/>
                <w:lang w:val="en-US" w:eastAsia="en-US"/>
              </w:rPr>
            </w:pPr>
            <w:r w:rsidRPr="009A114F">
              <w:rPr>
                <w:rFonts w:cs="Arial"/>
                <w:b/>
                <w:bCs/>
                <w:color w:val="000000"/>
                <w:lang w:val="en-US" w:eastAsia="en-US"/>
              </w:rPr>
              <w:t xml:space="preserve">instantaneous rate </w:t>
            </w:r>
          </w:p>
        </w:tc>
        <w:tc>
          <w:tcPr>
            <w:tcW w:w="816" w:type="dxa"/>
            <w:tcBorders>
              <w:top w:val="nil"/>
              <w:left w:val="nil"/>
              <w:bottom w:val="single" w:sz="4" w:space="0" w:color="auto"/>
              <w:right w:val="single" w:sz="4" w:space="0" w:color="auto"/>
            </w:tcBorders>
            <w:shd w:val="clear" w:color="auto" w:fill="auto"/>
            <w:vAlign w:val="center"/>
            <w:hideMark/>
          </w:tcPr>
          <w:p w14:paraId="3BBCC448" w14:textId="77777777" w:rsidR="009A114F" w:rsidRPr="009A114F" w:rsidRDefault="009A114F" w:rsidP="009A114F">
            <w:pPr>
              <w:jc w:val="center"/>
              <w:rPr>
                <w:rFonts w:cs="Arial"/>
                <w:b/>
                <w:bCs/>
                <w:color w:val="000000"/>
                <w:lang w:val="en-US" w:eastAsia="en-US"/>
              </w:rPr>
            </w:pPr>
            <w:r w:rsidRPr="009A114F">
              <w:rPr>
                <w:rFonts w:cs="Arial"/>
                <w:b/>
                <w:bCs/>
                <w:color w:val="000000"/>
                <w:lang w:val="en-US" w:eastAsia="en-US"/>
              </w:rPr>
              <w:t>Event count</w:t>
            </w:r>
          </w:p>
        </w:tc>
        <w:tc>
          <w:tcPr>
            <w:tcW w:w="1708" w:type="dxa"/>
            <w:tcBorders>
              <w:top w:val="nil"/>
              <w:left w:val="nil"/>
              <w:bottom w:val="single" w:sz="4" w:space="0" w:color="auto"/>
              <w:right w:val="single" w:sz="4" w:space="0" w:color="auto"/>
            </w:tcBorders>
            <w:shd w:val="clear" w:color="auto" w:fill="auto"/>
            <w:vAlign w:val="center"/>
            <w:hideMark/>
          </w:tcPr>
          <w:p w14:paraId="53C2C02B" w14:textId="77777777" w:rsidR="009A114F" w:rsidRPr="009A114F" w:rsidRDefault="009A114F" w:rsidP="009A114F">
            <w:pPr>
              <w:jc w:val="center"/>
              <w:rPr>
                <w:rFonts w:cs="Arial"/>
                <w:b/>
                <w:bCs/>
                <w:color w:val="000000"/>
                <w:lang w:val="en-US" w:eastAsia="en-US"/>
              </w:rPr>
            </w:pPr>
            <w:r w:rsidRPr="009A114F">
              <w:rPr>
                <w:rFonts w:cs="Arial"/>
                <w:b/>
                <w:bCs/>
                <w:color w:val="000000"/>
                <w:lang w:val="en-US" w:eastAsia="en-US"/>
              </w:rPr>
              <w:t xml:space="preserve">instantaneous rate </w:t>
            </w:r>
          </w:p>
        </w:tc>
        <w:tc>
          <w:tcPr>
            <w:tcW w:w="952" w:type="dxa"/>
            <w:tcBorders>
              <w:top w:val="nil"/>
              <w:left w:val="nil"/>
              <w:bottom w:val="single" w:sz="4" w:space="0" w:color="auto"/>
              <w:right w:val="single" w:sz="4" w:space="0" w:color="auto"/>
            </w:tcBorders>
            <w:shd w:val="clear" w:color="auto" w:fill="auto"/>
            <w:vAlign w:val="center"/>
            <w:hideMark/>
          </w:tcPr>
          <w:p w14:paraId="71530C6E" w14:textId="77777777" w:rsidR="009A114F" w:rsidRPr="009A114F" w:rsidRDefault="009A114F" w:rsidP="009A114F">
            <w:pPr>
              <w:jc w:val="center"/>
              <w:rPr>
                <w:rFonts w:cs="Arial"/>
                <w:b/>
                <w:bCs/>
                <w:color w:val="000000"/>
                <w:lang w:val="en-US" w:eastAsia="en-US"/>
              </w:rPr>
            </w:pPr>
            <w:r w:rsidRPr="009A114F">
              <w:rPr>
                <w:rFonts w:cs="Arial"/>
                <w:b/>
                <w:bCs/>
                <w:color w:val="000000"/>
                <w:lang w:val="en-US" w:eastAsia="en-US"/>
              </w:rPr>
              <w:t>Event count</w:t>
            </w:r>
          </w:p>
        </w:tc>
        <w:tc>
          <w:tcPr>
            <w:tcW w:w="1708" w:type="dxa"/>
            <w:tcBorders>
              <w:top w:val="nil"/>
              <w:left w:val="nil"/>
              <w:bottom w:val="single" w:sz="4" w:space="0" w:color="auto"/>
              <w:right w:val="single" w:sz="8" w:space="0" w:color="auto"/>
            </w:tcBorders>
            <w:shd w:val="clear" w:color="auto" w:fill="auto"/>
            <w:vAlign w:val="center"/>
            <w:hideMark/>
          </w:tcPr>
          <w:p w14:paraId="1A10DDDC" w14:textId="77777777" w:rsidR="009A114F" w:rsidRPr="009A114F" w:rsidRDefault="009A114F" w:rsidP="009A114F">
            <w:pPr>
              <w:jc w:val="center"/>
              <w:rPr>
                <w:rFonts w:cs="Arial"/>
                <w:b/>
                <w:bCs/>
                <w:color w:val="000000"/>
                <w:lang w:val="en-US" w:eastAsia="en-US"/>
              </w:rPr>
            </w:pPr>
            <w:r w:rsidRPr="009A114F">
              <w:rPr>
                <w:rFonts w:cs="Arial"/>
                <w:b/>
                <w:bCs/>
                <w:color w:val="000000"/>
                <w:lang w:val="en-US" w:eastAsia="en-US"/>
              </w:rPr>
              <w:t xml:space="preserve">instantaneous rate </w:t>
            </w:r>
          </w:p>
        </w:tc>
      </w:tr>
      <w:tr w:rsidR="009A114F" w:rsidRPr="009A114F" w14:paraId="0CEE7DBA" w14:textId="77777777" w:rsidTr="009A114F">
        <w:trPr>
          <w:trHeight w:val="300"/>
        </w:trPr>
        <w:tc>
          <w:tcPr>
            <w:tcW w:w="10243" w:type="dxa"/>
            <w:gridSpan w:val="8"/>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12E5976A" w14:textId="77777777" w:rsidR="009A114F" w:rsidRPr="009A114F" w:rsidRDefault="009A114F" w:rsidP="009A114F">
            <w:pPr>
              <w:rPr>
                <w:rFonts w:cs="Arial"/>
                <w:b/>
                <w:bCs/>
                <w:color w:val="000000"/>
                <w:lang w:val="en-US" w:eastAsia="en-US"/>
              </w:rPr>
            </w:pPr>
            <w:r w:rsidRPr="009A114F">
              <w:rPr>
                <w:rFonts w:cs="Arial"/>
                <w:b/>
                <w:bCs/>
                <w:color w:val="000000"/>
                <w:lang w:val="en-US" w:eastAsia="en-US"/>
              </w:rPr>
              <w:t>Vibrant Soundbridge</w:t>
            </w:r>
          </w:p>
        </w:tc>
      </w:tr>
      <w:tr w:rsidR="009A114F" w:rsidRPr="009A114F" w14:paraId="2CD845BA" w14:textId="77777777" w:rsidTr="009A114F">
        <w:trPr>
          <w:trHeight w:val="675"/>
        </w:trPr>
        <w:tc>
          <w:tcPr>
            <w:tcW w:w="1378" w:type="dxa"/>
            <w:tcBorders>
              <w:top w:val="nil"/>
              <w:left w:val="single" w:sz="8" w:space="0" w:color="auto"/>
              <w:bottom w:val="single" w:sz="4" w:space="0" w:color="auto"/>
              <w:right w:val="single" w:sz="4" w:space="0" w:color="auto"/>
            </w:tcBorders>
            <w:shd w:val="clear" w:color="auto" w:fill="auto"/>
            <w:vAlign w:val="center"/>
            <w:hideMark/>
          </w:tcPr>
          <w:p w14:paraId="3459EF3C" w14:textId="77777777" w:rsidR="009A114F" w:rsidRPr="009A114F" w:rsidRDefault="009A114F" w:rsidP="009A114F">
            <w:pPr>
              <w:rPr>
                <w:rFonts w:cs="Arial"/>
                <w:color w:val="000000"/>
                <w:sz w:val="20"/>
                <w:szCs w:val="20"/>
                <w:lang w:val="en-US" w:eastAsia="en-US"/>
              </w:rPr>
            </w:pPr>
            <w:r w:rsidRPr="009A114F">
              <w:rPr>
                <w:rFonts w:cs="Arial"/>
                <w:color w:val="000000"/>
                <w:sz w:val="20"/>
                <w:szCs w:val="20"/>
                <w:lang w:val="en-US" w:eastAsia="en-US"/>
              </w:rPr>
              <w:t>Fraysse 2001</w:t>
            </w:r>
          </w:p>
        </w:tc>
        <w:tc>
          <w:tcPr>
            <w:tcW w:w="1157" w:type="dxa"/>
            <w:tcBorders>
              <w:top w:val="nil"/>
              <w:left w:val="nil"/>
              <w:bottom w:val="single" w:sz="4" w:space="0" w:color="auto"/>
              <w:right w:val="single" w:sz="4" w:space="0" w:color="auto"/>
            </w:tcBorders>
            <w:shd w:val="clear" w:color="auto" w:fill="auto"/>
            <w:vAlign w:val="center"/>
            <w:hideMark/>
          </w:tcPr>
          <w:p w14:paraId="793BA025" w14:textId="77777777" w:rsidR="009A114F" w:rsidRPr="009A114F" w:rsidRDefault="009A114F" w:rsidP="009A114F">
            <w:pPr>
              <w:jc w:val="center"/>
              <w:rPr>
                <w:rFonts w:cs="Arial"/>
                <w:color w:val="000000"/>
                <w:sz w:val="20"/>
                <w:szCs w:val="20"/>
                <w:lang w:val="en-US" w:eastAsia="en-US"/>
              </w:rPr>
            </w:pPr>
            <w:r w:rsidRPr="009A114F">
              <w:rPr>
                <w:rFonts w:cs="Arial"/>
                <w:color w:val="000000"/>
                <w:sz w:val="20"/>
                <w:szCs w:val="20"/>
                <w:lang w:val="en-US" w:eastAsia="en-US"/>
              </w:rPr>
              <w:t>11 (6-22)</w:t>
            </w:r>
          </w:p>
        </w:tc>
        <w:tc>
          <w:tcPr>
            <w:tcW w:w="816" w:type="dxa"/>
            <w:tcBorders>
              <w:top w:val="nil"/>
              <w:left w:val="nil"/>
              <w:bottom w:val="single" w:sz="4" w:space="0" w:color="auto"/>
              <w:right w:val="single" w:sz="4" w:space="0" w:color="auto"/>
            </w:tcBorders>
            <w:shd w:val="clear" w:color="auto" w:fill="auto"/>
            <w:vAlign w:val="center"/>
            <w:hideMark/>
          </w:tcPr>
          <w:p w14:paraId="7F7B92FD" w14:textId="77777777" w:rsidR="009A114F" w:rsidRPr="009A114F" w:rsidRDefault="009A114F" w:rsidP="009A114F">
            <w:pPr>
              <w:jc w:val="center"/>
              <w:rPr>
                <w:rFonts w:cs="Arial"/>
                <w:color w:val="000000"/>
                <w:sz w:val="20"/>
                <w:szCs w:val="20"/>
                <w:lang w:val="en-US" w:eastAsia="en-US"/>
              </w:rPr>
            </w:pPr>
            <w:r w:rsidRPr="009A114F">
              <w:rPr>
                <w:rFonts w:cs="Arial"/>
                <w:color w:val="000000"/>
                <w:sz w:val="20"/>
                <w:szCs w:val="20"/>
                <w:lang w:val="en-US" w:eastAsia="en-US"/>
              </w:rPr>
              <w:t>4 in 25</w:t>
            </w:r>
          </w:p>
        </w:tc>
        <w:tc>
          <w:tcPr>
            <w:tcW w:w="1708" w:type="dxa"/>
            <w:tcBorders>
              <w:top w:val="nil"/>
              <w:left w:val="nil"/>
              <w:bottom w:val="single" w:sz="4" w:space="0" w:color="auto"/>
              <w:right w:val="single" w:sz="4" w:space="0" w:color="auto"/>
            </w:tcBorders>
            <w:shd w:val="clear" w:color="auto" w:fill="auto"/>
            <w:vAlign w:val="center"/>
            <w:hideMark/>
          </w:tcPr>
          <w:p w14:paraId="42C2F550" w14:textId="77777777" w:rsidR="009A114F" w:rsidRPr="009A114F" w:rsidRDefault="009A114F" w:rsidP="009A114F">
            <w:pPr>
              <w:jc w:val="center"/>
              <w:rPr>
                <w:rFonts w:cs="Arial"/>
                <w:color w:val="000000"/>
                <w:sz w:val="20"/>
                <w:szCs w:val="20"/>
                <w:lang w:val="en-US" w:eastAsia="en-US"/>
              </w:rPr>
            </w:pPr>
            <w:r w:rsidRPr="009A114F">
              <w:rPr>
                <w:rFonts w:cs="Arial"/>
                <w:color w:val="000000"/>
                <w:sz w:val="20"/>
                <w:szCs w:val="20"/>
                <w:lang w:val="en-US" w:eastAsia="en-US"/>
              </w:rPr>
              <w:t>0,09528</w:t>
            </w:r>
          </w:p>
        </w:tc>
        <w:tc>
          <w:tcPr>
            <w:tcW w:w="816" w:type="dxa"/>
            <w:tcBorders>
              <w:top w:val="nil"/>
              <w:left w:val="nil"/>
              <w:bottom w:val="single" w:sz="4" w:space="0" w:color="auto"/>
              <w:right w:val="single" w:sz="4" w:space="0" w:color="auto"/>
            </w:tcBorders>
            <w:shd w:val="clear" w:color="auto" w:fill="auto"/>
            <w:vAlign w:val="center"/>
            <w:hideMark/>
          </w:tcPr>
          <w:p w14:paraId="4C49CC36" w14:textId="77777777" w:rsidR="009A114F" w:rsidRPr="009A114F" w:rsidRDefault="009A114F" w:rsidP="009A114F">
            <w:pPr>
              <w:jc w:val="center"/>
              <w:rPr>
                <w:rFonts w:cs="Arial"/>
                <w:color w:val="000000"/>
                <w:sz w:val="20"/>
                <w:szCs w:val="20"/>
                <w:lang w:val="en-US" w:eastAsia="en-US"/>
              </w:rPr>
            </w:pPr>
            <w:r w:rsidRPr="009A114F">
              <w:rPr>
                <w:rFonts w:cs="Arial"/>
                <w:color w:val="000000"/>
                <w:sz w:val="20"/>
                <w:szCs w:val="20"/>
                <w:lang w:val="en-US" w:eastAsia="en-US"/>
              </w:rPr>
              <w:t>0 in 4</w:t>
            </w:r>
          </w:p>
        </w:tc>
        <w:tc>
          <w:tcPr>
            <w:tcW w:w="1708" w:type="dxa"/>
            <w:tcBorders>
              <w:top w:val="nil"/>
              <w:left w:val="nil"/>
              <w:bottom w:val="single" w:sz="4" w:space="0" w:color="auto"/>
              <w:right w:val="single" w:sz="4" w:space="0" w:color="auto"/>
            </w:tcBorders>
            <w:shd w:val="clear" w:color="auto" w:fill="auto"/>
            <w:vAlign w:val="center"/>
            <w:hideMark/>
          </w:tcPr>
          <w:p w14:paraId="462C1EC4" w14:textId="77777777" w:rsidR="009A114F" w:rsidRPr="009A114F" w:rsidRDefault="009A114F" w:rsidP="009A114F">
            <w:pPr>
              <w:jc w:val="center"/>
              <w:rPr>
                <w:rFonts w:cs="Arial"/>
                <w:color w:val="000000"/>
                <w:sz w:val="20"/>
                <w:szCs w:val="20"/>
                <w:lang w:val="en-US" w:eastAsia="en-US"/>
              </w:rPr>
            </w:pPr>
            <w:r w:rsidRPr="009A114F">
              <w:rPr>
                <w:rFonts w:cs="Arial"/>
                <w:color w:val="000000"/>
                <w:sz w:val="20"/>
                <w:szCs w:val="20"/>
                <w:lang w:val="en-US" w:eastAsia="en-US"/>
              </w:rPr>
              <w:t>0</w:t>
            </w:r>
          </w:p>
        </w:tc>
        <w:tc>
          <w:tcPr>
            <w:tcW w:w="952" w:type="dxa"/>
            <w:tcBorders>
              <w:top w:val="nil"/>
              <w:left w:val="nil"/>
              <w:bottom w:val="single" w:sz="4" w:space="0" w:color="auto"/>
              <w:right w:val="single" w:sz="4" w:space="0" w:color="auto"/>
            </w:tcBorders>
            <w:shd w:val="clear" w:color="auto" w:fill="auto"/>
            <w:vAlign w:val="center"/>
            <w:hideMark/>
          </w:tcPr>
          <w:p w14:paraId="25A5154E" w14:textId="77777777" w:rsidR="009A114F" w:rsidRPr="009A114F" w:rsidRDefault="009A114F" w:rsidP="009A114F">
            <w:pPr>
              <w:jc w:val="center"/>
              <w:rPr>
                <w:rFonts w:cs="Arial"/>
                <w:color w:val="000000"/>
                <w:sz w:val="20"/>
                <w:szCs w:val="20"/>
                <w:lang w:val="en-US" w:eastAsia="en-US"/>
              </w:rPr>
            </w:pPr>
            <w:r w:rsidRPr="009A114F">
              <w:rPr>
                <w:rFonts w:cs="Arial"/>
                <w:color w:val="000000"/>
                <w:sz w:val="20"/>
                <w:szCs w:val="20"/>
                <w:lang w:val="en-US" w:eastAsia="en-US"/>
              </w:rPr>
              <w:t>0 in 4</w:t>
            </w:r>
          </w:p>
        </w:tc>
        <w:tc>
          <w:tcPr>
            <w:tcW w:w="1708" w:type="dxa"/>
            <w:tcBorders>
              <w:top w:val="nil"/>
              <w:left w:val="nil"/>
              <w:bottom w:val="single" w:sz="4" w:space="0" w:color="auto"/>
              <w:right w:val="single" w:sz="8" w:space="0" w:color="auto"/>
            </w:tcBorders>
            <w:shd w:val="clear" w:color="auto" w:fill="auto"/>
            <w:vAlign w:val="center"/>
            <w:hideMark/>
          </w:tcPr>
          <w:p w14:paraId="492F0B7B" w14:textId="77777777" w:rsidR="009A114F" w:rsidRPr="009A114F" w:rsidRDefault="009A114F" w:rsidP="009A114F">
            <w:pPr>
              <w:jc w:val="center"/>
              <w:rPr>
                <w:rFonts w:cs="Arial"/>
                <w:color w:val="000000"/>
                <w:sz w:val="20"/>
                <w:szCs w:val="20"/>
                <w:lang w:val="en-US" w:eastAsia="en-US"/>
              </w:rPr>
            </w:pPr>
            <w:r w:rsidRPr="009A114F">
              <w:rPr>
                <w:rFonts w:cs="Arial"/>
                <w:color w:val="000000"/>
                <w:sz w:val="20"/>
                <w:szCs w:val="20"/>
                <w:lang w:val="en-US" w:eastAsia="en-US"/>
              </w:rPr>
              <w:t>0,0000</w:t>
            </w:r>
          </w:p>
        </w:tc>
      </w:tr>
      <w:tr w:rsidR="009A114F" w:rsidRPr="009A114F" w14:paraId="067939C9" w14:textId="77777777" w:rsidTr="009A114F">
        <w:trPr>
          <w:trHeight w:val="645"/>
        </w:trPr>
        <w:tc>
          <w:tcPr>
            <w:tcW w:w="1378" w:type="dxa"/>
            <w:tcBorders>
              <w:top w:val="nil"/>
              <w:left w:val="single" w:sz="8" w:space="0" w:color="auto"/>
              <w:bottom w:val="single" w:sz="4" w:space="0" w:color="auto"/>
              <w:right w:val="single" w:sz="4" w:space="0" w:color="auto"/>
            </w:tcBorders>
            <w:shd w:val="clear" w:color="auto" w:fill="auto"/>
            <w:vAlign w:val="center"/>
            <w:hideMark/>
          </w:tcPr>
          <w:p w14:paraId="7FF7B474" w14:textId="77777777" w:rsidR="009A114F" w:rsidRPr="009A114F" w:rsidRDefault="009A114F" w:rsidP="009A114F">
            <w:pPr>
              <w:rPr>
                <w:rFonts w:cs="Arial"/>
                <w:color w:val="000000"/>
                <w:sz w:val="20"/>
                <w:szCs w:val="20"/>
                <w:lang w:val="en-US" w:eastAsia="en-US"/>
              </w:rPr>
            </w:pPr>
            <w:r w:rsidRPr="009A114F">
              <w:rPr>
                <w:rFonts w:cs="Arial"/>
                <w:color w:val="000000"/>
                <w:sz w:val="20"/>
                <w:szCs w:val="20"/>
                <w:lang w:val="en-US" w:eastAsia="en-US"/>
              </w:rPr>
              <w:t>Schmuziger 2006</w:t>
            </w:r>
          </w:p>
        </w:tc>
        <w:tc>
          <w:tcPr>
            <w:tcW w:w="1157" w:type="dxa"/>
            <w:tcBorders>
              <w:top w:val="nil"/>
              <w:left w:val="nil"/>
              <w:bottom w:val="single" w:sz="4" w:space="0" w:color="auto"/>
              <w:right w:val="single" w:sz="4" w:space="0" w:color="auto"/>
            </w:tcBorders>
            <w:shd w:val="clear" w:color="auto" w:fill="auto"/>
            <w:vAlign w:val="center"/>
            <w:hideMark/>
          </w:tcPr>
          <w:p w14:paraId="5CD2B5B5" w14:textId="77777777" w:rsidR="009A114F" w:rsidRPr="009A114F" w:rsidRDefault="009A114F" w:rsidP="009A114F">
            <w:pPr>
              <w:jc w:val="center"/>
              <w:rPr>
                <w:rFonts w:cs="Arial"/>
                <w:color w:val="000000"/>
                <w:sz w:val="20"/>
                <w:szCs w:val="20"/>
                <w:lang w:val="en-US" w:eastAsia="en-US"/>
              </w:rPr>
            </w:pPr>
            <w:r w:rsidRPr="009A114F">
              <w:rPr>
                <w:rFonts w:cs="Arial"/>
                <w:color w:val="000000"/>
                <w:sz w:val="20"/>
                <w:szCs w:val="20"/>
                <w:lang w:val="en-US" w:eastAsia="en-US"/>
              </w:rPr>
              <w:t>42 (26-55)</w:t>
            </w:r>
          </w:p>
        </w:tc>
        <w:tc>
          <w:tcPr>
            <w:tcW w:w="816" w:type="dxa"/>
            <w:tcBorders>
              <w:top w:val="nil"/>
              <w:left w:val="nil"/>
              <w:bottom w:val="single" w:sz="4" w:space="0" w:color="auto"/>
              <w:right w:val="single" w:sz="4" w:space="0" w:color="auto"/>
            </w:tcBorders>
            <w:shd w:val="clear" w:color="auto" w:fill="auto"/>
            <w:vAlign w:val="center"/>
            <w:hideMark/>
          </w:tcPr>
          <w:p w14:paraId="1A91CC6E" w14:textId="77777777" w:rsidR="009A114F" w:rsidRPr="009A114F" w:rsidRDefault="009A114F" w:rsidP="009A114F">
            <w:pPr>
              <w:jc w:val="center"/>
              <w:rPr>
                <w:rFonts w:cs="Arial"/>
                <w:color w:val="000000"/>
                <w:sz w:val="20"/>
                <w:szCs w:val="20"/>
                <w:lang w:val="en-US" w:eastAsia="en-US"/>
              </w:rPr>
            </w:pPr>
            <w:r w:rsidRPr="009A114F">
              <w:rPr>
                <w:rFonts w:cs="Arial"/>
                <w:color w:val="000000"/>
                <w:sz w:val="20"/>
                <w:szCs w:val="20"/>
                <w:lang w:val="en-US" w:eastAsia="en-US"/>
              </w:rPr>
              <w:t>9 in 20</w:t>
            </w:r>
            <w:r w:rsidRPr="009A114F">
              <w:rPr>
                <w:rFonts w:cs="Arial"/>
                <w:color w:val="000000"/>
                <w:sz w:val="20"/>
                <w:szCs w:val="20"/>
                <w:vertAlign w:val="superscript"/>
                <w:lang w:val="en-US" w:eastAsia="en-US"/>
              </w:rPr>
              <w:t>a</w:t>
            </w:r>
          </w:p>
        </w:tc>
        <w:tc>
          <w:tcPr>
            <w:tcW w:w="1708" w:type="dxa"/>
            <w:tcBorders>
              <w:top w:val="nil"/>
              <w:left w:val="nil"/>
              <w:bottom w:val="single" w:sz="4" w:space="0" w:color="auto"/>
              <w:right w:val="single" w:sz="4" w:space="0" w:color="auto"/>
            </w:tcBorders>
            <w:shd w:val="clear" w:color="auto" w:fill="auto"/>
            <w:vAlign w:val="center"/>
            <w:hideMark/>
          </w:tcPr>
          <w:p w14:paraId="665C4C1C" w14:textId="77777777" w:rsidR="009A114F" w:rsidRPr="009A114F" w:rsidRDefault="009A114F" w:rsidP="009A114F">
            <w:pPr>
              <w:jc w:val="center"/>
              <w:rPr>
                <w:rFonts w:cs="Arial"/>
                <w:color w:val="000000"/>
                <w:sz w:val="20"/>
                <w:szCs w:val="20"/>
                <w:lang w:val="en-US" w:eastAsia="en-US"/>
              </w:rPr>
            </w:pPr>
            <w:r w:rsidRPr="009A114F">
              <w:rPr>
                <w:rFonts w:cs="Arial"/>
                <w:color w:val="000000"/>
                <w:sz w:val="20"/>
                <w:szCs w:val="20"/>
                <w:lang w:val="en-US" w:eastAsia="en-US"/>
              </w:rPr>
              <w:t>0,08540</w:t>
            </w:r>
          </w:p>
        </w:tc>
        <w:tc>
          <w:tcPr>
            <w:tcW w:w="816" w:type="dxa"/>
            <w:tcBorders>
              <w:top w:val="nil"/>
              <w:left w:val="nil"/>
              <w:bottom w:val="single" w:sz="4" w:space="0" w:color="auto"/>
              <w:right w:val="single" w:sz="4" w:space="0" w:color="auto"/>
            </w:tcBorders>
            <w:shd w:val="clear" w:color="auto" w:fill="auto"/>
            <w:vAlign w:val="center"/>
            <w:hideMark/>
          </w:tcPr>
          <w:p w14:paraId="7DE0B831" w14:textId="77777777" w:rsidR="009A114F" w:rsidRPr="009A114F" w:rsidRDefault="009A114F" w:rsidP="009A114F">
            <w:pPr>
              <w:jc w:val="center"/>
              <w:rPr>
                <w:rFonts w:cs="Arial"/>
                <w:color w:val="000000"/>
                <w:sz w:val="20"/>
                <w:szCs w:val="20"/>
                <w:lang w:val="en-US" w:eastAsia="en-US"/>
              </w:rPr>
            </w:pPr>
            <w:r w:rsidRPr="009A114F">
              <w:rPr>
                <w:rFonts w:cs="Arial"/>
                <w:color w:val="000000"/>
                <w:sz w:val="20"/>
                <w:szCs w:val="20"/>
                <w:lang w:val="en-US" w:eastAsia="en-US"/>
              </w:rPr>
              <w:t>4 in 9</w:t>
            </w:r>
          </w:p>
        </w:tc>
        <w:tc>
          <w:tcPr>
            <w:tcW w:w="1708" w:type="dxa"/>
            <w:tcBorders>
              <w:top w:val="nil"/>
              <w:left w:val="nil"/>
              <w:bottom w:val="single" w:sz="4" w:space="0" w:color="auto"/>
              <w:right w:val="single" w:sz="4" w:space="0" w:color="auto"/>
            </w:tcBorders>
            <w:shd w:val="clear" w:color="auto" w:fill="auto"/>
            <w:vAlign w:val="center"/>
            <w:hideMark/>
          </w:tcPr>
          <w:p w14:paraId="310730D4" w14:textId="77777777" w:rsidR="009A114F" w:rsidRPr="009A114F" w:rsidRDefault="009A114F" w:rsidP="009A114F">
            <w:pPr>
              <w:jc w:val="center"/>
              <w:rPr>
                <w:rFonts w:cs="Arial"/>
                <w:color w:val="000000"/>
                <w:sz w:val="20"/>
                <w:szCs w:val="20"/>
                <w:lang w:val="en-US" w:eastAsia="en-US"/>
              </w:rPr>
            </w:pPr>
            <w:r w:rsidRPr="009A114F">
              <w:rPr>
                <w:rFonts w:cs="Arial"/>
                <w:color w:val="000000"/>
                <w:sz w:val="20"/>
                <w:szCs w:val="20"/>
                <w:lang w:val="en-US" w:eastAsia="en-US"/>
              </w:rPr>
              <w:t>0,08397</w:t>
            </w:r>
          </w:p>
        </w:tc>
        <w:tc>
          <w:tcPr>
            <w:tcW w:w="952" w:type="dxa"/>
            <w:tcBorders>
              <w:top w:val="nil"/>
              <w:left w:val="nil"/>
              <w:bottom w:val="single" w:sz="4" w:space="0" w:color="auto"/>
              <w:right w:val="single" w:sz="4" w:space="0" w:color="auto"/>
            </w:tcBorders>
            <w:shd w:val="clear" w:color="auto" w:fill="auto"/>
            <w:vAlign w:val="center"/>
            <w:hideMark/>
          </w:tcPr>
          <w:p w14:paraId="7BE906C2" w14:textId="77777777" w:rsidR="009A114F" w:rsidRPr="009A114F" w:rsidRDefault="009A114F" w:rsidP="009A114F">
            <w:pPr>
              <w:jc w:val="center"/>
              <w:rPr>
                <w:rFonts w:cs="Arial"/>
                <w:color w:val="000000"/>
                <w:sz w:val="20"/>
                <w:szCs w:val="20"/>
                <w:lang w:val="en-US" w:eastAsia="en-US"/>
              </w:rPr>
            </w:pPr>
            <w:r w:rsidRPr="009A114F">
              <w:rPr>
                <w:rFonts w:cs="Arial"/>
                <w:color w:val="000000"/>
                <w:sz w:val="20"/>
                <w:szCs w:val="20"/>
                <w:lang w:val="en-US" w:eastAsia="en-US"/>
              </w:rPr>
              <w:t>2 in 9</w:t>
            </w:r>
          </w:p>
        </w:tc>
        <w:tc>
          <w:tcPr>
            <w:tcW w:w="1708" w:type="dxa"/>
            <w:tcBorders>
              <w:top w:val="nil"/>
              <w:left w:val="nil"/>
              <w:bottom w:val="single" w:sz="4" w:space="0" w:color="auto"/>
              <w:right w:val="single" w:sz="8" w:space="0" w:color="auto"/>
            </w:tcBorders>
            <w:shd w:val="clear" w:color="auto" w:fill="auto"/>
            <w:vAlign w:val="center"/>
            <w:hideMark/>
          </w:tcPr>
          <w:p w14:paraId="35B54733" w14:textId="77777777" w:rsidR="009A114F" w:rsidRPr="009A114F" w:rsidRDefault="009A114F" w:rsidP="009A114F">
            <w:pPr>
              <w:jc w:val="center"/>
              <w:rPr>
                <w:rFonts w:cs="Arial"/>
                <w:color w:val="000000"/>
                <w:sz w:val="20"/>
                <w:szCs w:val="20"/>
                <w:lang w:val="en-US" w:eastAsia="en-US"/>
              </w:rPr>
            </w:pPr>
            <w:r w:rsidRPr="009A114F">
              <w:rPr>
                <w:rFonts w:cs="Arial"/>
                <w:color w:val="000000"/>
                <w:sz w:val="20"/>
                <w:szCs w:val="20"/>
                <w:lang w:val="en-US" w:eastAsia="en-US"/>
              </w:rPr>
              <w:t>0,0359</w:t>
            </w:r>
          </w:p>
        </w:tc>
      </w:tr>
      <w:tr w:rsidR="009A114F" w:rsidRPr="009A114F" w14:paraId="1755D7C1" w14:textId="77777777" w:rsidTr="009A114F">
        <w:trPr>
          <w:trHeight w:val="705"/>
        </w:trPr>
        <w:tc>
          <w:tcPr>
            <w:tcW w:w="1378" w:type="dxa"/>
            <w:tcBorders>
              <w:top w:val="nil"/>
              <w:left w:val="single" w:sz="8" w:space="0" w:color="auto"/>
              <w:bottom w:val="single" w:sz="4" w:space="0" w:color="auto"/>
              <w:right w:val="single" w:sz="4" w:space="0" w:color="auto"/>
            </w:tcBorders>
            <w:shd w:val="clear" w:color="auto" w:fill="auto"/>
            <w:vAlign w:val="center"/>
            <w:hideMark/>
          </w:tcPr>
          <w:p w14:paraId="73AA87B8" w14:textId="77777777" w:rsidR="009A114F" w:rsidRPr="009A114F" w:rsidRDefault="009A114F" w:rsidP="009A114F">
            <w:pPr>
              <w:rPr>
                <w:rFonts w:cs="Arial"/>
                <w:color w:val="000000"/>
                <w:sz w:val="20"/>
                <w:szCs w:val="20"/>
                <w:lang w:val="en-US" w:eastAsia="en-US"/>
              </w:rPr>
            </w:pPr>
            <w:r w:rsidRPr="009A114F">
              <w:rPr>
                <w:rFonts w:cs="Arial"/>
                <w:color w:val="000000"/>
                <w:sz w:val="20"/>
                <w:szCs w:val="20"/>
                <w:lang w:val="en-US" w:eastAsia="en-US"/>
              </w:rPr>
              <w:t>Sterkers  2003</w:t>
            </w:r>
          </w:p>
        </w:tc>
        <w:tc>
          <w:tcPr>
            <w:tcW w:w="1157" w:type="dxa"/>
            <w:tcBorders>
              <w:top w:val="nil"/>
              <w:left w:val="nil"/>
              <w:bottom w:val="single" w:sz="4" w:space="0" w:color="auto"/>
              <w:right w:val="single" w:sz="4" w:space="0" w:color="auto"/>
            </w:tcBorders>
            <w:shd w:val="clear" w:color="auto" w:fill="auto"/>
            <w:vAlign w:val="center"/>
            <w:hideMark/>
          </w:tcPr>
          <w:p w14:paraId="7025846B" w14:textId="77777777" w:rsidR="009A114F" w:rsidRPr="009A114F" w:rsidRDefault="009A114F" w:rsidP="009A114F">
            <w:pPr>
              <w:jc w:val="center"/>
              <w:rPr>
                <w:rFonts w:cs="Arial"/>
                <w:color w:val="000000"/>
                <w:sz w:val="20"/>
                <w:szCs w:val="20"/>
                <w:lang w:val="en-US" w:eastAsia="en-US"/>
              </w:rPr>
            </w:pPr>
            <w:r w:rsidRPr="009A114F">
              <w:rPr>
                <w:rFonts w:cs="Arial"/>
                <w:color w:val="000000"/>
                <w:sz w:val="20"/>
                <w:szCs w:val="20"/>
                <w:lang w:val="en-US" w:eastAsia="en-US"/>
              </w:rPr>
              <w:t>17 (2-47)</w:t>
            </w:r>
          </w:p>
        </w:tc>
        <w:tc>
          <w:tcPr>
            <w:tcW w:w="816" w:type="dxa"/>
            <w:tcBorders>
              <w:top w:val="nil"/>
              <w:left w:val="nil"/>
              <w:bottom w:val="single" w:sz="4" w:space="0" w:color="auto"/>
              <w:right w:val="single" w:sz="4" w:space="0" w:color="auto"/>
            </w:tcBorders>
            <w:shd w:val="clear" w:color="auto" w:fill="auto"/>
            <w:vAlign w:val="center"/>
            <w:hideMark/>
          </w:tcPr>
          <w:p w14:paraId="6A55F055" w14:textId="77777777" w:rsidR="009A114F" w:rsidRPr="009A114F" w:rsidRDefault="009A114F" w:rsidP="009A114F">
            <w:pPr>
              <w:jc w:val="center"/>
              <w:rPr>
                <w:rFonts w:cs="Arial"/>
                <w:color w:val="000000"/>
                <w:sz w:val="20"/>
                <w:szCs w:val="20"/>
                <w:lang w:val="en-US" w:eastAsia="en-US"/>
              </w:rPr>
            </w:pPr>
            <w:r w:rsidRPr="009A114F">
              <w:rPr>
                <w:rFonts w:cs="Arial"/>
                <w:color w:val="000000"/>
                <w:sz w:val="20"/>
                <w:szCs w:val="20"/>
                <w:lang w:val="en-US" w:eastAsia="en-US"/>
              </w:rPr>
              <w:t>20 in 95</w:t>
            </w:r>
            <w:r w:rsidRPr="009A114F">
              <w:rPr>
                <w:rFonts w:cs="Arial"/>
                <w:color w:val="000000"/>
                <w:sz w:val="20"/>
                <w:szCs w:val="20"/>
                <w:vertAlign w:val="superscript"/>
                <w:lang w:val="en-US" w:eastAsia="en-US"/>
              </w:rPr>
              <w:t>b</w:t>
            </w:r>
          </w:p>
        </w:tc>
        <w:tc>
          <w:tcPr>
            <w:tcW w:w="1708" w:type="dxa"/>
            <w:tcBorders>
              <w:top w:val="nil"/>
              <w:left w:val="nil"/>
              <w:bottom w:val="single" w:sz="4" w:space="0" w:color="auto"/>
              <w:right w:val="single" w:sz="4" w:space="0" w:color="auto"/>
            </w:tcBorders>
            <w:shd w:val="clear" w:color="auto" w:fill="auto"/>
            <w:vAlign w:val="center"/>
            <w:hideMark/>
          </w:tcPr>
          <w:p w14:paraId="7DF1E9A2" w14:textId="77777777" w:rsidR="009A114F" w:rsidRPr="009A114F" w:rsidRDefault="009A114F" w:rsidP="009A114F">
            <w:pPr>
              <w:jc w:val="center"/>
              <w:rPr>
                <w:rFonts w:cs="Arial"/>
                <w:color w:val="000000"/>
                <w:sz w:val="20"/>
                <w:szCs w:val="20"/>
                <w:lang w:val="en-US" w:eastAsia="en-US"/>
              </w:rPr>
            </w:pPr>
            <w:r w:rsidRPr="009A114F">
              <w:rPr>
                <w:rFonts w:cs="Arial"/>
                <w:color w:val="000000"/>
                <w:sz w:val="20"/>
                <w:szCs w:val="20"/>
                <w:lang w:val="en-US" w:eastAsia="en-US"/>
              </w:rPr>
              <w:t>0,08353</w:t>
            </w:r>
          </w:p>
        </w:tc>
        <w:tc>
          <w:tcPr>
            <w:tcW w:w="816" w:type="dxa"/>
            <w:tcBorders>
              <w:top w:val="nil"/>
              <w:left w:val="nil"/>
              <w:bottom w:val="single" w:sz="4" w:space="0" w:color="auto"/>
              <w:right w:val="single" w:sz="4" w:space="0" w:color="auto"/>
            </w:tcBorders>
            <w:shd w:val="clear" w:color="auto" w:fill="auto"/>
            <w:vAlign w:val="center"/>
            <w:hideMark/>
          </w:tcPr>
          <w:p w14:paraId="449CD640" w14:textId="77777777" w:rsidR="009A114F" w:rsidRPr="009A114F" w:rsidRDefault="009A114F" w:rsidP="009A114F">
            <w:pPr>
              <w:jc w:val="center"/>
              <w:rPr>
                <w:rFonts w:cs="Arial"/>
                <w:color w:val="000000"/>
                <w:sz w:val="20"/>
                <w:szCs w:val="20"/>
                <w:lang w:val="en-US" w:eastAsia="en-US"/>
              </w:rPr>
            </w:pPr>
            <w:r w:rsidRPr="009A114F">
              <w:rPr>
                <w:rFonts w:cs="Arial"/>
                <w:color w:val="000000"/>
                <w:sz w:val="20"/>
                <w:szCs w:val="20"/>
                <w:lang w:val="en-US" w:eastAsia="en-US"/>
              </w:rPr>
              <w:t>20 in 59</w:t>
            </w:r>
            <w:r w:rsidRPr="009A114F">
              <w:rPr>
                <w:rFonts w:cs="Arial"/>
                <w:color w:val="000000"/>
                <w:sz w:val="20"/>
                <w:szCs w:val="20"/>
                <w:vertAlign w:val="superscript"/>
                <w:lang w:val="en-US" w:eastAsia="en-US"/>
              </w:rPr>
              <w:t>b</w:t>
            </w:r>
          </w:p>
        </w:tc>
        <w:tc>
          <w:tcPr>
            <w:tcW w:w="1708" w:type="dxa"/>
            <w:tcBorders>
              <w:top w:val="nil"/>
              <w:left w:val="nil"/>
              <w:bottom w:val="single" w:sz="4" w:space="0" w:color="auto"/>
              <w:right w:val="single" w:sz="4" w:space="0" w:color="auto"/>
            </w:tcBorders>
            <w:shd w:val="clear" w:color="auto" w:fill="auto"/>
            <w:vAlign w:val="center"/>
            <w:hideMark/>
          </w:tcPr>
          <w:p w14:paraId="4FD42C64" w14:textId="77777777" w:rsidR="009A114F" w:rsidRPr="009A114F" w:rsidRDefault="009A114F" w:rsidP="009A114F">
            <w:pPr>
              <w:jc w:val="center"/>
              <w:rPr>
                <w:rFonts w:cs="Arial"/>
                <w:color w:val="000000"/>
                <w:sz w:val="20"/>
                <w:szCs w:val="20"/>
                <w:lang w:val="en-US" w:eastAsia="en-US"/>
              </w:rPr>
            </w:pPr>
            <w:r w:rsidRPr="009A114F">
              <w:rPr>
                <w:rFonts w:cs="Arial"/>
                <w:color w:val="000000"/>
                <w:sz w:val="20"/>
                <w:szCs w:val="20"/>
                <w:lang w:val="en-US" w:eastAsia="en-US"/>
              </w:rPr>
              <w:t>0,14785</w:t>
            </w:r>
          </w:p>
        </w:tc>
        <w:tc>
          <w:tcPr>
            <w:tcW w:w="952" w:type="dxa"/>
            <w:tcBorders>
              <w:top w:val="nil"/>
              <w:left w:val="nil"/>
              <w:bottom w:val="single" w:sz="4" w:space="0" w:color="auto"/>
              <w:right w:val="single" w:sz="4" w:space="0" w:color="auto"/>
            </w:tcBorders>
            <w:shd w:val="clear" w:color="auto" w:fill="auto"/>
            <w:vAlign w:val="center"/>
            <w:hideMark/>
          </w:tcPr>
          <w:p w14:paraId="19B7DBB0" w14:textId="77777777" w:rsidR="009A114F" w:rsidRPr="009A114F" w:rsidRDefault="009A114F" w:rsidP="009A114F">
            <w:pPr>
              <w:jc w:val="center"/>
              <w:rPr>
                <w:rFonts w:cs="Arial"/>
                <w:color w:val="000000"/>
                <w:sz w:val="20"/>
                <w:szCs w:val="20"/>
                <w:lang w:val="en-US" w:eastAsia="en-US"/>
              </w:rPr>
            </w:pPr>
            <w:r w:rsidRPr="009A114F">
              <w:rPr>
                <w:rFonts w:cs="Arial"/>
                <w:color w:val="000000"/>
                <w:sz w:val="20"/>
                <w:szCs w:val="20"/>
                <w:lang w:val="en-US" w:eastAsia="en-US"/>
              </w:rPr>
              <w:t xml:space="preserve"> - </w:t>
            </w:r>
          </w:p>
        </w:tc>
        <w:tc>
          <w:tcPr>
            <w:tcW w:w="1708" w:type="dxa"/>
            <w:tcBorders>
              <w:top w:val="nil"/>
              <w:left w:val="nil"/>
              <w:bottom w:val="single" w:sz="4" w:space="0" w:color="auto"/>
              <w:right w:val="single" w:sz="8" w:space="0" w:color="auto"/>
            </w:tcBorders>
            <w:shd w:val="clear" w:color="auto" w:fill="auto"/>
            <w:vAlign w:val="center"/>
            <w:hideMark/>
          </w:tcPr>
          <w:p w14:paraId="3D739CDE" w14:textId="77777777" w:rsidR="009A114F" w:rsidRPr="009A114F" w:rsidRDefault="009A114F" w:rsidP="009A114F">
            <w:pPr>
              <w:jc w:val="center"/>
              <w:rPr>
                <w:rFonts w:cs="Arial"/>
                <w:color w:val="000000"/>
                <w:sz w:val="20"/>
                <w:szCs w:val="20"/>
                <w:lang w:val="en-US" w:eastAsia="en-US"/>
              </w:rPr>
            </w:pPr>
            <w:r w:rsidRPr="009A114F">
              <w:rPr>
                <w:rFonts w:cs="Arial"/>
                <w:color w:val="000000"/>
                <w:sz w:val="20"/>
                <w:szCs w:val="20"/>
                <w:lang w:val="en-US" w:eastAsia="en-US"/>
              </w:rPr>
              <w:t> </w:t>
            </w:r>
          </w:p>
        </w:tc>
      </w:tr>
      <w:tr w:rsidR="009A114F" w:rsidRPr="009A114F" w14:paraId="41A108AA" w14:textId="77777777" w:rsidTr="009A114F">
        <w:trPr>
          <w:trHeight w:val="390"/>
        </w:trPr>
        <w:tc>
          <w:tcPr>
            <w:tcW w:w="10243" w:type="dxa"/>
            <w:gridSpan w:val="8"/>
            <w:tcBorders>
              <w:top w:val="single" w:sz="4" w:space="0" w:color="auto"/>
              <w:left w:val="single" w:sz="8" w:space="0" w:color="auto"/>
              <w:bottom w:val="single" w:sz="4" w:space="0" w:color="auto"/>
              <w:right w:val="single" w:sz="8" w:space="0" w:color="000000"/>
            </w:tcBorders>
            <w:shd w:val="clear" w:color="auto" w:fill="auto"/>
            <w:vAlign w:val="center"/>
            <w:hideMark/>
          </w:tcPr>
          <w:p w14:paraId="5342B831" w14:textId="77777777" w:rsidR="009A114F" w:rsidRPr="009A114F" w:rsidRDefault="009A114F" w:rsidP="009A114F">
            <w:pPr>
              <w:rPr>
                <w:rFonts w:cs="Arial"/>
                <w:b/>
                <w:bCs/>
                <w:color w:val="000000"/>
                <w:lang w:val="en-US" w:eastAsia="en-US"/>
              </w:rPr>
            </w:pPr>
            <w:r w:rsidRPr="009A114F">
              <w:rPr>
                <w:rFonts w:cs="Arial"/>
                <w:b/>
                <w:bCs/>
                <w:color w:val="000000"/>
                <w:lang w:val="en-US" w:eastAsia="en-US"/>
              </w:rPr>
              <w:t>Maxum/SOUNDTEC</w:t>
            </w:r>
          </w:p>
        </w:tc>
      </w:tr>
      <w:tr w:rsidR="009A114F" w:rsidRPr="009A114F" w14:paraId="2E5C0793" w14:textId="77777777" w:rsidTr="009A114F">
        <w:trPr>
          <w:trHeight w:val="705"/>
        </w:trPr>
        <w:tc>
          <w:tcPr>
            <w:tcW w:w="1378" w:type="dxa"/>
            <w:tcBorders>
              <w:top w:val="nil"/>
              <w:left w:val="single" w:sz="8" w:space="0" w:color="auto"/>
              <w:bottom w:val="single" w:sz="8" w:space="0" w:color="auto"/>
              <w:right w:val="single" w:sz="4" w:space="0" w:color="auto"/>
            </w:tcBorders>
            <w:shd w:val="clear" w:color="auto" w:fill="auto"/>
            <w:vAlign w:val="center"/>
            <w:hideMark/>
          </w:tcPr>
          <w:p w14:paraId="59D64BEE" w14:textId="77777777" w:rsidR="009A114F" w:rsidRPr="009A114F" w:rsidRDefault="009A114F" w:rsidP="009A114F">
            <w:pPr>
              <w:rPr>
                <w:rFonts w:cs="Arial"/>
                <w:color w:val="000000"/>
                <w:sz w:val="20"/>
                <w:szCs w:val="20"/>
                <w:lang w:val="en-US" w:eastAsia="en-US"/>
              </w:rPr>
            </w:pPr>
            <w:r w:rsidRPr="009A114F">
              <w:rPr>
                <w:rFonts w:cs="Arial"/>
                <w:color w:val="000000"/>
                <w:sz w:val="20"/>
                <w:szCs w:val="20"/>
                <w:lang w:val="en-US" w:eastAsia="en-US"/>
              </w:rPr>
              <w:t>Hough 2002</w:t>
            </w:r>
          </w:p>
        </w:tc>
        <w:tc>
          <w:tcPr>
            <w:tcW w:w="1157" w:type="dxa"/>
            <w:tcBorders>
              <w:top w:val="nil"/>
              <w:left w:val="nil"/>
              <w:bottom w:val="single" w:sz="8" w:space="0" w:color="auto"/>
              <w:right w:val="single" w:sz="4" w:space="0" w:color="auto"/>
            </w:tcBorders>
            <w:shd w:val="clear" w:color="auto" w:fill="auto"/>
            <w:vAlign w:val="center"/>
            <w:hideMark/>
          </w:tcPr>
          <w:p w14:paraId="0D2BD210" w14:textId="77777777" w:rsidR="009A114F" w:rsidRPr="009A114F" w:rsidRDefault="009A114F" w:rsidP="009A114F">
            <w:pPr>
              <w:jc w:val="center"/>
              <w:rPr>
                <w:rFonts w:cs="Arial"/>
                <w:color w:val="000000"/>
                <w:sz w:val="20"/>
                <w:szCs w:val="20"/>
                <w:lang w:val="en-US" w:eastAsia="en-US"/>
              </w:rPr>
            </w:pPr>
            <w:r w:rsidRPr="009A114F">
              <w:rPr>
                <w:rFonts w:cs="Arial"/>
                <w:color w:val="000000"/>
                <w:sz w:val="20"/>
                <w:szCs w:val="20"/>
                <w:lang w:val="en-US" w:eastAsia="en-US"/>
              </w:rPr>
              <w:t>12</w:t>
            </w:r>
          </w:p>
        </w:tc>
        <w:tc>
          <w:tcPr>
            <w:tcW w:w="816" w:type="dxa"/>
            <w:tcBorders>
              <w:top w:val="nil"/>
              <w:left w:val="nil"/>
              <w:bottom w:val="single" w:sz="8" w:space="0" w:color="auto"/>
              <w:right w:val="single" w:sz="4" w:space="0" w:color="auto"/>
            </w:tcBorders>
            <w:shd w:val="clear" w:color="auto" w:fill="auto"/>
            <w:vAlign w:val="center"/>
            <w:hideMark/>
          </w:tcPr>
          <w:p w14:paraId="6526792A" w14:textId="77777777" w:rsidR="009A114F" w:rsidRPr="009A114F" w:rsidRDefault="009A114F" w:rsidP="009A114F">
            <w:pPr>
              <w:jc w:val="center"/>
              <w:rPr>
                <w:rFonts w:cs="Arial"/>
                <w:color w:val="000000"/>
                <w:sz w:val="20"/>
                <w:szCs w:val="20"/>
                <w:lang w:val="en-US" w:eastAsia="en-US"/>
              </w:rPr>
            </w:pPr>
            <w:r w:rsidRPr="009A114F">
              <w:rPr>
                <w:rFonts w:cs="Arial"/>
                <w:color w:val="000000"/>
                <w:sz w:val="20"/>
                <w:szCs w:val="20"/>
                <w:lang w:val="en-US" w:eastAsia="en-US"/>
              </w:rPr>
              <w:t>14 in 103</w:t>
            </w:r>
          </w:p>
        </w:tc>
        <w:tc>
          <w:tcPr>
            <w:tcW w:w="1708" w:type="dxa"/>
            <w:tcBorders>
              <w:top w:val="nil"/>
              <w:left w:val="nil"/>
              <w:bottom w:val="single" w:sz="8" w:space="0" w:color="auto"/>
              <w:right w:val="single" w:sz="4" w:space="0" w:color="auto"/>
            </w:tcBorders>
            <w:shd w:val="clear" w:color="auto" w:fill="auto"/>
            <w:vAlign w:val="center"/>
            <w:hideMark/>
          </w:tcPr>
          <w:p w14:paraId="100339CB" w14:textId="77777777" w:rsidR="009A114F" w:rsidRPr="009A114F" w:rsidRDefault="009A114F" w:rsidP="009A114F">
            <w:pPr>
              <w:jc w:val="center"/>
              <w:rPr>
                <w:rFonts w:cs="Arial"/>
                <w:color w:val="000000"/>
                <w:sz w:val="20"/>
                <w:szCs w:val="20"/>
                <w:lang w:val="en-US" w:eastAsia="en-US"/>
              </w:rPr>
            </w:pPr>
            <w:r w:rsidRPr="009A114F">
              <w:rPr>
                <w:rFonts w:cs="Arial"/>
                <w:color w:val="000000"/>
                <w:sz w:val="20"/>
                <w:szCs w:val="20"/>
                <w:lang w:val="en-US" w:eastAsia="en-US"/>
              </w:rPr>
              <w:t>0,07305</w:t>
            </w:r>
          </w:p>
        </w:tc>
        <w:tc>
          <w:tcPr>
            <w:tcW w:w="816" w:type="dxa"/>
            <w:tcBorders>
              <w:top w:val="nil"/>
              <w:left w:val="nil"/>
              <w:bottom w:val="single" w:sz="8" w:space="0" w:color="auto"/>
              <w:right w:val="single" w:sz="4" w:space="0" w:color="auto"/>
            </w:tcBorders>
            <w:shd w:val="clear" w:color="auto" w:fill="auto"/>
            <w:vAlign w:val="center"/>
            <w:hideMark/>
          </w:tcPr>
          <w:p w14:paraId="66CCEC0C" w14:textId="77777777" w:rsidR="009A114F" w:rsidRPr="009A114F" w:rsidRDefault="009A114F" w:rsidP="009A114F">
            <w:pPr>
              <w:jc w:val="center"/>
              <w:rPr>
                <w:rFonts w:cs="Arial"/>
                <w:color w:val="000000"/>
                <w:sz w:val="20"/>
                <w:szCs w:val="20"/>
                <w:lang w:val="en-US" w:eastAsia="en-US"/>
              </w:rPr>
            </w:pPr>
            <w:r w:rsidRPr="009A114F">
              <w:rPr>
                <w:rFonts w:cs="Arial"/>
                <w:color w:val="000000"/>
                <w:sz w:val="20"/>
                <w:szCs w:val="20"/>
                <w:lang w:val="en-US" w:eastAsia="en-US"/>
              </w:rPr>
              <w:t>2 in 14</w:t>
            </w:r>
          </w:p>
        </w:tc>
        <w:tc>
          <w:tcPr>
            <w:tcW w:w="1708" w:type="dxa"/>
            <w:tcBorders>
              <w:top w:val="nil"/>
              <w:left w:val="nil"/>
              <w:bottom w:val="single" w:sz="8" w:space="0" w:color="auto"/>
              <w:right w:val="single" w:sz="4" w:space="0" w:color="auto"/>
            </w:tcBorders>
            <w:shd w:val="clear" w:color="auto" w:fill="auto"/>
            <w:vAlign w:val="center"/>
            <w:hideMark/>
          </w:tcPr>
          <w:p w14:paraId="5E887740" w14:textId="77777777" w:rsidR="009A114F" w:rsidRPr="009A114F" w:rsidRDefault="009A114F" w:rsidP="009A114F">
            <w:pPr>
              <w:jc w:val="center"/>
              <w:rPr>
                <w:rFonts w:cs="Arial"/>
                <w:color w:val="000000"/>
                <w:sz w:val="20"/>
                <w:szCs w:val="20"/>
                <w:lang w:val="en-US" w:eastAsia="en-US"/>
              </w:rPr>
            </w:pPr>
            <w:r w:rsidRPr="009A114F">
              <w:rPr>
                <w:rFonts w:cs="Arial"/>
                <w:color w:val="000000"/>
                <w:sz w:val="20"/>
                <w:szCs w:val="20"/>
                <w:lang w:val="en-US" w:eastAsia="en-US"/>
              </w:rPr>
              <w:t>0,07708</w:t>
            </w:r>
          </w:p>
        </w:tc>
        <w:tc>
          <w:tcPr>
            <w:tcW w:w="952" w:type="dxa"/>
            <w:tcBorders>
              <w:top w:val="nil"/>
              <w:left w:val="nil"/>
              <w:bottom w:val="single" w:sz="8" w:space="0" w:color="auto"/>
              <w:right w:val="single" w:sz="4" w:space="0" w:color="auto"/>
            </w:tcBorders>
            <w:shd w:val="clear" w:color="auto" w:fill="auto"/>
            <w:vAlign w:val="center"/>
            <w:hideMark/>
          </w:tcPr>
          <w:p w14:paraId="3453CBDC" w14:textId="77777777" w:rsidR="009A114F" w:rsidRPr="009A114F" w:rsidRDefault="009A114F" w:rsidP="009A114F">
            <w:pPr>
              <w:jc w:val="center"/>
              <w:rPr>
                <w:rFonts w:cs="Arial"/>
                <w:color w:val="000000"/>
                <w:sz w:val="20"/>
                <w:szCs w:val="20"/>
                <w:lang w:val="en-US" w:eastAsia="en-US"/>
              </w:rPr>
            </w:pPr>
            <w:r w:rsidRPr="009A114F">
              <w:rPr>
                <w:rFonts w:cs="Arial"/>
                <w:color w:val="000000"/>
                <w:sz w:val="20"/>
                <w:szCs w:val="20"/>
                <w:lang w:val="en-US" w:eastAsia="en-US"/>
              </w:rPr>
              <w:t xml:space="preserve">1 in 14 </w:t>
            </w:r>
          </w:p>
        </w:tc>
        <w:tc>
          <w:tcPr>
            <w:tcW w:w="1708" w:type="dxa"/>
            <w:tcBorders>
              <w:top w:val="nil"/>
              <w:left w:val="nil"/>
              <w:bottom w:val="single" w:sz="8" w:space="0" w:color="auto"/>
              <w:right w:val="single" w:sz="8" w:space="0" w:color="auto"/>
            </w:tcBorders>
            <w:shd w:val="clear" w:color="auto" w:fill="auto"/>
            <w:vAlign w:val="center"/>
            <w:hideMark/>
          </w:tcPr>
          <w:p w14:paraId="0DC08932" w14:textId="77777777" w:rsidR="009A114F" w:rsidRPr="009A114F" w:rsidRDefault="009A114F" w:rsidP="009A114F">
            <w:pPr>
              <w:jc w:val="center"/>
              <w:rPr>
                <w:rFonts w:cs="Arial"/>
                <w:color w:val="000000"/>
                <w:sz w:val="20"/>
                <w:szCs w:val="20"/>
                <w:lang w:val="en-US" w:eastAsia="en-US"/>
              </w:rPr>
            </w:pPr>
            <w:r w:rsidRPr="009A114F">
              <w:rPr>
                <w:rFonts w:cs="Arial"/>
                <w:color w:val="000000"/>
                <w:sz w:val="20"/>
                <w:szCs w:val="20"/>
                <w:lang w:val="en-US" w:eastAsia="en-US"/>
              </w:rPr>
              <w:t>0,0371</w:t>
            </w:r>
          </w:p>
        </w:tc>
      </w:tr>
    </w:tbl>
    <w:p w14:paraId="1B9B6606" w14:textId="77777777" w:rsidR="009A114F" w:rsidRDefault="0032141B" w:rsidP="009A114F">
      <w:pPr>
        <w:rPr>
          <w:sz w:val="16"/>
          <w:szCs w:val="16"/>
          <w:lang w:val="en-GB"/>
        </w:rPr>
      </w:pPr>
      <w:r>
        <w:rPr>
          <w:sz w:val="16"/>
          <w:szCs w:val="16"/>
          <w:lang w:val="en-GB"/>
        </w:rPr>
        <w:t>a:</w:t>
      </w:r>
      <w:r w:rsidRPr="0032141B">
        <w:rPr>
          <w:sz w:val="16"/>
          <w:szCs w:val="16"/>
          <w:lang w:val="en-GB"/>
        </w:rPr>
        <w:t xml:space="preserve"> In Section B 10 compications were identified in this study, including one device failure, which is excluded the calculations here.</w:t>
      </w:r>
    </w:p>
    <w:p w14:paraId="33A5C2EE" w14:textId="77777777" w:rsidR="0032141B" w:rsidRPr="0032141B" w:rsidRDefault="0032141B" w:rsidP="009A114F">
      <w:pPr>
        <w:rPr>
          <w:sz w:val="16"/>
          <w:szCs w:val="16"/>
          <w:lang w:val="en-GB"/>
        </w:rPr>
      </w:pPr>
    </w:p>
    <w:p w14:paraId="7933FAA0" w14:textId="77777777" w:rsidR="0032141B" w:rsidRDefault="0032141B" w:rsidP="009A114F">
      <w:pPr>
        <w:rPr>
          <w:sz w:val="16"/>
          <w:szCs w:val="16"/>
          <w:lang w:val="en-GB"/>
        </w:rPr>
      </w:pPr>
      <w:r>
        <w:rPr>
          <w:sz w:val="16"/>
          <w:szCs w:val="16"/>
          <w:lang w:val="en-GB"/>
        </w:rPr>
        <w:t xml:space="preserve">b: </w:t>
      </w:r>
      <w:r w:rsidRPr="0032141B">
        <w:rPr>
          <w:sz w:val="16"/>
          <w:szCs w:val="16"/>
          <w:lang w:val="en-GB"/>
        </w:rPr>
        <w:t>Re-evaluating the study it was found that in addition to the 12 adverse events previously reported there were 1</w:t>
      </w:r>
      <w:r>
        <w:rPr>
          <w:sz w:val="16"/>
          <w:szCs w:val="16"/>
          <w:lang w:val="en-GB"/>
        </w:rPr>
        <w:t>1 complaints of aural fullness.</w:t>
      </w:r>
    </w:p>
    <w:p w14:paraId="5A22C7FB" w14:textId="77777777" w:rsidR="009A114F" w:rsidRPr="0032141B" w:rsidRDefault="0032141B" w:rsidP="009A114F">
      <w:pPr>
        <w:rPr>
          <w:sz w:val="16"/>
          <w:szCs w:val="16"/>
          <w:lang w:val="en-GB"/>
        </w:rPr>
      </w:pPr>
      <w:r w:rsidRPr="0032141B">
        <w:rPr>
          <w:sz w:val="16"/>
          <w:szCs w:val="16"/>
          <w:lang w:val="en-GB"/>
        </w:rPr>
        <w:t>All these were reported over a long-term follow-up. In the short-term there was a total of 59 complaints. The 3 instances of limited benefit were excluded from analysis.</w:t>
      </w:r>
    </w:p>
    <w:p w14:paraId="035ECBC4" w14:textId="77777777" w:rsidR="004D1FF6" w:rsidRPr="009A1A2E" w:rsidRDefault="004D1FF6" w:rsidP="004D1FF6">
      <w:pPr>
        <w:pStyle w:val="Caption"/>
        <w:rPr>
          <w:rFonts w:ascii="Arial" w:hAnsi="Arial" w:cs="Arial"/>
          <w:lang w:val="en-AU"/>
        </w:rPr>
      </w:pPr>
    </w:p>
    <w:p w14:paraId="66BBE10A" w14:textId="77777777" w:rsidR="00D54A2F" w:rsidRPr="009A1A2E" w:rsidRDefault="00D54A2F" w:rsidP="00D54A2F">
      <w:pPr>
        <w:jc w:val="both"/>
        <w:sectPr w:rsidR="00D54A2F" w:rsidRPr="009A1A2E" w:rsidSect="008846BA">
          <w:pgSz w:w="16840" w:h="11907" w:orient="landscape" w:code="9"/>
          <w:pgMar w:top="1814" w:right="1418" w:bottom="1418" w:left="1701" w:header="720" w:footer="720" w:gutter="0"/>
          <w:paperSrc w:first="7" w:other="7"/>
          <w:cols w:space="720"/>
          <w:noEndnote/>
          <w:docGrid w:linePitch="299"/>
        </w:sectPr>
      </w:pPr>
    </w:p>
    <w:p w14:paraId="50B5175F" w14:textId="77777777" w:rsidR="009A114F" w:rsidRPr="00932A48" w:rsidRDefault="009A114F" w:rsidP="009A114F">
      <w:pPr>
        <w:pStyle w:val="Heading4"/>
        <w:spacing w:line="360" w:lineRule="auto"/>
        <w:ind w:left="864" w:hanging="864"/>
        <w:jc w:val="both"/>
        <w:rPr>
          <w:rFonts w:cs="Arial"/>
          <w:lang w:val="en-GB"/>
        </w:rPr>
      </w:pPr>
      <w:bookmarkStart w:id="537" w:name="_Toc400549431"/>
      <w:r w:rsidRPr="00932A48">
        <w:rPr>
          <w:rFonts w:cs="Arial"/>
          <w:lang w:val="en-GB"/>
        </w:rPr>
        <w:lastRenderedPageBreak/>
        <w:t>MEI failure</w:t>
      </w:r>
    </w:p>
    <w:p w14:paraId="4E4E7014" w14:textId="77777777" w:rsidR="009A114F" w:rsidRPr="00932A48" w:rsidRDefault="009A114F" w:rsidP="009A114F">
      <w:pPr>
        <w:spacing w:line="360" w:lineRule="auto"/>
        <w:jc w:val="both"/>
        <w:rPr>
          <w:rFonts w:cs="Arial"/>
          <w:b/>
          <w:lang w:val="en-GB"/>
        </w:rPr>
      </w:pPr>
      <w:r w:rsidRPr="00932A48">
        <w:rPr>
          <w:rFonts w:cs="Arial"/>
          <w:b/>
          <w:lang w:val="en-GB"/>
        </w:rPr>
        <w:t xml:space="preserve">For the Vibrant Soundbridge. </w:t>
      </w:r>
      <w:r w:rsidRPr="00932A48">
        <w:rPr>
          <w:rFonts w:cs="Arial"/>
          <w:lang w:val="en-GB"/>
        </w:rPr>
        <w:t>Information on device failure for the Vibrant Soundbridge system was obtained using the cumulative survival curve calculated over a period of 11.3 years. This is only 9 month shorter than the product life cycle, this data was however not considered due to the reduced number of implants entering the late interval. The CSR</w:t>
      </w:r>
      <w:r w:rsidR="00775D5B">
        <w:rPr>
          <w:rFonts w:cs="Arial"/>
          <w:lang w:val="en-GB"/>
        </w:rPr>
        <w:t xml:space="preserve"> (cumulative survival rate)</w:t>
      </w:r>
      <w:r w:rsidRPr="00932A48">
        <w:rPr>
          <w:rFonts w:cs="Arial"/>
          <w:lang w:val="en-GB"/>
        </w:rPr>
        <w:t xml:space="preserve"> was calculated using life tables based upon the scheme specified by the Pacemaker standard </w:t>
      </w:r>
      <w:r>
        <w:rPr>
          <w:rFonts w:cs="Arial"/>
          <w:lang w:val="en-GB"/>
        </w:rPr>
        <w:t>ISO 5841-2:</w:t>
      </w:r>
      <w:r w:rsidRPr="00932A48">
        <w:rPr>
          <w:rFonts w:cs="Arial"/>
          <w:lang w:val="en-GB"/>
        </w:rPr>
        <w:t>-2014. Only device- and accident-related failures as well as unknown failures were accounted for in the device-related CSRs which are used in the calculation of device failure rate. As the data available was reported in intervals of three months, a six-month failure rate was estimated from the reported cumulative proportion surviving at the end of each 6-month interval using the d DEALE method. The estimated d</w:t>
      </w:r>
      <w:r w:rsidR="007D0336">
        <w:rPr>
          <w:rFonts w:cs="Arial"/>
          <w:lang w:val="en-GB"/>
        </w:rPr>
        <w:t>evice failure rate averaged 0.186</w:t>
      </w:r>
      <w:r>
        <w:rPr>
          <w:rFonts w:cs="Arial"/>
          <w:lang w:val="en-GB"/>
        </w:rPr>
        <w:t> </w:t>
      </w:r>
      <w:r w:rsidRPr="00932A48">
        <w:rPr>
          <w:rFonts w:cs="Arial"/>
          <w:lang w:val="en-GB"/>
        </w:rPr>
        <w:t>% and at the end</w:t>
      </w:r>
      <w:r w:rsidR="007D0336">
        <w:rPr>
          <w:rFonts w:cs="Arial"/>
          <w:lang w:val="en-GB"/>
        </w:rPr>
        <w:t xml:space="preserve"> of 11.3 years was equal to 0.148</w:t>
      </w:r>
      <w:r>
        <w:rPr>
          <w:rFonts w:cs="Arial"/>
          <w:lang w:val="en-GB"/>
        </w:rPr>
        <w:t> </w:t>
      </w:r>
      <w:r w:rsidRPr="00932A48">
        <w:rPr>
          <w:rFonts w:cs="Arial"/>
          <w:lang w:val="en-GB"/>
        </w:rPr>
        <w:t>%</w:t>
      </w:r>
      <w:r w:rsidR="002E3CE7">
        <w:rPr>
          <w:rFonts w:cs="Arial"/>
          <w:lang w:val="en-GB"/>
        </w:rPr>
        <w:t xml:space="preserve"> .</w:t>
      </w:r>
    </w:p>
    <w:p w14:paraId="322E7D91" w14:textId="77777777" w:rsidR="009A114F" w:rsidRDefault="009A114F" w:rsidP="009A114F">
      <w:pPr>
        <w:spacing w:line="360" w:lineRule="auto"/>
        <w:jc w:val="both"/>
        <w:rPr>
          <w:rFonts w:cs="Arial"/>
          <w:lang w:val="en-GB"/>
        </w:rPr>
      </w:pPr>
      <w:r w:rsidRPr="00932A48">
        <w:rPr>
          <w:rFonts w:cs="Arial"/>
          <w:lang w:val="en-GB"/>
        </w:rPr>
        <w:t>Applying</w:t>
      </w:r>
      <w:r w:rsidR="007D0336">
        <w:rPr>
          <w:rFonts w:cs="Arial"/>
          <w:lang w:val="en-GB"/>
        </w:rPr>
        <w:t xml:space="preserve"> a constant failure rate of 0.186</w:t>
      </w:r>
      <w:r>
        <w:rPr>
          <w:rFonts w:cs="Arial"/>
          <w:lang w:val="en-GB"/>
        </w:rPr>
        <w:t> </w:t>
      </w:r>
      <w:r w:rsidRPr="00932A48">
        <w:rPr>
          <w:rFonts w:cs="Arial"/>
          <w:lang w:val="en-GB"/>
        </w:rPr>
        <w:t>% (average device failure rate) shows very good agreement between the cumulative survival rate and the line of fit using the DEALE method in the first eight years of device use, but may heavily underestimate the failure rate in the longer term. With</w:t>
      </w:r>
      <w:r w:rsidR="007D0336">
        <w:rPr>
          <w:rFonts w:cs="Arial"/>
          <w:lang w:val="en-GB"/>
        </w:rPr>
        <w:t xml:space="preserve"> a constant failure rate of 0.148</w:t>
      </w:r>
      <w:r>
        <w:rPr>
          <w:rFonts w:cs="Arial"/>
          <w:lang w:val="en-GB"/>
        </w:rPr>
        <w:t> </w:t>
      </w:r>
      <w:r w:rsidRPr="00932A48">
        <w:rPr>
          <w:rFonts w:cs="Arial"/>
          <w:lang w:val="en-GB"/>
        </w:rPr>
        <w:t>% (based on the cumulative proportion surviving of 0,96582 at 11.3 years), the agreement between the cumulative survival and line of fit is more consistent with the estimated CSRs being nearly always within the 95</w:t>
      </w:r>
      <w:r>
        <w:rPr>
          <w:rFonts w:cs="Arial"/>
          <w:lang w:val="en-GB"/>
        </w:rPr>
        <w:t> </w:t>
      </w:r>
      <w:r w:rsidRPr="00932A48">
        <w:rPr>
          <w:rFonts w:cs="Arial"/>
          <w:lang w:val="en-GB"/>
        </w:rPr>
        <w:t>% confidence intervals of the original data. This constant rate was preferred in the base-case analysis.</w:t>
      </w:r>
    </w:p>
    <w:p w14:paraId="3C93F666" w14:textId="456FEB7C" w:rsidR="00A10E89" w:rsidRDefault="00A10E89" w:rsidP="009A114F">
      <w:pPr>
        <w:spacing w:line="360" w:lineRule="auto"/>
        <w:jc w:val="both"/>
        <w:rPr>
          <w:rFonts w:cs="Arial"/>
          <w:lang w:val="en-GB"/>
        </w:rPr>
      </w:pPr>
    </w:p>
    <w:p w14:paraId="13606EEA" w14:textId="34224997" w:rsidR="009A114F" w:rsidRPr="003D51F7" w:rsidRDefault="00F16CE6" w:rsidP="009A114F">
      <w:pPr>
        <w:spacing w:line="360" w:lineRule="auto"/>
        <w:jc w:val="both"/>
        <w:rPr>
          <w:rFonts w:cs="Arial"/>
          <w:b/>
          <w:lang w:val="en-GB"/>
        </w:rPr>
      </w:pPr>
      <w:r w:rsidRPr="003D51F7">
        <w:rPr>
          <w:rFonts w:cs="Arial"/>
          <w:b/>
          <w:lang w:val="en-GB"/>
        </w:rPr>
        <w:t>Figure redacted</w:t>
      </w:r>
    </w:p>
    <w:p w14:paraId="758BC1E6" w14:textId="77777777" w:rsidR="00B64C96" w:rsidRDefault="00B64C96" w:rsidP="00B64C96">
      <w:pPr>
        <w:pStyle w:val="Caption"/>
        <w:rPr>
          <w:rFonts w:ascii="Arial" w:eastAsiaTheme="minorHAnsi" w:hAnsi="Arial" w:cs="Arial"/>
          <w:u w:val="single"/>
          <w:lang w:val="en-GB" w:eastAsia="en-US"/>
        </w:rPr>
      </w:pPr>
      <w:bookmarkStart w:id="538" w:name="_Toc431653921"/>
      <w:r w:rsidRPr="00C67966">
        <w:rPr>
          <w:rFonts w:ascii="Arial" w:hAnsi="Arial" w:cs="Arial"/>
          <w:u w:val="single"/>
        </w:rPr>
        <w:t xml:space="preserve">Fig </w:t>
      </w:r>
      <w:r w:rsidRPr="00C67966">
        <w:rPr>
          <w:rFonts w:ascii="Arial" w:hAnsi="Arial" w:cs="Arial"/>
          <w:u w:val="single"/>
        </w:rPr>
        <w:fldChar w:fldCharType="begin"/>
      </w:r>
      <w:r w:rsidRPr="00C67966">
        <w:rPr>
          <w:rFonts w:ascii="Arial" w:hAnsi="Arial" w:cs="Arial"/>
          <w:u w:val="single"/>
        </w:rPr>
        <w:instrText xml:space="preserve"> SEQ Fig \* ARABIC </w:instrText>
      </w:r>
      <w:r w:rsidRPr="00C67966">
        <w:rPr>
          <w:rFonts w:ascii="Arial" w:hAnsi="Arial" w:cs="Arial"/>
          <w:u w:val="single"/>
        </w:rPr>
        <w:fldChar w:fldCharType="separate"/>
      </w:r>
      <w:r w:rsidR="00016592">
        <w:rPr>
          <w:rFonts w:ascii="Arial" w:hAnsi="Arial" w:cs="Arial"/>
          <w:noProof/>
          <w:u w:val="single"/>
        </w:rPr>
        <w:t>12</w:t>
      </w:r>
      <w:r w:rsidRPr="00C67966">
        <w:rPr>
          <w:rFonts w:ascii="Arial" w:hAnsi="Arial" w:cs="Arial"/>
          <w:u w:val="single"/>
        </w:rPr>
        <w:fldChar w:fldCharType="end"/>
      </w:r>
      <w:r w:rsidRPr="00C67966">
        <w:rPr>
          <w:rFonts w:ascii="Arial" w:eastAsiaTheme="minorHAnsi" w:hAnsi="Arial" w:cs="Arial"/>
          <w:u w:val="single"/>
          <w:lang w:val="en-GB" w:eastAsia="en-US"/>
        </w:rPr>
        <w:t xml:space="preserve"> </w:t>
      </w:r>
      <w:r w:rsidR="00FA3EF6">
        <w:rPr>
          <w:rFonts w:ascii="Arial" w:eastAsiaTheme="minorHAnsi" w:hAnsi="Arial" w:cs="Arial"/>
          <w:u w:val="single"/>
          <w:lang w:val="en-GB" w:eastAsia="en-US"/>
        </w:rPr>
        <w:t>–</w:t>
      </w:r>
      <w:r w:rsidRPr="00C67966">
        <w:rPr>
          <w:rFonts w:ascii="Arial" w:eastAsiaTheme="minorHAnsi" w:hAnsi="Arial" w:cs="Arial"/>
          <w:u w:val="single"/>
          <w:lang w:val="en-GB" w:eastAsia="en-US"/>
        </w:rPr>
        <w:t xml:space="preserve"> </w:t>
      </w:r>
      <w:r w:rsidR="00FA3EF6">
        <w:rPr>
          <w:rFonts w:ascii="Arial" w:eastAsiaTheme="minorHAnsi" w:hAnsi="Arial" w:cs="Arial"/>
          <w:u w:val="single"/>
          <w:lang w:val="en-GB" w:eastAsia="en-US"/>
        </w:rPr>
        <w:t>Goodness of fit between the true cumulative survival rate and estimated 6-month values (derived using the DEALE method) for the VSB</w:t>
      </w:r>
      <w:bookmarkEnd w:id="538"/>
    </w:p>
    <w:p w14:paraId="0D9A8BEB" w14:textId="77777777" w:rsidR="007D0336" w:rsidRPr="007D0336" w:rsidRDefault="007D0336" w:rsidP="007D0336">
      <w:pPr>
        <w:rPr>
          <w:rFonts w:eastAsiaTheme="minorHAnsi"/>
          <w:lang w:val="en-GB" w:eastAsia="en-US"/>
        </w:rPr>
      </w:pPr>
    </w:p>
    <w:p w14:paraId="7CF6777B" w14:textId="77777777" w:rsidR="002E3CE7" w:rsidRDefault="002E3CE7" w:rsidP="002E3CE7">
      <w:pPr>
        <w:spacing w:line="360" w:lineRule="auto"/>
        <w:jc w:val="both"/>
        <w:rPr>
          <w:rFonts w:cs="Arial"/>
          <w:lang w:val="en-GB"/>
        </w:rPr>
      </w:pPr>
    </w:p>
    <w:p w14:paraId="1652A3F8" w14:textId="77777777" w:rsidR="002E3CE7" w:rsidRPr="00932A48" w:rsidRDefault="002E3CE7" w:rsidP="002E3CE7">
      <w:pPr>
        <w:spacing w:line="360" w:lineRule="auto"/>
        <w:jc w:val="both"/>
        <w:rPr>
          <w:rFonts w:cs="Arial"/>
          <w:lang w:val="en-GB"/>
        </w:rPr>
      </w:pPr>
      <w:r w:rsidRPr="00932A48">
        <w:rPr>
          <w:rFonts w:cs="Arial"/>
          <w:lang w:val="en-GB"/>
        </w:rPr>
        <w:t>The rate of reimplantation following device failure was reported in three studies (Luetje 2010; Mosnier 2008; Schmuziger 2006), however mostly for the previous generation of the Vibrant Soundbridge implant. In a total of 16 device failures 12 were known to be reimplanted, resulting in a probability of 75</w:t>
      </w:r>
      <w:r>
        <w:rPr>
          <w:rFonts w:cs="Arial"/>
          <w:lang w:val="en-GB"/>
        </w:rPr>
        <w:t> </w:t>
      </w:r>
      <w:r w:rsidRPr="00932A48">
        <w:rPr>
          <w:rFonts w:cs="Arial"/>
          <w:lang w:val="en-GB"/>
        </w:rPr>
        <w:t>%. Assuming that a device-related failure is the only complication in these cases, this rate can be used for the current generation of implants in the economic analysis. The calculated probability can also be applied as a constant value as in clinical practice re-operation always occurs within 6 months after device failure.</w:t>
      </w:r>
    </w:p>
    <w:p w14:paraId="7B69255A" w14:textId="77777777" w:rsidR="009A114F" w:rsidRPr="002E3CE7" w:rsidRDefault="009A114F" w:rsidP="002E3CE7">
      <w:pPr>
        <w:spacing w:line="360" w:lineRule="auto"/>
        <w:jc w:val="both"/>
        <w:rPr>
          <w:lang w:val="en-GB"/>
        </w:rPr>
      </w:pPr>
    </w:p>
    <w:p w14:paraId="0BCAD9BF" w14:textId="77777777" w:rsidR="009A114F" w:rsidRDefault="00962B03" w:rsidP="009A114F">
      <w:pPr>
        <w:spacing w:line="360" w:lineRule="auto"/>
        <w:jc w:val="both"/>
        <w:rPr>
          <w:rFonts w:cs="Arial"/>
          <w:lang w:val="en-GB"/>
        </w:rPr>
      </w:pPr>
      <w:r w:rsidRPr="00932A48">
        <w:rPr>
          <w:rFonts w:cs="Arial"/>
          <w:b/>
          <w:lang w:val="en-GB"/>
        </w:rPr>
        <w:lastRenderedPageBreak/>
        <w:t xml:space="preserve">For the </w:t>
      </w:r>
      <w:r>
        <w:rPr>
          <w:rFonts w:cs="Arial"/>
          <w:b/>
          <w:lang w:val="en-GB"/>
        </w:rPr>
        <w:t>Maxum/</w:t>
      </w:r>
      <w:r w:rsidRPr="00932A48">
        <w:rPr>
          <w:rFonts w:cs="Arial"/>
          <w:b/>
          <w:lang w:val="en-GB"/>
        </w:rPr>
        <w:t>SOUNDTEC</w:t>
      </w:r>
      <w:r w:rsidRPr="00932A48">
        <w:rPr>
          <w:rFonts w:cs="Arial"/>
          <w:lang w:val="en-GB"/>
        </w:rPr>
        <w:t>. In the clinical trial of the SOUNDTEC Direct Drive system there were no reported device failures over a period of 12 months. A rate of 0 events is however not realistic for extrapolating to a 10 year time frame. It can be assumed that the device-related survival is similar to the VSB as both systems employ a transducer coupled to the ossicles and can be damaged for example by trauma to the head. Hence, to provide a comparison of costs, the device failure and explantation rates estimated for the VSB</w:t>
      </w:r>
      <w:r w:rsidR="00A10E89">
        <w:rPr>
          <w:rFonts w:cs="Arial"/>
          <w:lang w:val="en-GB"/>
        </w:rPr>
        <w:t xml:space="preserve"> were also applied for the Maxum/Soundtec</w:t>
      </w:r>
      <w:r w:rsidRPr="00932A48">
        <w:rPr>
          <w:rFonts w:cs="Arial"/>
          <w:lang w:val="en-GB"/>
        </w:rPr>
        <w:t>.</w:t>
      </w:r>
    </w:p>
    <w:p w14:paraId="0010252B" w14:textId="77777777" w:rsidR="00962B03" w:rsidRDefault="00962B03" w:rsidP="009A114F">
      <w:pPr>
        <w:spacing w:line="360" w:lineRule="auto"/>
        <w:jc w:val="both"/>
        <w:rPr>
          <w:rFonts w:cs="Arial"/>
          <w:lang w:val="en-GB"/>
        </w:rPr>
      </w:pPr>
    </w:p>
    <w:p w14:paraId="066E9F9E" w14:textId="77777777" w:rsidR="00962B03" w:rsidRPr="00932A48" w:rsidRDefault="00962B03" w:rsidP="00962B03">
      <w:pPr>
        <w:pStyle w:val="Heading4"/>
        <w:spacing w:line="360" w:lineRule="auto"/>
        <w:ind w:left="864" w:hanging="864"/>
        <w:jc w:val="both"/>
        <w:rPr>
          <w:rFonts w:cs="Arial"/>
          <w:lang w:val="en-GB"/>
        </w:rPr>
      </w:pPr>
      <w:r w:rsidRPr="00932A48">
        <w:rPr>
          <w:rFonts w:cs="Arial"/>
          <w:lang w:val="en-GB"/>
        </w:rPr>
        <w:t>Cease MEI</w:t>
      </w:r>
    </w:p>
    <w:p w14:paraId="5CEE1E54" w14:textId="77777777" w:rsidR="00962B03" w:rsidRDefault="00962B03" w:rsidP="00962B03">
      <w:pPr>
        <w:spacing w:line="360" w:lineRule="auto"/>
        <w:jc w:val="both"/>
        <w:rPr>
          <w:rFonts w:cs="Arial"/>
          <w:lang w:val="en-GB"/>
        </w:rPr>
      </w:pPr>
      <w:r w:rsidRPr="00932A48">
        <w:rPr>
          <w:rFonts w:cs="Arial"/>
          <w:lang w:val="en-GB"/>
        </w:rPr>
        <w:t xml:space="preserve">Two studies in the literature provided information on voluntary non-use of the Vibrant Soundbridge and a third study provided information on the </w:t>
      </w:r>
      <w:r w:rsidR="00A10E89">
        <w:rPr>
          <w:rFonts w:cs="Arial"/>
          <w:lang w:val="en-GB"/>
        </w:rPr>
        <w:t>Maxum/Soundtec</w:t>
      </w:r>
      <w:r w:rsidRPr="00932A48">
        <w:rPr>
          <w:rFonts w:cs="Arial"/>
          <w:lang w:val="en-GB"/>
        </w:rPr>
        <w:t xml:space="preserve">. Reasons for non-use were various, including explantation of the internal device without re-implantation. The study characteristics and derived estimates are listed in </w:t>
      </w:r>
      <w:r w:rsidR="00EE7C52">
        <w:rPr>
          <w:rFonts w:cs="Arial"/>
          <w:lang w:val="en-GB"/>
        </w:rPr>
        <w:fldChar w:fldCharType="begin"/>
      </w:r>
      <w:r w:rsidR="00EE7C52">
        <w:rPr>
          <w:rFonts w:cs="Arial"/>
          <w:lang w:val="en-GB"/>
        </w:rPr>
        <w:instrText xml:space="preserve"> REF _Ref400388116 \h </w:instrText>
      </w:r>
      <w:r w:rsidR="00EE7C52">
        <w:rPr>
          <w:rFonts w:cs="Arial"/>
          <w:lang w:val="en-GB"/>
        </w:rPr>
      </w:r>
      <w:r w:rsidR="00EE7C52">
        <w:rPr>
          <w:rFonts w:cs="Arial"/>
          <w:lang w:val="en-GB"/>
        </w:rPr>
        <w:fldChar w:fldCharType="separate"/>
      </w:r>
      <w:r w:rsidR="00016592" w:rsidRPr="00EE7C52">
        <w:rPr>
          <w:rFonts w:cs="Arial"/>
        </w:rPr>
        <w:t xml:space="preserve">Table </w:t>
      </w:r>
      <w:r w:rsidR="00016592">
        <w:rPr>
          <w:rFonts w:cs="Arial"/>
          <w:noProof/>
        </w:rPr>
        <w:t>36</w:t>
      </w:r>
      <w:r w:rsidR="00EE7C52">
        <w:rPr>
          <w:rFonts w:cs="Arial"/>
          <w:lang w:val="en-GB"/>
        </w:rPr>
        <w:fldChar w:fldCharType="end"/>
      </w:r>
      <w:r w:rsidR="00EE7C52">
        <w:rPr>
          <w:rFonts w:cs="Arial"/>
          <w:lang w:val="en-GB"/>
        </w:rPr>
        <w:t xml:space="preserve">. </w:t>
      </w:r>
      <w:r w:rsidRPr="00932A48">
        <w:rPr>
          <w:rFonts w:cs="Arial"/>
          <w:lang w:val="en-GB"/>
        </w:rPr>
        <w:t xml:space="preserve">For the VSB, the weighted mean (based on sample size) of the instantaneous rates were used to derive the 6-month probability. The rates for ceasing to use either MEI were assumed to remain constant over time and were used directly in base-case analysis. </w:t>
      </w:r>
    </w:p>
    <w:p w14:paraId="360E7146" w14:textId="77777777" w:rsidR="003471D2" w:rsidRDefault="003471D2" w:rsidP="00962B03">
      <w:pPr>
        <w:spacing w:line="360" w:lineRule="auto"/>
        <w:jc w:val="both"/>
        <w:rPr>
          <w:rFonts w:cs="Arial"/>
          <w:lang w:val="en-GB"/>
        </w:rPr>
      </w:pPr>
      <w:r w:rsidRPr="00932A48">
        <w:rPr>
          <w:rFonts w:cs="Arial"/>
          <w:lang w:val="en-GB"/>
        </w:rPr>
        <w:t>There was no information in the identified studies on the proportion of people with unresolved adverse events ceasing to use their device, hence it was accepted to be 0 for both MEI. The proportion of non-use in patients who are reimplanted following a device failure is equivalent to the probability of voluntary non-use in the whole population, which is described above</w:t>
      </w:r>
      <w:r>
        <w:rPr>
          <w:rFonts w:cs="Arial"/>
          <w:lang w:val="en-GB"/>
        </w:rPr>
        <w:t>.</w:t>
      </w:r>
    </w:p>
    <w:p w14:paraId="631C5C40" w14:textId="77777777" w:rsidR="00DA6869" w:rsidRDefault="00DA6869">
      <w:pPr>
        <w:rPr>
          <w:rFonts w:cs="Arial"/>
          <w:lang w:val="en-GB"/>
        </w:rPr>
      </w:pPr>
      <w:r>
        <w:rPr>
          <w:rFonts w:cs="Arial"/>
          <w:lang w:val="en-GB"/>
        </w:rPr>
        <w:br w:type="page"/>
      </w:r>
    </w:p>
    <w:p w14:paraId="520BEA93" w14:textId="77777777" w:rsidR="009A114F" w:rsidRPr="009A114F" w:rsidRDefault="009A114F" w:rsidP="009A114F">
      <w:pPr>
        <w:pStyle w:val="Caption"/>
        <w:rPr>
          <w:rFonts w:ascii="Arial" w:hAnsi="Arial" w:cs="Arial"/>
          <w:lang w:val="en-AU"/>
        </w:rPr>
      </w:pPr>
      <w:bookmarkStart w:id="539" w:name="_Ref400388116"/>
      <w:bookmarkStart w:id="540" w:name="_Toc400395618"/>
      <w:bookmarkStart w:id="541" w:name="_Toc431917496"/>
      <w:r w:rsidRPr="00EE7C52">
        <w:rPr>
          <w:rFonts w:ascii="Arial" w:hAnsi="Arial" w:cs="Arial"/>
          <w:lang w:val="en-AU"/>
        </w:rPr>
        <w:lastRenderedPageBreak/>
        <w:t xml:space="preserve">Table </w:t>
      </w:r>
      <w:r w:rsidRPr="00EE7C52">
        <w:rPr>
          <w:rFonts w:ascii="Arial" w:hAnsi="Arial" w:cs="Arial"/>
          <w:lang w:val="en-AU"/>
        </w:rPr>
        <w:fldChar w:fldCharType="begin"/>
      </w:r>
      <w:r w:rsidRPr="00EE7C52">
        <w:rPr>
          <w:rFonts w:ascii="Arial" w:hAnsi="Arial" w:cs="Arial"/>
          <w:lang w:val="en-AU"/>
        </w:rPr>
        <w:instrText xml:space="preserve"> SEQ Table \* ARABIC </w:instrText>
      </w:r>
      <w:r w:rsidRPr="00EE7C52">
        <w:rPr>
          <w:rFonts w:ascii="Arial" w:hAnsi="Arial" w:cs="Arial"/>
          <w:lang w:val="en-AU"/>
        </w:rPr>
        <w:fldChar w:fldCharType="separate"/>
      </w:r>
      <w:r w:rsidR="00016592">
        <w:rPr>
          <w:rFonts w:ascii="Arial" w:hAnsi="Arial" w:cs="Arial"/>
          <w:noProof/>
          <w:lang w:val="en-AU"/>
        </w:rPr>
        <w:t>36</w:t>
      </w:r>
      <w:r w:rsidRPr="00EE7C52">
        <w:rPr>
          <w:rFonts w:ascii="Arial" w:hAnsi="Arial" w:cs="Arial"/>
          <w:lang w:val="en-AU"/>
        </w:rPr>
        <w:fldChar w:fldCharType="end"/>
      </w:r>
      <w:bookmarkEnd w:id="539"/>
      <w:r w:rsidRPr="00EE7C52">
        <w:rPr>
          <w:rFonts w:ascii="Arial" w:hAnsi="Arial" w:cs="Arial"/>
          <w:lang w:val="en-AU"/>
        </w:rPr>
        <w:t xml:space="preserve"> - </w:t>
      </w:r>
      <w:bookmarkEnd w:id="540"/>
      <w:r w:rsidR="00EE7C52" w:rsidRPr="00EE7C52">
        <w:rPr>
          <w:rFonts w:ascii="Arial" w:hAnsi="Arial" w:cs="Arial"/>
          <w:lang w:val="en-GB"/>
        </w:rPr>
        <w:t>Estimated rate of voluntary non-use of the Vibrant Soundbridge</w:t>
      </w:r>
      <w:bookmarkEnd w:id="541"/>
    </w:p>
    <w:tbl>
      <w:tblPr>
        <w:tblW w:w="7080" w:type="dxa"/>
        <w:jc w:val="center"/>
        <w:tblLook w:val="04A0" w:firstRow="1" w:lastRow="0" w:firstColumn="1" w:lastColumn="0" w:noHBand="0" w:noVBand="1"/>
        <w:tblDescription w:val="Estimated rate of voluntary non-use of the Vibrant Soundbridge"/>
      </w:tblPr>
      <w:tblGrid>
        <w:gridCol w:w="1600"/>
        <w:gridCol w:w="1000"/>
        <w:gridCol w:w="550"/>
        <w:gridCol w:w="880"/>
        <w:gridCol w:w="1341"/>
        <w:gridCol w:w="1760"/>
      </w:tblGrid>
      <w:tr w:rsidR="00EE7C52" w:rsidRPr="00EE7C52" w14:paraId="3FA8FF74" w14:textId="77777777" w:rsidTr="00E01546">
        <w:trPr>
          <w:trHeight w:val="600"/>
          <w:jc w:val="center"/>
        </w:trPr>
        <w:tc>
          <w:tcPr>
            <w:tcW w:w="160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2E32F5C0" w14:textId="77777777" w:rsidR="00EE7C52" w:rsidRPr="00EE7C52" w:rsidRDefault="00EE7C52" w:rsidP="00EE7C52">
            <w:pPr>
              <w:jc w:val="center"/>
              <w:rPr>
                <w:rFonts w:cs="Arial"/>
                <w:b/>
                <w:bCs/>
                <w:color w:val="000000"/>
                <w:lang w:val="en-US" w:eastAsia="en-US"/>
              </w:rPr>
            </w:pPr>
            <w:r w:rsidRPr="00EE7C52">
              <w:rPr>
                <w:rFonts w:cs="Arial"/>
                <w:b/>
                <w:bCs/>
                <w:color w:val="000000"/>
                <w:lang w:val="en-US" w:eastAsia="en-US"/>
              </w:rPr>
              <w:t>Source</w:t>
            </w:r>
          </w:p>
        </w:tc>
        <w:tc>
          <w:tcPr>
            <w:tcW w:w="1000" w:type="dxa"/>
            <w:tcBorders>
              <w:top w:val="single" w:sz="8" w:space="0" w:color="auto"/>
              <w:left w:val="nil"/>
              <w:bottom w:val="single" w:sz="4" w:space="0" w:color="auto"/>
              <w:right w:val="single" w:sz="4" w:space="0" w:color="auto"/>
            </w:tcBorders>
            <w:shd w:val="clear" w:color="auto" w:fill="auto"/>
            <w:vAlign w:val="center"/>
            <w:hideMark/>
          </w:tcPr>
          <w:p w14:paraId="740A9340" w14:textId="77777777" w:rsidR="00EE7C52" w:rsidRPr="00EE7C52" w:rsidRDefault="00EE7C52" w:rsidP="00EE7C52">
            <w:pPr>
              <w:jc w:val="center"/>
              <w:rPr>
                <w:rFonts w:cs="Arial"/>
                <w:b/>
                <w:bCs/>
                <w:color w:val="000000"/>
                <w:lang w:val="en-US" w:eastAsia="en-US"/>
              </w:rPr>
            </w:pPr>
            <w:r w:rsidRPr="00EE7C52">
              <w:rPr>
                <w:rFonts w:cs="Arial"/>
                <w:b/>
                <w:bCs/>
                <w:color w:val="000000"/>
                <w:lang w:val="en-US" w:eastAsia="en-US"/>
              </w:rPr>
              <w:t>Time interval</w:t>
            </w:r>
          </w:p>
        </w:tc>
        <w:tc>
          <w:tcPr>
            <w:tcW w:w="520" w:type="dxa"/>
            <w:tcBorders>
              <w:top w:val="single" w:sz="8" w:space="0" w:color="auto"/>
              <w:left w:val="nil"/>
              <w:bottom w:val="single" w:sz="4" w:space="0" w:color="auto"/>
              <w:right w:val="single" w:sz="4" w:space="0" w:color="auto"/>
            </w:tcBorders>
            <w:shd w:val="clear" w:color="auto" w:fill="auto"/>
            <w:vAlign w:val="center"/>
            <w:hideMark/>
          </w:tcPr>
          <w:p w14:paraId="54BFE98C" w14:textId="77777777" w:rsidR="00EE7C52" w:rsidRPr="00EE7C52" w:rsidRDefault="00EE7C52" w:rsidP="00EE7C52">
            <w:pPr>
              <w:jc w:val="center"/>
              <w:rPr>
                <w:rFonts w:cs="Arial"/>
                <w:b/>
                <w:bCs/>
                <w:color w:val="000000"/>
                <w:lang w:val="en-US" w:eastAsia="en-US"/>
              </w:rPr>
            </w:pPr>
            <w:r w:rsidRPr="00EE7C52">
              <w:rPr>
                <w:rFonts w:cs="Arial"/>
                <w:b/>
                <w:bCs/>
                <w:color w:val="000000"/>
                <w:lang w:val="en-US" w:eastAsia="en-US"/>
              </w:rPr>
              <w:t xml:space="preserve">n </w:t>
            </w:r>
          </w:p>
        </w:tc>
        <w:tc>
          <w:tcPr>
            <w:tcW w:w="880" w:type="dxa"/>
            <w:tcBorders>
              <w:top w:val="single" w:sz="8" w:space="0" w:color="auto"/>
              <w:left w:val="nil"/>
              <w:bottom w:val="single" w:sz="4" w:space="0" w:color="auto"/>
              <w:right w:val="single" w:sz="4" w:space="0" w:color="auto"/>
            </w:tcBorders>
            <w:shd w:val="clear" w:color="auto" w:fill="auto"/>
            <w:vAlign w:val="center"/>
            <w:hideMark/>
          </w:tcPr>
          <w:p w14:paraId="616F7DE5" w14:textId="77777777" w:rsidR="00EE7C52" w:rsidRPr="00EE7C52" w:rsidRDefault="00EE7C52" w:rsidP="00EE7C52">
            <w:pPr>
              <w:jc w:val="center"/>
              <w:rPr>
                <w:rFonts w:cs="Arial"/>
                <w:b/>
                <w:bCs/>
                <w:color w:val="000000"/>
                <w:lang w:val="en-US" w:eastAsia="en-US"/>
              </w:rPr>
            </w:pPr>
            <w:r w:rsidRPr="00EE7C52">
              <w:rPr>
                <w:rFonts w:cs="Arial"/>
                <w:b/>
                <w:bCs/>
                <w:color w:val="000000"/>
                <w:lang w:val="en-US" w:eastAsia="en-US"/>
              </w:rPr>
              <w:t>Event count</w:t>
            </w:r>
          </w:p>
        </w:tc>
        <w:tc>
          <w:tcPr>
            <w:tcW w:w="1320" w:type="dxa"/>
            <w:tcBorders>
              <w:top w:val="single" w:sz="8" w:space="0" w:color="auto"/>
              <w:left w:val="nil"/>
              <w:bottom w:val="single" w:sz="4" w:space="0" w:color="auto"/>
              <w:right w:val="single" w:sz="4" w:space="0" w:color="auto"/>
            </w:tcBorders>
            <w:shd w:val="clear" w:color="auto" w:fill="auto"/>
            <w:vAlign w:val="center"/>
            <w:hideMark/>
          </w:tcPr>
          <w:p w14:paraId="0D3D9276" w14:textId="77777777" w:rsidR="00EE7C52" w:rsidRPr="00EE7C52" w:rsidRDefault="00EE7C52" w:rsidP="00EE7C52">
            <w:pPr>
              <w:jc w:val="center"/>
              <w:rPr>
                <w:rFonts w:cs="Arial"/>
                <w:b/>
                <w:bCs/>
                <w:color w:val="000000"/>
                <w:lang w:val="en-US" w:eastAsia="en-US"/>
              </w:rPr>
            </w:pPr>
            <w:r w:rsidRPr="00EE7C52">
              <w:rPr>
                <w:rFonts w:cs="Arial"/>
                <w:b/>
                <w:bCs/>
                <w:color w:val="000000"/>
                <w:lang w:val="en-US" w:eastAsia="en-US"/>
              </w:rPr>
              <w:t>Observed probability</w:t>
            </w:r>
          </w:p>
        </w:tc>
        <w:tc>
          <w:tcPr>
            <w:tcW w:w="1760" w:type="dxa"/>
            <w:tcBorders>
              <w:top w:val="single" w:sz="8" w:space="0" w:color="auto"/>
              <w:left w:val="nil"/>
              <w:bottom w:val="single" w:sz="4" w:space="0" w:color="auto"/>
              <w:right w:val="single" w:sz="8" w:space="0" w:color="auto"/>
            </w:tcBorders>
            <w:shd w:val="clear" w:color="auto" w:fill="auto"/>
            <w:vAlign w:val="center"/>
            <w:hideMark/>
          </w:tcPr>
          <w:p w14:paraId="0E286B4C" w14:textId="77777777" w:rsidR="00EE7C52" w:rsidRPr="00EE7C52" w:rsidRDefault="00EE7C52" w:rsidP="00EE7C52">
            <w:pPr>
              <w:jc w:val="center"/>
              <w:rPr>
                <w:rFonts w:cs="Arial"/>
                <w:b/>
                <w:bCs/>
                <w:color w:val="000000"/>
                <w:lang w:val="en-US" w:eastAsia="en-US"/>
              </w:rPr>
            </w:pPr>
            <w:r w:rsidRPr="00EE7C52">
              <w:rPr>
                <w:rFonts w:cs="Arial"/>
                <w:b/>
                <w:bCs/>
                <w:color w:val="000000"/>
                <w:lang w:val="en-US" w:eastAsia="en-US"/>
              </w:rPr>
              <w:t>Instantaneous rate</w:t>
            </w:r>
          </w:p>
        </w:tc>
      </w:tr>
      <w:tr w:rsidR="00EE7C52" w:rsidRPr="00EE7C52" w14:paraId="6FF7B67A" w14:textId="77777777" w:rsidTr="00E01546">
        <w:trPr>
          <w:trHeight w:val="420"/>
          <w:jc w:val="center"/>
        </w:trPr>
        <w:tc>
          <w:tcPr>
            <w:tcW w:w="7080"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515CCB7F" w14:textId="77777777" w:rsidR="00EE7C52" w:rsidRPr="00EE7C52" w:rsidRDefault="00EE7C52" w:rsidP="00EE7C52">
            <w:pPr>
              <w:rPr>
                <w:rFonts w:cs="Arial"/>
                <w:b/>
                <w:bCs/>
                <w:color w:val="000000"/>
                <w:lang w:val="en-US" w:eastAsia="en-US"/>
              </w:rPr>
            </w:pPr>
            <w:r w:rsidRPr="00EE7C52">
              <w:rPr>
                <w:rFonts w:cs="Arial"/>
                <w:b/>
                <w:bCs/>
                <w:color w:val="000000"/>
                <w:lang w:val="en-US" w:eastAsia="en-US"/>
              </w:rPr>
              <w:t>Vibrant Soundbridge</w:t>
            </w:r>
          </w:p>
        </w:tc>
      </w:tr>
      <w:tr w:rsidR="00EE7C52" w:rsidRPr="00EE7C52" w14:paraId="69E6A7D3" w14:textId="77777777" w:rsidTr="00E01546">
        <w:trPr>
          <w:trHeight w:val="615"/>
          <w:jc w:val="center"/>
        </w:trPr>
        <w:tc>
          <w:tcPr>
            <w:tcW w:w="1600" w:type="dxa"/>
            <w:tcBorders>
              <w:top w:val="nil"/>
              <w:left w:val="single" w:sz="8" w:space="0" w:color="auto"/>
              <w:bottom w:val="single" w:sz="4" w:space="0" w:color="auto"/>
              <w:right w:val="single" w:sz="4" w:space="0" w:color="auto"/>
            </w:tcBorders>
            <w:shd w:val="clear" w:color="auto" w:fill="auto"/>
            <w:noWrap/>
            <w:vAlign w:val="center"/>
            <w:hideMark/>
          </w:tcPr>
          <w:p w14:paraId="0D206361" w14:textId="77777777" w:rsidR="00EE7C52" w:rsidRPr="00EE7C52" w:rsidRDefault="00EE7C52" w:rsidP="00EE7C52">
            <w:pPr>
              <w:rPr>
                <w:rFonts w:cs="Arial"/>
                <w:color w:val="000000"/>
                <w:sz w:val="20"/>
                <w:szCs w:val="20"/>
                <w:lang w:val="en-US" w:eastAsia="en-US"/>
              </w:rPr>
            </w:pPr>
            <w:r w:rsidRPr="00EE7C52">
              <w:rPr>
                <w:rFonts w:cs="Arial"/>
                <w:color w:val="000000"/>
                <w:sz w:val="20"/>
                <w:szCs w:val="20"/>
                <w:lang w:val="en-US" w:eastAsia="en-US"/>
              </w:rPr>
              <w:t>Mosnier 2008</w:t>
            </w:r>
          </w:p>
        </w:tc>
        <w:tc>
          <w:tcPr>
            <w:tcW w:w="1000" w:type="dxa"/>
            <w:tcBorders>
              <w:top w:val="nil"/>
              <w:left w:val="nil"/>
              <w:bottom w:val="single" w:sz="4" w:space="0" w:color="auto"/>
              <w:right w:val="single" w:sz="4" w:space="0" w:color="auto"/>
            </w:tcBorders>
            <w:shd w:val="clear" w:color="auto" w:fill="auto"/>
            <w:vAlign w:val="center"/>
            <w:hideMark/>
          </w:tcPr>
          <w:p w14:paraId="2E9139DC" w14:textId="77777777" w:rsidR="00EE7C52" w:rsidRPr="00EE7C52" w:rsidRDefault="00EE7C52" w:rsidP="00EE7C52">
            <w:pPr>
              <w:jc w:val="center"/>
              <w:rPr>
                <w:rFonts w:cs="Arial"/>
                <w:color w:val="000000"/>
                <w:sz w:val="20"/>
                <w:szCs w:val="20"/>
                <w:lang w:val="en-US" w:eastAsia="en-US"/>
              </w:rPr>
            </w:pPr>
            <w:r w:rsidRPr="00EE7C52">
              <w:rPr>
                <w:rFonts w:cs="Arial"/>
                <w:color w:val="000000"/>
                <w:sz w:val="20"/>
                <w:szCs w:val="20"/>
                <w:lang w:val="en-US" w:eastAsia="en-US"/>
              </w:rPr>
              <w:t>6 (5-8) yrs</w:t>
            </w:r>
          </w:p>
        </w:tc>
        <w:tc>
          <w:tcPr>
            <w:tcW w:w="520" w:type="dxa"/>
            <w:tcBorders>
              <w:top w:val="nil"/>
              <w:left w:val="nil"/>
              <w:bottom w:val="single" w:sz="4" w:space="0" w:color="auto"/>
              <w:right w:val="single" w:sz="4" w:space="0" w:color="auto"/>
            </w:tcBorders>
            <w:shd w:val="clear" w:color="auto" w:fill="auto"/>
            <w:vAlign w:val="center"/>
            <w:hideMark/>
          </w:tcPr>
          <w:p w14:paraId="14657A8D" w14:textId="77777777" w:rsidR="00EE7C52" w:rsidRPr="00EE7C52" w:rsidRDefault="00EE7C52" w:rsidP="00EE7C52">
            <w:pPr>
              <w:jc w:val="center"/>
              <w:rPr>
                <w:rFonts w:cs="Arial"/>
                <w:color w:val="000000"/>
                <w:sz w:val="20"/>
                <w:szCs w:val="20"/>
                <w:lang w:val="en-US" w:eastAsia="en-US"/>
              </w:rPr>
            </w:pPr>
            <w:r w:rsidRPr="00EE7C52">
              <w:rPr>
                <w:rFonts w:cs="Arial"/>
                <w:color w:val="000000"/>
                <w:sz w:val="20"/>
                <w:szCs w:val="20"/>
                <w:lang w:val="en-US" w:eastAsia="en-US"/>
              </w:rPr>
              <w:t>100</w:t>
            </w:r>
          </w:p>
        </w:tc>
        <w:tc>
          <w:tcPr>
            <w:tcW w:w="880" w:type="dxa"/>
            <w:tcBorders>
              <w:top w:val="nil"/>
              <w:left w:val="nil"/>
              <w:bottom w:val="single" w:sz="4" w:space="0" w:color="auto"/>
              <w:right w:val="single" w:sz="4" w:space="0" w:color="auto"/>
            </w:tcBorders>
            <w:shd w:val="clear" w:color="auto" w:fill="auto"/>
            <w:vAlign w:val="center"/>
            <w:hideMark/>
          </w:tcPr>
          <w:p w14:paraId="141B2D98" w14:textId="77777777" w:rsidR="00EE7C52" w:rsidRPr="00EE7C52" w:rsidRDefault="00EE7C52" w:rsidP="00EE7C52">
            <w:pPr>
              <w:jc w:val="center"/>
              <w:rPr>
                <w:rFonts w:cs="Arial"/>
                <w:color w:val="000000"/>
                <w:sz w:val="20"/>
                <w:szCs w:val="20"/>
                <w:lang w:val="en-US" w:eastAsia="en-US"/>
              </w:rPr>
            </w:pPr>
            <w:r w:rsidRPr="00EE7C52">
              <w:rPr>
                <w:rFonts w:cs="Arial"/>
                <w:color w:val="000000"/>
                <w:sz w:val="20"/>
                <w:szCs w:val="20"/>
                <w:lang w:val="en-US" w:eastAsia="en-US"/>
              </w:rPr>
              <w:t>15</w:t>
            </w:r>
          </w:p>
        </w:tc>
        <w:tc>
          <w:tcPr>
            <w:tcW w:w="1320" w:type="dxa"/>
            <w:tcBorders>
              <w:top w:val="nil"/>
              <w:left w:val="nil"/>
              <w:bottom w:val="single" w:sz="4" w:space="0" w:color="auto"/>
              <w:right w:val="single" w:sz="4" w:space="0" w:color="auto"/>
            </w:tcBorders>
            <w:shd w:val="clear" w:color="auto" w:fill="auto"/>
            <w:vAlign w:val="center"/>
            <w:hideMark/>
          </w:tcPr>
          <w:p w14:paraId="71B0E6CC" w14:textId="77777777" w:rsidR="00EE7C52" w:rsidRPr="00EE7C52" w:rsidRDefault="00EE7C52" w:rsidP="00EE7C52">
            <w:pPr>
              <w:jc w:val="center"/>
              <w:rPr>
                <w:rFonts w:cs="Arial"/>
                <w:color w:val="000000"/>
                <w:sz w:val="20"/>
                <w:szCs w:val="20"/>
                <w:lang w:val="en-US" w:eastAsia="en-US"/>
              </w:rPr>
            </w:pPr>
            <w:r w:rsidRPr="00EE7C52">
              <w:rPr>
                <w:rFonts w:cs="Arial"/>
                <w:color w:val="000000"/>
                <w:sz w:val="20"/>
                <w:szCs w:val="20"/>
                <w:lang w:val="en-US" w:eastAsia="en-US"/>
              </w:rPr>
              <w:t>0,15</w:t>
            </w:r>
          </w:p>
        </w:tc>
        <w:tc>
          <w:tcPr>
            <w:tcW w:w="1760" w:type="dxa"/>
            <w:tcBorders>
              <w:top w:val="nil"/>
              <w:left w:val="nil"/>
              <w:bottom w:val="single" w:sz="4" w:space="0" w:color="auto"/>
              <w:right w:val="single" w:sz="8" w:space="0" w:color="auto"/>
            </w:tcBorders>
            <w:shd w:val="clear" w:color="auto" w:fill="auto"/>
            <w:vAlign w:val="center"/>
            <w:hideMark/>
          </w:tcPr>
          <w:p w14:paraId="2A93245C" w14:textId="77777777" w:rsidR="00EE7C52" w:rsidRPr="00EE7C52" w:rsidRDefault="00EE7C52" w:rsidP="00EE7C52">
            <w:pPr>
              <w:jc w:val="center"/>
              <w:rPr>
                <w:rFonts w:cs="Arial"/>
                <w:color w:val="000000"/>
                <w:sz w:val="20"/>
                <w:szCs w:val="20"/>
                <w:lang w:val="en-US" w:eastAsia="en-US"/>
              </w:rPr>
            </w:pPr>
            <w:r w:rsidRPr="00EE7C52">
              <w:rPr>
                <w:rFonts w:cs="Arial"/>
                <w:color w:val="000000"/>
                <w:sz w:val="20"/>
                <w:szCs w:val="20"/>
                <w:lang w:val="en-US" w:eastAsia="en-US"/>
              </w:rPr>
              <w:t>0,01354</w:t>
            </w:r>
          </w:p>
        </w:tc>
      </w:tr>
      <w:tr w:rsidR="00EE7C52" w:rsidRPr="00EE7C52" w14:paraId="324DBCBE" w14:textId="77777777" w:rsidTr="00E01546">
        <w:trPr>
          <w:trHeight w:val="630"/>
          <w:jc w:val="center"/>
        </w:trPr>
        <w:tc>
          <w:tcPr>
            <w:tcW w:w="1600" w:type="dxa"/>
            <w:tcBorders>
              <w:top w:val="nil"/>
              <w:left w:val="single" w:sz="8" w:space="0" w:color="auto"/>
              <w:bottom w:val="single" w:sz="4" w:space="0" w:color="auto"/>
              <w:right w:val="single" w:sz="4" w:space="0" w:color="auto"/>
            </w:tcBorders>
            <w:shd w:val="clear" w:color="auto" w:fill="auto"/>
            <w:noWrap/>
            <w:vAlign w:val="center"/>
            <w:hideMark/>
          </w:tcPr>
          <w:p w14:paraId="50C131A7" w14:textId="77777777" w:rsidR="00EE7C52" w:rsidRPr="00EE7C52" w:rsidRDefault="00EE7C52" w:rsidP="00EE7C52">
            <w:pPr>
              <w:rPr>
                <w:rFonts w:cs="Arial"/>
                <w:color w:val="000000"/>
                <w:sz w:val="20"/>
                <w:szCs w:val="20"/>
                <w:lang w:val="en-US" w:eastAsia="en-US"/>
              </w:rPr>
            </w:pPr>
            <w:r w:rsidRPr="00EE7C52">
              <w:rPr>
                <w:rFonts w:cs="Arial"/>
                <w:color w:val="000000"/>
                <w:sz w:val="20"/>
                <w:szCs w:val="20"/>
                <w:lang w:val="en-US" w:eastAsia="en-US"/>
              </w:rPr>
              <w:t>Luetje 2010</w:t>
            </w:r>
          </w:p>
        </w:tc>
        <w:tc>
          <w:tcPr>
            <w:tcW w:w="1000" w:type="dxa"/>
            <w:tcBorders>
              <w:top w:val="nil"/>
              <w:left w:val="nil"/>
              <w:bottom w:val="single" w:sz="4" w:space="0" w:color="auto"/>
              <w:right w:val="single" w:sz="4" w:space="0" w:color="auto"/>
            </w:tcBorders>
            <w:shd w:val="clear" w:color="auto" w:fill="auto"/>
            <w:vAlign w:val="center"/>
            <w:hideMark/>
          </w:tcPr>
          <w:p w14:paraId="1E9AB201" w14:textId="77777777" w:rsidR="00EE7C52" w:rsidRPr="00EE7C52" w:rsidRDefault="00EE7C52" w:rsidP="00EE7C52">
            <w:pPr>
              <w:jc w:val="center"/>
              <w:rPr>
                <w:rFonts w:cs="Arial"/>
                <w:color w:val="000000"/>
                <w:sz w:val="20"/>
                <w:szCs w:val="20"/>
                <w:lang w:val="en-US" w:eastAsia="en-US"/>
              </w:rPr>
            </w:pPr>
            <w:r w:rsidRPr="00EE7C52">
              <w:rPr>
                <w:rFonts w:cs="Arial"/>
                <w:color w:val="000000"/>
                <w:sz w:val="20"/>
                <w:szCs w:val="20"/>
                <w:lang w:val="en-US" w:eastAsia="en-US"/>
              </w:rPr>
              <w:t>7,3 (1-11) yrs</w:t>
            </w:r>
          </w:p>
        </w:tc>
        <w:tc>
          <w:tcPr>
            <w:tcW w:w="520" w:type="dxa"/>
            <w:tcBorders>
              <w:top w:val="nil"/>
              <w:left w:val="nil"/>
              <w:bottom w:val="single" w:sz="4" w:space="0" w:color="auto"/>
              <w:right w:val="single" w:sz="4" w:space="0" w:color="auto"/>
            </w:tcBorders>
            <w:shd w:val="clear" w:color="auto" w:fill="auto"/>
            <w:vAlign w:val="center"/>
            <w:hideMark/>
          </w:tcPr>
          <w:p w14:paraId="2FAB9E24" w14:textId="77777777" w:rsidR="00EE7C52" w:rsidRPr="00EE7C52" w:rsidRDefault="00EE7C52" w:rsidP="00EE7C52">
            <w:pPr>
              <w:jc w:val="center"/>
              <w:rPr>
                <w:rFonts w:cs="Arial"/>
                <w:color w:val="000000"/>
                <w:sz w:val="20"/>
                <w:szCs w:val="20"/>
                <w:lang w:val="en-US" w:eastAsia="en-US"/>
              </w:rPr>
            </w:pPr>
            <w:r w:rsidRPr="00EE7C52">
              <w:rPr>
                <w:rFonts w:cs="Arial"/>
                <w:color w:val="000000"/>
                <w:sz w:val="20"/>
                <w:szCs w:val="20"/>
                <w:lang w:val="en-US" w:eastAsia="en-US"/>
              </w:rPr>
              <w:t>34</w:t>
            </w:r>
          </w:p>
        </w:tc>
        <w:tc>
          <w:tcPr>
            <w:tcW w:w="880" w:type="dxa"/>
            <w:tcBorders>
              <w:top w:val="nil"/>
              <w:left w:val="nil"/>
              <w:bottom w:val="single" w:sz="4" w:space="0" w:color="auto"/>
              <w:right w:val="single" w:sz="4" w:space="0" w:color="auto"/>
            </w:tcBorders>
            <w:shd w:val="clear" w:color="auto" w:fill="auto"/>
            <w:vAlign w:val="center"/>
            <w:hideMark/>
          </w:tcPr>
          <w:p w14:paraId="65DE9362" w14:textId="77777777" w:rsidR="00EE7C52" w:rsidRPr="00EE7C52" w:rsidRDefault="00EE7C52" w:rsidP="00EE7C52">
            <w:pPr>
              <w:jc w:val="center"/>
              <w:rPr>
                <w:rFonts w:cs="Arial"/>
                <w:color w:val="000000"/>
                <w:sz w:val="20"/>
                <w:szCs w:val="20"/>
                <w:lang w:val="en-US" w:eastAsia="en-US"/>
              </w:rPr>
            </w:pPr>
            <w:r w:rsidRPr="00EE7C52">
              <w:rPr>
                <w:rFonts w:cs="Arial"/>
                <w:color w:val="000000"/>
                <w:sz w:val="20"/>
                <w:szCs w:val="20"/>
                <w:lang w:val="en-US" w:eastAsia="en-US"/>
              </w:rPr>
              <w:t>9</w:t>
            </w:r>
          </w:p>
        </w:tc>
        <w:tc>
          <w:tcPr>
            <w:tcW w:w="1320" w:type="dxa"/>
            <w:tcBorders>
              <w:top w:val="nil"/>
              <w:left w:val="nil"/>
              <w:bottom w:val="single" w:sz="4" w:space="0" w:color="auto"/>
              <w:right w:val="single" w:sz="4" w:space="0" w:color="auto"/>
            </w:tcBorders>
            <w:shd w:val="clear" w:color="auto" w:fill="auto"/>
            <w:vAlign w:val="center"/>
            <w:hideMark/>
          </w:tcPr>
          <w:p w14:paraId="26C8FB4F" w14:textId="77777777" w:rsidR="00EE7C52" w:rsidRPr="00EE7C52" w:rsidRDefault="00EE7C52" w:rsidP="00EE7C52">
            <w:pPr>
              <w:jc w:val="center"/>
              <w:rPr>
                <w:rFonts w:cs="Arial"/>
                <w:color w:val="000000"/>
                <w:sz w:val="20"/>
                <w:szCs w:val="20"/>
                <w:lang w:val="en-US" w:eastAsia="en-US"/>
              </w:rPr>
            </w:pPr>
            <w:r w:rsidRPr="00EE7C52">
              <w:rPr>
                <w:rFonts w:cs="Arial"/>
                <w:color w:val="000000"/>
                <w:sz w:val="20"/>
                <w:szCs w:val="20"/>
                <w:lang w:val="en-US" w:eastAsia="en-US"/>
              </w:rPr>
              <w:t>0,26471</w:t>
            </w:r>
          </w:p>
        </w:tc>
        <w:tc>
          <w:tcPr>
            <w:tcW w:w="1760" w:type="dxa"/>
            <w:tcBorders>
              <w:top w:val="nil"/>
              <w:left w:val="nil"/>
              <w:bottom w:val="single" w:sz="4" w:space="0" w:color="auto"/>
              <w:right w:val="single" w:sz="8" w:space="0" w:color="auto"/>
            </w:tcBorders>
            <w:shd w:val="clear" w:color="auto" w:fill="auto"/>
            <w:vAlign w:val="center"/>
            <w:hideMark/>
          </w:tcPr>
          <w:p w14:paraId="075DBDF9" w14:textId="77777777" w:rsidR="00EE7C52" w:rsidRPr="00EE7C52" w:rsidRDefault="00EE7C52" w:rsidP="00EE7C52">
            <w:pPr>
              <w:jc w:val="center"/>
              <w:rPr>
                <w:rFonts w:cs="Arial"/>
                <w:color w:val="000000"/>
                <w:sz w:val="20"/>
                <w:szCs w:val="20"/>
                <w:lang w:val="en-US" w:eastAsia="en-US"/>
              </w:rPr>
            </w:pPr>
            <w:r w:rsidRPr="00EE7C52">
              <w:rPr>
                <w:rFonts w:cs="Arial"/>
                <w:color w:val="000000"/>
                <w:sz w:val="20"/>
                <w:szCs w:val="20"/>
                <w:lang w:val="en-US" w:eastAsia="en-US"/>
              </w:rPr>
              <w:t>0,02106</w:t>
            </w:r>
          </w:p>
        </w:tc>
      </w:tr>
      <w:tr w:rsidR="00EE7C52" w:rsidRPr="00EE7C52" w14:paraId="42D80E75" w14:textId="77777777" w:rsidTr="00E01546">
        <w:trPr>
          <w:trHeight w:val="300"/>
          <w:jc w:val="center"/>
        </w:trPr>
        <w:tc>
          <w:tcPr>
            <w:tcW w:w="7080"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6B4EA335" w14:textId="77777777" w:rsidR="00EE7C52" w:rsidRPr="00EE7C52" w:rsidRDefault="00EE7C52" w:rsidP="00EE7C52">
            <w:pPr>
              <w:rPr>
                <w:rFonts w:cs="Arial"/>
                <w:b/>
                <w:bCs/>
                <w:color w:val="000000"/>
                <w:lang w:val="en-US" w:eastAsia="en-US"/>
              </w:rPr>
            </w:pPr>
            <w:r w:rsidRPr="00EE7C52">
              <w:rPr>
                <w:rFonts w:cs="Arial"/>
                <w:b/>
                <w:bCs/>
                <w:color w:val="000000"/>
                <w:lang w:val="en-US" w:eastAsia="en-US"/>
              </w:rPr>
              <w:t>SOUNDTEC</w:t>
            </w:r>
          </w:p>
        </w:tc>
      </w:tr>
      <w:tr w:rsidR="00EE7C52" w:rsidRPr="00EE7C52" w14:paraId="50ACC45F" w14:textId="77777777" w:rsidTr="00E01546">
        <w:trPr>
          <w:trHeight w:val="675"/>
          <w:jc w:val="center"/>
        </w:trPr>
        <w:tc>
          <w:tcPr>
            <w:tcW w:w="1600" w:type="dxa"/>
            <w:tcBorders>
              <w:top w:val="nil"/>
              <w:left w:val="single" w:sz="8" w:space="0" w:color="auto"/>
              <w:bottom w:val="single" w:sz="8" w:space="0" w:color="auto"/>
              <w:right w:val="single" w:sz="4" w:space="0" w:color="auto"/>
            </w:tcBorders>
            <w:shd w:val="clear" w:color="auto" w:fill="auto"/>
            <w:vAlign w:val="center"/>
            <w:hideMark/>
          </w:tcPr>
          <w:p w14:paraId="75AF6F0D" w14:textId="77777777" w:rsidR="00EE7C52" w:rsidRPr="00EE7C52" w:rsidRDefault="00EE7C52" w:rsidP="00EE7C52">
            <w:pPr>
              <w:rPr>
                <w:rFonts w:cs="Arial"/>
                <w:color w:val="000000"/>
                <w:sz w:val="20"/>
                <w:szCs w:val="20"/>
                <w:lang w:val="en-US" w:eastAsia="en-US"/>
              </w:rPr>
            </w:pPr>
            <w:r w:rsidRPr="00EE7C52">
              <w:rPr>
                <w:rFonts w:cs="Arial"/>
                <w:color w:val="000000"/>
                <w:sz w:val="20"/>
                <w:szCs w:val="20"/>
                <w:lang w:val="en-US" w:eastAsia="en-US"/>
              </w:rPr>
              <w:t>Silverstein 2005</w:t>
            </w:r>
          </w:p>
        </w:tc>
        <w:tc>
          <w:tcPr>
            <w:tcW w:w="1000" w:type="dxa"/>
            <w:tcBorders>
              <w:top w:val="nil"/>
              <w:left w:val="nil"/>
              <w:bottom w:val="single" w:sz="8" w:space="0" w:color="auto"/>
              <w:right w:val="single" w:sz="4" w:space="0" w:color="auto"/>
            </w:tcBorders>
            <w:shd w:val="clear" w:color="auto" w:fill="auto"/>
            <w:noWrap/>
            <w:vAlign w:val="center"/>
            <w:hideMark/>
          </w:tcPr>
          <w:p w14:paraId="664429AD" w14:textId="77777777" w:rsidR="00EE7C52" w:rsidRPr="00EE7C52" w:rsidRDefault="00EE7C52" w:rsidP="00EE7C52">
            <w:pPr>
              <w:jc w:val="center"/>
              <w:rPr>
                <w:rFonts w:cs="Arial"/>
                <w:color w:val="000000"/>
                <w:sz w:val="20"/>
                <w:szCs w:val="20"/>
                <w:lang w:val="en-US" w:eastAsia="en-US"/>
              </w:rPr>
            </w:pPr>
            <w:r w:rsidRPr="00EE7C52">
              <w:rPr>
                <w:rFonts w:cs="Arial"/>
                <w:color w:val="000000"/>
                <w:sz w:val="20"/>
                <w:szCs w:val="20"/>
                <w:lang w:val="en-US" w:eastAsia="en-US"/>
              </w:rPr>
              <w:t>3 mo</w:t>
            </w:r>
          </w:p>
        </w:tc>
        <w:tc>
          <w:tcPr>
            <w:tcW w:w="520" w:type="dxa"/>
            <w:tcBorders>
              <w:top w:val="nil"/>
              <w:left w:val="nil"/>
              <w:bottom w:val="single" w:sz="8" w:space="0" w:color="auto"/>
              <w:right w:val="single" w:sz="4" w:space="0" w:color="auto"/>
            </w:tcBorders>
            <w:shd w:val="clear" w:color="auto" w:fill="auto"/>
            <w:noWrap/>
            <w:vAlign w:val="center"/>
            <w:hideMark/>
          </w:tcPr>
          <w:p w14:paraId="5FFFB7AC" w14:textId="77777777" w:rsidR="00EE7C52" w:rsidRPr="00EE7C52" w:rsidRDefault="00EE7C52" w:rsidP="00EE7C52">
            <w:pPr>
              <w:jc w:val="center"/>
              <w:rPr>
                <w:rFonts w:cs="Arial"/>
                <w:color w:val="000000"/>
                <w:sz w:val="20"/>
                <w:szCs w:val="20"/>
                <w:lang w:val="en-US" w:eastAsia="en-US"/>
              </w:rPr>
            </w:pPr>
            <w:r w:rsidRPr="00EE7C52">
              <w:rPr>
                <w:rFonts w:cs="Arial"/>
                <w:color w:val="000000"/>
                <w:sz w:val="20"/>
                <w:szCs w:val="20"/>
                <w:lang w:val="en-US" w:eastAsia="en-US"/>
              </w:rPr>
              <w:t>64</w:t>
            </w:r>
          </w:p>
        </w:tc>
        <w:tc>
          <w:tcPr>
            <w:tcW w:w="880" w:type="dxa"/>
            <w:tcBorders>
              <w:top w:val="nil"/>
              <w:left w:val="nil"/>
              <w:bottom w:val="single" w:sz="8" w:space="0" w:color="auto"/>
              <w:right w:val="single" w:sz="4" w:space="0" w:color="auto"/>
            </w:tcBorders>
            <w:shd w:val="clear" w:color="auto" w:fill="auto"/>
            <w:noWrap/>
            <w:vAlign w:val="center"/>
            <w:hideMark/>
          </w:tcPr>
          <w:p w14:paraId="70363BEA" w14:textId="77777777" w:rsidR="00EE7C52" w:rsidRPr="00EE7C52" w:rsidRDefault="00EE7C52" w:rsidP="00EE7C52">
            <w:pPr>
              <w:jc w:val="center"/>
              <w:rPr>
                <w:rFonts w:cs="Arial"/>
                <w:color w:val="000000"/>
                <w:sz w:val="20"/>
                <w:szCs w:val="20"/>
                <w:lang w:val="en-US" w:eastAsia="en-US"/>
              </w:rPr>
            </w:pPr>
            <w:r w:rsidRPr="00EE7C52">
              <w:rPr>
                <w:rFonts w:cs="Arial"/>
                <w:color w:val="000000"/>
                <w:sz w:val="20"/>
                <w:szCs w:val="20"/>
                <w:lang w:val="en-US" w:eastAsia="en-US"/>
              </w:rPr>
              <w:t>4</w:t>
            </w:r>
          </w:p>
        </w:tc>
        <w:tc>
          <w:tcPr>
            <w:tcW w:w="1320" w:type="dxa"/>
            <w:tcBorders>
              <w:top w:val="nil"/>
              <w:left w:val="nil"/>
              <w:bottom w:val="single" w:sz="8" w:space="0" w:color="auto"/>
              <w:right w:val="single" w:sz="4" w:space="0" w:color="auto"/>
            </w:tcBorders>
            <w:shd w:val="clear" w:color="auto" w:fill="auto"/>
            <w:noWrap/>
            <w:vAlign w:val="center"/>
            <w:hideMark/>
          </w:tcPr>
          <w:p w14:paraId="6BA57891" w14:textId="77777777" w:rsidR="00EE7C52" w:rsidRPr="00EE7C52" w:rsidRDefault="00EE7C52" w:rsidP="00EE7C52">
            <w:pPr>
              <w:jc w:val="center"/>
              <w:rPr>
                <w:rFonts w:cs="Arial"/>
                <w:color w:val="000000"/>
                <w:sz w:val="20"/>
                <w:szCs w:val="20"/>
                <w:lang w:val="en-US" w:eastAsia="en-US"/>
              </w:rPr>
            </w:pPr>
            <w:r w:rsidRPr="00EE7C52">
              <w:rPr>
                <w:rFonts w:cs="Arial"/>
                <w:color w:val="000000"/>
                <w:sz w:val="20"/>
                <w:szCs w:val="20"/>
                <w:lang w:val="en-US" w:eastAsia="en-US"/>
              </w:rPr>
              <w:t>0,0625</w:t>
            </w:r>
          </w:p>
        </w:tc>
        <w:tc>
          <w:tcPr>
            <w:tcW w:w="1760" w:type="dxa"/>
            <w:tcBorders>
              <w:top w:val="nil"/>
              <w:left w:val="nil"/>
              <w:bottom w:val="single" w:sz="8" w:space="0" w:color="auto"/>
              <w:right w:val="single" w:sz="8" w:space="0" w:color="auto"/>
            </w:tcBorders>
            <w:shd w:val="clear" w:color="auto" w:fill="auto"/>
            <w:noWrap/>
            <w:vAlign w:val="center"/>
            <w:hideMark/>
          </w:tcPr>
          <w:p w14:paraId="460F368E" w14:textId="77777777" w:rsidR="00EE7C52" w:rsidRPr="00EE7C52" w:rsidRDefault="00EE7C52" w:rsidP="00EE7C52">
            <w:pPr>
              <w:jc w:val="center"/>
              <w:rPr>
                <w:rFonts w:cs="Arial"/>
                <w:color w:val="000000"/>
                <w:sz w:val="20"/>
                <w:szCs w:val="20"/>
                <w:lang w:val="en-US" w:eastAsia="en-US"/>
              </w:rPr>
            </w:pPr>
            <w:r w:rsidRPr="00EE7C52">
              <w:rPr>
                <w:rFonts w:cs="Arial"/>
                <w:color w:val="000000"/>
                <w:sz w:val="20"/>
                <w:szCs w:val="20"/>
                <w:lang w:val="en-US" w:eastAsia="en-US"/>
              </w:rPr>
              <w:t>0,129077042</w:t>
            </w:r>
          </w:p>
        </w:tc>
      </w:tr>
    </w:tbl>
    <w:p w14:paraId="0EF641BD" w14:textId="77777777" w:rsidR="009A114F" w:rsidRPr="009A114F" w:rsidRDefault="009A114F" w:rsidP="009A114F">
      <w:pPr>
        <w:spacing w:line="360" w:lineRule="auto"/>
        <w:jc w:val="both"/>
      </w:pPr>
    </w:p>
    <w:p w14:paraId="18449F3E" w14:textId="77777777" w:rsidR="00FB2D1A" w:rsidRPr="00932A48" w:rsidRDefault="00FB2D1A" w:rsidP="00FB2D1A">
      <w:pPr>
        <w:pStyle w:val="Heading4"/>
        <w:spacing w:line="360" w:lineRule="auto"/>
        <w:ind w:left="864" w:hanging="864"/>
        <w:jc w:val="both"/>
        <w:rPr>
          <w:rFonts w:cs="Arial"/>
          <w:lang w:val="en-GB"/>
        </w:rPr>
      </w:pPr>
      <w:r w:rsidRPr="00932A48">
        <w:rPr>
          <w:rFonts w:cs="Arial"/>
          <w:lang w:val="en-GB"/>
        </w:rPr>
        <w:t>All-cause mortality</w:t>
      </w:r>
    </w:p>
    <w:p w14:paraId="1B9DCE1D" w14:textId="77777777" w:rsidR="00FB2D1A" w:rsidRPr="00932A48" w:rsidRDefault="00FB2D1A" w:rsidP="00FB2D1A">
      <w:pPr>
        <w:spacing w:line="360" w:lineRule="auto"/>
        <w:jc w:val="both"/>
        <w:rPr>
          <w:rFonts w:cs="Arial"/>
          <w:lang w:val="en-GB"/>
        </w:rPr>
      </w:pPr>
      <w:r w:rsidRPr="00932A48">
        <w:rPr>
          <w:rFonts w:cs="Arial"/>
          <w:lang w:val="en-GB"/>
        </w:rPr>
        <w:t>The most recent life tables made available by the Australian Bureau of Statistics (ABS) were used in the model to estimate the number of people dependent on age that dies in each cycle of the model. Gender-dependent mortality rates were combined and linear interpolation was implemented in the TreeAge table to generate values for each cycle.</w:t>
      </w:r>
    </w:p>
    <w:p w14:paraId="0FF8F80B" w14:textId="77777777" w:rsidR="009A114F" w:rsidRPr="00FB2D1A" w:rsidRDefault="009A114F" w:rsidP="00FB2D1A">
      <w:pPr>
        <w:spacing w:line="360" w:lineRule="auto"/>
        <w:jc w:val="both"/>
        <w:rPr>
          <w:lang w:val="en-GB"/>
        </w:rPr>
      </w:pPr>
    </w:p>
    <w:p w14:paraId="5D5078BD" w14:textId="77777777" w:rsidR="000F397B" w:rsidRPr="009A1A2E" w:rsidRDefault="00B55968" w:rsidP="004D1FF6">
      <w:pPr>
        <w:pStyle w:val="Heading30"/>
        <w:rPr>
          <w:lang w:val="en-AU"/>
        </w:rPr>
      </w:pPr>
      <w:bookmarkStart w:id="542" w:name="_Toc431917597"/>
      <w:r>
        <w:rPr>
          <w:lang w:val="en-AU"/>
        </w:rPr>
        <w:t>D.4</w:t>
      </w:r>
      <w:r w:rsidR="000F397B" w:rsidRPr="009A1A2E">
        <w:rPr>
          <w:lang w:val="en-AU"/>
        </w:rPr>
        <w:t>.2</w:t>
      </w:r>
      <w:r w:rsidR="000F397B" w:rsidRPr="009A1A2E">
        <w:rPr>
          <w:lang w:val="en-AU"/>
        </w:rPr>
        <w:tab/>
      </w:r>
      <w:bookmarkEnd w:id="537"/>
      <w:r w:rsidR="00FB2D1A">
        <w:rPr>
          <w:lang w:val="en-AU"/>
        </w:rPr>
        <w:t>Direct health-care resources</w:t>
      </w:r>
      <w:bookmarkEnd w:id="542"/>
    </w:p>
    <w:p w14:paraId="7334D415" w14:textId="77777777" w:rsidR="00FB2D1A" w:rsidRDefault="00FB2D1A" w:rsidP="00FB2D1A">
      <w:pPr>
        <w:spacing w:line="360" w:lineRule="auto"/>
        <w:jc w:val="both"/>
        <w:rPr>
          <w:rFonts w:cs="Arial"/>
          <w:lang w:val="en-GB"/>
        </w:rPr>
      </w:pPr>
      <w:r w:rsidRPr="00932A48">
        <w:rPr>
          <w:rFonts w:cs="Arial"/>
          <w:lang w:val="en-GB"/>
        </w:rPr>
        <w:t>The costs associated with the Vibrant Soundbridge implant system were sought directly from the manufacturer (MED-EL Australasia). Costs for the VSB middle ear implant can be divided into the implant and proc</w:t>
      </w:r>
      <w:r w:rsidR="003A1933">
        <w:rPr>
          <w:rFonts w:cs="Arial"/>
          <w:lang w:val="en-GB"/>
        </w:rPr>
        <w:t xml:space="preserve">essor costs which sum </w:t>
      </w:r>
      <w:r w:rsidR="003A1933" w:rsidRPr="00AD5624">
        <w:rPr>
          <w:rFonts w:cs="Arial"/>
          <w:lang w:val="en-GB"/>
        </w:rPr>
        <w:t>to AUD 13</w:t>
      </w:r>
      <w:r w:rsidR="00AD5624" w:rsidRPr="00AD5624">
        <w:rPr>
          <w:rFonts w:cs="Arial"/>
          <w:lang w:val="en-GB"/>
        </w:rPr>
        <w:t>.</w:t>
      </w:r>
      <w:r w:rsidRPr="00AD5624">
        <w:rPr>
          <w:rFonts w:cs="Arial"/>
          <w:lang w:val="en-GB"/>
        </w:rPr>
        <w:t>970,</w:t>
      </w:r>
      <w:r w:rsidRPr="00932A48">
        <w:rPr>
          <w:rFonts w:cs="Arial"/>
          <w:lang w:val="en-GB"/>
        </w:rPr>
        <w:t xml:space="preserve"> and the procedural costs which can be further separated into pre-operational, operational and post-operational costs for the Australian population were retrieved mostly from the Medicare Benefits Schedule. All costs and resources are described in detail below.</w:t>
      </w:r>
    </w:p>
    <w:p w14:paraId="4CB91946" w14:textId="77777777" w:rsidR="00924350" w:rsidRPr="00932A48" w:rsidRDefault="00924350" w:rsidP="00FB2D1A">
      <w:pPr>
        <w:spacing w:line="360" w:lineRule="auto"/>
        <w:jc w:val="both"/>
        <w:rPr>
          <w:rFonts w:cs="Arial"/>
          <w:lang w:val="en-GB"/>
        </w:rPr>
      </w:pPr>
    </w:p>
    <w:p w14:paraId="740B5EC7" w14:textId="77777777" w:rsidR="00924350" w:rsidRPr="00932A48" w:rsidRDefault="00924350" w:rsidP="00924350">
      <w:pPr>
        <w:pStyle w:val="Heading4"/>
        <w:spacing w:line="360" w:lineRule="auto"/>
        <w:ind w:left="864" w:hanging="864"/>
        <w:jc w:val="both"/>
        <w:rPr>
          <w:rFonts w:cs="Arial"/>
          <w:lang w:val="en-GB"/>
        </w:rPr>
      </w:pPr>
      <w:r w:rsidRPr="00932A48">
        <w:rPr>
          <w:rFonts w:cs="Arial"/>
          <w:lang w:val="en-GB"/>
        </w:rPr>
        <w:t>Pre-operational costs</w:t>
      </w:r>
    </w:p>
    <w:p w14:paraId="733FFC04" w14:textId="77777777" w:rsidR="00924350" w:rsidRPr="00932A48" w:rsidRDefault="00924350" w:rsidP="00924350">
      <w:pPr>
        <w:spacing w:line="360" w:lineRule="auto"/>
        <w:jc w:val="both"/>
        <w:rPr>
          <w:rFonts w:cs="Arial"/>
          <w:lang w:val="en-GB"/>
        </w:rPr>
      </w:pPr>
      <w:r w:rsidRPr="00932A48">
        <w:rPr>
          <w:rFonts w:cs="Arial"/>
          <w:lang w:val="en-GB"/>
        </w:rPr>
        <w:t>Individuals suspected of having a hearing loss are referred for a full audiometric evaluation of their hearing by an audiologist. This includes an examination of the outer and middle ear (impedance audiometry), determination of the type and degree of hearing loss (pure tone audiometry) and speech perception. There may also be an assessment of potential hearing aid use. The cost of audiological assessment according to the identifi</w:t>
      </w:r>
      <w:r w:rsidR="003A1933">
        <w:rPr>
          <w:rFonts w:cs="Arial"/>
          <w:lang w:val="en-GB"/>
        </w:rPr>
        <w:t xml:space="preserve">ed MBS items is in </w:t>
      </w:r>
      <w:r w:rsidR="003A1933" w:rsidRPr="00AD5624">
        <w:rPr>
          <w:rFonts w:cs="Arial"/>
          <w:lang w:val="en-GB"/>
        </w:rPr>
        <w:t>total AUD 84</w:t>
      </w:r>
      <w:r w:rsidR="00AD5624" w:rsidRPr="00AD5624">
        <w:rPr>
          <w:rFonts w:cs="Arial"/>
          <w:lang w:val="en-GB"/>
        </w:rPr>
        <w:t>,</w:t>
      </w:r>
      <w:r w:rsidRPr="00AD5624">
        <w:rPr>
          <w:rFonts w:cs="Arial"/>
          <w:lang w:val="en-GB"/>
        </w:rPr>
        <w:t>75.</w:t>
      </w:r>
      <w:r w:rsidRPr="00932A48">
        <w:rPr>
          <w:rFonts w:cs="Arial"/>
          <w:lang w:val="en-GB"/>
        </w:rPr>
        <w:t xml:space="preserve"> </w:t>
      </w:r>
    </w:p>
    <w:p w14:paraId="78B40BE1" w14:textId="77777777" w:rsidR="00924350" w:rsidRPr="00932A48" w:rsidRDefault="00924350" w:rsidP="00924350">
      <w:pPr>
        <w:spacing w:line="360" w:lineRule="auto"/>
        <w:jc w:val="both"/>
        <w:rPr>
          <w:rFonts w:cs="Arial"/>
          <w:lang w:val="en-GB"/>
        </w:rPr>
      </w:pPr>
      <w:r w:rsidRPr="00932A48">
        <w:rPr>
          <w:rFonts w:cs="Arial"/>
          <w:lang w:val="en-GB"/>
        </w:rPr>
        <w:t xml:space="preserve">Those found to have a mild-to-severe sensorineural hearing loss and a pathology in the outer ear are referred on to an ENT surgeon for conservative treatment. In the case this </w:t>
      </w:r>
      <w:r w:rsidRPr="00932A48">
        <w:rPr>
          <w:rFonts w:cs="Arial"/>
          <w:lang w:val="en-GB"/>
        </w:rPr>
        <w:lastRenderedPageBreak/>
        <w:t xml:space="preserve">is unsuccessful patients are consulted by the ENT surgeon on surgical options, namely AMEI implantation. The costs for the procedure carried out </w:t>
      </w:r>
      <w:r w:rsidR="003A1933">
        <w:rPr>
          <w:rFonts w:cs="Arial"/>
          <w:lang w:val="en-GB"/>
        </w:rPr>
        <w:t>by the surgeon equal to AUD 256</w:t>
      </w:r>
      <w:r w:rsidR="00AD5624">
        <w:rPr>
          <w:rFonts w:cs="Arial"/>
          <w:lang w:val="en-GB"/>
        </w:rPr>
        <w:t>,</w:t>
      </w:r>
      <w:r w:rsidRPr="00932A48">
        <w:rPr>
          <w:rFonts w:cs="Arial"/>
          <w:lang w:val="en-GB"/>
        </w:rPr>
        <w:t>65.</w:t>
      </w:r>
    </w:p>
    <w:p w14:paraId="2E389C44" w14:textId="77777777" w:rsidR="00924350" w:rsidRPr="00932A48" w:rsidRDefault="00924350" w:rsidP="00924350">
      <w:pPr>
        <w:spacing w:line="360" w:lineRule="auto"/>
        <w:jc w:val="both"/>
        <w:rPr>
          <w:rFonts w:cs="Arial"/>
          <w:lang w:val="en-GB"/>
        </w:rPr>
      </w:pPr>
      <w:r w:rsidRPr="00C366A9">
        <w:rPr>
          <w:rFonts w:cs="Arial"/>
          <w:lang w:val="en-GB"/>
        </w:rPr>
        <w:t>Candidates are counselled and a mental assessment is made by a clinical psychologist/counsellor to understand the risks of middle ear surgery and establish realistic expectations with the impl</w:t>
      </w:r>
      <w:r w:rsidR="003A1933" w:rsidRPr="00C366A9">
        <w:rPr>
          <w:rFonts w:cs="Arial"/>
          <w:lang w:val="en-GB"/>
        </w:rPr>
        <w:t>ant system. The cost of AUD 126</w:t>
      </w:r>
      <w:r w:rsidR="00AD5624" w:rsidRPr="00C366A9">
        <w:rPr>
          <w:rFonts w:cs="Arial"/>
          <w:lang w:val="en-GB"/>
        </w:rPr>
        <w:t>,</w:t>
      </w:r>
      <w:r w:rsidRPr="00C366A9">
        <w:rPr>
          <w:rFonts w:cs="Arial"/>
          <w:lang w:val="en-GB"/>
        </w:rPr>
        <w:t>75 was obtained from the Department of Veteran Affairs (DVA) fee schedule for allied health practitioners. A good candidate is referred on to an anaesthetist for preparation for surgery at a cost of AUD 43.</w:t>
      </w:r>
      <w:r w:rsidR="0032141B" w:rsidRPr="00C366A9">
        <w:rPr>
          <w:rFonts w:cs="Arial"/>
          <w:lang w:val="en-GB"/>
        </w:rPr>
        <w:t xml:space="preserve"> </w:t>
      </w:r>
      <w:r w:rsidRPr="00C366A9">
        <w:rPr>
          <w:rFonts w:cs="Arial"/>
          <w:lang w:val="en-GB"/>
        </w:rPr>
        <w:t xml:space="preserve">All pre-operational resources together </w:t>
      </w:r>
      <w:r w:rsidR="0032141B" w:rsidRPr="00C366A9">
        <w:rPr>
          <w:rFonts w:cs="Arial"/>
          <w:lang w:val="en-GB"/>
        </w:rPr>
        <w:t>ad up to</w:t>
      </w:r>
      <w:r w:rsidR="003A1933" w:rsidRPr="00C366A9">
        <w:rPr>
          <w:rFonts w:cs="Arial"/>
          <w:lang w:val="en-GB"/>
        </w:rPr>
        <w:t xml:space="preserve"> AUD 511</w:t>
      </w:r>
      <w:r w:rsidR="00AD5624" w:rsidRPr="00C366A9">
        <w:rPr>
          <w:rFonts w:cs="Arial"/>
          <w:lang w:val="en-GB"/>
        </w:rPr>
        <w:t>,</w:t>
      </w:r>
      <w:r w:rsidRPr="00C366A9">
        <w:rPr>
          <w:rFonts w:cs="Arial"/>
          <w:lang w:val="en-GB"/>
        </w:rPr>
        <w:t>15.</w:t>
      </w:r>
    </w:p>
    <w:p w14:paraId="4CCFBB56" w14:textId="77777777" w:rsidR="00FC3D9E" w:rsidRPr="00924350" w:rsidRDefault="00FC3D9E" w:rsidP="00924350">
      <w:pPr>
        <w:pStyle w:val="Textbody"/>
        <w:rPr>
          <w:lang w:val="en-GB"/>
        </w:rPr>
      </w:pPr>
    </w:p>
    <w:p w14:paraId="5852BBE4" w14:textId="77777777" w:rsidR="0032141B" w:rsidRPr="00932A48" w:rsidRDefault="0032141B" w:rsidP="0032141B">
      <w:pPr>
        <w:pStyle w:val="Heading4"/>
        <w:spacing w:line="360" w:lineRule="auto"/>
        <w:ind w:left="864" w:hanging="864"/>
        <w:jc w:val="both"/>
        <w:rPr>
          <w:rFonts w:cs="Arial"/>
          <w:lang w:val="en-GB"/>
        </w:rPr>
      </w:pPr>
      <w:r w:rsidRPr="00932A48">
        <w:rPr>
          <w:rFonts w:cs="Arial"/>
          <w:lang w:val="en-GB"/>
        </w:rPr>
        <w:t>Operational costs</w:t>
      </w:r>
    </w:p>
    <w:p w14:paraId="78FEF803" w14:textId="77777777" w:rsidR="0032141B" w:rsidRPr="00C366A9" w:rsidRDefault="0032141B" w:rsidP="0032141B">
      <w:pPr>
        <w:spacing w:line="360" w:lineRule="auto"/>
        <w:jc w:val="both"/>
        <w:rPr>
          <w:rFonts w:cs="Arial"/>
          <w:lang w:val="en-GB"/>
        </w:rPr>
      </w:pPr>
      <w:r w:rsidRPr="00932A48">
        <w:rPr>
          <w:rFonts w:cs="Arial"/>
          <w:lang w:val="en-GB"/>
        </w:rPr>
        <w:t xml:space="preserve">It is recommended to obtain a CT scan (AUD 290) before surgery to examine patient </w:t>
      </w:r>
      <w:r w:rsidRPr="00C366A9">
        <w:rPr>
          <w:rFonts w:cs="Arial"/>
          <w:lang w:val="en-GB"/>
        </w:rPr>
        <w:t>anatomy and determine the surgical approach; and to carry out f</w:t>
      </w:r>
      <w:r w:rsidR="003A1933" w:rsidRPr="00C366A9">
        <w:rPr>
          <w:rFonts w:cs="Arial"/>
          <w:lang w:val="en-GB"/>
        </w:rPr>
        <w:t>acial nerve monitoring (AUD 149</w:t>
      </w:r>
      <w:r w:rsidR="00AD5624" w:rsidRPr="00C366A9">
        <w:rPr>
          <w:rFonts w:cs="Arial"/>
          <w:lang w:val="en-GB"/>
        </w:rPr>
        <w:t>,</w:t>
      </w:r>
      <w:r w:rsidRPr="00C366A9">
        <w:rPr>
          <w:rFonts w:cs="Arial"/>
          <w:lang w:val="en-GB"/>
        </w:rPr>
        <w:t>90) throughout the procedure to avoid surgical trauma. The anaesthetics can then be initiated and be monitored by an anaesthetist throughout the surgery. Total costs for this service equals AUD</w:t>
      </w:r>
      <w:r w:rsidR="003A1933" w:rsidRPr="00C366A9">
        <w:rPr>
          <w:rFonts w:cs="Arial"/>
          <w:lang w:val="en-GB"/>
        </w:rPr>
        <w:t xml:space="preserve"> 455</w:t>
      </w:r>
      <w:r w:rsidR="00AD5624" w:rsidRPr="00C366A9">
        <w:rPr>
          <w:rFonts w:cs="Arial"/>
          <w:lang w:val="en-GB"/>
        </w:rPr>
        <w:t>,</w:t>
      </w:r>
      <w:r w:rsidRPr="00C366A9">
        <w:rPr>
          <w:rFonts w:cs="Arial"/>
          <w:lang w:val="en-GB"/>
        </w:rPr>
        <w:t>40. The implantation procedure ov</w:t>
      </w:r>
      <w:r w:rsidR="003A1933" w:rsidRPr="00C366A9">
        <w:rPr>
          <w:rFonts w:cs="Arial"/>
          <w:lang w:val="en-GB"/>
        </w:rPr>
        <w:t>erall incurs a cost of AUD 1</w:t>
      </w:r>
      <w:r w:rsidR="00AD5624" w:rsidRPr="00C366A9">
        <w:rPr>
          <w:rFonts w:cs="Arial"/>
          <w:lang w:val="en-GB"/>
        </w:rPr>
        <w:t>.</w:t>
      </w:r>
      <w:r w:rsidR="003A1933" w:rsidRPr="00C366A9">
        <w:rPr>
          <w:rFonts w:cs="Arial"/>
          <w:lang w:val="en-GB"/>
        </w:rPr>
        <w:t>876</w:t>
      </w:r>
      <w:r w:rsidR="00AD5624" w:rsidRPr="00C366A9">
        <w:rPr>
          <w:rFonts w:cs="Arial"/>
          <w:lang w:val="en-GB"/>
        </w:rPr>
        <w:t>,</w:t>
      </w:r>
      <w:r w:rsidRPr="00C366A9">
        <w:rPr>
          <w:rFonts w:cs="Arial"/>
          <w:lang w:val="en-GB"/>
        </w:rPr>
        <w:t>95 together with</w:t>
      </w:r>
      <w:r w:rsidR="003A1933" w:rsidRPr="00C366A9">
        <w:rPr>
          <w:rFonts w:cs="Arial"/>
          <w:lang w:val="en-GB"/>
        </w:rPr>
        <w:t xml:space="preserve"> surgical assistance of AUD 375</w:t>
      </w:r>
      <w:r w:rsidR="00AD5624" w:rsidRPr="00C366A9">
        <w:rPr>
          <w:rFonts w:cs="Arial"/>
          <w:lang w:val="en-GB"/>
        </w:rPr>
        <w:t>,</w:t>
      </w:r>
      <w:r w:rsidRPr="00C366A9">
        <w:rPr>
          <w:rFonts w:cs="Arial"/>
          <w:lang w:val="en-GB"/>
        </w:rPr>
        <w:t>39. The a</w:t>
      </w:r>
      <w:r w:rsidR="003A1933" w:rsidRPr="00C366A9">
        <w:rPr>
          <w:rFonts w:cs="Arial"/>
          <w:lang w:val="en-GB"/>
        </w:rPr>
        <w:t>verage per diem cost of AUD 591</w:t>
      </w:r>
      <w:r w:rsidR="00AD5624" w:rsidRPr="00C366A9">
        <w:rPr>
          <w:rFonts w:cs="Arial"/>
          <w:lang w:val="en-GB"/>
        </w:rPr>
        <w:t>,</w:t>
      </w:r>
      <w:r w:rsidRPr="00C366A9">
        <w:rPr>
          <w:rFonts w:cs="Arial"/>
          <w:lang w:val="en-GB"/>
        </w:rPr>
        <w:t>00 for hospitalisation was derived from the AR-DRG information for DRG D01Z (version 5.1 round 12 – Private and Public) for CI assuming that a one-night hospital stay would be necessary for the VSB. All operational r</w:t>
      </w:r>
      <w:r w:rsidR="003A1933" w:rsidRPr="00C366A9">
        <w:rPr>
          <w:rFonts w:cs="Arial"/>
          <w:lang w:val="en-GB"/>
        </w:rPr>
        <w:t>esources together cost AUD 3</w:t>
      </w:r>
      <w:r w:rsidR="00AD5624" w:rsidRPr="00C366A9">
        <w:rPr>
          <w:rFonts w:cs="Arial"/>
          <w:lang w:val="en-GB"/>
        </w:rPr>
        <w:t>.</w:t>
      </w:r>
      <w:r w:rsidR="003A1933" w:rsidRPr="00C366A9">
        <w:rPr>
          <w:rFonts w:cs="Arial"/>
          <w:lang w:val="en-GB"/>
        </w:rPr>
        <w:t>738</w:t>
      </w:r>
      <w:r w:rsidR="00AD5624" w:rsidRPr="00C366A9">
        <w:rPr>
          <w:rFonts w:cs="Arial"/>
          <w:lang w:val="en-GB"/>
        </w:rPr>
        <w:t>,</w:t>
      </w:r>
      <w:r w:rsidRPr="00C366A9">
        <w:rPr>
          <w:rFonts w:cs="Arial"/>
          <w:lang w:val="en-GB"/>
        </w:rPr>
        <w:t>64.</w:t>
      </w:r>
    </w:p>
    <w:p w14:paraId="687D714A" w14:textId="77777777" w:rsidR="00FC3D9E" w:rsidRPr="00C366A9" w:rsidRDefault="00FC3D9E" w:rsidP="0032141B">
      <w:pPr>
        <w:pStyle w:val="Textbody"/>
        <w:rPr>
          <w:lang w:val="en-GB"/>
        </w:rPr>
      </w:pPr>
    </w:p>
    <w:p w14:paraId="2F701ACC" w14:textId="77777777" w:rsidR="0032141B" w:rsidRPr="00C366A9" w:rsidRDefault="0032141B" w:rsidP="0032141B">
      <w:pPr>
        <w:pStyle w:val="Heading4"/>
        <w:ind w:left="864" w:hanging="864"/>
        <w:rPr>
          <w:rFonts w:cs="Arial"/>
          <w:lang w:val="en-GB"/>
        </w:rPr>
      </w:pPr>
      <w:r w:rsidRPr="00C366A9">
        <w:rPr>
          <w:rFonts w:cs="Arial"/>
          <w:lang w:val="en-GB"/>
        </w:rPr>
        <w:t>Post-operational costs</w:t>
      </w:r>
    </w:p>
    <w:p w14:paraId="7AC0C1B2" w14:textId="77777777" w:rsidR="000F397B" w:rsidRDefault="0032141B" w:rsidP="0032141B">
      <w:pPr>
        <w:pStyle w:val="Textbody"/>
        <w:rPr>
          <w:lang w:val="en-GB"/>
        </w:rPr>
      </w:pPr>
      <w:r w:rsidRPr="00C366A9">
        <w:rPr>
          <w:lang w:val="en-GB"/>
        </w:rPr>
        <w:t>Upon completion of surgery, auditory brainstem response (ABR) measurement is c</w:t>
      </w:r>
      <w:r w:rsidR="003A1933" w:rsidRPr="00C366A9">
        <w:rPr>
          <w:lang w:val="en-GB"/>
        </w:rPr>
        <w:t>arried out at a cost of AUD 153</w:t>
      </w:r>
      <w:r w:rsidR="00AD5624" w:rsidRPr="00C366A9">
        <w:rPr>
          <w:lang w:val="en-GB"/>
        </w:rPr>
        <w:t>,</w:t>
      </w:r>
      <w:r w:rsidRPr="00C366A9">
        <w:rPr>
          <w:lang w:val="en-GB"/>
        </w:rPr>
        <w:t>95 to ensure that the middle ear is not damaged. Eight weeks after surgery, the patient returns for medical clearance and initial activation of the Audio Processor. At activation, the audio processor settings are adjusted in accordance with audiometry results and user`s perception. This process is repeated at 3 months post-activation to make any necessary changes to AP settings as people adapt to their implant system. Individuals continually wearing their AP will further be required to pay for batteries. Battery life for each of the devices depends on the individual usage. It was assumed that MEI batteries would last for seven days with a price of AUD 1</w:t>
      </w:r>
      <w:r w:rsidR="00AD5624" w:rsidRPr="00C366A9">
        <w:rPr>
          <w:lang w:val="en-GB"/>
        </w:rPr>
        <w:t>,</w:t>
      </w:r>
      <w:r w:rsidRPr="00C366A9">
        <w:rPr>
          <w:lang w:val="en-GB"/>
        </w:rPr>
        <w:t xml:space="preserve">00 per battery. All post-operational costs occurring within the first cycle of the model are listed in </w:t>
      </w:r>
      <w:r w:rsidR="00395F95" w:rsidRPr="00C366A9">
        <w:rPr>
          <w:lang w:val="en-GB"/>
        </w:rPr>
        <w:fldChar w:fldCharType="begin"/>
      </w:r>
      <w:r w:rsidR="00395F95" w:rsidRPr="00C366A9">
        <w:rPr>
          <w:lang w:val="en-GB"/>
        </w:rPr>
        <w:instrText xml:space="preserve"> REF _Ref400388402 \h </w:instrText>
      </w:r>
      <w:r w:rsidR="00C366A9">
        <w:rPr>
          <w:lang w:val="en-GB"/>
        </w:rPr>
        <w:instrText xml:space="preserve"> \* MERGEFORMAT </w:instrText>
      </w:r>
      <w:r w:rsidR="00395F95" w:rsidRPr="00C366A9">
        <w:rPr>
          <w:lang w:val="en-GB"/>
        </w:rPr>
      </w:r>
      <w:r w:rsidR="00395F95" w:rsidRPr="00C366A9">
        <w:rPr>
          <w:lang w:val="en-GB"/>
        </w:rPr>
        <w:fldChar w:fldCharType="separate"/>
      </w:r>
      <w:r w:rsidR="00016592" w:rsidRPr="00395F95">
        <w:rPr>
          <w:lang w:val="en-AU"/>
        </w:rPr>
        <w:t xml:space="preserve">Table </w:t>
      </w:r>
      <w:r w:rsidR="00016592">
        <w:rPr>
          <w:noProof/>
          <w:lang w:val="en-AU"/>
        </w:rPr>
        <w:t>37</w:t>
      </w:r>
      <w:r w:rsidR="00395F95" w:rsidRPr="00C366A9">
        <w:rPr>
          <w:lang w:val="en-GB"/>
        </w:rPr>
        <w:fldChar w:fldCharType="end"/>
      </w:r>
      <w:r w:rsidR="00395F95" w:rsidRPr="00C366A9">
        <w:rPr>
          <w:lang w:val="en-GB"/>
        </w:rPr>
        <w:t xml:space="preserve"> </w:t>
      </w:r>
      <w:r w:rsidRPr="00C366A9">
        <w:rPr>
          <w:lang w:val="en-GB"/>
        </w:rPr>
        <w:t>alongside the pre-operational and operational costs.</w:t>
      </w:r>
    </w:p>
    <w:p w14:paraId="4FD3D5B4" w14:textId="77777777" w:rsidR="00395F95" w:rsidRDefault="00395F95" w:rsidP="0032141B">
      <w:pPr>
        <w:pStyle w:val="Textbody"/>
        <w:rPr>
          <w:lang w:val="en-GB"/>
        </w:rPr>
        <w:sectPr w:rsidR="00395F95" w:rsidSect="00695C41">
          <w:footerReference w:type="default" r:id="rId63"/>
          <w:type w:val="continuous"/>
          <w:pgSz w:w="11907" w:h="16840" w:code="9"/>
          <w:pgMar w:top="1418" w:right="1418" w:bottom="1701" w:left="1814" w:header="720" w:footer="720" w:gutter="0"/>
          <w:paperSrc w:first="7" w:other="7"/>
          <w:cols w:space="720"/>
          <w:noEndnote/>
          <w:docGrid w:linePitch="299"/>
        </w:sectPr>
      </w:pPr>
    </w:p>
    <w:p w14:paraId="0CBA46F7" w14:textId="77777777" w:rsidR="00EF4726" w:rsidRDefault="004D1FF6" w:rsidP="00EF4726">
      <w:pPr>
        <w:pStyle w:val="Caption"/>
        <w:rPr>
          <w:lang w:val="en-GB"/>
        </w:rPr>
      </w:pPr>
      <w:bookmarkStart w:id="543" w:name="_Ref400388402"/>
      <w:bookmarkStart w:id="544" w:name="_Toc400395619"/>
      <w:bookmarkStart w:id="545" w:name="_Toc431917497"/>
      <w:r w:rsidRPr="00395F95">
        <w:rPr>
          <w:rFonts w:ascii="Arial" w:hAnsi="Arial" w:cs="Arial"/>
          <w:lang w:val="en-AU"/>
        </w:rPr>
        <w:lastRenderedPageBreak/>
        <w:t xml:space="preserve">Table </w:t>
      </w:r>
      <w:r w:rsidRPr="00395F95">
        <w:rPr>
          <w:rFonts w:ascii="Arial" w:hAnsi="Arial" w:cs="Arial"/>
          <w:lang w:val="en-AU"/>
        </w:rPr>
        <w:fldChar w:fldCharType="begin"/>
      </w:r>
      <w:r w:rsidRPr="00395F95">
        <w:rPr>
          <w:rFonts w:ascii="Arial" w:hAnsi="Arial" w:cs="Arial"/>
          <w:lang w:val="en-AU"/>
        </w:rPr>
        <w:instrText xml:space="preserve"> SEQ Table \* ARABIC </w:instrText>
      </w:r>
      <w:r w:rsidRPr="00395F95">
        <w:rPr>
          <w:rFonts w:ascii="Arial" w:hAnsi="Arial" w:cs="Arial"/>
          <w:lang w:val="en-AU"/>
        </w:rPr>
        <w:fldChar w:fldCharType="separate"/>
      </w:r>
      <w:r w:rsidR="00016592">
        <w:rPr>
          <w:rFonts w:ascii="Arial" w:hAnsi="Arial" w:cs="Arial"/>
          <w:noProof/>
          <w:lang w:val="en-AU"/>
        </w:rPr>
        <w:t>37</w:t>
      </w:r>
      <w:r w:rsidRPr="00395F95">
        <w:rPr>
          <w:rFonts w:ascii="Arial" w:hAnsi="Arial" w:cs="Arial"/>
          <w:lang w:val="en-AU"/>
        </w:rPr>
        <w:fldChar w:fldCharType="end"/>
      </w:r>
      <w:bookmarkEnd w:id="543"/>
      <w:r w:rsidRPr="00395F95">
        <w:rPr>
          <w:rFonts w:ascii="Arial" w:hAnsi="Arial" w:cs="Arial"/>
          <w:lang w:val="en-AU"/>
        </w:rPr>
        <w:t xml:space="preserve"> - </w:t>
      </w:r>
      <w:bookmarkEnd w:id="544"/>
      <w:r w:rsidR="00395F95" w:rsidRPr="00395F95">
        <w:rPr>
          <w:rFonts w:ascii="Arial" w:hAnsi="Arial" w:cs="Arial"/>
          <w:lang w:val="en-GB"/>
        </w:rPr>
        <w:t>Total costs per patient for successful VSB implantation in the first 6 months</w:t>
      </w:r>
      <w:bookmarkEnd w:id="545"/>
    </w:p>
    <w:tbl>
      <w:tblPr>
        <w:tblW w:w="12246" w:type="dxa"/>
        <w:tblInd w:w="93" w:type="dxa"/>
        <w:tblLook w:val="04A0" w:firstRow="1" w:lastRow="0" w:firstColumn="1" w:lastColumn="0" w:noHBand="0" w:noVBand="1"/>
        <w:tblDescription w:val="VSB - Total costs per patient for successful VSB implantation in the first 6 months"/>
      </w:tblPr>
      <w:tblGrid>
        <w:gridCol w:w="4126"/>
        <w:gridCol w:w="4253"/>
        <w:gridCol w:w="807"/>
        <w:gridCol w:w="1520"/>
        <w:gridCol w:w="1540"/>
      </w:tblGrid>
      <w:tr w:rsidR="004E1198" w:rsidRPr="004E1198" w14:paraId="485F36B3" w14:textId="77777777" w:rsidTr="004E1198">
        <w:trPr>
          <w:trHeight w:val="255"/>
        </w:trPr>
        <w:tc>
          <w:tcPr>
            <w:tcW w:w="412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3E33D40F" w14:textId="77777777" w:rsidR="004E1198" w:rsidRPr="004E1198" w:rsidRDefault="004E1198" w:rsidP="004E1198">
            <w:pPr>
              <w:rPr>
                <w:rFonts w:cs="Arial"/>
                <w:b/>
                <w:bCs/>
                <w:color w:val="000000"/>
                <w:sz w:val="18"/>
                <w:szCs w:val="18"/>
                <w:lang w:val="en-US" w:eastAsia="en-US"/>
              </w:rPr>
            </w:pPr>
            <w:r w:rsidRPr="004E1198">
              <w:rPr>
                <w:rFonts w:cs="Arial"/>
                <w:b/>
                <w:bCs/>
                <w:color w:val="000000"/>
                <w:sz w:val="18"/>
                <w:szCs w:val="18"/>
                <w:lang w:val="en-US" w:eastAsia="en-US"/>
              </w:rPr>
              <w:t>VSB</w:t>
            </w:r>
          </w:p>
        </w:tc>
        <w:tc>
          <w:tcPr>
            <w:tcW w:w="4253" w:type="dxa"/>
            <w:tcBorders>
              <w:top w:val="single" w:sz="8" w:space="0" w:color="auto"/>
              <w:left w:val="nil"/>
              <w:bottom w:val="single" w:sz="4" w:space="0" w:color="auto"/>
              <w:right w:val="single" w:sz="4" w:space="0" w:color="auto"/>
            </w:tcBorders>
            <w:shd w:val="clear" w:color="auto" w:fill="auto"/>
            <w:noWrap/>
            <w:vAlign w:val="center"/>
            <w:hideMark/>
          </w:tcPr>
          <w:p w14:paraId="655B1784" w14:textId="77777777" w:rsidR="004E1198" w:rsidRPr="004E1198" w:rsidRDefault="004E1198" w:rsidP="004E1198">
            <w:pPr>
              <w:jc w:val="center"/>
              <w:rPr>
                <w:rFonts w:cs="Arial"/>
                <w:b/>
                <w:bCs/>
                <w:color w:val="000000"/>
                <w:sz w:val="18"/>
                <w:szCs w:val="18"/>
                <w:lang w:val="en-US" w:eastAsia="en-US"/>
              </w:rPr>
            </w:pPr>
            <w:r w:rsidRPr="004E1198">
              <w:rPr>
                <w:rFonts w:cs="Arial"/>
                <w:b/>
                <w:bCs/>
                <w:color w:val="000000"/>
                <w:sz w:val="18"/>
                <w:szCs w:val="18"/>
                <w:lang w:val="en-US" w:eastAsia="en-US"/>
              </w:rPr>
              <w:t>Source of unit cost</w:t>
            </w:r>
          </w:p>
        </w:tc>
        <w:tc>
          <w:tcPr>
            <w:tcW w:w="807" w:type="dxa"/>
            <w:tcBorders>
              <w:top w:val="single" w:sz="8" w:space="0" w:color="auto"/>
              <w:left w:val="nil"/>
              <w:bottom w:val="single" w:sz="4" w:space="0" w:color="auto"/>
              <w:right w:val="single" w:sz="4" w:space="0" w:color="auto"/>
            </w:tcBorders>
            <w:shd w:val="clear" w:color="auto" w:fill="auto"/>
            <w:noWrap/>
            <w:vAlign w:val="center"/>
            <w:hideMark/>
          </w:tcPr>
          <w:p w14:paraId="72A21B83" w14:textId="77777777" w:rsidR="004E1198" w:rsidRPr="004E1198" w:rsidRDefault="004E1198" w:rsidP="004E1198">
            <w:pPr>
              <w:jc w:val="center"/>
              <w:rPr>
                <w:rFonts w:cs="Arial"/>
                <w:b/>
                <w:bCs/>
                <w:color w:val="000000"/>
                <w:sz w:val="18"/>
                <w:szCs w:val="18"/>
                <w:lang w:val="en-US" w:eastAsia="en-US"/>
              </w:rPr>
            </w:pPr>
            <w:r w:rsidRPr="004E1198">
              <w:rPr>
                <w:rFonts w:cs="Arial"/>
                <w:b/>
                <w:bCs/>
                <w:color w:val="000000"/>
                <w:sz w:val="18"/>
                <w:szCs w:val="18"/>
                <w:lang w:val="en-US" w:eastAsia="en-US"/>
              </w:rPr>
              <w:t>Units</w:t>
            </w:r>
          </w:p>
        </w:tc>
        <w:tc>
          <w:tcPr>
            <w:tcW w:w="1520" w:type="dxa"/>
            <w:tcBorders>
              <w:top w:val="single" w:sz="8" w:space="0" w:color="auto"/>
              <w:left w:val="nil"/>
              <w:bottom w:val="single" w:sz="4" w:space="0" w:color="auto"/>
              <w:right w:val="single" w:sz="4" w:space="0" w:color="auto"/>
            </w:tcBorders>
            <w:shd w:val="clear" w:color="auto" w:fill="auto"/>
            <w:noWrap/>
            <w:vAlign w:val="center"/>
            <w:hideMark/>
          </w:tcPr>
          <w:p w14:paraId="50065465" w14:textId="77777777" w:rsidR="004E1198" w:rsidRPr="004E1198" w:rsidRDefault="004E1198" w:rsidP="004E1198">
            <w:pPr>
              <w:jc w:val="center"/>
              <w:rPr>
                <w:rFonts w:cs="Arial"/>
                <w:b/>
                <w:bCs/>
                <w:color w:val="000000"/>
                <w:sz w:val="18"/>
                <w:szCs w:val="18"/>
                <w:lang w:val="en-US" w:eastAsia="en-US"/>
              </w:rPr>
            </w:pPr>
            <w:r w:rsidRPr="004E1198">
              <w:rPr>
                <w:rFonts w:cs="Arial"/>
                <w:b/>
                <w:bCs/>
                <w:color w:val="000000"/>
                <w:sz w:val="18"/>
                <w:szCs w:val="18"/>
                <w:lang w:val="en-US" w:eastAsia="en-US"/>
              </w:rPr>
              <w:t>Unit cost</w:t>
            </w:r>
          </w:p>
        </w:tc>
        <w:tc>
          <w:tcPr>
            <w:tcW w:w="1540" w:type="dxa"/>
            <w:tcBorders>
              <w:top w:val="single" w:sz="8" w:space="0" w:color="auto"/>
              <w:left w:val="nil"/>
              <w:bottom w:val="single" w:sz="4" w:space="0" w:color="auto"/>
              <w:right w:val="single" w:sz="8" w:space="0" w:color="auto"/>
            </w:tcBorders>
            <w:shd w:val="clear" w:color="auto" w:fill="auto"/>
            <w:noWrap/>
            <w:vAlign w:val="center"/>
            <w:hideMark/>
          </w:tcPr>
          <w:p w14:paraId="1DE07E6F" w14:textId="77777777" w:rsidR="004E1198" w:rsidRPr="004E1198" w:rsidRDefault="004E1198" w:rsidP="004E1198">
            <w:pPr>
              <w:jc w:val="center"/>
              <w:rPr>
                <w:rFonts w:cs="Arial"/>
                <w:b/>
                <w:bCs/>
                <w:color w:val="000000"/>
                <w:sz w:val="18"/>
                <w:szCs w:val="18"/>
                <w:lang w:val="en-US" w:eastAsia="en-US"/>
              </w:rPr>
            </w:pPr>
            <w:r w:rsidRPr="004E1198">
              <w:rPr>
                <w:rFonts w:cs="Arial"/>
                <w:b/>
                <w:bCs/>
                <w:color w:val="000000"/>
                <w:sz w:val="18"/>
                <w:szCs w:val="18"/>
                <w:lang w:val="en-US" w:eastAsia="en-US"/>
              </w:rPr>
              <w:t>Total</w:t>
            </w:r>
          </w:p>
        </w:tc>
      </w:tr>
      <w:tr w:rsidR="004E1198" w:rsidRPr="004E1198" w14:paraId="6B4DC6B6" w14:textId="77777777" w:rsidTr="004E1198">
        <w:trPr>
          <w:trHeight w:val="255"/>
        </w:trPr>
        <w:tc>
          <w:tcPr>
            <w:tcW w:w="4126" w:type="dxa"/>
            <w:tcBorders>
              <w:top w:val="nil"/>
              <w:left w:val="single" w:sz="8" w:space="0" w:color="auto"/>
              <w:bottom w:val="single" w:sz="4" w:space="0" w:color="auto"/>
              <w:right w:val="single" w:sz="4" w:space="0" w:color="auto"/>
            </w:tcBorders>
            <w:shd w:val="clear" w:color="auto" w:fill="auto"/>
            <w:noWrap/>
            <w:vAlign w:val="center"/>
            <w:hideMark/>
          </w:tcPr>
          <w:p w14:paraId="07C24AB8" w14:textId="77777777" w:rsidR="004E1198" w:rsidRPr="004E1198" w:rsidRDefault="004E1198" w:rsidP="004E1198">
            <w:pPr>
              <w:rPr>
                <w:rFonts w:cs="Arial"/>
                <w:b/>
                <w:bCs/>
                <w:color w:val="000000"/>
                <w:sz w:val="18"/>
                <w:szCs w:val="18"/>
                <w:lang w:val="en-US" w:eastAsia="en-US"/>
              </w:rPr>
            </w:pPr>
            <w:r w:rsidRPr="004E1198">
              <w:rPr>
                <w:rFonts w:cs="Arial"/>
                <w:b/>
                <w:bCs/>
                <w:color w:val="000000"/>
                <w:sz w:val="18"/>
                <w:szCs w:val="18"/>
                <w:lang w:val="en-US" w:eastAsia="en-US"/>
              </w:rPr>
              <w:t>Consumables</w:t>
            </w:r>
          </w:p>
        </w:tc>
        <w:tc>
          <w:tcPr>
            <w:tcW w:w="4253" w:type="dxa"/>
            <w:tcBorders>
              <w:top w:val="nil"/>
              <w:left w:val="nil"/>
              <w:bottom w:val="single" w:sz="4" w:space="0" w:color="auto"/>
              <w:right w:val="single" w:sz="4" w:space="0" w:color="auto"/>
            </w:tcBorders>
            <w:shd w:val="clear" w:color="auto" w:fill="auto"/>
            <w:noWrap/>
            <w:vAlign w:val="center"/>
            <w:hideMark/>
          </w:tcPr>
          <w:p w14:paraId="43B93894" w14:textId="77777777" w:rsidR="004E1198" w:rsidRPr="004E1198" w:rsidRDefault="004E1198" w:rsidP="004E1198">
            <w:pPr>
              <w:jc w:val="center"/>
              <w:rPr>
                <w:rFonts w:cs="Arial"/>
                <w:b/>
                <w:bCs/>
                <w:color w:val="000000"/>
                <w:sz w:val="18"/>
                <w:szCs w:val="18"/>
                <w:lang w:val="en-US" w:eastAsia="en-US"/>
              </w:rPr>
            </w:pPr>
            <w:r w:rsidRPr="004E1198">
              <w:rPr>
                <w:rFonts w:cs="Arial"/>
                <w:b/>
                <w:bCs/>
                <w:color w:val="000000"/>
                <w:sz w:val="18"/>
                <w:szCs w:val="18"/>
                <w:lang w:val="en-US" w:eastAsia="en-US"/>
              </w:rPr>
              <w:t> </w:t>
            </w:r>
          </w:p>
        </w:tc>
        <w:tc>
          <w:tcPr>
            <w:tcW w:w="807" w:type="dxa"/>
            <w:tcBorders>
              <w:top w:val="nil"/>
              <w:left w:val="nil"/>
              <w:bottom w:val="single" w:sz="4" w:space="0" w:color="auto"/>
              <w:right w:val="single" w:sz="4" w:space="0" w:color="auto"/>
            </w:tcBorders>
            <w:shd w:val="clear" w:color="auto" w:fill="auto"/>
            <w:noWrap/>
            <w:vAlign w:val="center"/>
            <w:hideMark/>
          </w:tcPr>
          <w:p w14:paraId="33BC6766" w14:textId="77777777" w:rsidR="004E1198" w:rsidRPr="004E1198" w:rsidRDefault="004E1198" w:rsidP="004E1198">
            <w:pPr>
              <w:jc w:val="center"/>
              <w:rPr>
                <w:rFonts w:cs="Arial"/>
                <w:b/>
                <w:bCs/>
                <w:color w:val="000000"/>
                <w:sz w:val="18"/>
                <w:szCs w:val="18"/>
                <w:lang w:val="en-US" w:eastAsia="en-US"/>
              </w:rPr>
            </w:pPr>
            <w:r w:rsidRPr="004E1198">
              <w:rPr>
                <w:rFonts w:cs="Arial"/>
                <w:b/>
                <w:bCs/>
                <w:color w:val="000000"/>
                <w:sz w:val="18"/>
                <w:szCs w:val="18"/>
                <w:lang w:val="en-US" w:eastAsia="en-US"/>
              </w:rPr>
              <w:t> </w:t>
            </w:r>
          </w:p>
        </w:tc>
        <w:tc>
          <w:tcPr>
            <w:tcW w:w="1520" w:type="dxa"/>
            <w:tcBorders>
              <w:top w:val="nil"/>
              <w:left w:val="nil"/>
              <w:bottom w:val="single" w:sz="4" w:space="0" w:color="auto"/>
              <w:right w:val="single" w:sz="4" w:space="0" w:color="auto"/>
            </w:tcBorders>
            <w:shd w:val="clear" w:color="auto" w:fill="auto"/>
            <w:noWrap/>
            <w:vAlign w:val="center"/>
            <w:hideMark/>
          </w:tcPr>
          <w:p w14:paraId="5DD78187" w14:textId="77777777" w:rsidR="004E1198" w:rsidRPr="004E1198" w:rsidRDefault="004E1198" w:rsidP="004E1198">
            <w:pPr>
              <w:jc w:val="center"/>
              <w:rPr>
                <w:rFonts w:cs="Arial"/>
                <w:b/>
                <w:bCs/>
                <w:color w:val="000000"/>
                <w:sz w:val="18"/>
                <w:szCs w:val="18"/>
                <w:lang w:val="en-US" w:eastAsia="en-US"/>
              </w:rPr>
            </w:pPr>
            <w:r w:rsidRPr="004E1198">
              <w:rPr>
                <w:rFonts w:cs="Arial"/>
                <w:b/>
                <w:bCs/>
                <w:color w:val="000000"/>
                <w:sz w:val="18"/>
                <w:szCs w:val="18"/>
                <w:lang w:val="en-US" w:eastAsia="en-US"/>
              </w:rPr>
              <w:t> </w:t>
            </w:r>
          </w:p>
        </w:tc>
        <w:tc>
          <w:tcPr>
            <w:tcW w:w="1540" w:type="dxa"/>
            <w:tcBorders>
              <w:top w:val="nil"/>
              <w:left w:val="nil"/>
              <w:bottom w:val="single" w:sz="4" w:space="0" w:color="auto"/>
              <w:right w:val="single" w:sz="8" w:space="0" w:color="auto"/>
            </w:tcBorders>
            <w:shd w:val="clear" w:color="auto" w:fill="auto"/>
            <w:noWrap/>
            <w:vAlign w:val="center"/>
            <w:hideMark/>
          </w:tcPr>
          <w:p w14:paraId="2F911134" w14:textId="77777777" w:rsidR="004E1198" w:rsidRPr="004E1198" w:rsidRDefault="004E1198" w:rsidP="004E1198">
            <w:pPr>
              <w:jc w:val="center"/>
              <w:rPr>
                <w:rFonts w:cs="Arial"/>
                <w:b/>
                <w:bCs/>
                <w:color w:val="000000"/>
                <w:sz w:val="18"/>
                <w:szCs w:val="18"/>
                <w:lang w:val="en-US" w:eastAsia="en-US"/>
              </w:rPr>
            </w:pPr>
            <w:r w:rsidRPr="004E1198">
              <w:rPr>
                <w:rFonts w:cs="Arial"/>
                <w:b/>
                <w:bCs/>
                <w:color w:val="000000"/>
                <w:sz w:val="18"/>
                <w:szCs w:val="18"/>
                <w:lang w:val="en-US" w:eastAsia="en-US"/>
              </w:rPr>
              <w:t> </w:t>
            </w:r>
          </w:p>
        </w:tc>
      </w:tr>
      <w:tr w:rsidR="004E1198" w:rsidRPr="004E1198" w14:paraId="34B4D40B" w14:textId="77777777" w:rsidTr="004E1198">
        <w:trPr>
          <w:trHeight w:val="255"/>
        </w:trPr>
        <w:tc>
          <w:tcPr>
            <w:tcW w:w="4126" w:type="dxa"/>
            <w:tcBorders>
              <w:top w:val="nil"/>
              <w:left w:val="single" w:sz="8" w:space="0" w:color="auto"/>
              <w:bottom w:val="single" w:sz="4" w:space="0" w:color="auto"/>
              <w:right w:val="single" w:sz="4" w:space="0" w:color="auto"/>
            </w:tcBorders>
            <w:shd w:val="clear" w:color="auto" w:fill="auto"/>
            <w:noWrap/>
            <w:vAlign w:val="bottom"/>
            <w:hideMark/>
          </w:tcPr>
          <w:p w14:paraId="21CD379E" w14:textId="77777777" w:rsidR="004E1198" w:rsidRPr="004E1198" w:rsidRDefault="004E1198" w:rsidP="004E1198">
            <w:pPr>
              <w:rPr>
                <w:rFonts w:cs="Arial"/>
                <w:color w:val="000000"/>
                <w:sz w:val="18"/>
                <w:szCs w:val="18"/>
                <w:lang w:val="en-US" w:eastAsia="en-US"/>
              </w:rPr>
            </w:pPr>
            <w:r w:rsidRPr="004E1198">
              <w:rPr>
                <w:rFonts w:cs="Arial"/>
                <w:color w:val="000000"/>
                <w:sz w:val="18"/>
                <w:szCs w:val="18"/>
                <w:lang w:val="en-US" w:eastAsia="en-US"/>
              </w:rPr>
              <w:t>Implant</w:t>
            </w:r>
          </w:p>
        </w:tc>
        <w:tc>
          <w:tcPr>
            <w:tcW w:w="4253" w:type="dxa"/>
            <w:tcBorders>
              <w:top w:val="nil"/>
              <w:left w:val="nil"/>
              <w:bottom w:val="single" w:sz="4" w:space="0" w:color="auto"/>
              <w:right w:val="single" w:sz="4" w:space="0" w:color="auto"/>
            </w:tcBorders>
            <w:shd w:val="clear" w:color="auto" w:fill="auto"/>
            <w:noWrap/>
            <w:vAlign w:val="center"/>
            <w:hideMark/>
          </w:tcPr>
          <w:p w14:paraId="58DB79D8" w14:textId="77777777" w:rsidR="004E1198" w:rsidRPr="004E1198" w:rsidRDefault="004E1198" w:rsidP="004E1198">
            <w:pPr>
              <w:jc w:val="center"/>
              <w:rPr>
                <w:rFonts w:cs="Arial"/>
                <w:color w:val="000000"/>
                <w:sz w:val="18"/>
                <w:szCs w:val="18"/>
                <w:lang w:val="en-US" w:eastAsia="en-US"/>
              </w:rPr>
            </w:pPr>
            <w:r w:rsidRPr="004E1198">
              <w:rPr>
                <w:rFonts w:cs="Arial"/>
                <w:color w:val="000000"/>
                <w:sz w:val="18"/>
                <w:szCs w:val="18"/>
                <w:lang w:val="en-US" w:eastAsia="en-US"/>
              </w:rPr>
              <w:t>Manufacturer</w:t>
            </w:r>
          </w:p>
        </w:tc>
        <w:tc>
          <w:tcPr>
            <w:tcW w:w="807" w:type="dxa"/>
            <w:tcBorders>
              <w:top w:val="nil"/>
              <w:left w:val="nil"/>
              <w:bottom w:val="single" w:sz="4" w:space="0" w:color="auto"/>
              <w:right w:val="single" w:sz="4" w:space="0" w:color="auto"/>
            </w:tcBorders>
            <w:shd w:val="clear" w:color="auto" w:fill="auto"/>
            <w:noWrap/>
            <w:vAlign w:val="center"/>
            <w:hideMark/>
          </w:tcPr>
          <w:p w14:paraId="76DE3E50" w14:textId="77777777" w:rsidR="004E1198" w:rsidRPr="004E1198" w:rsidRDefault="004E1198" w:rsidP="004E1198">
            <w:pPr>
              <w:jc w:val="center"/>
              <w:rPr>
                <w:rFonts w:cs="Arial"/>
                <w:color w:val="000000"/>
                <w:sz w:val="18"/>
                <w:szCs w:val="18"/>
                <w:lang w:val="en-US" w:eastAsia="en-US"/>
              </w:rPr>
            </w:pPr>
            <w:r w:rsidRPr="004E1198">
              <w:rPr>
                <w:rFonts w:cs="Arial"/>
                <w:color w:val="000000"/>
                <w:sz w:val="18"/>
                <w:szCs w:val="18"/>
                <w:lang w:val="en-US" w:eastAsia="en-US"/>
              </w:rPr>
              <w:t>1</w:t>
            </w:r>
          </w:p>
        </w:tc>
        <w:tc>
          <w:tcPr>
            <w:tcW w:w="1520" w:type="dxa"/>
            <w:tcBorders>
              <w:top w:val="nil"/>
              <w:left w:val="nil"/>
              <w:bottom w:val="single" w:sz="4" w:space="0" w:color="auto"/>
              <w:right w:val="single" w:sz="4" w:space="0" w:color="auto"/>
            </w:tcBorders>
            <w:shd w:val="clear" w:color="auto" w:fill="auto"/>
            <w:noWrap/>
            <w:vAlign w:val="bottom"/>
            <w:hideMark/>
          </w:tcPr>
          <w:p w14:paraId="47098404" w14:textId="77777777" w:rsidR="004E1198" w:rsidRPr="004E1198" w:rsidRDefault="004E1198" w:rsidP="004E1198">
            <w:pPr>
              <w:rPr>
                <w:rFonts w:cs="Arial"/>
                <w:color w:val="000000"/>
                <w:sz w:val="18"/>
                <w:szCs w:val="18"/>
                <w:lang w:val="en-US" w:eastAsia="en-US"/>
              </w:rPr>
            </w:pPr>
            <w:r w:rsidRPr="004E1198">
              <w:rPr>
                <w:rFonts w:cs="Arial"/>
                <w:color w:val="000000"/>
                <w:sz w:val="18"/>
                <w:szCs w:val="18"/>
                <w:lang w:val="en-US" w:eastAsia="en-US"/>
              </w:rPr>
              <w:t xml:space="preserve"> AUD  7.470,00 </w:t>
            </w:r>
          </w:p>
        </w:tc>
        <w:tc>
          <w:tcPr>
            <w:tcW w:w="1540" w:type="dxa"/>
            <w:tcBorders>
              <w:top w:val="nil"/>
              <w:left w:val="nil"/>
              <w:bottom w:val="single" w:sz="4" w:space="0" w:color="auto"/>
              <w:right w:val="single" w:sz="8" w:space="0" w:color="auto"/>
            </w:tcBorders>
            <w:shd w:val="clear" w:color="auto" w:fill="auto"/>
            <w:noWrap/>
            <w:vAlign w:val="bottom"/>
            <w:hideMark/>
          </w:tcPr>
          <w:p w14:paraId="531A5828" w14:textId="77777777" w:rsidR="004E1198" w:rsidRPr="004E1198" w:rsidRDefault="004E1198" w:rsidP="004E1198">
            <w:pPr>
              <w:rPr>
                <w:rFonts w:cs="Arial"/>
                <w:color w:val="000000"/>
                <w:sz w:val="18"/>
                <w:szCs w:val="18"/>
                <w:lang w:val="en-US" w:eastAsia="en-US"/>
              </w:rPr>
            </w:pPr>
            <w:r w:rsidRPr="004E1198">
              <w:rPr>
                <w:rFonts w:cs="Arial"/>
                <w:color w:val="000000"/>
                <w:sz w:val="18"/>
                <w:szCs w:val="18"/>
                <w:lang w:val="en-US" w:eastAsia="en-US"/>
              </w:rPr>
              <w:t xml:space="preserve"> AUD   7.470,00 </w:t>
            </w:r>
          </w:p>
        </w:tc>
      </w:tr>
      <w:tr w:rsidR="004E1198" w:rsidRPr="004E1198" w14:paraId="3F1C5917" w14:textId="77777777" w:rsidTr="004E1198">
        <w:trPr>
          <w:trHeight w:val="255"/>
        </w:trPr>
        <w:tc>
          <w:tcPr>
            <w:tcW w:w="4126" w:type="dxa"/>
            <w:tcBorders>
              <w:top w:val="nil"/>
              <w:left w:val="single" w:sz="8" w:space="0" w:color="auto"/>
              <w:bottom w:val="single" w:sz="4" w:space="0" w:color="auto"/>
              <w:right w:val="single" w:sz="4" w:space="0" w:color="auto"/>
            </w:tcBorders>
            <w:shd w:val="clear" w:color="auto" w:fill="auto"/>
            <w:noWrap/>
            <w:vAlign w:val="bottom"/>
            <w:hideMark/>
          </w:tcPr>
          <w:p w14:paraId="183777D9" w14:textId="77777777" w:rsidR="004E1198" w:rsidRPr="004E1198" w:rsidRDefault="004E1198" w:rsidP="004E1198">
            <w:pPr>
              <w:rPr>
                <w:rFonts w:cs="Arial"/>
                <w:color w:val="000000"/>
                <w:sz w:val="18"/>
                <w:szCs w:val="18"/>
                <w:lang w:val="en-US" w:eastAsia="en-US"/>
              </w:rPr>
            </w:pPr>
            <w:r w:rsidRPr="004E1198">
              <w:rPr>
                <w:rFonts w:cs="Arial"/>
                <w:color w:val="000000"/>
                <w:sz w:val="18"/>
                <w:szCs w:val="18"/>
                <w:lang w:val="en-US" w:eastAsia="en-US"/>
              </w:rPr>
              <w:t>Processor</w:t>
            </w:r>
          </w:p>
        </w:tc>
        <w:tc>
          <w:tcPr>
            <w:tcW w:w="4253" w:type="dxa"/>
            <w:tcBorders>
              <w:top w:val="nil"/>
              <w:left w:val="nil"/>
              <w:bottom w:val="single" w:sz="4" w:space="0" w:color="auto"/>
              <w:right w:val="single" w:sz="4" w:space="0" w:color="auto"/>
            </w:tcBorders>
            <w:shd w:val="clear" w:color="auto" w:fill="auto"/>
            <w:noWrap/>
            <w:vAlign w:val="center"/>
            <w:hideMark/>
          </w:tcPr>
          <w:p w14:paraId="22FD8F1C" w14:textId="77777777" w:rsidR="004E1198" w:rsidRPr="004E1198" w:rsidRDefault="004E1198" w:rsidP="004E1198">
            <w:pPr>
              <w:jc w:val="center"/>
              <w:rPr>
                <w:rFonts w:cs="Arial"/>
                <w:color w:val="000000"/>
                <w:sz w:val="18"/>
                <w:szCs w:val="18"/>
                <w:lang w:val="en-US" w:eastAsia="en-US"/>
              </w:rPr>
            </w:pPr>
            <w:r w:rsidRPr="004E1198">
              <w:rPr>
                <w:rFonts w:cs="Arial"/>
                <w:color w:val="000000"/>
                <w:sz w:val="18"/>
                <w:szCs w:val="18"/>
                <w:lang w:val="en-US" w:eastAsia="en-US"/>
              </w:rPr>
              <w:t>Manufacturer</w:t>
            </w:r>
          </w:p>
        </w:tc>
        <w:tc>
          <w:tcPr>
            <w:tcW w:w="807" w:type="dxa"/>
            <w:tcBorders>
              <w:top w:val="nil"/>
              <w:left w:val="nil"/>
              <w:bottom w:val="single" w:sz="4" w:space="0" w:color="auto"/>
              <w:right w:val="single" w:sz="4" w:space="0" w:color="auto"/>
            </w:tcBorders>
            <w:shd w:val="clear" w:color="auto" w:fill="auto"/>
            <w:noWrap/>
            <w:vAlign w:val="center"/>
            <w:hideMark/>
          </w:tcPr>
          <w:p w14:paraId="7467DF63" w14:textId="77777777" w:rsidR="004E1198" w:rsidRPr="004E1198" w:rsidRDefault="004E1198" w:rsidP="004E1198">
            <w:pPr>
              <w:jc w:val="center"/>
              <w:rPr>
                <w:rFonts w:cs="Arial"/>
                <w:color w:val="000000"/>
                <w:sz w:val="18"/>
                <w:szCs w:val="18"/>
                <w:lang w:val="en-US" w:eastAsia="en-US"/>
              </w:rPr>
            </w:pPr>
            <w:r w:rsidRPr="004E1198">
              <w:rPr>
                <w:rFonts w:cs="Arial"/>
                <w:color w:val="000000"/>
                <w:sz w:val="18"/>
                <w:szCs w:val="18"/>
                <w:lang w:val="en-US" w:eastAsia="en-US"/>
              </w:rPr>
              <w:t>1</w:t>
            </w:r>
          </w:p>
        </w:tc>
        <w:tc>
          <w:tcPr>
            <w:tcW w:w="1520" w:type="dxa"/>
            <w:tcBorders>
              <w:top w:val="nil"/>
              <w:left w:val="nil"/>
              <w:bottom w:val="single" w:sz="4" w:space="0" w:color="auto"/>
              <w:right w:val="single" w:sz="4" w:space="0" w:color="auto"/>
            </w:tcBorders>
            <w:shd w:val="clear" w:color="auto" w:fill="auto"/>
            <w:noWrap/>
            <w:vAlign w:val="bottom"/>
            <w:hideMark/>
          </w:tcPr>
          <w:p w14:paraId="4FF1DE56" w14:textId="77777777" w:rsidR="004E1198" w:rsidRPr="004E1198" w:rsidRDefault="004E1198" w:rsidP="004E1198">
            <w:pPr>
              <w:rPr>
                <w:rFonts w:cs="Arial"/>
                <w:color w:val="000000"/>
                <w:sz w:val="18"/>
                <w:szCs w:val="18"/>
                <w:lang w:val="en-US" w:eastAsia="en-US"/>
              </w:rPr>
            </w:pPr>
            <w:r w:rsidRPr="004E1198">
              <w:rPr>
                <w:rFonts w:cs="Arial"/>
                <w:color w:val="000000"/>
                <w:sz w:val="18"/>
                <w:szCs w:val="18"/>
                <w:lang w:val="en-US" w:eastAsia="en-US"/>
              </w:rPr>
              <w:t xml:space="preserve"> AUD  6.500,00 </w:t>
            </w:r>
          </w:p>
        </w:tc>
        <w:tc>
          <w:tcPr>
            <w:tcW w:w="1540" w:type="dxa"/>
            <w:tcBorders>
              <w:top w:val="nil"/>
              <w:left w:val="nil"/>
              <w:bottom w:val="single" w:sz="4" w:space="0" w:color="auto"/>
              <w:right w:val="single" w:sz="8" w:space="0" w:color="auto"/>
            </w:tcBorders>
            <w:shd w:val="clear" w:color="auto" w:fill="auto"/>
            <w:noWrap/>
            <w:vAlign w:val="bottom"/>
            <w:hideMark/>
          </w:tcPr>
          <w:p w14:paraId="0CEB6F5F" w14:textId="77777777" w:rsidR="004E1198" w:rsidRPr="004E1198" w:rsidRDefault="004E1198" w:rsidP="004E1198">
            <w:pPr>
              <w:rPr>
                <w:rFonts w:cs="Arial"/>
                <w:color w:val="000000"/>
                <w:sz w:val="18"/>
                <w:szCs w:val="18"/>
                <w:lang w:val="en-US" w:eastAsia="en-US"/>
              </w:rPr>
            </w:pPr>
            <w:r w:rsidRPr="004E1198">
              <w:rPr>
                <w:rFonts w:cs="Arial"/>
                <w:color w:val="000000"/>
                <w:sz w:val="18"/>
                <w:szCs w:val="18"/>
                <w:lang w:val="en-US" w:eastAsia="en-US"/>
              </w:rPr>
              <w:t xml:space="preserve"> AUD   6.500,00 </w:t>
            </w:r>
          </w:p>
        </w:tc>
      </w:tr>
      <w:tr w:rsidR="004E1198" w:rsidRPr="004E1198" w14:paraId="0A5D9085" w14:textId="77777777" w:rsidTr="004E1198">
        <w:trPr>
          <w:trHeight w:val="255"/>
        </w:trPr>
        <w:tc>
          <w:tcPr>
            <w:tcW w:w="4126" w:type="dxa"/>
            <w:tcBorders>
              <w:top w:val="nil"/>
              <w:left w:val="single" w:sz="8" w:space="0" w:color="auto"/>
              <w:bottom w:val="single" w:sz="4" w:space="0" w:color="auto"/>
              <w:right w:val="single" w:sz="4" w:space="0" w:color="auto"/>
            </w:tcBorders>
            <w:shd w:val="clear" w:color="auto" w:fill="auto"/>
            <w:noWrap/>
            <w:vAlign w:val="bottom"/>
            <w:hideMark/>
          </w:tcPr>
          <w:p w14:paraId="3D92AF6E" w14:textId="77777777" w:rsidR="004E1198" w:rsidRPr="004E1198" w:rsidRDefault="004E1198" w:rsidP="004E1198">
            <w:pPr>
              <w:rPr>
                <w:rFonts w:cs="Arial"/>
                <w:b/>
                <w:bCs/>
                <w:i/>
                <w:iCs/>
                <w:color w:val="000000"/>
                <w:sz w:val="18"/>
                <w:szCs w:val="18"/>
                <w:lang w:val="en-US" w:eastAsia="en-US"/>
              </w:rPr>
            </w:pPr>
            <w:r w:rsidRPr="004E1198">
              <w:rPr>
                <w:rFonts w:cs="Arial"/>
                <w:b/>
                <w:bCs/>
                <w:i/>
                <w:iCs/>
                <w:color w:val="000000"/>
                <w:sz w:val="18"/>
                <w:szCs w:val="18"/>
                <w:lang w:val="en-US" w:eastAsia="en-US"/>
              </w:rPr>
              <w:t>Pre operational</w:t>
            </w:r>
          </w:p>
        </w:tc>
        <w:tc>
          <w:tcPr>
            <w:tcW w:w="4253" w:type="dxa"/>
            <w:tcBorders>
              <w:top w:val="nil"/>
              <w:left w:val="nil"/>
              <w:bottom w:val="single" w:sz="4" w:space="0" w:color="auto"/>
              <w:right w:val="single" w:sz="4" w:space="0" w:color="auto"/>
            </w:tcBorders>
            <w:shd w:val="clear" w:color="auto" w:fill="auto"/>
            <w:noWrap/>
            <w:vAlign w:val="center"/>
            <w:hideMark/>
          </w:tcPr>
          <w:p w14:paraId="3F60F444" w14:textId="77777777" w:rsidR="004E1198" w:rsidRPr="004E1198" w:rsidRDefault="004E1198" w:rsidP="004E1198">
            <w:pPr>
              <w:jc w:val="center"/>
              <w:rPr>
                <w:rFonts w:cs="Arial"/>
                <w:color w:val="000000"/>
                <w:sz w:val="18"/>
                <w:szCs w:val="18"/>
                <w:lang w:val="en-US" w:eastAsia="en-US"/>
              </w:rPr>
            </w:pPr>
            <w:r w:rsidRPr="004E1198">
              <w:rPr>
                <w:rFonts w:cs="Arial"/>
                <w:color w:val="000000"/>
                <w:sz w:val="18"/>
                <w:szCs w:val="18"/>
                <w:lang w:val="en-US" w:eastAsia="en-US"/>
              </w:rPr>
              <w:t> </w:t>
            </w:r>
          </w:p>
        </w:tc>
        <w:tc>
          <w:tcPr>
            <w:tcW w:w="807" w:type="dxa"/>
            <w:tcBorders>
              <w:top w:val="nil"/>
              <w:left w:val="nil"/>
              <w:bottom w:val="single" w:sz="4" w:space="0" w:color="auto"/>
              <w:right w:val="single" w:sz="4" w:space="0" w:color="auto"/>
            </w:tcBorders>
            <w:shd w:val="clear" w:color="auto" w:fill="auto"/>
            <w:noWrap/>
            <w:vAlign w:val="center"/>
            <w:hideMark/>
          </w:tcPr>
          <w:p w14:paraId="05879E5D" w14:textId="77777777" w:rsidR="004E1198" w:rsidRPr="004E1198" w:rsidRDefault="004E1198" w:rsidP="004E1198">
            <w:pPr>
              <w:jc w:val="center"/>
              <w:rPr>
                <w:rFonts w:cs="Arial"/>
                <w:color w:val="000000"/>
                <w:sz w:val="18"/>
                <w:szCs w:val="18"/>
                <w:lang w:val="en-US" w:eastAsia="en-US"/>
              </w:rPr>
            </w:pPr>
            <w:r w:rsidRPr="004E1198">
              <w:rPr>
                <w:rFonts w:cs="Arial"/>
                <w:color w:val="000000"/>
                <w:sz w:val="18"/>
                <w:szCs w:val="18"/>
                <w:lang w:val="en-US" w:eastAsia="en-US"/>
              </w:rPr>
              <w:t> </w:t>
            </w:r>
          </w:p>
        </w:tc>
        <w:tc>
          <w:tcPr>
            <w:tcW w:w="1520" w:type="dxa"/>
            <w:tcBorders>
              <w:top w:val="nil"/>
              <w:left w:val="nil"/>
              <w:bottom w:val="single" w:sz="4" w:space="0" w:color="auto"/>
              <w:right w:val="single" w:sz="4" w:space="0" w:color="auto"/>
            </w:tcBorders>
            <w:shd w:val="clear" w:color="auto" w:fill="auto"/>
            <w:noWrap/>
            <w:vAlign w:val="bottom"/>
            <w:hideMark/>
          </w:tcPr>
          <w:p w14:paraId="3ED2F81A" w14:textId="77777777" w:rsidR="004E1198" w:rsidRPr="004E1198" w:rsidRDefault="004E1198" w:rsidP="004E1198">
            <w:pPr>
              <w:rPr>
                <w:rFonts w:cs="Arial"/>
                <w:color w:val="000000"/>
                <w:sz w:val="18"/>
                <w:szCs w:val="18"/>
                <w:lang w:val="en-US" w:eastAsia="en-US"/>
              </w:rPr>
            </w:pPr>
            <w:r w:rsidRPr="004E1198">
              <w:rPr>
                <w:rFonts w:cs="Arial"/>
                <w:color w:val="000000"/>
                <w:sz w:val="18"/>
                <w:szCs w:val="18"/>
                <w:lang w:val="en-US" w:eastAsia="en-US"/>
              </w:rPr>
              <w:t> </w:t>
            </w:r>
          </w:p>
        </w:tc>
        <w:tc>
          <w:tcPr>
            <w:tcW w:w="1540" w:type="dxa"/>
            <w:tcBorders>
              <w:top w:val="nil"/>
              <w:left w:val="nil"/>
              <w:bottom w:val="single" w:sz="4" w:space="0" w:color="auto"/>
              <w:right w:val="single" w:sz="8" w:space="0" w:color="auto"/>
            </w:tcBorders>
            <w:shd w:val="clear" w:color="auto" w:fill="auto"/>
            <w:noWrap/>
            <w:vAlign w:val="bottom"/>
            <w:hideMark/>
          </w:tcPr>
          <w:p w14:paraId="3E84DEA1" w14:textId="77777777" w:rsidR="004E1198" w:rsidRPr="004E1198" w:rsidRDefault="004E1198" w:rsidP="004E1198">
            <w:pPr>
              <w:rPr>
                <w:rFonts w:cs="Arial"/>
                <w:color w:val="000000"/>
                <w:sz w:val="18"/>
                <w:szCs w:val="18"/>
                <w:lang w:val="en-US" w:eastAsia="en-US"/>
              </w:rPr>
            </w:pPr>
            <w:r w:rsidRPr="004E1198">
              <w:rPr>
                <w:rFonts w:cs="Arial"/>
                <w:color w:val="000000"/>
                <w:sz w:val="18"/>
                <w:szCs w:val="18"/>
                <w:lang w:val="en-US" w:eastAsia="en-US"/>
              </w:rPr>
              <w:t> </w:t>
            </w:r>
          </w:p>
        </w:tc>
      </w:tr>
      <w:tr w:rsidR="004E1198" w:rsidRPr="004E1198" w14:paraId="790BF9BF" w14:textId="77777777" w:rsidTr="004E1198">
        <w:trPr>
          <w:trHeight w:val="24"/>
        </w:trPr>
        <w:tc>
          <w:tcPr>
            <w:tcW w:w="4126" w:type="dxa"/>
            <w:tcBorders>
              <w:top w:val="nil"/>
              <w:left w:val="single" w:sz="8" w:space="0" w:color="auto"/>
              <w:bottom w:val="single" w:sz="4" w:space="0" w:color="auto"/>
              <w:right w:val="single" w:sz="4" w:space="0" w:color="auto"/>
            </w:tcBorders>
            <w:shd w:val="clear" w:color="auto" w:fill="auto"/>
            <w:noWrap/>
            <w:vAlign w:val="bottom"/>
            <w:hideMark/>
          </w:tcPr>
          <w:p w14:paraId="427E037A" w14:textId="77777777" w:rsidR="004E1198" w:rsidRPr="004E1198" w:rsidRDefault="004E1198" w:rsidP="004E1198">
            <w:pPr>
              <w:rPr>
                <w:rFonts w:cs="Arial"/>
                <w:color w:val="000000"/>
                <w:sz w:val="18"/>
                <w:szCs w:val="18"/>
                <w:lang w:val="en-US" w:eastAsia="en-US"/>
              </w:rPr>
            </w:pPr>
            <w:r w:rsidRPr="004E1198">
              <w:rPr>
                <w:rFonts w:cs="Arial"/>
                <w:color w:val="000000"/>
                <w:sz w:val="18"/>
                <w:szCs w:val="18"/>
                <w:lang w:val="en-US" w:eastAsia="en-US"/>
              </w:rPr>
              <w:t>ENT specialist</w:t>
            </w:r>
          </w:p>
        </w:tc>
        <w:tc>
          <w:tcPr>
            <w:tcW w:w="4253" w:type="dxa"/>
            <w:tcBorders>
              <w:top w:val="nil"/>
              <w:left w:val="nil"/>
              <w:bottom w:val="single" w:sz="4" w:space="0" w:color="auto"/>
              <w:right w:val="single" w:sz="4" w:space="0" w:color="auto"/>
            </w:tcBorders>
            <w:shd w:val="clear" w:color="auto" w:fill="auto"/>
            <w:noWrap/>
            <w:vAlign w:val="center"/>
            <w:hideMark/>
          </w:tcPr>
          <w:p w14:paraId="77582BE5" w14:textId="77777777" w:rsidR="004E1198" w:rsidRPr="004E1198" w:rsidRDefault="004E1198" w:rsidP="004E1198">
            <w:pPr>
              <w:jc w:val="center"/>
              <w:rPr>
                <w:rFonts w:cs="Arial"/>
                <w:color w:val="000000"/>
                <w:sz w:val="18"/>
                <w:szCs w:val="18"/>
                <w:lang w:val="en-US" w:eastAsia="en-US"/>
              </w:rPr>
            </w:pPr>
            <w:r w:rsidRPr="004E1198">
              <w:rPr>
                <w:rFonts w:cs="Arial"/>
                <w:color w:val="000000"/>
                <w:sz w:val="18"/>
                <w:szCs w:val="18"/>
                <w:lang w:val="en-US" w:eastAsia="en-US"/>
              </w:rPr>
              <w:t>MBS item 104</w:t>
            </w:r>
          </w:p>
        </w:tc>
        <w:tc>
          <w:tcPr>
            <w:tcW w:w="807" w:type="dxa"/>
            <w:tcBorders>
              <w:top w:val="nil"/>
              <w:left w:val="nil"/>
              <w:bottom w:val="single" w:sz="4" w:space="0" w:color="auto"/>
              <w:right w:val="single" w:sz="4" w:space="0" w:color="auto"/>
            </w:tcBorders>
            <w:shd w:val="clear" w:color="auto" w:fill="auto"/>
            <w:noWrap/>
            <w:vAlign w:val="center"/>
            <w:hideMark/>
          </w:tcPr>
          <w:p w14:paraId="0C98E276" w14:textId="77777777" w:rsidR="004E1198" w:rsidRPr="004E1198" w:rsidRDefault="004E1198" w:rsidP="004E1198">
            <w:pPr>
              <w:jc w:val="center"/>
              <w:rPr>
                <w:rFonts w:cs="Arial"/>
                <w:color w:val="000000"/>
                <w:sz w:val="18"/>
                <w:szCs w:val="18"/>
                <w:lang w:val="en-US" w:eastAsia="en-US"/>
              </w:rPr>
            </w:pPr>
            <w:r w:rsidRPr="004E1198">
              <w:rPr>
                <w:rFonts w:cs="Arial"/>
                <w:color w:val="000000"/>
                <w:sz w:val="18"/>
                <w:szCs w:val="18"/>
                <w:lang w:val="en-US" w:eastAsia="en-US"/>
              </w:rPr>
              <w:t>2</w:t>
            </w:r>
          </w:p>
        </w:tc>
        <w:tc>
          <w:tcPr>
            <w:tcW w:w="1520" w:type="dxa"/>
            <w:tcBorders>
              <w:top w:val="nil"/>
              <w:left w:val="nil"/>
              <w:bottom w:val="single" w:sz="4" w:space="0" w:color="auto"/>
              <w:right w:val="single" w:sz="4" w:space="0" w:color="auto"/>
            </w:tcBorders>
            <w:shd w:val="clear" w:color="auto" w:fill="auto"/>
            <w:noWrap/>
            <w:vAlign w:val="bottom"/>
            <w:hideMark/>
          </w:tcPr>
          <w:p w14:paraId="60347C7E" w14:textId="55237215" w:rsidR="004E1198" w:rsidRPr="004E1198" w:rsidRDefault="004E1198" w:rsidP="004E1198">
            <w:pPr>
              <w:rPr>
                <w:rFonts w:cs="Arial"/>
                <w:color w:val="000000"/>
                <w:sz w:val="18"/>
                <w:szCs w:val="18"/>
                <w:lang w:val="en-US" w:eastAsia="en-US"/>
              </w:rPr>
            </w:pPr>
            <w:r w:rsidRPr="004E1198">
              <w:rPr>
                <w:rFonts w:cs="Arial"/>
                <w:color w:val="000000"/>
                <w:sz w:val="18"/>
                <w:szCs w:val="18"/>
                <w:lang w:val="en-US" w:eastAsia="en-US"/>
              </w:rPr>
              <w:t xml:space="preserve"> AUD</w:t>
            </w:r>
            <w:r w:rsidR="00E57313">
              <w:rPr>
                <w:rFonts w:cs="Arial"/>
                <w:color w:val="000000"/>
                <w:sz w:val="18"/>
                <w:szCs w:val="18"/>
                <w:lang w:val="en-US" w:eastAsia="en-US"/>
              </w:rPr>
              <w:t xml:space="preserve">   </w:t>
            </w:r>
            <w:r w:rsidRPr="004E1198">
              <w:rPr>
                <w:rFonts w:cs="Arial"/>
                <w:color w:val="000000"/>
                <w:sz w:val="18"/>
                <w:szCs w:val="18"/>
                <w:lang w:val="en-US" w:eastAsia="en-US"/>
              </w:rPr>
              <w:t xml:space="preserve">85,55 </w:t>
            </w:r>
          </w:p>
        </w:tc>
        <w:tc>
          <w:tcPr>
            <w:tcW w:w="1540" w:type="dxa"/>
            <w:tcBorders>
              <w:top w:val="nil"/>
              <w:left w:val="nil"/>
              <w:bottom w:val="single" w:sz="4" w:space="0" w:color="auto"/>
              <w:right w:val="single" w:sz="8" w:space="0" w:color="auto"/>
            </w:tcBorders>
            <w:shd w:val="clear" w:color="auto" w:fill="auto"/>
            <w:noWrap/>
            <w:vAlign w:val="bottom"/>
            <w:hideMark/>
          </w:tcPr>
          <w:p w14:paraId="5898CD61" w14:textId="2E1CBD64" w:rsidR="004E1198" w:rsidRPr="004E1198" w:rsidRDefault="004E1198" w:rsidP="004E1198">
            <w:pPr>
              <w:rPr>
                <w:rFonts w:cs="Arial"/>
                <w:color w:val="000000"/>
                <w:sz w:val="18"/>
                <w:szCs w:val="18"/>
                <w:lang w:val="en-US" w:eastAsia="en-US"/>
              </w:rPr>
            </w:pPr>
            <w:r w:rsidRPr="004E1198">
              <w:rPr>
                <w:rFonts w:cs="Arial"/>
                <w:color w:val="000000"/>
                <w:sz w:val="18"/>
                <w:szCs w:val="18"/>
                <w:lang w:val="en-US" w:eastAsia="en-US"/>
              </w:rPr>
              <w:t xml:space="preserve"> AUD   171,10 </w:t>
            </w:r>
          </w:p>
        </w:tc>
      </w:tr>
      <w:tr w:rsidR="004E1198" w:rsidRPr="004E1198" w14:paraId="4B49035D" w14:textId="77777777" w:rsidTr="004E1198">
        <w:trPr>
          <w:trHeight w:val="24"/>
        </w:trPr>
        <w:tc>
          <w:tcPr>
            <w:tcW w:w="4126" w:type="dxa"/>
            <w:tcBorders>
              <w:top w:val="nil"/>
              <w:left w:val="single" w:sz="8" w:space="0" w:color="auto"/>
              <w:bottom w:val="single" w:sz="4" w:space="0" w:color="auto"/>
              <w:right w:val="single" w:sz="4" w:space="0" w:color="auto"/>
            </w:tcBorders>
            <w:shd w:val="clear" w:color="auto" w:fill="auto"/>
            <w:noWrap/>
            <w:vAlign w:val="bottom"/>
            <w:hideMark/>
          </w:tcPr>
          <w:p w14:paraId="5B7909B9" w14:textId="77777777" w:rsidR="004E1198" w:rsidRPr="004E1198" w:rsidRDefault="004E1198" w:rsidP="004E1198">
            <w:pPr>
              <w:rPr>
                <w:rFonts w:cs="Arial"/>
                <w:color w:val="000000"/>
                <w:sz w:val="18"/>
                <w:szCs w:val="18"/>
                <w:lang w:val="en-US" w:eastAsia="en-US"/>
              </w:rPr>
            </w:pPr>
            <w:r w:rsidRPr="004E1198">
              <w:rPr>
                <w:rFonts w:cs="Arial"/>
                <w:color w:val="000000"/>
                <w:sz w:val="18"/>
                <w:szCs w:val="18"/>
                <w:lang w:val="en-US" w:eastAsia="en-US"/>
              </w:rPr>
              <w:t>Anaesthesia prep</w:t>
            </w:r>
          </w:p>
        </w:tc>
        <w:tc>
          <w:tcPr>
            <w:tcW w:w="4253" w:type="dxa"/>
            <w:tcBorders>
              <w:top w:val="nil"/>
              <w:left w:val="nil"/>
              <w:bottom w:val="single" w:sz="4" w:space="0" w:color="auto"/>
              <w:right w:val="single" w:sz="4" w:space="0" w:color="auto"/>
            </w:tcBorders>
            <w:shd w:val="clear" w:color="auto" w:fill="auto"/>
            <w:noWrap/>
            <w:vAlign w:val="center"/>
            <w:hideMark/>
          </w:tcPr>
          <w:p w14:paraId="4D76E947" w14:textId="77777777" w:rsidR="004E1198" w:rsidRPr="004E1198" w:rsidRDefault="004E1198" w:rsidP="004E1198">
            <w:pPr>
              <w:jc w:val="center"/>
              <w:rPr>
                <w:rFonts w:cs="Arial"/>
                <w:color w:val="000000"/>
                <w:sz w:val="18"/>
                <w:szCs w:val="18"/>
                <w:lang w:val="en-US" w:eastAsia="en-US"/>
              </w:rPr>
            </w:pPr>
            <w:r w:rsidRPr="004E1198">
              <w:rPr>
                <w:rFonts w:cs="Arial"/>
                <w:color w:val="000000"/>
                <w:sz w:val="18"/>
                <w:szCs w:val="18"/>
                <w:lang w:val="en-US" w:eastAsia="en-US"/>
              </w:rPr>
              <w:t>MBS item 17610</w:t>
            </w:r>
          </w:p>
        </w:tc>
        <w:tc>
          <w:tcPr>
            <w:tcW w:w="807" w:type="dxa"/>
            <w:tcBorders>
              <w:top w:val="nil"/>
              <w:left w:val="nil"/>
              <w:bottom w:val="single" w:sz="4" w:space="0" w:color="auto"/>
              <w:right w:val="single" w:sz="4" w:space="0" w:color="auto"/>
            </w:tcBorders>
            <w:shd w:val="clear" w:color="auto" w:fill="auto"/>
            <w:noWrap/>
            <w:vAlign w:val="center"/>
            <w:hideMark/>
          </w:tcPr>
          <w:p w14:paraId="65E03849" w14:textId="77777777" w:rsidR="004E1198" w:rsidRPr="004E1198" w:rsidRDefault="004E1198" w:rsidP="004E1198">
            <w:pPr>
              <w:jc w:val="center"/>
              <w:rPr>
                <w:rFonts w:cs="Arial"/>
                <w:color w:val="000000"/>
                <w:sz w:val="18"/>
                <w:szCs w:val="18"/>
                <w:lang w:val="en-US" w:eastAsia="en-US"/>
              </w:rPr>
            </w:pPr>
            <w:r w:rsidRPr="004E1198">
              <w:rPr>
                <w:rFonts w:cs="Arial"/>
                <w:color w:val="000000"/>
                <w:sz w:val="18"/>
                <w:szCs w:val="18"/>
                <w:lang w:val="en-US" w:eastAsia="en-US"/>
              </w:rPr>
              <w:t>1</w:t>
            </w:r>
          </w:p>
        </w:tc>
        <w:tc>
          <w:tcPr>
            <w:tcW w:w="1520" w:type="dxa"/>
            <w:tcBorders>
              <w:top w:val="nil"/>
              <w:left w:val="nil"/>
              <w:bottom w:val="single" w:sz="4" w:space="0" w:color="auto"/>
              <w:right w:val="single" w:sz="4" w:space="0" w:color="auto"/>
            </w:tcBorders>
            <w:shd w:val="clear" w:color="auto" w:fill="auto"/>
            <w:noWrap/>
            <w:vAlign w:val="bottom"/>
            <w:hideMark/>
          </w:tcPr>
          <w:p w14:paraId="65DC2D25" w14:textId="0EA29AF1" w:rsidR="004E1198" w:rsidRPr="004E1198" w:rsidRDefault="004E1198" w:rsidP="004E1198">
            <w:pPr>
              <w:rPr>
                <w:rFonts w:cs="Arial"/>
                <w:color w:val="000000"/>
                <w:sz w:val="18"/>
                <w:szCs w:val="18"/>
                <w:lang w:val="en-US" w:eastAsia="en-US"/>
              </w:rPr>
            </w:pPr>
            <w:r w:rsidRPr="004E1198">
              <w:rPr>
                <w:rFonts w:cs="Arial"/>
                <w:color w:val="000000"/>
                <w:sz w:val="18"/>
                <w:szCs w:val="18"/>
                <w:lang w:val="en-US" w:eastAsia="en-US"/>
              </w:rPr>
              <w:t xml:space="preserve"> AUD   43,00 </w:t>
            </w:r>
          </w:p>
        </w:tc>
        <w:tc>
          <w:tcPr>
            <w:tcW w:w="1540" w:type="dxa"/>
            <w:tcBorders>
              <w:top w:val="nil"/>
              <w:left w:val="nil"/>
              <w:bottom w:val="single" w:sz="4" w:space="0" w:color="auto"/>
              <w:right w:val="single" w:sz="8" w:space="0" w:color="auto"/>
            </w:tcBorders>
            <w:shd w:val="clear" w:color="auto" w:fill="auto"/>
            <w:noWrap/>
            <w:vAlign w:val="bottom"/>
            <w:hideMark/>
          </w:tcPr>
          <w:p w14:paraId="4ABCE278" w14:textId="4B2FFAB3" w:rsidR="004E1198" w:rsidRPr="004E1198" w:rsidRDefault="004E1198" w:rsidP="004E1198">
            <w:pPr>
              <w:rPr>
                <w:rFonts w:cs="Arial"/>
                <w:color w:val="000000"/>
                <w:sz w:val="18"/>
                <w:szCs w:val="18"/>
                <w:lang w:val="en-US" w:eastAsia="en-US"/>
              </w:rPr>
            </w:pPr>
            <w:r w:rsidRPr="004E1198">
              <w:rPr>
                <w:rFonts w:cs="Arial"/>
                <w:color w:val="000000"/>
                <w:sz w:val="18"/>
                <w:szCs w:val="18"/>
                <w:lang w:val="en-US" w:eastAsia="en-US"/>
              </w:rPr>
              <w:t xml:space="preserve"> AUD   43,00 </w:t>
            </w:r>
          </w:p>
        </w:tc>
      </w:tr>
      <w:tr w:rsidR="004E1198" w:rsidRPr="004E1198" w14:paraId="04B7432D" w14:textId="77777777" w:rsidTr="004E1198">
        <w:trPr>
          <w:trHeight w:val="24"/>
        </w:trPr>
        <w:tc>
          <w:tcPr>
            <w:tcW w:w="4126" w:type="dxa"/>
            <w:tcBorders>
              <w:top w:val="nil"/>
              <w:left w:val="single" w:sz="8" w:space="0" w:color="auto"/>
              <w:bottom w:val="single" w:sz="4" w:space="0" w:color="auto"/>
              <w:right w:val="single" w:sz="4" w:space="0" w:color="auto"/>
            </w:tcBorders>
            <w:shd w:val="clear" w:color="auto" w:fill="auto"/>
            <w:noWrap/>
            <w:vAlign w:val="bottom"/>
            <w:hideMark/>
          </w:tcPr>
          <w:p w14:paraId="4B12E498" w14:textId="77777777" w:rsidR="004E1198" w:rsidRPr="004E1198" w:rsidRDefault="004E1198" w:rsidP="004E1198">
            <w:pPr>
              <w:rPr>
                <w:rFonts w:cs="Arial"/>
                <w:color w:val="000000"/>
                <w:sz w:val="18"/>
                <w:szCs w:val="18"/>
                <w:lang w:val="en-US" w:eastAsia="en-US"/>
              </w:rPr>
            </w:pPr>
            <w:r w:rsidRPr="004E1198">
              <w:rPr>
                <w:rFonts w:cs="Arial"/>
                <w:color w:val="000000"/>
                <w:sz w:val="18"/>
                <w:szCs w:val="18"/>
                <w:lang w:val="en-US" w:eastAsia="en-US"/>
              </w:rPr>
              <w:t>Audiogram (ENT)</w:t>
            </w:r>
          </w:p>
        </w:tc>
        <w:tc>
          <w:tcPr>
            <w:tcW w:w="4253" w:type="dxa"/>
            <w:tcBorders>
              <w:top w:val="nil"/>
              <w:left w:val="nil"/>
              <w:bottom w:val="single" w:sz="4" w:space="0" w:color="auto"/>
              <w:right w:val="single" w:sz="4" w:space="0" w:color="auto"/>
            </w:tcBorders>
            <w:shd w:val="clear" w:color="auto" w:fill="auto"/>
            <w:noWrap/>
            <w:vAlign w:val="center"/>
            <w:hideMark/>
          </w:tcPr>
          <w:p w14:paraId="2ED884F2" w14:textId="77777777" w:rsidR="004E1198" w:rsidRPr="004E1198" w:rsidRDefault="004E1198" w:rsidP="004E1198">
            <w:pPr>
              <w:jc w:val="center"/>
              <w:rPr>
                <w:rFonts w:cs="Arial"/>
                <w:color w:val="000000"/>
                <w:sz w:val="18"/>
                <w:szCs w:val="18"/>
                <w:lang w:val="en-US" w:eastAsia="en-US"/>
              </w:rPr>
            </w:pPr>
            <w:r w:rsidRPr="004E1198">
              <w:rPr>
                <w:rFonts w:cs="Arial"/>
                <w:color w:val="000000"/>
                <w:sz w:val="18"/>
                <w:szCs w:val="18"/>
                <w:lang w:val="en-US" w:eastAsia="en-US"/>
              </w:rPr>
              <w:t>MBS item 11315</w:t>
            </w:r>
          </w:p>
        </w:tc>
        <w:tc>
          <w:tcPr>
            <w:tcW w:w="807" w:type="dxa"/>
            <w:tcBorders>
              <w:top w:val="nil"/>
              <w:left w:val="nil"/>
              <w:bottom w:val="single" w:sz="4" w:space="0" w:color="auto"/>
              <w:right w:val="single" w:sz="4" w:space="0" w:color="auto"/>
            </w:tcBorders>
            <w:shd w:val="clear" w:color="auto" w:fill="auto"/>
            <w:noWrap/>
            <w:vAlign w:val="center"/>
            <w:hideMark/>
          </w:tcPr>
          <w:p w14:paraId="4370F6B4" w14:textId="77777777" w:rsidR="004E1198" w:rsidRPr="004E1198" w:rsidRDefault="004E1198" w:rsidP="004E1198">
            <w:pPr>
              <w:jc w:val="center"/>
              <w:rPr>
                <w:rFonts w:cs="Arial"/>
                <w:color w:val="000000"/>
                <w:sz w:val="18"/>
                <w:szCs w:val="18"/>
                <w:lang w:val="en-US" w:eastAsia="en-US"/>
              </w:rPr>
            </w:pPr>
            <w:r w:rsidRPr="004E1198">
              <w:rPr>
                <w:rFonts w:cs="Arial"/>
                <w:color w:val="000000"/>
                <w:sz w:val="18"/>
                <w:szCs w:val="18"/>
                <w:lang w:val="en-US" w:eastAsia="en-US"/>
              </w:rPr>
              <w:t>1</w:t>
            </w:r>
          </w:p>
        </w:tc>
        <w:tc>
          <w:tcPr>
            <w:tcW w:w="1520" w:type="dxa"/>
            <w:tcBorders>
              <w:top w:val="nil"/>
              <w:left w:val="nil"/>
              <w:bottom w:val="single" w:sz="4" w:space="0" w:color="auto"/>
              <w:right w:val="single" w:sz="4" w:space="0" w:color="auto"/>
            </w:tcBorders>
            <w:shd w:val="clear" w:color="auto" w:fill="auto"/>
            <w:noWrap/>
            <w:vAlign w:val="bottom"/>
            <w:hideMark/>
          </w:tcPr>
          <w:p w14:paraId="5FB53978" w14:textId="250BC4C2" w:rsidR="004E1198" w:rsidRPr="004E1198" w:rsidRDefault="004E1198" w:rsidP="004E1198">
            <w:pPr>
              <w:rPr>
                <w:rFonts w:cs="Arial"/>
                <w:color w:val="000000"/>
                <w:sz w:val="18"/>
                <w:szCs w:val="18"/>
                <w:lang w:val="en-US" w:eastAsia="en-US"/>
              </w:rPr>
            </w:pPr>
            <w:r w:rsidRPr="004E1198">
              <w:rPr>
                <w:rFonts w:cs="Arial"/>
                <w:color w:val="000000"/>
                <w:sz w:val="18"/>
                <w:szCs w:val="18"/>
                <w:lang w:val="en-US" w:eastAsia="en-US"/>
              </w:rPr>
              <w:t xml:space="preserve"> AUD   49,20 </w:t>
            </w:r>
          </w:p>
        </w:tc>
        <w:tc>
          <w:tcPr>
            <w:tcW w:w="1540" w:type="dxa"/>
            <w:tcBorders>
              <w:top w:val="nil"/>
              <w:left w:val="nil"/>
              <w:bottom w:val="single" w:sz="4" w:space="0" w:color="auto"/>
              <w:right w:val="single" w:sz="8" w:space="0" w:color="auto"/>
            </w:tcBorders>
            <w:shd w:val="clear" w:color="auto" w:fill="auto"/>
            <w:noWrap/>
            <w:vAlign w:val="bottom"/>
            <w:hideMark/>
          </w:tcPr>
          <w:p w14:paraId="466AA7E1" w14:textId="0EF4C3EF" w:rsidR="004E1198" w:rsidRPr="004E1198" w:rsidRDefault="004E1198" w:rsidP="004E1198">
            <w:pPr>
              <w:rPr>
                <w:rFonts w:cs="Arial"/>
                <w:color w:val="000000"/>
                <w:sz w:val="18"/>
                <w:szCs w:val="18"/>
                <w:lang w:val="en-US" w:eastAsia="en-US"/>
              </w:rPr>
            </w:pPr>
            <w:r w:rsidRPr="004E1198">
              <w:rPr>
                <w:rFonts w:cs="Arial"/>
                <w:color w:val="000000"/>
                <w:sz w:val="18"/>
                <w:szCs w:val="18"/>
                <w:lang w:val="en-US" w:eastAsia="en-US"/>
              </w:rPr>
              <w:t xml:space="preserve"> AUD   49,20 </w:t>
            </w:r>
          </w:p>
        </w:tc>
      </w:tr>
      <w:tr w:rsidR="004E1198" w:rsidRPr="004E1198" w14:paraId="3AF6404B" w14:textId="77777777" w:rsidTr="004E1198">
        <w:trPr>
          <w:trHeight w:val="24"/>
        </w:trPr>
        <w:tc>
          <w:tcPr>
            <w:tcW w:w="4126" w:type="dxa"/>
            <w:tcBorders>
              <w:top w:val="nil"/>
              <w:left w:val="single" w:sz="8" w:space="0" w:color="auto"/>
              <w:bottom w:val="single" w:sz="4" w:space="0" w:color="auto"/>
              <w:right w:val="single" w:sz="4" w:space="0" w:color="auto"/>
            </w:tcBorders>
            <w:shd w:val="clear" w:color="auto" w:fill="auto"/>
            <w:noWrap/>
            <w:vAlign w:val="bottom"/>
            <w:hideMark/>
          </w:tcPr>
          <w:p w14:paraId="0598C010" w14:textId="77777777" w:rsidR="004E1198" w:rsidRPr="004E1198" w:rsidRDefault="004E1198" w:rsidP="004E1198">
            <w:pPr>
              <w:rPr>
                <w:rFonts w:cs="Arial"/>
                <w:color w:val="000000"/>
                <w:sz w:val="18"/>
                <w:szCs w:val="18"/>
                <w:lang w:val="en-US" w:eastAsia="en-US"/>
              </w:rPr>
            </w:pPr>
            <w:r w:rsidRPr="004E1198">
              <w:rPr>
                <w:rFonts w:cs="Arial"/>
                <w:color w:val="000000"/>
                <w:sz w:val="18"/>
                <w:szCs w:val="18"/>
                <w:lang w:val="en-US" w:eastAsia="en-US"/>
              </w:rPr>
              <w:t>Impedance audiogram (ENT)</w:t>
            </w:r>
          </w:p>
        </w:tc>
        <w:tc>
          <w:tcPr>
            <w:tcW w:w="4253" w:type="dxa"/>
            <w:tcBorders>
              <w:top w:val="nil"/>
              <w:left w:val="nil"/>
              <w:bottom w:val="single" w:sz="4" w:space="0" w:color="auto"/>
              <w:right w:val="single" w:sz="4" w:space="0" w:color="auto"/>
            </w:tcBorders>
            <w:shd w:val="clear" w:color="auto" w:fill="auto"/>
            <w:noWrap/>
            <w:vAlign w:val="center"/>
            <w:hideMark/>
          </w:tcPr>
          <w:p w14:paraId="500CC774" w14:textId="77777777" w:rsidR="004E1198" w:rsidRPr="004E1198" w:rsidRDefault="004E1198" w:rsidP="004E1198">
            <w:pPr>
              <w:jc w:val="center"/>
              <w:rPr>
                <w:rFonts w:cs="Arial"/>
                <w:color w:val="000000"/>
                <w:sz w:val="18"/>
                <w:szCs w:val="18"/>
                <w:lang w:val="en-US" w:eastAsia="en-US"/>
              </w:rPr>
            </w:pPr>
            <w:r w:rsidRPr="004E1198">
              <w:rPr>
                <w:rFonts w:cs="Arial"/>
                <w:color w:val="000000"/>
                <w:sz w:val="18"/>
                <w:szCs w:val="18"/>
                <w:lang w:val="en-US" w:eastAsia="en-US"/>
              </w:rPr>
              <w:t>MBS item 11327</w:t>
            </w:r>
          </w:p>
        </w:tc>
        <w:tc>
          <w:tcPr>
            <w:tcW w:w="807" w:type="dxa"/>
            <w:tcBorders>
              <w:top w:val="nil"/>
              <w:left w:val="nil"/>
              <w:bottom w:val="single" w:sz="4" w:space="0" w:color="auto"/>
              <w:right w:val="single" w:sz="4" w:space="0" w:color="auto"/>
            </w:tcBorders>
            <w:shd w:val="clear" w:color="auto" w:fill="auto"/>
            <w:noWrap/>
            <w:vAlign w:val="center"/>
            <w:hideMark/>
          </w:tcPr>
          <w:p w14:paraId="154C9C56" w14:textId="77777777" w:rsidR="004E1198" w:rsidRPr="004E1198" w:rsidRDefault="004E1198" w:rsidP="004E1198">
            <w:pPr>
              <w:jc w:val="center"/>
              <w:rPr>
                <w:rFonts w:cs="Arial"/>
                <w:color w:val="000000"/>
                <w:sz w:val="18"/>
                <w:szCs w:val="18"/>
                <w:lang w:val="en-US" w:eastAsia="en-US"/>
              </w:rPr>
            </w:pPr>
            <w:r w:rsidRPr="004E1198">
              <w:rPr>
                <w:rFonts w:cs="Arial"/>
                <w:color w:val="000000"/>
                <w:sz w:val="18"/>
                <w:szCs w:val="18"/>
                <w:lang w:val="en-US" w:eastAsia="en-US"/>
              </w:rPr>
              <w:t>1</w:t>
            </w:r>
          </w:p>
        </w:tc>
        <w:tc>
          <w:tcPr>
            <w:tcW w:w="1520" w:type="dxa"/>
            <w:tcBorders>
              <w:top w:val="nil"/>
              <w:left w:val="nil"/>
              <w:bottom w:val="single" w:sz="4" w:space="0" w:color="auto"/>
              <w:right w:val="single" w:sz="4" w:space="0" w:color="auto"/>
            </w:tcBorders>
            <w:shd w:val="clear" w:color="auto" w:fill="auto"/>
            <w:noWrap/>
            <w:vAlign w:val="bottom"/>
            <w:hideMark/>
          </w:tcPr>
          <w:p w14:paraId="37165800" w14:textId="6D890BA9" w:rsidR="004E1198" w:rsidRPr="004E1198" w:rsidRDefault="004E1198" w:rsidP="00C7683B">
            <w:pPr>
              <w:rPr>
                <w:rFonts w:cs="Arial"/>
                <w:color w:val="000000"/>
                <w:sz w:val="18"/>
                <w:szCs w:val="18"/>
                <w:lang w:val="en-US" w:eastAsia="en-US"/>
              </w:rPr>
            </w:pPr>
            <w:r w:rsidRPr="004E1198">
              <w:rPr>
                <w:rFonts w:cs="Arial"/>
                <w:color w:val="000000"/>
                <w:sz w:val="18"/>
                <w:szCs w:val="18"/>
                <w:lang w:val="en-US" w:eastAsia="en-US"/>
              </w:rPr>
              <w:t xml:space="preserve"> AUD   19,75 </w:t>
            </w:r>
          </w:p>
        </w:tc>
        <w:tc>
          <w:tcPr>
            <w:tcW w:w="1540" w:type="dxa"/>
            <w:tcBorders>
              <w:top w:val="nil"/>
              <w:left w:val="nil"/>
              <w:bottom w:val="single" w:sz="4" w:space="0" w:color="auto"/>
              <w:right w:val="single" w:sz="8" w:space="0" w:color="auto"/>
            </w:tcBorders>
            <w:shd w:val="clear" w:color="auto" w:fill="auto"/>
            <w:noWrap/>
            <w:vAlign w:val="bottom"/>
            <w:hideMark/>
          </w:tcPr>
          <w:p w14:paraId="6F3AB9C9" w14:textId="452FC3EB" w:rsidR="004E1198" w:rsidRPr="004E1198" w:rsidRDefault="004E1198" w:rsidP="00C7683B">
            <w:pPr>
              <w:rPr>
                <w:rFonts w:cs="Arial"/>
                <w:color w:val="000000"/>
                <w:sz w:val="18"/>
                <w:szCs w:val="18"/>
                <w:lang w:val="en-US" w:eastAsia="en-US"/>
              </w:rPr>
            </w:pPr>
            <w:r w:rsidRPr="004E1198">
              <w:rPr>
                <w:rFonts w:cs="Arial"/>
                <w:color w:val="000000"/>
                <w:sz w:val="18"/>
                <w:szCs w:val="18"/>
                <w:lang w:val="en-US" w:eastAsia="en-US"/>
              </w:rPr>
              <w:t xml:space="preserve"> AUD   19,75 </w:t>
            </w:r>
          </w:p>
        </w:tc>
      </w:tr>
      <w:tr w:rsidR="004E1198" w:rsidRPr="004E1198" w14:paraId="24C32BB6" w14:textId="77777777" w:rsidTr="004E1198">
        <w:trPr>
          <w:trHeight w:val="24"/>
        </w:trPr>
        <w:tc>
          <w:tcPr>
            <w:tcW w:w="4126" w:type="dxa"/>
            <w:tcBorders>
              <w:top w:val="nil"/>
              <w:left w:val="single" w:sz="8" w:space="0" w:color="auto"/>
              <w:bottom w:val="single" w:sz="4" w:space="0" w:color="auto"/>
              <w:right w:val="single" w:sz="4" w:space="0" w:color="auto"/>
            </w:tcBorders>
            <w:shd w:val="clear" w:color="auto" w:fill="auto"/>
            <w:noWrap/>
            <w:vAlign w:val="bottom"/>
            <w:hideMark/>
          </w:tcPr>
          <w:p w14:paraId="140D42DC" w14:textId="77777777" w:rsidR="004E1198" w:rsidRPr="004E1198" w:rsidRDefault="004E1198" w:rsidP="004E1198">
            <w:pPr>
              <w:rPr>
                <w:rFonts w:cs="Arial"/>
                <w:color w:val="000000"/>
                <w:sz w:val="18"/>
                <w:szCs w:val="18"/>
                <w:lang w:val="en-US" w:eastAsia="en-US"/>
              </w:rPr>
            </w:pPr>
            <w:r w:rsidRPr="004E1198">
              <w:rPr>
                <w:rFonts w:cs="Arial"/>
                <w:color w:val="000000"/>
                <w:sz w:val="18"/>
                <w:szCs w:val="18"/>
                <w:lang w:val="en-US" w:eastAsia="en-US"/>
              </w:rPr>
              <w:t>Impedance additional to audiogram (Audiologist)</w:t>
            </w:r>
          </w:p>
        </w:tc>
        <w:tc>
          <w:tcPr>
            <w:tcW w:w="4253" w:type="dxa"/>
            <w:tcBorders>
              <w:top w:val="nil"/>
              <w:left w:val="nil"/>
              <w:bottom w:val="single" w:sz="4" w:space="0" w:color="auto"/>
              <w:right w:val="single" w:sz="4" w:space="0" w:color="auto"/>
            </w:tcBorders>
            <w:shd w:val="clear" w:color="auto" w:fill="auto"/>
            <w:noWrap/>
            <w:vAlign w:val="center"/>
            <w:hideMark/>
          </w:tcPr>
          <w:p w14:paraId="5BCA9B95" w14:textId="77777777" w:rsidR="004E1198" w:rsidRPr="004E1198" w:rsidRDefault="004E1198" w:rsidP="004E1198">
            <w:pPr>
              <w:jc w:val="center"/>
              <w:rPr>
                <w:rFonts w:cs="Arial"/>
                <w:color w:val="000000"/>
                <w:sz w:val="18"/>
                <w:szCs w:val="18"/>
                <w:lang w:val="en-US" w:eastAsia="en-US"/>
              </w:rPr>
            </w:pPr>
            <w:r w:rsidRPr="004E1198">
              <w:rPr>
                <w:rFonts w:cs="Arial"/>
                <w:color w:val="000000"/>
                <w:sz w:val="18"/>
                <w:szCs w:val="18"/>
                <w:lang w:val="en-US" w:eastAsia="en-US"/>
              </w:rPr>
              <w:t>MBS item 82327</w:t>
            </w:r>
          </w:p>
        </w:tc>
        <w:tc>
          <w:tcPr>
            <w:tcW w:w="807" w:type="dxa"/>
            <w:tcBorders>
              <w:top w:val="nil"/>
              <w:left w:val="nil"/>
              <w:bottom w:val="single" w:sz="4" w:space="0" w:color="auto"/>
              <w:right w:val="single" w:sz="4" w:space="0" w:color="auto"/>
            </w:tcBorders>
            <w:shd w:val="clear" w:color="auto" w:fill="auto"/>
            <w:noWrap/>
            <w:vAlign w:val="center"/>
            <w:hideMark/>
          </w:tcPr>
          <w:p w14:paraId="06BF7CAC" w14:textId="77777777" w:rsidR="004E1198" w:rsidRPr="004E1198" w:rsidRDefault="004E1198" w:rsidP="004E1198">
            <w:pPr>
              <w:jc w:val="center"/>
              <w:rPr>
                <w:rFonts w:cs="Arial"/>
                <w:color w:val="000000"/>
                <w:sz w:val="18"/>
                <w:szCs w:val="18"/>
                <w:lang w:val="en-US" w:eastAsia="en-US"/>
              </w:rPr>
            </w:pPr>
            <w:r w:rsidRPr="004E1198">
              <w:rPr>
                <w:rFonts w:cs="Arial"/>
                <w:color w:val="000000"/>
                <w:sz w:val="18"/>
                <w:szCs w:val="18"/>
                <w:lang w:val="en-US" w:eastAsia="en-US"/>
              </w:rPr>
              <w:t>1</w:t>
            </w:r>
          </w:p>
        </w:tc>
        <w:tc>
          <w:tcPr>
            <w:tcW w:w="1520" w:type="dxa"/>
            <w:tcBorders>
              <w:top w:val="nil"/>
              <w:left w:val="nil"/>
              <w:bottom w:val="single" w:sz="4" w:space="0" w:color="auto"/>
              <w:right w:val="single" w:sz="4" w:space="0" w:color="auto"/>
            </w:tcBorders>
            <w:shd w:val="clear" w:color="auto" w:fill="auto"/>
            <w:noWrap/>
            <w:vAlign w:val="bottom"/>
            <w:hideMark/>
          </w:tcPr>
          <w:p w14:paraId="7B1E8848" w14:textId="7E9ED9DE" w:rsidR="004E1198" w:rsidRPr="004E1198" w:rsidRDefault="004E1198" w:rsidP="004E1198">
            <w:pPr>
              <w:rPr>
                <w:rFonts w:cs="Arial"/>
                <w:color w:val="000000"/>
                <w:sz w:val="18"/>
                <w:szCs w:val="18"/>
                <w:lang w:val="en-US" w:eastAsia="en-US"/>
              </w:rPr>
            </w:pPr>
            <w:r w:rsidRPr="004E1198">
              <w:rPr>
                <w:rFonts w:cs="Arial"/>
                <w:color w:val="000000"/>
                <w:sz w:val="18"/>
                <w:szCs w:val="18"/>
                <w:lang w:val="en-US" w:eastAsia="en-US"/>
              </w:rPr>
              <w:t xml:space="preserve"> AUD   15,80 </w:t>
            </w:r>
          </w:p>
        </w:tc>
        <w:tc>
          <w:tcPr>
            <w:tcW w:w="1540" w:type="dxa"/>
            <w:tcBorders>
              <w:top w:val="nil"/>
              <w:left w:val="nil"/>
              <w:bottom w:val="single" w:sz="4" w:space="0" w:color="auto"/>
              <w:right w:val="single" w:sz="8" w:space="0" w:color="auto"/>
            </w:tcBorders>
            <w:shd w:val="clear" w:color="auto" w:fill="auto"/>
            <w:noWrap/>
            <w:vAlign w:val="bottom"/>
            <w:hideMark/>
          </w:tcPr>
          <w:p w14:paraId="5D5F1C07" w14:textId="67D75D0F" w:rsidR="004E1198" w:rsidRPr="004E1198" w:rsidRDefault="004E1198" w:rsidP="00C7683B">
            <w:pPr>
              <w:rPr>
                <w:rFonts w:cs="Arial"/>
                <w:color w:val="000000"/>
                <w:sz w:val="18"/>
                <w:szCs w:val="18"/>
                <w:lang w:val="en-US" w:eastAsia="en-US"/>
              </w:rPr>
            </w:pPr>
            <w:r w:rsidRPr="004E1198">
              <w:rPr>
                <w:rFonts w:cs="Arial"/>
                <w:color w:val="000000"/>
                <w:sz w:val="18"/>
                <w:szCs w:val="18"/>
                <w:lang w:val="en-US" w:eastAsia="en-US"/>
              </w:rPr>
              <w:t xml:space="preserve"> AUD   15,80 </w:t>
            </w:r>
          </w:p>
        </w:tc>
      </w:tr>
      <w:tr w:rsidR="004E1198" w:rsidRPr="004E1198" w14:paraId="59B1E21D" w14:textId="77777777" w:rsidTr="00C7683B">
        <w:trPr>
          <w:trHeight w:val="218"/>
        </w:trPr>
        <w:tc>
          <w:tcPr>
            <w:tcW w:w="4126" w:type="dxa"/>
            <w:tcBorders>
              <w:top w:val="nil"/>
              <w:left w:val="single" w:sz="8" w:space="0" w:color="auto"/>
              <w:bottom w:val="single" w:sz="4" w:space="0" w:color="auto"/>
              <w:right w:val="single" w:sz="4" w:space="0" w:color="auto"/>
            </w:tcBorders>
            <w:shd w:val="clear" w:color="auto" w:fill="auto"/>
            <w:noWrap/>
            <w:vAlign w:val="bottom"/>
            <w:hideMark/>
          </w:tcPr>
          <w:p w14:paraId="6E709F8F" w14:textId="77777777" w:rsidR="004E1198" w:rsidRPr="004E1198" w:rsidRDefault="004E1198" w:rsidP="004E1198">
            <w:pPr>
              <w:rPr>
                <w:rFonts w:cs="Arial"/>
                <w:color w:val="000000"/>
                <w:sz w:val="18"/>
                <w:szCs w:val="18"/>
                <w:lang w:val="en-US" w:eastAsia="en-US"/>
              </w:rPr>
            </w:pPr>
            <w:r w:rsidRPr="004E1198">
              <w:rPr>
                <w:rFonts w:cs="Arial"/>
                <w:color w:val="000000"/>
                <w:sz w:val="18"/>
                <w:szCs w:val="18"/>
                <w:lang w:val="en-US" w:eastAsia="en-US"/>
              </w:rPr>
              <w:t>Surgery consultation</w:t>
            </w:r>
          </w:p>
        </w:tc>
        <w:tc>
          <w:tcPr>
            <w:tcW w:w="4253" w:type="dxa"/>
            <w:tcBorders>
              <w:top w:val="nil"/>
              <w:left w:val="nil"/>
              <w:bottom w:val="single" w:sz="4" w:space="0" w:color="auto"/>
              <w:right w:val="single" w:sz="4" w:space="0" w:color="auto"/>
            </w:tcBorders>
            <w:shd w:val="clear" w:color="auto" w:fill="auto"/>
            <w:noWrap/>
            <w:vAlign w:val="center"/>
            <w:hideMark/>
          </w:tcPr>
          <w:p w14:paraId="71A624DC" w14:textId="77777777" w:rsidR="004E1198" w:rsidRPr="004E1198" w:rsidRDefault="004E1198" w:rsidP="004E1198">
            <w:pPr>
              <w:jc w:val="center"/>
              <w:rPr>
                <w:rFonts w:cs="Arial"/>
                <w:color w:val="000000"/>
                <w:sz w:val="18"/>
                <w:szCs w:val="18"/>
                <w:lang w:val="en-US" w:eastAsia="en-US"/>
              </w:rPr>
            </w:pPr>
            <w:r w:rsidRPr="004E1198">
              <w:rPr>
                <w:rFonts w:cs="Arial"/>
                <w:color w:val="000000"/>
                <w:sz w:val="18"/>
                <w:szCs w:val="18"/>
                <w:lang w:val="en-US" w:eastAsia="en-US"/>
              </w:rPr>
              <w:t>MSB item 17615</w:t>
            </w:r>
          </w:p>
        </w:tc>
        <w:tc>
          <w:tcPr>
            <w:tcW w:w="807" w:type="dxa"/>
            <w:tcBorders>
              <w:top w:val="nil"/>
              <w:left w:val="nil"/>
              <w:bottom w:val="single" w:sz="4" w:space="0" w:color="auto"/>
              <w:right w:val="single" w:sz="4" w:space="0" w:color="auto"/>
            </w:tcBorders>
            <w:shd w:val="clear" w:color="auto" w:fill="auto"/>
            <w:noWrap/>
            <w:vAlign w:val="center"/>
            <w:hideMark/>
          </w:tcPr>
          <w:p w14:paraId="0DE10C21" w14:textId="77777777" w:rsidR="004E1198" w:rsidRPr="004E1198" w:rsidRDefault="004E1198" w:rsidP="004E1198">
            <w:pPr>
              <w:jc w:val="center"/>
              <w:rPr>
                <w:rFonts w:cs="Arial"/>
                <w:color w:val="000000"/>
                <w:sz w:val="18"/>
                <w:szCs w:val="18"/>
                <w:lang w:val="en-US" w:eastAsia="en-US"/>
              </w:rPr>
            </w:pPr>
            <w:r w:rsidRPr="004E1198">
              <w:rPr>
                <w:rFonts w:cs="Arial"/>
                <w:color w:val="000000"/>
                <w:sz w:val="18"/>
                <w:szCs w:val="18"/>
                <w:lang w:val="en-US" w:eastAsia="en-US"/>
              </w:rPr>
              <w:t>1</w:t>
            </w:r>
          </w:p>
        </w:tc>
        <w:tc>
          <w:tcPr>
            <w:tcW w:w="1520" w:type="dxa"/>
            <w:tcBorders>
              <w:top w:val="nil"/>
              <w:left w:val="nil"/>
              <w:bottom w:val="single" w:sz="4" w:space="0" w:color="auto"/>
              <w:right w:val="single" w:sz="4" w:space="0" w:color="auto"/>
            </w:tcBorders>
            <w:shd w:val="clear" w:color="auto" w:fill="auto"/>
            <w:noWrap/>
            <w:vAlign w:val="bottom"/>
            <w:hideMark/>
          </w:tcPr>
          <w:p w14:paraId="0D9AF960" w14:textId="4BDAAF2D" w:rsidR="004E1198" w:rsidRPr="004E1198" w:rsidRDefault="004E1198" w:rsidP="004E1198">
            <w:pPr>
              <w:rPr>
                <w:rFonts w:cs="Arial"/>
                <w:color w:val="000000"/>
                <w:sz w:val="18"/>
                <w:szCs w:val="18"/>
                <w:lang w:val="en-US" w:eastAsia="en-US"/>
              </w:rPr>
            </w:pPr>
            <w:r w:rsidRPr="004E1198">
              <w:rPr>
                <w:rFonts w:cs="Arial"/>
                <w:color w:val="000000"/>
                <w:sz w:val="18"/>
                <w:szCs w:val="18"/>
                <w:lang w:val="en-US" w:eastAsia="en-US"/>
              </w:rPr>
              <w:t xml:space="preserve"> AUD</w:t>
            </w:r>
            <w:r w:rsidR="00C7683B">
              <w:rPr>
                <w:rFonts w:cs="Arial"/>
                <w:color w:val="000000"/>
                <w:sz w:val="18"/>
                <w:szCs w:val="18"/>
                <w:lang w:val="en-US" w:eastAsia="en-US"/>
              </w:rPr>
              <w:t xml:space="preserve">  </w:t>
            </w:r>
            <w:r w:rsidRPr="004E1198">
              <w:rPr>
                <w:rFonts w:cs="Arial"/>
                <w:color w:val="000000"/>
                <w:sz w:val="18"/>
                <w:szCs w:val="18"/>
                <w:lang w:val="en-US" w:eastAsia="en-US"/>
              </w:rPr>
              <w:t xml:space="preserve"> 85,55 </w:t>
            </w:r>
          </w:p>
        </w:tc>
        <w:tc>
          <w:tcPr>
            <w:tcW w:w="1540" w:type="dxa"/>
            <w:tcBorders>
              <w:top w:val="nil"/>
              <w:left w:val="nil"/>
              <w:bottom w:val="single" w:sz="4" w:space="0" w:color="auto"/>
              <w:right w:val="single" w:sz="8" w:space="0" w:color="auto"/>
            </w:tcBorders>
            <w:shd w:val="clear" w:color="auto" w:fill="auto"/>
            <w:noWrap/>
            <w:vAlign w:val="bottom"/>
            <w:hideMark/>
          </w:tcPr>
          <w:p w14:paraId="0D5D91DF" w14:textId="1C11A2EF" w:rsidR="004E1198" w:rsidRPr="004E1198" w:rsidRDefault="004E1198" w:rsidP="004E1198">
            <w:pPr>
              <w:rPr>
                <w:rFonts w:cs="Arial"/>
                <w:color w:val="000000"/>
                <w:sz w:val="18"/>
                <w:szCs w:val="18"/>
                <w:lang w:val="en-US" w:eastAsia="en-US"/>
              </w:rPr>
            </w:pPr>
            <w:r w:rsidRPr="004E1198">
              <w:rPr>
                <w:rFonts w:cs="Arial"/>
                <w:color w:val="000000"/>
                <w:sz w:val="18"/>
                <w:szCs w:val="18"/>
                <w:lang w:val="en-US" w:eastAsia="en-US"/>
              </w:rPr>
              <w:t xml:space="preserve"> AUD   85,55 </w:t>
            </w:r>
          </w:p>
        </w:tc>
      </w:tr>
      <w:tr w:rsidR="004E1198" w:rsidRPr="004E1198" w14:paraId="69F405F8" w14:textId="77777777" w:rsidTr="004E1198">
        <w:trPr>
          <w:trHeight w:val="24"/>
        </w:trPr>
        <w:tc>
          <w:tcPr>
            <w:tcW w:w="4126" w:type="dxa"/>
            <w:tcBorders>
              <w:top w:val="nil"/>
              <w:left w:val="single" w:sz="8" w:space="0" w:color="auto"/>
              <w:bottom w:val="single" w:sz="4" w:space="0" w:color="auto"/>
              <w:right w:val="single" w:sz="4" w:space="0" w:color="auto"/>
            </w:tcBorders>
            <w:shd w:val="clear" w:color="auto" w:fill="auto"/>
            <w:noWrap/>
            <w:hideMark/>
          </w:tcPr>
          <w:p w14:paraId="183C6507" w14:textId="77777777" w:rsidR="004E1198" w:rsidRPr="004E1198" w:rsidRDefault="004E1198" w:rsidP="004E1198">
            <w:pPr>
              <w:rPr>
                <w:rFonts w:cs="Arial"/>
                <w:color w:val="000000"/>
                <w:sz w:val="18"/>
                <w:szCs w:val="18"/>
                <w:lang w:val="en-US" w:eastAsia="en-US"/>
              </w:rPr>
            </w:pPr>
            <w:r w:rsidRPr="004E1198">
              <w:rPr>
                <w:rFonts w:cs="Arial"/>
                <w:color w:val="000000"/>
                <w:sz w:val="18"/>
                <w:szCs w:val="18"/>
                <w:lang w:val="en-US" w:eastAsia="en-US"/>
              </w:rPr>
              <w:t>Counselling &amp; mental assessment (US03)</w:t>
            </w:r>
          </w:p>
        </w:tc>
        <w:tc>
          <w:tcPr>
            <w:tcW w:w="4253" w:type="dxa"/>
            <w:tcBorders>
              <w:top w:val="nil"/>
              <w:left w:val="nil"/>
              <w:bottom w:val="single" w:sz="4" w:space="0" w:color="auto"/>
              <w:right w:val="single" w:sz="4" w:space="0" w:color="auto"/>
            </w:tcBorders>
            <w:shd w:val="clear" w:color="auto" w:fill="auto"/>
            <w:hideMark/>
          </w:tcPr>
          <w:p w14:paraId="5FFC85FF" w14:textId="77777777" w:rsidR="004E1198" w:rsidRPr="004E1198" w:rsidRDefault="004E1198" w:rsidP="004E1198">
            <w:pPr>
              <w:jc w:val="center"/>
              <w:rPr>
                <w:rFonts w:cs="Arial"/>
                <w:color w:val="000000"/>
                <w:sz w:val="18"/>
                <w:szCs w:val="18"/>
                <w:lang w:val="en-US" w:eastAsia="en-US"/>
              </w:rPr>
            </w:pPr>
            <w:r w:rsidRPr="004E1198">
              <w:rPr>
                <w:rFonts w:cs="Arial"/>
                <w:color w:val="000000"/>
                <w:sz w:val="18"/>
                <w:szCs w:val="18"/>
                <w:lang w:val="en-US" w:eastAsia="en-US"/>
              </w:rPr>
              <w:t>DVA fee schedule item US03</w:t>
            </w:r>
          </w:p>
        </w:tc>
        <w:tc>
          <w:tcPr>
            <w:tcW w:w="807" w:type="dxa"/>
            <w:tcBorders>
              <w:top w:val="nil"/>
              <w:left w:val="nil"/>
              <w:bottom w:val="single" w:sz="4" w:space="0" w:color="auto"/>
              <w:right w:val="single" w:sz="4" w:space="0" w:color="auto"/>
            </w:tcBorders>
            <w:shd w:val="clear" w:color="auto" w:fill="auto"/>
            <w:noWrap/>
            <w:hideMark/>
          </w:tcPr>
          <w:p w14:paraId="75AD7A46" w14:textId="77777777" w:rsidR="004E1198" w:rsidRPr="004E1198" w:rsidRDefault="004E1198" w:rsidP="004E1198">
            <w:pPr>
              <w:jc w:val="center"/>
              <w:rPr>
                <w:rFonts w:cs="Arial"/>
                <w:color w:val="000000"/>
                <w:sz w:val="18"/>
                <w:szCs w:val="18"/>
                <w:lang w:val="en-US" w:eastAsia="en-US"/>
              </w:rPr>
            </w:pPr>
            <w:r w:rsidRPr="004E1198">
              <w:rPr>
                <w:rFonts w:cs="Arial"/>
                <w:color w:val="000000"/>
                <w:sz w:val="18"/>
                <w:szCs w:val="18"/>
                <w:lang w:val="en-US" w:eastAsia="en-US"/>
              </w:rPr>
              <w:t>1</w:t>
            </w:r>
          </w:p>
        </w:tc>
        <w:tc>
          <w:tcPr>
            <w:tcW w:w="1520" w:type="dxa"/>
            <w:tcBorders>
              <w:top w:val="nil"/>
              <w:left w:val="nil"/>
              <w:bottom w:val="single" w:sz="4" w:space="0" w:color="auto"/>
              <w:right w:val="single" w:sz="4" w:space="0" w:color="auto"/>
            </w:tcBorders>
            <w:shd w:val="clear" w:color="auto" w:fill="auto"/>
            <w:noWrap/>
            <w:hideMark/>
          </w:tcPr>
          <w:p w14:paraId="1B38CC30" w14:textId="1B3B67BA" w:rsidR="004E1198" w:rsidRPr="004E1198" w:rsidRDefault="004E1198" w:rsidP="004E1198">
            <w:pPr>
              <w:rPr>
                <w:rFonts w:cs="Arial"/>
                <w:color w:val="000000"/>
                <w:sz w:val="18"/>
                <w:szCs w:val="18"/>
                <w:lang w:val="en-US" w:eastAsia="en-US"/>
              </w:rPr>
            </w:pPr>
            <w:r w:rsidRPr="004E1198">
              <w:rPr>
                <w:rFonts w:cs="Arial"/>
                <w:color w:val="000000"/>
                <w:sz w:val="18"/>
                <w:szCs w:val="18"/>
                <w:lang w:val="en-US" w:eastAsia="en-US"/>
              </w:rPr>
              <w:t xml:space="preserve"> AUD   126,75 </w:t>
            </w:r>
          </w:p>
        </w:tc>
        <w:tc>
          <w:tcPr>
            <w:tcW w:w="1540" w:type="dxa"/>
            <w:tcBorders>
              <w:top w:val="nil"/>
              <w:left w:val="nil"/>
              <w:bottom w:val="single" w:sz="4" w:space="0" w:color="auto"/>
              <w:right w:val="single" w:sz="8" w:space="0" w:color="auto"/>
            </w:tcBorders>
            <w:shd w:val="clear" w:color="auto" w:fill="auto"/>
            <w:noWrap/>
            <w:hideMark/>
          </w:tcPr>
          <w:p w14:paraId="6CFE118B" w14:textId="0255261D" w:rsidR="004E1198" w:rsidRPr="004E1198" w:rsidRDefault="004E1198" w:rsidP="004E1198">
            <w:pPr>
              <w:rPr>
                <w:rFonts w:cs="Arial"/>
                <w:color w:val="000000"/>
                <w:sz w:val="18"/>
                <w:szCs w:val="18"/>
                <w:lang w:val="en-US" w:eastAsia="en-US"/>
              </w:rPr>
            </w:pPr>
            <w:r w:rsidRPr="004E1198">
              <w:rPr>
                <w:rFonts w:cs="Arial"/>
                <w:color w:val="000000"/>
                <w:sz w:val="18"/>
                <w:szCs w:val="18"/>
                <w:lang w:val="en-US" w:eastAsia="en-US"/>
              </w:rPr>
              <w:t xml:space="preserve"> AUD   126,75 </w:t>
            </w:r>
          </w:p>
        </w:tc>
      </w:tr>
      <w:tr w:rsidR="004E1198" w:rsidRPr="004E1198" w14:paraId="21ECD56C" w14:textId="77777777" w:rsidTr="004E1198">
        <w:trPr>
          <w:trHeight w:val="255"/>
        </w:trPr>
        <w:tc>
          <w:tcPr>
            <w:tcW w:w="4126" w:type="dxa"/>
            <w:tcBorders>
              <w:top w:val="nil"/>
              <w:left w:val="single" w:sz="8" w:space="0" w:color="auto"/>
              <w:bottom w:val="single" w:sz="4" w:space="0" w:color="auto"/>
              <w:right w:val="single" w:sz="4" w:space="0" w:color="auto"/>
            </w:tcBorders>
            <w:shd w:val="clear" w:color="000000" w:fill="8DB4E2"/>
            <w:noWrap/>
            <w:vAlign w:val="bottom"/>
            <w:hideMark/>
          </w:tcPr>
          <w:p w14:paraId="5195DA54" w14:textId="77777777" w:rsidR="004E1198" w:rsidRPr="004E1198" w:rsidRDefault="004E1198" w:rsidP="004E1198">
            <w:pPr>
              <w:jc w:val="right"/>
              <w:rPr>
                <w:rFonts w:cs="Arial"/>
                <w:color w:val="000000"/>
                <w:sz w:val="18"/>
                <w:szCs w:val="18"/>
                <w:lang w:val="en-US" w:eastAsia="en-US"/>
              </w:rPr>
            </w:pPr>
            <w:r w:rsidRPr="004E1198">
              <w:rPr>
                <w:rFonts w:cs="Arial"/>
                <w:color w:val="000000"/>
                <w:sz w:val="18"/>
                <w:szCs w:val="18"/>
                <w:lang w:val="en-US" w:eastAsia="en-US"/>
              </w:rPr>
              <w:t>subtotal</w:t>
            </w:r>
          </w:p>
        </w:tc>
        <w:tc>
          <w:tcPr>
            <w:tcW w:w="4253" w:type="dxa"/>
            <w:tcBorders>
              <w:top w:val="nil"/>
              <w:left w:val="nil"/>
              <w:bottom w:val="single" w:sz="4" w:space="0" w:color="auto"/>
              <w:right w:val="single" w:sz="4" w:space="0" w:color="auto"/>
            </w:tcBorders>
            <w:shd w:val="clear" w:color="000000" w:fill="8DB4E2"/>
            <w:noWrap/>
            <w:vAlign w:val="center"/>
            <w:hideMark/>
          </w:tcPr>
          <w:p w14:paraId="7CE59D2E" w14:textId="77777777" w:rsidR="004E1198" w:rsidRPr="004E1198" w:rsidRDefault="004E1198" w:rsidP="004E1198">
            <w:pPr>
              <w:jc w:val="center"/>
              <w:rPr>
                <w:rFonts w:cs="Arial"/>
                <w:color w:val="000000"/>
                <w:sz w:val="18"/>
                <w:szCs w:val="18"/>
                <w:lang w:val="en-US" w:eastAsia="en-US"/>
              </w:rPr>
            </w:pPr>
            <w:r w:rsidRPr="004E1198">
              <w:rPr>
                <w:rFonts w:cs="Arial"/>
                <w:color w:val="000000"/>
                <w:sz w:val="18"/>
                <w:szCs w:val="18"/>
                <w:lang w:val="en-US" w:eastAsia="en-US"/>
              </w:rPr>
              <w:t> </w:t>
            </w:r>
          </w:p>
        </w:tc>
        <w:tc>
          <w:tcPr>
            <w:tcW w:w="807" w:type="dxa"/>
            <w:tcBorders>
              <w:top w:val="nil"/>
              <w:left w:val="nil"/>
              <w:bottom w:val="single" w:sz="4" w:space="0" w:color="auto"/>
              <w:right w:val="single" w:sz="4" w:space="0" w:color="auto"/>
            </w:tcBorders>
            <w:shd w:val="clear" w:color="000000" w:fill="8DB4E2"/>
            <w:noWrap/>
            <w:vAlign w:val="center"/>
            <w:hideMark/>
          </w:tcPr>
          <w:p w14:paraId="0FCBF7A8" w14:textId="77777777" w:rsidR="004E1198" w:rsidRPr="004E1198" w:rsidRDefault="004E1198" w:rsidP="004E1198">
            <w:pPr>
              <w:jc w:val="center"/>
              <w:rPr>
                <w:rFonts w:cs="Arial"/>
                <w:color w:val="000000"/>
                <w:sz w:val="18"/>
                <w:szCs w:val="18"/>
                <w:lang w:val="en-US" w:eastAsia="en-US"/>
              </w:rPr>
            </w:pPr>
            <w:r w:rsidRPr="004E1198">
              <w:rPr>
                <w:rFonts w:cs="Arial"/>
                <w:color w:val="000000"/>
                <w:sz w:val="18"/>
                <w:szCs w:val="18"/>
                <w:lang w:val="en-US" w:eastAsia="en-US"/>
              </w:rPr>
              <w:t> </w:t>
            </w:r>
          </w:p>
        </w:tc>
        <w:tc>
          <w:tcPr>
            <w:tcW w:w="1520" w:type="dxa"/>
            <w:tcBorders>
              <w:top w:val="nil"/>
              <w:left w:val="nil"/>
              <w:bottom w:val="single" w:sz="4" w:space="0" w:color="auto"/>
              <w:right w:val="single" w:sz="4" w:space="0" w:color="auto"/>
            </w:tcBorders>
            <w:shd w:val="clear" w:color="000000" w:fill="8DB4E2"/>
            <w:noWrap/>
            <w:vAlign w:val="bottom"/>
            <w:hideMark/>
          </w:tcPr>
          <w:p w14:paraId="1EE8AAF2" w14:textId="713912CE" w:rsidR="004E1198" w:rsidRPr="004E1198" w:rsidRDefault="004E1198" w:rsidP="004E1198">
            <w:pPr>
              <w:rPr>
                <w:rFonts w:cs="Arial"/>
                <w:color w:val="000000"/>
                <w:sz w:val="18"/>
                <w:szCs w:val="18"/>
                <w:lang w:val="en-US" w:eastAsia="en-US"/>
              </w:rPr>
            </w:pPr>
            <w:r w:rsidRPr="004E1198">
              <w:rPr>
                <w:rFonts w:cs="Arial"/>
                <w:color w:val="000000"/>
                <w:sz w:val="18"/>
                <w:szCs w:val="18"/>
                <w:lang w:val="en-US" w:eastAsia="en-US"/>
              </w:rPr>
              <w:t xml:space="preserve"> AUD</w:t>
            </w:r>
            <w:r w:rsidR="00C7683B">
              <w:rPr>
                <w:rFonts w:cs="Arial"/>
                <w:color w:val="000000"/>
                <w:sz w:val="18"/>
                <w:szCs w:val="18"/>
                <w:lang w:val="en-US" w:eastAsia="en-US"/>
              </w:rPr>
              <w:t xml:space="preserve">  </w:t>
            </w:r>
            <w:r w:rsidRPr="004E1198">
              <w:rPr>
                <w:rFonts w:cs="Arial"/>
                <w:color w:val="000000"/>
                <w:sz w:val="18"/>
                <w:szCs w:val="18"/>
                <w:lang w:val="en-US" w:eastAsia="en-US"/>
              </w:rPr>
              <w:t xml:space="preserve"> 425,60 </w:t>
            </w:r>
          </w:p>
        </w:tc>
        <w:tc>
          <w:tcPr>
            <w:tcW w:w="1540" w:type="dxa"/>
            <w:tcBorders>
              <w:top w:val="nil"/>
              <w:left w:val="nil"/>
              <w:bottom w:val="single" w:sz="4" w:space="0" w:color="auto"/>
              <w:right w:val="single" w:sz="8" w:space="0" w:color="auto"/>
            </w:tcBorders>
            <w:shd w:val="clear" w:color="000000" w:fill="8DB4E2"/>
            <w:noWrap/>
            <w:vAlign w:val="bottom"/>
            <w:hideMark/>
          </w:tcPr>
          <w:p w14:paraId="5EF2C141" w14:textId="30283DAA" w:rsidR="004E1198" w:rsidRPr="004E1198" w:rsidRDefault="004E1198" w:rsidP="004E1198">
            <w:pPr>
              <w:rPr>
                <w:rFonts w:cs="Arial"/>
                <w:color w:val="000000"/>
                <w:sz w:val="18"/>
                <w:szCs w:val="18"/>
                <w:lang w:val="en-US" w:eastAsia="en-US"/>
              </w:rPr>
            </w:pPr>
            <w:r w:rsidRPr="004E1198">
              <w:rPr>
                <w:rFonts w:cs="Arial"/>
                <w:color w:val="000000"/>
                <w:sz w:val="18"/>
                <w:szCs w:val="18"/>
                <w:lang w:val="en-US" w:eastAsia="en-US"/>
              </w:rPr>
              <w:t xml:space="preserve"> AUD</w:t>
            </w:r>
            <w:r w:rsidR="00C7683B">
              <w:rPr>
                <w:rFonts w:cs="Arial"/>
                <w:color w:val="000000"/>
                <w:sz w:val="18"/>
                <w:szCs w:val="18"/>
                <w:lang w:val="en-US" w:eastAsia="en-US"/>
              </w:rPr>
              <w:t xml:space="preserve">  </w:t>
            </w:r>
            <w:r w:rsidRPr="004E1198">
              <w:rPr>
                <w:rFonts w:cs="Arial"/>
                <w:color w:val="000000"/>
                <w:sz w:val="18"/>
                <w:szCs w:val="18"/>
                <w:lang w:val="en-US" w:eastAsia="en-US"/>
              </w:rPr>
              <w:t xml:space="preserve"> 511,15 </w:t>
            </w:r>
          </w:p>
        </w:tc>
      </w:tr>
      <w:tr w:rsidR="004E1198" w:rsidRPr="004E1198" w14:paraId="0A7D2B8A" w14:textId="77777777" w:rsidTr="004E1198">
        <w:trPr>
          <w:trHeight w:val="255"/>
        </w:trPr>
        <w:tc>
          <w:tcPr>
            <w:tcW w:w="4126" w:type="dxa"/>
            <w:tcBorders>
              <w:top w:val="nil"/>
              <w:left w:val="single" w:sz="8" w:space="0" w:color="auto"/>
              <w:bottom w:val="single" w:sz="4" w:space="0" w:color="auto"/>
              <w:right w:val="single" w:sz="4" w:space="0" w:color="auto"/>
            </w:tcBorders>
            <w:shd w:val="clear" w:color="auto" w:fill="auto"/>
            <w:noWrap/>
            <w:vAlign w:val="bottom"/>
            <w:hideMark/>
          </w:tcPr>
          <w:p w14:paraId="15C45EE9" w14:textId="77777777" w:rsidR="004E1198" w:rsidRPr="004E1198" w:rsidRDefault="004E1198" w:rsidP="004E1198">
            <w:pPr>
              <w:rPr>
                <w:rFonts w:cs="Arial"/>
                <w:b/>
                <w:bCs/>
                <w:i/>
                <w:iCs/>
                <w:color w:val="000000"/>
                <w:sz w:val="18"/>
                <w:szCs w:val="18"/>
                <w:lang w:val="en-US" w:eastAsia="en-US"/>
              </w:rPr>
            </w:pPr>
            <w:r w:rsidRPr="004E1198">
              <w:rPr>
                <w:rFonts w:cs="Arial"/>
                <w:b/>
                <w:bCs/>
                <w:i/>
                <w:iCs/>
                <w:color w:val="000000"/>
                <w:sz w:val="18"/>
                <w:szCs w:val="18"/>
                <w:lang w:val="en-US" w:eastAsia="en-US"/>
              </w:rPr>
              <w:t>Operational</w:t>
            </w:r>
          </w:p>
        </w:tc>
        <w:tc>
          <w:tcPr>
            <w:tcW w:w="4253" w:type="dxa"/>
            <w:tcBorders>
              <w:top w:val="nil"/>
              <w:left w:val="nil"/>
              <w:bottom w:val="single" w:sz="4" w:space="0" w:color="auto"/>
              <w:right w:val="single" w:sz="4" w:space="0" w:color="auto"/>
            </w:tcBorders>
            <w:shd w:val="clear" w:color="auto" w:fill="auto"/>
            <w:noWrap/>
            <w:vAlign w:val="center"/>
            <w:hideMark/>
          </w:tcPr>
          <w:p w14:paraId="2979DFD8" w14:textId="77777777" w:rsidR="004E1198" w:rsidRPr="004E1198" w:rsidRDefault="004E1198" w:rsidP="004E1198">
            <w:pPr>
              <w:jc w:val="center"/>
              <w:rPr>
                <w:rFonts w:cs="Arial"/>
                <w:color w:val="000000"/>
                <w:sz w:val="18"/>
                <w:szCs w:val="18"/>
                <w:lang w:val="en-US" w:eastAsia="en-US"/>
              </w:rPr>
            </w:pPr>
            <w:r w:rsidRPr="004E1198">
              <w:rPr>
                <w:rFonts w:cs="Arial"/>
                <w:color w:val="000000"/>
                <w:sz w:val="18"/>
                <w:szCs w:val="18"/>
                <w:lang w:val="en-US" w:eastAsia="en-US"/>
              </w:rPr>
              <w:t> </w:t>
            </w:r>
          </w:p>
        </w:tc>
        <w:tc>
          <w:tcPr>
            <w:tcW w:w="807" w:type="dxa"/>
            <w:tcBorders>
              <w:top w:val="nil"/>
              <w:left w:val="nil"/>
              <w:bottom w:val="single" w:sz="4" w:space="0" w:color="auto"/>
              <w:right w:val="single" w:sz="4" w:space="0" w:color="auto"/>
            </w:tcBorders>
            <w:shd w:val="clear" w:color="auto" w:fill="auto"/>
            <w:noWrap/>
            <w:vAlign w:val="center"/>
            <w:hideMark/>
          </w:tcPr>
          <w:p w14:paraId="438D3B15" w14:textId="77777777" w:rsidR="004E1198" w:rsidRPr="004E1198" w:rsidRDefault="004E1198" w:rsidP="004E1198">
            <w:pPr>
              <w:jc w:val="center"/>
              <w:rPr>
                <w:rFonts w:cs="Arial"/>
                <w:color w:val="000000"/>
                <w:sz w:val="18"/>
                <w:szCs w:val="18"/>
                <w:lang w:val="en-US" w:eastAsia="en-US"/>
              </w:rPr>
            </w:pPr>
            <w:r w:rsidRPr="004E1198">
              <w:rPr>
                <w:rFonts w:cs="Arial"/>
                <w:color w:val="000000"/>
                <w:sz w:val="18"/>
                <w:szCs w:val="18"/>
                <w:lang w:val="en-US" w:eastAsia="en-US"/>
              </w:rPr>
              <w:t> </w:t>
            </w:r>
          </w:p>
        </w:tc>
        <w:tc>
          <w:tcPr>
            <w:tcW w:w="1520" w:type="dxa"/>
            <w:tcBorders>
              <w:top w:val="nil"/>
              <w:left w:val="nil"/>
              <w:bottom w:val="single" w:sz="4" w:space="0" w:color="auto"/>
              <w:right w:val="single" w:sz="4" w:space="0" w:color="auto"/>
            </w:tcBorders>
            <w:shd w:val="clear" w:color="auto" w:fill="auto"/>
            <w:noWrap/>
            <w:vAlign w:val="bottom"/>
            <w:hideMark/>
          </w:tcPr>
          <w:p w14:paraId="1C2077C3" w14:textId="77777777" w:rsidR="004E1198" w:rsidRPr="004E1198" w:rsidRDefault="004E1198" w:rsidP="004E1198">
            <w:pPr>
              <w:rPr>
                <w:rFonts w:cs="Arial"/>
                <w:color w:val="000000"/>
                <w:sz w:val="18"/>
                <w:szCs w:val="18"/>
                <w:lang w:val="en-US" w:eastAsia="en-US"/>
              </w:rPr>
            </w:pPr>
            <w:r w:rsidRPr="004E1198">
              <w:rPr>
                <w:rFonts w:cs="Arial"/>
                <w:color w:val="000000"/>
                <w:sz w:val="18"/>
                <w:szCs w:val="18"/>
                <w:lang w:val="en-US" w:eastAsia="en-US"/>
              </w:rPr>
              <w:t> </w:t>
            </w:r>
          </w:p>
        </w:tc>
        <w:tc>
          <w:tcPr>
            <w:tcW w:w="1540" w:type="dxa"/>
            <w:tcBorders>
              <w:top w:val="nil"/>
              <w:left w:val="nil"/>
              <w:bottom w:val="single" w:sz="4" w:space="0" w:color="auto"/>
              <w:right w:val="single" w:sz="8" w:space="0" w:color="auto"/>
            </w:tcBorders>
            <w:shd w:val="clear" w:color="auto" w:fill="auto"/>
            <w:noWrap/>
            <w:vAlign w:val="bottom"/>
            <w:hideMark/>
          </w:tcPr>
          <w:p w14:paraId="249F333B" w14:textId="77777777" w:rsidR="004E1198" w:rsidRPr="004E1198" w:rsidRDefault="004E1198" w:rsidP="004E1198">
            <w:pPr>
              <w:rPr>
                <w:rFonts w:cs="Arial"/>
                <w:color w:val="000000"/>
                <w:sz w:val="18"/>
                <w:szCs w:val="18"/>
                <w:lang w:val="en-US" w:eastAsia="en-US"/>
              </w:rPr>
            </w:pPr>
            <w:r w:rsidRPr="004E1198">
              <w:rPr>
                <w:rFonts w:cs="Arial"/>
                <w:color w:val="000000"/>
                <w:sz w:val="18"/>
                <w:szCs w:val="18"/>
                <w:lang w:val="en-US" w:eastAsia="en-US"/>
              </w:rPr>
              <w:t> </w:t>
            </w:r>
          </w:p>
        </w:tc>
      </w:tr>
      <w:tr w:rsidR="004E1198" w:rsidRPr="004E1198" w14:paraId="3BA91D07" w14:textId="77777777" w:rsidTr="004E1198">
        <w:trPr>
          <w:trHeight w:val="238"/>
        </w:trPr>
        <w:tc>
          <w:tcPr>
            <w:tcW w:w="4126" w:type="dxa"/>
            <w:tcBorders>
              <w:top w:val="nil"/>
              <w:left w:val="single" w:sz="8" w:space="0" w:color="auto"/>
              <w:bottom w:val="single" w:sz="4" w:space="0" w:color="auto"/>
              <w:right w:val="single" w:sz="4" w:space="0" w:color="auto"/>
            </w:tcBorders>
            <w:shd w:val="clear" w:color="auto" w:fill="auto"/>
            <w:noWrap/>
            <w:vAlign w:val="bottom"/>
            <w:hideMark/>
          </w:tcPr>
          <w:p w14:paraId="7EFBFD15" w14:textId="77777777" w:rsidR="004E1198" w:rsidRPr="004E1198" w:rsidRDefault="004E1198" w:rsidP="004E1198">
            <w:pPr>
              <w:rPr>
                <w:rFonts w:cs="Arial"/>
                <w:color w:val="000000"/>
                <w:sz w:val="18"/>
                <w:szCs w:val="18"/>
                <w:lang w:val="en-US" w:eastAsia="en-US"/>
              </w:rPr>
            </w:pPr>
            <w:r w:rsidRPr="004E1198">
              <w:rPr>
                <w:rFonts w:cs="Arial"/>
                <w:color w:val="000000"/>
                <w:sz w:val="18"/>
                <w:szCs w:val="18"/>
                <w:lang w:val="en-US" w:eastAsia="en-US"/>
              </w:rPr>
              <w:t>CT Scan</w:t>
            </w:r>
          </w:p>
        </w:tc>
        <w:tc>
          <w:tcPr>
            <w:tcW w:w="4253" w:type="dxa"/>
            <w:tcBorders>
              <w:top w:val="nil"/>
              <w:left w:val="nil"/>
              <w:bottom w:val="single" w:sz="4" w:space="0" w:color="auto"/>
              <w:right w:val="single" w:sz="4" w:space="0" w:color="auto"/>
            </w:tcBorders>
            <w:shd w:val="clear" w:color="auto" w:fill="auto"/>
            <w:noWrap/>
            <w:vAlign w:val="center"/>
            <w:hideMark/>
          </w:tcPr>
          <w:p w14:paraId="2429186D" w14:textId="77777777" w:rsidR="004E1198" w:rsidRPr="004E1198" w:rsidRDefault="004E1198" w:rsidP="004E1198">
            <w:pPr>
              <w:jc w:val="center"/>
              <w:rPr>
                <w:rFonts w:cs="Arial"/>
                <w:color w:val="000000"/>
                <w:sz w:val="18"/>
                <w:szCs w:val="18"/>
                <w:lang w:val="en-US" w:eastAsia="en-US"/>
              </w:rPr>
            </w:pPr>
            <w:r w:rsidRPr="004E1198">
              <w:rPr>
                <w:rFonts w:cs="Arial"/>
                <w:color w:val="000000"/>
                <w:sz w:val="18"/>
                <w:szCs w:val="18"/>
                <w:lang w:val="en-US" w:eastAsia="en-US"/>
              </w:rPr>
              <w:t>MBS item 56016</w:t>
            </w:r>
          </w:p>
        </w:tc>
        <w:tc>
          <w:tcPr>
            <w:tcW w:w="807" w:type="dxa"/>
            <w:tcBorders>
              <w:top w:val="nil"/>
              <w:left w:val="nil"/>
              <w:bottom w:val="single" w:sz="4" w:space="0" w:color="auto"/>
              <w:right w:val="single" w:sz="4" w:space="0" w:color="auto"/>
            </w:tcBorders>
            <w:shd w:val="clear" w:color="auto" w:fill="auto"/>
            <w:noWrap/>
            <w:vAlign w:val="center"/>
            <w:hideMark/>
          </w:tcPr>
          <w:p w14:paraId="579AC292" w14:textId="77777777" w:rsidR="004E1198" w:rsidRPr="004E1198" w:rsidRDefault="004E1198" w:rsidP="004E1198">
            <w:pPr>
              <w:jc w:val="center"/>
              <w:rPr>
                <w:rFonts w:cs="Arial"/>
                <w:color w:val="000000"/>
                <w:sz w:val="18"/>
                <w:szCs w:val="18"/>
                <w:lang w:val="en-US" w:eastAsia="en-US"/>
              </w:rPr>
            </w:pPr>
            <w:r w:rsidRPr="004E1198">
              <w:rPr>
                <w:rFonts w:cs="Arial"/>
                <w:color w:val="000000"/>
                <w:sz w:val="18"/>
                <w:szCs w:val="18"/>
                <w:lang w:val="en-US" w:eastAsia="en-US"/>
              </w:rPr>
              <w:t>1</w:t>
            </w:r>
          </w:p>
        </w:tc>
        <w:tc>
          <w:tcPr>
            <w:tcW w:w="1520" w:type="dxa"/>
            <w:tcBorders>
              <w:top w:val="nil"/>
              <w:left w:val="nil"/>
              <w:bottom w:val="single" w:sz="4" w:space="0" w:color="auto"/>
              <w:right w:val="single" w:sz="4" w:space="0" w:color="auto"/>
            </w:tcBorders>
            <w:shd w:val="clear" w:color="auto" w:fill="auto"/>
            <w:noWrap/>
            <w:vAlign w:val="bottom"/>
            <w:hideMark/>
          </w:tcPr>
          <w:p w14:paraId="672744FC" w14:textId="1C22BEBF" w:rsidR="004E1198" w:rsidRPr="004E1198" w:rsidRDefault="00C7683B" w:rsidP="004E1198">
            <w:pPr>
              <w:rPr>
                <w:rFonts w:cs="Arial"/>
                <w:color w:val="000000"/>
                <w:sz w:val="18"/>
                <w:szCs w:val="18"/>
                <w:lang w:val="en-US" w:eastAsia="en-US"/>
              </w:rPr>
            </w:pPr>
            <w:r>
              <w:rPr>
                <w:rFonts w:cs="Arial"/>
                <w:color w:val="000000"/>
                <w:sz w:val="18"/>
                <w:szCs w:val="18"/>
                <w:lang w:val="en-US" w:eastAsia="en-US"/>
              </w:rPr>
              <w:t xml:space="preserve"> AUD   </w:t>
            </w:r>
            <w:r w:rsidR="004E1198" w:rsidRPr="004E1198">
              <w:rPr>
                <w:rFonts w:cs="Arial"/>
                <w:color w:val="000000"/>
                <w:sz w:val="18"/>
                <w:szCs w:val="18"/>
                <w:lang w:val="en-US" w:eastAsia="en-US"/>
              </w:rPr>
              <w:t xml:space="preserve">290,00 </w:t>
            </w:r>
          </w:p>
        </w:tc>
        <w:tc>
          <w:tcPr>
            <w:tcW w:w="1540" w:type="dxa"/>
            <w:tcBorders>
              <w:top w:val="nil"/>
              <w:left w:val="nil"/>
              <w:bottom w:val="single" w:sz="4" w:space="0" w:color="auto"/>
              <w:right w:val="single" w:sz="8" w:space="0" w:color="auto"/>
            </w:tcBorders>
            <w:shd w:val="clear" w:color="auto" w:fill="auto"/>
            <w:noWrap/>
            <w:vAlign w:val="bottom"/>
            <w:hideMark/>
          </w:tcPr>
          <w:p w14:paraId="688E719A" w14:textId="6A60D3B8" w:rsidR="004E1198" w:rsidRPr="004E1198" w:rsidRDefault="004E1198" w:rsidP="004E1198">
            <w:pPr>
              <w:rPr>
                <w:rFonts w:cs="Arial"/>
                <w:color w:val="000000"/>
                <w:sz w:val="18"/>
                <w:szCs w:val="18"/>
                <w:lang w:val="en-US" w:eastAsia="en-US"/>
              </w:rPr>
            </w:pPr>
            <w:r w:rsidRPr="004E1198">
              <w:rPr>
                <w:rFonts w:cs="Arial"/>
                <w:color w:val="000000"/>
                <w:sz w:val="18"/>
                <w:szCs w:val="18"/>
                <w:lang w:val="en-US" w:eastAsia="en-US"/>
              </w:rPr>
              <w:t xml:space="preserve"> AUD   290,00 </w:t>
            </w:r>
          </w:p>
        </w:tc>
      </w:tr>
      <w:tr w:rsidR="004E1198" w:rsidRPr="004E1198" w14:paraId="798EDC75" w14:textId="77777777" w:rsidTr="004E1198">
        <w:trPr>
          <w:trHeight w:val="238"/>
        </w:trPr>
        <w:tc>
          <w:tcPr>
            <w:tcW w:w="4126" w:type="dxa"/>
            <w:tcBorders>
              <w:top w:val="nil"/>
              <w:left w:val="single" w:sz="8" w:space="0" w:color="auto"/>
              <w:bottom w:val="single" w:sz="4" w:space="0" w:color="auto"/>
              <w:right w:val="single" w:sz="4" w:space="0" w:color="auto"/>
            </w:tcBorders>
            <w:shd w:val="clear" w:color="auto" w:fill="auto"/>
            <w:noWrap/>
            <w:vAlign w:val="bottom"/>
            <w:hideMark/>
          </w:tcPr>
          <w:p w14:paraId="61CB6796" w14:textId="77777777" w:rsidR="004E1198" w:rsidRPr="004E1198" w:rsidRDefault="004E1198" w:rsidP="004E1198">
            <w:pPr>
              <w:rPr>
                <w:rFonts w:cs="Arial"/>
                <w:color w:val="000000"/>
                <w:sz w:val="18"/>
                <w:szCs w:val="18"/>
                <w:lang w:val="en-US" w:eastAsia="en-US"/>
              </w:rPr>
            </w:pPr>
            <w:r w:rsidRPr="004E1198">
              <w:rPr>
                <w:rFonts w:cs="Arial"/>
                <w:color w:val="000000"/>
                <w:sz w:val="18"/>
                <w:szCs w:val="18"/>
                <w:lang w:val="en-US" w:eastAsia="en-US"/>
              </w:rPr>
              <w:t>Facial nerve monitoring</w:t>
            </w:r>
          </w:p>
        </w:tc>
        <w:tc>
          <w:tcPr>
            <w:tcW w:w="4253" w:type="dxa"/>
            <w:tcBorders>
              <w:top w:val="nil"/>
              <w:left w:val="nil"/>
              <w:bottom w:val="single" w:sz="4" w:space="0" w:color="auto"/>
              <w:right w:val="single" w:sz="4" w:space="0" w:color="auto"/>
            </w:tcBorders>
            <w:shd w:val="clear" w:color="auto" w:fill="auto"/>
            <w:noWrap/>
            <w:vAlign w:val="center"/>
            <w:hideMark/>
          </w:tcPr>
          <w:p w14:paraId="5351E1B9" w14:textId="77777777" w:rsidR="004E1198" w:rsidRPr="004E1198" w:rsidRDefault="004E1198" w:rsidP="004E1198">
            <w:pPr>
              <w:jc w:val="center"/>
              <w:rPr>
                <w:rFonts w:cs="Arial"/>
                <w:color w:val="000000"/>
                <w:sz w:val="18"/>
                <w:szCs w:val="18"/>
                <w:lang w:val="en-US" w:eastAsia="en-US"/>
              </w:rPr>
            </w:pPr>
            <w:r w:rsidRPr="004E1198">
              <w:rPr>
                <w:rFonts w:cs="Arial"/>
                <w:color w:val="000000"/>
                <w:sz w:val="18"/>
                <w:szCs w:val="18"/>
                <w:lang w:val="en-US" w:eastAsia="en-US"/>
              </w:rPr>
              <w:t>MBS item 11015</w:t>
            </w:r>
          </w:p>
        </w:tc>
        <w:tc>
          <w:tcPr>
            <w:tcW w:w="807" w:type="dxa"/>
            <w:tcBorders>
              <w:top w:val="nil"/>
              <w:left w:val="nil"/>
              <w:bottom w:val="single" w:sz="4" w:space="0" w:color="auto"/>
              <w:right w:val="single" w:sz="4" w:space="0" w:color="auto"/>
            </w:tcBorders>
            <w:shd w:val="clear" w:color="auto" w:fill="auto"/>
            <w:noWrap/>
            <w:vAlign w:val="center"/>
            <w:hideMark/>
          </w:tcPr>
          <w:p w14:paraId="074D5632" w14:textId="77777777" w:rsidR="004E1198" w:rsidRPr="004E1198" w:rsidRDefault="004E1198" w:rsidP="004E1198">
            <w:pPr>
              <w:jc w:val="center"/>
              <w:rPr>
                <w:rFonts w:cs="Arial"/>
                <w:color w:val="000000"/>
                <w:sz w:val="18"/>
                <w:szCs w:val="18"/>
                <w:lang w:val="en-US" w:eastAsia="en-US"/>
              </w:rPr>
            </w:pPr>
            <w:r w:rsidRPr="004E1198">
              <w:rPr>
                <w:rFonts w:cs="Arial"/>
                <w:color w:val="000000"/>
                <w:sz w:val="18"/>
                <w:szCs w:val="18"/>
                <w:lang w:val="en-US" w:eastAsia="en-US"/>
              </w:rPr>
              <w:t>1</w:t>
            </w:r>
          </w:p>
        </w:tc>
        <w:tc>
          <w:tcPr>
            <w:tcW w:w="1520" w:type="dxa"/>
            <w:tcBorders>
              <w:top w:val="nil"/>
              <w:left w:val="nil"/>
              <w:bottom w:val="single" w:sz="4" w:space="0" w:color="auto"/>
              <w:right w:val="single" w:sz="4" w:space="0" w:color="auto"/>
            </w:tcBorders>
            <w:shd w:val="clear" w:color="auto" w:fill="auto"/>
            <w:noWrap/>
            <w:vAlign w:val="bottom"/>
            <w:hideMark/>
          </w:tcPr>
          <w:p w14:paraId="3CF0636D" w14:textId="6D289301" w:rsidR="004E1198" w:rsidRPr="004E1198" w:rsidRDefault="004E1198" w:rsidP="004E1198">
            <w:pPr>
              <w:rPr>
                <w:rFonts w:cs="Arial"/>
                <w:color w:val="000000"/>
                <w:sz w:val="18"/>
                <w:szCs w:val="18"/>
                <w:lang w:val="en-US" w:eastAsia="en-US"/>
              </w:rPr>
            </w:pPr>
            <w:r w:rsidRPr="004E1198">
              <w:rPr>
                <w:rFonts w:cs="Arial"/>
                <w:color w:val="000000"/>
                <w:sz w:val="18"/>
                <w:szCs w:val="18"/>
                <w:lang w:val="en-US" w:eastAsia="en-US"/>
              </w:rPr>
              <w:t xml:space="preserve"> AUD   149,90 </w:t>
            </w:r>
          </w:p>
        </w:tc>
        <w:tc>
          <w:tcPr>
            <w:tcW w:w="1540" w:type="dxa"/>
            <w:tcBorders>
              <w:top w:val="nil"/>
              <w:left w:val="nil"/>
              <w:bottom w:val="single" w:sz="4" w:space="0" w:color="auto"/>
              <w:right w:val="single" w:sz="8" w:space="0" w:color="auto"/>
            </w:tcBorders>
            <w:shd w:val="clear" w:color="auto" w:fill="auto"/>
            <w:noWrap/>
            <w:vAlign w:val="bottom"/>
            <w:hideMark/>
          </w:tcPr>
          <w:p w14:paraId="6D232D54" w14:textId="0F422D03" w:rsidR="004E1198" w:rsidRPr="004E1198" w:rsidRDefault="004E1198" w:rsidP="00C7683B">
            <w:pPr>
              <w:rPr>
                <w:rFonts w:cs="Arial"/>
                <w:color w:val="000000"/>
                <w:sz w:val="18"/>
                <w:szCs w:val="18"/>
                <w:lang w:val="en-US" w:eastAsia="en-US"/>
              </w:rPr>
            </w:pPr>
            <w:r w:rsidRPr="004E1198">
              <w:rPr>
                <w:rFonts w:cs="Arial"/>
                <w:color w:val="000000"/>
                <w:sz w:val="18"/>
                <w:szCs w:val="18"/>
                <w:lang w:val="en-US" w:eastAsia="en-US"/>
              </w:rPr>
              <w:t xml:space="preserve"> AUD   149,90 </w:t>
            </w:r>
          </w:p>
        </w:tc>
      </w:tr>
      <w:tr w:rsidR="004E1198" w:rsidRPr="004E1198" w14:paraId="523E3117" w14:textId="77777777" w:rsidTr="004E1198">
        <w:trPr>
          <w:trHeight w:val="238"/>
        </w:trPr>
        <w:tc>
          <w:tcPr>
            <w:tcW w:w="4126" w:type="dxa"/>
            <w:tcBorders>
              <w:top w:val="nil"/>
              <w:left w:val="single" w:sz="8" w:space="0" w:color="auto"/>
              <w:bottom w:val="single" w:sz="4" w:space="0" w:color="auto"/>
              <w:right w:val="single" w:sz="4" w:space="0" w:color="auto"/>
            </w:tcBorders>
            <w:shd w:val="clear" w:color="auto" w:fill="auto"/>
            <w:noWrap/>
            <w:vAlign w:val="bottom"/>
            <w:hideMark/>
          </w:tcPr>
          <w:p w14:paraId="78AC78C0" w14:textId="77777777" w:rsidR="004E1198" w:rsidRPr="004E1198" w:rsidRDefault="004E1198" w:rsidP="004E1198">
            <w:pPr>
              <w:rPr>
                <w:rFonts w:cs="Arial"/>
                <w:color w:val="000000"/>
                <w:sz w:val="18"/>
                <w:szCs w:val="18"/>
                <w:lang w:val="en-US" w:eastAsia="en-US"/>
              </w:rPr>
            </w:pPr>
            <w:r w:rsidRPr="004E1198">
              <w:rPr>
                <w:rFonts w:cs="Arial"/>
                <w:color w:val="000000"/>
                <w:sz w:val="18"/>
                <w:szCs w:val="18"/>
                <w:lang w:val="en-US" w:eastAsia="en-US"/>
              </w:rPr>
              <w:t>Implant procedure (ENT) - proposed service</w:t>
            </w:r>
          </w:p>
        </w:tc>
        <w:tc>
          <w:tcPr>
            <w:tcW w:w="4253" w:type="dxa"/>
            <w:tcBorders>
              <w:top w:val="nil"/>
              <w:left w:val="nil"/>
              <w:bottom w:val="single" w:sz="4" w:space="0" w:color="auto"/>
              <w:right w:val="single" w:sz="4" w:space="0" w:color="auto"/>
            </w:tcBorders>
            <w:shd w:val="clear" w:color="auto" w:fill="auto"/>
            <w:noWrap/>
            <w:vAlign w:val="center"/>
            <w:hideMark/>
          </w:tcPr>
          <w:p w14:paraId="0BA14E85" w14:textId="77777777" w:rsidR="004E1198" w:rsidRPr="004E1198" w:rsidRDefault="004E1198" w:rsidP="004E1198">
            <w:pPr>
              <w:jc w:val="center"/>
              <w:rPr>
                <w:rFonts w:cs="Arial"/>
                <w:color w:val="000000"/>
                <w:sz w:val="18"/>
                <w:szCs w:val="18"/>
                <w:lang w:val="en-US" w:eastAsia="en-US"/>
              </w:rPr>
            </w:pPr>
            <w:r w:rsidRPr="004E1198">
              <w:rPr>
                <w:rFonts w:cs="Arial"/>
                <w:color w:val="000000"/>
                <w:sz w:val="18"/>
                <w:szCs w:val="18"/>
                <w:lang w:val="en-US" w:eastAsia="en-US"/>
              </w:rPr>
              <w:t>MBS item 41554</w:t>
            </w:r>
          </w:p>
        </w:tc>
        <w:tc>
          <w:tcPr>
            <w:tcW w:w="807" w:type="dxa"/>
            <w:tcBorders>
              <w:top w:val="nil"/>
              <w:left w:val="nil"/>
              <w:bottom w:val="single" w:sz="4" w:space="0" w:color="auto"/>
              <w:right w:val="single" w:sz="4" w:space="0" w:color="auto"/>
            </w:tcBorders>
            <w:shd w:val="clear" w:color="auto" w:fill="auto"/>
            <w:noWrap/>
            <w:vAlign w:val="center"/>
            <w:hideMark/>
          </w:tcPr>
          <w:p w14:paraId="464E0607" w14:textId="77777777" w:rsidR="004E1198" w:rsidRPr="004E1198" w:rsidRDefault="004E1198" w:rsidP="004E1198">
            <w:pPr>
              <w:jc w:val="center"/>
              <w:rPr>
                <w:rFonts w:cs="Arial"/>
                <w:color w:val="000000"/>
                <w:sz w:val="18"/>
                <w:szCs w:val="18"/>
                <w:lang w:val="en-US" w:eastAsia="en-US"/>
              </w:rPr>
            </w:pPr>
            <w:r w:rsidRPr="004E1198">
              <w:rPr>
                <w:rFonts w:cs="Arial"/>
                <w:color w:val="000000"/>
                <w:sz w:val="18"/>
                <w:szCs w:val="18"/>
                <w:lang w:val="en-US" w:eastAsia="en-US"/>
              </w:rPr>
              <w:t>1</w:t>
            </w:r>
          </w:p>
        </w:tc>
        <w:tc>
          <w:tcPr>
            <w:tcW w:w="1520" w:type="dxa"/>
            <w:tcBorders>
              <w:top w:val="nil"/>
              <w:left w:val="nil"/>
              <w:bottom w:val="single" w:sz="4" w:space="0" w:color="auto"/>
              <w:right w:val="single" w:sz="4" w:space="0" w:color="auto"/>
            </w:tcBorders>
            <w:shd w:val="clear" w:color="auto" w:fill="auto"/>
            <w:noWrap/>
            <w:vAlign w:val="bottom"/>
            <w:hideMark/>
          </w:tcPr>
          <w:p w14:paraId="3A4A1FD9" w14:textId="77777777" w:rsidR="004E1198" w:rsidRPr="004E1198" w:rsidRDefault="004E1198" w:rsidP="004E1198">
            <w:pPr>
              <w:rPr>
                <w:rFonts w:cs="Arial"/>
                <w:color w:val="000000"/>
                <w:sz w:val="18"/>
                <w:szCs w:val="18"/>
                <w:lang w:val="en-US" w:eastAsia="en-US"/>
              </w:rPr>
            </w:pPr>
            <w:r w:rsidRPr="004E1198">
              <w:rPr>
                <w:rFonts w:cs="Arial"/>
                <w:color w:val="000000"/>
                <w:sz w:val="18"/>
                <w:szCs w:val="18"/>
                <w:lang w:val="en-US" w:eastAsia="en-US"/>
              </w:rPr>
              <w:t xml:space="preserve"> AUD  1.876,95 </w:t>
            </w:r>
          </w:p>
        </w:tc>
        <w:tc>
          <w:tcPr>
            <w:tcW w:w="1540" w:type="dxa"/>
            <w:tcBorders>
              <w:top w:val="nil"/>
              <w:left w:val="nil"/>
              <w:bottom w:val="single" w:sz="4" w:space="0" w:color="auto"/>
              <w:right w:val="single" w:sz="8" w:space="0" w:color="auto"/>
            </w:tcBorders>
            <w:shd w:val="clear" w:color="auto" w:fill="auto"/>
            <w:noWrap/>
            <w:vAlign w:val="bottom"/>
            <w:hideMark/>
          </w:tcPr>
          <w:p w14:paraId="48B4917D" w14:textId="77777777" w:rsidR="004E1198" w:rsidRPr="004E1198" w:rsidRDefault="004E1198" w:rsidP="004E1198">
            <w:pPr>
              <w:rPr>
                <w:rFonts w:cs="Arial"/>
                <w:color w:val="000000"/>
                <w:sz w:val="18"/>
                <w:szCs w:val="18"/>
                <w:lang w:val="en-US" w:eastAsia="en-US"/>
              </w:rPr>
            </w:pPr>
            <w:r w:rsidRPr="004E1198">
              <w:rPr>
                <w:rFonts w:cs="Arial"/>
                <w:color w:val="000000"/>
                <w:sz w:val="18"/>
                <w:szCs w:val="18"/>
                <w:lang w:val="en-US" w:eastAsia="en-US"/>
              </w:rPr>
              <w:t xml:space="preserve"> AUD   1.876,95 </w:t>
            </w:r>
          </w:p>
        </w:tc>
      </w:tr>
      <w:tr w:rsidR="004E1198" w:rsidRPr="004E1198" w14:paraId="1B6B9D21" w14:textId="77777777" w:rsidTr="004E1198">
        <w:trPr>
          <w:trHeight w:val="238"/>
        </w:trPr>
        <w:tc>
          <w:tcPr>
            <w:tcW w:w="4126" w:type="dxa"/>
            <w:tcBorders>
              <w:top w:val="nil"/>
              <w:left w:val="single" w:sz="8" w:space="0" w:color="auto"/>
              <w:bottom w:val="single" w:sz="4" w:space="0" w:color="auto"/>
              <w:right w:val="single" w:sz="4" w:space="0" w:color="auto"/>
            </w:tcBorders>
            <w:shd w:val="clear" w:color="auto" w:fill="auto"/>
            <w:noWrap/>
            <w:vAlign w:val="bottom"/>
            <w:hideMark/>
          </w:tcPr>
          <w:p w14:paraId="36EE208A" w14:textId="77777777" w:rsidR="004E1198" w:rsidRPr="004E1198" w:rsidRDefault="004E1198" w:rsidP="004E1198">
            <w:pPr>
              <w:rPr>
                <w:rFonts w:cs="Arial"/>
                <w:color w:val="000000"/>
                <w:sz w:val="18"/>
                <w:szCs w:val="18"/>
                <w:lang w:val="en-US" w:eastAsia="en-US"/>
              </w:rPr>
            </w:pPr>
            <w:r w:rsidRPr="004E1198">
              <w:rPr>
                <w:rFonts w:cs="Arial"/>
                <w:color w:val="000000"/>
                <w:sz w:val="18"/>
                <w:szCs w:val="18"/>
                <w:lang w:val="en-US" w:eastAsia="en-US"/>
              </w:rPr>
              <w:t>Assistance</w:t>
            </w:r>
          </w:p>
        </w:tc>
        <w:tc>
          <w:tcPr>
            <w:tcW w:w="4253" w:type="dxa"/>
            <w:tcBorders>
              <w:top w:val="nil"/>
              <w:left w:val="nil"/>
              <w:bottom w:val="single" w:sz="4" w:space="0" w:color="auto"/>
              <w:right w:val="single" w:sz="4" w:space="0" w:color="auto"/>
            </w:tcBorders>
            <w:shd w:val="clear" w:color="auto" w:fill="auto"/>
            <w:noWrap/>
            <w:vAlign w:val="center"/>
            <w:hideMark/>
          </w:tcPr>
          <w:p w14:paraId="68631829" w14:textId="77777777" w:rsidR="004E1198" w:rsidRPr="004E1198" w:rsidRDefault="004E1198" w:rsidP="004E1198">
            <w:pPr>
              <w:jc w:val="center"/>
              <w:rPr>
                <w:rFonts w:cs="Arial"/>
                <w:color w:val="000000"/>
                <w:sz w:val="18"/>
                <w:szCs w:val="18"/>
                <w:lang w:val="en-US" w:eastAsia="en-US"/>
              </w:rPr>
            </w:pPr>
            <w:r w:rsidRPr="004E1198">
              <w:rPr>
                <w:rFonts w:cs="Arial"/>
                <w:color w:val="000000"/>
                <w:sz w:val="18"/>
                <w:szCs w:val="18"/>
                <w:lang w:val="en-US" w:eastAsia="en-US"/>
              </w:rPr>
              <w:t>MBS item 51303</w:t>
            </w:r>
          </w:p>
        </w:tc>
        <w:tc>
          <w:tcPr>
            <w:tcW w:w="807" w:type="dxa"/>
            <w:tcBorders>
              <w:top w:val="nil"/>
              <w:left w:val="nil"/>
              <w:bottom w:val="single" w:sz="4" w:space="0" w:color="auto"/>
              <w:right w:val="single" w:sz="4" w:space="0" w:color="auto"/>
            </w:tcBorders>
            <w:shd w:val="clear" w:color="auto" w:fill="auto"/>
            <w:noWrap/>
            <w:vAlign w:val="center"/>
            <w:hideMark/>
          </w:tcPr>
          <w:p w14:paraId="3CA2C86B" w14:textId="77777777" w:rsidR="004E1198" w:rsidRPr="004E1198" w:rsidRDefault="004E1198" w:rsidP="004E1198">
            <w:pPr>
              <w:jc w:val="center"/>
              <w:rPr>
                <w:rFonts w:cs="Arial"/>
                <w:color w:val="000000"/>
                <w:sz w:val="18"/>
                <w:szCs w:val="18"/>
                <w:lang w:val="en-US" w:eastAsia="en-US"/>
              </w:rPr>
            </w:pPr>
            <w:r w:rsidRPr="004E1198">
              <w:rPr>
                <w:rFonts w:cs="Arial"/>
                <w:color w:val="000000"/>
                <w:sz w:val="18"/>
                <w:szCs w:val="18"/>
                <w:lang w:val="en-US" w:eastAsia="en-US"/>
              </w:rPr>
              <w:t>1</w:t>
            </w:r>
          </w:p>
        </w:tc>
        <w:tc>
          <w:tcPr>
            <w:tcW w:w="1520" w:type="dxa"/>
            <w:tcBorders>
              <w:top w:val="nil"/>
              <w:left w:val="nil"/>
              <w:bottom w:val="single" w:sz="4" w:space="0" w:color="auto"/>
              <w:right w:val="single" w:sz="4" w:space="0" w:color="auto"/>
            </w:tcBorders>
            <w:shd w:val="clear" w:color="auto" w:fill="auto"/>
            <w:noWrap/>
            <w:vAlign w:val="bottom"/>
            <w:hideMark/>
          </w:tcPr>
          <w:p w14:paraId="4BEF7D73" w14:textId="4BB02FDD" w:rsidR="004E1198" w:rsidRPr="004E1198" w:rsidRDefault="004E1198" w:rsidP="004E1198">
            <w:pPr>
              <w:rPr>
                <w:rFonts w:cs="Arial"/>
                <w:color w:val="000000"/>
                <w:sz w:val="18"/>
                <w:szCs w:val="18"/>
                <w:lang w:val="en-US" w:eastAsia="en-US"/>
              </w:rPr>
            </w:pPr>
            <w:r w:rsidRPr="004E1198">
              <w:rPr>
                <w:rFonts w:cs="Arial"/>
                <w:color w:val="000000"/>
                <w:sz w:val="18"/>
                <w:szCs w:val="18"/>
                <w:lang w:val="en-US" w:eastAsia="en-US"/>
              </w:rPr>
              <w:t xml:space="preserve"> AUD   375,39 </w:t>
            </w:r>
          </w:p>
        </w:tc>
        <w:tc>
          <w:tcPr>
            <w:tcW w:w="1540" w:type="dxa"/>
            <w:tcBorders>
              <w:top w:val="nil"/>
              <w:left w:val="nil"/>
              <w:bottom w:val="single" w:sz="4" w:space="0" w:color="auto"/>
              <w:right w:val="single" w:sz="8" w:space="0" w:color="auto"/>
            </w:tcBorders>
            <w:shd w:val="clear" w:color="auto" w:fill="auto"/>
            <w:noWrap/>
            <w:vAlign w:val="bottom"/>
            <w:hideMark/>
          </w:tcPr>
          <w:p w14:paraId="3DAC70AE" w14:textId="68016D99" w:rsidR="004E1198" w:rsidRPr="004E1198" w:rsidRDefault="004E1198" w:rsidP="004E1198">
            <w:pPr>
              <w:rPr>
                <w:rFonts w:cs="Arial"/>
                <w:color w:val="000000"/>
                <w:sz w:val="18"/>
                <w:szCs w:val="18"/>
                <w:lang w:val="en-US" w:eastAsia="en-US"/>
              </w:rPr>
            </w:pPr>
            <w:r w:rsidRPr="004E1198">
              <w:rPr>
                <w:rFonts w:cs="Arial"/>
                <w:color w:val="000000"/>
                <w:sz w:val="18"/>
                <w:szCs w:val="18"/>
                <w:lang w:val="en-US" w:eastAsia="en-US"/>
              </w:rPr>
              <w:t xml:space="preserve"> AUD   375,39 </w:t>
            </w:r>
          </w:p>
        </w:tc>
      </w:tr>
      <w:tr w:rsidR="004E1198" w:rsidRPr="004E1198" w14:paraId="37C5C5AC" w14:textId="77777777" w:rsidTr="004E1198">
        <w:trPr>
          <w:trHeight w:val="238"/>
        </w:trPr>
        <w:tc>
          <w:tcPr>
            <w:tcW w:w="4126" w:type="dxa"/>
            <w:tcBorders>
              <w:top w:val="nil"/>
              <w:left w:val="single" w:sz="8" w:space="0" w:color="auto"/>
              <w:bottom w:val="single" w:sz="4" w:space="0" w:color="auto"/>
              <w:right w:val="single" w:sz="4" w:space="0" w:color="auto"/>
            </w:tcBorders>
            <w:shd w:val="clear" w:color="auto" w:fill="auto"/>
            <w:noWrap/>
            <w:vAlign w:val="bottom"/>
            <w:hideMark/>
          </w:tcPr>
          <w:p w14:paraId="0A77AD45" w14:textId="77777777" w:rsidR="004E1198" w:rsidRPr="004E1198" w:rsidRDefault="004E1198" w:rsidP="004E1198">
            <w:pPr>
              <w:rPr>
                <w:rFonts w:cs="Arial"/>
                <w:color w:val="000000"/>
                <w:sz w:val="18"/>
                <w:szCs w:val="18"/>
                <w:lang w:val="en-US" w:eastAsia="en-US"/>
              </w:rPr>
            </w:pPr>
            <w:r w:rsidRPr="004E1198">
              <w:rPr>
                <w:rFonts w:cs="Arial"/>
                <w:color w:val="000000"/>
                <w:sz w:val="18"/>
                <w:szCs w:val="18"/>
                <w:lang w:val="en-US" w:eastAsia="en-US"/>
              </w:rPr>
              <w:t>Anaesthesia, initiation</w:t>
            </w:r>
          </w:p>
        </w:tc>
        <w:tc>
          <w:tcPr>
            <w:tcW w:w="4253" w:type="dxa"/>
            <w:tcBorders>
              <w:top w:val="nil"/>
              <w:left w:val="nil"/>
              <w:bottom w:val="single" w:sz="4" w:space="0" w:color="auto"/>
              <w:right w:val="single" w:sz="4" w:space="0" w:color="auto"/>
            </w:tcBorders>
            <w:shd w:val="clear" w:color="auto" w:fill="auto"/>
            <w:noWrap/>
            <w:vAlign w:val="center"/>
            <w:hideMark/>
          </w:tcPr>
          <w:p w14:paraId="2C3EDEF9" w14:textId="77777777" w:rsidR="004E1198" w:rsidRPr="004E1198" w:rsidRDefault="004E1198" w:rsidP="004E1198">
            <w:pPr>
              <w:jc w:val="center"/>
              <w:rPr>
                <w:rFonts w:cs="Arial"/>
                <w:color w:val="000000"/>
                <w:sz w:val="18"/>
                <w:szCs w:val="18"/>
                <w:lang w:val="en-US" w:eastAsia="en-US"/>
              </w:rPr>
            </w:pPr>
            <w:r w:rsidRPr="004E1198">
              <w:rPr>
                <w:rFonts w:cs="Arial"/>
                <w:color w:val="000000"/>
                <w:sz w:val="18"/>
                <w:szCs w:val="18"/>
                <w:lang w:val="en-US" w:eastAsia="en-US"/>
              </w:rPr>
              <w:t>MBS item 20225</w:t>
            </w:r>
          </w:p>
        </w:tc>
        <w:tc>
          <w:tcPr>
            <w:tcW w:w="807" w:type="dxa"/>
            <w:tcBorders>
              <w:top w:val="nil"/>
              <w:left w:val="nil"/>
              <w:bottom w:val="single" w:sz="4" w:space="0" w:color="auto"/>
              <w:right w:val="single" w:sz="4" w:space="0" w:color="auto"/>
            </w:tcBorders>
            <w:shd w:val="clear" w:color="auto" w:fill="auto"/>
            <w:noWrap/>
            <w:vAlign w:val="center"/>
            <w:hideMark/>
          </w:tcPr>
          <w:p w14:paraId="02FCC510" w14:textId="77777777" w:rsidR="004E1198" w:rsidRPr="004E1198" w:rsidRDefault="004E1198" w:rsidP="004E1198">
            <w:pPr>
              <w:jc w:val="center"/>
              <w:rPr>
                <w:rFonts w:cs="Arial"/>
                <w:color w:val="000000"/>
                <w:sz w:val="18"/>
                <w:szCs w:val="18"/>
                <w:lang w:val="en-US" w:eastAsia="en-US"/>
              </w:rPr>
            </w:pPr>
            <w:r w:rsidRPr="004E1198">
              <w:rPr>
                <w:rFonts w:cs="Arial"/>
                <w:color w:val="000000"/>
                <w:sz w:val="18"/>
                <w:szCs w:val="18"/>
                <w:lang w:val="en-US" w:eastAsia="en-US"/>
              </w:rPr>
              <w:t>1</w:t>
            </w:r>
          </w:p>
        </w:tc>
        <w:tc>
          <w:tcPr>
            <w:tcW w:w="1520" w:type="dxa"/>
            <w:tcBorders>
              <w:top w:val="nil"/>
              <w:left w:val="nil"/>
              <w:bottom w:val="single" w:sz="4" w:space="0" w:color="auto"/>
              <w:right w:val="single" w:sz="4" w:space="0" w:color="auto"/>
            </w:tcBorders>
            <w:shd w:val="clear" w:color="auto" w:fill="auto"/>
            <w:noWrap/>
            <w:vAlign w:val="bottom"/>
            <w:hideMark/>
          </w:tcPr>
          <w:p w14:paraId="362098AE" w14:textId="0CD7BF6E" w:rsidR="004E1198" w:rsidRPr="004E1198" w:rsidRDefault="004E1198" w:rsidP="004E1198">
            <w:pPr>
              <w:rPr>
                <w:rFonts w:cs="Arial"/>
                <w:color w:val="000000"/>
                <w:sz w:val="18"/>
                <w:szCs w:val="18"/>
                <w:lang w:val="en-US" w:eastAsia="en-US"/>
              </w:rPr>
            </w:pPr>
            <w:r w:rsidRPr="004E1198">
              <w:rPr>
                <w:rFonts w:cs="Arial"/>
                <w:color w:val="000000"/>
                <w:sz w:val="18"/>
                <w:szCs w:val="18"/>
                <w:lang w:val="en-US" w:eastAsia="en-US"/>
              </w:rPr>
              <w:t xml:space="preserve"> AUD</w:t>
            </w:r>
            <w:r w:rsidR="00C7683B">
              <w:rPr>
                <w:rFonts w:cs="Arial"/>
                <w:color w:val="000000"/>
                <w:sz w:val="18"/>
                <w:szCs w:val="18"/>
                <w:lang w:val="en-US" w:eastAsia="en-US"/>
              </w:rPr>
              <w:t xml:space="preserve">  </w:t>
            </w:r>
            <w:r w:rsidRPr="004E1198">
              <w:rPr>
                <w:rFonts w:cs="Arial"/>
                <w:color w:val="000000"/>
                <w:sz w:val="18"/>
                <w:szCs w:val="18"/>
                <w:lang w:val="en-US" w:eastAsia="en-US"/>
              </w:rPr>
              <w:t xml:space="preserve"> 237,60 </w:t>
            </w:r>
          </w:p>
        </w:tc>
        <w:tc>
          <w:tcPr>
            <w:tcW w:w="1540" w:type="dxa"/>
            <w:tcBorders>
              <w:top w:val="nil"/>
              <w:left w:val="nil"/>
              <w:bottom w:val="single" w:sz="4" w:space="0" w:color="auto"/>
              <w:right w:val="single" w:sz="8" w:space="0" w:color="auto"/>
            </w:tcBorders>
            <w:shd w:val="clear" w:color="auto" w:fill="auto"/>
            <w:noWrap/>
            <w:vAlign w:val="bottom"/>
            <w:hideMark/>
          </w:tcPr>
          <w:p w14:paraId="1B8E28F3" w14:textId="49E0B10A" w:rsidR="004E1198" w:rsidRPr="004E1198" w:rsidRDefault="004E1198" w:rsidP="004E1198">
            <w:pPr>
              <w:rPr>
                <w:rFonts w:cs="Arial"/>
                <w:color w:val="000000"/>
                <w:sz w:val="18"/>
                <w:szCs w:val="18"/>
                <w:lang w:val="en-US" w:eastAsia="en-US"/>
              </w:rPr>
            </w:pPr>
            <w:r w:rsidRPr="004E1198">
              <w:rPr>
                <w:rFonts w:cs="Arial"/>
                <w:color w:val="000000"/>
                <w:sz w:val="18"/>
                <w:szCs w:val="18"/>
                <w:lang w:val="en-US" w:eastAsia="en-US"/>
              </w:rPr>
              <w:t xml:space="preserve"> AUD   237,60 </w:t>
            </w:r>
          </w:p>
        </w:tc>
      </w:tr>
      <w:tr w:rsidR="004E1198" w:rsidRPr="004E1198" w14:paraId="6E9CA9C3" w14:textId="77777777" w:rsidTr="004E1198">
        <w:trPr>
          <w:trHeight w:val="238"/>
        </w:trPr>
        <w:tc>
          <w:tcPr>
            <w:tcW w:w="4126" w:type="dxa"/>
            <w:tcBorders>
              <w:top w:val="nil"/>
              <w:left w:val="single" w:sz="8" w:space="0" w:color="auto"/>
              <w:bottom w:val="single" w:sz="4" w:space="0" w:color="auto"/>
              <w:right w:val="single" w:sz="4" w:space="0" w:color="auto"/>
            </w:tcBorders>
            <w:shd w:val="clear" w:color="auto" w:fill="auto"/>
            <w:noWrap/>
            <w:vAlign w:val="bottom"/>
            <w:hideMark/>
          </w:tcPr>
          <w:p w14:paraId="393D37B1" w14:textId="77777777" w:rsidR="004E1198" w:rsidRPr="004E1198" w:rsidRDefault="004E1198" w:rsidP="004E1198">
            <w:pPr>
              <w:rPr>
                <w:rFonts w:cs="Arial"/>
                <w:color w:val="000000"/>
                <w:sz w:val="18"/>
                <w:szCs w:val="18"/>
                <w:lang w:val="en-US" w:eastAsia="en-US"/>
              </w:rPr>
            </w:pPr>
            <w:r w:rsidRPr="004E1198">
              <w:rPr>
                <w:rFonts w:cs="Arial"/>
                <w:color w:val="000000"/>
                <w:sz w:val="18"/>
                <w:szCs w:val="18"/>
                <w:lang w:val="en-US" w:eastAsia="en-US"/>
              </w:rPr>
              <w:t>Anesthesia, time-based attendance</w:t>
            </w:r>
          </w:p>
        </w:tc>
        <w:tc>
          <w:tcPr>
            <w:tcW w:w="4253" w:type="dxa"/>
            <w:tcBorders>
              <w:top w:val="nil"/>
              <w:left w:val="nil"/>
              <w:bottom w:val="single" w:sz="4" w:space="0" w:color="auto"/>
              <w:right w:val="single" w:sz="4" w:space="0" w:color="auto"/>
            </w:tcBorders>
            <w:shd w:val="clear" w:color="auto" w:fill="auto"/>
            <w:noWrap/>
            <w:vAlign w:val="center"/>
            <w:hideMark/>
          </w:tcPr>
          <w:p w14:paraId="7C8E63D4" w14:textId="77777777" w:rsidR="004E1198" w:rsidRPr="004E1198" w:rsidRDefault="004E1198" w:rsidP="004E1198">
            <w:pPr>
              <w:jc w:val="center"/>
              <w:rPr>
                <w:rFonts w:cs="Arial"/>
                <w:color w:val="000000"/>
                <w:sz w:val="18"/>
                <w:szCs w:val="18"/>
                <w:lang w:val="en-US" w:eastAsia="en-US"/>
              </w:rPr>
            </w:pPr>
            <w:r w:rsidRPr="004E1198">
              <w:rPr>
                <w:rFonts w:cs="Arial"/>
                <w:color w:val="000000"/>
                <w:sz w:val="18"/>
                <w:szCs w:val="18"/>
                <w:lang w:val="en-US" w:eastAsia="en-US"/>
              </w:rPr>
              <w:t>MBS item 23111</w:t>
            </w:r>
          </w:p>
        </w:tc>
        <w:tc>
          <w:tcPr>
            <w:tcW w:w="807" w:type="dxa"/>
            <w:tcBorders>
              <w:top w:val="nil"/>
              <w:left w:val="nil"/>
              <w:bottom w:val="single" w:sz="4" w:space="0" w:color="auto"/>
              <w:right w:val="single" w:sz="4" w:space="0" w:color="auto"/>
            </w:tcBorders>
            <w:shd w:val="clear" w:color="auto" w:fill="auto"/>
            <w:noWrap/>
            <w:vAlign w:val="center"/>
            <w:hideMark/>
          </w:tcPr>
          <w:p w14:paraId="7D98B6BF" w14:textId="77777777" w:rsidR="004E1198" w:rsidRPr="004E1198" w:rsidRDefault="004E1198" w:rsidP="004E1198">
            <w:pPr>
              <w:jc w:val="center"/>
              <w:rPr>
                <w:rFonts w:cs="Arial"/>
                <w:color w:val="000000"/>
                <w:sz w:val="18"/>
                <w:szCs w:val="18"/>
                <w:lang w:val="en-US" w:eastAsia="en-US"/>
              </w:rPr>
            </w:pPr>
            <w:r w:rsidRPr="004E1198">
              <w:rPr>
                <w:rFonts w:cs="Arial"/>
                <w:color w:val="000000"/>
                <w:sz w:val="18"/>
                <w:szCs w:val="18"/>
                <w:lang w:val="en-US" w:eastAsia="en-US"/>
              </w:rPr>
              <w:t>1</w:t>
            </w:r>
          </w:p>
        </w:tc>
        <w:tc>
          <w:tcPr>
            <w:tcW w:w="1520" w:type="dxa"/>
            <w:tcBorders>
              <w:top w:val="nil"/>
              <w:left w:val="nil"/>
              <w:bottom w:val="single" w:sz="4" w:space="0" w:color="auto"/>
              <w:right w:val="single" w:sz="4" w:space="0" w:color="auto"/>
            </w:tcBorders>
            <w:shd w:val="clear" w:color="auto" w:fill="auto"/>
            <w:noWrap/>
            <w:vAlign w:val="bottom"/>
            <w:hideMark/>
          </w:tcPr>
          <w:p w14:paraId="66A7AB74" w14:textId="1D0C789D" w:rsidR="004E1198" w:rsidRPr="004E1198" w:rsidRDefault="004E1198" w:rsidP="004E1198">
            <w:pPr>
              <w:rPr>
                <w:rFonts w:cs="Arial"/>
                <w:color w:val="000000"/>
                <w:sz w:val="18"/>
                <w:szCs w:val="18"/>
                <w:lang w:val="en-US" w:eastAsia="en-US"/>
              </w:rPr>
            </w:pPr>
            <w:r w:rsidRPr="004E1198">
              <w:rPr>
                <w:rFonts w:cs="Arial"/>
                <w:color w:val="000000"/>
                <w:sz w:val="18"/>
                <w:szCs w:val="18"/>
                <w:lang w:val="en-US" w:eastAsia="en-US"/>
              </w:rPr>
              <w:t xml:space="preserve"> AUD</w:t>
            </w:r>
            <w:r w:rsidR="00C7683B">
              <w:rPr>
                <w:rFonts w:cs="Arial"/>
                <w:color w:val="000000"/>
                <w:sz w:val="18"/>
                <w:szCs w:val="18"/>
                <w:lang w:val="en-US" w:eastAsia="en-US"/>
              </w:rPr>
              <w:t xml:space="preserve">  </w:t>
            </w:r>
            <w:r w:rsidRPr="004E1198">
              <w:rPr>
                <w:rFonts w:cs="Arial"/>
                <w:color w:val="000000"/>
                <w:sz w:val="18"/>
                <w:szCs w:val="18"/>
                <w:lang w:val="en-US" w:eastAsia="en-US"/>
              </w:rPr>
              <w:t xml:space="preserve"> 217,80 </w:t>
            </w:r>
          </w:p>
        </w:tc>
        <w:tc>
          <w:tcPr>
            <w:tcW w:w="1540" w:type="dxa"/>
            <w:tcBorders>
              <w:top w:val="nil"/>
              <w:left w:val="nil"/>
              <w:bottom w:val="single" w:sz="4" w:space="0" w:color="auto"/>
              <w:right w:val="single" w:sz="8" w:space="0" w:color="auto"/>
            </w:tcBorders>
            <w:shd w:val="clear" w:color="auto" w:fill="auto"/>
            <w:noWrap/>
            <w:vAlign w:val="bottom"/>
            <w:hideMark/>
          </w:tcPr>
          <w:p w14:paraId="49697AE6" w14:textId="0AF51C99" w:rsidR="004E1198" w:rsidRPr="004E1198" w:rsidRDefault="004E1198" w:rsidP="004E1198">
            <w:pPr>
              <w:rPr>
                <w:rFonts w:cs="Arial"/>
                <w:color w:val="000000"/>
                <w:sz w:val="18"/>
                <w:szCs w:val="18"/>
                <w:lang w:val="en-US" w:eastAsia="en-US"/>
              </w:rPr>
            </w:pPr>
            <w:r w:rsidRPr="004E1198">
              <w:rPr>
                <w:rFonts w:cs="Arial"/>
                <w:color w:val="000000"/>
                <w:sz w:val="18"/>
                <w:szCs w:val="18"/>
                <w:lang w:val="en-US" w:eastAsia="en-US"/>
              </w:rPr>
              <w:t xml:space="preserve"> AUD   217,80 </w:t>
            </w:r>
          </w:p>
        </w:tc>
      </w:tr>
      <w:tr w:rsidR="004E1198" w:rsidRPr="004E1198" w14:paraId="01DEB19C" w14:textId="77777777" w:rsidTr="004E1198">
        <w:trPr>
          <w:trHeight w:val="238"/>
        </w:trPr>
        <w:tc>
          <w:tcPr>
            <w:tcW w:w="4126" w:type="dxa"/>
            <w:tcBorders>
              <w:top w:val="nil"/>
              <w:left w:val="single" w:sz="8" w:space="0" w:color="auto"/>
              <w:bottom w:val="single" w:sz="4" w:space="0" w:color="auto"/>
              <w:right w:val="single" w:sz="4" w:space="0" w:color="auto"/>
            </w:tcBorders>
            <w:shd w:val="clear" w:color="auto" w:fill="auto"/>
            <w:noWrap/>
            <w:hideMark/>
          </w:tcPr>
          <w:p w14:paraId="0B298060" w14:textId="77777777" w:rsidR="004E1198" w:rsidRPr="004E1198" w:rsidRDefault="004E1198" w:rsidP="004E1198">
            <w:pPr>
              <w:rPr>
                <w:rFonts w:cs="Arial"/>
                <w:color w:val="000000"/>
                <w:sz w:val="18"/>
                <w:szCs w:val="18"/>
                <w:lang w:val="en-US" w:eastAsia="en-US"/>
              </w:rPr>
            </w:pPr>
            <w:r w:rsidRPr="004E1198">
              <w:rPr>
                <w:rFonts w:cs="Arial"/>
                <w:color w:val="000000"/>
                <w:sz w:val="18"/>
                <w:szCs w:val="18"/>
                <w:lang w:val="en-US" w:eastAsia="en-US"/>
              </w:rPr>
              <w:t>Hospital stay</w:t>
            </w:r>
          </w:p>
        </w:tc>
        <w:tc>
          <w:tcPr>
            <w:tcW w:w="4253" w:type="dxa"/>
            <w:tcBorders>
              <w:top w:val="nil"/>
              <w:left w:val="nil"/>
              <w:bottom w:val="single" w:sz="4" w:space="0" w:color="auto"/>
              <w:right w:val="single" w:sz="4" w:space="0" w:color="auto"/>
            </w:tcBorders>
            <w:shd w:val="clear" w:color="auto" w:fill="auto"/>
            <w:hideMark/>
          </w:tcPr>
          <w:p w14:paraId="522E90F5" w14:textId="3638C555" w:rsidR="004E1198" w:rsidRPr="004E1198" w:rsidRDefault="004E1198" w:rsidP="004E1198">
            <w:pPr>
              <w:rPr>
                <w:rFonts w:cs="Arial"/>
                <w:color w:val="000000"/>
                <w:sz w:val="18"/>
                <w:szCs w:val="18"/>
                <w:lang w:val="en-US" w:eastAsia="en-US"/>
              </w:rPr>
            </w:pPr>
            <w:r w:rsidRPr="004E1198">
              <w:rPr>
                <w:rFonts w:cs="Arial"/>
                <w:color w:val="000000"/>
                <w:sz w:val="18"/>
                <w:szCs w:val="18"/>
                <w:lang w:val="en-US" w:eastAsia="en-US"/>
              </w:rPr>
              <w:t>AR-DRG (</w:t>
            </w:r>
            <w:r>
              <w:rPr>
                <w:rFonts w:cs="Arial"/>
                <w:color w:val="000000"/>
                <w:sz w:val="18"/>
                <w:szCs w:val="18"/>
                <w:lang w:val="en-US" w:eastAsia="en-US"/>
              </w:rPr>
              <w:t>Vers</w:t>
            </w:r>
            <w:r w:rsidRPr="004E1198">
              <w:rPr>
                <w:rFonts w:cs="Arial"/>
                <w:color w:val="000000"/>
                <w:sz w:val="18"/>
                <w:szCs w:val="18"/>
                <w:lang w:val="en-US" w:eastAsia="en-US"/>
              </w:rPr>
              <w:t xml:space="preserve"> 5.1 round 12 – Private </w:t>
            </w:r>
            <w:r>
              <w:rPr>
                <w:rFonts w:cs="Arial"/>
                <w:color w:val="000000"/>
                <w:sz w:val="18"/>
                <w:szCs w:val="18"/>
                <w:lang w:val="en-US" w:eastAsia="en-US"/>
              </w:rPr>
              <w:t>&amp;</w:t>
            </w:r>
            <w:r w:rsidRPr="004E1198">
              <w:rPr>
                <w:rFonts w:cs="Arial"/>
                <w:color w:val="000000"/>
                <w:sz w:val="18"/>
                <w:szCs w:val="18"/>
                <w:lang w:val="en-US" w:eastAsia="en-US"/>
              </w:rPr>
              <w:t xml:space="preserve"> Public) </w:t>
            </w:r>
          </w:p>
        </w:tc>
        <w:tc>
          <w:tcPr>
            <w:tcW w:w="807" w:type="dxa"/>
            <w:tcBorders>
              <w:top w:val="nil"/>
              <w:left w:val="nil"/>
              <w:bottom w:val="single" w:sz="4" w:space="0" w:color="auto"/>
              <w:right w:val="single" w:sz="4" w:space="0" w:color="auto"/>
            </w:tcBorders>
            <w:shd w:val="clear" w:color="auto" w:fill="auto"/>
            <w:noWrap/>
            <w:hideMark/>
          </w:tcPr>
          <w:p w14:paraId="5F7BD5AD" w14:textId="77777777" w:rsidR="004E1198" w:rsidRPr="004E1198" w:rsidRDefault="004E1198" w:rsidP="004E1198">
            <w:pPr>
              <w:jc w:val="center"/>
              <w:rPr>
                <w:rFonts w:cs="Arial"/>
                <w:color w:val="000000"/>
                <w:sz w:val="18"/>
                <w:szCs w:val="18"/>
                <w:lang w:val="en-US" w:eastAsia="en-US"/>
              </w:rPr>
            </w:pPr>
            <w:r w:rsidRPr="004E1198">
              <w:rPr>
                <w:rFonts w:cs="Arial"/>
                <w:color w:val="000000"/>
                <w:sz w:val="18"/>
                <w:szCs w:val="18"/>
                <w:lang w:val="en-US" w:eastAsia="en-US"/>
              </w:rPr>
              <w:t>1</w:t>
            </w:r>
          </w:p>
        </w:tc>
        <w:tc>
          <w:tcPr>
            <w:tcW w:w="1520" w:type="dxa"/>
            <w:tcBorders>
              <w:top w:val="nil"/>
              <w:left w:val="nil"/>
              <w:bottom w:val="single" w:sz="4" w:space="0" w:color="auto"/>
              <w:right w:val="single" w:sz="4" w:space="0" w:color="auto"/>
            </w:tcBorders>
            <w:shd w:val="clear" w:color="auto" w:fill="auto"/>
            <w:noWrap/>
            <w:hideMark/>
          </w:tcPr>
          <w:p w14:paraId="2CC14369" w14:textId="38050798" w:rsidR="004E1198" w:rsidRPr="004E1198" w:rsidRDefault="004E1198" w:rsidP="00C7683B">
            <w:pPr>
              <w:jc w:val="center"/>
              <w:rPr>
                <w:rFonts w:cs="Arial"/>
                <w:color w:val="000000"/>
                <w:sz w:val="18"/>
                <w:szCs w:val="18"/>
                <w:lang w:val="en-US" w:eastAsia="en-US"/>
              </w:rPr>
            </w:pPr>
            <w:r w:rsidRPr="004E1198">
              <w:rPr>
                <w:rFonts w:cs="Arial"/>
                <w:color w:val="000000"/>
                <w:sz w:val="18"/>
                <w:szCs w:val="18"/>
                <w:lang w:val="en-US" w:eastAsia="en-US"/>
              </w:rPr>
              <w:t xml:space="preserve"> AUD   591,00 </w:t>
            </w:r>
          </w:p>
        </w:tc>
        <w:tc>
          <w:tcPr>
            <w:tcW w:w="1540" w:type="dxa"/>
            <w:tcBorders>
              <w:top w:val="nil"/>
              <w:left w:val="nil"/>
              <w:bottom w:val="single" w:sz="4" w:space="0" w:color="auto"/>
              <w:right w:val="single" w:sz="8" w:space="0" w:color="auto"/>
            </w:tcBorders>
            <w:shd w:val="clear" w:color="auto" w:fill="auto"/>
            <w:noWrap/>
            <w:hideMark/>
          </w:tcPr>
          <w:p w14:paraId="0D43ECC3" w14:textId="3519CA5B" w:rsidR="004E1198" w:rsidRPr="004E1198" w:rsidRDefault="004E1198" w:rsidP="004E1198">
            <w:pPr>
              <w:jc w:val="center"/>
              <w:rPr>
                <w:rFonts w:cs="Arial"/>
                <w:color w:val="000000"/>
                <w:sz w:val="18"/>
                <w:szCs w:val="18"/>
                <w:lang w:val="en-US" w:eastAsia="en-US"/>
              </w:rPr>
            </w:pPr>
            <w:r w:rsidRPr="004E1198">
              <w:rPr>
                <w:rFonts w:cs="Arial"/>
                <w:color w:val="000000"/>
                <w:sz w:val="18"/>
                <w:szCs w:val="18"/>
                <w:lang w:val="en-US" w:eastAsia="en-US"/>
              </w:rPr>
              <w:t xml:space="preserve"> AUD   591,00 </w:t>
            </w:r>
          </w:p>
        </w:tc>
      </w:tr>
      <w:tr w:rsidR="004E1198" w:rsidRPr="004E1198" w14:paraId="53F9898F" w14:textId="77777777" w:rsidTr="004E1198">
        <w:trPr>
          <w:trHeight w:val="255"/>
        </w:trPr>
        <w:tc>
          <w:tcPr>
            <w:tcW w:w="4126" w:type="dxa"/>
            <w:tcBorders>
              <w:top w:val="nil"/>
              <w:left w:val="single" w:sz="8" w:space="0" w:color="auto"/>
              <w:bottom w:val="single" w:sz="4" w:space="0" w:color="auto"/>
              <w:right w:val="single" w:sz="4" w:space="0" w:color="auto"/>
            </w:tcBorders>
            <w:shd w:val="clear" w:color="000000" w:fill="8DB4E2"/>
            <w:noWrap/>
            <w:vAlign w:val="bottom"/>
            <w:hideMark/>
          </w:tcPr>
          <w:p w14:paraId="57506D0F" w14:textId="77777777" w:rsidR="004E1198" w:rsidRPr="004E1198" w:rsidRDefault="004E1198" w:rsidP="004E1198">
            <w:pPr>
              <w:jc w:val="right"/>
              <w:rPr>
                <w:rFonts w:cs="Arial"/>
                <w:color w:val="000000"/>
                <w:sz w:val="18"/>
                <w:szCs w:val="18"/>
                <w:lang w:val="en-US" w:eastAsia="en-US"/>
              </w:rPr>
            </w:pPr>
            <w:r w:rsidRPr="004E1198">
              <w:rPr>
                <w:rFonts w:cs="Arial"/>
                <w:color w:val="000000"/>
                <w:sz w:val="18"/>
                <w:szCs w:val="18"/>
                <w:lang w:val="en-US" w:eastAsia="en-US"/>
              </w:rPr>
              <w:t>subtotal</w:t>
            </w:r>
          </w:p>
        </w:tc>
        <w:tc>
          <w:tcPr>
            <w:tcW w:w="4253" w:type="dxa"/>
            <w:tcBorders>
              <w:top w:val="nil"/>
              <w:left w:val="nil"/>
              <w:bottom w:val="single" w:sz="4" w:space="0" w:color="auto"/>
              <w:right w:val="single" w:sz="4" w:space="0" w:color="auto"/>
            </w:tcBorders>
            <w:shd w:val="clear" w:color="000000" w:fill="8DB4E2"/>
            <w:noWrap/>
            <w:vAlign w:val="center"/>
            <w:hideMark/>
          </w:tcPr>
          <w:p w14:paraId="4374CBEB" w14:textId="77777777" w:rsidR="004E1198" w:rsidRPr="004E1198" w:rsidRDefault="004E1198" w:rsidP="004E1198">
            <w:pPr>
              <w:jc w:val="center"/>
              <w:rPr>
                <w:rFonts w:cs="Arial"/>
                <w:color w:val="000000"/>
                <w:sz w:val="18"/>
                <w:szCs w:val="18"/>
                <w:lang w:val="en-US" w:eastAsia="en-US"/>
              </w:rPr>
            </w:pPr>
            <w:r w:rsidRPr="004E1198">
              <w:rPr>
                <w:rFonts w:cs="Arial"/>
                <w:color w:val="000000"/>
                <w:sz w:val="18"/>
                <w:szCs w:val="18"/>
                <w:lang w:val="en-US" w:eastAsia="en-US"/>
              </w:rPr>
              <w:t> </w:t>
            </w:r>
          </w:p>
        </w:tc>
        <w:tc>
          <w:tcPr>
            <w:tcW w:w="807" w:type="dxa"/>
            <w:tcBorders>
              <w:top w:val="nil"/>
              <w:left w:val="nil"/>
              <w:bottom w:val="single" w:sz="4" w:space="0" w:color="auto"/>
              <w:right w:val="single" w:sz="4" w:space="0" w:color="auto"/>
            </w:tcBorders>
            <w:shd w:val="clear" w:color="000000" w:fill="8DB4E2"/>
            <w:noWrap/>
            <w:vAlign w:val="center"/>
            <w:hideMark/>
          </w:tcPr>
          <w:p w14:paraId="72BFBD53" w14:textId="77777777" w:rsidR="004E1198" w:rsidRPr="004E1198" w:rsidRDefault="004E1198" w:rsidP="004E1198">
            <w:pPr>
              <w:jc w:val="center"/>
              <w:rPr>
                <w:rFonts w:cs="Arial"/>
                <w:color w:val="000000"/>
                <w:sz w:val="18"/>
                <w:szCs w:val="18"/>
                <w:lang w:val="en-US" w:eastAsia="en-US"/>
              </w:rPr>
            </w:pPr>
            <w:r w:rsidRPr="004E1198">
              <w:rPr>
                <w:rFonts w:cs="Arial"/>
                <w:color w:val="000000"/>
                <w:sz w:val="18"/>
                <w:szCs w:val="18"/>
                <w:lang w:val="en-US" w:eastAsia="en-US"/>
              </w:rPr>
              <w:t> </w:t>
            </w:r>
          </w:p>
        </w:tc>
        <w:tc>
          <w:tcPr>
            <w:tcW w:w="1520" w:type="dxa"/>
            <w:tcBorders>
              <w:top w:val="nil"/>
              <w:left w:val="nil"/>
              <w:bottom w:val="single" w:sz="4" w:space="0" w:color="auto"/>
              <w:right w:val="single" w:sz="4" w:space="0" w:color="auto"/>
            </w:tcBorders>
            <w:shd w:val="clear" w:color="000000" w:fill="8DB4E2"/>
            <w:noWrap/>
            <w:vAlign w:val="bottom"/>
            <w:hideMark/>
          </w:tcPr>
          <w:p w14:paraId="40CF19E1" w14:textId="77777777" w:rsidR="004E1198" w:rsidRPr="004E1198" w:rsidRDefault="004E1198" w:rsidP="004E1198">
            <w:pPr>
              <w:rPr>
                <w:rFonts w:cs="Arial"/>
                <w:color w:val="000000"/>
                <w:sz w:val="18"/>
                <w:szCs w:val="18"/>
                <w:lang w:val="en-US" w:eastAsia="en-US"/>
              </w:rPr>
            </w:pPr>
            <w:r w:rsidRPr="004E1198">
              <w:rPr>
                <w:rFonts w:cs="Arial"/>
                <w:color w:val="000000"/>
                <w:sz w:val="18"/>
                <w:szCs w:val="18"/>
                <w:lang w:val="en-US" w:eastAsia="en-US"/>
              </w:rPr>
              <w:t xml:space="preserve"> AUD  3.738,64 </w:t>
            </w:r>
          </w:p>
        </w:tc>
        <w:tc>
          <w:tcPr>
            <w:tcW w:w="1540" w:type="dxa"/>
            <w:tcBorders>
              <w:top w:val="nil"/>
              <w:left w:val="nil"/>
              <w:bottom w:val="single" w:sz="4" w:space="0" w:color="auto"/>
              <w:right w:val="single" w:sz="8" w:space="0" w:color="auto"/>
            </w:tcBorders>
            <w:shd w:val="clear" w:color="000000" w:fill="8DB4E2"/>
            <w:noWrap/>
            <w:vAlign w:val="bottom"/>
            <w:hideMark/>
          </w:tcPr>
          <w:p w14:paraId="6420A8D3" w14:textId="77777777" w:rsidR="004E1198" w:rsidRPr="004E1198" w:rsidRDefault="004E1198" w:rsidP="004E1198">
            <w:pPr>
              <w:rPr>
                <w:rFonts w:cs="Arial"/>
                <w:color w:val="000000"/>
                <w:sz w:val="18"/>
                <w:szCs w:val="18"/>
                <w:lang w:val="en-US" w:eastAsia="en-US"/>
              </w:rPr>
            </w:pPr>
            <w:r w:rsidRPr="004E1198">
              <w:rPr>
                <w:rFonts w:cs="Arial"/>
                <w:color w:val="000000"/>
                <w:sz w:val="18"/>
                <w:szCs w:val="18"/>
                <w:lang w:val="en-US" w:eastAsia="en-US"/>
              </w:rPr>
              <w:t xml:space="preserve"> AUD   3.738,64 </w:t>
            </w:r>
          </w:p>
        </w:tc>
      </w:tr>
      <w:tr w:rsidR="004E1198" w:rsidRPr="004E1198" w14:paraId="5C223121" w14:textId="77777777" w:rsidTr="004E1198">
        <w:trPr>
          <w:trHeight w:val="255"/>
        </w:trPr>
        <w:tc>
          <w:tcPr>
            <w:tcW w:w="4126" w:type="dxa"/>
            <w:tcBorders>
              <w:top w:val="nil"/>
              <w:left w:val="single" w:sz="8" w:space="0" w:color="auto"/>
              <w:bottom w:val="single" w:sz="4" w:space="0" w:color="auto"/>
              <w:right w:val="single" w:sz="4" w:space="0" w:color="auto"/>
            </w:tcBorders>
            <w:shd w:val="clear" w:color="auto" w:fill="auto"/>
            <w:noWrap/>
            <w:vAlign w:val="bottom"/>
            <w:hideMark/>
          </w:tcPr>
          <w:p w14:paraId="271F03CC" w14:textId="77777777" w:rsidR="004E1198" w:rsidRPr="004E1198" w:rsidRDefault="004E1198" w:rsidP="004E1198">
            <w:pPr>
              <w:rPr>
                <w:rFonts w:cs="Arial"/>
                <w:b/>
                <w:bCs/>
                <w:i/>
                <w:iCs/>
                <w:color w:val="000000"/>
                <w:sz w:val="18"/>
                <w:szCs w:val="18"/>
                <w:lang w:val="en-US" w:eastAsia="en-US"/>
              </w:rPr>
            </w:pPr>
            <w:r w:rsidRPr="004E1198">
              <w:rPr>
                <w:rFonts w:cs="Arial"/>
                <w:b/>
                <w:bCs/>
                <w:i/>
                <w:iCs/>
                <w:color w:val="000000"/>
                <w:sz w:val="18"/>
                <w:szCs w:val="18"/>
                <w:lang w:val="en-US" w:eastAsia="en-US"/>
              </w:rPr>
              <w:t>Post operational</w:t>
            </w:r>
          </w:p>
        </w:tc>
        <w:tc>
          <w:tcPr>
            <w:tcW w:w="4253" w:type="dxa"/>
            <w:tcBorders>
              <w:top w:val="nil"/>
              <w:left w:val="nil"/>
              <w:bottom w:val="single" w:sz="4" w:space="0" w:color="auto"/>
              <w:right w:val="single" w:sz="4" w:space="0" w:color="auto"/>
            </w:tcBorders>
            <w:shd w:val="clear" w:color="auto" w:fill="auto"/>
            <w:noWrap/>
            <w:vAlign w:val="center"/>
            <w:hideMark/>
          </w:tcPr>
          <w:p w14:paraId="6BE18292" w14:textId="77777777" w:rsidR="004E1198" w:rsidRPr="004E1198" w:rsidRDefault="004E1198" w:rsidP="004E1198">
            <w:pPr>
              <w:jc w:val="center"/>
              <w:rPr>
                <w:rFonts w:cs="Arial"/>
                <w:color w:val="000000"/>
                <w:sz w:val="18"/>
                <w:szCs w:val="18"/>
                <w:lang w:val="en-US" w:eastAsia="en-US"/>
              </w:rPr>
            </w:pPr>
            <w:r w:rsidRPr="004E1198">
              <w:rPr>
                <w:rFonts w:cs="Arial"/>
                <w:color w:val="000000"/>
                <w:sz w:val="18"/>
                <w:szCs w:val="18"/>
                <w:lang w:val="en-US" w:eastAsia="en-US"/>
              </w:rPr>
              <w:t> </w:t>
            </w:r>
          </w:p>
        </w:tc>
        <w:tc>
          <w:tcPr>
            <w:tcW w:w="807" w:type="dxa"/>
            <w:tcBorders>
              <w:top w:val="nil"/>
              <w:left w:val="nil"/>
              <w:bottom w:val="single" w:sz="4" w:space="0" w:color="auto"/>
              <w:right w:val="single" w:sz="4" w:space="0" w:color="auto"/>
            </w:tcBorders>
            <w:shd w:val="clear" w:color="auto" w:fill="auto"/>
            <w:noWrap/>
            <w:vAlign w:val="center"/>
            <w:hideMark/>
          </w:tcPr>
          <w:p w14:paraId="455B1699" w14:textId="77777777" w:rsidR="004E1198" w:rsidRPr="004E1198" w:rsidRDefault="004E1198" w:rsidP="004E1198">
            <w:pPr>
              <w:jc w:val="center"/>
              <w:rPr>
                <w:rFonts w:cs="Arial"/>
                <w:color w:val="000000"/>
                <w:sz w:val="18"/>
                <w:szCs w:val="18"/>
                <w:lang w:val="en-US" w:eastAsia="en-US"/>
              </w:rPr>
            </w:pPr>
            <w:r w:rsidRPr="004E1198">
              <w:rPr>
                <w:rFonts w:cs="Arial"/>
                <w:color w:val="000000"/>
                <w:sz w:val="18"/>
                <w:szCs w:val="18"/>
                <w:lang w:val="en-US" w:eastAsia="en-US"/>
              </w:rPr>
              <w:t> </w:t>
            </w:r>
          </w:p>
        </w:tc>
        <w:tc>
          <w:tcPr>
            <w:tcW w:w="1520" w:type="dxa"/>
            <w:tcBorders>
              <w:top w:val="nil"/>
              <w:left w:val="nil"/>
              <w:bottom w:val="single" w:sz="4" w:space="0" w:color="auto"/>
              <w:right w:val="single" w:sz="4" w:space="0" w:color="auto"/>
            </w:tcBorders>
            <w:shd w:val="clear" w:color="auto" w:fill="auto"/>
            <w:noWrap/>
            <w:vAlign w:val="bottom"/>
            <w:hideMark/>
          </w:tcPr>
          <w:p w14:paraId="527EB34A" w14:textId="77777777" w:rsidR="004E1198" w:rsidRPr="004E1198" w:rsidRDefault="004E1198" w:rsidP="004E1198">
            <w:pPr>
              <w:rPr>
                <w:rFonts w:cs="Arial"/>
                <w:color w:val="000000"/>
                <w:sz w:val="18"/>
                <w:szCs w:val="18"/>
                <w:lang w:val="en-US" w:eastAsia="en-US"/>
              </w:rPr>
            </w:pPr>
            <w:r w:rsidRPr="004E1198">
              <w:rPr>
                <w:rFonts w:cs="Arial"/>
                <w:color w:val="000000"/>
                <w:sz w:val="18"/>
                <w:szCs w:val="18"/>
                <w:lang w:val="en-US" w:eastAsia="en-US"/>
              </w:rPr>
              <w:t> </w:t>
            </w:r>
          </w:p>
        </w:tc>
        <w:tc>
          <w:tcPr>
            <w:tcW w:w="1540" w:type="dxa"/>
            <w:tcBorders>
              <w:top w:val="nil"/>
              <w:left w:val="nil"/>
              <w:bottom w:val="single" w:sz="4" w:space="0" w:color="auto"/>
              <w:right w:val="single" w:sz="8" w:space="0" w:color="auto"/>
            </w:tcBorders>
            <w:shd w:val="clear" w:color="auto" w:fill="auto"/>
            <w:noWrap/>
            <w:vAlign w:val="bottom"/>
            <w:hideMark/>
          </w:tcPr>
          <w:p w14:paraId="61B0F134" w14:textId="77777777" w:rsidR="004E1198" w:rsidRPr="004E1198" w:rsidRDefault="004E1198" w:rsidP="004E1198">
            <w:pPr>
              <w:rPr>
                <w:rFonts w:cs="Arial"/>
                <w:color w:val="000000"/>
                <w:sz w:val="18"/>
                <w:szCs w:val="18"/>
                <w:lang w:val="en-US" w:eastAsia="en-US"/>
              </w:rPr>
            </w:pPr>
            <w:r w:rsidRPr="004E1198">
              <w:rPr>
                <w:rFonts w:cs="Arial"/>
                <w:color w:val="000000"/>
                <w:sz w:val="18"/>
                <w:szCs w:val="18"/>
                <w:lang w:val="en-US" w:eastAsia="en-US"/>
              </w:rPr>
              <w:t> </w:t>
            </w:r>
          </w:p>
        </w:tc>
      </w:tr>
      <w:tr w:rsidR="004E1198" w:rsidRPr="004E1198" w14:paraId="7512DDC5" w14:textId="77777777" w:rsidTr="004E1198">
        <w:trPr>
          <w:trHeight w:val="255"/>
        </w:trPr>
        <w:tc>
          <w:tcPr>
            <w:tcW w:w="4126" w:type="dxa"/>
            <w:tcBorders>
              <w:top w:val="nil"/>
              <w:left w:val="single" w:sz="8" w:space="0" w:color="auto"/>
              <w:bottom w:val="single" w:sz="4" w:space="0" w:color="auto"/>
              <w:right w:val="single" w:sz="4" w:space="0" w:color="auto"/>
            </w:tcBorders>
            <w:shd w:val="clear" w:color="auto" w:fill="auto"/>
            <w:noWrap/>
            <w:vAlign w:val="bottom"/>
            <w:hideMark/>
          </w:tcPr>
          <w:p w14:paraId="26C3A5A4" w14:textId="77777777" w:rsidR="004E1198" w:rsidRPr="004E1198" w:rsidRDefault="004E1198" w:rsidP="004E1198">
            <w:pPr>
              <w:rPr>
                <w:rFonts w:cs="Arial"/>
                <w:color w:val="000000"/>
                <w:sz w:val="18"/>
                <w:szCs w:val="18"/>
                <w:lang w:val="en-US" w:eastAsia="en-US"/>
              </w:rPr>
            </w:pPr>
            <w:r w:rsidRPr="004E1198">
              <w:rPr>
                <w:rFonts w:cs="Arial"/>
                <w:color w:val="000000"/>
                <w:sz w:val="18"/>
                <w:szCs w:val="18"/>
                <w:lang w:val="en-US" w:eastAsia="en-US"/>
              </w:rPr>
              <w:t>Brain stem evoked audiometry</w:t>
            </w:r>
          </w:p>
        </w:tc>
        <w:tc>
          <w:tcPr>
            <w:tcW w:w="4253" w:type="dxa"/>
            <w:tcBorders>
              <w:top w:val="nil"/>
              <w:left w:val="nil"/>
              <w:bottom w:val="single" w:sz="4" w:space="0" w:color="auto"/>
              <w:right w:val="single" w:sz="4" w:space="0" w:color="auto"/>
            </w:tcBorders>
            <w:shd w:val="clear" w:color="auto" w:fill="auto"/>
            <w:noWrap/>
            <w:vAlign w:val="center"/>
            <w:hideMark/>
          </w:tcPr>
          <w:p w14:paraId="3AB65893" w14:textId="77777777" w:rsidR="004E1198" w:rsidRPr="004E1198" w:rsidRDefault="004E1198" w:rsidP="004E1198">
            <w:pPr>
              <w:jc w:val="center"/>
              <w:rPr>
                <w:rFonts w:cs="Arial"/>
                <w:color w:val="000000"/>
                <w:sz w:val="18"/>
                <w:szCs w:val="18"/>
                <w:lang w:val="en-US" w:eastAsia="en-US"/>
              </w:rPr>
            </w:pPr>
            <w:r w:rsidRPr="004E1198">
              <w:rPr>
                <w:rFonts w:cs="Arial"/>
                <w:color w:val="000000"/>
                <w:sz w:val="18"/>
                <w:szCs w:val="18"/>
                <w:lang w:val="en-US" w:eastAsia="en-US"/>
              </w:rPr>
              <w:t>MBS item 82300</w:t>
            </w:r>
          </w:p>
        </w:tc>
        <w:tc>
          <w:tcPr>
            <w:tcW w:w="807" w:type="dxa"/>
            <w:tcBorders>
              <w:top w:val="nil"/>
              <w:left w:val="nil"/>
              <w:bottom w:val="single" w:sz="4" w:space="0" w:color="auto"/>
              <w:right w:val="single" w:sz="4" w:space="0" w:color="auto"/>
            </w:tcBorders>
            <w:shd w:val="clear" w:color="auto" w:fill="auto"/>
            <w:noWrap/>
            <w:vAlign w:val="center"/>
            <w:hideMark/>
          </w:tcPr>
          <w:p w14:paraId="0070CAA2" w14:textId="77777777" w:rsidR="004E1198" w:rsidRPr="004E1198" w:rsidRDefault="004E1198" w:rsidP="004E1198">
            <w:pPr>
              <w:jc w:val="center"/>
              <w:rPr>
                <w:rFonts w:cs="Arial"/>
                <w:color w:val="000000"/>
                <w:sz w:val="18"/>
                <w:szCs w:val="18"/>
                <w:lang w:val="en-US" w:eastAsia="en-US"/>
              </w:rPr>
            </w:pPr>
            <w:r w:rsidRPr="004E1198">
              <w:rPr>
                <w:rFonts w:cs="Arial"/>
                <w:color w:val="000000"/>
                <w:sz w:val="18"/>
                <w:szCs w:val="18"/>
                <w:lang w:val="en-US" w:eastAsia="en-US"/>
              </w:rPr>
              <w:t>1</w:t>
            </w:r>
          </w:p>
        </w:tc>
        <w:tc>
          <w:tcPr>
            <w:tcW w:w="1520" w:type="dxa"/>
            <w:tcBorders>
              <w:top w:val="nil"/>
              <w:left w:val="nil"/>
              <w:bottom w:val="single" w:sz="4" w:space="0" w:color="auto"/>
              <w:right w:val="single" w:sz="4" w:space="0" w:color="auto"/>
            </w:tcBorders>
            <w:shd w:val="clear" w:color="auto" w:fill="auto"/>
            <w:noWrap/>
            <w:vAlign w:val="bottom"/>
            <w:hideMark/>
          </w:tcPr>
          <w:p w14:paraId="021A6A6B" w14:textId="54F97F52" w:rsidR="004E1198" w:rsidRPr="004E1198" w:rsidRDefault="004E1198" w:rsidP="004E1198">
            <w:pPr>
              <w:rPr>
                <w:rFonts w:cs="Arial"/>
                <w:color w:val="000000"/>
                <w:sz w:val="18"/>
                <w:szCs w:val="18"/>
                <w:lang w:val="en-US" w:eastAsia="en-US"/>
              </w:rPr>
            </w:pPr>
            <w:r w:rsidRPr="004E1198">
              <w:rPr>
                <w:rFonts w:cs="Arial"/>
                <w:color w:val="000000"/>
                <w:sz w:val="18"/>
                <w:szCs w:val="18"/>
                <w:lang w:val="en-US" w:eastAsia="en-US"/>
              </w:rPr>
              <w:t xml:space="preserve"> AUD   153,95 </w:t>
            </w:r>
          </w:p>
        </w:tc>
        <w:tc>
          <w:tcPr>
            <w:tcW w:w="1540" w:type="dxa"/>
            <w:tcBorders>
              <w:top w:val="nil"/>
              <w:left w:val="nil"/>
              <w:bottom w:val="single" w:sz="4" w:space="0" w:color="auto"/>
              <w:right w:val="single" w:sz="8" w:space="0" w:color="auto"/>
            </w:tcBorders>
            <w:shd w:val="clear" w:color="auto" w:fill="auto"/>
            <w:noWrap/>
            <w:vAlign w:val="bottom"/>
            <w:hideMark/>
          </w:tcPr>
          <w:p w14:paraId="4A713BE0" w14:textId="1D744CDD" w:rsidR="004E1198" w:rsidRPr="004E1198" w:rsidRDefault="004E1198" w:rsidP="004E1198">
            <w:pPr>
              <w:rPr>
                <w:rFonts w:cs="Arial"/>
                <w:color w:val="000000"/>
                <w:sz w:val="18"/>
                <w:szCs w:val="18"/>
                <w:lang w:val="en-US" w:eastAsia="en-US"/>
              </w:rPr>
            </w:pPr>
            <w:r w:rsidRPr="004E1198">
              <w:rPr>
                <w:rFonts w:cs="Arial"/>
                <w:color w:val="000000"/>
                <w:sz w:val="18"/>
                <w:szCs w:val="18"/>
                <w:lang w:val="en-US" w:eastAsia="en-US"/>
              </w:rPr>
              <w:t xml:space="preserve"> AUD   153,95 </w:t>
            </w:r>
          </w:p>
        </w:tc>
      </w:tr>
      <w:tr w:rsidR="004E1198" w:rsidRPr="004E1198" w14:paraId="521AF7E3" w14:textId="77777777" w:rsidTr="004E1198">
        <w:trPr>
          <w:trHeight w:val="255"/>
        </w:trPr>
        <w:tc>
          <w:tcPr>
            <w:tcW w:w="4126" w:type="dxa"/>
            <w:tcBorders>
              <w:top w:val="nil"/>
              <w:left w:val="single" w:sz="8" w:space="0" w:color="auto"/>
              <w:bottom w:val="single" w:sz="4" w:space="0" w:color="auto"/>
              <w:right w:val="single" w:sz="4" w:space="0" w:color="auto"/>
            </w:tcBorders>
            <w:shd w:val="clear" w:color="auto" w:fill="auto"/>
            <w:noWrap/>
            <w:vAlign w:val="bottom"/>
            <w:hideMark/>
          </w:tcPr>
          <w:p w14:paraId="6FD2B48B" w14:textId="77777777" w:rsidR="004E1198" w:rsidRPr="004E1198" w:rsidRDefault="004E1198" w:rsidP="004E1198">
            <w:pPr>
              <w:rPr>
                <w:rFonts w:cs="Arial"/>
                <w:color w:val="0D0D0D"/>
                <w:sz w:val="18"/>
                <w:szCs w:val="18"/>
                <w:lang w:val="en-US" w:eastAsia="en-US"/>
              </w:rPr>
            </w:pPr>
            <w:r w:rsidRPr="004E1198">
              <w:rPr>
                <w:rFonts w:cs="Arial"/>
                <w:color w:val="0D0D0D"/>
                <w:sz w:val="18"/>
                <w:szCs w:val="18"/>
                <w:lang w:val="en-US" w:eastAsia="en-US"/>
              </w:rPr>
              <w:t xml:space="preserve">(ENT/Audiologist) follow up consultation </w:t>
            </w:r>
          </w:p>
        </w:tc>
        <w:tc>
          <w:tcPr>
            <w:tcW w:w="4253" w:type="dxa"/>
            <w:tcBorders>
              <w:top w:val="nil"/>
              <w:left w:val="nil"/>
              <w:bottom w:val="single" w:sz="4" w:space="0" w:color="auto"/>
              <w:right w:val="single" w:sz="4" w:space="0" w:color="auto"/>
            </w:tcBorders>
            <w:shd w:val="clear" w:color="auto" w:fill="auto"/>
            <w:noWrap/>
            <w:vAlign w:val="center"/>
            <w:hideMark/>
          </w:tcPr>
          <w:p w14:paraId="01651A95" w14:textId="77777777" w:rsidR="004E1198" w:rsidRPr="004E1198" w:rsidRDefault="004E1198" w:rsidP="004E1198">
            <w:pPr>
              <w:jc w:val="center"/>
              <w:rPr>
                <w:rFonts w:cs="Arial"/>
                <w:color w:val="000000"/>
                <w:sz w:val="18"/>
                <w:szCs w:val="18"/>
                <w:lang w:val="en-US" w:eastAsia="en-US"/>
              </w:rPr>
            </w:pPr>
            <w:r w:rsidRPr="004E1198">
              <w:rPr>
                <w:rFonts w:cs="Arial"/>
                <w:color w:val="000000"/>
                <w:sz w:val="18"/>
                <w:szCs w:val="18"/>
                <w:lang w:val="en-US" w:eastAsia="en-US"/>
              </w:rPr>
              <w:t>MBS item 10952</w:t>
            </w:r>
          </w:p>
        </w:tc>
        <w:tc>
          <w:tcPr>
            <w:tcW w:w="807" w:type="dxa"/>
            <w:tcBorders>
              <w:top w:val="nil"/>
              <w:left w:val="nil"/>
              <w:bottom w:val="single" w:sz="4" w:space="0" w:color="auto"/>
              <w:right w:val="single" w:sz="4" w:space="0" w:color="auto"/>
            </w:tcBorders>
            <w:shd w:val="clear" w:color="auto" w:fill="auto"/>
            <w:noWrap/>
            <w:vAlign w:val="center"/>
            <w:hideMark/>
          </w:tcPr>
          <w:p w14:paraId="1EB970C4" w14:textId="77777777" w:rsidR="004E1198" w:rsidRPr="004E1198" w:rsidRDefault="004E1198" w:rsidP="004E1198">
            <w:pPr>
              <w:jc w:val="center"/>
              <w:rPr>
                <w:rFonts w:cs="Arial"/>
                <w:color w:val="000000"/>
                <w:sz w:val="18"/>
                <w:szCs w:val="18"/>
                <w:lang w:val="en-US" w:eastAsia="en-US"/>
              </w:rPr>
            </w:pPr>
            <w:r w:rsidRPr="004E1198">
              <w:rPr>
                <w:rFonts w:cs="Arial"/>
                <w:color w:val="000000"/>
                <w:sz w:val="18"/>
                <w:szCs w:val="18"/>
                <w:lang w:val="en-US" w:eastAsia="en-US"/>
              </w:rPr>
              <w:t>2</w:t>
            </w:r>
          </w:p>
        </w:tc>
        <w:tc>
          <w:tcPr>
            <w:tcW w:w="1520" w:type="dxa"/>
            <w:tcBorders>
              <w:top w:val="nil"/>
              <w:left w:val="nil"/>
              <w:bottom w:val="single" w:sz="4" w:space="0" w:color="auto"/>
              <w:right w:val="single" w:sz="4" w:space="0" w:color="auto"/>
            </w:tcBorders>
            <w:shd w:val="clear" w:color="auto" w:fill="auto"/>
            <w:noWrap/>
            <w:vAlign w:val="bottom"/>
            <w:hideMark/>
          </w:tcPr>
          <w:p w14:paraId="4B27D03E" w14:textId="44673FBD" w:rsidR="004E1198" w:rsidRPr="004E1198" w:rsidRDefault="004E1198" w:rsidP="00C7683B">
            <w:pPr>
              <w:rPr>
                <w:rFonts w:cs="Arial"/>
                <w:color w:val="000000"/>
                <w:sz w:val="18"/>
                <w:szCs w:val="18"/>
                <w:lang w:val="en-US" w:eastAsia="en-US"/>
              </w:rPr>
            </w:pPr>
            <w:r w:rsidRPr="004E1198">
              <w:rPr>
                <w:rFonts w:cs="Arial"/>
                <w:color w:val="000000"/>
                <w:sz w:val="18"/>
                <w:szCs w:val="18"/>
                <w:lang w:val="en-US" w:eastAsia="en-US"/>
              </w:rPr>
              <w:t xml:space="preserve"> AUD</w:t>
            </w:r>
            <w:r w:rsidR="00C7683B">
              <w:rPr>
                <w:rFonts w:cs="Arial"/>
                <w:color w:val="000000"/>
                <w:sz w:val="18"/>
                <w:szCs w:val="18"/>
                <w:lang w:val="en-US" w:eastAsia="en-US"/>
              </w:rPr>
              <w:t xml:space="preserve">   </w:t>
            </w:r>
            <w:r w:rsidRPr="004E1198">
              <w:rPr>
                <w:rFonts w:cs="Arial"/>
                <w:color w:val="000000"/>
                <w:sz w:val="18"/>
                <w:szCs w:val="18"/>
                <w:lang w:val="en-US" w:eastAsia="en-US"/>
              </w:rPr>
              <w:t xml:space="preserve">62,25 </w:t>
            </w:r>
          </w:p>
        </w:tc>
        <w:tc>
          <w:tcPr>
            <w:tcW w:w="1540" w:type="dxa"/>
            <w:tcBorders>
              <w:top w:val="nil"/>
              <w:left w:val="nil"/>
              <w:bottom w:val="single" w:sz="4" w:space="0" w:color="auto"/>
              <w:right w:val="single" w:sz="8" w:space="0" w:color="auto"/>
            </w:tcBorders>
            <w:shd w:val="clear" w:color="auto" w:fill="auto"/>
            <w:noWrap/>
            <w:vAlign w:val="bottom"/>
            <w:hideMark/>
          </w:tcPr>
          <w:p w14:paraId="516CB2FA" w14:textId="7FA4798E" w:rsidR="004E1198" w:rsidRPr="004E1198" w:rsidRDefault="004E1198" w:rsidP="004E1198">
            <w:pPr>
              <w:rPr>
                <w:rFonts w:cs="Arial"/>
                <w:color w:val="000000"/>
                <w:sz w:val="18"/>
                <w:szCs w:val="18"/>
                <w:lang w:val="en-US" w:eastAsia="en-US"/>
              </w:rPr>
            </w:pPr>
            <w:r w:rsidRPr="004E1198">
              <w:rPr>
                <w:rFonts w:cs="Arial"/>
                <w:color w:val="000000"/>
                <w:sz w:val="18"/>
                <w:szCs w:val="18"/>
                <w:lang w:val="en-US" w:eastAsia="en-US"/>
              </w:rPr>
              <w:t xml:space="preserve"> AUD   124,50 </w:t>
            </w:r>
          </w:p>
        </w:tc>
      </w:tr>
      <w:tr w:rsidR="004E1198" w:rsidRPr="004E1198" w14:paraId="37EC0D09" w14:textId="77777777" w:rsidTr="004E1198">
        <w:trPr>
          <w:trHeight w:val="255"/>
        </w:trPr>
        <w:tc>
          <w:tcPr>
            <w:tcW w:w="4126" w:type="dxa"/>
            <w:tcBorders>
              <w:top w:val="nil"/>
              <w:left w:val="single" w:sz="8" w:space="0" w:color="auto"/>
              <w:bottom w:val="single" w:sz="4" w:space="0" w:color="auto"/>
              <w:right w:val="single" w:sz="4" w:space="0" w:color="auto"/>
            </w:tcBorders>
            <w:shd w:val="clear" w:color="auto" w:fill="auto"/>
            <w:noWrap/>
            <w:vAlign w:val="bottom"/>
            <w:hideMark/>
          </w:tcPr>
          <w:p w14:paraId="6FA49BD9" w14:textId="77777777" w:rsidR="004E1198" w:rsidRPr="004E1198" w:rsidRDefault="004E1198" w:rsidP="004E1198">
            <w:pPr>
              <w:rPr>
                <w:rFonts w:cs="Arial"/>
                <w:color w:val="000000"/>
                <w:sz w:val="18"/>
                <w:szCs w:val="18"/>
                <w:lang w:val="en-US" w:eastAsia="en-US"/>
              </w:rPr>
            </w:pPr>
            <w:r w:rsidRPr="004E1198">
              <w:rPr>
                <w:rFonts w:cs="Arial"/>
                <w:color w:val="000000"/>
                <w:sz w:val="18"/>
                <w:szCs w:val="18"/>
                <w:lang w:val="en-US" w:eastAsia="en-US"/>
              </w:rPr>
              <w:t>Battery cost</w:t>
            </w:r>
          </w:p>
        </w:tc>
        <w:tc>
          <w:tcPr>
            <w:tcW w:w="4253" w:type="dxa"/>
            <w:tcBorders>
              <w:top w:val="nil"/>
              <w:left w:val="nil"/>
              <w:bottom w:val="single" w:sz="4" w:space="0" w:color="auto"/>
              <w:right w:val="single" w:sz="4" w:space="0" w:color="auto"/>
            </w:tcBorders>
            <w:shd w:val="clear" w:color="auto" w:fill="auto"/>
            <w:noWrap/>
            <w:vAlign w:val="center"/>
            <w:hideMark/>
          </w:tcPr>
          <w:p w14:paraId="18FBD29D" w14:textId="77777777" w:rsidR="004E1198" w:rsidRPr="004E1198" w:rsidRDefault="004E1198" w:rsidP="004E1198">
            <w:pPr>
              <w:jc w:val="center"/>
              <w:rPr>
                <w:rFonts w:cs="Arial"/>
                <w:color w:val="000000"/>
                <w:sz w:val="18"/>
                <w:szCs w:val="18"/>
                <w:lang w:val="en-US" w:eastAsia="en-US"/>
              </w:rPr>
            </w:pPr>
            <w:r w:rsidRPr="004E1198">
              <w:rPr>
                <w:rFonts w:cs="Arial"/>
                <w:color w:val="000000"/>
                <w:sz w:val="18"/>
                <w:szCs w:val="18"/>
                <w:lang w:val="en-US" w:eastAsia="en-US"/>
              </w:rPr>
              <w:t xml:space="preserve">Modeller assumption </w:t>
            </w:r>
          </w:p>
        </w:tc>
        <w:tc>
          <w:tcPr>
            <w:tcW w:w="807" w:type="dxa"/>
            <w:tcBorders>
              <w:top w:val="nil"/>
              <w:left w:val="nil"/>
              <w:bottom w:val="single" w:sz="4" w:space="0" w:color="auto"/>
              <w:right w:val="single" w:sz="4" w:space="0" w:color="auto"/>
            </w:tcBorders>
            <w:shd w:val="clear" w:color="auto" w:fill="auto"/>
            <w:noWrap/>
            <w:vAlign w:val="center"/>
            <w:hideMark/>
          </w:tcPr>
          <w:p w14:paraId="0FCB9167" w14:textId="77777777" w:rsidR="004E1198" w:rsidRPr="004E1198" w:rsidRDefault="004E1198" w:rsidP="004E1198">
            <w:pPr>
              <w:jc w:val="center"/>
              <w:rPr>
                <w:rFonts w:cs="Arial"/>
                <w:color w:val="000000"/>
                <w:sz w:val="18"/>
                <w:szCs w:val="18"/>
                <w:lang w:val="en-US" w:eastAsia="en-US"/>
              </w:rPr>
            </w:pPr>
            <w:r w:rsidRPr="004E1198">
              <w:rPr>
                <w:rFonts w:cs="Arial"/>
                <w:color w:val="000000"/>
                <w:sz w:val="18"/>
                <w:szCs w:val="18"/>
                <w:lang w:val="en-US" w:eastAsia="en-US"/>
              </w:rPr>
              <w:t>26</w:t>
            </w:r>
          </w:p>
        </w:tc>
        <w:tc>
          <w:tcPr>
            <w:tcW w:w="1520" w:type="dxa"/>
            <w:tcBorders>
              <w:top w:val="nil"/>
              <w:left w:val="nil"/>
              <w:bottom w:val="single" w:sz="4" w:space="0" w:color="auto"/>
              <w:right w:val="single" w:sz="4" w:space="0" w:color="auto"/>
            </w:tcBorders>
            <w:shd w:val="clear" w:color="auto" w:fill="auto"/>
            <w:noWrap/>
            <w:vAlign w:val="bottom"/>
            <w:hideMark/>
          </w:tcPr>
          <w:p w14:paraId="0F95D105" w14:textId="63521CE8" w:rsidR="004E1198" w:rsidRPr="004E1198" w:rsidRDefault="004E1198" w:rsidP="00C7683B">
            <w:pPr>
              <w:rPr>
                <w:rFonts w:cs="Arial"/>
                <w:color w:val="000000"/>
                <w:sz w:val="18"/>
                <w:szCs w:val="18"/>
                <w:lang w:val="en-US" w:eastAsia="en-US"/>
              </w:rPr>
            </w:pPr>
            <w:r w:rsidRPr="004E1198">
              <w:rPr>
                <w:rFonts w:cs="Arial"/>
                <w:color w:val="000000"/>
                <w:sz w:val="18"/>
                <w:szCs w:val="18"/>
                <w:lang w:val="en-US" w:eastAsia="en-US"/>
              </w:rPr>
              <w:t xml:space="preserve"> AUD   1,00 </w:t>
            </w:r>
          </w:p>
        </w:tc>
        <w:tc>
          <w:tcPr>
            <w:tcW w:w="1540" w:type="dxa"/>
            <w:tcBorders>
              <w:top w:val="nil"/>
              <w:left w:val="nil"/>
              <w:bottom w:val="single" w:sz="4" w:space="0" w:color="auto"/>
              <w:right w:val="single" w:sz="8" w:space="0" w:color="auto"/>
            </w:tcBorders>
            <w:shd w:val="clear" w:color="auto" w:fill="auto"/>
            <w:noWrap/>
            <w:vAlign w:val="bottom"/>
            <w:hideMark/>
          </w:tcPr>
          <w:p w14:paraId="018073ED" w14:textId="312EF190" w:rsidR="004E1198" w:rsidRPr="004E1198" w:rsidRDefault="004E1198" w:rsidP="004E1198">
            <w:pPr>
              <w:rPr>
                <w:rFonts w:cs="Arial"/>
                <w:color w:val="000000"/>
                <w:sz w:val="18"/>
                <w:szCs w:val="18"/>
                <w:lang w:val="en-US" w:eastAsia="en-US"/>
              </w:rPr>
            </w:pPr>
            <w:r w:rsidRPr="004E1198">
              <w:rPr>
                <w:rFonts w:cs="Arial"/>
                <w:color w:val="000000"/>
                <w:sz w:val="18"/>
                <w:szCs w:val="18"/>
                <w:lang w:val="en-US" w:eastAsia="en-US"/>
              </w:rPr>
              <w:t xml:space="preserve"> AUD   26,00 </w:t>
            </w:r>
          </w:p>
        </w:tc>
      </w:tr>
      <w:tr w:rsidR="004E1198" w:rsidRPr="004E1198" w14:paraId="796DBAF5" w14:textId="77777777" w:rsidTr="004E1198">
        <w:trPr>
          <w:trHeight w:val="255"/>
        </w:trPr>
        <w:tc>
          <w:tcPr>
            <w:tcW w:w="4126" w:type="dxa"/>
            <w:tcBorders>
              <w:top w:val="nil"/>
              <w:left w:val="single" w:sz="8" w:space="0" w:color="auto"/>
              <w:bottom w:val="single" w:sz="4" w:space="0" w:color="auto"/>
              <w:right w:val="single" w:sz="4" w:space="0" w:color="auto"/>
            </w:tcBorders>
            <w:shd w:val="clear" w:color="auto" w:fill="auto"/>
            <w:noWrap/>
            <w:vAlign w:val="bottom"/>
            <w:hideMark/>
          </w:tcPr>
          <w:p w14:paraId="75BCE61D" w14:textId="77777777" w:rsidR="004E1198" w:rsidRPr="004E1198" w:rsidRDefault="004E1198" w:rsidP="004E1198">
            <w:pPr>
              <w:rPr>
                <w:rFonts w:cs="Arial"/>
                <w:color w:val="000000"/>
                <w:sz w:val="18"/>
                <w:szCs w:val="18"/>
                <w:lang w:val="en-US" w:eastAsia="en-US"/>
              </w:rPr>
            </w:pPr>
            <w:r w:rsidRPr="004E1198">
              <w:rPr>
                <w:rFonts w:cs="Arial"/>
                <w:color w:val="000000"/>
                <w:sz w:val="18"/>
                <w:szCs w:val="18"/>
                <w:lang w:val="en-US" w:eastAsia="en-US"/>
              </w:rPr>
              <w:t>ENT specialist</w:t>
            </w:r>
          </w:p>
        </w:tc>
        <w:tc>
          <w:tcPr>
            <w:tcW w:w="4253" w:type="dxa"/>
            <w:tcBorders>
              <w:top w:val="nil"/>
              <w:left w:val="nil"/>
              <w:bottom w:val="single" w:sz="4" w:space="0" w:color="auto"/>
              <w:right w:val="single" w:sz="4" w:space="0" w:color="auto"/>
            </w:tcBorders>
            <w:shd w:val="clear" w:color="auto" w:fill="auto"/>
            <w:noWrap/>
            <w:vAlign w:val="center"/>
            <w:hideMark/>
          </w:tcPr>
          <w:p w14:paraId="6AD4D5A7" w14:textId="77777777" w:rsidR="004E1198" w:rsidRPr="004E1198" w:rsidRDefault="004E1198" w:rsidP="004E1198">
            <w:pPr>
              <w:jc w:val="center"/>
              <w:rPr>
                <w:rFonts w:cs="Arial"/>
                <w:color w:val="000000"/>
                <w:sz w:val="18"/>
                <w:szCs w:val="18"/>
                <w:lang w:val="en-US" w:eastAsia="en-US"/>
              </w:rPr>
            </w:pPr>
            <w:r w:rsidRPr="004E1198">
              <w:rPr>
                <w:rFonts w:cs="Arial"/>
                <w:color w:val="000000"/>
                <w:sz w:val="18"/>
                <w:szCs w:val="18"/>
                <w:lang w:val="en-US" w:eastAsia="en-US"/>
              </w:rPr>
              <w:t>MBS item 104</w:t>
            </w:r>
          </w:p>
        </w:tc>
        <w:tc>
          <w:tcPr>
            <w:tcW w:w="807" w:type="dxa"/>
            <w:tcBorders>
              <w:top w:val="nil"/>
              <w:left w:val="nil"/>
              <w:bottom w:val="single" w:sz="4" w:space="0" w:color="auto"/>
              <w:right w:val="single" w:sz="4" w:space="0" w:color="auto"/>
            </w:tcBorders>
            <w:shd w:val="clear" w:color="auto" w:fill="auto"/>
            <w:noWrap/>
            <w:vAlign w:val="center"/>
            <w:hideMark/>
          </w:tcPr>
          <w:p w14:paraId="02154FE6" w14:textId="77777777" w:rsidR="004E1198" w:rsidRPr="004E1198" w:rsidRDefault="004E1198" w:rsidP="004E1198">
            <w:pPr>
              <w:jc w:val="center"/>
              <w:rPr>
                <w:rFonts w:cs="Arial"/>
                <w:color w:val="000000"/>
                <w:sz w:val="18"/>
                <w:szCs w:val="18"/>
                <w:lang w:val="en-US" w:eastAsia="en-US"/>
              </w:rPr>
            </w:pPr>
            <w:r w:rsidRPr="004E1198">
              <w:rPr>
                <w:rFonts w:cs="Arial"/>
                <w:color w:val="000000"/>
                <w:sz w:val="18"/>
                <w:szCs w:val="18"/>
                <w:lang w:val="en-US" w:eastAsia="en-US"/>
              </w:rPr>
              <w:t>1</w:t>
            </w:r>
          </w:p>
        </w:tc>
        <w:tc>
          <w:tcPr>
            <w:tcW w:w="1520" w:type="dxa"/>
            <w:tcBorders>
              <w:top w:val="nil"/>
              <w:left w:val="nil"/>
              <w:bottom w:val="single" w:sz="4" w:space="0" w:color="auto"/>
              <w:right w:val="single" w:sz="4" w:space="0" w:color="auto"/>
            </w:tcBorders>
            <w:shd w:val="clear" w:color="auto" w:fill="auto"/>
            <w:noWrap/>
            <w:vAlign w:val="bottom"/>
            <w:hideMark/>
          </w:tcPr>
          <w:p w14:paraId="06A6D126" w14:textId="32D526A5" w:rsidR="004E1198" w:rsidRPr="004E1198" w:rsidRDefault="004E1198" w:rsidP="00C7683B">
            <w:pPr>
              <w:rPr>
                <w:rFonts w:cs="Arial"/>
                <w:color w:val="000000"/>
                <w:sz w:val="18"/>
                <w:szCs w:val="18"/>
                <w:lang w:val="en-US" w:eastAsia="en-US"/>
              </w:rPr>
            </w:pPr>
            <w:r w:rsidRPr="004E1198">
              <w:rPr>
                <w:rFonts w:cs="Arial"/>
                <w:color w:val="000000"/>
                <w:sz w:val="18"/>
                <w:szCs w:val="18"/>
                <w:lang w:val="en-US" w:eastAsia="en-US"/>
              </w:rPr>
              <w:t xml:space="preserve"> AUD   85,55 </w:t>
            </w:r>
          </w:p>
        </w:tc>
        <w:tc>
          <w:tcPr>
            <w:tcW w:w="1540" w:type="dxa"/>
            <w:tcBorders>
              <w:top w:val="nil"/>
              <w:left w:val="nil"/>
              <w:bottom w:val="single" w:sz="4" w:space="0" w:color="auto"/>
              <w:right w:val="single" w:sz="8" w:space="0" w:color="auto"/>
            </w:tcBorders>
            <w:shd w:val="clear" w:color="auto" w:fill="auto"/>
            <w:noWrap/>
            <w:vAlign w:val="bottom"/>
            <w:hideMark/>
          </w:tcPr>
          <w:p w14:paraId="48B240D3" w14:textId="1D33309A" w:rsidR="004E1198" w:rsidRPr="004E1198" w:rsidRDefault="004E1198" w:rsidP="004E1198">
            <w:pPr>
              <w:rPr>
                <w:rFonts w:cs="Arial"/>
                <w:color w:val="000000"/>
                <w:sz w:val="18"/>
                <w:szCs w:val="18"/>
                <w:lang w:val="en-US" w:eastAsia="en-US"/>
              </w:rPr>
            </w:pPr>
            <w:r w:rsidRPr="004E1198">
              <w:rPr>
                <w:rFonts w:cs="Arial"/>
                <w:color w:val="000000"/>
                <w:sz w:val="18"/>
                <w:szCs w:val="18"/>
                <w:lang w:val="en-US" w:eastAsia="en-US"/>
              </w:rPr>
              <w:t xml:space="preserve"> AUD   85,55 </w:t>
            </w:r>
          </w:p>
        </w:tc>
      </w:tr>
      <w:tr w:rsidR="004E1198" w:rsidRPr="004E1198" w14:paraId="044B43A1" w14:textId="77777777" w:rsidTr="004E1198">
        <w:trPr>
          <w:trHeight w:val="255"/>
        </w:trPr>
        <w:tc>
          <w:tcPr>
            <w:tcW w:w="4126" w:type="dxa"/>
            <w:tcBorders>
              <w:top w:val="nil"/>
              <w:left w:val="single" w:sz="8" w:space="0" w:color="auto"/>
              <w:bottom w:val="single" w:sz="4" w:space="0" w:color="auto"/>
              <w:right w:val="single" w:sz="4" w:space="0" w:color="auto"/>
            </w:tcBorders>
            <w:shd w:val="clear" w:color="000000" w:fill="8DB4E2"/>
            <w:noWrap/>
            <w:vAlign w:val="bottom"/>
            <w:hideMark/>
          </w:tcPr>
          <w:p w14:paraId="01AA392D" w14:textId="77777777" w:rsidR="004E1198" w:rsidRPr="004E1198" w:rsidRDefault="004E1198" w:rsidP="004E1198">
            <w:pPr>
              <w:jc w:val="right"/>
              <w:rPr>
                <w:rFonts w:cs="Arial"/>
                <w:color w:val="000000"/>
                <w:sz w:val="18"/>
                <w:szCs w:val="18"/>
                <w:lang w:val="en-US" w:eastAsia="en-US"/>
              </w:rPr>
            </w:pPr>
            <w:r w:rsidRPr="004E1198">
              <w:rPr>
                <w:rFonts w:cs="Arial"/>
                <w:color w:val="000000"/>
                <w:sz w:val="18"/>
                <w:szCs w:val="18"/>
                <w:lang w:val="en-US" w:eastAsia="en-US"/>
              </w:rPr>
              <w:t>subtotal</w:t>
            </w:r>
          </w:p>
        </w:tc>
        <w:tc>
          <w:tcPr>
            <w:tcW w:w="4253" w:type="dxa"/>
            <w:tcBorders>
              <w:top w:val="nil"/>
              <w:left w:val="nil"/>
              <w:bottom w:val="single" w:sz="4" w:space="0" w:color="auto"/>
              <w:right w:val="single" w:sz="4" w:space="0" w:color="auto"/>
            </w:tcBorders>
            <w:shd w:val="clear" w:color="000000" w:fill="8DB4E2"/>
            <w:noWrap/>
            <w:vAlign w:val="center"/>
            <w:hideMark/>
          </w:tcPr>
          <w:p w14:paraId="7A6023AC" w14:textId="77777777" w:rsidR="004E1198" w:rsidRPr="004E1198" w:rsidRDefault="004E1198" w:rsidP="004E1198">
            <w:pPr>
              <w:jc w:val="center"/>
              <w:rPr>
                <w:rFonts w:cs="Arial"/>
                <w:color w:val="000000"/>
                <w:sz w:val="18"/>
                <w:szCs w:val="18"/>
                <w:lang w:val="en-US" w:eastAsia="en-US"/>
              </w:rPr>
            </w:pPr>
            <w:r w:rsidRPr="004E1198">
              <w:rPr>
                <w:rFonts w:cs="Arial"/>
                <w:color w:val="000000"/>
                <w:sz w:val="18"/>
                <w:szCs w:val="18"/>
                <w:lang w:val="en-US" w:eastAsia="en-US"/>
              </w:rPr>
              <w:t> </w:t>
            </w:r>
          </w:p>
        </w:tc>
        <w:tc>
          <w:tcPr>
            <w:tcW w:w="807" w:type="dxa"/>
            <w:tcBorders>
              <w:top w:val="nil"/>
              <w:left w:val="nil"/>
              <w:bottom w:val="single" w:sz="4" w:space="0" w:color="auto"/>
              <w:right w:val="single" w:sz="4" w:space="0" w:color="auto"/>
            </w:tcBorders>
            <w:shd w:val="clear" w:color="000000" w:fill="8DB4E2"/>
            <w:noWrap/>
            <w:vAlign w:val="center"/>
            <w:hideMark/>
          </w:tcPr>
          <w:p w14:paraId="554583C2" w14:textId="77777777" w:rsidR="004E1198" w:rsidRPr="004E1198" w:rsidRDefault="004E1198" w:rsidP="004E1198">
            <w:pPr>
              <w:jc w:val="center"/>
              <w:rPr>
                <w:rFonts w:cs="Arial"/>
                <w:color w:val="000000"/>
                <w:sz w:val="18"/>
                <w:szCs w:val="18"/>
                <w:lang w:val="en-US" w:eastAsia="en-US"/>
              </w:rPr>
            </w:pPr>
            <w:r w:rsidRPr="004E1198">
              <w:rPr>
                <w:rFonts w:cs="Arial"/>
                <w:color w:val="000000"/>
                <w:sz w:val="18"/>
                <w:szCs w:val="18"/>
                <w:lang w:val="en-US" w:eastAsia="en-US"/>
              </w:rPr>
              <w:t> </w:t>
            </w:r>
          </w:p>
        </w:tc>
        <w:tc>
          <w:tcPr>
            <w:tcW w:w="1520" w:type="dxa"/>
            <w:tcBorders>
              <w:top w:val="nil"/>
              <w:left w:val="nil"/>
              <w:bottom w:val="single" w:sz="4" w:space="0" w:color="auto"/>
              <w:right w:val="single" w:sz="4" w:space="0" w:color="auto"/>
            </w:tcBorders>
            <w:shd w:val="clear" w:color="000000" w:fill="8DB4E2"/>
            <w:noWrap/>
            <w:vAlign w:val="bottom"/>
            <w:hideMark/>
          </w:tcPr>
          <w:p w14:paraId="66DC7BAC" w14:textId="5EEEED3C" w:rsidR="004E1198" w:rsidRPr="004E1198" w:rsidRDefault="004E1198" w:rsidP="00C7683B">
            <w:pPr>
              <w:rPr>
                <w:rFonts w:cs="Arial"/>
                <w:color w:val="000000"/>
                <w:sz w:val="18"/>
                <w:szCs w:val="18"/>
                <w:lang w:val="en-US" w:eastAsia="en-US"/>
              </w:rPr>
            </w:pPr>
            <w:r w:rsidRPr="004E1198">
              <w:rPr>
                <w:rFonts w:cs="Arial"/>
                <w:color w:val="000000"/>
                <w:sz w:val="18"/>
                <w:szCs w:val="18"/>
                <w:lang w:val="en-US" w:eastAsia="en-US"/>
              </w:rPr>
              <w:t xml:space="preserve"> AUD</w:t>
            </w:r>
            <w:r w:rsidR="00C7683B">
              <w:rPr>
                <w:rFonts w:cs="Arial"/>
                <w:color w:val="000000"/>
                <w:sz w:val="18"/>
                <w:szCs w:val="18"/>
                <w:lang w:val="en-US" w:eastAsia="en-US"/>
              </w:rPr>
              <w:t xml:space="preserve">   </w:t>
            </w:r>
            <w:r w:rsidRPr="004E1198">
              <w:rPr>
                <w:rFonts w:cs="Arial"/>
                <w:color w:val="000000"/>
                <w:sz w:val="18"/>
                <w:szCs w:val="18"/>
                <w:lang w:val="en-US" w:eastAsia="en-US"/>
              </w:rPr>
              <w:t xml:space="preserve">302,75 </w:t>
            </w:r>
          </w:p>
        </w:tc>
        <w:tc>
          <w:tcPr>
            <w:tcW w:w="1540" w:type="dxa"/>
            <w:tcBorders>
              <w:top w:val="nil"/>
              <w:left w:val="nil"/>
              <w:bottom w:val="single" w:sz="4" w:space="0" w:color="auto"/>
              <w:right w:val="single" w:sz="8" w:space="0" w:color="auto"/>
            </w:tcBorders>
            <w:shd w:val="clear" w:color="000000" w:fill="8DB4E2"/>
            <w:noWrap/>
            <w:vAlign w:val="bottom"/>
            <w:hideMark/>
          </w:tcPr>
          <w:p w14:paraId="3381594A" w14:textId="4E44FC09" w:rsidR="004E1198" w:rsidRPr="004E1198" w:rsidRDefault="00C7683B" w:rsidP="004E1198">
            <w:pPr>
              <w:rPr>
                <w:rFonts w:cs="Arial"/>
                <w:color w:val="000000"/>
                <w:sz w:val="18"/>
                <w:szCs w:val="18"/>
                <w:lang w:val="en-US" w:eastAsia="en-US"/>
              </w:rPr>
            </w:pPr>
            <w:r>
              <w:rPr>
                <w:rFonts w:cs="Arial"/>
                <w:color w:val="000000"/>
                <w:sz w:val="18"/>
                <w:szCs w:val="18"/>
                <w:lang w:val="en-US" w:eastAsia="en-US"/>
              </w:rPr>
              <w:t xml:space="preserve"> AUD  </w:t>
            </w:r>
            <w:r w:rsidR="004E1198" w:rsidRPr="004E1198">
              <w:rPr>
                <w:rFonts w:cs="Arial"/>
                <w:color w:val="000000"/>
                <w:sz w:val="18"/>
                <w:szCs w:val="18"/>
                <w:lang w:val="en-US" w:eastAsia="en-US"/>
              </w:rPr>
              <w:t xml:space="preserve">390,00 </w:t>
            </w:r>
          </w:p>
        </w:tc>
      </w:tr>
      <w:tr w:rsidR="004E1198" w:rsidRPr="004E1198" w14:paraId="6EAB2E7C" w14:textId="77777777" w:rsidTr="004E1198">
        <w:trPr>
          <w:trHeight w:val="255"/>
        </w:trPr>
        <w:tc>
          <w:tcPr>
            <w:tcW w:w="4126" w:type="dxa"/>
            <w:tcBorders>
              <w:top w:val="nil"/>
              <w:left w:val="single" w:sz="8" w:space="0" w:color="auto"/>
              <w:bottom w:val="single" w:sz="4" w:space="0" w:color="auto"/>
              <w:right w:val="single" w:sz="4" w:space="0" w:color="auto"/>
            </w:tcBorders>
            <w:shd w:val="clear" w:color="auto" w:fill="auto"/>
            <w:noWrap/>
            <w:vAlign w:val="bottom"/>
            <w:hideMark/>
          </w:tcPr>
          <w:p w14:paraId="566E1F80" w14:textId="77777777" w:rsidR="004E1198" w:rsidRPr="004E1198" w:rsidRDefault="004E1198" w:rsidP="004E1198">
            <w:pPr>
              <w:rPr>
                <w:rFonts w:cs="Arial"/>
                <w:b/>
                <w:bCs/>
                <w:color w:val="000000"/>
                <w:sz w:val="18"/>
                <w:szCs w:val="18"/>
                <w:lang w:val="en-US" w:eastAsia="en-US"/>
              </w:rPr>
            </w:pPr>
            <w:r w:rsidRPr="004E1198">
              <w:rPr>
                <w:rFonts w:cs="Arial"/>
                <w:b/>
                <w:bCs/>
                <w:color w:val="000000"/>
                <w:sz w:val="18"/>
                <w:szCs w:val="18"/>
                <w:lang w:val="en-US" w:eastAsia="en-US"/>
              </w:rPr>
              <w:t>Total consumables</w:t>
            </w:r>
          </w:p>
        </w:tc>
        <w:tc>
          <w:tcPr>
            <w:tcW w:w="4253" w:type="dxa"/>
            <w:tcBorders>
              <w:top w:val="nil"/>
              <w:left w:val="nil"/>
              <w:bottom w:val="single" w:sz="4" w:space="0" w:color="auto"/>
              <w:right w:val="single" w:sz="4" w:space="0" w:color="auto"/>
            </w:tcBorders>
            <w:shd w:val="clear" w:color="auto" w:fill="auto"/>
            <w:noWrap/>
            <w:vAlign w:val="center"/>
            <w:hideMark/>
          </w:tcPr>
          <w:p w14:paraId="59BB4B30" w14:textId="77777777" w:rsidR="004E1198" w:rsidRPr="004E1198" w:rsidRDefault="004E1198" w:rsidP="004E1198">
            <w:pPr>
              <w:jc w:val="center"/>
              <w:rPr>
                <w:rFonts w:cs="Arial"/>
                <w:b/>
                <w:bCs/>
                <w:color w:val="000000"/>
                <w:sz w:val="18"/>
                <w:szCs w:val="18"/>
                <w:lang w:val="en-US" w:eastAsia="en-US"/>
              </w:rPr>
            </w:pPr>
            <w:r w:rsidRPr="004E1198">
              <w:rPr>
                <w:rFonts w:cs="Arial"/>
                <w:b/>
                <w:bCs/>
                <w:color w:val="000000"/>
                <w:sz w:val="18"/>
                <w:szCs w:val="18"/>
                <w:lang w:val="en-US" w:eastAsia="en-US"/>
              </w:rPr>
              <w:t> </w:t>
            </w:r>
          </w:p>
        </w:tc>
        <w:tc>
          <w:tcPr>
            <w:tcW w:w="807" w:type="dxa"/>
            <w:tcBorders>
              <w:top w:val="nil"/>
              <w:left w:val="nil"/>
              <w:bottom w:val="single" w:sz="4" w:space="0" w:color="auto"/>
              <w:right w:val="single" w:sz="4" w:space="0" w:color="auto"/>
            </w:tcBorders>
            <w:shd w:val="clear" w:color="auto" w:fill="auto"/>
            <w:noWrap/>
            <w:vAlign w:val="center"/>
            <w:hideMark/>
          </w:tcPr>
          <w:p w14:paraId="01405A8A" w14:textId="77777777" w:rsidR="004E1198" w:rsidRPr="004E1198" w:rsidRDefault="004E1198" w:rsidP="004E1198">
            <w:pPr>
              <w:jc w:val="center"/>
              <w:rPr>
                <w:rFonts w:cs="Arial"/>
                <w:b/>
                <w:bCs/>
                <w:color w:val="000000"/>
                <w:sz w:val="18"/>
                <w:szCs w:val="18"/>
                <w:lang w:val="en-US" w:eastAsia="en-US"/>
              </w:rPr>
            </w:pPr>
            <w:r w:rsidRPr="004E1198">
              <w:rPr>
                <w:rFonts w:cs="Arial"/>
                <w:b/>
                <w:bCs/>
                <w:color w:val="000000"/>
                <w:sz w:val="18"/>
                <w:szCs w:val="18"/>
                <w:lang w:val="en-US" w:eastAsia="en-US"/>
              </w:rPr>
              <w:t> </w:t>
            </w:r>
          </w:p>
        </w:tc>
        <w:tc>
          <w:tcPr>
            <w:tcW w:w="1520" w:type="dxa"/>
            <w:tcBorders>
              <w:top w:val="nil"/>
              <w:left w:val="nil"/>
              <w:bottom w:val="single" w:sz="4" w:space="0" w:color="auto"/>
              <w:right w:val="single" w:sz="4" w:space="0" w:color="auto"/>
            </w:tcBorders>
            <w:shd w:val="clear" w:color="auto" w:fill="auto"/>
            <w:noWrap/>
            <w:vAlign w:val="bottom"/>
            <w:hideMark/>
          </w:tcPr>
          <w:p w14:paraId="1CDE1B67" w14:textId="77777777" w:rsidR="004E1198" w:rsidRPr="004E1198" w:rsidRDefault="004E1198" w:rsidP="004E1198">
            <w:pPr>
              <w:rPr>
                <w:rFonts w:cs="Arial"/>
                <w:b/>
                <w:bCs/>
                <w:color w:val="000000"/>
                <w:sz w:val="18"/>
                <w:szCs w:val="18"/>
                <w:lang w:val="en-US" w:eastAsia="en-US"/>
              </w:rPr>
            </w:pPr>
            <w:r w:rsidRPr="004E1198">
              <w:rPr>
                <w:rFonts w:cs="Arial"/>
                <w:b/>
                <w:bCs/>
                <w:color w:val="000000"/>
                <w:sz w:val="18"/>
                <w:szCs w:val="18"/>
                <w:lang w:val="en-US" w:eastAsia="en-US"/>
              </w:rPr>
              <w:t> </w:t>
            </w:r>
          </w:p>
        </w:tc>
        <w:tc>
          <w:tcPr>
            <w:tcW w:w="1540" w:type="dxa"/>
            <w:tcBorders>
              <w:top w:val="nil"/>
              <w:left w:val="nil"/>
              <w:bottom w:val="single" w:sz="4" w:space="0" w:color="auto"/>
              <w:right w:val="single" w:sz="8" w:space="0" w:color="auto"/>
            </w:tcBorders>
            <w:shd w:val="clear" w:color="auto" w:fill="auto"/>
            <w:noWrap/>
            <w:vAlign w:val="bottom"/>
            <w:hideMark/>
          </w:tcPr>
          <w:p w14:paraId="0FCE0BE6" w14:textId="77777777" w:rsidR="004E1198" w:rsidRPr="004E1198" w:rsidRDefault="004E1198" w:rsidP="004E1198">
            <w:pPr>
              <w:rPr>
                <w:rFonts w:cs="Arial"/>
                <w:b/>
                <w:bCs/>
                <w:color w:val="000000"/>
                <w:sz w:val="18"/>
                <w:szCs w:val="18"/>
                <w:lang w:val="en-US" w:eastAsia="en-US"/>
              </w:rPr>
            </w:pPr>
            <w:r w:rsidRPr="004E1198">
              <w:rPr>
                <w:rFonts w:cs="Arial"/>
                <w:b/>
                <w:bCs/>
                <w:color w:val="000000"/>
                <w:sz w:val="18"/>
                <w:szCs w:val="18"/>
                <w:lang w:val="en-US" w:eastAsia="en-US"/>
              </w:rPr>
              <w:t xml:space="preserve"> AUD 13.970,00 </w:t>
            </w:r>
          </w:p>
        </w:tc>
      </w:tr>
      <w:tr w:rsidR="004E1198" w:rsidRPr="004E1198" w14:paraId="617BB7E6" w14:textId="77777777" w:rsidTr="004E1198">
        <w:trPr>
          <w:trHeight w:val="255"/>
        </w:trPr>
        <w:tc>
          <w:tcPr>
            <w:tcW w:w="4126" w:type="dxa"/>
            <w:tcBorders>
              <w:top w:val="nil"/>
              <w:left w:val="single" w:sz="8" w:space="0" w:color="auto"/>
              <w:bottom w:val="single" w:sz="4" w:space="0" w:color="auto"/>
              <w:right w:val="single" w:sz="4" w:space="0" w:color="auto"/>
            </w:tcBorders>
            <w:shd w:val="clear" w:color="auto" w:fill="auto"/>
            <w:noWrap/>
            <w:vAlign w:val="bottom"/>
            <w:hideMark/>
          </w:tcPr>
          <w:p w14:paraId="38234EE2" w14:textId="77777777" w:rsidR="004E1198" w:rsidRPr="004E1198" w:rsidRDefault="004E1198" w:rsidP="004E1198">
            <w:pPr>
              <w:rPr>
                <w:rFonts w:cs="Arial"/>
                <w:b/>
                <w:bCs/>
                <w:color w:val="000000"/>
                <w:sz w:val="18"/>
                <w:szCs w:val="18"/>
                <w:lang w:val="en-US" w:eastAsia="en-US"/>
              </w:rPr>
            </w:pPr>
            <w:r w:rsidRPr="004E1198">
              <w:rPr>
                <w:rFonts w:cs="Arial"/>
                <w:b/>
                <w:bCs/>
                <w:color w:val="000000"/>
                <w:sz w:val="18"/>
                <w:szCs w:val="18"/>
                <w:lang w:val="en-US" w:eastAsia="en-US"/>
              </w:rPr>
              <w:t>Total direct costs</w:t>
            </w:r>
          </w:p>
        </w:tc>
        <w:tc>
          <w:tcPr>
            <w:tcW w:w="4253" w:type="dxa"/>
            <w:tcBorders>
              <w:top w:val="nil"/>
              <w:left w:val="nil"/>
              <w:bottom w:val="single" w:sz="4" w:space="0" w:color="auto"/>
              <w:right w:val="single" w:sz="4" w:space="0" w:color="auto"/>
            </w:tcBorders>
            <w:shd w:val="clear" w:color="auto" w:fill="auto"/>
            <w:noWrap/>
            <w:vAlign w:val="center"/>
            <w:hideMark/>
          </w:tcPr>
          <w:p w14:paraId="3D9611B0" w14:textId="77777777" w:rsidR="004E1198" w:rsidRPr="004E1198" w:rsidRDefault="004E1198" w:rsidP="004E1198">
            <w:pPr>
              <w:jc w:val="center"/>
              <w:rPr>
                <w:rFonts w:cs="Arial"/>
                <w:b/>
                <w:bCs/>
                <w:color w:val="000000"/>
                <w:sz w:val="18"/>
                <w:szCs w:val="18"/>
                <w:lang w:val="en-US" w:eastAsia="en-US"/>
              </w:rPr>
            </w:pPr>
            <w:r w:rsidRPr="004E1198">
              <w:rPr>
                <w:rFonts w:cs="Arial"/>
                <w:b/>
                <w:bCs/>
                <w:color w:val="000000"/>
                <w:sz w:val="18"/>
                <w:szCs w:val="18"/>
                <w:lang w:val="en-US" w:eastAsia="en-US"/>
              </w:rPr>
              <w:t> </w:t>
            </w:r>
          </w:p>
        </w:tc>
        <w:tc>
          <w:tcPr>
            <w:tcW w:w="807" w:type="dxa"/>
            <w:tcBorders>
              <w:top w:val="nil"/>
              <w:left w:val="nil"/>
              <w:bottom w:val="single" w:sz="4" w:space="0" w:color="auto"/>
              <w:right w:val="single" w:sz="4" w:space="0" w:color="auto"/>
            </w:tcBorders>
            <w:shd w:val="clear" w:color="auto" w:fill="auto"/>
            <w:noWrap/>
            <w:vAlign w:val="center"/>
            <w:hideMark/>
          </w:tcPr>
          <w:p w14:paraId="413161C2" w14:textId="77777777" w:rsidR="004E1198" w:rsidRPr="004E1198" w:rsidRDefault="004E1198" w:rsidP="004E1198">
            <w:pPr>
              <w:jc w:val="center"/>
              <w:rPr>
                <w:rFonts w:cs="Arial"/>
                <w:b/>
                <w:bCs/>
                <w:color w:val="000000"/>
                <w:sz w:val="18"/>
                <w:szCs w:val="18"/>
                <w:lang w:val="en-US" w:eastAsia="en-US"/>
              </w:rPr>
            </w:pPr>
            <w:r w:rsidRPr="004E1198">
              <w:rPr>
                <w:rFonts w:cs="Arial"/>
                <w:b/>
                <w:bCs/>
                <w:color w:val="000000"/>
                <w:sz w:val="18"/>
                <w:szCs w:val="18"/>
                <w:lang w:val="en-US" w:eastAsia="en-US"/>
              </w:rPr>
              <w:t> </w:t>
            </w:r>
          </w:p>
        </w:tc>
        <w:tc>
          <w:tcPr>
            <w:tcW w:w="1520" w:type="dxa"/>
            <w:tcBorders>
              <w:top w:val="nil"/>
              <w:left w:val="nil"/>
              <w:bottom w:val="single" w:sz="4" w:space="0" w:color="auto"/>
              <w:right w:val="single" w:sz="4" w:space="0" w:color="auto"/>
            </w:tcBorders>
            <w:shd w:val="clear" w:color="auto" w:fill="auto"/>
            <w:noWrap/>
            <w:vAlign w:val="bottom"/>
            <w:hideMark/>
          </w:tcPr>
          <w:p w14:paraId="1E801AA2" w14:textId="77777777" w:rsidR="004E1198" w:rsidRPr="004E1198" w:rsidRDefault="004E1198" w:rsidP="004E1198">
            <w:pPr>
              <w:rPr>
                <w:rFonts w:cs="Arial"/>
                <w:b/>
                <w:bCs/>
                <w:color w:val="000000"/>
                <w:sz w:val="18"/>
                <w:szCs w:val="18"/>
                <w:lang w:val="en-US" w:eastAsia="en-US"/>
              </w:rPr>
            </w:pPr>
            <w:r w:rsidRPr="004E1198">
              <w:rPr>
                <w:rFonts w:cs="Arial"/>
                <w:b/>
                <w:bCs/>
                <w:color w:val="000000"/>
                <w:sz w:val="18"/>
                <w:szCs w:val="18"/>
                <w:lang w:val="en-US" w:eastAsia="en-US"/>
              </w:rPr>
              <w:t> </w:t>
            </w:r>
          </w:p>
        </w:tc>
        <w:tc>
          <w:tcPr>
            <w:tcW w:w="1540" w:type="dxa"/>
            <w:tcBorders>
              <w:top w:val="nil"/>
              <w:left w:val="nil"/>
              <w:bottom w:val="single" w:sz="4" w:space="0" w:color="auto"/>
              <w:right w:val="single" w:sz="8" w:space="0" w:color="auto"/>
            </w:tcBorders>
            <w:shd w:val="clear" w:color="auto" w:fill="auto"/>
            <w:noWrap/>
            <w:vAlign w:val="bottom"/>
            <w:hideMark/>
          </w:tcPr>
          <w:p w14:paraId="338A7372" w14:textId="77777777" w:rsidR="004E1198" w:rsidRPr="004E1198" w:rsidRDefault="004E1198" w:rsidP="004E1198">
            <w:pPr>
              <w:rPr>
                <w:rFonts w:cs="Arial"/>
                <w:b/>
                <w:bCs/>
                <w:color w:val="000000"/>
                <w:sz w:val="18"/>
                <w:szCs w:val="18"/>
                <w:lang w:val="en-US" w:eastAsia="en-US"/>
              </w:rPr>
            </w:pPr>
            <w:r w:rsidRPr="004E1198">
              <w:rPr>
                <w:rFonts w:cs="Arial"/>
                <w:b/>
                <w:bCs/>
                <w:color w:val="000000"/>
                <w:sz w:val="18"/>
                <w:szCs w:val="18"/>
                <w:lang w:val="en-US" w:eastAsia="en-US"/>
              </w:rPr>
              <w:t xml:space="preserve"> AUD   4.639,79 </w:t>
            </w:r>
          </w:p>
        </w:tc>
      </w:tr>
      <w:tr w:rsidR="004E1198" w:rsidRPr="004E1198" w14:paraId="448D07DD" w14:textId="77777777" w:rsidTr="004E1198">
        <w:trPr>
          <w:trHeight w:val="270"/>
        </w:trPr>
        <w:tc>
          <w:tcPr>
            <w:tcW w:w="4126" w:type="dxa"/>
            <w:tcBorders>
              <w:top w:val="nil"/>
              <w:left w:val="single" w:sz="8" w:space="0" w:color="auto"/>
              <w:bottom w:val="single" w:sz="8" w:space="0" w:color="auto"/>
              <w:right w:val="single" w:sz="4" w:space="0" w:color="auto"/>
            </w:tcBorders>
            <w:shd w:val="clear" w:color="000000" w:fill="FFC000"/>
            <w:noWrap/>
            <w:vAlign w:val="bottom"/>
            <w:hideMark/>
          </w:tcPr>
          <w:p w14:paraId="624AEA70" w14:textId="77777777" w:rsidR="004E1198" w:rsidRPr="004E1198" w:rsidRDefault="004E1198" w:rsidP="004E1198">
            <w:pPr>
              <w:rPr>
                <w:rFonts w:cs="Arial"/>
                <w:b/>
                <w:bCs/>
                <w:color w:val="000000"/>
                <w:sz w:val="18"/>
                <w:szCs w:val="18"/>
                <w:lang w:val="en-US" w:eastAsia="en-US"/>
              </w:rPr>
            </w:pPr>
            <w:r w:rsidRPr="004E1198">
              <w:rPr>
                <w:rFonts w:cs="Arial"/>
                <w:b/>
                <w:bCs/>
                <w:color w:val="000000"/>
                <w:sz w:val="18"/>
                <w:szCs w:val="18"/>
                <w:lang w:val="en-US" w:eastAsia="en-US"/>
              </w:rPr>
              <w:t>Total cost of VSB implantation</w:t>
            </w:r>
          </w:p>
        </w:tc>
        <w:tc>
          <w:tcPr>
            <w:tcW w:w="4253" w:type="dxa"/>
            <w:tcBorders>
              <w:top w:val="nil"/>
              <w:left w:val="nil"/>
              <w:bottom w:val="single" w:sz="8" w:space="0" w:color="auto"/>
              <w:right w:val="single" w:sz="4" w:space="0" w:color="auto"/>
            </w:tcBorders>
            <w:shd w:val="clear" w:color="000000" w:fill="FFC000"/>
            <w:noWrap/>
            <w:vAlign w:val="bottom"/>
            <w:hideMark/>
          </w:tcPr>
          <w:p w14:paraId="6F10BC80" w14:textId="77777777" w:rsidR="004E1198" w:rsidRPr="004E1198" w:rsidRDefault="004E1198" w:rsidP="004E1198">
            <w:pPr>
              <w:rPr>
                <w:rFonts w:cs="Arial"/>
                <w:color w:val="000000"/>
                <w:sz w:val="18"/>
                <w:szCs w:val="18"/>
                <w:lang w:val="en-US" w:eastAsia="en-US"/>
              </w:rPr>
            </w:pPr>
            <w:r w:rsidRPr="004E1198">
              <w:rPr>
                <w:rFonts w:cs="Arial"/>
                <w:color w:val="000000"/>
                <w:sz w:val="18"/>
                <w:szCs w:val="18"/>
                <w:lang w:val="en-US" w:eastAsia="en-US"/>
              </w:rPr>
              <w:t> </w:t>
            </w:r>
          </w:p>
        </w:tc>
        <w:tc>
          <w:tcPr>
            <w:tcW w:w="807" w:type="dxa"/>
            <w:tcBorders>
              <w:top w:val="nil"/>
              <w:left w:val="nil"/>
              <w:bottom w:val="single" w:sz="8" w:space="0" w:color="auto"/>
              <w:right w:val="single" w:sz="4" w:space="0" w:color="auto"/>
            </w:tcBorders>
            <w:shd w:val="clear" w:color="000000" w:fill="FFC000"/>
            <w:noWrap/>
            <w:vAlign w:val="bottom"/>
            <w:hideMark/>
          </w:tcPr>
          <w:p w14:paraId="701C7754" w14:textId="77777777" w:rsidR="004E1198" w:rsidRPr="004E1198" w:rsidRDefault="004E1198" w:rsidP="004E1198">
            <w:pPr>
              <w:rPr>
                <w:rFonts w:cs="Arial"/>
                <w:color w:val="000000"/>
                <w:sz w:val="18"/>
                <w:szCs w:val="18"/>
                <w:lang w:val="en-US" w:eastAsia="en-US"/>
              </w:rPr>
            </w:pPr>
            <w:r w:rsidRPr="004E1198">
              <w:rPr>
                <w:rFonts w:cs="Arial"/>
                <w:color w:val="000000"/>
                <w:sz w:val="18"/>
                <w:szCs w:val="18"/>
                <w:lang w:val="en-US" w:eastAsia="en-US"/>
              </w:rPr>
              <w:t> </w:t>
            </w:r>
          </w:p>
        </w:tc>
        <w:tc>
          <w:tcPr>
            <w:tcW w:w="1520" w:type="dxa"/>
            <w:tcBorders>
              <w:top w:val="nil"/>
              <w:left w:val="nil"/>
              <w:bottom w:val="single" w:sz="8" w:space="0" w:color="auto"/>
              <w:right w:val="single" w:sz="4" w:space="0" w:color="auto"/>
            </w:tcBorders>
            <w:shd w:val="clear" w:color="000000" w:fill="FFC000"/>
            <w:noWrap/>
            <w:vAlign w:val="bottom"/>
            <w:hideMark/>
          </w:tcPr>
          <w:p w14:paraId="0F1AC2E3" w14:textId="77777777" w:rsidR="004E1198" w:rsidRPr="004E1198" w:rsidRDefault="004E1198" w:rsidP="004E1198">
            <w:pPr>
              <w:rPr>
                <w:rFonts w:cs="Arial"/>
                <w:color w:val="000000"/>
                <w:sz w:val="18"/>
                <w:szCs w:val="18"/>
                <w:lang w:val="en-US" w:eastAsia="en-US"/>
              </w:rPr>
            </w:pPr>
            <w:r w:rsidRPr="004E1198">
              <w:rPr>
                <w:rFonts w:cs="Arial"/>
                <w:color w:val="000000"/>
                <w:sz w:val="18"/>
                <w:szCs w:val="18"/>
                <w:lang w:val="en-US" w:eastAsia="en-US"/>
              </w:rPr>
              <w:t> </w:t>
            </w:r>
          </w:p>
        </w:tc>
        <w:tc>
          <w:tcPr>
            <w:tcW w:w="1540" w:type="dxa"/>
            <w:tcBorders>
              <w:top w:val="nil"/>
              <w:left w:val="nil"/>
              <w:bottom w:val="single" w:sz="8" w:space="0" w:color="auto"/>
              <w:right w:val="single" w:sz="8" w:space="0" w:color="auto"/>
            </w:tcBorders>
            <w:shd w:val="clear" w:color="000000" w:fill="FFC000"/>
            <w:noWrap/>
            <w:vAlign w:val="bottom"/>
            <w:hideMark/>
          </w:tcPr>
          <w:p w14:paraId="10B32B33" w14:textId="77777777" w:rsidR="004E1198" w:rsidRPr="004E1198" w:rsidRDefault="004E1198" w:rsidP="004E1198">
            <w:pPr>
              <w:rPr>
                <w:rFonts w:cs="Arial"/>
                <w:b/>
                <w:bCs/>
                <w:color w:val="000000"/>
                <w:sz w:val="18"/>
                <w:szCs w:val="18"/>
                <w:lang w:val="en-US" w:eastAsia="en-US"/>
              </w:rPr>
            </w:pPr>
            <w:r w:rsidRPr="004E1198">
              <w:rPr>
                <w:rFonts w:cs="Arial"/>
                <w:b/>
                <w:bCs/>
                <w:color w:val="000000"/>
                <w:sz w:val="18"/>
                <w:szCs w:val="18"/>
                <w:lang w:val="en-US" w:eastAsia="en-US"/>
              </w:rPr>
              <w:t xml:space="preserve"> AUD 18.609,79 </w:t>
            </w:r>
          </w:p>
        </w:tc>
      </w:tr>
    </w:tbl>
    <w:p w14:paraId="17C5AB72" w14:textId="77777777" w:rsidR="00395F95" w:rsidRPr="00C27B3D" w:rsidRDefault="00C27B3D" w:rsidP="00395F95">
      <w:pPr>
        <w:rPr>
          <w:sz w:val="16"/>
          <w:szCs w:val="16"/>
          <w:lang w:val="en-GB"/>
        </w:rPr>
      </w:pPr>
      <w:r w:rsidRPr="00C27B3D">
        <w:rPr>
          <w:sz w:val="16"/>
          <w:szCs w:val="16"/>
          <w:lang w:val="en-GB"/>
        </w:rPr>
        <w:t>MBS: Medical Benefits Schedule. DVA: Department of Veteran Affairs. AR-DRG: Australian Refined Diagnosis Related Group.</w:t>
      </w:r>
    </w:p>
    <w:p w14:paraId="0D5CB8A0" w14:textId="77777777" w:rsidR="00395F95" w:rsidRDefault="00395F95" w:rsidP="004D1FF6">
      <w:pPr>
        <w:pStyle w:val="Textbody"/>
        <w:rPr>
          <w:lang w:val="en-AU"/>
        </w:rPr>
        <w:sectPr w:rsidR="00395F95" w:rsidSect="00395F95">
          <w:pgSz w:w="16840" w:h="11907" w:orient="landscape" w:code="9"/>
          <w:pgMar w:top="1814" w:right="1418" w:bottom="1418" w:left="1701" w:header="720" w:footer="720" w:gutter="0"/>
          <w:paperSrc w:first="7" w:other="7"/>
          <w:cols w:space="720"/>
          <w:noEndnote/>
          <w:docGrid w:linePitch="299"/>
        </w:sectPr>
      </w:pPr>
    </w:p>
    <w:p w14:paraId="39238A06" w14:textId="7CCD2FC4" w:rsidR="00C27B3D" w:rsidRDefault="00C27B3D" w:rsidP="00C27B3D">
      <w:pPr>
        <w:spacing w:line="360" w:lineRule="auto"/>
        <w:jc w:val="both"/>
        <w:rPr>
          <w:rFonts w:cs="Arial"/>
          <w:lang w:val="en-GB"/>
        </w:rPr>
      </w:pPr>
      <w:r w:rsidRPr="00932A48">
        <w:rPr>
          <w:rFonts w:cs="Arial"/>
          <w:lang w:val="en-GB"/>
        </w:rPr>
        <w:lastRenderedPageBreak/>
        <w:t xml:space="preserve">After the first cycle of the model, patients are followed up once again in the second cycle and then every year. Throughout this process continuous users will carry on purchasing batteries for their audio processors. In the long-term it is anticipated that for each person who </w:t>
      </w:r>
      <w:r w:rsidRPr="00C366A9">
        <w:rPr>
          <w:rFonts w:cs="Arial"/>
          <w:lang w:val="en-GB"/>
        </w:rPr>
        <w:t>continues to use their implant system the external audio processor will be replaced every 5 years. The cost associated with a new AP is assumed to be the s</w:t>
      </w:r>
      <w:r w:rsidR="00D2551D">
        <w:rPr>
          <w:rFonts w:cs="Arial"/>
          <w:lang w:val="en-GB"/>
        </w:rPr>
        <w:t>ame as the existing one at AUD 6.500</w:t>
      </w:r>
      <w:r w:rsidRPr="00C366A9">
        <w:rPr>
          <w:rFonts w:cs="Arial"/>
          <w:lang w:val="en-GB"/>
        </w:rPr>
        <w:t>. Fitting of a new</w:t>
      </w:r>
      <w:r w:rsidRPr="00932A48">
        <w:rPr>
          <w:rFonts w:cs="Arial"/>
          <w:lang w:val="en-GB"/>
        </w:rPr>
        <w:t xml:space="preserve"> processor occurs during the regular clinical follow-up visits where a full audiological assessment with the new device is carried out. Long-term costs associated with VSB use are listed in </w:t>
      </w:r>
      <w:r w:rsidR="00EF4726">
        <w:rPr>
          <w:rFonts w:cs="Arial"/>
          <w:highlight w:val="yellow"/>
          <w:lang w:val="en-GB"/>
        </w:rPr>
        <w:fldChar w:fldCharType="begin"/>
      </w:r>
      <w:r w:rsidR="00EF4726">
        <w:rPr>
          <w:rFonts w:cs="Arial"/>
          <w:lang w:val="en-GB"/>
        </w:rPr>
        <w:instrText xml:space="preserve"> REF _Ref430963603 \h </w:instrText>
      </w:r>
      <w:r w:rsidR="00EF4726">
        <w:rPr>
          <w:rFonts w:cs="Arial"/>
          <w:highlight w:val="yellow"/>
          <w:lang w:val="en-GB"/>
        </w:rPr>
      </w:r>
      <w:r w:rsidR="00EF4726">
        <w:rPr>
          <w:rFonts w:cs="Arial"/>
          <w:highlight w:val="yellow"/>
          <w:lang w:val="en-GB"/>
        </w:rPr>
        <w:fldChar w:fldCharType="separate"/>
      </w:r>
      <w:r w:rsidR="00016592" w:rsidRPr="00EF4726">
        <w:rPr>
          <w:rFonts w:cs="Arial"/>
        </w:rPr>
        <w:t xml:space="preserve">Table </w:t>
      </w:r>
      <w:r w:rsidR="00016592">
        <w:rPr>
          <w:rFonts w:cs="Arial"/>
          <w:noProof/>
        </w:rPr>
        <w:t>38</w:t>
      </w:r>
      <w:r w:rsidR="00EF4726">
        <w:rPr>
          <w:rFonts w:cs="Arial"/>
          <w:highlight w:val="yellow"/>
          <w:lang w:val="en-GB"/>
        </w:rPr>
        <w:fldChar w:fldCharType="end"/>
      </w:r>
      <w:r w:rsidRPr="00932A48">
        <w:rPr>
          <w:rFonts w:cs="Arial"/>
          <w:lang w:val="en-GB"/>
        </w:rPr>
        <w:t>.</w:t>
      </w:r>
    </w:p>
    <w:p w14:paraId="2372CEFD" w14:textId="77777777" w:rsidR="00551830" w:rsidRPr="00932A48" w:rsidRDefault="00551830" w:rsidP="00C27B3D">
      <w:pPr>
        <w:spacing w:line="360" w:lineRule="auto"/>
        <w:jc w:val="both"/>
        <w:rPr>
          <w:rFonts w:cs="Arial"/>
          <w:lang w:val="en-GB"/>
        </w:rPr>
      </w:pPr>
    </w:p>
    <w:p w14:paraId="067B8C57" w14:textId="77777777" w:rsidR="00EF4726" w:rsidRDefault="00EF4726" w:rsidP="0066778C">
      <w:pPr>
        <w:pStyle w:val="Caption"/>
        <w:rPr>
          <w:highlight w:val="yellow"/>
          <w:lang w:val="en-GB"/>
        </w:rPr>
      </w:pPr>
      <w:bookmarkStart w:id="546" w:name="_Ref430963603"/>
      <w:bookmarkStart w:id="547" w:name="_Toc431917498"/>
      <w:r w:rsidRPr="00EF4726">
        <w:rPr>
          <w:rFonts w:ascii="Arial" w:hAnsi="Arial" w:cs="Arial"/>
          <w:lang w:val="en-AU"/>
        </w:rPr>
        <w:t xml:space="preserve">Table </w:t>
      </w:r>
      <w:r w:rsidRPr="00EF4726">
        <w:rPr>
          <w:rFonts w:ascii="Arial" w:hAnsi="Arial" w:cs="Arial"/>
          <w:lang w:val="en-AU"/>
        </w:rPr>
        <w:fldChar w:fldCharType="begin"/>
      </w:r>
      <w:r w:rsidRPr="00EF4726">
        <w:rPr>
          <w:rFonts w:ascii="Arial" w:hAnsi="Arial" w:cs="Arial"/>
          <w:lang w:val="en-AU"/>
        </w:rPr>
        <w:instrText xml:space="preserve"> SEQ Table \* ARABIC </w:instrText>
      </w:r>
      <w:r w:rsidRPr="00EF4726">
        <w:rPr>
          <w:rFonts w:ascii="Arial" w:hAnsi="Arial" w:cs="Arial"/>
          <w:lang w:val="en-AU"/>
        </w:rPr>
        <w:fldChar w:fldCharType="separate"/>
      </w:r>
      <w:r w:rsidR="00016592">
        <w:rPr>
          <w:rFonts w:ascii="Arial" w:hAnsi="Arial" w:cs="Arial"/>
          <w:noProof/>
          <w:lang w:val="en-AU"/>
        </w:rPr>
        <w:t>38</w:t>
      </w:r>
      <w:r w:rsidRPr="00EF4726">
        <w:rPr>
          <w:rFonts w:ascii="Arial" w:hAnsi="Arial" w:cs="Arial"/>
          <w:lang w:val="en-AU"/>
        </w:rPr>
        <w:fldChar w:fldCharType="end"/>
      </w:r>
      <w:bookmarkEnd w:id="546"/>
      <w:r w:rsidRPr="00EF4726">
        <w:rPr>
          <w:rFonts w:ascii="Arial" w:hAnsi="Arial" w:cs="Arial"/>
          <w:lang w:val="en-AU"/>
        </w:rPr>
        <w:t xml:space="preserve"> - </w:t>
      </w:r>
      <w:r w:rsidRPr="00EF4726">
        <w:rPr>
          <w:rFonts w:ascii="Arial" w:hAnsi="Arial" w:cs="Arial"/>
          <w:lang w:val="en-GB"/>
        </w:rPr>
        <w:t>Long-term costs of VSB use</w:t>
      </w:r>
      <w:bookmarkEnd w:id="547"/>
      <w:r w:rsidRPr="00EF4726">
        <w:rPr>
          <w:lang w:val="en-GB"/>
        </w:rPr>
        <w:t xml:space="preserve"> </w:t>
      </w:r>
    </w:p>
    <w:tbl>
      <w:tblPr>
        <w:tblW w:w="8804" w:type="dxa"/>
        <w:tblInd w:w="93" w:type="dxa"/>
        <w:tblLook w:val="04A0" w:firstRow="1" w:lastRow="0" w:firstColumn="1" w:lastColumn="0" w:noHBand="0" w:noVBand="1"/>
        <w:tblDescription w:val="Long-term costs of VSB use "/>
      </w:tblPr>
      <w:tblGrid>
        <w:gridCol w:w="2709"/>
        <w:gridCol w:w="1757"/>
        <w:gridCol w:w="960"/>
        <w:gridCol w:w="1819"/>
        <w:gridCol w:w="1559"/>
      </w:tblGrid>
      <w:tr w:rsidR="00EF4726" w:rsidRPr="00EF4726" w14:paraId="0C0EB05A" w14:textId="77777777" w:rsidTr="00EF4726">
        <w:trPr>
          <w:trHeight w:val="300"/>
        </w:trPr>
        <w:tc>
          <w:tcPr>
            <w:tcW w:w="2709"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CC3A392" w14:textId="77777777" w:rsidR="00EF4726" w:rsidRPr="00EF4726" w:rsidRDefault="00EF4726" w:rsidP="00EF4726">
            <w:pPr>
              <w:jc w:val="center"/>
              <w:rPr>
                <w:rFonts w:cs="Arial"/>
                <w:b/>
                <w:bCs/>
                <w:color w:val="000000"/>
                <w:lang w:val="en-US" w:eastAsia="en-US"/>
              </w:rPr>
            </w:pPr>
            <w:r w:rsidRPr="00EF4726">
              <w:rPr>
                <w:rFonts w:cs="Arial"/>
                <w:b/>
                <w:bCs/>
                <w:color w:val="000000"/>
                <w:lang w:val="en-US" w:eastAsia="en-US"/>
              </w:rPr>
              <w:t>Consumables</w:t>
            </w:r>
          </w:p>
        </w:tc>
        <w:tc>
          <w:tcPr>
            <w:tcW w:w="1757" w:type="dxa"/>
            <w:tcBorders>
              <w:top w:val="single" w:sz="8" w:space="0" w:color="auto"/>
              <w:left w:val="nil"/>
              <w:bottom w:val="single" w:sz="4" w:space="0" w:color="auto"/>
              <w:right w:val="single" w:sz="4" w:space="0" w:color="auto"/>
            </w:tcBorders>
            <w:shd w:val="clear" w:color="auto" w:fill="auto"/>
            <w:noWrap/>
            <w:vAlign w:val="center"/>
            <w:hideMark/>
          </w:tcPr>
          <w:p w14:paraId="0866FA33" w14:textId="77777777" w:rsidR="00EF4726" w:rsidRPr="00EF4726" w:rsidRDefault="00EF4726" w:rsidP="00EF4726">
            <w:pPr>
              <w:jc w:val="center"/>
              <w:rPr>
                <w:rFonts w:cs="Arial"/>
                <w:b/>
                <w:bCs/>
                <w:color w:val="000000"/>
                <w:lang w:val="en-US" w:eastAsia="en-US"/>
              </w:rPr>
            </w:pPr>
            <w:r w:rsidRPr="00EF4726">
              <w:rPr>
                <w:rFonts w:cs="Arial"/>
                <w:b/>
                <w:bCs/>
                <w:color w:val="000000"/>
                <w:lang w:val="en-US" w:eastAsia="en-US"/>
              </w:rPr>
              <w:t>MBS Item No.</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14:paraId="7199280D" w14:textId="77777777" w:rsidR="00EF4726" w:rsidRPr="00EF4726" w:rsidRDefault="00EF4726" w:rsidP="00EF4726">
            <w:pPr>
              <w:jc w:val="center"/>
              <w:rPr>
                <w:rFonts w:cs="Arial"/>
                <w:b/>
                <w:bCs/>
                <w:color w:val="000000"/>
                <w:lang w:val="en-US" w:eastAsia="en-US"/>
              </w:rPr>
            </w:pPr>
            <w:r w:rsidRPr="00EF4726">
              <w:rPr>
                <w:rFonts w:cs="Arial"/>
                <w:b/>
                <w:bCs/>
                <w:color w:val="000000"/>
                <w:lang w:val="en-US" w:eastAsia="en-US"/>
              </w:rPr>
              <w:t>Units</w:t>
            </w:r>
          </w:p>
        </w:tc>
        <w:tc>
          <w:tcPr>
            <w:tcW w:w="1819" w:type="dxa"/>
            <w:tcBorders>
              <w:top w:val="single" w:sz="8" w:space="0" w:color="auto"/>
              <w:left w:val="nil"/>
              <w:bottom w:val="single" w:sz="4" w:space="0" w:color="auto"/>
              <w:right w:val="single" w:sz="4" w:space="0" w:color="auto"/>
            </w:tcBorders>
            <w:shd w:val="clear" w:color="auto" w:fill="auto"/>
            <w:noWrap/>
            <w:vAlign w:val="center"/>
            <w:hideMark/>
          </w:tcPr>
          <w:p w14:paraId="1BA27D66" w14:textId="77777777" w:rsidR="00EF4726" w:rsidRPr="00EF4726" w:rsidRDefault="00EF4726" w:rsidP="00EF4726">
            <w:pPr>
              <w:jc w:val="center"/>
              <w:rPr>
                <w:rFonts w:cs="Arial"/>
                <w:b/>
                <w:bCs/>
                <w:color w:val="000000"/>
                <w:lang w:val="en-US" w:eastAsia="en-US"/>
              </w:rPr>
            </w:pPr>
            <w:r w:rsidRPr="00EF4726">
              <w:rPr>
                <w:rFonts w:cs="Arial"/>
                <w:b/>
                <w:bCs/>
                <w:color w:val="000000"/>
                <w:lang w:val="en-US" w:eastAsia="en-US"/>
              </w:rPr>
              <w:t>Unit cost</w:t>
            </w:r>
          </w:p>
        </w:tc>
        <w:tc>
          <w:tcPr>
            <w:tcW w:w="1559" w:type="dxa"/>
            <w:tcBorders>
              <w:top w:val="single" w:sz="8" w:space="0" w:color="auto"/>
              <w:left w:val="nil"/>
              <w:bottom w:val="single" w:sz="4" w:space="0" w:color="auto"/>
              <w:right w:val="single" w:sz="8" w:space="0" w:color="auto"/>
            </w:tcBorders>
            <w:shd w:val="clear" w:color="auto" w:fill="auto"/>
            <w:noWrap/>
            <w:vAlign w:val="center"/>
            <w:hideMark/>
          </w:tcPr>
          <w:p w14:paraId="43B18380" w14:textId="77777777" w:rsidR="00EF4726" w:rsidRPr="00EF4726" w:rsidRDefault="00EF4726" w:rsidP="00EF4726">
            <w:pPr>
              <w:jc w:val="center"/>
              <w:rPr>
                <w:rFonts w:cs="Arial"/>
                <w:b/>
                <w:bCs/>
                <w:color w:val="000000"/>
                <w:lang w:val="en-US" w:eastAsia="en-US"/>
              </w:rPr>
            </w:pPr>
            <w:r w:rsidRPr="00EF4726">
              <w:rPr>
                <w:rFonts w:cs="Arial"/>
                <w:b/>
                <w:bCs/>
                <w:color w:val="000000"/>
                <w:lang w:val="en-US" w:eastAsia="en-US"/>
              </w:rPr>
              <w:t>Total</w:t>
            </w:r>
          </w:p>
        </w:tc>
      </w:tr>
      <w:tr w:rsidR="00EF4726" w:rsidRPr="00EF4726" w14:paraId="689714D7" w14:textId="77777777" w:rsidTr="00EF4726">
        <w:trPr>
          <w:trHeight w:val="315"/>
        </w:trPr>
        <w:tc>
          <w:tcPr>
            <w:tcW w:w="2709" w:type="dxa"/>
            <w:tcBorders>
              <w:top w:val="nil"/>
              <w:left w:val="single" w:sz="8" w:space="0" w:color="auto"/>
              <w:bottom w:val="single" w:sz="4" w:space="0" w:color="auto"/>
              <w:right w:val="single" w:sz="4" w:space="0" w:color="auto"/>
            </w:tcBorders>
            <w:shd w:val="clear" w:color="auto" w:fill="auto"/>
            <w:noWrap/>
            <w:vAlign w:val="center"/>
            <w:hideMark/>
          </w:tcPr>
          <w:p w14:paraId="2A9020EC" w14:textId="77777777" w:rsidR="00EF4726" w:rsidRPr="00EF4726" w:rsidRDefault="00EF4726" w:rsidP="00EF4726">
            <w:pPr>
              <w:rPr>
                <w:rFonts w:cs="Arial"/>
                <w:color w:val="000000"/>
                <w:sz w:val="20"/>
                <w:szCs w:val="20"/>
                <w:lang w:val="en-US" w:eastAsia="en-US"/>
              </w:rPr>
            </w:pPr>
            <w:r w:rsidRPr="00EF4726">
              <w:rPr>
                <w:rFonts w:cs="Arial"/>
                <w:color w:val="000000"/>
                <w:sz w:val="20"/>
                <w:szCs w:val="20"/>
                <w:lang w:val="en-US" w:eastAsia="en-US"/>
              </w:rPr>
              <w:t xml:space="preserve">(ENT/Audiologist) follow up consultation </w:t>
            </w:r>
          </w:p>
        </w:tc>
        <w:tc>
          <w:tcPr>
            <w:tcW w:w="1757" w:type="dxa"/>
            <w:tcBorders>
              <w:top w:val="nil"/>
              <w:left w:val="nil"/>
              <w:bottom w:val="single" w:sz="4" w:space="0" w:color="auto"/>
              <w:right w:val="single" w:sz="4" w:space="0" w:color="auto"/>
            </w:tcBorders>
            <w:shd w:val="clear" w:color="auto" w:fill="auto"/>
            <w:noWrap/>
            <w:vAlign w:val="center"/>
            <w:hideMark/>
          </w:tcPr>
          <w:p w14:paraId="764BC85C" w14:textId="77777777" w:rsidR="00EF4726" w:rsidRPr="00EF4726" w:rsidRDefault="00EF4726" w:rsidP="00EF4726">
            <w:pPr>
              <w:jc w:val="center"/>
              <w:rPr>
                <w:rFonts w:cs="Arial"/>
                <w:color w:val="000000"/>
                <w:sz w:val="20"/>
                <w:szCs w:val="20"/>
                <w:lang w:val="en-US" w:eastAsia="en-US"/>
              </w:rPr>
            </w:pPr>
            <w:r w:rsidRPr="00EF4726">
              <w:rPr>
                <w:rFonts w:cs="Arial"/>
                <w:color w:val="000000"/>
                <w:sz w:val="20"/>
                <w:szCs w:val="20"/>
                <w:lang w:val="en-US" w:eastAsia="en-US"/>
              </w:rPr>
              <w:t>10952</w:t>
            </w:r>
          </w:p>
        </w:tc>
        <w:tc>
          <w:tcPr>
            <w:tcW w:w="960" w:type="dxa"/>
            <w:tcBorders>
              <w:top w:val="nil"/>
              <w:left w:val="nil"/>
              <w:bottom w:val="single" w:sz="4" w:space="0" w:color="auto"/>
              <w:right w:val="single" w:sz="4" w:space="0" w:color="auto"/>
            </w:tcBorders>
            <w:shd w:val="clear" w:color="auto" w:fill="auto"/>
            <w:noWrap/>
            <w:vAlign w:val="center"/>
            <w:hideMark/>
          </w:tcPr>
          <w:p w14:paraId="54526E54" w14:textId="77777777" w:rsidR="00EF4726" w:rsidRPr="00EF4726" w:rsidRDefault="00EF4726" w:rsidP="00EF4726">
            <w:pPr>
              <w:jc w:val="center"/>
              <w:rPr>
                <w:rFonts w:cs="Arial"/>
                <w:color w:val="000000"/>
                <w:sz w:val="20"/>
                <w:szCs w:val="20"/>
                <w:lang w:val="en-US" w:eastAsia="en-US"/>
              </w:rPr>
            </w:pPr>
            <w:r w:rsidRPr="00EF4726">
              <w:rPr>
                <w:rFonts w:cs="Arial"/>
                <w:color w:val="000000"/>
                <w:sz w:val="20"/>
                <w:szCs w:val="20"/>
                <w:lang w:val="en-US" w:eastAsia="en-US"/>
              </w:rPr>
              <w:t>1</w:t>
            </w:r>
          </w:p>
        </w:tc>
        <w:tc>
          <w:tcPr>
            <w:tcW w:w="1819" w:type="dxa"/>
            <w:tcBorders>
              <w:top w:val="nil"/>
              <w:left w:val="nil"/>
              <w:bottom w:val="single" w:sz="8" w:space="0" w:color="auto"/>
              <w:right w:val="single" w:sz="4" w:space="0" w:color="auto"/>
            </w:tcBorders>
            <w:shd w:val="clear" w:color="auto" w:fill="auto"/>
            <w:noWrap/>
            <w:vAlign w:val="center"/>
            <w:hideMark/>
          </w:tcPr>
          <w:p w14:paraId="795F5E8F" w14:textId="4785C999" w:rsidR="00EF4726" w:rsidRPr="00EF4726" w:rsidRDefault="00EF4726" w:rsidP="00EF4726">
            <w:pPr>
              <w:rPr>
                <w:rFonts w:cs="Arial"/>
                <w:color w:val="000000"/>
                <w:sz w:val="20"/>
                <w:szCs w:val="20"/>
                <w:lang w:val="en-US" w:eastAsia="en-US"/>
              </w:rPr>
            </w:pPr>
            <w:r w:rsidRPr="00EF4726">
              <w:rPr>
                <w:rFonts w:cs="Arial"/>
                <w:color w:val="000000"/>
                <w:sz w:val="20"/>
                <w:szCs w:val="20"/>
                <w:lang w:val="en-US" w:eastAsia="en-US"/>
              </w:rPr>
              <w:t xml:space="preserve"> AUD   62,25 </w:t>
            </w:r>
          </w:p>
        </w:tc>
        <w:tc>
          <w:tcPr>
            <w:tcW w:w="1559" w:type="dxa"/>
            <w:tcBorders>
              <w:top w:val="nil"/>
              <w:left w:val="nil"/>
              <w:bottom w:val="single" w:sz="8" w:space="0" w:color="auto"/>
              <w:right w:val="single" w:sz="4" w:space="0" w:color="auto"/>
            </w:tcBorders>
            <w:shd w:val="clear" w:color="auto" w:fill="auto"/>
            <w:noWrap/>
            <w:vAlign w:val="center"/>
            <w:hideMark/>
          </w:tcPr>
          <w:p w14:paraId="5ABB902E" w14:textId="2C552E8D" w:rsidR="00EF4726" w:rsidRPr="00EF4726" w:rsidRDefault="00EF4726" w:rsidP="00EF4726">
            <w:pPr>
              <w:rPr>
                <w:rFonts w:cs="Arial"/>
                <w:color w:val="000000"/>
                <w:sz w:val="20"/>
                <w:szCs w:val="20"/>
                <w:lang w:val="en-US" w:eastAsia="en-US"/>
              </w:rPr>
            </w:pPr>
            <w:r w:rsidRPr="00EF4726">
              <w:rPr>
                <w:rFonts w:cs="Arial"/>
                <w:color w:val="000000"/>
                <w:sz w:val="20"/>
                <w:szCs w:val="20"/>
                <w:lang w:val="en-US" w:eastAsia="en-US"/>
              </w:rPr>
              <w:t xml:space="preserve"> AUD   62,25 </w:t>
            </w:r>
          </w:p>
        </w:tc>
      </w:tr>
      <w:tr w:rsidR="00EF4726" w:rsidRPr="00EF4726" w14:paraId="6C7610FD" w14:textId="77777777" w:rsidTr="00EF4726">
        <w:trPr>
          <w:trHeight w:val="315"/>
        </w:trPr>
        <w:tc>
          <w:tcPr>
            <w:tcW w:w="2709" w:type="dxa"/>
            <w:tcBorders>
              <w:top w:val="nil"/>
              <w:left w:val="single" w:sz="8" w:space="0" w:color="auto"/>
              <w:bottom w:val="single" w:sz="4" w:space="0" w:color="auto"/>
              <w:right w:val="single" w:sz="4" w:space="0" w:color="auto"/>
            </w:tcBorders>
            <w:shd w:val="clear" w:color="auto" w:fill="auto"/>
            <w:noWrap/>
            <w:vAlign w:val="center"/>
            <w:hideMark/>
          </w:tcPr>
          <w:p w14:paraId="07077E09" w14:textId="77777777" w:rsidR="00EF4726" w:rsidRPr="00EF4726" w:rsidRDefault="00EF4726" w:rsidP="00EF4726">
            <w:pPr>
              <w:rPr>
                <w:rFonts w:cs="Arial"/>
                <w:color w:val="000000"/>
                <w:sz w:val="20"/>
                <w:szCs w:val="20"/>
                <w:lang w:val="en-US" w:eastAsia="en-US"/>
              </w:rPr>
            </w:pPr>
            <w:r w:rsidRPr="00EF4726">
              <w:rPr>
                <w:rFonts w:cs="Arial"/>
                <w:color w:val="000000"/>
                <w:sz w:val="20"/>
                <w:szCs w:val="20"/>
                <w:lang w:val="en-US" w:eastAsia="en-US"/>
              </w:rPr>
              <w:t>Battery cost</w:t>
            </w:r>
          </w:p>
        </w:tc>
        <w:tc>
          <w:tcPr>
            <w:tcW w:w="1757" w:type="dxa"/>
            <w:tcBorders>
              <w:top w:val="nil"/>
              <w:left w:val="nil"/>
              <w:bottom w:val="single" w:sz="4" w:space="0" w:color="auto"/>
              <w:right w:val="single" w:sz="4" w:space="0" w:color="auto"/>
            </w:tcBorders>
            <w:shd w:val="clear" w:color="auto" w:fill="auto"/>
            <w:noWrap/>
            <w:vAlign w:val="center"/>
            <w:hideMark/>
          </w:tcPr>
          <w:p w14:paraId="457AD166" w14:textId="77777777" w:rsidR="00EF4726" w:rsidRPr="00EF4726" w:rsidRDefault="00EF4726" w:rsidP="00EF4726">
            <w:pPr>
              <w:jc w:val="center"/>
              <w:rPr>
                <w:rFonts w:cs="Arial"/>
                <w:color w:val="000000"/>
                <w:sz w:val="20"/>
                <w:szCs w:val="20"/>
                <w:lang w:val="en-US" w:eastAsia="en-US"/>
              </w:rPr>
            </w:pPr>
            <w:r w:rsidRPr="00EF4726">
              <w:rPr>
                <w:rFonts w:cs="Arial"/>
                <w:color w:val="000000"/>
                <w:sz w:val="20"/>
                <w:szCs w:val="20"/>
                <w:lang w:val="en-US" w:eastAsia="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3BFFD64" w14:textId="77777777" w:rsidR="00EF4726" w:rsidRPr="00EF4726" w:rsidRDefault="00EF4726" w:rsidP="00EF4726">
            <w:pPr>
              <w:jc w:val="center"/>
              <w:rPr>
                <w:rFonts w:cs="Arial"/>
                <w:color w:val="000000"/>
                <w:sz w:val="20"/>
                <w:szCs w:val="20"/>
                <w:lang w:val="en-US" w:eastAsia="en-US"/>
              </w:rPr>
            </w:pPr>
            <w:r w:rsidRPr="00EF4726">
              <w:rPr>
                <w:rFonts w:cs="Arial"/>
                <w:color w:val="000000"/>
                <w:sz w:val="20"/>
                <w:szCs w:val="20"/>
                <w:lang w:val="en-US" w:eastAsia="en-US"/>
              </w:rPr>
              <w:t>26</w:t>
            </w:r>
          </w:p>
        </w:tc>
        <w:tc>
          <w:tcPr>
            <w:tcW w:w="1819" w:type="dxa"/>
            <w:tcBorders>
              <w:top w:val="single" w:sz="4" w:space="0" w:color="auto"/>
              <w:left w:val="nil"/>
              <w:bottom w:val="single" w:sz="8" w:space="0" w:color="auto"/>
              <w:right w:val="single" w:sz="4" w:space="0" w:color="auto"/>
            </w:tcBorders>
            <w:shd w:val="clear" w:color="auto" w:fill="auto"/>
            <w:noWrap/>
            <w:vAlign w:val="center"/>
            <w:hideMark/>
          </w:tcPr>
          <w:p w14:paraId="476895CE" w14:textId="53C172B8" w:rsidR="00EF4726" w:rsidRPr="00EF4726" w:rsidRDefault="00EF4726" w:rsidP="00EF4726">
            <w:pPr>
              <w:rPr>
                <w:rFonts w:cs="Arial"/>
                <w:color w:val="000000"/>
                <w:sz w:val="20"/>
                <w:szCs w:val="20"/>
                <w:lang w:val="en-US" w:eastAsia="en-US"/>
              </w:rPr>
            </w:pPr>
            <w:r w:rsidRPr="00EF4726">
              <w:rPr>
                <w:rFonts w:cs="Arial"/>
                <w:color w:val="000000"/>
                <w:sz w:val="20"/>
                <w:szCs w:val="20"/>
                <w:lang w:val="en-US" w:eastAsia="en-US"/>
              </w:rPr>
              <w:t xml:space="preserve"> AUD   1,00 </w:t>
            </w:r>
          </w:p>
        </w:tc>
        <w:tc>
          <w:tcPr>
            <w:tcW w:w="1559" w:type="dxa"/>
            <w:tcBorders>
              <w:top w:val="single" w:sz="4" w:space="0" w:color="auto"/>
              <w:left w:val="nil"/>
              <w:bottom w:val="single" w:sz="8" w:space="0" w:color="auto"/>
              <w:right w:val="single" w:sz="4" w:space="0" w:color="auto"/>
            </w:tcBorders>
            <w:shd w:val="clear" w:color="auto" w:fill="auto"/>
            <w:noWrap/>
            <w:vAlign w:val="center"/>
            <w:hideMark/>
          </w:tcPr>
          <w:p w14:paraId="1247EDAF" w14:textId="1B15E74F" w:rsidR="00EF4726" w:rsidRPr="00EF4726" w:rsidRDefault="00EF4726" w:rsidP="00EF4726">
            <w:pPr>
              <w:rPr>
                <w:rFonts w:cs="Arial"/>
                <w:color w:val="000000"/>
                <w:sz w:val="20"/>
                <w:szCs w:val="20"/>
                <w:lang w:val="en-US" w:eastAsia="en-US"/>
              </w:rPr>
            </w:pPr>
            <w:r w:rsidRPr="00EF4726">
              <w:rPr>
                <w:rFonts w:cs="Arial"/>
                <w:color w:val="000000"/>
                <w:sz w:val="20"/>
                <w:szCs w:val="20"/>
                <w:lang w:val="en-US" w:eastAsia="en-US"/>
              </w:rPr>
              <w:t xml:space="preserve"> AUD   26,00 </w:t>
            </w:r>
          </w:p>
        </w:tc>
      </w:tr>
      <w:tr w:rsidR="00EF4726" w:rsidRPr="00EF4726" w14:paraId="5ADAC611" w14:textId="77777777" w:rsidTr="00EF4726">
        <w:trPr>
          <w:trHeight w:val="315"/>
        </w:trPr>
        <w:tc>
          <w:tcPr>
            <w:tcW w:w="2709" w:type="dxa"/>
            <w:tcBorders>
              <w:top w:val="nil"/>
              <w:left w:val="single" w:sz="8" w:space="0" w:color="auto"/>
              <w:bottom w:val="single" w:sz="8" w:space="0" w:color="auto"/>
              <w:right w:val="single" w:sz="4" w:space="0" w:color="auto"/>
            </w:tcBorders>
            <w:shd w:val="clear" w:color="auto" w:fill="auto"/>
            <w:noWrap/>
            <w:vAlign w:val="center"/>
            <w:hideMark/>
          </w:tcPr>
          <w:p w14:paraId="08769F84" w14:textId="77777777" w:rsidR="00EF4726" w:rsidRPr="00EF4726" w:rsidRDefault="00EF4726" w:rsidP="00EF4726">
            <w:pPr>
              <w:jc w:val="right"/>
              <w:rPr>
                <w:rFonts w:cs="Arial"/>
                <w:color w:val="000000"/>
                <w:sz w:val="20"/>
                <w:szCs w:val="20"/>
                <w:lang w:val="en-US" w:eastAsia="en-US"/>
              </w:rPr>
            </w:pPr>
            <w:r w:rsidRPr="00EF4726">
              <w:rPr>
                <w:rFonts w:cs="Arial"/>
                <w:color w:val="000000"/>
                <w:sz w:val="20"/>
                <w:szCs w:val="20"/>
                <w:lang w:val="en-US" w:eastAsia="en-US"/>
              </w:rPr>
              <w:t>subtotal</w:t>
            </w:r>
          </w:p>
        </w:tc>
        <w:tc>
          <w:tcPr>
            <w:tcW w:w="1757" w:type="dxa"/>
            <w:tcBorders>
              <w:top w:val="nil"/>
              <w:left w:val="nil"/>
              <w:bottom w:val="single" w:sz="8" w:space="0" w:color="auto"/>
              <w:right w:val="single" w:sz="4" w:space="0" w:color="auto"/>
            </w:tcBorders>
            <w:shd w:val="clear" w:color="auto" w:fill="auto"/>
            <w:noWrap/>
            <w:vAlign w:val="center"/>
            <w:hideMark/>
          </w:tcPr>
          <w:p w14:paraId="49D24A1E" w14:textId="77777777" w:rsidR="00EF4726" w:rsidRPr="00EF4726" w:rsidRDefault="00EF4726" w:rsidP="00EF4726">
            <w:pPr>
              <w:jc w:val="center"/>
              <w:rPr>
                <w:rFonts w:cs="Arial"/>
                <w:color w:val="000000"/>
                <w:sz w:val="20"/>
                <w:szCs w:val="20"/>
                <w:lang w:val="en-US" w:eastAsia="en-US"/>
              </w:rPr>
            </w:pPr>
            <w:r w:rsidRPr="00EF4726">
              <w:rPr>
                <w:rFonts w:cs="Arial"/>
                <w:color w:val="000000"/>
                <w:sz w:val="20"/>
                <w:szCs w:val="20"/>
                <w:lang w:val="en-US" w:eastAsia="en-US"/>
              </w:rPr>
              <w:t> </w:t>
            </w:r>
          </w:p>
        </w:tc>
        <w:tc>
          <w:tcPr>
            <w:tcW w:w="960" w:type="dxa"/>
            <w:tcBorders>
              <w:top w:val="nil"/>
              <w:left w:val="nil"/>
              <w:bottom w:val="single" w:sz="8" w:space="0" w:color="auto"/>
              <w:right w:val="single" w:sz="4" w:space="0" w:color="auto"/>
            </w:tcBorders>
            <w:shd w:val="clear" w:color="auto" w:fill="auto"/>
            <w:noWrap/>
            <w:vAlign w:val="center"/>
            <w:hideMark/>
          </w:tcPr>
          <w:p w14:paraId="23723F76" w14:textId="77777777" w:rsidR="00EF4726" w:rsidRPr="00EF4726" w:rsidRDefault="00EF4726" w:rsidP="00EF4726">
            <w:pPr>
              <w:jc w:val="center"/>
              <w:rPr>
                <w:rFonts w:cs="Arial"/>
                <w:color w:val="000000"/>
                <w:sz w:val="20"/>
                <w:szCs w:val="20"/>
                <w:lang w:val="en-US" w:eastAsia="en-US"/>
              </w:rPr>
            </w:pPr>
            <w:r w:rsidRPr="00EF4726">
              <w:rPr>
                <w:rFonts w:cs="Arial"/>
                <w:color w:val="000000"/>
                <w:sz w:val="20"/>
                <w:szCs w:val="20"/>
                <w:lang w:val="en-US" w:eastAsia="en-US"/>
              </w:rPr>
              <w:t> </w:t>
            </w:r>
          </w:p>
        </w:tc>
        <w:tc>
          <w:tcPr>
            <w:tcW w:w="1819" w:type="dxa"/>
            <w:tcBorders>
              <w:top w:val="single" w:sz="4" w:space="0" w:color="auto"/>
              <w:left w:val="nil"/>
              <w:bottom w:val="single" w:sz="8" w:space="0" w:color="auto"/>
              <w:right w:val="single" w:sz="4" w:space="0" w:color="auto"/>
            </w:tcBorders>
            <w:shd w:val="clear" w:color="auto" w:fill="auto"/>
            <w:noWrap/>
            <w:vAlign w:val="center"/>
            <w:hideMark/>
          </w:tcPr>
          <w:p w14:paraId="70F94E2F" w14:textId="325783A3" w:rsidR="00EF4726" w:rsidRPr="00EF4726" w:rsidRDefault="00EF4726" w:rsidP="00EF4726">
            <w:pPr>
              <w:rPr>
                <w:rFonts w:cs="Arial"/>
                <w:color w:val="000000"/>
                <w:sz w:val="20"/>
                <w:szCs w:val="20"/>
                <w:lang w:val="en-US" w:eastAsia="en-US"/>
              </w:rPr>
            </w:pPr>
            <w:r w:rsidRPr="00EF4726">
              <w:rPr>
                <w:rFonts w:cs="Arial"/>
                <w:color w:val="000000"/>
                <w:sz w:val="20"/>
                <w:szCs w:val="20"/>
                <w:lang w:val="en-US" w:eastAsia="en-US"/>
              </w:rPr>
              <w:t xml:space="preserve"> AUD   63,25 </w:t>
            </w:r>
          </w:p>
        </w:tc>
        <w:tc>
          <w:tcPr>
            <w:tcW w:w="1559" w:type="dxa"/>
            <w:tcBorders>
              <w:top w:val="single" w:sz="4" w:space="0" w:color="auto"/>
              <w:left w:val="nil"/>
              <w:bottom w:val="single" w:sz="8" w:space="0" w:color="auto"/>
              <w:right w:val="single" w:sz="4" w:space="0" w:color="auto"/>
            </w:tcBorders>
            <w:shd w:val="clear" w:color="auto" w:fill="auto"/>
            <w:noWrap/>
            <w:vAlign w:val="center"/>
            <w:hideMark/>
          </w:tcPr>
          <w:p w14:paraId="27394362" w14:textId="5EAA9B1A" w:rsidR="00EF4726" w:rsidRPr="00EF4726" w:rsidRDefault="00EF4726" w:rsidP="00C7683B">
            <w:pPr>
              <w:rPr>
                <w:rFonts w:cs="Arial"/>
                <w:color w:val="000000"/>
                <w:sz w:val="20"/>
                <w:szCs w:val="20"/>
                <w:lang w:val="en-US" w:eastAsia="en-US"/>
              </w:rPr>
            </w:pPr>
            <w:r w:rsidRPr="00EF4726">
              <w:rPr>
                <w:rFonts w:cs="Arial"/>
                <w:color w:val="000000"/>
                <w:sz w:val="20"/>
                <w:szCs w:val="20"/>
                <w:lang w:val="en-US" w:eastAsia="en-US"/>
              </w:rPr>
              <w:t xml:space="preserve"> AUD   88,25 </w:t>
            </w:r>
          </w:p>
        </w:tc>
      </w:tr>
    </w:tbl>
    <w:p w14:paraId="15ED4E40" w14:textId="77777777" w:rsidR="00395F95" w:rsidRDefault="00395F95" w:rsidP="004D1FF6">
      <w:pPr>
        <w:pStyle w:val="Textbody"/>
        <w:rPr>
          <w:color w:val="000000"/>
          <w:lang w:val="en-AU"/>
        </w:rPr>
      </w:pPr>
    </w:p>
    <w:p w14:paraId="4BDF9915" w14:textId="77777777" w:rsidR="0066778C" w:rsidRPr="00932A48" w:rsidRDefault="0066778C" w:rsidP="0066778C">
      <w:pPr>
        <w:pStyle w:val="Heading4"/>
        <w:spacing w:line="360" w:lineRule="auto"/>
        <w:ind w:left="864" w:hanging="864"/>
        <w:jc w:val="both"/>
        <w:rPr>
          <w:rFonts w:cs="Arial"/>
          <w:lang w:val="en-GB"/>
        </w:rPr>
      </w:pPr>
      <w:r w:rsidRPr="00932A48">
        <w:rPr>
          <w:rFonts w:cs="Arial"/>
          <w:lang w:val="en-GB"/>
        </w:rPr>
        <w:t>Costs of adverse events and device failure</w:t>
      </w:r>
    </w:p>
    <w:p w14:paraId="5C009E6F" w14:textId="77777777" w:rsidR="0066778C" w:rsidRPr="00C366A9" w:rsidRDefault="0066778C" w:rsidP="0066778C">
      <w:pPr>
        <w:spacing w:line="360" w:lineRule="auto"/>
        <w:jc w:val="both"/>
        <w:rPr>
          <w:rFonts w:cs="Arial"/>
          <w:lang w:val="en-GB"/>
        </w:rPr>
      </w:pPr>
      <w:r w:rsidRPr="00932A48">
        <w:rPr>
          <w:rFonts w:cs="Arial"/>
          <w:lang w:val="en-GB"/>
        </w:rPr>
        <w:t xml:space="preserve">Studies identified in the literature that reported on safety outcomes with the VSB indicated that for some adverse events it may be required to carry out revision surgery. Surgery may involve correcting the position of the implanted magnet or transducer and is most like a mastoidectomy procedure. </w:t>
      </w:r>
      <w:r w:rsidRPr="00C366A9">
        <w:rPr>
          <w:rFonts w:cs="Arial"/>
          <w:lang w:val="en-GB"/>
        </w:rPr>
        <w:t>The costs associated with revision mastoidectomy was obtained from th</w:t>
      </w:r>
      <w:r w:rsidR="003A1933" w:rsidRPr="00C366A9">
        <w:rPr>
          <w:rFonts w:cs="Arial"/>
          <w:lang w:val="en-GB"/>
        </w:rPr>
        <w:t>e MBS and was equal to AUD 1</w:t>
      </w:r>
      <w:r w:rsidR="00AD5624" w:rsidRPr="00C366A9">
        <w:rPr>
          <w:rFonts w:cs="Arial"/>
          <w:lang w:val="en-GB"/>
        </w:rPr>
        <w:t>.</w:t>
      </w:r>
      <w:r w:rsidR="003A1933" w:rsidRPr="00C366A9">
        <w:rPr>
          <w:rFonts w:cs="Arial"/>
          <w:lang w:val="en-GB"/>
        </w:rPr>
        <w:t>089</w:t>
      </w:r>
      <w:r w:rsidR="00AD5624" w:rsidRPr="00C366A9">
        <w:rPr>
          <w:rFonts w:cs="Arial"/>
          <w:lang w:val="en-GB"/>
        </w:rPr>
        <w:t>,</w:t>
      </w:r>
      <w:r w:rsidRPr="00C366A9">
        <w:rPr>
          <w:rFonts w:cs="Arial"/>
          <w:lang w:val="en-GB"/>
        </w:rPr>
        <w:t>90.</w:t>
      </w:r>
    </w:p>
    <w:p w14:paraId="1ECAE011" w14:textId="3D06D8EE" w:rsidR="00551830" w:rsidRPr="00A93567" w:rsidRDefault="0066778C" w:rsidP="0066778C">
      <w:pPr>
        <w:spacing w:line="360" w:lineRule="auto"/>
        <w:jc w:val="both"/>
        <w:rPr>
          <w:rFonts w:cs="Arial"/>
          <w:lang w:val="en-GB"/>
        </w:rPr>
      </w:pPr>
      <w:r w:rsidRPr="00C366A9">
        <w:rPr>
          <w:rFonts w:cs="Arial"/>
          <w:lang w:val="en-GB"/>
        </w:rPr>
        <w:t>The occurrence of a device failure requires a more difficult procedure where the implanted components need to be removed from the middle ear and in most cases replaced. The explantation procedure was costed as the reference cost for the original operation, excluding surgical consumables, at AUD 3</w:t>
      </w:r>
      <w:r w:rsidR="00AD5624" w:rsidRPr="00C366A9">
        <w:rPr>
          <w:rFonts w:cs="Arial"/>
          <w:lang w:val="en-GB"/>
        </w:rPr>
        <w:t>.</w:t>
      </w:r>
      <w:r w:rsidR="003A1933" w:rsidRPr="00C366A9">
        <w:rPr>
          <w:rFonts w:cs="Arial"/>
          <w:lang w:val="en-GB"/>
        </w:rPr>
        <w:t>738</w:t>
      </w:r>
      <w:r w:rsidR="00AD5624" w:rsidRPr="00C366A9">
        <w:rPr>
          <w:rFonts w:cs="Arial"/>
          <w:lang w:val="en-GB"/>
        </w:rPr>
        <w:t>,</w:t>
      </w:r>
      <w:r w:rsidR="003A1933" w:rsidRPr="00C366A9">
        <w:rPr>
          <w:rFonts w:cs="Arial"/>
          <w:lang w:val="en-GB"/>
        </w:rPr>
        <w:t>64</w:t>
      </w:r>
      <w:r w:rsidRPr="00C366A9">
        <w:rPr>
          <w:rFonts w:cs="Arial"/>
          <w:lang w:val="en-GB"/>
        </w:rPr>
        <w:t>. The re-implantation procedure was assumed to be equal to the total costs of implantation excluding</w:t>
      </w:r>
      <w:r w:rsidRPr="00A93567">
        <w:rPr>
          <w:rFonts w:cs="Arial"/>
          <w:lang w:val="en-GB"/>
        </w:rPr>
        <w:t xml:space="preserve"> audio</w:t>
      </w:r>
      <w:r w:rsidR="00D2551D">
        <w:rPr>
          <w:rFonts w:cs="Arial"/>
          <w:lang w:val="en-GB"/>
        </w:rPr>
        <w:t xml:space="preserve"> processor costs, that`s AUD 12.109,79</w:t>
      </w:r>
      <w:r w:rsidRPr="00A93567">
        <w:rPr>
          <w:rFonts w:cs="Arial"/>
          <w:lang w:val="en-GB"/>
        </w:rPr>
        <w:t>.</w:t>
      </w:r>
      <w:r w:rsidR="00551830" w:rsidRPr="00A93567">
        <w:rPr>
          <w:rFonts w:cs="Arial"/>
          <w:lang w:val="en-GB"/>
        </w:rPr>
        <w:t xml:space="preserve"> </w:t>
      </w:r>
      <w:r w:rsidRPr="00A93567">
        <w:rPr>
          <w:rFonts w:cs="Arial"/>
          <w:lang w:val="en-GB"/>
        </w:rPr>
        <w:t>The breakdown of costs for treating adverse events and device failure are summarised in</w:t>
      </w:r>
      <w:r w:rsidR="00A93567" w:rsidRPr="00A93567">
        <w:rPr>
          <w:rFonts w:cs="Arial"/>
          <w:lang w:val="en-GB"/>
        </w:rPr>
        <w:t xml:space="preserve"> </w:t>
      </w:r>
      <w:r w:rsidR="00551830" w:rsidRPr="00A93567">
        <w:rPr>
          <w:rFonts w:cs="Arial"/>
          <w:lang w:val="en-GB"/>
        </w:rPr>
        <w:fldChar w:fldCharType="begin"/>
      </w:r>
      <w:r w:rsidR="00551830" w:rsidRPr="00A93567">
        <w:rPr>
          <w:rFonts w:cs="Arial"/>
          <w:lang w:val="en-GB"/>
        </w:rPr>
        <w:instrText xml:space="preserve"> REF _Ref430964342 \h  \* MERGEFORMAT </w:instrText>
      </w:r>
      <w:r w:rsidR="00551830" w:rsidRPr="00A93567">
        <w:rPr>
          <w:rFonts w:cs="Arial"/>
          <w:lang w:val="en-GB"/>
        </w:rPr>
      </w:r>
      <w:r w:rsidR="00551830" w:rsidRPr="00A93567">
        <w:rPr>
          <w:rFonts w:cs="Arial"/>
          <w:lang w:val="en-GB"/>
        </w:rPr>
        <w:fldChar w:fldCharType="separate"/>
      </w:r>
      <w:r w:rsidR="00016592" w:rsidRPr="00016592">
        <w:rPr>
          <w:rFonts w:cs="Arial"/>
          <w:bCs/>
        </w:rPr>
        <w:t>Table 39</w:t>
      </w:r>
      <w:r w:rsidR="00551830" w:rsidRPr="00A93567">
        <w:rPr>
          <w:rFonts w:cs="Arial"/>
          <w:lang w:val="en-GB"/>
        </w:rPr>
        <w:fldChar w:fldCharType="end"/>
      </w:r>
      <w:r w:rsidR="00551830" w:rsidRPr="00A93567">
        <w:rPr>
          <w:rFonts w:cs="Arial"/>
          <w:lang w:val="en-GB"/>
        </w:rPr>
        <w:t>.</w:t>
      </w:r>
    </w:p>
    <w:p w14:paraId="6802BA8C" w14:textId="77777777" w:rsidR="00DA6869" w:rsidRDefault="00DA6869">
      <w:pPr>
        <w:rPr>
          <w:rFonts w:cs="Arial"/>
          <w:lang w:val="en-GB"/>
        </w:rPr>
      </w:pPr>
      <w:r>
        <w:rPr>
          <w:rFonts w:cs="Arial"/>
          <w:lang w:val="en-GB"/>
        </w:rPr>
        <w:br w:type="page"/>
      </w:r>
    </w:p>
    <w:p w14:paraId="7519B0BD" w14:textId="0E2DE988" w:rsidR="0066778C" w:rsidRPr="00F07224" w:rsidRDefault="00551830" w:rsidP="0066778C">
      <w:pPr>
        <w:spacing w:line="360" w:lineRule="auto"/>
        <w:jc w:val="both"/>
        <w:rPr>
          <w:rFonts w:cs="Arial"/>
          <w:b/>
          <w:bCs/>
          <w:sz w:val="20"/>
          <w:szCs w:val="20"/>
        </w:rPr>
      </w:pPr>
      <w:bookmarkStart w:id="548" w:name="_Ref430964342"/>
      <w:bookmarkStart w:id="549" w:name="_Toc431917499"/>
      <w:r w:rsidRPr="00551830">
        <w:rPr>
          <w:rFonts w:cs="Arial"/>
          <w:b/>
          <w:bCs/>
          <w:sz w:val="20"/>
          <w:szCs w:val="20"/>
        </w:rPr>
        <w:lastRenderedPageBreak/>
        <w:t xml:space="preserve">Table </w:t>
      </w:r>
      <w:r w:rsidRPr="00551830">
        <w:rPr>
          <w:rFonts w:cs="Arial"/>
          <w:b/>
          <w:bCs/>
          <w:sz w:val="20"/>
          <w:szCs w:val="20"/>
        </w:rPr>
        <w:fldChar w:fldCharType="begin"/>
      </w:r>
      <w:r w:rsidRPr="00551830">
        <w:rPr>
          <w:rFonts w:cs="Arial"/>
          <w:b/>
          <w:bCs/>
          <w:sz w:val="20"/>
          <w:szCs w:val="20"/>
        </w:rPr>
        <w:instrText xml:space="preserve"> SEQ Table \* ARABIC </w:instrText>
      </w:r>
      <w:r w:rsidRPr="00551830">
        <w:rPr>
          <w:rFonts w:cs="Arial"/>
          <w:b/>
          <w:bCs/>
          <w:sz w:val="20"/>
          <w:szCs w:val="20"/>
        </w:rPr>
        <w:fldChar w:fldCharType="separate"/>
      </w:r>
      <w:r w:rsidR="00016592">
        <w:rPr>
          <w:rFonts w:cs="Arial"/>
          <w:b/>
          <w:bCs/>
          <w:noProof/>
          <w:sz w:val="20"/>
          <w:szCs w:val="20"/>
        </w:rPr>
        <w:t>39</w:t>
      </w:r>
      <w:r w:rsidRPr="00551830">
        <w:rPr>
          <w:rFonts w:cs="Arial"/>
          <w:b/>
          <w:bCs/>
          <w:sz w:val="20"/>
          <w:szCs w:val="20"/>
        </w:rPr>
        <w:fldChar w:fldCharType="end"/>
      </w:r>
      <w:bookmarkEnd w:id="548"/>
      <w:r w:rsidRPr="00551830">
        <w:rPr>
          <w:rFonts w:cs="Arial"/>
          <w:b/>
          <w:bCs/>
          <w:sz w:val="20"/>
          <w:szCs w:val="20"/>
        </w:rPr>
        <w:t xml:space="preserve"> - Costs associated with adverse events and device failure for the Vibrant Soundbridge system</w:t>
      </w:r>
      <w:bookmarkEnd w:id="549"/>
    </w:p>
    <w:tbl>
      <w:tblPr>
        <w:tblW w:w="8251" w:type="dxa"/>
        <w:jc w:val="center"/>
        <w:tblLook w:val="04A0" w:firstRow="1" w:lastRow="0" w:firstColumn="1" w:lastColumn="0" w:noHBand="0" w:noVBand="1"/>
        <w:tblDescription w:val="Costs associated with adverse events and device failure for the Vibrant Soundbridge system"/>
      </w:tblPr>
      <w:tblGrid>
        <w:gridCol w:w="1610"/>
        <w:gridCol w:w="1817"/>
        <w:gridCol w:w="2796"/>
        <w:gridCol w:w="2028"/>
      </w:tblGrid>
      <w:tr w:rsidR="00551830" w:rsidRPr="00551830" w14:paraId="787A0897" w14:textId="77777777" w:rsidTr="00E01546">
        <w:trPr>
          <w:trHeight w:val="300"/>
          <w:jc w:val="center"/>
        </w:trPr>
        <w:tc>
          <w:tcPr>
            <w:tcW w:w="161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59E4AA7" w14:textId="77777777" w:rsidR="00551830" w:rsidRPr="00551830" w:rsidRDefault="00551830" w:rsidP="00551830">
            <w:pPr>
              <w:jc w:val="center"/>
              <w:rPr>
                <w:rFonts w:cs="Arial"/>
                <w:b/>
                <w:bCs/>
                <w:color w:val="000000"/>
                <w:lang w:val="en-US" w:eastAsia="en-US"/>
              </w:rPr>
            </w:pPr>
            <w:r w:rsidRPr="00551830">
              <w:rPr>
                <w:rFonts w:cs="Arial"/>
                <w:b/>
                <w:bCs/>
                <w:color w:val="000000"/>
                <w:lang w:val="en-US" w:eastAsia="en-US"/>
              </w:rPr>
              <w:t>Complication</w:t>
            </w:r>
          </w:p>
        </w:tc>
        <w:tc>
          <w:tcPr>
            <w:tcW w:w="1817" w:type="dxa"/>
            <w:tcBorders>
              <w:top w:val="single" w:sz="8" w:space="0" w:color="auto"/>
              <w:left w:val="nil"/>
              <w:bottom w:val="single" w:sz="4" w:space="0" w:color="auto"/>
              <w:right w:val="single" w:sz="4" w:space="0" w:color="auto"/>
            </w:tcBorders>
            <w:shd w:val="clear" w:color="auto" w:fill="auto"/>
            <w:noWrap/>
            <w:vAlign w:val="bottom"/>
            <w:hideMark/>
          </w:tcPr>
          <w:p w14:paraId="54A2DC95" w14:textId="77777777" w:rsidR="00551830" w:rsidRPr="00551830" w:rsidRDefault="00551830" w:rsidP="00551830">
            <w:pPr>
              <w:jc w:val="center"/>
              <w:rPr>
                <w:rFonts w:cs="Arial"/>
                <w:b/>
                <w:bCs/>
                <w:color w:val="000000"/>
                <w:lang w:val="en-US" w:eastAsia="en-US"/>
              </w:rPr>
            </w:pPr>
            <w:r w:rsidRPr="00551830">
              <w:rPr>
                <w:rFonts w:cs="Arial"/>
                <w:b/>
                <w:bCs/>
                <w:color w:val="000000"/>
                <w:lang w:val="en-US" w:eastAsia="en-US"/>
              </w:rPr>
              <w:t>Procedure</w:t>
            </w:r>
          </w:p>
        </w:tc>
        <w:tc>
          <w:tcPr>
            <w:tcW w:w="2796" w:type="dxa"/>
            <w:tcBorders>
              <w:top w:val="single" w:sz="8" w:space="0" w:color="auto"/>
              <w:left w:val="nil"/>
              <w:bottom w:val="single" w:sz="4" w:space="0" w:color="auto"/>
              <w:right w:val="single" w:sz="4" w:space="0" w:color="auto"/>
            </w:tcBorders>
            <w:shd w:val="clear" w:color="auto" w:fill="auto"/>
            <w:noWrap/>
            <w:vAlign w:val="bottom"/>
            <w:hideMark/>
          </w:tcPr>
          <w:p w14:paraId="06F519F9" w14:textId="77777777" w:rsidR="00551830" w:rsidRPr="00551830" w:rsidRDefault="00551830" w:rsidP="00551830">
            <w:pPr>
              <w:jc w:val="center"/>
              <w:rPr>
                <w:rFonts w:cs="Arial"/>
                <w:b/>
                <w:bCs/>
                <w:color w:val="000000"/>
                <w:lang w:val="en-US" w:eastAsia="en-US"/>
              </w:rPr>
            </w:pPr>
            <w:r w:rsidRPr="00551830">
              <w:rPr>
                <w:rFonts w:cs="Arial"/>
                <w:b/>
                <w:bCs/>
                <w:color w:val="000000"/>
                <w:lang w:val="en-US" w:eastAsia="en-US"/>
              </w:rPr>
              <w:t>Reference</w:t>
            </w:r>
          </w:p>
        </w:tc>
        <w:tc>
          <w:tcPr>
            <w:tcW w:w="2028" w:type="dxa"/>
            <w:tcBorders>
              <w:top w:val="single" w:sz="8" w:space="0" w:color="auto"/>
              <w:left w:val="nil"/>
              <w:bottom w:val="single" w:sz="4" w:space="0" w:color="auto"/>
              <w:right w:val="single" w:sz="8" w:space="0" w:color="auto"/>
            </w:tcBorders>
            <w:shd w:val="clear" w:color="auto" w:fill="auto"/>
            <w:noWrap/>
            <w:vAlign w:val="bottom"/>
            <w:hideMark/>
          </w:tcPr>
          <w:p w14:paraId="03F210C5" w14:textId="77777777" w:rsidR="00551830" w:rsidRPr="00551830" w:rsidRDefault="00551830" w:rsidP="00551830">
            <w:pPr>
              <w:jc w:val="center"/>
              <w:rPr>
                <w:rFonts w:cs="Arial"/>
                <w:b/>
                <w:bCs/>
                <w:color w:val="000000"/>
                <w:lang w:val="en-US" w:eastAsia="en-US"/>
              </w:rPr>
            </w:pPr>
            <w:r w:rsidRPr="00551830">
              <w:rPr>
                <w:rFonts w:cs="Arial"/>
                <w:b/>
                <w:bCs/>
                <w:color w:val="000000"/>
                <w:lang w:val="en-US" w:eastAsia="en-US"/>
              </w:rPr>
              <w:t>Total cost</w:t>
            </w:r>
          </w:p>
        </w:tc>
      </w:tr>
      <w:tr w:rsidR="00551830" w:rsidRPr="00551830" w14:paraId="315540CB" w14:textId="77777777" w:rsidTr="00E01546">
        <w:trPr>
          <w:trHeight w:val="300"/>
          <w:jc w:val="center"/>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7CA87D71" w14:textId="77777777" w:rsidR="00551830" w:rsidRPr="00551830" w:rsidRDefault="00551830" w:rsidP="00551830">
            <w:pPr>
              <w:rPr>
                <w:rFonts w:cs="Arial"/>
                <w:color w:val="000000"/>
                <w:sz w:val="20"/>
                <w:szCs w:val="20"/>
                <w:lang w:val="en-US" w:eastAsia="en-US"/>
              </w:rPr>
            </w:pPr>
            <w:r w:rsidRPr="00551830">
              <w:rPr>
                <w:rFonts w:cs="Arial"/>
                <w:color w:val="000000"/>
                <w:sz w:val="20"/>
                <w:szCs w:val="20"/>
                <w:lang w:val="en-US" w:eastAsia="en-US"/>
              </w:rPr>
              <w:t>Adverse events</w:t>
            </w:r>
          </w:p>
        </w:tc>
        <w:tc>
          <w:tcPr>
            <w:tcW w:w="1817" w:type="dxa"/>
            <w:tcBorders>
              <w:top w:val="nil"/>
              <w:left w:val="nil"/>
              <w:bottom w:val="single" w:sz="4" w:space="0" w:color="auto"/>
              <w:right w:val="single" w:sz="4" w:space="0" w:color="auto"/>
            </w:tcBorders>
            <w:shd w:val="clear" w:color="auto" w:fill="auto"/>
            <w:noWrap/>
            <w:vAlign w:val="center"/>
            <w:hideMark/>
          </w:tcPr>
          <w:p w14:paraId="66E14A2A" w14:textId="77777777" w:rsidR="00551830" w:rsidRPr="00551830" w:rsidRDefault="00551830" w:rsidP="00551830">
            <w:pPr>
              <w:rPr>
                <w:rFonts w:cs="Arial"/>
                <w:color w:val="000000"/>
                <w:sz w:val="20"/>
                <w:szCs w:val="20"/>
                <w:lang w:val="en-US" w:eastAsia="en-US"/>
              </w:rPr>
            </w:pPr>
            <w:r w:rsidRPr="00551830">
              <w:rPr>
                <w:rFonts w:cs="Arial"/>
                <w:color w:val="000000"/>
                <w:sz w:val="20"/>
                <w:szCs w:val="20"/>
                <w:lang w:val="en-US" w:eastAsia="en-US"/>
              </w:rPr>
              <w:t>Revision surgery</w:t>
            </w:r>
          </w:p>
        </w:tc>
        <w:tc>
          <w:tcPr>
            <w:tcW w:w="2796" w:type="dxa"/>
            <w:tcBorders>
              <w:top w:val="nil"/>
              <w:left w:val="nil"/>
              <w:bottom w:val="single" w:sz="4" w:space="0" w:color="auto"/>
              <w:right w:val="single" w:sz="4" w:space="0" w:color="auto"/>
            </w:tcBorders>
            <w:shd w:val="clear" w:color="auto" w:fill="auto"/>
            <w:noWrap/>
            <w:vAlign w:val="center"/>
            <w:hideMark/>
          </w:tcPr>
          <w:p w14:paraId="6BE71FAC" w14:textId="77777777" w:rsidR="00551830" w:rsidRPr="00551830" w:rsidRDefault="00551830" w:rsidP="00551830">
            <w:pPr>
              <w:rPr>
                <w:rFonts w:cs="Arial"/>
                <w:color w:val="000000"/>
                <w:sz w:val="20"/>
                <w:szCs w:val="20"/>
                <w:lang w:val="en-US" w:eastAsia="en-US"/>
              </w:rPr>
            </w:pPr>
            <w:r w:rsidRPr="00551830">
              <w:rPr>
                <w:rFonts w:cs="Arial"/>
                <w:color w:val="000000"/>
                <w:sz w:val="20"/>
                <w:szCs w:val="20"/>
                <w:lang w:val="en-US" w:eastAsia="en-US"/>
              </w:rPr>
              <w:t>MBS item 41566</w:t>
            </w:r>
          </w:p>
        </w:tc>
        <w:tc>
          <w:tcPr>
            <w:tcW w:w="2028" w:type="dxa"/>
            <w:tcBorders>
              <w:top w:val="nil"/>
              <w:left w:val="nil"/>
              <w:bottom w:val="single" w:sz="4" w:space="0" w:color="auto"/>
              <w:right w:val="single" w:sz="8" w:space="0" w:color="auto"/>
            </w:tcBorders>
            <w:shd w:val="clear" w:color="auto" w:fill="auto"/>
            <w:noWrap/>
            <w:vAlign w:val="center"/>
            <w:hideMark/>
          </w:tcPr>
          <w:p w14:paraId="1CB6F156" w14:textId="5D4271A7" w:rsidR="00551830" w:rsidRPr="00551830" w:rsidRDefault="00551830" w:rsidP="00551830">
            <w:pPr>
              <w:rPr>
                <w:rFonts w:cs="Arial"/>
                <w:color w:val="000000"/>
                <w:sz w:val="20"/>
                <w:szCs w:val="20"/>
                <w:lang w:val="en-US" w:eastAsia="en-US"/>
              </w:rPr>
            </w:pPr>
            <w:r w:rsidRPr="00551830">
              <w:rPr>
                <w:rFonts w:cs="Arial"/>
                <w:color w:val="000000"/>
                <w:sz w:val="20"/>
                <w:szCs w:val="20"/>
                <w:lang w:val="en-US" w:eastAsia="en-US"/>
              </w:rPr>
              <w:t xml:space="preserve"> AUD   1.089,90 </w:t>
            </w:r>
          </w:p>
        </w:tc>
      </w:tr>
      <w:tr w:rsidR="00551830" w:rsidRPr="00551830" w14:paraId="49768E0C" w14:textId="77777777" w:rsidTr="00E01546">
        <w:trPr>
          <w:trHeight w:val="300"/>
          <w:jc w:val="center"/>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2EA36957" w14:textId="77777777" w:rsidR="00551830" w:rsidRPr="00551830" w:rsidRDefault="00551830" w:rsidP="00551830">
            <w:pPr>
              <w:rPr>
                <w:rFonts w:cs="Arial"/>
                <w:color w:val="000000"/>
                <w:sz w:val="20"/>
                <w:szCs w:val="20"/>
                <w:lang w:val="en-US" w:eastAsia="en-US"/>
              </w:rPr>
            </w:pPr>
            <w:r w:rsidRPr="00551830">
              <w:rPr>
                <w:rFonts w:cs="Arial"/>
                <w:color w:val="000000"/>
                <w:sz w:val="20"/>
                <w:szCs w:val="20"/>
                <w:lang w:val="en-US" w:eastAsia="en-US"/>
              </w:rPr>
              <w:t>Device failure</w:t>
            </w:r>
          </w:p>
        </w:tc>
        <w:tc>
          <w:tcPr>
            <w:tcW w:w="1817" w:type="dxa"/>
            <w:tcBorders>
              <w:top w:val="nil"/>
              <w:left w:val="nil"/>
              <w:bottom w:val="single" w:sz="4" w:space="0" w:color="auto"/>
              <w:right w:val="single" w:sz="4" w:space="0" w:color="auto"/>
            </w:tcBorders>
            <w:shd w:val="clear" w:color="auto" w:fill="auto"/>
            <w:noWrap/>
            <w:vAlign w:val="center"/>
            <w:hideMark/>
          </w:tcPr>
          <w:p w14:paraId="4E0CEDEB" w14:textId="77777777" w:rsidR="00551830" w:rsidRPr="00551830" w:rsidRDefault="00551830" w:rsidP="00551830">
            <w:pPr>
              <w:rPr>
                <w:rFonts w:cs="Arial"/>
                <w:color w:val="000000"/>
                <w:sz w:val="20"/>
                <w:szCs w:val="20"/>
                <w:lang w:val="en-US" w:eastAsia="en-US"/>
              </w:rPr>
            </w:pPr>
            <w:r w:rsidRPr="00551830">
              <w:rPr>
                <w:rFonts w:cs="Arial"/>
                <w:color w:val="000000"/>
                <w:sz w:val="20"/>
                <w:szCs w:val="20"/>
                <w:lang w:val="en-US" w:eastAsia="en-US"/>
              </w:rPr>
              <w:t>Explantation</w:t>
            </w:r>
          </w:p>
        </w:tc>
        <w:tc>
          <w:tcPr>
            <w:tcW w:w="2796" w:type="dxa"/>
            <w:tcBorders>
              <w:top w:val="nil"/>
              <w:left w:val="nil"/>
              <w:bottom w:val="single" w:sz="4" w:space="0" w:color="auto"/>
              <w:right w:val="single" w:sz="4" w:space="0" w:color="auto"/>
            </w:tcBorders>
            <w:shd w:val="clear" w:color="auto" w:fill="auto"/>
            <w:noWrap/>
            <w:vAlign w:val="center"/>
            <w:hideMark/>
          </w:tcPr>
          <w:p w14:paraId="61103CDE" w14:textId="50097717" w:rsidR="00551830" w:rsidRPr="00551830" w:rsidRDefault="005079EC" w:rsidP="00551830">
            <w:pPr>
              <w:rPr>
                <w:rFonts w:cs="Arial"/>
                <w:color w:val="000000"/>
                <w:sz w:val="20"/>
                <w:szCs w:val="20"/>
                <w:lang w:val="en-US" w:eastAsia="en-US"/>
              </w:rPr>
            </w:pPr>
            <w:r>
              <w:rPr>
                <w:rFonts w:cs="Arial"/>
                <w:color w:val="000000"/>
                <w:sz w:val="20"/>
                <w:szCs w:val="20"/>
                <w:lang w:val="en-US" w:eastAsia="en-US"/>
              </w:rPr>
              <w:t>Opera</w:t>
            </w:r>
            <w:r w:rsidR="00551830" w:rsidRPr="00551830">
              <w:rPr>
                <w:rFonts w:cs="Arial"/>
                <w:color w:val="000000"/>
                <w:sz w:val="20"/>
                <w:szCs w:val="20"/>
                <w:lang w:val="en-US" w:eastAsia="en-US"/>
              </w:rPr>
              <w:t>tional costs</w:t>
            </w:r>
          </w:p>
        </w:tc>
        <w:tc>
          <w:tcPr>
            <w:tcW w:w="2028" w:type="dxa"/>
            <w:tcBorders>
              <w:top w:val="nil"/>
              <w:left w:val="nil"/>
              <w:bottom w:val="single" w:sz="4" w:space="0" w:color="auto"/>
              <w:right w:val="single" w:sz="8" w:space="0" w:color="auto"/>
            </w:tcBorders>
            <w:shd w:val="clear" w:color="auto" w:fill="auto"/>
            <w:noWrap/>
            <w:vAlign w:val="center"/>
            <w:hideMark/>
          </w:tcPr>
          <w:p w14:paraId="46FBEB16" w14:textId="2C97E774" w:rsidR="00551830" w:rsidRPr="00551830" w:rsidRDefault="00551830" w:rsidP="00551830">
            <w:pPr>
              <w:rPr>
                <w:rFonts w:cs="Arial"/>
                <w:color w:val="000000"/>
                <w:sz w:val="20"/>
                <w:szCs w:val="20"/>
                <w:lang w:val="en-US" w:eastAsia="en-US"/>
              </w:rPr>
            </w:pPr>
            <w:r w:rsidRPr="00551830">
              <w:rPr>
                <w:rFonts w:cs="Arial"/>
                <w:color w:val="000000"/>
                <w:sz w:val="20"/>
                <w:szCs w:val="20"/>
                <w:lang w:val="en-US" w:eastAsia="en-US"/>
              </w:rPr>
              <w:t xml:space="preserve"> AUD   3.738,64 </w:t>
            </w:r>
          </w:p>
        </w:tc>
      </w:tr>
      <w:tr w:rsidR="007B13DB" w:rsidRPr="00551830" w14:paraId="10897FB1" w14:textId="77777777" w:rsidTr="00E01546">
        <w:trPr>
          <w:trHeight w:val="300"/>
          <w:jc w:val="center"/>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64344124" w14:textId="77777777" w:rsidR="007B13DB" w:rsidRPr="00551830" w:rsidRDefault="007B13DB" w:rsidP="00551830">
            <w:pPr>
              <w:rPr>
                <w:rFonts w:cs="Arial"/>
                <w:color w:val="000000"/>
                <w:sz w:val="20"/>
                <w:szCs w:val="20"/>
                <w:lang w:val="en-US" w:eastAsia="en-US"/>
              </w:rPr>
            </w:pPr>
            <w:r w:rsidRPr="00551830">
              <w:rPr>
                <w:rFonts w:cs="Arial"/>
                <w:color w:val="000000"/>
                <w:sz w:val="20"/>
                <w:szCs w:val="20"/>
                <w:lang w:val="en-US" w:eastAsia="en-US"/>
              </w:rPr>
              <w:t> </w:t>
            </w:r>
          </w:p>
        </w:tc>
        <w:tc>
          <w:tcPr>
            <w:tcW w:w="1817" w:type="dxa"/>
            <w:tcBorders>
              <w:top w:val="nil"/>
              <w:left w:val="nil"/>
              <w:bottom w:val="single" w:sz="4" w:space="0" w:color="auto"/>
              <w:right w:val="single" w:sz="4" w:space="0" w:color="auto"/>
            </w:tcBorders>
            <w:shd w:val="clear" w:color="auto" w:fill="auto"/>
            <w:noWrap/>
            <w:vAlign w:val="center"/>
            <w:hideMark/>
          </w:tcPr>
          <w:p w14:paraId="43B3F9AA" w14:textId="77777777" w:rsidR="007B13DB" w:rsidRPr="00551830" w:rsidRDefault="007B13DB" w:rsidP="00551830">
            <w:pPr>
              <w:rPr>
                <w:rFonts w:cs="Arial"/>
                <w:color w:val="000000"/>
                <w:sz w:val="20"/>
                <w:szCs w:val="20"/>
                <w:lang w:val="en-US" w:eastAsia="en-US"/>
              </w:rPr>
            </w:pPr>
            <w:r w:rsidRPr="00551830">
              <w:rPr>
                <w:rFonts w:cs="Arial"/>
                <w:color w:val="000000"/>
                <w:sz w:val="20"/>
                <w:szCs w:val="20"/>
                <w:lang w:val="en-US" w:eastAsia="en-US"/>
              </w:rPr>
              <w:t>Re-implantation</w:t>
            </w:r>
          </w:p>
        </w:tc>
        <w:tc>
          <w:tcPr>
            <w:tcW w:w="2796" w:type="dxa"/>
            <w:tcBorders>
              <w:top w:val="nil"/>
              <w:left w:val="nil"/>
              <w:bottom w:val="single" w:sz="4" w:space="0" w:color="auto"/>
              <w:right w:val="single" w:sz="4" w:space="0" w:color="auto"/>
            </w:tcBorders>
            <w:shd w:val="clear" w:color="auto" w:fill="auto"/>
            <w:noWrap/>
            <w:vAlign w:val="center"/>
            <w:hideMark/>
          </w:tcPr>
          <w:p w14:paraId="6A7DC4B3" w14:textId="77777777" w:rsidR="007B13DB" w:rsidRPr="00551830" w:rsidRDefault="007B13DB" w:rsidP="00551830">
            <w:pPr>
              <w:rPr>
                <w:rFonts w:cs="Arial"/>
                <w:color w:val="000000"/>
                <w:sz w:val="20"/>
                <w:szCs w:val="20"/>
                <w:lang w:val="en-US" w:eastAsia="en-US"/>
              </w:rPr>
            </w:pPr>
            <w:r w:rsidRPr="00551830">
              <w:rPr>
                <w:rFonts w:cs="Arial"/>
                <w:color w:val="000000"/>
                <w:sz w:val="20"/>
                <w:szCs w:val="20"/>
                <w:lang w:val="en-US" w:eastAsia="en-US"/>
              </w:rPr>
              <w:t>Internal device costs</w:t>
            </w:r>
          </w:p>
        </w:tc>
        <w:tc>
          <w:tcPr>
            <w:tcW w:w="2028" w:type="dxa"/>
            <w:tcBorders>
              <w:top w:val="nil"/>
              <w:left w:val="nil"/>
              <w:bottom w:val="single" w:sz="4" w:space="0" w:color="auto"/>
              <w:right w:val="single" w:sz="8" w:space="0" w:color="auto"/>
            </w:tcBorders>
            <w:shd w:val="clear" w:color="auto" w:fill="auto"/>
            <w:noWrap/>
            <w:vAlign w:val="center"/>
            <w:hideMark/>
          </w:tcPr>
          <w:p w14:paraId="75EFEDFA" w14:textId="6F97ACB4" w:rsidR="007B13DB" w:rsidRPr="00551830" w:rsidRDefault="007B13DB" w:rsidP="00C7683B">
            <w:pPr>
              <w:rPr>
                <w:rFonts w:cs="Arial"/>
                <w:color w:val="000000"/>
                <w:sz w:val="20"/>
                <w:szCs w:val="20"/>
                <w:lang w:val="en-US" w:eastAsia="en-US"/>
              </w:rPr>
            </w:pPr>
            <w:r>
              <w:rPr>
                <w:rFonts w:cs="Arial"/>
                <w:color w:val="000000"/>
                <w:sz w:val="20"/>
                <w:szCs w:val="20"/>
              </w:rPr>
              <w:t xml:space="preserve"> AUD   7.470,00 </w:t>
            </w:r>
          </w:p>
        </w:tc>
      </w:tr>
      <w:tr w:rsidR="007B13DB" w:rsidRPr="00551830" w14:paraId="7C1A9052" w14:textId="77777777" w:rsidTr="00E01546">
        <w:trPr>
          <w:trHeight w:val="300"/>
          <w:jc w:val="center"/>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05F46420" w14:textId="77777777" w:rsidR="007B13DB" w:rsidRPr="00551830" w:rsidRDefault="007B13DB" w:rsidP="00551830">
            <w:pPr>
              <w:rPr>
                <w:rFonts w:cs="Arial"/>
                <w:color w:val="000000"/>
                <w:sz w:val="20"/>
                <w:szCs w:val="20"/>
                <w:lang w:val="en-US" w:eastAsia="en-US"/>
              </w:rPr>
            </w:pPr>
            <w:r w:rsidRPr="00551830">
              <w:rPr>
                <w:rFonts w:cs="Arial"/>
                <w:color w:val="000000"/>
                <w:sz w:val="20"/>
                <w:szCs w:val="20"/>
                <w:lang w:val="en-US" w:eastAsia="en-US"/>
              </w:rPr>
              <w:t> </w:t>
            </w:r>
          </w:p>
        </w:tc>
        <w:tc>
          <w:tcPr>
            <w:tcW w:w="1817" w:type="dxa"/>
            <w:tcBorders>
              <w:top w:val="nil"/>
              <w:left w:val="nil"/>
              <w:bottom w:val="single" w:sz="4" w:space="0" w:color="auto"/>
              <w:right w:val="single" w:sz="4" w:space="0" w:color="auto"/>
            </w:tcBorders>
            <w:shd w:val="clear" w:color="auto" w:fill="auto"/>
            <w:noWrap/>
            <w:vAlign w:val="center"/>
            <w:hideMark/>
          </w:tcPr>
          <w:p w14:paraId="0BB1C34B" w14:textId="77777777" w:rsidR="007B13DB" w:rsidRPr="00551830" w:rsidRDefault="007B13DB" w:rsidP="00551830">
            <w:pPr>
              <w:rPr>
                <w:rFonts w:cs="Arial"/>
                <w:color w:val="000000"/>
                <w:sz w:val="20"/>
                <w:szCs w:val="20"/>
                <w:lang w:val="en-US" w:eastAsia="en-US"/>
              </w:rPr>
            </w:pPr>
            <w:r w:rsidRPr="00551830">
              <w:rPr>
                <w:rFonts w:cs="Arial"/>
                <w:color w:val="000000"/>
                <w:sz w:val="20"/>
                <w:szCs w:val="20"/>
                <w:lang w:val="en-US" w:eastAsia="en-US"/>
              </w:rPr>
              <w:t> </w:t>
            </w:r>
          </w:p>
        </w:tc>
        <w:tc>
          <w:tcPr>
            <w:tcW w:w="2796" w:type="dxa"/>
            <w:tcBorders>
              <w:top w:val="nil"/>
              <w:left w:val="nil"/>
              <w:bottom w:val="single" w:sz="4" w:space="0" w:color="auto"/>
              <w:right w:val="single" w:sz="4" w:space="0" w:color="auto"/>
            </w:tcBorders>
            <w:shd w:val="clear" w:color="auto" w:fill="auto"/>
            <w:noWrap/>
            <w:vAlign w:val="center"/>
            <w:hideMark/>
          </w:tcPr>
          <w:p w14:paraId="3D9DD968" w14:textId="77777777" w:rsidR="007B13DB" w:rsidRPr="00551830" w:rsidRDefault="007B13DB" w:rsidP="00551830">
            <w:pPr>
              <w:rPr>
                <w:rFonts w:cs="Arial"/>
                <w:color w:val="000000"/>
                <w:sz w:val="20"/>
                <w:szCs w:val="20"/>
                <w:lang w:val="en-US" w:eastAsia="en-US"/>
              </w:rPr>
            </w:pPr>
            <w:r w:rsidRPr="00551830">
              <w:rPr>
                <w:rFonts w:cs="Arial"/>
                <w:color w:val="000000"/>
                <w:sz w:val="20"/>
                <w:szCs w:val="20"/>
                <w:lang w:val="en-US" w:eastAsia="en-US"/>
              </w:rPr>
              <w:t>Pre-operational costs</w:t>
            </w:r>
          </w:p>
        </w:tc>
        <w:tc>
          <w:tcPr>
            <w:tcW w:w="2028" w:type="dxa"/>
            <w:tcBorders>
              <w:top w:val="nil"/>
              <w:left w:val="nil"/>
              <w:bottom w:val="single" w:sz="4" w:space="0" w:color="auto"/>
              <w:right w:val="single" w:sz="8" w:space="0" w:color="auto"/>
            </w:tcBorders>
            <w:shd w:val="clear" w:color="auto" w:fill="auto"/>
            <w:noWrap/>
            <w:vAlign w:val="center"/>
            <w:hideMark/>
          </w:tcPr>
          <w:p w14:paraId="6BAA375B" w14:textId="37F75DD0" w:rsidR="007B13DB" w:rsidRPr="00551830" w:rsidRDefault="007B13DB" w:rsidP="00551830">
            <w:pPr>
              <w:rPr>
                <w:rFonts w:cs="Arial"/>
                <w:color w:val="000000"/>
                <w:sz w:val="20"/>
                <w:szCs w:val="20"/>
                <w:lang w:val="en-US" w:eastAsia="en-US"/>
              </w:rPr>
            </w:pPr>
            <w:r>
              <w:rPr>
                <w:rFonts w:cs="Arial"/>
                <w:color w:val="000000"/>
                <w:sz w:val="20"/>
                <w:szCs w:val="20"/>
              </w:rPr>
              <w:t xml:space="preserve"> AUD   511,15 </w:t>
            </w:r>
          </w:p>
        </w:tc>
      </w:tr>
      <w:tr w:rsidR="007B13DB" w:rsidRPr="00551830" w14:paraId="52643801" w14:textId="77777777" w:rsidTr="00E01546">
        <w:trPr>
          <w:trHeight w:val="300"/>
          <w:jc w:val="center"/>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221F9A25" w14:textId="77777777" w:rsidR="007B13DB" w:rsidRPr="00551830" w:rsidRDefault="007B13DB" w:rsidP="00551830">
            <w:pPr>
              <w:rPr>
                <w:rFonts w:cs="Arial"/>
                <w:color w:val="000000"/>
                <w:sz w:val="20"/>
                <w:szCs w:val="20"/>
                <w:lang w:val="en-US" w:eastAsia="en-US"/>
              </w:rPr>
            </w:pPr>
            <w:r w:rsidRPr="00551830">
              <w:rPr>
                <w:rFonts w:cs="Arial"/>
                <w:color w:val="000000"/>
                <w:sz w:val="20"/>
                <w:szCs w:val="20"/>
                <w:lang w:val="en-US" w:eastAsia="en-US"/>
              </w:rPr>
              <w:t> </w:t>
            </w:r>
          </w:p>
        </w:tc>
        <w:tc>
          <w:tcPr>
            <w:tcW w:w="1817" w:type="dxa"/>
            <w:tcBorders>
              <w:top w:val="nil"/>
              <w:left w:val="nil"/>
              <w:bottom w:val="single" w:sz="4" w:space="0" w:color="auto"/>
              <w:right w:val="single" w:sz="4" w:space="0" w:color="auto"/>
            </w:tcBorders>
            <w:shd w:val="clear" w:color="auto" w:fill="auto"/>
            <w:noWrap/>
            <w:vAlign w:val="center"/>
            <w:hideMark/>
          </w:tcPr>
          <w:p w14:paraId="316936C3" w14:textId="77777777" w:rsidR="007B13DB" w:rsidRPr="00551830" w:rsidRDefault="007B13DB" w:rsidP="00551830">
            <w:pPr>
              <w:rPr>
                <w:rFonts w:cs="Arial"/>
                <w:color w:val="000000"/>
                <w:sz w:val="20"/>
                <w:szCs w:val="20"/>
                <w:lang w:val="en-US" w:eastAsia="en-US"/>
              </w:rPr>
            </w:pPr>
            <w:r w:rsidRPr="00551830">
              <w:rPr>
                <w:rFonts w:cs="Arial"/>
                <w:color w:val="000000"/>
                <w:sz w:val="20"/>
                <w:szCs w:val="20"/>
                <w:lang w:val="en-US" w:eastAsia="en-US"/>
              </w:rPr>
              <w:t> </w:t>
            </w:r>
          </w:p>
        </w:tc>
        <w:tc>
          <w:tcPr>
            <w:tcW w:w="2796" w:type="dxa"/>
            <w:tcBorders>
              <w:top w:val="nil"/>
              <w:left w:val="nil"/>
              <w:bottom w:val="single" w:sz="4" w:space="0" w:color="auto"/>
              <w:right w:val="single" w:sz="4" w:space="0" w:color="auto"/>
            </w:tcBorders>
            <w:shd w:val="clear" w:color="auto" w:fill="auto"/>
            <w:noWrap/>
            <w:vAlign w:val="center"/>
            <w:hideMark/>
          </w:tcPr>
          <w:p w14:paraId="2C66AEF5" w14:textId="77777777" w:rsidR="007B13DB" w:rsidRPr="00551830" w:rsidRDefault="007B13DB" w:rsidP="00551830">
            <w:pPr>
              <w:rPr>
                <w:rFonts w:cs="Arial"/>
                <w:color w:val="000000"/>
                <w:sz w:val="20"/>
                <w:szCs w:val="20"/>
                <w:lang w:val="en-US" w:eastAsia="en-US"/>
              </w:rPr>
            </w:pPr>
            <w:r w:rsidRPr="00551830">
              <w:rPr>
                <w:rFonts w:cs="Arial"/>
                <w:color w:val="000000"/>
                <w:sz w:val="20"/>
                <w:szCs w:val="20"/>
                <w:lang w:val="en-US" w:eastAsia="en-US"/>
              </w:rPr>
              <w:t>Operational costs</w:t>
            </w:r>
          </w:p>
        </w:tc>
        <w:tc>
          <w:tcPr>
            <w:tcW w:w="2028" w:type="dxa"/>
            <w:tcBorders>
              <w:top w:val="nil"/>
              <w:left w:val="nil"/>
              <w:bottom w:val="single" w:sz="4" w:space="0" w:color="auto"/>
              <w:right w:val="single" w:sz="8" w:space="0" w:color="auto"/>
            </w:tcBorders>
            <w:shd w:val="clear" w:color="auto" w:fill="auto"/>
            <w:noWrap/>
            <w:vAlign w:val="center"/>
            <w:hideMark/>
          </w:tcPr>
          <w:p w14:paraId="7A52B7DB" w14:textId="746331FD" w:rsidR="007B13DB" w:rsidRPr="00551830" w:rsidRDefault="007B13DB" w:rsidP="00551830">
            <w:pPr>
              <w:rPr>
                <w:rFonts w:cs="Arial"/>
                <w:color w:val="000000"/>
                <w:sz w:val="20"/>
                <w:szCs w:val="20"/>
                <w:lang w:val="en-US" w:eastAsia="en-US"/>
              </w:rPr>
            </w:pPr>
            <w:r>
              <w:rPr>
                <w:rFonts w:cs="Arial"/>
                <w:color w:val="000000"/>
                <w:sz w:val="20"/>
                <w:szCs w:val="20"/>
              </w:rPr>
              <w:t xml:space="preserve"> AUD   3.738,64 </w:t>
            </w:r>
          </w:p>
        </w:tc>
      </w:tr>
      <w:tr w:rsidR="007B13DB" w:rsidRPr="00551830" w14:paraId="32BB8330" w14:textId="77777777" w:rsidTr="00E01546">
        <w:trPr>
          <w:trHeight w:val="300"/>
          <w:jc w:val="center"/>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69C56A7C" w14:textId="77777777" w:rsidR="007B13DB" w:rsidRPr="00551830" w:rsidRDefault="007B13DB" w:rsidP="00551830">
            <w:pPr>
              <w:rPr>
                <w:rFonts w:cs="Arial"/>
                <w:color w:val="000000"/>
                <w:sz w:val="20"/>
                <w:szCs w:val="20"/>
                <w:lang w:val="en-US" w:eastAsia="en-US"/>
              </w:rPr>
            </w:pPr>
            <w:r w:rsidRPr="00551830">
              <w:rPr>
                <w:rFonts w:cs="Arial"/>
                <w:color w:val="000000"/>
                <w:sz w:val="20"/>
                <w:szCs w:val="20"/>
                <w:lang w:val="en-US" w:eastAsia="en-US"/>
              </w:rPr>
              <w:t> </w:t>
            </w:r>
          </w:p>
        </w:tc>
        <w:tc>
          <w:tcPr>
            <w:tcW w:w="1817" w:type="dxa"/>
            <w:tcBorders>
              <w:top w:val="nil"/>
              <w:left w:val="nil"/>
              <w:bottom w:val="single" w:sz="4" w:space="0" w:color="auto"/>
              <w:right w:val="single" w:sz="4" w:space="0" w:color="auto"/>
            </w:tcBorders>
            <w:shd w:val="clear" w:color="auto" w:fill="auto"/>
            <w:noWrap/>
            <w:vAlign w:val="center"/>
            <w:hideMark/>
          </w:tcPr>
          <w:p w14:paraId="5592F502" w14:textId="77777777" w:rsidR="007B13DB" w:rsidRPr="00551830" w:rsidRDefault="007B13DB" w:rsidP="00551830">
            <w:pPr>
              <w:rPr>
                <w:rFonts w:cs="Arial"/>
                <w:color w:val="000000"/>
                <w:sz w:val="20"/>
                <w:szCs w:val="20"/>
                <w:lang w:val="en-US" w:eastAsia="en-US"/>
              </w:rPr>
            </w:pPr>
            <w:r w:rsidRPr="00551830">
              <w:rPr>
                <w:rFonts w:cs="Arial"/>
                <w:color w:val="000000"/>
                <w:sz w:val="20"/>
                <w:szCs w:val="20"/>
                <w:lang w:val="en-US" w:eastAsia="en-US"/>
              </w:rPr>
              <w:t> </w:t>
            </w:r>
          </w:p>
        </w:tc>
        <w:tc>
          <w:tcPr>
            <w:tcW w:w="2796" w:type="dxa"/>
            <w:tcBorders>
              <w:top w:val="nil"/>
              <w:left w:val="nil"/>
              <w:bottom w:val="single" w:sz="4" w:space="0" w:color="auto"/>
              <w:right w:val="single" w:sz="4" w:space="0" w:color="auto"/>
            </w:tcBorders>
            <w:shd w:val="clear" w:color="auto" w:fill="auto"/>
            <w:noWrap/>
            <w:vAlign w:val="center"/>
            <w:hideMark/>
          </w:tcPr>
          <w:p w14:paraId="01CE1F07" w14:textId="77777777" w:rsidR="007B13DB" w:rsidRPr="00551830" w:rsidRDefault="007B13DB" w:rsidP="00551830">
            <w:pPr>
              <w:rPr>
                <w:rFonts w:cs="Arial"/>
                <w:color w:val="000000"/>
                <w:sz w:val="20"/>
                <w:szCs w:val="20"/>
                <w:lang w:val="en-US" w:eastAsia="en-US"/>
              </w:rPr>
            </w:pPr>
            <w:r w:rsidRPr="00551830">
              <w:rPr>
                <w:rFonts w:cs="Arial"/>
                <w:color w:val="000000"/>
                <w:sz w:val="20"/>
                <w:szCs w:val="20"/>
                <w:lang w:val="en-US" w:eastAsia="en-US"/>
              </w:rPr>
              <w:t>Post-operational costs</w:t>
            </w:r>
          </w:p>
        </w:tc>
        <w:tc>
          <w:tcPr>
            <w:tcW w:w="2028" w:type="dxa"/>
            <w:tcBorders>
              <w:top w:val="nil"/>
              <w:left w:val="nil"/>
              <w:bottom w:val="single" w:sz="4" w:space="0" w:color="auto"/>
              <w:right w:val="single" w:sz="8" w:space="0" w:color="auto"/>
            </w:tcBorders>
            <w:shd w:val="clear" w:color="auto" w:fill="auto"/>
            <w:noWrap/>
            <w:vAlign w:val="center"/>
            <w:hideMark/>
          </w:tcPr>
          <w:p w14:paraId="5B890617" w14:textId="69741061" w:rsidR="007B13DB" w:rsidRPr="00551830" w:rsidRDefault="007B13DB" w:rsidP="00C7683B">
            <w:pPr>
              <w:rPr>
                <w:rFonts w:cs="Arial"/>
                <w:color w:val="000000"/>
                <w:sz w:val="20"/>
                <w:szCs w:val="20"/>
                <w:lang w:val="en-US" w:eastAsia="en-US"/>
              </w:rPr>
            </w:pPr>
            <w:r>
              <w:rPr>
                <w:rFonts w:cs="Arial"/>
                <w:color w:val="000000"/>
                <w:sz w:val="20"/>
                <w:szCs w:val="20"/>
              </w:rPr>
              <w:t xml:space="preserve"> AUD   390,00 </w:t>
            </w:r>
          </w:p>
        </w:tc>
      </w:tr>
      <w:tr w:rsidR="007B13DB" w:rsidRPr="00551830" w14:paraId="25795039" w14:textId="77777777" w:rsidTr="00E01546">
        <w:trPr>
          <w:trHeight w:val="315"/>
          <w:jc w:val="center"/>
        </w:trPr>
        <w:tc>
          <w:tcPr>
            <w:tcW w:w="1610" w:type="dxa"/>
            <w:tcBorders>
              <w:top w:val="nil"/>
              <w:left w:val="single" w:sz="8" w:space="0" w:color="auto"/>
              <w:bottom w:val="single" w:sz="8" w:space="0" w:color="auto"/>
              <w:right w:val="single" w:sz="4" w:space="0" w:color="auto"/>
            </w:tcBorders>
            <w:shd w:val="clear" w:color="auto" w:fill="auto"/>
            <w:noWrap/>
            <w:vAlign w:val="center"/>
            <w:hideMark/>
          </w:tcPr>
          <w:p w14:paraId="5EA4A951" w14:textId="77777777" w:rsidR="007B13DB" w:rsidRPr="00551830" w:rsidRDefault="007B13DB" w:rsidP="00551830">
            <w:pPr>
              <w:rPr>
                <w:rFonts w:cs="Arial"/>
                <w:color w:val="000000"/>
                <w:sz w:val="20"/>
                <w:szCs w:val="20"/>
                <w:lang w:val="en-US" w:eastAsia="en-US"/>
              </w:rPr>
            </w:pPr>
            <w:r w:rsidRPr="00551830">
              <w:rPr>
                <w:rFonts w:cs="Arial"/>
                <w:color w:val="000000"/>
                <w:sz w:val="20"/>
                <w:szCs w:val="20"/>
                <w:lang w:val="en-US" w:eastAsia="en-US"/>
              </w:rPr>
              <w:t> </w:t>
            </w:r>
          </w:p>
        </w:tc>
        <w:tc>
          <w:tcPr>
            <w:tcW w:w="1817" w:type="dxa"/>
            <w:tcBorders>
              <w:top w:val="nil"/>
              <w:left w:val="nil"/>
              <w:bottom w:val="single" w:sz="8" w:space="0" w:color="auto"/>
              <w:right w:val="single" w:sz="4" w:space="0" w:color="auto"/>
            </w:tcBorders>
            <w:shd w:val="clear" w:color="auto" w:fill="auto"/>
            <w:noWrap/>
            <w:vAlign w:val="center"/>
            <w:hideMark/>
          </w:tcPr>
          <w:p w14:paraId="6E00834E" w14:textId="77777777" w:rsidR="007B13DB" w:rsidRPr="00551830" w:rsidRDefault="007B13DB" w:rsidP="00551830">
            <w:pPr>
              <w:rPr>
                <w:rFonts w:cs="Arial"/>
                <w:color w:val="000000"/>
                <w:sz w:val="20"/>
                <w:szCs w:val="20"/>
                <w:lang w:val="en-US" w:eastAsia="en-US"/>
              </w:rPr>
            </w:pPr>
            <w:r w:rsidRPr="00551830">
              <w:rPr>
                <w:rFonts w:cs="Arial"/>
                <w:color w:val="000000"/>
                <w:sz w:val="20"/>
                <w:szCs w:val="20"/>
                <w:lang w:val="en-US" w:eastAsia="en-US"/>
              </w:rPr>
              <w:t> </w:t>
            </w:r>
          </w:p>
        </w:tc>
        <w:tc>
          <w:tcPr>
            <w:tcW w:w="2796" w:type="dxa"/>
            <w:tcBorders>
              <w:top w:val="nil"/>
              <w:left w:val="nil"/>
              <w:bottom w:val="single" w:sz="8" w:space="0" w:color="auto"/>
              <w:right w:val="single" w:sz="4" w:space="0" w:color="auto"/>
            </w:tcBorders>
            <w:shd w:val="clear" w:color="auto" w:fill="auto"/>
            <w:noWrap/>
            <w:vAlign w:val="center"/>
            <w:hideMark/>
          </w:tcPr>
          <w:p w14:paraId="24BA4358" w14:textId="77777777" w:rsidR="007B13DB" w:rsidRPr="00551830" w:rsidRDefault="007B13DB" w:rsidP="00551830">
            <w:pPr>
              <w:rPr>
                <w:rFonts w:cs="Arial"/>
                <w:color w:val="000000"/>
                <w:sz w:val="20"/>
                <w:szCs w:val="20"/>
                <w:lang w:val="en-US" w:eastAsia="en-US"/>
              </w:rPr>
            </w:pPr>
            <w:r w:rsidRPr="00551830">
              <w:rPr>
                <w:rFonts w:cs="Arial"/>
                <w:color w:val="000000"/>
                <w:sz w:val="20"/>
                <w:szCs w:val="20"/>
                <w:lang w:val="en-US" w:eastAsia="en-US"/>
              </w:rPr>
              <w:t>Total cost of re-implantation</w:t>
            </w:r>
          </w:p>
        </w:tc>
        <w:tc>
          <w:tcPr>
            <w:tcW w:w="2028" w:type="dxa"/>
            <w:tcBorders>
              <w:top w:val="nil"/>
              <w:left w:val="nil"/>
              <w:bottom w:val="single" w:sz="8" w:space="0" w:color="auto"/>
              <w:right w:val="single" w:sz="8" w:space="0" w:color="auto"/>
            </w:tcBorders>
            <w:shd w:val="clear" w:color="auto" w:fill="auto"/>
            <w:noWrap/>
            <w:vAlign w:val="center"/>
            <w:hideMark/>
          </w:tcPr>
          <w:p w14:paraId="18B65220" w14:textId="5E0C8101" w:rsidR="007B13DB" w:rsidRPr="00551830" w:rsidRDefault="007B13DB" w:rsidP="00551830">
            <w:pPr>
              <w:rPr>
                <w:rFonts w:cs="Arial"/>
                <w:color w:val="000000"/>
                <w:sz w:val="20"/>
                <w:szCs w:val="20"/>
                <w:lang w:val="en-US" w:eastAsia="en-US"/>
              </w:rPr>
            </w:pPr>
            <w:r>
              <w:rPr>
                <w:rFonts w:cs="Arial"/>
                <w:color w:val="000000"/>
                <w:sz w:val="20"/>
                <w:szCs w:val="20"/>
              </w:rPr>
              <w:t xml:space="preserve"> AUD   12.109,79 </w:t>
            </w:r>
          </w:p>
        </w:tc>
      </w:tr>
    </w:tbl>
    <w:p w14:paraId="3A074FD5" w14:textId="77777777" w:rsidR="00395F95" w:rsidRDefault="00395F95" w:rsidP="0066778C">
      <w:pPr>
        <w:pStyle w:val="Textbody"/>
        <w:rPr>
          <w:color w:val="000000"/>
          <w:lang w:val="en-GB"/>
        </w:rPr>
      </w:pPr>
    </w:p>
    <w:p w14:paraId="458E6FE7" w14:textId="77777777" w:rsidR="00551830" w:rsidRPr="00932A48" w:rsidRDefault="00551830" w:rsidP="00551830">
      <w:pPr>
        <w:pStyle w:val="Heading4"/>
        <w:spacing w:line="360" w:lineRule="auto"/>
        <w:ind w:left="864" w:hanging="864"/>
        <w:jc w:val="both"/>
        <w:rPr>
          <w:rFonts w:cs="Arial"/>
          <w:lang w:val="en-GB"/>
        </w:rPr>
      </w:pPr>
      <w:r w:rsidRPr="00932A48">
        <w:rPr>
          <w:rFonts w:cs="Arial"/>
          <w:lang w:val="en-GB"/>
        </w:rPr>
        <w:t>Costs associated with comparator pathways</w:t>
      </w:r>
    </w:p>
    <w:p w14:paraId="0467BC60" w14:textId="77777777" w:rsidR="00551830" w:rsidRPr="00551830" w:rsidRDefault="00551830" w:rsidP="00551830">
      <w:pPr>
        <w:spacing w:line="360" w:lineRule="auto"/>
        <w:jc w:val="both"/>
        <w:rPr>
          <w:rFonts w:cs="Arial"/>
          <w:lang w:val="en-GB"/>
        </w:rPr>
      </w:pPr>
      <w:r w:rsidRPr="00932A48">
        <w:rPr>
          <w:rFonts w:cs="Arial"/>
          <w:b/>
          <w:lang w:val="en-GB"/>
        </w:rPr>
        <w:t>No intervention.</w:t>
      </w:r>
      <w:r w:rsidRPr="00932A48">
        <w:rPr>
          <w:rFonts w:cs="Arial"/>
          <w:lang w:val="en-GB"/>
        </w:rPr>
        <w:t xml:space="preserve"> Individuals who have received audiological assessment, ENT consultation and counselling for AMEI may be found not to be a good candidate or the patient themselves may decide against implantation. In either case patients incur all the pre-operational costs described for the VSB except anaesthesia preparation. In addition to this, there is a chance of their existing/treated outer ear pathology to reoccur over </w:t>
      </w:r>
      <w:r w:rsidRPr="00C366A9">
        <w:rPr>
          <w:rFonts w:cs="Arial"/>
          <w:lang w:val="en-GB"/>
        </w:rPr>
        <w:t xml:space="preserve">time. The interventional costs associated with either type of pathology were sought from the Medicare Benefits Schedule. The total cost for all pathologies together was estimated to be </w:t>
      </w:r>
      <w:r w:rsidR="003A1933" w:rsidRPr="00C366A9">
        <w:rPr>
          <w:rFonts w:cs="Arial"/>
          <w:lang w:val="en-GB"/>
        </w:rPr>
        <w:t>AUD 131</w:t>
      </w:r>
      <w:r w:rsidR="00AD5624" w:rsidRPr="00C366A9">
        <w:rPr>
          <w:rFonts w:cs="Arial"/>
          <w:lang w:val="en-GB"/>
        </w:rPr>
        <w:t>,</w:t>
      </w:r>
      <w:r w:rsidRPr="00C366A9">
        <w:rPr>
          <w:rFonts w:cs="Arial"/>
          <w:lang w:val="en-GB"/>
        </w:rPr>
        <w:t xml:space="preserve">55 as seen in </w:t>
      </w:r>
      <w:r w:rsidRPr="00C366A9">
        <w:rPr>
          <w:rFonts w:cs="Arial"/>
          <w:lang w:val="en-GB"/>
        </w:rPr>
        <w:fldChar w:fldCharType="begin"/>
      </w:r>
      <w:r w:rsidRPr="00C366A9">
        <w:rPr>
          <w:rFonts w:cs="Arial"/>
          <w:lang w:val="en-GB"/>
        </w:rPr>
        <w:instrText xml:space="preserve"> REF _Ref430964471 \h  \* MERGEFORMAT </w:instrText>
      </w:r>
      <w:r w:rsidRPr="00C366A9">
        <w:rPr>
          <w:rFonts w:cs="Arial"/>
          <w:lang w:val="en-GB"/>
        </w:rPr>
      </w:r>
      <w:r w:rsidRPr="00C366A9">
        <w:rPr>
          <w:rFonts w:cs="Arial"/>
          <w:lang w:val="en-GB"/>
        </w:rPr>
        <w:fldChar w:fldCharType="separate"/>
      </w:r>
      <w:r w:rsidR="00016592" w:rsidRPr="00016592">
        <w:rPr>
          <w:rFonts w:cs="Arial"/>
          <w:bCs/>
        </w:rPr>
        <w:t xml:space="preserve">Table </w:t>
      </w:r>
      <w:r w:rsidR="00016592" w:rsidRPr="00016592">
        <w:rPr>
          <w:rFonts w:cs="Arial"/>
          <w:bCs/>
          <w:noProof/>
        </w:rPr>
        <w:t>40</w:t>
      </w:r>
      <w:r w:rsidRPr="00C366A9">
        <w:rPr>
          <w:rFonts w:cs="Arial"/>
          <w:lang w:val="en-GB"/>
        </w:rPr>
        <w:fldChar w:fldCharType="end"/>
      </w:r>
      <w:r w:rsidRPr="00551830">
        <w:rPr>
          <w:rFonts w:cs="Arial"/>
          <w:lang w:val="en-GB"/>
        </w:rPr>
        <w:t>.</w:t>
      </w:r>
    </w:p>
    <w:p w14:paraId="1AB25EFB" w14:textId="77777777" w:rsidR="00551830" w:rsidRDefault="00551830" w:rsidP="00551830">
      <w:pPr>
        <w:spacing w:line="360" w:lineRule="auto"/>
        <w:jc w:val="both"/>
        <w:rPr>
          <w:rFonts w:cs="Arial"/>
          <w:b/>
          <w:bCs/>
          <w:sz w:val="20"/>
          <w:szCs w:val="20"/>
        </w:rPr>
      </w:pPr>
    </w:p>
    <w:p w14:paraId="47F28E30" w14:textId="77777777" w:rsidR="00551830" w:rsidRPr="00551830" w:rsidRDefault="00551830" w:rsidP="00551830">
      <w:pPr>
        <w:spacing w:line="360" w:lineRule="auto"/>
        <w:jc w:val="both"/>
        <w:rPr>
          <w:rFonts w:cs="Arial"/>
          <w:b/>
          <w:bCs/>
          <w:sz w:val="20"/>
          <w:szCs w:val="20"/>
        </w:rPr>
      </w:pPr>
      <w:bookmarkStart w:id="550" w:name="_Ref430964471"/>
      <w:bookmarkStart w:id="551" w:name="_Toc431917500"/>
      <w:r w:rsidRPr="00551830">
        <w:rPr>
          <w:rFonts w:cs="Arial"/>
          <w:b/>
          <w:bCs/>
          <w:sz w:val="20"/>
          <w:szCs w:val="20"/>
        </w:rPr>
        <w:t xml:space="preserve">Table </w:t>
      </w:r>
      <w:r w:rsidRPr="00551830">
        <w:rPr>
          <w:rFonts w:cs="Arial"/>
          <w:b/>
          <w:bCs/>
          <w:sz w:val="20"/>
          <w:szCs w:val="20"/>
        </w:rPr>
        <w:fldChar w:fldCharType="begin"/>
      </w:r>
      <w:r w:rsidRPr="00551830">
        <w:rPr>
          <w:rFonts w:cs="Arial"/>
          <w:b/>
          <w:bCs/>
          <w:sz w:val="20"/>
          <w:szCs w:val="20"/>
        </w:rPr>
        <w:instrText xml:space="preserve"> SEQ Table \* ARABIC </w:instrText>
      </w:r>
      <w:r w:rsidRPr="00551830">
        <w:rPr>
          <w:rFonts w:cs="Arial"/>
          <w:b/>
          <w:bCs/>
          <w:sz w:val="20"/>
          <w:szCs w:val="20"/>
        </w:rPr>
        <w:fldChar w:fldCharType="separate"/>
      </w:r>
      <w:r w:rsidR="00016592">
        <w:rPr>
          <w:rFonts w:cs="Arial"/>
          <w:b/>
          <w:bCs/>
          <w:noProof/>
          <w:sz w:val="20"/>
          <w:szCs w:val="20"/>
        </w:rPr>
        <w:t>40</w:t>
      </w:r>
      <w:r w:rsidRPr="00551830">
        <w:rPr>
          <w:rFonts w:cs="Arial"/>
          <w:b/>
          <w:bCs/>
          <w:sz w:val="20"/>
          <w:szCs w:val="20"/>
        </w:rPr>
        <w:fldChar w:fldCharType="end"/>
      </w:r>
      <w:bookmarkEnd w:id="550"/>
      <w:r w:rsidRPr="00551830">
        <w:rPr>
          <w:rFonts w:cs="Arial"/>
          <w:b/>
          <w:bCs/>
          <w:sz w:val="20"/>
          <w:szCs w:val="20"/>
        </w:rPr>
        <w:t xml:space="preserve"> - </w:t>
      </w:r>
      <w:r w:rsidRPr="00551830">
        <w:rPr>
          <w:rFonts w:cs="Arial"/>
          <w:b/>
          <w:sz w:val="20"/>
          <w:szCs w:val="20"/>
          <w:lang w:val="en-GB"/>
        </w:rPr>
        <w:t>Total costs per patient associated with recurring outer ear pathologies</w:t>
      </w:r>
      <w:bookmarkEnd w:id="551"/>
    </w:p>
    <w:tbl>
      <w:tblPr>
        <w:tblW w:w="9229" w:type="dxa"/>
        <w:jc w:val="center"/>
        <w:tblLook w:val="04A0" w:firstRow="1" w:lastRow="0" w:firstColumn="1" w:lastColumn="0" w:noHBand="0" w:noVBand="1"/>
        <w:tblDescription w:val="Total costs per patient associated with recurring outer ear pathologies"/>
      </w:tblPr>
      <w:tblGrid>
        <w:gridCol w:w="3134"/>
        <w:gridCol w:w="1617"/>
        <w:gridCol w:w="1162"/>
        <w:gridCol w:w="1757"/>
        <w:gridCol w:w="1559"/>
      </w:tblGrid>
      <w:tr w:rsidR="00551830" w:rsidRPr="00551830" w14:paraId="58BA52E6" w14:textId="77777777" w:rsidTr="00E01546">
        <w:trPr>
          <w:trHeight w:val="300"/>
          <w:jc w:val="center"/>
        </w:trPr>
        <w:tc>
          <w:tcPr>
            <w:tcW w:w="313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F459A75" w14:textId="77777777" w:rsidR="00551830" w:rsidRPr="00551830" w:rsidRDefault="00551830" w:rsidP="00551830">
            <w:pPr>
              <w:jc w:val="center"/>
              <w:rPr>
                <w:rFonts w:cs="Arial"/>
                <w:b/>
                <w:bCs/>
                <w:color w:val="000000"/>
                <w:lang w:val="en-US" w:eastAsia="en-US"/>
              </w:rPr>
            </w:pPr>
            <w:r w:rsidRPr="00551830">
              <w:rPr>
                <w:rFonts w:cs="Arial"/>
                <w:b/>
                <w:bCs/>
                <w:color w:val="000000"/>
                <w:lang w:val="en-US" w:eastAsia="en-US"/>
              </w:rPr>
              <w:t>Procedure</w:t>
            </w:r>
          </w:p>
        </w:tc>
        <w:tc>
          <w:tcPr>
            <w:tcW w:w="1617" w:type="dxa"/>
            <w:tcBorders>
              <w:top w:val="single" w:sz="8" w:space="0" w:color="auto"/>
              <w:left w:val="nil"/>
              <w:bottom w:val="single" w:sz="4" w:space="0" w:color="auto"/>
              <w:right w:val="single" w:sz="4" w:space="0" w:color="auto"/>
            </w:tcBorders>
            <w:shd w:val="clear" w:color="auto" w:fill="auto"/>
            <w:noWrap/>
            <w:vAlign w:val="center"/>
            <w:hideMark/>
          </w:tcPr>
          <w:p w14:paraId="6C435E3B" w14:textId="77777777" w:rsidR="00551830" w:rsidRPr="00551830" w:rsidRDefault="00551830" w:rsidP="00551830">
            <w:pPr>
              <w:jc w:val="center"/>
              <w:rPr>
                <w:rFonts w:cs="Arial"/>
                <w:b/>
                <w:bCs/>
                <w:color w:val="000000"/>
                <w:sz w:val="20"/>
                <w:szCs w:val="20"/>
                <w:lang w:val="en-US" w:eastAsia="en-US"/>
              </w:rPr>
            </w:pPr>
            <w:r w:rsidRPr="00551830">
              <w:rPr>
                <w:rFonts w:cs="Arial"/>
                <w:b/>
                <w:bCs/>
                <w:color w:val="000000"/>
                <w:sz w:val="20"/>
                <w:szCs w:val="20"/>
                <w:lang w:val="en-US" w:eastAsia="en-US"/>
              </w:rPr>
              <w:t>MBS Item No.</w:t>
            </w:r>
          </w:p>
        </w:tc>
        <w:tc>
          <w:tcPr>
            <w:tcW w:w="1162" w:type="dxa"/>
            <w:tcBorders>
              <w:top w:val="single" w:sz="8" w:space="0" w:color="auto"/>
              <w:left w:val="nil"/>
              <w:bottom w:val="single" w:sz="4" w:space="0" w:color="auto"/>
              <w:right w:val="single" w:sz="4" w:space="0" w:color="auto"/>
            </w:tcBorders>
            <w:shd w:val="clear" w:color="auto" w:fill="auto"/>
            <w:noWrap/>
            <w:vAlign w:val="center"/>
            <w:hideMark/>
          </w:tcPr>
          <w:p w14:paraId="6F82F491" w14:textId="77777777" w:rsidR="00551830" w:rsidRPr="00551830" w:rsidRDefault="00551830" w:rsidP="00551830">
            <w:pPr>
              <w:jc w:val="center"/>
              <w:rPr>
                <w:rFonts w:cs="Arial"/>
                <w:b/>
                <w:bCs/>
                <w:color w:val="000000"/>
                <w:sz w:val="20"/>
                <w:szCs w:val="20"/>
                <w:lang w:val="en-US" w:eastAsia="en-US"/>
              </w:rPr>
            </w:pPr>
            <w:r w:rsidRPr="00551830">
              <w:rPr>
                <w:rFonts w:cs="Arial"/>
                <w:b/>
                <w:bCs/>
                <w:color w:val="000000"/>
                <w:sz w:val="20"/>
                <w:szCs w:val="20"/>
                <w:lang w:val="en-US" w:eastAsia="en-US"/>
              </w:rPr>
              <w:t>Units</w:t>
            </w:r>
          </w:p>
        </w:tc>
        <w:tc>
          <w:tcPr>
            <w:tcW w:w="1757" w:type="dxa"/>
            <w:tcBorders>
              <w:top w:val="single" w:sz="8" w:space="0" w:color="auto"/>
              <w:left w:val="nil"/>
              <w:bottom w:val="single" w:sz="4" w:space="0" w:color="auto"/>
              <w:right w:val="single" w:sz="4" w:space="0" w:color="auto"/>
            </w:tcBorders>
            <w:shd w:val="clear" w:color="auto" w:fill="auto"/>
            <w:noWrap/>
            <w:vAlign w:val="center"/>
            <w:hideMark/>
          </w:tcPr>
          <w:p w14:paraId="0DED57B0" w14:textId="77777777" w:rsidR="00551830" w:rsidRPr="00551830" w:rsidRDefault="00551830" w:rsidP="00551830">
            <w:pPr>
              <w:jc w:val="center"/>
              <w:rPr>
                <w:rFonts w:cs="Arial"/>
                <w:b/>
                <w:bCs/>
                <w:color w:val="000000"/>
                <w:sz w:val="20"/>
                <w:szCs w:val="20"/>
                <w:lang w:val="en-US" w:eastAsia="en-US"/>
              </w:rPr>
            </w:pPr>
            <w:r w:rsidRPr="00551830">
              <w:rPr>
                <w:rFonts w:cs="Arial"/>
                <w:b/>
                <w:bCs/>
                <w:color w:val="000000"/>
                <w:sz w:val="20"/>
                <w:szCs w:val="20"/>
                <w:lang w:val="en-US" w:eastAsia="en-US"/>
              </w:rPr>
              <w:t>Unit cost</w:t>
            </w:r>
          </w:p>
        </w:tc>
        <w:tc>
          <w:tcPr>
            <w:tcW w:w="1559" w:type="dxa"/>
            <w:tcBorders>
              <w:top w:val="single" w:sz="8" w:space="0" w:color="auto"/>
              <w:left w:val="nil"/>
              <w:bottom w:val="single" w:sz="4" w:space="0" w:color="auto"/>
              <w:right w:val="single" w:sz="8" w:space="0" w:color="auto"/>
            </w:tcBorders>
            <w:shd w:val="clear" w:color="auto" w:fill="auto"/>
            <w:noWrap/>
            <w:vAlign w:val="center"/>
            <w:hideMark/>
          </w:tcPr>
          <w:p w14:paraId="6549BBE6" w14:textId="77777777" w:rsidR="00551830" w:rsidRPr="00551830" w:rsidRDefault="00551830" w:rsidP="00551830">
            <w:pPr>
              <w:jc w:val="center"/>
              <w:rPr>
                <w:rFonts w:cs="Arial"/>
                <w:b/>
                <w:bCs/>
                <w:color w:val="000000"/>
                <w:sz w:val="20"/>
                <w:szCs w:val="20"/>
                <w:lang w:val="en-US" w:eastAsia="en-US"/>
              </w:rPr>
            </w:pPr>
            <w:r w:rsidRPr="00551830">
              <w:rPr>
                <w:rFonts w:cs="Arial"/>
                <w:b/>
                <w:bCs/>
                <w:color w:val="000000"/>
                <w:sz w:val="20"/>
                <w:szCs w:val="20"/>
                <w:lang w:val="en-US" w:eastAsia="en-US"/>
              </w:rPr>
              <w:t>Total</w:t>
            </w:r>
          </w:p>
        </w:tc>
      </w:tr>
      <w:tr w:rsidR="00551830" w:rsidRPr="00551830" w14:paraId="4A1A3226" w14:textId="77777777" w:rsidTr="00E01546">
        <w:trPr>
          <w:trHeight w:val="300"/>
          <w:jc w:val="center"/>
        </w:trPr>
        <w:tc>
          <w:tcPr>
            <w:tcW w:w="3134" w:type="dxa"/>
            <w:tcBorders>
              <w:top w:val="nil"/>
              <w:left w:val="single" w:sz="8" w:space="0" w:color="auto"/>
              <w:bottom w:val="single" w:sz="4" w:space="0" w:color="auto"/>
              <w:right w:val="single" w:sz="4" w:space="0" w:color="auto"/>
            </w:tcBorders>
            <w:shd w:val="clear" w:color="auto" w:fill="auto"/>
            <w:noWrap/>
            <w:vAlign w:val="center"/>
            <w:hideMark/>
          </w:tcPr>
          <w:p w14:paraId="7F0B346B" w14:textId="77777777" w:rsidR="00551830" w:rsidRPr="00551830" w:rsidRDefault="00551830" w:rsidP="00551830">
            <w:pPr>
              <w:rPr>
                <w:rFonts w:cs="Arial"/>
                <w:color w:val="000000"/>
                <w:sz w:val="20"/>
                <w:szCs w:val="20"/>
                <w:lang w:val="en-US" w:eastAsia="en-US"/>
              </w:rPr>
            </w:pPr>
            <w:r w:rsidRPr="00551830">
              <w:rPr>
                <w:rFonts w:cs="Arial"/>
                <w:color w:val="000000"/>
                <w:sz w:val="20"/>
                <w:szCs w:val="20"/>
                <w:lang w:val="en-US" w:eastAsia="en-US"/>
              </w:rPr>
              <w:t>Ear toilet</w:t>
            </w:r>
          </w:p>
        </w:tc>
        <w:tc>
          <w:tcPr>
            <w:tcW w:w="1617" w:type="dxa"/>
            <w:tcBorders>
              <w:top w:val="nil"/>
              <w:left w:val="nil"/>
              <w:bottom w:val="single" w:sz="4" w:space="0" w:color="auto"/>
              <w:right w:val="single" w:sz="4" w:space="0" w:color="auto"/>
            </w:tcBorders>
            <w:shd w:val="clear" w:color="auto" w:fill="auto"/>
            <w:noWrap/>
            <w:vAlign w:val="center"/>
            <w:hideMark/>
          </w:tcPr>
          <w:p w14:paraId="6BE6D82B" w14:textId="77777777" w:rsidR="00551830" w:rsidRPr="00551830" w:rsidRDefault="00551830" w:rsidP="00551830">
            <w:pPr>
              <w:jc w:val="center"/>
              <w:rPr>
                <w:rFonts w:cs="Arial"/>
                <w:color w:val="000000"/>
                <w:sz w:val="20"/>
                <w:szCs w:val="20"/>
                <w:lang w:val="en-US" w:eastAsia="en-US"/>
              </w:rPr>
            </w:pPr>
            <w:r w:rsidRPr="00551830">
              <w:rPr>
                <w:rFonts w:cs="Arial"/>
                <w:color w:val="000000"/>
                <w:sz w:val="20"/>
                <w:szCs w:val="20"/>
                <w:lang w:val="en-US" w:eastAsia="en-US"/>
              </w:rPr>
              <w:t>41647</w:t>
            </w:r>
          </w:p>
        </w:tc>
        <w:tc>
          <w:tcPr>
            <w:tcW w:w="1162" w:type="dxa"/>
            <w:tcBorders>
              <w:top w:val="nil"/>
              <w:left w:val="nil"/>
              <w:bottom w:val="single" w:sz="4" w:space="0" w:color="auto"/>
              <w:right w:val="single" w:sz="4" w:space="0" w:color="auto"/>
            </w:tcBorders>
            <w:shd w:val="clear" w:color="auto" w:fill="auto"/>
            <w:noWrap/>
            <w:vAlign w:val="center"/>
            <w:hideMark/>
          </w:tcPr>
          <w:p w14:paraId="11FFC7A9" w14:textId="77777777" w:rsidR="00551830" w:rsidRPr="00551830" w:rsidRDefault="00551830" w:rsidP="00551830">
            <w:pPr>
              <w:jc w:val="center"/>
              <w:rPr>
                <w:rFonts w:cs="Arial"/>
                <w:color w:val="000000"/>
                <w:sz w:val="20"/>
                <w:szCs w:val="20"/>
                <w:lang w:val="en-US" w:eastAsia="en-US"/>
              </w:rPr>
            </w:pPr>
            <w:r w:rsidRPr="00551830">
              <w:rPr>
                <w:rFonts w:cs="Arial"/>
                <w:color w:val="000000"/>
                <w:sz w:val="20"/>
                <w:szCs w:val="20"/>
                <w:lang w:val="en-US" w:eastAsia="en-US"/>
              </w:rPr>
              <w:t>1</w:t>
            </w:r>
          </w:p>
        </w:tc>
        <w:tc>
          <w:tcPr>
            <w:tcW w:w="1757" w:type="dxa"/>
            <w:tcBorders>
              <w:top w:val="nil"/>
              <w:left w:val="nil"/>
              <w:bottom w:val="single" w:sz="4" w:space="0" w:color="auto"/>
              <w:right w:val="single" w:sz="4" w:space="0" w:color="auto"/>
            </w:tcBorders>
            <w:shd w:val="clear" w:color="auto" w:fill="auto"/>
            <w:noWrap/>
            <w:vAlign w:val="center"/>
            <w:hideMark/>
          </w:tcPr>
          <w:p w14:paraId="1C9B5060" w14:textId="77777777" w:rsidR="00551830" w:rsidRPr="00551830" w:rsidRDefault="00551830" w:rsidP="00551830">
            <w:pPr>
              <w:rPr>
                <w:rFonts w:cs="Arial"/>
                <w:color w:val="000000"/>
                <w:sz w:val="20"/>
                <w:szCs w:val="20"/>
                <w:lang w:val="en-US" w:eastAsia="en-US"/>
              </w:rPr>
            </w:pPr>
            <w:r w:rsidRPr="00551830">
              <w:rPr>
                <w:rFonts w:cs="Arial"/>
                <w:color w:val="000000"/>
                <w:sz w:val="20"/>
                <w:szCs w:val="20"/>
                <w:lang w:val="en-US" w:eastAsia="en-US"/>
              </w:rPr>
              <w:t xml:space="preserve"> AUD  109,90 </w:t>
            </w:r>
          </w:p>
        </w:tc>
        <w:tc>
          <w:tcPr>
            <w:tcW w:w="1559" w:type="dxa"/>
            <w:tcBorders>
              <w:top w:val="nil"/>
              <w:left w:val="nil"/>
              <w:bottom w:val="single" w:sz="4" w:space="0" w:color="auto"/>
              <w:right w:val="single" w:sz="8" w:space="0" w:color="auto"/>
            </w:tcBorders>
            <w:shd w:val="clear" w:color="auto" w:fill="auto"/>
            <w:noWrap/>
            <w:vAlign w:val="center"/>
            <w:hideMark/>
          </w:tcPr>
          <w:p w14:paraId="0D672C46" w14:textId="77777777" w:rsidR="00551830" w:rsidRPr="00551830" w:rsidRDefault="00551830" w:rsidP="00551830">
            <w:pPr>
              <w:rPr>
                <w:rFonts w:cs="Arial"/>
                <w:color w:val="000000"/>
                <w:sz w:val="20"/>
                <w:szCs w:val="20"/>
                <w:lang w:val="en-US" w:eastAsia="en-US"/>
              </w:rPr>
            </w:pPr>
            <w:r w:rsidRPr="00551830">
              <w:rPr>
                <w:rFonts w:cs="Arial"/>
                <w:color w:val="000000"/>
                <w:sz w:val="20"/>
                <w:szCs w:val="20"/>
                <w:lang w:val="en-US" w:eastAsia="en-US"/>
              </w:rPr>
              <w:t xml:space="preserve"> AUD   109,90 </w:t>
            </w:r>
          </w:p>
        </w:tc>
      </w:tr>
      <w:tr w:rsidR="00551830" w:rsidRPr="00551830" w14:paraId="091275B8" w14:textId="77777777" w:rsidTr="00E01546">
        <w:trPr>
          <w:trHeight w:val="300"/>
          <w:jc w:val="center"/>
        </w:trPr>
        <w:tc>
          <w:tcPr>
            <w:tcW w:w="3134" w:type="dxa"/>
            <w:tcBorders>
              <w:top w:val="nil"/>
              <w:left w:val="single" w:sz="8" w:space="0" w:color="auto"/>
              <w:bottom w:val="single" w:sz="4" w:space="0" w:color="auto"/>
              <w:right w:val="single" w:sz="4" w:space="0" w:color="auto"/>
            </w:tcBorders>
            <w:shd w:val="clear" w:color="auto" w:fill="auto"/>
            <w:noWrap/>
            <w:vAlign w:val="center"/>
            <w:hideMark/>
          </w:tcPr>
          <w:p w14:paraId="6A02C8E6" w14:textId="77777777" w:rsidR="00551830" w:rsidRPr="00551830" w:rsidRDefault="00551830" w:rsidP="00551830">
            <w:pPr>
              <w:rPr>
                <w:rFonts w:cs="Arial"/>
                <w:color w:val="000000"/>
                <w:sz w:val="20"/>
                <w:szCs w:val="20"/>
                <w:lang w:val="en-US" w:eastAsia="en-US"/>
              </w:rPr>
            </w:pPr>
            <w:r w:rsidRPr="00551830">
              <w:rPr>
                <w:rFonts w:cs="Arial"/>
                <w:color w:val="000000"/>
                <w:sz w:val="20"/>
                <w:szCs w:val="20"/>
                <w:lang w:val="en-US" w:eastAsia="en-US"/>
              </w:rPr>
              <w:t>Removal of exostoses</w:t>
            </w:r>
          </w:p>
        </w:tc>
        <w:tc>
          <w:tcPr>
            <w:tcW w:w="1617" w:type="dxa"/>
            <w:tcBorders>
              <w:top w:val="nil"/>
              <w:left w:val="nil"/>
              <w:bottom w:val="single" w:sz="4" w:space="0" w:color="auto"/>
              <w:right w:val="single" w:sz="4" w:space="0" w:color="auto"/>
            </w:tcBorders>
            <w:shd w:val="clear" w:color="auto" w:fill="auto"/>
            <w:noWrap/>
            <w:vAlign w:val="center"/>
            <w:hideMark/>
          </w:tcPr>
          <w:p w14:paraId="07E20B61" w14:textId="77777777" w:rsidR="00551830" w:rsidRPr="00551830" w:rsidRDefault="00551830" w:rsidP="00551830">
            <w:pPr>
              <w:jc w:val="center"/>
              <w:rPr>
                <w:rFonts w:cs="Arial"/>
                <w:color w:val="000000"/>
                <w:sz w:val="20"/>
                <w:szCs w:val="20"/>
                <w:lang w:val="en-US" w:eastAsia="en-US"/>
              </w:rPr>
            </w:pPr>
            <w:r w:rsidRPr="00551830">
              <w:rPr>
                <w:rFonts w:cs="Arial"/>
                <w:color w:val="000000"/>
                <w:sz w:val="20"/>
                <w:szCs w:val="20"/>
                <w:lang w:val="en-US" w:eastAsia="en-US"/>
              </w:rPr>
              <w:t>41518</w:t>
            </w:r>
          </w:p>
        </w:tc>
        <w:tc>
          <w:tcPr>
            <w:tcW w:w="1162" w:type="dxa"/>
            <w:tcBorders>
              <w:top w:val="nil"/>
              <w:left w:val="nil"/>
              <w:bottom w:val="single" w:sz="4" w:space="0" w:color="auto"/>
              <w:right w:val="single" w:sz="4" w:space="0" w:color="auto"/>
            </w:tcBorders>
            <w:shd w:val="clear" w:color="auto" w:fill="auto"/>
            <w:noWrap/>
            <w:vAlign w:val="center"/>
            <w:hideMark/>
          </w:tcPr>
          <w:p w14:paraId="05DB4A54" w14:textId="77777777" w:rsidR="00551830" w:rsidRPr="00551830" w:rsidRDefault="00551830" w:rsidP="00551830">
            <w:pPr>
              <w:jc w:val="center"/>
              <w:rPr>
                <w:rFonts w:cs="Arial"/>
                <w:color w:val="000000"/>
                <w:sz w:val="20"/>
                <w:szCs w:val="20"/>
                <w:lang w:val="en-US" w:eastAsia="en-US"/>
              </w:rPr>
            </w:pPr>
            <w:r w:rsidRPr="00551830">
              <w:rPr>
                <w:rFonts w:cs="Arial"/>
                <w:color w:val="000000"/>
                <w:sz w:val="20"/>
                <w:szCs w:val="20"/>
                <w:lang w:val="en-US" w:eastAsia="en-US"/>
              </w:rPr>
              <w:t>1</w:t>
            </w:r>
          </w:p>
        </w:tc>
        <w:tc>
          <w:tcPr>
            <w:tcW w:w="1757" w:type="dxa"/>
            <w:tcBorders>
              <w:top w:val="nil"/>
              <w:left w:val="nil"/>
              <w:bottom w:val="single" w:sz="4" w:space="0" w:color="auto"/>
              <w:right w:val="single" w:sz="4" w:space="0" w:color="auto"/>
            </w:tcBorders>
            <w:shd w:val="clear" w:color="auto" w:fill="auto"/>
            <w:noWrap/>
            <w:vAlign w:val="center"/>
            <w:hideMark/>
          </w:tcPr>
          <w:p w14:paraId="48BF33EF" w14:textId="77777777" w:rsidR="00551830" w:rsidRPr="00551830" w:rsidRDefault="00551830" w:rsidP="00551830">
            <w:pPr>
              <w:rPr>
                <w:rFonts w:cs="Arial"/>
                <w:color w:val="000000"/>
                <w:sz w:val="20"/>
                <w:szCs w:val="20"/>
                <w:lang w:val="en-US" w:eastAsia="en-US"/>
              </w:rPr>
            </w:pPr>
            <w:r w:rsidRPr="00551830">
              <w:rPr>
                <w:rFonts w:cs="Arial"/>
                <w:color w:val="000000"/>
                <w:sz w:val="20"/>
                <w:szCs w:val="20"/>
                <w:lang w:val="en-US" w:eastAsia="en-US"/>
              </w:rPr>
              <w:t xml:space="preserve"> AUD  928,00 </w:t>
            </w:r>
          </w:p>
        </w:tc>
        <w:tc>
          <w:tcPr>
            <w:tcW w:w="1559" w:type="dxa"/>
            <w:tcBorders>
              <w:top w:val="nil"/>
              <w:left w:val="nil"/>
              <w:bottom w:val="single" w:sz="4" w:space="0" w:color="auto"/>
              <w:right w:val="single" w:sz="8" w:space="0" w:color="auto"/>
            </w:tcBorders>
            <w:shd w:val="clear" w:color="auto" w:fill="auto"/>
            <w:noWrap/>
            <w:vAlign w:val="center"/>
            <w:hideMark/>
          </w:tcPr>
          <w:p w14:paraId="6A38333C" w14:textId="77777777" w:rsidR="00551830" w:rsidRPr="00551830" w:rsidRDefault="00551830" w:rsidP="00551830">
            <w:pPr>
              <w:rPr>
                <w:rFonts w:cs="Arial"/>
                <w:color w:val="000000"/>
                <w:sz w:val="20"/>
                <w:szCs w:val="20"/>
                <w:lang w:val="en-US" w:eastAsia="en-US"/>
              </w:rPr>
            </w:pPr>
            <w:r w:rsidRPr="00551830">
              <w:rPr>
                <w:rFonts w:cs="Arial"/>
                <w:color w:val="000000"/>
                <w:sz w:val="20"/>
                <w:szCs w:val="20"/>
                <w:lang w:val="en-US" w:eastAsia="en-US"/>
              </w:rPr>
              <w:t xml:space="preserve"> AUD   928,00 </w:t>
            </w:r>
          </w:p>
        </w:tc>
      </w:tr>
      <w:tr w:rsidR="00551830" w:rsidRPr="00551830" w14:paraId="1F2BC59C" w14:textId="77777777" w:rsidTr="00E01546">
        <w:trPr>
          <w:trHeight w:val="315"/>
          <w:jc w:val="center"/>
        </w:trPr>
        <w:tc>
          <w:tcPr>
            <w:tcW w:w="3134" w:type="dxa"/>
            <w:tcBorders>
              <w:top w:val="nil"/>
              <w:left w:val="single" w:sz="8" w:space="0" w:color="auto"/>
              <w:bottom w:val="double" w:sz="6" w:space="0" w:color="auto"/>
              <w:right w:val="single" w:sz="4" w:space="0" w:color="auto"/>
            </w:tcBorders>
            <w:shd w:val="clear" w:color="auto" w:fill="auto"/>
            <w:noWrap/>
            <w:vAlign w:val="center"/>
            <w:hideMark/>
          </w:tcPr>
          <w:p w14:paraId="243ABD0E" w14:textId="77777777" w:rsidR="00551830" w:rsidRPr="00551830" w:rsidRDefault="00551830" w:rsidP="00551830">
            <w:pPr>
              <w:rPr>
                <w:rFonts w:cs="Arial"/>
                <w:color w:val="000000"/>
                <w:sz w:val="20"/>
                <w:szCs w:val="20"/>
                <w:lang w:val="en-US" w:eastAsia="en-US"/>
              </w:rPr>
            </w:pPr>
            <w:r w:rsidRPr="00551830">
              <w:rPr>
                <w:rFonts w:cs="Arial"/>
                <w:color w:val="000000"/>
                <w:sz w:val="20"/>
                <w:szCs w:val="20"/>
                <w:lang w:val="en-US" w:eastAsia="en-US"/>
              </w:rPr>
              <w:t>Syringing (with GP assisstance)</w:t>
            </w:r>
          </w:p>
        </w:tc>
        <w:tc>
          <w:tcPr>
            <w:tcW w:w="1617" w:type="dxa"/>
            <w:tcBorders>
              <w:top w:val="single" w:sz="4" w:space="0" w:color="auto"/>
              <w:left w:val="single" w:sz="4" w:space="0" w:color="auto"/>
              <w:bottom w:val="double" w:sz="6" w:space="0" w:color="auto"/>
              <w:right w:val="single" w:sz="4" w:space="0" w:color="auto"/>
            </w:tcBorders>
            <w:shd w:val="clear" w:color="auto" w:fill="auto"/>
            <w:noWrap/>
            <w:vAlign w:val="center"/>
            <w:hideMark/>
          </w:tcPr>
          <w:p w14:paraId="7C73982D" w14:textId="77777777" w:rsidR="00551830" w:rsidRPr="00551830" w:rsidRDefault="00551830" w:rsidP="00551830">
            <w:pPr>
              <w:jc w:val="center"/>
              <w:rPr>
                <w:rFonts w:cs="Arial"/>
                <w:color w:val="000000"/>
                <w:sz w:val="20"/>
                <w:szCs w:val="20"/>
                <w:lang w:val="en-US" w:eastAsia="en-US"/>
              </w:rPr>
            </w:pPr>
            <w:r w:rsidRPr="00551830">
              <w:rPr>
                <w:rFonts w:cs="Arial"/>
                <w:color w:val="000000"/>
                <w:sz w:val="20"/>
                <w:szCs w:val="20"/>
                <w:lang w:val="en-US" w:eastAsia="en-US"/>
              </w:rPr>
              <w:t>23</w:t>
            </w:r>
          </w:p>
        </w:tc>
        <w:tc>
          <w:tcPr>
            <w:tcW w:w="1162" w:type="dxa"/>
            <w:tcBorders>
              <w:top w:val="single" w:sz="4" w:space="0" w:color="auto"/>
              <w:left w:val="nil"/>
              <w:bottom w:val="double" w:sz="6" w:space="0" w:color="auto"/>
              <w:right w:val="single" w:sz="4" w:space="0" w:color="auto"/>
            </w:tcBorders>
            <w:shd w:val="clear" w:color="auto" w:fill="auto"/>
            <w:noWrap/>
            <w:vAlign w:val="center"/>
            <w:hideMark/>
          </w:tcPr>
          <w:p w14:paraId="79A1EB3C" w14:textId="77777777" w:rsidR="00551830" w:rsidRPr="00551830" w:rsidRDefault="00551830" w:rsidP="00551830">
            <w:pPr>
              <w:jc w:val="center"/>
              <w:rPr>
                <w:rFonts w:cs="Arial"/>
                <w:color w:val="000000"/>
                <w:sz w:val="20"/>
                <w:szCs w:val="20"/>
                <w:lang w:val="en-US" w:eastAsia="en-US"/>
              </w:rPr>
            </w:pPr>
            <w:r w:rsidRPr="00551830">
              <w:rPr>
                <w:rFonts w:cs="Arial"/>
                <w:color w:val="000000"/>
                <w:sz w:val="20"/>
                <w:szCs w:val="20"/>
                <w:lang w:val="en-US" w:eastAsia="en-US"/>
              </w:rPr>
              <w:t>1</w:t>
            </w:r>
          </w:p>
        </w:tc>
        <w:tc>
          <w:tcPr>
            <w:tcW w:w="1757" w:type="dxa"/>
            <w:tcBorders>
              <w:top w:val="single" w:sz="4" w:space="0" w:color="auto"/>
              <w:left w:val="nil"/>
              <w:bottom w:val="double" w:sz="6" w:space="0" w:color="auto"/>
              <w:right w:val="single" w:sz="4" w:space="0" w:color="auto"/>
            </w:tcBorders>
            <w:shd w:val="clear" w:color="auto" w:fill="auto"/>
            <w:noWrap/>
            <w:vAlign w:val="center"/>
            <w:hideMark/>
          </w:tcPr>
          <w:p w14:paraId="53CA446C" w14:textId="24A53C38" w:rsidR="00551830" w:rsidRPr="00551830" w:rsidRDefault="00551830" w:rsidP="00551830">
            <w:pPr>
              <w:rPr>
                <w:rFonts w:cs="Arial"/>
                <w:color w:val="000000"/>
                <w:sz w:val="20"/>
                <w:szCs w:val="20"/>
                <w:lang w:val="en-US" w:eastAsia="en-US"/>
              </w:rPr>
            </w:pPr>
            <w:r w:rsidRPr="00551830">
              <w:rPr>
                <w:rFonts w:cs="Arial"/>
                <w:color w:val="000000"/>
                <w:sz w:val="20"/>
                <w:szCs w:val="20"/>
                <w:lang w:val="en-US" w:eastAsia="en-US"/>
              </w:rPr>
              <w:t xml:space="preserve"> AUD   37,05 </w:t>
            </w:r>
          </w:p>
        </w:tc>
        <w:tc>
          <w:tcPr>
            <w:tcW w:w="1559" w:type="dxa"/>
            <w:tcBorders>
              <w:top w:val="nil"/>
              <w:left w:val="single" w:sz="4" w:space="0" w:color="auto"/>
              <w:bottom w:val="double" w:sz="6" w:space="0" w:color="auto"/>
              <w:right w:val="single" w:sz="8" w:space="0" w:color="auto"/>
            </w:tcBorders>
            <w:shd w:val="clear" w:color="auto" w:fill="auto"/>
            <w:noWrap/>
            <w:vAlign w:val="center"/>
            <w:hideMark/>
          </w:tcPr>
          <w:p w14:paraId="11AFC52B" w14:textId="1FB9E23D" w:rsidR="00551830" w:rsidRPr="00551830" w:rsidRDefault="00551830" w:rsidP="00C7683B">
            <w:pPr>
              <w:rPr>
                <w:rFonts w:cs="Arial"/>
                <w:color w:val="000000"/>
                <w:sz w:val="20"/>
                <w:szCs w:val="20"/>
                <w:lang w:val="en-US" w:eastAsia="en-US"/>
              </w:rPr>
            </w:pPr>
            <w:r w:rsidRPr="00551830">
              <w:rPr>
                <w:rFonts w:cs="Arial"/>
                <w:color w:val="000000"/>
                <w:sz w:val="20"/>
                <w:szCs w:val="20"/>
                <w:lang w:val="en-US" w:eastAsia="en-US"/>
              </w:rPr>
              <w:t xml:space="preserve"> AUD   37,05 </w:t>
            </w:r>
          </w:p>
        </w:tc>
      </w:tr>
      <w:tr w:rsidR="00551830" w:rsidRPr="00551830" w14:paraId="47D080A9" w14:textId="77777777" w:rsidTr="00E01546">
        <w:trPr>
          <w:trHeight w:val="315"/>
          <w:jc w:val="center"/>
        </w:trPr>
        <w:tc>
          <w:tcPr>
            <w:tcW w:w="3134" w:type="dxa"/>
            <w:tcBorders>
              <w:top w:val="nil"/>
              <w:left w:val="single" w:sz="8" w:space="0" w:color="auto"/>
              <w:bottom w:val="single" w:sz="4" w:space="0" w:color="auto"/>
              <w:right w:val="single" w:sz="4" w:space="0" w:color="auto"/>
            </w:tcBorders>
            <w:shd w:val="clear" w:color="auto" w:fill="auto"/>
            <w:noWrap/>
            <w:vAlign w:val="center"/>
            <w:hideMark/>
          </w:tcPr>
          <w:p w14:paraId="6D48B3FB" w14:textId="77777777" w:rsidR="00551830" w:rsidRPr="00551830" w:rsidRDefault="00551830" w:rsidP="00551830">
            <w:pPr>
              <w:rPr>
                <w:rFonts w:cs="Arial"/>
                <w:color w:val="000000"/>
                <w:sz w:val="20"/>
                <w:szCs w:val="20"/>
                <w:lang w:val="en-US" w:eastAsia="en-US"/>
              </w:rPr>
            </w:pPr>
            <w:r w:rsidRPr="00551830">
              <w:rPr>
                <w:rFonts w:cs="Arial"/>
                <w:color w:val="000000"/>
                <w:sz w:val="20"/>
                <w:szCs w:val="20"/>
                <w:lang w:val="en-US" w:eastAsia="en-US"/>
              </w:rPr>
              <w:t>Recurring otitis externa</w:t>
            </w:r>
          </w:p>
        </w:tc>
        <w:tc>
          <w:tcPr>
            <w:tcW w:w="1617" w:type="dxa"/>
            <w:tcBorders>
              <w:top w:val="nil"/>
              <w:left w:val="single" w:sz="4" w:space="0" w:color="auto"/>
              <w:bottom w:val="single" w:sz="4" w:space="0" w:color="auto"/>
              <w:right w:val="single" w:sz="4" w:space="0" w:color="auto"/>
            </w:tcBorders>
            <w:shd w:val="clear" w:color="auto" w:fill="auto"/>
            <w:noWrap/>
            <w:vAlign w:val="center"/>
            <w:hideMark/>
          </w:tcPr>
          <w:p w14:paraId="192D9ADF" w14:textId="77777777" w:rsidR="00551830" w:rsidRPr="00551830" w:rsidRDefault="00551830" w:rsidP="00551830">
            <w:pPr>
              <w:rPr>
                <w:rFonts w:cs="Arial"/>
                <w:color w:val="000000"/>
                <w:sz w:val="20"/>
                <w:szCs w:val="20"/>
                <w:lang w:val="en-US" w:eastAsia="en-US"/>
              </w:rPr>
            </w:pPr>
            <w:r w:rsidRPr="00551830">
              <w:rPr>
                <w:rFonts w:cs="Arial"/>
                <w:color w:val="000000"/>
                <w:sz w:val="20"/>
                <w:szCs w:val="20"/>
                <w:lang w:val="en-US" w:eastAsia="en-US"/>
              </w:rPr>
              <w:t> </w:t>
            </w:r>
          </w:p>
        </w:tc>
        <w:tc>
          <w:tcPr>
            <w:tcW w:w="1162" w:type="dxa"/>
            <w:tcBorders>
              <w:top w:val="nil"/>
              <w:left w:val="nil"/>
              <w:bottom w:val="single" w:sz="4" w:space="0" w:color="auto"/>
              <w:right w:val="single" w:sz="4" w:space="0" w:color="auto"/>
            </w:tcBorders>
            <w:shd w:val="clear" w:color="auto" w:fill="auto"/>
            <w:noWrap/>
            <w:vAlign w:val="center"/>
            <w:hideMark/>
          </w:tcPr>
          <w:p w14:paraId="059B2C11" w14:textId="77777777" w:rsidR="00551830" w:rsidRPr="00551830" w:rsidRDefault="00551830" w:rsidP="00551830">
            <w:pPr>
              <w:jc w:val="center"/>
              <w:rPr>
                <w:rFonts w:cs="Arial"/>
                <w:color w:val="000000"/>
                <w:sz w:val="20"/>
                <w:szCs w:val="20"/>
                <w:lang w:val="en-US" w:eastAsia="en-US"/>
              </w:rPr>
            </w:pPr>
            <w:r w:rsidRPr="00551830">
              <w:rPr>
                <w:rFonts w:cs="Arial"/>
                <w:color w:val="000000"/>
                <w:sz w:val="20"/>
                <w:szCs w:val="20"/>
                <w:lang w:val="en-US" w:eastAsia="en-US"/>
              </w:rPr>
              <w:t>1</w:t>
            </w:r>
          </w:p>
        </w:tc>
        <w:tc>
          <w:tcPr>
            <w:tcW w:w="1757" w:type="dxa"/>
            <w:tcBorders>
              <w:top w:val="nil"/>
              <w:left w:val="nil"/>
              <w:bottom w:val="single" w:sz="4" w:space="0" w:color="auto"/>
              <w:right w:val="single" w:sz="4" w:space="0" w:color="auto"/>
            </w:tcBorders>
            <w:shd w:val="clear" w:color="auto" w:fill="auto"/>
            <w:noWrap/>
            <w:vAlign w:val="center"/>
            <w:hideMark/>
          </w:tcPr>
          <w:p w14:paraId="2CF62D7E" w14:textId="77777777" w:rsidR="00551830" w:rsidRPr="00551830" w:rsidRDefault="00551830" w:rsidP="00551830">
            <w:pPr>
              <w:rPr>
                <w:rFonts w:cs="Arial"/>
                <w:color w:val="000000"/>
                <w:sz w:val="20"/>
                <w:szCs w:val="20"/>
                <w:lang w:val="en-US" w:eastAsia="en-US"/>
              </w:rPr>
            </w:pPr>
            <w:r w:rsidRPr="00551830">
              <w:rPr>
                <w:rFonts w:cs="Arial"/>
                <w:color w:val="000000"/>
                <w:sz w:val="20"/>
                <w:szCs w:val="20"/>
                <w:lang w:val="en-US" w:eastAsia="en-US"/>
              </w:rPr>
              <w:t xml:space="preserve"> AUD  109,90 </w:t>
            </w:r>
          </w:p>
        </w:tc>
        <w:tc>
          <w:tcPr>
            <w:tcW w:w="1559" w:type="dxa"/>
            <w:tcBorders>
              <w:top w:val="nil"/>
              <w:left w:val="single" w:sz="4" w:space="0" w:color="auto"/>
              <w:bottom w:val="single" w:sz="4" w:space="0" w:color="auto"/>
              <w:right w:val="single" w:sz="8" w:space="0" w:color="auto"/>
            </w:tcBorders>
            <w:shd w:val="clear" w:color="auto" w:fill="auto"/>
            <w:noWrap/>
            <w:vAlign w:val="center"/>
            <w:hideMark/>
          </w:tcPr>
          <w:p w14:paraId="7B3BFFC7" w14:textId="77777777" w:rsidR="00551830" w:rsidRPr="00551830" w:rsidRDefault="00551830" w:rsidP="00551830">
            <w:pPr>
              <w:rPr>
                <w:rFonts w:cs="Arial"/>
                <w:color w:val="000000"/>
                <w:sz w:val="20"/>
                <w:szCs w:val="20"/>
                <w:lang w:val="en-US" w:eastAsia="en-US"/>
              </w:rPr>
            </w:pPr>
            <w:r w:rsidRPr="00551830">
              <w:rPr>
                <w:rFonts w:cs="Arial"/>
                <w:color w:val="000000"/>
                <w:sz w:val="20"/>
                <w:szCs w:val="20"/>
                <w:lang w:val="en-US" w:eastAsia="en-US"/>
              </w:rPr>
              <w:t xml:space="preserve"> AUD   109,90 </w:t>
            </w:r>
          </w:p>
        </w:tc>
      </w:tr>
      <w:tr w:rsidR="00551830" w:rsidRPr="00551830" w14:paraId="5EFAF28D" w14:textId="77777777" w:rsidTr="00E01546">
        <w:trPr>
          <w:trHeight w:val="300"/>
          <w:jc w:val="center"/>
        </w:trPr>
        <w:tc>
          <w:tcPr>
            <w:tcW w:w="3134" w:type="dxa"/>
            <w:tcBorders>
              <w:top w:val="nil"/>
              <w:left w:val="single" w:sz="8" w:space="0" w:color="auto"/>
              <w:bottom w:val="single" w:sz="4" w:space="0" w:color="auto"/>
              <w:right w:val="single" w:sz="4" w:space="0" w:color="auto"/>
            </w:tcBorders>
            <w:shd w:val="clear" w:color="auto" w:fill="auto"/>
            <w:noWrap/>
            <w:vAlign w:val="center"/>
            <w:hideMark/>
          </w:tcPr>
          <w:p w14:paraId="24E4A78A" w14:textId="77777777" w:rsidR="00551830" w:rsidRPr="00551830" w:rsidRDefault="00551830" w:rsidP="00551830">
            <w:pPr>
              <w:rPr>
                <w:rFonts w:cs="Arial"/>
                <w:color w:val="000000"/>
                <w:sz w:val="20"/>
                <w:szCs w:val="20"/>
                <w:lang w:val="en-US" w:eastAsia="en-US"/>
              </w:rPr>
            </w:pPr>
            <w:r w:rsidRPr="00551830">
              <w:rPr>
                <w:rFonts w:cs="Arial"/>
                <w:color w:val="000000"/>
                <w:sz w:val="20"/>
                <w:szCs w:val="20"/>
                <w:lang w:val="en-US" w:eastAsia="en-US"/>
              </w:rPr>
              <w:t>Recurring exostoses</w:t>
            </w:r>
          </w:p>
        </w:tc>
        <w:tc>
          <w:tcPr>
            <w:tcW w:w="1617" w:type="dxa"/>
            <w:tcBorders>
              <w:top w:val="single" w:sz="4" w:space="0" w:color="auto"/>
              <w:left w:val="nil"/>
              <w:bottom w:val="single" w:sz="4" w:space="0" w:color="auto"/>
              <w:right w:val="single" w:sz="4" w:space="0" w:color="auto"/>
            </w:tcBorders>
            <w:shd w:val="clear" w:color="auto" w:fill="auto"/>
            <w:noWrap/>
            <w:vAlign w:val="center"/>
            <w:hideMark/>
          </w:tcPr>
          <w:p w14:paraId="72FC324B" w14:textId="77777777" w:rsidR="00551830" w:rsidRPr="00551830" w:rsidRDefault="00551830" w:rsidP="00551830">
            <w:pPr>
              <w:rPr>
                <w:rFonts w:cs="Arial"/>
                <w:color w:val="000000"/>
                <w:sz w:val="20"/>
                <w:szCs w:val="20"/>
                <w:lang w:val="en-US" w:eastAsia="en-US"/>
              </w:rPr>
            </w:pPr>
            <w:r w:rsidRPr="00551830">
              <w:rPr>
                <w:rFonts w:cs="Arial"/>
                <w:color w:val="000000"/>
                <w:sz w:val="20"/>
                <w:szCs w:val="20"/>
                <w:lang w:val="en-US" w:eastAsia="en-US"/>
              </w:rPr>
              <w:t> </w:t>
            </w:r>
          </w:p>
        </w:tc>
        <w:tc>
          <w:tcPr>
            <w:tcW w:w="1162" w:type="dxa"/>
            <w:tcBorders>
              <w:top w:val="single" w:sz="4" w:space="0" w:color="auto"/>
              <w:left w:val="nil"/>
              <w:bottom w:val="single" w:sz="4" w:space="0" w:color="auto"/>
              <w:right w:val="single" w:sz="4" w:space="0" w:color="auto"/>
            </w:tcBorders>
            <w:shd w:val="clear" w:color="auto" w:fill="auto"/>
            <w:noWrap/>
            <w:vAlign w:val="center"/>
            <w:hideMark/>
          </w:tcPr>
          <w:p w14:paraId="50226D4B" w14:textId="77777777" w:rsidR="00551830" w:rsidRPr="00551830" w:rsidRDefault="00551830" w:rsidP="00551830">
            <w:pPr>
              <w:jc w:val="center"/>
              <w:rPr>
                <w:rFonts w:cs="Arial"/>
                <w:color w:val="000000"/>
                <w:sz w:val="20"/>
                <w:szCs w:val="20"/>
                <w:lang w:val="en-US" w:eastAsia="en-US"/>
              </w:rPr>
            </w:pPr>
            <w:r w:rsidRPr="00551830">
              <w:rPr>
                <w:rFonts w:cs="Arial"/>
                <w:color w:val="000000"/>
                <w:sz w:val="20"/>
                <w:szCs w:val="20"/>
                <w:lang w:val="en-US" w:eastAsia="en-US"/>
              </w:rPr>
              <w:t>0,023005</w:t>
            </w:r>
          </w:p>
        </w:tc>
        <w:tc>
          <w:tcPr>
            <w:tcW w:w="1757" w:type="dxa"/>
            <w:tcBorders>
              <w:top w:val="single" w:sz="4" w:space="0" w:color="auto"/>
              <w:left w:val="nil"/>
              <w:bottom w:val="single" w:sz="4" w:space="0" w:color="auto"/>
              <w:right w:val="single" w:sz="4" w:space="0" w:color="auto"/>
            </w:tcBorders>
            <w:shd w:val="clear" w:color="auto" w:fill="auto"/>
            <w:noWrap/>
            <w:vAlign w:val="center"/>
            <w:hideMark/>
          </w:tcPr>
          <w:p w14:paraId="53C7AE70" w14:textId="392913CE" w:rsidR="00551830" w:rsidRPr="00551830" w:rsidRDefault="00551830" w:rsidP="00551830">
            <w:pPr>
              <w:rPr>
                <w:rFonts w:cs="Arial"/>
                <w:color w:val="000000"/>
                <w:sz w:val="20"/>
                <w:szCs w:val="20"/>
                <w:lang w:val="en-US" w:eastAsia="en-US"/>
              </w:rPr>
            </w:pPr>
            <w:r w:rsidRPr="00551830">
              <w:rPr>
                <w:rFonts w:cs="Arial"/>
                <w:color w:val="000000"/>
                <w:sz w:val="20"/>
                <w:szCs w:val="20"/>
                <w:lang w:val="en-US" w:eastAsia="en-US"/>
              </w:rPr>
              <w:t xml:space="preserve"> AUD   21,35 </w:t>
            </w:r>
          </w:p>
        </w:tc>
        <w:tc>
          <w:tcPr>
            <w:tcW w:w="1559" w:type="dxa"/>
            <w:tcBorders>
              <w:top w:val="nil"/>
              <w:left w:val="nil"/>
              <w:bottom w:val="single" w:sz="4" w:space="0" w:color="auto"/>
              <w:right w:val="single" w:sz="8" w:space="0" w:color="auto"/>
            </w:tcBorders>
            <w:shd w:val="clear" w:color="auto" w:fill="auto"/>
            <w:noWrap/>
            <w:vAlign w:val="center"/>
            <w:hideMark/>
          </w:tcPr>
          <w:p w14:paraId="2E7BD083" w14:textId="56693AFF" w:rsidR="00551830" w:rsidRPr="00551830" w:rsidRDefault="00551830" w:rsidP="00551830">
            <w:pPr>
              <w:rPr>
                <w:rFonts w:cs="Arial"/>
                <w:color w:val="000000"/>
                <w:sz w:val="20"/>
                <w:szCs w:val="20"/>
                <w:lang w:val="en-US" w:eastAsia="en-US"/>
              </w:rPr>
            </w:pPr>
            <w:r w:rsidRPr="00551830">
              <w:rPr>
                <w:rFonts w:cs="Arial"/>
                <w:color w:val="000000"/>
                <w:sz w:val="20"/>
                <w:szCs w:val="20"/>
                <w:lang w:val="en-US" w:eastAsia="en-US"/>
              </w:rPr>
              <w:t xml:space="preserve"> AUD   21,35 </w:t>
            </w:r>
          </w:p>
        </w:tc>
      </w:tr>
      <w:tr w:rsidR="00551830" w:rsidRPr="00551830" w14:paraId="64DD52B5" w14:textId="77777777" w:rsidTr="00E01546">
        <w:trPr>
          <w:trHeight w:val="300"/>
          <w:jc w:val="center"/>
        </w:trPr>
        <w:tc>
          <w:tcPr>
            <w:tcW w:w="3134" w:type="dxa"/>
            <w:tcBorders>
              <w:top w:val="nil"/>
              <w:left w:val="single" w:sz="8" w:space="0" w:color="auto"/>
              <w:bottom w:val="single" w:sz="4" w:space="0" w:color="auto"/>
              <w:right w:val="single" w:sz="4" w:space="0" w:color="auto"/>
            </w:tcBorders>
            <w:shd w:val="clear" w:color="auto" w:fill="auto"/>
            <w:noWrap/>
            <w:vAlign w:val="center"/>
            <w:hideMark/>
          </w:tcPr>
          <w:p w14:paraId="5C37F791" w14:textId="77777777" w:rsidR="00551830" w:rsidRPr="00551830" w:rsidRDefault="00551830" w:rsidP="00551830">
            <w:pPr>
              <w:rPr>
                <w:rFonts w:cs="Arial"/>
                <w:color w:val="000000"/>
                <w:sz w:val="20"/>
                <w:szCs w:val="20"/>
                <w:lang w:val="en-US" w:eastAsia="en-US"/>
              </w:rPr>
            </w:pPr>
            <w:r w:rsidRPr="00551830">
              <w:rPr>
                <w:rFonts w:cs="Arial"/>
                <w:color w:val="000000"/>
                <w:sz w:val="20"/>
                <w:szCs w:val="20"/>
                <w:lang w:val="en-US" w:eastAsia="en-US"/>
              </w:rPr>
              <w:t>Recurring earwax</w:t>
            </w:r>
          </w:p>
        </w:tc>
        <w:tc>
          <w:tcPr>
            <w:tcW w:w="1617" w:type="dxa"/>
            <w:tcBorders>
              <w:top w:val="nil"/>
              <w:left w:val="nil"/>
              <w:bottom w:val="single" w:sz="4" w:space="0" w:color="auto"/>
              <w:right w:val="single" w:sz="4" w:space="0" w:color="auto"/>
            </w:tcBorders>
            <w:shd w:val="clear" w:color="auto" w:fill="auto"/>
            <w:noWrap/>
            <w:vAlign w:val="center"/>
            <w:hideMark/>
          </w:tcPr>
          <w:p w14:paraId="6A21688A" w14:textId="77777777" w:rsidR="00551830" w:rsidRPr="00551830" w:rsidRDefault="00551830" w:rsidP="00551830">
            <w:pPr>
              <w:rPr>
                <w:rFonts w:cs="Arial"/>
                <w:color w:val="000000"/>
                <w:sz w:val="20"/>
                <w:szCs w:val="20"/>
                <w:lang w:val="en-US" w:eastAsia="en-US"/>
              </w:rPr>
            </w:pPr>
            <w:r w:rsidRPr="00551830">
              <w:rPr>
                <w:rFonts w:cs="Arial"/>
                <w:color w:val="000000"/>
                <w:sz w:val="20"/>
                <w:szCs w:val="20"/>
                <w:lang w:val="en-US" w:eastAsia="en-US"/>
              </w:rPr>
              <w:t> </w:t>
            </w:r>
          </w:p>
        </w:tc>
        <w:tc>
          <w:tcPr>
            <w:tcW w:w="1162" w:type="dxa"/>
            <w:tcBorders>
              <w:top w:val="nil"/>
              <w:left w:val="nil"/>
              <w:bottom w:val="single" w:sz="4" w:space="0" w:color="auto"/>
              <w:right w:val="single" w:sz="4" w:space="0" w:color="auto"/>
            </w:tcBorders>
            <w:shd w:val="clear" w:color="auto" w:fill="auto"/>
            <w:noWrap/>
            <w:vAlign w:val="center"/>
            <w:hideMark/>
          </w:tcPr>
          <w:p w14:paraId="1EB4616F" w14:textId="77777777" w:rsidR="00551830" w:rsidRPr="00551830" w:rsidRDefault="00551830" w:rsidP="00551830">
            <w:pPr>
              <w:jc w:val="center"/>
              <w:rPr>
                <w:rFonts w:cs="Arial"/>
                <w:color w:val="000000"/>
                <w:sz w:val="20"/>
                <w:szCs w:val="20"/>
                <w:lang w:val="en-US" w:eastAsia="en-US"/>
              </w:rPr>
            </w:pPr>
            <w:r w:rsidRPr="00551830">
              <w:rPr>
                <w:rFonts w:cs="Arial"/>
                <w:color w:val="000000"/>
                <w:sz w:val="20"/>
                <w:szCs w:val="20"/>
                <w:lang w:val="en-US" w:eastAsia="en-US"/>
              </w:rPr>
              <w:t>0,008131</w:t>
            </w:r>
          </w:p>
        </w:tc>
        <w:tc>
          <w:tcPr>
            <w:tcW w:w="1757" w:type="dxa"/>
            <w:tcBorders>
              <w:top w:val="nil"/>
              <w:left w:val="nil"/>
              <w:bottom w:val="single" w:sz="4" w:space="0" w:color="auto"/>
              <w:right w:val="single" w:sz="4" w:space="0" w:color="auto"/>
            </w:tcBorders>
            <w:shd w:val="clear" w:color="auto" w:fill="auto"/>
            <w:noWrap/>
            <w:vAlign w:val="center"/>
            <w:hideMark/>
          </w:tcPr>
          <w:p w14:paraId="090A9700" w14:textId="5DEEF422" w:rsidR="00551830" w:rsidRPr="00551830" w:rsidRDefault="00551830" w:rsidP="00C7683B">
            <w:pPr>
              <w:rPr>
                <w:rFonts w:cs="Arial"/>
                <w:color w:val="000000"/>
                <w:sz w:val="20"/>
                <w:szCs w:val="20"/>
                <w:lang w:val="en-US" w:eastAsia="en-US"/>
              </w:rPr>
            </w:pPr>
            <w:r w:rsidRPr="00551830">
              <w:rPr>
                <w:rFonts w:cs="Arial"/>
                <w:color w:val="000000"/>
                <w:sz w:val="20"/>
                <w:szCs w:val="20"/>
                <w:lang w:val="en-US" w:eastAsia="en-US"/>
              </w:rPr>
              <w:t xml:space="preserve"> AUD   0,30 </w:t>
            </w:r>
          </w:p>
        </w:tc>
        <w:tc>
          <w:tcPr>
            <w:tcW w:w="1559" w:type="dxa"/>
            <w:tcBorders>
              <w:top w:val="nil"/>
              <w:left w:val="nil"/>
              <w:bottom w:val="single" w:sz="4" w:space="0" w:color="auto"/>
              <w:right w:val="single" w:sz="8" w:space="0" w:color="auto"/>
            </w:tcBorders>
            <w:shd w:val="clear" w:color="auto" w:fill="auto"/>
            <w:noWrap/>
            <w:vAlign w:val="center"/>
            <w:hideMark/>
          </w:tcPr>
          <w:p w14:paraId="764F8CE6" w14:textId="5936DAA7" w:rsidR="00551830" w:rsidRPr="00551830" w:rsidRDefault="00551830" w:rsidP="00551830">
            <w:pPr>
              <w:rPr>
                <w:rFonts w:cs="Arial"/>
                <w:color w:val="000000"/>
                <w:sz w:val="20"/>
                <w:szCs w:val="20"/>
                <w:lang w:val="en-US" w:eastAsia="en-US"/>
              </w:rPr>
            </w:pPr>
            <w:r w:rsidRPr="00551830">
              <w:rPr>
                <w:rFonts w:cs="Arial"/>
                <w:color w:val="000000"/>
                <w:sz w:val="20"/>
                <w:szCs w:val="20"/>
                <w:lang w:val="en-US" w:eastAsia="en-US"/>
              </w:rPr>
              <w:t xml:space="preserve"> AUD   0,30 </w:t>
            </w:r>
          </w:p>
        </w:tc>
      </w:tr>
      <w:tr w:rsidR="00551830" w:rsidRPr="00551830" w14:paraId="028B96F0" w14:textId="77777777" w:rsidTr="00E01546">
        <w:trPr>
          <w:trHeight w:val="888"/>
          <w:jc w:val="center"/>
        </w:trPr>
        <w:tc>
          <w:tcPr>
            <w:tcW w:w="3134" w:type="dxa"/>
            <w:tcBorders>
              <w:top w:val="nil"/>
              <w:left w:val="single" w:sz="8" w:space="0" w:color="auto"/>
              <w:bottom w:val="single" w:sz="8" w:space="0" w:color="auto"/>
              <w:right w:val="single" w:sz="4" w:space="0" w:color="auto"/>
            </w:tcBorders>
            <w:shd w:val="clear" w:color="auto" w:fill="auto"/>
            <w:noWrap/>
            <w:vAlign w:val="center"/>
            <w:hideMark/>
          </w:tcPr>
          <w:p w14:paraId="19BACD09" w14:textId="77777777" w:rsidR="00551830" w:rsidRPr="00551830" w:rsidRDefault="00551830" w:rsidP="00551830">
            <w:pPr>
              <w:rPr>
                <w:rFonts w:cs="Arial"/>
                <w:b/>
                <w:bCs/>
                <w:color w:val="000000"/>
                <w:sz w:val="20"/>
                <w:szCs w:val="20"/>
                <w:lang w:val="en-US" w:eastAsia="en-US"/>
              </w:rPr>
            </w:pPr>
            <w:r w:rsidRPr="00551830">
              <w:rPr>
                <w:rFonts w:cs="Arial"/>
                <w:b/>
                <w:bCs/>
                <w:color w:val="000000"/>
                <w:sz w:val="20"/>
                <w:szCs w:val="20"/>
                <w:lang w:val="en-US" w:eastAsia="en-US"/>
              </w:rPr>
              <w:t>Total cost of recurring pathologies</w:t>
            </w:r>
          </w:p>
        </w:tc>
        <w:tc>
          <w:tcPr>
            <w:tcW w:w="1617" w:type="dxa"/>
            <w:tcBorders>
              <w:top w:val="nil"/>
              <w:left w:val="nil"/>
              <w:bottom w:val="single" w:sz="8" w:space="0" w:color="auto"/>
              <w:right w:val="single" w:sz="4" w:space="0" w:color="auto"/>
            </w:tcBorders>
            <w:shd w:val="clear" w:color="auto" w:fill="auto"/>
            <w:noWrap/>
            <w:vAlign w:val="center"/>
            <w:hideMark/>
          </w:tcPr>
          <w:p w14:paraId="2E589F99" w14:textId="77777777" w:rsidR="00551830" w:rsidRPr="00551830" w:rsidRDefault="00551830" w:rsidP="00551830">
            <w:pPr>
              <w:rPr>
                <w:rFonts w:cs="Arial"/>
                <w:color w:val="000000"/>
                <w:lang w:val="en-US" w:eastAsia="en-US"/>
              </w:rPr>
            </w:pPr>
            <w:r w:rsidRPr="00551830">
              <w:rPr>
                <w:rFonts w:cs="Arial"/>
                <w:color w:val="000000"/>
                <w:lang w:val="en-US" w:eastAsia="en-US"/>
              </w:rPr>
              <w:t> </w:t>
            </w:r>
          </w:p>
        </w:tc>
        <w:tc>
          <w:tcPr>
            <w:tcW w:w="1162" w:type="dxa"/>
            <w:tcBorders>
              <w:top w:val="nil"/>
              <w:left w:val="nil"/>
              <w:bottom w:val="single" w:sz="8" w:space="0" w:color="auto"/>
              <w:right w:val="single" w:sz="4" w:space="0" w:color="auto"/>
            </w:tcBorders>
            <w:shd w:val="clear" w:color="auto" w:fill="auto"/>
            <w:noWrap/>
            <w:vAlign w:val="center"/>
            <w:hideMark/>
          </w:tcPr>
          <w:p w14:paraId="18EF7572" w14:textId="77777777" w:rsidR="00551830" w:rsidRPr="00551830" w:rsidRDefault="00551830" w:rsidP="00551830">
            <w:pPr>
              <w:rPr>
                <w:rFonts w:cs="Arial"/>
                <w:color w:val="000000"/>
                <w:lang w:val="en-US" w:eastAsia="en-US"/>
              </w:rPr>
            </w:pPr>
            <w:r w:rsidRPr="00551830">
              <w:rPr>
                <w:rFonts w:cs="Arial"/>
                <w:color w:val="000000"/>
                <w:lang w:val="en-US" w:eastAsia="en-US"/>
              </w:rPr>
              <w:t> </w:t>
            </w:r>
          </w:p>
        </w:tc>
        <w:tc>
          <w:tcPr>
            <w:tcW w:w="1757" w:type="dxa"/>
            <w:tcBorders>
              <w:top w:val="nil"/>
              <w:left w:val="nil"/>
              <w:bottom w:val="single" w:sz="8" w:space="0" w:color="auto"/>
              <w:right w:val="single" w:sz="4" w:space="0" w:color="auto"/>
            </w:tcBorders>
            <w:shd w:val="clear" w:color="auto" w:fill="auto"/>
            <w:noWrap/>
            <w:vAlign w:val="center"/>
            <w:hideMark/>
          </w:tcPr>
          <w:p w14:paraId="3579471E" w14:textId="77777777" w:rsidR="00551830" w:rsidRPr="00551830" w:rsidRDefault="00551830" w:rsidP="00551830">
            <w:pPr>
              <w:rPr>
                <w:rFonts w:cs="Arial"/>
                <w:color w:val="000000"/>
                <w:sz w:val="20"/>
                <w:szCs w:val="20"/>
                <w:lang w:val="en-US" w:eastAsia="en-US"/>
              </w:rPr>
            </w:pPr>
            <w:r w:rsidRPr="00551830">
              <w:rPr>
                <w:rFonts w:cs="Arial"/>
                <w:color w:val="000000"/>
                <w:sz w:val="20"/>
                <w:szCs w:val="20"/>
                <w:lang w:val="en-US" w:eastAsia="en-US"/>
              </w:rPr>
              <w:t xml:space="preserve"> AUD  131,55 </w:t>
            </w:r>
          </w:p>
        </w:tc>
        <w:tc>
          <w:tcPr>
            <w:tcW w:w="1559" w:type="dxa"/>
            <w:tcBorders>
              <w:top w:val="nil"/>
              <w:left w:val="nil"/>
              <w:bottom w:val="single" w:sz="8" w:space="0" w:color="auto"/>
              <w:right w:val="single" w:sz="8" w:space="0" w:color="auto"/>
            </w:tcBorders>
            <w:shd w:val="clear" w:color="auto" w:fill="auto"/>
            <w:noWrap/>
            <w:vAlign w:val="center"/>
            <w:hideMark/>
          </w:tcPr>
          <w:p w14:paraId="08AA264A" w14:textId="77777777" w:rsidR="00551830" w:rsidRPr="00551830" w:rsidRDefault="00551830" w:rsidP="00551830">
            <w:pPr>
              <w:rPr>
                <w:rFonts w:cs="Arial"/>
                <w:color w:val="000000"/>
                <w:sz w:val="20"/>
                <w:szCs w:val="20"/>
                <w:lang w:val="en-US" w:eastAsia="en-US"/>
              </w:rPr>
            </w:pPr>
            <w:r w:rsidRPr="00551830">
              <w:rPr>
                <w:rFonts w:cs="Arial"/>
                <w:color w:val="000000"/>
                <w:sz w:val="20"/>
                <w:szCs w:val="20"/>
                <w:lang w:val="en-US" w:eastAsia="en-US"/>
              </w:rPr>
              <w:t xml:space="preserve"> AUD   131,55 </w:t>
            </w:r>
          </w:p>
        </w:tc>
      </w:tr>
    </w:tbl>
    <w:p w14:paraId="402A358D" w14:textId="77777777" w:rsidR="00551830" w:rsidRPr="00551830" w:rsidRDefault="00551830" w:rsidP="00551830">
      <w:pPr>
        <w:pStyle w:val="Textbody"/>
        <w:rPr>
          <w:color w:val="000000"/>
          <w:lang w:val="en-AU"/>
        </w:rPr>
      </w:pPr>
    </w:p>
    <w:p w14:paraId="2E553D30" w14:textId="77777777" w:rsidR="002630F4" w:rsidRPr="00A02A89" w:rsidRDefault="002630F4" w:rsidP="002630F4">
      <w:pPr>
        <w:spacing w:line="360" w:lineRule="auto"/>
        <w:jc w:val="both"/>
        <w:rPr>
          <w:rFonts w:cs="Arial"/>
          <w:lang w:val="en-GB"/>
        </w:rPr>
      </w:pPr>
      <w:r w:rsidRPr="00932A48">
        <w:rPr>
          <w:rFonts w:cs="Arial"/>
          <w:b/>
          <w:lang w:val="en-GB"/>
        </w:rPr>
        <w:t xml:space="preserve">MAXUM. </w:t>
      </w:r>
      <w:r w:rsidRPr="00932A48">
        <w:rPr>
          <w:rFonts w:cs="Arial"/>
          <w:lang w:val="en-GB"/>
        </w:rPr>
        <w:t xml:space="preserve">Health care resources required for MAXUM provision were sought from the literature and a further identified publication by Pelosi (2014). The costs of the MAXUM implant system were divided into the implant and processor costs of </w:t>
      </w:r>
      <w:r w:rsidRPr="00C366A9">
        <w:rPr>
          <w:rFonts w:cs="Arial"/>
          <w:lang w:val="en-GB"/>
        </w:rPr>
        <w:t>AUD 6</w:t>
      </w:r>
      <w:r w:rsidR="003A1933" w:rsidRPr="00C366A9">
        <w:rPr>
          <w:rFonts w:cs="Arial"/>
          <w:lang w:val="en-GB"/>
        </w:rPr>
        <w:t>848</w:t>
      </w:r>
      <w:r w:rsidR="00AD5624" w:rsidRPr="00C366A9">
        <w:rPr>
          <w:rFonts w:cs="Arial"/>
          <w:lang w:val="en-GB"/>
        </w:rPr>
        <w:t>,</w:t>
      </w:r>
      <w:r w:rsidRPr="00C366A9">
        <w:rPr>
          <w:rFonts w:cs="Arial"/>
          <w:lang w:val="en-GB"/>
        </w:rPr>
        <w:t>44 which</w:t>
      </w:r>
      <w:r w:rsidRPr="00932A48">
        <w:rPr>
          <w:rFonts w:cs="Arial"/>
          <w:lang w:val="en-GB"/>
        </w:rPr>
        <w:t xml:space="preserve"> was provided by the MSAC; and the procedural costs which can be further separated </w:t>
      </w:r>
      <w:r w:rsidRPr="00A02A89">
        <w:rPr>
          <w:rFonts w:cs="Arial"/>
          <w:lang w:val="en-GB"/>
        </w:rPr>
        <w:t xml:space="preserve">into pre-operational, operational and post-operational costs. All procedural costs are listed in </w:t>
      </w:r>
      <w:r w:rsidRPr="00A02A89">
        <w:rPr>
          <w:rFonts w:cs="Arial"/>
          <w:highlight w:val="yellow"/>
          <w:lang w:val="en-GB"/>
        </w:rPr>
        <w:fldChar w:fldCharType="begin"/>
      </w:r>
      <w:r w:rsidRPr="00A02A89">
        <w:rPr>
          <w:rFonts w:cs="Arial"/>
          <w:lang w:val="en-GB"/>
        </w:rPr>
        <w:instrText xml:space="preserve"> REF _Ref430965102 \h </w:instrText>
      </w:r>
      <w:r w:rsidRPr="00A02A89">
        <w:rPr>
          <w:rFonts w:cs="Arial"/>
          <w:highlight w:val="yellow"/>
          <w:lang w:val="en-GB"/>
        </w:rPr>
        <w:instrText xml:space="preserve"> \* MERGEFORMAT </w:instrText>
      </w:r>
      <w:r w:rsidRPr="00A02A89">
        <w:rPr>
          <w:rFonts w:cs="Arial"/>
          <w:highlight w:val="yellow"/>
          <w:lang w:val="en-GB"/>
        </w:rPr>
      </w:r>
      <w:r w:rsidRPr="00A02A89">
        <w:rPr>
          <w:rFonts w:cs="Arial"/>
          <w:highlight w:val="yellow"/>
          <w:lang w:val="en-GB"/>
        </w:rPr>
        <w:fldChar w:fldCharType="separate"/>
      </w:r>
      <w:r w:rsidR="00016592" w:rsidRPr="00016592">
        <w:rPr>
          <w:rFonts w:cs="Arial"/>
          <w:bCs/>
        </w:rPr>
        <w:t xml:space="preserve">Table </w:t>
      </w:r>
      <w:r w:rsidR="00016592" w:rsidRPr="00016592">
        <w:rPr>
          <w:rFonts w:cs="Arial"/>
          <w:bCs/>
          <w:noProof/>
        </w:rPr>
        <w:t>41</w:t>
      </w:r>
      <w:r w:rsidRPr="00A02A89">
        <w:rPr>
          <w:rFonts w:cs="Arial"/>
          <w:highlight w:val="yellow"/>
          <w:lang w:val="en-GB"/>
        </w:rPr>
        <w:fldChar w:fldCharType="end"/>
      </w:r>
      <w:r w:rsidRPr="00A02A89">
        <w:rPr>
          <w:rFonts w:cs="Arial"/>
          <w:lang w:val="en-GB"/>
        </w:rPr>
        <w:t>.</w:t>
      </w:r>
    </w:p>
    <w:p w14:paraId="1719388D" w14:textId="77777777" w:rsidR="00DA6869" w:rsidRPr="00C366A9" w:rsidRDefault="00DA6869" w:rsidP="00DA6869">
      <w:pPr>
        <w:spacing w:line="360" w:lineRule="auto"/>
        <w:jc w:val="both"/>
        <w:rPr>
          <w:rFonts w:cs="Arial"/>
          <w:lang w:val="en-GB"/>
        </w:rPr>
      </w:pPr>
      <w:r w:rsidRPr="00A02A89">
        <w:rPr>
          <w:rFonts w:cs="Arial"/>
          <w:lang w:val="en-GB"/>
        </w:rPr>
        <w:lastRenderedPageBreak/>
        <w:t>Pre-operational costs cover the costs of a full audiological assessment (including pure tone and impedance audiometry</w:t>
      </w:r>
      <w:r w:rsidRPr="00932A48">
        <w:rPr>
          <w:rFonts w:cs="Arial"/>
          <w:lang w:val="en-GB"/>
        </w:rPr>
        <w:t xml:space="preserve"> by an audiologist), surgical consultation with an ENT surgeon including the ear mould impression and counselling by a clinical psychologist/counsellor to understand the risks of middle ear surgery and establish realistic expectations with the implant system. All items except the last were sought from the MBS and the latter was obtained from the Department of Veteran Affairs (DVA) fee schedule for allied health practitioners. A good candidate is then referred on to an anaesthetist for preparation for surgery. All pre-operational costs sum up to a total of </w:t>
      </w:r>
      <w:r w:rsidRPr="00C366A9">
        <w:rPr>
          <w:rFonts w:cs="Arial"/>
          <w:lang w:val="en-GB"/>
        </w:rPr>
        <w:t>AUD 425</w:t>
      </w:r>
      <w:r w:rsidR="00AD5624" w:rsidRPr="00C366A9">
        <w:rPr>
          <w:rFonts w:cs="Arial"/>
          <w:lang w:val="en-GB"/>
        </w:rPr>
        <w:t>,</w:t>
      </w:r>
      <w:r w:rsidRPr="00C366A9">
        <w:rPr>
          <w:rFonts w:cs="Arial"/>
          <w:lang w:val="en-GB"/>
        </w:rPr>
        <w:t>60.</w:t>
      </w:r>
    </w:p>
    <w:p w14:paraId="3D9B3218" w14:textId="77777777" w:rsidR="00DA6869" w:rsidRPr="00C366A9" w:rsidRDefault="00DA6869" w:rsidP="00DA6869">
      <w:pPr>
        <w:spacing w:line="360" w:lineRule="auto"/>
        <w:jc w:val="both"/>
        <w:rPr>
          <w:rFonts w:cs="Arial"/>
          <w:lang w:val="en-GB"/>
        </w:rPr>
      </w:pPr>
      <w:r w:rsidRPr="00C366A9">
        <w:rPr>
          <w:rFonts w:cs="Arial"/>
          <w:lang w:val="en-GB"/>
        </w:rPr>
        <w:t>Similar to the VSB implantation procedure, it is recommended by Pelosi (2014) to obtain a CT scan before surgery and carry out facial nerve monitoring throughout the procedure. The anaesthetics can then be initiated and be monitored by an anaesthetist throughout the surgery. Together with surgical assistance the implantation procedure incurs a total cost of AUD 2</w:t>
      </w:r>
      <w:r w:rsidR="00AD5624" w:rsidRPr="00C366A9">
        <w:rPr>
          <w:rFonts w:cs="Arial"/>
          <w:lang w:val="en-GB"/>
        </w:rPr>
        <w:t>.</w:t>
      </w:r>
      <w:r w:rsidRPr="00C366A9">
        <w:rPr>
          <w:rFonts w:cs="Arial"/>
          <w:lang w:val="en-GB"/>
        </w:rPr>
        <w:t>989</w:t>
      </w:r>
      <w:r w:rsidR="00AD5624" w:rsidRPr="00C366A9">
        <w:rPr>
          <w:rFonts w:cs="Arial"/>
          <w:lang w:val="en-GB"/>
        </w:rPr>
        <w:t>,</w:t>
      </w:r>
      <w:r w:rsidRPr="00C366A9">
        <w:rPr>
          <w:rFonts w:cs="Arial"/>
          <w:lang w:val="en-GB"/>
        </w:rPr>
        <w:t>24. No over-night hospitalisation is required after surgery.</w:t>
      </w:r>
    </w:p>
    <w:p w14:paraId="05DD9764" w14:textId="77777777" w:rsidR="00DA6869" w:rsidRPr="00C366A9" w:rsidRDefault="00DA6869" w:rsidP="00DA6869">
      <w:pPr>
        <w:spacing w:line="360" w:lineRule="auto"/>
        <w:jc w:val="both"/>
        <w:rPr>
          <w:rFonts w:cs="Arial"/>
          <w:lang w:val="en-GB"/>
        </w:rPr>
      </w:pPr>
      <w:r w:rsidRPr="00C366A9">
        <w:rPr>
          <w:rFonts w:cs="Arial"/>
          <w:lang w:val="en-GB"/>
        </w:rPr>
        <w:t>About three weeks after surgery, the patient returns for medical clearance and fitting of the integrated processor and coil (PC). During fitting, small adjustments in the shape of the IPC can be undertaken to optimize its alignment with the implanted magnet. A 10-week accommodation period follows the sound processor fitting in which further adjustments of the IPC and sound processor settings may be made. Typically 1-3 postoperative visits are required for this process. Audiological assessment is carried out at the 20 weeks postoperative follow-up. Individuals continually wearing their IPC will further be required to pay for batteries which are expected to last for seven days. All post-operational costs occurring within the first cycle add up to a total of AUD 469</w:t>
      </w:r>
      <w:r w:rsidR="00AD5624" w:rsidRPr="00C366A9">
        <w:rPr>
          <w:rFonts w:cs="Arial"/>
          <w:lang w:val="en-GB"/>
        </w:rPr>
        <w:t>,</w:t>
      </w:r>
      <w:r w:rsidRPr="00C366A9">
        <w:rPr>
          <w:rFonts w:cs="Arial"/>
          <w:lang w:val="en-GB"/>
        </w:rPr>
        <w:t>40.</w:t>
      </w:r>
    </w:p>
    <w:p w14:paraId="2105948C" w14:textId="77777777" w:rsidR="002630F4" w:rsidRDefault="00DA6869" w:rsidP="00DA6869">
      <w:pPr>
        <w:spacing w:line="360" w:lineRule="auto"/>
        <w:jc w:val="both"/>
        <w:rPr>
          <w:rFonts w:cs="Arial"/>
          <w:lang w:val="en-GB"/>
        </w:rPr>
      </w:pPr>
      <w:r w:rsidRPr="00C366A9">
        <w:rPr>
          <w:lang w:val="en-GB"/>
        </w:rPr>
        <w:t>After the first cycle of the model, patients are followed up once again in the second cycle and then every year. Throughout this process continuous users will carry on purchasing batteries for their audio processors. In the long-term it is anticipated that for each person who continues to use their implant system the external IPC will be replaced every 5 years. The cost associated with a new AP is assumed to be the half of the implant system costs which would equal to AUD 3</w:t>
      </w:r>
      <w:r w:rsidR="00AD5624" w:rsidRPr="00C366A9">
        <w:rPr>
          <w:lang w:val="en-GB"/>
        </w:rPr>
        <w:t>.</w:t>
      </w:r>
      <w:r w:rsidRPr="00C366A9">
        <w:rPr>
          <w:lang w:val="en-GB"/>
        </w:rPr>
        <w:t>424</w:t>
      </w:r>
      <w:r w:rsidR="00AD5624" w:rsidRPr="00C366A9">
        <w:rPr>
          <w:lang w:val="en-GB"/>
        </w:rPr>
        <w:t>,</w:t>
      </w:r>
      <w:r w:rsidRPr="00C366A9">
        <w:rPr>
          <w:lang w:val="en-GB"/>
        </w:rPr>
        <w:t>22. Fitting of a new processor occurs during the regular clinical follow-up visits where a full audiological assessment with the new device is carried out.</w:t>
      </w:r>
    </w:p>
    <w:p w14:paraId="6E2081B1" w14:textId="77777777" w:rsidR="002630F4" w:rsidRDefault="002630F4" w:rsidP="002630F4">
      <w:pPr>
        <w:spacing w:line="360" w:lineRule="auto"/>
        <w:jc w:val="both"/>
        <w:rPr>
          <w:rFonts w:cs="Arial"/>
          <w:lang w:val="en-GB"/>
        </w:rPr>
      </w:pPr>
    </w:p>
    <w:p w14:paraId="701C6466" w14:textId="77777777" w:rsidR="002630F4" w:rsidRDefault="002630F4" w:rsidP="002630F4">
      <w:pPr>
        <w:spacing w:line="360" w:lineRule="auto"/>
        <w:jc w:val="both"/>
        <w:rPr>
          <w:rFonts w:cs="Arial"/>
          <w:lang w:val="en-GB"/>
        </w:rPr>
      </w:pPr>
    </w:p>
    <w:p w14:paraId="0C449C10" w14:textId="77777777" w:rsidR="002630F4" w:rsidRDefault="002630F4" w:rsidP="002630F4">
      <w:pPr>
        <w:spacing w:line="360" w:lineRule="auto"/>
        <w:jc w:val="both"/>
        <w:rPr>
          <w:rFonts w:cs="Arial"/>
          <w:lang w:val="en-GB"/>
        </w:rPr>
        <w:sectPr w:rsidR="002630F4" w:rsidSect="00395F95">
          <w:pgSz w:w="11907" w:h="16840" w:code="9"/>
          <w:pgMar w:top="1418" w:right="1418" w:bottom="1701" w:left="1814" w:header="720" w:footer="720" w:gutter="0"/>
          <w:paperSrc w:first="7" w:other="7"/>
          <w:cols w:space="720"/>
          <w:noEndnote/>
          <w:docGrid w:linePitch="299"/>
        </w:sectPr>
      </w:pPr>
    </w:p>
    <w:p w14:paraId="3F23C0CB" w14:textId="77777777" w:rsidR="002630F4" w:rsidRPr="002630F4" w:rsidRDefault="002630F4" w:rsidP="002630F4">
      <w:pPr>
        <w:spacing w:line="360" w:lineRule="auto"/>
        <w:jc w:val="both"/>
        <w:rPr>
          <w:rFonts w:cs="Arial"/>
          <w:b/>
          <w:bCs/>
          <w:sz w:val="20"/>
          <w:szCs w:val="20"/>
        </w:rPr>
      </w:pPr>
      <w:bookmarkStart w:id="552" w:name="_Ref430965102"/>
      <w:bookmarkStart w:id="553" w:name="_Toc431917501"/>
      <w:r w:rsidRPr="002630F4">
        <w:rPr>
          <w:rFonts w:cs="Arial"/>
          <w:b/>
          <w:bCs/>
          <w:sz w:val="20"/>
          <w:szCs w:val="20"/>
        </w:rPr>
        <w:lastRenderedPageBreak/>
        <w:t xml:space="preserve">Table </w:t>
      </w:r>
      <w:r w:rsidRPr="002630F4">
        <w:rPr>
          <w:rFonts w:cs="Arial"/>
          <w:b/>
          <w:bCs/>
          <w:sz w:val="20"/>
          <w:szCs w:val="20"/>
        </w:rPr>
        <w:fldChar w:fldCharType="begin"/>
      </w:r>
      <w:r w:rsidRPr="002630F4">
        <w:rPr>
          <w:rFonts w:cs="Arial"/>
          <w:b/>
          <w:bCs/>
          <w:sz w:val="20"/>
          <w:szCs w:val="20"/>
        </w:rPr>
        <w:instrText xml:space="preserve"> SEQ Table \* ARABIC </w:instrText>
      </w:r>
      <w:r w:rsidRPr="002630F4">
        <w:rPr>
          <w:rFonts w:cs="Arial"/>
          <w:b/>
          <w:bCs/>
          <w:sz w:val="20"/>
          <w:szCs w:val="20"/>
        </w:rPr>
        <w:fldChar w:fldCharType="separate"/>
      </w:r>
      <w:r w:rsidR="00016592">
        <w:rPr>
          <w:rFonts w:cs="Arial"/>
          <w:b/>
          <w:bCs/>
          <w:noProof/>
          <w:sz w:val="20"/>
          <w:szCs w:val="20"/>
        </w:rPr>
        <w:t>41</w:t>
      </w:r>
      <w:r w:rsidRPr="002630F4">
        <w:rPr>
          <w:rFonts w:cs="Arial"/>
          <w:b/>
          <w:bCs/>
          <w:sz w:val="20"/>
          <w:szCs w:val="20"/>
        </w:rPr>
        <w:fldChar w:fldCharType="end"/>
      </w:r>
      <w:bookmarkEnd w:id="552"/>
      <w:r w:rsidRPr="002630F4">
        <w:rPr>
          <w:rFonts w:cs="Arial"/>
          <w:b/>
          <w:bCs/>
          <w:sz w:val="20"/>
          <w:szCs w:val="20"/>
        </w:rPr>
        <w:t xml:space="preserve"> - </w:t>
      </w:r>
      <w:r w:rsidRPr="002630F4">
        <w:rPr>
          <w:rFonts w:cs="Arial"/>
          <w:b/>
          <w:sz w:val="20"/>
          <w:szCs w:val="20"/>
          <w:lang w:val="en-GB"/>
        </w:rPr>
        <w:t>Total costs per patient for successful MAXUM/Soundtec implantation in the first 6 months</w:t>
      </w:r>
      <w:bookmarkEnd w:id="553"/>
    </w:p>
    <w:p w14:paraId="59A80150" w14:textId="77777777" w:rsidR="00551830" w:rsidRDefault="002630F4" w:rsidP="002630F4">
      <w:pPr>
        <w:pStyle w:val="Textbody"/>
        <w:rPr>
          <w:color w:val="000000"/>
          <w:lang w:val="en-GB"/>
        </w:rPr>
      </w:pPr>
      <w:r w:rsidRPr="002630F4">
        <w:rPr>
          <w:noProof/>
          <w:lang w:val="en-AU" w:eastAsia="en-AU"/>
        </w:rPr>
        <w:drawing>
          <wp:inline distT="0" distB="0" distL="0" distR="0" wp14:anchorId="7CB54107" wp14:editId="74823F42">
            <wp:extent cx="6547485" cy="4873625"/>
            <wp:effectExtent l="0" t="0" r="5715" b="3175"/>
            <wp:docPr id="32" name="Grafik 32" descr="Total costs per patient for successful MAXUM/Soundtec implantation in the first 6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547485" cy="4873625"/>
                    </a:xfrm>
                    <a:prstGeom prst="rect">
                      <a:avLst/>
                    </a:prstGeom>
                    <a:noFill/>
                    <a:ln>
                      <a:noFill/>
                    </a:ln>
                  </pic:spPr>
                </pic:pic>
              </a:graphicData>
            </a:graphic>
          </wp:inline>
        </w:drawing>
      </w:r>
    </w:p>
    <w:p w14:paraId="1D47448A" w14:textId="77777777" w:rsidR="002630F4" w:rsidRDefault="002630F4" w:rsidP="002630F4">
      <w:pPr>
        <w:pStyle w:val="Textbody"/>
        <w:rPr>
          <w:color w:val="000000"/>
          <w:lang w:val="en-GB"/>
        </w:rPr>
      </w:pPr>
      <w:r w:rsidRPr="002630F4">
        <w:rPr>
          <w:color w:val="000000"/>
          <w:sz w:val="16"/>
          <w:szCs w:val="16"/>
          <w:lang w:val="en-GB"/>
        </w:rPr>
        <w:t>MSAC: Medical Services Advisory Committee. MBS: Medical Benefits Schedule. AR-DRG: Australian Refined Diagnosis Related Group.</w:t>
      </w:r>
    </w:p>
    <w:p w14:paraId="521D19E1" w14:textId="77777777" w:rsidR="002630F4" w:rsidRDefault="002630F4" w:rsidP="002630F4">
      <w:pPr>
        <w:pStyle w:val="Textbody"/>
        <w:rPr>
          <w:color w:val="000000"/>
          <w:lang w:val="en-GB"/>
        </w:rPr>
        <w:sectPr w:rsidR="002630F4" w:rsidSect="002630F4">
          <w:pgSz w:w="16840" w:h="11907" w:orient="landscape" w:code="9"/>
          <w:pgMar w:top="1814" w:right="1418" w:bottom="1418" w:left="1701" w:header="720" w:footer="720" w:gutter="0"/>
          <w:paperSrc w:first="7" w:other="7"/>
          <w:cols w:space="720"/>
          <w:noEndnote/>
          <w:docGrid w:linePitch="299"/>
        </w:sectPr>
      </w:pPr>
    </w:p>
    <w:p w14:paraId="4176ABF9" w14:textId="77777777" w:rsidR="002630F4" w:rsidRPr="00A02A89" w:rsidRDefault="002630F4" w:rsidP="002630F4">
      <w:pPr>
        <w:pStyle w:val="Textbody"/>
        <w:rPr>
          <w:lang w:val="en-GB"/>
        </w:rPr>
      </w:pPr>
      <w:r w:rsidRPr="00932A48">
        <w:rPr>
          <w:lang w:val="en-GB"/>
        </w:rPr>
        <w:lastRenderedPageBreak/>
        <w:t xml:space="preserve">Long-term costs associated with MAXUM use are </w:t>
      </w:r>
      <w:r w:rsidRPr="00A02A89">
        <w:rPr>
          <w:lang w:val="en-GB"/>
        </w:rPr>
        <w:t xml:space="preserve">listed in </w:t>
      </w:r>
      <w:r w:rsidR="00AA1F7B" w:rsidRPr="00A02A89">
        <w:rPr>
          <w:highlight w:val="yellow"/>
          <w:lang w:val="en-GB"/>
        </w:rPr>
        <w:fldChar w:fldCharType="begin"/>
      </w:r>
      <w:r w:rsidR="00AA1F7B" w:rsidRPr="00A02A89">
        <w:rPr>
          <w:lang w:val="en-GB"/>
        </w:rPr>
        <w:instrText xml:space="preserve"> REF _Ref430965414 \h </w:instrText>
      </w:r>
      <w:r w:rsidR="00AA1F7B" w:rsidRPr="00A02A89">
        <w:rPr>
          <w:highlight w:val="yellow"/>
          <w:lang w:val="en-GB"/>
        </w:rPr>
        <w:instrText xml:space="preserve"> \* MERGEFORMAT </w:instrText>
      </w:r>
      <w:r w:rsidR="00AA1F7B" w:rsidRPr="00A02A89">
        <w:rPr>
          <w:highlight w:val="yellow"/>
          <w:lang w:val="en-GB"/>
        </w:rPr>
      </w:r>
      <w:r w:rsidR="00AA1F7B" w:rsidRPr="00A02A89">
        <w:rPr>
          <w:highlight w:val="yellow"/>
          <w:lang w:val="en-GB"/>
        </w:rPr>
        <w:fldChar w:fldCharType="separate"/>
      </w:r>
      <w:r w:rsidR="00016592" w:rsidRPr="00016592">
        <w:rPr>
          <w:bCs/>
          <w:lang w:val="en-AU"/>
        </w:rPr>
        <w:t xml:space="preserve">Table </w:t>
      </w:r>
      <w:r w:rsidR="00016592" w:rsidRPr="00016592">
        <w:rPr>
          <w:bCs/>
          <w:noProof/>
        </w:rPr>
        <w:t>42</w:t>
      </w:r>
      <w:r w:rsidR="00AA1F7B" w:rsidRPr="00A02A89">
        <w:rPr>
          <w:highlight w:val="yellow"/>
          <w:lang w:val="en-GB"/>
        </w:rPr>
        <w:fldChar w:fldCharType="end"/>
      </w:r>
      <w:r w:rsidRPr="00A02A89">
        <w:rPr>
          <w:lang w:val="en-GB"/>
        </w:rPr>
        <w:t>.</w:t>
      </w:r>
    </w:p>
    <w:p w14:paraId="00B04421" w14:textId="77777777" w:rsidR="00AA1F7B" w:rsidRDefault="00AA1F7B" w:rsidP="002630F4">
      <w:pPr>
        <w:pStyle w:val="Textbody"/>
        <w:rPr>
          <w:color w:val="000000"/>
          <w:lang w:val="en-GB"/>
        </w:rPr>
      </w:pPr>
      <w:r w:rsidRPr="00932A48">
        <w:rPr>
          <w:lang w:val="en-GB"/>
        </w:rPr>
        <w:t>The clinical trial of the SOUNDTEC Direct Drive system indicated the need for revision surgery in a single case. Surgery may involve checking the status of the tympanic membrane or the positioning of the transducer on the stapes bone and is most like a transcanal stapedectomy procedure.</w:t>
      </w:r>
    </w:p>
    <w:p w14:paraId="05326335" w14:textId="77777777" w:rsidR="00AA1F7B" w:rsidRDefault="00AA1F7B" w:rsidP="002630F4">
      <w:pPr>
        <w:pStyle w:val="Textbody"/>
        <w:rPr>
          <w:color w:val="000000"/>
          <w:lang w:val="en-GB"/>
        </w:rPr>
      </w:pPr>
    </w:p>
    <w:p w14:paraId="7914AB17" w14:textId="77777777" w:rsidR="00E5464A" w:rsidRPr="00E5464A" w:rsidRDefault="00E5464A" w:rsidP="00E5464A">
      <w:pPr>
        <w:spacing w:line="360" w:lineRule="auto"/>
        <w:jc w:val="both"/>
        <w:rPr>
          <w:rFonts w:cs="Arial"/>
          <w:b/>
          <w:bCs/>
          <w:sz w:val="20"/>
          <w:szCs w:val="20"/>
        </w:rPr>
      </w:pPr>
      <w:bookmarkStart w:id="554" w:name="_Ref430965414"/>
      <w:bookmarkStart w:id="555" w:name="_Toc431917502"/>
      <w:r w:rsidRPr="00E5464A">
        <w:rPr>
          <w:rFonts w:cs="Arial"/>
          <w:b/>
          <w:bCs/>
          <w:sz w:val="20"/>
          <w:szCs w:val="20"/>
        </w:rPr>
        <w:t xml:space="preserve">Table </w:t>
      </w:r>
      <w:r w:rsidRPr="00E5464A">
        <w:rPr>
          <w:rFonts w:cs="Arial"/>
          <w:b/>
          <w:bCs/>
          <w:sz w:val="20"/>
          <w:szCs w:val="20"/>
        </w:rPr>
        <w:fldChar w:fldCharType="begin"/>
      </w:r>
      <w:r w:rsidRPr="00E5464A">
        <w:rPr>
          <w:rFonts w:cs="Arial"/>
          <w:b/>
          <w:bCs/>
          <w:sz w:val="20"/>
          <w:szCs w:val="20"/>
        </w:rPr>
        <w:instrText xml:space="preserve"> SEQ Table \* ARABIC </w:instrText>
      </w:r>
      <w:r w:rsidRPr="00E5464A">
        <w:rPr>
          <w:rFonts w:cs="Arial"/>
          <w:b/>
          <w:bCs/>
          <w:sz w:val="20"/>
          <w:szCs w:val="20"/>
        </w:rPr>
        <w:fldChar w:fldCharType="separate"/>
      </w:r>
      <w:r w:rsidR="00016592">
        <w:rPr>
          <w:rFonts w:cs="Arial"/>
          <w:b/>
          <w:bCs/>
          <w:noProof/>
          <w:sz w:val="20"/>
          <w:szCs w:val="20"/>
        </w:rPr>
        <w:t>42</w:t>
      </w:r>
      <w:r w:rsidRPr="00E5464A">
        <w:rPr>
          <w:rFonts w:cs="Arial"/>
          <w:b/>
          <w:bCs/>
          <w:sz w:val="20"/>
          <w:szCs w:val="20"/>
        </w:rPr>
        <w:fldChar w:fldCharType="end"/>
      </w:r>
      <w:bookmarkEnd w:id="554"/>
      <w:r w:rsidRPr="00E5464A">
        <w:rPr>
          <w:rFonts w:cs="Arial"/>
          <w:b/>
          <w:bCs/>
          <w:sz w:val="20"/>
          <w:szCs w:val="20"/>
        </w:rPr>
        <w:t xml:space="preserve"> - </w:t>
      </w:r>
      <w:r w:rsidRPr="00E5464A">
        <w:rPr>
          <w:rFonts w:cs="Arial"/>
          <w:b/>
          <w:sz w:val="20"/>
          <w:szCs w:val="20"/>
          <w:lang w:val="en-GB"/>
        </w:rPr>
        <w:t>Long-term costs of M</w:t>
      </w:r>
      <w:r w:rsidR="00AA1F7B">
        <w:rPr>
          <w:rFonts w:cs="Arial"/>
          <w:b/>
          <w:sz w:val="20"/>
          <w:szCs w:val="20"/>
          <w:lang w:val="en-GB"/>
        </w:rPr>
        <w:t>axum/Soundtec</w:t>
      </w:r>
      <w:r w:rsidRPr="00E5464A">
        <w:rPr>
          <w:rFonts w:cs="Arial"/>
          <w:b/>
          <w:sz w:val="20"/>
          <w:szCs w:val="20"/>
          <w:lang w:val="en-GB"/>
        </w:rPr>
        <w:t xml:space="preserve"> use</w:t>
      </w:r>
      <w:bookmarkEnd w:id="555"/>
    </w:p>
    <w:tbl>
      <w:tblPr>
        <w:tblW w:w="8662" w:type="dxa"/>
        <w:tblInd w:w="93" w:type="dxa"/>
        <w:tblLook w:val="04A0" w:firstRow="1" w:lastRow="0" w:firstColumn="1" w:lastColumn="0" w:noHBand="0" w:noVBand="1"/>
        <w:tblDescription w:val="Long-term costs of Maxum/Soundtec use"/>
      </w:tblPr>
      <w:tblGrid>
        <w:gridCol w:w="2709"/>
        <w:gridCol w:w="1757"/>
        <w:gridCol w:w="960"/>
        <w:gridCol w:w="1677"/>
        <w:gridCol w:w="1559"/>
      </w:tblGrid>
      <w:tr w:rsidR="00E5464A" w:rsidRPr="00E5464A" w14:paraId="46A0E1CD" w14:textId="77777777" w:rsidTr="00AA1F7B">
        <w:trPr>
          <w:trHeight w:val="300"/>
        </w:trPr>
        <w:tc>
          <w:tcPr>
            <w:tcW w:w="2709"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8F47798" w14:textId="77777777" w:rsidR="00E5464A" w:rsidRPr="00E5464A" w:rsidRDefault="00E5464A" w:rsidP="00E5464A">
            <w:pPr>
              <w:jc w:val="center"/>
              <w:rPr>
                <w:rFonts w:cs="Arial"/>
                <w:b/>
                <w:bCs/>
                <w:color w:val="000000"/>
                <w:lang w:val="en-US" w:eastAsia="en-US"/>
              </w:rPr>
            </w:pPr>
            <w:r w:rsidRPr="00E5464A">
              <w:rPr>
                <w:rFonts w:cs="Arial"/>
                <w:b/>
                <w:bCs/>
                <w:color w:val="000000"/>
                <w:lang w:val="en-US" w:eastAsia="en-US"/>
              </w:rPr>
              <w:t>Consumables</w:t>
            </w:r>
          </w:p>
        </w:tc>
        <w:tc>
          <w:tcPr>
            <w:tcW w:w="1757" w:type="dxa"/>
            <w:tcBorders>
              <w:top w:val="single" w:sz="8" w:space="0" w:color="auto"/>
              <w:left w:val="nil"/>
              <w:bottom w:val="single" w:sz="4" w:space="0" w:color="auto"/>
              <w:right w:val="single" w:sz="4" w:space="0" w:color="auto"/>
            </w:tcBorders>
            <w:shd w:val="clear" w:color="auto" w:fill="auto"/>
            <w:noWrap/>
            <w:vAlign w:val="center"/>
            <w:hideMark/>
          </w:tcPr>
          <w:p w14:paraId="459CBB8A" w14:textId="77777777" w:rsidR="00E5464A" w:rsidRPr="00E5464A" w:rsidRDefault="00E5464A" w:rsidP="00E5464A">
            <w:pPr>
              <w:jc w:val="center"/>
              <w:rPr>
                <w:rFonts w:cs="Arial"/>
                <w:b/>
                <w:bCs/>
                <w:color w:val="000000"/>
                <w:lang w:val="en-US" w:eastAsia="en-US"/>
              </w:rPr>
            </w:pPr>
            <w:r w:rsidRPr="00E5464A">
              <w:rPr>
                <w:rFonts w:cs="Arial"/>
                <w:b/>
                <w:bCs/>
                <w:color w:val="000000"/>
                <w:lang w:val="en-US" w:eastAsia="en-US"/>
              </w:rPr>
              <w:t>MBS Item No.</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14:paraId="28D37540" w14:textId="77777777" w:rsidR="00E5464A" w:rsidRPr="00E5464A" w:rsidRDefault="00E5464A" w:rsidP="00E5464A">
            <w:pPr>
              <w:jc w:val="center"/>
              <w:rPr>
                <w:rFonts w:cs="Arial"/>
                <w:b/>
                <w:bCs/>
                <w:color w:val="000000"/>
                <w:lang w:val="en-US" w:eastAsia="en-US"/>
              </w:rPr>
            </w:pPr>
            <w:r w:rsidRPr="00E5464A">
              <w:rPr>
                <w:rFonts w:cs="Arial"/>
                <w:b/>
                <w:bCs/>
                <w:color w:val="000000"/>
                <w:lang w:val="en-US" w:eastAsia="en-US"/>
              </w:rPr>
              <w:t>Units</w:t>
            </w:r>
          </w:p>
        </w:tc>
        <w:tc>
          <w:tcPr>
            <w:tcW w:w="1677" w:type="dxa"/>
            <w:tcBorders>
              <w:top w:val="single" w:sz="8" w:space="0" w:color="auto"/>
              <w:left w:val="nil"/>
              <w:bottom w:val="single" w:sz="4" w:space="0" w:color="auto"/>
              <w:right w:val="single" w:sz="4" w:space="0" w:color="auto"/>
            </w:tcBorders>
            <w:shd w:val="clear" w:color="auto" w:fill="auto"/>
            <w:noWrap/>
            <w:vAlign w:val="center"/>
            <w:hideMark/>
          </w:tcPr>
          <w:p w14:paraId="5345E31A" w14:textId="77777777" w:rsidR="00E5464A" w:rsidRPr="00E5464A" w:rsidRDefault="00E5464A" w:rsidP="00E5464A">
            <w:pPr>
              <w:jc w:val="center"/>
              <w:rPr>
                <w:rFonts w:cs="Arial"/>
                <w:b/>
                <w:bCs/>
                <w:color w:val="000000"/>
                <w:lang w:val="en-US" w:eastAsia="en-US"/>
              </w:rPr>
            </w:pPr>
            <w:r w:rsidRPr="00E5464A">
              <w:rPr>
                <w:rFonts w:cs="Arial"/>
                <w:b/>
                <w:bCs/>
                <w:color w:val="000000"/>
                <w:lang w:val="en-US" w:eastAsia="en-US"/>
              </w:rPr>
              <w:t>Unit cost</w:t>
            </w:r>
          </w:p>
        </w:tc>
        <w:tc>
          <w:tcPr>
            <w:tcW w:w="1559" w:type="dxa"/>
            <w:tcBorders>
              <w:top w:val="single" w:sz="8" w:space="0" w:color="auto"/>
              <w:left w:val="nil"/>
              <w:bottom w:val="single" w:sz="4" w:space="0" w:color="auto"/>
              <w:right w:val="single" w:sz="8" w:space="0" w:color="auto"/>
            </w:tcBorders>
            <w:shd w:val="clear" w:color="auto" w:fill="auto"/>
            <w:noWrap/>
            <w:vAlign w:val="center"/>
            <w:hideMark/>
          </w:tcPr>
          <w:p w14:paraId="3B2647E5" w14:textId="77777777" w:rsidR="00E5464A" w:rsidRPr="00E5464A" w:rsidRDefault="00E5464A" w:rsidP="00E5464A">
            <w:pPr>
              <w:jc w:val="center"/>
              <w:rPr>
                <w:rFonts w:cs="Arial"/>
                <w:b/>
                <w:bCs/>
                <w:color w:val="000000"/>
                <w:lang w:val="en-US" w:eastAsia="en-US"/>
              </w:rPr>
            </w:pPr>
            <w:r w:rsidRPr="00E5464A">
              <w:rPr>
                <w:rFonts w:cs="Arial"/>
                <w:b/>
                <w:bCs/>
                <w:color w:val="000000"/>
                <w:lang w:val="en-US" w:eastAsia="en-US"/>
              </w:rPr>
              <w:t>Total</w:t>
            </w:r>
          </w:p>
        </w:tc>
      </w:tr>
      <w:tr w:rsidR="00E5464A" w:rsidRPr="00E5464A" w14:paraId="3BB6E553" w14:textId="77777777" w:rsidTr="00AA1F7B">
        <w:trPr>
          <w:trHeight w:val="656"/>
        </w:trPr>
        <w:tc>
          <w:tcPr>
            <w:tcW w:w="2709" w:type="dxa"/>
            <w:tcBorders>
              <w:top w:val="nil"/>
              <w:left w:val="single" w:sz="8" w:space="0" w:color="auto"/>
              <w:bottom w:val="single" w:sz="4" w:space="0" w:color="auto"/>
              <w:right w:val="single" w:sz="4" w:space="0" w:color="auto"/>
            </w:tcBorders>
            <w:shd w:val="clear" w:color="auto" w:fill="auto"/>
            <w:noWrap/>
            <w:vAlign w:val="center"/>
            <w:hideMark/>
          </w:tcPr>
          <w:p w14:paraId="2503457F" w14:textId="77777777" w:rsidR="00E5464A" w:rsidRPr="00E5464A" w:rsidRDefault="00E5464A" w:rsidP="00E5464A">
            <w:pPr>
              <w:rPr>
                <w:rFonts w:cs="Arial"/>
                <w:color w:val="000000"/>
                <w:sz w:val="20"/>
                <w:szCs w:val="20"/>
                <w:lang w:val="en-US" w:eastAsia="en-US"/>
              </w:rPr>
            </w:pPr>
            <w:r w:rsidRPr="00E5464A">
              <w:rPr>
                <w:rFonts w:cs="Arial"/>
                <w:color w:val="000000"/>
                <w:sz w:val="20"/>
                <w:szCs w:val="20"/>
                <w:lang w:val="en-US" w:eastAsia="en-US"/>
              </w:rPr>
              <w:t xml:space="preserve">(ENT/Audiologist) follow up consultation </w:t>
            </w:r>
          </w:p>
        </w:tc>
        <w:tc>
          <w:tcPr>
            <w:tcW w:w="1757" w:type="dxa"/>
            <w:tcBorders>
              <w:top w:val="nil"/>
              <w:left w:val="nil"/>
              <w:bottom w:val="single" w:sz="4" w:space="0" w:color="auto"/>
              <w:right w:val="single" w:sz="4" w:space="0" w:color="auto"/>
            </w:tcBorders>
            <w:shd w:val="clear" w:color="auto" w:fill="auto"/>
            <w:noWrap/>
            <w:vAlign w:val="center"/>
            <w:hideMark/>
          </w:tcPr>
          <w:p w14:paraId="098DF2AE" w14:textId="77777777" w:rsidR="00E5464A" w:rsidRPr="00E5464A" w:rsidRDefault="00E5464A" w:rsidP="00E5464A">
            <w:pPr>
              <w:jc w:val="center"/>
              <w:rPr>
                <w:rFonts w:cs="Arial"/>
                <w:color w:val="000000"/>
                <w:sz w:val="20"/>
                <w:szCs w:val="20"/>
                <w:lang w:val="en-US" w:eastAsia="en-US"/>
              </w:rPr>
            </w:pPr>
            <w:r w:rsidRPr="00E5464A">
              <w:rPr>
                <w:rFonts w:cs="Arial"/>
                <w:color w:val="000000"/>
                <w:sz w:val="20"/>
                <w:szCs w:val="20"/>
                <w:lang w:val="en-US" w:eastAsia="en-US"/>
              </w:rPr>
              <w:t>10952</w:t>
            </w:r>
          </w:p>
        </w:tc>
        <w:tc>
          <w:tcPr>
            <w:tcW w:w="960" w:type="dxa"/>
            <w:tcBorders>
              <w:top w:val="nil"/>
              <w:left w:val="nil"/>
              <w:bottom w:val="single" w:sz="4" w:space="0" w:color="auto"/>
              <w:right w:val="single" w:sz="4" w:space="0" w:color="auto"/>
            </w:tcBorders>
            <w:shd w:val="clear" w:color="auto" w:fill="auto"/>
            <w:noWrap/>
            <w:vAlign w:val="center"/>
            <w:hideMark/>
          </w:tcPr>
          <w:p w14:paraId="25A3B303" w14:textId="77777777" w:rsidR="00E5464A" w:rsidRPr="00E5464A" w:rsidRDefault="00E5464A" w:rsidP="00E5464A">
            <w:pPr>
              <w:jc w:val="center"/>
              <w:rPr>
                <w:rFonts w:cs="Arial"/>
                <w:color w:val="000000"/>
                <w:sz w:val="20"/>
                <w:szCs w:val="20"/>
                <w:lang w:val="en-US" w:eastAsia="en-US"/>
              </w:rPr>
            </w:pPr>
            <w:r w:rsidRPr="00E5464A">
              <w:rPr>
                <w:rFonts w:cs="Arial"/>
                <w:color w:val="000000"/>
                <w:sz w:val="20"/>
                <w:szCs w:val="20"/>
                <w:lang w:val="en-US" w:eastAsia="en-US"/>
              </w:rPr>
              <w:t>1</w:t>
            </w:r>
          </w:p>
        </w:tc>
        <w:tc>
          <w:tcPr>
            <w:tcW w:w="1677" w:type="dxa"/>
            <w:tcBorders>
              <w:top w:val="nil"/>
              <w:left w:val="nil"/>
              <w:bottom w:val="single" w:sz="4" w:space="0" w:color="auto"/>
              <w:right w:val="single" w:sz="4" w:space="0" w:color="auto"/>
            </w:tcBorders>
            <w:shd w:val="clear" w:color="auto" w:fill="auto"/>
            <w:noWrap/>
            <w:vAlign w:val="center"/>
            <w:hideMark/>
          </w:tcPr>
          <w:p w14:paraId="14173D9A" w14:textId="286F1236" w:rsidR="00E5464A" w:rsidRPr="00E5464A" w:rsidRDefault="00E5464A" w:rsidP="00E5464A">
            <w:pPr>
              <w:rPr>
                <w:rFonts w:cs="Arial"/>
                <w:color w:val="000000"/>
                <w:sz w:val="20"/>
                <w:szCs w:val="20"/>
                <w:lang w:val="en-US" w:eastAsia="en-US"/>
              </w:rPr>
            </w:pPr>
            <w:r w:rsidRPr="00E5464A">
              <w:rPr>
                <w:rFonts w:cs="Arial"/>
                <w:color w:val="000000"/>
                <w:sz w:val="20"/>
                <w:szCs w:val="20"/>
                <w:lang w:val="en-US" w:eastAsia="en-US"/>
              </w:rPr>
              <w:t xml:space="preserve"> AUD   62,25 </w:t>
            </w:r>
          </w:p>
        </w:tc>
        <w:tc>
          <w:tcPr>
            <w:tcW w:w="1559" w:type="dxa"/>
            <w:tcBorders>
              <w:top w:val="nil"/>
              <w:left w:val="nil"/>
              <w:bottom w:val="single" w:sz="4" w:space="0" w:color="auto"/>
              <w:right w:val="single" w:sz="8" w:space="0" w:color="auto"/>
            </w:tcBorders>
            <w:shd w:val="clear" w:color="auto" w:fill="auto"/>
            <w:noWrap/>
            <w:vAlign w:val="center"/>
            <w:hideMark/>
          </w:tcPr>
          <w:p w14:paraId="5AA309AC" w14:textId="35986762" w:rsidR="00E5464A" w:rsidRPr="00E5464A" w:rsidRDefault="00E5464A" w:rsidP="00E5464A">
            <w:pPr>
              <w:rPr>
                <w:rFonts w:cs="Arial"/>
                <w:color w:val="000000"/>
                <w:sz w:val="20"/>
                <w:szCs w:val="20"/>
                <w:lang w:val="en-US" w:eastAsia="en-US"/>
              </w:rPr>
            </w:pPr>
            <w:r w:rsidRPr="00E5464A">
              <w:rPr>
                <w:rFonts w:cs="Arial"/>
                <w:color w:val="000000"/>
                <w:sz w:val="20"/>
                <w:szCs w:val="20"/>
                <w:lang w:val="en-US" w:eastAsia="en-US"/>
              </w:rPr>
              <w:t xml:space="preserve"> AUD   62,25 </w:t>
            </w:r>
          </w:p>
        </w:tc>
      </w:tr>
      <w:tr w:rsidR="00E5464A" w:rsidRPr="00E5464A" w14:paraId="54B49772" w14:textId="77777777" w:rsidTr="00AA1F7B">
        <w:trPr>
          <w:trHeight w:val="300"/>
        </w:trPr>
        <w:tc>
          <w:tcPr>
            <w:tcW w:w="2709" w:type="dxa"/>
            <w:tcBorders>
              <w:top w:val="nil"/>
              <w:left w:val="single" w:sz="8" w:space="0" w:color="auto"/>
              <w:bottom w:val="single" w:sz="4" w:space="0" w:color="auto"/>
              <w:right w:val="single" w:sz="4" w:space="0" w:color="auto"/>
            </w:tcBorders>
            <w:shd w:val="clear" w:color="auto" w:fill="auto"/>
            <w:noWrap/>
            <w:vAlign w:val="center"/>
            <w:hideMark/>
          </w:tcPr>
          <w:p w14:paraId="728872D2" w14:textId="77777777" w:rsidR="00E5464A" w:rsidRPr="00E5464A" w:rsidRDefault="00E5464A" w:rsidP="00E5464A">
            <w:pPr>
              <w:rPr>
                <w:rFonts w:cs="Arial"/>
                <w:color w:val="000000"/>
                <w:sz w:val="20"/>
                <w:szCs w:val="20"/>
                <w:lang w:val="en-US" w:eastAsia="en-US"/>
              </w:rPr>
            </w:pPr>
            <w:r w:rsidRPr="00E5464A">
              <w:rPr>
                <w:rFonts w:cs="Arial"/>
                <w:color w:val="000000"/>
                <w:sz w:val="20"/>
                <w:szCs w:val="20"/>
                <w:lang w:val="en-US" w:eastAsia="en-US"/>
              </w:rPr>
              <w:t>Battery cost</w:t>
            </w:r>
          </w:p>
        </w:tc>
        <w:tc>
          <w:tcPr>
            <w:tcW w:w="1757" w:type="dxa"/>
            <w:tcBorders>
              <w:top w:val="nil"/>
              <w:left w:val="nil"/>
              <w:bottom w:val="single" w:sz="4" w:space="0" w:color="auto"/>
              <w:right w:val="single" w:sz="4" w:space="0" w:color="auto"/>
            </w:tcBorders>
            <w:shd w:val="clear" w:color="auto" w:fill="auto"/>
            <w:noWrap/>
            <w:vAlign w:val="center"/>
            <w:hideMark/>
          </w:tcPr>
          <w:p w14:paraId="77A9E20A" w14:textId="77777777" w:rsidR="00E5464A" w:rsidRPr="00E5464A" w:rsidRDefault="00E5464A" w:rsidP="00E5464A">
            <w:pPr>
              <w:jc w:val="center"/>
              <w:rPr>
                <w:rFonts w:cs="Arial"/>
                <w:color w:val="000000"/>
                <w:sz w:val="20"/>
                <w:szCs w:val="20"/>
                <w:lang w:val="en-US" w:eastAsia="en-US"/>
              </w:rPr>
            </w:pPr>
            <w:r w:rsidRPr="00E5464A">
              <w:rPr>
                <w:rFonts w:cs="Arial"/>
                <w:color w:val="000000"/>
                <w:sz w:val="20"/>
                <w:szCs w:val="20"/>
                <w:lang w:val="en-US" w:eastAsia="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B518E4C" w14:textId="77777777" w:rsidR="00E5464A" w:rsidRPr="00E5464A" w:rsidRDefault="00E5464A" w:rsidP="00E5464A">
            <w:pPr>
              <w:jc w:val="center"/>
              <w:rPr>
                <w:rFonts w:cs="Arial"/>
                <w:color w:val="000000"/>
                <w:sz w:val="20"/>
                <w:szCs w:val="20"/>
                <w:lang w:val="en-US" w:eastAsia="en-US"/>
              </w:rPr>
            </w:pPr>
            <w:r w:rsidRPr="00E5464A">
              <w:rPr>
                <w:rFonts w:cs="Arial"/>
                <w:color w:val="000000"/>
                <w:sz w:val="20"/>
                <w:szCs w:val="20"/>
                <w:lang w:val="en-US" w:eastAsia="en-US"/>
              </w:rPr>
              <w:t>26</w:t>
            </w:r>
          </w:p>
        </w:tc>
        <w:tc>
          <w:tcPr>
            <w:tcW w:w="1677" w:type="dxa"/>
            <w:tcBorders>
              <w:top w:val="nil"/>
              <w:left w:val="nil"/>
              <w:bottom w:val="single" w:sz="4" w:space="0" w:color="auto"/>
              <w:right w:val="single" w:sz="4" w:space="0" w:color="auto"/>
            </w:tcBorders>
            <w:shd w:val="clear" w:color="auto" w:fill="auto"/>
            <w:noWrap/>
            <w:vAlign w:val="center"/>
            <w:hideMark/>
          </w:tcPr>
          <w:p w14:paraId="12CCCC69" w14:textId="528A83BB" w:rsidR="00E5464A" w:rsidRPr="00E5464A" w:rsidRDefault="00E5464A" w:rsidP="00E5464A">
            <w:pPr>
              <w:rPr>
                <w:rFonts w:cs="Arial"/>
                <w:color w:val="000000"/>
                <w:sz w:val="20"/>
                <w:szCs w:val="20"/>
                <w:lang w:val="en-US" w:eastAsia="en-US"/>
              </w:rPr>
            </w:pPr>
            <w:r w:rsidRPr="00E5464A">
              <w:rPr>
                <w:rFonts w:cs="Arial"/>
                <w:color w:val="000000"/>
                <w:sz w:val="20"/>
                <w:szCs w:val="20"/>
                <w:lang w:val="en-US" w:eastAsia="en-US"/>
              </w:rPr>
              <w:t xml:space="preserve"> AUD   1,00 </w:t>
            </w:r>
          </w:p>
        </w:tc>
        <w:tc>
          <w:tcPr>
            <w:tcW w:w="1559" w:type="dxa"/>
            <w:tcBorders>
              <w:top w:val="nil"/>
              <w:left w:val="nil"/>
              <w:bottom w:val="single" w:sz="4" w:space="0" w:color="auto"/>
              <w:right w:val="single" w:sz="8" w:space="0" w:color="auto"/>
            </w:tcBorders>
            <w:shd w:val="clear" w:color="auto" w:fill="auto"/>
            <w:noWrap/>
            <w:vAlign w:val="center"/>
            <w:hideMark/>
          </w:tcPr>
          <w:p w14:paraId="55CA809B" w14:textId="58841C60" w:rsidR="00E5464A" w:rsidRPr="00E5464A" w:rsidRDefault="00E5464A" w:rsidP="00E5464A">
            <w:pPr>
              <w:rPr>
                <w:rFonts w:cs="Arial"/>
                <w:color w:val="000000"/>
                <w:sz w:val="20"/>
                <w:szCs w:val="20"/>
                <w:lang w:val="en-US" w:eastAsia="en-US"/>
              </w:rPr>
            </w:pPr>
            <w:r w:rsidRPr="00E5464A">
              <w:rPr>
                <w:rFonts w:cs="Arial"/>
                <w:color w:val="000000"/>
                <w:sz w:val="20"/>
                <w:szCs w:val="20"/>
                <w:lang w:val="en-US" w:eastAsia="en-US"/>
              </w:rPr>
              <w:t xml:space="preserve"> AUD   26,00 </w:t>
            </w:r>
          </w:p>
        </w:tc>
      </w:tr>
      <w:tr w:rsidR="00E5464A" w:rsidRPr="00E5464A" w14:paraId="112366C1" w14:textId="77777777" w:rsidTr="00AA1F7B">
        <w:trPr>
          <w:trHeight w:val="315"/>
        </w:trPr>
        <w:tc>
          <w:tcPr>
            <w:tcW w:w="2709" w:type="dxa"/>
            <w:tcBorders>
              <w:top w:val="nil"/>
              <w:left w:val="single" w:sz="8" w:space="0" w:color="auto"/>
              <w:bottom w:val="single" w:sz="8" w:space="0" w:color="auto"/>
              <w:right w:val="single" w:sz="4" w:space="0" w:color="auto"/>
            </w:tcBorders>
            <w:shd w:val="clear" w:color="auto" w:fill="auto"/>
            <w:noWrap/>
            <w:vAlign w:val="center"/>
            <w:hideMark/>
          </w:tcPr>
          <w:p w14:paraId="2F22C1CA" w14:textId="77777777" w:rsidR="00E5464A" w:rsidRPr="00E5464A" w:rsidRDefault="00E5464A" w:rsidP="00E5464A">
            <w:pPr>
              <w:jc w:val="right"/>
              <w:rPr>
                <w:rFonts w:cs="Arial"/>
                <w:color w:val="000000"/>
                <w:sz w:val="20"/>
                <w:szCs w:val="20"/>
                <w:lang w:val="en-US" w:eastAsia="en-US"/>
              </w:rPr>
            </w:pPr>
            <w:r w:rsidRPr="00E5464A">
              <w:rPr>
                <w:rFonts w:cs="Arial"/>
                <w:color w:val="000000"/>
                <w:sz w:val="20"/>
                <w:szCs w:val="20"/>
                <w:lang w:val="en-US" w:eastAsia="en-US"/>
              </w:rPr>
              <w:t>subtotal</w:t>
            </w:r>
          </w:p>
        </w:tc>
        <w:tc>
          <w:tcPr>
            <w:tcW w:w="1757" w:type="dxa"/>
            <w:tcBorders>
              <w:top w:val="nil"/>
              <w:left w:val="nil"/>
              <w:bottom w:val="single" w:sz="8" w:space="0" w:color="auto"/>
              <w:right w:val="single" w:sz="4" w:space="0" w:color="auto"/>
            </w:tcBorders>
            <w:shd w:val="clear" w:color="auto" w:fill="auto"/>
            <w:noWrap/>
            <w:vAlign w:val="center"/>
            <w:hideMark/>
          </w:tcPr>
          <w:p w14:paraId="63711FE6" w14:textId="77777777" w:rsidR="00E5464A" w:rsidRPr="00E5464A" w:rsidRDefault="00E5464A" w:rsidP="00E5464A">
            <w:pPr>
              <w:jc w:val="center"/>
              <w:rPr>
                <w:rFonts w:cs="Arial"/>
                <w:color w:val="000000"/>
                <w:sz w:val="20"/>
                <w:szCs w:val="20"/>
                <w:lang w:val="en-US" w:eastAsia="en-US"/>
              </w:rPr>
            </w:pPr>
            <w:r w:rsidRPr="00E5464A">
              <w:rPr>
                <w:rFonts w:cs="Arial"/>
                <w:color w:val="000000"/>
                <w:sz w:val="20"/>
                <w:szCs w:val="20"/>
                <w:lang w:val="en-US" w:eastAsia="en-US"/>
              </w:rPr>
              <w:t> </w:t>
            </w:r>
          </w:p>
        </w:tc>
        <w:tc>
          <w:tcPr>
            <w:tcW w:w="960" w:type="dxa"/>
            <w:tcBorders>
              <w:top w:val="nil"/>
              <w:left w:val="nil"/>
              <w:bottom w:val="single" w:sz="8" w:space="0" w:color="auto"/>
              <w:right w:val="single" w:sz="4" w:space="0" w:color="auto"/>
            </w:tcBorders>
            <w:shd w:val="clear" w:color="auto" w:fill="auto"/>
            <w:noWrap/>
            <w:vAlign w:val="center"/>
            <w:hideMark/>
          </w:tcPr>
          <w:p w14:paraId="05E19945" w14:textId="77777777" w:rsidR="00E5464A" w:rsidRPr="00E5464A" w:rsidRDefault="00E5464A" w:rsidP="00E5464A">
            <w:pPr>
              <w:jc w:val="center"/>
              <w:rPr>
                <w:rFonts w:cs="Arial"/>
                <w:color w:val="000000"/>
                <w:sz w:val="20"/>
                <w:szCs w:val="20"/>
                <w:lang w:val="en-US" w:eastAsia="en-US"/>
              </w:rPr>
            </w:pPr>
            <w:r w:rsidRPr="00E5464A">
              <w:rPr>
                <w:rFonts w:cs="Arial"/>
                <w:color w:val="000000"/>
                <w:sz w:val="20"/>
                <w:szCs w:val="20"/>
                <w:lang w:val="en-US" w:eastAsia="en-US"/>
              </w:rPr>
              <w:t> </w:t>
            </w:r>
          </w:p>
        </w:tc>
        <w:tc>
          <w:tcPr>
            <w:tcW w:w="1677" w:type="dxa"/>
            <w:tcBorders>
              <w:top w:val="nil"/>
              <w:left w:val="nil"/>
              <w:bottom w:val="single" w:sz="8" w:space="0" w:color="auto"/>
              <w:right w:val="single" w:sz="4" w:space="0" w:color="auto"/>
            </w:tcBorders>
            <w:shd w:val="clear" w:color="auto" w:fill="auto"/>
            <w:noWrap/>
            <w:vAlign w:val="center"/>
            <w:hideMark/>
          </w:tcPr>
          <w:p w14:paraId="3AC18FF5" w14:textId="5F4180FD" w:rsidR="00E5464A" w:rsidRPr="00E5464A" w:rsidRDefault="00E5464A" w:rsidP="00E5464A">
            <w:pPr>
              <w:rPr>
                <w:rFonts w:cs="Arial"/>
                <w:color w:val="000000"/>
                <w:sz w:val="20"/>
                <w:szCs w:val="20"/>
                <w:lang w:val="en-US" w:eastAsia="en-US"/>
              </w:rPr>
            </w:pPr>
            <w:r w:rsidRPr="00E5464A">
              <w:rPr>
                <w:rFonts w:cs="Arial"/>
                <w:color w:val="000000"/>
                <w:sz w:val="20"/>
                <w:szCs w:val="20"/>
                <w:lang w:val="en-US" w:eastAsia="en-US"/>
              </w:rPr>
              <w:t xml:space="preserve"> AUD   63,25 </w:t>
            </w:r>
          </w:p>
        </w:tc>
        <w:tc>
          <w:tcPr>
            <w:tcW w:w="1559" w:type="dxa"/>
            <w:tcBorders>
              <w:top w:val="nil"/>
              <w:left w:val="nil"/>
              <w:bottom w:val="single" w:sz="8" w:space="0" w:color="auto"/>
              <w:right w:val="single" w:sz="8" w:space="0" w:color="auto"/>
            </w:tcBorders>
            <w:shd w:val="clear" w:color="auto" w:fill="auto"/>
            <w:noWrap/>
            <w:vAlign w:val="center"/>
            <w:hideMark/>
          </w:tcPr>
          <w:p w14:paraId="2EBC8412" w14:textId="200C5211" w:rsidR="00E5464A" w:rsidRPr="00E5464A" w:rsidRDefault="00E5464A" w:rsidP="00C7683B">
            <w:pPr>
              <w:rPr>
                <w:rFonts w:cs="Arial"/>
                <w:color w:val="000000"/>
                <w:sz w:val="20"/>
                <w:szCs w:val="20"/>
                <w:lang w:val="en-US" w:eastAsia="en-US"/>
              </w:rPr>
            </w:pPr>
            <w:r w:rsidRPr="00E5464A">
              <w:rPr>
                <w:rFonts w:cs="Arial"/>
                <w:color w:val="000000"/>
                <w:sz w:val="20"/>
                <w:szCs w:val="20"/>
                <w:lang w:val="en-US" w:eastAsia="en-US"/>
              </w:rPr>
              <w:t xml:space="preserve"> AUD   88,25 </w:t>
            </w:r>
          </w:p>
        </w:tc>
      </w:tr>
    </w:tbl>
    <w:p w14:paraId="1629C724" w14:textId="77777777" w:rsidR="00D85D29" w:rsidRDefault="00D85D29" w:rsidP="004D1FF6">
      <w:pPr>
        <w:pStyle w:val="Textbody"/>
        <w:rPr>
          <w:lang w:val="en-AU"/>
        </w:rPr>
      </w:pPr>
    </w:p>
    <w:p w14:paraId="5BC97F6D" w14:textId="77777777" w:rsidR="00AA1F7B" w:rsidRPr="00A02A89" w:rsidRDefault="00AA1F7B" w:rsidP="00AA1F7B">
      <w:pPr>
        <w:spacing w:line="360" w:lineRule="auto"/>
        <w:jc w:val="both"/>
        <w:rPr>
          <w:rFonts w:cs="Arial"/>
          <w:lang w:val="en-GB"/>
        </w:rPr>
      </w:pPr>
      <w:r w:rsidRPr="00932A48">
        <w:rPr>
          <w:rFonts w:cs="Arial"/>
          <w:lang w:val="en-GB"/>
        </w:rPr>
        <w:t>The costs for stapedectomy obtained from the MBS were AUD 1089</w:t>
      </w:r>
      <w:r w:rsidR="00AD5624">
        <w:rPr>
          <w:rFonts w:cs="Arial"/>
          <w:lang w:val="en-GB"/>
        </w:rPr>
        <w:t>.</w:t>
      </w:r>
      <w:r w:rsidRPr="00932A48">
        <w:rPr>
          <w:rFonts w:cs="Arial"/>
          <w:lang w:val="en-GB"/>
        </w:rPr>
        <w:t>90. In the case of a device failure the implanted components need to be removed from the middle ear and in most cases replaced. The explantation procedure was costed as the reference cost for the original operation, excluding</w:t>
      </w:r>
      <w:r w:rsidR="00A02A89">
        <w:rPr>
          <w:rFonts w:cs="Arial"/>
          <w:lang w:val="en-GB"/>
        </w:rPr>
        <w:t xml:space="preserve"> surgical consumables, at AUD 2</w:t>
      </w:r>
      <w:r w:rsidR="00AD5624">
        <w:rPr>
          <w:rFonts w:cs="Arial"/>
          <w:lang w:val="en-GB"/>
        </w:rPr>
        <w:t>.</w:t>
      </w:r>
      <w:r w:rsidR="00A02A89">
        <w:rPr>
          <w:rFonts w:cs="Arial"/>
          <w:lang w:val="en-GB"/>
        </w:rPr>
        <w:t>989</w:t>
      </w:r>
      <w:r w:rsidR="00AD5624">
        <w:rPr>
          <w:rFonts w:cs="Arial"/>
          <w:lang w:val="en-GB"/>
        </w:rPr>
        <w:t>.</w:t>
      </w:r>
      <w:r w:rsidRPr="00932A48">
        <w:rPr>
          <w:rFonts w:cs="Arial"/>
          <w:lang w:val="en-GB"/>
        </w:rPr>
        <w:t>24. The re-implantation procedure was assumed to be equal to the total costs of implantation excluding the estimated audio processor costs, that`s AUD 7</w:t>
      </w:r>
      <w:r w:rsidR="00AD5624">
        <w:rPr>
          <w:rFonts w:cs="Arial"/>
          <w:lang w:val="en-GB"/>
        </w:rPr>
        <w:t>.</w:t>
      </w:r>
      <w:r w:rsidR="00A02A89">
        <w:rPr>
          <w:rFonts w:cs="Arial"/>
          <w:lang w:val="en-GB"/>
        </w:rPr>
        <w:t>308</w:t>
      </w:r>
      <w:r w:rsidR="00AD5624">
        <w:rPr>
          <w:rFonts w:cs="Arial"/>
          <w:lang w:val="en-GB"/>
        </w:rPr>
        <w:t>,</w:t>
      </w:r>
      <w:r w:rsidRPr="00932A48">
        <w:rPr>
          <w:rFonts w:cs="Arial"/>
          <w:lang w:val="en-GB"/>
        </w:rPr>
        <w:t xml:space="preserve">46. The breakdown of costs for treating adverse events and device failure are </w:t>
      </w:r>
      <w:r w:rsidRPr="00A02A89">
        <w:rPr>
          <w:rFonts w:cs="Arial"/>
          <w:lang w:val="en-GB"/>
        </w:rPr>
        <w:t xml:space="preserve">summarised in </w:t>
      </w:r>
      <w:r w:rsidRPr="00A02A89">
        <w:rPr>
          <w:rFonts w:cs="Arial"/>
          <w:highlight w:val="yellow"/>
          <w:lang w:val="en-GB"/>
        </w:rPr>
        <w:fldChar w:fldCharType="begin"/>
      </w:r>
      <w:r w:rsidRPr="00A02A89">
        <w:rPr>
          <w:rFonts w:cs="Arial"/>
          <w:lang w:val="en-GB"/>
        </w:rPr>
        <w:instrText xml:space="preserve"> REF _Ref430965631 \h </w:instrText>
      </w:r>
      <w:r w:rsidRPr="00A02A89">
        <w:rPr>
          <w:rFonts w:cs="Arial"/>
          <w:highlight w:val="yellow"/>
          <w:lang w:val="en-GB"/>
        </w:rPr>
        <w:instrText xml:space="preserve"> \* MERGEFORMAT </w:instrText>
      </w:r>
      <w:r w:rsidRPr="00A02A89">
        <w:rPr>
          <w:rFonts w:cs="Arial"/>
          <w:highlight w:val="yellow"/>
          <w:lang w:val="en-GB"/>
        </w:rPr>
      </w:r>
      <w:r w:rsidRPr="00A02A89">
        <w:rPr>
          <w:rFonts w:cs="Arial"/>
          <w:highlight w:val="yellow"/>
          <w:lang w:val="en-GB"/>
        </w:rPr>
        <w:fldChar w:fldCharType="separate"/>
      </w:r>
      <w:r w:rsidR="00016592" w:rsidRPr="00016592">
        <w:rPr>
          <w:rFonts w:cs="Arial"/>
          <w:bCs/>
        </w:rPr>
        <w:t xml:space="preserve">Table </w:t>
      </w:r>
      <w:r w:rsidR="00016592" w:rsidRPr="00016592">
        <w:rPr>
          <w:rFonts w:cs="Arial"/>
          <w:bCs/>
          <w:noProof/>
        </w:rPr>
        <w:t>43</w:t>
      </w:r>
      <w:r w:rsidRPr="00A02A89">
        <w:rPr>
          <w:rFonts w:cs="Arial"/>
          <w:highlight w:val="yellow"/>
          <w:lang w:val="en-GB"/>
        </w:rPr>
        <w:fldChar w:fldCharType="end"/>
      </w:r>
      <w:r w:rsidRPr="00A02A89">
        <w:rPr>
          <w:rFonts w:cs="Arial"/>
          <w:lang w:val="en-GB"/>
        </w:rPr>
        <w:t>.</w:t>
      </w:r>
    </w:p>
    <w:p w14:paraId="5C2A6026" w14:textId="77777777" w:rsidR="00AA1F7B" w:rsidRPr="00932A48" w:rsidRDefault="00AA1F7B" w:rsidP="00AA1F7B">
      <w:pPr>
        <w:spacing w:line="360" w:lineRule="auto"/>
        <w:jc w:val="both"/>
        <w:rPr>
          <w:rFonts w:cs="Arial"/>
          <w:lang w:val="en-GB"/>
        </w:rPr>
      </w:pPr>
    </w:p>
    <w:p w14:paraId="60B76CB1" w14:textId="77777777" w:rsidR="00AA1F7B" w:rsidRPr="00AA1F7B" w:rsidRDefault="00AA1F7B" w:rsidP="00AA1F7B">
      <w:pPr>
        <w:spacing w:line="360" w:lineRule="auto"/>
        <w:jc w:val="both"/>
        <w:rPr>
          <w:rFonts w:cs="Arial"/>
          <w:b/>
          <w:bCs/>
          <w:sz w:val="20"/>
          <w:szCs w:val="20"/>
        </w:rPr>
      </w:pPr>
      <w:bookmarkStart w:id="556" w:name="_Ref430965631"/>
      <w:bookmarkStart w:id="557" w:name="_Toc431917503"/>
      <w:r w:rsidRPr="00AA1F7B">
        <w:rPr>
          <w:rFonts w:cs="Arial"/>
          <w:b/>
          <w:bCs/>
          <w:sz w:val="20"/>
          <w:szCs w:val="20"/>
        </w:rPr>
        <w:t xml:space="preserve">Table </w:t>
      </w:r>
      <w:r w:rsidRPr="00AA1F7B">
        <w:rPr>
          <w:rFonts w:cs="Arial"/>
          <w:b/>
          <w:bCs/>
          <w:sz w:val="20"/>
          <w:szCs w:val="20"/>
        </w:rPr>
        <w:fldChar w:fldCharType="begin"/>
      </w:r>
      <w:r w:rsidRPr="00AA1F7B">
        <w:rPr>
          <w:rFonts w:cs="Arial"/>
          <w:b/>
          <w:bCs/>
          <w:sz w:val="20"/>
          <w:szCs w:val="20"/>
        </w:rPr>
        <w:instrText xml:space="preserve"> SEQ Table \* ARABIC </w:instrText>
      </w:r>
      <w:r w:rsidRPr="00AA1F7B">
        <w:rPr>
          <w:rFonts w:cs="Arial"/>
          <w:b/>
          <w:bCs/>
          <w:sz w:val="20"/>
          <w:szCs w:val="20"/>
        </w:rPr>
        <w:fldChar w:fldCharType="separate"/>
      </w:r>
      <w:r w:rsidR="00016592">
        <w:rPr>
          <w:rFonts w:cs="Arial"/>
          <w:b/>
          <w:bCs/>
          <w:noProof/>
          <w:sz w:val="20"/>
          <w:szCs w:val="20"/>
        </w:rPr>
        <w:t>43</w:t>
      </w:r>
      <w:r w:rsidRPr="00AA1F7B">
        <w:rPr>
          <w:rFonts w:cs="Arial"/>
          <w:b/>
          <w:bCs/>
          <w:sz w:val="20"/>
          <w:szCs w:val="20"/>
        </w:rPr>
        <w:fldChar w:fldCharType="end"/>
      </w:r>
      <w:bookmarkEnd w:id="556"/>
      <w:r w:rsidRPr="00AA1F7B">
        <w:rPr>
          <w:rFonts w:cs="Arial"/>
          <w:b/>
          <w:bCs/>
          <w:sz w:val="20"/>
          <w:szCs w:val="20"/>
        </w:rPr>
        <w:t xml:space="preserve"> - </w:t>
      </w:r>
      <w:r w:rsidRPr="00AA1F7B">
        <w:rPr>
          <w:rFonts w:cs="Arial"/>
          <w:b/>
          <w:sz w:val="20"/>
          <w:szCs w:val="20"/>
          <w:lang w:val="en-GB"/>
        </w:rPr>
        <w:t>Costs associated with adverse events and device failure for the Maxum/Soundtec system.</w:t>
      </w:r>
      <w:bookmarkEnd w:id="557"/>
    </w:p>
    <w:tbl>
      <w:tblPr>
        <w:tblW w:w="8379" w:type="dxa"/>
        <w:jc w:val="center"/>
        <w:tblLook w:val="04A0" w:firstRow="1" w:lastRow="0" w:firstColumn="1" w:lastColumn="0" w:noHBand="0" w:noVBand="1"/>
        <w:tblDescription w:val="Costs associated with adverse events and device failure for the Maxum/Soundtec system."/>
      </w:tblPr>
      <w:tblGrid>
        <w:gridCol w:w="1610"/>
        <w:gridCol w:w="1840"/>
        <w:gridCol w:w="2796"/>
        <w:gridCol w:w="2133"/>
      </w:tblGrid>
      <w:tr w:rsidR="00AA1F7B" w:rsidRPr="00AA1F7B" w14:paraId="0D3BDB58" w14:textId="77777777" w:rsidTr="00E01546">
        <w:trPr>
          <w:trHeight w:val="300"/>
          <w:jc w:val="center"/>
        </w:trPr>
        <w:tc>
          <w:tcPr>
            <w:tcW w:w="161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7D1A8CD" w14:textId="77777777" w:rsidR="00AA1F7B" w:rsidRPr="00AA1F7B" w:rsidRDefault="00AA1F7B" w:rsidP="00AA1F7B">
            <w:pPr>
              <w:jc w:val="center"/>
              <w:rPr>
                <w:rFonts w:cs="Arial"/>
                <w:b/>
                <w:bCs/>
                <w:color w:val="000000"/>
                <w:lang w:val="en-US" w:eastAsia="en-US"/>
              </w:rPr>
            </w:pPr>
            <w:r w:rsidRPr="00AA1F7B">
              <w:rPr>
                <w:rFonts w:cs="Arial"/>
                <w:b/>
                <w:bCs/>
                <w:color w:val="000000"/>
                <w:lang w:val="en-US" w:eastAsia="en-US"/>
              </w:rPr>
              <w:t>Complication</w:t>
            </w:r>
          </w:p>
        </w:tc>
        <w:tc>
          <w:tcPr>
            <w:tcW w:w="1840" w:type="dxa"/>
            <w:tcBorders>
              <w:top w:val="single" w:sz="8" w:space="0" w:color="auto"/>
              <w:left w:val="nil"/>
              <w:bottom w:val="single" w:sz="4" w:space="0" w:color="auto"/>
              <w:right w:val="single" w:sz="4" w:space="0" w:color="auto"/>
            </w:tcBorders>
            <w:shd w:val="clear" w:color="auto" w:fill="auto"/>
            <w:noWrap/>
            <w:vAlign w:val="center"/>
            <w:hideMark/>
          </w:tcPr>
          <w:p w14:paraId="4145ACE5" w14:textId="77777777" w:rsidR="00AA1F7B" w:rsidRPr="00AA1F7B" w:rsidRDefault="00AA1F7B" w:rsidP="00AA1F7B">
            <w:pPr>
              <w:jc w:val="center"/>
              <w:rPr>
                <w:rFonts w:cs="Arial"/>
                <w:b/>
                <w:bCs/>
                <w:color w:val="000000"/>
                <w:lang w:val="en-US" w:eastAsia="en-US"/>
              </w:rPr>
            </w:pPr>
            <w:r w:rsidRPr="00AA1F7B">
              <w:rPr>
                <w:rFonts w:cs="Arial"/>
                <w:b/>
                <w:bCs/>
                <w:color w:val="000000"/>
                <w:lang w:val="en-US" w:eastAsia="en-US"/>
              </w:rPr>
              <w:t>Procedure</w:t>
            </w:r>
          </w:p>
        </w:tc>
        <w:tc>
          <w:tcPr>
            <w:tcW w:w="2796" w:type="dxa"/>
            <w:tcBorders>
              <w:top w:val="single" w:sz="8" w:space="0" w:color="auto"/>
              <w:left w:val="nil"/>
              <w:bottom w:val="single" w:sz="4" w:space="0" w:color="auto"/>
              <w:right w:val="single" w:sz="4" w:space="0" w:color="auto"/>
            </w:tcBorders>
            <w:shd w:val="clear" w:color="auto" w:fill="auto"/>
            <w:noWrap/>
            <w:vAlign w:val="center"/>
            <w:hideMark/>
          </w:tcPr>
          <w:p w14:paraId="2906A0BD" w14:textId="77777777" w:rsidR="00AA1F7B" w:rsidRPr="00AA1F7B" w:rsidRDefault="00AA1F7B" w:rsidP="00AA1F7B">
            <w:pPr>
              <w:jc w:val="center"/>
              <w:rPr>
                <w:rFonts w:cs="Arial"/>
                <w:b/>
                <w:bCs/>
                <w:color w:val="000000"/>
                <w:lang w:val="en-US" w:eastAsia="en-US"/>
              </w:rPr>
            </w:pPr>
            <w:r w:rsidRPr="00AA1F7B">
              <w:rPr>
                <w:rFonts w:cs="Arial"/>
                <w:b/>
                <w:bCs/>
                <w:color w:val="000000"/>
                <w:lang w:val="en-US" w:eastAsia="en-US"/>
              </w:rPr>
              <w:t>Reference</w:t>
            </w:r>
          </w:p>
        </w:tc>
        <w:tc>
          <w:tcPr>
            <w:tcW w:w="2133" w:type="dxa"/>
            <w:tcBorders>
              <w:top w:val="single" w:sz="8" w:space="0" w:color="auto"/>
              <w:left w:val="nil"/>
              <w:bottom w:val="single" w:sz="4" w:space="0" w:color="auto"/>
              <w:right w:val="single" w:sz="8" w:space="0" w:color="auto"/>
            </w:tcBorders>
            <w:shd w:val="clear" w:color="auto" w:fill="auto"/>
            <w:noWrap/>
            <w:vAlign w:val="center"/>
            <w:hideMark/>
          </w:tcPr>
          <w:p w14:paraId="7E513A70" w14:textId="77777777" w:rsidR="00AA1F7B" w:rsidRPr="00AA1F7B" w:rsidRDefault="00AA1F7B" w:rsidP="00AA1F7B">
            <w:pPr>
              <w:jc w:val="center"/>
              <w:rPr>
                <w:rFonts w:cs="Arial"/>
                <w:b/>
                <w:bCs/>
                <w:color w:val="000000"/>
                <w:lang w:val="en-US" w:eastAsia="en-US"/>
              </w:rPr>
            </w:pPr>
            <w:r w:rsidRPr="00AA1F7B">
              <w:rPr>
                <w:rFonts w:cs="Arial"/>
                <w:b/>
                <w:bCs/>
                <w:color w:val="000000"/>
                <w:lang w:val="en-US" w:eastAsia="en-US"/>
              </w:rPr>
              <w:t>Total cost</w:t>
            </w:r>
          </w:p>
        </w:tc>
      </w:tr>
      <w:tr w:rsidR="00AA1F7B" w:rsidRPr="00AA1F7B" w14:paraId="7683730A" w14:textId="77777777" w:rsidTr="00E01546">
        <w:trPr>
          <w:trHeight w:val="300"/>
          <w:jc w:val="center"/>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4C5A6DCC" w14:textId="77777777" w:rsidR="00AA1F7B" w:rsidRPr="00AA1F7B" w:rsidRDefault="00AA1F7B" w:rsidP="00AA1F7B">
            <w:pPr>
              <w:rPr>
                <w:rFonts w:cs="Arial"/>
                <w:color w:val="000000"/>
                <w:sz w:val="20"/>
                <w:szCs w:val="20"/>
                <w:lang w:val="en-US" w:eastAsia="en-US"/>
              </w:rPr>
            </w:pPr>
            <w:r w:rsidRPr="00AA1F7B">
              <w:rPr>
                <w:rFonts w:cs="Arial"/>
                <w:color w:val="000000"/>
                <w:sz w:val="20"/>
                <w:szCs w:val="20"/>
                <w:lang w:val="en-US" w:eastAsia="en-US"/>
              </w:rPr>
              <w:t>Adverse events</w:t>
            </w:r>
          </w:p>
        </w:tc>
        <w:tc>
          <w:tcPr>
            <w:tcW w:w="1840" w:type="dxa"/>
            <w:tcBorders>
              <w:top w:val="nil"/>
              <w:left w:val="nil"/>
              <w:bottom w:val="single" w:sz="4" w:space="0" w:color="auto"/>
              <w:right w:val="single" w:sz="4" w:space="0" w:color="auto"/>
            </w:tcBorders>
            <w:shd w:val="clear" w:color="auto" w:fill="auto"/>
            <w:noWrap/>
            <w:vAlign w:val="center"/>
            <w:hideMark/>
          </w:tcPr>
          <w:p w14:paraId="4433191B" w14:textId="77777777" w:rsidR="00AA1F7B" w:rsidRPr="00AA1F7B" w:rsidRDefault="00AA1F7B" w:rsidP="00AA1F7B">
            <w:pPr>
              <w:rPr>
                <w:rFonts w:cs="Arial"/>
                <w:color w:val="000000"/>
                <w:sz w:val="20"/>
                <w:szCs w:val="20"/>
                <w:lang w:val="en-US" w:eastAsia="en-US"/>
              </w:rPr>
            </w:pPr>
            <w:r w:rsidRPr="00AA1F7B">
              <w:rPr>
                <w:rFonts w:cs="Arial"/>
                <w:color w:val="000000"/>
                <w:sz w:val="20"/>
                <w:szCs w:val="20"/>
                <w:lang w:val="en-US" w:eastAsia="en-US"/>
              </w:rPr>
              <w:t>Revision surgery</w:t>
            </w:r>
          </w:p>
        </w:tc>
        <w:tc>
          <w:tcPr>
            <w:tcW w:w="2796" w:type="dxa"/>
            <w:tcBorders>
              <w:top w:val="nil"/>
              <w:left w:val="nil"/>
              <w:bottom w:val="single" w:sz="4" w:space="0" w:color="auto"/>
              <w:right w:val="single" w:sz="4" w:space="0" w:color="auto"/>
            </w:tcBorders>
            <w:shd w:val="clear" w:color="auto" w:fill="auto"/>
            <w:noWrap/>
            <w:vAlign w:val="center"/>
            <w:hideMark/>
          </w:tcPr>
          <w:p w14:paraId="7756ED28" w14:textId="77777777" w:rsidR="00AA1F7B" w:rsidRPr="00AA1F7B" w:rsidRDefault="00AA1F7B" w:rsidP="00AA1F7B">
            <w:pPr>
              <w:rPr>
                <w:rFonts w:cs="Arial"/>
                <w:color w:val="000000"/>
                <w:sz w:val="20"/>
                <w:szCs w:val="20"/>
                <w:lang w:val="en-US" w:eastAsia="en-US"/>
              </w:rPr>
            </w:pPr>
            <w:r w:rsidRPr="00AA1F7B">
              <w:rPr>
                <w:rFonts w:cs="Arial"/>
                <w:color w:val="000000"/>
                <w:sz w:val="20"/>
                <w:szCs w:val="20"/>
                <w:lang w:val="en-US" w:eastAsia="en-US"/>
              </w:rPr>
              <w:t>MBS item 41608</w:t>
            </w:r>
          </w:p>
        </w:tc>
        <w:tc>
          <w:tcPr>
            <w:tcW w:w="2133" w:type="dxa"/>
            <w:tcBorders>
              <w:top w:val="nil"/>
              <w:left w:val="nil"/>
              <w:bottom w:val="single" w:sz="4" w:space="0" w:color="auto"/>
              <w:right w:val="single" w:sz="8" w:space="0" w:color="auto"/>
            </w:tcBorders>
            <w:shd w:val="clear" w:color="auto" w:fill="auto"/>
            <w:noWrap/>
            <w:vAlign w:val="center"/>
            <w:hideMark/>
          </w:tcPr>
          <w:p w14:paraId="5CD51B41" w14:textId="63B3833F" w:rsidR="00AA1F7B" w:rsidRPr="00AA1F7B" w:rsidRDefault="00AA1F7B" w:rsidP="00C7683B">
            <w:pPr>
              <w:rPr>
                <w:rFonts w:cs="Arial"/>
                <w:color w:val="000000"/>
                <w:sz w:val="20"/>
                <w:szCs w:val="20"/>
                <w:lang w:val="en-US" w:eastAsia="en-US"/>
              </w:rPr>
            </w:pPr>
            <w:r w:rsidRPr="00AA1F7B">
              <w:rPr>
                <w:rFonts w:cs="Arial"/>
                <w:color w:val="000000"/>
                <w:sz w:val="20"/>
                <w:szCs w:val="20"/>
                <w:lang w:val="en-US" w:eastAsia="en-US"/>
              </w:rPr>
              <w:t xml:space="preserve"> AUD</w:t>
            </w:r>
            <w:r w:rsidR="00C7683B">
              <w:rPr>
                <w:rFonts w:cs="Arial"/>
                <w:color w:val="000000"/>
                <w:sz w:val="20"/>
                <w:szCs w:val="20"/>
                <w:lang w:val="en-US" w:eastAsia="en-US"/>
              </w:rPr>
              <w:t xml:space="preserve">   </w:t>
            </w:r>
            <w:r w:rsidRPr="00AA1F7B">
              <w:rPr>
                <w:rFonts w:cs="Arial"/>
                <w:color w:val="000000"/>
                <w:sz w:val="20"/>
                <w:szCs w:val="20"/>
                <w:lang w:val="en-US" w:eastAsia="en-US"/>
              </w:rPr>
              <w:t xml:space="preserve">1.089,90 </w:t>
            </w:r>
          </w:p>
        </w:tc>
      </w:tr>
      <w:tr w:rsidR="00AA1F7B" w:rsidRPr="00AA1F7B" w14:paraId="34D146D3" w14:textId="77777777" w:rsidTr="00E01546">
        <w:trPr>
          <w:trHeight w:val="300"/>
          <w:jc w:val="center"/>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2BE12C16" w14:textId="77777777" w:rsidR="00AA1F7B" w:rsidRPr="00AA1F7B" w:rsidRDefault="00AA1F7B" w:rsidP="00AA1F7B">
            <w:pPr>
              <w:rPr>
                <w:rFonts w:cs="Arial"/>
                <w:color w:val="000000"/>
                <w:sz w:val="20"/>
                <w:szCs w:val="20"/>
                <w:lang w:val="en-US" w:eastAsia="en-US"/>
              </w:rPr>
            </w:pPr>
            <w:r w:rsidRPr="00AA1F7B">
              <w:rPr>
                <w:rFonts w:cs="Arial"/>
                <w:color w:val="000000"/>
                <w:sz w:val="20"/>
                <w:szCs w:val="20"/>
                <w:lang w:val="en-US" w:eastAsia="en-US"/>
              </w:rPr>
              <w:t>Device failure</w:t>
            </w:r>
          </w:p>
        </w:tc>
        <w:tc>
          <w:tcPr>
            <w:tcW w:w="1840" w:type="dxa"/>
            <w:tcBorders>
              <w:top w:val="nil"/>
              <w:left w:val="nil"/>
              <w:bottom w:val="single" w:sz="4" w:space="0" w:color="auto"/>
              <w:right w:val="single" w:sz="4" w:space="0" w:color="auto"/>
            </w:tcBorders>
            <w:shd w:val="clear" w:color="auto" w:fill="auto"/>
            <w:noWrap/>
            <w:vAlign w:val="center"/>
            <w:hideMark/>
          </w:tcPr>
          <w:p w14:paraId="78651FBB" w14:textId="77777777" w:rsidR="00AA1F7B" w:rsidRPr="00AA1F7B" w:rsidRDefault="00AA1F7B" w:rsidP="00AA1F7B">
            <w:pPr>
              <w:rPr>
                <w:rFonts w:cs="Arial"/>
                <w:color w:val="000000"/>
                <w:sz w:val="20"/>
                <w:szCs w:val="20"/>
                <w:lang w:val="en-US" w:eastAsia="en-US"/>
              </w:rPr>
            </w:pPr>
            <w:r w:rsidRPr="00AA1F7B">
              <w:rPr>
                <w:rFonts w:cs="Arial"/>
                <w:color w:val="000000"/>
                <w:sz w:val="20"/>
                <w:szCs w:val="20"/>
                <w:lang w:val="en-US" w:eastAsia="en-US"/>
              </w:rPr>
              <w:t>Explantation</w:t>
            </w:r>
          </w:p>
        </w:tc>
        <w:tc>
          <w:tcPr>
            <w:tcW w:w="2796" w:type="dxa"/>
            <w:tcBorders>
              <w:top w:val="nil"/>
              <w:left w:val="nil"/>
              <w:bottom w:val="single" w:sz="4" w:space="0" w:color="auto"/>
              <w:right w:val="single" w:sz="4" w:space="0" w:color="auto"/>
            </w:tcBorders>
            <w:shd w:val="clear" w:color="auto" w:fill="auto"/>
            <w:noWrap/>
            <w:vAlign w:val="center"/>
            <w:hideMark/>
          </w:tcPr>
          <w:p w14:paraId="5A7F3DAC" w14:textId="77777777" w:rsidR="00AA1F7B" w:rsidRPr="00AA1F7B" w:rsidRDefault="00AA1F7B" w:rsidP="00AA1F7B">
            <w:pPr>
              <w:rPr>
                <w:rFonts w:cs="Arial"/>
                <w:color w:val="000000"/>
                <w:sz w:val="20"/>
                <w:szCs w:val="20"/>
                <w:lang w:val="en-US" w:eastAsia="en-US"/>
              </w:rPr>
            </w:pPr>
            <w:r w:rsidRPr="00AA1F7B">
              <w:rPr>
                <w:rFonts w:cs="Arial"/>
                <w:color w:val="000000"/>
                <w:sz w:val="20"/>
                <w:szCs w:val="20"/>
                <w:lang w:val="en-US" w:eastAsia="en-US"/>
              </w:rPr>
              <w:t>Opeartional costs</w:t>
            </w:r>
          </w:p>
        </w:tc>
        <w:tc>
          <w:tcPr>
            <w:tcW w:w="2133" w:type="dxa"/>
            <w:tcBorders>
              <w:top w:val="nil"/>
              <w:left w:val="nil"/>
              <w:bottom w:val="single" w:sz="4" w:space="0" w:color="auto"/>
              <w:right w:val="single" w:sz="8" w:space="0" w:color="auto"/>
            </w:tcBorders>
            <w:shd w:val="clear" w:color="auto" w:fill="auto"/>
            <w:noWrap/>
            <w:vAlign w:val="center"/>
            <w:hideMark/>
          </w:tcPr>
          <w:p w14:paraId="5E6DC952" w14:textId="50A6AE8E" w:rsidR="00AA1F7B" w:rsidRPr="00AA1F7B" w:rsidRDefault="00AA1F7B" w:rsidP="00C7683B">
            <w:pPr>
              <w:rPr>
                <w:rFonts w:cs="Arial"/>
                <w:color w:val="000000"/>
                <w:sz w:val="20"/>
                <w:szCs w:val="20"/>
                <w:lang w:val="en-US" w:eastAsia="en-US"/>
              </w:rPr>
            </w:pPr>
            <w:r w:rsidRPr="00AA1F7B">
              <w:rPr>
                <w:rFonts w:cs="Arial"/>
                <w:color w:val="000000"/>
                <w:sz w:val="20"/>
                <w:szCs w:val="20"/>
                <w:lang w:val="en-US" w:eastAsia="en-US"/>
              </w:rPr>
              <w:t xml:space="preserve"> AUD   2.989,24 </w:t>
            </w:r>
          </w:p>
        </w:tc>
      </w:tr>
      <w:tr w:rsidR="00AA1F7B" w:rsidRPr="00AA1F7B" w14:paraId="543E2180" w14:textId="77777777" w:rsidTr="00E01546">
        <w:trPr>
          <w:trHeight w:val="300"/>
          <w:jc w:val="center"/>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5B96E60A" w14:textId="77777777" w:rsidR="00AA1F7B" w:rsidRPr="00AA1F7B" w:rsidRDefault="00AA1F7B" w:rsidP="00AA1F7B">
            <w:pPr>
              <w:rPr>
                <w:rFonts w:cs="Arial"/>
                <w:color w:val="000000"/>
                <w:sz w:val="20"/>
                <w:szCs w:val="20"/>
                <w:lang w:val="en-US" w:eastAsia="en-US"/>
              </w:rPr>
            </w:pPr>
            <w:r w:rsidRPr="00AA1F7B">
              <w:rPr>
                <w:rFonts w:cs="Arial"/>
                <w:color w:val="000000"/>
                <w:sz w:val="20"/>
                <w:szCs w:val="20"/>
                <w:lang w:val="en-US" w:eastAsia="en-US"/>
              </w:rPr>
              <w:t> </w:t>
            </w:r>
          </w:p>
        </w:tc>
        <w:tc>
          <w:tcPr>
            <w:tcW w:w="1840" w:type="dxa"/>
            <w:tcBorders>
              <w:top w:val="nil"/>
              <w:left w:val="nil"/>
              <w:bottom w:val="single" w:sz="4" w:space="0" w:color="auto"/>
              <w:right w:val="single" w:sz="4" w:space="0" w:color="auto"/>
            </w:tcBorders>
            <w:shd w:val="clear" w:color="auto" w:fill="auto"/>
            <w:noWrap/>
            <w:vAlign w:val="center"/>
            <w:hideMark/>
          </w:tcPr>
          <w:p w14:paraId="47040239" w14:textId="77777777" w:rsidR="00AA1F7B" w:rsidRPr="00AA1F7B" w:rsidRDefault="00AA1F7B" w:rsidP="00AA1F7B">
            <w:pPr>
              <w:rPr>
                <w:rFonts w:cs="Arial"/>
                <w:color w:val="000000"/>
                <w:sz w:val="20"/>
                <w:szCs w:val="20"/>
                <w:lang w:val="en-US" w:eastAsia="en-US"/>
              </w:rPr>
            </w:pPr>
            <w:r w:rsidRPr="00AA1F7B">
              <w:rPr>
                <w:rFonts w:cs="Arial"/>
                <w:color w:val="000000"/>
                <w:sz w:val="20"/>
                <w:szCs w:val="20"/>
                <w:lang w:val="en-US" w:eastAsia="en-US"/>
              </w:rPr>
              <w:t>Re-implantation</w:t>
            </w:r>
          </w:p>
        </w:tc>
        <w:tc>
          <w:tcPr>
            <w:tcW w:w="2796" w:type="dxa"/>
            <w:tcBorders>
              <w:top w:val="nil"/>
              <w:left w:val="nil"/>
              <w:bottom w:val="single" w:sz="4" w:space="0" w:color="auto"/>
              <w:right w:val="single" w:sz="4" w:space="0" w:color="auto"/>
            </w:tcBorders>
            <w:shd w:val="clear" w:color="auto" w:fill="auto"/>
            <w:noWrap/>
            <w:vAlign w:val="center"/>
            <w:hideMark/>
          </w:tcPr>
          <w:p w14:paraId="7FD61075" w14:textId="77777777" w:rsidR="00AA1F7B" w:rsidRPr="00AA1F7B" w:rsidRDefault="00AA1F7B" w:rsidP="00AA1F7B">
            <w:pPr>
              <w:rPr>
                <w:rFonts w:cs="Arial"/>
                <w:color w:val="000000"/>
                <w:sz w:val="20"/>
                <w:szCs w:val="20"/>
                <w:lang w:val="en-US" w:eastAsia="en-US"/>
              </w:rPr>
            </w:pPr>
            <w:r w:rsidRPr="00AA1F7B">
              <w:rPr>
                <w:rFonts w:cs="Arial"/>
                <w:color w:val="000000"/>
                <w:sz w:val="20"/>
                <w:szCs w:val="20"/>
                <w:lang w:val="en-US" w:eastAsia="en-US"/>
              </w:rPr>
              <w:t>Internal device costs</w:t>
            </w:r>
          </w:p>
        </w:tc>
        <w:tc>
          <w:tcPr>
            <w:tcW w:w="2133" w:type="dxa"/>
            <w:tcBorders>
              <w:top w:val="nil"/>
              <w:left w:val="nil"/>
              <w:bottom w:val="single" w:sz="4" w:space="0" w:color="auto"/>
              <w:right w:val="single" w:sz="8" w:space="0" w:color="auto"/>
            </w:tcBorders>
            <w:shd w:val="clear" w:color="auto" w:fill="auto"/>
            <w:noWrap/>
            <w:vAlign w:val="center"/>
            <w:hideMark/>
          </w:tcPr>
          <w:p w14:paraId="52424AD8" w14:textId="3E9A95C8" w:rsidR="00AA1F7B" w:rsidRPr="00AA1F7B" w:rsidRDefault="00AA1F7B" w:rsidP="00C7683B">
            <w:pPr>
              <w:rPr>
                <w:rFonts w:cs="Arial"/>
                <w:color w:val="000000"/>
                <w:sz w:val="20"/>
                <w:szCs w:val="20"/>
                <w:lang w:val="en-US" w:eastAsia="en-US"/>
              </w:rPr>
            </w:pPr>
            <w:r w:rsidRPr="00AA1F7B">
              <w:rPr>
                <w:rFonts w:cs="Arial"/>
                <w:color w:val="000000"/>
                <w:sz w:val="20"/>
                <w:szCs w:val="20"/>
                <w:lang w:val="en-US" w:eastAsia="en-US"/>
              </w:rPr>
              <w:t xml:space="preserve"> AUD   3.424,22 </w:t>
            </w:r>
          </w:p>
        </w:tc>
      </w:tr>
      <w:tr w:rsidR="00AA1F7B" w:rsidRPr="00AA1F7B" w14:paraId="7B7DD50C" w14:textId="77777777" w:rsidTr="00E01546">
        <w:trPr>
          <w:trHeight w:val="300"/>
          <w:jc w:val="center"/>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6E980DF4" w14:textId="77777777" w:rsidR="00AA1F7B" w:rsidRPr="00AA1F7B" w:rsidRDefault="00AA1F7B" w:rsidP="00AA1F7B">
            <w:pPr>
              <w:rPr>
                <w:rFonts w:cs="Arial"/>
                <w:color w:val="000000"/>
                <w:sz w:val="20"/>
                <w:szCs w:val="20"/>
                <w:lang w:val="en-US" w:eastAsia="en-US"/>
              </w:rPr>
            </w:pPr>
            <w:r w:rsidRPr="00AA1F7B">
              <w:rPr>
                <w:rFonts w:cs="Arial"/>
                <w:color w:val="000000"/>
                <w:sz w:val="20"/>
                <w:szCs w:val="20"/>
                <w:lang w:val="en-US" w:eastAsia="en-US"/>
              </w:rPr>
              <w:t> </w:t>
            </w:r>
          </w:p>
        </w:tc>
        <w:tc>
          <w:tcPr>
            <w:tcW w:w="1840" w:type="dxa"/>
            <w:tcBorders>
              <w:top w:val="nil"/>
              <w:left w:val="nil"/>
              <w:bottom w:val="single" w:sz="4" w:space="0" w:color="auto"/>
              <w:right w:val="single" w:sz="4" w:space="0" w:color="auto"/>
            </w:tcBorders>
            <w:shd w:val="clear" w:color="auto" w:fill="auto"/>
            <w:noWrap/>
            <w:vAlign w:val="center"/>
            <w:hideMark/>
          </w:tcPr>
          <w:p w14:paraId="5A5C3D67" w14:textId="77777777" w:rsidR="00AA1F7B" w:rsidRPr="00AA1F7B" w:rsidRDefault="00AA1F7B" w:rsidP="00AA1F7B">
            <w:pPr>
              <w:rPr>
                <w:rFonts w:cs="Arial"/>
                <w:color w:val="000000"/>
                <w:sz w:val="20"/>
                <w:szCs w:val="20"/>
                <w:lang w:val="en-US" w:eastAsia="en-US"/>
              </w:rPr>
            </w:pPr>
            <w:r w:rsidRPr="00AA1F7B">
              <w:rPr>
                <w:rFonts w:cs="Arial"/>
                <w:color w:val="000000"/>
                <w:sz w:val="20"/>
                <w:szCs w:val="20"/>
                <w:lang w:val="en-US" w:eastAsia="en-US"/>
              </w:rPr>
              <w:t> </w:t>
            </w:r>
          </w:p>
        </w:tc>
        <w:tc>
          <w:tcPr>
            <w:tcW w:w="2796" w:type="dxa"/>
            <w:tcBorders>
              <w:top w:val="nil"/>
              <w:left w:val="nil"/>
              <w:bottom w:val="single" w:sz="4" w:space="0" w:color="auto"/>
              <w:right w:val="single" w:sz="4" w:space="0" w:color="auto"/>
            </w:tcBorders>
            <w:shd w:val="clear" w:color="auto" w:fill="auto"/>
            <w:noWrap/>
            <w:vAlign w:val="center"/>
            <w:hideMark/>
          </w:tcPr>
          <w:p w14:paraId="1FAC8AB0" w14:textId="77777777" w:rsidR="00AA1F7B" w:rsidRPr="00AA1F7B" w:rsidRDefault="00AA1F7B" w:rsidP="00AA1F7B">
            <w:pPr>
              <w:rPr>
                <w:rFonts w:cs="Arial"/>
                <w:color w:val="000000"/>
                <w:sz w:val="20"/>
                <w:szCs w:val="20"/>
                <w:lang w:val="en-US" w:eastAsia="en-US"/>
              </w:rPr>
            </w:pPr>
            <w:r w:rsidRPr="00AA1F7B">
              <w:rPr>
                <w:rFonts w:cs="Arial"/>
                <w:color w:val="000000"/>
                <w:sz w:val="20"/>
                <w:szCs w:val="20"/>
                <w:lang w:val="en-US" w:eastAsia="en-US"/>
              </w:rPr>
              <w:t>Pre-operational costs</w:t>
            </w:r>
          </w:p>
        </w:tc>
        <w:tc>
          <w:tcPr>
            <w:tcW w:w="2133" w:type="dxa"/>
            <w:tcBorders>
              <w:top w:val="nil"/>
              <w:left w:val="nil"/>
              <w:bottom w:val="single" w:sz="4" w:space="0" w:color="auto"/>
              <w:right w:val="single" w:sz="8" w:space="0" w:color="auto"/>
            </w:tcBorders>
            <w:shd w:val="clear" w:color="auto" w:fill="auto"/>
            <w:noWrap/>
            <w:vAlign w:val="center"/>
            <w:hideMark/>
          </w:tcPr>
          <w:p w14:paraId="3951357D" w14:textId="38325706" w:rsidR="00AA1F7B" w:rsidRPr="00AA1F7B" w:rsidRDefault="00AA1F7B" w:rsidP="00AA1F7B">
            <w:pPr>
              <w:rPr>
                <w:rFonts w:cs="Arial"/>
                <w:color w:val="000000"/>
                <w:sz w:val="20"/>
                <w:szCs w:val="20"/>
                <w:lang w:val="en-US" w:eastAsia="en-US"/>
              </w:rPr>
            </w:pPr>
            <w:r w:rsidRPr="00AA1F7B">
              <w:rPr>
                <w:rFonts w:cs="Arial"/>
                <w:color w:val="000000"/>
                <w:sz w:val="20"/>
                <w:szCs w:val="20"/>
                <w:lang w:val="en-US" w:eastAsia="en-US"/>
              </w:rPr>
              <w:t xml:space="preserve"> AUD   425,60 </w:t>
            </w:r>
          </w:p>
        </w:tc>
      </w:tr>
      <w:tr w:rsidR="00AA1F7B" w:rsidRPr="00AA1F7B" w14:paraId="79E6C03B" w14:textId="77777777" w:rsidTr="00E01546">
        <w:trPr>
          <w:trHeight w:val="300"/>
          <w:jc w:val="center"/>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256328FE" w14:textId="77777777" w:rsidR="00AA1F7B" w:rsidRPr="00AA1F7B" w:rsidRDefault="00AA1F7B" w:rsidP="00AA1F7B">
            <w:pPr>
              <w:rPr>
                <w:rFonts w:cs="Arial"/>
                <w:color w:val="000000"/>
                <w:sz w:val="20"/>
                <w:szCs w:val="20"/>
                <w:lang w:val="en-US" w:eastAsia="en-US"/>
              </w:rPr>
            </w:pPr>
            <w:r w:rsidRPr="00AA1F7B">
              <w:rPr>
                <w:rFonts w:cs="Arial"/>
                <w:color w:val="000000"/>
                <w:sz w:val="20"/>
                <w:szCs w:val="20"/>
                <w:lang w:val="en-US" w:eastAsia="en-US"/>
              </w:rPr>
              <w:t> </w:t>
            </w:r>
          </w:p>
        </w:tc>
        <w:tc>
          <w:tcPr>
            <w:tcW w:w="1840" w:type="dxa"/>
            <w:tcBorders>
              <w:top w:val="nil"/>
              <w:left w:val="nil"/>
              <w:bottom w:val="single" w:sz="4" w:space="0" w:color="auto"/>
              <w:right w:val="single" w:sz="4" w:space="0" w:color="auto"/>
            </w:tcBorders>
            <w:shd w:val="clear" w:color="auto" w:fill="auto"/>
            <w:noWrap/>
            <w:vAlign w:val="center"/>
            <w:hideMark/>
          </w:tcPr>
          <w:p w14:paraId="68286705" w14:textId="77777777" w:rsidR="00AA1F7B" w:rsidRPr="00AA1F7B" w:rsidRDefault="00AA1F7B" w:rsidP="00AA1F7B">
            <w:pPr>
              <w:rPr>
                <w:rFonts w:cs="Arial"/>
                <w:color w:val="000000"/>
                <w:sz w:val="20"/>
                <w:szCs w:val="20"/>
                <w:lang w:val="en-US" w:eastAsia="en-US"/>
              </w:rPr>
            </w:pPr>
            <w:r w:rsidRPr="00AA1F7B">
              <w:rPr>
                <w:rFonts w:cs="Arial"/>
                <w:color w:val="000000"/>
                <w:sz w:val="20"/>
                <w:szCs w:val="20"/>
                <w:lang w:val="en-US" w:eastAsia="en-US"/>
              </w:rPr>
              <w:t> </w:t>
            </w:r>
          </w:p>
        </w:tc>
        <w:tc>
          <w:tcPr>
            <w:tcW w:w="2796" w:type="dxa"/>
            <w:tcBorders>
              <w:top w:val="nil"/>
              <w:left w:val="nil"/>
              <w:bottom w:val="single" w:sz="4" w:space="0" w:color="auto"/>
              <w:right w:val="single" w:sz="4" w:space="0" w:color="auto"/>
            </w:tcBorders>
            <w:shd w:val="clear" w:color="auto" w:fill="auto"/>
            <w:noWrap/>
            <w:vAlign w:val="center"/>
            <w:hideMark/>
          </w:tcPr>
          <w:p w14:paraId="71052758" w14:textId="77777777" w:rsidR="00AA1F7B" w:rsidRPr="00AA1F7B" w:rsidRDefault="00AA1F7B" w:rsidP="00AA1F7B">
            <w:pPr>
              <w:rPr>
                <w:rFonts w:cs="Arial"/>
                <w:color w:val="000000"/>
                <w:sz w:val="20"/>
                <w:szCs w:val="20"/>
                <w:lang w:val="en-US" w:eastAsia="en-US"/>
              </w:rPr>
            </w:pPr>
            <w:r w:rsidRPr="00AA1F7B">
              <w:rPr>
                <w:rFonts w:cs="Arial"/>
                <w:color w:val="000000"/>
                <w:sz w:val="20"/>
                <w:szCs w:val="20"/>
                <w:lang w:val="en-US" w:eastAsia="en-US"/>
              </w:rPr>
              <w:t>Opeartional costs</w:t>
            </w:r>
          </w:p>
        </w:tc>
        <w:tc>
          <w:tcPr>
            <w:tcW w:w="2133" w:type="dxa"/>
            <w:tcBorders>
              <w:top w:val="nil"/>
              <w:left w:val="nil"/>
              <w:bottom w:val="single" w:sz="4" w:space="0" w:color="auto"/>
              <w:right w:val="single" w:sz="8" w:space="0" w:color="auto"/>
            </w:tcBorders>
            <w:shd w:val="clear" w:color="auto" w:fill="auto"/>
            <w:noWrap/>
            <w:vAlign w:val="center"/>
            <w:hideMark/>
          </w:tcPr>
          <w:p w14:paraId="6DC356D3" w14:textId="2C25624D" w:rsidR="00AA1F7B" w:rsidRPr="00AA1F7B" w:rsidRDefault="00AA1F7B" w:rsidP="00AA1F7B">
            <w:pPr>
              <w:rPr>
                <w:rFonts w:cs="Arial"/>
                <w:color w:val="000000"/>
                <w:sz w:val="20"/>
                <w:szCs w:val="20"/>
                <w:lang w:val="en-US" w:eastAsia="en-US"/>
              </w:rPr>
            </w:pPr>
            <w:r w:rsidRPr="00AA1F7B">
              <w:rPr>
                <w:rFonts w:cs="Arial"/>
                <w:color w:val="000000"/>
                <w:sz w:val="20"/>
                <w:szCs w:val="20"/>
                <w:lang w:val="en-US" w:eastAsia="en-US"/>
              </w:rPr>
              <w:t xml:space="preserve"> AUD   2.989,24 </w:t>
            </w:r>
          </w:p>
        </w:tc>
      </w:tr>
      <w:tr w:rsidR="00AA1F7B" w:rsidRPr="00AA1F7B" w14:paraId="7B76910F" w14:textId="77777777" w:rsidTr="00E01546">
        <w:trPr>
          <w:trHeight w:val="300"/>
          <w:jc w:val="center"/>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14:paraId="246980B6" w14:textId="77777777" w:rsidR="00AA1F7B" w:rsidRPr="00AA1F7B" w:rsidRDefault="00AA1F7B" w:rsidP="00AA1F7B">
            <w:pPr>
              <w:rPr>
                <w:rFonts w:cs="Arial"/>
                <w:color w:val="000000"/>
                <w:sz w:val="20"/>
                <w:szCs w:val="20"/>
                <w:lang w:val="en-US" w:eastAsia="en-US"/>
              </w:rPr>
            </w:pPr>
            <w:r w:rsidRPr="00AA1F7B">
              <w:rPr>
                <w:rFonts w:cs="Arial"/>
                <w:color w:val="000000"/>
                <w:sz w:val="20"/>
                <w:szCs w:val="20"/>
                <w:lang w:val="en-US" w:eastAsia="en-US"/>
              </w:rPr>
              <w:t> </w:t>
            </w:r>
          </w:p>
        </w:tc>
        <w:tc>
          <w:tcPr>
            <w:tcW w:w="1840" w:type="dxa"/>
            <w:tcBorders>
              <w:top w:val="nil"/>
              <w:left w:val="nil"/>
              <w:bottom w:val="single" w:sz="4" w:space="0" w:color="auto"/>
              <w:right w:val="single" w:sz="4" w:space="0" w:color="auto"/>
            </w:tcBorders>
            <w:shd w:val="clear" w:color="auto" w:fill="auto"/>
            <w:noWrap/>
            <w:vAlign w:val="center"/>
            <w:hideMark/>
          </w:tcPr>
          <w:p w14:paraId="7E7B8188" w14:textId="77777777" w:rsidR="00AA1F7B" w:rsidRPr="00AA1F7B" w:rsidRDefault="00AA1F7B" w:rsidP="00AA1F7B">
            <w:pPr>
              <w:rPr>
                <w:rFonts w:cs="Arial"/>
                <w:color w:val="000000"/>
                <w:sz w:val="20"/>
                <w:szCs w:val="20"/>
                <w:lang w:val="en-US" w:eastAsia="en-US"/>
              </w:rPr>
            </w:pPr>
            <w:r w:rsidRPr="00AA1F7B">
              <w:rPr>
                <w:rFonts w:cs="Arial"/>
                <w:color w:val="000000"/>
                <w:sz w:val="20"/>
                <w:szCs w:val="20"/>
                <w:lang w:val="en-US" w:eastAsia="en-US"/>
              </w:rPr>
              <w:t> </w:t>
            </w:r>
          </w:p>
        </w:tc>
        <w:tc>
          <w:tcPr>
            <w:tcW w:w="2796" w:type="dxa"/>
            <w:tcBorders>
              <w:top w:val="nil"/>
              <w:left w:val="nil"/>
              <w:bottom w:val="single" w:sz="4" w:space="0" w:color="auto"/>
              <w:right w:val="single" w:sz="4" w:space="0" w:color="auto"/>
            </w:tcBorders>
            <w:shd w:val="clear" w:color="auto" w:fill="auto"/>
            <w:noWrap/>
            <w:vAlign w:val="center"/>
            <w:hideMark/>
          </w:tcPr>
          <w:p w14:paraId="6325402E" w14:textId="77777777" w:rsidR="00AA1F7B" w:rsidRPr="00AA1F7B" w:rsidRDefault="00AA1F7B" w:rsidP="00AA1F7B">
            <w:pPr>
              <w:rPr>
                <w:rFonts w:cs="Arial"/>
                <w:color w:val="000000"/>
                <w:sz w:val="20"/>
                <w:szCs w:val="20"/>
                <w:lang w:val="en-US" w:eastAsia="en-US"/>
              </w:rPr>
            </w:pPr>
            <w:r w:rsidRPr="00AA1F7B">
              <w:rPr>
                <w:rFonts w:cs="Arial"/>
                <w:color w:val="000000"/>
                <w:sz w:val="20"/>
                <w:szCs w:val="20"/>
                <w:lang w:val="en-US" w:eastAsia="en-US"/>
              </w:rPr>
              <w:t>Post-operational costs</w:t>
            </w:r>
          </w:p>
        </w:tc>
        <w:tc>
          <w:tcPr>
            <w:tcW w:w="2133" w:type="dxa"/>
            <w:tcBorders>
              <w:top w:val="nil"/>
              <w:left w:val="nil"/>
              <w:bottom w:val="single" w:sz="4" w:space="0" w:color="auto"/>
              <w:right w:val="single" w:sz="8" w:space="0" w:color="auto"/>
            </w:tcBorders>
            <w:shd w:val="clear" w:color="auto" w:fill="auto"/>
            <w:noWrap/>
            <w:vAlign w:val="center"/>
            <w:hideMark/>
          </w:tcPr>
          <w:p w14:paraId="271C15A1" w14:textId="24A25985" w:rsidR="00AA1F7B" w:rsidRPr="00AA1F7B" w:rsidRDefault="00AA1F7B" w:rsidP="00AA1F7B">
            <w:pPr>
              <w:rPr>
                <w:rFonts w:cs="Arial"/>
                <w:color w:val="000000"/>
                <w:sz w:val="20"/>
                <w:szCs w:val="20"/>
                <w:lang w:val="en-US" w:eastAsia="en-US"/>
              </w:rPr>
            </w:pPr>
            <w:r w:rsidRPr="00AA1F7B">
              <w:rPr>
                <w:rFonts w:cs="Arial"/>
                <w:color w:val="000000"/>
                <w:sz w:val="20"/>
                <w:szCs w:val="20"/>
                <w:lang w:val="en-US" w:eastAsia="en-US"/>
              </w:rPr>
              <w:t xml:space="preserve"> AUD   469,40 </w:t>
            </w:r>
          </w:p>
        </w:tc>
      </w:tr>
      <w:tr w:rsidR="00AA1F7B" w:rsidRPr="00AA1F7B" w14:paraId="6FE5F3CA" w14:textId="77777777" w:rsidTr="00E01546">
        <w:trPr>
          <w:trHeight w:val="315"/>
          <w:jc w:val="center"/>
        </w:trPr>
        <w:tc>
          <w:tcPr>
            <w:tcW w:w="1610" w:type="dxa"/>
            <w:tcBorders>
              <w:top w:val="nil"/>
              <w:left w:val="single" w:sz="8" w:space="0" w:color="auto"/>
              <w:bottom w:val="single" w:sz="8" w:space="0" w:color="auto"/>
              <w:right w:val="single" w:sz="4" w:space="0" w:color="auto"/>
            </w:tcBorders>
            <w:shd w:val="clear" w:color="auto" w:fill="auto"/>
            <w:noWrap/>
            <w:vAlign w:val="center"/>
            <w:hideMark/>
          </w:tcPr>
          <w:p w14:paraId="0EA7E8E9" w14:textId="77777777" w:rsidR="00AA1F7B" w:rsidRPr="00AA1F7B" w:rsidRDefault="00AA1F7B" w:rsidP="00AA1F7B">
            <w:pPr>
              <w:rPr>
                <w:rFonts w:cs="Arial"/>
                <w:color w:val="000000"/>
                <w:sz w:val="20"/>
                <w:szCs w:val="20"/>
                <w:lang w:val="en-US" w:eastAsia="en-US"/>
              </w:rPr>
            </w:pPr>
            <w:r w:rsidRPr="00AA1F7B">
              <w:rPr>
                <w:rFonts w:cs="Arial"/>
                <w:color w:val="000000"/>
                <w:sz w:val="20"/>
                <w:szCs w:val="20"/>
                <w:lang w:val="en-US" w:eastAsia="en-US"/>
              </w:rPr>
              <w:t> </w:t>
            </w:r>
          </w:p>
        </w:tc>
        <w:tc>
          <w:tcPr>
            <w:tcW w:w="1840" w:type="dxa"/>
            <w:tcBorders>
              <w:top w:val="nil"/>
              <w:left w:val="nil"/>
              <w:bottom w:val="single" w:sz="8" w:space="0" w:color="auto"/>
              <w:right w:val="single" w:sz="4" w:space="0" w:color="auto"/>
            </w:tcBorders>
            <w:shd w:val="clear" w:color="auto" w:fill="auto"/>
            <w:noWrap/>
            <w:vAlign w:val="center"/>
            <w:hideMark/>
          </w:tcPr>
          <w:p w14:paraId="5A9EDAE1" w14:textId="77777777" w:rsidR="00AA1F7B" w:rsidRPr="00AA1F7B" w:rsidRDefault="00AA1F7B" w:rsidP="00AA1F7B">
            <w:pPr>
              <w:rPr>
                <w:rFonts w:cs="Arial"/>
                <w:color w:val="000000"/>
                <w:sz w:val="20"/>
                <w:szCs w:val="20"/>
                <w:lang w:val="en-US" w:eastAsia="en-US"/>
              </w:rPr>
            </w:pPr>
            <w:r w:rsidRPr="00AA1F7B">
              <w:rPr>
                <w:rFonts w:cs="Arial"/>
                <w:color w:val="000000"/>
                <w:sz w:val="20"/>
                <w:szCs w:val="20"/>
                <w:lang w:val="en-US" w:eastAsia="en-US"/>
              </w:rPr>
              <w:t> </w:t>
            </w:r>
          </w:p>
        </w:tc>
        <w:tc>
          <w:tcPr>
            <w:tcW w:w="2796" w:type="dxa"/>
            <w:tcBorders>
              <w:top w:val="nil"/>
              <w:left w:val="nil"/>
              <w:bottom w:val="single" w:sz="8" w:space="0" w:color="auto"/>
              <w:right w:val="single" w:sz="4" w:space="0" w:color="auto"/>
            </w:tcBorders>
            <w:shd w:val="clear" w:color="auto" w:fill="auto"/>
            <w:noWrap/>
            <w:vAlign w:val="center"/>
            <w:hideMark/>
          </w:tcPr>
          <w:p w14:paraId="1B3FD856" w14:textId="77777777" w:rsidR="00AA1F7B" w:rsidRPr="00AA1F7B" w:rsidRDefault="00AA1F7B" w:rsidP="00AA1F7B">
            <w:pPr>
              <w:rPr>
                <w:rFonts w:cs="Arial"/>
                <w:color w:val="000000"/>
                <w:sz w:val="20"/>
                <w:szCs w:val="20"/>
                <w:lang w:val="en-US" w:eastAsia="en-US"/>
              </w:rPr>
            </w:pPr>
            <w:r w:rsidRPr="00AA1F7B">
              <w:rPr>
                <w:rFonts w:cs="Arial"/>
                <w:color w:val="000000"/>
                <w:sz w:val="20"/>
                <w:szCs w:val="20"/>
                <w:lang w:val="en-US" w:eastAsia="en-US"/>
              </w:rPr>
              <w:t>Total cost of re-implantation</w:t>
            </w:r>
          </w:p>
        </w:tc>
        <w:tc>
          <w:tcPr>
            <w:tcW w:w="2133" w:type="dxa"/>
            <w:tcBorders>
              <w:top w:val="nil"/>
              <w:left w:val="nil"/>
              <w:bottom w:val="single" w:sz="8" w:space="0" w:color="auto"/>
              <w:right w:val="single" w:sz="8" w:space="0" w:color="auto"/>
            </w:tcBorders>
            <w:shd w:val="clear" w:color="auto" w:fill="auto"/>
            <w:noWrap/>
            <w:vAlign w:val="center"/>
            <w:hideMark/>
          </w:tcPr>
          <w:p w14:paraId="7B5B129C" w14:textId="562F435D" w:rsidR="00AA1F7B" w:rsidRPr="00AA1F7B" w:rsidRDefault="00AA1F7B" w:rsidP="00AA1F7B">
            <w:pPr>
              <w:rPr>
                <w:rFonts w:cs="Arial"/>
                <w:color w:val="000000"/>
                <w:sz w:val="20"/>
                <w:szCs w:val="20"/>
                <w:lang w:val="en-US" w:eastAsia="en-US"/>
              </w:rPr>
            </w:pPr>
            <w:r w:rsidRPr="00AA1F7B">
              <w:rPr>
                <w:rFonts w:cs="Arial"/>
                <w:color w:val="000000"/>
                <w:sz w:val="20"/>
                <w:szCs w:val="20"/>
                <w:lang w:val="en-US" w:eastAsia="en-US"/>
              </w:rPr>
              <w:t xml:space="preserve"> AUD   7.308,46 </w:t>
            </w:r>
          </w:p>
        </w:tc>
      </w:tr>
    </w:tbl>
    <w:p w14:paraId="63C675CE" w14:textId="77777777" w:rsidR="00D85D29" w:rsidRDefault="00D85D29" w:rsidP="00AA1F7B">
      <w:pPr>
        <w:pStyle w:val="Textbody"/>
        <w:rPr>
          <w:lang w:val="en-GB"/>
        </w:rPr>
      </w:pPr>
    </w:p>
    <w:p w14:paraId="4FA24F8E" w14:textId="77777777" w:rsidR="00AA1F7B" w:rsidRPr="009A1A2E" w:rsidRDefault="00AA1F7B" w:rsidP="00AA1F7B">
      <w:pPr>
        <w:pStyle w:val="Heading30"/>
        <w:rPr>
          <w:lang w:val="en-AU"/>
        </w:rPr>
      </w:pPr>
      <w:bookmarkStart w:id="558" w:name="_Toc431917598"/>
      <w:r>
        <w:rPr>
          <w:lang w:val="en-AU"/>
        </w:rPr>
        <w:t>D.4</w:t>
      </w:r>
      <w:r w:rsidRPr="009A1A2E">
        <w:rPr>
          <w:lang w:val="en-AU"/>
        </w:rPr>
        <w:t>.</w:t>
      </w:r>
      <w:r>
        <w:rPr>
          <w:lang w:val="en-AU"/>
        </w:rPr>
        <w:t>3</w:t>
      </w:r>
      <w:r w:rsidRPr="009A1A2E">
        <w:rPr>
          <w:lang w:val="en-AU"/>
        </w:rPr>
        <w:tab/>
      </w:r>
      <w:r>
        <w:rPr>
          <w:lang w:val="en-AU"/>
        </w:rPr>
        <w:t>Health outcomes</w:t>
      </w:r>
      <w:bookmarkEnd w:id="558"/>
    </w:p>
    <w:p w14:paraId="20D2CDC2" w14:textId="77777777" w:rsidR="00AA1F7B" w:rsidRPr="00932A48" w:rsidRDefault="00AA1F7B" w:rsidP="00AA1F7B">
      <w:pPr>
        <w:pStyle w:val="Heading4"/>
        <w:ind w:left="864" w:hanging="864"/>
        <w:rPr>
          <w:rFonts w:cs="Arial"/>
          <w:lang w:val="en-GB"/>
        </w:rPr>
      </w:pPr>
      <w:r w:rsidRPr="00932A48">
        <w:rPr>
          <w:rFonts w:cs="Arial"/>
          <w:lang w:val="en-GB"/>
        </w:rPr>
        <w:t>For the main evaluation</w:t>
      </w:r>
    </w:p>
    <w:p w14:paraId="522C56C7" w14:textId="77777777" w:rsidR="00AA1F7B" w:rsidRPr="00932A48" w:rsidRDefault="00AA1F7B" w:rsidP="00AA1F7B">
      <w:pPr>
        <w:spacing w:line="360" w:lineRule="auto"/>
        <w:jc w:val="both"/>
        <w:rPr>
          <w:rFonts w:cs="Arial"/>
          <w:lang w:val="en-GB"/>
        </w:rPr>
      </w:pPr>
      <w:r w:rsidRPr="00932A48">
        <w:rPr>
          <w:rFonts w:cs="Arial"/>
          <w:lang w:val="en-GB"/>
        </w:rPr>
        <w:t xml:space="preserve">In the main economic evaluation the health outcome of interest was generic quality of life measured with the HUI-3. The HUI-3 has been used in other economic evaluations of hearing implants (Bond 2009; Colquitt 2011) and case series of QOL before and after </w:t>
      </w:r>
      <w:r w:rsidRPr="00932A48">
        <w:rPr>
          <w:rFonts w:cs="Arial"/>
          <w:lang w:val="en-GB"/>
        </w:rPr>
        <w:lastRenderedPageBreak/>
        <w:t xml:space="preserve">hearing implant provision (Bichey 2002; Monksfield 2011). Such data were reported for the Vibrant Soundbridge in the study by Edfeldt (2014) which was identified in the systematic review described in section D.3.1. As part of this study patients responded to the HUI mark </w:t>
      </w:r>
      <w:r w:rsidR="00AC1204">
        <w:rPr>
          <w:rFonts w:cs="Arial"/>
          <w:lang w:val="en-GB"/>
        </w:rPr>
        <w:t>2&amp;</w:t>
      </w:r>
      <w:r w:rsidRPr="00932A48">
        <w:rPr>
          <w:rFonts w:cs="Arial"/>
          <w:lang w:val="en-GB"/>
        </w:rPr>
        <w:t>3 before implantation and 6 months after AP activation.</w:t>
      </w:r>
    </w:p>
    <w:p w14:paraId="0A09FF31" w14:textId="77777777" w:rsidR="00AA1F7B" w:rsidRPr="00AC1204" w:rsidRDefault="00AA1F7B" w:rsidP="00AA1F7B">
      <w:pPr>
        <w:spacing w:line="360" w:lineRule="auto"/>
        <w:jc w:val="both"/>
        <w:rPr>
          <w:rFonts w:cs="Arial"/>
          <w:lang w:val="en-GB"/>
        </w:rPr>
      </w:pPr>
      <w:r w:rsidRPr="00932A48">
        <w:rPr>
          <w:rFonts w:cs="Arial"/>
          <w:lang w:val="en-GB"/>
        </w:rPr>
        <w:t>Inidividual-level data which were not reported in the publication was sought through personal communication with the author. The data from 15 patients with sensorineural hearing loss was bootstrapped using 1000 samples. The mean utility weight measured in the unaided situation which is implemented in the No intervention arm of the model is 0</w:t>
      </w:r>
      <w:r w:rsidR="00AD5624">
        <w:rPr>
          <w:rFonts w:cs="Arial"/>
          <w:lang w:val="en-GB"/>
        </w:rPr>
        <w:t>,</w:t>
      </w:r>
      <w:r w:rsidRPr="00932A48">
        <w:rPr>
          <w:rFonts w:cs="Arial"/>
          <w:lang w:val="en-GB"/>
        </w:rPr>
        <w:t>57514, and the mean utility weight measured with the VSB and implemented in the MEI implantation arm of the model is 0</w:t>
      </w:r>
      <w:r w:rsidR="00AD5624">
        <w:rPr>
          <w:rFonts w:cs="Arial"/>
          <w:lang w:val="en-GB"/>
        </w:rPr>
        <w:t>,</w:t>
      </w:r>
      <w:r w:rsidRPr="00932A48">
        <w:rPr>
          <w:rFonts w:cs="Arial"/>
          <w:lang w:val="en-GB"/>
        </w:rPr>
        <w:t xml:space="preserve">66868. The confidence levels The mean utility weights included in the No intervention and MEI implantation arms of the model are </w:t>
      </w:r>
      <w:r w:rsidRPr="00AC1204">
        <w:rPr>
          <w:rFonts w:cs="Arial"/>
          <w:lang w:val="en-GB"/>
        </w:rPr>
        <w:t xml:space="preserve">depicted in </w:t>
      </w:r>
      <w:r w:rsidRPr="00AC1204">
        <w:rPr>
          <w:rFonts w:cs="Arial"/>
          <w:highlight w:val="yellow"/>
          <w:lang w:val="en-GB"/>
        </w:rPr>
        <w:fldChar w:fldCharType="begin"/>
      </w:r>
      <w:r w:rsidRPr="00AC1204">
        <w:rPr>
          <w:rFonts w:cs="Arial"/>
          <w:lang w:val="en-GB"/>
        </w:rPr>
        <w:instrText xml:space="preserve"> REF _Ref430965895 \h </w:instrText>
      </w:r>
      <w:r w:rsidRPr="00AC1204">
        <w:rPr>
          <w:rFonts w:cs="Arial"/>
          <w:highlight w:val="yellow"/>
          <w:lang w:val="en-GB"/>
        </w:rPr>
        <w:instrText xml:space="preserve"> \* MERGEFORMAT </w:instrText>
      </w:r>
      <w:r w:rsidRPr="00AC1204">
        <w:rPr>
          <w:rFonts w:cs="Arial"/>
          <w:highlight w:val="yellow"/>
          <w:lang w:val="en-GB"/>
        </w:rPr>
      </w:r>
      <w:r w:rsidRPr="00AC1204">
        <w:rPr>
          <w:rFonts w:cs="Arial"/>
          <w:highlight w:val="yellow"/>
          <w:lang w:val="en-GB"/>
        </w:rPr>
        <w:fldChar w:fldCharType="separate"/>
      </w:r>
      <w:r w:rsidR="00016592" w:rsidRPr="00016592">
        <w:rPr>
          <w:rFonts w:cs="Arial"/>
          <w:bCs/>
        </w:rPr>
        <w:t xml:space="preserve">Table </w:t>
      </w:r>
      <w:r w:rsidR="00016592" w:rsidRPr="00016592">
        <w:rPr>
          <w:rFonts w:cs="Arial"/>
          <w:bCs/>
          <w:noProof/>
        </w:rPr>
        <w:t>44</w:t>
      </w:r>
      <w:r w:rsidRPr="00AC1204">
        <w:rPr>
          <w:rFonts w:cs="Arial"/>
          <w:highlight w:val="yellow"/>
          <w:lang w:val="en-GB"/>
        </w:rPr>
        <w:fldChar w:fldCharType="end"/>
      </w:r>
      <w:r w:rsidRPr="00AC1204">
        <w:rPr>
          <w:rFonts w:cs="Arial"/>
          <w:lang w:val="en-GB"/>
        </w:rPr>
        <w:t>.</w:t>
      </w:r>
    </w:p>
    <w:p w14:paraId="3C8FA7AF" w14:textId="77777777" w:rsidR="00AA1F7B" w:rsidRPr="00932A48" w:rsidRDefault="00AA1F7B" w:rsidP="00AA1F7B">
      <w:pPr>
        <w:spacing w:line="360" w:lineRule="auto"/>
        <w:jc w:val="both"/>
        <w:rPr>
          <w:rFonts w:cs="Arial"/>
          <w:lang w:val="en-GB"/>
        </w:rPr>
      </w:pPr>
    </w:p>
    <w:p w14:paraId="6E20B6D8" w14:textId="77777777" w:rsidR="00AA1F7B" w:rsidRPr="00AA1F7B" w:rsidRDefault="00AA1F7B" w:rsidP="00AA1F7B">
      <w:pPr>
        <w:spacing w:line="360" w:lineRule="auto"/>
        <w:jc w:val="both"/>
        <w:rPr>
          <w:rFonts w:cs="Arial"/>
          <w:b/>
          <w:bCs/>
          <w:sz w:val="20"/>
          <w:szCs w:val="20"/>
        </w:rPr>
      </w:pPr>
      <w:bookmarkStart w:id="559" w:name="_Ref430965895"/>
      <w:bookmarkStart w:id="560" w:name="_Toc431917504"/>
      <w:r w:rsidRPr="00AA1F7B">
        <w:rPr>
          <w:rFonts w:cs="Arial"/>
          <w:b/>
          <w:bCs/>
          <w:sz w:val="20"/>
          <w:szCs w:val="20"/>
        </w:rPr>
        <w:t xml:space="preserve">Table </w:t>
      </w:r>
      <w:r w:rsidRPr="00AA1F7B">
        <w:rPr>
          <w:rFonts w:cs="Arial"/>
          <w:b/>
          <w:bCs/>
          <w:sz w:val="20"/>
          <w:szCs w:val="20"/>
        </w:rPr>
        <w:fldChar w:fldCharType="begin"/>
      </w:r>
      <w:r w:rsidRPr="00AA1F7B">
        <w:rPr>
          <w:rFonts w:cs="Arial"/>
          <w:b/>
          <w:bCs/>
          <w:sz w:val="20"/>
          <w:szCs w:val="20"/>
        </w:rPr>
        <w:instrText xml:space="preserve"> SEQ Table \* ARABIC </w:instrText>
      </w:r>
      <w:r w:rsidRPr="00AA1F7B">
        <w:rPr>
          <w:rFonts w:cs="Arial"/>
          <w:b/>
          <w:bCs/>
          <w:sz w:val="20"/>
          <w:szCs w:val="20"/>
        </w:rPr>
        <w:fldChar w:fldCharType="separate"/>
      </w:r>
      <w:r w:rsidR="00016592">
        <w:rPr>
          <w:rFonts w:cs="Arial"/>
          <w:b/>
          <w:bCs/>
          <w:noProof/>
          <w:sz w:val="20"/>
          <w:szCs w:val="20"/>
        </w:rPr>
        <w:t>44</w:t>
      </w:r>
      <w:r w:rsidRPr="00AA1F7B">
        <w:rPr>
          <w:rFonts w:cs="Arial"/>
          <w:b/>
          <w:bCs/>
          <w:sz w:val="20"/>
          <w:szCs w:val="20"/>
        </w:rPr>
        <w:fldChar w:fldCharType="end"/>
      </w:r>
      <w:bookmarkEnd w:id="559"/>
      <w:r w:rsidRPr="00AA1F7B">
        <w:rPr>
          <w:rFonts w:cs="Arial"/>
          <w:b/>
          <w:bCs/>
          <w:sz w:val="20"/>
          <w:szCs w:val="20"/>
        </w:rPr>
        <w:t xml:space="preserve"> - </w:t>
      </w:r>
      <w:r w:rsidRPr="00AA1F7B">
        <w:rPr>
          <w:rFonts w:cs="Arial"/>
          <w:b/>
          <w:sz w:val="20"/>
          <w:szCs w:val="20"/>
          <w:lang w:val="en-GB"/>
        </w:rPr>
        <w:t>Health outcome values used in the main economic evaluation</w:t>
      </w:r>
      <w:bookmarkEnd w:id="560"/>
    </w:p>
    <w:tbl>
      <w:tblPr>
        <w:tblW w:w="5261" w:type="dxa"/>
        <w:jc w:val="center"/>
        <w:tblLook w:val="04A0" w:firstRow="1" w:lastRow="0" w:firstColumn="1" w:lastColumn="0" w:noHBand="0" w:noVBand="1"/>
        <w:tblDescription w:val="Health outcome values used in the main economic evaluation"/>
      </w:tblPr>
      <w:tblGrid>
        <w:gridCol w:w="1840"/>
        <w:gridCol w:w="1561"/>
        <w:gridCol w:w="1860"/>
      </w:tblGrid>
      <w:tr w:rsidR="00AA1F7B" w:rsidRPr="00AA1F7B" w14:paraId="78C0BABA" w14:textId="77777777" w:rsidTr="00E01546">
        <w:trPr>
          <w:trHeight w:val="374"/>
          <w:jc w:val="center"/>
        </w:trPr>
        <w:tc>
          <w:tcPr>
            <w:tcW w:w="184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813673D" w14:textId="77777777" w:rsidR="00AA1F7B" w:rsidRPr="00AA1F7B" w:rsidRDefault="00AA1F7B" w:rsidP="00AA1F7B">
            <w:pPr>
              <w:rPr>
                <w:rFonts w:cs="Arial"/>
                <w:b/>
                <w:color w:val="000000"/>
                <w:lang w:val="en-US" w:eastAsia="en-US"/>
              </w:rPr>
            </w:pPr>
            <w:r w:rsidRPr="00AA1F7B">
              <w:rPr>
                <w:rFonts w:cs="Arial"/>
                <w:color w:val="000000"/>
                <w:lang w:val="en-US" w:eastAsia="en-US"/>
              </w:rPr>
              <w:t> </w:t>
            </w:r>
            <w:r w:rsidRPr="00AA1F7B">
              <w:rPr>
                <w:rFonts w:cs="Arial"/>
                <w:b/>
                <w:color w:val="000000"/>
                <w:lang w:val="en-US" w:eastAsia="en-US"/>
              </w:rPr>
              <w:t>Treatment</w:t>
            </w:r>
          </w:p>
        </w:tc>
        <w:tc>
          <w:tcPr>
            <w:tcW w:w="1561" w:type="dxa"/>
            <w:tcBorders>
              <w:top w:val="single" w:sz="8" w:space="0" w:color="auto"/>
              <w:left w:val="nil"/>
              <w:bottom w:val="single" w:sz="4" w:space="0" w:color="auto"/>
              <w:right w:val="single" w:sz="4" w:space="0" w:color="auto"/>
            </w:tcBorders>
            <w:shd w:val="clear" w:color="auto" w:fill="auto"/>
            <w:noWrap/>
            <w:vAlign w:val="center"/>
            <w:hideMark/>
          </w:tcPr>
          <w:p w14:paraId="1B6C8939" w14:textId="77777777" w:rsidR="00AA1F7B" w:rsidRPr="00AA1F7B" w:rsidRDefault="00AA1F7B" w:rsidP="00AA1F7B">
            <w:pPr>
              <w:jc w:val="center"/>
              <w:rPr>
                <w:rFonts w:cs="Arial"/>
                <w:b/>
                <w:bCs/>
                <w:color w:val="000000"/>
                <w:lang w:val="en-US" w:eastAsia="en-US"/>
              </w:rPr>
            </w:pPr>
            <w:r w:rsidRPr="00AA1F7B">
              <w:rPr>
                <w:rFonts w:cs="Arial"/>
                <w:b/>
                <w:bCs/>
                <w:color w:val="000000"/>
                <w:lang w:val="en-US" w:eastAsia="en-US"/>
              </w:rPr>
              <w:t>mean utility</w:t>
            </w:r>
          </w:p>
        </w:tc>
        <w:tc>
          <w:tcPr>
            <w:tcW w:w="1860" w:type="dxa"/>
            <w:tcBorders>
              <w:top w:val="single" w:sz="8" w:space="0" w:color="auto"/>
              <w:left w:val="nil"/>
              <w:bottom w:val="single" w:sz="4" w:space="0" w:color="auto"/>
              <w:right w:val="single" w:sz="8" w:space="0" w:color="auto"/>
            </w:tcBorders>
            <w:shd w:val="clear" w:color="auto" w:fill="auto"/>
            <w:noWrap/>
            <w:vAlign w:val="center"/>
            <w:hideMark/>
          </w:tcPr>
          <w:p w14:paraId="2DD8FF23" w14:textId="77777777" w:rsidR="00AA1F7B" w:rsidRPr="00AA1F7B" w:rsidRDefault="00AA1F7B" w:rsidP="00AA1F7B">
            <w:pPr>
              <w:jc w:val="center"/>
              <w:rPr>
                <w:rFonts w:cs="Arial"/>
                <w:b/>
                <w:bCs/>
                <w:color w:val="000000"/>
                <w:lang w:val="en-US" w:eastAsia="en-US"/>
              </w:rPr>
            </w:pPr>
            <w:r w:rsidRPr="00AA1F7B">
              <w:rPr>
                <w:rFonts w:cs="Arial"/>
                <w:b/>
                <w:bCs/>
                <w:color w:val="000000"/>
                <w:lang w:val="en-US" w:eastAsia="en-US"/>
              </w:rPr>
              <w:t>95%CI</w:t>
            </w:r>
          </w:p>
        </w:tc>
      </w:tr>
      <w:tr w:rsidR="00AA1F7B" w:rsidRPr="00AA1F7B" w14:paraId="6F40B875" w14:textId="77777777" w:rsidTr="00E01546">
        <w:trPr>
          <w:trHeight w:val="405"/>
          <w:jc w:val="center"/>
        </w:trPr>
        <w:tc>
          <w:tcPr>
            <w:tcW w:w="1840" w:type="dxa"/>
            <w:tcBorders>
              <w:top w:val="nil"/>
              <w:left w:val="single" w:sz="8" w:space="0" w:color="auto"/>
              <w:bottom w:val="single" w:sz="4" w:space="0" w:color="auto"/>
              <w:right w:val="single" w:sz="4" w:space="0" w:color="auto"/>
            </w:tcBorders>
            <w:shd w:val="clear" w:color="auto" w:fill="auto"/>
            <w:noWrap/>
            <w:vAlign w:val="center"/>
            <w:hideMark/>
          </w:tcPr>
          <w:p w14:paraId="14C869AF" w14:textId="77777777" w:rsidR="00AA1F7B" w:rsidRPr="00AA1F7B" w:rsidRDefault="00AA1F7B" w:rsidP="00AA1F7B">
            <w:pPr>
              <w:rPr>
                <w:rFonts w:cs="Arial"/>
                <w:color w:val="000000"/>
                <w:sz w:val="20"/>
                <w:szCs w:val="20"/>
                <w:lang w:val="en-US" w:eastAsia="en-US"/>
              </w:rPr>
            </w:pPr>
            <w:r w:rsidRPr="00AA1F7B">
              <w:rPr>
                <w:rFonts w:cs="Arial"/>
                <w:color w:val="000000"/>
                <w:sz w:val="20"/>
                <w:szCs w:val="20"/>
                <w:lang w:val="en-US" w:eastAsia="en-US"/>
              </w:rPr>
              <w:t>No intervention</w:t>
            </w:r>
          </w:p>
        </w:tc>
        <w:tc>
          <w:tcPr>
            <w:tcW w:w="1561" w:type="dxa"/>
            <w:tcBorders>
              <w:top w:val="nil"/>
              <w:left w:val="nil"/>
              <w:bottom w:val="single" w:sz="4" w:space="0" w:color="auto"/>
              <w:right w:val="single" w:sz="4" w:space="0" w:color="auto"/>
            </w:tcBorders>
            <w:shd w:val="clear" w:color="auto" w:fill="auto"/>
            <w:noWrap/>
            <w:vAlign w:val="center"/>
            <w:hideMark/>
          </w:tcPr>
          <w:p w14:paraId="678B18A4" w14:textId="77777777" w:rsidR="00AA1F7B" w:rsidRPr="00AA1F7B" w:rsidRDefault="00AA1F7B" w:rsidP="00AA1F7B">
            <w:pPr>
              <w:jc w:val="center"/>
              <w:rPr>
                <w:rFonts w:cs="Arial"/>
                <w:color w:val="000000"/>
                <w:sz w:val="20"/>
                <w:szCs w:val="20"/>
                <w:lang w:val="en-US" w:eastAsia="en-US"/>
              </w:rPr>
            </w:pPr>
            <w:r w:rsidRPr="00AA1F7B">
              <w:rPr>
                <w:rFonts w:cs="Arial"/>
                <w:color w:val="000000"/>
                <w:sz w:val="20"/>
                <w:szCs w:val="20"/>
                <w:lang w:val="en-US" w:eastAsia="en-US"/>
              </w:rPr>
              <w:t>0,57514</w:t>
            </w:r>
          </w:p>
        </w:tc>
        <w:tc>
          <w:tcPr>
            <w:tcW w:w="1860" w:type="dxa"/>
            <w:tcBorders>
              <w:top w:val="nil"/>
              <w:left w:val="nil"/>
              <w:bottom w:val="single" w:sz="4" w:space="0" w:color="auto"/>
              <w:right w:val="single" w:sz="8" w:space="0" w:color="auto"/>
            </w:tcBorders>
            <w:shd w:val="clear" w:color="auto" w:fill="auto"/>
            <w:noWrap/>
            <w:vAlign w:val="center"/>
            <w:hideMark/>
          </w:tcPr>
          <w:p w14:paraId="5E3D4303" w14:textId="77777777" w:rsidR="00AA1F7B" w:rsidRPr="00AA1F7B" w:rsidRDefault="00AA1F7B" w:rsidP="00AA1F7B">
            <w:pPr>
              <w:jc w:val="center"/>
              <w:rPr>
                <w:rFonts w:cs="Arial"/>
                <w:color w:val="000000"/>
                <w:sz w:val="20"/>
                <w:szCs w:val="20"/>
                <w:lang w:val="en-US" w:eastAsia="en-US"/>
              </w:rPr>
            </w:pPr>
            <w:r w:rsidRPr="00AA1F7B">
              <w:rPr>
                <w:rFonts w:cs="Arial"/>
                <w:color w:val="000000"/>
                <w:sz w:val="20"/>
                <w:szCs w:val="20"/>
                <w:lang w:val="en-US" w:eastAsia="en-US"/>
              </w:rPr>
              <w:t>0,46031-0,68997</w:t>
            </w:r>
          </w:p>
        </w:tc>
      </w:tr>
      <w:tr w:rsidR="00AA1F7B" w:rsidRPr="00AA1F7B" w14:paraId="52F5691B" w14:textId="77777777" w:rsidTr="00E01546">
        <w:trPr>
          <w:trHeight w:val="425"/>
          <w:jc w:val="center"/>
        </w:trPr>
        <w:tc>
          <w:tcPr>
            <w:tcW w:w="1840" w:type="dxa"/>
            <w:tcBorders>
              <w:top w:val="nil"/>
              <w:left w:val="single" w:sz="8" w:space="0" w:color="auto"/>
              <w:bottom w:val="single" w:sz="8" w:space="0" w:color="auto"/>
              <w:right w:val="single" w:sz="4" w:space="0" w:color="auto"/>
            </w:tcBorders>
            <w:shd w:val="clear" w:color="auto" w:fill="auto"/>
            <w:noWrap/>
            <w:vAlign w:val="center"/>
            <w:hideMark/>
          </w:tcPr>
          <w:p w14:paraId="20F14FB3" w14:textId="77777777" w:rsidR="00AA1F7B" w:rsidRPr="00AA1F7B" w:rsidRDefault="00AA1F7B" w:rsidP="00AA1F7B">
            <w:pPr>
              <w:rPr>
                <w:rFonts w:cs="Arial"/>
                <w:color w:val="000000"/>
                <w:sz w:val="20"/>
                <w:szCs w:val="20"/>
                <w:lang w:val="en-US" w:eastAsia="en-US"/>
              </w:rPr>
            </w:pPr>
            <w:r w:rsidRPr="00AA1F7B">
              <w:rPr>
                <w:rFonts w:cs="Arial"/>
                <w:color w:val="000000"/>
                <w:sz w:val="20"/>
                <w:szCs w:val="20"/>
                <w:lang w:val="en-US" w:eastAsia="en-US"/>
              </w:rPr>
              <w:t>MEI implantation</w:t>
            </w:r>
          </w:p>
        </w:tc>
        <w:tc>
          <w:tcPr>
            <w:tcW w:w="1561" w:type="dxa"/>
            <w:tcBorders>
              <w:top w:val="nil"/>
              <w:left w:val="nil"/>
              <w:bottom w:val="single" w:sz="8" w:space="0" w:color="auto"/>
              <w:right w:val="single" w:sz="4" w:space="0" w:color="auto"/>
            </w:tcBorders>
            <w:shd w:val="clear" w:color="auto" w:fill="auto"/>
            <w:noWrap/>
            <w:vAlign w:val="center"/>
            <w:hideMark/>
          </w:tcPr>
          <w:p w14:paraId="648B4EC8" w14:textId="77777777" w:rsidR="00AA1F7B" w:rsidRPr="00AA1F7B" w:rsidRDefault="00AA1F7B" w:rsidP="00AA1F7B">
            <w:pPr>
              <w:jc w:val="center"/>
              <w:rPr>
                <w:rFonts w:cs="Arial"/>
                <w:color w:val="000000"/>
                <w:sz w:val="20"/>
                <w:szCs w:val="20"/>
                <w:lang w:val="en-US" w:eastAsia="en-US"/>
              </w:rPr>
            </w:pPr>
            <w:r w:rsidRPr="00AA1F7B">
              <w:rPr>
                <w:rFonts w:cs="Arial"/>
                <w:color w:val="000000"/>
                <w:sz w:val="20"/>
                <w:szCs w:val="20"/>
                <w:lang w:val="en-US" w:eastAsia="en-US"/>
              </w:rPr>
              <w:t>0,66868</w:t>
            </w:r>
          </w:p>
        </w:tc>
        <w:tc>
          <w:tcPr>
            <w:tcW w:w="1860" w:type="dxa"/>
            <w:tcBorders>
              <w:top w:val="nil"/>
              <w:left w:val="nil"/>
              <w:bottom w:val="single" w:sz="8" w:space="0" w:color="auto"/>
              <w:right w:val="single" w:sz="8" w:space="0" w:color="auto"/>
            </w:tcBorders>
            <w:shd w:val="clear" w:color="auto" w:fill="auto"/>
            <w:noWrap/>
            <w:vAlign w:val="center"/>
            <w:hideMark/>
          </w:tcPr>
          <w:p w14:paraId="4F5A36CE" w14:textId="77777777" w:rsidR="00AA1F7B" w:rsidRPr="00AA1F7B" w:rsidRDefault="00AA1F7B" w:rsidP="00AA1F7B">
            <w:pPr>
              <w:jc w:val="center"/>
              <w:rPr>
                <w:rFonts w:cs="Arial"/>
                <w:color w:val="000000"/>
                <w:sz w:val="20"/>
                <w:szCs w:val="20"/>
                <w:lang w:val="en-US" w:eastAsia="en-US"/>
              </w:rPr>
            </w:pPr>
            <w:r w:rsidRPr="00AA1F7B">
              <w:rPr>
                <w:rFonts w:cs="Arial"/>
                <w:color w:val="000000"/>
                <w:sz w:val="20"/>
                <w:szCs w:val="20"/>
                <w:lang w:val="en-US" w:eastAsia="en-US"/>
              </w:rPr>
              <w:t>0,55261-0,78474</w:t>
            </w:r>
          </w:p>
        </w:tc>
      </w:tr>
    </w:tbl>
    <w:p w14:paraId="2BCE1CB5" w14:textId="77777777" w:rsidR="00AA1F7B" w:rsidRDefault="00AA1F7B" w:rsidP="00AA1F7B">
      <w:pPr>
        <w:spacing w:line="360" w:lineRule="auto"/>
        <w:jc w:val="both"/>
        <w:rPr>
          <w:rFonts w:cs="Arial"/>
          <w:lang w:val="en-GB"/>
        </w:rPr>
      </w:pPr>
    </w:p>
    <w:p w14:paraId="1D3014D0" w14:textId="77777777" w:rsidR="00AA1F7B" w:rsidRDefault="00AA1F7B" w:rsidP="00AA1F7B">
      <w:pPr>
        <w:spacing w:line="360" w:lineRule="auto"/>
        <w:jc w:val="both"/>
        <w:rPr>
          <w:rFonts w:cs="Arial"/>
          <w:lang w:val="en-GB"/>
        </w:rPr>
      </w:pPr>
      <w:r w:rsidRPr="00932A48">
        <w:rPr>
          <w:rFonts w:cs="Arial"/>
          <w:lang w:val="en-GB"/>
        </w:rPr>
        <w:t>As hearing deteriorates with age, it is expected that health utility weights will also decrease. However there were no identified studies that reported quality of life over a long time of device use, or as a measure dependent on age. HUI reference scores from the Australian population were obtained from the HUInc. website to use a as a reference for calculating age-dependent utility values. As the starting age of the economic model was 53, the reference score for the 50-59 age range was accepted as the baseline value. For each age range a scaling factor was calculated using the formula:</w:t>
      </w:r>
    </w:p>
    <w:p w14:paraId="589B26DC" w14:textId="77777777" w:rsidR="00AA1F7B" w:rsidRPr="00AC1204" w:rsidRDefault="00AA1F7B" w:rsidP="00AA1F7B">
      <w:pPr>
        <w:spacing w:line="360" w:lineRule="auto"/>
        <w:jc w:val="both"/>
        <w:rPr>
          <w:rFonts w:cs="Arial"/>
          <w:lang w:val="en-GB"/>
        </w:rPr>
      </w:pPr>
    </w:p>
    <w:p w14:paraId="532EA1B5" w14:textId="77777777" w:rsidR="00AA1F7B" w:rsidRDefault="00AA1F7B" w:rsidP="00AA1F7B">
      <w:pPr>
        <w:spacing w:line="360" w:lineRule="auto"/>
        <w:ind w:left="720" w:firstLine="720"/>
        <w:jc w:val="both"/>
        <w:rPr>
          <w:rFonts w:cs="Arial"/>
          <w:lang w:val="en-GB"/>
        </w:rPr>
      </w:pPr>
      <w:r w:rsidRPr="00932A48">
        <w:rPr>
          <w:rFonts w:cs="Arial"/>
          <w:lang w:val="en-GB"/>
        </w:rPr>
        <w:t>Scaling factor=age group utility/baseline utility</w:t>
      </w:r>
    </w:p>
    <w:p w14:paraId="3EFE8A26" w14:textId="77777777" w:rsidR="00AA1F7B" w:rsidRPr="00AC1204" w:rsidRDefault="00AA1F7B" w:rsidP="00AA1F7B">
      <w:pPr>
        <w:spacing w:line="360" w:lineRule="auto"/>
        <w:ind w:firstLine="708"/>
        <w:jc w:val="both"/>
        <w:rPr>
          <w:rFonts w:cs="Arial"/>
          <w:lang w:val="en-GB"/>
        </w:rPr>
      </w:pPr>
    </w:p>
    <w:p w14:paraId="4606B523" w14:textId="77777777" w:rsidR="00AA1F7B" w:rsidRDefault="00AA1F7B" w:rsidP="00AA1F7B">
      <w:pPr>
        <w:spacing w:line="360" w:lineRule="auto"/>
        <w:jc w:val="both"/>
        <w:rPr>
          <w:rFonts w:cs="Arial"/>
          <w:lang w:val="en-GB"/>
        </w:rPr>
      </w:pPr>
      <w:r w:rsidRPr="00932A48">
        <w:rPr>
          <w:rFonts w:cs="Arial"/>
          <w:lang w:val="en-GB"/>
        </w:rPr>
        <w:t xml:space="preserve">The scaling factor was then multiplied by the mean utility value entered in to the model. The resulting age-dependent utility values for the unaided and aided conditions are given </w:t>
      </w:r>
      <w:r w:rsidRPr="00E0477C">
        <w:rPr>
          <w:rFonts w:cs="Arial"/>
          <w:lang w:val="en-GB"/>
        </w:rPr>
        <w:t xml:space="preserve">in </w:t>
      </w:r>
      <w:r w:rsidR="00FD30C5" w:rsidRPr="005C1F7C">
        <w:rPr>
          <w:rFonts w:cs="Arial"/>
          <w:highlight w:val="yellow"/>
          <w:lang w:val="en-GB"/>
        </w:rPr>
        <w:fldChar w:fldCharType="begin"/>
      </w:r>
      <w:r w:rsidR="00FD30C5" w:rsidRPr="00E0477C">
        <w:rPr>
          <w:rFonts w:cs="Arial"/>
          <w:lang w:val="en-GB"/>
        </w:rPr>
        <w:instrText xml:space="preserve"> REF _Ref430966168 \h </w:instrText>
      </w:r>
      <w:r w:rsidR="00FD30C5" w:rsidRPr="00E0477C">
        <w:rPr>
          <w:rFonts w:cs="Arial"/>
          <w:highlight w:val="yellow"/>
          <w:lang w:val="en-GB"/>
        </w:rPr>
        <w:instrText xml:space="preserve"> \* MERGEFORMAT </w:instrText>
      </w:r>
      <w:r w:rsidR="00FD30C5" w:rsidRPr="005C1F7C">
        <w:rPr>
          <w:rFonts w:cs="Arial"/>
          <w:highlight w:val="yellow"/>
          <w:lang w:val="en-GB"/>
        </w:rPr>
      </w:r>
      <w:r w:rsidR="00FD30C5" w:rsidRPr="005C1F7C">
        <w:rPr>
          <w:rFonts w:cs="Arial"/>
          <w:highlight w:val="yellow"/>
          <w:lang w:val="en-GB"/>
        </w:rPr>
        <w:fldChar w:fldCharType="separate"/>
      </w:r>
      <w:r w:rsidR="00016592" w:rsidRPr="00016592">
        <w:rPr>
          <w:rFonts w:cs="Arial"/>
          <w:bCs/>
        </w:rPr>
        <w:t xml:space="preserve">Table </w:t>
      </w:r>
      <w:r w:rsidR="00016592" w:rsidRPr="00016592">
        <w:rPr>
          <w:rFonts w:cs="Arial"/>
          <w:bCs/>
          <w:noProof/>
        </w:rPr>
        <w:t>45</w:t>
      </w:r>
      <w:r w:rsidR="00FD30C5" w:rsidRPr="005C1F7C">
        <w:rPr>
          <w:rFonts w:cs="Arial"/>
          <w:highlight w:val="yellow"/>
          <w:lang w:val="en-GB"/>
        </w:rPr>
        <w:fldChar w:fldCharType="end"/>
      </w:r>
      <w:r w:rsidRPr="00E0477C">
        <w:rPr>
          <w:rFonts w:cs="Arial"/>
          <w:lang w:val="en-GB"/>
        </w:rPr>
        <w:t>. Linear</w:t>
      </w:r>
      <w:r w:rsidRPr="00932A48">
        <w:rPr>
          <w:rFonts w:cs="Arial"/>
          <w:lang w:val="en-GB"/>
        </w:rPr>
        <w:t xml:space="preserve"> interpolation was enabled in TreeAge tables to enable the calculation of utility values for each cycle.</w:t>
      </w:r>
    </w:p>
    <w:p w14:paraId="0A5FD7AF" w14:textId="77777777" w:rsidR="00AC1204" w:rsidRDefault="00AC1204">
      <w:pPr>
        <w:rPr>
          <w:rFonts w:cs="Arial"/>
          <w:lang w:val="en-GB"/>
        </w:rPr>
      </w:pPr>
      <w:r>
        <w:rPr>
          <w:rFonts w:cs="Arial"/>
          <w:lang w:val="en-GB"/>
        </w:rPr>
        <w:br w:type="page"/>
      </w:r>
    </w:p>
    <w:p w14:paraId="19E2117E" w14:textId="77777777" w:rsidR="00FD30C5" w:rsidRPr="00A9436E" w:rsidRDefault="00FD30C5" w:rsidP="00AA1F7B">
      <w:pPr>
        <w:spacing w:line="360" w:lineRule="auto"/>
        <w:jc w:val="both"/>
        <w:rPr>
          <w:rFonts w:cs="Arial"/>
          <w:b/>
          <w:sz w:val="20"/>
          <w:szCs w:val="20"/>
          <w:lang w:val="en-GB"/>
        </w:rPr>
      </w:pPr>
      <w:bookmarkStart w:id="561" w:name="_Ref430966168"/>
      <w:bookmarkStart w:id="562" w:name="_Toc431917505"/>
      <w:r w:rsidRPr="00FD30C5">
        <w:rPr>
          <w:rFonts w:cs="Arial"/>
          <w:b/>
          <w:bCs/>
          <w:sz w:val="20"/>
          <w:szCs w:val="20"/>
        </w:rPr>
        <w:lastRenderedPageBreak/>
        <w:t xml:space="preserve">Table </w:t>
      </w:r>
      <w:r w:rsidRPr="00FD30C5">
        <w:rPr>
          <w:rFonts w:cs="Arial"/>
          <w:b/>
          <w:bCs/>
          <w:sz w:val="20"/>
          <w:szCs w:val="20"/>
        </w:rPr>
        <w:fldChar w:fldCharType="begin"/>
      </w:r>
      <w:r w:rsidRPr="00FD30C5">
        <w:rPr>
          <w:rFonts w:cs="Arial"/>
          <w:b/>
          <w:bCs/>
          <w:sz w:val="20"/>
          <w:szCs w:val="20"/>
        </w:rPr>
        <w:instrText xml:space="preserve"> SEQ Table \* ARABIC </w:instrText>
      </w:r>
      <w:r w:rsidRPr="00FD30C5">
        <w:rPr>
          <w:rFonts w:cs="Arial"/>
          <w:b/>
          <w:bCs/>
          <w:sz w:val="20"/>
          <w:szCs w:val="20"/>
        </w:rPr>
        <w:fldChar w:fldCharType="separate"/>
      </w:r>
      <w:r w:rsidR="00016592">
        <w:rPr>
          <w:rFonts w:cs="Arial"/>
          <w:b/>
          <w:bCs/>
          <w:noProof/>
          <w:sz w:val="20"/>
          <w:szCs w:val="20"/>
        </w:rPr>
        <w:t>45</w:t>
      </w:r>
      <w:r w:rsidRPr="00FD30C5">
        <w:rPr>
          <w:rFonts w:cs="Arial"/>
          <w:b/>
          <w:bCs/>
          <w:sz w:val="20"/>
          <w:szCs w:val="20"/>
        </w:rPr>
        <w:fldChar w:fldCharType="end"/>
      </w:r>
      <w:bookmarkEnd w:id="561"/>
      <w:r w:rsidRPr="00FD30C5">
        <w:rPr>
          <w:rFonts w:cs="Arial"/>
          <w:b/>
          <w:bCs/>
          <w:sz w:val="20"/>
          <w:szCs w:val="20"/>
        </w:rPr>
        <w:t xml:space="preserve"> - </w:t>
      </w:r>
      <w:r w:rsidRPr="00FD30C5">
        <w:rPr>
          <w:rFonts w:cs="Arial"/>
          <w:b/>
          <w:sz w:val="20"/>
          <w:szCs w:val="20"/>
          <w:lang w:val="en-GB"/>
        </w:rPr>
        <w:t xml:space="preserve">Age-dependent values used to model incremental utility in the main economic </w:t>
      </w:r>
      <w:r w:rsidR="00A9436E">
        <w:rPr>
          <w:rFonts w:cs="Arial"/>
          <w:b/>
          <w:sz w:val="20"/>
          <w:szCs w:val="20"/>
          <w:lang w:val="en-GB"/>
        </w:rPr>
        <w:t>evaluation</w:t>
      </w:r>
      <w:r w:rsidRPr="00FD30C5">
        <w:rPr>
          <w:rFonts w:cs="Arial"/>
          <w:b/>
          <w:sz w:val="20"/>
          <w:szCs w:val="20"/>
          <w:lang w:val="en-GB"/>
        </w:rPr>
        <w:t>.</w:t>
      </w:r>
      <w:bookmarkEnd w:id="562"/>
    </w:p>
    <w:tbl>
      <w:tblPr>
        <w:tblW w:w="9120" w:type="dxa"/>
        <w:jc w:val="center"/>
        <w:tblLook w:val="04A0" w:firstRow="1" w:lastRow="0" w:firstColumn="1" w:lastColumn="0" w:noHBand="0" w:noVBand="1"/>
        <w:tblDescription w:val="Age-dependent values used to model incremental utility in the main economic evaluation."/>
      </w:tblPr>
      <w:tblGrid>
        <w:gridCol w:w="1585"/>
        <w:gridCol w:w="962"/>
        <w:gridCol w:w="961"/>
        <w:gridCol w:w="961"/>
        <w:gridCol w:w="961"/>
        <w:gridCol w:w="961"/>
        <w:gridCol w:w="961"/>
        <w:gridCol w:w="884"/>
        <w:gridCol w:w="884"/>
      </w:tblGrid>
      <w:tr w:rsidR="00FD30C5" w:rsidRPr="00FD30C5" w14:paraId="1199964F" w14:textId="77777777" w:rsidTr="00E01546">
        <w:trPr>
          <w:trHeight w:val="300"/>
          <w:jc w:val="center"/>
        </w:trPr>
        <w:tc>
          <w:tcPr>
            <w:tcW w:w="9120" w:type="dxa"/>
            <w:gridSpan w:val="9"/>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10C5DC1A" w14:textId="77777777" w:rsidR="00FD30C5" w:rsidRPr="00FD30C5" w:rsidRDefault="00FD30C5" w:rsidP="00FD30C5">
            <w:pPr>
              <w:jc w:val="center"/>
              <w:rPr>
                <w:rFonts w:cs="Arial"/>
                <w:b/>
                <w:bCs/>
                <w:color w:val="000000"/>
                <w:lang w:val="en-US" w:eastAsia="en-US"/>
              </w:rPr>
            </w:pPr>
            <w:r w:rsidRPr="00FD30C5">
              <w:rPr>
                <w:rFonts w:cs="Arial"/>
                <w:b/>
                <w:bCs/>
                <w:color w:val="000000"/>
                <w:lang w:val="en-US" w:eastAsia="en-US"/>
              </w:rPr>
              <w:t>Age range</w:t>
            </w:r>
          </w:p>
        </w:tc>
      </w:tr>
      <w:tr w:rsidR="00FD30C5" w:rsidRPr="00FD30C5" w14:paraId="01B40BAC" w14:textId="77777777" w:rsidTr="00E01546">
        <w:trPr>
          <w:trHeight w:val="300"/>
          <w:jc w:val="center"/>
        </w:trPr>
        <w:tc>
          <w:tcPr>
            <w:tcW w:w="1585" w:type="dxa"/>
            <w:tcBorders>
              <w:top w:val="nil"/>
              <w:left w:val="single" w:sz="8" w:space="0" w:color="auto"/>
              <w:bottom w:val="single" w:sz="4" w:space="0" w:color="auto"/>
              <w:right w:val="single" w:sz="4" w:space="0" w:color="auto"/>
            </w:tcBorders>
            <w:shd w:val="clear" w:color="auto" w:fill="auto"/>
            <w:noWrap/>
            <w:vAlign w:val="bottom"/>
            <w:hideMark/>
          </w:tcPr>
          <w:p w14:paraId="4C280567" w14:textId="77777777" w:rsidR="00FD30C5" w:rsidRPr="00FD30C5" w:rsidRDefault="00FD30C5" w:rsidP="00FD30C5">
            <w:pPr>
              <w:rPr>
                <w:rFonts w:cs="Arial"/>
                <w:color w:val="000000"/>
                <w:sz w:val="20"/>
                <w:szCs w:val="20"/>
                <w:lang w:val="en-US" w:eastAsia="en-US"/>
              </w:rPr>
            </w:pPr>
            <w:r w:rsidRPr="00FD30C5">
              <w:rPr>
                <w:rFonts w:cs="Arial"/>
                <w:color w:val="000000"/>
                <w:sz w:val="20"/>
                <w:szCs w:val="20"/>
                <w:lang w:val="en-US" w:eastAsia="en-US"/>
              </w:rPr>
              <w:t> </w:t>
            </w:r>
          </w:p>
        </w:tc>
        <w:tc>
          <w:tcPr>
            <w:tcW w:w="962" w:type="dxa"/>
            <w:tcBorders>
              <w:top w:val="nil"/>
              <w:left w:val="nil"/>
              <w:bottom w:val="single" w:sz="4" w:space="0" w:color="auto"/>
              <w:right w:val="single" w:sz="4" w:space="0" w:color="auto"/>
            </w:tcBorders>
            <w:shd w:val="clear" w:color="auto" w:fill="auto"/>
            <w:noWrap/>
            <w:vAlign w:val="bottom"/>
            <w:hideMark/>
          </w:tcPr>
          <w:p w14:paraId="36641CCE" w14:textId="77777777" w:rsidR="00FD30C5" w:rsidRPr="00FD30C5" w:rsidRDefault="00FD30C5" w:rsidP="00FD30C5">
            <w:pPr>
              <w:jc w:val="center"/>
              <w:rPr>
                <w:rFonts w:cs="Arial"/>
                <w:b/>
                <w:bCs/>
                <w:color w:val="000000"/>
                <w:sz w:val="20"/>
                <w:szCs w:val="20"/>
                <w:lang w:val="en-US" w:eastAsia="en-US"/>
              </w:rPr>
            </w:pPr>
            <w:r w:rsidRPr="00FD30C5">
              <w:rPr>
                <w:rFonts w:cs="Arial"/>
                <w:b/>
                <w:bCs/>
                <w:color w:val="000000"/>
                <w:sz w:val="20"/>
                <w:szCs w:val="20"/>
                <w:lang w:val="en-US" w:eastAsia="en-US"/>
              </w:rPr>
              <w:t>15-19</w:t>
            </w:r>
          </w:p>
        </w:tc>
        <w:tc>
          <w:tcPr>
            <w:tcW w:w="961" w:type="dxa"/>
            <w:tcBorders>
              <w:top w:val="nil"/>
              <w:left w:val="nil"/>
              <w:bottom w:val="single" w:sz="4" w:space="0" w:color="auto"/>
              <w:right w:val="single" w:sz="4" w:space="0" w:color="auto"/>
            </w:tcBorders>
            <w:shd w:val="clear" w:color="auto" w:fill="auto"/>
            <w:noWrap/>
            <w:vAlign w:val="bottom"/>
            <w:hideMark/>
          </w:tcPr>
          <w:p w14:paraId="39B1E341" w14:textId="77777777" w:rsidR="00FD30C5" w:rsidRPr="00FD30C5" w:rsidRDefault="00FD30C5" w:rsidP="00FD30C5">
            <w:pPr>
              <w:jc w:val="center"/>
              <w:rPr>
                <w:rFonts w:cs="Arial"/>
                <w:b/>
                <w:bCs/>
                <w:color w:val="000000"/>
                <w:sz w:val="20"/>
                <w:szCs w:val="20"/>
                <w:lang w:val="en-US" w:eastAsia="en-US"/>
              </w:rPr>
            </w:pPr>
            <w:r w:rsidRPr="00FD30C5">
              <w:rPr>
                <w:rFonts w:cs="Arial"/>
                <w:b/>
                <w:bCs/>
                <w:color w:val="000000"/>
                <w:sz w:val="20"/>
                <w:szCs w:val="20"/>
                <w:lang w:val="en-US" w:eastAsia="en-US"/>
              </w:rPr>
              <w:t>20-29</w:t>
            </w:r>
          </w:p>
        </w:tc>
        <w:tc>
          <w:tcPr>
            <w:tcW w:w="961" w:type="dxa"/>
            <w:tcBorders>
              <w:top w:val="nil"/>
              <w:left w:val="nil"/>
              <w:bottom w:val="single" w:sz="4" w:space="0" w:color="auto"/>
              <w:right w:val="single" w:sz="4" w:space="0" w:color="auto"/>
            </w:tcBorders>
            <w:shd w:val="clear" w:color="auto" w:fill="auto"/>
            <w:noWrap/>
            <w:vAlign w:val="bottom"/>
            <w:hideMark/>
          </w:tcPr>
          <w:p w14:paraId="7867F4F9" w14:textId="77777777" w:rsidR="00FD30C5" w:rsidRPr="00FD30C5" w:rsidRDefault="00FD30C5" w:rsidP="00FD30C5">
            <w:pPr>
              <w:jc w:val="center"/>
              <w:rPr>
                <w:rFonts w:cs="Arial"/>
                <w:b/>
                <w:bCs/>
                <w:color w:val="000000"/>
                <w:sz w:val="20"/>
                <w:szCs w:val="20"/>
                <w:lang w:val="en-US" w:eastAsia="en-US"/>
              </w:rPr>
            </w:pPr>
            <w:r w:rsidRPr="00FD30C5">
              <w:rPr>
                <w:rFonts w:cs="Arial"/>
                <w:b/>
                <w:bCs/>
                <w:color w:val="000000"/>
                <w:sz w:val="20"/>
                <w:szCs w:val="20"/>
                <w:lang w:val="en-US" w:eastAsia="en-US"/>
              </w:rPr>
              <w:t>30-39</w:t>
            </w:r>
          </w:p>
        </w:tc>
        <w:tc>
          <w:tcPr>
            <w:tcW w:w="961" w:type="dxa"/>
            <w:tcBorders>
              <w:top w:val="nil"/>
              <w:left w:val="nil"/>
              <w:bottom w:val="single" w:sz="4" w:space="0" w:color="auto"/>
              <w:right w:val="single" w:sz="4" w:space="0" w:color="auto"/>
            </w:tcBorders>
            <w:shd w:val="clear" w:color="auto" w:fill="auto"/>
            <w:noWrap/>
            <w:vAlign w:val="bottom"/>
            <w:hideMark/>
          </w:tcPr>
          <w:p w14:paraId="472DF5C8" w14:textId="77777777" w:rsidR="00FD30C5" w:rsidRPr="00FD30C5" w:rsidRDefault="00FD30C5" w:rsidP="00FD30C5">
            <w:pPr>
              <w:jc w:val="center"/>
              <w:rPr>
                <w:rFonts w:cs="Arial"/>
                <w:b/>
                <w:bCs/>
                <w:color w:val="000000"/>
                <w:sz w:val="20"/>
                <w:szCs w:val="20"/>
                <w:lang w:val="en-US" w:eastAsia="en-US"/>
              </w:rPr>
            </w:pPr>
            <w:r w:rsidRPr="00FD30C5">
              <w:rPr>
                <w:rFonts w:cs="Arial"/>
                <w:b/>
                <w:bCs/>
                <w:color w:val="000000"/>
                <w:sz w:val="20"/>
                <w:szCs w:val="20"/>
                <w:lang w:val="en-US" w:eastAsia="en-US"/>
              </w:rPr>
              <w:t>40-49</w:t>
            </w:r>
          </w:p>
        </w:tc>
        <w:tc>
          <w:tcPr>
            <w:tcW w:w="961" w:type="dxa"/>
            <w:tcBorders>
              <w:top w:val="nil"/>
              <w:left w:val="nil"/>
              <w:bottom w:val="single" w:sz="4" w:space="0" w:color="auto"/>
              <w:right w:val="single" w:sz="4" w:space="0" w:color="auto"/>
            </w:tcBorders>
            <w:shd w:val="clear" w:color="auto" w:fill="auto"/>
            <w:noWrap/>
            <w:vAlign w:val="bottom"/>
            <w:hideMark/>
          </w:tcPr>
          <w:p w14:paraId="493AE747" w14:textId="77777777" w:rsidR="00FD30C5" w:rsidRPr="00FD30C5" w:rsidRDefault="00FD30C5" w:rsidP="00FD30C5">
            <w:pPr>
              <w:jc w:val="center"/>
              <w:rPr>
                <w:rFonts w:cs="Arial"/>
                <w:b/>
                <w:bCs/>
                <w:color w:val="000000"/>
                <w:sz w:val="20"/>
                <w:szCs w:val="20"/>
                <w:lang w:val="en-US" w:eastAsia="en-US"/>
              </w:rPr>
            </w:pPr>
            <w:r w:rsidRPr="00FD30C5">
              <w:rPr>
                <w:rFonts w:cs="Arial"/>
                <w:b/>
                <w:bCs/>
                <w:color w:val="000000"/>
                <w:sz w:val="20"/>
                <w:szCs w:val="20"/>
                <w:lang w:val="en-US" w:eastAsia="en-US"/>
              </w:rPr>
              <w:t>50-59</w:t>
            </w:r>
          </w:p>
        </w:tc>
        <w:tc>
          <w:tcPr>
            <w:tcW w:w="961" w:type="dxa"/>
            <w:tcBorders>
              <w:top w:val="nil"/>
              <w:left w:val="nil"/>
              <w:bottom w:val="single" w:sz="4" w:space="0" w:color="auto"/>
              <w:right w:val="single" w:sz="4" w:space="0" w:color="auto"/>
            </w:tcBorders>
            <w:shd w:val="clear" w:color="auto" w:fill="auto"/>
            <w:noWrap/>
            <w:vAlign w:val="bottom"/>
            <w:hideMark/>
          </w:tcPr>
          <w:p w14:paraId="73C75EAA" w14:textId="77777777" w:rsidR="00FD30C5" w:rsidRPr="00FD30C5" w:rsidRDefault="00FD30C5" w:rsidP="00FD30C5">
            <w:pPr>
              <w:jc w:val="center"/>
              <w:rPr>
                <w:rFonts w:cs="Arial"/>
                <w:b/>
                <w:bCs/>
                <w:color w:val="000000"/>
                <w:sz w:val="20"/>
                <w:szCs w:val="20"/>
                <w:lang w:val="en-US" w:eastAsia="en-US"/>
              </w:rPr>
            </w:pPr>
            <w:r w:rsidRPr="00FD30C5">
              <w:rPr>
                <w:rFonts w:cs="Arial"/>
                <w:b/>
                <w:bCs/>
                <w:color w:val="000000"/>
                <w:sz w:val="20"/>
                <w:szCs w:val="20"/>
                <w:lang w:val="en-US" w:eastAsia="en-US"/>
              </w:rPr>
              <w:t>60-69</w:t>
            </w:r>
          </w:p>
        </w:tc>
        <w:tc>
          <w:tcPr>
            <w:tcW w:w="884" w:type="dxa"/>
            <w:tcBorders>
              <w:top w:val="nil"/>
              <w:left w:val="nil"/>
              <w:bottom w:val="single" w:sz="4" w:space="0" w:color="auto"/>
              <w:right w:val="single" w:sz="4" w:space="0" w:color="auto"/>
            </w:tcBorders>
            <w:shd w:val="clear" w:color="auto" w:fill="auto"/>
            <w:noWrap/>
            <w:vAlign w:val="bottom"/>
            <w:hideMark/>
          </w:tcPr>
          <w:p w14:paraId="428791B9" w14:textId="77777777" w:rsidR="00FD30C5" w:rsidRPr="00FD30C5" w:rsidRDefault="00FD30C5" w:rsidP="00FD30C5">
            <w:pPr>
              <w:jc w:val="center"/>
              <w:rPr>
                <w:rFonts w:cs="Arial"/>
                <w:b/>
                <w:bCs/>
                <w:color w:val="000000"/>
                <w:sz w:val="20"/>
                <w:szCs w:val="20"/>
                <w:lang w:val="en-US" w:eastAsia="en-US"/>
              </w:rPr>
            </w:pPr>
            <w:r w:rsidRPr="00FD30C5">
              <w:rPr>
                <w:rFonts w:cs="Arial"/>
                <w:b/>
                <w:bCs/>
                <w:color w:val="000000"/>
                <w:sz w:val="20"/>
                <w:szCs w:val="20"/>
                <w:lang w:val="en-US" w:eastAsia="en-US"/>
              </w:rPr>
              <w:t>70-79</w:t>
            </w:r>
          </w:p>
        </w:tc>
        <w:tc>
          <w:tcPr>
            <w:tcW w:w="884" w:type="dxa"/>
            <w:tcBorders>
              <w:top w:val="nil"/>
              <w:left w:val="nil"/>
              <w:bottom w:val="single" w:sz="4" w:space="0" w:color="auto"/>
              <w:right w:val="single" w:sz="8" w:space="0" w:color="auto"/>
            </w:tcBorders>
            <w:shd w:val="clear" w:color="auto" w:fill="auto"/>
            <w:noWrap/>
            <w:vAlign w:val="bottom"/>
            <w:hideMark/>
          </w:tcPr>
          <w:p w14:paraId="65EE4AAF" w14:textId="77777777" w:rsidR="00FD30C5" w:rsidRPr="00FD30C5" w:rsidRDefault="00FD30C5" w:rsidP="00FD30C5">
            <w:pPr>
              <w:jc w:val="center"/>
              <w:rPr>
                <w:rFonts w:cs="Arial"/>
                <w:b/>
                <w:bCs/>
                <w:color w:val="000000"/>
                <w:sz w:val="20"/>
                <w:szCs w:val="20"/>
                <w:lang w:val="en-US" w:eastAsia="en-US"/>
              </w:rPr>
            </w:pPr>
            <w:r w:rsidRPr="00FD30C5">
              <w:rPr>
                <w:rFonts w:cs="Arial"/>
                <w:b/>
                <w:bCs/>
                <w:color w:val="000000"/>
                <w:sz w:val="20"/>
                <w:szCs w:val="20"/>
                <w:lang w:val="en-US" w:eastAsia="en-US"/>
              </w:rPr>
              <w:t>80+</w:t>
            </w:r>
          </w:p>
        </w:tc>
      </w:tr>
      <w:tr w:rsidR="00FD30C5" w:rsidRPr="00FD30C5" w14:paraId="31B20807" w14:textId="77777777" w:rsidTr="00E01546">
        <w:trPr>
          <w:trHeight w:val="300"/>
          <w:jc w:val="center"/>
        </w:trPr>
        <w:tc>
          <w:tcPr>
            <w:tcW w:w="1585" w:type="dxa"/>
            <w:tcBorders>
              <w:top w:val="nil"/>
              <w:left w:val="single" w:sz="8" w:space="0" w:color="auto"/>
              <w:bottom w:val="single" w:sz="4" w:space="0" w:color="auto"/>
              <w:right w:val="single" w:sz="4" w:space="0" w:color="auto"/>
            </w:tcBorders>
            <w:shd w:val="clear" w:color="auto" w:fill="auto"/>
            <w:noWrap/>
            <w:vAlign w:val="bottom"/>
            <w:hideMark/>
          </w:tcPr>
          <w:p w14:paraId="73306EC4" w14:textId="77777777" w:rsidR="00FD30C5" w:rsidRPr="00FD30C5" w:rsidRDefault="00FD30C5" w:rsidP="00FD30C5">
            <w:pPr>
              <w:rPr>
                <w:rFonts w:cs="Arial"/>
                <w:b/>
                <w:bCs/>
                <w:color w:val="000000"/>
                <w:sz w:val="18"/>
                <w:szCs w:val="18"/>
                <w:lang w:val="en-US" w:eastAsia="en-US"/>
              </w:rPr>
            </w:pPr>
            <w:r w:rsidRPr="00FD30C5">
              <w:rPr>
                <w:rFonts w:cs="Arial"/>
                <w:b/>
                <w:bCs/>
                <w:color w:val="000000"/>
                <w:sz w:val="18"/>
                <w:szCs w:val="18"/>
                <w:lang w:val="en-US" w:eastAsia="en-US"/>
              </w:rPr>
              <w:t>Scaling factor</w:t>
            </w:r>
          </w:p>
        </w:tc>
        <w:tc>
          <w:tcPr>
            <w:tcW w:w="962" w:type="dxa"/>
            <w:tcBorders>
              <w:top w:val="nil"/>
              <w:left w:val="nil"/>
              <w:bottom w:val="single" w:sz="4" w:space="0" w:color="auto"/>
              <w:right w:val="single" w:sz="4" w:space="0" w:color="auto"/>
            </w:tcBorders>
            <w:shd w:val="clear" w:color="auto" w:fill="auto"/>
            <w:noWrap/>
            <w:vAlign w:val="bottom"/>
            <w:hideMark/>
          </w:tcPr>
          <w:p w14:paraId="241658A2" w14:textId="77777777" w:rsidR="00FD30C5" w:rsidRPr="00FD30C5" w:rsidRDefault="00FD30C5" w:rsidP="00FD30C5">
            <w:pPr>
              <w:jc w:val="center"/>
              <w:rPr>
                <w:rFonts w:cs="Arial"/>
                <w:color w:val="000000"/>
                <w:sz w:val="18"/>
                <w:szCs w:val="18"/>
                <w:lang w:val="en-US" w:eastAsia="en-US"/>
              </w:rPr>
            </w:pPr>
            <w:r w:rsidRPr="00FD30C5">
              <w:rPr>
                <w:rFonts w:cs="Arial"/>
                <w:color w:val="000000"/>
                <w:sz w:val="18"/>
                <w:szCs w:val="18"/>
                <w:lang w:val="en-US" w:eastAsia="en-US"/>
              </w:rPr>
              <w:t>112,99%</w:t>
            </w:r>
          </w:p>
        </w:tc>
        <w:tc>
          <w:tcPr>
            <w:tcW w:w="961" w:type="dxa"/>
            <w:tcBorders>
              <w:top w:val="nil"/>
              <w:left w:val="nil"/>
              <w:bottom w:val="single" w:sz="4" w:space="0" w:color="auto"/>
              <w:right w:val="single" w:sz="4" w:space="0" w:color="auto"/>
            </w:tcBorders>
            <w:shd w:val="clear" w:color="auto" w:fill="auto"/>
            <w:noWrap/>
            <w:vAlign w:val="bottom"/>
            <w:hideMark/>
          </w:tcPr>
          <w:p w14:paraId="0852F9F9" w14:textId="77777777" w:rsidR="00FD30C5" w:rsidRPr="00FD30C5" w:rsidRDefault="00FD30C5" w:rsidP="00FD30C5">
            <w:pPr>
              <w:jc w:val="center"/>
              <w:rPr>
                <w:rFonts w:cs="Arial"/>
                <w:color w:val="000000"/>
                <w:sz w:val="18"/>
                <w:szCs w:val="18"/>
                <w:lang w:val="en-US" w:eastAsia="en-US"/>
              </w:rPr>
            </w:pPr>
            <w:r w:rsidRPr="00FD30C5">
              <w:rPr>
                <w:rFonts w:cs="Arial"/>
                <w:color w:val="000000"/>
                <w:sz w:val="18"/>
                <w:szCs w:val="18"/>
                <w:lang w:val="en-US" w:eastAsia="en-US"/>
              </w:rPr>
              <w:t>115,58%</w:t>
            </w:r>
          </w:p>
        </w:tc>
        <w:tc>
          <w:tcPr>
            <w:tcW w:w="961" w:type="dxa"/>
            <w:tcBorders>
              <w:top w:val="nil"/>
              <w:left w:val="nil"/>
              <w:bottom w:val="single" w:sz="4" w:space="0" w:color="auto"/>
              <w:right w:val="single" w:sz="4" w:space="0" w:color="auto"/>
            </w:tcBorders>
            <w:shd w:val="clear" w:color="auto" w:fill="auto"/>
            <w:noWrap/>
            <w:vAlign w:val="bottom"/>
            <w:hideMark/>
          </w:tcPr>
          <w:p w14:paraId="724C84FE" w14:textId="77777777" w:rsidR="00FD30C5" w:rsidRPr="00FD30C5" w:rsidRDefault="00FD30C5" w:rsidP="00FD30C5">
            <w:pPr>
              <w:jc w:val="center"/>
              <w:rPr>
                <w:rFonts w:cs="Arial"/>
                <w:color w:val="000000"/>
                <w:sz w:val="18"/>
                <w:szCs w:val="18"/>
                <w:lang w:val="en-US" w:eastAsia="en-US"/>
              </w:rPr>
            </w:pPr>
            <w:r w:rsidRPr="00FD30C5">
              <w:rPr>
                <w:rFonts w:cs="Arial"/>
                <w:color w:val="000000"/>
                <w:sz w:val="18"/>
                <w:szCs w:val="18"/>
                <w:lang w:val="en-US" w:eastAsia="en-US"/>
              </w:rPr>
              <w:t>112,99%</w:t>
            </w:r>
          </w:p>
        </w:tc>
        <w:tc>
          <w:tcPr>
            <w:tcW w:w="961" w:type="dxa"/>
            <w:tcBorders>
              <w:top w:val="nil"/>
              <w:left w:val="nil"/>
              <w:bottom w:val="single" w:sz="4" w:space="0" w:color="auto"/>
              <w:right w:val="single" w:sz="4" w:space="0" w:color="auto"/>
            </w:tcBorders>
            <w:shd w:val="clear" w:color="auto" w:fill="auto"/>
            <w:noWrap/>
            <w:vAlign w:val="bottom"/>
            <w:hideMark/>
          </w:tcPr>
          <w:p w14:paraId="7C9705AC" w14:textId="77777777" w:rsidR="00FD30C5" w:rsidRPr="00FD30C5" w:rsidRDefault="00FD30C5" w:rsidP="00FD30C5">
            <w:pPr>
              <w:jc w:val="center"/>
              <w:rPr>
                <w:rFonts w:cs="Arial"/>
                <w:color w:val="000000"/>
                <w:sz w:val="18"/>
                <w:szCs w:val="18"/>
                <w:lang w:val="en-US" w:eastAsia="en-US"/>
              </w:rPr>
            </w:pPr>
            <w:r w:rsidRPr="00FD30C5">
              <w:rPr>
                <w:rFonts w:cs="Arial"/>
                <w:color w:val="000000"/>
                <w:sz w:val="18"/>
                <w:szCs w:val="18"/>
                <w:lang w:val="en-US" w:eastAsia="en-US"/>
              </w:rPr>
              <w:t>110,39%</w:t>
            </w:r>
          </w:p>
        </w:tc>
        <w:tc>
          <w:tcPr>
            <w:tcW w:w="961" w:type="dxa"/>
            <w:tcBorders>
              <w:top w:val="nil"/>
              <w:left w:val="nil"/>
              <w:bottom w:val="single" w:sz="4" w:space="0" w:color="auto"/>
              <w:right w:val="single" w:sz="4" w:space="0" w:color="auto"/>
            </w:tcBorders>
            <w:shd w:val="clear" w:color="auto" w:fill="auto"/>
            <w:noWrap/>
            <w:vAlign w:val="bottom"/>
            <w:hideMark/>
          </w:tcPr>
          <w:p w14:paraId="48C18BFF" w14:textId="77777777" w:rsidR="00FD30C5" w:rsidRPr="00FD30C5" w:rsidRDefault="00FD30C5" w:rsidP="00FD30C5">
            <w:pPr>
              <w:jc w:val="center"/>
              <w:rPr>
                <w:rFonts w:cs="Arial"/>
                <w:color w:val="000000"/>
                <w:sz w:val="18"/>
                <w:szCs w:val="18"/>
                <w:lang w:val="en-US" w:eastAsia="en-US"/>
              </w:rPr>
            </w:pPr>
            <w:r w:rsidRPr="00FD30C5">
              <w:rPr>
                <w:rFonts w:cs="Arial"/>
                <w:color w:val="000000"/>
                <w:sz w:val="18"/>
                <w:szCs w:val="18"/>
                <w:lang w:val="en-US" w:eastAsia="en-US"/>
              </w:rPr>
              <w:t>100,00%</w:t>
            </w:r>
          </w:p>
        </w:tc>
        <w:tc>
          <w:tcPr>
            <w:tcW w:w="961" w:type="dxa"/>
            <w:tcBorders>
              <w:top w:val="nil"/>
              <w:left w:val="nil"/>
              <w:bottom w:val="single" w:sz="4" w:space="0" w:color="auto"/>
              <w:right w:val="single" w:sz="4" w:space="0" w:color="auto"/>
            </w:tcBorders>
            <w:shd w:val="clear" w:color="auto" w:fill="auto"/>
            <w:noWrap/>
            <w:vAlign w:val="bottom"/>
            <w:hideMark/>
          </w:tcPr>
          <w:p w14:paraId="4424A0DC" w14:textId="77777777" w:rsidR="00FD30C5" w:rsidRPr="00FD30C5" w:rsidRDefault="00FD30C5" w:rsidP="00FD30C5">
            <w:pPr>
              <w:jc w:val="center"/>
              <w:rPr>
                <w:rFonts w:cs="Arial"/>
                <w:color w:val="000000"/>
                <w:sz w:val="18"/>
                <w:szCs w:val="18"/>
                <w:lang w:val="en-US" w:eastAsia="en-US"/>
              </w:rPr>
            </w:pPr>
            <w:r w:rsidRPr="00FD30C5">
              <w:rPr>
                <w:rFonts w:cs="Arial"/>
                <w:color w:val="000000"/>
                <w:sz w:val="18"/>
                <w:szCs w:val="18"/>
                <w:lang w:val="en-US" w:eastAsia="en-US"/>
              </w:rPr>
              <w:t>100,00%</w:t>
            </w:r>
          </w:p>
        </w:tc>
        <w:tc>
          <w:tcPr>
            <w:tcW w:w="884" w:type="dxa"/>
            <w:tcBorders>
              <w:top w:val="nil"/>
              <w:left w:val="nil"/>
              <w:bottom w:val="single" w:sz="4" w:space="0" w:color="auto"/>
              <w:right w:val="single" w:sz="4" w:space="0" w:color="auto"/>
            </w:tcBorders>
            <w:shd w:val="clear" w:color="auto" w:fill="auto"/>
            <w:noWrap/>
            <w:vAlign w:val="bottom"/>
            <w:hideMark/>
          </w:tcPr>
          <w:p w14:paraId="4C3BEEFD" w14:textId="77777777" w:rsidR="00FD30C5" w:rsidRPr="00FD30C5" w:rsidRDefault="00FD30C5" w:rsidP="00FD30C5">
            <w:pPr>
              <w:jc w:val="center"/>
              <w:rPr>
                <w:rFonts w:cs="Arial"/>
                <w:color w:val="000000"/>
                <w:sz w:val="18"/>
                <w:szCs w:val="18"/>
                <w:lang w:val="en-US" w:eastAsia="en-US"/>
              </w:rPr>
            </w:pPr>
            <w:r w:rsidRPr="00FD30C5">
              <w:rPr>
                <w:rFonts w:cs="Arial"/>
                <w:color w:val="000000"/>
                <w:sz w:val="18"/>
                <w:szCs w:val="18"/>
                <w:lang w:val="en-US" w:eastAsia="en-US"/>
              </w:rPr>
              <w:t>93,51%</w:t>
            </w:r>
          </w:p>
        </w:tc>
        <w:tc>
          <w:tcPr>
            <w:tcW w:w="884" w:type="dxa"/>
            <w:tcBorders>
              <w:top w:val="nil"/>
              <w:left w:val="nil"/>
              <w:bottom w:val="single" w:sz="4" w:space="0" w:color="auto"/>
              <w:right w:val="single" w:sz="8" w:space="0" w:color="auto"/>
            </w:tcBorders>
            <w:shd w:val="clear" w:color="auto" w:fill="auto"/>
            <w:noWrap/>
            <w:vAlign w:val="bottom"/>
            <w:hideMark/>
          </w:tcPr>
          <w:p w14:paraId="324C3C4C" w14:textId="77777777" w:rsidR="00FD30C5" w:rsidRPr="00FD30C5" w:rsidRDefault="00FD30C5" w:rsidP="00FD30C5">
            <w:pPr>
              <w:jc w:val="center"/>
              <w:rPr>
                <w:rFonts w:cs="Arial"/>
                <w:color w:val="000000"/>
                <w:sz w:val="18"/>
                <w:szCs w:val="18"/>
                <w:lang w:val="en-US" w:eastAsia="en-US"/>
              </w:rPr>
            </w:pPr>
            <w:r w:rsidRPr="00FD30C5">
              <w:rPr>
                <w:rFonts w:cs="Arial"/>
                <w:color w:val="000000"/>
                <w:sz w:val="18"/>
                <w:szCs w:val="18"/>
                <w:lang w:val="en-US" w:eastAsia="en-US"/>
              </w:rPr>
              <w:t>83,12%</w:t>
            </w:r>
          </w:p>
        </w:tc>
      </w:tr>
      <w:tr w:rsidR="00FD30C5" w:rsidRPr="00FD30C5" w14:paraId="2619B8E4" w14:textId="77777777" w:rsidTr="00E01546">
        <w:trPr>
          <w:trHeight w:val="300"/>
          <w:jc w:val="center"/>
        </w:trPr>
        <w:tc>
          <w:tcPr>
            <w:tcW w:w="1585" w:type="dxa"/>
            <w:tcBorders>
              <w:top w:val="nil"/>
              <w:left w:val="single" w:sz="8" w:space="0" w:color="auto"/>
              <w:bottom w:val="single" w:sz="4" w:space="0" w:color="auto"/>
              <w:right w:val="single" w:sz="4" w:space="0" w:color="auto"/>
            </w:tcBorders>
            <w:shd w:val="clear" w:color="auto" w:fill="auto"/>
            <w:noWrap/>
            <w:vAlign w:val="bottom"/>
            <w:hideMark/>
          </w:tcPr>
          <w:p w14:paraId="15EAB4E9" w14:textId="77777777" w:rsidR="00FD30C5" w:rsidRPr="00FD30C5" w:rsidRDefault="00FD30C5" w:rsidP="00FD30C5">
            <w:pPr>
              <w:rPr>
                <w:rFonts w:cs="Arial"/>
                <w:b/>
                <w:bCs/>
                <w:color w:val="000000"/>
                <w:sz w:val="18"/>
                <w:szCs w:val="18"/>
                <w:lang w:val="en-US" w:eastAsia="en-US"/>
              </w:rPr>
            </w:pPr>
            <w:r w:rsidRPr="00FD30C5">
              <w:rPr>
                <w:rFonts w:cs="Arial"/>
                <w:b/>
                <w:bCs/>
                <w:color w:val="000000"/>
                <w:sz w:val="18"/>
                <w:szCs w:val="18"/>
                <w:lang w:val="en-US" w:eastAsia="en-US"/>
              </w:rPr>
              <w:t xml:space="preserve">Unaided utilty </w:t>
            </w:r>
          </w:p>
        </w:tc>
        <w:tc>
          <w:tcPr>
            <w:tcW w:w="962" w:type="dxa"/>
            <w:tcBorders>
              <w:top w:val="nil"/>
              <w:left w:val="nil"/>
              <w:bottom w:val="single" w:sz="4" w:space="0" w:color="auto"/>
              <w:right w:val="single" w:sz="4" w:space="0" w:color="auto"/>
            </w:tcBorders>
            <w:shd w:val="clear" w:color="auto" w:fill="auto"/>
            <w:noWrap/>
            <w:vAlign w:val="bottom"/>
            <w:hideMark/>
          </w:tcPr>
          <w:p w14:paraId="682B033E" w14:textId="77777777" w:rsidR="00FD30C5" w:rsidRPr="00FD30C5" w:rsidRDefault="00FD30C5" w:rsidP="00FD30C5">
            <w:pPr>
              <w:jc w:val="center"/>
              <w:rPr>
                <w:rFonts w:cs="Arial"/>
                <w:color w:val="000000"/>
                <w:sz w:val="18"/>
                <w:szCs w:val="18"/>
                <w:lang w:val="en-US" w:eastAsia="en-US"/>
              </w:rPr>
            </w:pPr>
            <w:r w:rsidRPr="00FD30C5">
              <w:rPr>
                <w:rFonts w:cs="Arial"/>
                <w:color w:val="000000"/>
                <w:sz w:val="18"/>
                <w:szCs w:val="18"/>
                <w:lang w:val="en-US" w:eastAsia="en-US"/>
              </w:rPr>
              <w:t>0,64968</w:t>
            </w:r>
          </w:p>
        </w:tc>
        <w:tc>
          <w:tcPr>
            <w:tcW w:w="961" w:type="dxa"/>
            <w:tcBorders>
              <w:top w:val="nil"/>
              <w:left w:val="nil"/>
              <w:bottom w:val="single" w:sz="4" w:space="0" w:color="auto"/>
              <w:right w:val="single" w:sz="4" w:space="0" w:color="auto"/>
            </w:tcBorders>
            <w:shd w:val="clear" w:color="auto" w:fill="auto"/>
            <w:noWrap/>
            <w:vAlign w:val="bottom"/>
            <w:hideMark/>
          </w:tcPr>
          <w:p w14:paraId="55284EFE" w14:textId="77777777" w:rsidR="00FD30C5" w:rsidRPr="00FD30C5" w:rsidRDefault="00FD30C5" w:rsidP="00FD30C5">
            <w:pPr>
              <w:jc w:val="center"/>
              <w:rPr>
                <w:rFonts w:cs="Arial"/>
                <w:color w:val="000000"/>
                <w:sz w:val="18"/>
                <w:szCs w:val="18"/>
                <w:lang w:val="en-US" w:eastAsia="en-US"/>
              </w:rPr>
            </w:pPr>
            <w:r w:rsidRPr="00FD30C5">
              <w:rPr>
                <w:rFonts w:cs="Arial"/>
                <w:color w:val="000000"/>
                <w:sz w:val="18"/>
                <w:szCs w:val="18"/>
                <w:lang w:val="en-US" w:eastAsia="en-US"/>
              </w:rPr>
              <w:t>0,66461</w:t>
            </w:r>
          </w:p>
        </w:tc>
        <w:tc>
          <w:tcPr>
            <w:tcW w:w="961" w:type="dxa"/>
            <w:tcBorders>
              <w:top w:val="nil"/>
              <w:left w:val="nil"/>
              <w:bottom w:val="single" w:sz="4" w:space="0" w:color="auto"/>
              <w:right w:val="single" w:sz="4" w:space="0" w:color="auto"/>
            </w:tcBorders>
            <w:shd w:val="clear" w:color="auto" w:fill="auto"/>
            <w:noWrap/>
            <w:vAlign w:val="bottom"/>
            <w:hideMark/>
          </w:tcPr>
          <w:p w14:paraId="066B4E94" w14:textId="77777777" w:rsidR="00FD30C5" w:rsidRPr="00FD30C5" w:rsidRDefault="00FD30C5" w:rsidP="00FD30C5">
            <w:pPr>
              <w:jc w:val="center"/>
              <w:rPr>
                <w:rFonts w:cs="Arial"/>
                <w:color w:val="000000"/>
                <w:sz w:val="18"/>
                <w:szCs w:val="18"/>
                <w:lang w:val="en-US" w:eastAsia="en-US"/>
              </w:rPr>
            </w:pPr>
            <w:r w:rsidRPr="00FD30C5">
              <w:rPr>
                <w:rFonts w:cs="Arial"/>
                <w:color w:val="000000"/>
                <w:sz w:val="18"/>
                <w:szCs w:val="18"/>
                <w:lang w:val="en-US" w:eastAsia="en-US"/>
              </w:rPr>
              <w:t>0,64968</w:t>
            </w:r>
          </w:p>
        </w:tc>
        <w:tc>
          <w:tcPr>
            <w:tcW w:w="961" w:type="dxa"/>
            <w:tcBorders>
              <w:top w:val="nil"/>
              <w:left w:val="nil"/>
              <w:bottom w:val="single" w:sz="4" w:space="0" w:color="auto"/>
              <w:right w:val="single" w:sz="4" w:space="0" w:color="auto"/>
            </w:tcBorders>
            <w:shd w:val="clear" w:color="auto" w:fill="auto"/>
            <w:noWrap/>
            <w:vAlign w:val="bottom"/>
            <w:hideMark/>
          </w:tcPr>
          <w:p w14:paraId="5DB2313F" w14:textId="77777777" w:rsidR="00FD30C5" w:rsidRPr="00FD30C5" w:rsidRDefault="00FD30C5" w:rsidP="00FD30C5">
            <w:pPr>
              <w:jc w:val="center"/>
              <w:rPr>
                <w:rFonts w:cs="Arial"/>
                <w:color w:val="000000"/>
                <w:sz w:val="18"/>
                <w:szCs w:val="18"/>
                <w:lang w:val="en-US" w:eastAsia="en-US"/>
              </w:rPr>
            </w:pPr>
            <w:r w:rsidRPr="00FD30C5">
              <w:rPr>
                <w:rFonts w:cs="Arial"/>
                <w:color w:val="000000"/>
                <w:sz w:val="18"/>
                <w:szCs w:val="18"/>
                <w:lang w:val="en-US" w:eastAsia="en-US"/>
              </w:rPr>
              <w:t>0,63474</w:t>
            </w:r>
          </w:p>
        </w:tc>
        <w:tc>
          <w:tcPr>
            <w:tcW w:w="961" w:type="dxa"/>
            <w:tcBorders>
              <w:top w:val="nil"/>
              <w:left w:val="nil"/>
              <w:bottom w:val="single" w:sz="4" w:space="0" w:color="auto"/>
              <w:right w:val="single" w:sz="4" w:space="0" w:color="auto"/>
            </w:tcBorders>
            <w:shd w:val="clear" w:color="auto" w:fill="auto"/>
            <w:noWrap/>
            <w:vAlign w:val="bottom"/>
            <w:hideMark/>
          </w:tcPr>
          <w:p w14:paraId="1818218B" w14:textId="77777777" w:rsidR="00FD30C5" w:rsidRPr="00FD30C5" w:rsidRDefault="00FD30C5" w:rsidP="00FD30C5">
            <w:pPr>
              <w:jc w:val="center"/>
              <w:rPr>
                <w:rFonts w:cs="Arial"/>
                <w:color w:val="000000"/>
                <w:sz w:val="18"/>
                <w:szCs w:val="18"/>
                <w:lang w:val="en-US" w:eastAsia="en-US"/>
              </w:rPr>
            </w:pPr>
            <w:r w:rsidRPr="00FD30C5">
              <w:rPr>
                <w:rFonts w:cs="Arial"/>
                <w:color w:val="000000"/>
                <w:sz w:val="18"/>
                <w:szCs w:val="18"/>
                <w:lang w:val="en-US" w:eastAsia="en-US"/>
              </w:rPr>
              <w:t>0,57514</w:t>
            </w:r>
          </w:p>
        </w:tc>
        <w:tc>
          <w:tcPr>
            <w:tcW w:w="961" w:type="dxa"/>
            <w:tcBorders>
              <w:top w:val="nil"/>
              <w:left w:val="nil"/>
              <w:bottom w:val="single" w:sz="4" w:space="0" w:color="auto"/>
              <w:right w:val="single" w:sz="4" w:space="0" w:color="auto"/>
            </w:tcBorders>
            <w:shd w:val="clear" w:color="auto" w:fill="auto"/>
            <w:noWrap/>
            <w:vAlign w:val="bottom"/>
            <w:hideMark/>
          </w:tcPr>
          <w:p w14:paraId="70CB9B4C" w14:textId="77777777" w:rsidR="00FD30C5" w:rsidRPr="00FD30C5" w:rsidRDefault="00FD30C5" w:rsidP="00FD30C5">
            <w:pPr>
              <w:jc w:val="center"/>
              <w:rPr>
                <w:rFonts w:cs="Arial"/>
                <w:color w:val="000000"/>
                <w:sz w:val="18"/>
                <w:szCs w:val="18"/>
                <w:lang w:val="en-US" w:eastAsia="en-US"/>
              </w:rPr>
            </w:pPr>
            <w:r w:rsidRPr="00FD30C5">
              <w:rPr>
                <w:rFonts w:cs="Arial"/>
                <w:color w:val="000000"/>
                <w:sz w:val="18"/>
                <w:szCs w:val="18"/>
                <w:lang w:val="en-US" w:eastAsia="en-US"/>
              </w:rPr>
              <w:t>0,57514</w:t>
            </w:r>
          </w:p>
        </w:tc>
        <w:tc>
          <w:tcPr>
            <w:tcW w:w="884" w:type="dxa"/>
            <w:tcBorders>
              <w:top w:val="nil"/>
              <w:left w:val="nil"/>
              <w:bottom w:val="single" w:sz="4" w:space="0" w:color="auto"/>
              <w:right w:val="single" w:sz="4" w:space="0" w:color="auto"/>
            </w:tcBorders>
            <w:shd w:val="clear" w:color="auto" w:fill="auto"/>
            <w:noWrap/>
            <w:vAlign w:val="bottom"/>
            <w:hideMark/>
          </w:tcPr>
          <w:p w14:paraId="4E11AF97" w14:textId="77777777" w:rsidR="00FD30C5" w:rsidRPr="00FD30C5" w:rsidRDefault="00FD30C5" w:rsidP="00FD30C5">
            <w:pPr>
              <w:jc w:val="center"/>
              <w:rPr>
                <w:rFonts w:cs="Arial"/>
                <w:color w:val="000000"/>
                <w:sz w:val="18"/>
                <w:szCs w:val="18"/>
                <w:lang w:val="en-US" w:eastAsia="en-US"/>
              </w:rPr>
            </w:pPr>
            <w:r w:rsidRPr="00FD30C5">
              <w:rPr>
                <w:rFonts w:cs="Arial"/>
                <w:color w:val="000000"/>
                <w:sz w:val="18"/>
                <w:szCs w:val="18"/>
                <w:lang w:val="en-US" w:eastAsia="en-US"/>
              </w:rPr>
              <w:t>0,53766</w:t>
            </w:r>
          </w:p>
        </w:tc>
        <w:tc>
          <w:tcPr>
            <w:tcW w:w="884" w:type="dxa"/>
            <w:tcBorders>
              <w:top w:val="nil"/>
              <w:left w:val="nil"/>
              <w:bottom w:val="single" w:sz="4" w:space="0" w:color="auto"/>
              <w:right w:val="single" w:sz="8" w:space="0" w:color="auto"/>
            </w:tcBorders>
            <w:shd w:val="clear" w:color="auto" w:fill="auto"/>
            <w:noWrap/>
            <w:vAlign w:val="bottom"/>
            <w:hideMark/>
          </w:tcPr>
          <w:p w14:paraId="178A0CCC" w14:textId="77777777" w:rsidR="00FD30C5" w:rsidRPr="00FD30C5" w:rsidRDefault="00FD30C5" w:rsidP="00FD30C5">
            <w:pPr>
              <w:jc w:val="center"/>
              <w:rPr>
                <w:rFonts w:cs="Arial"/>
                <w:color w:val="000000"/>
                <w:sz w:val="18"/>
                <w:szCs w:val="18"/>
                <w:lang w:val="en-US" w:eastAsia="en-US"/>
              </w:rPr>
            </w:pPr>
            <w:r w:rsidRPr="00FD30C5">
              <w:rPr>
                <w:rFonts w:cs="Arial"/>
                <w:color w:val="000000"/>
                <w:sz w:val="18"/>
                <w:szCs w:val="18"/>
                <w:lang w:val="en-US" w:eastAsia="en-US"/>
              </w:rPr>
              <w:t>0,47792</w:t>
            </w:r>
          </w:p>
        </w:tc>
      </w:tr>
      <w:tr w:rsidR="00FD30C5" w:rsidRPr="00FD30C5" w14:paraId="1BF91459" w14:textId="77777777" w:rsidTr="00E01546">
        <w:trPr>
          <w:trHeight w:val="315"/>
          <w:jc w:val="center"/>
        </w:trPr>
        <w:tc>
          <w:tcPr>
            <w:tcW w:w="1585" w:type="dxa"/>
            <w:tcBorders>
              <w:top w:val="nil"/>
              <w:left w:val="single" w:sz="8" w:space="0" w:color="auto"/>
              <w:bottom w:val="single" w:sz="8" w:space="0" w:color="auto"/>
              <w:right w:val="single" w:sz="4" w:space="0" w:color="auto"/>
            </w:tcBorders>
            <w:shd w:val="clear" w:color="auto" w:fill="auto"/>
            <w:noWrap/>
            <w:vAlign w:val="bottom"/>
            <w:hideMark/>
          </w:tcPr>
          <w:p w14:paraId="43D6C0F2" w14:textId="77777777" w:rsidR="00FD30C5" w:rsidRPr="00FD30C5" w:rsidRDefault="00FD30C5" w:rsidP="00FD30C5">
            <w:pPr>
              <w:rPr>
                <w:rFonts w:cs="Arial"/>
                <w:b/>
                <w:bCs/>
                <w:color w:val="000000"/>
                <w:sz w:val="18"/>
                <w:szCs w:val="18"/>
                <w:lang w:val="en-US" w:eastAsia="en-US"/>
              </w:rPr>
            </w:pPr>
            <w:r w:rsidRPr="00FD30C5">
              <w:rPr>
                <w:rFonts w:cs="Arial"/>
                <w:b/>
                <w:bCs/>
                <w:color w:val="000000"/>
                <w:sz w:val="18"/>
                <w:szCs w:val="18"/>
                <w:lang w:val="en-US" w:eastAsia="en-US"/>
              </w:rPr>
              <w:t>Aided utility</w:t>
            </w:r>
          </w:p>
        </w:tc>
        <w:tc>
          <w:tcPr>
            <w:tcW w:w="962" w:type="dxa"/>
            <w:tcBorders>
              <w:top w:val="nil"/>
              <w:left w:val="nil"/>
              <w:bottom w:val="single" w:sz="8" w:space="0" w:color="auto"/>
              <w:right w:val="single" w:sz="4" w:space="0" w:color="auto"/>
            </w:tcBorders>
            <w:shd w:val="clear" w:color="auto" w:fill="auto"/>
            <w:noWrap/>
            <w:vAlign w:val="bottom"/>
            <w:hideMark/>
          </w:tcPr>
          <w:p w14:paraId="20B4CDA5" w14:textId="77777777" w:rsidR="00FD30C5" w:rsidRPr="00FD30C5" w:rsidRDefault="00FD30C5" w:rsidP="00FD30C5">
            <w:pPr>
              <w:jc w:val="center"/>
              <w:rPr>
                <w:rFonts w:cs="Arial"/>
                <w:color w:val="000000"/>
                <w:sz w:val="18"/>
                <w:szCs w:val="18"/>
                <w:lang w:val="en-US" w:eastAsia="en-US"/>
              </w:rPr>
            </w:pPr>
            <w:r w:rsidRPr="00FD30C5">
              <w:rPr>
                <w:rFonts w:cs="Arial"/>
                <w:color w:val="000000"/>
                <w:sz w:val="18"/>
                <w:szCs w:val="18"/>
                <w:lang w:val="en-US" w:eastAsia="en-US"/>
              </w:rPr>
              <w:t>0,75475</w:t>
            </w:r>
          </w:p>
        </w:tc>
        <w:tc>
          <w:tcPr>
            <w:tcW w:w="961" w:type="dxa"/>
            <w:tcBorders>
              <w:top w:val="nil"/>
              <w:left w:val="nil"/>
              <w:bottom w:val="single" w:sz="8" w:space="0" w:color="auto"/>
              <w:right w:val="single" w:sz="4" w:space="0" w:color="auto"/>
            </w:tcBorders>
            <w:shd w:val="clear" w:color="auto" w:fill="auto"/>
            <w:noWrap/>
            <w:vAlign w:val="bottom"/>
            <w:hideMark/>
          </w:tcPr>
          <w:p w14:paraId="53420297" w14:textId="77777777" w:rsidR="00FD30C5" w:rsidRPr="00FD30C5" w:rsidRDefault="00FD30C5" w:rsidP="00FD30C5">
            <w:pPr>
              <w:jc w:val="center"/>
              <w:rPr>
                <w:rFonts w:cs="Arial"/>
                <w:color w:val="000000"/>
                <w:sz w:val="18"/>
                <w:szCs w:val="18"/>
                <w:lang w:val="en-US" w:eastAsia="en-US"/>
              </w:rPr>
            </w:pPr>
            <w:r w:rsidRPr="00FD30C5">
              <w:rPr>
                <w:rFonts w:cs="Arial"/>
                <w:color w:val="000000"/>
                <w:sz w:val="18"/>
                <w:szCs w:val="18"/>
                <w:lang w:val="en-US" w:eastAsia="en-US"/>
              </w:rPr>
              <w:t>0,77210</w:t>
            </w:r>
          </w:p>
        </w:tc>
        <w:tc>
          <w:tcPr>
            <w:tcW w:w="961" w:type="dxa"/>
            <w:tcBorders>
              <w:top w:val="nil"/>
              <w:left w:val="nil"/>
              <w:bottom w:val="single" w:sz="8" w:space="0" w:color="auto"/>
              <w:right w:val="single" w:sz="4" w:space="0" w:color="auto"/>
            </w:tcBorders>
            <w:shd w:val="clear" w:color="auto" w:fill="auto"/>
            <w:noWrap/>
            <w:vAlign w:val="bottom"/>
            <w:hideMark/>
          </w:tcPr>
          <w:p w14:paraId="266A37EB" w14:textId="77777777" w:rsidR="00FD30C5" w:rsidRPr="00FD30C5" w:rsidRDefault="00FD30C5" w:rsidP="00FD30C5">
            <w:pPr>
              <w:jc w:val="center"/>
              <w:rPr>
                <w:rFonts w:cs="Arial"/>
                <w:color w:val="000000"/>
                <w:sz w:val="18"/>
                <w:szCs w:val="18"/>
                <w:lang w:val="en-US" w:eastAsia="en-US"/>
              </w:rPr>
            </w:pPr>
            <w:r w:rsidRPr="00FD30C5">
              <w:rPr>
                <w:rFonts w:cs="Arial"/>
                <w:color w:val="000000"/>
                <w:sz w:val="18"/>
                <w:szCs w:val="18"/>
                <w:lang w:val="en-US" w:eastAsia="en-US"/>
              </w:rPr>
              <w:t>0,75475</w:t>
            </w:r>
          </w:p>
        </w:tc>
        <w:tc>
          <w:tcPr>
            <w:tcW w:w="961" w:type="dxa"/>
            <w:tcBorders>
              <w:top w:val="nil"/>
              <w:left w:val="nil"/>
              <w:bottom w:val="single" w:sz="8" w:space="0" w:color="auto"/>
              <w:right w:val="single" w:sz="4" w:space="0" w:color="auto"/>
            </w:tcBorders>
            <w:shd w:val="clear" w:color="auto" w:fill="auto"/>
            <w:noWrap/>
            <w:vAlign w:val="bottom"/>
            <w:hideMark/>
          </w:tcPr>
          <w:p w14:paraId="53EFFCC6" w14:textId="77777777" w:rsidR="00FD30C5" w:rsidRPr="00FD30C5" w:rsidRDefault="00FD30C5" w:rsidP="00FD30C5">
            <w:pPr>
              <w:jc w:val="center"/>
              <w:rPr>
                <w:rFonts w:cs="Arial"/>
                <w:color w:val="000000"/>
                <w:sz w:val="18"/>
                <w:szCs w:val="18"/>
                <w:lang w:val="en-US" w:eastAsia="en-US"/>
              </w:rPr>
            </w:pPr>
            <w:r w:rsidRPr="00FD30C5">
              <w:rPr>
                <w:rFonts w:cs="Arial"/>
                <w:color w:val="000000"/>
                <w:sz w:val="18"/>
                <w:szCs w:val="18"/>
                <w:lang w:val="en-US" w:eastAsia="en-US"/>
              </w:rPr>
              <w:t>0,73740</w:t>
            </w:r>
          </w:p>
        </w:tc>
        <w:tc>
          <w:tcPr>
            <w:tcW w:w="961" w:type="dxa"/>
            <w:tcBorders>
              <w:top w:val="nil"/>
              <w:left w:val="nil"/>
              <w:bottom w:val="single" w:sz="8" w:space="0" w:color="auto"/>
              <w:right w:val="single" w:sz="4" w:space="0" w:color="auto"/>
            </w:tcBorders>
            <w:shd w:val="clear" w:color="auto" w:fill="auto"/>
            <w:noWrap/>
            <w:vAlign w:val="bottom"/>
            <w:hideMark/>
          </w:tcPr>
          <w:p w14:paraId="38C11FEE" w14:textId="77777777" w:rsidR="00FD30C5" w:rsidRPr="00FD30C5" w:rsidRDefault="00FD30C5" w:rsidP="00FD30C5">
            <w:pPr>
              <w:jc w:val="center"/>
              <w:rPr>
                <w:rFonts w:cs="Arial"/>
                <w:color w:val="000000"/>
                <w:sz w:val="18"/>
                <w:szCs w:val="18"/>
                <w:lang w:val="en-US" w:eastAsia="en-US"/>
              </w:rPr>
            </w:pPr>
            <w:r w:rsidRPr="00FD30C5">
              <w:rPr>
                <w:rFonts w:cs="Arial"/>
                <w:color w:val="000000"/>
                <w:sz w:val="18"/>
                <w:szCs w:val="18"/>
                <w:lang w:val="en-US" w:eastAsia="en-US"/>
              </w:rPr>
              <w:t>0,66868</w:t>
            </w:r>
          </w:p>
        </w:tc>
        <w:tc>
          <w:tcPr>
            <w:tcW w:w="961" w:type="dxa"/>
            <w:tcBorders>
              <w:top w:val="nil"/>
              <w:left w:val="nil"/>
              <w:bottom w:val="single" w:sz="8" w:space="0" w:color="auto"/>
              <w:right w:val="single" w:sz="4" w:space="0" w:color="auto"/>
            </w:tcBorders>
            <w:shd w:val="clear" w:color="auto" w:fill="auto"/>
            <w:noWrap/>
            <w:vAlign w:val="bottom"/>
            <w:hideMark/>
          </w:tcPr>
          <w:p w14:paraId="63F2CBCB" w14:textId="77777777" w:rsidR="00FD30C5" w:rsidRPr="00FD30C5" w:rsidRDefault="00FD30C5" w:rsidP="00FD30C5">
            <w:pPr>
              <w:jc w:val="center"/>
              <w:rPr>
                <w:rFonts w:cs="Arial"/>
                <w:color w:val="000000"/>
                <w:sz w:val="18"/>
                <w:szCs w:val="18"/>
                <w:lang w:val="en-US" w:eastAsia="en-US"/>
              </w:rPr>
            </w:pPr>
            <w:r w:rsidRPr="00FD30C5">
              <w:rPr>
                <w:rFonts w:cs="Arial"/>
                <w:color w:val="000000"/>
                <w:sz w:val="18"/>
                <w:szCs w:val="18"/>
                <w:lang w:val="en-US" w:eastAsia="en-US"/>
              </w:rPr>
              <w:t>0,66868</w:t>
            </w:r>
          </w:p>
        </w:tc>
        <w:tc>
          <w:tcPr>
            <w:tcW w:w="884" w:type="dxa"/>
            <w:tcBorders>
              <w:top w:val="nil"/>
              <w:left w:val="nil"/>
              <w:bottom w:val="single" w:sz="8" w:space="0" w:color="auto"/>
              <w:right w:val="single" w:sz="4" w:space="0" w:color="auto"/>
            </w:tcBorders>
            <w:shd w:val="clear" w:color="auto" w:fill="auto"/>
            <w:noWrap/>
            <w:vAlign w:val="bottom"/>
            <w:hideMark/>
          </w:tcPr>
          <w:p w14:paraId="74811EE2" w14:textId="77777777" w:rsidR="00FD30C5" w:rsidRPr="00FD30C5" w:rsidRDefault="00FD30C5" w:rsidP="00FD30C5">
            <w:pPr>
              <w:jc w:val="center"/>
              <w:rPr>
                <w:rFonts w:cs="Arial"/>
                <w:color w:val="000000"/>
                <w:sz w:val="18"/>
                <w:szCs w:val="18"/>
                <w:lang w:val="en-US" w:eastAsia="en-US"/>
              </w:rPr>
            </w:pPr>
            <w:r w:rsidRPr="00FD30C5">
              <w:rPr>
                <w:rFonts w:cs="Arial"/>
                <w:color w:val="000000"/>
                <w:sz w:val="18"/>
                <w:szCs w:val="18"/>
                <w:lang w:val="en-US" w:eastAsia="en-US"/>
              </w:rPr>
              <w:t>0,62462</w:t>
            </w:r>
          </w:p>
        </w:tc>
        <w:tc>
          <w:tcPr>
            <w:tcW w:w="884" w:type="dxa"/>
            <w:tcBorders>
              <w:top w:val="nil"/>
              <w:left w:val="nil"/>
              <w:bottom w:val="single" w:sz="8" w:space="0" w:color="auto"/>
              <w:right w:val="single" w:sz="8" w:space="0" w:color="auto"/>
            </w:tcBorders>
            <w:shd w:val="clear" w:color="auto" w:fill="auto"/>
            <w:noWrap/>
            <w:vAlign w:val="bottom"/>
            <w:hideMark/>
          </w:tcPr>
          <w:p w14:paraId="188AB2C6" w14:textId="77777777" w:rsidR="00FD30C5" w:rsidRPr="00FD30C5" w:rsidRDefault="00FD30C5" w:rsidP="00FD30C5">
            <w:pPr>
              <w:jc w:val="center"/>
              <w:rPr>
                <w:rFonts w:cs="Arial"/>
                <w:color w:val="000000"/>
                <w:sz w:val="18"/>
                <w:szCs w:val="18"/>
                <w:lang w:val="en-US" w:eastAsia="en-US"/>
              </w:rPr>
            </w:pPr>
            <w:r w:rsidRPr="00FD30C5">
              <w:rPr>
                <w:rFonts w:cs="Arial"/>
                <w:color w:val="000000"/>
                <w:sz w:val="18"/>
                <w:szCs w:val="18"/>
                <w:lang w:val="en-US" w:eastAsia="en-US"/>
              </w:rPr>
              <w:t>0,55522</w:t>
            </w:r>
          </w:p>
        </w:tc>
      </w:tr>
    </w:tbl>
    <w:p w14:paraId="3D8E5992" w14:textId="77777777" w:rsidR="00AC1204" w:rsidRPr="00AC1204" w:rsidRDefault="00AC1204" w:rsidP="00AC1204">
      <w:pPr>
        <w:spacing w:line="360" w:lineRule="auto"/>
        <w:jc w:val="both"/>
      </w:pPr>
    </w:p>
    <w:p w14:paraId="190F1B92" w14:textId="77777777" w:rsidR="00FD30C5" w:rsidRPr="00932A48" w:rsidRDefault="00FD30C5" w:rsidP="00AC1204">
      <w:pPr>
        <w:pStyle w:val="Heading4"/>
        <w:spacing w:line="360" w:lineRule="auto"/>
        <w:ind w:left="864" w:hanging="864"/>
        <w:jc w:val="both"/>
        <w:rPr>
          <w:rFonts w:cs="Arial"/>
          <w:lang w:val="en-GB"/>
        </w:rPr>
      </w:pPr>
      <w:r w:rsidRPr="00932A48">
        <w:rPr>
          <w:rFonts w:cs="Arial"/>
          <w:lang w:val="en-GB"/>
        </w:rPr>
        <w:t>For comparing MEI</w:t>
      </w:r>
    </w:p>
    <w:p w14:paraId="73A1683C" w14:textId="77777777" w:rsidR="00FD30C5" w:rsidRPr="00932A48" w:rsidRDefault="00FD30C5" w:rsidP="00FD30C5">
      <w:pPr>
        <w:spacing w:line="360" w:lineRule="auto"/>
        <w:jc w:val="both"/>
        <w:rPr>
          <w:rFonts w:cs="Arial"/>
          <w:lang w:val="en-GB"/>
        </w:rPr>
      </w:pPr>
      <w:r w:rsidRPr="00932A48">
        <w:rPr>
          <w:rFonts w:cs="Arial"/>
          <w:lang w:val="en-GB"/>
        </w:rPr>
        <w:t>When comparing the different partially implantable AMEI against each other, the health outcome of choice was patient perceived benefit. This is due to no utility measures being carried out in the studies investigating outcomes with the SOUNDTEC Direct Drive system. These studies implemented the Abbreviated Profile of Hearing Aid Benefit (APHAB) which is a common measure used in studies of the Vibrant Soundbridge implant system. This questionnaire documents the amount of difficulty experienced by implant users and higher numbers represent poorer outcomes.</w:t>
      </w:r>
    </w:p>
    <w:p w14:paraId="1228A87B" w14:textId="77777777" w:rsidR="00FD30C5" w:rsidRPr="00AC1204" w:rsidRDefault="00FD30C5" w:rsidP="00FD30C5">
      <w:pPr>
        <w:spacing w:line="360" w:lineRule="auto"/>
        <w:jc w:val="both"/>
        <w:rPr>
          <w:rFonts w:cs="Arial"/>
          <w:lang w:val="en-GB"/>
        </w:rPr>
      </w:pPr>
      <w:r w:rsidRPr="00932A48">
        <w:rPr>
          <w:rFonts w:cs="Arial"/>
          <w:lang w:val="en-GB"/>
        </w:rPr>
        <w:t xml:space="preserve">Three of the six identified studies on the VSB and one of the two identified studies on the SOUNDTEC reported outcomes on all subscales of the APHAB within the first six months of device use. For the VSB, the weighted mean of the estimated global scores was used as the initial effectiveness reward while single study data for the SOUNDTEC was used directly in the model. None of these studies reported results measured in the unaided situation before implantation. The study by Cox and Alexander (1995) describing the development of the APHAB was used for estimating values in the unaided population. The study demographics and the values entered into the model are </w:t>
      </w:r>
      <w:r w:rsidRPr="00AC1204">
        <w:rPr>
          <w:rFonts w:cs="Arial"/>
          <w:lang w:val="en-GB"/>
        </w:rPr>
        <w:t xml:space="preserve">described in </w:t>
      </w:r>
      <w:r w:rsidRPr="00AC1204">
        <w:rPr>
          <w:rFonts w:cs="Arial"/>
          <w:lang w:val="en-GB"/>
        </w:rPr>
        <w:fldChar w:fldCharType="begin"/>
      </w:r>
      <w:r w:rsidRPr="00AC1204">
        <w:rPr>
          <w:rFonts w:cs="Arial"/>
          <w:lang w:val="en-GB"/>
        </w:rPr>
        <w:instrText xml:space="preserve"> REF _Ref430966360 \h  \* MERGEFORMAT </w:instrText>
      </w:r>
      <w:r w:rsidRPr="00AC1204">
        <w:rPr>
          <w:rFonts w:cs="Arial"/>
          <w:lang w:val="en-GB"/>
        </w:rPr>
      </w:r>
      <w:r w:rsidRPr="00AC1204">
        <w:rPr>
          <w:rFonts w:cs="Arial"/>
          <w:lang w:val="en-GB"/>
        </w:rPr>
        <w:fldChar w:fldCharType="separate"/>
      </w:r>
      <w:r w:rsidR="00016592" w:rsidRPr="00016592">
        <w:rPr>
          <w:rFonts w:cs="Arial"/>
          <w:bCs/>
        </w:rPr>
        <w:t xml:space="preserve">Table </w:t>
      </w:r>
      <w:r w:rsidR="00016592" w:rsidRPr="00016592">
        <w:rPr>
          <w:rFonts w:cs="Arial"/>
          <w:bCs/>
          <w:noProof/>
        </w:rPr>
        <w:t>46</w:t>
      </w:r>
      <w:r w:rsidRPr="00AC1204">
        <w:rPr>
          <w:rFonts w:cs="Arial"/>
          <w:lang w:val="en-GB"/>
        </w:rPr>
        <w:fldChar w:fldCharType="end"/>
      </w:r>
      <w:r w:rsidRPr="00AC1204">
        <w:rPr>
          <w:rFonts w:cs="Arial"/>
          <w:lang w:val="en-GB"/>
        </w:rPr>
        <w:t>.</w:t>
      </w:r>
    </w:p>
    <w:p w14:paraId="3CD432B4" w14:textId="77777777" w:rsidR="00FD30C5" w:rsidRPr="00932A48" w:rsidRDefault="00FD30C5" w:rsidP="00FD30C5">
      <w:pPr>
        <w:spacing w:line="360" w:lineRule="auto"/>
        <w:jc w:val="both"/>
        <w:rPr>
          <w:rFonts w:cs="Arial"/>
          <w:lang w:val="en-GB"/>
        </w:rPr>
      </w:pPr>
    </w:p>
    <w:p w14:paraId="33A9E9D3" w14:textId="77777777" w:rsidR="00FD30C5" w:rsidRPr="00FD30C5" w:rsidRDefault="00FD30C5" w:rsidP="00FD30C5">
      <w:pPr>
        <w:spacing w:line="360" w:lineRule="auto"/>
        <w:jc w:val="both"/>
        <w:rPr>
          <w:rFonts w:cs="Arial"/>
          <w:b/>
          <w:sz w:val="20"/>
          <w:szCs w:val="20"/>
        </w:rPr>
      </w:pPr>
      <w:bookmarkStart w:id="563" w:name="_Ref430966360"/>
      <w:bookmarkStart w:id="564" w:name="_Toc431917506"/>
      <w:r w:rsidRPr="00FD30C5">
        <w:rPr>
          <w:rFonts w:cs="Arial"/>
          <w:b/>
          <w:bCs/>
          <w:sz w:val="20"/>
          <w:szCs w:val="20"/>
        </w:rPr>
        <w:t xml:space="preserve">Table </w:t>
      </w:r>
      <w:r w:rsidRPr="00FD30C5">
        <w:rPr>
          <w:rFonts w:cs="Arial"/>
          <w:b/>
          <w:bCs/>
          <w:sz w:val="20"/>
          <w:szCs w:val="20"/>
        </w:rPr>
        <w:fldChar w:fldCharType="begin"/>
      </w:r>
      <w:r w:rsidRPr="00FD30C5">
        <w:rPr>
          <w:rFonts w:cs="Arial"/>
          <w:b/>
          <w:bCs/>
          <w:sz w:val="20"/>
          <w:szCs w:val="20"/>
        </w:rPr>
        <w:instrText xml:space="preserve"> SEQ Table \* ARABIC </w:instrText>
      </w:r>
      <w:r w:rsidRPr="00FD30C5">
        <w:rPr>
          <w:rFonts w:cs="Arial"/>
          <w:b/>
          <w:bCs/>
          <w:sz w:val="20"/>
          <w:szCs w:val="20"/>
        </w:rPr>
        <w:fldChar w:fldCharType="separate"/>
      </w:r>
      <w:r w:rsidR="00016592">
        <w:rPr>
          <w:rFonts w:cs="Arial"/>
          <w:b/>
          <w:bCs/>
          <w:noProof/>
          <w:sz w:val="20"/>
          <w:szCs w:val="20"/>
        </w:rPr>
        <w:t>46</w:t>
      </w:r>
      <w:r w:rsidRPr="00FD30C5">
        <w:rPr>
          <w:rFonts w:cs="Arial"/>
          <w:b/>
          <w:bCs/>
          <w:sz w:val="20"/>
          <w:szCs w:val="20"/>
        </w:rPr>
        <w:fldChar w:fldCharType="end"/>
      </w:r>
      <w:bookmarkEnd w:id="563"/>
      <w:r w:rsidRPr="00FD30C5">
        <w:rPr>
          <w:rFonts w:cs="Arial"/>
          <w:b/>
          <w:bCs/>
          <w:sz w:val="20"/>
          <w:szCs w:val="20"/>
        </w:rPr>
        <w:t xml:space="preserve"> - </w:t>
      </w:r>
      <w:r w:rsidRPr="00FD30C5">
        <w:rPr>
          <w:rFonts w:cs="Arial"/>
          <w:b/>
          <w:sz w:val="20"/>
          <w:szCs w:val="20"/>
          <w:lang w:val="en-GB"/>
        </w:rPr>
        <w:t>Health outcome values used for comparing partially implantable MEI.</w:t>
      </w:r>
      <w:bookmarkEnd w:id="564"/>
    </w:p>
    <w:tbl>
      <w:tblPr>
        <w:tblW w:w="6680" w:type="dxa"/>
        <w:jc w:val="center"/>
        <w:tblLook w:val="04A0" w:firstRow="1" w:lastRow="0" w:firstColumn="1" w:lastColumn="0" w:noHBand="0" w:noVBand="1"/>
        <w:tblDescription w:val="Health outcome values used for comparing partially implantable MEI"/>
      </w:tblPr>
      <w:tblGrid>
        <w:gridCol w:w="1840"/>
        <w:gridCol w:w="2266"/>
        <w:gridCol w:w="550"/>
        <w:gridCol w:w="1460"/>
        <w:gridCol w:w="640"/>
      </w:tblGrid>
      <w:tr w:rsidR="00FD30C5" w:rsidRPr="00FD30C5" w14:paraId="511BB4E5" w14:textId="77777777" w:rsidTr="00E01546">
        <w:trPr>
          <w:trHeight w:val="300"/>
          <w:jc w:val="center"/>
        </w:trPr>
        <w:tc>
          <w:tcPr>
            <w:tcW w:w="184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87C139B" w14:textId="77777777" w:rsidR="00FD30C5" w:rsidRPr="00FD30C5" w:rsidRDefault="00FD30C5" w:rsidP="00FD30C5">
            <w:pPr>
              <w:rPr>
                <w:rFonts w:cs="Arial"/>
                <w:b/>
                <w:bCs/>
                <w:color w:val="000000"/>
                <w:lang w:val="en-US" w:eastAsia="en-US"/>
              </w:rPr>
            </w:pPr>
            <w:r w:rsidRPr="00FD30C5">
              <w:rPr>
                <w:rFonts w:cs="Arial"/>
                <w:b/>
                <w:bCs/>
                <w:color w:val="000000"/>
                <w:lang w:val="en-US" w:eastAsia="en-US"/>
              </w:rPr>
              <w:t> </w:t>
            </w:r>
          </w:p>
        </w:tc>
        <w:tc>
          <w:tcPr>
            <w:tcW w:w="2266" w:type="dxa"/>
            <w:tcBorders>
              <w:top w:val="single" w:sz="8" w:space="0" w:color="auto"/>
              <w:left w:val="nil"/>
              <w:bottom w:val="single" w:sz="4" w:space="0" w:color="auto"/>
              <w:right w:val="single" w:sz="4" w:space="0" w:color="auto"/>
            </w:tcBorders>
            <w:shd w:val="clear" w:color="auto" w:fill="auto"/>
            <w:noWrap/>
            <w:vAlign w:val="center"/>
            <w:hideMark/>
          </w:tcPr>
          <w:p w14:paraId="6B08CD84" w14:textId="77777777" w:rsidR="00FD30C5" w:rsidRPr="00FD30C5" w:rsidRDefault="00FD30C5" w:rsidP="00FD30C5">
            <w:pPr>
              <w:jc w:val="center"/>
              <w:rPr>
                <w:rFonts w:cs="Arial"/>
                <w:b/>
                <w:bCs/>
                <w:color w:val="000000"/>
                <w:lang w:val="en-US" w:eastAsia="en-US"/>
              </w:rPr>
            </w:pPr>
            <w:r w:rsidRPr="00FD30C5">
              <w:rPr>
                <w:rFonts w:cs="Arial"/>
                <w:b/>
                <w:bCs/>
                <w:color w:val="000000"/>
                <w:lang w:val="en-US" w:eastAsia="en-US"/>
              </w:rPr>
              <w:t>Source</w:t>
            </w:r>
          </w:p>
        </w:tc>
        <w:tc>
          <w:tcPr>
            <w:tcW w:w="474" w:type="dxa"/>
            <w:tcBorders>
              <w:top w:val="single" w:sz="8" w:space="0" w:color="auto"/>
              <w:left w:val="nil"/>
              <w:bottom w:val="single" w:sz="4" w:space="0" w:color="auto"/>
              <w:right w:val="single" w:sz="4" w:space="0" w:color="auto"/>
            </w:tcBorders>
            <w:shd w:val="clear" w:color="auto" w:fill="auto"/>
            <w:noWrap/>
            <w:vAlign w:val="center"/>
            <w:hideMark/>
          </w:tcPr>
          <w:p w14:paraId="4BC1213C" w14:textId="77777777" w:rsidR="00FD30C5" w:rsidRPr="00FD30C5" w:rsidRDefault="00FD30C5" w:rsidP="00FD30C5">
            <w:pPr>
              <w:jc w:val="center"/>
              <w:rPr>
                <w:rFonts w:cs="Arial"/>
                <w:b/>
                <w:bCs/>
                <w:color w:val="000000"/>
                <w:lang w:val="en-US" w:eastAsia="en-US"/>
              </w:rPr>
            </w:pPr>
            <w:r w:rsidRPr="00FD30C5">
              <w:rPr>
                <w:rFonts w:cs="Arial"/>
                <w:b/>
                <w:bCs/>
                <w:color w:val="000000"/>
                <w:lang w:val="en-US" w:eastAsia="en-US"/>
              </w:rPr>
              <w:t>n</w:t>
            </w:r>
          </w:p>
        </w:tc>
        <w:tc>
          <w:tcPr>
            <w:tcW w:w="1460" w:type="dxa"/>
            <w:tcBorders>
              <w:top w:val="single" w:sz="8" w:space="0" w:color="auto"/>
              <w:left w:val="nil"/>
              <w:bottom w:val="single" w:sz="4" w:space="0" w:color="auto"/>
              <w:right w:val="single" w:sz="4" w:space="0" w:color="auto"/>
            </w:tcBorders>
            <w:shd w:val="clear" w:color="auto" w:fill="auto"/>
            <w:noWrap/>
            <w:vAlign w:val="center"/>
            <w:hideMark/>
          </w:tcPr>
          <w:p w14:paraId="4B24E45F" w14:textId="77777777" w:rsidR="00FD30C5" w:rsidRPr="00FD30C5" w:rsidRDefault="00FD30C5" w:rsidP="00FD30C5">
            <w:pPr>
              <w:jc w:val="center"/>
              <w:rPr>
                <w:rFonts w:cs="Arial"/>
                <w:b/>
                <w:bCs/>
                <w:color w:val="000000"/>
                <w:lang w:val="en-US" w:eastAsia="en-US"/>
              </w:rPr>
            </w:pPr>
            <w:r w:rsidRPr="00FD30C5">
              <w:rPr>
                <w:rFonts w:cs="Arial"/>
                <w:b/>
                <w:bCs/>
                <w:color w:val="000000"/>
                <w:lang w:val="en-US" w:eastAsia="en-US"/>
              </w:rPr>
              <w:t>Global score</w:t>
            </w:r>
          </w:p>
        </w:tc>
        <w:tc>
          <w:tcPr>
            <w:tcW w:w="640" w:type="dxa"/>
            <w:tcBorders>
              <w:top w:val="single" w:sz="8" w:space="0" w:color="auto"/>
              <w:left w:val="nil"/>
              <w:bottom w:val="single" w:sz="4" w:space="0" w:color="auto"/>
              <w:right w:val="single" w:sz="8" w:space="0" w:color="auto"/>
            </w:tcBorders>
            <w:shd w:val="clear" w:color="auto" w:fill="auto"/>
            <w:noWrap/>
            <w:vAlign w:val="center"/>
            <w:hideMark/>
          </w:tcPr>
          <w:p w14:paraId="6159E7BA" w14:textId="5CAA7866" w:rsidR="00FD30C5" w:rsidRPr="00FD30C5" w:rsidRDefault="00ED1DEE" w:rsidP="00FD30C5">
            <w:pPr>
              <w:jc w:val="center"/>
              <w:rPr>
                <w:rFonts w:cs="Arial"/>
                <w:b/>
                <w:bCs/>
                <w:color w:val="000000"/>
                <w:lang w:val="en-US" w:eastAsia="en-US"/>
              </w:rPr>
            </w:pPr>
            <w:r w:rsidRPr="00FD30C5">
              <w:rPr>
                <w:rFonts w:cs="Arial"/>
                <w:b/>
                <w:bCs/>
                <w:color w:val="000000"/>
                <w:lang w:val="en-US" w:eastAsia="en-US"/>
              </w:rPr>
              <w:t>S</w:t>
            </w:r>
            <w:r w:rsidR="00FD30C5" w:rsidRPr="00FD30C5">
              <w:rPr>
                <w:rFonts w:cs="Arial"/>
                <w:b/>
                <w:bCs/>
                <w:color w:val="000000"/>
                <w:lang w:val="en-US" w:eastAsia="en-US"/>
              </w:rPr>
              <w:t>d</w:t>
            </w:r>
          </w:p>
        </w:tc>
      </w:tr>
      <w:tr w:rsidR="00FD30C5" w:rsidRPr="00FD30C5" w14:paraId="697D887A" w14:textId="77777777" w:rsidTr="00E01546">
        <w:trPr>
          <w:trHeight w:val="300"/>
          <w:jc w:val="center"/>
        </w:trPr>
        <w:tc>
          <w:tcPr>
            <w:tcW w:w="1840" w:type="dxa"/>
            <w:tcBorders>
              <w:top w:val="nil"/>
              <w:left w:val="single" w:sz="8" w:space="0" w:color="auto"/>
              <w:bottom w:val="single" w:sz="4" w:space="0" w:color="auto"/>
              <w:right w:val="single" w:sz="4" w:space="0" w:color="auto"/>
            </w:tcBorders>
            <w:shd w:val="clear" w:color="auto" w:fill="auto"/>
            <w:noWrap/>
            <w:vAlign w:val="bottom"/>
            <w:hideMark/>
          </w:tcPr>
          <w:p w14:paraId="2EF7855E" w14:textId="77777777" w:rsidR="00FD30C5" w:rsidRPr="00FD30C5" w:rsidRDefault="00FD30C5" w:rsidP="00FD30C5">
            <w:pPr>
              <w:rPr>
                <w:rFonts w:cs="Arial"/>
                <w:b/>
                <w:bCs/>
                <w:color w:val="000000"/>
                <w:sz w:val="20"/>
                <w:szCs w:val="20"/>
                <w:lang w:val="en-US" w:eastAsia="en-US"/>
              </w:rPr>
            </w:pPr>
            <w:r w:rsidRPr="00FD30C5">
              <w:rPr>
                <w:rFonts w:cs="Arial"/>
                <w:b/>
                <w:bCs/>
                <w:color w:val="000000"/>
                <w:sz w:val="20"/>
                <w:szCs w:val="20"/>
                <w:lang w:val="en-US" w:eastAsia="en-US"/>
              </w:rPr>
              <w:t xml:space="preserve">Unaided </w:t>
            </w:r>
          </w:p>
        </w:tc>
        <w:tc>
          <w:tcPr>
            <w:tcW w:w="2266" w:type="dxa"/>
            <w:tcBorders>
              <w:top w:val="nil"/>
              <w:left w:val="nil"/>
              <w:bottom w:val="single" w:sz="4" w:space="0" w:color="auto"/>
              <w:right w:val="single" w:sz="4" w:space="0" w:color="auto"/>
            </w:tcBorders>
            <w:shd w:val="clear" w:color="auto" w:fill="auto"/>
            <w:noWrap/>
            <w:vAlign w:val="bottom"/>
            <w:hideMark/>
          </w:tcPr>
          <w:p w14:paraId="68C42842" w14:textId="77777777" w:rsidR="00FD30C5" w:rsidRPr="00FD30C5" w:rsidRDefault="00FD30C5" w:rsidP="00FD30C5">
            <w:pPr>
              <w:rPr>
                <w:rFonts w:cs="Arial"/>
                <w:color w:val="000000"/>
                <w:sz w:val="20"/>
                <w:szCs w:val="20"/>
                <w:lang w:val="en-US" w:eastAsia="en-US"/>
              </w:rPr>
            </w:pPr>
            <w:r w:rsidRPr="00FD30C5">
              <w:rPr>
                <w:rFonts w:cs="Arial"/>
                <w:color w:val="000000"/>
                <w:sz w:val="20"/>
                <w:szCs w:val="20"/>
                <w:lang w:val="en-US" w:eastAsia="en-US"/>
              </w:rPr>
              <w:t>Cox &amp; Alexander 1995</w:t>
            </w:r>
          </w:p>
        </w:tc>
        <w:tc>
          <w:tcPr>
            <w:tcW w:w="474" w:type="dxa"/>
            <w:tcBorders>
              <w:top w:val="nil"/>
              <w:left w:val="nil"/>
              <w:bottom w:val="single" w:sz="4" w:space="0" w:color="auto"/>
              <w:right w:val="single" w:sz="4" w:space="0" w:color="auto"/>
            </w:tcBorders>
            <w:shd w:val="clear" w:color="auto" w:fill="auto"/>
            <w:noWrap/>
            <w:vAlign w:val="bottom"/>
            <w:hideMark/>
          </w:tcPr>
          <w:p w14:paraId="48496642" w14:textId="77777777" w:rsidR="00FD30C5" w:rsidRPr="00FD30C5" w:rsidRDefault="00FD30C5" w:rsidP="00FD30C5">
            <w:pPr>
              <w:jc w:val="center"/>
              <w:rPr>
                <w:rFonts w:cs="Arial"/>
                <w:color w:val="000000"/>
                <w:sz w:val="20"/>
                <w:szCs w:val="20"/>
                <w:lang w:val="en-US" w:eastAsia="en-US"/>
              </w:rPr>
            </w:pPr>
            <w:r w:rsidRPr="00FD30C5">
              <w:rPr>
                <w:rFonts w:cs="Arial"/>
                <w:color w:val="000000"/>
                <w:sz w:val="20"/>
                <w:szCs w:val="20"/>
                <w:lang w:val="en-US" w:eastAsia="en-US"/>
              </w:rPr>
              <w:t>100</w:t>
            </w:r>
          </w:p>
        </w:tc>
        <w:tc>
          <w:tcPr>
            <w:tcW w:w="1460" w:type="dxa"/>
            <w:tcBorders>
              <w:top w:val="nil"/>
              <w:left w:val="nil"/>
              <w:bottom w:val="single" w:sz="4" w:space="0" w:color="auto"/>
              <w:right w:val="single" w:sz="4" w:space="0" w:color="auto"/>
            </w:tcBorders>
            <w:shd w:val="clear" w:color="auto" w:fill="auto"/>
            <w:noWrap/>
            <w:vAlign w:val="bottom"/>
            <w:hideMark/>
          </w:tcPr>
          <w:p w14:paraId="42E4DC9A" w14:textId="77777777" w:rsidR="00FD30C5" w:rsidRPr="00FD30C5" w:rsidRDefault="00FD30C5" w:rsidP="00FD30C5">
            <w:pPr>
              <w:jc w:val="center"/>
              <w:rPr>
                <w:rFonts w:cs="Arial"/>
                <w:color w:val="000000"/>
                <w:sz w:val="20"/>
                <w:szCs w:val="20"/>
                <w:lang w:val="en-US" w:eastAsia="en-US"/>
              </w:rPr>
            </w:pPr>
            <w:r w:rsidRPr="00FD30C5">
              <w:rPr>
                <w:rFonts w:cs="Arial"/>
                <w:color w:val="000000"/>
                <w:sz w:val="20"/>
                <w:szCs w:val="20"/>
                <w:lang w:val="en-US" w:eastAsia="en-US"/>
              </w:rPr>
              <w:t>65,7</w:t>
            </w:r>
          </w:p>
        </w:tc>
        <w:tc>
          <w:tcPr>
            <w:tcW w:w="640" w:type="dxa"/>
            <w:tcBorders>
              <w:top w:val="nil"/>
              <w:left w:val="nil"/>
              <w:bottom w:val="single" w:sz="4" w:space="0" w:color="auto"/>
              <w:right w:val="single" w:sz="8" w:space="0" w:color="auto"/>
            </w:tcBorders>
            <w:shd w:val="clear" w:color="auto" w:fill="auto"/>
            <w:noWrap/>
            <w:vAlign w:val="bottom"/>
            <w:hideMark/>
          </w:tcPr>
          <w:p w14:paraId="60EFC5A0" w14:textId="77777777" w:rsidR="00FD30C5" w:rsidRPr="00FD30C5" w:rsidRDefault="00FD30C5" w:rsidP="00FD30C5">
            <w:pPr>
              <w:jc w:val="center"/>
              <w:rPr>
                <w:rFonts w:cs="Arial"/>
                <w:color w:val="000000"/>
                <w:sz w:val="20"/>
                <w:szCs w:val="20"/>
                <w:lang w:val="en-US" w:eastAsia="en-US"/>
              </w:rPr>
            </w:pPr>
            <w:r w:rsidRPr="00FD30C5">
              <w:rPr>
                <w:rFonts w:cs="Arial"/>
                <w:color w:val="000000"/>
                <w:sz w:val="20"/>
                <w:szCs w:val="20"/>
                <w:lang w:val="en-US" w:eastAsia="en-US"/>
              </w:rPr>
              <w:t xml:space="preserve"> - </w:t>
            </w:r>
          </w:p>
        </w:tc>
      </w:tr>
      <w:tr w:rsidR="00FD30C5" w:rsidRPr="00FD30C5" w14:paraId="07D95D95" w14:textId="77777777" w:rsidTr="00E01546">
        <w:trPr>
          <w:trHeight w:val="300"/>
          <w:jc w:val="center"/>
        </w:trPr>
        <w:tc>
          <w:tcPr>
            <w:tcW w:w="1840" w:type="dxa"/>
            <w:tcBorders>
              <w:top w:val="nil"/>
              <w:left w:val="single" w:sz="8" w:space="0" w:color="auto"/>
              <w:bottom w:val="single" w:sz="4" w:space="0" w:color="auto"/>
              <w:right w:val="single" w:sz="4" w:space="0" w:color="auto"/>
            </w:tcBorders>
            <w:shd w:val="clear" w:color="auto" w:fill="auto"/>
            <w:noWrap/>
            <w:vAlign w:val="bottom"/>
            <w:hideMark/>
          </w:tcPr>
          <w:p w14:paraId="0FE9AC1B" w14:textId="77777777" w:rsidR="00FD30C5" w:rsidRPr="00FD30C5" w:rsidRDefault="00FD30C5" w:rsidP="00FD30C5">
            <w:pPr>
              <w:rPr>
                <w:rFonts w:cs="Arial"/>
                <w:b/>
                <w:bCs/>
                <w:color w:val="000000"/>
                <w:sz w:val="20"/>
                <w:szCs w:val="20"/>
                <w:lang w:val="en-US" w:eastAsia="en-US"/>
              </w:rPr>
            </w:pPr>
            <w:r w:rsidRPr="00FD30C5">
              <w:rPr>
                <w:rFonts w:cs="Arial"/>
                <w:b/>
                <w:bCs/>
                <w:color w:val="000000"/>
                <w:sz w:val="20"/>
                <w:szCs w:val="20"/>
                <w:lang w:val="en-US" w:eastAsia="en-US"/>
              </w:rPr>
              <w:t>Aided with VSB</w:t>
            </w:r>
          </w:p>
        </w:tc>
        <w:tc>
          <w:tcPr>
            <w:tcW w:w="2266" w:type="dxa"/>
            <w:tcBorders>
              <w:top w:val="nil"/>
              <w:left w:val="nil"/>
              <w:bottom w:val="single" w:sz="4" w:space="0" w:color="auto"/>
              <w:right w:val="single" w:sz="4" w:space="0" w:color="auto"/>
            </w:tcBorders>
            <w:shd w:val="clear" w:color="auto" w:fill="auto"/>
            <w:noWrap/>
            <w:vAlign w:val="bottom"/>
            <w:hideMark/>
          </w:tcPr>
          <w:p w14:paraId="127C3DFC" w14:textId="77777777" w:rsidR="00FD30C5" w:rsidRPr="00FD30C5" w:rsidRDefault="00FD30C5" w:rsidP="00FD30C5">
            <w:pPr>
              <w:rPr>
                <w:rFonts w:cs="Arial"/>
                <w:color w:val="000000"/>
                <w:sz w:val="20"/>
                <w:szCs w:val="20"/>
                <w:lang w:val="en-US" w:eastAsia="en-US"/>
              </w:rPr>
            </w:pPr>
            <w:r w:rsidRPr="00FD30C5">
              <w:rPr>
                <w:rFonts w:cs="Arial"/>
                <w:color w:val="000000"/>
                <w:sz w:val="20"/>
                <w:szCs w:val="20"/>
                <w:lang w:val="en-US" w:eastAsia="en-US"/>
              </w:rPr>
              <w:t>Todt 2002</w:t>
            </w:r>
          </w:p>
        </w:tc>
        <w:tc>
          <w:tcPr>
            <w:tcW w:w="474" w:type="dxa"/>
            <w:tcBorders>
              <w:top w:val="nil"/>
              <w:left w:val="nil"/>
              <w:bottom w:val="single" w:sz="4" w:space="0" w:color="auto"/>
              <w:right w:val="single" w:sz="4" w:space="0" w:color="auto"/>
            </w:tcBorders>
            <w:shd w:val="clear" w:color="auto" w:fill="auto"/>
            <w:noWrap/>
            <w:vAlign w:val="bottom"/>
            <w:hideMark/>
          </w:tcPr>
          <w:p w14:paraId="4362AC89" w14:textId="77777777" w:rsidR="00FD30C5" w:rsidRPr="00FD30C5" w:rsidRDefault="00FD30C5" w:rsidP="00FD30C5">
            <w:pPr>
              <w:jc w:val="center"/>
              <w:rPr>
                <w:rFonts w:cs="Arial"/>
                <w:color w:val="000000"/>
                <w:sz w:val="20"/>
                <w:szCs w:val="20"/>
                <w:lang w:val="en-US" w:eastAsia="en-US"/>
              </w:rPr>
            </w:pPr>
            <w:r w:rsidRPr="00FD30C5">
              <w:rPr>
                <w:rFonts w:cs="Arial"/>
                <w:color w:val="000000"/>
                <w:sz w:val="20"/>
                <w:szCs w:val="20"/>
                <w:lang w:val="en-US" w:eastAsia="en-US"/>
              </w:rPr>
              <w:t>5</w:t>
            </w:r>
          </w:p>
        </w:tc>
        <w:tc>
          <w:tcPr>
            <w:tcW w:w="1460" w:type="dxa"/>
            <w:tcBorders>
              <w:top w:val="nil"/>
              <w:left w:val="nil"/>
              <w:bottom w:val="single" w:sz="4" w:space="0" w:color="auto"/>
              <w:right w:val="single" w:sz="4" w:space="0" w:color="auto"/>
            </w:tcBorders>
            <w:shd w:val="clear" w:color="auto" w:fill="auto"/>
            <w:noWrap/>
            <w:vAlign w:val="bottom"/>
            <w:hideMark/>
          </w:tcPr>
          <w:p w14:paraId="3B81E241" w14:textId="77777777" w:rsidR="00FD30C5" w:rsidRPr="00FD30C5" w:rsidRDefault="00FD30C5" w:rsidP="00FD30C5">
            <w:pPr>
              <w:jc w:val="center"/>
              <w:rPr>
                <w:rFonts w:cs="Arial"/>
                <w:color w:val="000000"/>
                <w:sz w:val="20"/>
                <w:szCs w:val="20"/>
                <w:lang w:val="en-US" w:eastAsia="en-US"/>
              </w:rPr>
            </w:pPr>
            <w:r w:rsidRPr="00FD30C5">
              <w:rPr>
                <w:rFonts w:cs="Arial"/>
                <w:color w:val="000000"/>
                <w:sz w:val="20"/>
                <w:szCs w:val="20"/>
                <w:lang w:val="en-US" w:eastAsia="en-US"/>
              </w:rPr>
              <w:t>20,3</w:t>
            </w:r>
          </w:p>
        </w:tc>
        <w:tc>
          <w:tcPr>
            <w:tcW w:w="640" w:type="dxa"/>
            <w:tcBorders>
              <w:top w:val="nil"/>
              <w:left w:val="nil"/>
              <w:bottom w:val="single" w:sz="4" w:space="0" w:color="auto"/>
              <w:right w:val="single" w:sz="8" w:space="0" w:color="auto"/>
            </w:tcBorders>
            <w:shd w:val="clear" w:color="auto" w:fill="auto"/>
            <w:noWrap/>
            <w:vAlign w:val="bottom"/>
            <w:hideMark/>
          </w:tcPr>
          <w:p w14:paraId="00D1B354" w14:textId="77777777" w:rsidR="00FD30C5" w:rsidRPr="00FD30C5" w:rsidRDefault="00FD30C5" w:rsidP="00FD30C5">
            <w:pPr>
              <w:jc w:val="center"/>
              <w:rPr>
                <w:rFonts w:cs="Arial"/>
                <w:color w:val="000000"/>
                <w:sz w:val="20"/>
                <w:szCs w:val="20"/>
                <w:lang w:val="en-US" w:eastAsia="en-US"/>
              </w:rPr>
            </w:pPr>
            <w:r w:rsidRPr="00FD30C5">
              <w:rPr>
                <w:rFonts w:cs="Arial"/>
                <w:color w:val="000000"/>
                <w:sz w:val="20"/>
                <w:szCs w:val="20"/>
                <w:lang w:val="en-US" w:eastAsia="en-US"/>
              </w:rPr>
              <w:t xml:space="preserve"> - </w:t>
            </w:r>
          </w:p>
        </w:tc>
      </w:tr>
      <w:tr w:rsidR="00FD30C5" w:rsidRPr="00FD30C5" w14:paraId="7E85B63D" w14:textId="77777777" w:rsidTr="00E01546">
        <w:trPr>
          <w:trHeight w:val="300"/>
          <w:jc w:val="center"/>
        </w:trPr>
        <w:tc>
          <w:tcPr>
            <w:tcW w:w="1840" w:type="dxa"/>
            <w:tcBorders>
              <w:top w:val="nil"/>
              <w:left w:val="single" w:sz="8" w:space="0" w:color="auto"/>
              <w:bottom w:val="single" w:sz="4" w:space="0" w:color="auto"/>
              <w:right w:val="single" w:sz="4" w:space="0" w:color="auto"/>
            </w:tcBorders>
            <w:shd w:val="clear" w:color="auto" w:fill="auto"/>
            <w:noWrap/>
            <w:vAlign w:val="bottom"/>
            <w:hideMark/>
          </w:tcPr>
          <w:p w14:paraId="38E7DC38" w14:textId="77777777" w:rsidR="00FD30C5" w:rsidRPr="00FD30C5" w:rsidRDefault="00FD30C5" w:rsidP="00FD30C5">
            <w:pPr>
              <w:rPr>
                <w:rFonts w:cs="Arial"/>
                <w:b/>
                <w:bCs/>
                <w:color w:val="000000"/>
                <w:sz w:val="20"/>
                <w:szCs w:val="20"/>
                <w:lang w:val="en-US" w:eastAsia="en-US"/>
              </w:rPr>
            </w:pPr>
            <w:r w:rsidRPr="00FD30C5">
              <w:rPr>
                <w:rFonts w:cs="Arial"/>
                <w:b/>
                <w:bCs/>
                <w:color w:val="000000"/>
                <w:sz w:val="20"/>
                <w:szCs w:val="20"/>
                <w:lang w:val="en-US" w:eastAsia="en-US"/>
              </w:rPr>
              <w:t> </w:t>
            </w:r>
          </w:p>
        </w:tc>
        <w:tc>
          <w:tcPr>
            <w:tcW w:w="2266" w:type="dxa"/>
            <w:tcBorders>
              <w:top w:val="nil"/>
              <w:left w:val="nil"/>
              <w:bottom w:val="single" w:sz="4" w:space="0" w:color="auto"/>
              <w:right w:val="single" w:sz="4" w:space="0" w:color="auto"/>
            </w:tcBorders>
            <w:shd w:val="clear" w:color="auto" w:fill="auto"/>
            <w:noWrap/>
            <w:vAlign w:val="bottom"/>
            <w:hideMark/>
          </w:tcPr>
          <w:p w14:paraId="31F83370" w14:textId="77777777" w:rsidR="00FD30C5" w:rsidRPr="00FD30C5" w:rsidRDefault="00FD30C5" w:rsidP="00FD30C5">
            <w:pPr>
              <w:rPr>
                <w:rFonts w:cs="Arial"/>
                <w:color w:val="000000"/>
                <w:sz w:val="20"/>
                <w:szCs w:val="20"/>
                <w:lang w:val="en-US" w:eastAsia="en-US"/>
              </w:rPr>
            </w:pPr>
            <w:r w:rsidRPr="00FD30C5">
              <w:rPr>
                <w:rFonts w:cs="Arial"/>
                <w:color w:val="000000"/>
                <w:sz w:val="20"/>
                <w:szCs w:val="20"/>
                <w:lang w:val="en-US" w:eastAsia="en-US"/>
              </w:rPr>
              <w:t>Uziel 2003</w:t>
            </w:r>
          </w:p>
        </w:tc>
        <w:tc>
          <w:tcPr>
            <w:tcW w:w="474" w:type="dxa"/>
            <w:tcBorders>
              <w:top w:val="nil"/>
              <w:left w:val="nil"/>
              <w:bottom w:val="single" w:sz="4" w:space="0" w:color="auto"/>
              <w:right w:val="single" w:sz="4" w:space="0" w:color="auto"/>
            </w:tcBorders>
            <w:shd w:val="clear" w:color="auto" w:fill="auto"/>
            <w:noWrap/>
            <w:vAlign w:val="bottom"/>
            <w:hideMark/>
          </w:tcPr>
          <w:p w14:paraId="19DA1ED0" w14:textId="77777777" w:rsidR="00FD30C5" w:rsidRPr="00FD30C5" w:rsidRDefault="00FD30C5" w:rsidP="00FD30C5">
            <w:pPr>
              <w:jc w:val="center"/>
              <w:rPr>
                <w:rFonts w:cs="Arial"/>
                <w:color w:val="000000"/>
                <w:sz w:val="20"/>
                <w:szCs w:val="20"/>
                <w:lang w:val="en-US" w:eastAsia="en-US"/>
              </w:rPr>
            </w:pPr>
            <w:r w:rsidRPr="00FD30C5">
              <w:rPr>
                <w:rFonts w:cs="Arial"/>
                <w:color w:val="000000"/>
                <w:sz w:val="20"/>
                <w:szCs w:val="20"/>
                <w:lang w:val="en-US" w:eastAsia="en-US"/>
              </w:rPr>
              <w:t>5</w:t>
            </w:r>
          </w:p>
        </w:tc>
        <w:tc>
          <w:tcPr>
            <w:tcW w:w="1460" w:type="dxa"/>
            <w:tcBorders>
              <w:top w:val="nil"/>
              <w:left w:val="nil"/>
              <w:bottom w:val="single" w:sz="4" w:space="0" w:color="auto"/>
              <w:right w:val="single" w:sz="4" w:space="0" w:color="auto"/>
            </w:tcBorders>
            <w:shd w:val="clear" w:color="auto" w:fill="auto"/>
            <w:noWrap/>
            <w:vAlign w:val="bottom"/>
            <w:hideMark/>
          </w:tcPr>
          <w:p w14:paraId="5FDCE435" w14:textId="77777777" w:rsidR="00FD30C5" w:rsidRPr="00FD30C5" w:rsidRDefault="00FD30C5" w:rsidP="00FD30C5">
            <w:pPr>
              <w:jc w:val="center"/>
              <w:rPr>
                <w:rFonts w:cs="Arial"/>
                <w:color w:val="000000"/>
                <w:sz w:val="20"/>
                <w:szCs w:val="20"/>
                <w:lang w:val="en-US" w:eastAsia="en-US"/>
              </w:rPr>
            </w:pPr>
            <w:r w:rsidRPr="00FD30C5">
              <w:rPr>
                <w:rFonts w:cs="Arial"/>
                <w:color w:val="000000"/>
                <w:sz w:val="20"/>
                <w:szCs w:val="20"/>
                <w:lang w:val="en-US" w:eastAsia="en-US"/>
              </w:rPr>
              <w:t>25,9</w:t>
            </w:r>
          </w:p>
        </w:tc>
        <w:tc>
          <w:tcPr>
            <w:tcW w:w="640" w:type="dxa"/>
            <w:tcBorders>
              <w:top w:val="nil"/>
              <w:left w:val="nil"/>
              <w:bottom w:val="single" w:sz="4" w:space="0" w:color="auto"/>
              <w:right w:val="single" w:sz="8" w:space="0" w:color="auto"/>
            </w:tcBorders>
            <w:shd w:val="clear" w:color="auto" w:fill="auto"/>
            <w:noWrap/>
            <w:vAlign w:val="bottom"/>
            <w:hideMark/>
          </w:tcPr>
          <w:p w14:paraId="382BAC82" w14:textId="77777777" w:rsidR="00FD30C5" w:rsidRPr="00FD30C5" w:rsidRDefault="00FD30C5" w:rsidP="00FD30C5">
            <w:pPr>
              <w:jc w:val="center"/>
              <w:rPr>
                <w:rFonts w:cs="Arial"/>
                <w:color w:val="000000"/>
                <w:sz w:val="20"/>
                <w:szCs w:val="20"/>
                <w:lang w:val="en-US" w:eastAsia="en-US"/>
              </w:rPr>
            </w:pPr>
            <w:r w:rsidRPr="00FD30C5">
              <w:rPr>
                <w:rFonts w:cs="Arial"/>
                <w:color w:val="000000"/>
                <w:sz w:val="20"/>
                <w:szCs w:val="20"/>
                <w:lang w:val="en-US" w:eastAsia="en-US"/>
              </w:rPr>
              <w:t>10,5</w:t>
            </w:r>
          </w:p>
        </w:tc>
      </w:tr>
      <w:tr w:rsidR="00FD30C5" w:rsidRPr="00FD30C5" w14:paraId="4B928B9C" w14:textId="77777777" w:rsidTr="00E01546">
        <w:trPr>
          <w:trHeight w:val="300"/>
          <w:jc w:val="center"/>
        </w:trPr>
        <w:tc>
          <w:tcPr>
            <w:tcW w:w="1840" w:type="dxa"/>
            <w:tcBorders>
              <w:top w:val="nil"/>
              <w:left w:val="single" w:sz="8" w:space="0" w:color="auto"/>
              <w:bottom w:val="single" w:sz="4" w:space="0" w:color="auto"/>
              <w:right w:val="single" w:sz="4" w:space="0" w:color="auto"/>
            </w:tcBorders>
            <w:shd w:val="clear" w:color="auto" w:fill="auto"/>
            <w:noWrap/>
            <w:vAlign w:val="bottom"/>
            <w:hideMark/>
          </w:tcPr>
          <w:p w14:paraId="6AAD3925" w14:textId="77777777" w:rsidR="00FD30C5" w:rsidRPr="00FD30C5" w:rsidRDefault="00FD30C5" w:rsidP="00FD30C5">
            <w:pPr>
              <w:rPr>
                <w:rFonts w:cs="Arial"/>
                <w:b/>
                <w:bCs/>
                <w:color w:val="000000"/>
                <w:sz w:val="20"/>
                <w:szCs w:val="20"/>
                <w:lang w:val="en-US" w:eastAsia="en-US"/>
              </w:rPr>
            </w:pPr>
            <w:r w:rsidRPr="00FD30C5">
              <w:rPr>
                <w:rFonts w:cs="Arial"/>
                <w:b/>
                <w:bCs/>
                <w:color w:val="000000"/>
                <w:sz w:val="20"/>
                <w:szCs w:val="20"/>
                <w:lang w:val="en-US" w:eastAsia="en-US"/>
              </w:rPr>
              <w:t> </w:t>
            </w:r>
          </w:p>
        </w:tc>
        <w:tc>
          <w:tcPr>
            <w:tcW w:w="2266" w:type="dxa"/>
            <w:tcBorders>
              <w:top w:val="nil"/>
              <w:left w:val="nil"/>
              <w:bottom w:val="single" w:sz="4" w:space="0" w:color="auto"/>
              <w:right w:val="single" w:sz="4" w:space="0" w:color="auto"/>
            </w:tcBorders>
            <w:shd w:val="clear" w:color="auto" w:fill="auto"/>
            <w:noWrap/>
            <w:vAlign w:val="bottom"/>
            <w:hideMark/>
          </w:tcPr>
          <w:p w14:paraId="12762B5E" w14:textId="77777777" w:rsidR="00FD30C5" w:rsidRPr="00FD30C5" w:rsidRDefault="00FD30C5" w:rsidP="00FD30C5">
            <w:pPr>
              <w:rPr>
                <w:rFonts w:cs="Arial"/>
                <w:color w:val="000000"/>
                <w:sz w:val="20"/>
                <w:szCs w:val="20"/>
                <w:lang w:val="en-US" w:eastAsia="en-US"/>
              </w:rPr>
            </w:pPr>
            <w:r w:rsidRPr="00FD30C5">
              <w:rPr>
                <w:rFonts w:cs="Arial"/>
                <w:color w:val="000000"/>
                <w:sz w:val="20"/>
                <w:szCs w:val="20"/>
                <w:lang w:val="en-US" w:eastAsia="en-US"/>
              </w:rPr>
              <w:t>Saliba 2005</w:t>
            </w:r>
          </w:p>
        </w:tc>
        <w:tc>
          <w:tcPr>
            <w:tcW w:w="474" w:type="dxa"/>
            <w:tcBorders>
              <w:top w:val="nil"/>
              <w:left w:val="nil"/>
              <w:bottom w:val="single" w:sz="4" w:space="0" w:color="auto"/>
              <w:right w:val="single" w:sz="4" w:space="0" w:color="auto"/>
            </w:tcBorders>
            <w:shd w:val="clear" w:color="auto" w:fill="auto"/>
            <w:noWrap/>
            <w:vAlign w:val="bottom"/>
            <w:hideMark/>
          </w:tcPr>
          <w:p w14:paraId="5A6A7057" w14:textId="77777777" w:rsidR="00FD30C5" w:rsidRPr="00FD30C5" w:rsidRDefault="00FD30C5" w:rsidP="00FD30C5">
            <w:pPr>
              <w:jc w:val="center"/>
              <w:rPr>
                <w:rFonts w:cs="Arial"/>
                <w:color w:val="000000"/>
                <w:sz w:val="20"/>
                <w:szCs w:val="20"/>
                <w:lang w:val="en-US" w:eastAsia="en-US"/>
              </w:rPr>
            </w:pPr>
            <w:r w:rsidRPr="00FD30C5">
              <w:rPr>
                <w:rFonts w:cs="Arial"/>
                <w:color w:val="000000"/>
                <w:sz w:val="20"/>
                <w:szCs w:val="20"/>
                <w:lang w:val="en-US" w:eastAsia="en-US"/>
              </w:rPr>
              <w:t>8</w:t>
            </w:r>
          </w:p>
        </w:tc>
        <w:tc>
          <w:tcPr>
            <w:tcW w:w="1460" w:type="dxa"/>
            <w:tcBorders>
              <w:top w:val="nil"/>
              <w:left w:val="nil"/>
              <w:bottom w:val="single" w:sz="4" w:space="0" w:color="auto"/>
              <w:right w:val="single" w:sz="4" w:space="0" w:color="auto"/>
            </w:tcBorders>
            <w:shd w:val="clear" w:color="auto" w:fill="auto"/>
            <w:noWrap/>
            <w:vAlign w:val="bottom"/>
            <w:hideMark/>
          </w:tcPr>
          <w:p w14:paraId="4064A67A" w14:textId="77777777" w:rsidR="00FD30C5" w:rsidRPr="00FD30C5" w:rsidRDefault="00FD30C5" w:rsidP="00FD30C5">
            <w:pPr>
              <w:jc w:val="center"/>
              <w:rPr>
                <w:rFonts w:cs="Arial"/>
                <w:color w:val="000000"/>
                <w:sz w:val="20"/>
                <w:szCs w:val="20"/>
                <w:lang w:val="en-US" w:eastAsia="en-US"/>
              </w:rPr>
            </w:pPr>
            <w:r w:rsidRPr="00FD30C5">
              <w:rPr>
                <w:rFonts w:cs="Arial"/>
                <w:color w:val="000000"/>
                <w:sz w:val="20"/>
                <w:szCs w:val="20"/>
                <w:lang w:val="en-US" w:eastAsia="en-US"/>
              </w:rPr>
              <w:t>42,7</w:t>
            </w:r>
          </w:p>
        </w:tc>
        <w:tc>
          <w:tcPr>
            <w:tcW w:w="640" w:type="dxa"/>
            <w:tcBorders>
              <w:top w:val="nil"/>
              <w:left w:val="nil"/>
              <w:bottom w:val="single" w:sz="4" w:space="0" w:color="auto"/>
              <w:right w:val="single" w:sz="8" w:space="0" w:color="auto"/>
            </w:tcBorders>
            <w:shd w:val="clear" w:color="auto" w:fill="auto"/>
            <w:noWrap/>
            <w:vAlign w:val="bottom"/>
            <w:hideMark/>
          </w:tcPr>
          <w:p w14:paraId="70536D3C" w14:textId="77777777" w:rsidR="00FD30C5" w:rsidRPr="00FD30C5" w:rsidRDefault="00FD30C5" w:rsidP="00FD30C5">
            <w:pPr>
              <w:jc w:val="center"/>
              <w:rPr>
                <w:rFonts w:cs="Arial"/>
                <w:color w:val="000000"/>
                <w:sz w:val="20"/>
                <w:szCs w:val="20"/>
                <w:lang w:val="en-US" w:eastAsia="en-US"/>
              </w:rPr>
            </w:pPr>
            <w:r w:rsidRPr="00FD30C5">
              <w:rPr>
                <w:rFonts w:cs="Arial"/>
                <w:color w:val="000000"/>
                <w:sz w:val="20"/>
                <w:szCs w:val="20"/>
                <w:lang w:val="en-US" w:eastAsia="en-US"/>
              </w:rPr>
              <w:t xml:space="preserve"> - </w:t>
            </w:r>
          </w:p>
        </w:tc>
      </w:tr>
      <w:tr w:rsidR="00FD30C5" w:rsidRPr="00FD30C5" w14:paraId="4EE7F2AD" w14:textId="77777777" w:rsidTr="00E01546">
        <w:trPr>
          <w:trHeight w:val="300"/>
          <w:jc w:val="center"/>
        </w:trPr>
        <w:tc>
          <w:tcPr>
            <w:tcW w:w="1840" w:type="dxa"/>
            <w:tcBorders>
              <w:top w:val="nil"/>
              <w:left w:val="single" w:sz="8" w:space="0" w:color="auto"/>
              <w:bottom w:val="single" w:sz="4" w:space="0" w:color="auto"/>
              <w:right w:val="single" w:sz="4" w:space="0" w:color="auto"/>
            </w:tcBorders>
            <w:shd w:val="clear" w:color="auto" w:fill="auto"/>
            <w:noWrap/>
            <w:vAlign w:val="bottom"/>
            <w:hideMark/>
          </w:tcPr>
          <w:p w14:paraId="5002C067" w14:textId="77777777" w:rsidR="00FD30C5" w:rsidRPr="00FD30C5" w:rsidRDefault="00FD30C5" w:rsidP="00FD30C5">
            <w:pPr>
              <w:rPr>
                <w:rFonts w:cs="Arial"/>
                <w:b/>
                <w:bCs/>
                <w:color w:val="000000"/>
                <w:sz w:val="20"/>
                <w:szCs w:val="20"/>
                <w:lang w:val="en-US" w:eastAsia="en-US"/>
              </w:rPr>
            </w:pPr>
            <w:r w:rsidRPr="00FD30C5">
              <w:rPr>
                <w:rFonts w:cs="Arial"/>
                <w:b/>
                <w:bCs/>
                <w:color w:val="000000"/>
                <w:sz w:val="20"/>
                <w:szCs w:val="20"/>
                <w:lang w:val="en-US" w:eastAsia="en-US"/>
              </w:rPr>
              <w:t> </w:t>
            </w:r>
          </w:p>
        </w:tc>
        <w:tc>
          <w:tcPr>
            <w:tcW w:w="2266" w:type="dxa"/>
            <w:tcBorders>
              <w:top w:val="nil"/>
              <w:left w:val="nil"/>
              <w:bottom w:val="single" w:sz="4" w:space="0" w:color="auto"/>
              <w:right w:val="single" w:sz="4" w:space="0" w:color="auto"/>
            </w:tcBorders>
            <w:shd w:val="clear" w:color="auto" w:fill="auto"/>
            <w:noWrap/>
            <w:vAlign w:val="bottom"/>
            <w:hideMark/>
          </w:tcPr>
          <w:p w14:paraId="149C1C5E" w14:textId="77777777" w:rsidR="00FD30C5" w:rsidRPr="00FD30C5" w:rsidRDefault="00FD30C5" w:rsidP="00FD30C5">
            <w:pPr>
              <w:jc w:val="right"/>
              <w:rPr>
                <w:rFonts w:cs="Arial"/>
                <w:color w:val="000000"/>
                <w:sz w:val="20"/>
                <w:szCs w:val="20"/>
                <w:lang w:val="en-US" w:eastAsia="en-US"/>
              </w:rPr>
            </w:pPr>
            <w:r w:rsidRPr="00FD30C5">
              <w:rPr>
                <w:rFonts w:cs="Arial"/>
                <w:color w:val="000000"/>
                <w:sz w:val="20"/>
                <w:szCs w:val="20"/>
                <w:lang w:val="en-US" w:eastAsia="en-US"/>
              </w:rPr>
              <w:t>weighted mean</w:t>
            </w:r>
          </w:p>
        </w:tc>
        <w:tc>
          <w:tcPr>
            <w:tcW w:w="474" w:type="dxa"/>
            <w:tcBorders>
              <w:top w:val="nil"/>
              <w:left w:val="nil"/>
              <w:bottom w:val="single" w:sz="4" w:space="0" w:color="auto"/>
              <w:right w:val="single" w:sz="4" w:space="0" w:color="auto"/>
            </w:tcBorders>
            <w:shd w:val="clear" w:color="auto" w:fill="auto"/>
            <w:noWrap/>
            <w:vAlign w:val="bottom"/>
            <w:hideMark/>
          </w:tcPr>
          <w:p w14:paraId="43F8F9AC" w14:textId="77777777" w:rsidR="00FD30C5" w:rsidRPr="00FD30C5" w:rsidRDefault="00FD30C5" w:rsidP="00FD30C5">
            <w:pPr>
              <w:jc w:val="center"/>
              <w:rPr>
                <w:rFonts w:cs="Arial"/>
                <w:color w:val="000000"/>
                <w:sz w:val="20"/>
                <w:szCs w:val="20"/>
                <w:lang w:val="en-US" w:eastAsia="en-US"/>
              </w:rPr>
            </w:pPr>
            <w:r w:rsidRPr="00FD30C5">
              <w:rPr>
                <w:rFonts w:cs="Arial"/>
                <w:color w:val="000000"/>
                <w:sz w:val="20"/>
                <w:szCs w:val="20"/>
                <w:lang w:val="en-US" w:eastAsia="en-US"/>
              </w:rPr>
              <w:t>18</w:t>
            </w:r>
          </w:p>
        </w:tc>
        <w:tc>
          <w:tcPr>
            <w:tcW w:w="1460" w:type="dxa"/>
            <w:tcBorders>
              <w:top w:val="nil"/>
              <w:left w:val="nil"/>
              <w:bottom w:val="single" w:sz="4" w:space="0" w:color="auto"/>
              <w:right w:val="single" w:sz="4" w:space="0" w:color="auto"/>
            </w:tcBorders>
            <w:shd w:val="clear" w:color="auto" w:fill="auto"/>
            <w:noWrap/>
            <w:vAlign w:val="bottom"/>
            <w:hideMark/>
          </w:tcPr>
          <w:p w14:paraId="418F05D0" w14:textId="77777777" w:rsidR="00FD30C5" w:rsidRPr="00FD30C5" w:rsidRDefault="00FD30C5" w:rsidP="00FD30C5">
            <w:pPr>
              <w:jc w:val="center"/>
              <w:rPr>
                <w:rFonts w:cs="Arial"/>
                <w:color w:val="000000"/>
                <w:sz w:val="20"/>
                <w:szCs w:val="20"/>
                <w:lang w:val="en-US" w:eastAsia="en-US"/>
              </w:rPr>
            </w:pPr>
            <w:r w:rsidRPr="00FD30C5">
              <w:rPr>
                <w:rFonts w:cs="Arial"/>
                <w:color w:val="000000"/>
                <w:sz w:val="20"/>
                <w:szCs w:val="20"/>
                <w:lang w:val="en-US" w:eastAsia="en-US"/>
              </w:rPr>
              <w:t>31,8</w:t>
            </w:r>
          </w:p>
        </w:tc>
        <w:tc>
          <w:tcPr>
            <w:tcW w:w="640" w:type="dxa"/>
            <w:tcBorders>
              <w:top w:val="nil"/>
              <w:left w:val="nil"/>
              <w:bottom w:val="single" w:sz="4" w:space="0" w:color="auto"/>
              <w:right w:val="single" w:sz="8" w:space="0" w:color="auto"/>
            </w:tcBorders>
            <w:shd w:val="clear" w:color="auto" w:fill="auto"/>
            <w:noWrap/>
            <w:vAlign w:val="bottom"/>
            <w:hideMark/>
          </w:tcPr>
          <w:p w14:paraId="26DEDD99" w14:textId="77777777" w:rsidR="00FD30C5" w:rsidRPr="00FD30C5" w:rsidRDefault="00FD30C5" w:rsidP="00FD30C5">
            <w:pPr>
              <w:jc w:val="center"/>
              <w:rPr>
                <w:rFonts w:cs="Arial"/>
                <w:color w:val="000000"/>
                <w:sz w:val="20"/>
                <w:szCs w:val="20"/>
                <w:lang w:val="en-US" w:eastAsia="en-US"/>
              </w:rPr>
            </w:pPr>
            <w:r w:rsidRPr="00FD30C5">
              <w:rPr>
                <w:rFonts w:cs="Arial"/>
                <w:color w:val="000000"/>
                <w:sz w:val="20"/>
                <w:szCs w:val="20"/>
                <w:lang w:val="en-US" w:eastAsia="en-US"/>
              </w:rPr>
              <w:t xml:space="preserve"> - </w:t>
            </w:r>
          </w:p>
        </w:tc>
      </w:tr>
      <w:tr w:rsidR="00FD30C5" w:rsidRPr="00FD30C5" w14:paraId="1508CF5E" w14:textId="77777777" w:rsidTr="00E01546">
        <w:trPr>
          <w:trHeight w:val="315"/>
          <w:jc w:val="center"/>
        </w:trPr>
        <w:tc>
          <w:tcPr>
            <w:tcW w:w="1840" w:type="dxa"/>
            <w:tcBorders>
              <w:top w:val="nil"/>
              <w:left w:val="single" w:sz="8" w:space="0" w:color="auto"/>
              <w:bottom w:val="single" w:sz="8" w:space="0" w:color="auto"/>
              <w:right w:val="single" w:sz="4" w:space="0" w:color="auto"/>
            </w:tcBorders>
            <w:shd w:val="clear" w:color="auto" w:fill="auto"/>
            <w:noWrap/>
            <w:vAlign w:val="bottom"/>
            <w:hideMark/>
          </w:tcPr>
          <w:p w14:paraId="3355A440" w14:textId="77777777" w:rsidR="00FD30C5" w:rsidRPr="00FD30C5" w:rsidRDefault="00FD30C5" w:rsidP="00FD30C5">
            <w:pPr>
              <w:rPr>
                <w:rFonts w:cs="Arial"/>
                <w:color w:val="000000"/>
                <w:sz w:val="20"/>
                <w:szCs w:val="20"/>
                <w:lang w:val="en-US" w:eastAsia="en-US"/>
              </w:rPr>
            </w:pPr>
            <w:r w:rsidRPr="00FD30C5">
              <w:rPr>
                <w:rFonts w:cs="Arial"/>
                <w:color w:val="000000"/>
                <w:sz w:val="20"/>
                <w:szCs w:val="20"/>
                <w:lang w:val="en-US" w:eastAsia="en-US"/>
              </w:rPr>
              <w:t>Aided with MXM</w:t>
            </w:r>
          </w:p>
        </w:tc>
        <w:tc>
          <w:tcPr>
            <w:tcW w:w="2266" w:type="dxa"/>
            <w:tcBorders>
              <w:top w:val="nil"/>
              <w:left w:val="nil"/>
              <w:bottom w:val="single" w:sz="8" w:space="0" w:color="auto"/>
              <w:right w:val="single" w:sz="4" w:space="0" w:color="auto"/>
            </w:tcBorders>
            <w:shd w:val="clear" w:color="auto" w:fill="auto"/>
            <w:noWrap/>
            <w:vAlign w:val="bottom"/>
            <w:hideMark/>
          </w:tcPr>
          <w:p w14:paraId="778AF713" w14:textId="77777777" w:rsidR="00FD30C5" w:rsidRPr="00FD30C5" w:rsidRDefault="00FD30C5" w:rsidP="00FD30C5">
            <w:pPr>
              <w:rPr>
                <w:rFonts w:cs="Arial"/>
                <w:color w:val="000000"/>
                <w:sz w:val="20"/>
                <w:szCs w:val="20"/>
                <w:lang w:val="en-US" w:eastAsia="en-US"/>
              </w:rPr>
            </w:pPr>
            <w:r w:rsidRPr="00FD30C5">
              <w:rPr>
                <w:rFonts w:cs="Arial"/>
                <w:color w:val="000000"/>
                <w:sz w:val="20"/>
                <w:szCs w:val="20"/>
                <w:lang w:val="en-US" w:eastAsia="en-US"/>
              </w:rPr>
              <w:t>Hough 2002</w:t>
            </w:r>
          </w:p>
        </w:tc>
        <w:tc>
          <w:tcPr>
            <w:tcW w:w="474" w:type="dxa"/>
            <w:tcBorders>
              <w:top w:val="nil"/>
              <w:left w:val="nil"/>
              <w:bottom w:val="single" w:sz="8" w:space="0" w:color="auto"/>
              <w:right w:val="single" w:sz="4" w:space="0" w:color="auto"/>
            </w:tcBorders>
            <w:shd w:val="clear" w:color="auto" w:fill="auto"/>
            <w:noWrap/>
            <w:vAlign w:val="bottom"/>
            <w:hideMark/>
          </w:tcPr>
          <w:p w14:paraId="29358D37" w14:textId="77777777" w:rsidR="00FD30C5" w:rsidRPr="00FD30C5" w:rsidRDefault="00FD30C5" w:rsidP="00FD30C5">
            <w:pPr>
              <w:jc w:val="center"/>
              <w:rPr>
                <w:rFonts w:cs="Arial"/>
                <w:color w:val="000000"/>
                <w:sz w:val="20"/>
                <w:szCs w:val="20"/>
                <w:lang w:val="en-US" w:eastAsia="en-US"/>
              </w:rPr>
            </w:pPr>
            <w:r w:rsidRPr="00FD30C5">
              <w:rPr>
                <w:rFonts w:cs="Arial"/>
                <w:color w:val="000000"/>
                <w:sz w:val="20"/>
                <w:szCs w:val="20"/>
                <w:lang w:val="en-US" w:eastAsia="en-US"/>
              </w:rPr>
              <w:t>93</w:t>
            </w:r>
          </w:p>
        </w:tc>
        <w:tc>
          <w:tcPr>
            <w:tcW w:w="1460" w:type="dxa"/>
            <w:tcBorders>
              <w:top w:val="nil"/>
              <w:left w:val="nil"/>
              <w:bottom w:val="single" w:sz="8" w:space="0" w:color="auto"/>
              <w:right w:val="single" w:sz="4" w:space="0" w:color="auto"/>
            </w:tcBorders>
            <w:shd w:val="clear" w:color="auto" w:fill="auto"/>
            <w:noWrap/>
            <w:vAlign w:val="bottom"/>
            <w:hideMark/>
          </w:tcPr>
          <w:p w14:paraId="06772D75" w14:textId="77777777" w:rsidR="00FD30C5" w:rsidRPr="00FD30C5" w:rsidRDefault="00FD30C5" w:rsidP="00FD30C5">
            <w:pPr>
              <w:jc w:val="center"/>
              <w:rPr>
                <w:rFonts w:cs="Arial"/>
                <w:color w:val="000000"/>
                <w:sz w:val="20"/>
                <w:szCs w:val="20"/>
                <w:lang w:val="en-US" w:eastAsia="en-US"/>
              </w:rPr>
            </w:pPr>
            <w:r w:rsidRPr="00FD30C5">
              <w:rPr>
                <w:rFonts w:cs="Arial"/>
                <w:color w:val="000000"/>
                <w:sz w:val="20"/>
                <w:szCs w:val="20"/>
                <w:lang w:val="en-US" w:eastAsia="en-US"/>
              </w:rPr>
              <w:t>42,4</w:t>
            </w:r>
          </w:p>
        </w:tc>
        <w:tc>
          <w:tcPr>
            <w:tcW w:w="640" w:type="dxa"/>
            <w:tcBorders>
              <w:top w:val="nil"/>
              <w:left w:val="nil"/>
              <w:bottom w:val="single" w:sz="8" w:space="0" w:color="auto"/>
              <w:right w:val="single" w:sz="8" w:space="0" w:color="auto"/>
            </w:tcBorders>
            <w:shd w:val="clear" w:color="auto" w:fill="auto"/>
            <w:noWrap/>
            <w:vAlign w:val="bottom"/>
            <w:hideMark/>
          </w:tcPr>
          <w:p w14:paraId="25179701" w14:textId="77777777" w:rsidR="00FD30C5" w:rsidRPr="00FD30C5" w:rsidRDefault="00FD30C5" w:rsidP="00FD30C5">
            <w:pPr>
              <w:jc w:val="center"/>
              <w:rPr>
                <w:rFonts w:cs="Arial"/>
                <w:color w:val="000000"/>
                <w:sz w:val="20"/>
                <w:szCs w:val="20"/>
                <w:lang w:val="en-US" w:eastAsia="en-US"/>
              </w:rPr>
            </w:pPr>
            <w:r w:rsidRPr="00FD30C5">
              <w:rPr>
                <w:rFonts w:cs="Arial"/>
                <w:color w:val="000000"/>
                <w:sz w:val="20"/>
                <w:szCs w:val="20"/>
                <w:lang w:val="en-US" w:eastAsia="en-US"/>
              </w:rPr>
              <w:t>19,4</w:t>
            </w:r>
          </w:p>
        </w:tc>
      </w:tr>
    </w:tbl>
    <w:p w14:paraId="0E080000" w14:textId="77777777" w:rsidR="00AA1F7B" w:rsidRDefault="00AA1F7B" w:rsidP="00FD30C5">
      <w:pPr>
        <w:spacing w:line="360" w:lineRule="auto"/>
        <w:jc w:val="both"/>
        <w:rPr>
          <w:rFonts w:cs="Arial"/>
          <w:lang w:val="en-GB"/>
        </w:rPr>
      </w:pPr>
    </w:p>
    <w:p w14:paraId="63F4B1FA" w14:textId="77777777" w:rsidR="00FD30C5" w:rsidRPr="00932A48" w:rsidRDefault="00FD30C5" w:rsidP="00FD30C5">
      <w:pPr>
        <w:spacing w:line="360" w:lineRule="auto"/>
        <w:jc w:val="both"/>
        <w:rPr>
          <w:rFonts w:cs="Arial"/>
          <w:lang w:val="en-GB"/>
        </w:rPr>
      </w:pPr>
      <w:r w:rsidRPr="00932A48">
        <w:rPr>
          <w:rFonts w:cs="Arial"/>
          <w:lang w:val="en-GB"/>
        </w:rPr>
        <w:t xml:space="preserve">As with utility values, it is expected that patient perceived benefit decreases over time. One of the studies identified in the systematic literature search but not included in </w:t>
      </w:r>
      <w:r w:rsidRPr="00932A48">
        <w:rPr>
          <w:rFonts w:cs="Arial"/>
          <w:lang w:val="en-GB"/>
        </w:rPr>
        <w:lastRenderedPageBreak/>
        <w:t>analysis reported long-term outcome on the APHAB with different MEI. The reason for exclusion was due to data from different implant systems being pooled together. This study is still useful to get an impression about how APHAB outcomes vary over time. Looking at the results of this paper it was observed that outcomes at 6 a</w:t>
      </w:r>
      <w:r>
        <w:rPr>
          <w:rFonts w:cs="Arial"/>
          <w:lang w:val="en-GB"/>
        </w:rPr>
        <w:t>nd 12 months were similar (43.6 </w:t>
      </w:r>
      <w:r w:rsidRPr="00FD30C5">
        <w:rPr>
          <w:rFonts w:cs="Arial"/>
          <w:i/>
          <w:lang w:val="en-GB"/>
        </w:rPr>
        <w:t>vs.</w:t>
      </w:r>
      <w:r>
        <w:rPr>
          <w:rFonts w:cs="Arial"/>
          <w:lang w:val="en-GB"/>
        </w:rPr>
        <w:t> </w:t>
      </w:r>
      <w:r w:rsidRPr="00932A48">
        <w:rPr>
          <w:rFonts w:cs="Arial"/>
          <w:lang w:val="en-GB"/>
        </w:rPr>
        <w:t>46.6), but substantially decreased over a period of 7.5 years (55.6). After the first year of device use, average scores dropped by 9 units over a period of 6.5 years. Assuming a constant de</w:t>
      </w:r>
      <w:r>
        <w:rPr>
          <w:rFonts w:cs="Arial"/>
          <w:lang w:val="en-GB"/>
        </w:rPr>
        <w:t>crease over time, a rate of 0.7 </w:t>
      </w:r>
      <w:r w:rsidRPr="00932A48">
        <w:rPr>
          <w:rFonts w:cs="Arial"/>
          <w:lang w:val="en-GB"/>
        </w:rPr>
        <w:t>dB change every 6 months can be estimated. Incremental effectiveness was thus kept constant in the second cycle and then reduced by 0.7 every cycle.</w:t>
      </w:r>
    </w:p>
    <w:p w14:paraId="3D5CA394" w14:textId="77777777" w:rsidR="00AA1F7B" w:rsidRDefault="00AA1F7B" w:rsidP="00FD30C5">
      <w:pPr>
        <w:spacing w:line="360" w:lineRule="auto"/>
        <w:jc w:val="both"/>
        <w:rPr>
          <w:rFonts w:cs="Arial"/>
          <w:lang w:val="en-GB"/>
        </w:rPr>
      </w:pPr>
    </w:p>
    <w:p w14:paraId="25FC43DA" w14:textId="77777777" w:rsidR="00AA1F7B" w:rsidRPr="00932A48" w:rsidRDefault="00AA1F7B" w:rsidP="00FD30C5">
      <w:pPr>
        <w:spacing w:line="360" w:lineRule="auto"/>
        <w:jc w:val="both"/>
        <w:rPr>
          <w:rFonts w:cs="Arial"/>
          <w:lang w:val="en-GB"/>
        </w:rPr>
      </w:pPr>
    </w:p>
    <w:p w14:paraId="59C3C8ED" w14:textId="77777777" w:rsidR="00DE5501" w:rsidRPr="001C7CE7" w:rsidRDefault="001C7CE7" w:rsidP="001C7CE7">
      <w:pPr>
        <w:pStyle w:val="Heading20"/>
      </w:pPr>
      <w:bookmarkStart w:id="565" w:name="_Toc431917599"/>
      <w:r>
        <w:rPr>
          <w:sz w:val="28"/>
        </w:rPr>
        <w:t>D.</w:t>
      </w:r>
      <w:r w:rsidR="00B55968">
        <w:rPr>
          <w:sz w:val="28"/>
          <w:lang w:val="en-US"/>
        </w:rPr>
        <w:t>5</w:t>
      </w:r>
      <w:r w:rsidR="00DE5501" w:rsidRPr="009A1A2E">
        <w:rPr>
          <w:sz w:val="28"/>
        </w:rPr>
        <w:tab/>
      </w:r>
      <w:r w:rsidR="00DE5501" w:rsidRPr="001C7CE7">
        <w:t xml:space="preserve">Results of the </w:t>
      </w:r>
      <w:r w:rsidR="00FD30C5" w:rsidRPr="00FD30C5">
        <w:rPr>
          <w:lang w:val="en-US"/>
        </w:rPr>
        <w:t xml:space="preserve">main </w:t>
      </w:r>
      <w:r w:rsidR="00DE5501" w:rsidRPr="001C7CE7">
        <w:t>economic evaluation</w:t>
      </w:r>
      <w:bookmarkEnd w:id="565"/>
    </w:p>
    <w:p w14:paraId="470017EB" w14:textId="416DF6B0" w:rsidR="0020765E" w:rsidRDefault="0020765E" w:rsidP="0020765E">
      <w:pPr>
        <w:spacing w:line="360" w:lineRule="auto"/>
        <w:jc w:val="both"/>
        <w:rPr>
          <w:rFonts w:cs="Arial"/>
          <w:lang w:val="en-GB"/>
        </w:rPr>
      </w:pPr>
      <w:r w:rsidRPr="00932A48">
        <w:rPr>
          <w:rFonts w:cs="Arial"/>
          <w:lang w:val="en-GB"/>
        </w:rPr>
        <w:t xml:space="preserve">Base-case results produced by the state-transition model for a cohort of individuals with sensorineural hearing loss with/without medical condition entering the model at age 53 </w:t>
      </w:r>
      <w:r w:rsidRPr="0020765E">
        <w:rPr>
          <w:rFonts w:cs="Arial"/>
          <w:lang w:val="en-GB"/>
        </w:rPr>
        <w:t xml:space="preserve">are depicted in </w:t>
      </w:r>
      <w:r w:rsidRPr="0020765E">
        <w:rPr>
          <w:rFonts w:cs="Arial"/>
          <w:lang w:val="en-GB"/>
        </w:rPr>
        <w:fldChar w:fldCharType="begin"/>
      </w:r>
      <w:r w:rsidRPr="0020765E">
        <w:rPr>
          <w:rFonts w:cs="Arial"/>
          <w:lang w:val="en-GB"/>
        </w:rPr>
        <w:instrText xml:space="preserve"> REF _Ref430967297 \h  \* MERGEFORMAT </w:instrText>
      </w:r>
      <w:r w:rsidRPr="0020765E">
        <w:rPr>
          <w:rFonts w:cs="Arial"/>
          <w:lang w:val="en-GB"/>
        </w:rPr>
      </w:r>
      <w:r w:rsidRPr="0020765E">
        <w:rPr>
          <w:rFonts w:cs="Arial"/>
          <w:lang w:val="en-GB"/>
        </w:rPr>
        <w:fldChar w:fldCharType="separate"/>
      </w:r>
      <w:r w:rsidR="00016592" w:rsidRPr="00016592">
        <w:rPr>
          <w:rFonts w:cs="Arial"/>
          <w:bCs/>
        </w:rPr>
        <w:t xml:space="preserve">Table </w:t>
      </w:r>
      <w:r w:rsidR="00016592" w:rsidRPr="00016592">
        <w:rPr>
          <w:rFonts w:cs="Arial"/>
          <w:bCs/>
          <w:noProof/>
        </w:rPr>
        <w:t>47</w:t>
      </w:r>
      <w:r w:rsidRPr="0020765E">
        <w:rPr>
          <w:rFonts w:cs="Arial"/>
          <w:lang w:val="en-GB"/>
        </w:rPr>
        <w:fldChar w:fldCharType="end"/>
      </w:r>
      <w:r w:rsidRPr="0020765E">
        <w:rPr>
          <w:rFonts w:cs="Arial"/>
          <w:lang w:val="en-GB"/>
        </w:rPr>
        <w:t xml:space="preserve"> </w:t>
      </w:r>
      <w:r>
        <w:rPr>
          <w:rFonts w:cs="Arial"/>
          <w:lang w:val="en-GB"/>
        </w:rPr>
        <w:t>a</w:t>
      </w:r>
      <w:r w:rsidRPr="0020765E">
        <w:rPr>
          <w:rFonts w:cs="Arial"/>
          <w:lang w:val="en-GB"/>
        </w:rPr>
        <w:t xml:space="preserve">nd </w:t>
      </w:r>
      <w:r w:rsidRPr="0020765E">
        <w:rPr>
          <w:rFonts w:cs="Arial"/>
          <w:lang w:val="en-GB"/>
        </w:rPr>
        <w:fldChar w:fldCharType="begin"/>
      </w:r>
      <w:r w:rsidRPr="0020765E">
        <w:rPr>
          <w:rFonts w:cs="Arial"/>
          <w:lang w:val="en-GB"/>
        </w:rPr>
        <w:instrText xml:space="preserve"> REF _Ref430967308 \h  \* MERGEFORMAT </w:instrText>
      </w:r>
      <w:r w:rsidRPr="0020765E">
        <w:rPr>
          <w:rFonts w:cs="Arial"/>
          <w:lang w:val="en-GB"/>
        </w:rPr>
      </w:r>
      <w:r w:rsidRPr="0020765E">
        <w:rPr>
          <w:rFonts w:cs="Arial"/>
          <w:lang w:val="en-GB"/>
        </w:rPr>
        <w:fldChar w:fldCharType="separate"/>
      </w:r>
      <w:r w:rsidR="00016592" w:rsidRPr="00016592">
        <w:rPr>
          <w:rFonts w:cs="Arial"/>
          <w:bCs/>
        </w:rPr>
        <w:t xml:space="preserve">Table </w:t>
      </w:r>
      <w:r w:rsidR="00016592" w:rsidRPr="00016592">
        <w:rPr>
          <w:rFonts w:cs="Arial"/>
          <w:bCs/>
          <w:noProof/>
        </w:rPr>
        <w:t>48</w:t>
      </w:r>
      <w:r w:rsidRPr="0020765E">
        <w:rPr>
          <w:rFonts w:cs="Arial"/>
          <w:lang w:val="en-GB"/>
        </w:rPr>
        <w:fldChar w:fldCharType="end"/>
      </w:r>
      <w:r w:rsidRPr="0020765E">
        <w:rPr>
          <w:rFonts w:cs="Arial"/>
          <w:lang w:val="en-GB"/>
        </w:rPr>
        <w:t>. Compared</w:t>
      </w:r>
      <w:r w:rsidRPr="00932A48">
        <w:rPr>
          <w:rFonts w:cs="Arial"/>
          <w:lang w:val="en-GB"/>
        </w:rPr>
        <w:t xml:space="preserve"> to no intervention, the provision of the Vibrant Soundbridge AMEI results in an improvement of 1</w:t>
      </w:r>
      <w:r w:rsidR="00AD5624">
        <w:rPr>
          <w:rFonts w:cs="Arial"/>
          <w:lang w:val="en-GB"/>
        </w:rPr>
        <w:t>,</w:t>
      </w:r>
      <w:r w:rsidR="00D2551D">
        <w:rPr>
          <w:rFonts w:cs="Arial"/>
          <w:lang w:val="en-GB"/>
        </w:rPr>
        <w:t>41 QALYs at a cost of AUD 21.927</w:t>
      </w:r>
      <w:r w:rsidRPr="00932A48">
        <w:rPr>
          <w:rFonts w:cs="Arial"/>
          <w:lang w:val="en-GB"/>
        </w:rPr>
        <w:t xml:space="preserve"> per patient over a 10 year timeframe. </w:t>
      </w:r>
    </w:p>
    <w:p w14:paraId="69A27AD2" w14:textId="77777777" w:rsidR="0020765E" w:rsidRPr="00932A48" w:rsidRDefault="0020765E" w:rsidP="0020765E">
      <w:pPr>
        <w:spacing w:line="360" w:lineRule="auto"/>
        <w:jc w:val="both"/>
        <w:rPr>
          <w:rFonts w:cs="Arial"/>
          <w:lang w:val="en-GB"/>
        </w:rPr>
      </w:pPr>
    </w:p>
    <w:p w14:paraId="194EAC13" w14:textId="77777777" w:rsidR="0020765E" w:rsidRPr="0020765E" w:rsidRDefault="0020765E" w:rsidP="0020765E">
      <w:pPr>
        <w:spacing w:line="360" w:lineRule="auto"/>
        <w:jc w:val="both"/>
        <w:rPr>
          <w:rFonts w:cs="Arial"/>
          <w:b/>
          <w:sz w:val="20"/>
          <w:szCs w:val="20"/>
        </w:rPr>
      </w:pPr>
      <w:bookmarkStart w:id="566" w:name="_Ref430967297"/>
      <w:bookmarkStart w:id="567" w:name="_Toc431917507"/>
      <w:r w:rsidRPr="0020765E">
        <w:rPr>
          <w:rFonts w:cs="Arial"/>
          <w:b/>
          <w:bCs/>
          <w:sz w:val="20"/>
          <w:szCs w:val="20"/>
        </w:rPr>
        <w:t xml:space="preserve">Table </w:t>
      </w:r>
      <w:r w:rsidRPr="0020765E">
        <w:rPr>
          <w:rFonts w:cs="Arial"/>
          <w:b/>
          <w:bCs/>
          <w:sz w:val="20"/>
          <w:szCs w:val="20"/>
        </w:rPr>
        <w:fldChar w:fldCharType="begin"/>
      </w:r>
      <w:r w:rsidRPr="0020765E">
        <w:rPr>
          <w:rFonts w:cs="Arial"/>
          <w:b/>
          <w:bCs/>
          <w:sz w:val="20"/>
          <w:szCs w:val="20"/>
        </w:rPr>
        <w:instrText xml:space="preserve"> SEQ Table \* ARABIC </w:instrText>
      </w:r>
      <w:r w:rsidRPr="0020765E">
        <w:rPr>
          <w:rFonts w:cs="Arial"/>
          <w:b/>
          <w:bCs/>
          <w:sz w:val="20"/>
          <w:szCs w:val="20"/>
        </w:rPr>
        <w:fldChar w:fldCharType="separate"/>
      </w:r>
      <w:r w:rsidR="00016592">
        <w:rPr>
          <w:rFonts w:cs="Arial"/>
          <w:b/>
          <w:bCs/>
          <w:noProof/>
          <w:sz w:val="20"/>
          <w:szCs w:val="20"/>
        </w:rPr>
        <w:t>47</w:t>
      </w:r>
      <w:r w:rsidRPr="0020765E">
        <w:rPr>
          <w:rFonts w:cs="Arial"/>
          <w:b/>
          <w:bCs/>
          <w:sz w:val="20"/>
          <w:szCs w:val="20"/>
        </w:rPr>
        <w:fldChar w:fldCharType="end"/>
      </w:r>
      <w:bookmarkEnd w:id="566"/>
      <w:r w:rsidRPr="0020765E">
        <w:rPr>
          <w:rFonts w:cs="Arial"/>
          <w:b/>
          <w:bCs/>
          <w:sz w:val="20"/>
          <w:szCs w:val="20"/>
        </w:rPr>
        <w:t xml:space="preserve"> - </w:t>
      </w:r>
      <w:r w:rsidRPr="0020765E">
        <w:rPr>
          <w:rFonts w:cs="Arial"/>
          <w:b/>
          <w:sz w:val="20"/>
          <w:szCs w:val="20"/>
          <w:lang w:val="en-GB"/>
        </w:rPr>
        <w:t>Base-case results produced by the state-transition model</w:t>
      </w:r>
      <w:r>
        <w:rPr>
          <w:rFonts w:cs="Arial"/>
          <w:b/>
          <w:sz w:val="20"/>
          <w:szCs w:val="20"/>
          <w:lang w:val="en-GB"/>
        </w:rPr>
        <w:t xml:space="preserve"> comparing VSB </w:t>
      </w:r>
      <w:r w:rsidRPr="0020765E">
        <w:rPr>
          <w:rFonts w:cs="Arial"/>
          <w:b/>
          <w:i/>
          <w:sz w:val="20"/>
          <w:szCs w:val="20"/>
          <w:lang w:val="en-GB"/>
        </w:rPr>
        <w:t>vs.</w:t>
      </w:r>
      <w:r>
        <w:rPr>
          <w:rFonts w:cs="Arial"/>
          <w:b/>
          <w:sz w:val="20"/>
          <w:szCs w:val="20"/>
          <w:lang w:val="en-GB"/>
        </w:rPr>
        <w:t xml:space="preserve"> No intervention</w:t>
      </w:r>
      <w:r w:rsidRPr="0020765E">
        <w:rPr>
          <w:rFonts w:cs="Arial"/>
          <w:b/>
          <w:sz w:val="20"/>
          <w:szCs w:val="20"/>
          <w:lang w:val="en-GB"/>
        </w:rPr>
        <w:t>.</w:t>
      </w:r>
      <w:bookmarkEnd w:id="567"/>
    </w:p>
    <w:tbl>
      <w:tblPr>
        <w:tblW w:w="8992" w:type="dxa"/>
        <w:jc w:val="center"/>
        <w:tblLook w:val="04A0" w:firstRow="1" w:lastRow="0" w:firstColumn="1" w:lastColumn="0" w:noHBand="0" w:noVBand="1"/>
        <w:tblDescription w:val="Base-case results produced by the state-transition model comparing VSB vs. No intervention."/>
      </w:tblPr>
      <w:tblGrid>
        <w:gridCol w:w="1295"/>
        <w:gridCol w:w="1749"/>
        <w:gridCol w:w="1451"/>
        <w:gridCol w:w="950"/>
        <w:gridCol w:w="1451"/>
        <w:gridCol w:w="2096"/>
      </w:tblGrid>
      <w:tr w:rsidR="00054A3D" w:rsidRPr="00054A3D" w14:paraId="0335181E" w14:textId="77777777" w:rsidTr="00E01546">
        <w:trPr>
          <w:trHeight w:val="900"/>
          <w:jc w:val="center"/>
        </w:trPr>
        <w:tc>
          <w:tcPr>
            <w:tcW w:w="1295"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7A2C09F3" w14:textId="77777777" w:rsidR="00054A3D" w:rsidRPr="00054A3D" w:rsidRDefault="00054A3D" w:rsidP="00054A3D">
            <w:pPr>
              <w:jc w:val="center"/>
              <w:rPr>
                <w:rFonts w:cs="Arial"/>
                <w:b/>
                <w:bCs/>
                <w:color w:val="000000"/>
                <w:lang w:val="en-US" w:eastAsia="en-US"/>
              </w:rPr>
            </w:pPr>
            <w:r w:rsidRPr="00054A3D">
              <w:rPr>
                <w:rFonts w:cs="Arial"/>
                <w:b/>
                <w:bCs/>
                <w:color w:val="000000"/>
                <w:lang w:val="en-US" w:eastAsia="en-US"/>
              </w:rPr>
              <w:t>Strategy</w:t>
            </w:r>
          </w:p>
        </w:tc>
        <w:tc>
          <w:tcPr>
            <w:tcW w:w="1749" w:type="dxa"/>
            <w:tcBorders>
              <w:top w:val="single" w:sz="8" w:space="0" w:color="auto"/>
              <w:left w:val="nil"/>
              <w:bottom w:val="single" w:sz="4" w:space="0" w:color="auto"/>
              <w:right w:val="single" w:sz="4" w:space="0" w:color="auto"/>
            </w:tcBorders>
            <w:shd w:val="clear" w:color="auto" w:fill="auto"/>
            <w:vAlign w:val="center"/>
            <w:hideMark/>
          </w:tcPr>
          <w:p w14:paraId="0686A033" w14:textId="77777777" w:rsidR="00054A3D" w:rsidRPr="00054A3D" w:rsidRDefault="00054A3D" w:rsidP="00054A3D">
            <w:pPr>
              <w:jc w:val="center"/>
              <w:rPr>
                <w:rFonts w:cs="Arial"/>
                <w:b/>
                <w:bCs/>
                <w:color w:val="000000"/>
                <w:lang w:val="en-US" w:eastAsia="en-US"/>
              </w:rPr>
            </w:pPr>
            <w:r w:rsidRPr="00054A3D">
              <w:rPr>
                <w:rFonts w:cs="Arial"/>
                <w:b/>
                <w:bCs/>
                <w:color w:val="000000"/>
                <w:lang w:val="en-US" w:eastAsia="en-US"/>
              </w:rPr>
              <w:t>No intervention</w:t>
            </w:r>
          </w:p>
        </w:tc>
        <w:tc>
          <w:tcPr>
            <w:tcW w:w="1451" w:type="dxa"/>
            <w:tcBorders>
              <w:top w:val="single" w:sz="8" w:space="0" w:color="auto"/>
              <w:left w:val="nil"/>
              <w:bottom w:val="single" w:sz="4" w:space="0" w:color="auto"/>
              <w:right w:val="single" w:sz="4" w:space="0" w:color="auto"/>
            </w:tcBorders>
            <w:shd w:val="clear" w:color="auto" w:fill="auto"/>
            <w:vAlign w:val="center"/>
            <w:hideMark/>
          </w:tcPr>
          <w:p w14:paraId="75BC6DCF" w14:textId="77777777" w:rsidR="00054A3D" w:rsidRPr="00054A3D" w:rsidRDefault="00054A3D" w:rsidP="00054A3D">
            <w:pPr>
              <w:jc w:val="center"/>
              <w:rPr>
                <w:rFonts w:cs="Arial"/>
                <w:b/>
                <w:bCs/>
                <w:color w:val="000000"/>
                <w:lang w:val="en-US" w:eastAsia="en-US"/>
              </w:rPr>
            </w:pPr>
            <w:r w:rsidRPr="00054A3D">
              <w:rPr>
                <w:rFonts w:cs="Arial"/>
                <w:b/>
                <w:bCs/>
                <w:color w:val="000000"/>
                <w:lang w:val="en-US" w:eastAsia="en-US"/>
              </w:rPr>
              <w:t xml:space="preserve">Incremental cost </w:t>
            </w:r>
          </w:p>
        </w:tc>
        <w:tc>
          <w:tcPr>
            <w:tcW w:w="950" w:type="dxa"/>
            <w:tcBorders>
              <w:top w:val="single" w:sz="8" w:space="0" w:color="auto"/>
              <w:left w:val="nil"/>
              <w:bottom w:val="single" w:sz="4" w:space="0" w:color="auto"/>
              <w:right w:val="single" w:sz="4" w:space="0" w:color="auto"/>
            </w:tcBorders>
            <w:shd w:val="clear" w:color="auto" w:fill="auto"/>
            <w:vAlign w:val="center"/>
            <w:hideMark/>
          </w:tcPr>
          <w:p w14:paraId="58CDA19F" w14:textId="77777777" w:rsidR="00054A3D" w:rsidRPr="00054A3D" w:rsidRDefault="00054A3D" w:rsidP="00054A3D">
            <w:pPr>
              <w:jc w:val="center"/>
              <w:rPr>
                <w:rFonts w:cs="Arial"/>
                <w:b/>
                <w:bCs/>
                <w:color w:val="000000"/>
                <w:lang w:val="en-US" w:eastAsia="en-US"/>
              </w:rPr>
            </w:pPr>
            <w:r w:rsidRPr="00054A3D">
              <w:rPr>
                <w:rFonts w:cs="Arial"/>
                <w:b/>
                <w:bCs/>
                <w:color w:val="000000"/>
                <w:lang w:val="en-US" w:eastAsia="en-US"/>
              </w:rPr>
              <w:t>QALY</w:t>
            </w:r>
          </w:p>
        </w:tc>
        <w:tc>
          <w:tcPr>
            <w:tcW w:w="1451" w:type="dxa"/>
            <w:tcBorders>
              <w:top w:val="single" w:sz="8" w:space="0" w:color="auto"/>
              <w:left w:val="nil"/>
              <w:bottom w:val="single" w:sz="4" w:space="0" w:color="auto"/>
              <w:right w:val="single" w:sz="4" w:space="0" w:color="auto"/>
            </w:tcBorders>
            <w:shd w:val="clear" w:color="auto" w:fill="auto"/>
            <w:vAlign w:val="center"/>
            <w:hideMark/>
          </w:tcPr>
          <w:p w14:paraId="63BE41AD" w14:textId="77777777" w:rsidR="00054A3D" w:rsidRPr="00054A3D" w:rsidRDefault="00054A3D" w:rsidP="00054A3D">
            <w:pPr>
              <w:jc w:val="center"/>
              <w:rPr>
                <w:rFonts w:cs="Arial"/>
                <w:b/>
                <w:bCs/>
                <w:color w:val="000000"/>
                <w:lang w:val="en-US" w:eastAsia="en-US"/>
              </w:rPr>
            </w:pPr>
            <w:r w:rsidRPr="00054A3D">
              <w:rPr>
                <w:rFonts w:cs="Arial"/>
                <w:b/>
                <w:bCs/>
                <w:color w:val="000000"/>
                <w:lang w:val="en-US" w:eastAsia="en-US"/>
              </w:rPr>
              <w:t>Incremental QALY</w:t>
            </w:r>
          </w:p>
        </w:tc>
        <w:tc>
          <w:tcPr>
            <w:tcW w:w="2096" w:type="dxa"/>
            <w:tcBorders>
              <w:top w:val="single" w:sz="8" w:space="0" w:color="auto"/>
              <w:left w:val="nil"/>
              <w:bottom w:val="single" w:sz="4" w:space="0" w:color="auto"/>
              <w:right w:val="single" w:sz="8" w:space="0" w:color="auto"/>
            </w:tcBorders>
            <w:shd w:val="clear" w:color="auto" w:fill="auto"/>
            <w:vAlign w:val="center"/>
            <w:hideMark/>
          </w:tcPr>
          <w:p w14:paraId="14EA7FCA" w14:textId="77777777" w:rsidR="00054A3D" w:rsidRPr="00054A3D" w:rsidRDefault="00054A3D" w:rsidP="00054A3D">
            <w:pPr>
              <w:jc w:val="center"/>
              <w:rPr>
                <w:rFonts w:cs="Arial"/>
                <w:b/>
                <w:bCs/>
                <w:color w:val="000000"/>
                <w:lang w:val="en-US" w:eastAsia="en-US"/>
              </w:rPr>
            </w:pPr>
            <w:r w:rsidRPr="00054A3D">
              <w:rPr>
                <w:rFonts w:cs="Arial"/>
                <w:b/>
                <w:bCs/>
                <w:color w:val="000000"/>
                <w:lang w:val="en-US" w:eastAsia="en-US"/>
              </w:rPr>
              <w:t>ICER ($/QALY)</w:t>
            </w:r>
          </w:p>
        </w:tc>
      </w:tr>
      <w:tr w:rsidR="007B13DB" w:rsidRPr="00054A3D" w14:paraId="74B6DA94" w14:textId="77777777" w:rsidTr="00E01546">
        <w:trPr>
          <w:trHeight w:val="315"/>
          <w:jc w:val="center"/>
        </w:trPr>
        <w:tc>
          <w:tcPr>
            <w:tcW w:w="1295" w:type="dxa"/>
            <w:tcBorders>
              <w:top w:val="nil"/>
              <w:left w:val="single" w:sz="8" w:space="0" w:color="auto"/>
              <w:bottom w:val="single" w:sz="4" w:space="0" w:color="auto"/>
              <w:right w:val="single" w:sz="4" w:space="0" w:color="auto"/>
            </w:tcBorders>
            <w:shd w:val="clear" w:color="auto" w:fill="auto"/>
            <w:noWrap/>
            <w:vAlign w:val="center"/>
            <w:hideMark/>
          </w:tcPr>
          <w:p w14:paraId="26EADF10" w14:textId="77777777" w:rsidR="007B13DB" w:rsidRPr="00054A3D" w:rsidRDefault="007B13DB" w:rsidP="00054A3D">
            <w:pPr>
              <w:rPr>
                <w:rFonts w:cs="Arial"/>
                <w:color w:val="000000"/>
                <w:sz w:val="20"/>
                <w:szCs w:val="20"/>
                <w:lang w:val="en-US" w:eastAsia="en-US"/>
              </w:rPr>
            </w:pPr>
            <w:r w:rsidRPr="00054A3D">
              <w:rPr>
                <w:rFonts w:cs="Arial"/>
                <w:color w:val="000000"/>
                <w:sz w:val="20"/>
                <w:szCs w:val="20"/>
                <w:lang w:val="en-US" w:eastAsia="en-US"/>
              </w:rPr>
              <w:t>No intervention</w:t>
            </w:r>
          </w:p>
        </w:tc>
        <w:tc>
          <w:tcPr>
            <w:tcW w:w="1749" w:type="dxa"/>
            <w:tcBorders>
              <w:top w:val="nil"/>
              <w:left w:val="nil"/>
              <w:bottom w:val="single" w:sz="8" w:space="0" w:color="auto"/>
              <w:right w:val="single" w:sz="4" w:space="0" w:color="auto"/>
            </w:tcBorders>
            <w:shd w:val="clear" w:color="auto" w:fill="auto"/>
            <w:noWrap/>
            <w:vAlign w:val="center"/>
            <w:hideMark/>
          </w:tcPr>
          <w:p w14:paraId="1B7C2A14" w14:textId="129826D0" w:rsidR="007B13DB" w:rsidRPr="00054A3D" w:rsidRDefault="007B13DB" w:rsidP="00C7683B">
            <w:pPr>
              <w:rPr>
                <w:rFonts w:cs="Arial"/>
                <w:color w:val="000000"/>
                <w:sz w:val="18"/>
                <w:szCs w:val="18"/>
                <w:lang w:val="en-US" w:eastAsia="en-US"/>
              </w:rPr>
            </w:pPr>
            <w:r>
              <w:rPr>
                <w:rFonts w:cs="Arial"/>
                <w:color w:val="000000"/>
                <w:sz w:val="18"/>
                <w:szCs w:val="18"/>
              </w:rPr>
              <w:t xml:space="preserve"> AUD   2.541 </w:t>
            </w:r>
          </w:p>
        </w:tc>
        <w:tc>
          <w:tcPr>
            <w:tcW w:w="1451" w:type="dxa"/>
            <w:tcBorders>
              <w:top w:val="nil"/>
              <w:left w:val="nil"/>
              <w:bottom w:val="single" w:sz="8" w:space="0" w:color="auto"/>
              <w:right w:val="single" w:sz="4" w:space="0" w:color="auto"/>
            </w:tcBorders>
            <w:shd w:val="clear" w:color="auto" w:fill="auto"/>
            <w:noWrap/>
            <w:vAlign w:val="center"/>
            <w:hideMark/>
          </w:tcPr>
          <w:p w14:paraId="056713C4" w14:textId="3E8AC55F" w:rsidR="007B13DB" w:rsidRPr="00054A3D" w:rsidRDefault="00C7683B" w:rsidP="007B13DB">
            <w:pPr>
              <w:rPr>
                <w:rFonts w:cs="Arial"/>
                <w:color w:val="000000"/>
                <w:sz w:val="18"/>
                <w:szCs w:val="18"/>
                <w:lang w:val="en-US" w:eastAsia="en-US"/>
              </w:rPr>
            </w:pPr>
            <w:r>
              <w:rPr>
                <w:rFonts w:cs="Arial"/>
                <w:color w:val="000000"/>
                <w:sz w:val="18"/>
                <w:szCs w:val="18"/>
              </w:rPr>
              <w:t xml:space="preserve"> AU</w:t>
            </w:r>
            <w:r w:rsidR="007B13DB">
              <w:rPr>
                <w:rFonts w:cs="Arial"/>
                <w:color w:val="000000"/>
                <w:sz w:val="18"/>
                <w:szCs w:val="18"/>
              </w:rPr>
              <w:t xml:space="preserve">   - </w:t>
            </w:r>
          </w:p>
        </w:tc>
        <w:tc>
          <w:tcPr>
            <w:tcW w:w="950" w:type="dxa"/>
            <w:tcBorders>
              <w:top w:val="nil"/>
              <w:left w:val="nil"/>
              <w:bottom w:val="single" w:sz="4" w:space="0" w:color="auto"/>
              <w:right w:val="single" w:sz="4" w:space="0" w:color="auto"/>
            </w:tcBorders>
            <w:shd w:val="clear" w:color="auto" w:fill="auto"/>
            <w:noWrap/>
            <w:vAlign w:val="center"/>
            <w:hideMark/>
          </w:tcPr>
          <w:p w14:paraId="5E6DF927" w14:textId="116BF404" w:rsidR="007B13DB" w:rsidRPr="00054A3D" w:rsidRDefault="007B13DB" w:rsidP="00054A3D">
            <w:pPr>
              <w:jc w:val="center"/>
              <w:rPr>
                <w:rFonts w:cs="Arial"/>
                <w:color w:val="000000"/>
                <w:sz w:val="18"/>
                <w:szCs w:val="18"/>
                <w:lang w:val="en-US" w:eastAsia="en-US"/>
              </w:rPr>
            </w:pPr>
            <w:r>
              <w:rPr>
                <w:rFonts w:cs="Arial"/>
                <w:color w:val="000000"/>
                <w:sz w:val="18"/>
                <w:szCs w:val="18"/>
              </w:rPr>
              <w:t>8,86</w:t>
            </w:r>
          </w:p>
        </w:tc>
        <w:tc>
          <w:tcPr>
            <w:tcW w:w="1451" w:type="dxa"/>
            <w:tcBorders>
              <w:top w:val="nil"/>
              <w:left w:val="nil"/>
              <w:bottom w:val="single" w:sz="4" w:space="0" w:color="auto"/>
              <w:right w:val="single" w:sz="4" w:space="0" w:color="auto"/>
            </w:tcBorders>
            <w:shd w:val="clear" w:color="auto" w:fill="auto"/>
            <w:noWrap/>
            <w:vAlign w:val="center"/>
            <w:hideMark/>
          </w:tcPr>
          <w:p w14:paraId="3BFC3ACA" w14:textId="5570206B" w:rsidR="007B13DB" w:rsidRPr="00054A3D" w:rsidRDefault="007B13DB" w:rsidP="00054A3D">
            <w:pPr>
              <w:jc w:val="center"/>
              <w:rPr>
                <w:rFonts w:cs="Arial"/>
                <w:color w:val="000000"/>
                <w:sz w:val="18"/>
                <w:szCs w:val="18"/>
                <w:lang w:val="en-US" w:eastAsia="en-US"/>
              </w:rPr>
            </w:pPr>
            <w:r>
              <w:rPr>
                <w:rFonts w:cs="Arial"/>
                <w:color w:val="000000"/>
                <w:sz w:val="18"/>
                <w:szCs w:val="18"/>
              </w:rPr>
              <w:t>0,00</w:t>
            </w:r>
          </w:p>
        </w:tc>
        <w:tc>
          <w:tcPr>
            <w:tcW w:w="2096" w:type="dxa"/>
            <w:tcBorders>
              <w:top w:val="nil"/>
              <w:left w:val="nil"/>
              <w:bottom w:val="single" w:sz="8" w:space="0" w:color="auto"/>
              <w:right w:val="single" w:sz="4" w:space="0" w:color="auto"/>
            </w:tcBorders>
            <w:shd w:val="clear" w:color="auto" w:fill="auto"/>
            <w:noWrap/>
            <w:vAlign w:val="center"/>
            <w:hideMark/>
          </w:tcPr>
          <w:p w14:paraId="56682741" w14:textId="7DB570F0" w:rsidR="007B13DB" w:rsidRPr="00054A3D" w:rsidRDefault="007B13DB" w:rsidP="00054A3D">
            <w:pPr>
              <w:rPr>
                <w:rFonts w:cs="Arial"/>
                <w:color w:val="000000"/>
                <w:sz w:val="18"/>
                <w:szCs w:val="18"/>
                <w:lang w:val="en-US" w:eastAsia="en-US"/>
              </w:rPr>
            </w:pPr>
            <w:r>
              <w:rPr>
                <w:rFonts w:cs="Arial"/>
                <w:color w:val="000000"/>
                <w:sz w:val="18"/>
                <w:szCs w:val="18"/>
              </w:rPr>
              <w:t xml:space="preserve">  -  </w:t>
            </w:r>
          </w:p>
        </w:tc>
      </w:tr>
      <w:tr w:rsidR="007B13DB" w:rsidRPr="00054A3D" w14:paraId="11400E92" w14:textId="77777777" w:rsidTr="00E01546">
        <w:trPr>
          <w:trHeight w:val="315"/>
          <w:jc w:val="center"/>
        </w:trPr>
        <w:tc>
          <w:tcPr>
            <w:tcW w:w="1295" w:type="dxa"/>
            <w:tcBorders>
              <w:top w:val="nil"/>
              <w:left w:val="single" w:sz="8" w:space="0" w:color="auto"/>
              <w:bottom w:val="single" w:sz="8" w:space="0" w:color="auto"/>
              <w:right w:val="single" w:sz="4" w:space="0" w:color="auto"/>
            </w:tcBorders>
            <w:shd w:val="clear" w:color="auto" w:fill="auto"/>
            <w:noWrap/>
            <w:vAlign w:val="center"/>
            <w:hideMark/>
          </w:tcPr>
          <w:p w14:paraId="25EC442C" w14:textId="77777777" w:rsidR="007B13DB" w:rsidRPr="00054A3D" w:rsidRDefault="007B13DB" w:rsidP="00054A3D">
            <w:pPr>
              <w:rPr>
                <w:rFonts w:cs="Arial"/>
                <w:color w:val="000000"/>
                <w:sz w:val="20"/>
                <w:szCs w:val="20"/>
                <w:lang w:val="en-US" w:eastAsia="en-US"/>
              </w:rPr>
            </w:pPr>
            <w:r w:rsidRPr="00054A3D">
              <w:rPr>
                <w:rFonts w:cs="Arial"/>
                <w:color w:val="000000"/>
                <w:sz w:val="20"/>
                <w:szCs w:val="20"/>
                <w:lang w:val="en-US" w:eastAsia="en-US"/>
              </w:rPr>
              <w:t>VSB implantation</w:t>
            </w:r>
          </w:p>
        </w:tc>
        <w:tc>
          <w:tcPr>
            <w:tcW w:w="1749" w:type="dxa"/>
            <w:tcBorders>
              <w:top w:val="single" w:sz="4" w:space="0" w:color="auto"/>
              <w:left w:val="nil"/>
              <w:bottom w:val="single" w:sz="8" w:space="0" w:color="auto"/>
              <w:right w:val="single" w:sz="4" w:space="0" w:color="auto"/>
            </w:tcBorders>
            <w:shd w:val="clear" w:color="auto" w:fill="auto"/>
            <w:noWrap/>
            <w:vAlign w:val="center"/>
            <w:hideMark/>
          </w:tcPr>
          <w:p w14:paraId="74000EBE" w14:textId="1B88CC62" w:rsidR="007B13DB" w:rsidRPr="00054A3D" w:rsidRDefault="007B13DB" w:rsidP="00054A3D">
            <w:pPr>
              <w:rPr>
                <w:rFonts w:cs="Arial"/>
                <w:color w:val="000000"/>
                <w:sz w:val="18"/>
                <w:szCs w:val="18"/>
                <w:lang w:val="en-US" w:eastAsia="en-US"/>
              </w:rPr>
            </w:pPr>
            <w:r>
              <w:rPr>
                <w:rFonts w:cs="Arial"/>
                <w:color w:val="000000"/>
                <w:sz w:val="18"/>
                <w:szCs w:val="18"/>
              </w:rPr>
              <w:t xml:space="preserve"> AUD  </w:t>
            </w:r>
            <w:r w:rsidR="00C7683B">
              <w:rPr>
                <w:rFonts w:cs="Arial"/>
                <w:color w:val="000000"/>
                <w:sz w:val="18"/>
                <w:szCs w:val="18"/>
              </w:rPr>
              <w:t xml:space="preserve"> </w:t>
            </w:r>
            <w:r>
              <w:rPr>
                <w:rFonts w:cs="Arial"/>
                <w:color w:val="000000"/>
                <w:sz w:val="18"/>
                <w:szCs w:val="18"/>
              </w:rPr>
              <w:t xml:space="preserve">24.468 </w:t>
            </w:r>
          </w:p>
        </w:tc>
        <w:tc>
          <w:tcPr>
            <w:tcW w:w="1451" w:type="dxa"/>
            <w:tcBorders>
              <w:top w:val="single" w:sz="4" w:space="0" w:color="auto"/>
              <w:left w:val="nil"/>
              <w:bottom w:val="single" w:sz="8" w:space="0" w:color="auto"/>
              <w:right w:val="single" w:sz="4" w:space="0" w:color="auto"/>
            </w:tcBorders>
            <w:shd w:val="clear" w:color="auto" w:fill="auto"/>
            <w:noWrap/>
            <w:vAlign w:val="center"/>
            <w:hideMark/>
          </w:tcPr>
          <w:p w14:paraId="41428928" w14:textId="59BB25C4" w:rsidR="007B13DB" w:rsidRPr="00054A3D" w:rsidRDefault="007B13DB" w:rsidP="00054A3D">
            <w:pPr>
              <w:rPr>
                <w:rFonts w:cs="Arial"/>
                <w:color w:val="000000"/>
                <w:sz w:val="18"/>
                <w:szCs w:val="18"/>
                <w:lang w:val="en-US" w:eastAsia="en-US"/>
              </w:rPr>
            </w:pPr>
            <w:r>
              <w:rPr>
                <w:rFonts w:cs="Arial"/>
                <w:color w:val="000000"/>
                <w:sz w:val="18"/>
                <w:szCs w:val="18"/>
              </w:rPr>
              <w:t xml:space="preserve"> AUD   21.927 </w:t>
            </w:r>
          </w:p>
        </w:tc>
        <w:tc>
          <w:tcPr>
            <w:tcW w:w="950" w:type="dxa"/>
            <w:tcBorders>
              <w:top w:val="nil"/>
              <w:left w:val="nil"/>
              <w:bottom w:val="single" w:sz="8" w:space="0" w:color="auto"/>
              <w:right w:val="single" w:sz="4" w:space="0" w:color="auto"/>
            </w:tcBorders>
            <w:shd w:val="clear" w:color="auto" w:fill="auto"/>
            <w:noWrap/>
            <w:vAlign w:val="center"/>
            <w:hideMark/>
          </w:tcPr>
          <w:p w14:paraId="3094A05E" w14:textId="74F77A2B" w:rsidR="007B13DB" w:rsidRPr="00054A3D" w:rsidRDefault="007B13DB" w:rsidP="00054A3D">
            <w:pPr>
              <w:jc w:val="center"/>
              <w:rPr>
                <w:rFonts w:cs="Arial"/>
                <w:color w:val="000000"/>
                <w:sz w:val="18"/>
                <w:szCs w:val="18"/>
                <w:lang w:val="en-US" w:eastAsia="en-US"/>
              </w:rPr>
            </w:pPr>
            <w:r>
              <w:rPr>
                <w:rFonts w:cs="Arial"/>
                <w:color w:val="000000"/>
                <w:sz w:val="18"/>
                <w:szCs w:val="18"/>
              </w:rPr>
              <w:t>10,27</w:t>
            </w:r>
          </w:p>
        </w:tc>
        <w:tc>
          <w:tcPr>
            <w:tcW w:w="1451" w:type="dxa"/>
            <w:tcBorders>
              <w:top w:val="nil"/>
              <w:left w:val="nil"/>
              <w:bottom w:val="single" w:sz="8" w:space="0" w:color="auto"/>
              <w:right w:val="single" w:sz="4" w:space="0" w:color="auto"/>
            </w:tcBorders>
            <w:shd w:val="clear" w:color="auto" w:fill="auto"/>
            <w:noWrap/>
            <w:vAlign w:val="center"/>
            <w:hideMark/>
          </w:tcPr>
          <w:p w14:paraId="50D91203" w14:textId="66ADD873" w:rsidR="007B13DB" w:rsidRPr="00054A3D" w:rsidRDefault="007B13DB" w:rsidP="00054A3D">
            <w:pPr>
              <w:jc w:val="center"/>
              <w:rPr>
                <w:rFonts w:cs="Arial"/>
                <w:color w:val="000000"/>
                <w:sz w:val="18"/>
                <w:szCs w:val="18"/>
                <w:lang w:val="en-US" w:eastAsia="en-US"/>
              </w:rPr>
            </w:pPr>
            <w:r>
              <w:rPr>
                <w:rFonts w:cs="Arial"/>
                <w:color w:val="000000"/>
                <w:sz w:val="18"/>
                <w:szCs w:val="18"/>
              </w:rPr>
              <w:t>1,41</w:t>
            </w:r>
          </w:p>
        </w:tc>
        <w:tc>
          <w:tcPr>
            <w:tcW w:w="2096" w:type="dxa"/>
            <w:tcBorders>
              <w:top w:val="single" w:sz="4" w:space="0" w:color="auto"/>
              <w:left w:val="nil"/>
              <w:bottom w:val="single" w:sz="8" w:space="0" w:color="auto"/>
              <w:right w:val="single" w:sz="4" w:space="0" w:color="auto"/>
            </w:tcBorders>
            <w:shd w:val="clear" w:color="auto" w:fill="auto"/>
            <w:noWrap/>
            <w:vAlign w:val="center"/>
            <w:hideMark/>
          </w:tcPr>
          <w:p w14:paraId="3294CB17" w14:textId="6195A7B5" w:rsidR="007B13DB" w:rsidRPr="00054A3D" w:rsidRDefault="007B13DB" w:rsidP="00C7683B">
            <w:pPr>
              <w:jc w:val="center"/>
              <w:rPr>
                <w:rFonts w:cs="Arial"/>
                <w:color w:val="000000"/>
                <w:sz w:val="18"/>
                <w:szCs w:val="18"/>
                <w:lang w:val="en-US" w:eastAsia="en-US"/>
              </w:rPr>
            </w:pPr>
            <w:r>
              <w:rPr>
                <w:rFonts w:cs="Arial"/>
                <w:color w:val="000000"/>
                <w:sz w:val="18"/>
                <w:szCs w:val="18"/>
              </w:rPr>
              <w:t xml:space="preserve"> AUD   15.575 </w:t>
            </w:r>
          </w:p>
        </w:tc>
      </w:tr>
    </w:tbl>
    <w:p w14:paraId="617BA904" w14:textId="77777777" w:rsidR="0020765E" w:rsidRDefault="0020765E" w:rsidP="0020765E">
      <w:pPr>
        <w:pStyle w:val="Textbody"/>
        <w:rPr>
          <w:sz w:val="20"/>
          <w:szCs w:val="20"/>
          <w:lang w:val="en-GB"/>
        </w:rPr>
      </w:pPr>
    </w:p>
    <w:p w14:paraId="600FDE36" w14:textId="77777777" w:rsidR="00054A3D" w:rsidRDefault="00054A3D" w:rsidP="0020765E">
      <w:pPr>
        <w:pStyle w:val="Textbody"/>
        <w:rPr>
          <w:sz w:val="20"/>
          <w:szCs w:val="20"/>
          <w:lang w:val="en-GB"/>
        </w:rPr>
      </w:pPr>
    </w:p>
    <w:p w14:paraId="5BCC9CB3" w14:textId="77777777" w:rsidR="0020765E" w:rsidRPr="00FD30C5" w:rsidRDefault="0020765E" w:rsidP="0020765E">
      <w:pPr>
        <w:spacing w:line="360" w:lineRule="auto"/>
        <w:jc w:val="both"/>
        <w:rPr>
          <w:rFonts w:cs="Arial"/>
          <w:b/>
          <w:sz w:val="20"/>
          <w:szCs w:val="20"/>
        </w:rPr>
      </w:pPr>
      <w:bookmarkStart w:id="568" w:name="_Ref430967308"/>
      <w:bookmarkStart w:id="569" w:name="_Toc431917508"/>
      <w:r w:rsidRPr="00FD30C5">
        <w:rPr>
          <w:rFonts w:cs="Arial"/>
          <w:b/>
          <w:bCs/>
          <w:sz w:val="20"/>
          <w:szCs w:val="20"/>
        </w:rPr>
        <w:t xml:space="preserve">Table </w:t>
      </w:r>
      <w:r w:rsidRPr="00FD30C5">
        <w:rPr>
          <w:rFonts w:cs="Arial"/>
          <w:b/>
          <w:bCs/>
          <w:sz w:val="20"/>
          <w:szCs w:val="20"/>
        </w:rPr>
        <w:fldChar w:fldCharType="begin"/>
      </w:r>
      <w:r w:rsidRPr="00FD30C5">
        <w:rPr>
          <w:rFonts w:cs="Arial"/>
          <w:b/>
          <w:bCs/>
          <w:sz w:val="20"/>
          <w:szCs w:val="20"/>
        </w:rPr>
        <w:instrText xml:space="preserve"> SEQ Table \* ARABIC </w:instrText>
      </w:r>
      <w:r w:rsidRPr="00FD30C5">
        <w:rPr>
          <w:rFonts w:cs="Arial"/>
          <w:b/>
          <w:bCs/>
          <w:sz w:val="20"/>
          <w:szCs w:val="20"/>
        </w:rPr>
        <w:fldChar w:fldCharType="separate"/>
      </w:r>
      <w:r w:rsidR="00016592">
        <w:rPr>
          <w:rFonts w:cs="Arial"/>
          <w:b/>
          <w:bCs/>
          <w:noProof/>
          <w:sz w:val="20"/>
          <w:szCs w:val="20"/>
        </w:rPr>
        <w:t>48</w:t>
      </w:r>
      <w:r w:rsidRPr="00FD30C5">
        <w:rPr>
          <w:rFonts w:cs="Arial"/>
          <w:b/>
          <w:bCs/>
          <w:sz w:val="20"/>
          <w:szCs w:val="20"/>
        </w:rPr>
        <w:fldChar w:fldCharType="end"/>
      </w:r>
      <w:bookmarkEnd w:id="568"/>
      <w:r w:rsidRPr="00FD30C5">
        <w:rPr>
          <w:rFonts w:cs="Arial"/>
          <w:b/>
          <w:bCs/>
          <w:sz w:val="20"/>
          <w:szCs w:val="20"/>
        </w:rPr>
        <w:t xml:space="preserve"> - </w:t>
      </w:r>
      <w:r w:rsidRPr="0020765E">
        <w:rPr>
          <w:rFonts w:cs="Arial"/>
          <w:b/>
          <w:sz w:val="20"/>
          <w:szCs w:val="20"/>
          <w:lang w:val="en-GB"/>
        </w:rPr>
        <w:t>Base-case results produced by the state-transition model</w:t>
      </w:r>
      <w:r>
        <w:rPr>
          <w:rFonts w:cs="Arial"/>
          <w:b/>
          <w:sz w:val="20"/>
          <w:szCs w:val="20"/>
          <w:lang w:val="en-GB"/>
        </w:rPr>
        <w:t xml:space="preserve"> comparing VSB </w:t>
      </w:r>
      <w:r w:rsidRPr="0020765E">
        <w:rPr>
          <w:rFonts w:cs="Arial"/>
          <w:b/>
          <w:i/>
          <w:sz w:val="20"/>
          <w:szCs w:val="20"/>
          <w:lang w:val="en-GB"/>
        </w:rPr>
        <w:t>vs.</w:t>
      </w:r>
      <w:r>
        <w:rPr>
          <w:rFonts w:cs="Arial"/>
          <w:b/>
          <w:sz w:val="20"/>
          <w:szCs w:val="20"/>
          <w:lang w:val="en-GB"/>
        </w:rPr>
        <w:t xml:space="preserve"> Maxum/Soundtec intervention</w:t>
      </w:r>
      <w:r w:rsidRPr="0020765E">
        <w:rPr>
          <w:rFonts w:cs="Arial"/>
          <w:b/>
          <w:sz w:val="20"/>
          <w:szCs w:val="20"/>
          <w:lang w:val="en-GB"/>
        </w:rPr>
        <w:t>.</w:t>
      </w:r>
      <w:bookmarkEnd w:id="569"/>
    </w:p>
    <w:tbl>
      <w:tblPr>
        <w:tblW w:w="9789" w:type="dxa"/>
        <w:jc w:val="center"/>
        <w:tblLook w:val="04A0" w:firstRow="1" w:lastRow="0" w:firstColumn="1" w:lastColumn="0" w:noHBand="0" w:noVBand="1"/>
        <w:tblDescription w:val="Base-case results produced by the state-transition model comparing VSB vs. Maxum/Soundtec intervention"/>
      </w:tblPr>
      <w:tblGrid>
        <w:gridCol w:w="1433"/>
        <w:gridCol w:w="1559"/>
        <w:gridCol w:w="1451"/>
        <w:gridCol w:w="1757"/>
        <w:gridCol w:w="1611"/>
        <w:gridCol w:w="1978"/>
      </w:tblGrid>
      <w:tr w:rsidR="00054A3D" w:rsidRPr="00054A3D" w14:paraId="023EFDA0" w14:textId="77777777" w:rsidTr="00E01546">
        <w:trPr>
          <w:trHeight w:val="900"/>
          <w:jc w:val="center"/>
        </w:trPr>
        <w:tc>
          <w:tcPr>
            <w:tcW w:w="1433"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53A46C1F" w14:textId="77777777" w:rsidR="00054A3D" w:rsidRPr="00054A3D" w:rsidRDefault="00054A3D" w:rsidP="00054A3D">
            <w:pPr>
              <w:jc w:val="center"/>
              <w:rPr>
                <w:rFonts w:cs="Arial"/>
                <w:b/>
                <w:bCs/>
                <w:color w:val="000000"/>
                <w:lang w:val="en-US" w:eastAsia="en-US"/>
              </w:rPr>
            </w:pPr>
            <w:r w:rsidRPr="00054A3D">
              <w:rPr>
                <w:rFonts w:cs="Arial"/>
                <w:b/>
                <w:bCs/>
                <w:color w:val="000000"/>
                <w:lang w:val="en-US" w:eastAsia="en-US"/>
              </w:rPr>
              <w:t>Strategy</w:t>
            </w:r>
          </w:p>
        </w:tc>
        <w:tc>
          <w:tcPr>
            <w:tcW w:w="1559" w:type="dxa"/>
            <w:tcBorders>
              <w:top w:val="single" w:sz="8" w:space="0" w:color="auto"/>
              <w:left w:val="nil"/>
              <w:bottom w:val="single" w:sz="4" w:space="0" w:color="auto"/>
              <w:right w:val="single" w:sz="4" w:space="0" w:color="auto"/>
            </w:tcBorders>
            <w:shd w:val="clear" w:color="auto" w:fill="auto"/>
            <w:vAlign w:val="center"/>
            <w:hideMark/>
          </w:tcPr>
          <w:p w14:paraId="65D4CD15" w14:textId="77777777" w:rsidR="00054A3D" w:rsidRPr="00054A3D" w:rsidRDefault="00054A3D" w:rsidP="00054A3D">
            <w:pPr>
              <w:jc w:val="center"/>
              <w:rPr>
                <w:rFonts w:cs="Arial"/>
                <w:b/>
                <w:bCs/>
                <w:color w:val="000000"/>
                <w:lang w:val="en-US" w:eastAsia="en-US"/>
              </w:rPr>
            </w:pPr>
            <w:r w:rsidRPr="00054A3D">
              <w:rPr>
                <w:rFonts w:cs="Arial"/>
                <w:b/>
                <w:bCs/>
                <w:color w:val="000000"/>
                <w:lang w:val="en-US" w:eastAsia="en-US"/>
              </w:rPr>
              <w:t>No intervention</w:t>
            </w:r>
          </w:p>
        </w:tc>
        <w:tc>
          <w:tcPr>
            <w:tcW w:w="1451" w:type="dxa"/>
            <w:tcBorders>
              <w:top w:val="single" w:sz="8" w:space="0" w:color="auto"/>
              <w:left w:val="nil"/>
              <w:bottom w:val="single" w:sz="4" w:space="0" w:color="auto"/>
              <w:right w:val="single" w:sz="4" w:space="0" w:color="auto"/>
            </w:tcBorders>
            <w:shd w:val="clear" w:color="auto" w:fill="auto"/>
            <w:vAlign w:val="center"/>
            <w:hideMark/>
          </w:tcPr>
          <w:p w14:paraId="2FCC8715" w14:textId="77777777" w:rsidR="00054A3D" w:rsidRPr="00054A3D" w:rsidRDefault="00054A3D" w:rsidP="00054A3D">
            <w:pPr>
              <w:jc w:val="center"/>
              <w:rPr>
                <w:rFonts w:cs="Arial"/>
                <w:b/>
                <w:bCs/>
                <w:color w:val="000000"/>
                <w:lang w:val="en-US" w:eastAsia="en-US"/>
              </w:rPr>
            </w:pPr>
            <w:r w:rsidRPr="00054A3D">
              <w:rPr>
                <w:rFonts w:cs="Arial"/>
                <w:b/>
                <w:bCs/>
                <w:color w:val="000000"/>
                <w:lang w:val="en-US" w:eastAsia="en-US"/>
              </w:rPr>
              <w:t xml:space="preserve">Incremental cost </w:t>
            </w:r>
          </w:p>
        </w:tc>
        <w:tc>
          <w:tcPr>
            <w:tcW w:w="1757" w:type="dxa"/>
            <w:tcBorders>
              <w:top w:val="single" w:sz="8" w:space="0" w:color="auto"/>
              <w:left w:val="nil"/>
              <w:bottom w:val="single" w:sz="4" w:space="0" w:color="auto"/>
              <w:right w:val="single" w:sz="4" w:space="0" w:color="auto"/>
            </w:tcBorders>
            <w:shd w:val="clear" w:color="auto" w:fill="auto"/>
            <w:noWrap/>
            <w:vAlign w:val="center"/>
            <w:hideMark/>
          </w:tcPr>
          <w:p w14:paraId="5466EC0C" w14:textId="77777777" w:rsidR="00054A3D" w:rsidRPr="00054A3D" w:rsidRDefault="00054A3D" w:rsidP="00054A3D">
            <w:pPr>
              <w:jc w:val="center"/>
              <w:rPr>
                <w:rFonts w:cs="Arial"/>
                <w:b/>
                <w:bCs/>
                <w:color w:val="000000"/>
                <w:lang w:val="en-US" w:eastAsia="en-US"/>
              </w:rPr>
            </w:pPr>
            <w:r w:rsidRPr="00054A3D">
              <w:rPr>
                <w:rFonts w:cs="Arial"/>
                <w:b/>
                <w:bCs/>
                <w:color w:val="000000"/>
                <w:lang w:val="en-US" w:eastAsia="en-US"/>
              </w:rPr>
              <w:t>Effectiveness</w:t>
            </w:r>
          </w:p>
        </w:tc>
        <w:tc>
          <w:tcPr>
            <w:tcW w:w="1611" w:type="dxa"/>
            <w:tcBorders>
              <w:top w:val="single" w:sz="8" w:space="0" w:color="auto"/>
              <w:left w:val="nil"/>
              <w:bottom w:val="single" w:sz="4" w:space="0" w:color="auto"/>
              <w:right w:val="single" w:sz="4" w:space="0" w:color="auto"/>
            </w:tcBorders>
            <w:shd w:val="clear" w:color="auto" w:fill="auto"/>
            <w:vAlign w:val="center"/>
            <w:hideMark/>
          </w:tcPr>
          <w:p w14:paraId="0B7A63C7" w14:textId="77777777" w:rsidR="00054A3D" w:rsidRPr="00054A3D" w:rsidRDefault="00054A3D" w:rsidP="00054A3D">
            <w:pPr>
              <w:jc w:val="center"/>
              <w:rPr>
                <w:rFonts w:cs="Arial"/>
                <w:b/>
                <w:bCs/>
                <w:color w:val="000000"/>
                <w:lang w:val="en-US" w:eastAsia="en-US"/>
              </w:rPr>
            </w:pPr>
            <w:r w:rsidRPr="00054A3D">
              <w:rPr>
                <w:rFonts w:cs="Arial"/>
                <w:b/>
                <w:bCs/>
                <w:color w:val="000000"/>
                <w:lang w:val="en-US" w:eastAsia="en-US"/>
              </w:rPr>
              <w:t>Incremental effectiveness</w:t>
            </w:r>
          </w:p>
        </w:tc>
        <w:tc>
          <w:tcPr>
            <w:tcW w:w="1978" w:type="dxa"/>
            <w:tcBorders>
              <w:top w:val="single" w:sz="8" w:space="0" w:color="auto"/>
              <w:left w:val="nil"/>
              <w:bottom w:val="single" w:sz="4" w:space="0" w:color="auto"/>
              <w:right w:val="single" w:sz="8" w:space="0" w:color="auto"/>
            </w:tcBorders>
            <w:shd w:val="clear" w:color="auto" w:fill="auto"/>
            <w:vAlign w:val="center"/>
            <w:hideMark/>
          </w:tcPr>
          <w:p w14:paraId="71526D7B" w14:textId="77777777" w:rsidR="00054A3D" w:rsidRPr="00054A3D" w:rsidRDefault="00054A3D" w:rsidP="00054A3D">
            <w:pPr>
              <w:jc w:val="center"/>
              <w:rPr>
                <w:rFonts w:cs="Arial"/>
                <w:b/>
                <w:bCs/>
                <w:color w:val="000000"/>
                <w:lang w:val="en-US" w:eastAsia="en-US"/>
              </w:rPr>
            </w:pPr>
            <w:r w:rsidRPr="00054A3D">
              <w:rPr>
                <w:rFonts w:cs="Arial"/>
                <w:b/>
                <w:bCs/>
                <w:color w:val="000000"/>
                <w:lang w:val="en-US" w:eastAsia="en-US"/>
              </w:rPr>
              <w:t>ICER ($/effectiveness)</w:t>
            </w:r>
          </w:p>
        </w:tc>
      </w:tr>
      <w:tr w:rsidR="00054A3D" w:rsidRPr="00054A3D" w14:paraId="06B31C28" w14:textId="77777777" w:rsidTr="00E01546">
        <w:trPr>
          <w:trHeight w:val="315"/>
          <w:jc w:val="center"/>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14:paraId="45949301" w14:textId="77777777" w:rsidR="00054A3D" w:rsidRPr="00054A3D" w:rsidRDefault="00054A3D" w:rsidP="00054A3D">
            <w:pPr>
              <w:rPr>
                <w:rFonts w:cs="Arial"/>
                <w:color w:val="000000"/>
                <w:sz w:val="20"/>
                <w:szCs w:val="20"/>
                <w:lang w:val="en-US" w:eastAsia="en-US"/>
              </w:rPr>
            </w:pPr>
            <w:r w:rsidRPr="00054A3D">
              <w:rPr>
                <w:rFonts w:cs="Arial"/>
                <w:color w:val="000000"/>
                <w:sz w:val="20"/>
                <w:szCs w:val="20"/>
                <w:lang w:val="en-US" w:eastAsia="en-US"/>
              </w:rPr>
              <w:t>MXM implantation</w:t>
            </w:r>
          </w:p>
        </w:tc>
        <w:tc>
          <w:tcPr>
            <w:tcW w:w="1559" w:type="dxa"/>
            <w:tcBorders>
              <w:top w:val="nil"/>
              <w:left w:val="nil"/>
              <w:bottom w:val="single" w:sz="8" w:space="0" w:color="auto"/>
              <w:right w:val="single" w:sz="4" w:space="0" w:color="auto"/>
            </w:tcBorders>
            <w:shd w:val="clear" w:color="auto" w:fill="auto"/>
            <w:noWrap/>
            <w:vAlign w:val="center"/>
            <w:hideMark/>
          </w:tcPr>
          <w:p w14:paraId="6FD869D3" w14:textId="1D80AC5C" w:rsidR="00054A3D" w:rsidRPr="00054A3D" w:rsidRDefault="00D960EF" w:rsidP="00054A3D">
            <w:pPr>
              <w:rPr>
                <w:rFonts w:cs="Arial"/>
                <w:color w:val="000000"/>
                <w:sz w:val="18"/>
                <w:szCs w:val="18"/>
                <w:lang w:val="en-US" w:eastAsia="en-US"/>
              </w:rPr>
            </w:pPr>
            <w:r>
              <w:rPr>
                <w:rFonts w:cs="Arial"/>
                <w:color w:val="000000"/>
                <w:sz w:val="18"/>
                <w:szCs w:val="18"/>
                <w:lang w:val="en-US" w:eastAsia="en-US"/>
              </w:rPr>
              <w:t xml:space="preserve"> AUD   13.850</w:t>
            </w:r>
            <w:r w:rsidR="00054A3D" w:rsidRPr="00054A3D">
              <w:rPr>
                <w:rFonts w:cs="Arial"/>
                <w:color w:val="000000"/>
                <w:sz w:val="18"/>
                <w:szCs w:val="18"/>
                <w:lang w:val="en-US" w:eastAsia="en-US"/>
              </w:rPr>
              <w:t xml:space="preserve"> </w:t>
            </w:r>
          </w:p>
        </w:tc>
        <w:tc>
          <w:tcPr>
            <w:tcW w:w="1451" w:type="dxa"/>
            <w:tcBorders>
              <w:top w:val="nil"/>
              <w:left w:val="nil"/>
              <w:bottom w:val="single" w:sz="4" w:space="0" w:color="auto"/>
              <w:right w:val="single" w:sz="4" w:space="0" w:color="auto"/>
            </w:tcBorders>
            <w:shd w:val="clear" w:color="auto" w:fill="auto"/>
            <w:noWrap/>
            <w:vAlign w:val="bottom"/>
            <w:hideMark/>
          </w:tcPr>
          <w:p w14:paraId="5C60BA0A" w14:textId="77777777" w:rsidR="00054A3D" w:rsidRPr="00054A3D" w:rsidRDefault="00054A3D" w:rsidP="00054A3D">
            <w:pPr>
              <w:jc w:val="center"/>
              <w:rPr>
                <w:rFonts w:cs="Arial"/>
                <w:color w:val="000000"/>
                <w:sz w:val="18"/>
                <w:szCs w:val="18"/>
                <w:lang w:val="en-US" w:eastAsia="en-US"/>
              </w:rPr>
            </w:pPr>
            <w:r w:rsidRPr="00054A3D">
              <w:rPr>
                <w:rFonts w:cs="Arial"/>
                <w:color w:val="000000"/>
                <w:sz w:val="18"/>
                <w:szCs w:val="18"/>
                <w:lang w:val="en-US" w:eastAsia="en-US"/>
              </w:rPr>
              <w:t xml:space="preserve"> - </w:t>
            </w:r>
          </w:p>
        </w:tc>
        <w:tc>
          <w:tcPr>
            <w:tcW w:w="1757" w:type="dxa"/>
            <w:tcBorders>
              <w:top w:val="nil"/>
              <w:left w:val="nil"/>
              <w:bottom w:val="single" w:sz="4" w:space="0" w:color="auto"/>
              <w:right w:val="single" w:sz="4" w:space="0" w:color="auto"/>
            </w:tcBorders>
            <w:shd w:val="clear" w:color="auto" w:fill="auto"/>
            <w:noWrap/>
            <w:vAlign w:val="center"/>
            <w:hideMark/>
          </w:tcPr>
          <w:p w14:paraId="05CDEB2D" w14:textId="77777777" w:rsidR="00054A3D" w:rsidRPr="00054A3D" w:rsidRDefault="00D960EF" w:rsidP="00054A3D">
            <w:pPr>
              <w:jc w:val="center"/>
              <w:rPr>
                <w:rFonts w:cs="Arial"/>
                <w:color w:val="000000"/>
                <w:sz w:val="18"/>
                <w:szCs w:val="18"/>
                <w:lang w:val="en-US" w:eastAsia="en-US"/>
              </w:rPr>
            </w:pPr>
            <w:r>
              <w:rPr>
                <w:rFonts w:cs="Arial"/>
                <w:color w:val="000000"/>
                <w:sz w:val="18"/>
                <w:szCs w:val="18"/>
                <w:lang w:val="en-US" w:eastAsia="en-US"/>
              </w:rPr>
              <w:t>791,79</w:t>
            </w:r>
          </w:p>
        </w:tc>
        <w:tc>
          <w:tcPr>
            <w:tcW w:w="1611" w:type="dxa"/>
            <w:tcBorders>
              <w:top w:val="nil"/>
              <w:left w:val="nil"/>
              <w:bottom w:val="single" w:sz="4" w:space="0" w:color="auto"/>
              <w:right w:val="single" w:sz="4" w:space="0" w:color="auto"/>
            </w:tcBorders>
            <w:shd w:val="clear" w:color="auto" w:fill="auto"/>
            <w:noWrap/>
            <w:vAlign w:val="center"/>
            <w:hideMark/>
          </w:tcPr>
          <w:p w14:paraId="47C3D325" w14:textId="77777777" w:rsidR="00054A3D" w:rsidRPr="00054A3D" w:rsidRDefault="00054A3D" w:rsidP="00054A3D">
            <w:pPr>
              <w:jc w:val="center"/>
              <w:rPr>
                <w:rFonts w:cs="Arial"/>
                <w:color w:val="000000"/>
                <w:sz w:val="18"/>
                <w:szCs w:val="18"/>
                <w:lang w:val="en-US" w:eastAsia="en-US"/>
              </w:rPr>
            </w:pPr>
            <w:r w:rsidRPr="00054A3D">
              <w:rPr>
                <w:rFonts w:cs="Arial"/>
                <w:color w:val="000000"/>
                <w:sz w:val="18"/>
                <w:szCs w:val="18"/>
                <w:lang w:val="en-US" w:eastAsia="en-US"/>
              </w:rPr>
              <w:t>-</w:t>
            </w:r>
          </w:p>
        </w:tc>
        <w:tc>
          <w:tcPr>
            <w:tcW w:w="1978" w:type="dxa"/>
            <w:tcBorders>
              <w:top w:val="nil"/>
              <w:left w:val="nil"/>
              <w:bottom w:val="single" w:sz="4" w:space="0" w:color="auto"/>
              <w:right w:val="single" w:sz="8" w:space="0" w:color="auto"/>
            </w:tcBorders>
            <w:shd w:val="clear" w:color="auto" w:fill="auto"/>
            <w:noWrap/>
            <w:vAlign w:val="bottom"/>
            <w:hideMark/>
          </w:tcPr>
          <w:p w14:paraId="3E881C51" w14:textId="77777777" w:rsidR="00054A3D" w:rsidRPr="00054A3D" w:rsidRDefault="00054A3D" w:rsidP="00054A3D">
            <w:pPr>
              <w:jc w:val="center"/>
              <w:rPr>
                <w:rFonts w:cs="Arial"/>
                <w:color w:val="000000"/>
                <w:sz w:val="18"/>
                <w:szCs w:val="18"/>
                <w:lang w:val="en-US" w:eastAsia="en-US"/>
              </w:rPr>
            </w:pPr>
            <w:r w:rsidRPr="00054A3D">
              <w:rPr>
                <w:rFonts w:cs="Arial"/>
                <w:color w:val="000000"/>
                <w:sz w:val="18"/>
                <w:szCs w:val="18"/>
                <w:lang w:val="en-US" w:eastAsia="en-US"/>
              </w:rPr>
              <w:t xml:space="preserve"> - </w:t>
            </w:r>
          </w:p>
        </w:tc>
      </w:tr>
      <w:tr w:rsidR="007B13DB" w:rsidRPr="00054A3D" w14:paraId="66A75697" w14:textId="77777777" w:rsidTr="00E01546">
        <w:trPr>
          <w:trHeight w:val="315"/>
          <w:jc w:val="center"/>
        </w:trPr>
        <w:tc>
          <w:tcPr>
            <w:tcW w:w="1433" w:type="dxa"/>
            <w:tcBorders>
              <w:top w:val="nil"/>
              <w:left w:val="single" w:sz="8" w:space="0" w:color="auto"/>
              <w:bottom w:val="single" w:sz="8" w:space="0" w:color="auto"/>
              <w:right w:val="single" w:sz="4" w:space="0" w:color="auto"/>
            </w:tcBorders>
            <w:shd w:val="clear" w:color="auto" w:fill="auto"/>
            <w:noWrap/>
            <w:vAlign w:val="bottom"/>
            <w:hideMark/>
          </w:tcPr>
          <w:p w14:paraId="204BDE02" w14:textId="77777777" w:rsidR="007B13DB" w:rsidRPr="00054A3D" w:rsidRDefault="007B13DB" w:rsidP="00054A3D">
            <w:pPr>
              <w:rPr>
                <w:rFonts w:cs="Arial"/>
                <w:color w:val="000000"/>
                <w:sz w:val="20"/>
                <w:szCs w:val="20"/>
                <w:lang w:val="en-US" w:eastAsia="en-US"/>
              </w:rPr>
            </w:pPr>
            <w:r w:rsidRPr="00054A3D">
              <w:rPr>
                <w:rFonts w:cs="Arial"/>
                <w:color w:val="000000"/>
                <w:sz w:val="20"/>
                <w:szCs w:val="20"/>
                <w:lang w:val="en-US" w:eastAsia="en-US"/>
              </w:rPr>
              <w:t>VSB implantation</w:t>
            </w:r>
          </w:p>
        </w:tc>
        <w:tc>
          <w:tcPr>
            <w:tcW w:w="1559" w:type="dxa"/>
            <w:tcBorders>
              <w:top w:val="single" w:sz="4" w:space="0" w:color="auto"/>
              <w:left w:val="nil"/>
              <w:bottom w:val="single" w:sz="8" w:space="0" w:color="auto"/>
              <w:right w:val="single" w:sz="4" w:space="0" w:color="auto"/>
            </w:tcBorders>
            <w:shd w:val="clear" w:color="auto" w:fill="auto"/>
            <w:noWrap/>
            <w:vAlign w:val="center"/>
            <w:hideMark/>
          </w:tcPr>
          <w:p w14:paraId="1990C467" w14:textId="3F4CAF1C" w:rsidR="007B13DB" w:rsidRPr="00054A3D" w:rsidRDefault="007B13DB" w:rsidP="00C7683B">
            <w:pPr>
              <w:rPr>
                <w:rFonts w:cs="Arial"/>
                <w:color w:val="000000"/>
                <w:sz w:val="18"/>
                <w:szCs w:val="18"/>
                <w:lang w:val="en-US" w:eastAsia="en-US"/>
              </w:rPr>
            </w:pPr>
            <w:r>
              <w:rPr>
                <w:rFonts w:cs="Arial"/>
                <w:color w:val="000000"/>
                <w:sz w:val="18"/>
                <w:szCs w:val="18"/>
              </w:rPr>
              <w:t xml:space="preserve"> AUD   24.468 </w:t>
            </w:r>
          </w:p>
        </w:tc>
        <w:tc>
          <w:tcPr>
            <w:tcW w:w="1451" w:type="dxa"/>
            <w:tcBorders>
              <w:top w:val="nil"/>
              <w:left w:val="nil"/>
              <w:bottom w:val="single" w:sz="8" w:space="0" w:color="auto"/>
              <w:right w:val="single" w:sz="4" w:space="0" w:color="auto"/>
            </w:tcBorders>
            <w:shd w:val="clear" w:color="auto" w:fill="auto"/>
            <w:noWrap/>
            <w:vAlign w:val="center"/>
            <w:hideMark/>
          </w:tcPr>
          <w:p w14:paraId="61CB5671" w14:textId="5B9F8E8B" w:rsidR="007B13DB" w:rsidRPr="00054A3D" w:rsidRDefault="007B13DB" w:rsidP="00054A3D">
            <w:pPr>
              <w:rPr>
                <w:rFonts w:cs="Arial"/>
                <w:color w:val="000000"/>
                <w:sz w:val="18"/>
                <w:szCs w:val="18"/>
                <w:lang w:val="en-US" w:eastAsia="en-US"/>
              </w:rPr>
            </w:pPr>
            <w:r>
              <w:rPr>
                <w:rFonts w:cs="Arial"/>
                <w:color w:val="000000"/>
                <w:sz w:val="18"/>
                <w:szCs w:val="18"/>
              </w:rPr>
              <w:t xml:space="preserve"> AUD   10.619 </w:t>
            </w:r>
          </w:p>
        </w:tc>
        <w:tc>
          <w:tcPr>
            <w:tcW w:w="1757" w:type="dxa"/>
            <w:tcBorders>
              <w:top w:val="nil"/>
              <w:left w:val="nil"/>
              <w:bottom w:val="single" w:sz="8" w:space="0" w:color="auto"/>
              <w:right w:val="single" w:sz="4" w:space="0" w:color="auto"/>
            </w:tcBorders>
            <w:shd w:val="clear" w:color="auto" w:fill="auto"/>
            <w:noWrap/>
            <w:vAlign w:val="center"/>
            <w:hideMark/>
          </w:tcPr>
          <w:p w14:paraId="50C021A3" w14:textId="51A2B22D" w:rsidR="007B13DB" w:rsidRPr="00054A3D" w:rsidRDefault="007B13DB" w:rsidP="00054A3D">
            <w:pPr>
              <w:jc w:val="center"/>
              <w:rPr>
                <w:rFonts w:cs="Arial"/>
                <w:color w:val="000000"/>
                <w:sz w:val="18"/>
                <w:szCs w:val="18"/>
                <w:lang w:val="en-US" w:eastAsia="en-US"/>
              </w:rPr>
            </w:pPr>
            <w:r>
              <w:rPr>
                <w:rFonts w:cs="Arial"/>
                <w:color w:val="000000"/>
                <w:sz w:val="18"/>
                <w:szCs w:val="18"/>
              </w:rPr>
              <w:t>592,38</w:t>
            </w:r>
          </w:p>
        </w:tc>
        <w:tc>
          <w:tcPr>
            <w:tcW w:w="1611" w:type="dxa"/>
            <w:tcBorders>
              <w:top w:val="nil"/>
              <w:left w:val="nil"/>
              <w:bottom w:val="single" w:sz="8" w:space="0" w:color="auto"/>
              <w:right w:val="single" w:sz="4" w:space="0" w:color="auto"/>
            </w:tcBorders>
            <w:shd w:val="clear" w:color="auto" w:fill="auto"/>
            <w:noWrap/>
            <w:vAlign w:val="center"/>
            <w:hideMark/>
          </w:tcPr>
          <w:p w14:paraId="75D75C54" w14:textId="5CB94AD1" w:rsidR="007B13DB" w:rsidRPr="00054A3D" w:rsidRDefault="007B13DB" w:rsidP="00054A3D">
            <w:pPr>
              <w:jc w:val="center"/>
              <w:rPr>
                <w:rFonts w:cs="Arial"/>
                <w:color w:val="000000"/>
                <w:sz w:val="18"/>
                <w:szCs w:val="18"/>
                <w:lang w:val="en-US" w:eastAsia="en-US"/>
              </w:rPr>
            </w:pPr>
            <w:r>
              <w:rPr>
                <w:rFonts w:cs="Arial"/>
                <w:color w:val="000000"/>
                <w:sz w:val="18"/>
                <w:szCs w:val="18"/>
              </w:rPr>
              <w:t>199,41</w:t>
            </w:r>
          </w:p>
        </w:tc>
        <w:tc>
          <w:tcPr>
            <w:tcW w:w="1978" w:type="dxa"/>
            <w:tcBorders>
              <w:top w:val="nil"/>
              <w:left w:val="nil"/>
              <w:bottom w:val="single" w:sz="8" w:space="0" w:color="auto"/>
              <w:right w:val="single" w:sz="4" w:space="0" w:color="auto"/>
            </w:tcBorders>
            <w:shd w:val="clear" w:color="auto" w:fill="auto"/>
            <w:noWrap/>
            <w:vAlign w:val="center"/>
            <w:hideMark/>
          </w:tcPr>
          <w:p w14:paraId="61FDF4DB" w14:textId="541B1C2D" w:rsidR="007B13DB" w:rsidRPr="00054A3D" w:rsidRDefault="007B13DB" w:rsidP="007B13DB">
            <w:pPr>
              <w:jc w:val="center"/>
              <w:rPr>
                <w:rFonts w:cs="Arial"/>
                <w:color w:val="000000"/>
                <w:sz w:val="18"/>
                <w:szCs w:val="18"/>
                <w:lang w:val="en-US" w:eastAsia="en-US"/>
              </w:rPr>
            </w:pPr>
            <w:r>
              <w:rPr>
                <w:rFonts w:cs="Arial"/>
                <w:color w:val="000000"/>
                <w:sz w:val="18"/>
                <w:szCs w:val="18"/>
              </w:rPr>
              <w:t xml:space="preserve"> AUD   53,25 </w:t>
            </w:r>
          </w:p>
        </w:tc>
      </w:tr>
    </w:tbl>
    <w:p w14:paraId="3CB1C150" w14:textId="77777777" w:rsidR="00054A3D" w:rsidRDefault="00054A3D" w:rsidP="0020765E">
      <w:pPr>
        <w:pStyle w:val="Textbody"/>
        <w:rPr>
          <w:sz w:val="20"/>
          <w:szCs w:val="20"/>
          <w:lang w:val="en-GB"/>
        </w:rPr>
      </w:pPr>
    </w:p>
    <w:p w14:paraId="0A51E778" w14:textId="291B8AB9" w:rsidR="00054A3D" w:rsidRPr="00932A48" w:rsidRDefault="00054A3D" w:rsidP="00054A3D">
      <w:pPr>
        <w:spacing w:line="360" w:lineRule="auto"/>
        <w:jc w:val="both"/>
        <w:rPr>
          <w:rFonts w:cs="Arial"/>
          <w:lang w:val="en-GB"/>
        </w:rPr>
      </w:pPr>
      <w:r w:rsidRPr="00932A48">
        <w:rPr>
          <w:rFonts w:cs="Arial"/>
          <w:lang w:val="en-GB"/>
        </w:rPr>
        <w:lastRenderedPageBreak/>
        <w:t>The Vibrant Soundbridge is more costly than the MAXUM implant sy</w:t>
      </w:r>
      <w:r w:rsidR="00D2551D">
        <w:rPr>
          <w:rFonts w:cs="Arial"/>
          <w:lang w:val="en-GB"/>
        </w:rPr>
        <w:t>stem with an increment of AUD 10.619</w:t>
      </w:r>
      <w:r w:rsidRPr="00932A48">
        <w:rPr>
          <w:rFonts w:cs="Arial"/>
          <w:lang w:val="en-GB"/>
        </w:rPr>
        <w:t xml:space="preserve"> and also proves to be more beneficial for the patient with effectiveness improved by</w:t>
      </w:r>
      <w:r w:rsidR="006F6768">
        <w:rPr>
          <w:rFonts w:cs="Arial"/>
          <w:lang w:val="en-GB"/>
        </w:rPr>
        <w:t xml:space="preserve"> 199.4</w:t>
      </w:r>
      <w:r w:rsidRPr="00932A48">
        <w:rPr>
          <w:rFonts w:cs="Arial"/>
          <w:lang w:val="en-GB"/>
        </w:rPr>
        <w:t xml:space="preserve"> units over a 10 year period. This demonstrates that VSB users experience substantially fewer difficulties in hearing than </w:t>
      </w:r>
      <w:r w:rsidR="00AC1204">
        <w:rPr>
          <w:rFonts w:cs="Arial"/>
          <w:lang w:val="en-GB"/>
        </w:rPr>
        <w:t>Maxum/Soundtec</w:t>
      </w:r>
      <w:r w:rsidRPr="00932A48">
        <w:rPr>
          <w:rFonts w:cs="Arial"/>
          <w:lang w:val="en-GB"/>
        </w:rPr>
        <w:t xml:space="preserve"> users. </w:t>
      </w:r>
    </w:p>
    <w:p w14:paraId="03298C10" w14:textId="739A70E2" w:rsidR="00054A3D" w:rsidRPr="00932A48" w:rsidRDefault="00054A3D" w:rsidP="00054A3D">
      <w:pPr>
        <w:spacing w:line="360" w:lineRule="auto"/>
        <w:jc w:val="both"/>
        <w:rPr>
          <w:rFonts w:cs="Arial"/>
          <w:lang w:val="en-GB"/>
        </w:rPr>
      </w:pPr>
      <w:r w:rsidRPr="00932A48">
        <w:rPr>
          <w:rFonts w:cs="Arial"/>
          <w:lang w:val="en-GB"/>
        </w:rPr>
        <w:t xml:space="preserve">The costs accumulated over a period of 10 years </w:t>
      </w:r>
      <w:r w:rsidRPr="00054A3D">
        <w:rPr>
          <w:rFonts w:cs="Arial"/>
          <w:lang w:val="en-GB"/>
        </w:rPr>
        <w:t xml:space="preserve">are shown in </w:t>
      </w:r>
      <w:r w:rsidRPr="00054A3D">
        <w:rPr>
          <w:rFonts w:cs="Arial"/>
          <w:highlight w:val="yellow"/>
          <w:lang w:val="en-GB"/>
        </w:rPr>
        <w:fldChar w:fldCharType="begin"/>
      </w:r>
      <w:r w:rsidRPr="00054A3D">
        <w:rPr>
          <w:rFonts w:cs="Arial"/>
          <w:lang w:val="en-GB"/>
        </w:rPr>
        <w:instrText xml:space="preserve"> REF _Ref430967964 \h </w:instrText>
      </w:r>
      <w:r w:rsidRPr="00054A3D">
        <w:rPr>
          <w:rFonts w:cs="Arial"/>
          <w:highlight w:val="yellow"/>
          <w:lang w:val="en-GB"/>
        </w:rPr>
        <w:instrText xml:space="preserve"> \* MERGEFORMAT </w:instrText>
      </w:r>
      <w:r w:rsidRPr="00054A3D">
        <w:rPr>
          <w:rFonts w:cs="Arial"/>
          <w:highlight w:val="yellow"/>
          <w:lang w:val="en-GB"/>
        </w:rPr>
      </w:r>
      <w:r w:rsidRPr="00054A3D">
        <w:rPr>
          <w:rFonts w:cs="Arial"/>
          <w:highlight w:val="yellow"/>
          <w:lang w:val="en-GB"/>
        </w:rPr>
        <w:fldChar w:fldCharType="separate"/>
      </w:r>
      <w:r w:rsidR="00016592" w:rsidRPr="00016592">
        <w:rPr>
          <w:rFonts w:cs="Arial"/>
          <w:bCs/>
        </w:rPr>
        <w:t xml:space="preserve">Table </w:t>
      </w:r>
      <w:r w:rsidR="00016592" w:rsidRPr="00016592">
        <w:rPr>
          <w:rFonts w:cs="Arial"/>
          <w:bCs/>
          <w:noProof/>
        </w:rPr>
        <w:t>49</w:t>
      </w:r>
      <w:r w:rsidRPr="00054A3D">
        <w:rPr>
          <w:rFonts w:cs="Arial"/>
          <w:highlight w:val="yellow"/>
          <w:lang w:val="en-GB"/>
        </w:rPr>
        <w:fldChar w:fldCharType="end"/>
      </w:r>
      <w:r w:rsidRPr="00054A3D">
        <w:rPr>
          <w:rFonts w:cs="Arial"/>
          <w:lang w:val="en-GB"/>
        </w:rPr>
        <w:t>. Here it</w:t>
      </w:r>
      <w:r w:rsidRPr="00932A48">
        <w:rPr>
          <w:rFonts w:cs="Arial"/>
          <w:lang w:val="en-GB"/>
        </w:rPr>
        <w:t xml:space="preserve"> can be seen that most of the costs are accrued within the first six months due to implantation. Long-term </w:t>
      </w:r>
      <w:r w:rsidR="00D2551D">
        <w:rPr>
          <w:rFonts w:cs="Arial"/>
          <w:lang w:val="en-GB"/>
        </w:rPr>
        <w:t>expenses account for up to 24</w:t>
      </w:r>
      <w:r w:rsidR="00AE06D8">
        <w:rPr>
          <w:rFonts w:cs="Arial"/>
          <w:lang w:val="en-GB"/>
        </w:rPr>
        <w:t> </w:t>
      </w:r>
      <w:r w:rsidRPr="00932A48">
        <w:rPr>
          <w:rFonts w:cs="Arial"/>
          <w:lang w:val="en-GB"/>
        </w:rPr>
        <w:t>% of VSB costs and 22</w:t>
      </w:r>
      <w:r w:rsidR="00D960EF">
        <w:rPr>
          <w:rFonts w:cs="Arial"/>
          <w:lang w:val="en-GB"/>
        </w:rPr>
        <w:t>.6</w:t>
      </w:r>
      <w:r w:rsidR="00AE06D8">
        <w:rPr>
          <w:rFonts w:cs="Arial"/>
          <w:lang w:val="en-GB"/>
        </w:rPr>
        <w:t> </w:t>
      </w:r>
      <w:r w:rsidRPr="00932A48">
        <w:rPr>
          <w:rFonts w:cs="Arial"/>
          <w:lang w:val="en-GB"/>
        </w:rPr>
        <w:t>% of MAXUM costs, which can be mostly attributed to the renewal of the audio processor in the tenth cycle of the model.</w:t>
      </w:r>
    </w:p>
    <w:p w14:paraId="6BEEEE64" w14:textId="77777777" w:rsidR="0020765E" w:rsidRDefault="0020765E" w:rsidP="00054A3D">
      <w:pPr>
        <w:pStyle w:val="Textbody"/>
        <w:rPr>
          <w:sz w:val="20"/>
          <w:szCs w:val="20"/>
          <w:lang w:val="en-GB"/>
        </w:rPr>
      </w:pPr>
    </w:p>
    <w:p w14:paraId="483C7574" w14:textId="77777777" w:rsidR="00054A3D" w:rsidRPr="00AE06D8" w:rsidRDefault="00054A3D" w:rsidP="00054A3D">
      <w:pPr>
        <w:spacing w:line="360" w:lineRule="auto"/>
        <w:jc w:val="both"/>
        <w:rPr>
          <w:rFonts w:cs="Arial"/>
          <w:b/>
          <w:sz w:val="20"/>
          <w:szCs w:val="20"/>
        </w:rPr>
      </w:pPr>
      <w:bookmarkStart w:id="570" w:name="_Ref430967964"/>
      <w:bookmarkStart w:id="571" w:name="_Toc431917509"/>
      <w:r w:rsidRPr="00AE06D8">
        <w:rPr>
          <w:rFonts w:cs="Arial"/>
          <w:b/>
          <w:bCs/>
          <w:sz w:val="20"/>
          <w:szCs w:val="20"/>
        </w:rPr>
        <w:t xml:space="preserve">Table </w:t>
      </w:r>
      <w:r w:rsidRPr="00AE06D8">
        <w:rPr>
          <w:rFonts w:cs="Arial"/>
          <w:b/>
          <w:bCs/>
          <w:sz w:val="20"/>
          <w:szCs w:val="20"/>
        </w:rPr>
        <w:fldChar w:fldCharType="begin"/>
      </w:r>
      <w:r w:rsidRPr="00AE06D8">
        <w:rPr>
          <w:rFonts w:cs="Arial"/>
          <w:b/>
          <w:bCs/>
          <w:sz w:val="20"/>
          <w:szCs w:val="20"/>
        </w:rPr>
        <w:instrText xml:space="preserve"> SEQ Table \* ARABIC </w:instrText>
      </w:r>
      <w:r w:rsidRPr="00AE06D8">
        <w:rPr>
          <w:rFonts w:cs="Arial"/>
          <w:b/>
          <w:bCs/>
          <w:sz w:val="20"/>
          <w:szCs w:val="20"/>
        </w:rPr>
        <w:fldChar w:fldCharType="separate"/>
      </w:r>
      <w:r w:rsidR="00016592">
        <w:rPr>
          <w:rFonts w:cs="Arial"/>
          <w:b/>
          <w:bCs/>
          <w:noProof/>
          <w:sz w:val="20"/>
          <w:szCs w:val="20"/>
        </w:rPr>
        <w:t>49</w:t>
      </w:r>
      <w:r w:rsidRPr="00AE06D8">
        <w:rPr>
          <w:rFonts w:cs="Arial"/>
          <w:b/>
          <w:bCs/>
          <w:sz w:val="20"/>
          <w:szCs w:val="20"/>
        </w:rPr>
        <w:fldChar w:fldCharType="end"/>
      </w:r>
      <w:bookmarkEnd w:id="570"/>
      <w:r w:rsidRPr="00AE06D8">
        <w:rPr>
          <w:rFonts w:cs="Arial"/>
          <w:b/>
          <w:bCs/>
          <w:sz w:val="20"/>
          <w:szCs w:val="20"/>
        </w:rPr>
        <w:t xml:space="preserve"> - </w:t>
      </w:r>
      <w:r w:rsidR="00AE06D8" w:rsidRPr="00AE06D8">
        <w:rPr>
          <w:rFonts w:cs="Arial"/>
          <w:b/>
          <w:sz w:val="20"/>
          <w:szCs w:val="20"/>
          <w:lang w:val="en-GB"/>
        </w:rPr>
        <w:t>Costs accumulated over a period of 10 years for all interventions as depicted by the model.</w:t>
      </w:r>
      <w:bookmarkEnd w:id="571"/>
    </w:p>
    <w:tbl>
      <w:tblPr>
        <w:tblW w:w="5700" w:type="dxa"/>
        <w:jc w:val="center"/>
        <w:tblCellMar>
          <w:left w:w="70" w:type="dxa"/>
          <w:right w:w="70" w:type="dxa"/>
        </w:tblCellMar>
        <w:tblLook w:val="04A0" w:firstRow="1" w:lastRow="0" w:firstColumn="1" w:lastColumn="0" w:noHBand="0" w:noVBand="1"/>
        <w:tblDescription w:val="Costs accumulated over a period of 10 years for all interventions as depicted by the model."/>
      </w:tblPr>
      <w:tblGrid>
        <w:gridCol w:w="960"/>
        <w:gridCol w:w="1368"/>
        <w:gridCol w:w="1986"/>
        <w:gridCol w:w="1386"/>
      </w:tblGrid>
      <w:tr w:rsidR="00D960EF" w:rsidRPr="00D960EF" w14:paraId="02F52C11" w14:textId="77777777" w:rsidTr="00E01546">
        <w:trPr>
          <w:trHeight w:val="615"/>
          <w:jc w:val="center"/>
        </w:trPr>
        <w:tc>
          <w:tcPr>
            <w:tcW w:w="96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5272CF1D" w14:textId="77777777" w:rsidR="00D960EF" w:rsidRPr="00D960EF" w:rsidRDefault="00D960EF" w:rsidP="00D960EF">
            <w:pPr>
              <w:jc w:val="center"/>
              <w:rPr>
                <w:rFonts w:cs="Arial"/>
                <w:b/>
                <w:bCs/>
                <w:color w:val="000000"/>
                <w:lang w:val="de-AT" w:eastAsia="de-AT"/>
              </w:rPr>
            </w:pPr>
            <w:r w:rsidRPr="00D960EF">
              <w:rPr>
                <w:rFonts w:cs="Arial"/>
                <w:b/>
                <w:bCs/>
                <w:color w:val="000000"/>
                <w:lang w:val="de-AT" w:eastAsia="de-AT"/>
              </w:rPr>
              <w:t>Model cycle</w:t>
            </w:r>
          </w:p>
        </w:tc>
        <w:tc>
          <w:tcPr>
            <w:tcW w:w="1368" w:type="dxa"/>
            <w:tcBorders>
              <w:top w:val="single" w:sz="8" w:space="0" w:color="auto"/>
              <w:left w:val="nil"/>
              <w:bottom w:val="single" w:sz="4" w:space="0" w:color="auto"/>
              <w:right w:val="single" w:sz="4" w:space="0" w:color="auto"/>
            </w:tcBorders>
            <w:shd w:val="clear" w:color="auto" w:fill="auto"/>
            <w:noWrap/>
            <w:vAlign w:val="center"/>
            <w:hideMark/>
          </w:tcPr>
          <w:p w14:paraId="19805B90" w14:textId="77777777" w:rsidR="00D960EF" w:rsidRPr="00D960EF" w:rsidRDefault="00D960EF" w:rsidP="00D960EF">
            <w:pPr>
              <w:jc w:val="center"/>
              <w:rPr>
                <w:rFonts w:cs="Arial"/>
                <w:b/>
                <w:bCs/>
                <w:color w:val="000000"/>
                <w:lang w:val="de-AT" w:eastAsia="de-AT"/>
              </w:rPr>
            </w:pPr>
            <w:r w:rsidRPr="00D960EF">
              <w:rPr>
                <w:rFonts w:cs="Arial"/>
                <w:b/>
                <w:bCs/>
                <w:color w:val="000000"/>
                <w:lang w:val="de-AT" w:eastAsia="de-AT"/>
              </w:rPr>
              <w:t>VSB</w:t>
            </w:r>
          </w:p>
        </w:tc>
        <w:tc>
          <w:tcPr>
            <w:tcW w:w="1986" w:type="dxa"/>
            <w:tcBorders>
              <w:top w:val="single" w:sz="8" w:space="0" w:color="auto"/>
              <w:left w:val="nil"/>
              <w:bottom w:val="single" w:sz="4" w:space="0" w:color="auto"/>
              <w:right w:val="single" w:sz="4" w:space="0" w:color="auto"/>
            </w:tcBorders>
            <w:shd w:val="clear" w:color="auto" w:fill="auto"/>
            <w:vAlign w:val="center"/>
            <w:hideMark/>
          </w:tcPr>
          <w:p w14:paraId="6C45567C" w14:textId="77777777" w:rsidR="00D960EF" w:rsidRPr="00D960EF" w:rsidRDefault="00D960EF" w:rsidP="00D960EF">
            <w:pPr>
              <w:jc w:val="center"/>
              <w:rPr>
                <w:rFonts w:cs="Arial"/>
                <w:b/>
                <w:bCs/>
                <w:color w:val="000000"/>
                <w:lang w:val="de-AT" w:eastAsia="de-AT"/>
              </w:rPr>
            </w:pPr>
            <w:r w:rsidRPr="00D960EF">
              <w:rPr>
                <w:rFonts w:cs="Arial"/>
                <w:b/>
                <w:bCs/>
                <w:color w:val="000000"/>
                <w:lang w:val="de-AT" w:eastAsia="de-AT"/>
              </w:rPr>
              <w:t>No intervention</w:t>
            </w:r>
          </w:p>
        </w:tc>
        <w:tc>
          <w:tcPr>
            <w:tcW w:w="1386" w:type="dxa"/>
            <w:tcBorders>
              <w:top w:val="single" w:sz="8" w:space="0" w:color="auto"/>
              <w:left w:val="nil"/>
              <w:bottom w:val="single" w:sz="4" w:space="0" w:color="auto"/>
              <w:right w:val="single" w:sz="8" w:space="0" w:color="auto"/>
            </w:tcBorders>
            <w:shd w:val="clear" w:color="auto" w:fill="auto"/>
            <w:noWrap/>
            <w:vAlign w:val="center"/>
            <w:hideMark/>
          </w:tcPr>
          <w:p w14:paraId="3B13D593" w14:textId="77777777" w:rsidR="00D960EF" w:rsidRPr="00D960EF" w:rsidRDefault="00D960EF" w:rsidP="00D960EF">
            <w:pPr>
              <w:jc w:val="center"/>
              <w:rPr>
                <w:rFonts w:cs="Arial"/>
                <w:b/>
                <w:bCs/>
                <w:color w:val="000000"/>
                <w:lang w:val="de-AT" w:eastAsia="de-AT"/>
              </w:rPr>
            </w:pPr>
            <w:r w:rsidRPr="00D960EF">
              <w:rPr>
                <w:rFonts w:cs="Arial"/>
                <w:b/>
                <w:bCs/>
                <w:color w:val="000000"/>
                <w:lang w:val="de-AT" w:eastAsia="de-AT"/>
              </w:rPr>
              <w:t>MAXUM</w:t>
            </w:r>
          </w:p>
        </w:tc>
      </w:tr>
      <w:tr w:rsidR="007B13DB" w:rsidRPr="00D960EF" w14:paraId="03677089" w14:textId="77777777" w:rsidTr="00E01546">
        <w:trPr>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12A83C7B" w14:textId="77777777" w:rsidR="007B13DB" w:rsidRPr="00D960EF" w:rsidRDefault="007B13DB" w:rsidP="00D960EF">
            <w:pPr>
              <w:rPr>
                <w:rFonts w:cs="Arial"/>
                <w:color w:val="000000"/>
                <w:sz w:val="18"/>
                <w:szCs w:val="18"/>
                <w:lang w:val="de-AT" w:eastAsia="de-AT"/>
              </w:rPr>
            </w:pPr>
            <w:r w:rsidRPr="00D960EF">
              <w:rPr>
                <w:rFonts w:cs="Arial"/>
                <w:color w:val="000000"/>
                <w:sz w:val="18"/>
                <w:szCs w:val="18"/>
                <w:lang w:val="de-AT" w:eastAsia="de-AT"/>
              </w:rPr>
              <w:t>0</w:t>
            </w:r>
          </w:p>
        </w:tc>
        <w:tc>
          <w:tcPr>
            <w:tcW w:w="1368" w:type="dxa"/>
            <w:tcBorders>
              <w:top w:val="nil"/>
              <w:left w:val="nil"/>
              <w:bottom w:val="single" w:sz="4" w:space="0" w:color="auto"/>
              <w:right w:val="single" w:sz="4" w:space="0" w:color="auto"/>
            </w:tcBorders>
            <w:shd w:val="clear" w:color="auto" w:fill="auto"/>
            <w:noWrap/>
            <w:vAlign w:val="center"/>
            <w:hideMark/>
          </w:tcPr>
          <w:p w14:paraId="5B24E5EB" w14:textId="244BF9AD" w:rsidR="007B13DB" w:rsidRPr="00D960EF" w:rsidRDefault="007B13DB" w:rsidP="00D960EF">
            <w:pPr>
              <w:rPr>
                <w:rFonts w:cs="Arial"/>
                <w:color w:val="000000"/>
                <w:sz w:val="18"/>
                <w:szCs w:val="18"/>
                <w:lang w:val="de-AT" w:eastAsia="de-AT"/>
              </w:rPr>
            </w:pPr>
            <w:r>
              <w:rPr>
                <w:rFonts w:cs="Arial"/>
                <w:color w:val="000000"/>
                <w:sz w:val="18"/>
                <w:szCs w:val="18"/>
              </w:rPr>
              <w:t xml:space="preserve"> AUD  18.587 </w:t>
            </w:r>
          </w:p>
        </w:tc>
        <w:tc>
          <w:tcPr>
            <w:tcW w:w="1986" w:type="dxa"/>
            <w:tcBorders>
              <w:top w:val="nil"/>
              <w:left w:val="nil"/>
              <w:bottom w:val="single" w:sz="4" w:space="0" w:color="auto"/>
              <w:right w:val="single" w:sz="4" w:space="0" w:color="auto"/>
            </w:tcBorders>
            <w:shd w:val="clear" w:color="auto" w:fill="auto"/>
            <w:noWrap/>
            <w:vAlign w:val="center"/>
            <w:hideMark/>
          </w:tcPr>
          <w:p w14:paraId="319551CC" w14:textId="49AC4584" w:rsidR="007B13DB" w:rsidRPr="00D960EF" w:rsidRDefault="007B13DB" w:rsidP="00D960EF">
            <w:pPr>
              <w:rPr>
                <w:rFonts w:cs="Arial"/>
                <w:color w:val="000000"/>
                <w:sz w:val="18"/>
                <w:szCs w:val="18"/>
                <w:lang w:val="de-AT" w:eastAsia="de-AT"/>
              </w:rPr>
            </w:pPr>
            <w:r w:rsidRPr="00D960EF">
              <w:rPr>
                <w:rFonts w:cs="Arial"/>
                <w:color w:val="000000"/>
                <w:sz w:val="18"/>
                <w:szCs w:val="18"/>
                <w:lang w:val="de-AT" w:eastAsia="de-AT"/>
              </w:rPr>
              <w:t xml:space="preserve"> AUD</w:t>
            </w:r>
            <w:r w:rsidR="00C7683B">
              <w:rPr>
                <w:rFonts w:cs="Arial"/>
                <w:color w:val="000000"/>
                <w:sz w:val="18"/>
                <w:szCs w:val="18"/>
                <w:lang w:val="de-AT" w:eastAsia="de-AT"/>
              </w:rPr>
              <w:t xml:space="preserve">  </w:t>
            </w:r>
            <w:r w:rsidRPr="00D960EF">
              <w:rPr>
                <w:rFonts w:cs="Arial"/>
                <w:color w:val="000000"/>
                <w:sz w:val="18"/>
                <w:szCs w:val="18"/>
                <w:lang w:val="de-AT" w:eastAsia="de-AT"/>
              </w:rPr>
              <w:t xml:space="preserve"> 641 </w:t>
            </w:r>
          </w:p>
        </w:tc>
        <w:tc>
          <w:tcPr>
            <w:tcW w:w="1386" w:type="dxa"/>
            <w:tcBorders>
              <w:top w:val="nil"/>
              <w:left w:val="nil"/>
              <w:bottom w:val="single" w:sz="4" w:space="0" w:color="auto"/>
              <w:right w:val="single" w:sz="8" w:space="0" w:color="auto"/>
            </w:tcBorders>
            <w:shd w:val="clear" w:color="auto" w:fill="auto"/>
            <w:noWrap/>
            <w:vAlign w:val="center"/>
            <w:hideMark/>
          </w:tcPr>
          <w:p w14:paraId="486FC864" w14:textId="70F3C752" w:rsidR="007B13DB" w:rsidRPr="00D960EF" w:rsidRDefault="007B13DB" w:rsidP="00D960EF">
            <w:pPr>
              <w:rPr>
                <w:rFonts w:cs="Arial"/>
                <w:color w:val="000000"/>
                <w:sz w:val="18"/>
                <w:szCs w:val="18"/>
                <w:lang w:val="de-AT" w:eastAsia="de-AT"/>
              </w:rPr>
            </w:pPr>
            <w:r w:rsidRPr="00D960EF">
              <w:rPr>
                <w:rFonts w:cs="Arial"/>
                <w:color w:val="000000"/>
                <w:sz w:val="18"/>
                <w:szCs w:val="18"/>
                <w:lang w:val="de-AT" w:eastAsia="de-AT"/>
              </w:rPr>
              <w:t xml:space="preserve"> AUD   10.723 </w:t>
            </w:r>
          </w:p>
        </w:tc>
      </w:tr>
      <w:tr w:rsidR="007B13DB" w:rsidRPr="00D960EF" w14:paraId="385F85A8" w14:textId="77777777" w:rsidTr="00E01546">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3254E0D5" w14:textId="77777777" w:rsidR="007B13DB" w:rsidRPr="00D960EF" w:rsidRDefault="007B13DB" w:rsidP="00D960EF">
            <w:pPr>
              <w:rPr>
                <w:rFonts w:cs="Arial"/>
                <w:color w:val="000000"/>
                <w:sz w:val="18"/>
                <w:szCs w:val="18"/>
                <w:lang w:val="de-AT" w:eastAsia="de-AT"/>
              </w:rPr>
            </w:pPr>
            <w:r w:rsidRPr="00D960EF">
              <w:rPr>
                <w:rFonts w:cs="Arial"/>
                <w:color w:val="000000"/>
                <w:sz w:val="18"/>
                <w:szCs w:val="18"/>
                <w:lang w:val="de-AT" w:eastAsia="de-AT"/>
              </w:rPr>
              <w:t>1</w:t>
            </w:r>
          </w:p>
        </w:tc>
        <w:tc>
          <w:tcPr>
            <w:tcW w:w="1368" w:type="dxa"/>
            <w:tcBorders>
              <w:top w:val="nil"/>
              <w:left w:val="nil"/>
              <w:bottom w:val="single" w:sz="4" w:space="0" w:color="auto"/>
              <w:right w:val="single" w:sz="4" w:space="0" w:color="auto"/>
            </w:tcBorders>
            <w:shd w:val="clear" w:color="auto" w:fill="auto"/>
            <w:noWrap/>
            <w:vAlign w:val="center"/>
            <w:hideMark/>
          </w:tcPr>
          <w:p w14:paraId="7D421388" w14:textId="15C0D043" w:rsidR="007B13DB" w:rsidRPr="00D960EF" w:rsidRDefault="007B13DB" w:rsidP="00D960EF">
            <w:pPr>
              <w:rPr>
                <w:rFonts w:cs="Arial"/>
                <w:color w:val="000000"/>
                <w:sz w:val="18"/>
                <w:szCs w:val="18"/>
                <w:lang w:val="de-AT" w:eastAsia="de-AT"/>
              </w:rPr>
            </w:pPr>
            <w:r>
              <w:rPr>
                <w:rFonts w:cs="Arial"/>
                <w:color w:val="000000"/>
                <w:sz w:val="18"/>
                <w:szCs w:val="18"/>
              </w:rPr>
              <w:t xml:space="preserve"> AUD  18.688 </w:t>
            </w:r>
          </w:p>
        </w:tc>
        <w:tc>
          <w:tcPr>
            <w:tcW w:w="1986" w:type="dxa"/>
            <w:tcBorders>
              <w:top w:val="nil"/>
              <w:left w:val="nil"/>
              <w:bottom w:val="single" w:sz="4" w:space="0" w:color="auto"/>
              <w:right w:val="single" w:sz="4" w:space="0" w:color="auto"/>
            </w:tcBorders>
            <w:shd w:val="clear" w:color="auto" w:fill="auto"/>
            <w:noWrap/>
            <w:vAlign w:val="center"/>
            <w:hideMark/>
          </w:tcPr>
          <w:p w14:paraId="6AF44589" w14:textId="412B22F4" w:rsidR="007B13DB" w:rsidRPr="00D960EF" w:rsidRDefault="007B13DB" w:rsidP="00C7683B">
            <w:pPr>
              <w:rPr>
                <w:rFonts w:cs="Arial"/>
                <w:color w:val="000000"/>
                <w:sz w:val="18"/>
                <w:szCs w:val="18"/>
                <w:lang w:val="de-AT" w:eastAsia="de-AT"/>
              </w:rPr>
            </w:pPr>
            <w:r w:rsidRPr="00D960EF">
              <w:rPr>
                <w:rFonts w:cs="Arial"/>
                <w:color w:val="000000"/>
                <w:sz w:val="18"/>
                <w:szCs w:val="18"/>
                <w:lang w:val="de-AT" w:eastAsia="de-AT"/>
              </w:rPr>
              <w:t xml:space="preserve"> AUD   768 </w:t>
            </w:r>
          </w:p>
        </w:tc>
        <w:tc>
          <w:tcPr>
            <w:tcW w:w="1386" w:type="dxa"/>
            <w:tcBorders>
              <w:top w:val="nil"/>
              <w:left w:val="nil"/>
              <w:bottom w:val="single" w:sz="4" w:space="0" w:color="auto"/>
              <w:right w:val="single" w:sz="8" w:space="0" w:color="auto"/>
            </w:tcBorders>
            <w:shd w:val="clear" w:color="auto" w:fill="auto"/>
            <w:noWrap/>
            <w:vAlign w:val="center"/>
            <w:hideMark/>
          </w:tcPr>
          <w:p w14:paraId="381C7FCC" w14:textId="2EE8D065" w:rsidR="007B13DB" w:rsidRPr="00D960EF" w:rsidRDefault="007B13DB" w:rsidP="00D960EF">
            <w:pPr>
              <w:rPr>
                <w:rFonts w:cs="Arial"/>
                <w:color w:val="000000"/>
                <w:sz w:val="18"/>
                <w:szCs w:val="18"/>
                <w:lang w:val="de-AT" w:eastAsia="de-AT"/>
              </w:rPr>
            </w:pPr>
            <w:r w:rsidRPr="00D960EF">
              <w:rPr>
                <w:rFonts w:cs="Arial"/>
                <w:color w:val="000000"/>
                <w:sz w:val="18"/>
                <w:szCs w:val="18"/>
                <w:lang w:val="de-AT" w:eastAsia="de-AT"/>
              </w:rPr>
              <w:t xml:space="preserve"> AUD   10.808 </w:t>
            </w:r>
          </w:p>
        </w:tc>
      </w:tr>
      <w:tr w:rsidR="007B13DB" w:rsidRPr="00D960EF" w14:paraId="056F5793" w14:textId="77777777" w:rsidTr="00E01546">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439761FC" w14:textId="77777777" w:rsidR="007B13DB" w:rsidRPr="00D960EF" w:rsidRDefault="007B13DB" w:rsidP="00D960EF">
            <w:pPr>
              <w:rPr>
                <w:rFonts w:cs="Arial"/>
                <w:color w:val="000000"/>
                <w:sz w:val="18"/>
                <w:szCs w:val="18"/>
                <w:lang w:val="de-AT" w:eastAsia="de-AT"/>
              </w:rPr>
            </w:pPr>
            <w:r w:rsidRPr="00D960EF">
              <w:rPr>
                <w:rFonts w:cs="Arial"/>
                <w:color w:val="000000"/>
                <w:sz w:val="18"/>
                <w:szCs w:val="18"/>
                <w:lang w:val="de-AT" w:eastAsia="de-AT"/>
              </w:rPr>
              <w:t>2</w:t>
            </w:r>
          </w:p>
        </w:tc>
        <w:tc>
          <w:tcPr>
            <w:tcW w:w="1368" w:type="dxa"/>
            <w:tcBorders>
              <w:top w:val="nil"/>
              <w:left w:val="nil"/>
              <w:bottom w:val="single" w:sz="4" w:space="0" w:color="auto"/>
              <w:right w:val="single" w:sz="4" w:space="0" w:color="auto"/>
            </w:tcBorders>
            <w:shd w:val="clear" w:color="auto" w:fill="auto"/>
            <w:noWrap/>
            <w:vAlign w:val="center"/>
            <w:hideMark/>
          </w:tcPr>
          <w:p w14:paraId="2196E63A" w14:textId="705BFD80" w:rsidR="007B13DB" w:rsidRPr="00D960EF" w:rsidRDefault="007B13DB" w:rsidP="00D960EF">
            <w:pPr>
              <w:rPr>
                <w:rFonts w:cs="Arial"/>
                <w:color w:val="000000"/>
                <w:sz w:val="18"/>
                <w:szCs w:val="18"/>
                <w:lang w:val="de-AT" w:eastAsia="de-AT"/>
              </w:rPr>
            </w:pPr>
            <w:r>
              <w:rPr>
                <w:rFonts w:cs="Arial"/>
                <w:color w:val="000000"/>
                <w:sz w:val="18"/>
                <w:szCs w:val="18"/>
              </w:rPr>
              <w:t xml:space="preserve"> AUD  18.786 </w:t>
            </w:r>
          </w:p>
        </w:tc>
        <w:tc>
          <w:tcPr>
            <w:tcW w:w="1986" w:type="dxa"/>
            <w:tcBorders>
              <w:top w:val="nil"/>
              <w:left w:val="nil"/>
              <w:bottom w:val="single" w:sz="4" w:space="0" w:color="auto"/>
              <w:right w:val="single" w:sz="4" w:space="0" w:color="auto"/>
            </w:tcBorders>
            <w:shd w:val="clear" w:color="auto" w:fill="auto"/>
            <w:noWrap/>
            <w:vAlign w:val="center"/>
            <w:hideMark/>
          </w:tcPr>
          <w:p w14:paraId="350B0534" w14:textId="64FABCFF" w:rsidR="007B13DB" w:rsidRPr="00D960EF" w:rsidRDefault="007B13DB" w:rsidP="00D960EF">
            <w:pPr>
              <w:rPr>
                <w:rFonts w:cs="Arial"/>
                <w:color w:val="000000"/>
                <w:sz w:val="18"/>
                <w:szCs w:val="18"/>
                <w:lang w:val="de-AT" w:eastAsia="de-AT"/>
              </w:rPr>
            </w:pPr>
            <w:r w:rsidRPr="00D960EF">
              <w:rPr>
                <w:rFonts w:cs="Arial"/>
                <w:color w:val="000000"/>
                <w:sz w:val="18"/>
                <w:szCs w:val="18"/>
                <w:lang w:val="de-AT" w:eastAsia="de-AT"/>
              </w:rPr>
              <w:t xml:space="preserve"> AUD   893 </w:t>
            </w:r>
          </w:p>
        </w:tc>
        <w:tc>
          <w:tcPr>
            <w:tcW w:w="1386" w:type="dxa"/>
            <w:tcBorders>
              <w:top w:val="nil"/>
              <w:left w:val="nil"/>
              <w:bottom w:val="single" w:sz="4" w:space="0" w:color="auto"/>
              <w:right w:val="single" w:sz="8" w:space="0" w:color="auto"/>
            </w:tcBorders>
            <w:shd w:val="clear" w:color="auto" w:fill="auto"/>
            <w:noWrap/>
            <w:vAlign w:val="center"/>
            <w:hideMark/>
          </w:tcPr>
          <w:p w14:paraId="02D37655" w14:textId="02316984" w:rsidR="007B13DB" w:rsidRPr="00D960EF" w:rsidRDefault="007B13DB" w:rsidP="00D960EF">
            <w:pPr>
              <w:rPr>
                <w:rFonts w:cs="Arial"/>
                <w:color w:val="000000"/>
                <w:sz w:val="18"/>
                <w:szCs w:val="18"/>
                <w:lang w:val="de-AT" w:eastAsia="de-AT"/>
              </w:rPr>
            </w:pPr>
            <w:r w:rsidRPr="00D960EF">
              <w:rPr>
                <w:rFonts w:cs="Arial"/>
                <w:color w:val="000000"/>
                <w:sz w:val="18"/>
                <w:szCs w:val="18"/>
                <w:lang w:val="de-AT" w:eastAsia="de-AT"/>
              </w:rPr>
              <w:t xml:space="preserve"> AUD   10.890 </w:t>
            </w:r>
          </w:p>
        </w:tc>
      </w:tr>
      <w:tr w:rsidR="007B13DB" w:rsidRPr="00D960EF" w14:paraId="7AD63A02" w14:textId="77777777" w:rsidTr="00E01546">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1B7F5AD4" w14:textId="77777777" w:rsidR="007B13DB" w:rsidRPr="00D960EF" w:rsidRDefault="007B13DB" w:rsidP="00D960EF">
            <w:pPr>
              <w:rPr>
                <w:rFonts w:cs="Arial"/>
                <w:color w:val="000000"/>
                <w:sz w:val="18"/>
                <w:szCs w:val="18"/>
                <w:lang w:val="de-AT" w:eastAsia="de-AT"/>
              </w:rPr>
            </w:pPr>
            <w:r w:rsidRPr="00D960EF">
              <w:rPr>
                <w:rFonts w:cs="Arial"/>
                <w:color w:val="000000"/>
                <w:sz w:val="18"/>
                <w:szCs w:val="18"/>
                <w:lang w:val="de-AT" w:eastAsia="de-AT"/>
              </w:rPr>
              <w:t>3</w:t>
            </w:r>
          </w:p>
        </w:tc>
        <w:tc>
          <w:tcPr>
            <w:tcW w:w="1368" w:type="dxa"/>
            <w:tcBorders>
              <w:top w:val="nil"/>
              <w:left w:val="nil"/>
              <w:bottom w:val="single" w:sz="4" w:space="0" w:color="auto"/>
              <w:right w:val="single" w:sz="4" w:space="0" w:color="auto"/>
            </w:tcBorders>
            <w:shd w:val="clear" w:color="auto" w:fill="auto"/>
            <w:noWrap/>
            <w:vAlign w:val="center"/>
            <w:hideMark/>
          </w:tcPr>
          <w:p w14:paraId="7FCC38DD" w14:textId="2030D744" w:rsidR="007B13DB" w:rsidRPr="00D960EF" w:rsidRDefault="007B13DB" w:rsidP="00D960EF">
            <w:pPr>
              <w:rPr>
                <w:rFonts w:cs="Arial"/>
                <w:color w:val="000000"/>
                <w:sz w:val="18"/>
                <w:szCs w:val="18"/>
                <w:lang w:val="de-AT" w:eastAsia="de-AT"/>
              </w:rPr>
            </w:pPr>
            <w:r>
              <w:rPr>
                <w:rFonts w:cs="Arial"/>
                <w:color w:val="000000"/>
                <w:sz w:val="18"/>
                <w:szCs w:val="18"/>
              </w:rPr>
              <w:t xml:space="preserve"> AUD  18.826 </w:t>
            </w:r>
          </w:p>
        </w:tc>
        <w:tc>
          <w:tcPr>
            <w:tcW w:w="1986" w:type="dxa"/>
            <w:tcBorders>
              <w:top w:val="nil"/>
              <w:left w:val="nil"/>
              <w:bottom w:val="single" w:sz="4" w:space="0" w:color="auto"/>
              <w:right w:val="single" w:sz="4" w:space="0" w:color="auto"/>
            </w:tcBorders>
            <w:shd w:val="clear" w:color="auto" w:fill="auto"/>
            <w:noWrap/>
            <w:vAlign w:val="center"/>
            <w:hideMark/>
          </w:tcPr>
          <w:p w14:paraId="58AE80A4" w14:textId="4A5A9868" w:rsidR="007B13DB" w:rsidRPr="00D960EF" w:rsidRDefault="007B13DB" w:rsidP="00C7683B">
            <w:pPr>
              <w:rPr>
                <w:rFonts w:cs="Arial"/>
                <w:color w:val="000000"/>
                <w:sz w:val="18"/>
                <w:szCs w:val="18"/>
                <w:lang w:val="de-AT" w:eastAsia="de-AT"/>
              </w:rPr>
            </w:pPr>
            <w:r w:rsidRPr="00D960EF">
              <w:rPr>
                <w:rFonts w:cs="Arial"/>
                <w:color w:val="000000"/>
                <w:sz w:val="18"/>
                <w:szCs w:val="18"/>
                <w:lang w:val="de-AT" w:eastAsia="de-AT"/>
              </w:rPr>
              <w:t xml:space="preserve"> AUD   1.013 </w:t>
            </w:r>
          </w:p>
        </w:tc>
        <w:tc>
          <w:tcPr>
            <w:tcW w:w="1386" w:type="dxa"/>
            <w:tcBorders>
              <w:top w:val="nil"/>
              <w:left w:val="nil"/>
              <w:bottom w:val="single" w:sz="4" w:space="0" w:color="auto"/>
              <w:right w:val="single" w:sz="8" w:space="0" w:color="auto"/>
            </w:tcBorders>
            <w:shd w:val="clear" w:color="auto" w:fill="auto"/>
            <w:noWrap/>
            <w:vAlign w:val="center"/>
            <w:hideMark/>
          </w:tcPr>
          <w:p w14:paraId="3989E9AC" w14:textId="109597F7" w:rsidR="007B13DB" w:rsidRPr="00D960EF" w:rsidRDefault="007B13DB" w:rsidP="00D960EF">
            <w:pPr>
              <w:rPr>
                <w:rFonts w:cs="Arial"/>
                <w:color w:val="000000"/>
                <w:sz w:val="18"/>
                <w:szCs w:val="18"/>
                <w:lang w:val="de-AT" w:eastAsia="de-AT"/>
              </w:rPr>
            </w:pPr>
            <w:r w:rsidRPr="00D960EF">
              <w:rPr>
                <w:rFonts w:cs="Arial"/>
                <w:color w:val="000000"/>
                <w:sz w:val="18"/>
                <w:szCs w:val="18"/>
                <w:lang w:val="de-AT" w:eastAsia="de-AT"/>
              </w:rPr>
              <w:t xml:space="preserve"> AUD   10.921 </w:t>
            </w:r>
          </w:p>
        </w:tc>
      </w:tr>
      <w:tr w:rsidR="007B13DB" w:rsidRPr="00D960EF" w14:paraId="7107F02C" w14:textId="77777777" w:rsidTr="00E01546">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077C465B" w14:textId="77777777" w:rsidR="007B13DB" w:rsidRPr="00D960EF" w:rsidRDefault="007B13DB" w:rsidP="00D960EF">
            <w:pPr>
              <w:rPr>
                <w:rFonts w:cs="Arial"/>
                <w:color w:val="000000"/>
                <w:sz w:val="18"/>
                <w:szCs w:val="18"/>
                <w:lang w:val="de-AT" w:eastAsia="de-AT"/>
              </w:rPr>
            </w:pPr>
            <w:r w:rsidRPr="00D960EF">
              <w:rPr>
                <w:rFonts w:cs="Arial"/>
                <w:color w:val="000000"/>
                <w:sz w:val="18"/>
                <w:szCs w:val="18"/>
                <w:lang w:val="de-AT" w:eastAsia="de-AT"/>
              </w:rPr>
              <w:t>4</w:t>
            </w:r>
          </w:p>
        </w:tc>
        <w:tc>
          <w:tcPr>
            <w:tcW w:w="1368" w:type="dxa"/>
            <w:tcBorders>
              <w:top w:val="nil"/>
              <w:left w:val="nil"/>
              <w:bottom w:val="single" w:sz="4" w:space="0" w:color="auto"/>
              <w:right w:val="single" w:sz="4" w:space="0" w:color="auto"/>
            </w:tcBorders>
            <w:shd w:val="clear" w:color="auto" w:fill="auto"/>
            <w:noWrap/>
            <w:vAlign w:val="center"/>
            <w:hideMark/>
          </w:tcPr>
          <w:p w14:paraId="45A3CCA0" w14:textId="17E5A727" w:rsidR="007B13DB" w:rsidRPr="00D960EF" w:rsidRDefault="007B13DB" w:rsidP="00D960EF">
            <w:pPr>
              <w:rPr>
                <w:rFonts w:cs="Arial"/>
                <w:color w:val="000000"/>
                <w:sz w:val="18"/>
                <w:szCs w:val="18"/>
                <w:lang w:val="de-AT" w:eastAsia="de-AT"/>
              </w:rPr>
            </w:pPr>
            <w:r>
              <w:rPr>
                <w:rFonts w:cs="Arial"/>
                <w:color w:val="000000"/>
                <w:sz w:val="18"/>
                <w:szCs w:val="18"/>
              </w:rPr>
              <w:t xml:space="preserve"> AUD  18.918 </w:t>
            </w:r>
          </w:p>
        </w:tc>
        <w:tc>
          <w:tcPr>
            <w:tcW w:w="1986" w:type="dxa"/>
            <w:tcBorders>
              <w:top w:val="nil"/>
              <w:left w:val="nil"/>
              <w:bottom w:val="single" w:sz="4" w:space="0" w:color="auto"/>
              <w:right w:val="single" w:sz="4" w:space="0" w:color="auto"/>
            </w:tcBorders>
            <w:shd w:val="clear" w:color="auto" w:fill="auto"/>
            <w:noWrap/>
            <w:vAlign w:val="center"/>
            <w:hideMark/>
          </w:tcPr>
          <w:p w14:paraId="37EDFF7A" w14:textId="3608883E" w:rsidR="007B13DB" w:rsidRPr="00D960EF" w:rsidRDefault="007B13DB" w:rsidP="00D960EF">
            <w:pPr>
              <w:rPr>
                <w:rFonts w:cs="Arial"/>
                <w:color w:val="000000"/>
                <w:sz w:val="18"/>
                <w:szCs w:val="18"/>
                <w:lang w:val="de-AT" w:eastAsia="de-AT"/>
              </w:rPr>
            </w:pPr>
            <w:r w:rsidRPr="00D960EF">
              <w:rPr>
                <w:rFonts w:cs="Arial"/>
                <w:color w:val="000000"/>
                <w:sz w:val="18"/>
                <w:szCs w:val="18"/>
                <w:lang w:val="de-AT" w:eastAsia="de-AT"/>
              </w:rPr>
              <w:t xml:space="preserve"> AUD   1.131 </w:t>
            </w:r>
          </w:p>
        </w:tc>
        <w:tc>
          <w:tcPr>
            <w:tcW w:w="1386" w:type="dxa"/>
            <w:tcBorders>
              <w:top w:val="nil"/>
              <w:left w:val="nil"/>
              <w:bottom w:val="single" w:sz="4" w:space="0" w:color="auto"/>
              <w:right w:val="single" w:sz="8" w:space="0" w:color="auto"/>
            </w:tcBorders>
            <w:shd w:val="clear" w:color="auto" w:fill="auto"/>
            <w:noWrap/>
            <w:vAlign w:val="center"/>
            <w:hideMark/>
          </w:tcPr>
          <w:p w14:paraId="406EADA2" w14:textId="55F38B76" w:rsidR="007B13DB" w:rsidRPr="00D960EF" w:rsidRDefault="007B13DB" w:rsidP="00C7683B">
            <w:pPr>
              <w:rPr>
                <w:rFonts w:cs="Arial"/>
                <w:color w:val="000000"/>
                <w:sz w:val="18"/>
                <w:szCs w:val="18"/>
                <w:lang w:val="de-AT" w:eastAsia="de-AT"/>
              </w:rPr>
            </w:pPr>
            <w:r w:rsidRPr="00D960EF">
              <w:rPr>
                <w:rFonts w:cs="Arial"/>
                <w:color w:val="000000"/>
                <w:sz w:val="18"/>
                <w:szCs w:val="18"/>
                <w:lang w:val="de-AT" w:eastAsia="de-AT"/>
              </w:rPr>
              <w:t xml:space="preserve"> AUD   10.999 </w:t>
            </w:r>
          </w:p>
        </w:tc>
      </w:tr>
      <w:tr w:rsidR="007B13DB" w:rsidRPr="00D960EF" w14:paraId="1CFB38F5" w14:textId="77777777" w:rsidTr="00E01546">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5895BD65" w14:textId="77777777" w:rsidR="007B13DB" w:rsidRPr="00D960EF" w:rsidRDefault="007B13DB" w:rsidP="00D960EF">
            <w:pPr>
              <w:rPr>
                <w:rFonts w:cs="Arial"/>
                <w:color w:val="000000"/>
                <w:sz w:val="18"/>
                <w:szCs w:val="18"/>
                <w:lang w:val="de-AT" w:eastAsia="de-AT"/>
              </w:rPr>
            </w:pPr>
            <w:r w:rsidRPr="00D960EF">
              <w:rPr>
                <w:rFonts w:cs="Arial"/>
                <w:color w:val="000000"/>
                <w:sz w:val="18"/>
                <w:szCs w:val="18"/>
                <w:lang w:val="de-AT" w:eastAsia="de-AT"/>
              </w:rPr>
              <w:t>5</w:t>
            </w:r>
          </w:p>
        </w:tc>
        <w:tc>
          <w:tcPr>
            <w:tcW w:w="1368" w:type="dxa"/>
            <w:tcBorders>
              <w:top w:val="nil"/>
              <w:left w:val="nil"/>
              <w:bottom w:val="single" w:sz="4" w:space="0" w:color="auto"/>
              <w:right w:val="single" w:sz="4" w:space="0" w:color="auto"/>
            </w:tcBorders>
            <w:shd w:val="clear" w:color="auto" w:fill="auto"/>
            <w:noWrap/>
            <w:vAlign w:val="center"/>
            <w:hideMark/>
          </w:tcPr>
          <w:p w14:paraId="038FBDD0" w14:textId="19365417" w:rsidR="007B13DB" w:rsidRPr="00D960EF" w:rsidRDefault="007B13DB" w:rsidP="00D960EF">
            <w:pPr>
              <w:rPr>
                <w:rFonts w:cs="Arial"/>
                <w:color w:val="000000"/>
                <w:sz w:val="18"/>
                <w:szCs w:val="18"/>
                <w:lang w:val="de-AT" w:eastAsia="de-AT"/>
              </w:rPr>
            </w:pPr>
            <w:r>
              <w:rPr>
                <w:rFonts w:cs="Arial"/>
                <w:color w:val="000000"/>
                <w:sz w:val="18"/>
                <w:szCs w:val="18"/>
              </w:rPr>
              <w:t xml:space="preserve"> AUD  18.955 </w:t>
            </w:r>
          </w:p>
        </w:tc>
        <w:tc>
          <w:tcPr>
            <w:tcW w:w="1986" w:type="dxa"/>
            <w:tcBorders>
              <w:top w:val="nil"/>
              <w:left w:val="nil"/>
              <w:bottom w:val="single" w:sz="4" w:space="0" w:color="auto"/>
              <w:right w:val="single" w:sz="4" w:space="0" w:color="auto"/>
            </w:tcBorders>
            <w:shd w:val="clear" w:color="auto" w:fill="auto"/>
            <w:noWrap/>
            <w:vAlign w:val="center"/>
            <w:hideMark/>
          </w:tcPr>
          <w:p w14:paraId="3C717A2D" w14:textId="3D52F072" w:rsidR="007B13DB" w:rsidRPr="00D960EF" w:rsidRDefault="007B13DB" w:rsidP="00D960EF">
            <w:pPr>
              <w:rPr>
                <w:rFonts w:cs="Arial"/>
                <w:color w:val="000000"/>
                <w:sz w:val="18"/>
                <w:szCs w:val="18"/>
                <w:lang w:val="de-AT" w:eastAsia="de-AT"/>
              </w:rPr>
            </w:pPr>
            <w:r w:rsidRPr="00D960EF">
              <w:rPr>
                <w:rFonts w:cs="Arial"/>
                <w:color w:val="000000"/>
                <w:sz w:val="18"/>
                <w:szCs w:val="18"/>
                <w:lang w:val="de-AT" w:eastAsia="de-AT"/>
              </w:rPr>
              <w:t xml:space="preserve"> AUD   1.245 </w:t>
            </w:r>
          </w:p>
        </w:tc>
        <w:tc>
          <w:tcPr>
            <w:tcW w:w="1386" w:type="dxa"/>
            <w:tcBorders>
              <w:top w:val="nil"/>
              <w:left w:val="nil"/>
              <w:bottom w:val="single" w:sz="4" w:space="0" w:color="auto"/>
              <w:right w:val="single" w:sz="8" w:space="0" w:color="auto"/>
            </w:tcBorders>
            <w:shd w:val="clear" w:color="auto" w:fill="auto"/>
            <w:noWrap/>
            <w:vAlign w:val="center"/>
            <w:hideMark/>
          </w:tcPr>
          <w:p w14:paraId="6868F13A" w14:textId="7B3A1890" w:rsidR="007B13DB" w:rsidRPr="00D960EF" w:rsidRDefault="007B13DB" w:rsidP="00C7683B">
            <w:pPr>
              <w:rPr>
                <w:rFonts w:cs="Arial"/>
                <w:color w:val="000000"/>
                <w:sz w:val="18"/>
                <w:szCs w:val="18"/>
                <w:lang w:val="de-AT" w:eastAsia="de-AT"/>
              </w:rPr>
            </w:pPr>
            <w:r w:rsidRPr="00D960EF">
              <w:rPr>
                <w:rFonts w:cs="Arial"/>
                <w:color w:val="000000"/>
                <w:sz w:val="18"/>
                <w:szCs w:val="18"/>
                <w:lang w:val="de-AT" w:eastAsia="de-AT"/>
              </w:rPr>
              <w:t xml:space="preserve"> AUD   11.028 </w:t>
            </w:r>
          </w:p>
        </w:tc>
      </w:tr>
      <w:tr w:rsidR="007B13DB" w:rsidRPr="00D960EF" w14:paraId="1574493C" w14:textId="77777777" w:rsidTr="00E01546">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6CC4BE48" w14:textId="77777777" w:rsidR="007B13DB" w:rsidRPr="00D960EF" w:rsidRDefault="007B13DB" w:rsidP="00D960EF">
            <w:pPr>
              <w:rPr>
                <w:rFonts w:cs="Arial"/>
                <w:color w:val="000000"/>
                <w:sz w:val="18"/>
                <w:szCs w:val="18"/>
                <w:lang w:val="de-AT" w:eastAsia="de-AT"/>
              </w:rPr>
            </w:pPr>
            <w:r w:rsidRPr="00D960EF">
              <w:rPr>
                <w:rFonts w:cs="Arial"/>
                <w:color w:val="000000"/>
                <w:sz w:val="18"/>
                <w:szCs w:val="18"/>
                <w:lang w:val="de-AT" w:eastAsia="de-AT"/>
              </w:rPr>
              <w:t>6</w:t>
            </w:r>
          </w:p>
        </w:tc>
        <w:tc>
          <w:tcPr>
            <w:tcW w:w="1368" w:type="dxa"/>
            <w:tcBorders>
              <w:top w:val="nil"/>
              <w:left w:val="nil"/>
              <w:bottom w:val="single" w:sz="4" w:space="0" w:color="auto"/>
              <w:right w:val="single" w:sz="4" w:space="0" w:color="auto"/>
            </w:tcBorders>
            <w:shd w:val="clear" w:color="auto" w:fill="auto"/>
            <w:noWrap/>
            <w:vAlign w:val="center"/>
            <w:hideMark/>
          </w:tcPr>
          <w:p w14:paraId="52C4C199" w14:textId="6D2AD465" w:rsidR="007B13DB" w:rsidRPr="00D960EF" w:rsidRDefault="007B13DB" w:rsidP="00D960EF">
            <w:pPr>
              <w:rPr>
                <w:rFonts w:cs="Arial"/>
                <w:color w:val="000000"/>
                <w:sz w:val="18"/>
                <w:szCs w:val="18"/>
                <w:lang w:val="de-AT" w:eastAsia="de-AT"/>
              </w:rPr>
            </w:pPr>
            <w:r>
              <w:rPr>
                <w:rFonts w:cs="Arial"/>
                <w:color w:val="000000"/>
                <w:sz w:val="18"/>
                <w:szCs w:val="18"/>
              </w:rPr>
              <w:t xml:space="preserve"> AUD  19.043 </w:t>
            </w:r>
          </w:p>
        </w:tc>
        <w:tc>
          <w:tcPr>
            <w:tcW w:w="1986" w:type="dxa"/>
            <w:tcBorders>
              <w:top w:val="nil"/>
              <w:left w:val="nil"/>
              <w:bottom w:val="single" w:sz="4" w:space="0" w:color="auto"/>
              <w:right w:val="single" w:sz="4" w:space="0" w:color="auto"/>
            </w:tcBorders>
            <w:shd w:val="clear" w:color="auto" w:fill="auto"/>
            <w:noWrap/>
            <w:vAlign w:val="center"/>
            <w:hideMark/>
          </w:tcPr>
          <w:p w14:paraId="6143E4B8" w14:textId="18E74AF1" w:rsidR="007B13DB" w:rsidRPr="00D960EF" w:rsidRDefault="007B13DB" w:rsidP="00C7683B">
            <w:pPr>
              <w:rPr>
                <w:rFonts w:cs="Arial"/>
                <w:color w:val="000000"/>
                <w:sz w:val="18"/>
                <w:szCs w:val="18"/>
                <w:lang w:val="de-AT" w:eastAsia="de-AT"/>
              </w:rPr>
            </w:pPr>
            <w:r w:rsidRPr="00D960EF">
              <w:rPr>
                <w:rFonts w:cs="Arial"/>
                <w:color w:val="000000"/>
                <w:sz w:val="18"/>
                <w:szCs w:val="18"/>
                <w:lang w:val="de-AT" w:eastAsia="de-AT"/>
              </w:rPr>
              <w:t xml:space="preserve"> AUD   1.356 </w:t>
            </w:r>
          </w:p>
        </w:tc>
        <w:tc>
          <w:tcPr>
            <w:tcW w:w="1386" w:type="dxa"/>
            <w:tcBorders>
              <w:top w:val="nil"/>
              <w:left w:val="nil"/>
              <w:bottom w:val="single" w:sz="4" w:space="0" w:color="auto"/>
              <w:right w:val="single" w:sz="8" w:space="0" w:color="auto"/>
            </w:tcBorders>
            <w:shd w:val="clear" w:color="auto" w:fill="auto"/>
            <w:noWrap/>
            <w:vAlign w:val="center"/>
            <w:hideMark/>
          </w:tcPr>
          <w:p w14:paraId="04AA5465" w14:textId="7ECD3F53" w:rsidR="007B13DB" w:rsidRPr="00D960EF" w:rsidRDefault="007B13DB" w:rsidP="00C7683B">
            <w:pPr>
              <w:rPr>
                <w:rFonts w:cs="Arial"/>
                <w:color w:val="000000"/>
                <w:sz w:val="18"/>
                <w:szCs w:val="18"/>
                <w:lang w:val="de-AT" w:eastAsia="de-AT"/>
              </w:rPr>
            </w:pPr>
            <w:r w:rsidRPr="00D960EF">
              <w:rPr>
                <w:rFonts w:cs="Arial"/>
                <w:color w:val="000000"/>
                <w:sz w:val="18"/>
                <w:szCs w:val="18"/>
                <w:lang w:val="de-AT" w:eastAsia="de-AT"/>
              </w:rPr>
              <w:t xml:space="preserve"> AUD   11.102 </w:t>
            </w:r>
          </w:p>
        </w:tc>
      </w:tr>
      <w:tr w:rsidR="007B13DB" w:rsidRPr="00D960EF" w14:paraId="763DF1F4" w14:textId="77777777" w:rsidTr="00E01546">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292A5286" w14:textId="77777777" w:rsidR="007B13DB" w:rsidRPr="00D960EF" w:rsidRDefault="007B13DB" w:rsidP="00D960EF">
            <w:pPr>
              <w:rPr>
                <w:rFonts w:cs="Arial"/>
                <w:color w:val="000000"/>
                <w:sz w:val="18"/>
                <w:szCs w:val="18"/>
                <w:lang w:val="de-AT" w:eastAsia="de-AT"/>
              </w:rPr>
            </w:pPr>
            <w:r w:rsidRPr="00D960EF">
              <w:rPr>
                <w:rFonts w:cs="Arial"/>
                <w:color w:val="000000"/>
                <w:sz w:val="18"/>
                <w:szCs w:val="18"/>
                <w:lang w:val="de-AT" w:eastAsia="de-AT"/>
              </w:rPr>
              <w:t>7</w:t>
            </w:r>
          </w:p>
        </w:tc>
        <w:tc>
          <w:tcPr>
            <w:tcW w:w="1368" w:type="dxa"/>
            <w:tcBorders>
              <w:top w:val="nil"/>
              <w:left w:val="nil"/>
              <w:bottom w:val="single" w:sz="4" w:space="0" w:color="auto"/>
              <w:right w:val="single" w:sz="4" w:space="0" w:color="auto"/>
            </w:tcBorders>
            <w:shd w:val="clear" w:color="auto" w:fill="auto"/>
            <w:noWrap/>
            <w:vAlign w:val="center"/>
            <w:hideMark/>
          </w:tcPr>
          <w:p w14:paraId="57AC9C58" w14:textId="22FC8C57" w:rsidR="007B13DB" w:rsidRPr="00D960EF" w:rsidRDefault="007B13DB" w:rsidP="00D960EF">
            <w:pPr>
              <w:rPr>
                <w:rFonts w:cs="Arial"/>
                <w:color w:val="000000"/>
                <w:sz w:val="18"/>
                <w:szCs w:val="18"/>
                <w:lang w:val="de-AT" w:eastAsia="de-AT"/>
              </w:rPr>
            </w:pPr>
            <w:r>
              <w:rPr>
                <w:rFonts w:cs="Arial"/>
                <w:color w:val="000000"/>
                <w:sz w:val="18"/>
                <w:szCs w:val="18"/>
              </w:rPr>
              <w:t xml:space="preserve"> AUD  19.078 </w:t>
            </w:r>
          </w:p>
        </w:tc>
        <w:tc>
          <w:tcPr>
            <w:tcW w:w="1986" w:type="dxa"/>
            <w:tcBorders>
              <w:top w:val="nil"/>
              <w:left w:val="nil"/>
              <w:bottom w:val="single" w:sz="4" w:space="0" w:color="auto"/>
              <w:right w:val="single" w:sz="4" w:space="0" w:color="auto"/>
            </w:tcBorders>
            <w:shd w:val="clear" w:color="auto" w:fill="auto"/>
            <w:noWrap/>
            <w:vAlign w:val="center"/>
            <w:hideMark/>
          </w:tcPr>
          <w:p w14:paraId="13F6C89E" w14:textId="072A1CAC" w:rsidR="007B13DB" w:rsidRPr="00D960EF" w:rsidRDefault="007B13DB" w:rsidP="00D960EF">
            <w:pPr>
              <w:rPr>
                <w:rFonts w:cs="Arial"/>
                <w:color w:val="000000"/>
                <w:sz w:val="18"/>
                <w:szCs w:val="18"/>
                <w:lang w:val="de-AT" w:eastAsia="de-AT"/>
              </w:rPr>
            </w:pPr>
            <w:r w:rsidRPr="00D960EF">
              <w:rPr>
                <w:rFonts w:cs="Arial"/>
                <w:color w:val="000000"/>
                <w:sz w:val="18"/>
                <w:szCs w:val="18"/>
                <w:lang w:val="de-AT" w:eastAsia="de-AT"/>
              </w:rPr>
              <w:t xml:space="preserve"> AUD   1.464 </w:t>
            </w:r>
          </w:p>
        </w:tc>
        <w:tc>
          <w:tcPr>
            <w:tcW w:w="1386" w:type="dxa"/>
            <w:tcBorders>
              <w:top w:val="nil"/>
              <w:left w:val="nil"/>
              <w:bottom w:val="single" w:sz="4" w:space="0" w:color="auto"/>
              <w:right w:val="single" w:sz="8" w:space="0" w:color="auto"/>
            </w:tcBorders>
            <w:shd w:val="clear" w:color="auto" w:fill="auto"/>
            <w:noWrap/>
            <w:vAlign w:val="center"/>
            <w:hideMark/>
          </w:tcPr>
          <w:p w14:paraId="7D7B1768" w14:textId="23034C77" w:rsidR="007B13DB" w:rsidRPr="00D960EF" w:rsidRDefault="007B13DB" w:rsidP="00C7683B">
            <w:pPr>
              <w:rPr>
                <w:rFonts w:cs="Arial"/>
                <w:color w:val="000000"/>
                <w:sz w:val="18"/>
                <w:szCs w:val="18"/>
                <w:lang w:val="de-AT" w:eastAsia="de-AT"/>
              </w:rPr>
            </w:pPr>
            <w:r w:rsidRPr="00D960EF">
              <w:rPr>
                <w:rFonts w:cs="Arial"/>
                <w:color w:val="000000"/>
                <w:sz w:val="18"/>
                <w:szCs w:val="18"/>
                <w:lang w:val="de-AT" w:eastAsia="de-AT"/>
              </w:rPr>
              <w:t xml:space="preserve"> AUD   11.129 </w:t>
            </w:r>
          </w:p>
        </w:tc>
      </w:tr>
      <w:tr w:rsidR="007B13DB" w:rsidRPr="00D960EF" w14:paraId="4972D44A" w14:textId="77777777" w:rsidTr="00E01546">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4178238A" w14:textId="77777777" w:rsidR="007B13DB" w:rsidRPr="00D960EF" w:rsidRDefault="007B13DB" w:rsidP="00D960EF">
            <w:pPr>
              <w:rPr>
                <w:rFonts w:cs="Arial"/>
                <w:color w:val="000000"/>
                <w:sz w:val="18"/>
                <w:szCs w:val="18"/>
                <w:lang w:val="de-AT" w:eastAsia="de-AT"/>
              </w:rPr>
            </w:pPr>
            <w:r w:rsidRPr="00D960EF">
              <w:rPr>
                <w:rFonts w:cs="Arial"/>
                <w:color w:val="000000"/>
                <w:sz w:val="18"/>
                <w:szCs w:val="18"/>
                <w:lang w:val="de-AT" w:eastAsia="de-AT"/>
              </w:rPr>
              <w:t>8</w:t>
            </w:r>
          </w:p>
        </w:tc>
        <w:tc>
          <w:tcPr>
            <w:tcW w:w="1368" w:type="dxa"/>
            <w:tcBorders>
              <w:top w:val="nil"/>
              <w:left w:val="nil"/>
              <w:bottom w:val="single" w:sz="4" w:space="0" w:color="auto"/>
              <w:right w:val="single" w:sz="4" w:space="0" w:color="auto"/>
            </w:tcBorders>
            <w:shd w:val="clear" w:color="auto" w:fill="auto"/>
            <w:noWrap/>
            <w:vAlign w:val="center"/>
            <w:hideMark/>
          </w:tcPr>
          <w:p w14:paraId="38F82F63" w14:textId="266DDD2C" w:rsidR="007B13DB" w:rsidRPr="00D960EF" w:rsidRDefault="007B13DB" w:rsidP="00D960EF">
            <w:pPr>
              <w:rPr>
                <w:rFonts w:cs="Arial"/>
                <w:color w:val="000000"/>
                <w:sz w:val="18"/>
                <w:szCs w:val="18"/>
                <w:lang w:val="de-AT" w:eastAsia="de-AT"/>
              </w:rPr>
            </w:pPr>
            <w:r>
              <w:rPr>
                <w:rFonts w:cs="Arial"/>
                <w:color w:val="000000"/>
                <w:sz w:val="18"/>
                <w:szCs w:val="18"/>
              </w:rPr>
              <w:t xml:space="preserve"> AUD  19.161 </w:t>
            </w:r>
          </w:p>
        </w:tc>
        <w:tc>
          <w:tcPr>
            <w:tcW w:w="1986" w:type="dxa"/>
            <w:tcBorders>
              <w:top w:val="nil"/>
              <w:left w:val="nil"/>
              <w:bottom w:val="single" w:sz="4" w:space="0" w:color="auto"/>
              <w:right w:val="single" w:sz="4" w:space="0" w:color="auto"/>
            </w:tcBorders>
            <w:shd w:val="clear" w:color="auto" w:fill="auto"/>
            <w:noWrap/>
            <w:vAlign w:val="center"/>
            <w:hideMark/>
          </w:tcPr>
          <w:p w14:paraId="243EC308" w14:textId="5AD12D68" w:rsidR="007B13DB" w:rsidRPr="00D960EF" w:rsidRDefault="007B13DB" w:rsidP="00C7683B">
            <w:pPr>
              <w:rPr>
                <w:rFonts w:cs="Arial"/>
                <w:color w:val="000000"/>
                <w:sz w:val="18"/>
                <w:szCs w:val="18"/>
                <w:lang w:val="de-AT" w:eastAsia="de-AT"/>
              </w:rPr>
            </w:pPr>
            <w:r w:rsidRPr="00D960EF">
              <w:rPr>
                <w:rFonts w:cs="Arial"/>
                <w:color w:val="000000"/>
                <w:sz w:val="18"/>
                <w:szCs w:val="18"/>
                <w:lang w:val="de-AT" w:eastAsia="de-AT"/>
              </w:rPr>
              <w:t xml:space="preserve"> AUD   1.569 </w:t>
            </w:r>
          </w:p>
        </w:tc>
        <w:tc>
          <w:tcPr>
            <w:tcW w:w="1386" w:type="dxa"/>
            <w:tcBorders>
              <w:top w:val="nil"/>
              <w:left w:val="nil"/>
              <w:bottom w:val="single" w:sz="4" w:space="0" w:color="auto"/>
              <w:right w:val="single" w:sz="8" w:space="0" w:color="auto"/>
            </w:tcBorders>
            <w:shd w:val="clear" w:color="auto" w:fill="auto"/>
            <w:noWrap/>
            <w:vAlign w:val="center"/>
            <w:hideMark/>
          </w:tcPr>
          <w:p w14:paraId="16CCCA1F" w14:textId="509927B4" w:rsidR="007B13DB" w:rsidRPr="00D960EF" w:rsidRDefault="007B13DB" w:rsidP="00C7683B">
            <w:pPr>
              <w:rPr>
                <w:rFonts w:cs="Arial"/>
                <w:color w:val="000000"/>
                <w:sz w:val="18"/>
                <w:szCs w:val="18"/>
                <w:lang w:val="de-AT" w:eastAsia="de-AT"/>
              </w:rPr>
            </w:pPr>
            <w:r w:rsidRPr="00D960EF">
              <w:rPr>
                <w:rFonts w:cs="Arial"/>
                <w:color w:val="000000"/>
                <w:sz w:val="18"/>
                <w:szCs w:val="18"/>
                <w:lang w:val="de-AT" w:eastAsia="de-AT"/>
              </w:rPr>
              <w:t xml:space="preserve"> AUD   11.198 </w:t>
            </w:r>
          </w:p>
        </w:tc>
      </w:tr>
      <w:tr w:rsidR="007B13DB" w:rsidRPr="00D960EF" w14:paraId="7762C112" w14:textId="77777777" w:rsidTr="00E01546">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5546EA3B" w14:textId="77777777" w:rsidR="007B13DB" w:rsidRPr="00D960EF" w:rsidRDefault="007B13DB" w:rsidP="00D960EF">
            <w:pPr>
              <w:rPr>
                <w:rFonts w:cs="Arial"/>
                <w:color w:val="000000"/>
                <w:sz w:val="18"/>
                <w:szCs w:val="18"/>
                <w:lang w:val="de-AT" w:eastAsia="de-AT"/>
              </w:rPr>
            </w:pPr>
            <w:r w:rsidRPr="00D960EF">
              <w:rPr>
                <w:rFonts w:cs="Arial"/>
                <w:color w:val="000000"/>
                <w:sz w:val="18"/>
                <w:szCs w:val="18"/>
                <w:lang w:val="de-AT" w:eastAsia="de-AT"/>
              </w:rPr>
              <w:t>9</w:t>
            </w:r>
          </w:p>
        </w:tc>
        <w:tc>
          <w:tcPr>
            <w:tcW w:w="1368" w:type="dxa"/>
            <w:tcBorders>
              <w:top w:val="nil"/>
              <w:left w:val="nil"/>
              <w:bottom w:val="single" w:sz="4" w:space="0" w:color="auto"/>
              <w:right w:val="single" w:sz="4" w:space="0" w:color="auto"/>
            </w:tcBorders>
            <w:shd w:val="clear" w:color="auto" w:fill="auto"/>
            <w:noWrap/>
            <w:vAlign w:val="center"/>
            <w:hideMark/>
          </w:tcPr>
          <w:p w14:paraId="1C94C0FD" w14:textId="7C1848BB" w:rsidR="007B13DB" w:rsidRPr="00D960EF" w:rsidRDefault="007B13DB" w:rsidP="00D960EF">
            <w:pPr>
              <w:rPr>
                <w:rFonts w:cs="Arial"/>
                <w:color w:val="000000"/>
                <w:sz w:val="18"/>
                <w:szCs w:val="18"/>
                <w:lang w:val="de-AT" w:eastAsia="de-AT"/>
              </w:rPr>
            </w:pPr>
            <w:r>
              <w:rPr>
                <w:rFonts w:cs="Arial"/>
                <w:color w:val="000000"/>
                <w:sz w:val="18"/>
                <w:szCs w:val="18"/>
              </w:rPr>
              <w:t xml:space="preserve"> AUD  19.194 </w:t>
            </w:r>
          </w:p>
        </w:tc>
        <w:tc>
          <w:tcPr>
            <w:tcW w:w="1986" w:type="dxa"/>
            <w:tcBorders>
              <w:top w:val="nil"/>
              <w:left w:val="nil"/>
              <w:bottom w:val="single" w:sz="4" w:space="0" w:color="auto"/>
              <w:right w:val="single" w:sz="4" w:space="0" w:color="auto"/>
            </w:tcBorders>
            <w:shd w:val="clear" w:color="auto" w:fill="auto"/>
            <w:noWrap/>
            <w:vAlign w:val="center"/>
            <w:hideMark/>
          </w:tcPr>
          <w:p w14:paraId="11BC5E70" w14:textId="612DF45A" w:rsidR="007B13DB" w:rsidRPr="00D960EF" w:rsidRDefault="007B13DB" w:rsidP="00C7683B">
            <w:pPr>
              <w:rPr>
                <w:rFonts w:cs="Arial"/>
                <w:color w:val="000000"/>
                <w:sz w:val="18"/>
                <w:szCs w:val="18"/>
                <w:lang w:val="de-AT" w:eastAsia="de-AT"/>
              </w:rPr>
            </w:pPr>
            <w:r w:rsidRPr="00D960EF">
              <w:rPr>
                <w:rFonts w:cs="Arial"/>
                <w:color w:val="000000"/>
                <w:sz w:val="18"/>
                <w:szCs w:val="18"/>
                <w:lang w:val="de-AT" w:eastAsia="de-AT"/>
              </w:rPr>
              <w:t xml:space="preserve"> AUD   1.671 </w:t>
            </w:r>
          </w:p>
        </w:tc>
        <w:tc>
          <w:tcPr>
            <w:tcW w:w="1386" w:type="dxa"/>
            <w:tcBorders>
              <w:top w:val="nil"/>
              <w:left w:val="nil"/>
              <w:bottom w:val="single" w:sz="4" w:space="0" w:color="auto"/>
              <w:right w:val="single" w:sz="8" w:space="0" w:color="auto"/>
            </w:tcBorders>
            <w:shd w:val="clear" w:color="auto" w:fill="auto"/>
            <w:noWrap/>
            <w:vAlign w:val="center"/>
            <w:hideMark/>
          </w:tcPr>
          <w:p w14:paraId="027FAED5" w14:textId="1E950041" w:rsidR="007B13DB" w:rsidRPr="00D960EF" w:rsidRDefault="007B13DB" w:rsidP="00C7683B">
            <w:pPr>
              <w:rPr>
                <w:rFonts w:cs="Arial"/>
                <w:color w:val="000000"/>
                <w:sz w:val="18"/>
                <w:szCs w:val="18"/>
                <w:lang w:val="de-AT" w:eastAsia="de-AT"/>
              </w:rPr>
            </w:pPr>
            <w:r w:rsidRPr="00D960EF">
              <w:rPr>
                <w:rFonts w:cs="Arial"/>
                <w:color w:val="000000"/>
                <w:sz w:val="18"/>
                <w:szCs w:val="18"/>
                <w:lang w:val="de-AT" w:eastAsia="de-AT"/>
              </w:rPr>
              <w:t xml:space="preserve"> AUD   11.224 </w:t>
            </w:r>
          </w:p>
        </w:tc>
      </w:tr>
      <w:tr w:rsidR="007B13DB" w:rsidRPr="00D960EF" w14:paraId="0E6156E8" w14:textId="77777777" w:rsidTr="00E01546">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2295C960" w14:textId="77777777" w:rsidR="007B13DB" w:rsidRPr="00D960EF" w:rsidRDefault="007B13DB" w:rsidP="00D960EF">
            <w:pPr>
              <w:rPr>
                <w:rFonts w:cs="Arial"/>
                <w:color w:val="000000"/>
                <w:sz w:val="18"/>
                <w:szCs w:val="18"/>
                <w:lang w:val="de-AT" w:eastAsia="de-AT"/>
              </w:rPr>
            </w:pPr>
            <w:r w:rsidRPr="00D960EF">
              <w:rPr>
                <w:rFonts w:cs="Arial"/>
                <w:color w:val="000000"/>
                <w:sz w:val="18"/>
                <w:szCs w:val="18"/>
                <w:lang w:val="de-AT" w:eastAsia="de-AT"/>
              </w:rPr>
              <w:t>10</w:t>
            </w:r>
          </w:p>
        </w:tc>
        <w:tc>
          <w:tcPr>
            <w:tcW w:w="1368" w:type="dxa"/>
            <w:tcBorders>
              <w:top w:val="nil"/>
              <w:left w:val="nil"/>
              <w:bottom w:val="single" w:sz="4" w:space="0" w:color="auto"/>
              <w:right w:val="single" w:sz="4" w:space="0" w:color="auto"/>
            </w:tcBorders>
            <w:shd w:val="clear" w:color="auto" w:fill="auto"/>
            <w:noWrap/>
            <w:vAlign w:val="center"/>
            <w:hideMark/>
          </w:tcPr>
          <w:p w14:paraId="675B3FC4" w14:textId="2377AD80" w:rsidR="007B13DB" w:rsidRPr="00D960EF" w:rsidRDefault="007B13DB" w:rsidP="00D960EF">
            <w:pPr>
              <w:rPr>
                <w:rFonts w:cs="Arial"/>
                <w:color w:val="000000"/>
                <w:sz w:val="18"/>
                <w:szCs w:val="18"/>
                <w:lang w:val="de-AT" w:eastAsia="de-AT"/>
              </w:rPr>
            </w:pPr>
            <w:r>
              <w:rPr>
                <w:rFonts w:cs="Arial"/>
                <w:color w:val="000000"/>
                <w:sz w:val="18"/>
                <w:szCs w:val="18"/>
              </w:rPr>
              <w:t xml:space="preserve"> AUD  24.071 </w:t>
            </w:r>
          </w:p>
        </w:tc>
        <w:tc>
          <w:tcPr>
            <w:tcW w:w="1986" w:type="dxa"/>
            <w:tcBorders>
              <w:top w:val="nil"/>
              <w:left w:val="nil"/>
              <w:bottom w:val="single" w:sz="4" w:space="0" w:color="auto"/>
              <w:right w:val="single" w:sz="4" w:space="0" w:color="auto"/>
            </w:tcBorders>
            <w:shd w:val="clear" w:color="auto" w:fill="auto"/>
            <w:noWrap/>
            <w:vAlign w:val="center"/>
            <w:hideMark/>
          </w:tcPr>
          <w:p w14:paraId="32AA1E84" w14:textId="3BA584FC" w:rsidR="007B13DB" w:rsidRPr="00D960EF" w:rsidRDefault="007B13DB" w:rsidP="00C7683B">
            <w:pPr>
              <w:rPr>
                <w:rFonts w:cs="Arial"/>
                <w:color w:val="000000"/>
                <w:sz w:val="18"/>
                <w:szCs w:val="18"/>
                <w:lang w:val="de-AT" w:eastAsia="de-AT"/>
              </w:rPr>
            </w:pPr>
            <w:r w:rsidRPr="00D960EF">
              <w:rPr>
                <w:rFonts w:cs="Arial"/>
                <w:color w:val="000000"/>
                <w:sz w:val="18"/>
                <w:szCs w:val="18"/>
                <w:lang w:val="de-AT" w:eastAsia="de-AT"/>
              </w:rPr>
              <w:t xml:space="preserve"> AUD   1.770 </w:t>
            </w:r>
          </w:p>
        </w:tc>
        <w:tc>
          <w:tcPr>
            <w:tcW w:w="1386" w:type="dxa"/>
            <w:tcBorders>
              <w:top w:val="nil"/>
              <w:left w:val="nil"/>
              <w:bottom w:val="single" w:sz="4" w:space="0" w:color="auto"/>
              <w:right w:val="single" w:sz="8" w:space="0" w:color="auto"/>
            </w:tcBorders>
            <w:shd w:val="clear" w:color="auto" w:fill="auto"/>
            <w:noWrap/>
            <w:vAlign w:val="center"/>
            <w:hideMark/>
          </w:tcPr>
          <w:p w14:paraId="43617F66" w14:textId="55378B9D" w:rsidR="007B13DB" w:rsidRPr="00D960EF" w:rsidRDefault="007B13DB" w:rsidP="00C7683B">
            <w:pPr>
              <w:rPr>
                <w:rFonts w:cs="Arial"/>
                <w:color w:val="000000"/>
                <w:sz w:val="18"/>
                <w:szCs w:val="18"/>
                <w:lang w:val="de-AT" w:eastAsia="de-AT"/>
              </w:rPr>
            </w:pPr>
            <w:r w:rsidRPr="00D960EF">
              <w:rPr>
                <w:rFonts w:cs="Arial"/>
                <w:color w:val="000000"/>
                <w:sz w:val="18"/>
                <w:szCs w:val="18"/>
                <w:lang w:val="de-AT" w:eastAsia="de-AT"/>
              </w:rPr>
              <w:t xml:space="preserve"> AUD   13.522 </w:t>
            </w:r>
          </w:p>
        </w:tc>
      </w:tr>
      <w:tr w:rsidR="007B13DB" w:rsidRPr="00D960EF" w14:paraId="761129C5" w14:textId="77777777" w:rsidTr="00E01546">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474FB682" w14:textId="77777777" w:rsidR="007B13DB" w:rsidRPr="00D960EF" w:rsidRDefault="007B13DB" w:rsidP="00D960EF">
            <w:pPr>
              <w:rPr>
                <w:rFonts w:cs="Arial"/>
                <w:color w:val="000000"/>
                <w:sz w:val="18"/>
                <w:szCs w:val="18"/>
                <w:lang w:val="de-AT" w:eastAsia="de-AT"/>
              </w:rPr>
            </w:pPr>
            <w:r w:rsidRPr="00D960EF">
              <w:rPr>
                <w:rFonts w:cs="Arial"/>
                <w:color w:val="000000"/>
                <w:sz w:val="18"/>
                <w:szCs w:val="18"/>
                <w:lang w:val="de-AT" w:eastAsia="de-AT"/>
              </w:rPr>
              <w:t>11</w:t>
            </w:r>
          </w:p>
        </w:tc>
        <w:tc>
          <w:tcPr>
            <w:tcW w:w="1368" w:type="dxa"/>
            <w:tcBorders>
              <w:top w:val="nil"/>
              <w:left w:val="nil"/>
              <w:bottom w:val="single" w:sz="4" w:space="0" w:color="auto"/>
              <w:right w:val="single" w:sz="4" w:space="0" w:color="auto"/>
            </w:tcBorders>
            <w:shd w:val="clear" w:color="auto" w:fill="auto"/>
            <w:noWrap/>
            <w:vAlign w:val="center"/>
            <w:hideMark/>
          </w:tcPr>
          <w:p w14:paraId="581963DB" w14:textId="7D043F21" w:rsidR="007B13DB" w:rsidRPr="00D960EF" w:rsidRDefault="007B13DB" w:rsidP="00D960EF">
            <w:pPr>
              <w:rPr>
                <w:rFonts w:cs="Arial"/>
                <w:color w:val="000000"/>
                <w:sz w:val="18"/>
                <w:szCs w:val="18"/>
                <w:lang w:val="de-AT" w:eastAsia="de-AT"/>
              </w:rPr>
            </w:pPr>
            <w:r>
              <w:rPr>
                <w:rFonts w:cs="Arial"/>
                <w:color w:val="000000"/>
                <w:sz w:val="18"/>
                <w:szCs w:val="18"/>
              </w:rPr>
              <w:t xml:space="preserve"> AUD  24.102 </w:t>
            </w:r>
          </w:p>
        </w:tc>
        <w:tc>
          <w:tcPr>
            <w:tcW w:w="1986" w:type="dxa"/>
            <w:tcBorders>
              <w:top w:val="nil"/>
              <w:left w:val="nil"/>
              <w:bottom w:val="single" w:sz="4" w:space="0" w:color="auto"/>
              <w:right w:val="single" w:sz="4" w:space="0" w:color="auto"/>
            </w:tcBorders>
            <w:shd w:val="clear" w:color="auto" w:fill="auto"/>
            <w:noWrap/>
            <w:vAlign w:val="center"/>
            <w:hideMark/>
          </w:tcPr>
          <w:p w14:paraId="61189F19" w14:textId="37274936" w:rsidR="007B13DB" w:rsidRPr="00D960EF" w:rsidRDefault="007B13DB" w:rsidP="00D960EF">
            <w:pPr>
              <w:rPr>
                <w:rFonts w:cs="Arial"/>
                <w:color w:val="000000"/>
                <w:sz w:val="18"/>
                <w:szCs w:val="18"/>
                <w:lang w:val="de-AT" w:eastAsia="de-AT"/>
              </w:rPr>
            </w:pPr>
            <w:r w:rsidRPr="00D960EF">
              <w:rPr>
                <w:rFonts w:cs="Arial"/>
                <w:color w:val="000000"/>
                <w:sz w:val="18"/>
                <w:szCs w:val="18"/>
                <w:lang w:val="de-AT" w:eastAsia="de-AT"/>
              </w:rPr>
              <w:t xml:space="preserve"> AUD   1.866 </w:t>
            </w:r>
          </w:p>
        </w:tc>
        <w:tc>
          <w:tcPr>
            <w:tcW w:w="1386" w:type="dxa"/>
            <w:tcBorders>
              <w:top w:val="nil"/>
              <w:left w:val="nil"/>
              <w:bottom w:val="single" w:sz="4" w:space="0" w:color="auto"/>
              <w:right w:val="single" w:sz="8" w:space="0" w:color="auto"/>
            </w:tcBorders>
            <w:shd w:val="clear" w:color="auto" w:fill="auto"/>
            <w:noWrap/>
            <w:vAlign w:val="center"/>
            <w:hideMark/>
          </w:tcPr>
          <w:p w14:paraId="089C7A6C" w14:textId="4EF3E33F" w:rsidR="007B13DB" w:rsidRPr="00D960EF" w:rsidRDefault="007B13DB" w:rsidP="00C7683B">
            <w:pPr>
              <w:rPr>
                <w:rFonts w:cs="Arial"/>
                <w:color w:val="000000"/>
                <w:sz w:val="18"/>
                <w:szCs w:val="18"/>
                <w:lang w:val="de-AT" w:eastAsia="de-AT"/>
              </w:rPr>
            </w:pPr>
            <w:r w:rsidRPr="00D960EF">
              <w:rPr>
                <w:rFonts w:cs="Arial"/>
                <w:color w:val="000000"/>
                <w:sz w:val="18"/>
                <w:szCs w:val="18"/>
                <w:lang w:val="de-AT" w:eastAsia="de-AT"/>
              </w:rPr>
              <w:t xml:space="preserve"> AUD   13.546 </w:t>
            </w:r>
          </w:p>
        </w:tc>
      </w:tr>
      <w:tr w:rsidR="007B13DB" w:rsidRPr="00D960EF" w14:paraId="0D614129" w14:textId="77777777" w:rsidTr="00E01546">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0B7C4EAD" w14:textId="77777777" w:rsidR="007B13DB" w:rsidRPr="00D960EF" w:rsidRDefault="007B13DB" w:rsidP="00D960EF">
            <w:pPr>
              <w:rPr>
                <w:rFonts w:cs="Arial"/>
                <w:color w:val="000000"/>
                <w:sz w:val="18"/>
                <w:szCs w:val="18"/>
                <w:lang w:val="de-AT" w:eastAsia="de-AT"/>
              </w:rPr>
            </w:pPr>
            <w:r w:rsidRPr="00D960EF">
              <w:rPr>
                <w:rFonts w:cs="Arial"/>
                <w:color w:val="000000"/>
                <w:sz w:val="18"/>
                <w:szCs w:val="18"/>
                <w:lang w:val="de-AT" w:eastAsia="de-AT"/>
              </w:rPr>
              <w:t>12</w:t>
            </w:r>
          </w:p>
        </w:tc>
        <w:tc>
          <w:tcPr>
            <w:tcW w:w="1368" w:type="dxa"/>
            <w:tcBorders>
              <w:top w:val="nil"/>
              <w:left w:val="nil"/>
              <w:bottom w:val="single" w:sz="4" w:space="0" w:color="auto"/>
              <w:right w:val="single" w:sz="4" w:space="0" w:color="auto"/>
            </w:tcBorders>
            <w:shd w:val="clear" w:color="auto" w:fill="auto"/>
            <w:noWrap/>
            <w:vAlign w:val="center"/>
            <w:hideMark/>
          </w:tcPr>
          <w:p w14:paraId="3AE2E9BC" w14:textId="6488FF8D" w:rsidR="007B13DB" w:rsidRPr="00D960EF" w:rsidRDefault="007B13DB" w:rsidP="00D960EF">
            <w:pPr>
              <w:rPr>
                <w:rFonts w:cs="Arial"/>
                <w:color w:val="000000"/>
                <w:sz w:val="18"/>
                <w:szCs w:val="18"/>
                <w:lang w:val="de-AT" w:eastAsia="de-AT"/>
              </w:rPr>
            </w:pPr>
            <w:r>
              <w:rPr>
                <w:rFonts w:cs="Arial"/>
                <w:color w:val="000000"/>
                <w:sz w:val="18"/>
                <w:szCs w:val="18"/>
              </w:rPr>
              <w:t xml:space="preserve"> AUD  24.175 </w:t>
            </w:r>
          </w:p>
        </w:tc>
        <w:tc>
          <w:tcPr>
            <w:tcW w:w="1986" w:type="dxa"/>
            <w:tcBorders>
              <w:top w:val="nil"/>
              <w:left w:val="nil"/>
              <w:bottom w:val="single" w:sz="4" w:space="0" w:color="auto"/>
              <w:right w:val="single" w:sz="4" w:space="0" w:color="auto"/>
            </w:tcBorders>
            <w:shd w:val="clear" w:color="auto" w:fill="auto"/>
            <w:noWrap/>
            <w:vAlign w:val="center"/>
            <w:hideMark/>
          </w:tcPr>
          <w:p w14:paraId="2E2DB58D" w14:textId="5E648FDF" w:rsidR="007B13DB" w:rsidRPr="00D960EF" w:rsidRDefault="007B13DB" w:rsidP="00D960EF">
            <w:pPr>
              <w:rPr>
                <w:rFonts w:cs="Arial"/>
                <w:color w:val="000000"/>
                <w:sz w:val="18"/>
                <w:szCs w:val="18"/>
                <w:lang w:val="de-AT" w:eastAsia="de-AT"/>
              </w:rPr>
            </w:pPr>
            <w:r w:rsidRPr="00D960EF">
              <w:rPr>
                <w:rFonts w:cs="Arial"/>
                <w:color w:val="000000"/>
                <w:sz w:val="18"/>
                <w:szCs w:val="18"/>
                <w:lang w:val="de-AT" w:eastAsia="de-AT"/>
              </w:rPr>
              <w:t xml:space="preserve"> AUD   1.959 </w:t>
            </w:r>
          </w:p>
        </w:tc>
        <w:tc>
          <w:tcPr>
            <w:tcW w:w="1386" w:type="dxa"/>
            <w:tcBorders>
              <w:top w:val="nil"/>
              <w:left w:val="nil"/>
              <w:bottom w:val="single" w:sz="4" w:space="0" w:color="auto"/>
              <w:right w:val="single" w:sz="8" w:space="0" w:color="auto"/>
            </w:tcBorders>
            <w:shd w:val="clear" w:color="auto" w:fill="auto"/>
            <w:noWrap/>
            <w:vAlign w:val="center"/>
            <w:hideMark/>
          </w:tcPr>
          <w:p w14:paraId="2A9ABD69" w14:textId="7D61C039" w:rsidR="007B13DB" w:rsidRPr="00D960EF" w:rsidRDefault="007B13DB" w:rsidP="00C7683B">
            <w:pPr>
              <w:rPr>
                <w:rFonts w:cs="Arial"/>
                <w:color w:val="000000"/>
                <w:sz w:val="18"/>
                <w:szCs w:val="18"/>
                <w:lang w:val="de-AT" w:eastAsia="de-AT"/>
              </w:rPr>
            </w:pPr>
            <w:r w:rsidRPr="00D960EF">
              <w:rPr>
                <w:rFonts w:cs="Arial"/>
                <w:color w:val="000000"/>
                <w:sz w:val="18"/>
                <w:szCs w:val="18"/>
                <w:lang w:val="de-AT" w:eastAsia="de-AT"/>
              </w:rPr>
              <w:t xml:space="preserve"> AUD   13.608 </w:t>
            </w:r>
          </w:p>
        </w:tc>
      </w:tr>
      <w:tr w:rsidR="007B13DB" w:rsidRPr="00D960EF" w14:paraId="2981E897" w14:textId="77777777" w:rsidTr="00E01546">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670D7777" w14:textId="77777777" w:rsidR="007B13DB" w:rsidRPr="00D960EF" w:rsidRDefault="007B13DB" w:rsidP="00D960EF">
            <w:pPr>
              <w:rPr>
                <w:rFonts w:cs="Arial"/>
                <w:color w:val="000000"/>
                <w:sz w:val="18"/>
                <w:szCs w:val="18"/>
                <w:lang w:val="de-AT" w:eastAsia="de-AT"/>
              </w:rPr>
            </w:pPr>
            <w:r w:rsidRPr="00D960EF">
              <w:rPr>
                <w:rFonts w:cs="Arial"/>
                <w:color w:val="000000"/>
                <w:sz w:val="18"/>
                <w:szCs w:val="18"/>
                <w:lang w:val="de-AT" w:eastAsia="de-AT"/>
              </w:rPr>
              <w:t>13</w:t>
            </w:r>
          </w:p>
        </w:tc>
        <w:tc>
          <w:tcPr>
            <w:tcW w:w="1368" w:type="dxa"/>
            <w:tcBorders>
              <w:top w:val="nil"/>
              <w:left w:val="nil"/>
              <w:bottom w:val="single" w:sz="4" w:space="0" w:color="auto"/>
              <w:right w:val="single" w:sz="4" w:space="0" w:color="auto"/>
            </w:tcBorders>
            <w:shd w:val="clear" w:color="auto" w:fill="auto"/>
            <w:noWrap/>
            <w:vAlign w:val="center"/>
            <w:hideMark/>
          </w:tcPr>
          <w:p w14:paraId="0AAD0B91" w14:textId="59599C81" w:rsidR="007B13DB" w:rsidRPr="00D960EF" w:rsidRDefault="007B13DB" w:rsidP="00D960EF">
            <w:pPr>
              <w:rPr>
                <w:rFonts w:cs="Arial"/>
                <w:color w:val="000000"/>
                <w:sz w:val="18"/>
                <w:szCs w:val="18"/>
                <w:lang w:val="de-AT" w:eastAsia="de-AT"/>
              </w:rPr>
            </w:pPr>
            <w:r>
              <w:rPr>
                <w:rFonts w:cs="Arial"/>
                <w:color w:val="000000"/>
                <w:sz w:val="18"/>
                <w:szCs w:val="18"/>
              </w:rPr>
              <w:t xml:space="preserve"> AUD  24.205 </w:t>
            </w:r>
          </w:p>
        </w:tc>
        <w:tc>
          <w:tcPr>
            <w:tcW w:w="1986" w:type="dxa"/>
            <w:tcBorders>
              <w:top w:val="nil"/>
              <w:left w:val="nil"/>
              <w:bottom w:val="single" w:sz="4" w:space="0" w:color="auto"/>
              <w:right w:val="single" w:sz="4" w:space="0" w:color="auto"/>
            </w:tcBorders>
            <w:shd w:val="clear" w:color="auto" w:fill="auto"/>
            <w:noWrap/>
            <w:vAlign w:val="center"/>
            <w:hideMark/>
          </w:tcPr>
          <w:p w14:paraId="2BA16C67" w14:textId="72336D35" w:rsidR="007B13DB" w:rsidRPr="00D960EF" w:rsidRDefault="007B13DB" w:rsidP="00D960EF">
            <w:pPr>
              <w:rPr>
                <w:rFonts w:cs="Arial"/>
                <w:color w:val="000000"/>
                <w:sz w:val="18"/>
                <w:szCs w:val="18"/>
                <w:lang w:val="de-AT" w:eastAsia="de-AT"/>
              </w:rPr>
            </w:pPr>
            <w:r w:rsidRPr="00D960EF">
              <w:rPr>
                <w:rFonts w:cs="Arial"/>
                <w:color w:val="000000"/>
                <w:sz w:val="18"/>
                <w:szCs w:val="18"/>
                <w:lang w:val="de-AT" w:eastAsia="de-AT"/>
              </w:rPr>
              <w:t xml:space="preserve"> AUD   2.050 </w:t>
            </w:r>
          </w:p>
        </w:tc>
        <w:tc>
          <w:tcPr>
            <w:tcW w:w="1386" w:type="dxa"/>
            <w:tcBorders>
              <w:top w:val="nil"/>
              <w:left w:val="nil"/>
              <w:bottom w:val="single" w:sz="4" w:space="0" w:color="auto"/>
              <w:right w:val="single" w:sz="8" w:space="0" w:color="auto"/>
            </w:tcBorders>
            <w:shd w:val="clear" w:color="auto" w:fill="auto"/>
            <w:noWrap/>
            <w:vAlign w:val="center"/>
            <w:hideMark/>
          </w:tcPr>
          <w:p w14:paraId="6AC88421" w14:textId="2A1850D5" w:rsidR="007B13DB" w:rsidRPr="00D960EF" w:rsidRDefault="007B13DB" w:rsidP="00C7683B">
            <w:pPr>
              <w:rPr>
                <w:rFonts w:cs="Arial"/>
                <w:color w:val="000000"/>
                <w:sz w:val="18"/>
                <w:szCs w:val="18"/>
                <w:lang w:val="de-AT" w:eastAsia="de-AT"/>
              </w:rPr>
            </w:pPr>
            <w:r w:rsidRPr="00D960EF">
              <w:rPr>
                <w:rFonts w:cs="Arial"/>
                <w:color w:val="000000"/>
                <w:sz w:val="18"/>
                <w:szCs w:val="18"/>
                <w:lang w:val="de-AT" w:eastAsia="de-AT"/>
              </w:rPr>
              <w:t xml:space="preserve"> AUD   13.631 </w:t>
            </w:r>
          </w:p>
        </w:tc>
      </w:tr>
      <w:tr w:rsidR="007B13DB" w:rsidRPr="00D960EF" w14:paraId="05EE14AE" w14:textId="77777777" w:rsidTr="00E01546">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77C4B368" w14:textId="77777777" w:rsidR="007B13DB" w:rsidRPr="00D960EF" w:rsidRDefault="007B13DB" w:rsidP="00D960EF">
            <w:pPr>
              <w:rPr>
                <w:rFonts w:cs="Arial"/>
                <w:color w:val="000000"/>
                <w:sz w:val="18"/>
                <w:szCs w:val="18"/>
                <w:lang w:val="de-AT" w:eastAsia="de-AT"/>
              </w:rPr>
            </w:pPr>
            <w:r w:rsidRPr="00D960EF">
              <w:rPr>
                <w:rFonts w:cs="Arial"/>
                <w:color w:val="000000"/>
                <w:sz w:val="18"/>
                <w:szCs w:val="18"/>
                <w:lang w:val="de-AT" w:eastAsia="de-AT"/>
              </w:rPr>
              <w:t>14</w:t>
            </w:r>
          </w:p>
        </w:tc>
        <w:tc>
          <w:tcPr>
            <w:tcW w:w="1368" w:type="dxa"/>
            <w:tcBorders>
              <w:top w:val="nil"/>
              <w:left w:val="nil"/>
              <w:bottom w:val="single" w:sz="4" w:space="0" w:color="auto"/>
              <w:right w:val="single" w:sz="4" w:space="0" w:color="auto"/>
            </w:tcBorders>
            <w:shd w:val="clear" w:color="auto" w:fill="auto"/>
            <w:noWrap/>
            <w:vAlign w:val="center"/>
            <w:hideMark/>
          </w:tcPr>
          <w:p w14:paraId="502392B8" w14:textId="73A3957C" w:rsidR="007B13DB" w:rsidRPr="00D960EF" w:rsidRDefault="007B13DB" w:rsidP="00D960EF">
            <w:pPr>
              <w:rPr>
                <w:rFonts w:cs="Arial"/>
                <w:color w:val="000000"/>
                <w:sz w:val="18"/>
                <w:szCs w:val="18"/>
                <w:lang w:val="de-AT" w:eastAsia="de-AT"/>
              </w:rPr>
            </w:pPr>
            <w:r>
              <w:rPr>
                <w:rFonts w:cs="Arial"/>
                <w:color w:val="000000"/>
                <w:sz w:val="18"/>
                <w:szCs w:val="18"/>
              </w:rPr>
              <w:t xml:space="preserve"> AUD  24.274 </w:t>
            </w:r>
          </w:p>
        </w:tc>
        <w:tc>
          <w:tcPr>
            <w:tcW w:w="1986" w:type="dxa"/>
            <w:tcBorders>
              <w:top w:val="nil"/>
              <w:left w:val="nil"/>
              <w:bottom w:val="single" w:sz="4" w:space="0" w:color="auto"/>
              <w:right w:val="single" w:sz="4" w:space="0" w:color="auto"/>
            </w:tcBorders>
            <w:shd w:val="clear" w:color="auto" w:fill="auto"/>
            <w:noWrap/>
            <w:vAlign w:val="center"/>
            <w:hideMark/>
          </w:tcPr>
          <w:p w14:paraId="7FC07315" w14:textId="40F8BBE8" w:rsidR="007B13DB" w:rsidRPr="00D960EF" w:rsidRDefault="007B13DB" w:rsidP="00D960EF">
            <w:pPr>
              <w:rPr>
                <w:rFonts w:cs="Arial"/>
                <w:color w:val="000000"/>
                <w:sz w:val="18"/>
                <w:szCs w:val="18"/>
                <w:lang w:val="de-AT" w:eastAsia="de-AT"/>
              </w:rPr>
            </w:pPr>
            <w:r w:rsidRPr="00D960EF">
              <w:rPr>
                <w:rFonts w:cs="Arial"/>
                <w:color w:val="000000"/>
                <w:sz w:val="18"/>
                <w:szCs w:val="18"/>
                <w:lang w:val="de-AT" w:eastAsia="de-AT"/>
              </w:rPr>
              <w:t xml:space="preserve"> AUD   2.138 </w:t>
            </w:r>
          </w:p>
        </w:tc>
        <w:tc>
          <w:tcPr>
            <w:tcW w:w="1386" w:type="dxa"/>
            <w:tcBorders>
              <w:top w:val="nil"/>
              <w:left w:val="nil"/>
              <w:bottom w:val="single" w:sz="4" w:space="0" w:color="auto"/>
              <w:right w:val="single" w:sz="8" w:space="0" w:color="auto"/>
            </w:tcBorders>
            <w:shd w:val="clear" w:color="auto" w:fill="auto"/>
            <w:noWrap/>
            <w:vAlign w:val="center"/>
            <w:hideMark/>
          </w:tcPr>
          <w:p w14:paraId="150BEF75" w14:textId="01E1B41B" w:rsidR="007B13DB" w:rsidRPr="00D960EF" w:rsidRDefault="007B13DB" w:rsidP="00C7683B">
            <w:pPr>
              <w:rPr>
                <w:rFonts w:cs="Arial"/>
                <w:color w:val="000000"/>
                <w:sz w:val="18"/>
                <w:szCs w:val="18"/>
                <w:lang w:val="de-AT" w:eastAsia="de-AT"/>
              </w:rPr>
            </w:pPr>
            <w:r w:rsidRPr="00D960EF">
              <w:rPr>
                <w:rFonts w:cs="Arial"/>
                <w:color w:val="000000"/>
                <w:sz w:val="18"/>
                <w:szCs w:val="18"/>
                <w:lang w:val="de-AT" w:eastAsia="de-AT"/>
              </w:rPr>
              <w:t xml:space="preserve"> AUD   13.689 </w:t>
            </w:r>
          </w:p>
        </w:tc>
      </w:tr>
      <w:tr w:rsidR="007B13DB" w:rsidRPr="00D960EF" w14:paraId="15B60445" w14:textId="77777777" w:rsidTr="00E01546">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199BFB08" w14:textId="77777777" w:rsidR="007B13DB" w:rsidRPr="00D960EF" w:rsidRDefault="007B13DB" w:rsidP="00D960EF">
            <w:pPr>
              <w:rPr>
                <w:rFonts w:cs="Arial"/>
                <w:color w:val="000000"/>
                <w:sz w:val="18"/>
                <w:szCs w:val="18"/>
                <w:lang w:val="de-AT" w:eastAsia="de-AT"/>
              </w:rPr>
            </w:pPr>
            <w:r w:rsidRPr="00D960EF">
              <w:rPr>
                <w:rFonts w:cs="Arial"/>
                <w:color w:val="000000"/>
                <w:sz w:val="18"/>
                <w:szCs w:val="18"/>
                <w:lang w:val="de-AT" w:eastAsia="de-AT"/>
              </w:rPr>
              <w:t>15</w:t>
            </w:r>
          </w:p>
        </w:tc>
        <w:tc>
          <w:tcPr>
            <w:tcW w:w="1368" w:type="dxa"/>
            <w:tcBorders>
              <w:top w:val="nil"/>
              <w:left w:val="nil"/>
              <w:bottom w:val="single" w:sz="4" w:space="0" w:color="auto"/>
              <w:right w:val="single" w:sz="4" w:space="0" w:color="auto"/>
            </w:tcBorders>
            <w:shd w:val="clear" w:color="auto" w:fill="auto"/>
            <w:noWrap/>
            <w:vAlign w:val="center"/>
            <w:hideMark/>
          </w:tcPr>
          <w:p w14:paraId="0FFA0EA4" w14:textId="61CAFF3C" w:rsidR="007B13DB" w:rsidRPr="00D960EF" w:rsidRDefault="007B13DB" w:rsidP="00D960EF">
            <w:pPr>
              <w:rPr>
                <w:rFonts w:cs="Arial"/>
                <w:color w:val="000000"/>
                <w:sz w:val="18"/>
                <w:szCs w:val="18"/>
                <w:lang w:val="de-AT" w:eastAsia="de-AT"/>
              </w:rPr>
            </w:pPr>
            <w:r>
              <w:rPr>
                <w:rFonts w:cs="Arial"/>
                <w:color w:val="000000"/>
                <w:sz w:val="18"/>
                <w:szCs w:val="18"/>
              </w:rPr>
              <w:t xml:space="preserve"> AUD  24.301 </w:t>
            </w:r>
          </w:p>
        </w:tc>
        <w:tc>
          <w:tcPr>
            <w:tcW w:w="1986" w:type="dxa"/>
            <w:tcBorders>
              <w:top w:val="nil"/>
              <w:left w:val="nil"/>
              <w:bottom w:val="single" w:sz="4" w:space="0" w:color="auto"/>
              <w:right w:val="single" w:sz="4" w:space="0" w:color="auto"/>
            </w:tcBorders>
            <w:shd w:val="clear" w:color="auto" w:fill="auto"/>
            <w:noWrap/>
            <w:vAlign w:val="center"/>
            <w:hideMark/>
          </w:tcPr>
          <w:p w14:paraId="07106DEB" w14:textId="4F61D6A0" w:rsidR="007B13DB" w:rsidRPr="00D960EF" w:rsidRDefault="007B13DB" w:rsidP="00C7683B">
            <w:pPr>
              <w:rPr>
                <w:rFonts w:cs="Arial"/>
                <w:color w:val="000000"/>
                <w:sz w:val="18"/>
                <w:szCs w:val="18"/>
                <w:lang w:val="de-AT" w:eastAsia="de-AT"/>
              </w:rPr>
            </w:pPr>
            <w:r w:rsidRPr="00D960EF">
              <w:rPr>
                <w:rFonts w:cs="Arial"/>
                <w:color w:val="000000"/>
                <w:sz w:val="18"/>
                <w:szCs w:val="18"/>
                <w:lang w:val="de-AT" w:eastAsia="de-AT"/>
              </w:rPr>
              <w:t xml:space="preserve"> AUD</w:t>
            </w:r>
            <w:r w:rsidR="00C7683B">
              <w:rPr>
                <w:rFonts w:cs="Arial"/>
                <w:color w:val="000000"/>
                <w:sz w:val="18"/>
                <w:szCs w:val="18"/>
                <w:lang w:val="de-AT" w:eastAsia="de-AT"/>
              </w:rPr>
              <w:t xml:space="preserve">   </w:t>
            </w:r>
            <w:r w:rsidRPr="00D960EF">
              <w:rPr>
                <w:rFonts w:cs="Arial"/>
                <w:color w:val="000000"/>
                <w:sz w:val="18"/>
                <w:szCs w:val="18"/>
                <w:lang w:val="de-AT" w:eastAsia="de-AT"/>
              </w:rPr>
              <w:t xml:space="preserve">2.224 </w:t>
            </w:r>
          </w:p>
        </w:tc>
        <w:tc>
          <w:tcPr>
            <w:tcW w:w="1386" w:type="dxa"/>
            <w:tcBorders>
              <w:top w:val="nil"/>
              <w:left w:val="nil"/>
              <w:bottom w:val="single" w:sz="4" w:space="0" w:color="auto"/>
              <w:right w:val="single" w:sz="8" w:space="0" w:color="auto"/>
            </w:tcBorders>
            <w:shd w:val="clear" w:color="auto" w:fill="auto"/>
            <w:noWrap/>
            <w:vAlign w:val="center"/>
            <w:hideMark/>
          </w:tcPr>
          <w:p w14:paraId="1C5576A9" w14:textId="4AC7102D" w:rsidR="007B13DB" w:rsidRPr="00D960EF" w:rsidRDefault="007B13DB" w:rsidP="00C7683B">
            <w:pPr>
              <w:rPr>
                <w:rFonts w:cs="Arial"/>
                <w:color w:val="000000"/>
                <w:sz w:val="18"/>
                <w:szCs w:val="18"/>
                <w:lang w:val="de-AT" w:eastAsia="de-AT"/>
              </w:rPr>
            </w:pPr>
            <w:r w:rsidRPr="00D960EF">
              <w:rPr>
                <w:rFonts w:cs="Arial"/>
                <w:color w:val="000000"/>
                <w:sz w:val="18"/>
                <w:szCs w:val="18"/>
                <w:lang w:val="de-AT" w:eastAsia="de-AT"/>
              </w:rPr>
              <w:t xml:space="preserve"> AUD   13.711 </w:t>
            </w:r>
          </w:p>
        </w:tc>
      </w:tr>
      <w:tr w:rsidR="007B13DB" w:rsidRPr="00D960EF" w14:paraId="3C38958D" w14:textId="77777777" w:rsidTr="00E01546">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02CE7A80" w14:textId="77777777" w:rsidR="007B13DB" w:rsidRPr="00D960EF" w:rsidRDefault="007B13DB" w:rsidP="00D960EF">
            <w:pPr>
              <w:rPr>
                <w:rFonts w:cs="Arial"/>
                <w:color w:val="000000"/>
                <w:sz w:val="18"/>
                <w:szCs w:val="18"/>
                <w:lang w:val="de-AT" w:eastAsia="de-AT"/>
              </w:rPr>
            </w:pPr>
            <w:r w:rsidRPr="00D960EF">
              <w:rPr>
                <w:rFonts w:cs="Arial"/>
                <w:color w:val="000000"/>
                <w:sz w:val="18"/>
                <w:szCs w:val="18"/>
                <w:lang w:val="de-AT" w:eastAsia="de-AT"/>
              </w:rPr>
              <w:t>16</w:t>
            </w:r>
          </w:p>
        </w:tc>
        <w:tc>
          <w:tcPr>
            <w:tcW w:w="1368" w:type="dxa"/>
            <w:tcBorders>
              <w:top w:val="nil"/>
              <w:left w:val="nil"/>
              <w:bottom w:val="single" w:sz="4" w:space="0" w:color="auto"/>
              <w:right w:val="single" w:sz="4" w:space="0" w:color="auto"/>
            </w:tcBorders>
            <w:shd w:val="clear" w:color="auto" w:fill="auto"/>
            <w:noWrap/>
            <w:vAlign w:val="center"/>
            <w:hideMark/>
          </w:tcPr>
          <w:p w14:paraId="463E3327" w14:textId="1BCE00E9" w:rsidR="007B13DB" w:rsidRPr="00D960EF" w:rsidRDefault="007B13DB" w:rsidP="00D960EF">
            <w:pPr>
              <w:rPr>
                <w:rFonts w:cs="Arial"/>
                <w:color w:val="000000"/>
                <w:sz w:val="18"/>
                <w:szCs w:val="18"/>
                <w:lang w:val="de-AT" w:eastAsia="de-AT"/>
              </w:rPr>
            </w:pPr>
            <w:r>
              <w:rPr>
                <w:rFonts w:cs="Arial"/>
                <w:color w:val="000000"/>
                <w:sz w:val="18"/>
                <w:szCs w:val="18"/>
              </w:rPr>
              <w:t xml:space="preserve"> AUD  24.367 </w:t>
            </w:r>
          </w:p>
        </w:tc>
        <w:tc>
          <w:tcPr>
            <w:tcW w:w="1986" w:type="dxa"/>
            <w:tcBorders>
              <w:top w:val="nil"/>
              <w:left w:val="nil"/>
              <w:bottom w:val="single" w:sz="4" w:space="0" w:color="auto"/>
              <w:right w:val="single" w:sz="4" w:space="0" w:color="auto"/>
            </w:tcBorders>
            <w:shd w:val="clear" w:color="auto" w:fill="auto"/>
            <w:noWrap/>
            <w:vAlign w:val="center"/>
            <w:hideMark/>
          </w:tcPr>
          <w:p w14:paraId="5B3D30EA" w14:textId="056E4028" w:rsidR="007B13DB" w:rsidRPr="00D960EF" w:rsidRDefault="007B13DB" w:rsidP="00C7683B">
            <w:pPr>
              <w:rPr>
                <w:rFonts w:cs="Arial"/>
                <w:color w:val="000000"/>
                <w:sz w:val="18"/>
                <w:szCs w:val="18"/>
                <w:lang w:val="de-AT" w:eastAsia="de-AT"/>
              </w:rPr>
            </w:pPr>
            <w:r w:rsidRPr="00D960EF">
              <w:rPr>
                <w:rFonts w:cs="Arial"/>
                <w:color w:val="000000"/>
                <w:sz w:val="18"/>
                <w:szCs w:val="18"/>
                <w:lang w:val="de-AT" w:eastAsia="de-AT"/>
              </w:rPr>
              <w:t xml:space="preserve"> AUD</w:t>
            </w:r>
            <w:r w:rsidR="00C7683B">
              <w:rPr>
                <w:rFonts w:cs="Arial"/>
                <w:color w:val="000000"/>
                <w:sz w:val="18"/>
                <w:szCs w:val="18"/>
                <w:lang w:val="de-AT" w:eastAsia="de-AT"/>
              </w:rPr>
              <w:t xml:space="preserve">   </w:t>
            </w:r>
            <w:r w:rsidRPr="00D960EF">
              <w:rPr>
                <w:rFonts w:cs="Arial"/>
                <w:color w:val="000000"/>
                <w:sz w:val="18"/>
                <w:szCs w:val="18"/>
                <w:lang w:val="de-AT" w:eastAsia="de-AT"/>
              </w:rPr>
              <w:t xml:space="preserve">2.307 </w:t>
            </w:r>
          </w:p>
        </w:tc>
        <w:tc>
          <w:tcPr>
            <w:tcW w:w="1386" w:type="dxa"/>
            <w:tcBorders>
              <w:top w:val="nil"/>
              <w:left w:val="nil"/>
              <w:bottom w:val="single" w:sz="4" w:space="0" w:color="auto"/>
              <w:right w:val="single" w:sz="8" w:space="0" w:color="auto"/>
            </w:tcBorders>
            <w:shd w:val="clear" w:color="auto" w:fill="auto"/>
            <w:noWrap/>
            <w:vAlign w:val="center"/>
            <w:hideMark/>
          </w:tcPr>
          <w:p w14:paraId="558A785E" w14:textId="51C47A2C" w:rsidR="007B13DB" w:rsidRPr="00D960EF" w:rsidRDefault="007B13DB" w:rsidP="00C7683B">
            <w:pPr>
              <w:rPr>
                <w:rFonts w:cs="Arial"/>
                <w:color w:val="000000"/>
                <w:sz w:val="18"/>
                <w:szCs w:val="18"/>
                <w:lang w:val="de-AT" w:eastAsia="de-AT"/>
              </w:rPr>
            </w:pPr>
            <w:r w:rsidRPr="00D960EF">
              <w:rPr>
                <w:rFonts w:cs="Arial"/>
                <w:color w:val="000000"/>
                <w:sz w:val="18"/>
                <w:szCs w:val="18"/>
                <w:lang w:val="de-AT" w:eastAsia="de-AT"/>
              </w:rPr>
              <w:t xml:space="preserve"> AUD   13.765 </w:t>
            </w:r>
          </w:p>
        </w:tc>
      </w:tr>
      <w:tr w:rsidR="007B13DB" w:rsidRPr="00D960EF" w14:paraId="7CD2F44A" w14:textId="77777777" w:rsidTr="00E01546">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61CE0F2C" w14:textId="77777777" w:rsidR="007B13DB" w:rsidRPr="00D960EF" w:rsidRDefault="007B13DB" w:rsidP="00D960EF">
            <w:pPr>
              <w:rPr>
                <w:rFonts w:cs="Arial"/>
                <w:color w:val="000000"/>
                <w:sz w:val="18"/>
                <w:szCs w:val="18"/>
                <w:lang w:val="de-AT" w:eastAsia="de-AT"/>
              </w:rPr>
            </w:pPr>
            <w:r w:rsidRPr="00D960EF">
              <w:rPr>
                <w:rFonts w:cs="Arial"/>
                <w:color w:val="000000"/>
                <w:sz w:val="18"/>
                <w:szCs w:val="18"/>
                <w:lang w:val="de-AT" w:eastAsia="de-AT"/>
              </w:rPr>
              <w:t>17</w:t>
            </w:r>
          </w:p>
        </w:tc>
        <w:tc>
          <w:tcPr>
            <w:tcW w:w="1368" w:type="dxa"/>
            <w:tcBorders>
              <w:top w:val="nil"/>
              <w:left w:val="nil"/>
              <w:bottom w:val="single" w:sz="4" w:space="0" w:color="auto"/>
              <w:right w:val="single" w:sz="4" w:space="0" w:color="auto"/>
            </w:tcBorders>
            <w:shd w:val="clear" w:color="auto" w:fill="auto"/>
            <w:noWrap/>
            <w:vAlign w:val="center"/>
            <w:hideMark/>
          </w:tcPr>
          <w:p w14:paraId="3928F9BB" w14:textId="78563402" w:rsidR="007B13DB" w:rsidRPr="00D960EF" w:rsidRDefault="007B13DB" w:rsidP="00D960EF">
            <w:pPr>
              <w:rPr>
                <w:rFonts w:cs="Arial"/>
                <w:color w:val="000000"/>
                <w:sz w:val="18"/>
                <w:szCs w:val="18"/>
                <w:lang w:val="de-AT" w:eastAsia="de-AT"/>
              </w:rPr>
            </w:pPr>
            <w:r>
              <w:rPr>
                <w:rFonts w:cs="Arial"/>
                <w:color w:val="000000"/>
                <w:sz w:val="18"/>
                <w:szCs w:val="18"/>
              </w:rPr>
              <w:t xml:space="preserve"> AUD  24.393 </w:t>
            </w:r>
          </w:p>
        </w:tc>
        <w:tc>
          <w:tcPr>
            <w:tcW w:w="1986" w:type="dxa"/>
            <w:tcBorders>
              <w:top w:val="nil"/>
              <w:left w:val="nil"/>
              <w:bottom w:val="single" w:sz="4" w:space="0" w:color="auto"/>
              <w:right w:val="single" w:sz="4" w:space="0" w:color="auto"/>
            </w:tcBorders>
            <w:shd w:val="clear" w:color="auto" w:fill="auto"/>
            <w:noWrap/>
            <w:vAlign w:val="center"/>
            <w:hideMark/>
          </w:tcPr>
          <w:p w14:paraId="7401403D" w14:textId="5D1ABA00" w:rsidR="007B13DB" w:rsidRPr="00D960EF" w:rsidRDefault="007B13DB" w:rsidP="00D960EF">
            <w:pPr>
              <w:rPr>
                <w:rFonts w:cs="Arial"/>
                <w:color w:val="000000"/>
                <w:sz w:val="18"/>
                <w:szCs w:val="18"/>
                <w:lang w:val="de-AT" w:eastAsia="de-AT"/>
              </w:rPr>
            </w:pPr>
            <w:r w:rsidRPr="00D960EF">
              <w:rPr>
                <w:rFonts w:cs="Arial"/>
                <w:color w:val="000000"/>
                <w:sz w:val="18"/>
                <w:szCs w:val="18"/>
                <w:lang w:val="de-AT" w:eastAsia="de-AT"/>
              </w:rPr>
              <w:t xml:space="preserve"> AUD   2.387 </w:t>
            </w:r>
          </w:p>
        </w:tc>
        <w:tc>
          <w:tcPr>
            <w:tcW w:w="1386" w:type="dxa"/>
            <w:tcBorders>
              <w:top w:val="nil"/>
              <w:left w:val="nil"/>
              <w:bottom w:val="single" w:sz="4" w:space="0" w:color="auto"/>
              <w:right w:val="single" w:sz="8" w:space="0" w:color="auto"/>
            </w:tcBorders>
            <w:shd w:val="clear" w:color="auto" w:fill="auto"/>
            <w:noWrap/>
            <w:vAlign w:val="center"/>
            <w:hideMark/>
          </w:tcPr>
          <w:p w14:paraId="6F0A6509" w14:textId="798FC312" w:rsidR="007B13DB" w:rsidRPr="00D960EF" w:rsidRDefault="007B13DB" w:rsidP="00C7683B">
            <w:pPr>
              <w:rPr>
                <w:rFonts w:cs="Arial"/>
                <w:color w:val="000000"/>
                <w:sz w:val="18"/>
                <w:szCs w:val="18"/>
                <w:lang w:val="de-AT" w:eastAsia="de-AT"/>
              </w:rPr>
            </w:pPr>
            <w:r w:rsidRPr="00D960EF">
              <w:rPr>
                <w:rFonts w:cs="Arial"/>
                <w:color w:val="000000"/>
                <w:sz w:val="18"/>
                <w:szCs w:val="18"/>
                <w:lang w:val="de-AT" w:eastAsia="de-AT"/>
              </w:rPr>
              <w:t xml:space="preserve"> AUD   13.786 </w:t>
            </w:r>
          </w:p>
        </w:tc>
      </w:tr>
      <w:tr w:rsidR="007B13DB" w:rsidRPr="00D960EF" w14:paraId="135B4E4B" w14:textId="77777777" w:rsidTr="00E01546">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43F2BBFC" w14:textId="77777777" w:rsidR="007B13DB" w:rsidRPr="00D960EF" w:rsidRDefault="007B13DB" w:rsidP="00D960EF">
            <w:pPr>
              <w:rPr>
                <w:rFonts w:cs="Arial"/>
                <w:color w:val="000000"/>
                <w:sz w:val="18"/>
                <w:szCs w:val="18"/>
                <w:lang w:val="de-AT" w:eastAsia="de-AT"/>
              </w:rPr>
            </w:pPr>
            <w:r w:rsidRPr="00D960EF">
              <w:rPr>
                <w:rFonts w:cs="Arial"/>
                <w:color w:val="000000"/>
                <w:sz w:val="18"/>
                <w:szCs w:val="18"/>
                <w:lang w:val="de-AT" w:eastAsia="de-AT"/>
              </w:rPr>
              <w:t>18</w:t>
            </w:r>
          </w:p>
        </w:tc>
        <w:tc>
          <w:tcPr>
            <w:tcW w:w="1368" w:type="dxa"/>
            <w:tcBorders>
              <w:top w:val="nil"/>
              <w:left w:val="nil"/>
              <w:bottom w:val="single" w:sz="4" w:space="0" w:color="auto"/>
              <w:right w:val="single" w:sz="4" w:space="0" w:color="auto"/>
            </w:tcBorders>
            <w:shd w:val="clear" w:color="auto" w:fill="auto"/>
            <w:noWrap/>
            <w:vAlign w:val="center"/>
            <w:hideMark/>
          </w:tcPr>
          <w:p w14:paraId="52228B30" w14:textId="51F02832" w:rsidR="007B13DB" w:rsidRPr="00D960EF" w:rsidRDefault="007B13DB" w:rsidP="00D960EF">
            <w:pPr>
              <w:rPr>
                <w:rFonts w:cs="Arial"/>
                <w:color w:val="000000"/>
                <w:sz w:val="18"/>
                <w:szCs w:val="18"/>
                <w:lang w:val="de-AT" w:eastAsia="de-AT"/>
              </w:rPr>
            </w:pPr>
            <w:r>
              <w:rPr>
                <w:rFonts w:cs="Arial"/>
                <w:color w:val="000000"/>
                <w:sz w:val="18"/>
                <w:szCs w:val="18"/>
              </w:rPr>
              <w:t xml:space="preserve"> AUD  24.454 </w:t>
            </w:r>
          </w:p>
        </w:tc>
        <w:tc>
          <w:tcPr>
            <w:tcW w:w="1986" w:type="dxa"/>
            <w:tcBorders>
              <w:top w:val="nil"/>
              <w:left w:val="nil"/>
              <w:bottom w:val="single" w:sz="4" w:space="0" w:color="auto"/>
              <w:right w:val="single" w:sz="4" w:space="0" w:color="auto"/>
            </w:tcBorders>
            <w:shd w:val="clear" w:color="auto" w:fill="auto"/>
            <w:noWrap/>
            <w:vAlign w:val="center"/>
            <w:hideMark/>
          </w:tcPr>
          <w:p w14:paraId="124285B6" w14:textId="759BB48A" w:rsidR="007B13DB" w:rsidRPr="00D960EF" w:rsidRDefault="007B13DB" w:rsidP="00D960EF">
            <w:pPr>
              <w:rPr>
                <w:rFonts w:cs="Arial"/>
                <w:color w:val="000000"/>
                <w:sz w:val="18"/>
                <w:szCs w:val="18"/>
                <w:lang w:val="de-AT" w:eastAsia="de-AT"/>
              </w:rPr>
            </w:pPr>
            <w:r w:rsidRPr="00D960EF">
              <w:rPr>
                <w:rFonts w:cs="Arial"/>
                <w:color w:val="000000"/>
                <w:sz w:val="18"/>
                <w:szCs w:val="18"/>
                <w:lang w:val="de-AT" w:eastAsia="de-AT"/>
              </w:rPr>
              <w:t xml:space="preserve"> AUD   2.465 </w:t>
            </w:r>
          </w:p>
        </w:tc>
        <w:tc>
          <w:tcPr>
            <w:tcW w:w="1386" w:type="dxa"/>
            <w:tcBorders>
              <w:top w:val="nil"/>
              <w:left w:val="nil"/>
              <w:bottom w:val="single" w:sz="4" w:space="0" w:color="auto"/>
              <w:right w:val="single" w:sz="8" w:space="0" w:color="auto"/>
            </w:tcBorders>
            <w:shd w:val="clear" w:color="auto" w:fill="auto"/>
            <w:noWrap/>
            <w:vAlign w:val="center"/>
            <w:hideMark/>
          </w:tcPr>
          <w:p w14:paraId="1D103F5B" w14:textId="1B3B889F" w:rsidR="007B13DB" w:rsidRPr="00D960EF" w:rsidRDefault="007B13DB" w:rsidP="00C7683B">
            <w:pPr>
              <w:rPr>
                <w:rFonts w:cs="Arial"/>
                <w:color w:val="000000"/>
                <w:sz w:val="18"/>
                <w:szCs w:val="18"/>
                <w:lang w:val="de-AT" w:eastAsia="de-AT"/>
              </w:rPr>
            </w:pPr>
            <w:r w:rsidRPr="00D960EF">
              <w:rPr>
                <w:rFonts w:cs="Arial"/>
                <w:color w:val="000000"/>
                <w:sz w:val="18"/>
                <w:szCs w:val="18"/>
                <w:lang w:val="de-AT" w:eastAsia="de-AT"/>
              </w:rPr>
              <w:t xml:space="preserve"> AUD   13.837 </w:t>
            </w:r>
          </w:p>
        </w:tc>
      </w:tr>
      <w:tr w:rsidR="007B13DB" w:rsidRPr="00D960EF" w14:paraId="01D539ED" w14:textId="77777777" w:rsidTr="00E01546">
        <w:trPr>
          <w:trHeight w:val="300"/>
          <w:jc w:val="center"/>
        </w:trPr>
        <w:tc>
          <w:tcPr>
            <w:tcW w:w="960" w:type="dxa"/>
            <w:tcBorders>
              <w:top w:val="nil"/>
              <w:left w:val="single" w:sz="8" w:space="0" w:color="auto"/>
              <w:bottom w:val="single" w:sz="8" w:space="0" w:color="auto"/>
              <w:right w:val="single" w:sz="4" w:space="0" w:color="auto"/>
            </w:tcBorders>
            <w:shd w:val="clear" w:color="auto" w:fill="auto"/>
            <w:noWrap/>
            <w:vAlign w:val="center"/>
            <w:hideMark/>
          </w:tcPr>
          <w:p w14:paraId="30D74A9F" w14:textId="77777777" w:rsidR="007B13DB" w:rsidRPr="00D960EF" w:rsidRDefault="007B13DB" w:rsidP="00D960EF">
            <w:pPr>
              <w:rPr>
                <w:rFonts w:cs="Arial"/>
                <w:color w:val="000000"/>
                <w:sz w:val="18"/>
                <w:szCs w:val="18"/>
                <w:lang w:val="de-AT" w:eastAsia="de-AT"/>
              </w:rPr>
            </w:pPr>
            <w:r w:rsidRPr="00D960EF">
              <w:rPr>
                <w:rFonts w:cs="Arial"/>
                <w:color w:val="000000"/>
                <w:sz w:val="18"/>
                <w:szCs w:val="18"/>
                <w:lang w:val="de-AT" w:eastAsia="de-AT"/>
              </w:rPr>
              <w:t>19</w:t>
            </w:r>
          </w:p>
        </w:tc>
        <w:tc>
          <w:tcPr>
            <w:tcW w:w="1368" w:type="dxa"/>
            <w:tcBorders>
              <w:top w:val="nil"/>
              <w:left w:val="nil"/>
              <w:bottom w:val="single" w:sz="8" w:space="0" w:color="auto"/>
              <w:right w:val="single" w:sz="4" w:space="0" w:color="auto"/>
            </w:tcBorders>
            <w:shd w:val="clear" w:color="auto" w:fill="auto"/>
            <w:noWrap/>
            <w:vAlign w:val="center"/>
            <w:hideMark/>
          </w:tcPr>
          <w:p w14:paraId="4E567227" w14:textId="7350243F" w:rsidR="007B13DB" w:rsidRPr="00D960EF" w:rsidRDefault="007B13DB" w:rsidP="00D960EF">
            <w:pPr>
              <w:rPr>
                <w:rFonts w:cs="Arial"/>
                <w:color w:val="000000"/>
                <w:sz w:val="18"/>
                <w:szCs w:val="18"/>
                <w:lang w:val="de-AT" w:eastAsia="de-AT"/>
              </w:rPr>
            </w:pPr>
            <w:r>
              <w:rPr>
                <w:rFonts w:cs="Arial"/>
                <w:color w:val="000000"/>
                <w:sz w:val="18"/>
                <w:szCs w:val="18"/>
              </w:rPr>
              <w:t xml:space="preserve"> AUD  24.468 </w:t>
            </w:r>
          </w:p>
        </w:tc>
        <w:tc>
          <w:tcPr>
            <w:tcW w:w="1986" w:type="dxa"/>
            <w:tcBorders>
              <w:top w:val="nil"/>
              <w:left w:val="nil"/>
              <w:bottom w:val="single" w:sz="8" w:space="0" w:color="auto"/>
              <w:right w:val="single" w:sz="4" w:space="0" w:color="auto"/>
            </w:tcBorders>
            <w:shd w:val="clear" w:color="auto" w:fill="auto"/>
            <w:noWrap/>
            <w:vAlign w:val="center"/>
            <w:hideMark/>
          </w:tcPr>
          <w:p w14:paraId="65662B71" w14:textId="5A7A6E7E" w:rsidR="007B13DB" w:rsidRPr="00D960EF" w:rsidRDefault="007B13DB" w:rsidP="00D960EF">
            <w:pPr>
              <w:rPr>
                <w:rFonts w:cs="Arial"/>
                <w:color w:val="000000"/>
                <w:sz w:val="18"/>
                <w:szCs w:val="18"/>
                <w:lang w:val="de-AT" w:eastAsia="de-AT"/>
              </w:rPr>
            </w:pPr>
            <w:r w:rsidRPr="00D960EF">
              <w:rPr>
                <w:rFonts w:cs="Arial"/>
                <w:color w:val="000000"/>
                <w:sz w:val="18"/>
                <w:szCs w:val="18"/>
                <w:lang w:val="de-AT" w:eastAsia="de-AT"/>
              </w:rPr>
              <w:t xml:space="preserve"> AUD   2.541 </w:t>
            </w:r>
          </w:p>
        </w:tc>
        <w:tc>
          <w:tcPr>
            <w:tcW w:w="1386" w:type="dxa"/>
            <w:tcBorders>
              <w:top w:val="nil"/>
              <w:left w:val="nil"/>
              <w:bottom w:val="single" w:sz="8" w:space="0" w:color="auto"/>
              <w:right w:val="single" w:sz="8" w:space="0" w:color="auto"/>
            </w:tcBorders>
            <w:shd w:val="clear" w:color="auto" w:fill="auto"/>
            <w:noWrap/>
            <w:vAlign w:val="center"/>
            <w:hideMark/>
          </w:tcPr>
          <w:p w14:paraId="1B9D6FC3" w14:textId="55F4F1A2" w:rsidR="007B13DB" w:rsidRPr="00D960EF" w:rsidRDefault="007B13DB" w:rsidP="00C7683B">
            <w:pPr>
              <w:rPr>
                <w:rFonts w:cs="Arial"/>
                <w:color w:val="000000"/>
                <w:sz w:val="18"/>
                <w:szCs w:val="18"/>
                <w:lang w:val="de-AT" w:eastAsia="de-AT"/>
              </w:rPr>
            </w:pPr>
            <w:r w:rsidRPr="00D960EF">
              <w:rPr>
                <w:rFonts w:cs="Arial"/>
                <w:color w:val="000000"/>
                <w:sz w:val="18"/>
                <w:szCs w:val="18"/>
                <w:lang w:val="de-AT" w:eastAsia="de-AT"/>
              </w:rPr>
              <w:t xml:space="preserve"> AUD   13.850 </w:t>
            </w:r>
          </w:p>
        </w:tc>
      </w:tr>
    </w:tbl>
    <w:p w14:paraId="6C1BE168" w14:textId="77777777" w:rsidR="0020765E" w:rsidRPr="00054A3D" w:rsidRDefault="0020765E" w:rsidP="00D960EF">
      <w:pPr>
        <w:pStyle w:val="Textbody"/>
        <w:jc w:val="center"/>
        <w:rPr>
          <w:sz w:val="20"/>
          <w:szCs w:val="20"/>
          <w:lang w:val="en-AU"/>
        </w:rPr>
      </w:pPr>
    </w:p>
    <w:p w14:paraId="65940CC7" w14:textId="77777777" w:rsidR="00016592" w:rsidRPr="00016592" w:rsidRDefault="00AE06D8" w:rsidP="00016592">
      <w:pPr>
        <w:spacing w:line="360" w:lineRule="auto"/>
        <w:jc w:val="both"/>
        <w:rPr>
          <w:rFonts w:cs="Arial"/>
          <w:bCs/>
        </w:rPr>
      </w:pPr>
      <w:r w:rsidRPr="00932A48">
        <w:rPr>
          <w:rFonts w:cs="Arial"/>
          <w:lang w:val="en-GB"/>
        </w:rPr>
        <w:t xml:space="preserve">It is possible to compare the cost impact of each health state and the respective effectiveness outcomes of the two MEI systems. The outcomes tabulated </w:t>
      </w:r>
      <w:r w:rsidRPr="00AC1204">
        <w:rPr>
          <w:rFonts w:cs="Arial"/>
          <w:lang w:val="en-GB"/>
        </w:rPr>
        <w:t xml:space="preserve">below in </w:t>
      </w:r>
      <w:r w:rsidR="00AC1204" w:rsidRPr="00AC1204">
        <w:rPr>
          <w:rFonts w:cs="Arial"/>
          <w:highlight w:val="yellow"/>
          <w:lang w:val="en-GB"/>
        </w:rPr>
        <w:fldChar w:fldCharType="begin"/>
      </w:r>
      <w:r w:rsidR="00AC1204" w:rsidRPr="00AC1204">
        <w:rPr>
          <w:rFonts w:cs="Arial"/>
          <w:lang w:val="en-GB"/>
        </w:rPr>
        <w:instrText xml:space="preserve"> REF _Ref430969577 \h </w:instrText>
      </w:r>
      <w:r w:rsidR="00AC1204" w:rsidRPr="00AC1204">
        <w:rPr>
          <w:rFonts w:cs="Arial"/>
          <w:highlight w:val="yellow"/>
          <w:lang w:val="en-GB"/>
        </w:rPr>
        <w:instrText xml:space="preserve"> \* MERGEFORMAT </w:instrText>
      </w:r>
      <w:r w:rsidR="00AC1204" w:rsidRPr="00AC1204">
        <w:rPr>
          <w:rFonts w:cs="Arial"/>
          <w:highlight w:val="yellow"/>
          <w:lang w:val="en-GB"/>
        </w:rPr>
      </w:r>
      <w:r w:rsidR="00AC1204" w:rsidRPr="00AC1204">
        <w:rPr>
          <w:rFonts w:cs="Arial"/>
          <w:highlight w:val="yellow"/>
          <w:lang w:val="en-GB"/>
        </w:rPr>
        <w:fldChar w:fldCharType="separate"/>
      </w:r>
    </w:p>
    <w:p w14:paraId="071B4897" w14:textId="77777777" w:rsidR="00B22312" w:rsidRDefault="00016592" w:rsidP="00AC1204">
      <w:pPr>
        <w:spacing w:line="360" w:lineRule="auto"/>
        <w:jc w:val="both"/>
        <w:rPr>
          <w:rFonts w:cs="Arial"/>
          <w:lang w:val="en-GB"/>
        </w:rPr>
      </w:pPr>
      <w:r w:rsidRPr="00016592">
        <w:rPr>
          <w:rFonts w:cs="Arial"/>
          <w:bCs/>
        </w:rPr>
        <w:t>Table</w:t>
      </w:r>
      <w:r w:rsidRPr="00016592">
        <w:rPr>
          <w:rFonts w:cs="Arial"/>
          <w:bCs/>
          <w:noProof/>
        </w:rPr>
        <w:t xml:space="preserve"> </w:t>
      </w:r>
      <w:r w:rsidRPr="00D2551D">
        <w:rPr>
          <w:rFonts w:cs="Arial"/>
          <w:bCs/>
          <w:noProof/>
          <w:szCs w:val="20"/>
        </w:rPr>
        <w:t>50</w:t>
      </w:r>
      <w:r w:rsidR="00AC1204" w:rsidRPr="00AC1204">
        <w:rPr>
          <w:rFonts w:cs="Arial"/>
          <w:highlight w:val="yellow"/>
          <w:lang w:val="en-GB"/>
        </w:rPr>
        <w:fldChar w:fldCharType="end"/>
      </w:r>
      <w:r w:rsidR="00AE06D8" w:rsidRPr="00AC1204">
        <w:rPr>
          <w:rFonts w:cs="Arial"/>
          <w:lang w:val="en-GB"/>
        </w:rPr>
        <w:t xml:space="preserve"> demonstrate that individuals in the successful health state contribute the most to the </w:t>
      </w:r>
      <w:r w:rsidR="00AE06D8" w:rsidRPr="00932A48">
        <w:rPr>
          <w:rFonts w:cs="Arial"/>
          <w:lang w:val="en-GB"/>
        </w:rPr>
        <w:t xml:space="preserve">incremental cost and effectiveness. Individuals who are in the `successful with complications` state pose slightly higher costs when using the VSB while demonstrating </w:t>
      </w:r>
      <w:r w:rsidR="00AE06D8" w:rsidRPr="00932A48">
        <w:rPr>
          <w:rFonts w:cs="Arial"/>
          <w:lang w:val="en-GB"/>
        </w:rPr>
        <w:lastRenderedPageBreak/>
        <w:t xml:space="preserve">similar effectiveness outcomes as </w:t>
      </w:r>
      <w:r w:rsidR="00AC1204">
        <w:rPr>
          <w:rFonts w:cs="Arial"/>
          <w:lang w:val="en-GB"/>
        </w:rPr>
        <w:t>Maxum/Soundtec</w:t>
      </w:r>
      <w:r w:rsidR="00AE06D8" w:rsidRPr="00932A48">
        <w:rPr>
          <w:rFonts w:cs="Arial"/>
          <w:lang w:val="en-GB"/>
        </w:rPr>
        <w:t xml:space="preserve"> users. Those in the MEI failure state contribute the least to costs and as while they remain unaided cannot benefit. The costs associated with voluntary non-use of middle ear implants are much less in those who were initially implanted with the Vibrant Soundbridge, and the effectiveness outcomes are better too. This could be explained by the lower probability of ceasing VSB use.</w:t>
      </w:r>
      <w:r w:rsidR="00AC1204" w:rsidRPr="00AC1204">
        <w:rPr>
          <w:rFonts w:cs="Arial"/>
          <w:lang w:val="en-GB"/>
        </w:rPr>
        <w:t xml:space="preserve"> </w:t>
      </w:r>
    </w:p>
    <w:p w14:paraId="3CBC7C8E" w14:textId="77777777" w:rsidR="00AC1204" w:rsidRDefault="00AC1204" w:rsidP="00AC1204">
      <w:pPr>
        <w:spacing w:line="360" w:lineRule="auto"/>
        <w:jc w:val="both"/>
        <w:rPr>
          <w:rFonts w:cs="Arial"/>
          <w:lang w:val="en-GB"/>
        </w:rPr>
      </w:pPr>
      <w:r w:rsidRPr="00932A48">
        <w:rPr>
          <w:rFonts w:cs="Arial"/>
          <w:lang w:val="en-GB"/>
        </w:rPr>
        <w:t>All of these results are derived from non-randomised studies and are subject to uncertainty. Randomisation in medical device research is not always plausible due to the invasiveness of interventions. To reduce uncertainty one-way deterministic sensitivity analysis was carried out on all variables in the model. Those variable</w:t>
      </w:r>
      <w:r w:rsidR="00B22312">
        <w:rPr>
          <w:rFonts w:cs="Arial"/>
          <w:lang w:val="en-GB"/>
        </w:rPr>
        <w:t>s</w:t>
      </w:r>
      <w:r w:rsidRPr="00932A48">
        <w:rPr>
          <w:rFonts w:cs="Arial"/>
          <w:lang w:val="en-GB"/>
        </w:rPr>
        <w:t xml:space="preserve"> found to be influential on model outcomes were then entered into probabilistic sensitivity analysis.</w:t>
      </w:r>
    </w:p>
    <w:p w14:paraId="46F201DE" w14:textId="77777777" w:rsidR="003D1FD5" w:rsidRDefault="003D1FD5" w:rsidP="00AC1204">
      <w:pPr>
        <w:spacing w:line="360" w:lineRule="auto"/>
        <w:jc w:val="both"/>
        <w:rPr>
          <w:rFonts w:cs="Arial"/>
          <w:lang w:val="en-GB"/>
        </w:rPr>
      </w:pPr>
    </w:p>
    <w:p w14:paraId="4D3E8933" w14:textId="77777777" w:rsidR="00AE06D8" w:rsidRDefault="00AE06D8" w:rsidP="00AE06D8">
      <w:pPr>
        <w:spacing w:line="360" w:lineRule="auto"/>
        <w:jc w:val="both"/>
        <w:rPr>
          <w:rFonts w:cs="Arial"/>
          <w:lang w:val="en-GB"/>
        </w:rPr>
        <w:sectPr w:rsidR="00AE06D8" w:rsidSect="00695C41">
          <w:footerReference w:type="default" r:id="rId65"/>
          <w:type w:val="continuous"/>
          <w:pgSz w:w="11907" w:h="16840" w:code="9"/>
          <w:pgMar w:top="1418" w:right="1418" w:bottom="1701" w:left="1814" w:header="720" w:footer="720" w:gutter="0"/>
          <w:paperSrc w:first="7" w:other="7"/>
          <w:cols w:space="720"/>
          <w:noEndnote/>
          <w:docGrid w:linePitch="299"/>
        </w:sectPr>
      </w:pPr>
    </w:p>
    <w:p w14:paraId="7322446A" w14:textId="77777777" w:rsidR="003D1FD5" w:rsidRDefault="003D1FD5" w:rsidP="003D1FD5">
      <w:pPr>
        <w:pageBreakBefore/>
        <w:spacing w:line="360" w:lineRule="auto"/>
        <w:jc w:val="both"/>
        <w:rPr>
          <w:rFonts w:cs="Arial"/>
          <w:b/>
          <w:bCs/>
          <w:sz w:val="20"/>
          <w:szCs w:val="20"/>
        </w:rPr>
      </w:pPr>
      <w:bookmarkStart w:id="572" w:name="_Ref430969577"/>
    </w:p>
    <w:p w14:paraId="04A77D03" w14:textId="77777777" w:rsidR="0020765E" w:rsidRPr="00AE06D8" w:rsidRDefault="00AE06D8" w:rsidP="00AE06D8">
      <w:pPr>
        <w:spacing w:line="360" w:lineRule="auto"/>
        <w:jc w:val="both"/>
        <w:rPr>
          <w:rFonts w:cs="Arial"/>
          <w:b/>
          <w:sz w:val="20"/>
          <w:szCs w:val="20"/>
        </w:rPr>
      </w:pPr>
      <w:bookmarkStart w:id="573" w:name="_Toc431917510"/>
      <w:r w:rsidRPr="00AE06D8">
        <w:rPr>
          <w:rFonts w:cs="Arial"/>
          <w:b/>
          <w:bCs/>
          <w:sz w:val="20"/>
          <w:szCs w:val="20"/>
        </w:rPr>
        <w:t xml:space="preserve">Table </w:t>
      </w:r>
      <w:r w:rsidRPr="00AE06D8">
        <w:rPr>
          <w:rFonts w:cs="Arial"/>
          <w:b/>
          <w:bCs/>
          <w:sz w:val="20"/>
          <w:szCs w:val="20"/>
        </w:rPr>
        <w:fldChar w:fldCharType="begin"/>
      </w:r>
      <w:r w:rsidRPr="00AE06D8">
        <w:rPr>
          <w:rFonts w:cs="Arial"/>
          <w:b/>
          <w:bCs/>
          <w:sz w:val="20"/>
          <w:szCs w:val="20"/>
        </w:rPr>
        <w:instrText xml:space="preserve"> SEQ Table \* ARABIC </w:instrText>
      </w:r>
      <w:r w:rsidRPr="00AE06D8">
        <w:rPr>
          <w:rFonts w:cs="Arial"/>
          <w:b/>
          <w:bCs/>
          <w:sz w:val="20"/>
          <w:szCs w:val="20"/>
        </w:rPr>
        <w:fldChar w:fldCharType="separate"/>
      </w:r>
      <w:r w:rsidR="00016592">
        <w:rPr>
          <w:rFonts w:cs="Arial"/>
          <w:b/>
          <w:bCs/>
          <w:noProof/>
          <w:sz w:val="20"/>
          <w:szCs w:val="20"/>
        </w:rPr>
        <w:t>50</w:t>
      </w:r>
      <w:r w:rsidRPr="00AE06D8">
        <w:rPr>
          <w:rFonts w:cs="Arial"/>
          <w:b/>
          <w:bCs/>
          <w:sz w:val="20"/>
          <w:szCs w:val="20"/>
        </w:rPr>
        <w:fldChar w:fldCharType="end"/>
      </w:r>
      <w:bookmarkEnd w:id="572"/>
      <w:r w:rsidRPr="00AE06D8">
        <w:rPr>
          <w:rFonts w:cs="Arial"/>
          <w:b/>
          <w:bCs/>
          <w:sz w:val="20"/>
          <w:szCs w:val="20"/>
        </w:rPr>
        <w:t xml:space="preserve"> - </w:t>
      </w:r>
      <w:r w:rsidRPr="00AE06D8">
        <w:rPr>
          <w:rFonts w:cs="Arial"/>
          <w:b/>
          <w:sz w:val="20"/>
          <w:szCs w:val="20"/>
          <w:lang w:val="en-GB"/>
        </w:rPr>
        <w:t>List of health states and summary of cost impacts and health outcomes included in the economic evaluation.</w:t>
      </w:r>
      <w:bookmarkEnd w:id="573"/>
    </w:p>
    <w:tbl>
      <w:tblPr>
        <w:tblW w:w="12438" w:type="dxa"/>
        <w:tblInd w:w="93" w:type="dxa"/>
        <w:tblLayout w:type="fixed"/>
        <w:tblLook w:val="04A0" w:firstRow="1" w:lastRow="0" w:firstColumn="1" w:lastColumn="0" w:noHBand="0" w:noVBand="1"/>
        <w:tblDescription w:val="List of health states and summary of cost impacts and health outcomes included in the economic evaluation"/>
      </w:tblPr>
      <w:tblGrid>
        <w:gridCol w:w="1480"/>
        <w:gridCol w:w="1671"/>
        <w:gridCol w:w="1418"/>
        <w:gridCol w:w="1516"/>
        <w:gridCol w:w="1006"/>
        <w:gridCol w:w="1648"/>
        <w:gridCol w:w="1701"/>
        <w:gridCol w:w="938"/>
        <w:gridCol w:w="1060"/>
      </w:tblGrid>
      <w:tr w:rsidR="00AE06D8" w:rsidRPr="00AE06D8" w14:paraId="14090F9A" w14:textId="77777777" w:rsidTr="007B13DB">
        <w:trPr>
          <w:trHeight w:val="300"/>
        </w:trPr>
        <w:tc>
          <w:tcPr>
            <w:tcW w:w="148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2873A226" w14:textId="77777777" w:rsidR="00AE06D8" w:rsidRPr="00AE06D8" w:rsidRDefault="00AE06D8" w:rsidP="00AE06D8">
            <w:pPr>
              <w:jc w:val="center"/>
              <w:rPr>
                <w:rFonts w:cs="Arial"/>
                <w:b/>
                <w:bCs/>
                <w:color w:val="000000"/>
                <w:lang w:val="en-US" w:eastAsia="en-US"/>
              </w:rPr>
            </w:pPr>
            <w:r w:rsidRPr="00AE06D8">
              <w:rPr>
                <w:rFonts w:cs="Arial"/>
                <w:b/>
                <w:bCs/>
                <w:color w:val="000000"/>
                <w:lang w:val="en-US" w:eastAsia="en-US"/>
              </w:rPr>
              <w:t>Health state</w:t>
            </w:r>
          </w:p>
        </w:tc>
        <w:tc>
          <w:tcPr>
            <w:tcW w:w="1671"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77205F46" w14:textId="77777777" w:rsidR="00AE06D8" w:rsidRPr="00AE06D8" w:rsidRDefault="00AE06D8" w:rsidP="00AE06D8">
            <w:pPr>
              <w:jc w:val="center"/>
              <w:rPr>
                <w:rFonts w:cs="Arial"/>
                <w:b/>
                <w:bCs/>
                <w:color w:val="000000"/>
                <w:lang w:val="en-US" w:eastAsia="en-US"/>
              </w:rPr>
            </w:pPr>
            <w:r w:rsidRPr="00AE06D8">
              <w:rPr>
                <w:rFonts w:cs="Arial"/>
                <w:b/>
                <w:bCs/>
                <w:color w:val="000000"/>
                <w:lang w:val="en-US" w:eastAsia="en-US"/>
              </w:rPr>
              <w:t xml:space="preserve">Cost of VSB </w:t>
            </w:r>
          </w:p>
        </w:tc>
        <w:tc>
          <w:tcPr>
            <w:tcW w:w="1418"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2FF3E79B" w14:textId="77777777" w:rsidR="00AE06D8" w:rsidRPr="00AE06D8" w:rsidRDefault="00AE06D8" w:rsidP="00AE06D8">
            <w:pPr>
              <w:jc w:val="center"/>
              <w:rPr>
                <w:rFonts w:cs="Arial"/>
                <w:b/>
                <w:bCs/>
                <w:color w:val="000000"/>
                <w:lang w:val="en-US" w:eastAsia="en-US"/>
              </w:rPr>
            </w:pPr>
            <w:r w:rsidRPr="00AE06D8">
              <w:rPr>
                <w:rFonts w:cs="Arial"/>
                <w:b/>
                <w:bCs/>
                <w:color w:val="000000"/>
                <w:lang w:val="en-US" w:eastAsia="en-US"/>
              </w:rPr>
              <w:t xml:space="preserve">Cost of MAXUM </w:t>
            </w:r>
          </w:p>
        </w:tc>
        <w:tc>
          <w:tcPr>
            <w:tcW w:w="2522" w:type="dxa"/>
            <w:gridSpan w:val="2"/>
            <w:tcBorders>
              <w:top w:val="single" w:sz="8" w:space="0" w:color="auto"/>
              <w:left w:val="nil"/>
              <w:bottom w:val="single" w:sz="4" w:space="0" w:color="auto"/>
              <w:right w:val="single" w:sz="4" w:space="0" w:color="auto"/>
            </w:tcBorders>
            <w:shd w:val="clear" w:color="auto" w:fill="auto"/>
            <w:vAlign w:val="center"/>
            <w:hideMark/>
          </w:tcPr>
          <w:p w14:paraId="3B0903CB" w14:textId="77777777" w:rsidR="00AE06D8" w:rsidRPr="00AE06D8" w:rsidRDefault="00AE06D8" w:rsidP="00AE06D8">
            <w:pPr>
              <w:jc w:val="center"/>
              <w:rPr>
                <w:rFonts w:cs="Arial"/>
                <w:b/>
                <w:bCs/>
                <w:color w:val="000000"/>
                <w:lang w:val="en-US" w:eastAsia="en-US"/>
              </w:rPr>
            </w:pPr>
            <w:r w:rsidRPr="00AE06D8">
              <w:rPr>
                <w:rFonts w:cs="Arial"/>
                <w:b/>
                <w:bCs/>
                <w:color w:val="000000"/>
                <w:lang w:val="en-US" w:eastAsia="en-US"/>
              </w:rPr>
              <w:t>Incremental cost</w:t>
            </w:r>
          </w:p>
        </w:tc>
        <w:tc>
          <w:tcPr>
            <w:tcW w:w="1648"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63E35E75" w14:textId="77777777" w:rsidR="00AE06D8" w:rsidRPr="00AE06D8" w:rsidRDefault="00AE06D8" w:rsidP="00AE06D8">
            <w:pPr>
              <w:jc w:val="center"/>
              <w:rPr>
                <w:rFonts w:cs="Arial"/>
                <w:b/>
                <w:bCs/>
                <w:color w:val="000000"/>
                <w:lang w:val="en-US" w:eastAsia="en-US"/>
              </w:rPr>
            </w:pPr>
            <w:r w:rsidRPr="00AE06D8">
              <w:rPr>
                <w:rFonts w:cs="Arial"/>
                <w:b/>
                <w:bCs/>
                <w:color w:val="000000"/>
                <w:lang w:val="en-US" w:eastAsia="en-US"/>
              </w:rPr>
              <w:t xml:space="preserve">Effectiveness of VSB </w:t>
            </w:r>
          </w:p>
        </w:tc>
        <w:tc>
          <w:tcPr>
            <w:tcW w:w="1701"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24AB94EF" w14:textId="77777777" w:rsidR="00AE06D8" w:rsidRPr="00AE06D8" w:rsidRDefault="00AE06D8" w:rsidP="00AE06D8">
            <w:pPr>
              <w:jc w:val="center"/>
              <w:rPr>
                <w:rFonts w:cs="Arial"/>
                <w:b/>
                <w:bCs/>
                <w:color w:val="000000"/>
                <w:lang w:val="en-US" w:eastAsia="en-US"/>
              </w:rPr>
            </w:pPr>
            <w:r w:rsidRPr="00AE06D8">
              <w:rPr>
                <w:rFonts w:cs="Arial"/>
                <w:b/>
                <w:bCs/>
                <w:color w:val="000000"/>
                <w:lang w:val="en-US" w:eastAsia="en-US"/>
              </w:rPr>
              <w:t xml:space="preserve">Effectiveness of MAXUM </w:t>
            </w:r>
          </w:p>
        </w:tc>
        <w:tc>
          <w:tcPr>
            <w:tcW w:w="1998" w:type="dxa"/>
            <w:gridSpan w:val="2"/>
            <w:tcBorders>
              <w:top w:val="single" w:sz="8" w:space="0" w:color="auto"/>
              <w:left w:val="nil"/>
              <w:bottom w:val="single" w:sz="4" w:space="0" w:color="auto"/>
              <w:right w:val="single" w:sz="8" w:space="0" w:color="000000"/>
            </w:tcBorders>
            <w:shd w:val="clear" w:color="auto" w:fill="auto"/>
            <w:noWrap/>
            <w:vAlign w:val="center"/>
            <w:hideMark/>
          </w:tcPr>
          <w:p w14:paraId="657D53E9" w14:textId="77777777" w:rsidR="00AE06D8" w:rsidRPr="00AE06D8" w:rsidRDefault="00AE06D8" w:rsidP="00AE06D8">
            <w:pPr>
              <w:jc w:val="center"/>
              <w:rPr>
                <w:rFonts w:cs="Arial"/>
                <w:b/>
                <w:bCs/>
                <w:color w:val="000000"/>
                <w:lang w:val="en-US" w:eastAsia="en-US"/>
              </w:rPr>
            </w:pPr>
            <w:r w:rsidRPr="00AE06D8">
              <w:rPr>
                <w:rFonts w:cs="Arial"/>
                <w:b/>
                <w:bCs/>
                <w:color w:val="000000"/>
                <w:lang w:val="en-US" w:eastAsia="en-US"/>
              </w:rPr>
              <w:t>Incremental effectiveness</w:t>
            </w:r>
          </w:p>
        </w:tc>
      </w:tr>
      <w:tr w:rsidR="00AE06D8" w:rsidRPr="00AE06D8" w14:paraId="502029A8" w14:textId="77777777" w:rsidTr="007B13DB">
        <w:trPr>
          <w:trHeight w:val="300"/>
        </w:trPr>
        <w:tc>
          <w:tcPr>
            <w:tcW w:w="1480" w:type="dxa"/>
            <w:vMerge/>
            <w:tcBorders>
              <w:top w:val="single" w:sz="8" w:space="0" w:color="auto"/>
              <w:left w:val="single" w:sz="8" w:space="0" w:color="auto"/>
              <w:bottom w:val="single" w:sz="4" w:space="0" w:color="auto"/>
              <w:right w:val="single" w:sz="4" w:space="0" w:color="auto"/>
            </w:tcBorders>
            <w:vAlign w:val="center"/>
            <w:hideMark/>
          </w:tcPr>
          <w:p w14:paraId="3AA84762" w14:textId="77777777" w:rsidR="00AE06D8" w:rsidRPr="00AE06D8" w:rsidRDefault="00AE06D8" w:rsidP="00AE06D8">
            <w:pPr>
              <w:rPr>
                <w:rFonts w:cs="Arial"/>
                <w:b/>
                <w:bCs/>
                <w:color w:val="000000"/>
                <w:lang w:val="en-US" w:eastAsia="en-US"/>
              </w:rPr>
            </w:pPr>
          </w:p>
        </w:tc>
        <w:tc>
          <w:tcPr>
            <w:tcW w:w="1671" w:type="dxa"/>
            <w:vMerge/>
            <w:tcBorders>
              <w:top w:val="single" w:sz="8" w:space="0" w:color="auto"/>
              <w:left w:val="single" w:sz="4" w:space="0" w:color="auto"/>
              <w:bottom w:val="single" w:sz="4" w:space="0" w:color="auto"/>
              <w:right w:val="single" w:sz="4" w:space="0" w:color="auto"/>
            </w:tcBorders>
            <w:vAlign w:val="center"/>
            <w:hideMark/>
          </w:tcPr>
          <w:p w14:paraId="64C75C88" w14:textId="77777777" w:rsidR="00AE06D8" w:rsidRPr="00AE06D8" w:rsidRDefault="00AE06D8" w:rsidP="00AE06D8">
            <w:pPr>
              <w:rPr>
                <w:rFonts w:cs="Arial"/>
                <w:b/>
                <w:bCs/>
                <w:color w:val="000000"/>
                <w:lang w:val="en-US" w:eastAsia="en-US"/>
              </w:rPr>
            </w:pPr>
          </w:p>
        </w:tc>
        <w:tc>
          <w:tcPr>
            <w:tcW w:w="1418" w:type="dxa"/>
            <w:vMerge/>
            <w:tcBorders>
              <w:top w:val="single" w:sz="8" w:space="0" w:color="auto"/>
              <w:left w:val="single" w:sz="4" w:space="0" w:color="auto"/>
              <w:bottom w:val="single" w:sz="4" w:space="0" w:color="auto"/>
              <w:right w:val="single" w:sz="4" w:space="0" w:color="auto"/>
            </w:tcBorders>
            <w:vAlign w:val="center"/>
            <w:hideMark/>
          </w:tcPr>
          <w:p w14:paraId="4F35B6C1" w14:textId="77777777" w:rsidR="00AE06D8" w:rsidRPr="00AE06D8" w:rsidRDefault="00AE06D8" w:rsidP="00AE06D8">
            <w:pPr>
              <w:rPr>
                <w:rFonts w:cs="Arial"/>
                <w:b/>
                <w:bCs/>
                <w:color w:val="000000"/>
                <w:lang w:val="en-US" w:eastAsia="en-US"/>
              </w:rPr>
            </w:pPr>
          </w:p>
        </w:tc>
        <w:tc>
          <w:tcPr>
            <w:tcW w:w="1516" w:type="dxa"/>
            <w:tcBorders>
              <w:top w:val="nil"/>
              <w:left w:val="nil"/>
              <w:bottom w:val="single" w:sz="4" w:space="0" w:color="auto"/>
              <w:right w:val="single" w:sz="4" w:space="0" w:color="auto"/>
            </w:tcBorders>
            <w:shd w:val="clear" w:color="auto" w:fill="auto"/>
            <w:vAlign w:val="center"/>
            <w:hideMark/>
          </w:tcPr>
          <w:p w14:paraId="5AB0F2C9" w14:textId="77777777" w:rsidR="00AE06D8" w:rsidRPr="00AE06D8" w:rsidRDefault="00AE06D8" w:rsidP="00AE06D8">
            <w:pPr>
              <w:jc w:val="center"/>
              <w:rPr>
                <w:rFonts w:cs="Arial"/>
                <w:b/>
                <w:bCs/>
                <w:color w:val="000000"/>
                <w:lang w:val="en-US" w:eastAsia="en-US"/>
              </w:rPr>
            </w:pPr>
            <w:r w:rsidRPr="00AE06D8">
              <w:rPr>
                <w:rFonts w:cs="Arial"/>
                <w:b/>
                <w:bCs/>
                <w:color w:val="000000"/>
                <w:lang w:val="en-US" w:eastAsia="en-US"/>
              </w:rPr>
              <w:t>count</w:t>
            </w:r>
          </w:p>
        </w:tc>
        <w:tc>
          <w:tcPr>
            <w:tcW w:w="1006" w:type="dxa"/>
            <w:tcBorders>
              <w:top w:val="nil"/>
              <w:left w:val="nil"/>
              <w:bottom w:val="single" w:sz="4" w:space="0" w:color="auto"/>
              <w:right w:val="single" w:sz="4" w:space="0" w:color="auto"/>
            </w:tcBorders>
            <w:shd w:val="clear" w:color="auto" w:fill="auto"/>
            <w:vAlign w:val="center"/>
            <w:hideMark/>
          </w:tcPr>
          <w:p w14:paraId="515EFFB5" w14:textId="77777777" w:rsidR="00AE06D8" w:rsidRPr="00AE06D8" w:rsidRDefault="00AE06D8" w:rsidP="00AE06D8">
            <w:pPr>
              <w:jc w:val="center"/>
              <w:rPr>
                <w:rFonts w:cs="Arial"/>
                <w:b/>
                <w:bCs/>
                <w:color w:val="000000"/>
                <w:lang w:val="en-US" w:eastAsia="en-US"/>
              </w:rPr>
            </w:pPr>
            <w:r w:rsidRPr="00AE06D8">
              <w:rPr>
                <w:rFonts w:cs="Arial"/>
                <w:b/>
                <w:bCs/>
                <w:color w:val="000000"/>
                <w:lang w:val="en-US" w:eastAsia="en-US"/>
              </w:rPr>
              <w:t>%</w:t>
            </w:r>
          </w:p>
        </w:tc>
        <w:tc>
          <w:tcPr>
            <w:tcW w:w="1648" w:type="dxa"/>
            <w:vMerge/>
            <w:tcBorders>
              <w:top w:val="single" w:sz="8" w:space="0" w:color="auto"/>
              <w:left w:val="single" w:sz="4" w:space="0" w:color="auto"/>
              <w:bottom w:val="single" w:sz="4" w:space="0" w:color="auto"/>
              <w:right w:val="single" w:sz="4" w:space="0" w:color="auto"/>
            </w:tcBorders>
            <w:vAlign w:val="center"/>
            <w:hideMark/>
          </w:tcPr>
          <w:p w14:paraId="448491CE" w14:textId="77777777" w:rsidR="00AE06D8" w:rsidRPr="00AE06D8" w:rsidRDefault="00AE06D8" w:rsidP="00AE06D8">
            <w:pPr>
              <w:rPr>
                <w:rFonts w:cs="Arial"/>
                <w:b/>
                <w:bCs/>
                <w:color w:val="000000"/>
                <w:lang w:val="en-US" w:eastAsia="en-US"/>
              </w:rPr>
            </w:pPr>
          </w:p>
        </w:tc>
        <w:tc>
          <w:tcPr>
            <w:tcW w:w="1701" w:type="dxa"/>
            <w:vMerge/>
            <w:tcBorders>
              <w:top w:val="single" w:sz="8" w:space="0" w:color="auto"/>
              <w:left w:val="single" w:sz="4" w:space="0" w:color="auto"/>
              <w:bottom w:val="single" w:sz="4" w:space="0" w:color="auto"/>
              <w:right w:val="single" w:sz="4" w:space="0" w:color="auto"/>
            </w:tcBorders>
            <w:vAlign w:val="center"/>
            <w:hideMark/>
          </w:tcPr>
          <w:p w14:paraId="2CDA5784" w14:textId="77777777" w:rsidR="00AE06D8" w:rsidRPr="00AE06D8" w:rsidRDefault="00AE06D8" w:rsidP="00AE06D8">
            <w:pPr>
              <w:rPr>
                <w:rFonts w:cs="Arial"/>
                <w:b/>
                <w:bCs/>
                <w:color w:val="000000"/>
                <w:lang w:val="en-US" w:eastAsia="en-US"/>
              </w:rPr>
            </w:pPr>
          </w:p>
        </w:tc>
        <w:tc>
          <w:tcPr>
            <w:tcW w:w="938" w:type="dxa"/>
            <w:tcBorders>
              <w:top w:val="nil"/>
              <w:left w:val="nil"/>
              <w:bottom w:val="single" w:sz="4" w:space="0" w:color="auto"/>
              <w:right w:val="single" w:sz="4" w:space="0" w:color="auto"/>
            </w:tcBorders>
            <w:shd w:val="clear" w:color="auto" w:fill="auto"/>
            <w:vAlign w:val="center"/>
            <w:hideMark/>
          </w:tcPr>
          <w:p w14:paraId="4F5C27F6" w14:textId="77777777" w:rsidR="00AE06D8" w:rsidRPr="00AE06D8" w:rsidRDefault="00AE06D8" w:rsidP="00AE06D8">
            <w:pPr>
              <w:jc w:val="center"/>
              <w:rPr>
                <w:rFonts w:cs="Arial"/>
                <w:b/>
                <w:bCs/>
                <w:color w:val="000000"/>
                <w:lang w:val="en-US" w:eastAsia="en-US"/>
              </w:rPr>
            </w:pPr>
            <w:r w:rsidRPr="00AE06D8">
              <w:rPr>
                <w:rFonts w:cs="Arial"/>
                <w:b/>
                <w:bCs/>
                <w:color w:val="000000"/>
                <w:lang w:val="en-US" w:eastAsia="en-US"/>
              </w:rPr>
              <w:t>count</w:t>
            </w:r>
          </w:p>
        </w:tc>
        <w:tc>
          <w:tcPr>
            <w:tcW w:w="1060" w:type="dxa"/>
            <w:tcBorders>
              <w:top w:val="nil"/>
              <w:left w:val="nil"/>
              <w:bottom w:val="single" w:sz="4" w:space="0" w:color="auto"/>
              <w:right w:val="single" w:sz="8" w:space="0" w:color="auto"/>
            </w:tcBorders>
            <w:shd w:val="clear" w:color="auto" w:fill="auto"/>
            <w:vAlign w:val="center"/>
            <w:hideMark/>
          </w:tcPr>
          <w:p w14:paraId="1D75ED5F" w14:textId="77777777" w:rsidR="00AE06D8" w:rsidRPr="00AE06D8" w:rsidRDefault="00AE06D8" w:rsidP="00AE06D8">
            <w:pPr>
              <w:jc w:val="center"/>
              <w:rPr>
                <w:rFonts w:cs="Arial"/>
                <w:b/>
                <w:bCs/>
                <w:color w:val="000000"/>
                <w:lang w:val="en-US" w:eastAsia="en-US"/>
              </w:rPr>
            </w:pPr>
            <w:r w:rsidRPr="00AE06D8">
              <w:rPr>
                <w:rFonts w:cs="Arial"/>
                <w:b/>
                <w:bCs/>
                <w:color w:val="000000"/>
                <w:lang w:val="en-US" w:eastAsia="en-US"/>
              </w:rPr>
              <w:t>%</w:t>
            </w:r>
          </w:p>
        </w:tc>
      </w:tr>
      <w:tr w:rsidR="00332057" w:rsidRPr="00AE06D8" w14:paraId="5050CF19" w14:textId="77777777" w:rsidTr="007B13DB">
        <w:trPr>
          <w:trHeight w:val="648"/>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7CEAEB31" w14:textId="77777777" w:rsidR="00332057" w:rsidRPr="00AE06D8" w:rsidRDefault="00332057" w:rsidP="00AE06D8">
            <w:pPr>
              <w:jc w:val="center"/>
              <w:rPr>
                <w:rFonts w:cs="Arial"/>
                <w:color w:val="000000"/>
                <w:sz w:val="20"/>
                <w:szCs w:val="20"/>
                <w:lang w:val="en-US" w:eastAsia="en-US"/>
              </w:rPr>
            </w:pPr>
            <w:r w:rsidRPr="00AE06D8">
              <w:rPr>
                <w:rFonts w:cs="Arial"/>
                <w:color w:val="000000"/>
                <w:sz w:val="20"/>
                <w:szCs w:val="20"/>
                <w:lang w:val="en-US" w:eastAsia="en-US"/>
              </w:rPr>
              <w:t>Successful</w:t>
            </w:r>
          </w:p>
        </w:tc>
        <w:tc>
          <w:tcPr>
            <w:tcW w:w="1671" w:type="dxa"/>
            <w:tcBorders>
              <w:top w:val="nil"/>
              <w:left w:val="nil"/>
              <w:bottom w:val="single" w:sz="4" w:space="0" w:color="auto"/>
              <w:right w:val="single" w:sz="4" w:space="0" w:color="auto"/>
            </w:tcBorders>
            <w:shd w:val="clear" w:color="auto" w:fill="auto"/>
            <w:noWrap/>
            <w:vAlign w:val="center"/>
            <w:hideMark/>
          </w:tcPr>
          <w:p w14:paraId="5B4DBCD9" w14:textId="584C2E1E" w:rsidR="00332057" w:rsidRDefault="00332057">
            <w:pPr>
              <w:rPr>
                <w:rFonts w:cs="Arial"/>
                <w:color w:val="000000"/>
                <w:sz w:val="20"/>
                <w:szCs w:val="20"/>
              </w:rPr>
            </w:pPr>
            <w:r>
              <w:rPr>
                <w:rFonts w:cs="Arial"/>
                <w:color w:val="000000"/>
                <w:sz w:val="20"/>
                <w:szCs w:val="20"/>
              </w:rPr>
              <w:t xml:space="preserve"> AUD   22.437 </w:t>
            </w:r>
          </w:p>
        </w:tc>
        <w:tc>
          <w:tcPr>
            <w:tcW w:w="1418" w:type="dxa"/>
            <w:tcBorders>
              <w:top w:val="nil"/>
              <w:left w:val="nil"/>
              <w:bottom w:val="single" w:sz="4" w:space="0" w:color="auto"/>
              <w:right w:val="single" w:sz="4" w:space="0" w:color="auto"/>
            </w:tcBorders>
            <w:shd w:val="clear" w:color="auto" w:fill="auto"/>
            <w:noWrap/>
            <w:vAlign w:val="center"/>
            <w:hideMark/>
          </w:tcPr>
          <w:p w14:paraId="5052A906" w14:textId="77777777" w:rsidR="00332057" w:rsidRDefault="00332057" w:rsidP="003D1FD5">
            <w:pPr>
              <w:jc w:val="both"/>
              <w:rPr>
                <w:rFonts w:cs="Arial"/>
                <w:color w:val="000000"/>
                <w:sz w:val="20"/>
                <w:szCs w:val="20"/>
              </w:rPr>
            </w:pPr>
            <w:r>
              <w:rPr>
                <w:rFonts w:cs="Arial"/>
                <w:color w:val="000000"/>
                <w:sz w:val="20"/>
                <w:szCs w:val="20"/>
              </w:rPr>
              <w:t xml:space="preserve">AUD 11.608 </w:t>
            </w:r>
          </w:p>
        </w:tc>
        <w:tc>
          <w:tcPr>
            <w:tcW w:w="1516" w:type="dxa"/>
            <w:tcBorders>
              <w:top w:val="nil"/>
              <w:left w:val="nil"/>
              <w:bottom w:val="single" w:sz="4" w:space="0" w:color="auto"/>
              <w:right w:val="single" w:sz="4" w:space="0" w:color="auto"/>
            </w:tcBorders>
            <w:shd w:val="clear" w:color="auto" w:fill="auto"/>
            <w:noWrap/>
            <w:vAlign w:val="center"/>
            <w:hideMark/>
          </w:tcPr>
          <w:p w14:paraId="0E2B1D01" w14:textId="5D032652" w:rsidR="00332057" w:rsidRDefault="00332057">
            <w:pPr>
              <w:rPr>
                <w:rFonts w:cs="Arial"/>
                <w:color w:val="000000"/>
                <w:sz w:val="20"/>
                <w:szCs w:val="20"/>
              </w:rPr>
            </w:pPr>
            <w:r>
              <w:rPr>
                <w:rFonts w:cs="Arial"/>
                <w:color w:val="000000"/>
                <w:sz w:val="20"/>
                <w:szCs w:val="20"/>
              </w:rPr>
              <w:t xml:space="preserve"> AUD 10.830 </w:t>
            </w:r>
          </w:p>
        </w:tc>
        <w:tc>
          <w:tcPr>
            <w:tcW w:w="1006" w:type="dxa"/>
            <w:tcBorders>
              <w:top w:val="nil"/>
              <w:left w:val="nil"/>
              <w:bottom w:val="single" w:sz="4" w:space="0" w:color="auto"/>
              <w:right w:val="single" w:sz="4" w:space="0" w:color="auto"/>
            </w:tcBorders>
            <w:shd w:val="clear" w:color="auto" w:fill="auto"/>
            <w:noWrap/>
            <w:vAlign w:val="center"/>
            <w:hideMark/>
          </w:tcPr>
          <w:p w14:paraId="27047054" w14:textId="0E80433A" w:rsidR="00332057" w:rsidRDefault="00332057">
            <w:pPr>
              <w:jc w:val="center"/>
              <w:rPr>
                <w:rFonts w:cs="Arial"/>
                <w:color w:val="000000"/>
                <w:sz w:val="20"/>
                <w:szCs w:val="20"/>
              </w:rPr>
            </w:pPr>
            <w:r>
              <w:rPr>
                <w:rFonts w:cs="Arial"/>
                <w:color w:val="000000"/>
                <w:sz w:val="20"/>
                <w:szCs w:val="20"/>
              </w:rPr>
              <w:t>101,99%</w:t>
            </w:r>
          </w:p>
        </w:tc>
        <w:tc>
          <w:tcPr>
            <w:tcW w:w="1648" w:type="dxa"/>
            <w:tcBorders>
              <w:top w:val="nil"/>
              <w:left w:val="nil"/>
              <w:bottom w:val="single" w:sz="4" w:space="0" w:color="auto"/>
              <w:right w:val="single" w:sz="4" w:space="0" w:color="auto"/>
            </w:tcBorders>
            <w:shd w:val="clear" w:color="auto" w:fill="auto"/>
            <w:noWrap/>
            <w:vAlign w:val="center"/>
            <w:hideMark/>
          </w:tcPr>
          <w:p w14:paraId="70560C7F" w14:textId="77777777" w:rsidR="00332057" w:rsidRDefault="00332057">
            <w:pPr>
              <w:jc w:val="center"/>
              <w:rPr>
                <w:rFonts w:cs="Arial"/>
                <w:color w:val="000000"/>
                <w:sz w:val="20"/>
                <w:szCs w:val="20"/>
              </w:rPr>
            </w:pPr>
            <w:r>
              <w:rPr>
                <w:rFonts w:cs="Arial"/>
                <w:color w:val="000000"/>
                <w:sz w:val="20"/>
                <w:szCs w:val="20"/>
              </w:rPr>
              <w:t>561,3</w:t>
            </w:r>
          </w:p>
        </w:tc>
        <w:tc>
          <w:tcPr>
            <w:tcW w:w="1701" w:type="dxa"/>
            <w:tcBorders>
              <w:top w:val="nil"/>
              <w:left w:val="nil"/>
              <w:bottom w:val="single" w:sz="4" w:space="0" w:color="auto"/>
              <w:right w:val="single" w:sz="4" w:space="0" w:color="auto"/>
            </w:tcBorders>
            <w:shd w:val="clear" w:color="auto" w:fill="auto"/>
            <w:noWrap/>
            <w:vAlign w:val="center"/>
            <w:hideMark/>
          </w:tcPr>
          <w:p w14:paraId="302A5701" w14:textId="77777777" w:rsidR="00332057" w:rsidRDefault="00332057">
            <w:pPr>
              <w:jc w:val="center"/>
              <w:rPr>
                <w:rFonts w:cs="Arial"/>
                <w:color w:val="000000"/>
                <w:sz w:val="20"/>
                <w:szCs w:val="20"/>
              </w:rPr>
            </w:pPr>
            <w:r>
              <w:rPr>
                <w:rFonts w:cs="Arial"/>
                <w:color w:val="000000"/>
                <w:sz w:val="20"/>
                <w:szCs w:val="20"/>
              </w:rPr>
              <w:t>639,3</w:t>
            </w:r>
          </w:p>
        </w:tc>
        <w:tc>
          <w:tcPr>
            <w:tcW w:w="938" w:type="dxa"/>
            <w:tcBorders>
              <w:top w:val="nil"/>
              <w:left w:val="nil"/>
              <w:bottom w:val="single" w:sz="4" w:space="0" w:color="auto"/>
              <w:right w:val="single" w:sz="4" w:space="0" w:color="auto"/>
            </w:tcBorders>
            <w:shd w:val="clear" w:color="auto" w:fill="auto"/>
            <w:noWrap/>
            <w:vAlign w:val="center"/>
            <w:hideMark/>
          </w:tcPr>
          <w:p w14:paraId="6358865F" w14:textId="77777777" w:rsidR="00332057" w:rsidRDefault="00332057">
            <w:pPr>
              <w:jc w:val="center"/>
              <w:rPr>
                <w:rFonts w:cs="Arial"/>
                <w:color w:val="000000"/>
                <w:sz w:val="20"/>
                <w:szCs w:val="20"/>
              </w:rPr>
            </w:pPr>
            <w:r>
              <w:rPr>
                <w:rFonts w:cs="Arial"/>
                <w:color w:val="000000"/>
                <w:sz w:val="20"/>
                <w:szCs w:val="20"/>
              </w:rPr>
              <w:t>78</w:t>
            </w:r>
          </w:p>
        </w:tc>
        <w:tc>
          <w:tcPr>
            <w:tcW w:w="1060" w:type="dxa"/>
            <w:tcBorders>
              <w:top w:val="nil"/>
              <w:left w:val="nil"/>
              <w:bottom w:val="single" w:sz="4" w:space="0" w:color="auto"/>
              <w:right w:val="single" w:sz="8" w:space="0" w:color="auto"/>
            </w:tcBorders>
            <w:shd w:val="clear" w:color="auto" w:fill="auto"/>
            <w:noWrap/>
            <w:vAlign w:val="center"/>
            <w:hideMark/>
          </w:tcPr>
          <w:p w14:paraId="5627CF84" w14:textId="77777777" w:rsidR="00332057" w:rsidRDefault="00332057">
            <w:pPr>
              <w:jc w:val="center"/>
              <w:rPr>
                <w:rFonts w:cs="Arial"/>
                <w:color w:val="000000"/>
                <w:sz w:val="20"/>
                <w:szCs w:val="20"/>
              </w:rPr>
            </w:pPr>
            <w:r>
              <w:rPr>
                <w:rFonts w:cs="Arial"/>
                <w:color w:val="000000"/>
                <w:sz w:val="20"/>
                <w:szCs w:val="20"/>
              </w:rPr>
              <w:t>39,14%</w:t>
            </w:r>
          </w:p>
        </w:tc>
      </w:tr>
      <w:tr w:rsidR="00332057" w:rsidRPr="00AE06D8" w14:paraId="10C06361" w14:textId="77777777" w:rsidTr="007B13DB">
        <w:trPr>
          <w:trHeight w:val="645"/>
        </w:trPr>
        <w:tc>
          <w:tcPr>
            <w:tcW w:w="1480" w:type="dxa"/>
            <w:tcBorders>
              <w:top w:val="nil"/>
              <w:left w:val="single" w:sz="8" w:space="0" w:color="auto"/>
              <w:bottom w:val="single" w:sz="4" w:space="0" w:color="auto"/>
              <w:right w:val="single" w:sz="4" w:space="0" w:color="auto"/>
            </w:tcBorders>
            <w:shd w:val="clear" w:color="auto" w:fill="auto"/>
            <w:vAlign w:val="center"/>
            <w:hideMark/>
          </w:tcPr>
          <w:p w14:paraId="4725CB3F" w14:textId="77777777" w:rsidR="00332057" w:rsidRPr="00AE06D8" w:rsidRDefault="00332057" w:rsidP="00AE06D8">
            <w:pPr>
              <w:jc w:val="center"/>
              <w:rPr>
                <w:rFonts w:cs="Arial"/>
                <w:color w:val="000000"/>
                <w:sz w:val="20"/>
                <w:szCs w:val="20"/>
                <w:lang w:val="en-US" w:eastAsia="en-US"/>
              </w:rPr>
            </w:pPr>
            <w:r w:rsidRPr="00AE06D8">
              <w:rPr>
                <w:rFonts w:cs="Arial"/>
                <w:color w:val="000000"/>
                <w:sz w:val="20"/>
                <w:szCs w:val="20"/>
                <w:lang w:val="en-US" w:eastAsia="en-US"/>
              </w:rPr>
              <w:t>Successful with complications</w:t>
            </w:r>
          </w:p>
        </w:tc>
        <w:tc>
          <w:tcPr>
            <w:tcW w:w="1671" w:type="dxa"/>
            <w:tcBorders>
              <w:top w:val="nil"/>
              <w:left w:val="nil"/>
              <w:bottom w:val="single" w:sz="4" w:space="0" w:color="auto"/>
              <w:right w:val="single" w:sz="4" w:space="0" w:color="auto"/>
            </w:tcBorders>
            <w:shd w:val="clear" w:color="auto" w:fill="auto"/>
            <w:noWrap/>
            <w:vAlign w:val="center"/>
            <w:hideMark/>
          </w:tcPr>
          <w:p w14:paraId="0FF30F93" w14:textId="25EDC206" w:rsidR="00332057" w:rsidRDefault="00332057">
            <w:pPr>
              <w:rPr>
                <w:rFonts w:cs="Arial"/>
                <w:color w:val="000000"/>
                <w:sz w:val="20"/>
                <w:szCs w:val="20"/>
              </w:rPr>
            </w:pPr>
            <w:r>
              <w:rPr>
                <w:rFonts w:cs="Arial"/>
                <w:color w:val="000000"/>
                <w:sz w:val="20"/>
                <w:szCs w:val="20"/>
              </w:rPr>
              <w:t xml:space="preserve"> AUD   1.691 </w:t>
            </w:r>
          </w:p>
        </w:tc>
        <w:tc>
          <w:tcPr>
            <w:tcW w:w="1418" w:type="dxa"/>
            <w:tcBorders>
              <w:top w:val="nil"/>
              <w:left w:val="nil"/>
              <w:bottom w:val="single" w:sz="4" w:space="0" w:color="auto"/>
              <w:right w:val="single" w:sz="4" w:space="0" w:color="auto"/>
            </w:tcBorders>
            <w:shd w:val="clear" w:color="auto" w:fill="auto"/>
            <w:noWrap/>
            <w:vAlign w:val="center"/>
            <w:hideMark/>
          </w:tcPr>
          <w:p w14:paraId="7AA92C27" w14:textId="5943F812" w:rsidR="00332057" w:rsidRDefault="00332057" w:rsidP="003D1FD5">
            <w:pPr>
              <w:jc w:val="both"/>
              <w:rPr>
                <w:rFonts w:cs="Arial"/>
                <w:color w:val="000000"/>
                <w:sz w:val="20"/>
                <w:szCs w:val="20"/>
              </w:rPr>
            </w:pPr>
            <w:r>
              <w:rPr>
                <w:rFonts w:cs="Arial"/>
                <w:color w:val="000000"/>
                <w:sz w:val="20"/>
                <w:szCs w:val="20"/>
              </w:rPr>
              <w:t xml:space="preserve">AUD   811 </w:t>
            </w:r>
          </w:p>
        </w:tc>
        <w:tc>
          <w:tcPr>
            <w:tcW w:w="1516" w:type="dxa"/>
            <w:tcBorders>
              <w:top w:val="nil"/>
              <w:left w:val="nil"/>
              <w:bottom w:val="single" w:sz="4" w:space="0" w:color="auto"/>
              <w:right w:val="single" w:sz="4" w:space="0" w:color="auto"/>
            </w:tcBorders>
            <w:shd w:val="clear" w:color="auto" w:fill="auto"/>
            <w:noWrap/>
            <w:vAlign w:val="center"/>
            <w:hideMark/>
          </w:tcPr>
          <w:p w14:paraId="470FC562" w14:textId="2DAA5268" w:rsidR="00332057" w:rsidRDefault="00332057">
            <w:pPr>
              <w:rPr>
                <w:rFonts w:cs="Arial"/>
                <w:color w:val="000000"/>
                <w:sz w:val="20"/>
                <w:szCs w:val="20"/>
              </w:rPr>
            </w:pPr>
            <w:r>
              <w:rPr>
                <w:rFonts w:cs="Arial"/>
                <w:color w:val="000000"/>
                <w:sz w:val="20"/>
                <w:szCs w:val="20"/>
              </w:rPr>
              <w:t xml:space="preserve"> AUD   880 </w:t>
            </w:r>
          </w:p>
        </w:tc>
        <w:tc>
          <w:tcPr>
            <w:tcW w:w="1006" w:type="dxa"/>
            <w:tcBorders>
              <w:top w:val="nil"/>
              <w:left w:val="nil"/>
              <w:bottom w:val="single" w:sz="4" w:space="0" w:color="auto"/>
              <w:right w:val="single" w:sz="4" w:space="0" w:color="auto"/>
            </w:tcBorders>
            <w:shd w:val="clear" w:color="auto" w:fill="auto"/>
            <w:noWrap/>
            <w:vAlign w:val="center"/>
            <w:hideMark/>
          </w:tcPr>
          <w:p w14:paraId="43142C20" w14:textId="30F32FA2" w:rsidR="00332057" w:rsidRDefault="00332057">
            <w:pPr>
              <w:jc w:val="center"/>
              <w:rPr>
                <w:rFonts w:cs="Arial"/>
                <w:color w:val="000000"/>
                <w:sz w:val="20"/>
                <w:szCs w:val="20"/>
              </w:rPr>
            </w:pPr>
            <w:r>
              <w:rPr>
                <w:rFonts w:cs="Arial"/>
                <w:color w:val="000000"/>
                <w:sz w:val="20"/>
                <w:szCs w:val="20"/>
              </w:rPr>
              <w:t>8,29%</w:t>
            </w:r>
          </w:p>
        </w:tc>
        <w:tc>
          <w:tcPr>
            <w:tcW w:w="1648" w:type="dxa"/>
            <w:tcBorders>
              <w:top w:val="nil"/>
              <w:left w:val="nil"/>
              <w:bottom w:val="single" w:sz="4" w:space="0" w:color="auto"/>
              <w:right w:val="single" w:sz="4" w:space="0" w:color="auto"/>
            </w:tcBorders>
            <w:shd w:val="clear" w:color="auto" w:fill="auto"/>
            <w:noWrap/>
            <w:vAlign w:val="center"/>
            <w:hideMark/>
          </w:tcPr>
          <w:p w14:paraId="77ED9433" w14:textId="77777777" w:rsidR="00332057" w:rsidRDefault="00332057">
            <w:pPr>
              <w:jc w:val="center"/>
              <w:rPr>
                <w:rFonts w:cs="Arial"/>
                <w:color w:val="000000"/>
                <w:sz w:val="20"/>
                <w:szCs w:val="20"/>
              </w:rPr>
            </w:pPr>
            <w:r>
              <w:rPr>
                <w:rFonts w:cs="Arial"/>
                <w:color w:val="000000"/>
                <w:sz w:val="20"/>
                <w:szCs w:val="20"/>
              </w:rPr>
              <w:t>10,2</w:t>
            </w:r>
          </w:p>
        </w:tc>
        <w:tc>
          <w:tcPr>
            <w:tcW w:w="1701" w:type="dxa"/>
            <w:tcBorders>
              <w:top w:val="nil"/>
              <w:left w:val="nil"/>
              <w:bottom w:val="single" w:sz="4" w:space="0" w:color="auto"/>
              <w:right w:val="single" w:sz="4" w:space="0" w:color="auto"/>
            </w:tcBorders>
            <w:shd w:val="clear" w:color="auto" w:fill="auto"/>
            <w:noWrap/>
            <w:vAlign w:val="center"/>
            <w:hideMark/>
          </w:tcPr>
          <w:p w14:paraId="705B5ACA" w14:textId="77777777" w:rsidR="00332057" w:rsidRDefault="00332057">
            <w:pPr>
              <w:jc w:val="center"/>
              <w:rPr>
                <w:rFonts w:cs="Arial"/>
                <w:color w:val="000000"/>
                <w:sz w:val="20"/>
                <w:szCs w:val="20"/>
              </w:rPr>
            </w:pPr>
            <w:r>
              <w:rPr>
                <w:rFonts w:cs="Arial"/>
                <w:color w:val="000000"/>
                <w:sz w:val="20"/>
                <w:szCs w:val="20"/>
              </w:rPr>
              <w:t>7,1</w:t>
            </w:r>
          </w:p>
        </w:tc>
        <w:tc>
          <w:tcPr>
            <w:tcW w:w="938" w:type="dxa"/>
            <w:tcBorders>
              <w:top w:val="nil"/>
              <w:left w:val="nil"/>
              <w:bottom w:val="single" w:sz="4" w:space="0" w:color="auto"/>
              <w:right w:val="single" w:sz="4" w:space="0" w:color="auto"/>
            </w:tcBorders>
            <w:shd w:val="clear" w:color="auto" w:fill="auto"/>
            <w:noWrap/>
            <w:vAlign w:val="center"/>
            <w:hideMark/>
          </w:tcPr>
          <w:p w14:paraId="7BB6F7BB" w14:textId="77777777" w:rsidR="00332057" w:rsidRDefault="00332057">
            <w:pPr>
              <w:jc w:val="center"/>
              <w:rPr>
                <w:rFonts w:cs="Arial"/>
                <w:color w:val="000000"/>
                <w:sz w:val="20"/>
                <w:szCs w:val="20"/>
              </w:rPr>
            </w:pPr>
            <w:r>
              <w:rPr>
                <w:rFonts w:cs="Arial"/>
                <w:color w:val="000000"/>
                <w:sz w:val="20"/>
                <w:szCs w:val="20"/>
              </w:rPr>
              <w:t>-3,1</w:t>
            </w:r>
          </w:p>
        </w:tc>
        <w:tc>
          <w:tcPr>
            <w:tcW w:w="1060" w:type="dxa"/>
            <w:tcBorders>
              <w:top w:val="nil"/>
              <w:left w:val="nil"/>
              <w:bottom w:val="single" w:sz="4" w:space="0" w:color="auto"/>
              <w:right w:val="single" w:sz="8" w:space="0" w:color="auto"/>
            </w:tcBorders>
            <w:shd w:val="clear" w:color="auto" w:fill="auto"/>
            <w:noWrap/>
            <w:vAlign w:val="center"/>
            <w:hideMark/>
          </w:tcPr>
          <w:p w14:paraId="354AC6FB" w14:textId="77777777" w:rsidR="00332057" w:rsidRDefault="00332057">
            <w:pPr>
              <w:jc w:val="center"/>
              <w:rPr>
                <w:rFonts w:cs="Arial"/>
                <w:color w:val="000000"/>
                <w:sz w:val="20"/>
                <w:szCs w:val="20"/>
              </w:rPr>
            </w:pPr>
            <w:r>
              <w:rPr>
                <w:rFonts w:cs="Arial"/>
                <w:color w:val="000000"/>
                <w:sz w:val="20"/>
                <w:szCs w:val="20"/>
              </w:rPr>
              <w:t>-1,56%</w:t>
            </w:r>
          </w:p>
        </w:tc>
      </w:tr>
      <w:tr w:rsidR="00332057" w:rsidRPr="00AE06D8" w14:paraId="4297C62A" w14:textId="77777777" w:rsidTr="007B13DB">
        <w:trPr>
          <w:trHeight w:val="568"/>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3FB12BB2" w14:textId="77777777" w:rsidR="00332057" w:rsidRPr="00AE06D8" w:rsidRDefault="00332057" w:rsidP="00AE06D8">
            <w:pPr>
              <w:jc w:val="center"/>
              <w:rPr>
                <w:rFonts w:cs="Arial"/>
                <w:color w:val="000000"/>
                <w:sz w:val="20"/>
                <w:szCs w:val="20"/>
                <w:lang w:val="en-US" w:eastAsia="en-US"/>
              </w:rPr>
            </w:pPr>
            <w:r w:rsidRPr="00AE06D8">
              <w:rPr>
                <w:rFonts w:cs="Arial"/>
                <w:color w:val="000000"/>
                <w:sz w:val="20"/>
                <w:szCs w:val="20"/>
                <w:lang w:val="en-US" w:eastAsia="en-US"/>
              </w:rPr>
              <w:t>MEI failure</w:t>
            </w:r>
          </w:p>
        </w:tc>
        <w:tc>
          <w:tcPr>
            <w:tcW w:w="1671" w:type="dxa"/>
            <w:tcBorders>
              <w:top w:val="nil"/>
              <w:left w:val="nil"/>
              <w:bottom w:val="single" w:sz="4" w:space="0" w:color="auto"/>
              <w:right w:val="single" w:sz="4" w:space="0" w:color="auto"/>
            </w:tcBorders>
            <w:shd w:val="clear" w:color="auto" w:fill="auto"/>
            <w:noWrap/>
            <w:vAlign w:val="center"/>
            <w:hideMark/>
          </w:tcPr>
          <w:p w14:paraId="0AE632FE" w14:textId="700AAA87" w:rsidR="00332057" w:rsidRDefault="00332057">
            <w:pPr>
              <w:rPr>
                <w:rFonts w:cs="Arial"/>
                <w:color w:val="000000"/>
                <w:sz w:val="20"/>
                <w:szCs w:val="20"/>
              </w:rPr>
            </w:pPr>
            <w:r>
              <w:rPr>
                <w:rFonts w:cs="Arial"/>
                <w:color w:val="000000"/>
                <w:sz w:val="20"/>
                <w:szCs w:val="20"/>
              </w:rPr>
              <w:t xml:space="preserve"> AUD   28 </w:t>
            </w:r>
          </w:p>
        </w:tc>
        <w:tc>
          <w:tcPr>
            <w:tcW w:w="1418" w:type="dxa"/>
            <w:tcBorders>
              <w:top w:val="nil"/>
              <w:left w:val="nil"/>
              <w:bottom w:val="single" w:sz="4" w:space="0" w:color="auto"/>
              <w:right w:val="single" w:sz="4" w:space="0" w:color="auto"/>
            </w:tcBorders>
            <w:shd w:val="clear" w:color="auto" w:fill="auto"/>
            <w:noWrap/>
            <w:vAlign w:val="center"/>
            <w:hideMark/>
          </w:tcPr>
          <w:p w14:paraId="3C3F0042" w14:textId="5CE7B4E9" w:rsidR="00332057" w:rsidRDefault="00332057" w:rsidP="003D1FD5">
            <w:pPr>
              <w:jc w:val="both"/>
              <w:rPr>
                <w:rFonts w:cs="Arial"/>
                <w:color w:val="000000"/>
                <w:sz w:val="20"/>
                <w:szCs w:val="20"/>
              </w:rPr>
            </w:pPr>
            <w:r>
              <w:rPr>
                <w:rFonts w:cs="Arial"/>
                <w:color w:val="000000"/>
                <w:sz w:val="20"/>
                <w:szCs w:val="20"/>
              </w:rPr>
              <w:t xml:space="preserve">AUD   16 </w:t>
            </w:r>
          </w:p>
        </w:tc>
        <w:tc>
          <w:tcPr>
            <w:tcW w:w="1516" w:type="dxa"/>
            <w:tcBorders>
              <w:top w:val="nil"/>
              <w:left w:val="nil"/>
              <w:bottom w:val="single" w:sz="4" w:space="0" w:color="auto"/>
              <w:right w:val="single" w:sz="4" w:space="0" w:color="auto"/>
            </w:tcBorders>
            <w:shd w:val="clear" w:color="auto" w:fill="auto"/>
            <w:noWrap/>
            <w:vAlign w:val="center"/>
            <w:hideMark/>
          </w:tcPr>
          <w:p w14:paraId="57F9B07A" w14:textId="64B28323" w:rsidR="00332057" w:rsidRDefault="00332057">
            <w:pPr>
              <w:rPr>
                <w:rFonts w:cs="Arial"/>
                <w:color w:val="000000"/>
                <w:sz w:val="20"/>
                <w:szCs w:val="20"/>
              </w:rPr>
            </w:pPr>
            <w:r>
              <w:rPr>
                <w:rFonts w:cs="Arial"/>
                <w:color w:val="000000"/>
                <w:sz w:val="20"/>
                <w:szCs w:val="20"/>
              </w:rPr>
              <w:t xml:space="preserve"> AUD   12 </w:t>
            </w:r>
          </w:p>
        </w:tc>
        <w:tc>
          <w:tcPr>
            <w:tcW w:w="1006" w:type="dxa"/>
            <w:tcBorders>
              <w:top w:val="nil"/>
              <w:left w:val="nil"/>
              <w:bottom w:val="single" w:sz="4" w:space="0" w:color="auto"/>
              <w:right w:val="single" w:sz="4" w:space="0" w:color="auto"/>
            </w:tcBorders>
            <w:shd w:val="clear" w:color="auto" w:fill="auto"/>
            <w:noWrap/>
            <w:vAlign w:val="center"/>
            <w:hideMark/>
          </w:tcPr>
          <w:p w14:paraId="20F4239F" w14:textId="04A217FE" w:rsidR="00332057" w:rsidRDefault="00332057">
            <w:pPr>
              <w:jc w:val="center"/>
              <w:rPr>
                <w:rFonts w:cs="Arial"/>
                <w:color w:val="000000"/>
                <w:sz w:val="20"/>
                <w:szCs w:val="20"/>
              </w:rPr>
            </w:pPr>
            <w:r>
              <w:rPr>
                <w:rFonts w:cs="Arial"/>
                <w:color w:val="000000"/>
                <w:sz w:val="20"/>
                <w:szCs w:val="20"/>
              </w:rPr>
              <w:t>0,11%</w:t>
            </w:r>
          </w:p>
        </w:tc>
        <w:tc>
          <w:tcPr>
            <w:tcW w:w="1648" w:type="dxa"/>
            <w:tcBorders>
              <w:top w:val="nil"/>
              <w:left w:val="nil"/>
              <w:bottom w:val="single" w:sz="4" w:space="0" w:color="auto"/>
              <w:right w:val="single" w:sz="4" w:space="0" w:color="auto"/>
            </w:tcBorders>
            <w:shd w:val="clear" w:color="auto" w:fill="auto"/>
            <w:noWrap/>
            <w:vAlign w:val="center"/>
            <w:hideMark/>
          </w:tcPr>
          <w:p w14:paraId="5107426F" w14:textId="77777777" w:rsidR="00332057" w:rsidRDefault="00332057">
            <w:pPr>
              <w:jc w:val="center"/>
              <w:rPr>
                <w:rFonts w:cs="Arial"/>
                <w:color w:val="000000"/>
                <w:sz w:val="20"/>
                <w:szCs w:val="20"/>
              </w:rPr>
            </w:pPr>
            <w:r>
              <w:rPr>
                <w:rFonts w:cs="Arial"/>
                <w:color w:val="000000"/>
                <w:sz w:val="20"/>
                <w:szCs w:val="20"/>
              </w:rPr>
              <w:t>0,1</w:t>
            </w:r>
          </w:p>
        </w:tc>
        <w:tc>
          <w:tcPr>
            <w:tcW w:w="1701" w:type="dxa"/>
            <w:tcBorders>
              <w:top w:val="nil"/>
              <w:left w:val="nil"/>
              <w:bottom w:val="single" w:sz="4" w:space="0" w:color="auto"/>
              <w:right w:val="single" w:sz="4" w:space="0" w:color="auto"/>
            </w:tcBorders>
            <w:shd w:val="clear" w:color="auto" w:fill="auto"/>
            <w:noWrap/>
            <w:vAlign w:val="center"/>
            <w:hideMark/>
          </w:tcPr>
          <w:p w14:paraId="1E8C7498" w14:textId="77777777" w:rsidR="00332057" w:rsidRDefault="00332057">
            <w:pPr>
              <w:jc w:val="center"/>
              <w:rPr>
                <w:rFonts w:cs="Arial"/>
                <w:color w:val="000000"/>
                <w:sz w:val="20"/>
                <w:szCs w:val="20"/>
              </w:rPr>
            </w:pPr>
            <w:r>
              <w:rPr>
                <w:rFonts w:cs="Arial"/>
                <w:color w:val="000000"/>
                <w:sz w:val="20"/>
                <w:szCs w:val="20"/>
              </w:rPr>
              <w:t>0,1</w:t>
            </w:r>
          </w:p>
        </w:tc>
        <w:tc>
          <w:tcPr>
            <w:tcW w:w="938" w:type="dxa"/>
            <w:tcBorders>
              <w:top w:val="nil"/>
              <w:left w:val="nil"/>
              <w:bottom w:val="single" w:sz="4" w:space="0" w:color="auto"/>
              <w:right w:val="single" w:sz="4" w:space="0" w:color="auto"/>
            </w:tcBorders>
            <w:shd w:val="clear" w:color="auto" w:fill="auto"/>
            <w:noWrap/>
            <w:vAlign w:val="center"/>
            <w:hideMark/>
          </w:tcPr>
          <w:p w14:paraId="0D619DA6" w14:textId="77777777" w:rsidR="00332057" w:rsidRDefault="00332057">
            <w:pPr>
              <w:jc w:val="center"/>
              <w:rPr>
                <w:rFonts w:cs="Arial"/>
                <w:color w:val="000000"/>
                <w:sz w:val="20"/>
                <w:szCs w:val="20"/>
              </w:rPr>
            </w:pPr>
            <w:r>
              <w:rPr>
                <w:rFonts w:cs="Arial"/>
                <w:color w:val="000000"/>
                <w:sz w:val="20"/>
                <w:szCs w:val="20"/>
              </w:rPr>
              <w:t>0</w:t>
            </w:r>
          </w:p>
        </w:tc>
        <w:tc>
          <w:tcPr>
            <w:tcW w:w="1060" w:type="dxa"/>
            <w:tcBorders>
              <w:top w:val="nil"/>
              <w:left w:val="nil"/>
              <w:bottom w:val="single" w:sz="4" w:space="0" w:color="auto"/>
              <w:right w:val="single" w:sz="8" w:space="0" w:color="auto"/>
            </w:tcBorders>
            <w:shd w:val="clear" w:color="auto" w:fill="auto"/>
            <w:noWrap/>
            <w:vAlign w:val="center"/>
            <w:hideMark/>
          </w:tcPr>
          <w:p w14:paraId="74E9A625" w14:textId="77777777" w:rsidR="00332057" w:rsidRDefault="00332057">
            <w:pPr>
              <w:jc w:val="center"/>
              <w:rPr>
                <w:rFonts w:cs="Arial"/>
                <w:color w:val="000000"/>
                <w:sz w:val="20"/>
                <w:szCs w:val="20"/>
              </w:rPr>
            </w:pPr>
            <w:r>
              <w:rPr>
                <w:rFonts w:cs="Arial"/>
                <w:color w:val="000000"/>
                <w:sz w:val="20"/>
                <w:szCs w:val="20"/>
              </w:rPr>
              <w:t>0,00%</w:t>
            </w:r>
          </w:p>
        </w:tc>
      </w:tr>
      <w:tr w:rsidR="00332057" w:rsidRPr="00AE06D8" w14:paraId="51309564" w14:textId="77777777" w:rsidTr="007B13DB">
        <w:trPr>
          <w:trHeight w:val="548"/>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539A0250" w14:textId="77777777" w:rsidR="00332057" w:rsidRPr="00AE06D8" w:rsidRDefault="00332057" w:rsidP="00AE06D8">
            <w:pPr>
              <w:jc w:val="center"/>
              <w:rPr>
                <w:rFonts w:cs="Arial"/>
                <w:color w:val="000000"/>
                <w:sz w:val="20"/>
                <w:szCs w:val="20"/>
                <w:lang w:val="en-US" w:eastAsia="en-US"/>
              </w:rPr>
            </w:pPr>
            <w:r w:rsidRPr="00AE06D8">
              <w:rPr>
                <w:rFonts w:cs="Arial"/>
                <w:color w:val="000000"/>
                <w:sz w:val="20"/>
                <w:szCs w:val="20"/>
                <w:lang w:val="en-US" w:eastAsia="en-US"/>
              </w:rPr>
              <w:t>Cease MEI</w:t>
            </w:r>
          </w:p>
        </w:tc>
        <w:tc>
          <w:tcPr>
            <w:tcW w:w="1671" w:type="dxa"/>
            <w:tcBorders>
              <w:top w:val="nil"/>
              <w:left w:val="nil"/>
              <w:bottom w:val="single" w:sz="4" w:space="0" w:color="auto"/>
              <w:right w:val="single" w:sz="4" w:space="0" w:color="auto"/>
            </w:tcBorders>
            <w:shd w:val="clear" w:color="auto" w:fill="auto"/>
            <w:noWrap/>
            <w:vAlign w:val="center"/>
            <w:hideMark/>
          </w:tcPr>
          <w:p w14:paraId="565794B9" w14:textId="127E8466" w:rsidR="00332057" w:rsidRDefault="00332057">
            <w:pPr>
              <w:rPr>
                <w:rFonts w:cs="Arial"/>
                <w:color w:val="000000"/>
                <w:sz w:val="20"/>
                <w:szCs w:val="20"/>
              </w:rPr>
            </w:pPr>
            <w:r>
              <w:rPr>
                <w:rFonts w:cs="Arial"/>
                <w:color w:val="000000"/>
                <w:sz w:val="20"/>
                <w:szCs w:val="20"/>
              </w:rPr>
              <w:t xml:space="preserve"> AUD   312 </w:t>
            </w:r>
          </w:p>
        </w:tc>
        <w:tc>
          <w:tcPr>
            <w:tcW w:w="1418" w:type="dxa"/>
            <w:tcBorders>
              <w:top w:val="nil"/>
              <w:left w:val="nil"/>
              <w:bottom w:val="single" w:sz="4" w:space="0" w:color="auto"/>
              <w:right w:val="single" w:sz="4" w:space="0" w:color="auto"/>
            </w:tcBorders>
            <w:shd w:val="clear" w:color="auto" w:fill="auto"/>
            <w:noWrap/>
            <w:vAlign w:val="center"/>
            <w:hideMark/>
          </w:tcPr>
          <w:p w14:paraId="78F158FE" w14:textId="77777777" w:rsidR="00332057" w:rsidRDefault="00332057" w:rsidP="003D1FD5">
            <w:pPr>
              <w:jc w:val="both"/>
              <w:rPr>
                <w:rFonts w:cs="Arial"/>
                <w:color w:val="000000"/>
                <w:sz w:val="20"/>
                <w:szCs w:val="20"/>
              </w:rPr>
            </w:pPr>
            <w:r>
              <w:rPr>
                <w:rFonts w:cs="Arial"/>
                <w:color w:val="000000"/>
                <w:sz w:val="20"/>
                <w:szCs w:val="20"/>
              </w:rPr>
              <w:t xml:space="preserve">AUD   1.415 </w:t>
            </w:r>
          </w:p>
        </w:tc>
        <w:tc>
          <w:tcPr>
            <w:tcW w:w="1516" w:type="dxa"/>
            <w:tcBorders>
              <w:top w:val="nil"/>
              <w:left w:val="nil"/>
              <w:bottom w:val="single" w:sz="4" w:space="0" w:color="auto"/>
              <w:right w:val="single" w:sz="4" w:space="0" w:color="auto"/>
            </w:tcBorders>
            <w:shd w:val="clear" w:color="auto" w:fill="auto"/>
            <w:noWrap/>
            <w:vAlign w:val="center"/>
            <w:hideMark/>
          </w:tcPr>
          <w:p w14:paraId="5DEFF5AB" w14:textId="3A9B27E1" w:rsidR="00332057" w:rsidRDefault="00332057">
            <w:pPr>
              <w:rPr>
                <w:rFonts w:cs="Arial"/>
                <w:color w:val="000000"/>
                <w:sz w:val="20"/>
                <w:szCs w:val="20"/>
              </w:rPr>
            </w:pPr>
            <w:r>
              <w:rPr>
                <w:rFonts w:cs="Arial"/>
                <w:color w:val="000000"/>
                <w:sz w:val="20"/>
                <w:szCs w:val="20"/>
              </w:rPr>
              <w:t xml:space="preserve">-AUD   1.103 </w:t>
            </w:r>
          </w:p>
        </w:tc>
        <w:tc>
          <w:tcPr>
            <w:tcW w:w="1006" w:type="dxa"/>
            <w:tcBorders>
              <w:top w:val="nil"/>
              <w:left w:val="nil"/>
              <w:bottom w:val="single" w:sz="4" w:space="0" w:color="auto"/>
              <w:right w:val="single" w:sz="4" w:space="0" w:color="auto"/>
            </w:tcBorders>
            <w:shd w:val="clear" w:color="auto" w:fill="auto"/>
            <w:noWrap/>
            <w:vAlign w:val="center"/>
            <w:hideMark/>
          </w:tcPr>
          <w:p w14:paraId="59B08274" w14:textId="7DDF7101" w:rsidR="00332057" w:rsidRDefault="00332057">
            <w:pPr>
              <w:jc w:val="center"/>
              <w:rPr>
                <w:rFonts w:cs="Arial"/>
                <w:color w:val="000000"/>
                <w:sz w:val="20"/>
                <w:szCs w:val="20"/>
              </w:rPr>
            </w:pPr>
            <w:r>
              <w:rPr>
                <w:rFonts w:cs="Arial"/>
                <w:color w:val="000000"/>
                <w:sz w:val="20"/>
                <w:szCs w:val="20"/>
              </w:rPr>
              <w:t>-10,39%</w:t>
            </w:r>
          </w:p>
        </w:tc>
        <w:tc>
          <w:tcPr>
            <w:tcW w:w="1648" w:type="dxa"/>
            <w:tcBorders>
              <w:top w:val="nil"/>
              <w:left w:val="nil"/>
              <w:bottom w:val="single" w:sz="4" w:space="0" w:color="auto"/>
              <w:right w:val="single" w:sz="4" w:space="0" w:color="auto"/>
            </w:tcBorders>
            <w:shd w:val="clear" w:color="auto" w:fill="auto"/>
            <w:noWrap/>
            <w:vAlign w:val="center"/>
            <w:hideMark/>
          </w:tcPr>
          <w:p w14:paraId="6389741B" w14:textId="77777777" w:rsidR="00332057" w:rsidRDefault="00332057">
            <w:pPr>
              <w:jc w:val="center"/>
              <w:rPr>
                <w:rFonts w:cs="Arial"/>
                <w:color w:val="000000"/>
                <w:sz w:val="20"/>
                <w:szCs w:val="20"/>
              </w:rPr>
            </w:pPr>
            <w:r>
              <w:rPr>
                <w:rFonts w:cs="Arial"/>
                <w:color w:val="000000"/>
                <w:sz w:val="20"/>
                <w:szCs w:val="20"/>
              </w:rPr>
              <w:t>20,8</w:t>
            </w:r>
          </w:p>
        </w:tc>
        <w:tc>
          <w:tcPr>
            <w:tcW w:w="1701" w:type="dxa"/>
            <w:tcBorders>
              <w:top w:val="nil"/>
              <w:left w:val="nil"/>
              <w:bottom w:val="single" w:sz="4" w:space="0" w:color="auto"/>
              <w:right w:val="single" w:sz="4" w:space="0" w:color="auto"/>
            </w:tcBorders>
            <w:shd w:val="clear" w:color="auto" w:fill="auto"/>
            <w:noWrap/>
            <w:vAlign w:val="center"/>
            <w:hideMark/>
          </w:tcPr>
          <w:p w14:paraId="2B381317" w14:textId="77777777" w:rsidR="00332057" w:rsidRDefault="00332057">
            <w:pPr>
              <w:jc w:val="center"/>
              <w:rPr>
                <w:rFonts w:cs="Arial"/>
                <w:color w:val="000000"/>
                <w:sz w:val="20"/>
                <w:szCs w:val="20"/>
              </w:rPr>
            </w:pPr>
            <w:r>
              <w:rPr>
                <w:rFonts w:cs="Arial"/>
                <w:color w:val="000000"/>
                <w:sz w:val="20"/>
                <w:szCs w:val="20"/>
              </w:rPr>
              <w:t>145,2</w:t>
            </w:r>
          </w:p>
        </w:tc>
        <w:tc>
          <w:tcPr>
            <w:tcW w:w="938" w:type="dxa"/>
            <w:tcBorders>
              <w:top w:val="nil"/>
              <w:left w:val="nil"/>
              <w:bottom w:val="single" w:sz="4" w:space="0" w:color="auto"/>
              <w:right w:val="single" w:sz="4" w:space="0" w:color="auto"/>
            </w:tcBorders>
            <w:shd w:val="clear" w:color="auto" w:fill="auto"/>
            <w:noWrap/>
            <w:vAlign w:val="center"/>
            <w:hideMark/>
          </w:tcPr>
          <w:p w14:paraId="214126AF" w14:textId="77777777" w:rsidR="00332057" w:rsidRDefault="00332057">
            <w:pPr>
              <w:jc w:val="center"/>
              <w:rPr>
                <w:rFonts w:cs="Arial"/>
                <w:color w:val="000000"/>
                <w:sz w:val="20"/>
                <w:szCs w:val="20"/>
              </w:rPr>
            </w:pPr>
            <w:r>
              <w:rPr>
                <w:rFonts w:cs="Arial"/>
                <w:color w:val="000000"/>
                <w:sz w:val="20"/>
                <w:szCs w:val="20"/>
              </w:rPr>
              <w:t>124,4</w:t>
            </w:r>
          </w:p>
        </w:tc>
        <w:tc>
          <w:tcPr>
            <w:tcW w:w="1060" w:type="dxa"/>
            <w:tcBorders>
              <w:top w:val="nil"/>
              <w:left w:val="nil"/>
              <w:bottom w:val="single" w:sz="4" w:space="0" w:color="auto"/>
              <w:right w:val="single" w:sz="8" w:space="0" w:color="auto"/>
            </w:tcBorders>
            <w:shd w:val="clear" w:color="auto" w:fill="auto"/>
            <w:noWrap/>
            <w:vAlign w:val="center"/>
            <w:hideMark/>
          </w:tcPr>
          <w:p w14:paraId="5B75CC6F" w14:textId="77777777" w:rsidR="00332057" w:rsidRDefault="00332057">
            <w:pPr>
              <w:jc w:val="center"/>
              <w:rPr>
                <w:rFonts w:cs="Arial"/>
                <w:color w:val="000000"/>
                <w:sz w:val="20"/>
                <w:szCs w:val="20"/>
              </w:rPr>
            </w:pPr>
            <w:r>
              <w:rPr>
                <w:rFonts w:cs="Arial"/>
                <w:color w:val="000000"/>
                <w:sz w:val="20"/>
                <w:szCs w:val="20"/>
              </w:rPr>
              <w:t>62,42%</w:t>
            </w:r>
          </w:p>
        </w:tc>
      </w:tr>
      <w:tr w:rsidR="00332057" w:rsidRPr="00AE06D8" w14:paraId="7E8B74A6" w14:textId="77777777" w:rsidTr="007B13DB">
        <w:trPr>
          <w:trHeight w:val="556"/>
        </w:trPr>
        <w:tc>
          <w:tcPr>
            <w:tcW w:w="1480" w:type="dxa"/>
            <w:tcBorders>
              <w:top w:val="nil"/>
              <w:left w:val="single" w:sz="8" w:space="0" w:color="auto"/>
              <w:bottom w:val="single" w:sz="8" w:space="0" w:color="auto"/>
              <w:right w:val="single" w:sz="4" w:space="0" w:color="auto"/>
            </w:tcBorders>
            <w:shd w:val="clear" w:color="auto" w:fill="auto"/>
            <w:noWrap/>
            <w:vAlign w:val="center"/>
            <w:hideMark/>
          </w:tcPr>
          <w:p w14:paraId="4FDFF9B7" w14:textId="77777777" w:rsidR="00332057" w:rsidRPr="00AE06D8" w:rsidRDefault="00332057" w:rsidP="00AE06D8">
            <w:pPr>
              <w:jc w:val="center"/>
              <w:rPr>
                <w:rFonts w:cs="Arial"/>
                <w:b/>
                <w:bCs/>
                <w:color w:val="000000"/>
                <w:sz w:val="20"/>
                <w:szCs w:val="20"/>
                <w:lang w:val="en-US" w:eastAsia="en-US"/>
              </w:rPr>
            </w:pPr>
            <w:r w:rsidRPr="00AE06D8">
              <w:rPr>
                <w:rFonts w:cs="Arial"/>
                <w:b/>
                <w:bCs/>
                <w:color w:val="000000"/>
                <w:sz w:val="20"/>
                <w:szCs w:val="20"/>
                <w:lang w:val="en-US" w:eastAsia="en-US"/>
              </w:rPr>
              <w:t xml:space="preserve">Total </w:t>
            </w:r>
          </w:p>
        </w:tc>
        <w:tc>
          <w:tcPr>
            <w:tcW w:w="1671" w:type="dxa"/>
            <w:tcBorders>
              <w:top w:val="nil"/>
              <w:left w:val="nil"/>
              <w:bottom w:val="single" w:sz="8" w:space="0" w:color="auto"/>
              <w:right w:val="single" w:sz="4" w:space="0" w:color="auto"/>
            </w:tcBorders>
            <w:shd w:val="clear" w:color="auto" w:fill="auto"/>
            <w:noWrap/>
            <w:vAlign w:val="center"/>
            <w:hideMark/>
          </w:tcPr>
          <w:p w14:paraId="5E7BB9E5" w14:textId="50EFED1E" w:rsidR="00332057" w:rsidRDefault="00332057">
            <w:pPr>
              <w:rPr>
                <w:rFonts w:cs="Arial"/>
                <w:color w:val="000000"/>
                <w:sz w:val="20"/>
                <w:szCs w:val="20"/>
              </w:rPr>
            </w:pPr>
            <w:r>
              <w:rPr>
                <w:rFonts w:cs="Arial"/>
                <w:color w:val="000000"/>
                <w:sz w:val="20"/>
                <w:szCs w:val="20"/>
              </w:rPr>
              <w:t xml:space="preserve"> AUD   24.468 </w:t>
            </w:r>
          </w:p>
        </w:tc>
        <w:tc>
          <w:tcPr>
            <w:tcW w:w="1418" w:type="dxa"/>
            <w:tcBorders>
              <w:top w:val="nil"/>
              <w:left w:val="nil"/>
              <w:bottom w:val="single" w:sz="8" w:space="0" w:color="auto"/>
              <w:right w:val="single" w:sz="4" w:space="0" w:color="auto"/>
            </w:tcBorders>
            <w:shd w:val="clear" w:color="auto" w:fill="auto"/>
            <w:noWrap/>
            <w:vAlign w:val="center"/>
            <w:hideMark/>
          </w:tcPr>
          <w:p w14:paraId="4B976CEB" w14:textId="77777777" w:rsidR="00332057" w:rsidRDefault="00332057" w:rsidP="003D1FD5">
            <w:pPr>
              <w:jc w:val="both"/>
              <w:rPr>
                <w:rFonts w:cs="Arial"/>
                <w:color w:val="000000"/>
                <w:sz w:val="20"/>
                <w:szCs w:val="20"/>
              </w:rPr>
            </w:pPr>
            <w:r>
              <w:rPr>
                <w:rFonts w:cs="Arial"/>
                <w:color w:val="000000"/>
                <w:sz w:val="20"/>
                <w:szCs w:val="20"/>
              </w:rPr>
              <w:t xml:space="preserve">AUD 13.850 </w:t>
            </w:r>
          </w:p>
        </w:tc>
        <w:tc>
          <w:tcPr>
            <w:tcW w:w="1516" w:type="dxa"/>
            <w:tcBorders>
              <w:top w:val="nil"/>
              <w:left w:val="nil"/>
              <w:bottom w:val="single" w:sz="8" w:space="0" w:color="auto"/>
              <w:right w:val="single" w:sz="4" w:space="0" w:color="auto"/>
            </w:tcBorders>
            <w:shd w:val="clear" w:color="auto" w:fill="auto"/>
            <w:noWrap/>
            <w:vAlign w:val="center"/>
            <w:hideMark/>
          </w:tcPr>
          <w:p w14:paraId="0B3A4E56" w14:textId="0A8FA9B4" w:rsidR="00332057" w:rsidRDefault="00332057">
            <w:pPr>
              <w:rPr>
                <w:rFonts w:cs="Arial"/>
                <w:color w:val="000000"/>
                <w:sz w:val="20"/>
                <w:szCs w:val="20"/>
              </w:rPr>
            </w:pPr>
            <w:r>
              <w:rPr>
                <w:rFonts w:cs="Arial"/>
                <w:color w:val="000000"/>
                <w:sz w:val="20"/>
                <w:szCs w:val="20"/>
              </w:rPr>
              <w:t xml:space="preserve"> AUD 10.619 </w:t>
            </w:r>
          </w:p>
        </w:tc>
        <w:tc>
          <w:tcPr>
            <w:tcW w:w="1006" w:type="dxa"/>
            <w:tcBorders>
              <w:top w:val="nil"/>
              <w:left w:val="nil"/>
              <w:bottom w:val="single" w:sz="8" w:space="0" w:color="auto"/>
              <w:right w:val="single" w:sz="4" w:space="0" w:color="auto"/>
            </w:tcBorders>
            <w:shd w:val="clear" w:color="auto" w:fill="auto"/>
            <w:noWrap/>
            <w:vAlign w:val="center"/>
            <w:hideMark/>
          </w:tcPr>
          <w:p w14:paraId="56DC0059" w14:textId="7A8CE8E3" w:rsidR="00332057" w:rsidRDefault="00332057">
            <w:pPr>
              <w:jc w:val="center"/>
              <w:rPr>
                <w:rFonts w:cs="Arial"/>
                <w:color w:val="000000"/>
                <w:sz w:val="20"/>
                <w:szCs w:val="20"/>
              </w:rPr>
            </w:pPr>
            <w:r>
              <w:rPr>
                <w:rFonts w:cs="Arial"/>
                <w:color w:val="000000"/>
                <w:sz w:val="20"/>
                <w:szCs w:val="20"/>
              </w:rPr>
              <w:t>100,00%</w:t>
            </w:r>
          </w:p>
        </w:tc>
        <w:tc>
          <w:tcPr>
            <w:tcW w:w="1648" w:type="dxa"/>
            <w:tcBorders>
              <w:top w:val="nil"/>
              <w:left w:val="nil"/>
              <w:bottom w:val="single" w:sz="8" w:space="0" w:color="auto"/>
              <w:right w:val="single" w:sz="4" w:space="0" w:color="auto"/>
            </w:tcBorders>
            <w:shd w:val="clear" w:color="auto" w:fill="auto"/>
            <w:noWrap/>
            <w:vAlign w:val="center"/>
            <w:hideMark/>
          </w:tcPr>
          <w:p w14:paraId="51063EA2" w14:textId="77777777" w:rsidR="00332057" w:rsidRDefault="00332057">
            <w:pPr>
              <w:jc w:val="center"/>
              <w:rPr>
                <w:rFonts w:cs="Arial"/>
                <w:color w:val="000000"/>
                <w:sz w:val="20"/>
                <w:szCs w:val="20"/>
              </w:rPr>
            </w:pPr>
            <w:r>
              <w:rPr>
                <w:rFonts w:cs="Arial"/>
                <w:color w:val="000000"/>
                <w:sz w:val="20"/>
                <w:szCs w:val="20"/>
              </w:rPr>
              <w:t>592,4</w:t>
            </w:r>
          </w:p>
        </w:tc>
        <w:tc>
          <w:tcPr>
            <w:tcW w:w="1701" w:type="dxa"/>
            <w:tcBorders>
              <w:top w:val="nil"/>
              <w:left w:val="nil"/>
              <w:bottom w:val="single" w:sz="8" w:space="0" w:color="auto"/>
              <w:right w:val="single" w:sz="4" w:space="0" w:color="auto"/>
            </w:tcBorders>
            <w:shd w:val="clear" w:color="auto" w:fill="auto"/>
            <w:noWrap/>
            <w:vAlign w:val="center"/>
            <w:hideMark/>
          </w:tcPr>
          <w:p w14:paraId="779DA0B1" w14:textId="77777777" w:rsidR="00332057" w:rsidRDefault="00332057">
            <w:pPr>
              <w:jc w:val="center"/>
              <w:rPr>
                <w:rFonts w:cs="Arial"/>
                <w:color w:val="000000"/>
                <w:sz w:val="20"/>
                <w:szCs w:val="20"/>
              </w:rPr>
            </w:pPr>
            <w:r>
              <w:rPr>
                <w:rFonts w:cs="Arial"/>
                <w:color w:val="000000"/>
                <w:sz w:val="20"/>
                <w:szCs w:val="20"/>
              </w:rPr>
              <w:t>791,7</w:t>
            </w:r>
          </w:p>
        </w:tc>
        <w:tc>
          <w:tcPr>
            <w:tcW w:w="938" w:type="dxa"/>
            <w:tcBorders>
              <w:top w:val="nil"/>
              <w:left w:val="nil"/>
              <w:bottom w:val="single" w:sz="8" w:space="0" w:color="auto"/>
              <w:right w:val="single" w:sz="4" w:space="0" w:color="auto"/>
            </w:tcBorders>
            <w:shd w:val="clear" w:color="auto" w:fill="auto"/>
            <w:noWrap/>
            <w:vAlign w:val="center"/>
            <w:hideMark/>
          </w:tcPr>
          <w:p w14:paraId="752AB051" w14:textId="77777777" w:rsidR="00332057" w:rsidRDefault="00332057">
            <w:pPr>
              <w:jc w:val="center"/>
              <w:rPr>
                <w:rFonts w:cs="Arial"/>
                <w:color w:val="000000"/>
                <w:sz w:val="20"/>
                <w:szCs w:val="20"/>
              </w:rPr>
            </w:pPr>
            <w:r>
              <w:rPr>
                <w:rFonts w:cs="Arial"/>
                <w:color w:val="000000"/>
                <w:sz w:val="20"/>
                <w:szCs w:val="20"/>
              </w:rPr>
              <w:t>199,3</w:t>
            </w:r>
          </w:p>
        </w:tc>
        <w:tc>
          <w:tcPr>
            <w:tcW w:w="1060" w:type="dxa"/>
            <w:tcBorders>
              <w:top w:val="nil"/>
              <w:left w:val="nil"/>
              <w:bottom w:val="single" w:sz="8" w:space="0" w:color="auto"/>
              <w:right w:val="single" w:sz="8" w:space="0" w:color="auto"/>
            </w:tcBorders>
            <w:shd w:val="clear" w:color="auto" w:fill="auto"/>
            <w:noWrap/>
            <w:vAlign w:val="center"/>
            <w:hideMark/>
          </w:tcPr>
          <w:p w14:paraId="01BB03BF" w14:textId="77777777" w:rsidR="00332057" w:rsidRDefault="00332057">
            <w:pPr>
              <w:jc w:val="center"/>
              <w:rPr>
                <w:rFonts w:cs="Arial"/>
                <w:color w:val="000000"/>
                <w:sz w:val="20"/>
                <w:szCs w:val="20"/>
              </w:rPr>
            </w:pPr>
            <w:r>
              <w:rPr>
                <w:rFonts w:cs="Arial"/>
                <w:color w:val="000000"/>
                <w:sz w:val="20"/>
                <w:szCs w:val="20"/>
              </w:rPr>
              <w:t>100,00%</w:t>
            </w:r>
          </w:p>
        </w:tc>
      </w:tr>
    </w:tbl>
    <w:p w14:paraId="35246A49" w14:textId="77777777" w:rsidR="008718FB" w:rsidRPr="008718FB" w:rsidRDefault="008718FB" w:rsidP="008718FB">
      <w:pPr>
        <w:spacing w:line="360" w:lineRule="auto"/>
        <w:jc w:val="both"/>
        <w:rPr>
          <w:rFonts w:cs="Arial"/>
          <w:b/>
          <w:sz w:val="20"/>
          <w:szCs w:val="20"/>
          <w:lang w:val="en-US"/>
        </w:rPr>
      </w:pPr>
    </w:p>
    <w:p w14:paraId="510E3295" w14:textId="77777777" w:rsidR="0020765E" w:rsidRPr="008718FB" w:rsidRDefault="0020765E" w:rsidP="00AE06D8">
      <w:pPr>
        <w:pStyle w:val="Textbody"/>
        <w:rPr>
          <w:sz w:val="20"/>
          <w:szCs w:val="20"/>
        </w:rPr>
      </w:pPr>
    </w:p>
    <w:p w14:paraId="28B76395" w14:textId="77777777" w:rsidR="00AE06D8" w:rsidRPr="008718FB" w:rsidRDefault="00AE06D8" w:rsidP="00AE06D8">
      <w:pPr>
        <w:pStyle w:val="Textbody"/>
        <w:rPr>
          <w:sz w:val="20"/>
          <w:szCs w:val="20"/>
        </w:rPr>
        <w:sectPr w:rsidR="00AE06D8" w:rsidRPr="008718FB" w:rsidSect="00AE06D8">
          <w:pgSz w:w="16840" w:h="11907" w:orient="landscape" w:code="9"/>
          <w:pgMar w:top="1814" w:right="1418" w:bottom="1418" w:left="1701" w:header="720" w:footer="720" w:gutter="0"/>
          <w:paperSrc w:first="7" w:other="7"/>
          <w:cols w:space="720"/>
          <w:noEndnote/>
          <w:docGrid w:linePitch="299"/>
        </w:sectPr>
      </w:pPr>
    </w:p>
    <w:p w14:paraId="1E7422B9" w14:textId="77777777" w:rsidR="003D1FD5" w:rsidRDefault="003D1FD5" w:rsidP="003D1FD5">
      <w:pPr>
        <w:pStyle w:val="Heading20"/>
      </w:pPr>
      <w:bookmarkStart w:id="574" w:name="_Toc431917600"/>
      <w:r>
        <w:rPr>
          <w:lang w:val="en-GB"/>
        </w:rPr>
        <w:lastRenderedPageBreak/>
        <w:t xml:space="preserve">D.6. </w:t>
      </w:r>
      <w:r>
        <w:t>Sensitivity analysis</w:t>
      </w:r>
      <w:bookmarkEnd w:id="574"/>
    </w:p>
    <w:p w14:paraId="6864D3A5" w14:textId="77777777" w:rsidR="003D1FD5" w:rsidRDefault="003D1FD5" w:rsidP="003D1FD5">
      <w:pPr>
        <w:pStyle w:val="Heading30"/>
      </w:pPr>
      <w:bookmarkStart w:id="575" w:name="_Toc431917601"/>
      <w:r>
        <w:rPr>
          <w:lang w:val="en-GB"/>
        </w:rPr>
        <w:t xml:space="preserve">D.6.1. </w:t>
      </w:r>
      <w:r>
        <w:t>Deterministic sensitivity analysis</w:t>
      </w:r>
      <w:bookmarkEnd w:id="575"/>
    </w:p>
    <w:p w14:paraId="7F1842DF" w14:textId="77777777" w:rsidR="003D1FD5" w:rsidRPr="003D1FD5" w:rsidRDefault="003D1FD5" w:rsidP="003D1FD5">
      <w:pPr>
        <w:spacing w:line="360" w:lineRule="auto"/>
        <w:jc w:val="both"/>
        <w:rPr>
          <w:rFonts w:cs="Arial"/>
          <w:lang w:val="en-GB"/>
        </w:rPr>
      </w:pPr>
      <w:r w:rsidRPr="003D1FD5">
        <w:rPr>
          <w:rFonts w:cs="Arial"/>
          <w:lang w:val="en-GB"/>
        </w:rPr>
        <w:t xml:space="preserve">A series of one-way deterministic sensitivity analyses were conducted where each parameter was varied one at a time from its base-case value while all other variables were kept the same. This kind of analysis helps to identify and quantify any uncertainty in the cost-effectiveness outcomes. Probability parameters except device failure were varied between their 95% confidence intervals which were estimated using exact confidence intervals for Poisson distributions. The probability of device failure was varied between the minimum and maximum values estimated at each 6 month interval of the cumulative survival curve. In the absence of appropriate measures of variability in the MBS reference costs, cost parameters were varied by 25% above and below the base-case values. </w:t>
      </w:r>
    </w:p>
    <w:p w14:paraId="60CA4E5C" w14:textId="77777777" w:rsidR="003D1FD5" w:rsidRDefault="009871ED" w:rsidP="003D1FD5">
      <w:pPr>
        <w:spacing w:line="360" w:lineRule="auto"/>
        <w:jc w:val="both"/>
        <w:rPr>
          <w:rFonts w:cs="Arial"/>
          <w:lang w:val="en-GB"/>
        </w:rPr>
      </w:pPr>
      <w:r w:rsidRPr="009871ED">
        <w:rPr>
          <w:rFonts w:cs="Arial"/>
          <w:lang w:val="en-GB"/>
        </w:rPr>
        <w:fldChar w:fldCharType="begin"/>
      </w:r>
      <w:r w:rsidRPr="009871ED">
        <w:rPr>
          <w:rFonts w:cs="Arial"/>
          <w:lang w:val="en-GB"/>
        </w:rPr>
        <w:instrText xml:space="preserve"> REF _Ref431643381 \h  \* MERGEFORMAT </w:instrText>
      </w:r>
      <w:r w:rsidRPr="009871ED">
        <w:rPr>
          <w:rFonts w:cs="Arial"/>
          <w:lang w:val="en-GB"/>
        </w:rPr>
      </w:r>
      <w:r w:rsidRPr="009871ED">
        <w:rPr>
          <w:rFonts w:cs="Arial"/>
          <w:lang w:val="en-GB"/>
        </w:rPr>
        <w:fldChar w:fldCharType="separate"/>
      </w:r>
      <w:r w:rsidR="00016592" w:rsidRPr="00016592">
        <w:rPr>
          <w:rFonts w:cs="Arial"/>
          <w:bCs/>
        </w:rPr>
        <w:t xml:space="preserve">Table </w:t>
      </w:r>
      <w:r w:rsidR="00016592" w:rsidRPr="00016592">
        <w:rPr>
          <w:rFonts w:cs="Arial"/>
          <w:bCs/>
          <w:noProof/>
        </w:rPr>
        <w:t>51</w:t>
      </w:r>
      <w:r w:rsidRPr="009871ED">
        <w:rPr>
          <w:rFonts w:cs="Arial"/>
          <w:lang w:val="en-GB"/>
        </w:rPr>
        <w:fldChar w:fldCharType="end"/>
      </w:r>
      <w:r w:rsidR="003D1FD5" w:rsidRPr="003D1FD5">
        <w:rPr>
          <w:rFonts w:cs="Arial"/>
          <w:lang w:val="en-GB"/>
        </w:rPr>
        <w:t xml:space="preserve"> reports the results of the DSA for the main economic evaluation. The input parameters for each analysis, the lower and upper limits of variability, are shown in the second column of the table. The results obtained at each limit are summarised in two rows: The first row reports the results at the lower limit and the second row reports those at the upper limit.</w:t>
      </w:r>
    </w:p>
    <w:p w14:paraId="4C2D083F" w14:textId="732AEB99" w:rsidR="00B22312" w:rsidRDefault="00682E1A" w:rsidP="00B22312">
      <w:pPr>
        <w:pStyle w:val="Textbody"/>
        <w:rPr>
          <w:lang w:val="en-GB"/>
        </w:rPr>
      </w:pPr>
      <w:r w:rsidRPr="00682E1A">
        <w:rPr>
          <w:lang w:val="en-GB"/>
        </w:rPr>
        <w:t xml:space="preserve">The DSA show the probability of exostoses followed and the cost and probability of otitis externa to be the most influential on the costs of receiving no implantation. The cost of candidacy assessment </w:t>
      </w:r>
      <w:r w:rsidR="00B5281F">
        <w:rPr>
          <w:lang w:val="en-GB"/>
        </w:rPr>
        <w:t>was</w:t>
      </w:r>
      <w:r w:rsidRPr="00682E1A">
        <w:rPr>
          <w:lang w:val="en-GB"/>
        </w:rPr>
        <w:t xml:space="preserve"> found to have a smaller but noticeable influence on outcomes. The cost results of middle ear implantation are generally robust to variation in the value of input parameters. The outcomes are most sensitive to the total cost of MEI(VSB) provision, and to a lesser extent to the probability of revision surgery and ceasing to use MEI. Effectiveness outcomes were also impacted: An increased probability of ceasing to use MEI slightly decreased the QALY value. This is an expected outcome as individuals in this state are no longer receiving aided benefit. Changing the input parameters of the utility variables demonstrated that the model is significantly decreasing the outcomes in accordance with the inputted values.</w:t>
      </w:r>
    </w:p>
    <w:p w14:paraId="76A23725" w14:textId="2E6DD566" w:rsidR="00F14CAB" w:rsidRDefault="009871ED" w:rsidP="00B22312">
      <w:pPr>
        <w:pStyle w:val="Textbody"/>
        <w:rPr>
          <w:lang w:val="en-GB"/>
        </w:rPr>
      </w:pPr>
      <w:r w:rsidRPr="007038FB">
        <w:rPr>
          <w:lang w:val="en-GB"/>
        </w:rPr>
        <w:fldChar w:fldCharType="begin"/>
      </w:r>
      <w:r w:rsidRPr="007038FB">
        <w:rPr>
          <w:lang w:val="en-GB"/>
        </w:rPr>
        <w:instrText xml:space="preserve"> REF _Ref431643452 \h  \* MERGEFORMAT </w:instrText>
      </w:r>
      <w:r w:rsidRPr="007038FB">
        <w:rPr>
          <w:lang w:val="en-GB"/>
        </w:rPr>
      </w:r>
      <w:r w:rsidRPr="007038FB">
        <w:rPr>
          <w:lang w:val="en-GB"/>
        </w:rPr>
        <w:fldChar w:fldCharType="separate"/>
      </w:r>
      <w:r w:rsidR="00016592" w:rsidRPr="007038FB">
        <w:rPr>
          <w:bCs/>
          <w:noProof/>
        </w:rPr>
        <w:t>Table</w:t>
      </w:r>
      <w:r w:rsidR="00016592" w:rsidRPr="007038FB">
        <w:rPr>
          <w:bCs/>
        </w:rPr>
        <w:t xml:space="preserve"> </w:t>
      </w:r>
      <w:r w:rsidR="00016592" w:rsidRPr="007038FB">
        <w:rPr>
          <w:bCs/>
          <w:noProof/>
        </w:rPr>
        <w:t>52</w:t>
      </w:r>
      <w:r w:rsidRPr="007038FB">
        <w:rPr>
          <w:lang w:val="en-GB"/>
        </w:rPr>
        <w:fldChar w:fldCharType="end"/>
      </w:r>
      <w:r w:rsidRPr="007038FB">
        <w:rPr>
          <w:lang w:val="en-GB"/>
        </w:rPr>
        <w:t xml:space="preserve"> </w:t>
      </w:r>
      <w:r w:rsidR="00682E1A" w:rsidRPr="007038FB">
        <w:rPr>
          <w:lang w:val="en-GB"/>
        </w:rPr>
        <w:t>reports the re</w:t>
      </w:r>
      <w:r w:rsidR="00682E1A" w:rsidRPr="00682E1A">
        <w:rPr>
          <w:lang w:val="en-GB"/>
        </w:rPr>
        <w:t>sults of DSA for the economic evaluation comparing the two partially implantable MEI. The cost and effectiveness results are generally robust to variation in the value of input parameters. The cost outcomes are most sensitive to the costs of VSB and MAXUM provision, and then to a lesser extent to the probability of ceasing to use MAXUM and VSB, and revision surgery fol</w:t>
      </w:r>
      <w:r w:rsidR="00F14CAB">
        <w:rPr>
          <w:lang w:val="en-GB"/>
        </w:rPr>
        <w:t>lowing implantation with either</w:t>
      </w:r>
    </w:p>
    <w:p w14:paraId="4B4BBAA8" w14:textId="77777777" w:rsidR="00E60BF3" w:rsidRPr="007038FB" w:rsidRDefault="00E60BF3" w:rsidP="00B22312">
      <w:pPr>
        <w:pStyle w:val="Textbody"/>
        <w:rPr>
          <w:bCs/>
        </w:rPr>
        <w:sectPr w:rsidR="00E60BF3" w:rsidRPr="007038FB" w:rsidSect="00695C41">
          <w:headerReference w:type="default" r:id="rId66"/>
          <w:pgSz w:w="11907" w:h="16840" w:code="9"/>
          <w:pgMar w:top="1418" w:right="1418" w:bottom="1701" w:left="1814" w:header="720" w:footer="720" w:gutter="0"/>
          <w:paperSrc w:first="7" w:other="7"/>
          <w:cols w:space="720"/>
          <w:noEndnote/>
          <w:docGrid w:linePitch="299"/>
        </w:sectPr>
      </w:pPr>
    </w:p>
    <w:p w14:paraId="482A739D" w14:textId="77777777" w:rsidR="00196D12" w:rsidRPr="00196D12" w:rsidRDefault="00B22312" w:rsidP="00196D12">
      <w:pPr>
        <w:rPr>
          <w:rFonts w:cs="Arial"/>
          <w:b/>
          <w:sz w:val="20"/>
          <w:szCs w:val="20"/>
        </w:rPr>
      </w:pPr>
      <w:bookmarkStart w:id="576" w:name="_Ref431643381"/>
      <w:bookmarkStart w:id="577" w:name="_Toc431917511"/>
      <w:r w:rsidRPr="00AE06D8">
        <w:rPr>
          <w:rFonts w:cs="Arial"/>
          <w:b/>
          <w:bCs/>
          <w:sz w:val="20"/>
          <w:szCs w:val="20"/>
        </w:rPr>
        <w:lastRenderedPageBreak/>
        <w:t xml:space="preserve">Table </w:t>
      </w:r>
      <w:r w:rsidRPr="00AE06D8">
        <w:rPr>
          <w:rFonts w:cs="Arial"/>
          <w:b/>
          <w:bCs/>
          <w:sz w:val="20"/>
          <w:szCs w:val="20"/>
        </w:rPr>
        <w:fldChar w:fldCharType="begin"/>
      </w:r>
      <w:r w:rsidRPr="00AE06D8">
        <w:rPr>
          <w:rFonts w:cs="Arial"/>
          <w:b/>
          <w:bCs/>
          <w:sz w:val="20"/>
          <w:szCs w:val="20"/>
        </w:rPr>
        <w:instrText xml:space="preserve"> SEQ Table \* ARABIC </w:instrText>
      </w:r>
      <w:r w:rsidRPr="00AE06D8">
        <w:rPr>
          <w:rFonts w:cs="Arial"/>
          <w:b/>
          <w:bCs/>
          <w:sz w:val="20"/>
          <w:szCs w:val="20"/>
        </w:rPr>
        <w:fldChar w:fldCharType="separate"/>
      </w:r>
      <w:r w:rsidR="00016592">
        <w:rPr>
          <w:rFonts w:cs="Arial"/>
          <w:b/>
          <w:bCs/>
          <w:noProof/>
          <w:sz w:val="20"/>
          <w:szCs w:val="20"/>
        </w:rPr>
        <w:t>51</w:t>
      </w:r>
      <w:r w:rsidRPr="00AE06D8">
        <w:rPr>
          <w:rFonts w:cs="Arial"/>
          <w:b/>
          <w:bCs/>
          <w:sz w:val="20"/>
          <w:szCs w:val="20"/>
        </w:rPr>
        <w:fldChar w:fldCharType="end"/>
      </w:r>
      <w:bookmarkEnd w:id="576"/>
      <w:r w:rsidRPr="00AE06D8">
        <w:rPr>
          <w:rFonts w:cs="Arial"/>
          <w:b/>
          <w:bCs/>
          <w:sz w:val="20"/>
          <w:szCs w:val="20"/>
        </w:rPr>
        <w:t xml:space="preserve"> </w:t>
      </w:r>
      <w:r>
        <w:rPr>
          <w:rFonts w:cs="Arial"/>
          <w:b/>
          <w:bCs/>
          <w:sz w:val="20"/>
          <w:szCs w:val="20"/>
        </w:rPr>
        <w:t>–</w:t>
      </w:r>
      <w:r w:rsidRPr="00AE06D8">
        <w:rPr>
          <w:rFonts w:cs="Arial"/>
          <w:b/>
          <w:bCs/>
          <w:sz w:val="20"/>
          <w:szCs w:val="20"/>
        </w:rPr>
        <w:t xml:space="preserve"> </w:t>
      </w:r>
      <w:r w:rsidR="00682E1A">
        <w:rPr>
          <w:rFonts w:cs="Arial"/>
          <w:b/>
          <w:sz w:val="20"/>
          <w:szCs w:val="20"/>
          <w:lang w:val="en-GB"/>
        </w:rPr>
        <w:t>Deterministic sensitivity analysis for the main economic evaluation</w:t>
      </w:r>
      <w:r w:rsidR="00F14CAB">
        <w:rPr>
          <w:rFonts w:cs="Arial"/>
          <w:b/>
          <w:sz w:val="20"/>
          <w:szCs w:val="20"/>
          <w:lang w:val="en-GB"/>
        </w:rPr>
        <w:t xml:space="preserve"> (all monetary outcomes in AUD)</w:t>
      </w:r>
      <w:bookmarkEnd w:id="577"/>
      <w:r w:rsidR="00682E1A">
        <w:rPr>
          <w:lang w:val="en-GB"/>
        </w:rPr>
        <w:fldChar w:fldCharType="begin"/>
      </w:r>
      <w:r w:rsidR="00682E1A">
        <w:rPr>
          <w:lang w:val="en-GB"/>
        </w:rPr>
        <w:instrText xml:space="preserve"> LINK Excel.Sheet.12 "\\\\atmeds38.medel.local\\public\\Vibrant\\HTA\\Countries\\Australia\\Authority\\MSAC\\1365_SNHL\\Economical modelling\\Analysis\\DSA VSB vs NOI\\Overall DSA results.xlsx" "VSB vs NO-I!R1C1:R39C8" \a \f 4 \h  \* MERGEFORMAT </w:instrText>
      </w:r>
      <w:r w:rsidR="00682E1A">
        <w:rPr>
          <w:lang w:val="en-GB"/>
        </w:rPr>
        <w:fldChar w:fldCharType="separate"/>
      </w:r>
    </w:p>
    <w:p w14:paraId="62E6E6AE" w14:textId="77777777" w:rsidR="00B5281F" w:rsidRDefault="00682E1A" w:rsidP="00400BEC">
      <w:pPr>
        <w:pStyle w:val="Textbody"/>
        <w:rPr>
          <w:sz w:val="20"/>
          <w:szCs w:val="20"/>
          <w:lang w:val="en-GB"/>
        </w:rPr>
      </w:pPr>
      <w:r>
        <w:rPr>
          <w:sz w:val="20"/>
          <w:szCs w:val="20"/>
          <w:lang w:val="en-GB"/>
        </w:rPr>
        <w:fldChar w:fldCharType="end"/>
      </w:r>
      <w:bookmarkStart w:id="578" w:name="_Ref431643452"/>
    </w:p>
    <w:tbl>
      <w:tblPr>
        <w:tblW w:w="13581" w:type="dxa"/>
        <w:tblInd w:w="55" w:type="dxa"/>
        <w:tblCellMar>
          <w:left w:w="70" w:type="dxa"/>
          <w:right w:w="70" w:type="dxa"/>
        </w:tblCellMar>
        <w:tblLook w:val="04A0" w:firstRow="1" w:lastRow="0" w:firstColumn="1" w:lastColumn="0" w:noHBand="0" w:noVBand="1"/>
        <w:tblDescription w:val="Deterministic sensitivity analysis for the main economic evaluation (all monetary outcomes in AUD)"/>
      </w:tblPr>
      <w:tblGrid>
        <w:gridCol w:w="3559"/>
        <w:gridCol w:w="1418"/>
        <w:gridCol w:w="1399"/>
        <w:gridCol w:w="1152"/>
        <w:gridCol w:w="1375"/>
        <w:gridCol w:w="1602"/>
        <w:gridCol w:w="1701"/>
        <w:gridCol w:w="1375"/>
      </w:tblGrid>
      <w:tr w:rsidR="00B5281F" w:rsidRPr="00B5281F" w14:paraId="319506C1" w14:textId="77777777" w:rsidTr="00B5281F">
        <w:trPr>
          <w:trHeight w:val="560"/>
        </w:trPr>
        <w:tc>
          <w:tcPr>
            <w:tcW w:w="3559"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F2C82D8" w14:textId="77777777" w:rsidR="00B5281F" w:rsidRPr="00B5281F" w:rsidRDefault="00B5281F" w:rsidP="00B5281F">
            <w:pPr>
              <w:rPr>
                <w:rFonts w:cs="Arial"/>
                <w:b/>
                <w:bCs/>
                <w:color w:val="000000"/>
                <w:lang w:val="de-AT" w:eastAsia="de-AT"/>
              </w:rPr>
            </w:pPr>
            <w:r w:rsidRPr="00B5281F">
              <w:rPr>
                <w:rFonts w:cs="Arial"/>
                <w:b/>
                <w:bCs/>
                <w:color w:val="000000"/>
                <w:lang w:val="de-AT" w:eastAsia="de-AT"/>
              </w:rPr>
              <w:t>Variable</w:t>
            </w:r>
          </w:p>
        </w:tc>
        <w:tc>
          <w:tcPr>
            <w:tcW w:w="1418" w:type="dxa"/>
            <w:tcBorders>
              <w:top w:val="single" w:sz="8" w:space="0" w:color="auto"/>
              <w:left w:val="nil"/>
              <w:bottom w:val="single" w:sz="4" w:space="0" w:color="auto"/>
              <w:right w:val="single" w:sz="4" w:space="0" w:color="auto"/>
            </w:tcBorders>
            <w:shd w:val="clear" w:color="auto" w:fill="auto"/>
            <w:hideMark/>
          </w:tcPr>
          <w:p w14:paraId="79A465F1" w14:textId="77777777" w:rsidR="00B5281F" w:rsidRPr="00B5281F" w:rsidRDefault="00B5281F" w:rsidP="00B5281F">
            <w:pPr>
              <w:jc w:val="center"/>
              <w:rPr>
                <w:rFonts w:cs="Arial"/>
                <w:b/>
                <w:bCs/>
                <w:color w:val="000000"/>
                <w:lang w:val="de-AT" w:eastAsia="de-AT"/>
              </w:rPr>
            </w:pPr>
            <w:r w:rsidRPr="00B5281F">
              <w:rPr>
                <w:rFonts w:cs="Arial"/>
                <w:b/>
                <w:bCs/>
                <w:color w:val="000000"/>
                <w:lang w:val="de-AT" w:eastAsia="de-AT"/>
              </w:rPr>
              <w:t>Input value</w:t>
            </w:r>
          </w:p>
        </w:tc>
        <w:tc>
          <w:tcPr>
            <w:tcW w:w="1399" w:type="dxa"/>
            <w:tcBorders>
              <w:top w:val="single" w:sz="8" w:space="0" w:color="auto"/>
              <w:left w:val="nil"/>
              <w:bottom w:val="single" w:sz="4" w:space="0" w:color="auto"/>
              <w:right w:val="single" w:sz="4" w:space="0" w:color="auto"/>
            </w:tcBorders>
            <w:shd w:val="clear" w:color="auto" w:fill="auto"/>
            <w:hideMark/>
          </w:tcPr>
          <w:p w14:paraId="32E7C7B6" w14:textId="77777777" w:rsidR="00B5281F" w:rsidRPr="00B5281F" w:rsidRDefault="00B5281F" w:rsidP="00B5281F">
            <w:pPr>
              <w:jc w:val="center"/>
              <w:rPr>
                <w:rFonts w:cs="Arial"/>
                <w:b/>
                <w:bCs/>
                <w:color w:val="000000"/>
                <w:lang w:val="de-AT" w:eastAsia="de-AT"/>
              </w:rPr>
            </w:pPr>
            <w:r w:rsidRPr="00B5281F">
              <w:rPr>
                <w:rFonts w:cs="Arial"/>
                <w:b/>
                <w:bCs/>
                <w:color w:val="000000"/>
                <w:lang w:val="de-AT" w:eastAsia="de-AT"/>
              </w:rPr>
              <w:t>Cost of no intervention</w:t>
            </w:r>
          </w:p>
        </w:tc>
        <w:tc>
          <w:tcPr>
            <w:tcW w:w="1152" w:type="dxa"/>
            <w:tcBorders>
              <w:top w:val="single" w:sz="8" w:space="0" w:color="auto"/>
              <w:left w:val="nil"/>
              <w:bottom w:val="single" w:sz="4" w:space="0" w:color="auto"/>
              <w:right w:val="single" w:sz="4" w:space="0" w:color="auto"/>
            </w:tcBorders>
            <w:shd w:val="clear" w:color="auto" w:fill="auto"/>
            <w:hideMark/>
          </w:tcPr>
          <w:p w14:paraId="00E56005" w14:textId="77777777" w:rsidR="00B5281F" w:rsidRPr="00B5281F" w:rsidRDefault="00B5281F" w:rsidP="00B5281F">
            <w:pPr>
              <w:jc w:val="center"/>
              <w:rPr>
                <w:rFonts w:cs="Arial"/>
                <w:b/>
                <w:bCs/>
                <w:color w:val="000000"/>
                <w:lang w:val="de-AT" w:eastAsia="de-AT"/>
              </w:rPr>
            </w:pPr>
            <w:r w:rsidRPr="00B5281F">
              <w:rPr>
                <w:rFonts w:cs="Arial"/>
                <w:b/>
                <w:bCs/>
                <w:color w:val="000000"/>
                <w:lang w:val="de-AT" w:eastAsia="de-AT"/>
              </w:rPr>
              <w:t>Cost of VSB</w:t>
            </w:r>
          </w:p>
        </w:tc>
        <w:tc>
          <w:tcPr>
            <w:tcW w:w="1375" w:type="dxa"/>
            <w:tcBorders>
              <w:top w:val="single" w:sz="8" w:space="0" w:color="auto"/>
              <w:left w:val="nil"/>
              <w:bottom w:val="single" w:sz="4" w:space="0" w:color="auto"/>
              <w:right w:val="single" w:sz="4" w:space="0" w:color="auto"/>
            </w:tcBorders>
            <w:shd w:val="clear" w:color="auto" w:fill="auto"/>
            <w:hideMark/>
          </w:tcPr>
          <w:p w14:paraId="7AA15D8E" w14:textId="77777777" w:rsidR="00B5281F" w:rsidRPr="00B5281F" w:rsidRDefault="00B5281F" w:rsidP="00B5281F">
            <w:pPr>
              <w:jc w:val="center"/>
              <w:rPr>
                <w:rFonts w:cs="Arial"/>
                <w:b/>
                <w:bCs/>
                <w:color w:val="000000"/>
                <w:lang w:val="de-AT" w:eastAsia="de-AT"/>
              </w:rPr>
            </w:pPr>
            <w:r w:rsidRPr="00B5281F">
              <w:rPr>
                <w:rFonts w:cs="Arial"/>
                <w:b/>
                <w:bCs/>
                <w:color w:val="000000"/>
                <w:lang w:val="de-AT" w:eastAsia="de-AT"/>
              </w:rPr>
              <w:t>Incremental cost</w:t>
            </w:r>
          </w:p>
        </w:tc>
        <w:tc>
          <w:tcPr>
            <w:tcW w:w="1602" w:type="dxa"/>
            <w:tcBorders>
              <w:top w:val="single" w:sz="8" w:space="0" w:color="auto"/>
              <w:left w:val="nil"/>
              <w:bottom w:val="single" w:sz="4" w:space="0" w:color="auto"/>
              <w:right w:val="single" w:sz="4" w:space="0" w:color="auto"/>
            </w:tcBorders>
            <w:shd w:val="clear" w:color="auto" w:fill="auto"/>
            <w:hideMark/>
          </w:tcPr>
          <w:p w14:paraId="1B8F0434" w14:textId="77777777" w:rsidR="00B5281F" w:rsidRPr="00B5281F" w:rsidRDefault="00B5281F" w:rsidP="00B5281F">
            <w:pPr>
              <w:jc w:val="center"/>
              <w:rPr>
                <w:rFonts w:cs="Arial"/>
                <w:b/>
                <w:bCs/>
                <w:color w:val="000000"/>
                <w:lang w:val="de-AT" w:eastAsia="de-AT"/>
              </w:rPr>
            </w:pPr>
            <w:r w:rsidRPr="00B5281F">
              <w:rPr>
                <w:rFonts w:cs="Arial"/>
                <w:b/>
                <w:bCs/>
                <w:color w:val="000000"/>
                <w:lang w:val="de-AT" w:eastAsia="de-AT"/>
              </w:rPr>
              <w:t>QALY for no intervention</w:t>
            </w:r>
          </w:p>
        </w:tc>
        <w:tc>
          <w:tcPr>
            <w:tcW w:w="1701" w:type="dxa"/>
            <w:tcBorders>
              <w:top w:val="single" w:sz="8" w:space="0" w:color="auto"/>
              <w:left w:val="nil"/>
              <w:bottom w:val="single" w:sz="4" w:space="0" w:color="auto"/>
              <w:right w:val="single" w:sz="4" w:space="0" w:color="auto"/>
            </w:tcBorders>
            <w:shd w:val="clear" w:color="auto" w:fill="auto"/>
            <w:hideMark/>
          </w:tcPr>
          <w:p w14:paraId="58A1083F" w14:textId="77777777" w:rsidR="00B5281F" w:rsidRPr="00B5281F" w:rsidRDefault="00B5281F" w:rsidP="00B5281F">
            <w:pPr>
              <w:jc w:val="center"/>
              <w:rPr>
                <w:rFonts w:cs="Arial"/>
                <w:b/>
                <w:bCs/>
                <w:color w:val="000000"/>
                <w:lang w:val="de-AT" w:eastAsia="de-AT"/>
              </w:rPr>
            </w:pPr>
            <w:r w:rsidRPr="00B5281F">
              <w:rPr>
                <w:rFonts w:cs="Arial"/>
                <w:b/>
                <w:bCs/>
                <w:color w:val="000000"/>
                <w:lang w:val="de-AT" w:eastAsia="de-AT"/>
              </w:rPr>
              <w:t>QALY for VSB</w:t>
            </w:r>
          </w:p>
        </w:tc>
        <w:tc>
          <w:tcPr>
            <w:tcW w:w="1375" w:type="dxa"/>
            <w:tcBorders>
              <w:top w:val="single" w:sz="8" w:space="0" w:color="auto"/>
              <w:left w:val="nil"/>
              <w:bottom w:val="single" w:sz="4" w:space="0" w:color="auto"/>
              <w:right w:val="single" w:sz="8" w:space="0" w:color="auto"/>
            </w:tcBorders>
            <w:shd w:val="clear" w:color="auto" w:fill="auto"/>
            <w:hideMark/>
          </w:tcPr>
          <w:p w14:paraId="34C62C0F" w14:textId="77777777" w:rsidR="00B5281F" w:rsidRPr="00B5281F" w:rsidRDefault="00B5281F" w:rsidP="00B5281F">
            <w:pPr>
              <w:jc w:val="center"/>
              <w:rPr>
                <w:rFonts w:cs="Arial"/>
                <w:b/>
                <w:bCs/>
                <w:color w:val="000000"/>
                <w:lang w:val="de-AT" w:eastAsia="de-AT"/>
              </w:rPr>
            </w:pPr>
            <w:r w:rsidRPr="00B5281F">
              <w:rPr>
                <w:rFonts w:cs="Arial"/>
                <w:b/>
                <w:bCs/>
                <w:color w:val="000000"/>
                <w:lang w:val="de-AT" w:eastAsia="de-AT"/>
              </w:rPr>
              <w:t>Incremental utility</w:t>
            </w:r>
          </w:p>
        </w:tc>
      </w:tr>
      <w:tr w:rsidR="00B5281F" w:rsidRPr="00B5281F" w14:paraId="17AAB595" w14:textId="77777777" w:rsidTr="00B5281F">
        <w:trPr>
          <w:trHeight w:val="290"/>
        </w:trPr>
        <w:tc>
          <w:tcPr>
            <w:tcW w:w="3559" w:type="dxa"/>
            <w:vMerge w:val="restart"/>
            <w:tcBorders>
              <w:top w:val="nil"/>
              <w:left w:val="single" w:sz="8" w:space="0" w:color="auto"/>
              <w:bottom w:val="single" w:sz="4" w:space="0" w:color="000000"/>
              <w:right w:val="single" w:sz="4" w:space="0" w:color="auto"/>
            </w:tcBorders>
            <w:shd w:val="clear" w:color="auto" w:fill="auto"/>
            <w:hideMark/>
          </w:tcPr>
          <w:p w14:paraId="3D30E2A5" w14:textId="77777777" w:rsidR="00B5281F" w:rsidRPr="00B5281F" w:rsidRDefault="00B5281F" w:rsidP="00B5281F">
            <w:pPr>
              <w:rPr>
                <w:rFonts w:cs="Arial"/>
                <w:b/>
                <w:bCs/>
                <w:color w:val="000000"/>
                <w:lang w:val="en-GB" w:eastAsia="de-AT"/>
              </w:rPr>
            </w:pPr>
            <w:r w:rsidRPr="00B5281F">
              <w:rPr>
                <w:rFonts w:cs="Arial"/>
                <w:b/>
                <w:bCs/>
                <w:color w:val="000000"/>
                <w:lang w:val="en-GB" w:eastAsia="de-AT"/>
              </w:rPr>
              <w:t>Cost of treating otitis externa</w:t>
            </w:r>
          </w:p>
        </w:tc>
        <w:tc>
          <w:tcPr>
            <w:tcW w:w="1418" w:type="dxa"/>
            <w:tcBorders>
              <w:top w:val="nil"/>
              <w:left w:val="nil"/>
              <w:bottom w:val="single" w:sz="4" w:space="0" w:color="auto"/>
              <w:right w:val="single" w:sz="4" w:space="0" w:color="auto"/>
            </w:tcBorders>
            <w:shd w:val="clear" w:color="auto" w:fill="auto"/>
            <w:hideMark/>
          </w:tcPr>
          <w:p w14:paraId="1773A731" w14:textId="77777777" w:rsidR="00B5281F" w:rsidRPr="00B5281F" w:rsidRDefault="00B5281F" w:rsidP="00B5281F">
            <w:pPr>
              <w:jc w:val="right"/>
              <w:rPr>
                <w:rFonts w:cs="Arial"/>
                <w:color w:val="000000"/>
                <w:lang w:val="de-AT" w:eastAsia="de-AT"/>
              </w:rPr>
            </w:pPr>
            <w:r w:rsidRPr="00B5281F">
              <w:rPr>
                <w:rFonts w:cs="Arial"/>
                <w:color w:val="000000"/>
                <w:lang w:val="de-AT" w:eastAsia="de-AT"/>
              </w:rPr>
              <w:t>82,43</w:t>
            </w:r>
          </w:p>
        </w:tc>
        <w:tc>
          <w:tcPr>
            <w:tcW w:w="1399" w:type="dxa"/>
            <w:tcBorders>
              <w:top w:val="nil"/>
              <w:left w:val="nil"/>
              <w:bottom w:val="single" w:sz="4" w:space="0" w:color="auto"/>
              <w:right w:val="single" w:sz="4" w:space="0" w:color="auto"/>
            </w:tcBorders>
            <w:shd w:val="clear" w:color="auto" w:fill="auto"/>
            <w:hideMark/>
          </w:tcPr>
          <w:p w14:paraId="4AE1AEB5"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2116,84</w:t>
            </w:r>
          </w:p>
        </w:tc>
        <w:tc>
          <w:tcPr>
            <w:tcW w:w="1152" w:type="dxa"/>
            <w:tcBorders>
              <w:top w:val="nil"/>
              <w:left w:val="nil"/>
              <w:bottom w:val="single" w:sz="4" w:space="0" w:color="auto"/>
              <w:right w:val="single" w:sz="4" w:space="0" w:color="auto"/>
            </w:tcBorders>
            <w:shd w:val="clear" w:color="auto" w:fill="auto"/>
            <w:hideMark/>
          </w:tcPr>
          <w:p w14:paraId="4EF84087"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24468,43</w:t>
            </w:r>
          </w:p>
        </w:tc>
        <w:tc>
          <w:tcPr>
            <w:tcW w:w="1375" w:type="dxa"/>
            <w:tcBorders>
              <w:top w:val="nil"/>
              <w:left w:val="nil"/>
              <w:bottom w:val="single" w:sz="4" w:space="0" w:color="auto"/>
              <w:right w:val="single" w:sz="4" w:space="0" w:color="auto"/>
            </w:tcBorders>
            <w:shd w:val="clear" w:color="auto" w:fill="auto"/>
            <w:hideMark/>
          </w:tcPr>
          <w:p w14:paraId="24D04EAA"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22351,60</w:t>
            </w:r>
          </w:p>
        </w:tc>
        <w:tc>
          <w:tcPr>
            <w:tcW w:w="1602" w:type="dxa"/>
            <w:tcBorders>
              <w:top w:val="nil"/>
              <w:left w:val="nil"/>
              <w:bottom w:val="single" w:sz="4" w:space="0" w:color="auto"/>
              <w:right w:val="single" w:sz="4" w:space="0" w:color="auto"/>
            </w:tcBorders>
            <w:shd w:val="clear" w:color="auto" w:fill="auto"/>
            <w:hideMark/>
          </w:tcPr>
          <w:p w14:paraId="66669E81"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8,86</w:t>
            </w:r>
          </w:p>
        </w:tc>
        <w:tc>
          <w:tcPr>
            <w:tcW w:w="1701" w:type="dxa"/>
            <w:tcBorders>
              <w:top w:val="nil"/>
              <w:left w:val="nil"/>
              <w:bottom w:val="single" w:sz="4" w:space="0" w:color="auto"/>
              <w:right w:val="single" w:sz="4" w:space="0" w:color="auto"/>
            </w:tcBorders>
            <w:shd w:val="clear" w:color="auto" w:fill="auto"/>
            <w:hideMark/>
          </w:tcPr>
          <w:p w14:paraId="09DBB766"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10,27</w:t>
            </w:r>
          </w:p>
        </w:tc>
        <w:tc>
          <w:tcPr>
            <w:tcW w:w="1375" w:type="dxa"/>
            <w:tcBorders>
              <w:top w:val="nil"/>
              <w:left w:val="nil"/>
              <w:bottom w:val="single" w:sz="4" w:space="0" w:color="auto"/>
              <w:right w:val="single" w:sz="8" w:space="0" w:color="auto"/>
            </w:tcBorders>
            <w:shd w:val="clear" w:color="auto" w:fill="auto"/>
            <w:hideMark/>
          </w:tcPr>
          <w:p w14:paraId="4D17732F"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1,41</w:t>
            </w:r>
          </w:p>
        </w:tc>
      </w:tr>
      <w:tr w:rsidR="00B5281F" w:rsidRPr="00B5281F" w14:paraId="10DA1F23" w14:textId="77777777" w:rsidTr="00B5281F">
        <w:trPr>
          <w:trHeight w:val="290"/>
        </w:trPr>
        <w:tc>
          <w:tcPr>
            <w:tcW w:w="3559" w:type="dxa"/>
            <w:vMerge/>
            <w:tcBorders>
              <w:top w:val="nil"/>
              <w:left w:val="single" w:sz="8" w:space="0" w:color="auto"/>
              <w:bottom w:val="single" w:sz="4" w:space="0" w:color="000000"/>
              <w:right w:val="single" w:sz="4" w:space="0" w:color="auto"/>
            </w:tcBorders>
            <w:vAlign w:val="center"/>
            <w:hideMark/>
          </w:tcPr>
          <w:p w14:paraId="0B04D100" w14:textId="77777777" w:rsidR="00B5281F" w:rsidRPr="00B5281F" w:rsidRDefault="00B5281F" w:rsidP="00B5281F">
            <w:pPr>
              <w:rPr>
                <w:rFonts w:cs="Arial"/>
                <w:b/>
                <w:bCs/>
                <w:color w:val="000000"/>
                <w:lang w:val="de-AT" w:eastAsia="de-AT"/>
              </w:rPr>
            </w:pPr>
          </w:p>
        </w:tc>
        <w:tc>
          <w:tcPr>
            <w:tcW w:w="1418" w:type="dxa"/>
            <w:tcBorders>
              <w:top w:val="nil"/>
              <w:left w:val="nil"/>
              <w:bottom w:val="single" w:sz="4" w:space="0" w:color="auto"/>
              <w:right w:val="single" w:sz="4" w:space="0" w:color="auto"/>
            </w:tcBorders>
            <w:shd w:val="clear" w:color="auto" w:fill="auto"/>
            <w:hideMark/>
          </w:tcPr>
          <w:p w14:paraId="52D2A57F" w14:textId="77777777" w:rsidR="00B5281F" w:rsidRPr="00B5281F" w:rsidRDefault="00B5281F" w:rsidP="00B5281F">
            <w:pPr>
              <w:jc w:val="right"/>
              <w:rPr>
                <w:rFonts w:cs="Arial"/>
                <w:color w:val="000000"/>
                <w:lang w:val="de-AT" w:eastAsia="de-AT"/>
              </w:rPr>
            </w:pPr>
            <w:r w:rsidRPr="00B5281F">
              <w:rPr>
                <w:rFonts w:cs="Arial"/>
                <w:color w:val="000000"/>
                <w:lang w:val="de-AT" w:eastAsia="de-AT"/>
              </w:rPr>
              <w:t>137,38</w:t>
            </w:r>
          </w:p>
        </w:tc>
        <w:tc>
          <w:tcPr>
            <w:tcW w:w="1399" w:type="dxa"/>
            <w:tcBorders>
              <w:top w:val="nil"/>
              <w:left w:val="nil"/>
              <w:bottom w:val="single" w:sz="4" w:space="0" w:color="auto"/>
              <w:right w:val="single" w:sz="4" w:space="0" w:color="auto"/>
            </w:tcBorders>
            <w:shd w:val="clear" w:color="auto" w:fill="auto"/>
            <w:hideMark/>
          </w:tcPr>
          <w:p w14:paraId="7623D153"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2965,47</w:t>
            </w:r>
          </w:p>
        </w:tc>
        <w:tc>
          <w:tcPr>
            <w:tcW w:w="1152" w:type="dxa"/>
            <w:tcBorders>
              <w:top w:val="nil"/>
              <w:left w:val="nil"/>
              <w:bottom w:val="single" w:sz="4" w:space="0" w:color="auto"/>
              <w:right w:val="single" w:sz="4" w:space="0" w:color="auto"/>
            </w:tcBorders>
            <w:shd w:val="clear" w:color="auto" w:fill="auto"/>
            <w:hideMark/>
          </w:tcPr>
          <w:p w14:paraId="57225556"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24468,43</w:t>
            </w:r>
          </w:p>
        </w:tc>
        <w:tc>
          <w:tcPr>
            <w:tcW w:w="1375" w:type="dxa"/>
            <w:tcBorders>
              <w:top w:val="nil"/>
              <w:left w:val="nil"/>
              <w:bottom w:val="single" w:sz="4" w:space="0" w:color="auto"/>
              <w:right w:val="single" w:sz="4" w:space="0" w:color="auto"/>
            </w:tcBorders>
            <w:shd w:val="clear" w:color="auto" w:fill="auto"/>
            <w:hideMark/>
          </w:tcPr>
          <w:p w14:paraId="5B30AB91"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24502,96</w:t>
            </w:r>
          </w:p>
        </w:tc>
        <w:tc>
          <w:tcPr>
            <w:tcW w:w="1602" w:type="dxa"/>
            <w:tcBorders>
              <w:top w:val="nil"/>
              <w:left w:val="nil"/>
              <w:bottom w:val="single" w:sz="4" w:space="0" w:color="auto"/>
              <w:right w:val="single" w:sz="4" w:space="0" w:color="auto"/>
            </w:tcBorders>
            <w:shd w:val="clear" w:color="auto" w:fill="auto"/>
            <w:hideMark/>
          </w:tcPr>
          <w:p w14:paraId="7532C605"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8,86</w:t>
            </w:r>
          </w:p>
        </w:tc>
        <w:tc>
          <w:tcPr>
            <w:tcW w:w="1701" w:type="dxa"/>
            <w:tcBorders>
              <w:top w:val="nil"/>
              <w:left w:val="nil"/>
              <w:bottom w:val="single" w:sz="4" w:space="0" w:color="auto"/>
              <w:right w:val="single" w:sz="4" w:space="0" w:color="auto"/>
            </w:tcBorders>
            <w:shd w:val="clear" w:color="auto" w:fill="auto"/>
            <w:hideMark/>
          </w:tcPr>
          <w:p w14:paraId="37E3A0AF"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10,27</w:t>
            </w:r>
          </w:p>
        </w:tc>
        <w:tc>
          <w:tcPr>
            <w:tcW w:w="1375" w:type="dxa"/>
            <w:tcBorders>
              <w:top w:val="nil"/>
              <w:left w:val="nil"/>
              <w:bottom w:val="single" w:sz="4" w:space="0" w:color="auto"/>
              <w:right w:val="single" w:sz="8" w:space="0" w:color="auto"/>
            </w:tcBorders>
            <w:shd w:val="clear" w:color="auto" w:fill="auto"/>
            <w:hideMark/>
          </w:tcPr>
          <w:p w14:paraId="32981E96"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1,41</w:t>
            </w:r>
          </w:p>
        </w:tc>
      </w:tr>
      <w:tr w:rsidR="00B5281F" w:rsidRPr="00B5281F" w14:paraId="19719A97" w14:textId="77777777" w:rsidTr="00B5281F">
        <w:trPr>
          <w:trHeight w:val="290"/>
        </w:trPr>
        <w:tc>
          <w:tcPr>
            <w:tcW w:w="3559" w:type="dxa"/>
            <w:vMerge w:val="restart"/>
            <w:tcBorders>
              <w:top w:val="nil"/>
              <w:left w:val="single" w:sz="8" w:space="0" w:color="auto"/>
              <w:bottom w:val="single" w:sz="4" w:space="0" w:color="000000"/>
              <w:right w:val="single" w:sz="4" w:space="0" w:color="auto"/>
            </w:tcBorders>
            <w:shd w:val="clear" w:color="auto" w:fill="auto"/>
            <w:hideMark/>
          </w:tcPr>
          <w:p w14:paraId="1AE92F80" w14:textId="77777777" w:rsidR="00B5281F" w:rsidRPr="00B5281F" w:rsidRDefault="00B5281F" w:rsidP="00B5281F">
            <w:pPr>
              <w:rPr>
                <w:rFonts w:cs="Arial"/>
                <w:b/>
                <w:bCs/>
                <w:color w:val="000000"/>
                <w:lang w:val="de-AT" w:eastAsia="de-AT"/>
              </w:rPr>
            </w:pPr>
            <w:r w:rsidRPr="00B5281F">
              <w:rPr>
                <w:rFonts w:cs="Arial"/>
                <w:b/>
                <w:bCs/>
                <w:color w:val="000000"/>
                <w:lang w:val="de-AT" w:eastAsia="de-AT"/>
              </w:rPr>
              <w:t>Cost of treating exostosis</w:t>
            </w:r>
          </w:p>
        </w:tc>
        <w:tc>
          <w:tcPr>
            <w:tcW w:w="1418" w:type="dxa"/>
            <w:tcBorders>
              <w:top w:val="nil"/>
              <w:left w:val="nil"/>
              <w:bottom w:val="single" w:sz="4" w:space="0" w:color="auto"/>
              <w:right w:val="single" w:sz="4" w:space="0" w:color="auto"/>
            </w:tcBorders>
            <w:shd w:val="clear" w:color="auto" w:fill="auto"/>
            <w:hideMark/>
          </w:tcPr>
          <w:p w14:paraId="7ECFF44C" w14:textId="77777777" w:rsidR="00B5281F" w:rsidRPr="00B5281F" w:rsidRDefault="00B5281F" w:rsidP="00B5281F">
            <w:pPr>
              <w:jc w:val="right"/>
              <w:rPr>
                <w:rFonts w:cs="Arial"/>
                <w:color w:val="000000"/>
                <w:lang w:val="de-AT" w:eastAsia="de-AT"/>
              </w:rPr>
            </w:pPr>
            <w:r w:rsidRPr="00B5281F">
              <w:rPr>
                <w:rFonts w:cs="Arial"/>
                <w:color w:val="000000"/>
                <w:lang w:val="de-AT" w:eastAsia="de-AT"/>
              </w:rPr>
              <w:t>696,00</w:t>
            </w:r>
          </w:p>
        </w:tc>
        <w:tc>
          <w:tcPr>
            <w:tcW w:w="1399" w:type="dxa"/>
            <w:tcBorders>
              <w:top w:val="nil"/>
              <w:left w:val="nil"/>
              <w:bottom w:val="single" w:sz="4" w:space="0" w:color="auto"/>
              <w:right w:val="single" w:sz="4" w:space="0" w:color="auto"/>
            </w:tcBorders>
            <w:shd w:val="clear" w:color="auto" w:fill="auto"/>
            <w:hideMark/>
          </w:tcPr>
          <w:p w14:paraId="0ADC0DA9"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2458,75</w:t>
            </w:r>
          </w:p>
        </w:tc>
        <w:tc>
          <w:tcPr>
            <w:tcW w:w="1152" w:type="dxa"/>
            <w:tcBorders>
              <w:top w:val="nil"/>
              <w:left w:val="nil"/>
              <w:bottom w:val="single" w:sz="4" w:space="0" w:color="auto"/>
              <w:right w:val="single" w:sz="4" w:space="0" w:color="auto"/>
            </w:tcBorders>
            <w:shd w:val="clear" w:color="auto" w:fill="auto"/>
            <w:hideMark/>
          </w:tcPr>
          <w:p w14:paraId="3704BE39"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24468,43</w:t>
            </w:r>
          </w:p>
        </w:tc>
        <w:tc>
          <w:tcPr>
            <w:tcW w:w="1375" w:type="dxa"/>
            <w:tcBorders>
              <w:top w:val="nil"/>
              <w:left w:val="nil"/>
              <w:bottom w:val="single" w:sz="4" w:space="0" w:color="auto"/>
              <w:right w:val="single" w:sz="4" w:space="0" w:color="auto"/>
            </w:tcBorders>
            <w:shd w:val="clear" w:color="auto" w:fill="auto"/>
            <w:hideMark/>
          </w:tcPr>
          <w:p w14:paraId="4C026287"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22009,69</w:t>
            </w:r>
          </w:p>
        </w:tc>
        <w:tc>
          <w:tcPr>
            <w:tcW w:w="1602" w:type="dxa"/>
            <w:tcBorders>
              <w:top w:val="nil"/>
              <w:left w:val="nil"/>
              <w:bottom w:val="single" w:sz="4" w:space="0" w:color="auto"/>
              <w:right w:val="single" w:sz="4" w:space="0" w:color="auto"/>
            </w:tcBorders>
            <w:shd w:val="clear" w:color="auto" w:fill="auto"/>
            <w:hideMark/>
          </w:tcPr>
          <w:p w14:paraId="128ABC5F"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8,86</w:t>
            </w:r>
          </w:p>
        </w:tc>
        <w:tc>
          <w:tcPr>
            <w:tcW w:w="1701" w:type="dxa"/>
            <w:tcBorders>
              <w:top w:val="nil"/>
              <w:left w:val="nil"/>
              <w:bottom w:val="single" w:sz="4" w:space="0" w:color="auto"/>
              <w:right w:val="single" w:sz="4" w:space="0" w:color="auto"/>
            </w:tcBorders>
            <w:shd w:val="clear" w:color="auto" w:fill="auto"/>
            <w:hideMark/>
          </w:tcPr>
          <w:p w14:paraId="6F694E7E"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10,27</w:t>
            </w:r>
          </w:p>
        </w:tc>
        <w:tc>
          <w:tcPr>
            <w:tcW w:w="1375" w:type="dxa"/>
            <w:tcBorders>
              <w:top w:val="nil"/>
              <w:left w:val="nil"/>
              <w:bottom w:val="single" w:sz="4" w:space="0" w:color="auto"/>
              <w:right w:val="single" w:sz="8" w:space="0" w:color="auto"/>
            </w:tcBorders>
            <w:shd w:val="clear" w:color="auto" w:fill="auto"/>
            <w:hideMark/>
          </w:tcPr>
          <w:p w14:paraId="35F52AA4"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1,41</w:t>
            </w:r>
          </w:p>
        </w:tc>
      </w:tr>
      <w:tr w:rsidR="00B5281F" w:rsidRPr="00B5281F" w14:paraId="16F177C3" w14:textId="77777777" w:rsidTr="00B5281F">
        <w:trPr>
          <w:trHeight w:val="290"/>
        </w:trPr>
        <w:tc>
          <w:tcPr>
            <w:tcW w:w="3559" w:type="dxa"/>
            <w:vMerge/>
            <w:tcBorders>
              <w:top w:val="nil"/>
              <w:left w:val="single" w:sz="8" w:space="0" w:color="auto"/>
              <w:bottom w:val="single" w:sz="4" w:space="0" w:color="000000"/>
              <w:right w:val="single" w:sz="4" w:space="0" w:color="auto"/>
            </w:tcBorders>
            <w:vAlign w:val="center"/>
            <w:hideMark/>
          </w:tcPr>
          <w:p w14:paraId="3644517F" w14:textId="77777777" w:rsidR="00B5281F" w:rsidRPr="00B5281F" w:rsidRDefault="00B5281F" w:rsidP="00B5281F">
            <w:pPr>
              <w:rPr>
                <w:rFonts w:cs="Arial"/>
                <w:b/>
                <w:bCs/>
                <w:color w:val="000000"/>
                <w:lang w:val="de-AT" w:eastAsia="de-AT"/>
              </w:rPr>
            </w:pPr>
          </w:p>
        </w:tc>
        <w:tc>
          <w:tcPr>
            <w:tcW w:w="1418" w:type="dxa"/>
            <w:tcBorders>
              <w:top w:val="nil"/>
              <w:left w:val="nil"/>
              <w:bottom w:val="single" w:sz="4" w:space="0" w:color="auto"/>
              <w:right w:val="single" w:sz="4" w:space="0" w:color="auto"/>
            </w:tcBorders>
            <w:shd w:val="clear" w:color="auto" w:fill="auto"/>
            <w:hideMark/>
          </w:tcPr>
          <w:p w14:paraId="75F74947" w14:textId="77777777" w:rsidR="00B5281F" w:rsidRPr="00B5281F" w:rsidRDefault="00B5281F" w:rsidP="00B5281F">
            <w:pPr>
              <w:jc w:val="right"/>
              <w:rPr>
                <w:rFonts w:cs="Arial"/>
                <w:color w:val="000000"/>
                <w:lang w:val="de-AT" w:eastAsia="de-AT"/>
              </w:rPr>
            </w:pPr>
            <w:r w:rsidRPr="00B5281F">
              <w:rPr>
                <w:rFonts w:cs="Arial"/>
                <w:color w:val="000000"/>
                <w:lang w:val="de-AT" w:eastAsia="de-AT"/>
              </w:rPr>
              <w:t>1160,00</w:t>
            </w:r>
          </w:p>
        </w:tc>
        <w:tc>
          <w:tcPr>
            <w:tcW w:w="1399" w:type="dxa"/>
            <w:tcBorders>
              <w:top w:val="nil"/>
              <w:left w:val="nil"/>
              <w:bottom w:val="single" w:sz="4" w:space="0" w:color="auto"/>
              <w:right w:val="single" w:sz="4" w:space="0" w:color="auto"/>
            </w:tcBorders>
            <w:shd w:val="clear" w:color="auto" w:fill="auto"/>
            <w:hideMark/>
          </w:tcPr>
          <w:p w14:paraId="2AC32853"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2623,56</w:t>
            </w:r>
          </w:p>
        </w:tc>
        <w:tc>
          <w:tcPr>
            <w:tcW w:w="1152" w:type="dxa"/>
            <w:tcBorders>
              <w:top w:val="nil"/>
              <w:left w:val="nil"/>
              <w:bottom w:val="single" w:sz="4" w:space="0" w:color="auto"/>
              <w:right w:val="single" w:sz="4" w:space="0" w:color="auto"/>
            </w:tcBorders>
            <w:shd w:val="clear" w:color="auto" w:fill="auto"/>
            <w:hideMark/>
          </w:tcPr>
          <w:p w14:paraId="1BEEB17A"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24468,43</w:t>
            </w:r>
          </w:p>
        </w:tc>
        <w:tc>
          <w:tcPr>
            <w:tcW w:w="1375" w:type="dxa"/>
            <w:tcBorders>
              <w:top w:val="nil"/>
              <w:left w:val="nil"/>
              <w:bottom w:val="single" w:sz="4" w:space="0" w:color="auto"/>
              <w:right w:val="single" w:sz="4" w:space="0" w:color="auto"/>
            </w:tcBorders>
            <w:shd w:val="clear" w:color="auto" w:fill="auto"/>
            <w:hideMark/>
          </w:tcPr>
          <w:p w14:paraId="2F1B4713"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21844,87</w:t>
            </w:r>
          </w:p>
        </w:tc>
        <w:tc>
          <w:tcPr>
            <w:tcW w:w="1602" w:type="dxa"/>
            <w:tcBorders>
              <w:top w:val="nil"/>
              <w:left w:val="nil"/>
              <w:bottom w:val="single" w:sz="4" w:space="0" w:color="auto"/>
              <w:right w:val="single" w:sz="4" w:space="0" w:color="auto"/>
            </w:tcBorders>
            <w:shd w:val="clear" w:color="auto" w:fill="auto"/>
            <w:hideMark/>
          </w:tcPr>
          <w:p w14:paraId="44826EC1"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8,86</w:t>
            </w:r>
          </w:p>
        </w:tc>
        <w:tc>
          <w:tcPr>
            <w:tcW w:w="1701" w:type="dxa"/>
            <w:tcBorders>
              <w:top w:val="nil"/>
              <w:left w:val="nil"/>
              <w:bottom w:val="single" w:sz="4" w:space="0" w:color="auto"/>
              <w:right w:val="single" w:sz="4" w:space="0" w:color="auto"/>
            </w:tcBorders>
            <w:shd w:val="clear" w:color="auto" w:fill="auto"/>
            <w:hideMark/>
          </w:tcPr>
          <w:p w14:paraId="5ADFCD8F"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10,27</w:t>
            </w:r>
          </w:p>
        </w:tc>
        <w:tc>
          <w:tcPr>
            <w:tcW w:w="1375" w:type="dxa"/>
            <w:tcBorders>
              <w:top w:val="nil"/>
              <w:left w:val="nil"/>
              <w:bottom w:val="single" w:sz="4" w:space="0" w:color="auto"/>
              <w:right w:val="single" w:sz="8" w:space="0" w:color="auto"/>
            </w:tcBorders>
            <w:shd w:val="clear" w:color="auto" w:fill="auto"/>
            <w:hideMark/>
          </w:tcPr>
          <w:p w14:paraId="56DDD2EB"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1,41</w:t>
            </w:r>
          </w:p>
        </w:tc>
      </w:tr>
      <w:tr w:rsidR="00B5281F" w:rsidRPr="00B5281F" w14:paraId="68113F2C" w14:textId="77777777" w:rsidTr="00B5281F">
        <w:trPr>
          <w:trHeight w:val="288"/>
        </w:trPr>
        <w:tc>
          <w:tcPr>
            <w:tcW w:w="3559" w:type="dxa"/>
            <w:vMerge w:val="restart"/>
            <w:tcBorders>
              <w:top w:val="nil"/>
              <w:left w:val="single" w:sz="8" w:space="0" w:color="auto"/>
              <w:bottom w:val="single" w:sz="4" w:space="0" w:color="000000"/>
              <w:right w:val="single" w:sz="4" w:space="0" w:color="auto"/>
            </w:tcBorders>
            <w:shd w:val="clear" w:color="auto" w:fill="auto"/>
            <w:hideMark/>
          </w:tcPr>
          <w:p w14:paraId="488C2704" w14:textId="77777777" w:rsidR="00B5281F" w:rsidRPr="00B5281F" w:rsidRDefault="00B5281F" w:rsidP="00B5281F">
            <w:pPr>
              <w:rPr>
                <w:rFonts w:cs="Arial"/>
                <w:b/>
                <w:bCs/>
                <w:color w:val="000000"/>
                <w:lang w:val="en-GB" w:eastAsia="de-AT"/>
              </w:rPr>
            </w:pPr>
            <w:r w:rsidRPr="00B5281F">
              <w:rPr>
                <w:rFonts w:cs="Arial"/>
                <w:b/>
                <w:bCs/>
                <w:color w:val="000000"/>
                <w:lang w:val="en-GB" w:eastAsia="de-AT"/>
              </w:rPr>
              <w:t>Cost of treating impacted cerumen</w:t>
            </w:r>
          </w:p>
        </w:tc>
        <w:tc>
          <w:tcPr>
            <w:tcW w:w="1418" w:type="dxa"/>
            <w:tcBorders>
              <w:top w:val="nil"/>
              <w:left w:val="nil"/>
              <w:bottom w:val="single" w:sz="4" w:space="0" w:color="auto"/>
              <w:right w:val="single" w:sz="4" w:space="0" w:color="auto"/>
            </w:tcBorders>
            <w:shd w:val="clear" w:color="auto" w:fill="auto"/>
            <w:hideMark/>
          </w:tcPr>
          <w:p w14:paraId="43C1A09D" w14:textId="77777777" w:rsidR="00B5281F" w:rsidRPr="00B5281F" w:rsidRDefault="00B5281F" w:rsidP="00B5281F">
            <w:pPr>
              <w:jc w:val="right"/>
              <w:rPr>
                <w:rFonts w:cs="Arial"/>
                <w:color w:val="000000"/>
                <w:lang w:val="de-AT" w:eastAsia="de-AT"/>
              </w:rPr>
            </w:pPr>
            <w:r w:rsidRPr="00B5281F">
              <w:rPr>
                <w:rFonts w:cs="Arial"/>
                <w:color w:val="000000"/>
                <w:lang w:val="de-AT" w:eastAsia="de-AT"/>
              </w:rPr>
              <w:t>27,79</w:t>
            </w:r>
          </w:p>
        </w:tc>
        <w:tc>
          <w:tcPr>
            <w:tcW w:w="1399" w:type="dxa"/>
            <w:tcBorders>
              <w:top w:val="nil"/>
              <w:left w:val="nil"/>
              <w:bottom w:val="single" w:sz="4" w:space="0" w:color="auto"/>
              <w:right w:val="single" w:sz="4" w:space="0" w:color="auto"/>
            </w:tcBorders>
            <w:shd w:val="clear" w:color="auto" w:fill="auto"/>
            <w:hideMark/>
          </w:tcPr>
          <w:p w14:paraId="763B90E8"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2539,99</w:t>
            </w:r>
          </w:p>
        </w:tc>
        <w:tc>
          <w:tcPr>
            <w:tcW w:w="1152" w:type="dxa"/>
            <w:tcBorders>
              <w:top w:val="nil"/>
              <w:left w:val="nil"/>
              <w:bottom w:val="single" w:sz="4" w:space="0" w:color="auto"/>
              <w:right w:val="single" w:sz="4" w:space="0" w:color="auto"/>
            </w:tcBorders>
            <w:shd w:val="clear" w:color="auto" w:fill="auto"/>
            <w:hideMark/>
          </w:tcPr>
          <w:p w14:paraId="6633075E"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24468,43</w:t>
            </w:r>
          </w:p>
        </w:tc>
        <w:tc>
          <w:tcPr>
            <w:tcW w:w="1375" w:type="dxa"/>
            <w:tcBorders>
              <w:top w:val="nil"/>
              <w:left w:val="nil"/>
              <w:bottom w:val="single" w:sz="4" w:space="0" w:color="auto"/>
              <w:right w:val="single" w:sz="4" w:space="0" w:color="auto"/>
            </w:tcBorders>
            <w:shd w:val="clear" w:color="auto" w:fill="auto"/>
            <w:hideMark/>
          </w:tcPr>
          <w:p w14:paraId="4EAEA15A"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21928,44</w:t>
            </w:r>
          </w:p>
        </w:tc>
        <w:tc>
          <w:tcPr>
            <w:tcW w:w="1602" w:type="dxa"/>
            <w:tcBorders>
              <w:top w:val="nil"/>
              <w:left w:val="nil"/>
              <w:bottom w:val="single" w:sz="4" w:space="0" w:color="auto"/>
              <w:right w:val="single" w:sz="4" w:space="0" w:color="auto"/>
            </w:tcBorders>
            <w:shd w:val="clear" w:color="auto" w:fill="auto"/>
            <w:hideMark/>
          </w:tcPr>
          <w:p w14:paraId="1C70CB5F"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8,86</w:t>
            </w:r>
          </w:p>
        </w:tc>
        <w:tc>
          <w:tcPr>
            <w:tcW w:w="1701" w:type="dxa"/>
            <w:tcBorders>
              <w:top w:val="nil"/>
              <w:left w:val="nil"/>
              <w:bottom w:val="single" w:sz="4" w:space="0" w:color="auto"/>
              <w:right w:val="single" w:sz="4" w:space="0" w:color="auto"/>
            </w:tcBorders>
            <w:shd w:val="clear" w:color="auto" w:fill="auto"/>
            <w:hideMark/>
          </w:tcPr>
          <w:p w14:paraId="2E36AE8A"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10,27</w:t>
            </w:r>
          </w:p>
        </w:tc>
        <w:tc>
          <w:tcPr>
            <w:tcW w:w="1375" w:type="dxa"/>
            <w:tcBorders>
              <w:top w:val="nil"/>
              <w:left w:val="nil"/>
              <w:bottom w:val="single" w:sz="4" w:space="0" w:color="auto"/>
              <w:right w:val="single" w:sz="8" w:space="0" w:color="auto"/>
            </w:tcBorders>
            <w:shd w:val="clear" w:color="auto" w:fill="auto"/>
            <w:hideMark/>
          </w:tcPr>
          <w:p w14:paraId="02D2B25D"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1,41</w:t>
            </w:r>
          </w:p>
        </w:tc>
      </w:tr>
      <w:tr w:rsidR="00B5281F" w:rsidRPr="00B5281F" w14:paraId="25405C9C" w14:textId="77777777" w:rsidTr="00B5281F">
        <w:trPr>
          <w:trHeight w:val="288"/>
        </w:trPr>
        <w:tc>
          <w:tcPr>
            <w:tcW w:w="3559" w:type="dxa"/>
            <w:vMerge/>
            <w:tcBorders>
              <w:top w:val="nil"/>
              <w:left w:val="single" w:sz="8" w:space="0" w:color="auto"/>
              <w:bottom w:val="single" w:sz="4" w:space="0" w:color="000000"/>
              <w:right w:val="single" w:sz="4" w:space="0" w:color="auto"/>
            </w:tcBorders>
            <w:vAlign w:val="center"/>
            <w:hideMark/>
          </w:tcPr>
          <w:p w14:paraId="78B16D53" w14:textId="77777777" w:rsidR="00B5281F" w:rsidRPr="00B5281F" w:rsidRDefault="00B5281F" w:rsidP="00B5281F">
            <w:pPr>
              <w:rPr>
                <w:rFonts w:cs="Arial"/>
                <w:b/>
                <w:bCs/>
                <w:color w:val="000000"/>
                <w:lang w:val="de-AT" w:eastAsia="de-AT"/>
              </w:rPr>
            </w:pPr>
          </w:p>
        </w:tc>
        <w:tc>
          <w:tcPr>
            <w:tcW w:w="1418" w:type="dxa"/>
            <w:tcBorders>
              <w:top w:val="nil"/>
              <w:left w:val="nil"/>
              <w:bottom w:val="single" w:sz="4" w:space="0" w:color="auto"/>
              <w:right w:val="single" w:sz="4" w:space="0" w:color="auto"/>
            </w:tcBorders>
            <w:shd w:val="clear" w:color="auto" w:fill="auto"/>
            <w:hideMark/>
          </w:tcPr>
          <w:p w14:paraId="49BC010A" w14:textId="77777777" w:rsidR="00B5281F" w:rsidRPr="00B5281F" w:rsidRDefault="00B5281F" w:rsidP="00B5281F">
            <w:pPr>
              <w:jc w:val="right"/>
              <w:rPr>
                <w:rFonts w:cs="Arial"/>
                <w:color w:val="000000"/>
                <w:lang w:val="de-AT" w:eastAsia="de-AT"/>
              </w:rPr>
            </w:pPr>
            <w:r w:rsidRPr="00B5281F">
              <w:rPr>
                <w:rFonts w:cs="Arial"/>
                <w:color w:val="000000"/>
                <w:lang w:val="de-AT" w:eastAsia="de-AT"/>
              </w:rPr>
              <w:t>46,31</w:t>
            </w:r>
          </w:p>
        </w:tc>
        <w:tc>
          <w:tcPr>
            <w:tcW w:w="1399" w:type="dxa"/>
            <w:tcBorders>
              <w:top w:val="nil"/>
              <w:left w:val="nil"/>
              <w:bottom w:val="single" w:sz="4" w:space="0" w:color="auto"/>
              <w:right w:val="single" w:sz="4" w:space="0" w:color="auto"/>
            </w:tcBorders>
            <w:shd w:val="clear" w:color="auto" w:fill="auto"/>
            <w:hideMark/>
          </w:tcPr>
          <w:p w14:paraId="4C80A816"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2542,32</w:t>
            </w:r>
          </w:p>
        </w:tc>
        <w:tc>
          <w:tcPr>
            <w:tcW w:w="1152" w:type="dxa"/>
            <w:tcBorders>
              <w:top w:val="nil"/>
              <w:left w:val="nil"/>
              <w:bottom w:val="single" w:sz="4" w:space="0" w:color="auto"/>
              <w:right w:val="single" w:sz="4" w:space="0" w:color="auto"/>
            </w:tcBorders>
            <w:shd w:val="clear" w:color="auto" w:fill="auto"/>
            <w:hideMark/>
          </w:tcPr>
          <w:p w14:paraId="7EBD2A75"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24468,43</w:t>
            </w:r>
          </w:p>
        </w:tc>
        <w:tc>
          <w:tcPr>
            <w:tcW w:w="1375" w:type="dxa"/>
            <w:tcBorders>
              <w:top w:val="nil"/>
              <w:left w:val="nil"/>
              <w:bottom w:val="single" w:sz="4" w:space="0" w:color="auto"/>
              <w:right w:val="single" w:sz="4" w:space="0" w:color="auto"/>
            </w:tcBorders>
            <w:shd w:val="clear" w:color="auto" w:fill="auto"/>
            <w:hideMark/>
          </w:tcPr>
          <w:p w14:paraId="3A12BBDF"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21926,12</w:t>
            </w:r>
          </w:p>
        </w:tc>
        <w:tc>
          <w:tcPr>
            <w:tcW w:w="1602" w:type="dxa"/>
            <w:tcBorders>
              <w:top w:val="nil"/>
              <w:left w:val="nil"/>
              <w:bottom w:val="single" w:sz="4" w:space="0" w:color="auto"/>
              <w:right w:val="single" w:sz="4" w:space="0" w:color="auto"/>
            </w:tcBorders>
            <w:shd w:val="clear" w:color="auto" w:fill="auto"/>
            <w:hideMark/>
          </w:tcPr>
          <w:p w14:paraId="7BBE2D1B"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8,86</w:t>
            </w:r>
          </w:p>
        </w:tc>
        <w:tc>
          <w:tcPr>
            <w:tcW w:w="1701" w:type="dxa"/>
            <w:tcBorders>
              <w:top w:val="nil"/>
              <w:left w:val="nil"/>
              <w:bottom w:val="single" w:sz="4" w:space="0" w:color="auto"/>
              <w:right w:val="single" w:sz="4" w:space="0" w:color="auto"/>
            </w:tcBorders>
            <w:shd w:val="clear" w:color="auto" w:fill="auto"/>
            <w:hideMark/>
          </w:tcPr>
          <w:p w14:paraId="49D54F82"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10,27</w:t>
            </w:r>
          </w:p>
        </w:tc>
        <w:tc>
          <w:tcPr>
            <w:tcW w:w="1375" w:type="dxa"/>
            <w:tcBorders>
              <w:top w:val="nil"/>
              <w:left w:val="nil"/>
              <w:bottom w:val="single" w:sz="4" w:space="0" w:color="auto"/>
              <w:right w:val="single" w:sz="8" w:space="0" w:color="auto"/>
            </w:tcBorders>
            <w:shd w:val="clear" w:color="auto" w:fill="auto"/>
            <w:hideMark/>
          </w:tcPr>
          <w:p w14:paraId="1757FAE2"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1,41</w:t>
            </w:r>
          </w:p>
        </w:tc>
      </w:tr>
      <w:tr w:rsidR="00B5281F" w:rsidRPr="00B5281F" w14:paraId="7D318BBA" w14:textId="77777777" w:rsidTr="00B5281F">
        <w:trPr>
          <w:trHeight w:val="288"/>
        </w:trPr>
        <w:tc>
          <w:tcPr>
            <w:tcW w:w="3559" w:type="dxa"/>
            <w:vMerge w:val="restart"/>
            <w:tcBorders>
              <w:top w:val="nil"/>
              <w:left w:val="single" w:sz="8" w:space="0" w:color="auto"/>
              <w:bottom w:val="single" w:sz="4" w:space="0" w:color="000000"/>
              <w:right w:val="single" w:sz="4" w:space="0" w:color="auto"/>
            </w:tcBorders>
            <w:shd w:val="clear" w:color="auto" w:fill="auto"/>
            <w:hideMark/>
          </w:tcPr>
          <w:p w14:paraId="312DA277" w14:textId="77777777" w:rsidR="00B5281F" w:rsidRPr="00B5281F" w:rsidRDefault="00B5281F" w:rsidP="00B5281F">
            <w:pPr>
              <w:rPr>
                <w:rFonts w:cs="Arial"/>
                <w:b/>
                <w:bCs/>
                <w:color w:val="000000"/>
                <w:lang w:val="en-GB" w:eastAsia="de-AT"/>
              </w:rPr>
            </w:pPr>
            <w:r w:rsidRPr="00B5281F">
              <w:rPr>
                <w:rFonts w:cs="Arial"/>
                <w:b/>
                <w:bCs/>
                <w:color w:val="000000"/>
                <w:lang w:val="en-GB" w:eastAsia="de-AT"/>
              </w:rPr>
              <w:t>Probability of recurring otitis externa</w:t>
            </w:r>
          </w:p>
        </w:tc>
        <w:tc>
          <w:tcPr>
            <w:tcW w:w="1418" w:type="dxa"/>
            <w:tcBorders>
              <w:top w:val="nil"/>
              <w:left w:val="nil"/>
              <w:bottom w:val="single" w:sz="4" w:space="0" w:color="auto"/>
              <w:right w:val="single" w:sz="4" w:space="0" w:color="auto"/>
            </w:tcBorders>
            <w:shd w:val="clear" w:color="auto" w:fill="auto"/>
            <w:hideMark/>
          </w:tcPr>
          <w:p w14:paraId="3EBE883F" w14:textId="77777777" w:rsidR="00B5281F" w:rsidRPr="00B5281F" w:rsidRDefault="00B5281F" w:rsidP="00B5281F">
            <w:pPr>
              <w:jc w:val="right"/>
              <w:rPr>
                <w:rFonts w:cs="Arial"/>
                <w:color w:val="000000"/>
                <w:lang w:val="de-AT" w:eastAsia="de-AT"/>
              </w:rPr>
            </w:pPr>
            <w:r w:rsidRPr="00B5281F">
              <w:rPr>
                <w:rFonts w:cs="Arial"/>
                <w:color w:val="000000"/>
                <w:lang w:val="de-AT" w:eastAsia="de-AT"/>
              </w:rPr>
              <w:t>0,73732</w:t>
            </w:r>
          </w:p>
        </w:tc>
        <w:tc>
          <w:tcPr>
            <w:tcW w:w="1399" w:type="dxa"/>
            <w:tcBorders>
              <w:top w:val="nil"/>
              <w:left w:val="nil"/>
              <w:bottom w:val="single" w:sz="4" w:space="0" w:color="auto"/>
              <w:right w:val="single" w:sz="4" w:space="0" w:color="auto"/>
            </w:tcBorders>
            <w:shd w:val="clear" w:color="auto" w:fill="auto"/>
            <w:hideMark/>
          </w:tcPr>
          <w:p w14:paraId="2E7DAAA3"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2095,32</w:t>
            </w:r>
          </w:p>
        </w:tc>
        <w:tc>
          <w:tcPr>
            <w:tcW w:w="1152" w:type="dxa"/>
            <w:tcBorders>
              <w:top w:val="nil"/>
              <w:left w:val="nil"/>
              <w:bottom w:val="single" w:sz="4" w:space="0" w:color="auto"/>
              <w:right w:val="single" w:sz="4" w:space="0" w:color="auto"/>
            </w:tcBorders>
            <w:shd w:val="clear" w:color="auto" w:fill="auto"/>
            <w:hideMark/>
          </w:tcPr>
          <w:p w14:paraId="2607E936"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24468,43</w:t>
            </w:r>
          </w:p>
        </w:tc>
        <w:tc>
          <w:tcPr>
            <w:tcW w:w="1375" w:type="dxa"/>
            <w:tcBorders>
              <w:top w:val="nil"/>
              <w:left w:val="nil"/>
              <w:bottom w:val="single" w:sz="4" w:space="0" w:color="auto"/>
              <w:right w:val="single" w:sz="4" w:space="0" w:color="auto"/>
            </w:tcBorders>
            <w:shd w:val="clear" w:color="auto" w:fill="auto"/>
            <w:hideMark/>
          </w:tcPr>
          <w:p w14:paraId="188A86B9"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22373,12</w:t>
            </w:r>
          </w:p>
        </w:tc>
        <w:tc>
          <w:tcPr>
            <w:tcW w:w="1602" w:type="dxa"/>
            <w:tcBorders>
              <w:top w:val="nil"/>
              <w:left w:val="nil"/>
              <w:bottom w:val="single" w:sz="4" w:space="0" w:color="auto"/>
              <w:right w:val="single" w:sz="4" w:space="0" w:color="auto"/>
            </w:tcBorders>
            <w:shd w:val="clear" w:color="auto" w:fill="auto"/>
            <w:hideMark/>
          </w:tcPr>
          <w:p w14:paraId="155F3356"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8,86</w:t>
            </w:r>
          </w:p>
        </w:tc>
        <w:tc>
          <w:tcPr>
            <w:tcW w:w="1701" w:type="dxa"/>
            <w:tcBorders>
              <w:top w:val="nil"/>
              <w:left w:val="nil"/>
              <w:bottom w:val="single" w:sz="4" w:space="0" w:color="auto"/>
              <w:right w:val="single" w:sz="4" w:space="0" w:color="auto"/>
            </w:tcBorders>
            <w:shd w:val="clear" w:color="auto" w:fill="auto"/>
            <w:hideMark/>
          </w:tcPr>
          <w:p w14:paraId="004132B4"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10,27</w:t>
            </w:r>
          </w:p>
        </w:tc>
        <w:tc>
          <w:tcPr>
            <w:tcW w:w="1375" w:type="dxa"/>
            <w:tcBorders>
              <w:top w:val="nil"/>
              <w:left w:val="nil"/>
              <w:bottom w:val="single" w:sz="4" w:space="0" w:color="auto"/>
              <w:right w:val="single" w:sz="8" w:space="0" w:color="auto"/>
            </w:tcBorders>
            <w:shd w:val="clear" w:color="auto" w:fill="auto"/>
            <w:hideMark/>
          </w:tcPr>
          <w:p w14:paraId="6042C94D"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1,41</w:t>
            </w:r>
          </w:p>
        </w:tc>
      </w:tr>
      <w:tr w:rsidR="00B5281F" w:rsidRPr="00B5281F" w14:paraId="1945511F" w14:textId="77777777" w:rsidTr="00B5281F">
        <w:trPr>
          <w:trHeight w:val="290"/>
        </w:trPr>
        <w:tc>
          <w:tcPr>
            <w:tcW w:w="3559" w:type="dxa"/>
            <w:vMerge/>
            <w:tcBorders>
              <w:top w:val="nil"/>
              <w:left w:val="single" w:sz="8" w:space="0" w:color="auto"/>
              <w:bottom w:val="single" w:sz="4" w:space="0" w:color="000000"/>
              <w:right w:val="single" w:sz="4" w:space="0" w:color="auto"/>
            </w:tcBorders>
            <w:vAlign w:val="center"/>
            <w:hideMark/>
          </w:tcPr>
          <w:p w14:paraId="70CA575A" w14:textId="77777777" w:rsidR="00B5281F" w:rsidRPr="00B5281F" w:rsidRDefault="00B5281F" w:rsidP="00B5281F">
            <w:pPr>
              <w:rPr>
                <w:rFonts w:cs="Arial"/>
                <w:b/>
                <w:bCs/>
                <w:color w:val="000000"/>
                <w:lang w:val="de-AT" w:eastAsia="de-AT"/>
              </w:rPr>
            </w:pPr>
          </w:p>
        </w:tc>
        <w:tc>
          <w:tcPr>
            <w:tcW w:w="1418" w:type="dxa"/>
            <w:tcBorders>
              <w:top w:val="nil"/>
              <w:left w:val="nil"/>
              <w:bottom w:val="single" w:sz="4" w:space="0" w:color="auto"/>
              <w:right w:val="single" w:sz="4" w:space="0" w:color="auto"/>
            </w:tcBorders>
            <w:shd w:val="clear" w:color="auto" w:fill="auto"/>
            <w:hideMark/>
          </w:tcPr>
          <w:p w14:paraId="1D861068" w14:textId="77777777" w:rsidR="00B5281F" w:rsidRPr="00B5281F" w:rsidRDefault="00B5281F" w:rsidP="00B5281F">
            <w:pPr>
              <w:jc w:val="right"/>
              <w:rPr>
                <w:rFonts w:cs="Arial"/>
                <w:color w:val="000000"/>
                <w:lang w:val="de-AT" w:eastAsia="de-AT"/>
              </w:rPr>
            </w:pPr>
            <w:r w:rsidRPr="00B5281F">
              <w:rPr>
                <w:rFonts w:cs="Arial"/>
                <w:color w:val="000000"/>
                <w:lang w:val="de-AT" w:eastAsia="de-AT"/>
              </w:rPr>
              <w:t>1</w:t>
            </w:r>
          </w:p>
        </w:tc>
        <w:tc>
          <w:tcPr>
            <w:tcW w:w="1399" w:type="dxa"/>
            <w:tcBorders>
              <w:top w:val="nil"/>
              <w:left w:val="nil"/>
              <w:bottom w:val="single" w:sz="4" w:space="0" w:color="auto"/>
              <w:right w:val="single" w:sz="4" w:space="0" w:color="auto"/>
            </w:tcBorders>
            <w:shd w:val="clear" w:color="auto" w:fill="auto"/>
            <w:hideMark/>
          </w:tcPr>
          <w:p w14:paraId="3B30313C"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2541,16</w:t>
            </w:r>
          </w:p>
        </w:tc>
        <w:tc>
          <w:tcPr>
            <w:tcW w:w="1152" w:type="dxa"/>
            <w:tcBorders>
              <w:top w:val="nil"/>
              <w:left w:val="nil"/>
              <w:bottom w:val="single" w:sz="4" w:space="0" w:color="auto"/>
              <w:right w:val="single" w:sz="4" w:space="0" w:color="auto"/>
            </w:tcBorders>
            <w:shd w:val="clear" w:color="auto" w:fill="auto"/>
            <w:hideMark/>
          </w:tcPr>
          <w:p w14:paraId="42DDA144"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24468,43</w:t>
            </w:r>
          </w:p>
        </w:tc>
        <w:tc>
          <w:tcPr>
            <w:tcW w:w="1375" w:type="dxa"/>
            <w:tcBorders>
              <w:top w:val="nil"/>
              <w:left w:val="nil"/>
              <w:bottom w:val="single" w:sz="4" w:space="0" w:color="auto"/>
              <w:right w:val="single" w:sz="4" w:space="0" w:color="auto"/>
            </w:tcBorders>
            <w:shd w:val="clear" w:color="auto" w:fill="auto"/>
            <w:hideMark/>
          </w:tcPr>
          <w:p w14:paraId="4B8078B5"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21927,28</w:t>
            </w:r>
          </w:p>
        </w:tc>
        <w:tc>
          <w:tcPr>
            <w:tcW w:w="1602" w:type="dxa"/>
            <w:tcBorders>
              <w:top w:val="nil"/>
              <w:left w:val="nil"/>
              <w:bottom w:val="single" w:sz="4" w:space="0" w:color="auto"/>
              <w:right w:val="single" w:sz="4" w:space="0" w:color="auto"/>
            </w:tcBorders>
            <w:shd w:val="clear" w:color="auto" w:fill="auto"/>
            <w:hideMark/>
          </w:tcPr>
          <w:p w14:paraId="1AA38AC7"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8,86</w:t>
            </w:r>
          </w:p>
        </w:tc>
        <w:tc>
          <w:tcPr>
            <w:tcW w:w="1701" w:type="dxa"/>
            <w:tcBorders>
              <w:top w:val="nil"/>
              <w:left w:val="nil"/>
              <w:bottom w:val="single" w:sz="4" w:space="0" w:color="auto"/>
              <w:right w:val="single" w:sz="4" w:space="0" w:color="auto"/>
            </w:tcBorders>
            <w:shd w:val="clear" w:color="auto" w:fill="auto"/>
            <w:hideMark/>
          </w:tcPr>
          <w:p w14:paraId="0F0FB1AA"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10,27</w:t>
            </w:r>
          </w:p>
        </w:tc>
        <w:tc>
          <w:tcPr>
            <w:tcW w:w="1375" w:type="dxa"/>
            <w:tcBorders>
              <w:top w:val="nil"/>
              <w:left w:val="nil"/>
              <w:bottom w:val="single" w:sz="4" w:space="0" w:color="auto"/>
              <w:right w:val="single" w:sz="8" w:space="0" w:color="auto"/>
            </w:tcBorders>
            <w:shd w:val="clear" w:color="auto" w:fill="auto"/>
            <w:hideMark/>
          </w:tcPr>
          <w:p w14:paraId="681F712A"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1,41</w:t>
            </w:r>
          </w:p>
        </w:tc>
      </w:tr>
      <w:tr w:rsidR="00B5281F" w:rsidRPr="00B5281F" w14:paraId="62EE4FB3" w14:textId="77777777" w:rsidTr="00B5281F">
        <w:trPr>
          <w:trHeight w:val="290"/>
        </w:trPr>
        <w:tc>
          <w:tcPr>
            <w:tcW w:w="3559" w:type="dxa"/>
            <w:vMerge w:val="restart"/>
            <w:tcBorders>
              <w:top w:val="nil"/>
              <w:left w:val="single" w:sz="8" w:space="0" w:color="auto"/>
              <w:bottom w:val="single" w:sz="4" w:space="0" w:color="000000"/>
              <w:right w:val="single" w:sz="4" w:space="0" w:color="auto"/>
            </w:tcBorders>
            <w:shd w:val="clear" w:color="auto" w:fill="auto"/>
            <w:hideMark/>
          </w:tcPr>
          <w:p w14:paraId="1345C537" w14:textId="77777777" w:rsidR="00B5281F" w:rsidRPr="00B5281F" w:rsidRDefault="00B5281F" w:rsidP="00B5281F">
            <w:pPr>
              <w:rPr>
                <w:rFonts w:cs="Arial"/>
                <w:b/>
                <w:bCs/>
                <w:color w:val="000000"/>
                <w:lang w:val="de-AT" w:eastAsia="de-AT"/>
              </w:rPr>
            </w:pPr>
            <w:r w:rsidRPr="00B5281F">
              <w:rPr>
                <w:rFonts w:cs="Arial"/>
                <w:b/>
                <w:bCs/>
                <w:color w:val="000000"/>
                <w:lang w:val="de-AT" w:eastAsia="de-AT"/>
              </w:rPr>
              <w:t>Probability of recurring exostosis</w:t>
            </w:r>
          </w:p>
        </w:tc>
        <w:tc>
          <w:tcPr>
            <w:tcW w:w="1418" w:type="dxa"/>
            <w:tcBorders>
              <w:top w:val="nil"/>
              <w:left w:val="nil"/>
              <w:bottom w:val="single" w:sz="4" w:space="0" w:color="auto"/>
              <w:right w:val="single" w:sz="4" w:space="0" w:color="auto"/>
            </w:tcBorders>
            <w:shd w:val="clear" w:color="auto" w:fill="auto"/>
            <w:hideMark/>
          </w:tcPr>
          <w:p w14:paraId="76AB963C" w14:textId="77777777" w:rsidR="00B5281F" w:rsidRPr="00B5281F" w:rsidRDefault="00B5281F" w:rsidP="00B5281F">
            <w:pPr>
              <w:jc w:val="right"/>
              <w:rPr>
                <w:rFonts w:cs="Arial"/>
                <w:color w:val="000000"/>
                <w:lang w:val="de-AT" w:eastAsia="de-AT"/>
              </w:rPr>
            </w:pPr>
            <w:r w:rsidRPr="00B5281F">
              <w:rPr>
                <w:rFonts w:cs="Arial"/>
                <w:color w:val="000000"/>
                <w:lang w:val="de-AT" w:eastAsia="de-AT"/>
              </w:rPr>
              <w:t>0,00266</w:t>
            </w:r>
          </w:p>
        </w:tc>
        <w:tc>
          <w:tcPr>
            <w:tcW w:w="1399" w:type="dxa"/>
            <w:tcBorders>
              <w:top w:val="nil"/>
              <w:left w:val="nil"/>
              <w:bottom w:val="single" w:sz="4" w:space="0" w:color="auto"/>
              <w:right w:val="single" w:sz="4" w:space="0" w:color="auto"/>
            </w:tcBorders>
            <w:shd w:val="clear" w:color="auto" w:fill="auto"/>
            <w:hideMark/>
          </w:tcPr>
          <w:p w14:paraId="2FAF7209"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2249,65</w:t>
            </w:r>
          </w:p>
        </w:tc>
        <w:tc>
          <w:tcPr>
            <w:tcW w:w="1152" w:type="dxa"/>
            <w:tcBorders>
              <w:top w:val="nil"/>
              <w:left w:val="nil"/>
              <w:bottom w:val="single" w:sz="4" w:space="0" w:color="auto"/>
              <w:right w:val="single" w:sz="4" w:space="0" w:color="auto"/>
            </w:tcBorders>
            <w:shd w:val="clear" w:color="auto" w:fill="auto"/>
            <w:hideMark/>
          </w:tcPr>
          <w:p w14:paraId="78B68EDE"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24468,43</w:t>
            </w:r>
          </w:p>
        </w:tc>
        <w:tc>
          <w:tcPr>
            <w:tcW w:w="1375" w:type="dxa"/>
            <w:tcBorders>
              <w:top w:val="nil"/>
              <w:left w:val="nil"/>
              <w:bottom w:val="single" w:sz="4" w:space="0" w:color="auto"/>
              <w:right w:val="single" w:sz="4" w:space="0" w:color="auto"/>
            </w:tcBorders>
            <w:shd w:val="clear" w:color="auto" w:fill="auto"/>
            <w:hideMark/>
          </w:tcPr>
          <w:p w14:paraId="0E93E56B"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22218,79</w:t>
            </w:r>
          </w:p>
        </w:tc>
        <w:tc>
          <w:tcPr>
            <w:tcW w:w="1602" w:type="dxa"/>
            <w:tcBorders>
              <w:top w:val="nil"/>
              <w:left w:val="nil"/>
              <w:bottom w:val="single" w:sz="4" w:space="0" w:color="auto"/>
              <w:right w:val="single" w:sz="4" w:space="0" w:color="auto"/>
            </w:tcBorders>
            <w:shd w:val="clear" w:color="auto" w:fill="auto"/>
            <w:hideMark/>
          </w:tcPr>
          <w:p w14:paraId="5AD4FCA2"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8,86</w:t>
            </w:r>
          </w:p>
        </w:tc>
        <w:tc>
          <w:tcPr>
            <w:tcW w:w="1701" w:type="dxa"/>
            <w:tcBorders>
              <w:top w:val="nil"/>
              <w:left w:val="nil"/>
              <w:bottom w:val="single" w:sz="4" w:space="0" w:color="auto"/>
              <w:right w:val="single" w:sz="4" w:space="0" w:color="auto"/>
            </w:tcBorders>
            <w:shd w:val="clear" w:color="auto" w:fill="auto"/>
            <w:hideMark/>
          </w:tcPr>
          <w:p w14:paraId="37ECA69F"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10,27</w:t>
            </w:r>
          </w:p>
        </w:tc>
        <w:tc>
          <w:tcPr>
            <w:tcW w:w="1375" w:type="dxa"/>
            <w:tcBorders>
              <w:top w:val="nil"/>
              <w:left w:val="nil"/>
              <w:bottom w:val="single" w:sz="4" w:space="0" w:color="auto"/>
              <w:right w:val="single" w:sz="8" w:space="0" w:color="auto"/>
            </w:tcBorders>
            <w:shd w:val="clear" w:color="auto" w:fill="auto"/>
            <w:hideMark/>
          </w:tcPr>
          <w:p w14:paraId="0CC0FE74"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1,41</w:t>
            </w:r>
          </w:p>
        </w:tc>
      </w:tr>
      <w:tr w:rsidR="00B5281F" w:rsidRPr="00B5281F" w14:paraId="485C6DE7" w14:textId="77777777" w:rsidTr="00B5281F">
        <w:trPr>
          <w:trHeight w:val="290"/>
        </w:trPr>
        <w:tc>
          <w:tcPr>
            <w:tcW w:w="3559" w:type="dxa"/>
            <w:vMerge/>
            <w:tcBorders>
              <w:top w:val="nil"/>
              <w:left w:val="single" w:sz="8" w:space="0" w:color="auto"/>
              <w:bottom w:val="single" w:sz="4" w:space="0" w:color="000000"/>
              <w:right w:val="single" w:sz="4" w:space="0" w:color="auto"/>
            </w:tcBorders>
            <w:vAlign w:val="center"/>
            <w:hideMark/>
          </w:tcPr>
          <w:p w14:paraId="6B7482A1" w14:textId="77777777" w:rsidR="00B5281F" w:rsidRPr="00B5281F" w:rsidRDefault="00B5281F" w:rsidP="00B5281F">
            <w:pPr>
              <w:rPr>
                <w:rFonts w:cs="Arial"/>
                <w:b/>
                <w:bCs/>
                <w:color w:val="000000"/>
                <w:lang w:val="de-AT" w:eastAsia="de-AT"/>
              </w:rPr>
            </w:pPr>
          </w:p>
        </w:tc>
        <w:tc>
          <w:tcPr>
            <w:tcW w:w="1418" w:type="dxa"/>
            <w:tcBorders>
              <w:top w:val="nil"/>
              <w:left w:val="nil"/>
              <w:bottom w:val="single" w:sz="4" w:space="0" w:color="auto"/>
              <w:right w:val="single" w:sz="4" w:space="0" w:color="auto"/>
            </w:tcBorders>
            <w:shd w:val="clear" w:color="auto" w:fill="auto"/>
            <w:hideMark/>
          </w:tcPr>
          <w:p w14:paraId="6FC45D4F" w14:textId="77777777" w:rsidR="00B5281F" w:rsidRPr="00B5281F" w:rsidRDefault="00B5281F" w:rsidP="00B5281F">
            <w:pPr>
              <w:jc w:val="right"/>
              <w:rPr>
                <w:rFonts w:cs="Arial"/>
                <w:color w:val="000000"/>
                <w:lang w:val="de-AT" w:eastAsia="de-AT"/>
              </w:rPr>
            </w:pPr>
            <w:r w:rsidRPr="00B5281F">
              <w:rPr>
                <w:rFonts w:cs="Arial"/>
                <w:color w:val="000000"/>
                <w:lang w:val="de-AT" w:eastAsia="de-AT"/>
              </w:rPr>
              <w:t>0,07939</w:t>
            </w:r>
          </w:p>
        </w:tc>
        <w:tc>
          <w:tcPr>
            <w:tcW w:w="1399" w:type="dxa"/>
            <w:tcBorders>
              <w:top w:val="nil"/>
              <w:left w:val="nil"/>
              <w:bottom w:val="single" w:sz="4" w:space="0" w:color="auto"/>
              <w:right w:val="single" w:sz="4" w:space="0" w:color="auto"/>
            </w:tcBorders>
            <w:shd w:val="clear" w:color="auto" w:fill="auto"/>
            <w:hideMark/>
          </w:tcPr>
          <w:p w14:paraId="5B3CA572"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3349,33</w:t>
            </w:r>
          </w:p>
        </w:tc>
        <w:tc>
          <w:tcPr>
            <w:tcW w:w="1152" w:type="dxa"/>
            <w:tcBorders>
              <w:top w:val="nil"/>
              <w:left w:val="nil"/>
              <w:bottom w:val="single" w:sz="4" w:space="0" w:color="auto"/>
              <w:right w:val="single" w:sz="4" w:space="0" w:color="auto"/>
            </w:tcBorders>
            <w:shd w:val="clear" w:color="auto" w:fill="auto"/>
            <w:hideMark/>
          </w:tcPr>
          <w:p w14:paraId="40A3E918"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24468,43</w:t>
            </w:r>
          </w:p>
        </w:tc>
        <w:tc>
          <w:tcPr>
            <w:tcW w:w="1375" w:type="dxa"/>
            <w:tcBorders>
              <w:top w:val="nil"/>
              <w:left w:val="nil"/>
              <w:bottom w:val="single" w:sz="4" w:space="0" w:color="auto"/>
              <w:right w:val="single" w:sz="4" w:space="0" w:color="auto"/>
            </w:tcBorders>
            <w:shd w:val="clear" w:color="auto" w:fill="auto"/>
            <w:hideMark/>
          </w:tcPr>
          <w:p w14:paraId="6B322006"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21119,11</w:t>
            </w:r>
          </w:p>
        </w:tc>
        <w:tc>
          <w:tcPr>
            <w:tcW w:w="1602" w:type="dxa"/>
            <w:tcBorders>
              <w:top w:val="nil"/>
              <w:left w:val="nil"/>
              <w:bottom w:val="single" w:sz="4" w:space="0" w:color="auto"/>
              <w:right w:val="single" w:sz="4" w:space="0" w:color="auto"/>
            </w:tcBorders>
            <w:shd w:val="clear" w:color="auto" w:fill="auto"/>
            <w:hideMark/>
          </w:tcPr>
          <w:p w14:paraId="7D036C01"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8,86</w:t>
            </w:r>
          </w:p>
        </w:tc>
        <w:tc>
          <w:tcPr>
            <w:tcW w:w="1701" w:type="dxa"/>
            <w:tcBorders>
              <w:top w:val="nil"/>
              <w:left w:val="nil"/>
              <w:bottom w:val="single" w:sz="4" w:space="0" w:color="auto"/>
              <w:right w:val="single" w:sz="4" w:space="0" w:color="auto"/>
            </w:tcBorders>
            <w:shd w:val="clear" w:color="auto" w:fill="auto"/>
            <w:hideMark/>
          </w:tcPr>
          <w:p w14:paraId="07535CE0"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10,27</w:t>
            </w:r>
          </w:p>
        </w:tc>
        <w:tc>
          <w:tcPr>
            <w:tcW w:w="1375" w:type="dxa"/>
            <w:tcBorders>
              <w:top w:val="nil"/>
              <w:left w:val="nil"/>
              <w:bottom w:val="single" w:sz="4" w:space="0" w:color="auto"/>
              <w:right w:val="single" w:sz="8" w:space="0" w:color="auto"/>
            </w:tcBorders>
            <w:shd w:val="clear" w:color="auto" w:fill="auto"/>
            <w:hideMark/>
          </w:tcPr>
          <w:p w14:paraId="241EB041"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1,41</w:t>
            </w:r>
          </w:p>
        </w:tc>
      </w:tr>
      <w:tr w:rsidR="00B5281F" w:rsidRPr="00B5281F" w14:paraId="6CEDFA33" w14:textId="77777777" w:rsidTr="00B5281F">
        <w:trPr>
          <w:trHeight w:val="290"/>
        </w:trPr>
        <w:tc>
          <w:tcPr>
            <w:tcW w:w="3559" w:type="dxa"/>
            <w:vMerge w:val="restart"/>
            <w:tcBorders>
              <w:top w:val="nil"/>
              <w:left w:val="single" w:sz="8" w:space="0" w:color="auto"/>
              <w:bottom w:val="single" w:sz="4" w:space="0" w:color="000000"/>
              <w:right w:val="single" w:sz="4" w:space="0" w:color="auto"/>
            </w:tcBorders>
            <w:shd w:val="clear" w:color="auto" w:fill="auto"/>
            <w:hideMark/>
          </w:tcPr>
          <w:p w14:paraId="1CF10AEA" w14:textId="77777777" w:rsidR="00B5281F" w:rsidRPr="00B5281F" w:rsidRDefault="00B5281F" w:rsidP="00B5281F">
            <w:pPr>
              <w:rPr>
                <w:rFonts w:cs="Arial"/>
                <w:b/>
                <w:bCs/>
                <w:color w:val="000000"/>
                <w:lang w:val="de-AT" w:eastAsia="de-AT"/>
              </w:rPr>
            </w:pPr>
            <w:r w:rsidRPr="00B5281F">
              <w:rPr>
                <w:rFonts w:cs="Arial"/>
                <w:b/>
                <w:bCs/>
                <w:color w:val="000000"/>
                <w:lang w:val="de-AT" w:eastAsia="de-AT"/>
              </w:rPr>
              <w:t>Probability of recurring cerumen</w:t>
            </w:r>
          </w:p>
        </w:tc>
        <w:tc>
          <w:tcPr>
            <w:tcW w:w="1418" w:type="dxa"/>
            <w:tcBorders>
              <w:top w:val="nil"/>
              <w:left w:val="nil"/>
              <w:bottom w:val="single" w:sz="4" w:space="0" w:color="auto"/>
              <w:right w:val="single" w:sz="4" w:space="0" w:color="auto"/>
            </w:tcBorders>
            <w:shd w:val="clear" w:color="auto" w:fill="auto"/>
            <w:hideMark/>
          </w:tcPr>
          <w:p w14:paraId="663C7E3C" w14:textId="77777777" w:rsidR="00B5281F" w:rsidRPr="00B5281F" w:rsidRDefault="00B5281F" w:rsidP="00B5281F">
            <w:pPr>
              <w:jc w:val="right"/>
              <w:rPr>
                <w:rFonts w:cs="Arial"/>
                <w:color w:val="000000"/>
                <w:lang w:val="de-AT" w:eastAsia="de-AT"/>
              </w:rPr>
            </w:pPr>
            <w:r w:rsidRPr="00B5281F">
              <w:rPr>
                <w:rFonts w:cs="Arial"/>
                <w:color w:val="000000"/>
                <w:lang w:val="de-AT" w:eastAsia="de-AT"/>
              </w:rPr>
              <w:t>0,00218</w:t>
            </w:r>
          </w:p>
        </w:tc>
        <w:tc>
          <w:tcPr>
            <w:tcW w:w="1399" w:type="dxa"/>
            <w:tcBorders>
              <w:top w:val="nil"/>
              <w:left w:val="nil"/>
              <w:bottom w:val="single" w:sz="4" w:space="0" w:color="auto"/>
              <w:right w:val="single" w:sz="4" w:space="0" w:color="auto"/>
            </w:tcBorders>
            <w:shd w:val="clear" w:color="auto" w:fill="auto"/>
            <w:hideMark/>
          </w:tcPr>
          <w:p w14:paraId="39C3ABB9"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2537,75</w:t>
            </w:r>
          </w:p>
        </w:tc>
        <w:tc>
          <w:tcPr>
            <w:tcW w:w="1152" w:type="dxa"/>
            <w:tcBorders>
              <w:top w:val="nil"/>
              <w:left w:val="nil"/>
              <w:bottom w:val="single" w:sz="4" w:space="0" w:color="auto"/>
              <w:right w:val="single" w:sz="4" w:space="0" w:color="auto"/>
            </w:tcBorders>
            <w:shd w:val="clear" w:color="auto" w:fill="auto"/>
            <w:hideMark/>
          </w:tcPr>
          <w:p w14:paraId="229FAF93"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24468,43</w:t>
            </w:r>
          </w:p>
        </w:tc>
        <w:tc>
          <w:tcPr>
            <w:tcW w:w="1375" w:type="dxa"/>
            <w:tcBorders>
              <w:top w:val="nil"/>
              <w:left w:val="nil"/>
              <w:bottom w:val="single" w:sz="4" w:space="0" w:color="auto"/>
              <w:right w:val="single" w:sz="4" w:space="0" w:color="auto"/>
            </w:tcBorders>
            <w:shd w:val="clear" w:color="auto" w:fill="auto"/>
            <w:hideMark/>
          </w:tcPr>
          <w:p w14:paraId="631F6C4C"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21930,68</w:t>
            </w:r>
          </w:p>
        </w:tc>
        <w:tc>
          <w:tcPr>
            <w:tcW w:w="1602" w:type="dxa"/>
            <w:tcBorders>
              <w:top w:val="nil"/>
              <w:left w:val="nil"/>
              <w:bottom w:val="single" w:sz="4" w:space="0" w:color="auto"/>
              <w:right w:val="single" w:sz="4" w:space="0" w:color="auto"/>
            </w:tcBorders>
            <w:shd w:val="clear" w:color="auto" w:fill="auto"/>
            <w:hideMark/>
          </w:tcPr>
          <w:p w14:paraId="478A8DE7"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8,86</w:t>
            </w:r>
          </w:p>
        </w:tc>
        <w:tc>
          <w:tcPr>
            <w:tcW w:w="1701" w:type="dxa"/>
            <w:tcBorders>
              <w:top w:val="nil"/>
              <w:left w:val="nil"/>
              <w:bottom w:val="single" w:sz="4" w:space="0" w:color="auto"/>
              <w:right w:val="single" w:sz="4" w:space="0" w:color="auto"/>
            </w:tcBorders>
            <w:shd w:val="clear" w:color="auto" w:fill="auto"/>
            <w:hideMark/>
          </w:tcPr>
          <w:p w14:paraId="2972BF25"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10,27</w:t>
            </w:r>
          </w:p>
        </w:tc>
        <w:tc>
          <w:tcPr>
            <w:tcW w:w="1375" w:type="dxa"/>
            <w:tcBorders>
              <w:top w:val="nil"/>
              <w:left w:val="nil"/>
              <w:bottom w:val="single" w:sz="4" w:space="0" w:color="auto"/>
              <w:right w:val="single" w:sz="8" w:space="0" w:color="auto"/>
            </w:tcBorders>
            <w:shd w:val="clear" w:color="auto" w:fill="auto"/>
            <w:hideMark/>
          </w:tcPr>
          <w:p w14:paraId="321BBB52"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1,41</w:t>
            </w:r>
          </w:p>
        </w:tc>
      </w:tr>
      <w:tr w:rsidR="00B5281F" w:rsidRPr="00B5281F" w14:paraId="734F9EFD" w14:textId="77777777" w:rsidTr="00B5281F">
        <w:trPr>
          <w:trHeight w:val="290"/>
        </w:trPr>
        <w:tc>
          <w:tcPr>
            <w:tcW w:w="3559" w:type="dxa"/>
            <w:vMerge/>
            <w:tcBorders>
              <w:top w:val="nil"/>
              <w:left w:val="single" w:sz="8" w:space="0" w:color="auto"/>
              <w:bottom w:val="single" w:sz="4" w:space="0" w:color="000000"/>
              <w:right w:val="single" w:sz="4" w:space="0" w:color="auto"/>
            </w:tcBorders>
            <w:vAlign w:val="center"/>
            <w:hideMark/>
          </w:tcPr>
          <w:p w14:paraId="00A46653" w14:textId="77777777" w:rsidR="00B5281F" w:rsidRPr="00B5281F" w:rsidRDefault="00B5281F" w:rsidP="00B5281F">
            <w:pPr>
              <w:rPr>
                <w:rFonts w:cs="Arial"/>
                <w:b/>
                <w:bCs/>
                <w:color w:val="000000"/>
                <w:lang w:val="de-AT" w:eastAsia="de-AT"/>
              </w:rPr>
            </w:pPr>
          </w:p>
        </w:tc>
        <w:tc>
          <w:tcPr>
            <w:tcW w:w="1418" w:type="dxa"/>
            <w:tcBorders>
              <w:top w:val="nil"/>
              <w:left w:val="nil"/>
              <w:bottom w:val="single" w:sz="4" w:space="0" w:color="auto"/>
              <w:right w:val="single" w:sz="4" w:space="0" w:color="auto"/>
            </w:tcBorders>
            <w:shd w:val="clear" w:color="auto" w:fill="auto"/>
            <w:hideMark/>
          </w:tcPr>
          <w:p w14:paraId="3DF631EE" w14:textId="77777777" w:rsidR="00B5281F" w:rsidRPr="00B5281F" w:rsidRDefault="00B5281F" w:rsidP="00B5281F">
            <w:pPr>
              <w:jc w:val="right"/>
              <w:rPr>
                <w:rFonts w:cs="Arial"/>
                <w:color w:val="000000"/>
                <w:lang w:val="de-AT" w:eastAsia="de-AT"/>
              </w:rPr>
            </w:pPr>
            <w:r w:rsidRPr="00B5281F">
              <w:rPr>
                <w:rFonts w:cs="Arial"/>
                <w:color w:val="000000"/>
                <w:lang w:val="de-AT" w:eastAsia="de-AT"/>
              </w:rPr>
              <w:t>0,02048</w:t>
            </w:r>
          </w:p>
        </w:tc>
        <w:tc>
          <w:tcPr>
            <w:tcW w:w="1399" w:type="dxa"/>
            <w:tcBorders>
              <w:top w:val="nil"/>
              <w:left w:val="nil"/>
              <w:bottom w:val="single" w:sz="4" w:space="0" w:color="auto"/>
              <w:right w:val="single" w:sz="4" w:space="0" w:color="auto"/>
            </w:tcBorders>
            <w:shd w:val="clear" w:color="auto" w:fill="auto"/>
            <w:hideMark/>
          </w:tcPr>
          <w:p w14:paraId="28E63EA5"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2548,22</w:t>
            </w:r>
          </w:p>
        </w:tc>
        <w:tc>
          <w:tcPr>
            <w:tcW w:w="1152" w:type="dxa"/>
            <w:tcBorders>
              <w:top w:val="nil"/>
              <w:left w:val="nil"/>
              <w:bottom w:val="single" w:sz="4" w:space="0" w:color="auto"/>
              <w:right w:val="single" w:sz="4" w:space="0" w:color="auto"/>
            </w:tcBorders>
            <w:shd w:val="clear" w:color="auto" w:fill="auto"/>
            <w:hideMark/>
          </w:tcPr>
          <w:p w14:paraId="23FE1450"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24468,43</w:t>
            </w:r>
          </w:p>
        </w:tc>
        <w:tc>
          <w:tcPr>
            <w:tcW w:w="1375" w:type="dxa"/>
            <w:tcBorders>
              <w:top w:val="nil"/>
              <w:left w:val="nil"/>
              <w:bottom w:val="single" w:sz="4" w:space="0" w:color="auto"/>
              <w:right w:val="single" w:sz="4" w:space="0" w:color="auto"/>
            </w:tcBorders>
            <w:shd w:val="clear" w:color="auto" w:fill="auto"/>
            <w:hideMark/>
          </w:tcPr>
          <w:p w14:paraId="655E08C4"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21920,21</w:t>
            </w:r>
          </w:p>
        </w:tc>
        <w:tc>
          <w:tcPr>
            <w:tcW w:w="1602" w:type="dxa"/>
            <w:tcBorders>
              <w:top w:val="nil"/>
              <w:left w:val="nil"/>
              <w:bottom w:val="single" w:sz="4" w:space="0" w:color="auto"/>
              <w:right w:val="single" w:sz="4" w:space="0" w:color="auto"/>
            </w:tcBorders>
            <w:shd w:val="clear" w:color="auto" w:fill="auto"/>
            <w:hideMark/>
          </w:tcPr>
          <w:p w14:paraId="638340E3"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8,86</w:t>
            </w:r>
          </w:p>
        </w:tc>
        <w:tc>
          <w:tcPr>
            <w:tcW w:w="1701" w:type="dxa"/>
            <w:tcBorders>
              <w:top w:val="nil"/>
              <w:left w:val="nil"/>
              <w:bottom w:val="single" w:sz="4" w:space="0" w:color="auto"/>
              <w:right w:val="single" w:sz="4" w:space="0" w:color="auto"/>
            </w:tcBorders>
            <w:shd w:val="clear" w:color="auto" w:fill="auto"/>
            <w:hideMark/>
          </w:tcPr>
          <w:p w14:paraId="3D5D1DB4"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10,27</w:t>
            </w:r>
          </w:p>
        </w:tc>
        <w:tc>
          <w:tcPr>
            <w:tcW w:w="1375" w:type="dxa"/>
            <w:tcBorders>
              <w:top w:val="nil"/>
              <w:left w:val="nil"/>
              <w:bottom w:val="single" w:sz="4" w:space="0" w:color="auto"/>
              <w:right w:val="single" w:sz="8" w:space="0" w:color="auto"/>
            </w:tcBorders>
            <w:shd w:val="clear" w:color="auto" w:fill="auto"/>
            <w:hideMark/>
          </w:tcPr>
          <w:p w14:paraId="3849690B"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1,41</w:t>
            </w:r>
          </w:p>
        </w:tc>
      </w:tr>
      <w:tr w:rsidR="00B5281F" w:rsidRPr="00B5281F" w14:paraId="22E0FDFB" w14:textId="77777777" w:rsidTr="00B5281F">
        <w:trPr>
          <w:trHeight w:val="290"/>
        </w:trPr>
        <w:tc>
          <w:tcPr>
            <w:tcW w:w="3559" w:type="dxa"/>
            <w:vMerge w:val="restart"/>
            <w:tcBorders>
              <w:top w:val="nil"/>
              <w:left w:val="single" w:sz="8" w:space="0" w:color="auto"/>
              <w:bottom w:val="single" w:sz="4" w:space="0" w:color="000000"/>
              <w:right w:val="single" w:sz="4" w:space="0" w:color="auto"/>
            </w:tcBorders>
            <w:shd w:val="clear" w:color="auto" w:fill="auto"/>
            <w:hideMark/>
          </w:tcPr>
          <w:p w14:paraId="50934180" w14:textId="77777777" w:rsidR="00B5281F" w:rsidRPr="00B5281F" w:rsidRDefault="00B5281F" w:rsidP="00B5281F">
            <w:pPr>
              <w:rPr>
                <w:rFonts w:cs="Arial"/>
                <w:b/>
                <w:bCs/>
                <w:color w:val="000000"/>
                <w:lang w:val="de-AT" w:eastAsia="de-AT"/>
              </w:rPr>
            </w:pPr>
            <w:r w:rsidRPr="00B5281F">
              <w:rPr>
                <w:rFonts w:cs="Arial"/>
                <w:b/>
                <w:bCs/>
                <w:color w:val="000000"/>
                <w:lang w:val="de-AT" w:eastAsia="de-AT"/>
              </w:rPr>
              <w:t>Cost of candidacy assessment</w:t>
            </w:r>
          </w:p>
        </w:tc>
        <w:tc>
          <w:tcPr>
            <w:tcW w:w="1418" w:type="dxa"/>
            <w:tcBorders>
              <w:top w:val="nil"/>
              <w:left w:val="nil"/>
              <w:bottom w:val="single" w:sz="4" w:space="0" w:color="auto"/>
              <w:right w:val="single" w:sz="4" w:space="0" w:color="auto"/>
            </w:tcBorders>
            <w:shd w:val="clear" w:color="auto" w:fill="auto"/>
            <w:hideMark/>
          </w:tcPr>
          <w:p w14:paraId="3C44B36D" w14:textId="77777777" w:rsidR="00B5281F" w:rsidRPr="00B5281F" w:rsidRDefault="00B5281F" w:rsidP="00B5281F">
            <w:pPr>
              <w:jc w:val="right"/>
              <w:rPr>
                <w:rFonts w:cs="Arial"/>
                <w:color w:val="000000"/>
                <w:lang w:val="de-AT" w:eastAsia="de-AT"/>
              </w:rPr>
            </w:pPr>
            <w:r w:rsidRPr="00B5281F">
              <w:rPr>
                <w:rFonts w:cs="Arial"/>
                <w:color w:val="000000"/>
                <w:lang w:val="de-AT" w:eastAsia="de-AT"/>
              </w:rPr>
              <w:t>383,36</w:t>
            </w:r>
          </w:p>
        </w:tc>
        <w:tc>
          <w:tcPr>
            <w:tcW w:w="1399" w:type="dxa"/>
            <w:tcBorders>
              <w:top w:val="nil"/>
              <w:left w:val="nil"/>
              <w:bottom w:val="single" w:sz="4" w:space="0" w:color="auto"/>
              <w:right w:val="single" w:sz="4" w:space="0" w:color="auto"/>
            </w:tcBorders>
            <w:shd w:val="clear" w:color="auto" w:fill="auto"/>
            <w:hideMark/>
          </w:tcPr>
          <w:p w14:paraId="32A433F7"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2413,75</w:t>
            </w:r>
          </w:p>
        </w:tc>
        <w:tc>
          <w:tcPr>
            <w:tcW w:w="1152" w:type="dxa"/>
            <w:tcBorders>
              <w:top w:val="nil"/>
              <w:left w:val="nil"/>
              <w:bottom w:val="single" w:sz="4" w:space="0" w:color="auto"/>
              <w:right w:val="single" w:sz="4" w:space="0" w:color="auto"/>
            </w:tcBorders>
            <w:shd w:val="clear" w:color="auto" w:fill="auto"/>
            <w:hideMark/>
          </w:tcPr>
          <w:p w14:paraId="606A5CA0"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24468,43</w:t>
            </w:r>
          </w:p>
        </w:tc>
        <w:tc>
          <w:tcPr>
            <w:tcW w:w="1375" w:type="dxa"/>
            <w:tcBorders>
              <w:top w:val="nil"/>
              <w:left w:val="nil"/>
              <w:bottom w:val="single" w:sz="4" w:space="0" w:color="auto"/>
              <w:right w:val="single" w:sz="4" w:space="0" w:color="auto"/>
            </w:tcBorders>
            <w:shd w:val="clear" w:color="auto" w:fill="auto"/>
            <w:hideMark/>
          </w:tcPr>
          <w:p w14:paraId="6B70546B"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22054,68</w:t>
            </w:r>
          </w:p>
        </w:tc>
        <w:tc>
          <w:tcPr>
            <w:tcW w:w="1602" w:type="dxa"/>
            <w:tcBorders>
              <w:top w:val="nil"/>
              <w:left w:val="nil"/>
              <w:bottom w:val="single" w:sz="4" w:space="0" w:color="auto"/>
              <w:right w:val="single" w:sz="4" w:space="0" w:color="auto"/>
            </w:tcBorders>
            <w:shd w:val="clear" w:color="auto" w:fill="auto"/>
            <w:hideMark/>
          </w:tcPr>
          <w:p w14:paraId="4F637519"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8,86</w:t>
            </w:r>
          </w:p>
        </w:tc>
        <w:tc>
          <w:tcPr>
            <w:tcW w:w="1701" w:type="dxa"/>
            <w:tcBorders>
              <w:top w:val="nil"/>
              <w:left w:val="nil"/>
              <w:bottom w:val="single" w:sz="4" w:space="0" w:color="auto"/>
              <w:right w:val="single" w:sz="4" w:space="0" w:color="auto"/>
            </w:tcBorders>
            <w:shd w:val="clear" w:color="auto" w:fill="auto"/>
            <w:hideMark/>
          </w:tcPr>
          <w:p w14:paraId="35900D09"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10,27</w:t>
            </w:r>
          </w:p>
        </w:tc>
        <w:tc>
          <w:tcPr>
            <w:tcW w:w="1375" w:type="dxa"/>
            <w:tcBorders>
              <w:top w:val="nil"/>
              <w:left w:val="nil"/>
              <w:bottom w:val="single" w:sz="4" w:space="0" w:color="auto"/>
              <w:right w:val="single" w:sz="8" w:space="0" w:color="auto"/>
            </w:tcBorders>
            <w:shd w:val="clear" w:color="auto" w:fill="auto"/>
            <w:hideMark/>
          </w:tcPr>
          <w:p w14:paraId="7250DAA6"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1,41</w:t>
            </w:r>
          </w:p>
        </w:tc>
      </w:tr>
      <w:tr w:rsidR="00B5281F" w:rsidRPr="00B5281F" w14:paraId="2F3399B0" w14:textId="77777777" w:rsidTr="00B5281F">
        <w:trPr>
          <w:trHeight w:val="290"/>
        </w:trPr>
        <w:tc>
          <w:tcPr>
            <w:tcW w:w="3559" w:type="dxa"/>
            <w:vMerge/>
            <w:tcBorders>
              <w:top w:val="nil"/>
              <w:left w:val="single" w:sz="8" w:space="0" w:color="auto"/>
              <w:bottom w:val="single" w:sz="4" w:space="0" w:color="000000"/>
              <w:right w:val="single" w:sz="4" w:space="0" w:color="auto"/>
            </w:tcBorders>
            <w:vAlign w:val="center"/>
            <w:hideMark/>
          </w:tcPr>
          <w:p w14:paraId="2C7C3A69" w14:textId="77777777" w:rsidR="00B5281F" w:rsidRPr="00B5281F" w:rsidRDefault="00B5281F" w:rsidP="00B5281F">
            <w:pPr>
              <w:rPr>
                <w:rFonts w:cs="Arial"/>
                <w:b/>
                <w:bCs/>
                <w:color w:val="000000"/>
                <w:lang w:val="de-AT" w:eastAsia="de-AT"/>
              </w:rPr>
            </w:pPr>
          </w:p>
        </w:tc>
        <w:tc>
          <w:tcPr>
            <w:tcW w:w="1418" w:type="dxa"/>
            <w:tcBorders>
              <w:top w:val="nil"/>
              <w:left w:val="nil"/>
              <w:bottom w:val="single" w:sz="4" w:space="0" w:color="auto"/>
              <w:right w:val="single" w:sz="4" w:space="0" w:color="auto"/>
            </w:tcBorders>
            <w:shd w:val="clear" w:color="auto" w:fill="auto"/>
            <w:hideMark/>
          </w:tcPr>
          <w:p w14:paraId="34D998C6" w14:textId="77777777" w:rsidR="00B5281F" w:rsidRPr="00B5281F" w:rsidRDefault="00B5281F" w:rsidP="00B5281F">
            <w:pPr>
              <w:jc w:val="right"/>
              <w:rPr>
                <w:rFonts w:cs="Arial"/>
                <w:color w:val="000000"/>
                <w:lang w:val="de-AT" w:eastAsia="de-AT"/>
              </w:rPr>
            </w:pPr>
            <w:r w:rsidRPr="00B5281F">
              <w:rPr>
                <w:rFonts w:cs="Arial"/>
                <w:color w:val="000000"/>
                <w:lang w:val="de-AT" w:eastAsia="de-AT"/>
              </w:rPr>
              <w:t>638,94</w:t>
            </w:r>
          </w:p>
        </w:tc>
        <w:tc>
          <w:tcPr>
            <w:tcW w:w="1399" w:type="dxa"/>
            <w:tcBorders>
              <w:top w:val="nil"/>
              <w:left w:val="nil"/>
              <w:bottom w:val="single" w:sz="4" w:space="0" w:color="auto"/>
              <w:right w:val="single" w:sz="4" w:space="0" w:color="auto"/>
            </w:tcBorders>
            <w:shd w:val="clear" w:color="auto" w:fill="auto"/>
            <w:hideMark/>
          </w:tcPr>
          <w:p w14:paraId="1AC6BA79"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2668,56</w:t>
            </w:r>
          </w:p>
        </w:tc>
        <w:tc>
          <w:tcPr>
            <w:tcW w:w="1152" w:type="dxa"/>
            <w:tcBorders>
              <w:top w:val="nil"/>
              <w:left w:val="nil"/>
              <w:bottom w:val="single" w:sz="4" w:space="0" w:color="auto"/>
              <w:right w:val="single" w:sz="4" w:space="0" w:color="auto"/>
            </w:tcBorders>
            <w:shd w:val="clear" w:color="auto" w:fill="auto"/>
            <w:hideMark/>
          </w:tcPr>
          <w:p w14:paraId="54EC85ED"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24468,43</w:t>
            </w:r>
          </w:p>
        </w:tc>
        <w:tc>
          <w:tcPr>
            <w:tcW w:w="1375" w:type="dxa"/>
            <w:tcBorders>
              <w:top w:val="nil"/>
              <w:left w:val="nil"/>
              <w:bottom w:val="single" w:sz="4" w:space="0" w:color="auto"/>
              <w:right w:val="single" w:sz="4" w:space="0" w:color="auto"/>
            </w:tcBorders>
            <w:shd w:val="clear" w:color="auto" w:fill="auto"/>
            <w:hideMark/>
          </w:tcPr>
          <w:p w14:paraId="10DACA5D"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21799,88</w:t>
            </w:r>
          </w:p>
        </w:tc>
        <w:tc>
          <w:tcPr>
            <w:tcW w:w="1602" w:type="dxa"/>
            <w:tcBorders>
              <w:top w:val="nil"/>
              <w:left w:val="nil"/>
              <w:bottom w:val="single" w:sz="4" w:space="0" w:color="auto"/>
              <w:right w:val="single" w:sz="4" w:space="0" w:color="auto"/>
            </w:tcBorders>
            <w:shd w:val="clear" w:color="auto" w:fill="auto"/>
            <w:hideMark/>
          </w:tcPr>
          <w:p w14:paraId="34920F87"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8,86</w:t>
            </w:r>
          </w:p>
        </w:tc>
        <w:tc>
          <w:tcPr>
            <w:tcW w:w="1701" w:type="dxa"/>
            <w:tcBorders>
              <w:top w:val="nil"/>
              <w:left w:val="nil"/>
              <w:bottom w:val="single" w:sz="4" w:space="0" w:color="auto"/>
              <w:right w:val="single" w:sz="4" w:space="0" w:color="auto"/>
            </w:tcBorders>
            <w:shd w:val="clear" w:color="auto" w:fill="auto"/>
            <w:hideMark/>
          </w:tcPr>
          <w:p w14:paraId="626A7B4B"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10,27</w:t>
            </w:r>
          </w:p>
        </w:tc>
        <w:tc>
          <w:tcPr>
            <w:tcW w:w="1375" w:type="dxa"/>
            <w:tcBorders>
              <w:top w:val="nil"/>
              <w:left w:val="nil"/>
              <w:bottom w:val="single" w:sz="4" w:space="0" w:color="auto"/>
              <w:right w:val="single" w:sz="8" w:space="0" w:color="auto"/>
            </w:tcBorders>
            <w:shd w:val="clear" w:color="auto" w:fill="auto"/>
            <w:hideMark/>
          </w:tcPr>
          <w:p w14:paraId="2A08D080"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1,41</w:t>
            </w:r>
          </w:p>
        </w:tc>
      </w:tr>
      <w:tr w:rsidR="00B5281F" w:rsidRPr="00B5281F" w14:paraId="14D59716" w14:textId="77777777" w:rsidTr="00B5281F">
        <w:trPr>
          <w:trHeight w:val="290"/>
        </w:trPr>
        <w:tc>
          <w:tcPr>
            <w:tcW w:w="3559" w:type="dxa"/>
            <w:vMerge w:val="restart"/>
            <w:tcBorders>
              <w:top w:val="nil"/>
              <w:left w:val="single" w:sz="8" w:space="0" w:color="auto"/>
              <w:bottom w:val="single" w:sz="4" w:space="0" w:color="000000"/>
              <w:right w:val="single" w:sz="4" w:space="0" w:color="auto"/>
            </w:tcBorders>
            <w:shd w:val="clear" w:color="auto" w:fill="auto"/>
            <w:hideMark/>
          </w:tcPr>
          <w:p w14:paraId="699BD0F2" w14:textId="77777777" w:rsidR="00B5281F" w:rsidRPr="00B5281F" w:rsidRDefault="00B5281F" w:rsidP="00B5281F">
            <w:pPr>
              <w:rPr>
                <w:rFonts w:cs="Arial"/>
                <w:b/>
                <w:bCs/>
                <w:color w:val="000000"/>
                <w:lang w:val="de-AT" w:eastAsia="de-AT"/>
              </w:rPr>
            </w:pPr>
            <w:r w:rsidRPr="00B5281F">
              <w:rPr>
                <w:rFonts w:cs="Arial"/>
                <w:b/>
                <w:bCs/>
                <w:color w:val="000000"/>
                <w:lang w:val="de-AT" w:eastAsia="de-AT"/>
              </w:rPr>
              <w:t>Cost of MEI provision</w:t>
            </w:r>
          </w:p>
        </w:tc>
        <w:tc>
          <w:tcPr>
            <w:tcW w:w="1418" w:type="dxa"/>
            <w:tcBorders>
              <w:top w:val="nil"/>
              <w:left w:val="nil"/>
              <w:bottom w:val="single" w:sz="4" w:space="0" w:color="auto"/>
              <w:right w:val="single" w:sz="4" w:space="0" w:color="auto"/>
            </w:tcBorders>
            <w:shd w:val="clear" w:color="auto" w:fill="auto"/>
            <w:hideMark/>
          </w:tcPr>
          <w:p w14:paraId="19ABD638" w14:textId="77777777" w:rsidR="00B5281F" w:rsidRPr="00B5281F" w:rsidRDefault="00B5281F" w:rsidP="00B5281F">
            <w:pPr>
              <w:jc w:val="right"/>
              <w:rPr>
                <w:rFonts w:cs="Arial"/>
                <w:color w:val="000000"/>
                <w:lang w:val="de-AT" w:eastAsia="de-AT"/>
              </w:rPr>
            </w:pPr>
            <w:r w:rsidRPr="00B5281F">
              <w:rPr>
                <w:rFonts w:cs="Arial"/>
                <w:color w:val="000000"/>
                <w:lang w:val="de-AT" w:eastAsia="de-AT"/>
              </w:rPr>
              <w:t>13957,34</w:t>
            </w:r>
          </w:p>
        </w:tc>
        <w:tc>
          <w:tcPr>
            <w:tcW w:w="1399" w:type="dxa"/>
            <w:tcBorders>
              <w:top w:val="nil"/>
              <w:left w:val="nil"/>
              <w:bottom w:val="single" w:sz="4" w:space="0" w:color="auto"/>
              <w:right w:val="single" w:sz="4" w:space="0" w:color="auto"/>
            </w:tcBorders>
            <w:shd w:val="clear" w:color="auto" w:fill="auto"/>
            <w:hideMark/>
          </w:tcPr>
          <w:p w14:paraId="7045D0F2"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2541,16</w:t>
            </w:r>
          </w:p>
        </w:tc>
        <w:tc>
          <w:tcPr>
            <w:tcW w:w="1152" w:type="dxa"/>
            <w:tcBorders>
              <w:top w:val="nil"/>
              <w:left w:val="nil"/>
              <w:bottom w:val="single" w:sz="4" w:space="0" w:color="auto"/>
              <w:right w:val="single" w:sz="4" w:space="0" w:color="auto"/>
            </w:tcBorders>
            <w:shd w:val="clear" w:color="auto" w:fill="auto"/>
            <w:hideMark/>
          </w:tcPr>
          <w:p w14:paraId="416DD35E"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19830,04</w:t>
            </w:r>
          </w:p>
        </w:tc>
        <w:tc>
          <w:tcPr>
            <w:tcW w:w="1375" w:type="dxa"/>
            <w:tcBorders>
              <w:top w:val="nil"/>
              <w:left w:val="nil"/>
              <w:bottom w:val="single" w:sz="4" w:space="0" w:color="auto"/>
              <w:right w:val="single" w:sz="4" w:space="0" w:color="auto"/>
            </w:tcBorders>
            <w:shd w:val="clear" w:color="auto" w:fill="auto"/>
            <w:hideMark/>
          </w:tcPr>
          <w:p w14:paraId="2D5295F1"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17288,88</w:t>
            </w:r>
          </w:p>
        </w:tc>
        <w:tc>
          <w:tcPr>
            <w:tcW w:w="1602" w:type="dxa"/>
            <w:tcBorders>
              <w:top w:val="nil"/>
              <w:left w:val="nil"/>
              <w:bottom w:val="single" w:sz="4" w:space="0" w:color="auto"/>
              <w:right w:val="single" w:sz="4" w:space="0" w:color="auto"/>
            </w:tcBorders>
            <w:shd w:val="clear" w:color="auto" w:fill="auto"/>
            <w:hideMark/>
          </w:tcPr>
          <w:p w14:paraId="544EFB64"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8,86</w:t>
            </w:r>
          </w:p>
        </w:tc>
        <w:tc>
          <w:tcPr>
            <w:tcW w:w="1701" w:type="dxa"/>
            <w:tcBorders>
              <w:top w:val="nil"/>
              <w:left w:val="nil"/>
              <w:bottom w:val="single" w:sz="4" w:space="0" w:color="auto"/>
              <w:right w:val="single" w:sz="4" w:space="0" w:color="auto"/>
            </w:tcBorders>
            <w:shd w:val="clear" w:color="auto" w:fill="auto"/>
            <w:hideMark/>
          </w:tcPr>
          <w:p w14:paraId="750F180C"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10,27</w:t>
            </w:r>
          </w:p>
        </w:tc>
        <w:tc>
          <w:tcPr>
            <w:tcW w:w="1375" w:type="dxa"/>
            <w:tcBorders>
              <w:top w:val="nil"/>
              <w:left w:val="nil"/>
              <w:bottom w:val="single" w:sz="4" w:space="0" w:color="auto"/>
              <w:right w:val="single" w:sz="8" w:space="0" w:color="auto"/>
            </w:tcBorders>
            <w:shd w:val="clear" w:color="auto" w:fill="auto"/>
            <w:hideMark/>
          </w:tcPr>
          <w:p w14:paraId="5F1A73B4"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1,41</w:t>
            </w:r>
          </w:p>
        </w:tc>
      </w:tr>
      <w:tr w:rsidR="00B5281F" w:rsidRPr="00B5281F" w14:paraId="4257F6E3" w14:textId="77777777" w:rsidTr="00B5281F">
        <w:trPr>
          <w:trHeight w:val="290"/>
        </w:trPr>
        <w:tc>
          <w:tcPr>
            <w:tcW w:w="3559" w:type="dxa"/>
            <w:vMerge/>
            <w:tcBorders>
              <w:top w:val="nil"/>
              <w:left w:val="single" w:sz="8" w:space="0" w:color="auto"/>
              <w:bottom w:val="single" w:sz="4" w:space="0" w:color="000000"/>
              <w:right w:val="single" w:sz="4" w:space="0" w:color="auto"/>
            </w:tcBorders>
            <w:vAlign w:val="center"/>
            <w:hideMark/>
          </w:tcPr>
          <w:p w14:paraId="6111E089" w14:textId="77777777" w:rsidR="00B5281F" w:rsidRPr="00B5281F" w:rsidRDefault="00B5281F" w:rsidP="00B5281F">
            <w:pPr>
              <w:rPr>
                <w:rFonts w:cs="Arial"/>
                <w:b/>
                <w:bCs/>
                <w:color w:val="000000"/>
                <w:lang w:val="de-AT" w:eastAsia="de-AT"/>
              </w:rPr>
            </w:pPr>
          </w:p>
        </w:tc>
        <w:tc>
          <w:tcPr>
            <w:tcW w:w="1418" w:type="dxa"/>
            <w:tcBorders>
              <w:top w:val="nil"/>
              <w:left w:val="nil"/>
              <w:bottom w:val="single" w:sz="4" w:space="0" w:color="auto"/>
              <w:right w:val="single" w:sz="4" w:space="0" w:color="auto"/>
            </w:tcBorders>
            <w:shd w:val="clear" w:color="auto" w:fill="auto"/>
            <w:hideMark/>
          </w:tcPr>
          <w:p w14:paraId="05DFD4CB" w14:textId="77777777" w:rsidR="00B5281F" w:rsidRPr="00B5281F" w:rsidRDefault="00B5281F" w:rsidP="00B5281F">
            <w:pPr>
              <w:jc w:val="right"/>
              <w:rPr>
                <w:rFonts w:cs="Arial"/>
                <w:color w:val="000000"/>
                <w:lang w:val="de-AT" w:eastAsia="de-AT"/>
              </w:rPr>
            </w:pPr>
            <w:r w:rsidRPr="00B5281F">
              <w:rPr>
                <w:rFonts w:cs="Arial"/>
                <w:color w:val="000000"/>
                <w:lang w:val="de-AT" w:eastAsia="de-AT"/>
              </w:rPr>
              <w:t>23262,24</w:t>
            </w:r>
          </w:p>
        </w:tc>
        <w:tc>
          <w:tcPr>
            <w:tcW w:w="1399" w:type="dxa"/>
            <w:tcBorders>
              <w:top w:val="nil"/>
              <w:left w:val="nil"/>
              <w:bottom w:val="single" w:sz="4" w:space="0" w:color="auto"/>
              <w:right w:val="single" w:sz="4" w:space="0" w:color="auto"/>
            </w:tcBorders>
            <w:shd w:val="clear" w:color="auto" w:fill="auto"/>
            <w:hideMark/>
          </w:tcPr>
          <w:p w14:paraId="76F32E3C"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2541,16</w:t>
            </w:r>
          </w:p>
        </w:tc>
        <w:tc>
          <w:tcPr>
            <w:tcW w:w="1152" w:type="dxa"/>
            <w:tcBorders>
              <w:top w:val="nil"/>
              <w:left w:val="nil"/>
              <w:bottom w:val="single" w:sz="4" w:space="0" w:color="auto"/>
              <w:right w:val="single" w:sz="4" w:space="0" w:color="auto"/>
            </w:tcBorders>
            <w:shd w:val="clear" w:color="auto" w:fill="auto"/>
            <w:hideMark/>
          </w:tcPr>
          <w:p w14:paraId="6A41A05E"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29106,83</w:t>
            </w:r>
          </w:p>
        </w:tc>
        <w:tc>
          <w:tcPr>
            <w:tcW w:w="1375" w:type="dxa"/>
            <w:tcBorders>
              <w:top w:val="nil"/>
              <w:left w:val="nil"/>
              <w:bottom w:val="single" w:sz="4" w:space="0" w:color="auto"/>
              <w:right w:val="single" w:sz="4" w:space="0" w:color="auto"/>
            </w:tcBorders>
            <w:shd w:val="clear" w:color="auto" w:fill="auto"/>
            <w:hideMark/>
          </w:tcPr>
          <w:p w14:paraId="72B217A1"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26565,68</w:t>
            </w:r>
          </w:p>
        </w:tc>
        <w:tc>
          <w:tcPr>
            <w:tcW w:w="1602" w:type="dxa"/>
            <w:tcBorders>
              <w:top w:val="nil"/>
              <w:left w:val="nil"/>
              <w:bottom w:val="single" w:sz="4" w:space="0" w:color="auto"/>
              <w:right w:val="single" w:sz="4" w:space="0" w:color="auto"/>
            </w:tcBorders>
            <w:shd w:val="clear" w:color="auto" w:fill="auto"/>
            <w:hideMark/>
          </w:tcPr>
          <w:p w14:paraId="35416164"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8,86</w:t>
            </w:r>
          </w:p>
        </w:tc>
        <w:tc>
          <w:tcPr>
            <w:tcW w:w="1701" w:type="dxa"/>
            <w:tcBorders>
              <w:top w:val="nil"/>
              <w:left w:val="nil"/>
              <w:bottom w:val="single" w:sz="4" w:space="0" w:color="auto"/>
              <w:right w:val="single" w:sz="4" w:space="0" w:color="auto"/>
            </w:tcBorders>
            <w:shd w:val="clear" w:color="auto" w:fill="auto"/>
            <w:hideMark/>
          </w:tcPr>
          <w:p w14:paraId="2842145E"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10,27</w:t>
            </w:r>
          </w:p>
        </w:tc>
        <w:tc>
          <w:tcPr>
            <w:tcW w:w="1375" w:type="dxa"/>
            <w:tcBorders>
              <w:top w:val="nil"/>
              <w:left w:val="nil"/>
              <w:bottom w:val="single" w:sz="4" w:space="0" w:color="auto"/>
              <w:right w:val="single" w:sz="8" w:space="0" w:color="auto"/>
            </w:tcBorders>
            <w:shd w:val="clear" w:color="auto" w:fill="auto"/>
            <w:hideMark/>
          </w:tcPr>
          <w:p w14:paraId="0A14283A"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1,41</w:t>
            </w:r>
          </w:p>
        </w:tc>
      </w:tr>
      <w:tr w:rsidR="00B5281F" w:rsidRPr="00B5281F" w14:paraId="5472C1B8" w14:textId="77777777" w:rsidTr="00B5281F">
        <w:trPr>
          <w:trHeight w:val="290"/>
        </w:trPr>
        <w:tc>
          <w:tcPr>
            <w:tcW w:w="3559" w:type="dxa"/>
            <w:vMerge w:val="restart"/>
            <w:tcBorders>
              <w:top w:val="nil"/>
              <w:left w:val="single" w:sz="8" w:space="0" w:color="auto"/>
              <w:bottom w:val="single" w:sz="4" w:space="0" w:color="000000"/>
              <w:right w:val="single" w:sz="4" w:space="0" w:color="auto"/>
            </w:tcBorders>
            <w:shd w:val="clear" w:color="auto" w:fill="auto"/>
            <w:hideMark/>
          </w:tcPr>
          <w:p w14:paraId="43A736AF" w14:textId="77777777" w:rsidR="00B5281F" w:rsidRPr="00B5281F" w:rsidRDefault="00B5281F" w:rsidP="00B5281F">
            <w:pPr>
              <w:rPr>
                <w:rFonts w:cs="Arial"/>
                <w:b/>
                <w:bCs/>
                <w:color w:val="000000"/>
                <w:lang w:val="de-AT" w:eastAsia="de-AT"/>
              </w:rPr>
            </w:pPr>
            <w:r w:rsidRPr="00B5281F">
              <w:rPr>
                <w:rFonts w:cs="Arial"/>
                <w:b/>
                <w:bCs/>
                <w:color w:val="000000"/>
                <w:lang w:val="de-AT" w:eastAsia="de-AT"/>
              </w:rPr>
              <w:t>Cost of revision surgery</w:t>
            </w:r>
          </w:p>
        </w:tc>
        <w:tc>
          <w:tcPr>
            <w:tcW w:w="1418" w:type="dxa"/>
            <w:tcBorders>
              <w:top w:val="nil"/>
              <w:left w:val="nil"/>
              <w:bottom w:val="single" w:sz="4" w:space="0" w:color="auto"/>
              <w:right w:val="single" w:sz="4" w:space="0" w:color="auto"/>
            </w:tcBorders>
            <w:shd w:val="clear" w:color="auto" w:fill="auto"/>
            <w:noWrap/>
            <w:vAlign w:val="bottom"/>
            <w:hideMark/>
          </w:tcPr>
          <w:p w14:paraId="00E9B7B6" w14:textId="77777777" w:rsidR="00B5281F" w:rsidRPr="00B5281F" w:rsidRDefault="00B5281F" w:rsidP="00B5281F">
            <w:pPr>
              <w:jc w:val="right"/>
              <w:rPr>
                <w:rFonts w:cs="Arial"/>
                <w:color w:val="000000"/>
                <w:lang w:val="de-AT" w:eastAsia="de-AT"/>
              </w:rPr>
            </w:pPr>
            <w:r w:rsidRPr="00B5281F">
              <w:rPr>
                <w:rFonts w:cs="Arial"/>
                <w:color w:val="000000"/>
                <w:lang w:val="de-AT" w:eastAsia="de-AT"/>
              </w:rPr>
              <w:t>817,43</w:t>
            </w:r>
          </w:p>
        </w:tc>
        <w:tc>
          <w:tcPr>
            <w:tcW w:w="1399" w:type="dxa"/>
            <w:tcBorders>
              <w:top w:val="nil"/>
              <w:left w:val="nil"/>
              <w:bottom w:val="single" w:sz="4" w:space="0" w:color="auto"/>
              <w:right w:val="single" w:sz="4" w:space="0" w:color="auto"/>
            </w:tcBorders>
            <w:shd w:val="clear" w:color="auto" w:fill="auto"/>
            <w:hideMark/>
          </w:tcPr>
          <w:p w14:paraId="21397652"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2541,16</w:t>
            </w:r>
          </w:p>
        </w:tc>
        <w:tc>
          <w:tcPr>
            <w:tcW w:w="1152" w:type="dxa"/>
            <w:tcBorders>
              <w:top w:val="nil"/>
              <w:left w:val="nil"/>
              <w:bottom w:val="single" w:sz="4" w:space="0" w:color="auto"/>
              <w:right w:val="single" w:sz="4" w:space="0" w:color="auto"/>
            </w:tcBorders>
            <w:shd w:val="clear" w:color="auto" w:fill="auto"/>
            <w:noWrap/>
            <w:vAlign w:val="bottom"/>
            <w:hideMark/>
          </w:tcPr>
          <w:p w14:paraId="347CD9EB"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24458,15</w:t>
            </w:r>
          </w:p>
        </w:tc>
        <w:tc>
          <w:tcPr>
            <w:tcW w:w="1375" w:type="dxa"/>
            <w:tcBorders>
              <w:top w:val="nil"/>
              <w:left w:val="nil"/>
              <w:bottom w:val="single" w:sz="4" w:space="0" w:color="auto"/>
              <w:right w:val="single" w:sz="4" w:space="0" w:color="auto"/>
            </w:tcBorders>
            <w:shd w:val="clear" w:color="auto" w:fill="auto"/>
            <w:noWrap/>
            <w:vAlign w:val="bottom"/>
            <w:hideMark/>
          </w:tcPr>
          <w:p w14:paraId="34C0DF35"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21917,00</w:t>
            </w:r>
          </w:p>
        </w:tc>
        <w:tc>
          <w:tcPr>
            <w:tcW w:w="1602" w:type="dxa"/>
            <w:tcBorders>
              <w:top w:val="nil"/>
              <w:left w:val="nil"/>
              <w:bottom w:val="single" w:sz="4" w:space="0" w:color="auto"/>
              <w:right w:val="single" w:sz="4" w:space="0" w:color="auto"/>
            </w:tcBorders>
            <w:shd w:val="clear" w:color="auto" w:fill="auto"/>
            <w:hideMark/>
          </w:tcPr>
          <w:p w14:paraId="663FB361"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8,86</w:t>
            </w:r>
          </w:p>
        </w:tc>
        <w:tc>
          <w:tcPr>
            <w:tcW w:w="1701" w:type="dxa"/>
            <w:tcBorders>
              <w:top w:val="nil"/>
              <w:left w:val="nil"/>
              <w:bottom w:val="single" w:sz="4" w:space="0" w:color="auto"/>
              <w:right w:val="single" w:sz="4" w:space="0" w:color="auto"/>
            </w:tcBorders>
            <w:shd w:val="clear" w:color="auto" w:fill="auto"/>
            <w:hideMark/>
          </w:tcPr>
          <w:p w14:paraId="34D17E7F"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10,27</w:t>
            </w:r>
          </w:p>
        </w:tc>
        <w:tc>
          <w:tcPr>
            <w:tcW w:w="1375" w:type="dxa"/>
            <w:tcBorders>
              <w:top w:val="nil"/>
              <w:left w:val="nil"/>
              <w:bottom w:val="single" w:sz="4" w:space="0" w:color="auto"/>
              <w:right w:val="single" w:sz="8" w:space="0" w:color="auto"/>
            </w:tcBorders>
            <w:shd w:val="clear" w:color="auto" w:fill="auto"/>
            <w:noWrap/>
            <w:vAlign w:val="bottom"/>
            <w:hideMark/>
          </w:tcPr>
          <w:p w14:paraId="63EE9FBB"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1,41</w:t>
            </w:r>
          </w:p>
        </w:tc>
      </w:tr>
      <w:tr w:rsidR="00B5281F" w:rsidRPr="00B5281F" w14:paraId="3404EC80" w14:textId="77777777" w:rsidTr="00B5281F">
        <w:trPr>
          <w:trHeight w:val="290"/>
        </w:trPr>
        <w:tc>
          <w:tcPr>
            <w:tcW w:w="3559" w:type="dxa"/>
            <w:vMerge/>
            <w:tcBorders>
              <w:top w:val="nil"/>
              <w:left w:val="single" w:sz="8" w:space="0" w:color="auto"/>
              <w:bottom w:val="single" w:sz="4" w:space="0" w:color="000000"/>
              <w:right w:val="single" w:sz="4" w:space="0" w:color="auto"/>
            </w:tcBorders>
            <w:vAlign w:val="center"/>
            <w:hideMark/>
          </w:tcPr>
          <w:p w14:paraId="517E8230" w14:textId="77777777" w:rsidR="00B5281F" w:rsidRPr="00B5281F" w:rsidRDefault="00B5281F" w:rsidP="00B5281F">
            <w:pPr>
              <w:rPr>
                <w:rFonts w:cs="Arial"/>
                <w:b/>
                <w:bCs/>
                <w:color w:val="000000"/>
                <w:lang w:val="de-AT" w:eastAsia="de-AT"/>
              </w:rPr>
            </w:pPr>
          </w:p>
        </w:tc>
        <w:tc>
          <w:tcPr>
            <w:tcW w:w="1418" w:type="dxa"/>
            <w:tcBorders>
              <w:top w:val="nil"/>
              <w:left w:val="nil"/>
              <w:bottom w:val="single" w:sz="4" w:space="0" w:color="auto"/>
              <w:right w:val="single" w:sz="4" w:space="0" w:color="auto"/>
            </w:tcBorders>
            <w:shd w:val="clear" w:color="auto" w:fill="auto"/>
            <w:noWrap/>
            <w:vAlign w:val="bottom"/>
            <w:hideMark/>
          </w:tcPr>
          <w:p w14:paraId="7D555D2D" w14:textId="77777777" w:rsidR="00B5281F" w:rsidRPr="00B5281F" w:rsidRDefault="00B5281F" w:rsidP="00B5281F">
            <w:pPr>
              <w:jc w:val="right"/>
              <w:rPr>
                <w:rFonts w:cs="Arial"/>
                <w:color w:val="000000"/>
                <w:lang w:val="de-AT" w:eastAsia="de-AT"/>
              </w:rPr>
            </w:pPr>
            <w:r w:rsidRPr="00B5281F">
              <w:rPr>
                <w:rFonts w:cs="Arial"/>
                <w:color w:val="000000"/>
                <w:lang w:val="de-AT" w:eastAsia="de-AT"/>
              </w:rPr>
              <w:t>1362,38</w:t>
            </w:r>
          </w:p>
        </w:tc>
        <w:tc>
          <w:tcPr>
            <w:tcW w:w="1399" w:type="dxa"/>
            <w:tcBorders>
              <w:top w:val="nil"/>
              <w:left w:val="nil"/>
              <w:bottom w:val="single" w:sz="4" w:space="0" w:color="auto"/>
              <w:right w:val="single" w:sz="4" w:space="0" w:color="auto"/>
            </w:tcBorders>
            <w:shd w:val="clear" w:color="auto" w:fill="auto"/>
            <w:hideMark/>
          </w:tcPr>
          <w:p w14:paraId="4EE47D36"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2541,16</w:t>
            </w:r>
          </w:p>
        </w:tc>
        <w:tc>
          <w:tcPr>
            <w:tcW w:w="1152" w:type="dxa"/>
            <w:tcBorders>
              <w:top w:val="nil"/>
              <w:left w:val="nil"/>
              <w:bottom w:val="single" w:sz="4" w:space="0" w:color="auto"/>
              <w:right w:val="single" w:sz="4" w:space="0" w:color="auto"/>
            </w:tcBorders>
            <w:shd w:val="clear" w:color="auto" w:fill="auto"/>
            <w:noWrap/>
            <w:vAlign w:val="bottom"/>
            <w:hideMark/>
          </w:tcPr>
          <w:p w14:paraId="2EA44FD1"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24478,72</w:t>
            </w:r>
          </w:p>
        </w:tc>
        <w:tc>
          <w:tcPr>
            <w:tcW w:w="1375" w:type="dxa"/>
            <w:tcBorders>
              <w:top w:val="nil"/>
              <w:left w:val="nil"/>
              <w:bottom w:val="single" w:sz="4" w:space="0" w:color="auto"/>
              <w:right w:val="single" w:sz="4" w:space="0" w:color="auto"/>
            </w:tcBorders>
            <w:shd w:val="clear" w:color="auto" w:fill="auto"/>
            <w:noWrap/>
            <w:vAlign w:val="bottom"/>
            <w:hideMark/>
          </w:tcPr>
          <w:p w14:paraId="7096DE8A"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21937,56</w:t>
            </w:r>
          </w:p>
        </w:tc>
        <w:tc>
          <w:tcPr>
            <w:tcW w:w="1602" w:type="dxa"/>
            <w:tcBorders>
              <w:top w:val="nil"/>
              <w:left w:val="nil"/>
              <w:bottom w:val="single" w:sz="4" w:space="0" w:color="auto"/>
              <w:right w:val="single" w:sz="4" w:space="0" w:color="auto"/>
            </w:tcBorders>
            <w:shd w:val="clear" w:color="auto" w:fill="auto"/>
            <w:hideMark/>
          </w:tcPr>
          <w:p w14:paraId="66E43743"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8,86</w:t>
            </w:r>
          </w:p>
        </w:tc>
        <w:tc>
          <w:tcPr>
            <w:tcW w:w="1701" w:type="dxa"/>
            <w:tcBorders>
              <w:top w:val="nil"/>
              <w:left w:val="nil"/>
              <w:bottom w:val="single" w:sz="4" w:space="0" w:color="auto"/>
              <w:right w:val="single" w:sz="4" w:space="0" w:color="auto"/>
            </w:tcBorders>
            <w:shd w:val="clear" w:color="auto" w:fill="auto"/>
            <w:hideMark/>
          </w:tcPr>
          <w:p w14:paraId="5C28EB2A"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10,27</w:t>
            </w:r>
          </w:p>
        </w:tc>
        <w:tc>
          <w:tcPr>
            <w:tcW w:w="1375" w:type="dxa"/>
            <w:tcBorders>
              <w:top w:val="nil"/>
              <w:left w:val="nil"/>
              <w:bottom w:val="single" w:sz="4" w:space="0" w:color="auto"/>
              <w:right w:val="single" w:sz="8" w:space="0" w:color="auto"/>
            </w:tcBorders>
            <w:shd w:val="clear" w:color="auto" w:fill="auto"/>
            <w:noWrap/>
            <w:vAlign w:val="bottom"/>
            <w:hideMark/>
          </w:tcPr>
          <w:p w14:paraId="28D2A4B1"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1,41</w:t>
            </w:r>
          </w:p>
        </w:tc>
      </w:tr>
      <w:tr w:rsidR="00B5281F" w:rsidRPr="00B5281F" w14:paraId="587771C3" w14:textId="77777777" w:rsidTr="00B5281F">
        <w:trPr>
          <w:trHeight w:val="290"/>
        </w:trPr>
        <w:tc>
          <w:tcPr>
            <w:tcW w:w="3559" w:type="dxa"/>
            <w:vMerge w:val="restart"/>
            <w:tcBorders>
              <w:top w:val="nil"/>
              <w:left w:val="single" w:sz="8" w:space="0" w:color="auto"/>
              <w:bottom w:val="single" w:sz="4" w:space="0" w:color="000000"/>
              <w:right w:val="single" w:sz="4" w:space="0" w:color="auto"/>
            </w:tcBorders>
            <w:shd w:val="clear" w:color="auto" w:fill="auto"/>
            <w:hideMark/>
          </w:tcPr>
          <w:p w14:paraId="3BF1A7F1" w14:textId="77777777" w:rsidR="00B5281F" w:rsidRPr="00B5281F" w:rsidRDefault="00B5281F" w:rsidP="00B5281F">
            <w:pPr>
              <w:rPr>
                <w:rFonts w:cs="Arial"/>
                <w:b/>
                <w:bCs/>
                <w:color w:val="000000"/>
                <w:lang w:val="de-AT" w:eastAsia="de-AT"/>
              </w:rPr>
            </w:pPr>
            <w:r w:rsidRPr="00B5281F">
              <w:rPr>
                <w:rFonts w:cs="Arial"/>
                <w:b/>
                <w:bCs/>
                <w:color w:val="000000"/>
                <w:lang w:val="de-AT" w:eastAsia="de-AT"/>
              </w:rPr>
              <w:t xml:space="preserve">Cost of reimplantation </w:t>
            </w:r>
          </w:p>
        </w:tc>
        <w:tc>
          <w:tcPr>
            <w:tcW w:w="1418" w:type="dxa"/>
            <w:tcBorders>
              <w:top w:val="nil"/>
              <w:left w:val="nil"/>
              <w:bottom w:val="single" w:sz="4" w:space="0" w:color="auto"/>
              <w:right w:val="single" w:sz="4" w:space="0" w:color="auto"/>
            </w:tcBorders>
            <w:shd w:val="clear" w:color="auto" w:fill="auto"/>
            <w:noWrap/>
            <w:vAlign w:val="bottom"/>
            <w:hideMark/>
          </w:tcPr>
          <w:p w14:paraId="40C4A04B" w14:textId="77777777" w:rsidR="00B5281F" w:rsidRPr="00B5281F" w:rsidRDefault="00B5281F" w:rsidP="00B5281F">
            <w:pPr>
              <w:jc w:val="right"/>
              <w:rPr>
                <w:rFonts w:cs="Arial"/>
                <w:color w:val="000000"/>
                <w:lang w:val="de-AT" w:eastAsia="de-AT"/>
              </w:rPr>
            </w:pPr>
            <w:r w:rsidRPr="00B5281F">
              <w:rPr>
                <w:rFonts w:cs="Arial"/>
                <w:color w:val="000000"/>
                <w:lang w:val="de-AT" w:eastAsia="de-AT"/>
              </w:rPr>
              <w:t>9082,34</w:t>
            </w:r>
          </w:p>
        </w:tc>
        <w:tc>
          <w:tcPr>
            <w:tcW w:w="1399" w:type="dxa"/>
            <w:tcBorders>
              <w:top w:val="nil"/>
              <w:left w:val="nil"/>
              <w:bottom w:val="single" w:sz="4" w:space="0" w:color="auto"/>
              <w:right w:val="single" w:sz="4" w:space="0" w:color="auto"/>
            </w:tcBorders>
            <w:shd w:val="clear" w:color="auto" w:fill="auto"/>
            <w:hideMark/>
          </w:tcPr>
          <w:p w14:paraId="52462B9F"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2541,16</w:t>
            </w:r>
          </w:p>
        </w:tc>
        <w:tc>
          <w:tcPr>
            <w:tcW w:w="1152" w:type="dxa"/>
            <w:tcBorders>
              <w:top w:val="nil"/>
              <w:left w:val="nil"/>
              <w:bottom w:val="single" w:sz="4" w:space="0" w:color="auto"/>
              <w:right w:val="single" w:sz="4" w:space="0" w:color="auto"/>
            </w:tcBorders>
            <w:shd w:val="clear" w:color="auto" w:fill="auto"/>
            <w:noWrap/>
            <w:vAlign w:val="bottom"/>
            <w:hideMark/>
          </w:tcPr>
          <w:p w14:paraId="69044C73"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24416,35</w:t>
            </w:r>
          </w:p>
        </w:tc>
        <w:tc>
          <w:tcPr>
            <w:tcW w:w="1375" w:type="dxa"/>
            <w:tcBorders>
              <w:top w:val="nil"/>
              <w:left w:val="nil"/>
              <w:bottom w:val="single" w:sz="4" w:space="0" w:color="auto"/>
              <w:right w:val="single" w:sz="4" w:space="0" w:color="auto"/>
            </w:tcBorders>
            <w:shd w:val="clear" w:color="auto" w:fill="auto"/>
            <w:noWrap/>
            <w:vAlign w:val="bottom"/>
            <w:hideMark/>
          </w:tcPr>
          <w:p w14:paraId="64F5C1E0"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21875,20</w:t>
            </w:r>
          </w:p>
        </w:tc>
        <w:tc>
          <w:tcPr>
            <w:tcW w:w="1602" w:type="dxa"/>
            <w:tcBorders>
              <w:top w:val="nil"/>
              <w:left w:val="nil"/>
              <w:bottom w:val="single" w:sz="4" w:space="0" w:color="auto"/>
              <w:right w:val="single" w:sz="4" w:space="0" w:color="auto"/>
            </w:tcBorders>
            <w:shd w:val="clear" w:color="auto" w:fill="auto"/>
            <w:hideMark/>
          </w:tcPr>
          <w:p w14:paraId="431B9002"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8,86</w:t>
            </w:r>
          </w:p>
        </w:tc>
        <w:tc>
          <w:tcPr>
            <w:tcW w:w="1701" w:type="dxa"/>
            <w:tcBorders>
              <w:top w:val="nil"/>
              <w:left w:val="nil"/>
              <w:bottom w:val="single" w:sz="4" w:space="0" w:color="auto"/>
              <w:right w:val="single" w:sz="4" w:space="0" w:color="auto"/>
            </w:tcBorders>
            <w:shd w:val="clear" w:color="auto" w:fill="auto"/>
            <w:hideMark/>
          </w:tcPr>
          <w:p w14:paraId="13706A35"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10,27</w:t>
            </w:r>
          </w:p>
        </w:tc>
        <w:tc>
          <w:tcPr>
            <w:tcW w:w="1375" w:type="dxa"/>
            <w:tcBorders>
              <w:top w:val="nil"/>
              <w:left w:val="nil"/>
              <w:bottom w:val="single" w:sz="4" w:space="0" w:color="auto"/>
              <w:right w:val="single" w:sz="8" w:space="0" w:color="auto"/>
            </w:tcBorders>
            <w:shd w:val="clear" w:color="auto" w:fill="auto"/>
            <w:noWrap/>
            <w:vAlign w:val="bottom"/>
            <w:hideMark/>
          </w:tcPr>
          <w:p w14:paraId="5AA71FAF"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1,41</w:t>
            </w:r>
          </w:p>
        </w:tc>
      </w:tr>
      <w:tr w:rsidR="00B5281F" w:rsidRPr="00B5281F" w14:paraId="7C22FFF5" w14:textId="77777777" w:rsidTr="00B5281F">
        <w:trPr>
          <w:trHeight w:val="290"/>
        </w:trPr>
        <w:tc>
          <w:tcPr>
            <w:tcW w:w="3559" w:type="dxa"/>
            <w:vMerge/>
            <w:tcBorders>
              <w:top w:val="nil"/>
              <w:left w:val="single" w:sz="8" w:space="0" w:color="auto"/>
              <w:bottom w:val="single" w:sz="4" w:space="0" w:color="000000"/>
              <w:right w:val="single" w:sz="4" w:space="0" w:color="auto"/>
            </w:tcBorders>
            <w:vAlign w:val="center"/>
            <w:hideMark/>
          </w:tcPr>
          <w:p w14:paraId="795422F9" w14:textId="77777777" w:rsidR="00B5281F" w:rsidRPr="00B5281F" w:rsidRDefault="00B5281F" w:rsidP="00B5281F">
            <w:pPr>
              <w:rPr>
                <w:rFonts w:cs="Arial"/>
                <w:b/>
                <w:bCs/>
                <w:color w:val="000000"/>
                <w:lang w:val="de-AT" w:eastAsia="de-AT"/>
              </w:rPr>
            </w:pPr>
          </w:p>
        </w:tc>
        <w:tc>
          <w:tcPr>
            <w:tcW w:w="1418" w:type="dxa"/>
            <w:tcBorders>
              <w:top w:val="nil"/>
              <w:left w:val="nil"/>
              <w:bottom w:val="single" w:sz="4" w:space="0" w:color="auto"/>
              <w:right w:val="single" w:sz="4" w:space="0" w:color="auto"/>
            </w:tcBorders>
            <w:shd w:val="clear" w:color="auto" w:fill="auto"/>
            <w:noWrap/>
            <w:vAlign w:val="bottom"/>
            <w:hideMark/>
          </w:tcPr>
          <w:p w14:paraId="2BCEA232" w14:textId="77777777" w:rsidR="00B5281F" w:rsidRPr="00B5281F" w:rsidRDefault="00B5281F" w:rsidP="00B5281F">
            <w:pPr>
              <w:jc w:val="right"/>
              <w:rPr>
                <w:rFonts w:cs="Arial"/>
                <w:color w:val="000000"/>
                <w:lang w:val="de-AT" w:eastAsia="de-AT"/>
              </w:rPr>
            </w:pPr>
            <w:r w:rsidRPr="00B5281F">
              <w:rPr>
                <w:rFonts w:cs="Arial"/>
                <w:color w:val="000000"/>
                <w:lang w:val="de-AT" w:eastAsia="de-AT"/>
              </w:rPr>
              <w:t>15137,24</w:t>
            </w:r>
          </w:p>
        </w:tc>
        <w:tc>
          <w:tcPr>
            <w:tcW w:w="1399" w:type="dxa"/>
            <w:tcBorders>
              <w:top w:val="nil"/>
              <w:left w:val="nil"/>
              <w:bottom w:val="single" w:sz="4" w:space="0" w:color="auto"/>
              <w:right w:val="single" w:sz="4" w:space="0" w:color="auto"/>
            </w:tcBorders>
            <w:shd w:val="clear" w:color="auto" w:fill="auto"/>
            <w:hideMark/>
          </w:tcPr>
          <w:p w14:paraId="313115AE"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2541,16</w:t>
            </w:r>
          </w:p>
        </w:tc>
        <w:tc>
          <w:tcPr>
            <w:tcW w:w="1152" w:type="dxa"/>
            <w:tcBorders>
              <w:top w:val="nil"/>
              <w:left w:val="nil"/>
              <w:bottom w:val="single" w:sz="4" w:space="0" w:color="auto"/>
              <w:right w:val="single" w:sz="4" w:space="0" w:color="auto"/>
            </w:tcBorders>
            <w:shd w:val="clear" w:color="auto" w:fill="auto"/>
            <w:noWrap/>
            <w:vAlign w:val="bottom"/>
            <w:hideMark/>
          </w:tcPr>
          <w:p w14:paraId="431992EC"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24520,52</w:t>
            </w:r>
          </w:p>
        </w:tc>
        <w:tc>
          <w:tcPr>
            <w:tcW w:w="1375" w:type="dxa"/>
            <w:tcBorders>
              <w:top w:val="nil"/>
              <w:left w:val="nil"/>
              <w:bottom w:val="single" w:sz="4" w:space="0" w:color="auto"/>
              <w:right w:val="single" w:sz="4" w:space="0" w:color="auto"/>
            </w:tcBorders>
            <w:shd w:val="clear" w:color="auto" w:fill="auto"/>
            <w:noWrap/>
            <w:vAlign w:val="bottom"/>
            <w:hideMark/>
          </w:tcPr>
          <w:p w14:paraId="472631FD"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21979,36</w:t>
            </w:r>
          </w:p>
        </w:tc>
        <w:tc>
          <w:tcPr>
            <w:tcW w:w="1602" w:type="dxa"/>
            <w:tcBorders>
              <w:top w:val="nil"/>
              <w:left w:val="nil"/>
              <w:bottom w:val="single" w:sz="4" w:space="0" w:color="auto"/>
              <w:right w:val="single" w:sz="4" w:space="0" w:color="auto"/>
            </w:tcBorders>
            <w:shd w:val="clear" w:color="auto" w:fill="auto"/>
            <w:hideMark/>
          </w:tcPr>
          <w:p w14:paraId="1F5890FA"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8,86</w:t>
            </w:r>
          </w:p>
        </w:tc>
        <w:tc>
          <w:tcPr>
            <w:tcW w:w="1701" w:type="dxa"/>
            <w:tcBorders>
              <w:top w:val="nil"/>
              <w:left w:val="nil"/>
              <w:bottom w:val="single" w:sz="4" w:space="0" w:color="auto"/>
              <w:right w:val="single" w:sz="4" w:space="0" w:color="auto"/>
            </w:tcBorders>
            <w:shd w:val="clear" w:color="auto" w:fill="auto"/>
            <w:hideMark/>
          </w:tcPr>
          <w:p w14:paraId="23BE8709"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10,27</w:t>
            </w:r>
          </w:p>
        </w:tc>
        <w:tc>
          <w:tcPr>
            <w:tcW w:w="1375" w:type="dxa"/>
            <w:tcBorders>
              <w:top w:val="nil"/>
              <w:left w:val="nil"/>
              <w:bottom w:val="single" w:sz="4" w:space="0" w:color="auto"/>
              <w:right w:val="single" w:sz="8" w:space="0" w:color="auto"/>
            </w:tcBorders>
            <w:shd w:val="clear" w:color="auto" w:fill="auto"/>
            <w:noWrap/>
            <w:vAlign w:val="bottom"/>
            <w:hideMark/>
          </w:tcPr>
          <w:p w14:paraId="5F4F314B"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1,41</w:t>
            </w:r>
          </w:p>
        </w:tc>
      </w:tr>
      <w:tr w:rsidR="00B5281F" w:rsidRPr="00B5281F" w14:paraId="616BE458" w14:textId="77777777" w:rsidTr="00B5281F">
        <w:trPr>
          <w:trHeight w:val="290"/>
        </w:trPr>
        <w:tc>
          <w:tcPr>
            <w:tcW w:w="3559" w:type="dxa"/>
            <w:vMerge w:val="restart"/>
            <w:tcBorders>
              <w:top w:val="nil"/>
              <w:left w:val="single" w:sz="8" w:space="0" w:color="auto"/>
              <w:bottom w:val="single" w:sz="4" w:space="0" w:color="000000"/>
              <w:right w:val="single" w:sz="4" w:space="0" w:color="auto"/>
            </w:tcBorders>
            <w:shd w:val="clear" w:color="auto" w:fill="auto"/>
            <w:hideMark/>
          </w:tcPr>
          <w:p w14:paraId="65C2418E" w14:textId="77777777" w:rsidR="00B5281F" w:rsidRPr="00B5281F" w:rsidRDefault="00B5281F" w:rsidP="00B5281F">
            <w:pPr>
              <w:rPr>
                <w:rFonts w:cs="Arial"/>
                <w:b/>
                <w:bCs/>
                <w:color w:val="000000"/>
                <w:lang w:val="de-AT" w:eastAsia="de-AT"/>
              </w:rPr>
            </w:pPr>
            <w:r w:rsidRPr="00B5281F">
              <w:rPr>
                <w:rFonts w:cs="Arial"/>
                <w:b/>
                <w:bCs/>
                <w:color w:val="000000"/>
                <w:lang w:val="de-AT" w:eastAsia="de-AT"/>
              </w:rPr>
              <w:t>Cost of MEI explantation</w:t>
            </w:r>
          </w:p>
        </w:tc>
        <w:tc>
          <w:tcPr>
            <w:tcW w:w="1418" w:type="dxa"/>
            <w:tcBorders>
              <w:top w:val="nil"/>
              <w:left w:val="nil"/>
              <w:bottom w:val="single" w:sz="4" w:space="0" w:color="auto"/>
              <w:right w:val="single" w:sz="4" w:space="0" w:color="auto"/>
            </w:tcBorders>
            <w:shd w:val="clear" w:color="auto" w:fill="auto"/>
            <w:noWrap/>
            <w:vAlign w:val="bottom"/>
            <w:hideMark/>
          </w:tcPr>
          <w:p w14:paraId="6859BF79" w14:textId="77777777" w:rsidR="00B5281F" w:rsidRPr="00B5281F" w:rsidRDefault="00B5281F" w:rsidP="00B5281F">
            <w:pPr>
              <w:jc w:val="right"/>
              <w:rPr>
                <w:rFonts w:cs="Arial"/>
                <w:color w:val="000000"/>
                <w:lang w:val="de-AT" w:eastAsia="de-AT"/>
              </w:rPr>
            </w:pPr>
            <w:r w:rsidRPr="00B5281F">
              <w:rPr>
                <w:rFonts w:cs="Arial"/>
                <w:color w:val="000000"/>
                <w:lang w:val="de-AT" w:eastAsia="de-AT"/>
              </w:rPr>
              <w:t>2803,98</w:t>
            </w:r>
          </w:p>
        </w:tc>
        <w:tc>
          <w:tcPr>
            <w:tcW w:w="1399" w:type="dxa"/>
            <w:tcBorders>
              <w:top w:val="nil"/>
              <w:left w:val="nil"/>
              <w:bottom w:val="single" w:sz="4" w:space="0" w:color="auto"/>
              <w:right w:val="single" w:sz="4" w:space="0" w:color="auto"/>
            </w:tcBorders>
            <w:shd w:val="clear" w:color="auto" w:fill="auto"/>
            <w:hideMark/>
          </w:tcPr>
          <w:p w14:paraId="56136B75"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2541,16</w:t>
            </w:r>
          </w:p>
        </w:tc>
        <w:tc>
          <w:tcPr>
            <w:tcW w:w="1152" w:type="dxa"/>
            <w:tcBorders>
              <w:top w:val="nil"/>
              <w:left w:val="nil"/>
              <w:bottom w:val="single" w:sz="4" w:space="0" w:color="auto"/>
              <w:right w:val="single" w:sz="4" w:space="0" w:color="auto"/>
            </w:tcBorders>
            <w:shd w:val="clear" w:color="auto" w:fill="auto"/>
            <w:noWrap/>
            <w:vAlign w:val="bottom"/>
            <w:hideMark/>
          </w:tcPr>
          <w:p w14:paraId="420E53ED"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24463,07</w:t>
            </w:r>
          </w:p>
        </w:tc>
        <w:tc>
          <w:tcPr>
            <w:tcW w:w="1375" w:type="dxa"/>
            <w:tcBorders>
              <w:top w:val="nil"/>
              <w:left w:val="nil"/>
              <w:bottom w:val="single" w:sz="4" w:space="0" w:color="auto"/>
              <w:right w:val="single" w:sz="4" w:space="0" w:color="auto"/>
            </w:tcBorders>
            <w:shd w:val="clear" w:color="auto" w:fill="auto"/>
            <w:noWrap/>
            <w:vAlign w:val="bottom"/>
            <w:hideMark/>
          </w:tcPr>
          <w:p w14:paraId="3AB67E92"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21921,92</w:t>
            </w:r>
          </w:p>
        </w:tc>
        <w:tc>
          <w:tcPr>
            <w:tcW w:w="1602" w:type="dxa"/>
            <w:tcBorders>
              <w:top w:val="nil"/>
              <w:left w:val="nil"/>
              <w:bottom w:val="single" w:sz="4" w:space="0" w:color="auto"/>
              <w:right w:val="single" w:sz="4" w:space="0" w:color="auto"/>
            </w:tcBorders>
            <w:shd w:val="clear" w:color="auto" w:fill="auto"/>
            <w:hideMark/>
          </w:tcPr>
          <w:p w14:paraId="062267DB"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8,86</w:t>
            </w:r>
          </w:p>
        </w:tc>
        <w:tc>
          <w:tcPr>
            <w:tcW w:w="1701" w:type="dxa"/>
            <w:tcBorders>
              <w:top w:val="nil"/>
              <w:left w:val="nil"/>
              <w:bottom w:val="single" w:sz="4" w:space="0" w:color="auto"/>
              <w:right w:val="single" w:sz="4" w:space="0" w:color="auto"/>
            </w:tcBorders>
            <w:shd w:val="clear" w:color="auto" w:fill="auto"/>
            <w:hideMark/>
          </w:tcPr>
          <w:p w14:paraId="70F6F49A"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10,27</w:t>
            </w:r>
          </w:p>
        </w:tc>
        <w:tc>
          <w:tcPr>
            <w:tcW w:w="1375" w:type="dxa"/>
            <w:tcBorders>
              <w:top w:val="nil"/>
              <w:left w:val="nil"/>
              <w:bottom w:val="single" w:sz="4" w:space="0" w:color="auto"/>
              <w:right w:val="single" w:sz="8" w:space="0" w:color="auto"/>
            </w:tcBorders>
            <w:shd w:val="clear" w:color="auto" w:fill="auto"/>
            <w:noWrap/>
            <w:vAlign w:val="bottom"/>
            <w:hideMark/>
          </w:tcPr>
          <w:p w14:paraId="4D12B30D"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1,41</w:t>
            </w:r>
          </w:p>
        </w:tc>
      </w:tr>
      <w:tr w:rsidR="00B5281F" w:rsidRPr="00B5281F" w14:paraId="4B8748C2" w14:textId="77777777" w:rsidTr="00B5281F">
        <w:trPr>
          <w:trHeight w:val="290"/>
        </w:trPr>
        <w:tc>
          <w:tcPr>
            <w:tcW w:w="3559" w:type="dxa"/>
            <w:vMerge/>
            <w:tcBorders>
              <w:top w:val="nil"/>
              <w:left w:val="single" w:sz="8" w:space="0" w:color="auto"/>
              <w:bottom w:val="single" w:sz="4" w:space="0" w:color="000000"/>
              <w:right w:val="single" w:sz="4" w:space="0" w:color="auto"/>
            </w:tcBorders>
            <w:vAlign w:val="center"/>
            <w:hideMark/>
          </w:tcPr>
          <w:p w14:paraId="0323F005" w14:textId="77777777" w:rsidR="00B5281F" w:rsidRPr="00B5281F" w:rsidRDefault="00B5281F" w:rsidP="00B5281F">
            <w:pPr>
              <w:rPr>
                <w:rFonts w:cs="Arial"/>
                <w:b/>
                <w:bCs/>
                <w:color w:val="000000"/>
                <w:lang w:val="de-AT" w:eastAsia="de-AT"/>
              </w:rPr>
            </w:pPr>
          </w:p>
        </w:tc>
        <w:tc>
          <w:tcPr>
            <w:tcW w:w="1418" w:type="dxa"/>
            <w:tcBorders>
              <w:top w:val="nil"/>
              <w:left w:val="nil"/>
              <w:bottom w:val="single" w:sz="4" w:space="0" w:color="auto"/>
              <w:right w:val="single" w:sz="4" w:space="0" w:color="auto"/>
            </w:tcBorders>
            <w:shd w:val="clear" w:color="auto" w:fill="auto"/>
            <w:noWrap/>
            <w:vAlign w:val="bottom"/>
            <w:hideMark/>
          </w:tcPr>
          <w:p w14:paraId="14BBA073" w14:textId="77777777" w:rsidR="00B5281F" w:rsidRPr="00B5281F" w:rsidRDefault="00B5281F" w:rsidP="00B5281F">
            <w:pPr>
              <w:jc w:val="right"/>
              <w:rPr>
                <w:rFonts w:cs="Arial"/>
                <w:color w:val="000000"/>
                <w:lang w:val="de-AT" w:eastAsia="de-AT"/>
              </w:rPr>
            </w:pPr>
            <w:r w:rsidRPr="00B5281F">
              <w:rPr>
                <w:rFonts w:cs="Arial"/>
                <w:color w:val="000000"/>
                <w:lang w:val="de-AT" w:eastAsia="de-AT"/>
              </w:rPr>
              <w:t>4673,30</w:t>
            </w:r>
          </w:p>
        </w:tc>
        <w:tc>
          <w:tcPr>
            <w:tcW w:w="1399" w:type="dxa"/>
            <w:tcBorders>
              <w:top w:val="nil"/>
              <w:left w:val="nil"/>
              <w:bottom w:val="single" w:sz="4" w:space="0" w:color="auto"/>
              <w:right w:val="single" w:sz="4" w:space="0" w:color="auto"/>
            </w:tcBorders>
            <w:shd w:val="clear" w:color="auto" w:fill="auto"/>
            <w:hideMark/>
          </w:tcPr>
          <w:p w14:paraId="7D070AD5"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2541,16</w:t>
            </w:r>
          </w:p>
        </w:tc>
        <w:tc>
          <w:tcPr>
            <w:tcW w:w="1152" w:type="dxa"/>
            <w:tcBorders>
              <w:top w:val="nil"/>
              <w:left w:val="nil"/>
              <w:bottom w:val="single" w:sz="4" w:space="0" w:color="auto"/>
              <w:right w:val="single" w:sz="4" w:space="0" w:color="auto"/>
            </w:tcBorders>
            <w:shd w:val="clear" w:color="auto" w:fill="auto"/>
            <w:noWrap/>
            <w:vAlign w:val="bottom"/>
            <w:hideMark/>
          </w:tcPr>
          <w:p w14:paraId="123780EC"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24473,79</w:t>
            </w:r>
          </w:p>
        </w:tc>
        <w:tc>
          <w:tcPr>
            <w:tcW w:w="1375" w:type="dxa"/>
            <w:tcBorders>
              <w:top w:val="nil"/>
              <w:left w:val="nil"/>
              <w:bottom w:val="single" w:sz="4" w:space="0" w:color="auto"/>
              <w:right w:val="single" w:sz="4" w:space="0" w:color="auto"/>
            </w:tcBorders>
            <w:shd w:val="clear" w:color="auto" w:fill="auto"/>
            <w:noWrap/>
            <w:vAlign w:val="bottom"/>
            <w:hideMark/>
          </w:tcPr>
          <w:p w14:paraId="765994A7"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21932,64</w:t>
            </w:r>
          </w:p>
        </w:tc>
        <w:tc>
          <w:tcPr>
            <w:tcW w:w="1602" w:type="dxa"/>
            <w:tcBorders>
              <w:top w:val="nil"/>
              <w:left w:val="nil"/>
              <w:bottom w:val="single" w:sz="4" w:space="0" w:color="auto"/>
              <w:right w:val="single" w:sz="4" w:space="0" w:color="auto"/>
            </w:tcBorders>
            <w:shd w:val="clear" w:color="auto" w:fill="auto"/>
            <w:hideMark/>
          </w:tcPr>
          <w:p w14:paraId="65A8D057"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8,86</w:t>
            </w:r>
          </w:p>
        </w:tc>
        <w:tc>
          <w:tcPr>
            <w:tcW w:w="1701" w:type="dxa"/>
            <w:tcBorders>
              <w:top w:val="nil"/>
              <w:left w:val="nil"/>
              <w:bottom w:val="single" w:sz="4" w:space="0" w:color="auto"/>
              <w:right w:val="single" w:sz="4" w:space="0" w:color="auto"/>
            </w:tcBorders>
            <w:shd w:val="clear" w:color="auto" w:fill="auto"/>
            <w:hideMark/>
          </w:tcPr>
          <w:p w14:paraId="184D753F"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10,27</w:t>
            </w:r>
          </w:p>
        </w:tc>
        <w:tc>
          <w:tcPr>
            <w:tcW w:w="1375" w:type="dxa"/>
            <w:tcBorders>
              <w:top w:val="nil"/>
              <w:left w:val="nil"/>
              <w:bottom w:val="single" w:sz="4" w:space="0" w:color="auto"/>
              <w:right w:val="single" w:sz="8" w:space="0" w:color="auto"/>
            </w:tcBorders>
            <w:shd w:val="clear" w:color="auto" w:fill="auto"/>
            <w:noWrap/>
            <w:vAlign w:val="bottom"/>
            <w:hideMark/>
          </w:tcPr>
          <w:p w14:paraId="6E97AAFB"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1,41</w:t>
            </w:r>
          </w:p>
        </w:tc>
      </w:tr>
      <w:tr w:rsidR="00B5281F" w:rsidRPr="00B5281F" w14:paraId="696D5E3D" w14:textId="77777777" w:rsidTr="00B5281F">
        <w:trPr>
          <w:trHeight w:val="290"/>
        </w:trPr>
        <w:tc>
          <w:tcPr>
            <w:tcW w:w="3559" w:type="dxa"/>
            <w:vMerge w:val="restart"/>
            <w:tcBorders>
              <w:top w:val="nil"/>
              <w:left w:val="single" w:sz="8" w:space="0" w:color="auto"/>
              <w:bottom w:val="single" w:sz="4" w:space="0" w:color="000000"/>
              <w:right w:val="single" w:sz="4" w:space="0" w:color="auto"/>
            </w:tcBorders>
            <w:shd w:val="clear" w:color="auto" w:fill="auto"/>
            <w:hideMark/>
          </w:tcPr>
          <w:p w14:paraId="1FFF11C5" w14:textId="77777777" w:rsidR="00B5281F" w:rsidRPr="00B5281F" w:rsidRDefault="00B5281F" w:rsidP="00B5281F">
            <w:pPr>
              <w:rPr>
                <w:rFonts w:cs="Arial"/>
                <w:b/>
                <w:bCs/>
                <w:color w:val="000000"/>
                <w:lang w:val="de-AT" w:eastAsia="de-AT"/>
              </w:rPr>
            </w:pPr>
            <w:r w:rsidRPr="00B5281F">
              <w:rPr>
                <w:rFonts w:cs="Arial"/>
                <w:b/>
                <w:bCs/>
                <w:color w:val="000000"/>
                <w:lang w:val="de-AT" w:eastAsia="de-AT"/>
              </w:rPr>
              <w:t xml:space="preserve">Probability of adverse events </w:t>
            </w:r>
          </w:p>
        </w:tc>
        <w:tc>
          <w:tcPr>
            <w:tcW w:w="1418" w:type="dxa"/>
            <w:tcBorders>
              <w:top w:val="nil"/>
              <w:left w:val="nil"/>
              <w:bottom w:val="single" w:sz="4" w:space="0" w:color="auto"/>
              <w:right w:val="single" w:sz="4" w:space="0" w:color="auto"/>
            </w:tcBorders>
            <w:shd w:val="clear" w:color="auto" w:fill="auto"/>
            <w:noWrap/>
            <w:vAlign w:val="bottom"/>
            <w:hideMark/>
          </w:tcPr>
          <w:p w14:paraId="17597D7F" w14:textId="77777777" w:rsidR="00B5281F" w:rsidRPr="00B5281F" w:rsidRDefault="00B5281F" w:rsidP="00B5281F">
            <w:pPr>
              <w:jc w:val="right"/>
              <w:rPr>
                <w:rFonts w:cs="Arial"/>
                <w:color w:val="000000"/>
                <w:lang w:val="de-AT" w:eastAsia="de-AT"/>
              </w:rPr>
            </w:pPr>
            <w:r w:rsidRPr="00B5281F">
              <w:rPr>
                <w:rFonts w:cs="Arial"/>
                <w:color w:val="000000"/>
                <w:lang w:val="de-AT" w:eastAsia="de-AT"/>
              </w:rPr>
              <w:t>0,4429</w:t>
            </w:r>
          </w:p>
        </w:tc>
        <w:tc>
          <w:tcPr>
            <w:tcW w:w="1399" w:type="dxa"/>
            <w:tcBorders>
              <w:top w:val="nil"/>
              <w:left w:val="nil"/>
              <w:bottom w:val="single" w:sz="4" w:space="0" w:color="auto"/>
              <w:right w:val="single" w:sz="4" w:space="0" w:color="auto"/>
            </w:tcBorders>
            <w:shd w:val="clear" w:color="auto" w:fill="auto"/>
            <w:hideMark/>
          </w:tcPr>
          <w:p w14:paraId="5F303D30"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2541,16</w:t>
            </w:r>
          </w:p>
        </w:tc>
        <w:tc>
          <w:tcPr>
            <w:tcW w:w="1152" w:type="dxa"/>
            <w:tcBorders>
              <w:top w:val="nil"/>
              <w:left w:val="nil"/>
              <w:bottom w:val="single" w:sz="4" w:space="0" w:color="auto"/>
              <w:right w:val="single" w:sz="4" w:space="0" w:color="auto"/>
            </w:tcBorders>
            <w:shd w:val="clear" w:color="auto" w:fill="auto"/>
            <w:noWrap/>
            <w:vAlign w:val="bottom"/>
            <w:hideMark/>
          </w:tcPr>
          <w:p w14:paraId="58A84249"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24448,76</w:t>
            </w:r>
          </w:p>
        </w:tc>
        <w:tc>
          <w:tcPr>
            <w:tcW w:w="1375" w:type="dxa"/>
            <w:tcBorders>
              <w:top w:val="nil"/>
              <w:left w:val="nil"/>
              <w:bottom w:val="single" w:sz="4" w:space="0" w:color="auto"/>
              <w:right w:val="single" w:sz="4" w:space="0" w:color="auto"/>
            </w:tcBorders>
            <w:shd w:val="clear" w:color="auto" w:fill="auto"/>
            <w:noWrap/>
            <w:vAlign w:val="bottom"/>
            <w:hideMark/>
          </w:tcPr>
          <w:p w14:paraId="4A03E148"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21907,61</w:t>
            </w:r>
          </w:p>
        </w:tc>
        <w:tc>
          <w:tcPr>
            <w:tcW w:w="1602" w:type="dxa"/>
            <w:tcBorders>
              <w:top w:val="nil"/>
              <w:left w:val="nil"/>
              <w:bottom w:val="single" w:sz="4" w:space="0" w:color="auto"/>
              <w:right w:val="single" w:sz="4" w:space="0" w:color="auto"/>
            </w:tcBorders>
            <w:shd w:val="clear" w:color="auto" w:fill="auto"/>
            <w:hideMark/>
          </w:tcPr>
          <w:p w14:paraId="11E65D2D"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8,86</w:t>
            </w:r>
          </w:p>
        </w:tc>
        <w:tc>
          <w:tcPr>
            <w:tcW w:w="1701" w:type="dxa"/>
            <w:tcBorders>
              <w:top w:val="nil"/>
              <w:left w:val="nil"/>
              <w:bottom w:val="single" w:sz="4" w:space="0" w:color="auto"/>
              <w:right w:val="single" w:sz="4" w:space="0" w:color="auto"/>
            </w:tcBorders>
            <w:shd w:val="clear" w:color="auto" w:fill="auto"/>
            <w:hideMark/>
          </w:tcPr>
          <w:p w14:paraId="4D914EE7"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10,27</w:t>
            </w:r>
          </w:p>
        </w:tc>
        <w:tc>
          <w:tcPr>
            <w:tcW w:w="1375" w:type="dxa"/>
            <w:tcBorders>
              <w:top w:val="nil"/>
              <w:left w:val="nil"/>
              <w:bottom w:val="single" w:sz="4" w:space="0" w:color="auto"/>
              <w:right w:val="single" w:sz="8" w:space="0" w:color="auto"/>
            </w:tcBorders>
            <w:shd w:val="clear" w:color="auto" w:fill="auto"/>
            <w:noWrap/>
            <w:vAlign w:val="bottom"/>
            <w:hideMark/>
          </w:tcPr>
          <w:p w14:paraId="5A8CDFAA"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1,41</w:t>
            </w:r>
          </w:p>
        </w:tc>
      </w:tr>
      <w:tr w:rsidR="00B5281F" w:rsidRPr="00B5281F" w14:paraId="19D2EDF4" w14:textId="77777777" w:rsidTr="00B5281F">
        <w:trPr>
          <w:trHeight w:val="290"/>
        </w:trPr>
        <w:tc>
          <w:tcPr>
            <w:tcW w:w="3559" w:type="dxa"/>
            <w:vMerge/>
            <w:tcBorders>
              <w:top w:val="nil"/>
              <w:left w:val="single" w:sz="8" w:space="0" w:color="auto"/>
              <w:bottom w:val="single" w:sz="4" w:space="0" w:color="000000"/>
              <w:right w:val="single" w:sz="4" w:space="0" w:color="auto"/>
            </w:tcBorders>
            <w:vAlign w:val="center"/>
            <w:hideMark/>
          </w:tcPr>
          <w:p w14:paraId="23C53011" w14:textId="77777777" w:rsidR="00B5281F" w:rsidRPr="00B5281F" w:rsidRDefault="00B5281F" w:rsidP="00B5281F">
            <w:pPr>
              <w:rPr>
                <w:rFonts w:cs="Arial"/>
                <w:b/>
                <w:bCs/>
                <w:color w:val="000000"/>
                <w:lang w:val="de-AT" w:eastAsia="de-AT"/>
              </w:rPr>
            </w:pPr>
          </w:p>
        </w:tc>
        <w:tc>
          <w:tcPr>
            <w:tcW w:w="1418" w:type="dxa"/>
            <w:tcBorders>
              <w:top w:val="nil"/>
              <w:left w:val="nil"/>
              <w:bottom w:val="single" w:sz="4" w:space="0" w:color="auto"/>
              <w:right w:val="single" w:sz="4" w:space="0" w:color="auto"/>
            </w:tcBorders>
            <w:shd w:val="clear" w:color="auto" w:fill="auto"/>
            <w:noWrap/>
            <w:vAlign w:val="bottom"/>
            <w:hideMark/>
          </w:tcPr>
          <w:p w14:paraId="5ED1B0D9" w14:textId="77777777" w:rsidR="00B5281F" w:rsidRPr="00B5281F" w:rsidRDefault="00B5281F" w:rsidP="00B5281F">
            <w:pPr>
              <w:jc w:val="right"/>
              <w:rPr>
                <w:rFonts w:cs="Arial"/>
                <w:color w:val="000000"/>
                <w:lang w:val="de-AT" w:eastAsia="de-AT"/>
              </w:rPr>
            </w:pPr>
            <w:r w:rsidRPr="00B5281F">
              <w:rPr>
                <w:rFonts w:cs="Arial"/>
                <w:color w:val="000000"/>
                <w:lang w:val="de-AT" w:eastAsia="de-AT"/>
              </w:rPr>
              <w:t>0,14973</w:t>
            </w:r>
          </w:p>
        </w:tc>
        <w:tc>
          <w:tcPr>
            <w:tcW w:w="1399" w:type="dxa"/>
            <w:tcBorders>
              <w:top w:val="nil"/>
              <w:left w:val="nil"/>
              <w:bottom w:val="single" w:sz="4" w:space="0" w:color="auto"/>
              <w:right w:val="single" w:sz="4" w:space="0" w:color="auto"/>
            </w:tcBorders>
            <w:shd w:val="clear" w:color="auto" w:fill="auto"/>
            <w:hideMark/>
          </w:tcPr>
          <w:p w14:paraId="2D7A6946"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2541,16</w:t>
            </w:r>
          </w:p>
        </w:tc>
        <w:tc>
          <w:tcPr>
            <w:tcW w:w="1152" w:type="dxa"/>
            <w:tcBorders>
              <w:top w:val="nil"/>
              <w:left w:val="nil"/>
              <w:bottom w:val="single" w:sz="4" w:space="0" w:color="auto"/>
              <w:right w:val="single" w:sz="4" w:space="0" w:color="auto"/>
            </w:tcBorders>
            <w:shd w:val="clear" w:color="auto" w:fill="auto"/>
            <w:noWrap/>
            <w:vAlign w:val="bottom"/>
            <w:hideMark/>
          </w:tcPr>
          <w:p w14:paraId="4C25603F"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24498,53</w:t>
            </w:r>
          </w:p>
        </w:tc>
        <w:tc>
          <w:tcPr>
            <w:tcW w:w="1375" w:type="dxa"/>
            <w:tcBorders>
              <w:top w:val="nil"/>
              <w:left w:val="nil"/>
              <w:bottom w:val="single" w:sz="4" w:space="0" w:color="auto"/>
              <w:right w:val="single" w:sz="4" w:space="0" w:color="auto"/>
            </w:tcBorders>
            <w:shd w:val="clear" w:color="auto" w:fill="auto"/>
            <w:noWrap/>
            <w:vAlign w:val="bottom"/>
            <w:hideMark/>
          </w:tcPr>
          <w:p w14:paraId="50EA251B"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21957,38</w:t>
            </w:r>
          </w:p>
        </w:tc>
        <w:tc>
          <w:tcPr>
            <w:tcW w:w="1602" w:type="dxa"/>
            <w:tcBorders>
              <w:top w:val="nil"/>
              <w:left w:val="nil"/>
              <w:bottom w:val="single" w:sz="4" w:space="0" w:color="auto"/>
              <w:right w:val="single" w:sz="4" w:space="0" w:color="auto"/>
            </w:tcBorders>
            <w:shd w:val="clear" w:color="auto" w:fill="auto"/>
            <w:hideMark/>
          </w:tcPr>
          <w:p w14:paraId="419E5CF1"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8,86</w:t>
            </w:r>
          </w:p>
        </w:tc>
        <w:tc>
          <w:tcPr>
            <w:tcW w:w="1701" w:type="dxa"/>
            <w:tcBorders>
              <w:top w:val="nil"/>
              <w:left w:val="nil"/>
              <w:bottom w:val="single" w:sz="4" w:space="0" w:color="auto"/>
              <w:right w:val="single" w:sz="4" w:space="0" w:color="auto"/>
            </w:tcBorders>
            <w:shd w:val="clear" w:color="auto" w:fill="auto"/>
            <w:hideMark/>
          </w:tcPr>
          <w:p w14:paraId="7360651C"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10,27</w:t>
            </w:r>
          </w:p>
        </w:tc>
        <w:tc>
          <w:tcPr>
            <w:tcW w:w="1375" w:type="dxa"/>
            <w:tcBorders>
              <w:top w:val="nil"/>
              <w:left w:val="nil"/>
              <w:bottom w:val="single" w:sz="4" w:space="0" w:color="auto"/>
              <w:right w:val="single" w:sz="8" w:space="0" w:color="auto"/>
            </w:tcBorders>
            <w:shd w:val="clear" w:color="auto" w:fill="auto"/>
            <w:noWrap/>
            <w:vAlign w:val="bottom"/>
            <w:hideMark/>
          </w:tcPr>
          <w:p w14:paraId="5413E206"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1,41</w:t>
            </w:r>
          </w:p>
        </w:tc>
      </w:tr>
      <w:tr w:rsidR="00B5281F" w:rsidRPr="00B5281F" w14:paraId="6A072566" w14:textId="77777777" w:rsidTr="00B5281F">
        <w:trPr>
          <w:trHeight w:val="290"/>
        </w:trPr>
        <w:tc>
          <w:tcPr>
            <w:tcW w:w="3559" w:type="dxa"/>
            <w:tcBorders>
              <w:top w:val="nil"/>
              <w:left w:val="single" w:sz="8" w:space="0" w:color="auto"/>
              <w:bottom w:val="single" w:sz="4" w:space="0" w:color="000000"/>
              <w:right w:val="single" w:sz="4" w:space="0" w:color="auto"/>
            </w:tcBorders>
            <w:shd w:val="clear" w:color="auto" w:fill="auto"/>
            <w:vAlign w:val="bottom"/>
          </w:tcPr>
          <w:p w14:paraId="4F5F2644" w14:textId="77777777" w:rsidR="00B5281F" w:rsidRPr="00B5281F" w:rsidRDefault="00B5281F" w:rsidP="00B5281F">
            <w:pPr>
              <w:rPr>
                <w:rFonts w:cs="Arial"/>
                <w:b/>
                <w:bCs/>
                <w:color w:val="000000"/>
                <w:lang w:val="de-AT" w:eastAsia="de-AT"/>
              </w:rPr>
            </w:pPr>
          </w:p>
        </w:tc>
        <w:tc>
          <w:tcPr>
            <w:tcW w:w="1418" w:type="dxa"/>
            <w:tcBorders>
              <w:top w:val="nil"/>
              <w:left w:val="nil"/>
              <w:bottom w:val="single" w:sz="4" w:space="0" w:color="auto"/>
              <w:right w:val="single" w:sz="4" w:space="0" w:color="auto"/>
            </w:tcBorders>
            <w:shd w:val="clear" w:color="auto" w:fill="auto"/>
            <w:noWrap/>
          </w:tcPr>
          <w:p w14:paraId="104BE3DC" w14:textId="77777777" w:rsidR="00B5281F" w:rsidRPr="00B5281F" w:rsidRDefault="00B5281F" w:rsidP="00B5281F">
            <w:pPr>
              <w:jc w:val="right"/>
              <w:rPr>
                <w:rFonts w:cs="Arial"/>
                <w:b/>
                <w:bCs/>
                <w:color w:val="000000"/>
                <w:lang w:val="de-AT" w:eastAsia="de-AT"/>
              </w:rPr>
            </w:pPr>
          </w:p>
        </w:tc>
        <w:tc>
          <w:tcPr>
            <w:tcW w:w="1399" w:type="dxa"/>
            <w:tcBorders>
              <w:top w:val="nil"/>
              <w:left w:val="nil"/>
              <w:bottom w:val="single" w:sz="4" w:space="0" w:color="auto"/>
              <w:right w:val="single" w:sz="4" w:space="0" w:color="auto"/>
            </w:tcBorders>
            <w:shd w:val="clear" w:color="auto" w:fill="auto"/>
          </w:tcPr>
          <w:p w14:paraId="4A712AA4" w14:textId="77777777" w:rsidR="00B5281F" w:rsidRPr="00B5281F" w:rsidRDefault="00B5281F" w:rsidP="00B5281F">
            <w:pPr>
              <w:jc w:val="center"/>
              <w:rPr>
                <w:rFonts w:cs="Arial"/>
                <w:b/>
                <w:bCs/>
                <w:color w:val="000000"/>
                <w:lang w:val="de-AT" w:eastAsia="de-AT"/>
              </w:rPr>
            </w:pPr>
          </w:p>
        </w:tc>
        <w:tc>
          <w:tcPr>
            <w:tcW w:w="1152" w:type="dxa"/>
            <w:tcBorders>
              <w:top w:val="nil"/>
              <w:left w:val="nil"/>
              <w:bottom w:val="single" w:sz="4" w:space="0" w:color="auto"/>
              <w:right w:val="single" w:sz="4" w:space="0" w:color="auto"/>
            </w:tcBorders>
            <w:shd w:val="clear" w:color="auto" w:fill="auto"/>
            <w:noWrap/>
          </w:tcPr>
          <w:p w14:paraId="727DA67F" w14:textId="77777777" w:rsidR="00B5281F" w:rsidRPr="00B5281F" w:rsidRDefault="00B5281F" w:rsidP="00B5281F">
            <w:pPr>
              <w:jc w:val="center"/>
              <w:rPr>
                <w:rFonts w:cs="Arial"/>
                <w:b/>
                <w:bCs/>
                <w:color w:val="000000"/>
                <w:lang w:val="de-AT" w:eastAsia="de-AT"/>
              </w:rPr>
            </w:pPr>
          </w:p>
        </w:tc>
        <w:tc>
          <w:tcPr>
            <w:tcW w:w="1375" w:type="dxa"/>
            <w:tcBorders>
              <w:top w:val="nil"/>
              <w:left w:val="nil"/>
              <w:bottom w:val="single" w:sz="4" w:space="0" w:color="auto"/>
              <w:right w:val="single" w:sz="4" w:space="0" w:color="auto"/>
            </w:tcBorders>
            <w:shd w:val="clear" w:color="auto" w:fill="auto"/>
            <w:noWrap/>
          </w:tcPr>
          <w:p w14:paraId="59695CEE" w14:textId="77777777" w:rsidR="00B5281F" w:rsidRPr="00B5281F" w:rsidRDefault="00B5281F" w:rsidP="00B5281F">
            <w:pPr>
              <w:jc w:val="center"/>
              <w:rPr>
                <w:rFonts w:cs="Arial"/>
                <w:b/>
                <w:bCs/>
                <w:color w:val="000000"/>
                <w:lang w:val="de-AT" w:eastAsia="de-AT"/>
              </w:rPr>
            </w:pPr>
          </w:p>
        </w:tc>
        <w:tc>
          <w:tcPr>
            <w:tcW w:w="1602" w:type="dxa"/>
            <w:tcBorders>
              <w:top w:val="nil"/>
              <w:left w:val="nil"/>
              <w:bottom w:val="single" w:sz="4" w:space="0" w:color="auto"/>
              <w:right w:val="single" w:sz="4" w:space="0" w:color="auto"/>
            </w:tcBorders>
            <w:shd w:val="clear" w:color="auto" w:fill="auto"/>
          </w:tcPr>
          <w:p w14:paraId="3A1F0DF9" w14:textId="77777777" w:rsidR="00B5281F" w:rsidRPr="00B5281F" w:rsidRDefault="00B5281F" w:rsidP="00B5281F">
            <w:pPr>
              <w:jc w:val="center"/>
              <w:rPr>
                <w:rFonts w:cs="Arial"/>
                <w:b/>
                <w:bCs/>
                <w:color w:val="000000"/>
                <w:lang w:val="de-AT" w:eastAsia="de-AT"/>
              </w:rPr>
            </w:pPr>
          </w:p>
        </w:tc>
        <w:tc>
          <w:tcPr>
            <w:tcW w:w="1701" w:type="dxa"/>
            <w:tcBorders>
              <w:top w:val="nil"/>
              <w:left w:val="nil"/>
              <w:bottom w:val="single" w:sz="4" w:space="0" w:color="auto"/>
              <w:right w:val="single" w:sz="4" w:space="0" w:color="auto"/>
            </w:tcBorders>
            <w:shd w:val="clear" w:color="auto" w:fill="auto"/>
          </w:tcPr>
          <w:p w14:paraId="5467D86E" w14:textId="77777777" w:rsidR="00B5281F" w:rsidRPr="00B5281F" w:rsidRDefault="00B5281F" w:rsidP="00B5281F">
            <w:pPr>
              <w:jc w:val="center"/>
              <w:rPr>
                <w:rFonts w:cs="Arial"/>
                <w:b/>
                <w:bCs/>
                <w:color w:val="000000"/>
                <w:lang w:val="de-AT" w:eastAsia="de-AT"/>
              </w:rPr>
            </w:pPr>
          </w:p>
        </w:tc>
        <w:tc>
          <w:tcPr>
            <w:tcW w:w="1375" w:type="dxa"/>
            <w:tcBorders>
              <w:top w:val="nil"/>
              <w:left w:val="nil"/>
              <w:bottom w:val="single" w:sz="4" w:space="0" w:color="auto"/>
              <w:right w:val="single" w:sz="8" w:space="0" w:color="auto"/>
            </w:tcBorders>
            <w:shd w:val="clear" w:color="auto" w:fill="auto"/>
            <w:noWrap/>
          </w:tcPr>
          <w:p w14:paraId="2EE6DF09" w14:textId="77777777" w:rsidR="00B5281F" w:rsidRPr="00B5281F" w:rsidRDefault="00B5281F" w:rsidP="00B5281F">
            <w:pPr>
              <w:jc w:val="center"/>
              <w:rPr>
                <w:rFonts w:cs="Arial"/>
                <w:b/>
                <w:bCs/>
                <w:color w:val="000000"/>
                <w:lang w:val="de-AT" w:eastAsia="de-AT"/>
              </w:rPr>
            </w:pPr>
          </w:p>
        </w:tc>
      </w:tr>
      <w:tr w:rsidR="00B5281F" w:rsidRPr="00B5281F" w14:paraId="09DE6287" w14:textId="77777777" w:rsidTr="00B5281F">
        <w:trPr>
          <w:trHeight w:val="290"/>
        </w:trPr>
        <w:tc>
          <w:tcPr>
            <w:tcW w:w="3559" w:type="dxa"/>
            <w:tcBorders>
              <w:top w:val="nil"/>
              <w:left w:val="single" w:sz="8" w:space="0" w:color="auto"/>
              <w:bottom w:val="single" w:sz="4" w:space="0" w:color="000000"/>
              <w:right w:val="single" w:sz="4" w:space="0" w:color="auto"/>
            </w:tcBorders>
            <w:shd w:val="clear" w:color="auto" w:fill="auto"/>
            <w:vAlign w:val="bottom"/>
          </w:tcPr>
          <w:p w14:paraId="2B5EFA49" w14:textId="3735502E" w:rsidR="00B5281F" w:rsidRPr="00B5281F" w:rsidRDefault="00B5281F" w:rsidP="00B5281F">
            <w:pPr>
              <w:rPr>
                <w:rFonts w:cs="Arial"/>
                <w:b/>
                <w:bCs/>
                <w:color w:val="000000"/>
                <w:lang w:val="de-AT" w:eastAsia="de-AT"/>
              </w:rPr>
            </w:pPr>
            <w:r w:rsidRPr="00B5281F">
              <w:rPr>
                <w:rFonts w:cs="Arial"/>
                <w:b/>
                <w:bCs/>
                <w:color w:val="000000"/>
                <w:lang w:val="de-AT" w:eastAsia="de-AT"/>
              </w:rPr>
              <w:lastRenderedPageBreak/>
              <w:t>Variable</w:t>
            </w:r>
          </w:p>
        </w:tc>
        <w:tc>
          <w:tcPr>
            <w:tcW w:w="1418" w:type="dxa"/>
            <w:tcBorders>
              <w:top w:val="nil"/>
              <w:left w:val="nil"/>
              <w:bottom w:val="single" w:sz="4" w:space="0" w:color="auto"/>
              <w:right w:val="single" w:sz="4" w:space="0" w:color="auto"/>
            </w:tcBorders>
            <w:shd w:val="clear" w:color="auto" w:fill="auto"/>
            <w:noWrap/>
          </w:tcPr>
          <w:p w14:paraId="75B47997" w14:textId="1351C0B1" w:rsidR="00B5281F" w:rsidRPr="00B5281F" w:rsidRDefault="00B5281F" w:rsidP="00B5281F">
            <w:pPr>
              <w:jc w:val="right"/>
              <w:rPr>
                <w:rFonts w:cs="Arial"/>
                <w:color w:val="000000"/>
                <w:lang w:val="de-AT" w:eastAsia="de-AT"/>
              </w:rPr>
            </w:pPr>
            <w:r w:rsidRPr="00B5281F">
              <w:rPr>
                <w:rFonts w:cs="Arial"/>
                <w:b/>
                <w:bCs/>
                <w:color w:val="000000"/>
                <w:lang w:val="de-AT" w:eastAsia="de-AT"/>
              </w:rPr>
              <w:t>Input value</w:t>
            </w:r>
          </w:p>
        </w:tc>
        <w:tc>
          <w:tcPr>
            <w:tcW w:w="1399" w:type="dxa"/>
            <w:tcBorders>
              <w:top w:val="nil"/>
              <w:left w:val="nil"/>
              <w:bottom w:val="single" w:sz="4" w:space="0" w:color="auto"/>
              <w:right w:val="single" w:sz="4" w:space="0" w:color="auto"/>
            </w:tcBorders>
            <w:shd w:val="clear" w:color="auto" w:fill="auto"/>
          </w:tcPr>
          <w:p w14:paraId="27A9831A" w14:textId="425A00D2" w:rsidR="00B5281F" w:rsidRPr="00B5281F" w:rsidRDefault="00B5281F" w:rsidP="00B5281F">
            <w:pPr>
              <w:jc w:val="center"/>
              <w:rPr>
                <w:rFonts w:cs="Arial"/>
                <w:color w:val="000000"/>
                <w:lang w:val="de-AT" w:eastAsia="de-AT"/>
              </w:rPr>
            </w:pPr>
            <w:r w:rsidRPr="00B5281F">
              <w:rPr>
                <w:rFonts w:cs="Arial"/>
                <w:b/>
                <w:bCs/>
                <w:color w:val="000000"/>
                <w:lang w:val="de-AT" w:eastAsia="de-AT"/>
              </w:rPr>
              <w:t>Cost of no intervention</w:t>
            </w:r>
          </w:p>
        </w:tc>
        <w:tc>
          <w:tcPr>
            <w:tcW w:w="1152" w:type="dxa"/>
            <w:tcBorders>
              <w:top w:val="nil"/>
              <w:left w:val="nil"/>
              <w:bottom w:val="single" w:sz="4" w:space="0" w:color="auto"/>
              <w:right w:val="single" w:sz="4" w:space="0" w:color="auto"/>
            </w:tcBorders>
            <w:shd w:val="clear" w:color="auto" w:fill="auto"/>
            <w:noWrap/>
          </w:tcPr>
          <w:p w14:paraId="2D174FD8" w14:textId="11DE4CD0" w:rsidR="00B5281F" w:rsidRPr="00B5281F" w:rsidRDefault="00B5281F" w:rsidP="00B5281F">
            <w:pPr>
              <w:jc w:val="center"/>
              <w:rPr>
                <w:rFonts w:cs="Arial"/>
                <w:color w:val="000000"/>
                <w:lang w:val="de-AT" w:eastAsia="de-AT"/>
              </w:rPr>
            </w:pPr>
            <w:r w:rsidRPr="00B5281F">
              <w:rPr>
                <w:rFonts w:cs="Arial"/>
                <w:b/>
                <w:bCs/>
                <w:color w:val="000000"/>
                <w:lang w:val="de-AT" w:eastAsia="de-AT"/>
              </w:rPr>
              <w:t>Cost of VSB</w:t>
            </w:r>
          </w:p>
        </w:tc>
        <w:tc>
          <w:tcPr>
            <w:tcW w:w="1375" w:type="dxa"/>
            <w:tcBorders>
              <w:top w:val="nil"/>
              <w:left w:val="nil"/>
              <w:bottom w:val="single" w:sz="4" w:space="0" w:color="auto"/>
              <w:right w:val="single" w:sz="4" w:space="0" w:color="auto"/>
            </w:tcBorders>
            <w:shd w:val="clear" w:color="auto" w:fill="auto"/>
            <w:noWrap/>
          </w:tcPr>
          <w:p w14:paraId="725ECB50" w14:textId="183576D8" w:rsidR="00B5281F" w:rsidRPr="00B5281F" w:rsidRDefault="00B5281F" w:rsidP="00B5281F">
            <w:pPr>
              <w:jc w:val="center"/>
              <w:rPr>
                <w:rFonts w:cs="Arial"/>
                <w:color w:val="000000"/>
                <w:lang w:val="de-AT" w:eastAsia="de-AT"/>
              </w:rPr>
            </w:pPr>
            <w:r w:rsidRPr="00B5281F">
              <w:rPr>
                <w:rFonts w:cs="Arial"/>
                <w:b/>
                <w:bCs/>
                <w:color w:val="000000"/>
                <w:lang w:val="de-AT" w:eastAsia="de-AT"/>
              </w:rPr>
              <w:t>Incremental cost</w:t>
            </w:r>
          </w:p>
        </w:tc>
        <w:tc>
          <w:tcPr>
            <w:tcW w:w="1602" w:type="dxa"/>
            <w:tcBorders>
              <w:top w:val="nil"/>
              <w:left w:val="nil"/>
              <w:bottom w:val="single" w:sz="4" w:space="0" w:color="auto"/>
              <w:right w:val="single" w:sz="4" w:space="0" w:color="auto"/>
            </w:tcBorders>
            <w:shd w:val="clear" w:color="auto" w:fill="auto"/>
          </w:tcPr>
          <w:p w14:paraId="39AA9E98" w14:textId="561D078C" w:rsidR="00B5281F" w:rsidRPr="00B5281F" w:rsidRDefault="00B5281F" w:rsidP="00B5281F">
            <w:pPr>
              <w:jc w:val="center"/>
              <w:rPr>
                <w:rFonts w:cs="Arial"/>
                <w:color w:val="000000"/>
                <w:lang w:val="de-AT" w:eastAsia="de-AT"/>
              </w:rPr>
            </w:pPr>
            <w:r w:rsidRPr="00B5281F">
              <w:rPr>
                <w:rFonts w:cs="Arial"/>
                <w:b/>
                <w:bCs/>
                <w:color w:val="000000"/>
                <w:lang w:val="de-AT" w:eastAsia="de-AT"/>
              </w:rPr>
              <w:t>QALY for no intervention</w:t>
            </w:r>
          </w:p>
        </w:tc>
        <w:tc>
          <w:tcPr>
            <w:tcW w:w="1701" w:type="dxa"/>
            <w:tcBorders>
              <w:top w:val="nil"/>
              <w:left w:val="nil"/>
              <w:bottom w:val="single" w:sz="4" w:space="0" w:color="auto"/>
              <w:right w:val="single" w:sz="4" w:space="0" w:color="auto"/>
            </w:tcBorders>
            <w:shd w:val="clear" w:color="auto" w:fill="auto"/>
          </w:tcPr>
          <w:p w14:paraId="619301A9" w14:textId="32B75FD9" w:rsidR="00B5281F" w:rsidRPr="00B5281F" w:rsidRDefault="00B5281F" w:rsidP="00B5281F">
            <w:pPr>
              <w:jc w:val="center"/>
              <w:rPr>
                <w:rFonts w:cs="Arial"/>
                <w:color w:val="000000"/>
                <w:lang w:val="de-AT" w:eastAsia="de-AT"/>
              </w:rPr>
            </w:pPr>
            <w:r w:rsidRPr="00B5281F">
              <w:rPr>
                <w:rFonts w:cs="Arial"/>
                <w:b/>
                <w:bCs/>
                <w:color w:val="000000"/>
                <w:lang w:val="de-AT" w:eastAsia="de-AT"/>
              </w:rPr>
              <w:t>QALY for VSB</w:t>
            </w:r>
          </w:p>
        </w:tc>
        <w:tc>
          <w:tcPr>
            <w:tcW w:w="1375" w:type="dxa"/>
            <w:tcBorders>
              <w:top w:val="nil"/>
              <w:left w:val="nil"/>
              <w:bottom w:val="single" w:sz="4" w:space="0" w:color="auto"/>
              <w:right w:val="single" w:sz="8" w:space="0" w:color="auto"/>
            </w:tcBorders>
            <w:shd w:val="clear" w:color="auto" w:fill="auto"/>
            <w:noWrap/>
          </w:tcPr>
          <w:p w14:paraId="5FB3A56E" w14:textId="3FE4E771" w:rsidR="00B5281F" w:rsidRPr="00B5281F" w:rsidRDefault="00B5281F" w:rsidP="00B5281F">
            <w:pPr>
              <w:jc w:val="center"/>
              <w:rPr>
                <w:rFonts w:cs="Arial"/>
                <w:color w:val="000000"/>
                <w:lang w:val="de-AT" w:eastAsia="de-AT"/>
              </w:rPr>
            </w:pPr>
            <w:r w:rsidRPr="00B5281F">
              <w:rPr>
                <w:rFonts w:cs="Arial"/>
                <w:b/>
                <w:bCs/>
                <w:color w:val="000000"/>
                <w:lang w:val="de-AT" w:eastAsia="de-AT"/>
              </w:rPr>
              <w:t>Incremental utility</w:t>
            </w:r>
          </w:p>
        </w:tc>
      </w:tr>
      <w:tr w:rsidR="00B5281F" w:rsidRPr="00B5281F" w14:paraId="43800EF2" w14:textId="77777777" w:rsidTr="00B5281F">
        <w:trPr>
          <w:trHeight w:val="290"/>
        </w:trPr>
        <w:tc>
          <w:tcPr>
            <w:tcW w:w="3559" w:type="dxa"/>
            <w:vMerge w:val="restart"/>
            <w:tcBorders>
              <w:top w:val="nil"/>
              <w:left w:val="single" w:sz="8" w:space="0" w:color="auto"/>
              <w:bottom w:val="single" w:sz="4" w:space="0" w:color="000000"/>
              <w:right w:val="single" w:sz="4" w:space="0" w:color="auto"/>
            </w:tcBorders>
            <w:shd w:val="clear" w:color="auto" w:fill="auto"/>
            <w:hideMark/>
          </w:tcPr>
          <w:p w14:paraId="4BFF6116" w14:textId="77777777" w:rsidR="00B5281F" w:rsidRPr="00B5281F" w:rsidRDefault="00B5281F" w:rsidP="00B5281F">
            <w:pPr>
              <w:rPr>
                <w:rFonts w:cs="Arial"/>
                <w:b/>
                <w:bCs/>
                <w:color w:val="000000"/>
                <w:lang w:val="de-AT" w:eastAsia="de-AT"/>
              </w:rPr>
            </w:pPr>
            <w:r w:rsidRPr="00B5281F">
              <w:rPr>
                <w:rFonts w:cs="Arial"/>
                <w:b/>
                <w:bCs/>
                <w:color w:val="000000"/>
                <w:lang w:val="de-AT" w:eastAsia="de-AT"/>
              </w:rPr>
              <w:t>Probability of device failure</w:t>
            </w:r>
          </w:p>
        </w:tc>
        <w:tc>
          <w:tcPr>
            <w:tcW w:w="1418" w:type="dxa"/>
            <w:tcBorders>
              <w:top w:val="nil"/>
              <w:left w:val="nil"/>
              <w:bottom w:val="single" w:sz="4" w:space="0" w:color="auto"/>
              <w:right w:val="single" w:sz="4" w:space="0" w:color="auto"/>
            </w:tcBorders>
            <w:shd w:val="clear" w:color="auto" w:fill="auto"/>
            <w:noWrap/>
            <w:vAlign w:val="bottom"/>
            <w:hideMark/>
          </w:tcPr>
          <w:p w14:paraId="1F3C72B8" w14:textId="77777777" w:rsidR="00B5281F" w:rsidRPr="00B5281F" w:rsidRDefault="00B5281F" w:rsidP="00B5281F">
            <w:pPr>
              <w:jc w:val="right"/>
              <w:rPr>
                <w:rFonts w:cs="Arial"/>
                <w:color w:val="000000"/>
                <w:lang w:val="de-AT" w:eastAsia="de-AT"/>
              </w:rPr>
            </w:pPr>
            <w:r w:rsidRPr="00B5281F">
              <w:rPr>
                <w:rFonts w:cs="Arial"/>
                <w:color w:val="000000"/>
                <w:lang w:val="de-AT" w:eastAsia="de-AT"/>
              </w:rPr>
              <w:t>0,00136</w:t>
            </w:r>
          </w:p>
        </w:tc>
        <w:tc>
          <w:tcPr>
            <w:tcW w:w="1399" w:type="dxa"/>
            <w:tcBorders>
              <w:top w:val="nil"/>
              <w:left w:val="nil"/>
              <w:bottom w:val="single" w:sz="4" w:space="0" w:color="auto"/>
              <w:right w:val="single" w:sz="4" w:space="0" w:color="auto"/>
            </w:tcBorders>
            <w:shd w:val="clear" w:color="auto" w:fill="auto"/>
            <w:hideMark/>
          </w:tcPr>
          <w:p w14:paraId="6D09BBA2"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2541,16</w:t>
            </w:r>
          </w:p>
        </w:tc>
        <w:tc>
          <w:tcPr>
            <w:tcW w:w="1152" w:type="dxa"/>
            <w:tcBorders>
              <w:top w:val="nil"/>
              <w:left w:val="nil"/>
              <w:bottom w:val="single" w:sz="4" w:space="0" w:color="auto"/>
              <w:right w:val="single" w:sz="4" w:space="0" w:color="auto"/>
            </w:tcBorders>
            <w:shd w:val="clear" w:color="auto" w:fill="auto"/>
            <w:noWrap/>
            <w:vAlign w:val="bottom"/>
            <w:hideMark/>
          </w:tcPr>
          <w:p w14:paraId="297017EF"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24451,77</w:t>
            </w:r>
          </w:p>
        </w:tc>
        <w:tc>
          <w:tcPr>
            <w:tcW w:w="1375" w:type="dxa"/>
            <w:tcBorders>
              <w:top w:val="nil"/>
              <w:left w:val="nil"/>
              <w:bottom w:val="single" w:sz="4" w:space="0" w:color="auto"/>
              <w:right w:val="single" w:sz="4" w:space="0" w:color="auto"/>
            </w:tcBorders>
            <w:shd w:val="clear" w:color="auto" w:fill="auto"/>
            <w:noWrap/>
            <w:vAlign w:val="bottom"/>
            <w:hideMark/>
          </w:tcPr>
          <w:p w14:paraId="4C52FCD2"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21910,61</w:t>
            </w:r>
          </w:p>
        </w:tc>
        <w:tc>
          <w:tcPr>
            <w:tcW w:w="1602" w:type="dxa"/>
            <w:tcBorders>
              <w:top w:val="nil"/>
              <w:left w:val="nil"/>
              <w:bottom w:val="single" w:sz="4" w:space="0" w:color="auto"/>
              <w:right w:val="single" w:sz="4" w:space="0" w:color="auto"/>
            </w:tcBorders>
            <w:shd w:val="clear" w:color="auto" w:fill="auto"/>
            <w:hideMark/>
          </w:tcPr>
          <w:p w14:paraId="26B9EBB1"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8,86</w:t>
            </w:r>
          </w:p>
        </w:tc>
        <w:tc>
          <w:tcPr>
            <w:tcW w:w="1701" w:type="dxa"/>
            <w:tcBorders>
              <w:top w:val="nil"/>
              <w:left w:val="nil"/>
              <w:bottom w:val="single" w:sz="4" w:space="0" w:color="auto"/>
              <w:right w:val="single" w:sz="4" w:space="0" w:color="auto"/>
            </w:tcBorders>
            <w:shd w:val="clear" w:color="auto" w:fill="auto"/>
            <w:hideMark/>
          </w:tcPr>
          <w:p w14:paraId="4593B241"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10,27</w:t>
            </w:r>
          </w:p>
        </w:tc>
        <w:tc>
          <w:tcPr>
            <w:tcW w:w="1375" w:type="dxa"/>
            <w:tcBorders>
              <w:top w:val="nil"/>
              <w:left w:val="nil"/>
              <w:bottom w:val="single" w:sz="4" w:space="0" w:color="auto"/>
              <w:right w:val="single" w:sz="8" w:space="0" w:color="auto"/>
            </w:tcBorders>
            <w:shd w:val="clear" w:color="auto" w:fill="auto"/>
            <w:noWrap/>
            <w:vAlign w:val="bottom"/>
            <w:hideMark/>
          </w:tcPr>
          <w:p w14:paraId="4E2A2FFE"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1,41</w:t>
            </w:r>
          </w:p>
        </w:tc>
      </w:tr>
      <w:tr w:rsidR="00B5281F" w:rsidRPr="00B5281F" w14:paraId="233D3CFC" w14:textId="77777777" w:rsidTr="00B5281F">
        <w:trPr>
          <w:trHeight w:val="290"/>
        </w:trPr>
        <w:tc>
          <w:tcPr>
            <w:tcW w:w="3559" w:type="dxa"/>
            <w:vMerge/>
            <w:tcBorders>
              <w:top w:val="nil"/>
              <w:left w:val="single" w:sz="8" w:space="0" w:color="auto"/>
              <w:bottom w:val="single" w:sz="4" w:space="0" w:color="000000"/>
              <w:right w:val="single" w:sz="4" w:space="0" w:color="auto"/>
            </w:tcBorders>
            <w:vAlign w:val="center"/>
            <w:hideMark/>
          </w:tcPr>
          <w:p w14:paraId="22CA346E" w14:textId="77777777" w:rsidR="00B5281F" w:rsidRPr="00B5281F" w:rsidRDefault="00B5281F" w:rsidP="00B5281F">
            <w:pPr>
              <w:rPr>
                <w:rFonts w:cs="Arial"/>
                <w:b/>
                <w:bCs/>
                <w:color w:val="000000"/>
                <w:lang w:val="de-AT" w:eastAsia="de-AT"/>
              </w:rPr>
            </w:pPr>
          </w:p>
        </w:tc>
        <w:tc>
          <w:tcPr>
            <w:tcW w:w="1418" w:type="dxa"/>
            <w:tcBorders>
              <w:top w:val="nil"/>
              <w:left w:val="nil"/>
              <w:bottom w:val="single" w:sz="4" w:space="0" w:color="auto"/>
              <w:right w:val="single" w:sz="4" w:space="0" w:color="auto"/>
            </w:tcBorders>
            <w:shd w:val="clear" w:color="auto" w:fill="auto"/>
            <w:noWrap/>
            <w:vAlign w:val="bottom"/>
            <w:hideMark/>
          </w:tcPr>
          <w:p w14:paraId="424A239F" w14:textId="77777777" w:rsidR="00B5281F" w:rsidRPr="00B5281F" w:rsidRDefault="00B5281F" w:rsidP="00B5281F">
            <w:pPr>
              <w:jc w:val="right"/>
              <w:rPr>
                <w:rFonts w:cs="Arial"/>
                <w:color w:val="000000"/>
                <w:lang w:val="de-AT" w:eastAsia="de-AT"/>
              </w:rPr>
            </w:pPr>
            <w:r w:rsidRPr="00B5281F">
              <w:rPr>
                <w:rFonts w:cs="Arial"/>
                <w:color w:val="000000"/>
                <w:lang w:val="de-AT" w:eastAsia="de-AT"/>
              </w:rPr>
              <w:t>0,00226</w:t>
            </w:r>
          </w:p>
        </w:tc>
        <w:tc>
          <w:tcPr>
            <w:tcW w:w="1399" w:type="dxa"/>
            <w:tcBorders>
              <w:top w:val="nil"/>
              <w:left w:val="nil"/>
              <w:bottom w:val="single" w:sz="4" w:space="0" w:color="auto"/>
              <w:right w:val="single" w:sz="4" w:space="0" w:color="auto"/>
            </w:tcBorders>
            <w:shd w:val="clear" w:color="auto" w:fill="auto"/>
            <w:hideMark/>
          </w:tcPr>
          <w:p w14:paraId="3145656D"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2541,16</w:t>
            </w:r>
          </w:p>
        </w:tc>
        <w:tc>
          <w:tcPr>
            <w:tcW w:w="1152" w:type="dxa"/>
            <w:tcBorders>
              <w:top w:val="nil"/>
              <w:left w:val="nil"/>
              <w:bottom w:val="single" w:sz="4" w:space="0" w:color="auto"/>
              <w:right w:val="single" w:sz="4" w:space="0" w:color="auto"/>
            </w:tcBorders>
            <w:shd w:val="clear" w:color="auto" w:fill="auto"/>
            <w:noWrap/>
            <w:vAlign w:val="bottom"/>
            <w:hideMark/>
          </w:tcPr>
          <w:p w14:paraId="4E50D832"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24576,59</w:t>
            </w:r>
          </w:p>
        </w:tc>
        <w:tc>
          <w:tcPr>
            <w:tcW w:w="1375" w:type="dxa"/>
            <w:tcBorders>
              <w:top w:val="nil"/>
              <w:left w:val="nil"/>
              <w:bottom w:val="single" w:sz="4" w:space="0" w:color="auto"/>
              <w:right w:val="single" w:sz="4" w:space="0" w:color="auto"/>
            </w:tcBorders>
            <w:shd w:val="clear" w:color="auto" w:fill="auto"/>
            <w:noWrap/>
            <w:vAlign w:val="bottom"/>
            <w:hideMark/>
          </w:tcPr>
          <w:p w14:paraId="0E82C897"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22035,44</w:t>
            </w:r>
          </w:p>
        </w:tc>
        <w:tc>
          <w:tcPr>
            <w:tcW w:w="1602" w:type="dxa"/>
            <w:tcBorders>
              <w:top w:val="nil"/>
              <w:left w:val="nil"/>
              <w:bottom w:val="single" w:sz="4" w:space="0" w:color="auto"/>
              <w:right w:val="single" w:sz="4" w:space="0" w:color="auto"/>
            </w:tcBorders>
            <w:shd w:val="clear" w:color="auto" w:fill="auto"/>
            <w:hideMark/>
          </w:tcPr>
          <w:p w14:paraId="4A55F4D7"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8,86</w:t>
            </w:r>
          </w:p>
        </w:tc>
        <w:tc>
          <w:tcPr>
            <w:tcW w:w="1701" w:type="dxa"/>
            <w:tcBorders>
              <w:top w:val="nil"/>
              <w:left w:val="nil"/>
              <w:bottom w:val="single" w:sz="4" w:space="0" w:color="auto"/>
              <w:right w:val="single" w:sz="4" w:space="0" w:color="auto"/>
            </w:tcBorders>
            <w:shd w:val="clear" w:color="auto" w:fill="auto"/>
            <w:hideMark/>
          </w:tcPr>
          <w:p w14:paraId="5E9EA77B"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10,27</w:t>
            </w:r>
          </w:p>
        </w:tc>
        <w:tc>
          <w:tcPr>
            <w:tcW w:w="1375" w:type="dxa"/>
            <w:tcBorders>
              <w:top w:val="nil"/>
              <w:left w:val="nil"/>
              <w:bottom w:val="single" w:sz="4" w:space="0" w:color="auto"/>
              <w:right w:val="single" w:sz="8" w:space="0" w:color="auto"/>
            </w:tcBorders>
            <w:shd w:val="clear" w:color="auto" w:fill="auto"/>
            <w:noWrap/>
            <w:vAlign w:val="bottom"/>
            <w:hideMark/>
          </w:tcPr>
          <w:p w14:paraId="078C0F8D"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1,41</w:t>
            </w:r>
          </w:p>
        </w:tc>
      </w:tr>
      <w:tr w:rsidR="00B5281F" w:rsidRPr="00B5281F" w14:paraId="7712B74B" w14:textId="77777777" w:rsidTr="00B5281F">
        <w:trPr>
          <w:trHeight w:val="290"/>
        </w:trPr>
        <w:tc>
          <w:tcPr>
            <w:tcW w:w="3559" w:type="dxa"/>
            <w:vMerge w:val="restart"/>
            <w:tcBorders>
              <w:top w:val="nil"/>
              <w:left w:val="single" w:sz="8" w:space="0" w:color="auto"/>
              <w:bottom w:val="single" w:sz="4" w:space="0" w:color="000000"/>
              <w:right w:val="single" w:sz="4" w:space="0" w:color="auto"/>
            </w:tcBorders>
            <w:shd w:val="clear" w:color="auto" w:fill="auto"/>
            <w:hideMark/>
          </w:tcPr>
          <w:p w14:paraId="7F596230" w14:textId="77777777" w:rsidR="00B5281F" w:rsidRPr="00B5281F" w:rsidRDefault="00B5281F" w:rsidP="00B5281F">
            <w:pPr>
              <w:rPr>
                <w:rFonts w:cs="Arial"/>
                <w:b/>
                <w:bCs/>
                <w:color w:val="000000"/>
                <w:lang w:val="en-GB" w:eastAsia="de-AT"/>
              </w:rPr>
            </w:pPr>
            <w:r w:rsidRPr="00B5281F">
              <w:rPr>
                <w:rFonts w:cs="Arial"/>
                <w:b/>
                <w:bCs/>
                <w:color w:val="000000"/>
                <w:lang w:val="en-GB" w:eastAsia="de-AT"/>
              </w:rPr>
              <w:t>Probability of ceasing to use MEI</w:t>
            </w:r>
          </w:p>
        </w:tc>
        <w:tc>
          <w:tcPr>
            <w:tcW w:w="1418" w:type="dxa"/>
            <w:tcBorders>
              <w:top w:val="nil"/>
              <w:left w:val="nil"/>
              <w:bottom w:val="single" w:sz="4" w:space="0" w:color="auto"/>
              <w:right w:val="single" w:sz="4" w:space="0" w:color="auto"/>
            </w:tcBorders>
            <w:shd w:val="clear" w:color="auto" w:fill="auto"/>
            <w:noWrap/>
            <w:vAlign w:val="bottom"/>
            <w:hideMark/>
          </w:tcPr>
          <w:p w14:paraId="2318D90E" w14:textId="77777777" w:rsidR="00B5281F" w:rsidRPr="00B5281F" w:rsidRDefault="00B5281F" w:rsidP="00B5281F">
            <w:pPr>
              <w:jc w:val="right"/>
              <w:rPr>
                <w:rFonts w:cs="Arial"/>
                <w:color w:val="000000"/>
                <w:lang w:val="de-AT" w:eastAsia="de-AT"/>
              </w:rPr>
            </w:pPr>
            <w:r w:rsidRPr="00B5281F">
              <w:rPr>
                <w:rFonts w:cs="Arial"/>
                <w:color w:val="000000"/>
                <w:lang w:val="de-AT" w:eastAsia="de-AT"/>
              </w:rPr>
              <w:t>0,00181</w:t>
            </w:r>
          </w:p>
        </w:tc>
        <w:tc>
          <w:tcPr>
            <w:tcW w:w="1399" w:type="dxa"/>
            <w:tcBorders>
              <w:top w:val="nil"/>
              <w:left w:val="nil"/>
              <w:bottom w:val="single" w:sz="4" w:space="0" w:color="auto"/>
              <w:right w:val="single" w:sz="4" w:space="0" w:color="auto"/>
            </w:tcBorders>
            <w:shd w:val="clear" w:color="auto" w:fill="auto"/>
            <w:hideMark/>
          </w:tcPr>
          <w:p w14:paraId="0B4BAD1B"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2541,16</w:t>
            </w:r>
          </w:p>
        </w:tc>
        <w:tc>
          <w:tcPr>
            <w:tcW w:w="1152" w:type="dxa"/>
            <w:tcBorders>
              <w:top w:val="nil"/>
              <w:left w:val="nil"/>
              <w:bottom w:val="single" w:sz="4" w:space="0" w:color="auto"/>
              <w:right w:val="single" w:sz="4" w:space="0" w:color="auto"/>
            </w:tcBorders>
            <w:shd w:val="clear" w:color="auto" w:fill="auto"/>
            <w:noWrap/>
            <w:vAlign w:val="bottom"/>
            <w:hideMark/>
          </w:tcPr>
          <w:p w14:paraId="713C8F11"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24551,39</w:t>
            </w:r>
          </w:p>
        </w:tc>
        <w:tc>
          <w:tcPr>
            <w:tcW w:w="1375" w:type="dxa"/>
            <w:tcBorders>
              <w:top w:val="nil"/>
              <w:left w:val="nil"/>
              <w:bottom w:val="single" w:sz="4" w:space="0" w:color="auto"/>
              <w:right w:val="single" w:sz="4" w:space="0" w:color="auto"/>
            </w:tcBorders>
            <w:shd w:val="clear" w:color="auto" w:fill="auto"/>
            <w:noWrap/>
            <w:vAlign w:val="bottom"/>
            <w:hideMark/>
          </w:tcPr>
          <w:p w14:paraId="3B496A19"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22010,24</w:t>
            </w:r>
          </w:p>
        </w:tc>
        <w:tc>
          <w:tcPr>
            <w:tcW w:w="1602" w:type="dxa"/>
            <w:tcBorders>
              <w:top w:val="nil"/>
              <w:left w:val="nil"/>
              <w:bottom w:val="single" w:sz="4" w:space="0" w:color="auto"/>
              <w:right w:val="single" w:sz="4" w:space="0" w:color="auto"/>
            </w:tcBorders>
            <w:shd w:val="clear" w:color="auto" w:fill="auto"/>
            <w:hideMark/>
          </w:tcPr>
          <w:p w14:paraId="0A7822B8"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8,86</w:t>
            </w:r>
          </w:p>
        </w:tc>
        <w:tc>
          <w:tcPr>
            <w:tcW w:w="1701" w:type="dxa"/>
            <w:tcBorders>
              <w:top w:val="nil"/>
              <w:left w:val="nil"/>
              <w:bottom w:val="single" w:sz="4" w:space="0" w:color="auto"/>
              <w:right w:val="single" w:sz="4" w:space="0" w:color="auto"/>
            </w:tcBorders>
            <w:shd w:val="clear" w:color="auto" w:fill="auto"/>
            <w:noWrap/>
            <w:vAlign w:val="bottom"/>
            <w:hideMark/>
          </w:tcPr>
          <w:p w14:paraId="3DD893F5"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10,29</w:t>
            </w:r>
          </w:p>
        </w:tc>
        <w:tc>
          <w:tcPr>
            <w:tcW w:w="1375" w:type="dxa"/>
            <w:tcBorders>
              <w:top w:val="nil"/>
              <w:left w:val="nil"/>
              <w:bottom w:val="single" w:sz="4" w:space="0" w:color="auto"/>
              <w:right w:val="single" w:sz="8" w:space="0" w:color="auto"/>
            </w:tcBorders>
            <w:shd w:val="clear" w:color="auto" w:fill="auto"/>
            <w:noWrap/>
            <w:vAlign w:val="bottom"/>
            <w:hideMark/>
          </w:tcPr>
          <w:p w14:paraId="38B0F0CD"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1,43</w:t>
            </w:r>
          </w:p>
        </w:tc>
      </w:tr>
      <w:tr w:rsidR="00B5281F" w:rsidRPr="00B5281F" w14:paraId="0EEFF8C8" w14:textId="77777777" w:rsidTr="00B5281F">
        <w:trPr>
          <w:trHeight w:val="290"/>
        </w:trPr>
        <w:tc>
          <w:tcPr>
            <w:tcW w:w="3559" w:type="dxa"/>
            <w:vMerge/>
            <w:tcBorders>
              <w:top w:val="nil"/>
              <w:left w:val="single" w:sz="8" w:space="0" w:color="auto"/>
              <w:bottom w:val="single" w:sz="4" w:space="0" w:color="000000"/>
              <w:right w:val="single" w:sz="4" w:space="0" w:color="auto"/>
            </w:tcBorders>
            <w:vAlign w:val="center"/>
            <w:hideMark/>
          </w:tcPr>
          <w:p w14:paraId="240EBBBF" w14:textId="77777777" w:rsidR="00B5281F" w:rsidRPr="00B5281F" w:rsidRDefault="00B5281F" w:rsidP="00B5281F">
            <w:pPr>
              <w:rPr>
                <w:rFonts w:cs="Arial"/>
                <w:b/>
                <w:bCs/>
                <w:color w:val="000000"/>
                <w:lang w:val="de-AT" w:eastAsia="de-AT"/>
              </w:rPr>
            </w:pPr>
          </w:p>
        </w:tc>
        <w:tc>
          <w:tcPr>
            <w:tcW w:w="1418" w:type="dxa"/>
            <w:tcBorders>
              <w:top w:val="nil"/>
              <w:left w:val="nil"/>
              <w:bottom w:val="single" w:sz="4" w:space="0" w:color="auto"/>
              <w:right w:val="single" w:sz="4" w:space="0" w:color="auto"/>
            </w:tcBorders>
            <w:shd w:val="clear" w:color="auto" w:fill="auto"/>
            <w:noWrap/>
            <w:vAlign w:val="bottom"/>
            <w:hideMark/>
          </w:tcPr>
          <w:p w14:paraId="64455FD5" w14:textId="77777777" w:rsidR="00B5281F" w:rsidRPr="00B5281F" w:rsidRDefault="00B5281F" w:rsidP="00B5281F">
            <w:pPr>
              <w:jc w:val="right"/>
              <w:rPr>
                <w:rFonts w:cs="Arial"/>
                <w:color w:val="000000"/>
                <w:lang w:val="de-AT" w:eastAsia="de-AT"/>
              </w:rPr>
            </w:pPr>
            <w:r w:rsidRPr="00B5281F">
              <w:rPr>
                <w:rFonts w:cs="Arial"/>
                <w:color w:val="000000"/>
                <w:lang w:val="de-AT" w:eastAsia="de-AT"/>
              </w:rPr>
              <w:t>0,05391</w:t>
            </w:r>
          </w:p>
        </w:tc>
        <w:tc>
          <w:tcPr>
            <w:tcW w:w="1399" w:type="dxa"/>
            <w:tcBorders>
              <w:top w:val="nil"/>
              <w:left w:val="nil"/>
              <w:bottom w:val="single" w:sz="4" w:space="0" w:color="auto"/>
              <w:right w:val="single" w:sz="4" w:space="0" w:color="auto"/>
            </w:tcBorders>
            <w:shd w:val="clear" w:color="auto" w:fill="auto"/>
            <w:hideMark/>
          </w:tcPr>
          <w:p w14:paraId="547A593A"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2541,16</w:t>
            </w:r>
          </w:p>
        </w:tc>
        <w:tc>
          <w:tcPr>
            <w:tcW w:w="1152" w:type="dxa"/>
            <w:tcBorders>
              <w:top w:val="nil"/>
              <w:left w:val="nil"/>
              <w:bottom w:val="single" w:sz="4" w:space="0" w:color="auto"/>
              <w:right w:val="single" w:sz="4" w:space="0" w:color="auto"/>
            </w:tcBorders>
            <w:shd w:val="clear" w:color="auto" w:fill="auto"/>
            <w:noWrap/>
            <w:vAlign w:val="bottom"/>
            <w:hideMark/>
          </w:tcPr>
          <w:p w14:paraId="74BDE0A8"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24234,65</w:t>
            </w:r>
          </w:p>
        </w:tc>
        <w:tc>
          <w:tcPr>
            <w:tcW w:w="1375" w:type="dxa"/>
            <w:tcBorders>
              <w:top w:val="nil"/>
              <w:left w:val="nil"/>
              <w:bottom w:val="single" w:sz="4" w:space="0" w:color="auto"/>
              <w:right w:val="single" w:sz="4" w:space="0" w:color="auto"/>
            </w:tcBorders>
            <w:shd w:val="clear" w:color="auto" w:fill="auto"/>
            <w:noWrap/>
            <w:vAlign w:val="bottom"/>
            <w:hideMark/>
          </w:tcPr>
          <w:p w14:paraId="33607E06"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21693,49</w:t>
            </w:r>
          </w:p>
        </w:tc>
        <w:tc>
          <w:tcPr>
            <w:tcW w:w="1602" w:type="dxa"/>
            <w:tcBorders>
              <w:top w:val="nil"/>
              <w:left w:val="nil"/>
              <w:bottom w:val="single" w:sz="4" w:space="0" w:color="auto"/>
              <w:right w:val="single" w:sz="4" w:space="0" w:color="auto"/>
            </w:tcBorders>
            <w:shd w:val="clear" w:color="auto" w:fill="auto"/>
            <w:hideMark/>
          </w:tcPr>
          <w:p w14:paraId="17CF82BA"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8,86</w:t>
            </w:r>
          </w:p>
        </w:tc>
        <w:tc>
          <w:tcPr>
            <w:tcW w:w="1701" w:type="dxa"/>
            <w:tcBorders>
              <w:top w:val="nil"/>
              <w:left w:val="nil"/>
              <w:bottom w:val="single" w:sz="4" w:space="0" w:color="auto"/>
              <w:right w:val="single" w:sz="4" w:space="0" w:color="auto"/>
            </w:tcBorders>
            <w:shd w:val="clear" w:color="auto" w:fill="auto"/>
            <w:noWrap/>
            <w:vAlign w:val="bottom"/>
            <w:hideMark/>
          </w:tcPr>
          <w:p w14:paraId="0ED6C52F"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10,22</w:t>
            </w:r>
          </w:p>
        </w:tc>
        <w:tc>
          <w:tcPr>
            <w:tcW w:w="1375" w:type="dxa"/>
            <w:tcBorders>
              <w:top w:val="nil"/>
              <w:left w:val="nil"/>
              <w:bottom w:val="single" w:sz="4" w:space="0" w:color="auto"/>
              <w:right w:val="single" w:sz="8" w:space="0" w:color="auto"/>
            </w:tcBorders>
            <w:shd w:val="clear" w:color="auto" w:fill="auto"/>
            <w:noWrap/>
            <w:vAlign w:val="bottom"/>
            <w:hideMark/>
          </w:tcPr>
          <w:p w14:paraId="6057449C"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1,36</w:t>
            </w:r>
          </w:p>
        </w:tc>
      </w:tr>
      <w:tr w:rsidR="00B5281F" w:rsidRPr="00B5281F" w14:paraId="6C64FFC5" w14:textId="77777777" w:rsidTr="00B5281F">
        <w:trPr>
          <w:trHeight w:val="290"/>
        </w:trPr>
        <w:tc>
          <w:tcPr>
            <w:tcW w:w="3559" w:type="dxa"/>
            <w:vMerge w:val="restart"/>
            <w:tcBorders>
              <w:top w:val="nil"/>
              <w:left w:val="single" w:sz="8" w:space="0" w:color="auto"/>
              <w:bottom w:val="single" w:sz="4" w:space="0" w:color="000000"/>
              <w:right w:val="single" w:sz="4" w:space="0" w:color="auto"/>
            </w:tcBorders>
            <w:shd w:val="clear" w:color="auto" w:fill="auto"/>
            <w:hideMark/>
          </w:tcPr>
          <w:p w14:paraId="2727B78C" w14:textId="77777777" w:rsidR="00B5281F" w:rsidRPr="00B5281F" w:rsidRDefault="00B5281F" w:rsidP="00B5281F">
            <w:pPr>
              <w:rPr>
                <w:rFonts w:cs="Arial"/>
                <w:b/>
                <w:bCs/>
                <w:color w:val="000000"/>
                <w:lang w:val="en-GB" w:eastAsia="de-AT"/>
              </w:rPr>
            </w:pPr>
            <w:r w:rsidRPr="00B5281F">
              <w:rPr>
                <w:rFonts w:cs="Arial"/>
                <w:b/>
                <w:bCs/>
                <w:color w:val="000000"/>
                <w:lang w:val="en-GB" w:eastAsia="de-AT"/>
              </w:rPr>
              <w:t>Probability of unresolved adverse events</w:t>
            </w:r>
          </w:p>
        </w:tc>
        <w:tc>
          <w:tcPr>
            <w:tcW w:w="1418" w:type="dxa"/>
            <w:tcBorders>
              <w:top w:val="nil"/>
              <w:left w:val="nil"/>
              <w:bottom w:val="single" w:sz="4" w:space="0" w:color="auto"/>
              <w:right w:val="single" w:sz="4" w:space="0" w:color="auto"/>
            </w:tcBorders>
            <w:shd w:val="clear" w:color="auto" w:fill="auto"/>
            <w:noWrap/>
            <w:vAlign w:val="bottom"/>
            <w:hideMark/>
          </w:tcPr>
          <w:p w14:paraId="39B933C0" w14:textId="77777777" w:rsidR="00B5281F" w:rsidRPr="00B5281F" w:rsidRDefault="00B5281F" w:rsidP="00B5281F">
            <w:pPr>
              <w:jc w:val="right"/>
              <w:rPr>
                <w:rFonts w:cs="Arial"/>
                <w:color w:val="000000"/>
                <w:lang w:val="de-AT" w:eastAsia="de-AT"/>
              </w:rPr>
            </w:pPr>
            <w:r w:rsidRPr="00B5281F">
              <w:rPr>
                <w:rFonts w:cs="Arial"/>
                <w:color w:val="000000"/>
                <w:lang w:val="de-AT" w:eastAsia="de-AT"/>
              </w:rPr>
              <w:t>0,06101</w:t>
            </w:r>
          </w:p>
        </w:tc>
        <w:tc>
          <w:tcPr>
            <w:tcW w:w="1399" w:type="dxa"/>
            <w:tcBorders>
              <w:top w:val="nil"/>
              <w:left w:val="nil"/>
              <w:bottom w:val="single" w:sz="4" w:space="0" w:color="auto"/>
              <w:right w:val="single" w:sz="4" w:space="0" w:color="auto"/>
            </w:tcBorders>
            <w:shd w:val="clear" w:color="auto" w:fill="auto"/>
            <w:hideMark/>
          </w:tcPr>
          <w:p w14:paraId="110327F1"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2541,16</w:t>
            </w:r>
          </w:p>
        </w:tc>
        <w:tc>
          <w:tcPr>
            <w:tcW w:w="1152" w:type="dxa"/>
            <w:tcBorders>
              <w:top w:val="nil"/>
              <w:left w:val="nil"/>
              <w:bottom w:val="single" w:sz="4" w:space="0" w:color="auto"/>
              <w:right w:val="single" w:sz="4" w:space="0" w:color="auto"/>
            </w:tcBorders>
            <w:shd w:val="clear" w:color="auto" w:fill="auto"/>
            <w:noWrap/>
            <w:vAlign w:val="bottom"/>
            <w:hideMark/>
          </w:tcPr>
          <w:p w14:paraId="411FFE33"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24465,96</w:t>
            </w:r>
          </w:p>
        </w:tc>
        <w:tc>
          <w:tcPr>
            <w:tcW w:w="1375" w:type="dxa"/>
            <w:tcBorders>
              <w:top w:val="nil"/>
              <w:left w:val="nil"/>
              <w:bottom w:val="single" w:sz="4" w:space="0" w:color="auto"/>
              <w:right w:val="single" w:sz="4" w:space="0" w:color="auto"/>
            </w:tcBorders>
            <w:shd w:val="clear" w:color="auto" w:fill="auto"/>
            <w:noWrap/>
            <w:vAlign w:val="bottom"/>
            <w:hideMark/>
          </w:tcPr>
          <w:p w14:paraId="0367C678"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21924,80</w:t>
            </w:r>
          </w:p>
        </w:tc>
        <w:tc>
          <w:tcPr>
            <w:tcW w:w="1602" w:type="dxa"/>
            <w:tcBorders>
              <w:top w:val="nil"/>
              <w:left w:val="nil"/>
              <w:bottom w:val="single" w:sz="4" w:space="0" w:color="auto"/>
              <w:right w:val="single" w:sz="4" w:space="0" w:color="auto"/>
            </w:tcBorders>
            <w:shd w:val="clear" w:color="auto" w:fill="auto"/>
            <w:hideMark/>
          </w:tcPr>
          <w:p w14:paraId="3F359833"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8,86</w:t>
            </w:r>
          </w:p>
        </w:tc>
        <w:tc>
          <w:tcPr>
            <w:tcW w:w="1701" w:type="dxa"/>
            <w:tcBorders>
              <w:top w:val="nil"/>
              <w:left w:val="nil"/>
              <w:bottom w:val="single" w:sz="4" w:space="0" w:color="auto"/>
              <w:right w:val="single" w:sz="4" w:space="0" w:color="auto"/>
            </w:tcBorders>
            <w:shd w:val="clear" w:color="auto" w:fill="auto"/>
            <w:noWrap/>
            <w:vAlign w:val="bottom"/>
            <w:hideMark/>
          </w:tcPr>
          <w:p w14:paraId="061CB59F"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10,27</w:t>
            </w:r>
          </w:p>
        </w:tc>
        <w:tc>
          <w:tcPr>
            <w:tcW w:w="1375" w:type="dxa"/>
            <w:tcBorders>
              <w:top w:val="nil"/>
              <w:left w:val="nil"/>
              <w:bottom w:val="single" w:sz="4" w:space="0" w:color="auto"/>
              <w:right w:val="single" w:sz="8" w:space="0" w:color="auto"/>
            </w:tcBorders>
            <w:shd w:val="clear" w:color="auto" w:fill="auto"/>
            <w:noWrap/>
            <w:vAlign w:val="bottom"/>
            <w:hideMark/>
          </w:tcPr>
          <w:p w14:paraId="1670471E"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1,41</w:t>
            </w:r>
          </w:p>
        </w:tc>
      </w:tr>
      <w:tr w:rsidR="00B5281F" w:rsidRPr="00B5281F" w14:paraId="45201603" w14:textId="77777777" w:rsidTr="00B5281F">
        <w:trPr>
          <w:trHeight w:val="290"/>
        </w:trPr>
        <w:tc>
          <w:tcPr>
            <w:tcW w:w="3559" w:type="dxa"/>
            <w:vMerge/>
            <w:tcBorders>
              <w:top w:val="nil"/>
              <w:left w:val="single" w:sz="8" w:space="0" w:color="auto"/>
              <w:bottom w:val="single" w:sz="4" w:space="0" w:color="000000"/>
              <w:right w:val="single" w:sz="4" w:space="0" w:color="auto"/>
            </w:tcBorders>
            <w:vAlign w:val="center"/>
            <w:hideMark/>
          </w:tcPr>
          <w:p w14:paraId="79B51968" w14:textId="77777777" w:rsidR="00B5281F" w:rsidRPr="00B5281F" w:rsidRDefault="00B5281F" w:rsidP="00B5281F">
            <w:pPr>
              <w:rPr>
                <w:rFonts w:cs="Arial"/>
                <w:b/>
                <w:bCs/>
                <w:color w:val="000000"/>
                <w:lang w:val="de-AT" w:eastAsia="de-AT"/>
              </w:rPr>
            </w:pPr>
          </w:p>
        </w:tc>
        <w:tc>
          <w:tcPr>
            <w:tcW w:w="1418" w:type="dxa"/>
            <w:tcBorders>
              <w:top w:val="nil"/>
              <w:left w:val="nil"/>
              <w:bottom w:val="single" w:sz="4" w:space="0" w:color="auto"/>
              <w:right w:val="single" w:sz="4" w:space="0" w:color="auto"/>
            </w:tcBorders>
            <w:shd w:val="clear" w:color="auto" w:fill="auto"/>
            <w:noWrap/>
            <w:vAlign w:val="bottom"/>
            <w:hideMark/>
          </w:tcPr>
          <w:p w14:paraId="339C99C0" w14:textId="77777777" w:rsidR="00B5281F" w:rsidRPr="00B5281F" w:rsidRDefault="00B5281F" w:rsidP="00B5281F">
            <w:pPr>
              <w:jc w:val="right"/>
              <w:rPr>
                <w:rFonts w:cs="Arial"/>
                <w:color w:val="000000"/>
                <w:lang w:val="de-AT" w:eastAsia="de-AT"/>
              </w:rPr>
            </w:pPr>
            <w:r w:rsidRPr="00B5281F">
              <w:rPr>
                <w:rFonts w:cs="Arial"/>
                <w:color w:val="000000"/>
                <w:lang w:val="de-AT" w:eastAsia="de-AT"/>
              </w:rPr>
              <w:t>0,21301</w:t>
            </w:r>
          </w:p>
        </w:tc>
        <w:tc>
          <w:tcPr>
            <w:tcW w:w="1399" w:type="dxa"/>
            <w:tcBorders>
              <w:top w:val="nil"/>
              <w:left w:val="nil"/>
              <w:bottom w:val="single" w:sz="4" w:space="0" w:color="auto"/>
              <w:right w:val="single" w:sz="4" w:space="0" w:color="auto"/>
            </w:tcBorders>
            <w:shd w:val="clear" w:color="auto" w:fill="auto"/>
            <w:hideMark/>
          </w:tcPr>
          <w:p w14:paraId="19C3350B"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2541,16</w:t>
            </w:r>
          </w:p>
        </w:tc>
        <w:tc>
          <w:tcPr>
            <w:tcW w:w="1152" w:type="dxa"/>
            <w:tcBorders>
              <w:top w:val="nil"/>
              <w:left w:val="nil"/>
              <w:bottom w:val="single" w:sz="4" w:space="0" w:color="auto"/>
              <w:right w:val="single" w:sz="4" w:space="0" w:color="auto"/>
            </w:tcBorders>
            <w:shd w:val="clear" w:color="auto" w:fill="auto"/>
            <w:noWrap/>
            <w:vAlign w:val="bottom"/>
            <w:hideMark/>
          </w:tcPr>
          <w:p w14:paraId="70D695C0"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24472,68</w:t>
            </w:r>
          </w:p>
        </w:tc>
        <w:tc>
          <w:tcPr>
            <w:tcW w:w="1375" w:type="dxa"/>
            <w:tcBorders>
              <w:top w:val="nil"/>
              <w:left w:val="nil"/>
              <w:bottom w:val="single" w:sz="4" w:space="0" w:color="auto"/>
              <w:right w:val="single" w:sz="4" w:space="0" w:color="auto"/>
            </w:tcBorders>
            <w:shd w:val="clear" w:color="auto" w:fill="auto"/>
            <w:noWrap/>
            <w:vAlign w:val="bottom"/>
            <w:hideMark/>
          </w:tcPr>
          <w:p w14:paraId="733BCDC6"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21931,52</w:t>
            </w:r>
          </w:p>
        </w:tc>
        <w:tc>
          <w:tcPr>
            <w:tcW w:w="1602" w:type="dxa"/>
            <w:tcBorders>
              <w:top w:val="nil"/>
              <w:left w:val="nil"/>
              <w:bottom w:val="single" w:sz="4" w:space="0" w:color="auto"/>
              <w:right w:val="single" w:sz="4" w:space="0" w:color="auto"/>
            </w:tcBorders>
            <w:shd w:val="clear" w:color="auto" w:fill="auto"/>
            <w:hideMark/>
          </w:tcPr>
          <w:p w14:paraId="58521BD7"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8,86</w:t>
            </w:r>
          </w:p>
        </w:tc>
        <w:tc>
          <w:tcPr>
            <w:tcW w:w="1701" w:type="dxa"/>
            <w:tcBorders>
              <w:top w:val="nil"/>
              <w:left w:val="nil"/>
              <w:bottom w:val="single" w:sz="4" w:space="0" w:color="auto"/>
              <w:right w:val="single" w:sz="4" w:space="0" w:color="auto"/>
            </w:tcBorders>
            <w:shd w:val="clear" w:color="auto" w:fill="auto"/>
            <w:noWrap/>
            <w:vAlign w:val="bottom"/>
            <w:hideMark/>
          </w:tcPr>
          <w:p w14:paraId="6102EB22"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10,27</w:t>
            </w:r>
          </w:p>
        </w:tc>
        <w:tc>
          <w:tcPr>
            <w:tcW w:w="1375" w:type="dxa"/>
            <w:tcBorders>
              <w:top w:val="nil"/>
              <w:left w:val="nil"/>
              <w:bottom w:val="single" w:sz="4" w:space="0" w:color="auto"/>
              <w:right w:val="single" w:sz="8" w:space="0" w:color="auto"/>
            </w:tcBorders>
            <w:shd w:val="clear" w:color="auto" w:fill="auto"/>
            <w:noWrap/>
            <w:vAlign w:val="bottom"/>
            <w:hideMark/>
          </w:tcPr>
          <w:p w14:paraId="480363FF"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1,41</w:t>
            </w:r>
          </w:p>
        </w:tc>
      </w:tr>
      <w:tr w:rsidR="00B5281F" w:rsidRPr="00B5281F" w14:paraId="32961FA2" w14:textId="77777777" w:rsidTr="00B5281F">
        <w:trPr>
          <w:trHeight w:val="290"/>
        </w:trPr>
        <w:tc>
          <w:tcPr>
            <w:tcW w:w="3559" w:type="dxa"/>
            <w:vMerge w:val="restart"/>
            <w:tcBorders>
              <w:top w:val="nil"/>
              <w:left w:val="single" w:sz="8" w:space="0" w:color="auto"/>
              <w:bottom w:val="single" w:sz="4" w:space="0" w:color="000000"/>
              <w:right w:val="single" w:sz="4" w:space="0" w:color="auto"/>
            </w:tcBorders>
            <w:shd w:val="clear" w:color="auto" w:fill="auto"/>
            <w:hideMark/>
          </w:tcPr>
          <w:p w14:paraId="7AF94BE6" w14:textId="77777777" w:rsidR="00B5281F" w:rsidRPr="00B5281F" w:rsidRDefault="00B5281F" w:rsidP="00B5281F">
            <w:pPr>
              <w:rPr>
                <w:rFonts w:cs="Arial"/>
                <w:b/>
                <w:bCs/>
                <w:color w:val="000000"/>
                <w:lang w:val="de-AT" w:eastAsia="de-AT"/>
              </w:rPr>
            </w:pPr>
            <w:r w:rsidRPr="00B5281F">
              <w:rPr>
                <w:rFonts w:cs="Arial"/>
                <w:b/>
                <w:bCs/>
                <w:color w:val="000000"/>
                <w:lang w:val="de-AT" w:eastAsia="de-AT"/>
              </w:rPr>
              <w:t>Probability of revision surgery</w:t>
            </w:r>
          </w:p>
        </w:tc>
        <w:tc>
          <w:tcPr>
            <w:tcW w:w="1418" w:type="dxa"/>
            <w:tcBorders>
              <w:top w:val="nil"/>
              <w:left w:val="nil"/>
              <w:bottom w:val="single" w:sz="4" w:space="0" w:color="auto"/>
              <w:right w:val="single" w:sz="4" w:space="0" w:color="auto"/>
            </w:tcBorders>
            <w:shd w:val="clear" w:color="auto" w:fill="auto"/>
            <w:noWrap/>
            <w:vAlign w:val="bottom"/>
            <w:hideMark/>
          </w:tcPr>
          <w:p w14:paraId="48E1BC74" w14:textId="77777777" w:rsidR="00B5281F" w:rsidRPr="00B5281F" w:rsidRDefault="00B5281F" w:rsidP="00B5281F">
            <w:pPr>
              <w:jc w:val="right"/>
              <w:rPr>
                <w:rFonts w:cs="Arial"/>
                <w:color w:val="000000"/>
                <w:lang w:val="de-AT" w:eastAsia="de-AT"/>
              </w:rPr>
            </w:pPr>
            <w:r w:rsidRPr="00B5281F">
              <w:rPr>
                <w:rFonts w:cs="Arial"/>
                <w:color w:val="000000"/>
                <w:lang w:val="de-AT" w:eastAsia="de-AT"/>
              </w:rPr>
              <w:t>0,00004</w:t>
            </w:r>
          </w:p>
        </w:tc>
        <w:tc>
          <w:tcPr>
            <w:tcW w:w="1399" w:type="dxa"/>
            <w:tcBorders>
              <w:top w:val="nil"/>
              <w:left w:val="nil"/>
              <w:bottom w:val="single" w:sz="4" w:space="0" w:color="auto"/>
              <w:right w:val="single" w:sz="4" w:space="0" w:color="auto"/>
            </w:tcBorders>
            <w:shd w:val="clear" w:color="auto" w:fill="auto"/>
            <w:hideMark/>
          </w:tcPr>
          <w:p w14:paraId="17077866"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2541,16</w:t>
            </w:r>
          </w:p>
        </w:tc>
        <w:tc>
          <w:tcPr>
            <w:tcW w:w="1152" w:type="dxa"/>
            <w:tcBorders>
              <w:top w:val="nil"/>
              <w:left w:val="nil"/>
              <w:bottom w:val="single" w:sz="4" w:space="0" w:color="auto"/>
              <w:right w:val="single" w:sz="4" w:space="0" w:color="auto"/>
            </w:tcBorders>
            <w:shd w:val="clear" w:color="auto" w:fill="auto"/>
            <w:noWrap/>
            <w:vAlign w:val="bottom"/>
            <w:hideMark/>
          </w:tcPr>
          <w:p w14:paraId="14A294C2"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24427,37</w:t>
            </w:r>
          </w:p>
        </w:tc>
        <w:tc>
          <w:tcPr>
            <w:tcW w:w="1375" w:type="dxa"/>
            <w:tcBorders>
              <w:top w:val="nil"/>
              <w:left w:val="nil"/>
              <w:bottom w:val="single" w:sz="4" w:space="0" w:color="auto"/>
              <w:right w:val="single" w:sz="4" w:space="0" w:color="auto"/>
            </w:tcBorders>
            <w:shd w:val="clear" w:color="auto" w:fill="auto"/>
            <w:noWrap/>
            <w:vAlign w:val="bottom"/>
            <w:hideMark/>
          </w:tcPr>
          <w:p w14:paraId="3C3196B1"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21886,21</w:t>
            </w:r>
          </w:p>
        </w:tc>
        <w:tc>
          <w:tcPr>
            <w:tcW w:w="1602" w:type="dxa"/>
            <w:tcBorders>
              <w:top w:val="nil"/>
              <w:left w:val="nil"/>
              <w:bottom w:val="single" w:sz="4" w:space="0" w:color="auto"/>
              <w:right w:val="single" w:sz="4" w:space="0" w:color="auto"/>
            </w:tcBorders>
            <w:shd w:val="clear" w:color="auto" w:fill="auto"/>
            <w:hideMark/>
          </w:tcPr>
          <w:p w14:paraId="556ED153"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8,86</w:t>
            </w:r>
          </w:p>
        </w:tc>
        <w:tc>
          <w:tcPr>
            <w:tcW w:w="1701" w:type="dxa"/>
            <w:tcBorders>
              <w:top w:val="nil"/>
              <w:left w:val="nil"/>
              <w:bottom w:val="single" w:sz="4" w:space="0" w:color="auto"/>
              <w:right w:val="single" w:sz="4" w:space="0" w:color="auto"/>
            </w:tcBorders>
            <w:shd w:val="clear" w:color="auto" w:fill="auto"/>
            <w:noWrap/>
            <w:vAlign w:val="bottom"/>
            <w:hideMark/>
          </w:tcPr>
          <w:p w14:paraId="176152DE"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10,27</w:t>
            </w:r>
          </w:p>
        </w:tc>
        <w:tc>
          <w:tcPr>
            <w:tcW w:w="1375" w:type="dxa"/>
            <w:tcBorders>
              <w:top w:val="nil"/>
              <w:left w:val="nil"/>
              <w:bottom w:val="single" w:sz="4" w:space="0" w:color="auto"/>
              <w:right w:val="single" w:sz="8" w:space="0" w:color="auto"/>
            </w:tcBorders>
            <w:shd w:val="clear" w:color="auto" w:fill="auto"/>
            <w:noWrap/>
            <w:vAlign w:val="bottom"/>
            <w:hideMark/>
          </w:tcPr>
          <w:p w14:paraId="0BB4CFD7"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1,41</w:t>
            </w:r>
          </w:p>
        </w:tc>
      </w:tr>
      <w:tr w:rsidR="00B5281F" w:rsidRPr="00B5281F" w14:paraId="6D63A153" w14:textId="77777777" w:rsidTr="00B5281F">
        <w:trPr>
          <w:trHeight w:val="290"/>
        </w:trPr>
        <w:tc>
          <w:tcPr>
            <w:tcW w:w="3559" w:type="dxa"/>
            <w:vMerge/>
            <w:tcBorders>
              <w:top w:val="nil"/>
              <w:left w:val="single" w:sz="8" w:space="0" w:color="auto"/>
              <w:bottom w:val="single" w:sz="4" w:space="0" w:color="000000"/>
              <w:right w:val="single" w:sz="4" w:space="0" w:color="auto"/>
            </w:tcBorders>
            <w:vAlign w:val="center"/>
            <w:hideMark/>
          </w:tcPr>
          <w:p w14:paraId="444849FE" w14:textId="77777777" w:rsidR="00B5281F" w:rsidRPr="00B5281F" w:rsidRDefault="00B5281F" w:rsidP="00B5281F">
            <w:pPr>
              <w:rPr>
                <w:rFonts w:cs="Arial"/>
                <w:b/>
                <w:bCs/>
                <w:color w:val="000000"/>
                <w:lang w:val="de-AT" w:eastAsia="de-AT"/>
              </w:rPr>
            </w:pPr>
          </w:p>
        </w:tc>
        <w:tc>
          <w:tcPr>
            <w:tcW w:w="1418" w:type="dxa"/>
            <w:tcBorders>
              <w:top w:val="nil"/>
              <w:left w:val="nil"/>
              <w:bottom w:val="single" w:sz="4" w:space="0" w:color="auto"/>
              <w:right w:val="single" w:sz="4" w:space="0" w:color="auto"/>
            </w:tcBorders>
            <w:shd w:val="clear" w:color="auto" w:fill="auto"/>
            <w:noWrap/>
            <w:vAlign w:val="bottom"/>
            <w:hideMark/>
          </w:tcPr>
          <w:p w14:paraId="244B5B55" w14:textId="77777777" w:rsidR="00B5281F" w:rsidRPr="00B5281F" w:rsidRDefault="00B5281F" w:rsidP="00B5281F">
            <w:pPr>
              <w:jc w:val="right"/>
              <w:rPr>
                <w:rFonts w:cs="Arial"/>
                <w:color w:val="000000"/>
                <w:lang w:val="de-AT" w:eastAsia="de-AT"/>
              </w:rPr>
            </w:pPr>
            <w:r w:rsidRPr="00B5281F">
              <w:rPr>
                <w:rFonts w:cs="Arial"/>
                <w:color w:val="000000"/>
                <w:lang w:val="de-AT" w:eastAsia="de-AT"/>
              </w:rPr>
              <w:t>0,33386</w:t>
            </w:r>
          </w:p>
        </w:tc>
        <w:tc>
          <w:tcPr>
            <w:tcW w:w="1399" w:type="dxa"/>
            <w:tcBorders>
              <w:top w:val="nil"/>
              <w:left w:val="nil"/>
              <w:bottom w:val="single" w:sz="4" w:space="0" w:color="auto"/>
              <w:right w:val="single" w:sz="4" w:space="0" w:color="auto"/>
            </w:tcBorders>
            <w:shd w:val="clear" w:color="auto" w:fill="auto"/>
            <w:hideMark/>
          </w:tcPr>
          <w:p w14:paraId="79FB9F59"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2541,16</w:t>
            </w:r>
          </w:p>
        </w:tc>
        <w:tc>
          <w:tcPr>
            <w:tcW w:w="1152" w:type="dxa"/>
            <w:tcBorders>
              <w:top w:val="nil"/>
              <w:left w:val="nil"/>
              <w:bottom w:val="single" w:sz="4" w:space="0" w:color="auto"/>
              <w:right w:val="single" w:sz="4" w:space="0" w:color="auto"/>
            </w:tcBorders>
            <w:shd w:val="clear" w:color="auto" w:fill="auto"/>
            <w:noWrap/>
            <w:vAlign w:val="bottom"/>
            <w:hideMark/>
          </w:tcPr>
          <w:p w14:paraId="451D0082"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24979,69</w:t>
            </w:r>
          </w:p>
        </w:tc>
        <w:tc>
          <w:tcPr>
            <w:tcW w:w="1375" w:type="dxa"/>
            <w:tcBorders>
              <w:top w:val="nil"/>
              <w:left w:val="nil"/>
              <w:bottom w:val="single" w:sz="4" w:space="0" w:color="auto"/>
              <w:right w:val="single" w:sz="4" w:space="0" w:color="auto"/>
            </w:tcBorders>
            <w:shd w:val="clear" w:color="auto" w:fill="auto"/>
            <w:noWrap/>
            <w:vAlign w:val="bottom"/>
            <w:hideMark/>
          </w:tcPr>
          <w:p w14:paraId="04A959B7"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22438,53</w:t>
            </w:r>
          </w:p>
        </w:tc>
        <w:tc>
          <w:tcPr>
            <w:tcW w:w="1602" w:type="dxa"/>
            <w:tcBorders>
              <w:top w:val="nil"/>
              <w:left w:val="nil"/>
              <w:bottom w:val="single" w:sz="4" w:space="0" w:color="auto"/>
              <w:right w:val="single" w:sz="4" w:space="0" w:color="auto"/>
            </w:tcBorders>
            <w:shd w:val="clear" w:color="auto" w:fill="auto"/>
            <w:hideMark/>
          </w:tcPr>
          <w:p w14:paraId="6FE376D4"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8,86</w:t>
            </w:r>
          </w:p>
        </w:tc>
        <w:tc>
          <w:tcPr>
            <w:tcW w:w="1701" w:type="dxa"/>
            <w:tcBorders>
              <w:top w:val="nil"/>
              <w:left w:val="nil"/>
              <w:bottom w:val="single" w:sz="4" w:space="0" w:color="auto"/>
              <w:right w:val="single" w:sz="4" w:space="0" w:color="auto"/>
            </w:tcBorders>
            <w:shd w:val="clear" w:color="auto" w:fill="auto"/>
            <w:noWrap/>
            <w:vAlign w:val="bottom"/>
            <w:hideMark/>
          </w:tcPr>
          <w:p w14:paraId="04528972"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10,27</w:t>
            </w:r>
          </w:p>
        </w:tc>
        <w:tc>
          <w:tcPr>
            <w:tcW w:w="1375" w:type="dxa"/>
            <w:tcBorders>
              <w:top w:val="nil"/>
              <w:left w:val="nil"/>
              <w:bottom w:val="single" w:sz="4" w:space="0" w:color="auto"/>
              <w:right w:val="single" w:sz="8" w:space="0" w:color="auto"/>
            </w:tcBorders>
            <w:shd w:val="clear" w:color="auto" w:fill="auto"/>
            <w:noWrap/>
            <w:vAlign w:val="bottom"/>
            <w:hideMark/>
          </w:tcPr>
          <w:p w14:paraId="6D6F9993"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1,41</w:t>
            </w:r>
          </w:p>
        </w:tc>
      </w:tr>
      <w:tr w:rsidR="00B5281F" w:rsidRPr="00B5281F" w14:paraId="16BAFACF" w14:textId="77777777" w:rsidTr="00B5281F">
        <w:trPr>
          <w:trHeight w:val="290"/>
        </w:trPr>
        <w:tc>
          <w:tcPr>
            <w:tcW w:w="3559" w:type="dxa"/>
            <w:vMerge w:val="restart"/>
            <w:tcBorders>
              <w:top w:val="nil"/>
              <w:left w:val="single" w:sz="8" w:space="0" w:color="auto"/>
              <w:bottom w:val="single" w:sz="4" w:space="0" w:color="000000"/>
              <w:right w:val="single" w:sz="4" w:space="0" w:color="auto"/>
            </w:tcBorders>
            <w:shd w:val="clear" w:color="auto" w:fill="auto"/>
            <w:hideMark/>
          </w:tcPr>
          <w:p w14:paraId="2230CFD6" w14:textId="77777777" w:rsidR="00B5281F" w:rsidRPr="00B5281F" w:rsidRDefault="00B5281F" w:rsidP="00B5281F">
            <w:pPr>
              <w:rPr>
                <w:rFonts w:cs="Arial"/>
                <w:b/>
                <w:bCs/>
                <w:color w:val="000000"/>
                <w:lang w:val="de-AT" w:eastAsia="de-AT"/>
              </w:rPr>
            </w:pPr>
            <w:r w:rsidRPr="00B5281F">
              <w:rPr>
                <w:rFonts w:cs="Arial"/>
                <w:b/>
                <w:bCs/>
                <w:color w:val="000000"/>
                <w:lang w:val="de-AT" w:eastAsia="de-AT"/>
              </w:rPr>
              <w:t>Probability of reimplantation</w:t>
            </w:r>
          </w:p>
        </w:tc>
        <w:tc>
          <w:tcPr>
            <w:tcW w:w="1418" w:type="dxa"/>
            <w:tcBorders>
              <w:top w:val="nil"/>
              <w:left w:val="nil"/>
              <w:bottom w:val="single" w:sz="4" w:space="0" w:color="auto"/>
              <w:right w:val="single" w:sz="4" w:space="0" w:color="auto"/>
            </w:tcBorders>
            <w:shd w:val="clear" w:color="auto" w:fill="auto"/>
            <w:noWrap/>
            <w:vAlign w:val="bottom"/>
            <w:hideMark/>
          </w:tcPr>
          <w:p w14:paraId="45A200C2" w14:textId="77777777" w:rsidR="00B5281F" w:rsidRPr="00B5281F" w:rsidRDefault="00B5281F" w:rsidP="00B5281F">
            <w:pPr>
              <w:jc w:val="right"/>
              <w:rPr>
                <w:rFonts w:cs="Arial"/>
                <w:color w:val="000000"/>
                <w:lang w:val="de-AT" w:eastAsia="de-AT"/>
              </w:rPr>
            </w:pPr>
            <w:r w:rsidRPr="00B5281F">
              <w:rPr>
                <w:rFonts w:cs="Arial"/>
                <w:color w:val="000000"/>
                <w:lang w:val="de-AT" w:eastAsia="de-AT"/>
              </w:rPr>
              <w:t>0,38735</w:t>
            </w:r>
          </w:p>
        </w:tc>
        <w:tc>
          <w:tcPr>
            <w:tcW w:w="1399" w:type="dxa"/>
            <w:tcBorders>
              <w:top w:val="nil"/>
              <w:left w:val="nil"/>
              <w:bottom w:val="single" w:sz="4" w:space="0" w:color="auto"/>
              <w:right w:val="single" w:sz="4" w:space="0" w:color="auto"/>
            </w:tcBorders>
            <w:shd w:val="clear" w:color="auto" w:fill="auto"/>
            <w:hideMark/>
          </w:tcPr>
          <w:p w14:paraId="7303FF45"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2541,16</w:t>
            </w:r>
          </w:p>
        </w:tc>
        <w:tc>
          <w:tcPr>
            <w:tcW w:w="1152" w:type="dxa"/>
            <w:tcBorders>
              <w:top w:val="nil"/>
              <w:left w:val="nil"/>
              <w:bottom w:val="single" w:sz="4" w:space="0" w:color="auto"/>
              <w:right w:val="single" w:sz="4" w:space="0" w:color="auto"/>
            </w:tcBorders>
            <w:shd w:val="clear" w:color="auto" w:fill="auto"/>
            <w:noWrap/>
            <w:vAlign w:val="bottom"/>
            <w:hideMark/>
          </w:tcPr>
          <w:p w14:paraId="7B64F060"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24365,72</w:t>
            </w:r>
          </w:p>
        </w:tc>
        <w:tc>
          <w:tcPr>
            <w:tcW w:w="1375" w:type="dxa"/>
            <w:tcBorders>
              <w:top w:val="nil"/>
              <w:left w:val="nil"/>
              <w:bottom w:val="single" w:sz="4" w:space="0" w:color="auto"/>
              <w:right w:val="single" w:sz="4" w:space="0" w:color="auto"/>
            </w:tcBorders>
            <w:shd w:val="clear" w:color="auto" w:fill="auto"/>
            <w:noWrap/>
            <w:vAlign w:val="bottom"/>
            <w:hideMark/>
          </w:tcPr>
          <w:p w14:paraId="6A668BE2"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21824,57</w:t>
            </w:r>
          </w:p>
        </w:tc>
        <w:tc>
          <w:tcPr>
            <w:tcW w:w="1602" w:type="dxa"/>
            <w:tcBorders>
              <w:top w:val="nil"/>
              <w:left w:val="nil"/>
              <w:bottom w:val="single" w:sz="4" w:space="0" w:color="auto"/>
              <w:right w:val="single" w:sz="4" w:space="0" w:color="auto"/>
            </w:tcBorders>
            <w:shd w:val="clear" w:color="auto" w:fill="auto"/>
            <w:hideMark/>
          </w:tcPr>
          <w:p w14:paraId="7B11446D"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8,86</w:t>
            </w:r>
          </w:p>
        </w:tc>
        <w:tc>
          <w:tcPr>
            <w:tcW w:w="1701" w:type="dxa"/>
            <w:tcBorders>
              <w:top w:val="nil"/>
              <w:left w:val="nil"/>
              <w:bottom w:val="single" w:sz="4" w:space="0" w:color="auto"/>
              <w:right w:val="single" w:sz="4" w:space="0" w:color="auto"/>
            </w:tcBorders>
            <w:shd w:val="clear" w:color="auto" w:fill="auto"/>
            <w:noWrap/>
            <w:vAlign w:val="bottom"/>
            <w:hideMark/>
          </w:tcPr>
          <w:p w14:paraId="607AF5F1"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10,26</w:t>
            </w:r>
          </w:p>
        </w:tc>
        <w:tc>
          <w:tcPr>
            <w:tcW w:w="1375" w:type="dxa"/>
            <w:tcBorders>
              <w:top w:val="nil"/>
              <w:left w:val="nil"/>
              <w:bottom w:val="single" w:sz="4" w:space="0" w:color="auto"/>
              <w:right w:val="single" w:sz="8" w:space="0" w:color="auto"/>
            </w:tcBorders>
            <w:shd w:val="clear" w:color="auto" w:fill="auto"/>
            <w:noWrap/>
            <w:vAlign w:val="bottom"/>
            <w:hideMark/>
          </w:tcPr>
          <w:p w14:paraId="683A116A"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1,40</w:t>
            </w:r>
          </w:p>
        </w:tc>
      </w:tr>
      <w:tr w:rsidR="00B5281F" w:rsidRPr="00B5281F" w14:paraId="3F9217C6" w14:textId="77777777" w:rsidTr="00B5281F">
        <w:trPr>
          <w:trHeight w:val="290"/>
        </w:trPr>
        <w:tc>
          <w:tcPr>
            <w:tcW w:w="3559" w:type="dxa"/>
            <w:vMerge/>
            <w:tcBorders>
              <w:top w:val="nil"/>
              <w:left w:val="single" w:sz="8" w:space="0" w:color="auto"/>
              <w:bottom w:val="single" w:sz="4" w:space="0" w:color="000000"/>
              <w:right w:val="single" w:sz="4" w:space="0" w:color="auto"/>
            </w:tcBorders>
            <w:vAlign w:val="center"/>
            <w:hideMark/>
          </w:tcPr>
          <w:p w14:paraId="1E348EE0" w14:textId="77777777" w:rsidR="00B5281F" w:rsidRPr="00B5281F" w:rsidRDefault="00B5281F" w:rsidP="00B5281F">
            <w:pPr>
              <w:rPr>
                <w:rFonts w:cs="Arial"/>
                <w:b/>
                <w:bCs/>
                <w:color w:val="000000"/>
                <w:lang w:val="de-AT" w:eastAsia="de-AT"/>
              </w:rPr>
            </w:pPr>
          </w:p>
        </w:tc>
        <w:tc>
          <w:tcPr>
            <w:tcW w:w="1418" w:type="dxa"/>
            <w:tcBorders>
              <w:top w:val="nil"/>
              <w:left w:val="nil"/>
              <w:bottom w:val="nil"/>
              <w:right w:val="single" w:sz="4" w:space="0" w:color="auto"/>
            </w:tcBorders>
            <w:shd w:val="clear" w:color="auto" w:fill="auto"/>
            <w:noWrap/>
            <w:vAlign w:val="bottom"/>
            <w:hideMark/>
          </w:tcPr>
          <w:p w14:paraId="6159D947" w14:textId="77777777" w:rsidR="00B5281F" w:rsidRPr="00B5281F" w:rsidRDefault="00B5281F" w:rsidP="00B5281F">
            <w:pPr>
              <w:jc w:val="right"/>
              <w:rPr>
                <w:rFonts w:cs="Arial"/>
                <w:color w:val="000000"/>
                <w:lang w:val="de-AT" w:eastAsia="de-AT"/>
              </w:rPr>
            </w:pPr>
            <w:r w:rsidRPr="00B5281F">
              <w:rPr>
                <w:rFonts w:cs="Arial"/>
                <w:color w:val="000000"/>
                <w:lang w:val="de-AT" w:eastAsia="de-AT"/>
              </w:rPr>
              <w:t>1</w:t>
            </w:r>
          </w:p>
        </w:tc>
        <w:tc>
          <w:tcPr>
            <w:tcW w:w="1399" w:type="dxa"/>
            <w:tcBorders>
              <w:top w:val="nil"/>
              <w:left w:val="nil"/>
              <w:bottom w:val="nil"/>
              <w:right w:val="single" w:sz="4" w:space="0" w:color="auto"/>
            </w:tcBorders>
            <w:shd w:val="clear" w:color="auto" w:fill="auto"/>
            <w:hideMark/>
          </w:tcPr>
          <w:p w14:paraId="4EF15195"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2541,16</w:t>
            </w:r>
          </w:p>
        </w:tc>
        <w:tc>
          <w:tcPr>
            <w:tcW w:w="1152" w:type="dxa"/>
            <w:tcBorders>
              <w:top w:val="nil"/>
              <w:left w:val="nil"/>
              <w:bottom w:val="nil"/>
              <w:right w:val="single" w:sz="4" w:space="0" w:color="auto"/>
            </w:tcBorders>
            <w:shd w:val="clear" w:color="auto" w:fill="auto"/>
            <w:noWrap/>
            <w:vAlign w:val="bottom"/>
            <w:hideMark/>
          </w:tcPr>
          <w:p w14:paraId="1AD3A456"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24539,77</w:t>
            </w:r>
          </w:p>
        </w:tc>
        <w:tc>
          <w:tcPr>
            <w:tcW w:w="1375" w:type="dxa"/>
            <w:tcBorders>
              <w:top w:val="nil"/>
              <w:left w:val="nil"/>
              <w:bottom w:val="nil"/>
              <w:right w:val="single" w:sz="4" w:space="0" w:color="auto"/>
            </w:tcBorders>
            <w:shd w:val="clear" w:color="auto" w:fill="auto"/>
            <w:noWrap/>
            <w:vAlign w:val="bottom"/>
            <w:hideMark/>
          </w:tcPr>
          <w:p w14:paraId="44543D9A"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21998,61</w:t>
            </w:r>
          </w:p>
        </w:tc>
        <w:tc>
          <w:tcPr>
            <w:tcW w:w="1602" w:type="dxa"/>
            <w:tcBorders>
              <w:top w:val="nil"/>
              <w:left w:val="nil"/>
              <w:bottom w:val="nil"/>
              <w:right w:val="single" w:sz="4" w:space="0" w:color="auto"/>
            </w:tcBorders>
            <w:shd w:val="clear" w:color="auto" w:fill="auto"/>
            <w:hideMark/>
          </w:tcPr>
          <w:p w14:paraId="6ECC05EC"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8,86</w:t>
            </w:r>
          </w:p>
        </w:tc>
        <w:tc>
          <w:tcPr>
            <w:tcW w:w="1701" w:type="dxa"/>
            <w:tcBorders>
              <w:top w:val="nil"/>
              <w:left w:val="nil"/>
              <w:bottom w:val="nil"/>
              <w:right w:val="single" w:sz="4" w:space="0" w:color="auto"/>
            </w:tcBorders>
            <w:shd w:val="clear" w:color="auto" w:fill="auto"/>
            <w:noWrap/>
            <w:vAlign w:val="bottom"/>
            <w:hideMark/>
          </w:tcPr>
          <w:p w14:paraId="240C2BCB"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10,28</w:t>
            </w:r>
          </w:p>
        </w:tc>
        <w:tc>
          <w:tcPr>
            <w:tcW w:w="1375" w:type="dxa"/>
            <w:tcBorders>
              <w:top w:val="nil"/>
              <w:left w:val="nil"/>
              <w:bottom w:val="nil"/>
              <w:right w:val="single" w:sz="8" w:space="0" w:color="auto"/>
            </w:tcBorders>
            <w:shd w:val="clear" w:color="auto" w:fill="auto"/>
            <w:noWrap/>
            <w:vAlign w:val="bottom"/>
            <w:hideMark/>
          </w:tcPr>
          <w:p w14:paraId="01F8C45F"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1,42</w:t>
            </w:r>
          </w:p>
        </w:tc>
      </w:tr>
      <w:tr w:rsidR="00B5281F" w:rsidRPr="00B5281F" w14:paraId="0B50589E" w14:textId="77777777" w:rsidTr="00B5281F">
        <w:trPr>
          <w:trHeight w:val="290"/>
        </w:trPr>
        <w:tc>
          <w:tcPr>
            <w:tcW w:w="3559" w:type="dxa"/>
            <w:vMerge w:val="restart"/>
            <w:tcBorders>
              <w:top w:val="nil"/>
              <w:left w:val="single" w:sz="8" w:space="0" w:color="auto"/>
              <w:bottom w:val="single" w:sz="4" w:space="0" w:color="000000"/>
              <w:right w:val="single" w:sz="4" w:space="0" w:color="auto"/>
            </w:tcBorders>
            <w:shd w:val="clear" w:color="auto" w:fill="auto"/>
            <w:hideMark/>
          </w:tcPr>
          <w:p w14:paraId="62A6E7AA" w14:textId="77777777" w:rsidR="00B5281F" w:rsidRPr="00B5281F" w:rsidRDefault="00B5281F" w:rsidP="00B5281F">
            <w:pPr>
              <w:rPr>
                <w:rFonts w:cs="Arial"/>
                <w:b/>
                <w:bCs/>
                <w:color w:val="000000"/>
                <w:lang w:val="en-GB" w:eastAsia="de-AT"/>
              </w:rPr>
            </w:pPr>
            <w:r w:rsidRPr="00B5281F">
              <w:rPr>
                <w:rFonts w:cs="Arial"/>
                <w:b/>
                <w:bCs/>
                <w:color w:val="000000"/>
                <w:lang w:val="en-GB" w:eastAsia="de-AT"/>
              </w:rPr>
              <w:t>Uitlity of receiving no intervention</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38124258" w14:textId="77777777" w:rsidR="00B5281F" w:rsidRPr="00B5281F" w:rsidRDefault="00B5281F" w:rsidP="00B5281F">
            <w:pPr>
              <w:jc w:val="right"/>
              <w:rPr>
                <w:rFonts w:cs="Arial"/>
                <w:color w:val="000000"/>
                <w:lang w:val="de-AT" w:eastAsia="de-AT"/>
              </w:rPr>
            </w:pPr>
            <w:r w:rsidRPr="00B5281F">
              <w:rPr>
                <w:rFonts w:cs="Arial"/>
                <w:color w:val="000000"/>
                <w:lang w:val="de-AT" w:eastAsia="de-AT"/>
              </w:rPr>
              <w:t>0,55261</w:t>
            </w:r>
          </w:p>
        </w:tc>
        <w:tc>
          <w:tcPr>
            <w:tcW w:w="1399" w:type="dxa"/>
            <w:tcBorders>
              <w:top w:val="single" w:sz="4" w:space="0" w:color="auto"/>
              <w:left w:val="nil"/>
              <w:bottom w:val="single" w:sz="4" w:space="0" w:color="auto"/>
              <w:right w:val="single" w:sz="4" w:space="0" w:color="auto"/>
            </w:tcBorders>
            <w:shd w:val="clear" w:color="auto" w:fill="auto"/>
            <w:hideMark/>
          </w:tcPr>
          <w:p w14:paraId="2F87FECA"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2541,16</w:t>
            </w:r>
          </w:p>
        </w:tc>
        <w:tc>
          <w:tcPr>
            <w:tcW w:w="1152" w:type="dxa"/>
            <w:tcBorders>
              <w:top w:val="single" w:sz="4" w:space="0" w:color="auto"/>
              <w:left w:val="nil"/>
              <w:bottom w:val="single" w:sz="4" w:space="0" w:color="auto"/>
              <w:right w:val="single" w:sz="4" w:space="0" w:color="auto"/>
            </w:tcBorders>
            <w:shd w:val="clear" w:color="auto" w:fill="auto"/>
            <w:noWrap/>
            <w:vAlign w:val="bottom"/>
            <w:hideMark/>
          </w:tcPr>
          <w:p w14:paraId="0F46568A"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24468,43</w:t>
            </w:r>
          </w:p>
        </w:tc>
        <w:tc>
          <w:tcPr>
            <w:tcW w:w="1375" w:type="dxa"/>
            <w:tcBorders>
              <w:top w:val="single" w:sz="4" w:space="0" w:color="auto"/>
              <w:left w:val="nil"/>
              <w:bottom w:val="single" w:sz="4" w:space="0" w:color="auto"/>
              <w:right w:val="single" w:sz="4" w:space="0" w:color="auto"/>
            </w:tcBorders>
            <w:shd w:val="clear" w:color="auto" w:fill="auto"/>
            <w:noWrap/>
            <w:vAlign w:val="bottom"/>
            <w:hideMark/>
          </w:tcPr>
          <w:p w14:paraId="1872A6BB"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21927,28</w:t>
            </w:r>
          </w:p>
        </w:tc>
        <w:tc>
          <w:tcPr>
            <w:tcW w:w="1602" w:type="dxa"/>
            <w:tcBorders>
              <w:top w:val="single" w:sz="4" w:space="0" w:color="auto"/>
              <w:left w:val="nil"/>
              <w:bottom w:val="single" w:sz="4" w:space="0" w:color="auto"/>
              <w:right w:val="single" w:sz="4" w:space="0" w:color="auto"/>
            </w:tcBorders>
            <w:shd w:val="clear" w:color="auto" w:fill="auto"/>
            <w:noWrap/>
            <w:vAlign w:val="bottom"/>
            <w:hideMark/>
          </w:tcPr>
          <w:p w14:paraId="01730910"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8,75</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352F55F9"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10,27</w:t>
            </w:r>
          </w:p>
        </w:tc>
        <w:tc>
          <w:tcPr>
            <w:tcW w:w="1375" w:type="dxa"/>
            <w:tcBorders>
              <w:top w:val="single" w:sz="4" w:space="0" w:color="auto"/>
              <w:left w:val="nil"/>
              <w:bottom w:val="single" w:sz="4" w:space="0" w:color="auto"/>
              <w:right w:val="single" w:sz="8" w:space="0" w:color="auto"/>
            </w:tcBorders>
            <w:shd w:val="clear" w:color="auto" w:fill="auto"/>
            <w:noWrap/>
            <w:vAlign w:val="bottom"/>
            <w:hideMark/>
          </w:tcPr>
          <w:p w14:paraId="7401FCE8"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1,52</w:t>
            </w:r>
          </w:p>
        </w:tc>
      </w:tr>
      <w:tr w:rsidR="00B5281F" w:rsidRPr="00B5281F" w14:paraId="514CBDA6" w14:textId="77777777" w:rsidTr="00B5281F">
        <w:trPr>
          <w:trHeight w:val="290"/>
        </w:trPr>
        <w:tc>
          <w:tcPr>
            <w:tcW w:w="3559" w:type="dxa"/>
            <w:vMerge/>
            <w:tcBorders>
              <w:top w:val="nil"/>
              <w:left w:val="single" w:sz="8" w:space="0" w:color="auto"/>
              <w:bottom w:val="single" w:sz="4" w:space="0" w:color="000000"/>
              <w:right w:val="single" w:sz="4" w:space="0" w:color="auto"/>
            </w:tcBorders>
            <w:vAlign w:val="center"/>
            <w:hideMark/>
          </w:tcPr>
          <w:p w14:paraId="246458BA" w14:textId="77777777" w:rsidR="00B5281F" w:rsidRPr="00B5281F" w:rsidRDefault="00B5281F" w:rsidP="00B5281F">
            <w:pPr>
              <w:rPr>
                <w:rFonts w:cs="Arial"/>
                <w:b/>
                <w:bCs/>
                <w:color w:val="000000"/>
                <w:lang w:val="de-AT" w:eastAsia="de-AT"/>
              </w:rPr>
            </w:pPr>
          </w:p>
        </w:tc>
        <w:tc>
          <w:tcPr>
            <w:tcW w:w="1418" w:type="dxa"/>
            <w:tcBorders>
              <w:top w:val="nil"/>
              <w:left w:val="nil"/>
              <w:bottom w:val="single" w:sz="4" w:space="0" w:color="auto"/>
              <w:right w:val="single" w:sz="4" w:space="0" w:color="auto"/>
            </w:tcBorders>
            <w:shd w:val="clear" w:color="auto" w:fill="auto"/>
            <w:noWrap/>
            <w:vAlign w:val="bottom"/>
            <w:hideMark/>
          </w:tcPr>
          <w:p w14:paraId="38AC9B4E" w14:textId="77777777" w:rsidR="00B5281F" w:rsidRPr="00B5281F" w:rsidRDefault="00B5281F" w:rsidP="00B5281F">
            <w:pPr>
              <w:jc w:val="right"/>
              <w:rPr>
                <w:rFonts w:cs="Arial"/>
                <w:color w:val="000000"/>
                <w:lang w:val="de-AT" w:eastAsia="de-AT"/>
              </w:rPr>
            </w:pPr>
            <w:r w:rsidRPr="00B5281F">
              <w:rPr>
                <w:rFonts w:cs="Arial"/>
                <w:color w:val="000000"/>
                <w:lang w:val="de-AT" w:eastAsia="de-AT"/>
              </w:rPr>
              <w:t>0,78474</w:t>
            </w:r>
          </w:p>
        </w:tc>
        <w:tc>
          <w:tcPr>
            <w:tcW w:w="1399" w:type="dxa"/>
            <w:tcBorders>
              <w:top w:val="nil"/>
              <w:left w:val="nil"/>
              <w:bottom w:val="single" w:sz="4" w:space="0" w:color="auto"/>
              <w:right w:val="single" w:sz="4" w:space="0" w:color="auto"/>
            </w:tcBorders>
            <w:shd w:val="clear" w:color="auto" w:fill="auto"/>
            <w:hideMark/>
          </w:tcPr>
          <w:p w14:paraId="50CEE0F8"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2541,16</w:t>
            </w:r>
          </w:p>
        </w:tc>
        <w:tc>
          <w:tcPr>
            <w:tcW w:w="1152" w:type="dxa"/>
            <w:tcBorders>
              <w:top w:val="nil"/>
              <w:left w:val="nil"/>
              <w:bottom w:val="single" w:sz="4" w:space="0" w:color="auto"/>
              <w:right w:val="single" w:sz="4" w:space="0" w:color="auto"/>
            </w:tcBorders>
            <w:shd w:val="clear" w:color="auto" w:fill="auto"/>
            <w:noWrap/>
            <w:vAlign w:val="bottom"/>
            <w:hideMark/>
          </w:tcPr>
          <w:p w14:paraId="2B995792"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24468,43</w:t>
            </w:r>
          </w:p>
        </w:tc>
        <w:tc>
          <w:tcPr>
            <w:tcW w:w="1375" w:type="dxa"/>
            <w:tcBorders>
              <w:top w:val="nil"/>
              <w:left w:val="nil"/>
              <w:bottom w:val="single" w:sz="4" w:space="0" w:color="auto"/>
              <w:right w:val="single" w:sz="4" w:space="0" w:color="auto"/>
            </w:tcBorders>
            <w:shd w:val="clear" w:color="auto" w:fill="auto"/>
            <w:noWrap/>
            <w:vAlign w:val="bottom"/>
            <w:hideMark/>
          </w:tcPr>
          <w:p w14:paraId="34C14ED6"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21927,28</w:t>
            </w:r>
          </w:p>
        </w:tc>
        <w:tc>
          <w:tcPr>
            <w:tcW w:w="1602" w:type="dxa"/>
            <w:tcBorders>
              <w:top w:val="nil"/>
              <w:left w:val="nil"/>
              <w:bottom w:val="single" w:sz="4" w:space="0" w:color="auto"/>
              <w:right w:val="single" w:sz="4" w:space="0" w:color="auto"/>
            </w:tcBorders>
            <w:shd w:val="clear" w:color="auto" w:fill="auto"/>
            <w:noWrap/>
            <w:vAlign w:val="bottom"/>
            <w:hideMark/>
          </w:tcPr>
          <w:p w14:paraId="76FA3690"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8,98</w:t>
            </w:r>
          </w:p>
        </w:tc>
        <w:tc>
          <w:tcPr>
            <w:tcW w:w="1701" w:type="dxa"/>
            <w:tcBorders>
              <w:top w:val="nil"/>
              <w:left w:val="nil"/>
              <w:bottom w:val="single" w:sz="4" w:space="0" w:color="auto"/>
              <w:right w:val="single" w:sz="4" w:space="0" w:color="auto"/>
            </w:tcBorders>
            <w:shd w:val="clear" w:color="auto" w:fill="auto"/>
            <w:noWrap/>
            <w:vAlign w:val="bottom"/>
            <w:hideMark/>
          </w:tcPr>
          <w:p w14:paraId="780C35CF"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10,27</w:t>
            </w:r>
          </w:p>
        </w:tc>
        <w:tc>
          <w:tcPr>
            <w:tcW w:w="1375" w:type="dxa"/>
            <w:tcBorders>
              <w:top w:val="nil"/>
              <w:left w:val="nil"/>
              <w:bottom w:val="single" w:sz="4" w:space="0" w:color="auto"/>
              <w:right w:val="single" w:sz="8" w:space="0" w:color="auto"/>
            </w:tcBorders>
            <w:shd w:val="clear" w:color="auto" w:fill="auto"/>
            <w:noWrap/>
            <w:vAlign w:val="bottom"/>
            <w:hideMark/>
          </w:tcPr>
          <w:p w14:paraId="07793E03"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1,29</w:t>
            </w:r>
          </w:p>
        </w:tc>
      </w:tr>
      <w:tr w:rsidR="00B5281F" w:rsidRPr="00B5281F" w14:paraId="76C1CBDE" w14:textId="77777777" w:rsidTr="00B5281F">
        <w:trPr>
          <w:trHeight w:val="290"/>
        </w:trPr>
        <w:tc>
          <w:tcPr>
            <w:tcW w:w="3559" w:type="dxa"/>
            <w:vMerge w:val="restart"/>
            <w:tcBorders>
              <w:top w:val="nil"/>
              <w:left w:val="single" w:sz="8" w:space="0" w:color="auto"/>
              <w:bottom w:val="single" w:sz="8" w:space="0" w:color="000000"/>
              <w:right w:val="single" w:sz="4" w:space="0" w:color="auto"/>
            </w:tcBorders>
            <w:shd w:val="clear" w:color="auto" w:fill="auto"/>
            <w:hideMark/>
          </w:tcPr>
          <w:p w14:paraId="08146ADD" w14:textId="77777777" w:rsidR="00B5281F" w:rsidRPr="00B5281F" w:rsidRDefault="00B5281F" w:rsidP="00B5281F">
            <w:pPr>
              <w:rPr>
                <w:rFonts w:cs="Arial"/>
                <w:b/>
                <w:bCs/>
                <w:color w:val="000000"/>
                <w:lang w:val="de-AT" w:eastAsia="de-AT"/>
              </w:rPr>
            </w:pPr>
            <w:r w:rsidRPr="00B5281F">
              <w:rPr>
                <w:rFonts w:cs="Arial"/>
                <w:b/>
                <w:bCs/>
                <w:color w:val="000000"/>
                <w:lang w:val="de-AT" w:eastAsia="de-AT"/>
              </w:rPr>
              <w:t>Utility after receiving MEI</w:t>
            </w:r>
          </w:p>
        </w:tc>
        <w:tc>
          <w:tcPr>
            <w:tcW w:w="1418" w:type="dxa"/>
            <w:tcBorders>
              <w:top w:val="nil"/>
              <w:left w:val="nil"/>
              <w:bottom w:val="single" w:sz="4" w:space="0" w:color="auto"/>
              <w:right w:val="single" w:sz="4" w:space="0" w:color="auto"/>
            </w:tcBorders>
            <w:shd w:val="clear" w:color="auto" w:fill="auto"/>
            <w:noWrap/>
            <w:vAlign w:val="bottom"/>
            <w:hideMark/>
          </w:tcPr>
          <w:p w14:paraId="125466CC" w14:textId="77777777" w:rsidR="00B5281F" w:rsidRPr="00B5281F" w:rsidRDefault="00B5281F" w:rsidP="00B5281F">
            <w:pPr>
              <w:jc w:val="right"/>
              <w:rPr>
                <w:rFonts w:cs="Arial"/>
                <w:color w:val="000000"/>
                <w:lang w:val="de-AT" w:eastAsia="de-AT"/>
              </w:rPr>
            </w:pPr>
            <w:r w:rsidRPr="00B5281F">
              <w:rPr>
                <w:rFonts w:cs="Arial"/>
                <w:color w:val="000000"/>
                <w:lang w:val="de-AT" w:eastAsia="de-AT"/>
              </w:rPr>
              <w:t>0,46030</w:t>
            </w:r>
          </w:p>
        </w:tc>
        <w:tc>
          <w:tcPr>
            <w:tcW w:w="1399" w:type="dxa"/>
            <w:tcBorders>
              <w:top w:val="nil"/>
              <w:left w:val="nil"/>
              <w:bottom w:val="single" w:sz="4" w:space="0" w:color="auto"/>
              <w:right w:val="single" w:sz="4" w:space="0" w:color="auto"/>
            </w:tcBorders>
            <w:shd w:val="clear" w:color="auto" w:fill="auto"/>
            <w:hideMark/>
          </w:tcPr>
          <w:p w14:paraId="4AF850AA"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2541,16</w:t>
            </w:r>
          </w:p>
        </w:tc>
        <w:tc>
          <w:tcPr>
            <w:tcW w:w="1152" w:type="dxa"/>
            <w:tcBorders>
              <w:top w:val="nil"/>
              <w:left w:val="nil"/>
              <w:bottom w:val="single" w:sz="4" w:space="0" w:color="auto"/>
              <w:right w:val="single" w:sz="4" w:space="0" w:color="auto"/>
            </w:tcBorders>
            <w:shd w:val="clear" w:color="auto" w:fill="auto"/>
            <w:noWrap/>
            <w:vAlign w:val="bottom"/>
            <w:hideMark/>
          </w:tcPr>
          <w:p w14:paraId="333B5835"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24468,43</w:t>
            </w:r>
          </w:p>
        </w:tc>
        <w:tc>
          <w:tcPr>
            <w:tcW w:w="1375" w:type="dxa"/>
            <w:tcBorders>
              <w:top w:val="nil"/>
              <w:left w:val="nil"/>
              <w:bottom w:val="single" w:sz="4" w:space="0" w:color="auto"/>
              <w:right w:val="single" w:sz="4" w:space="0" w:color="auto"/>
            </w:tcBorders>
            <w:shd w:val="clear" w:color="auto" w:fill="auto"/>
            <w:noWrap/>
            <w:vAlign w:val="bottom"/>
            <w:hideMark/>
          </w:tcPr>
          <w:p w14:paraId="06B3C9EA"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21927,28</w:t>
            </w:r>
          </w:p>
        </w:tc>
        <w:tc>
          <w:tcPr>
            <w:tcW w:w="1602" w:type="dxa"/>
            <w:tcBorders>
              <w:top w:val="nil"/>
              <w:left w:val="nil"/>
              <w:bottom w:val="single" w:sz="4" w:space="0" w:color="auto"/>
              <w:right w:val="single" w:sz="4" w:space="0" w:color="auto"/>
            </w:tcBorders>
            <w:shd w:val="clear" w:color="auto" w:fill="auto"/>
            <w:noWrap/>
            <w:vAlign w:val="bottom"/>
            <w:hideMark/>
          </w:tcPr>
          <w:p w14:paraId="3A55D59F"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8,86</w:t>
            </w:r>
          </w:p>
        </w:tc>
        <w:tc>
          <w:tcPr>
            <w:tcW w:w="1701" w:type="dxa"/>
            <w:tcBorders>
              <w:top w:val="nil"/>
              <w:left w:val="nil"/>
              <w:bottom w:val="single" w:sz="4" w:space="0" w:color="auto"/>
              <w:right w:val="single" w:sz="4" w:space="0" w:color="auto"/>
            </w:tcBorders>
            <w:shd w:val="clear" w:color="auto" w:fill="auto"/>
            <w:noWrap/>
            <w:vAlign w:val="bottom"/>
            <w:hideMark/>
          </w:tcPr>
          <w:p w14:paraId="09F116C6"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10,15</w:t>
            </w:r>
          </w:p>
        </w:tc>
        <w:tc>
          <w:tcPr>
            <w:tcW w:w="1375" w:type="dxa"/>
            <w:tcBorders>
              <w:top w:val="nil"/>
              <w:left w:val="nil"/>
              <w:bottom w:val="single" w:sz="4" w:space="0" w:color="auto"/>
              <w:right w:val="single" w:sz="8" w:space="0" w:color="auto"/>
            </w:tcBorders>
            <w:shd w:val="clear" w:color="auto" w:fill="auto"/>
            <w:noWrap/>
            <w:vAlign w:val="bottom"/>
            <w:hideMark/>
          </w:tcPr>
          <w:p w14:paraId="01034D86"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1,29</w:t>
            </w:r>
          </w:p>
        </w:tc>
      </w:tr>
      <w:tr w:rsidR="00B5281F" w:rsidRPr="00B5281F" w14:paraId="32E7CDCC" w14:textId="77777777" w:rsidTr="00B5281F">
        <w:trPr>
          <w:trHeight w:val="300"/>
        </w:trPr>
        <w:tc>
          <w:tcPr>
            <w:tcW w:w="3559" w:type="dxa"/>
            <w:vMerge/>
            <w:tcBorders>
              <w:top w:val="nil"/>
              <w:left w:val="single" w:sz="8" w:space="0" w:color="auto"/>
              <w:bottom w:val="single" w:sz="8" w:space="0" w:color="000000"/>
              <w:right w:val="single" w:sz="4" w:space="0" w:color="auto"/>
            </w:tcBorders>
            <w:vAlign w:val="center"/>
            <w:hideMark/>
          </w:tcPr>
          <w:p w14:paraId="03B6FAB7" w14:textId="77777777" w:rsidR="00B5281F" w:rsidRPr="00B5281F" w:rsidRDefault="00B5281F" w:rsidP="00B5281F">
            <w:pPr>
              <w:rPr>
                <w:rFonts w:cs="Arial"/>
                <w:b/>
                <w:bCs/>
                <w:color w:val="000000"/>
                <w:lang w:val="de-AT" w:eastAsia="de-AT"/>
              </w:rPr>
            </w:pPr>
          </w:p>
        </w:tc>
        <w:tc>
          <w:tcPr>
            <w:tcW w:w="1418" w:type="dxa"/>
            <w:tcBorders>
              <w:top w:val="nil"/>
              <w:left w:val="nil"/>
              <w:bottom w:val="single" w:sz="8" w:space="0" w:color="auto"/>
              <w:right w:val="single" w:sz="4" w:space="0" w:color="auto"/>
            </w:tcBorders>
            <w:shd w:val="clear" w:color="auto" w:fill="auto"/>
            <w:noWrap/>
            <w:vAlign w:val="bottom"/>
            <w:hideMark/>
          </w:tcPr>
          <w:p w14:paraId="1DBCEF1D" w14:textId="77777777" w:rsidR="00B5281F" w:rsidRPr="00B5281F" w:rsidRDefault="00B5281F" w:rsidP="00B5281F">
            <w:pPr>
              <w:jc w:val="right"/>
              <w:rPr>
                <w:rFonts w:cs="Arial"/>
                <w:color w:val="000000"/>
                <w:lang w:val="de-AT" w:eastAsia="de-AT"/>
              </w:rPr>
            </w:pPr>
            <w:r w:rsidRPr="00B5281F">
              <w:rPr>
                <w:rFonts w:cs="Arial"/>
                <w:color w:val="000000"/>
                <w:lang w:val="de-AT" w:eastAsia="de-AT"/>
              </w:rPr>
              <w:t>0,68996</w:t>
            </w:r>
          </w:p>
        </w:tc>
        <w:tc>
          <w:tcPr>
            <w:tcW w:w="1399" w:type="dxa"/>
            <w:tcBorders>
              <w:top w:val="nil"/>
              <w:left w:val="nil"/>
              <w:bottom w:val="single" w:sz="8" w:space="0" w:color="auto"/>
              <w:right w:val="single" w:sz="4" w:space="0" w:color="auto"/>
            </w:tcBorders>
            <w:shd w:val="clear" w:color="auto" w:fill="auto"/>
            <w:hideMark/>
          </w:tcPr>
          <w:p w14:paraId="742DDA96"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2541,16</w:t>
            </w:r>
          </w:p>
        </w:tc>
        <w:tc>
          <w:tcPr>
            <w:tcW w:w="1152" w:type="dxa"/>
            <w:tcBorders>
              <w:top w:val="nil"/>
              <w:left w:val="nil"/>
              <w:bottom w:val="single" w:sz="4" w:space="0" w:color="auto"/>
              <w:right w:val="single" w:sz="4" w:space="0" w:color="auto"/>
            </w:tcBorders>
            <w:shd w:val="clear" w:color="auto" w:fill="auto"/>
            <w:noWrap/>
            <w:vAlign w:val="bottom"/>
            <w:hideMark/>
          </w:tcPr>
          <w:p w14:paraId="1E27AF65"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24468,43</w:t>
            </w:r>
          </w:p>
        </w:tc>
        <w:tc>
          <w:tcPr>
            <w:tcW w:w="1375" w:type="dxa"/>
            <w:tcBorders>
              <w:top w:val="nil"/>
              <w:left w:val="nil"/>
              <w:bottom w:val="single" w:sz="4" w:space="0" w:color="auto"/>
              <w:right w:val="single" w:sz="4" w:space="0" w:color="auto"/>
            </w:tcBorders>
            <w:shd w:val="clear" w:color="auto" w:fill="auto"/>
            <w:noWrap/>
            <w:vAlign w:val="bottom"/>
            <w:hideMark/>
          </w:tcPr>
          <w:p w14:paraId="738075C1"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21927,28</w:t>
            </w:r>
          </w:p>
        </w:tc>
        <w:tc>
          <w:tcPr>
            <w:tcW w:w="1602" w:type="dxa"/>
            <w:tcBorders>
              <w:top w:val="nil"/>
              <w:left w:val="nil"/>
              <w:bottom w:val="single" w:sz="8" w:space="0" w:color="auto"/>
              <w:right w:val="single" w:sz="4" w:space="0" w:color="auto"/>
            </w:tcBorders>
            <w:shd w:val="clear" w:color="auto" w:fill="auto"/>
            <w:noWrap/>
            <w:vAlign w:val="bottom"/>
            <w:hideMark/>
          </w:tcPr>
          <w:p w14:paraId="22325291"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8,86</w:t>
            </w:r>
          </w:p>
        </w:tc>
        <w:tc>
          <w:tcPr>
            <w:tcW w:w="1701" w:type="dxa"/>
            <w:tcBorders>
              <w:top w:val="nil"/>
              <w:left w:val="nil"/>
              <w:bottom w:val="single" w:sz="8" w:space="0" w:color="auto"/>
              <w:right w:val="single" w:sz="4" w:space="0" w:color="auto"/>
            </w:tcBorders>
            <w:shd w:val="clear" w:color="auto" w:fill="auto"/>
            <w:noWrap/>
            <w:vAlign w:val="bottom"/>
            <w:hideMark/>
          </w:tcPr>
          <w:p w14:paraId="7F965C43"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10,39</w:t>
            </w:r>
          </w:p>
        </w:tc>
        <w:tc>
          <w:tcPr>
            <w:tcW w:w="1375" w:type="dxa"/>
            <w:tcBorders>
              <w:top w:val="nil"/>
              <w:left w:val="nil"/>
              <w:bottom w:val="single" w:sz="8" w:space="0" w:color="auto"/>
              <w:right w:val="single" w:sz="8" w:space="0" w:color="auto"/>
            </w:tcBorders>
            <w:shd w:val="clear" w:color="auto" w:fill="auto"/>
            <w:noWrap/>
            <w:vAlign w:val="bottom"/>
            <w:hideMark/>
          </w:tcPr>
          <w:p w14:paraId="465E8381" w14:textId="77777777" w:rsidR="00B5281F" w:rsidRPr="00B5281F" w:rsidRDefault="00B5281F" w:rsidP="00B5281F">
            <w:pPr>
              <w:jc w:val="center"/>
              <w:rPr>
                <w:rFonts w:cs="Arial"/>
                <w:color w:val="000000"/>
                <w:lang w:val="de-AT" w:eastAsia="de-AT"/>
              </w:rPr>
            </w:pPr>
            <w:r w:rsidRPr="00B5281F">
              <w:rPr>
                <w:rFonts w:cs="Arial"/>
                <w:color w:val="000000"/>
                <w:lang w:val="de-AT" w:eastAsia="de-AT"/>
              </w:rPr>
              <w:t>1,53</w:t>
            </w:r>
          </w:p>
        </w:tc>
      </w:tr>
    </w:tbl>
    <w:p w14:paraId="26770EF7" w14:textId="77777777" w:rsidR="00F14CAB" w:rsidRDefault="00F14CAB" w:rsidP="00400BEC">
      <w:pPr>
        <w:pStyle w:val="Textbody"/>
        <w:rPr>
          <w:sz w:val="20"/>
          <w:szCs w:val="20"/>
          <w:lang w:val="en-GB"/>
        </w:rPr>
      </w:pPr>
    </w:p>
    <w:p w14:paraId="23814255" w14:textId="77777777" w:rsidR="00B5281F" w:rsidRDefault="00B5281F" w:rsidP="00400BEC">
      <w:pPr>
        <w:pStyle w:val="Textbody"/>
        <w:rPr>
          <w:sz w:val="20"/>
          <w:szCs w:val="20"/>
          <w:lang w:val="en-GB"/>
        </w:rPr>
      </w:pPr>
    </w:p>
    <w:p w14:paraId="1E7C0EBF" w14:textId="77777777" w:rsidR="00B5281F" w:rsidRDefault="00B5281F" w:rsidP="00400BEC">
      <w:pPr>
        <w:pStyle w:val="Textbody"/>
        <w:rPr>
          <w:sz w:val="20"/>
          <w:szCs w:val="20"/>
          <w:lang w:val="en-GB"/>
        </w:rPr>
      </w:pPr>
    </w:p>
    <w:p w14:paraId="085476DA" w14:textId="77777777" w:rsidR="00BE1424" w:rsidRDefault="00BE1424">
      <w:pPr>
        <w:rPr>
          <w:rFonts w:cs="Arial"/>
          <w:b/>
          <w:bCs/>
          <w:sz w:val="20"/>
          <w:szCs w:val="20"/>
          <w:lang w:val="en-US" w:eastAsia="de-AT"/>
        </w:rPr>
      </w:pPr>
      <w:bookmarkStart w:id="579" w:name="_Toc431917512"/>
      <w:r>
        <w:rPr>
          <w:b/>
          <w:bCs/>
          <w:sz w:val="20"/>
          <w:szCs w:val="20"/>
        </w:rPr>
        <w:br w:type="page"/>
      </w:r>
    </w:p>
    <w:p w14:paraId="4085D29A" w14:textId="1AAA0A29" w:rsidR="00B22312" w:rsidRPr="00400BEC" w:rsidRDefault="00B22312" w:rsidP="00400BEC">
      <w:pPr>
        <w:pStyle w:val="Textbody"/>
        <w:rPr>
          <w:sz w:val="20"/>
          <w:szCs w:val="20"/>
          <w:lang w:val="en-GB"/>
        </w:rPr>
      </w:pPr>
      <w:r w:rsidRPr="00AE06D8">
        <w:rPr>
          <w:b/>
          <w:bCs/>
          <w:sz w:val="20"/>
          <w:szCs w:val="20"/>
        </w:rPr>
        <w:lastRenderedPageBreak/>
        <w:t xml:space="preserve">Table </w:t>
      </w:r>
      <w:r w:rsidRPr="00AE06D8">
        <w:rPr>
          <w:b/>
          <w:bCs/>
          <w:sz w:val="20"/>
          <w:szCs w:val="20"/>
        </w:rPr>
        <w:fldChar w:fldCharType="begin"/>
      </w:r>
      <w:r w:rsidRPr="00AE06D8">
        <w:rPr>
          <w:b/>
          <w:bCs/>
          <w:sz w:val="20"/>
          <w:szCs w:val="20"/>
        </w:rPr>
        <w:instrText xml:space="preserve"> SEQ Table \* ARABIC </w:instrText>
      </w:r>
      <w:r w:rsidRPr="00AE06D8">
        <w:rPr>
          <w:b/>
          <w:bCs/>
          <w:sz w:val="20"/>
          <w:szCs w:val="20"/>
        </w:rPr>
        <w:fldChar w:fldCharType="separate"/>
      </w:r>
      <w:r w:rsidR="00016592">
        <w:rPr>
          <w:b/>
          <w:bCs/>
          <w:noProof/>
          <w:sz w:val="20"/>
          <w:szCs w:val="20"/>
        </w:rPr>
        <w:t>52</w:t>
      </w:r>
      <w:r w:rsidRPr="00AE06D8">
        <w:rPr>
          <w:b/>
          <w:bCs/>
          <w:sz w:val="20"/>
          <w:szCs w:val="20"/>
        </w:rPr>
        <w:fldChar w:fldCharType="end"/>
      </w:r>
      <w:bookmarkEnd w:id="578"/>
      <w:r w:rsidRPr="00AE06D8">
        <w:rPr>
          <w:b/>
          <w:bCs/>
          <w:sz w:val="20"/>
          <w:szCs w:val="20"/>
        </w:rPr>
        <w:t xml:space="preserve"> </w:t>
      </w:r>
      <w:r>
        <w:rPr>
          <w:b/>
          <w:bCs/>
          <w:sz w:val="20"/>
          <w:szCs w:val="20"/>
        </w:rPr>
        <w:t>–</w:t>
      </w:r>
      <w:r w:rsidRPr="00AE06D8">
        <w:rPr>
          <w:b/>
          <w:bCs/>
          <w:sz w:val="20"/>
          <w:szCs w:val="20"/>
        </w:rPr>
        <w:t xml:space="preserve"> </w:t>
      </w:r>
      <w:r w:rsidR="00682E1A">
        <w:rPr>
          <w:b/>
          <w:sz w:val="20"/>
          <w:szCs w:val="20"/>
          <w:lang w:val="en-GB"/>
        </w:rPr>
        <w:t xml:space="preserve">Deterministic sensitivity analysis for comparing partially implantable </w:t>
      </w:r>
      <w:r w:rsidR="001E0579">
        <w:rPr>
          <w:b/>
          <w:sz w:val="20"/>
          <w:szCs w:val="20"/>
          <w:lang w:val="en-GB"/>
        </w:rPr>
        <w:t>MEI</w:t>
      </w:r>
      <w:r w:rsidR="00F14CAB">
        <w:rPr>
          <w:b/>
          <w:sz w:val="20"/>
          <w:szCs w:val="20"/>
          <w:lang w:val="en-GB"/>
        </w:rPr>
        <w:t xml:space="preserve"> (all monetary outcomes in AUD)</w:t>
      </w:r>
      <w:bookmarkEnd w:id="579"/>
    </w:p>
    <w:tbl>
      <w:tblPr>
        <w:tblW w:w="13806" w:type="dxa"/>
        <w:jc w:val="center"/>
        <w:tblCellMar>
          <w:left w:w="70" w:type="dxa"/>
          <w:right w:w="70" w:type="dxa"/>
        </w:tblCellMar>
        <w:tblLook w:val="04A0" w:firstRow="1" w:lastRow="0" w:firstColumn="1" w:lastColumn="0" w:noHBand="0" w:noVBand="1"/>
        <w:tblDescription w:val="Deterministic sensitivity analysis for comparing partially implantable MEI (all monetary outcomes in AUD)"/>
      </w:tblPr>
      <w:tblGrid>
        <w:gridCol w:w="3587"/>
        <w:gridCol w:w="1418"/>
        <w:gridCol w:w="1451"/>
        <w:gridCol w:w="1058"/>
        <w:gridCol w:w="1424"/>
        <w:gridCol w:w="1639"/>
        <w:gridCol w:w="1639"/>
        <w:gridCol w:w="1590"/>
      </w:tblGrid>
      <w:tr w:rsidR="00682E1A" w:rsidRPr="001E0579" w14:paraId="3D2381C9" w14:textId="77777777" w:rsidTr="009A448B">
        <w:trPr>
          <w:trHeight w:val="580"/>
          <w:jc w:val="center"/>
        </w:trPr>
        <w:tc>
          <w:tcPr>
            <w:tcW w:w="3587"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68ED329D" w14:textId="77777777" w:rsidR="00682E1A" w:rsidRPr="001E0579" w:rsidRDefault="00682E1A" w:rsidP="00682E1A">
            <w:pPr>
              <w:rPr>
                <w:rFonts w:cs="Arial"/>
                <w:b/>
                <w:bCs/>
                <w:color w:val="000000"/>
                <w:lang w:val="de-AT" w:eastAsia="de-AT"/>
              </w:rPr>
            </w:pPr>
            <w:r w:rsidRPr="001E0579">
              <w:rPr>
                <w:rFonts w:cs="Arial"/>
                <w:b/>
                <w:bCs/>
                <w:color w:val="000000"/>
                <w:lang w:val="de-AT" w:eastAsia="de-AT"/>
              </w:rPr>
              <w:t>Variable</w:t>
            </w:r>
          </w:p>
        </w:tc>
        <w:tc>
          <w:tcPr>
            <w:tcW w:w="1418" w:type="dxa"/>
            <w:tcBorders>
              <w:top w:val="single" w:sz="8" w:space="0" w:color="auto"/>
              <w:left w:val="nil"/>
              <w:bottom w:val="single" w:sz="4" w:space="0" w:color="auto"/>
              <w:right w:val="single" w:sz="4" w:space="0" w:color="auto"/>
            </w:tcBorders>
            <w:shd w:val="clear" w:color="auto" w:fill="auto"/>
            <w:vAlign w:val="center"/>
            <w:hideMark/>
          </w:tcPr>
          <w:p w14:paraId="6EBB949D" w14:textId="77777777" w:rsidR="00682E1A" w:rsidRPr="001E0579" w:rsidRDefault="00682E1A" w:rsidP="00682E1A">
            <w:pPr>
              <w:jc w:val="center"/>
              <w:rPr>
                <w:rFonts w:cs="Arial"/>
                <w:b/>
                <w:bCs/>
                <w:color w:val="000000"/>
                <w:lang w:val="de-AT" w:eastAsia="de-AT"/>
              </w:rPr>
            </w:pPr>
            <w:r w:rsidRPr="001E0579">
              <w:rPr>
                <w:rFonts w:cs="Arial"/>
                <w:b/>
                <w:bCs/>
                <w:color w:val="000000"/>
                <w:lang w:val="de-AT" w:eastAsia="de-AT"/>
              </w:rPr>
              <w:t>Input value</w:t>
            </w:r>
          </w:p>
        </w:tc>
        <w:tc>
          <w:tcPr>
            <w:tcW w:w="1451" w:type="dxa"/>
            <w:tcBorders>
              <w:top w:val="single" w:sz="8" w:space="0" w:color="auto"/>
              <w:left w:val="nil"/>
              <w:bottom w:val="single" w:sz="4" w:space="0" w:color="auto"/>
              <w:right w:val="single" w:sz="4" w:space="0" w:color="auto"/>
            </w:tcBorders>
            <w:shd w:val="clear" w:color="auto" w:fill="auto"/>
            <w:vAlign w:val="center"/>
            <w:hideMark/>
          </w:tcPr>
          <w:p w14:paraId="2D41343C" w14:textId="77777777" w:rsidR="00682E1A" w:rsidRPr="001E0579" w:rsidRDefault="00682E1A" w:rsidP="00682E1A">
            <w:pPr>
              <w:jc w:val="center"/>
              <w:rPr>
                <w:rFonts w:cs="Arial"/>
                <w:b/>
                <w:bCs/>
                <w:color w:val="000000"/>
                <w:lang w:val="de-AT" w:eastAsia="de-AT"/>
              </w:rPr>
            </w:pPr>
            <w:r w:rsidRPr="001E0579">
              <w:rPr>
                <w:rFonts w:cs="Arial"/>
                <w:b/>
                <w:bCs/>
                <w:color w:val="000000"/>
                <w:lang w:val="de-AT" w:eastAsia="de-AT"/>
              </w:rPr>
              <w:t>Cost of MAXUM</w:t>
            </w:r>
          </w:p>
        </w:tc>
        <w:tc>
          <w:tcPr>
            <w:tcW w:w="1058" w:type="dxa"/>
            <w:tcBorders>
              <w:top w:val="single" w:sz="8" w:space="0" w:color="auto"/>
              <w:left w:val="nil"/>
              <w:bottom w:val="single" w:sz="4" w:space="0" w:color="auto"/>
              <w:right w:val="single" w:sz="4" w:space="0" w:color="auto"/>
            </w:tcBorders>
            <w:shd w:val="clear" w:color="auto" w:fill="auto"/>
            <w:vAlign w:val="center"/>
            <w:hideMark/>
          </w:tcPr>
          <w:p w14:paraId="397DBC89" w14:textId="77777777" w:rsidR="00682E1A" w:rsidRPr="001E0579" w:rsidRDefault="00682E1A" w:rsidP="00682E1A">
            <w:pPr>
              <w:jc w:val="center"/>
              <w:rPr>
                <w:rFonts w:cs="Arial"/>
                <w:b/>
                <w:bCs/>
                <w:color w:val="000000"/>
                <w:lang w:val="de-AT" w:eastAsia="de-AT"/>
              </w:rPr>
            </w:pPr>
            <w:r w:rsidRPr="001E0579">
              <w:rPr>
                <w:rFonts w:cs="Arial"/>
                <w:b/>
                <w:bCs/>
                <w:color w:val="000000"/>
                <w:lang w:val="de-AT" w:eastAsia="de-AT"/>
              </w:rPr>
              <w:t>Cost of VSB</w:t>
            </w:r>
          </w:p>
        </w:tc>
        <w:tc>
          <w:tcPr>
            <w:tcW w:w="1424" w:type="dxa"/>
            <w:tcBorders>
              <w:top w:val="single" w:sz="8" w:space="0" w:color="auto"/>
              <w:left w:val="nil"/>
              <w:bottom w:val="single" w:sz="4" w:space="0" w:color="auto"/>
              <w:right w:val="single" w:sz="4" w:space="0" w:color="auto"/>
            </w:tcBorders>
            <w:shd w:val="clear" w:color="auto" w:fill="auto"/>
            <w:vAlign w:val="center"/>
            <w:hideMark/>
          </w:tcPr>
          <w:p w14:paraId="27B6AC56" w14:textId="77777777" w:rsidR="00682E1A" w:rsidRPr="001E0579" w:rsidRDefault="00682E1A" w:rsidP="00682E1A">
            <w:pPr>
              <w:jc w:val="center"/>
              <w:rPr>
                <w:rFonts w:cs="Arial"/>
                <w:b/>
                <w:bCs/>
                <w:color w:val="000000"/>
                <w:lang w:val="de-AT" w:eastAsia="de-AT"/>
              </w:rPr>
            </w:pPr>
            <w:r w:rsidRPr="001E0579">
              <w:rPr>
                <w:rFonts w:cs="Arial"/>
                <w:b/>
                <w:bCs/>
                <w:color w:val="000000"/>
                <w:lang w:val="de-AT" w:eastAsia="de-AT"/>
              </w:rPr>
              <w:t>Incremental cost</w:t>
            </w:r>
          </w:p>
        </w:tc>
        <w:tc>
          <w:tcPr>
            <w:tcW w:w="1639" w:type="dxa"/>
            <w:tcBorders>
              <w:top w:val="single" w:sz="8" w:space="0" w:color="auto"/>
              <w:left w:val="nil"/>
              <w:bottom w:val="single" w:sz="4" w:space="0" w:color="auto"/>
              <w:right w:val="single" w:sz="4" w:space="0" w:color="auto"/>
            </w:tcBorders>
            <w:shd w:val="clear" w:color="auto" w:fill="auto"/>
            <w:vAlign w:val="center"/>
            <w:hideMark/>
          </w:tcPr>
          <w:p w14:paraId="25FE2D8B" w14:textId="77777777" w:rsidR="00682E1A" w:rsidRPr="001E0579" w:rsidRDefault="00682E1A" w:rsidP="00682E1A">
            <w:pPr>
              <w:jc w:val="center"/>
              <w:rPr>
                <w:rFonts w:cs="Arial"/>
                <w:b/>
                <w:bCs/>
                <w:color w:val="000000"/>
                <w:lang w:val="de-AT" w:eastAsia="de-AT"/>
              </w:rPr>
            </w:pPr>
            <w:r w:rsidRPr="001E0579">
              <w:rPr>
                <w:rFonts w:cs="Arial"/>
                <w:b/>
                <w:bCs/>
                <w:color w:val="000000"/>
                <w:lang w:val="de-AT" w:eastAsia="de-AT"/>
              </w:rPr>
              <w:t>Effectiveness of MAXUM</w:t>
            </w:r>
          </w:p>
        </w:tc>
        <w:tc>
          <w:tcPr>
            <w:tcW w:w="1639" w:type="dxa"/>
            <w:tcBorders>
              <w:top w:val="single" w:sz="8" w:space="0" w:color="auto"/>
              <w:left w:val="nil"/>
              <w:bottom w:val="single" w:sz="4" w:space="0" w:color="auto"/>
              <w:right w:val="single" w:sz="4" w:space="0" w:color="auto"/>
            </w:tcBorders>
            <w:shd w:val="clear" w:color="auto" w:fill="auto"/>
            <w:vAlign w:val="center"/>
            <w:hideMark/>
          </w:tcPr>
          <w:p w14:paraId="23260038" w14:textId="77777777" w:rsidR="00682E1A" w:rsidRPr="001E0579" w:rsidRDefault="00682E1A" w:rsidP="00682E1A">
            <w:pPr>
              <w:jc w:val="center"/>
              <w:rPr>
                <w:rFonts w:cs="Arial"/>
                <w:b/>
                <w:bCs/>
                <w:color w:val="000000"/>
                <w:lang w:val="de-AT" w:eastAsia="de-AT"/>
              </w:rPr>
            </w:pPr>
            <w:r w:rsidRPr="001E0579">
              <w:rPr>
                <w:rFonts w:cs="Arial"/>
                <w:b/>
                <w:bCs/>
                <w:color w:val="000000"/>
                <w:lang w:val="de-AT" w:eastAsia="de-AT"/>
              </w:rPr>
              <w:t>Effectiveness of VSB</w:t>
            </w:r>
          </w:p>
        </w:tc>
        <w:tc>
          <w:tcPr>
            <w:tcW w:w="1590" w:type="dxa"/>
            <w:tcBorders>
              <w:top w:val="single" w:sz="8" w:space="0" w:color="auto"/>
              <w:left w:val="nil"/>
              <w:bottom w:val="single" w:sz="4" w:space="0" w:color="auto"/>
              <w:right w:val="single" w:sz="8" w:space="0" w:color="auto"/>
            </w:tcBorders>
            <w:shd w:val="clear" w:color="auto" w:fill="auto"/>
            <w:vAlign w:val="center"/>
            <w:hideMark/>
          </w:tcPr>
          <w:p w14:paraId="03E32C34" w14:textId="77777777" w:rsidR="00682E1A" w:rsidRPr="001E0579" w:rsidRDefault="00682E1A" w:rsidP="00682E1A">
            <w:pPr>
              <w:jc w:val="center"/>
              <w:rPr>
                <w:rFonts w:cs="Arial"/>
                <w:b/>
                <w:bCs/>
                <w:color w:val="000000"/>
                <w:lang w:val="de-AT" w:eastAsia="de-AT"/>
              </w:rPr>
            </w:pPr>
            <w:r w:rsidRPr="001E0579">
              <w:rPr>
                <w:rFonts w:cs="Arial"/>
                <w:b/>
                <w:bCs/>
                <w:color w:val="000000"/>
                <w:lang w:val="de-AT" w:eastAsia="de-AT"/>
              </w:rPr>
              <w:t>Incremental effectiveness</w:t>
            </w:r>
          </w:p>
        </w:tc>
      </w:tr>
      <w:tr w:rsidR="00682E1A" w:rsidRPr="001E0579" w14:paraId="6DA2F7A3" w14:textId="77777777" w:rsidTr="009A448B">
        <w:trPr>
          <w:trHeight w:val="290"/>
          <w:jc w:val="center"/>
        </w:trPr>
        <w:tc>
          <w:tcPr>
            <w:tcW w:w="3587" w:type="dxa"/>
            <w:vMerge w:val="restart"/>
            <w:tcBorders>
              <w:top w:val="nil"/>
              <w:left w:val="single" w:sz="8" w:space="0" w:color="auto"/>
              <w:bottom w:val="single" w:sz="4" w:space="0" w:color="000000"/>
              <w:right w:val="single" w:sz="4" w:space="0" w:color="auto"/>
            </w:tcBorders>
            <w:shd w:val="clear" w:color="auto" w:fill="auto"/>
            <w:vAlign w:val="center"/>
            <w:hideMark/>
          </w:tcPr>
          <w:p w14:paraId="1636CD05" w14:textId="77777777" w:rsidR="00682E1A" w:rsidRPr="001E0579" w:rsidRDefault="00682E1A" w:rsidP="00682E1A">
            <w:pPr>
              <w:rPr>
                <w:rFonts w:cs="Arial"/>
                <w:b/>
                <w:bCs/>
                <w:color w:val="000000"/>
                <w:lang w:val="de-AT" w:eastAsia="de-AT"/>
              </w:rPr>
            </w:pPr>
            <w:r w:rsidRPr="001E0579">
              <w:rPr>
                <w:rFonts w:cs="Arial"/>
                <w:b/>
                <w:bCs/>
                <w:color w:val="000000"/>
                <w:lang w:val="de-AT" w:eastAsia="de-AT"/>
              </w:rPr>
              <w:t>Cost of MXM explantation</w:t>
            </w:r>
          </w:p>
        </w:tc>
        <w:tc>
          <w:tcPr>
            <w:tcW w:w="1418" w:type="dxa"/>
            <w:tcBorders>
              <w:top w:val="nil"/>
              <w:left w:val="nil"/>
              <w:bottom w:val="single" w:sz="4" w:space="0" w:color="auto"/>
              <w:right w:val="single" w:sz="4" w:space="0" w:color="auto"/>
            </w:tcBorders>
            <w:shd w:val="clear" w:color="auto" w:fill="auto"/>
            <w:vAlign w:val="center"/>
            <w:hideMark/>
          </w:tcPr>
          <w:p w14:paraId="4F63F9DB" w14:textId="77777777" w:rsidR="00682E1A" w:rsidRPr="001E0579" w:rsidRDefault="00682E1A" w:rsidP="009871ED">
            <w:pPr>
              <w:jc w:val="right"/>
              <w:rPr>
                <w:rFonts w:cs="Arial"/>
                <w:color w:val="000000"/>
                <w:lang w:val="de-AT" w:eastAsia="de-AT"/>
              </w:rPr>
            </w:pPr>
            <w:r w:rsidRPr="001E0579">
              <w:rPr>
                <w:rFonts w:cs="Arial"/>
                <w:color w:val="000000"/>
                <w:lang w:val="de-AT" w:eastAsia="de-AT"/>
              </w:rPr>
              <w:t>2196,18</w:t>
            </w:r>
          </w:p>
        </w:tc>
        <w:tc>
          <w:tcPr>
            <w:tcW w:w="1451" w:type="dxa"/>
            <w:tcBorders>
              <w:top w:val="nil"/>
              <w:left w:val="nil"/>
              <w:bottom w:val="single" w:sz="4" w:space="0" w:color="auto"/>
              <w:right w:val="single" w:sz="4" w:space="0" w:color="auto"/>
            </w:tcBorders>
            <w:shd w:val="clear" w:color="auto" w:fill="auto"/>
            <w:vAlign w:val="center"/>
            <w:hideMark/>
          </w:tcPr>
          <w:p w14:paraId="49751382"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13845,82</w:t>
            </w:r>
          </w:p>
        </w:tc>
        <w:tc>
          <w:tcPr>
            <w:tcW w:w="1058" w:type="dxa"/>
            <w:tcBorders>
              <w:top w:val="nil"/>
              <w:left w:val="nil"/>
              <w:bottom w:val="single" w:sz="4" w:space="0" w:color="auto"/>
              <w:right w:val="single" w:sz="4" w:space="0" w:color="auto"/>
            </w:tcBorders>
            <w:shd w:val="clear" w:color="auto" w:fill="auto"/>
            <w:vAlign w:val="center"/>
            <w:hideMark/>
          </w:tcPr>
          <w:p w14:paraId="2B7A50F9"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25167,89</w:t>
            </w:r>
          </w:p>
        </w:tc>
        <w:tc>
          <w:tcPr>
            <w:tcW w:w="1424" w:type="dxa"/>
            <w:tcBorders>
              <w:top w:val="nil"/>
              <w:left w:val="nil"/>
              <w:bottom w:val="single" w:sz="4" w:space="0" w:color="auto"/>
              <w:right w:val="single" w:sz="4" w:space="0" w:color="auto"/>
            </w:tcBorders>
            <w:shd w:val="clear" w:color="auto" w:fill="auto"/>
            <w:vAlign w:val="center"/>
            <w:hideMark/>
          </w:tcPr>
          <w:p w14:paraId="0E8125C5"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11322,07</w:t>
            </w:r>
          </w:p>
        </w:tc>
        <w:tc>
          <w:tcPr>
            <w:tcW w:w="1639" w:type="dxa"/>
            <w:tcBorders>
              <w:top w:val="nil"/>
              <w:left w:val="nil"/>
              <w:bottom w:val="single" w:sz="4" w:space="0" w:color="auto"/>
              <w:right w:val="single" w:sz="4" w:space="0" w:color="auto"/>
            </w:tcBorders>
            <w:shd w:val="clear" w:color="auto" w:fill="auto"/>
            <w:vAlign w:val="center"/>
            <w:hideMark/>
          </w:tcPr>
          <w:p w14:paraId="0B92AAB8"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791,80</w:t>
            </w:r>
          </w:p>
        </w:tc>
        <w:tc>
          <w:tcPr>
            <w:tcW w:w="1639" w:type="dxa"/>
            <w:tcBorders>
              <w:top w:val="nil"/>
              <w:left w:val="nil"/>
              <w:bottom w:val="single" w:sz="4" w:space="0" w:color="auto"/>
              <w:right w:val="single" w:sz="4" w:space="0" w:color="auto"/>
            </w:tcBorders>
            <w:shd w:val="clear" w:color="auto" w:fill="auto"/>
            <w:vAlign w:val="center"/>
            <w:hideMark/>
          </w:tcPr>
          <w:p w14:paraId="14AC1882"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592,40</w:t>
            </w:r>
          </w:p>
        </w:tc>
        <w:tc>
          <w:tcPr>
            <w:tcW w:w="1590" w:type="dxa"/>
            <w:tcBorders>
              <w:top w:val="nil"/>
              <w:left w:val="nil"/>
              <w:bottom w:val="single" w:sz="4" w:space="0" w:color="auto"/>
              <w:right w:val="single" w:sz="8" w:space="0" w:color="auto"/>
            </w:tcBorders>
            <w:shd w:val="clear" w:color="auto" w:fill="auto"/>
            <w:vAlign w:val="center"/>
            <w:hideMark/>
          </w:tcPr>
          <w:p w14:paraId="2934E787"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199,40</w:t>
            </w:r>
          </w:p>
        </w:tc>
      </w:tr>
      <w:tr w:rsidR="00682E1A" w:rsidRPr="001E0579" w14:paraId="506D5979" w14:textId="77777777" w:rsidTr="009A448B">
        <w:trPr>
          <w:trHeight w:val="290"/>
          <w:jc w:val="center"/>
        </w:trPr>
        <w:tc>
          <w:tcPr>
            <w:tcW w:w="3587" w:type="dxa"/>
            <w:vMerge/>
            <w:tcBorders>
              <w:top w:val="nil"/>
              <w:left w:val="single" w:sz="8" w:space="0" w:color="auto"/>
              <w:bottom w:val="single" w:sz="4" w:space="0" w:color="000000"/>
              <w:right w:val="single" w:sz="4" w:space="0" w:color="auto"/>
            </w:tcBorders>
            <w:vAlign w:val="center"/>
            <w:hideMark/>
          </w:tcPr>
          <w:p w14:paraId="20032100" w14:textId="77777777" w:rsidR="00682E1A" w:rsidRPr="001E0579" w:rsidRDefault="00682E1A" w:rsidP="00682E1A">
            <w:pPr>
              <w:rPr>
                <w:rFonts w:cs="Arial"/>
                <w:b/>
                <w:bCs/>
                <w:color w:val="000000"/>
                <w:lang w:val="de-AT" w:eastAsia="de-AT"/>
              </w:rPr>
            </w:pPr>
          </w:p>
        </w:tc>
        <w:tc>
          <w:tcPr>
            <w:tcW w:w="1418" w:type="dxa"/>
            <w:tcBorders>
              <w:top w:val="nil"/>
              <w:left w:val="nil"/>
              <w:bottom w:val="single" w:sz="4" w:space="0" w:color="auto"/>
              <w:right w:val="single" w:sz="4" w:space="0" w:color="auto"/>
            </w:tcBorders>
            <w:shd w:val="clear" w:color="auto" w:fill="auto"/>
            <w:vAlign w:val="center"/>
            <w:hideMark/>
          </w:tcPr>
          <w:p w14:paraId="3315CF59" w14:textId="77777777" w:rsidR="00682E1A" w:rsidRPr="001E0579" w:rsidRDefault="00682E1A" w:rsidP="009871ED">
            <w:pPr>
              <w:jc w:val="right"/>
              <w:rPr>
                <w:rFonts w:cs="Arial"/>
                <w:color w:val="000000"/>
                <w:lang w:val="de-AT" w:eastAsia="de-AT"/>
              </w:rPr>
            </w:pPr>
            <w:r w:rsidRPr="001E0579">
              <w:rPr>
                <w:rFonts w:cs="Arial"/>
                <w:color w:val="000000"/>
                <w:lang w:val="de-AT" w:eastAsia="de-AT"/>
              </w:rPr>
              <w:t>3536,55</w:t>
            </w:r>
          </w:p>
        </w:tc>
        <w:tc>
          <w:tcPr>
            <w:tcW w:w="1451" w:type="dxa"/>
            <w:tcBorders>
              <w:top w:val="nil"/>
              <w:left w:val="nil"/>
              <w:bottom w:val="single" w:sz="4" w:space="0" w:color="auto"/>
              <w:right w:val="single" w:sz="4" w:space="0" w:color="auto"/>
            </w:tcBorders>
            <w:shd w:val="clear" w:color="auto" w:fill="auto"/>
            <w:vAlign w:val="center"/>
            <w:hideMark/>
          </w:tcPr>
          <w:p w14:paraId="66C054B5"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13852,66</w:t>
            </w:r>
          </w:p>
        </w:tc>
        <w:tc>
          <w:tcPr>
            <w:tcW w:w="1058" w:type="dxa"/>
            <w:tcBorders>
              <w:top w:val="nil"/>
              <w:left w:val="nil"/>
              <w:bottom w:val="single" w:sz="4" w:space="0" w:color="auto"/>
              <w:right w:val="single" w:sz="4" w:space="0" w:color="auto"/>
            </w:tcBorders>
            <w:shd w:val="clear" w:color="auto" w:fill="auto"/>
            <w:vAlign w:val="center"/>
            <w:hideMark/>
          </w:tcPr>
          <w:p w14:paraId="7B7E999D"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25167,89</w:t>
            </w:r>
          </w:p>
        </w:tc>
        <w:tc>
          <w:tcPr>
            <w:tcW w:w="1424" w:type="dxa"/>
            <w:tcBorders>
              <w:top w:val="nil"/>
              <w:left w:val="nil"/>
              <w:bottom w:val="single" w:sz="4" w:space="0" w:color="auto"/>
              <w:right w:val="single" w:sz="4" w:space="0" w:color="auto"/>
            </w:tcBorders>
            <w:shd w:val="clear" w:color="auto" w:fill="auto"/>
            <w:vAlign w:val="center"/>
            <w:hideMark/>
          </w:tcPr>
          <w:p w14:paraId="42D81186"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11315,23</w:t>
            </w:r>
          </w:p>
        </w:tc>
        <w:tc>
          <w:tcPr>
            <w:tcW w:w="1639" w:type="dxa"/>
            <w:tcBorders>
              <w:top w:val="nil"/>
              <w:left w:val="nil"/>
              <w:bottom w:val="single" w:sz="4" w:space="0" w:color="auto"/>
              <w:right w:val="single" w:sz="4" w:space="0" w:color="auto"/>
            </w:tcBorders>
            <w:shd w:val="clear" w:color="auto" w:fill="auto"/>
            <w:vAlign w:val="center"/>
            <w:hideMark/>
          </w:tcPr>
          <w:p w14:paraId="76251453"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791,80</w:t>
            </w:r>
          </w:p>
        </w:tc>
        <w:tc>
          <w:tcPr>
            <w:tcW w:w="1639" w:type="dxa"/>
            <w:tcBorders>
              <w:top w:val="nil"/>
              <w:left w:val="nil"/>
              <w:bottom w:val="single" w:sz="4" w:space="0" w:color="auto"/>
              <w:right w:val="single" w:sz="4" w:space="0" w:color="auto"/>
            </w:tcBorders>
            <w:shd w:val="clear" w:color="auto" w:fill="auto"/>
            <w:vAlign w:val="center"/>
            <w:hideMark/>
          </w:tcPr>
          <w:p w14:paraId="07899B68"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592,40</w:t>
            </w:r>
          </w:p>
        </w:tc>
        <w:tc>
          <w:tcPr>
            <w:tcW w:w="1590" w:type="dxa"/>
            <w:tcBorders>
              <w:top w:val="nil"/>
              <w:left w:val="nil"/>
              <w:bottom w:val="single" w:sz="4" w:space="0" w:color="auto"/>
              <w:right w:val="single" w:sz="8" w:space="0" w:color="auto"/>
            </w:tcBorders>
            <w:shd w:val="clear" w:color="auto" w:fill="auto"/>
            <w:vAlign w:val="center"/>
            <w:hideMark/>
          </w:tcPr>
          <w:p w14:paraId="451BA3F2"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199,40</w:t>
            </w:r>
          </w:p>
        </w:tc>
      </w:tr>
      <w:tr w:rsidR="00682E1A" w:rsidRPr="001E0579" w14:paraId="6241F124" w14:textId="77777777" w:rsidTr="009A448B">
        <w:trPr>
          <w:trHeight w:val="290"/>
          <w:jc w:val="center"/>
        </w:trPr>
        <w:tc>
          <w:tcPr>
            <w:tcW w:w="3587" w:type="dxa"/>
            <w:vMerge w:val="restart"/>
            <w:tcBorders>
              <w:top w:val="nil"/>
              <w:left w:val="single" w:sz="8" w:space="0" w:color="auto"/>
              <w:bottom w:val="single" w:sz="4" w:space="0" w:color="000000"/>
              <w:right w:val="single" w:sz="4" w:space="0" w:color="auto"/>
            </w:tcBorders>
            <w:shd w:val="clear" w:color="auto" w:fill="auto"/>
            <w:vAlign w:val="center"/>
            <w:hideMark/>
          </w:tcPr>
          <w:p w14:paraId="0E0E59A4" w14:textId="77777777" w:rsidR="00682E1A" w:rsidRPr="001E0579" w:rsidRDefault="00682E1A" w:rsidP="00682E1A">
            <w:pPr>
              <w:rPr>
                <w:rFonts w:cs="Arial"/>
                <w:b/>
                <w:bCs/>
                <w:color w:val="000000"/>
                <w:lang w:val="de-AT" w:eastAsia="de-AT"/>
              </w:rPr>
            </w:pPr>
            <w:r w:rsidRPr="001E0579">
              <w:rPr>
                <w:rFonts w:cs="Arial"/>
                <w:b/>
                <w:bCs/>
                <w:color w:val="000000"/>
                <w:lang w:val="de-AT" w:eastAsia="de-AT"/>
              </w:rPr>
              <w:t>Cost of MXM provision</w:t>
            </w:r>
          </w:p>
        </w:tc>
        <w:tc>
          <w:tcPr>
            <w:tcW w:w="1418" w:type="dxa"/>
            <w:tcBorders>
              <w:top w:val="nil"/>
              <w:left w:val="nil"/>
              <w:bottom w:val="single" w:sz="4" w:space="0" w:color="auto"/>
              <w:right w:val="single" w:sz="4" w:space="0" w:color="auto"/>
            </w:tcBorders>
            <w:shd w:val="clear" w:color="auto" w:fill="auto"/>
            <w:vAlign w:val="center"/>
            <w:hideMark/>
          </w:tcPr>
          <w:p w14:paraId="5791A485" w14:textId="77777777" w:rsidR="00682E1A" w:rsidRPr="001E0579" w:rsidRDefault="00682E1A" w:rsidP="009871ED">
            <w:pPr>
              <w:jc w:val="right"/>
              <w:rPr>
                <w:rFonts w:cs="Arial"/>
                <w:color w:val="000000"/>
                <w:lang w:val="de-AT" w:eastAsia="de-AT"/>
              </w:rPr>
            </w:pPr>
            <w:r w:rsidRPr="001E0579">
              <w:rPr>
                <w:rFonts w:cs="Arial"/>
                <w:color w:val="000000"/>
                <w:lang w:val="de-AT" w:eastAsia="de-AT"/>
              </w:rPr>
              <w:t>8049,51</w:t>
            </w:r>
          </w:p>
        </w:tc>
        <w:tc>
          <w:tcPr>
            <w:tcW w:w="1451" w:type="dxa"/>
            <w:tcBorders>
              <w:top w:val="nil"/>
              <w:left w:val="nil"/>
              <w:bottom w:val="single" w:sz="4" w:space="0" w:color="auto"/>
              <w:right w:val="single" w:sz="4" w:space="0" w:color="auto"/>
            </w:tcBorders>
            <w:shd w:val="clear" w:color="auto" w:fill="auto"/>
            <w:vAlign w:val="center"/>
            <w:hideMark/>
          </w:tcPr>
          <w:p w14:paraId="09616826"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11174,80</w:t>
            </w:r>
          </w:p>
        </w:tc>
        <w:tc>
          <w:tcPr>
            <w:tcW w:w="1058" w:type="dxa"/>
            <w:tcBorders>
              <w:top w:val="nil"/>
              <w:left w:val="nil"/>
              <w:bottom w:val="single" w:sz="4" w:space="0" w:color="auto"/>
              <w:right w:val="single" w:sz="4" w:space="0" w:color="auto"/>
            </w:tcBorders>
            <w:shd w:val="clear" w:color="auto" w:fill="auto"/>
            <w:vAlign w:val="center"/>
            <w:hideMark/>
          </w:tcPr>
          <w:p w14:paraId="78E52782"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25167,89</w:t>
            </w:r>
          </w:p>
        </w:tc>
        <w:tc>
          <w:tcPr>
            <w:tcW w:w="1424" w:type="dxa"/>
            <w:tcBorders>
              <w:top w:val="nil"/>
              <w:left w:val="nil"/>
              <w:bottom w:val="single" w:sz="4" w:space="0" w:color="auto"/>
              <w:right w:val="single" w:sz="4" w:space="0" w:color="auto"/>
            </w:tcBorders>
            <w:shd w:val="clear" w:color="auto" w:fill="auto"/>
            <w:vAlign w:val="center"/>
            <w:hideMark/>
          </w:tcPr>
          <w:p w14:paraId="0A299ECA"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13993,09</w:t>
            </w:r>
          </w:p>
        </w:tc>
        <w:tc>
          <w:tcPr>
            <w:tcW w:w="1639" w:type="dxa"/>
            <w:tcBorders>
              <w:top w:val="nil"/>
              <w:left w:val="nil"/>
              <w:bottom w:val="single" w:sz="4" w:space="0" w:color="auto"/>
              <w:right w:val="single" w:sz="4" w:space="0" w:color="auto"/>
            </w:tcBorders>
            <w:shd w:val="clear" w:color="auto" w:fill="auto"/>
            <w:vAlign w:val="center"/>
            <w:hideMark/>
          </w:tcPr>
          <w:p w14:paraId="79BD68E5"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791,80</w:t>
            </w:r>
          </w:p>
        </w:tc>
        <w:tc>
          <w:tcPr>
            <w:tcW w:w="1639" w:type="dxa"/>
            <w:tcBorders>
              <w:top w:val="nil"/>
              <w:left w:val="nil"/>
              <w:bottom w:val="single" w:sz="4" w:space="0" w:color="auto"/>
              <w:right w:val="single" w:sz="4" w:space="0" w:color="auto"/>
            </w:tcBorders>
            <w:shd w:val="clear" w:color="auto" w:fill="auto"/>
            <w:vAlign w:val="center"/>
            <w:hideMark/>
          </w:tcPr>
          <w:p w14:paraId="726E1E43"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592,40</w:t>
            </w:r>
          </w:p>
        </w:tc>
        <w:tc>
          <w:tcPr>
            <w:tcW w:w="1590" w:type="dxa"/>
            <w:tcBorders>
              <w:top w:val="nil"/>
              <w:left w:val="nil"/>
              <w:bottom w:val="single" w:sz="4" w:space="0" w:color="auto"/>
              <w:right w:val="single" w:sz="8" w:space="0" w:color="auto"/>
            </w:tcBorders>
            <w:shd w:val="clear" w:color="auto" w:fill="auto"/>
            <w:vAlign w:val="center"/>
            <w:hideMark/>
          </w:tcPr>
          <w:p w14:paraId="058BE0F6"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199,40</w:t>
            </w:r>
          </w:p>
        </w:tc>
      </w:tr>
      <w:tr w:rsidR="00682E1A" w:rsidRPr="001E0579" w14:paraId="55360B32" w14:textId="77777777" w:rsidTr="009A448B">
        <w:trPr>
          <w:trHeight w:val="290"/>
          <w:jc w:val="center"/>
        </w:trPr>
        <w:tc>
          <w:tcPr>
            <w:tcW w:w="3587" w:type="dxa"/>
            <w:vMerge/>
            <w:tcBorders>
              <w:top w:val="nil"/>
              <w:left w:val="single" w:sz="8" w:space="0" w:color="auto"/>
              <w:bottom w:val="single" w:sz="4" w:space="0" w:color="000000"/>
              <w:right w:val="single" w:sz="4" w:space="0" w:color="auto"/>
            </w:tcBorders>
            <w:vAlign w:val="center"/>
            <w:hideMark/>
          </w:tcPr>
          <w:p w14:paraId="16CCDFA0" w14:textId="77777777" w:rsidR="00682E1A" w:rsidRPr="001E0579" w:rsidRDefault="00682E1A" w:rsidP="00682E1A">
            <w:pPr>
              <w:rPr>
                <w:rFonts w:cs="Arial"/>
                <w:b/>
                <w:bCs/>
                <w:color w:val="000000"/>
                <w:lang w:val="de-AT" w:eastAsia="de-AT"/>
              </w:rPr>
            </w:pPr>
          </w:p>
        </w:tc>
        <w:tc>
          <w:tcPr>
            <w:tcW w:w="1418" w:type="dxa"/>
            <w:tcBorders>
              <w:top w:val="nil"/>
              <w:left w:val="nil"/>
              <w:bottom w:val="single" w:sz="4" w:space="0" w:color="auto"/>
              <w:right w:val="single" w:sz="4" w:space="0" w:color="auto"/>
            </w:tcBorders>
            <w:shd w:val="clear" w:color="auto" w:fill="auto"/>
            <w:vAlign w:val="center"/>
            <w:hideMark/>
          </w:tcPr>
          <w:p w14:paraId="4CABC608" w14:textId="77777777" w:rsidR="00682E1A" w:rsidRPr="001E0579" w:rsidRDefault="00682E1A" w:rsidP="009871ED">
            <w:pPr>
              <w:jc w:val="right"/>
              <w:rPr>
                <w:rFonts w:cs="Arial"/>
                <w:color w:val="000000"/>
                <w:lang w:val="de-AT" w:eastAsia="de-AT"/>
              </w:rPr>
            </w:pPr>
            <w:r w:rsidRPr="001E0579">
              <w:rPr>
                <w:rFonts w:cs="Arial"/>
                <w:color w:val="000000"/>
                <w:lang w:val="de-AT" w:eastAsia="de-AT"/>
              </w:rPr>
              <w:t>13415,85</w:t>
            </w:r>
          </w:p>
        </w:tc>
        <w:tc>
          <w:tcPr>
            <w:tcW w:w="1451" w:type="dxa"/>
            <w:tcBorders>
              <w:top w:val="nil"/>
              <w:left w:val="nil"/>
              <w:bottom w:val="single" w:sz="4" w:space="0" w:color="auto"/>
              <w:right w:val="single" w:sz="4" w:space="0" w:color="auto"/>
            </w:tcBorders>
            <w:shd w:val="clear" w:color="auto" w:fill="auto"/>
            <w:vAlign w:val="center"/>
            <w:hideMark/>
          </w:tcPr>
          <w:p w14:paraId="74D8F0A1"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16524,93</w:t>
            </w:r>
          </w:p>
        </w:tc>
        <w:tc>
          <w:tcPr>
            <w:tcW w:w="1058" w:type="dxa"/>
            <w:tcBorders>
              <w:top w:val="nil"/>
              <w:left w:val="nil"/>
              <w:bottom w:val="single" w:sz="4" w:space="0" w:color="auto"/>
              <w:right w:val="single" w:sz="4" w:space="0" w:color="auto"/>
            </w:tcBorders>
            <w:shd w:val="clear" w:color="auto" w:fill="auto"/>
            <w:vAlign w:val="center"/>
            <w:hideMark/>
          </w:tcPr>
          <w:p w14:paraId="41943485"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25167,89</w:t>
            </w:r>
          </w:p>
        </w:tc>
        <w:tc>
          <w:tcPr>
            <w:tcW w:w="1424" w:type="dxa"/>
            <w:tcBorders>
              <w:top w:val="nil"/>
              <w:left w:val="nil"/>
              <w:bottom w:val="single" w:sz="4" w:space="0" w:color="auto"/>
              <w:right w:val="single" w:sz="4" w:space="0" w:color="auto"/>
            </w:tcBorders>
            <w:shd w:val="clear" w:color="auto" w:fill="auto"/>
            <w:vAlign w:val="center"/>
            <w:hideMark/>
          </w:tcPr>
          <w:p w14:paraId="6DAF98AC"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8642,96</w:t>
            </w:r>
          </w:p>
        </w:tc>
        <w:tc>
          <w:tcPr>
            <w:tcW w:w="1639" w:type="dxa"/>
            <w:tcBorders>
              <w:top w:val="nil"/>
              <w:left w:val="nil"/>
              <w:bottom w:val="single" w:sz="4" w:space="0" w:color="auto"/>
              <w:right w:val="single" w:sz="4" w:space="0" w:color="auto"/>
            </w:tcBorders>
            <w:shd w:val="clear" w:color="auto" w:fill="auto"/>
            <w:vAlign w:val="center"/>
            <w:hideMark/>
          </w:tcPr>
          <w:p w14:paraId="0480EDD5"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791,80</w:t>
            </w:r>
          </w:p>
        </w:tc>
        <w:tc>
          <w:tcPr>
            <w:tcW w:w="1639" w:type="dxa"/>
            <w:tcBorders>
              <w:top w:val="nil"/>
              <w:left w:val="nil"/>
              <w:bottom w:val="single" w:sz="4" w:space="0" w:color="auto"/>
              <w:right w:val="single" w:sz="4" w:space="0" w:color="auto"/>
            </w:tcBorders>
            <w:shd w:val="clear" w:color="auto" w:fill="auto"/>
            <w:vAlign w:val="center"/>
            <w:hideMark/>
          </w:tcPr>
          <w:p w14:paraId="6130B4DB"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592,40</w:t>
            </w:r>
          </w:p>
        </w:tc>
        <w:tc>
          <w:tcPr>
            <w:tcW w:w="1590" w:type="dxa"/>
            <w:tcBorders>
              <w:top w:val="nil"/>
              <w:left w:val="nil"/>
              <w:bottom w:val="single" w:sz="4" w:space="0" w:color="auto"/>
              <w:right w:val="single" w:sz="8" w:space="0" w:color="auto"/>
            </w:tcBorders>
            <w:shd w:val="clear" w:color="auto" w:fill="auto"/>
            <w:vAlign w:val="center"/>
            <w:hideMark/>
          </w:tcPr>
          <w:p w14:paraId="24972368"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199,40</w:t>
            </w:r>
          </w:p>
        </w:tc>
      </w:tr>
      <w:tr w:rsidR="00682E1A" w:rsidRPr="001E0579" w14:paraId="4420C820" w14:textId="77777777" w:rsidTr="009A448B">
        <w:trPr>
          <w:trHeight w:val="288"/>
          <w:jc w:val="center"/>
        </w:trPr>
        <w:tc>
          <w:tcPr>
            <w:tcW w:w="3587"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155862C5" w14:textId="77777777" w:rsidR="00682E1A" w:rsidRPr="001E0579" w:rsidRDefault="00682E1A" w:rsidP="00682E1A">
            <w:pPr>
              <w:rPr>
                <w:rFonts w:cs="Arial"/>
                <w:b/>
                <w:bCs/>
                <w:color w:val="000000"/>
                <w:lang w:val="de-AT" w:eastAsia="de-AT"/>
              </w:rPr>
            </w:pPr>
            <w:r w:rsidRPr="001E0579">
              <w:rPr>
                <w:rFonts w:cs="Arial"/>
                <w:b/>
                <w:bCs/>
                <w:color w:val="000000"/>
                <w:lang w:val="de-AT" w:eastAsia="de-AT"/>
              </w:rPr>
              <w:t>Cost of MXM reimplantation</w:t>
            </w:r>
          </w:p>
        </w:tc>
        <w:tc>
          <w:tcPr>
            <w:tcW w:w="1418" w:type="dxa"/>
            <w:tcBorders>
              <w:top w:val="nil"/>
              <w:left w:val="nil"/>
              <w:bottom w:val="single" w:sz="4" w:space="0" w:color="auto"/>
              <w:right w:val="single" w:sz="4" w:space="0" w:color="auto"/>
            </w:tcBorders>
            <w:shd w:val="clear" w:color="auto" w:fill="auto"/>
            <w:vAlign w:val="center"/>
            <w:hideMark/>
          </w:tcPr>
          <w:p w14:paraId="7AD1DEBA" w14:textId="77777777" w:rsidR="00682E1A" w:rsidRPr="001E0579" w:rsidRDefault="00682E1A" w:rsidP="009871ED">
            <w:pPr>
              <w:jc w:val="right"/>
              <w:rPr>
                <w:rFonts w:cs="Arial"/>
                <w:color w:val="000000"/>
                <w:lang w:val="de-AT" w:eastAsia="de-AT"/>
              </w:rPr>
            </w:pPr>
            <w:r w:rsidRPr="001E0579">
              <w:rPr>
                <w:rFonts w:cs="Arial"/>
                <w:color w:val="000000"/>
                <w:lang w:val="de-AT" w:eastAsia="de-AT"/>
              </w:rPr>
              <w:t>5481,35</w:t>
            </w:r>
          </w:p>
        </w:tc>
        <w:tc>
          <w:tcPr>
            <w:tcW w:w="1451" w:type="dxa"/>
            <w:tcBorders>
              <w:top w:val="nil"/>
              <w:left w:val="nil"/>
              <w:bottom w:val="single" w:sz="4" w:space="0" w:color="auto"/>
              <w:right w:val="single" w:sz="4" w:space="0" w:color="auto"/>
            </w:tcBorders>
            <w:shd w:val="clear" w:color="auto" w:fill="auto"/>
            <w:vAlign w:val="center"/>
            <w:hideMark/>
          </w:tcPr>
          <w:p w14:paraId="605A8A7E"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13821,86</w:t>
            </w:r>
          </w:p>
        </w:tc>
        <w:tc>
          <w:tcPr>
            <w:tcW w:w="1058" w:type="dxa"/>
            <w:tcBorders>
              <w:top w:val="nil"/>
              <w:left w:val="nil"/>
              <w:bottom w:val="single" w:sz="4" w:space="0" w:color="auto"/>
              <w:right w:val="single" w:sz="4" w:space="0" w:color="auto"/>
            </w:tcBorders>
            <w:shd w:val="clear" w:color="auto" w:fill="auto"/>
            <w:vAlign w:val="center"/>
            <w:hideMark/>
          </w:tcPr>
          <w:p w14:paraId="0C7FE69B"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25167,89</w:t>
            </w:r>
          </w:p>
        </w:tc>
        <w:tc>
          <w:tcPr>
            <w:tcW w:w="1424" w:type="dxa"/>
            <w:tcBorders>
              <w:top w:val="nil"/>
              <w:left w:val="nil"/>
              <w:bottom w:val="single" w:sz="4" w:space="0" w:color="auto"/>
              <w:right w:val="single" w:sz="4" w:space="0" w:color="auto"/>
            </w:tcBorders>
            <w:shd w:val="clear" w:color="auto" w:fill="auto"/>
            <w:vAlign w:val="center"/>
            <w:hideMark/>
          </w:tcPr>
          <w:p w14:paraId="21BE9231"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11346,03</w:t>
            </w:r>
          </w:p>
        </w:tc>
        <w:tc>
          <w:tcPr>
            <w:tcW w:w="1639" w:type="dxa"/>
            <w:tcBorders>
              <w:top w:val="nil"/>
              <w:left w:val="nil"/>
              <w:bottom w:val="single" w:sz="4" w:space="0" w:color="auto"/>
              <w:right w:val="single" w:sz="4" w:space="0" w:color="auto"/>
            </w:tcBorders>
            <w:shd w:val="clear" w:color="auto" w:fill="auto"/>
            <w:vAlign w:val="center"/>
            <w:hideMark/>
          </w:tcPr>
          <w:p w14:paraId="26FB1906"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791,80</w:t>
            </w:r>
          </w:p>
        </w:tc>
        <w:tc>
          <w:tcPr>
            <w:tcW w:w="1639" w:type="dxa"/>
            <w:tcBorders>
              <w:top w:val="nil"/>
              <w:left w:val="nil"/>
              <w:bottom w:val="single" w:sz="4" w:space="0" w:color="auto"/>
              <w:right w:val="single" w:sz="4" w:space="0" w:color="auto"/>
            </w:tcBorders>
            <w:shd w:val="clear" w:color="auto" w:fill="auto"/>
            <w:vAlign w:val="center"/>
            <w:hideMark/>
          </w:tcPr>
          <w:p w14:paraId="09FBD001"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592,40</w:t>
            </w:r>
          </w:p>
        </w:tc>
        <w:tc>
          <w:tcPr>
            <w:tcW w:w="1590" w:type="dxa"/>
            <w:tcBorders>
              <w:top w:val="nil"/>
              <w:left w:val="nil"/>
              <w:bottom w:val="single" w:sz="4" w:space="0" w:color="auto"/>
              <w:right w:val="single" w:sz="8" w:space="0" w:color="auto"/>
            </w:tcBorders>
            <w:shd w:val="clear" w:color="auto" w:fill="auto"/>
            <w:vAlign w:val="center"/>
            <w:hideMark/>
          </w:tcPr>
          <w:p w14:paraId="1C675B28"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199,40</w:t>
            </w:r>
          </w:p>
        </w:tc>
      </w:tr>
      <w:tr w:rsidR="00682E1A" w:rsidRPr="001E0579" w14:paraId="7A42E6B8" w14:textId="77777777" w:rsidTr="009A448B">
        <w:trPr>
          <w:trHeight w:val="288"/>
          <w:jc w:val="center"/>
        </w:trPr>
        <w:tc>
          <w:tcPr>
            <w:tcW w:w="3587" w:type="dxa"/>
            <w:vMerge/>
            <w:tcBorders>
              <w:top w:val="nil"/>
              <w:left w:val="single" w:sz="8" w:space="0" w:color="auto"/>
              <w:bottom w:val="single" w:sz="4" w:space="0" w:color="000000"/>
              <w:right w:val="single" w:sz="4" w:space="0" w:color="auto"/>
            </w:tcBorders>
            <w:vAlign w:val="center"/>
            <w:hideMark/>
          </w:tcPr>
          <w:p w14:paraId="38AA4F1D" w14:textId="77777777" w:rsidR="00682E1A" w:rsidRPr="001E0579" w:rsidRDefault="00682E1A" w:rsidP="00682E1A">
            <w:pPr>
              <w:rPr>
                <w:rFonts w:cs="Arial"/>
                <w:b/>
                <w:bCs/>
                <w:color w:val="000000"/>
                <w:lang w:val="de-AT" w:eastAsia="de-AT"/>
              </w:rPr>
            </w:pPr>
          </w:p>
        </w:tc>
        <w:tc>
          <w:tcPr>
            <w:tcW w:w="1418" w:type="dxa"/>
            <w:tcBorders>
              <w:top w:val="nil"/>
              <w:left w:val="nil"/>
              <w:bottom w:val="single" w:sz="4" w:space="0" w:color="auto"/>
              <w:right w:val="single" w:sz="4" w:space="0" w:color="auto"/>
            </w:tcBorders>
            <w:shd w:val="clear" w:color="auto" w:fill="auto"/>
            <w:vAlign w:val="center"/>
            <w:hideMark/>
          </w:tcPr>
          <w:p w14:paraId="78A9DD0E" w14:textId="77777777" w:rsidR="00682E1A" w:rsidRPr="001E0579" w:rsidRDefault="00682E1A" w:rsidP="009871ED">
            <w:pPr>
              <w:jc w:val="right"/>
              <w:rPr>
                <w:rFonts w:cs="Arial"/>
                <w:color w:val="000000"/>
                <w:lang w:val="de-AT" w:eastAsia="de-AT"/>
              </w:rPr>
            </w:pPr>
            <w:r w:rsidRPr="001E0579">
              <w:rPr>
                <w:rFonts w:cs="Arial"/>
                <w:color w:val="000000"/>
                <w:lang w:val="de-AT" w:eastAsia="de-AT"/>
              </w:rPr>
              <w:t>9135,58</w:t>
            </w:r>
          </w:p>
        </w:tc>
        <w:tc>
          <w:tcPr>
            <w:tcW w:w="1451" w:type="dxa"/>
            <w:tcBorders>
              <w:top w:val="nil"/>
              <w:left w:val="nil"/>
              <w:bottom w:val="single" w:sz="4" w:space="0" w:color="auto"/>
              <w:right w:val="single" w:sz="4" w:space="0" w:color="auto"/>
            </w:tcBorders>
            <w:shd w:val="clear" w:color="auto" w:fill="auto"/>
            <w:vAlign w:val="center"/>
            <w:hideMark/>
          </w:tcPr>
          <w:p w14:paraId="279253E7"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13877,88</w:t>
            </w:r>
          </w:p>
        </w:tc>
        <w:tc>
          <w:tcPr>
            <w:tcW w:w="1058" w:type="dxa"/>
            <w:tcBorders>
              <w:top w:val="nil"/>
              <w:left w:val="nil"/>
              <w:bottom w:val="single" w:sz="4" w:space="0" w:color="auto"/>
              <w:right w:val="single" w:sz="4" w:space="0" w:color="auto"/>
            </w:tcBorders>
            <w:shd w:val="clear" w:color="auto" w:fill="auto"/>
            <w:vAlign w:val="center"/>
            <w:hideMark/>
          </w:tcPr>
          <w:p w14:paraId="33A99B76"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25167,89</w:t>
            </w:r>
          </w:p>
        </w:tc>
        <w:tc>
          <w:tcPr>
            <w:tcW w:w="1424" w:type="dxa"/>
            <w:tcBorders>
              <w:top w:val="nil"/>
              <w:left w:val="nil"/>
              <w:bottom w:val="single" w:sz="4" w:space="0" w:color="auto"/>
              <w:right w:val="single" w:sz="4" w:space="0" w:color="auto"/>
            </w:tcBorders>
            <w:shd w:val="clear" w:color="auto" w:fill="auto"/>
            <w:vAlign w:val="center"/>
            <w:hideMark/>
          </w:tcPr>
          <w:p w14:paraId="0CBDCFD8"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11290,01</w:t>
            </w:r>
          </w:p>
        </w:tc>
        <w:tc>
          <w:tcPr>
            <w:tcW w:w="1639" w:type="dxa"/>
            <w:tcBorders>
              <w:top w:val="nil"/>
              <w:left w:val="nil"/>
              <w:bottom w:val="single" w:sz="4" w:space="0" w:color="auto"/>
              <w:right w:val="single" w:sz="4" w:space="0" w:color="auto"/>
            </w:tcBorders>
            <w:shd w:val="clear" w:color="auto" w:fill="auto"/>
            <w:vAlign w:val="center"/>
            <w:hideMark/>
          </w:tcPr>
          <w:p w14:paraId="68DB3A01"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791,80</w:t>
            </w:r>
          </w:p>
        </w:tc>
        <w:tc>
          <w:tcPr>
            <w:tcW w:w="1639" w:type="dxa"/>
            <w:tcBorders>
              <w:top w:val="nil"/>
              <w:left w:val="nil"/>
              <w:bottom w:val="single" w:sz="4" w:space="0" w:color="auto"/>
              <w:right w:val="single" w:sz="4" w:space="0" w:color="auto"/>
            </w:tcBorders>
            <w:shd w:val="clear" w:color="auto" w:fill="auto"/>
            <w:vAlign w:val="center"/>
            <w:hideMark/>
          </w:tcPr>
          <w:p w14:paraId="3D4D1C78"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592,40</w:t>
            </w:r>
          </w:p>
        </w:tc>
        <w:tc>
          <w:tcPr>
            <w:tcW w:w="1590" w:type="dxa"/>
            <w:tcBorders>
              <w:top w:val="nil"/>
              <w:left w:val="nil"/>
              <w:bottom w:val="single" w:sz="4" w:space="0" w:color="auto"/>
              <w:right w:val="single" w:sz="8" w:space="0" w:color="auto"/>
            </w:tcBorders>
            <w:shd w:val="clear" w:color="auto" w:fill="auto"/>
            <w:vAlign w:val="center"/>
            <w:hideMark/>
          </w:tcPr>
          <w:p w14:paraId="5249F4D8"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199,40</w:t>
            </w:r>
          </w:p>
        </w:tc>
      </w:tr>
      <w:tr w:rsidR="00682E1A" w:rsidRPr="001E0579" w14:paraId="641A8550" w14:textId="77777777" w:rsidTr="009A448B">
        <w:trPr>
          <w:trHeight w:val="290"/>
          <w:jc w:val="center"/>
        </w:trPr>
        <w:tc>
          <w:tcPr>
            <w:tcW w:w="3587"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739A2264" w14:textId="77777777" w:rsidR="00682E1A" w:rsidRPr="001E0579" w:rsidRDefault="00682E1A" w:rsidP="00682E1A">
            <w:pPr>
              <w:rPr>
                <w:rFonts w:cs="Arial"/>
                <w:b/>
                <w:bCs/>
                <w:color w:val="000000"/>
                <w:lang w:val="de-AT" w:eastAsia="de-AT"/>
              </w:rPr>
            </w:pPr>
            <w:r w:rsidRPr="001E0579">
              <w:rPr>
                <w:rFonts w:cs="Arial"/>
                <w:b/>
                <w:bCs/>
                <w:color w:val="000000"/>
                <w:lang w:val="de-AT" w:eastAsia="de-AT"/>
              </w:rPr>
              <w:t>Cost of VSB explantation</w:t>
            </w:r>
          </w:p>
        </w:tc>
        <w:tc>
          <w:tcPr>
            <w:tcW w:w="1418" w:type="dxa"/>
            <w:tcBorders>
              <w:top w:val="nil"/>
              <w:left w:val="nil"/>
              <w:bottom w:val="single" w:sz="4" w:space="0" w:color="auto"/>
              <w:right w:val="single" w:sz="4" w:space="0" w:color="auto"/>
            </w:tcBorders>
            <w:shd w:val="clear" w:color="auto" w:fill="auto"/>
            <w:noWrap/>
            <w:vAlign w:val="center"/>
            <w:hideMark/>
          </w:tcPr>
          <w:p w14:paraId="7B2658C6" w14:textId="77777777" w:rsidR="00682E1A" w:rsidRPr="001E0579" w:rsidRDefault="00682E1A" w:rsidP="009871ED">
            <w:pPr>
              <w:jc w:val="right"/>
              <w:rPr>
                <w:rFonts w:cs="Arial"/>
                <w:color w:val="000000"/>
                <w:lang w:val="de-AT" w:eastAsia="de-AT"/>
              </w:rPr>
            </w:pPr>
            <w:r w:rsidRPr="001E0579">
              <w:rPr>
                <w:rFonts w:cs="Arial"/>
                <w:color w:val="000000"/>
                <w:lang w:val="de-AT" w:eastAsia="de-AT"/>
              </w:rPr>
              <w:t>2803,98</w:t>
            </w:r>
          </w:p>
        </w:tc>
        <w:tc>
          <w:tcPr>
            <w:tcW w:w="1451" w:type="dxa"/>
            <w:tcBorders>
              <w:top w:val="nil"/>
              <w:left w:val="nil"/>
              <w:bottom w:val="single" w:sz="4" w:space="0" w:color="auto"/>
              <w:right w:val="single" w:sz="4" w:space="0" w:color="auto"/>
            </w:tcBorders>
            <w:shd w:val="clear" w:color="auto" w:fill="auto"/>
            <w:vAlign w:val="center"/>
            <w:hideMark/>
          </w:tcPr>
          <w:p w14:paraId="0928AD47"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13849,87</w:t>
            </w:r>
          </w:p>
        </w:tc>
        <w:tc>
          <w:tcPr>
            <w:tcW w:w="1058" w:type="dxa"/>
            <w:tcBorders>
              <w:top w:val="nil"/>
              <w:left w:val="nil"/>
              <w:bottom w:val="single" w:sz="4" w:space="0" w:color="auto"/>
              <w:right w:val="single" w:sz="4" w:space="0" w:color="auto"/>
            </w:tcBorders>
            <w:shd w:val="clear" w:color="auto" w:fill="auto"/>
            <w:noWrap/>
            <w:vAlign w:val="center"/>
            <w:hideMark/>
          </w:tcPr>
          <w:p w14:paraId="788C2E51"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25161,53</w:t>
            </w:r>
          </w:p>
        </w:tc>
        <w:tc>
          <w:tcPr>
            <w:tcW w:w="1424" w:type="dxa"/>
            <w:tcBorders>
              <w:top w:val="nil"/>
              <w:left w:val="nil"/>
              <w:bottom w:val="single" w:sz="4" w:space="0" w:color="auto"/>
              <w:right w:val="single" w:sz="4" w:space="0" w:color="auto"/>
            </w:tcBorders>
            <w:shd w:val="clear" w:color="auto" w:fill="auto"/>
            <w:vAlign w:val="center"/>
            <w:hideMark/>
          </w:tcPr>
          <w:p w14:paraId="34D9DC1A"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11311,66</w:t>
            </w:r>
          </w:p>
        </w:tc>
        <w:tc>
          <w:tcPr>
            <w:tcW w:w="1639" w:type="dxa"/>
            <w:tcBorders>
              <w:top w:val="nil"/>
              <w:left w:val="nil"/>
              <w:bottom w:val="single" w:sz="4" w:space="0" w:color="auto"/>
              <w:right w:val="single" w:sz="4" w:space="0" w:color="auto"/>
            </w:tcBorders>
            <w:shd w:val="clear" w:color="auto" w:fill="auto"/>
            <w:vAlign w:val="center"/>
            <w:hideMark/>
          </w:tcPr>
          <w:p w14:paraId="24DDA2E5"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791,80</w:t>
            </w:r>
          </w:p>
        </w:tc>
        <w:tc>
          <w:tcPr>
            <w:tcW w:w="1639" w:type="dxa"/>
            <w:tcBorders>
              <w:top w:val="nil"/>
              <w:left w:val="nil"/>
              <w:bottom w:val="single" w:sz="4" w:space="0" w:color="auto"/>
              <w:right w:val="single" w:sz="4" w:space="0" w:color="auto"/>
            </w:tcBorders>
            <w:shd w:val="clear" w:color="auto" w:fill="auto"/>
            <w:vAlign w:val="center"/>
            <w:hideMark/>
          </w:tcPr>
          <w:p w14:paraId="65BEEFAD"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592,40</w:t>
            </w:r>
          </w:p>
        </w:tc>
        <w:tc>
          <w:tcPr>
            <w:tcW w:w="1590" w:type="dxa"/>
            <w:tcBorders>
              <w:top w:val="nil"/>
              <w:left w:val="nil"/>
              <w:bottom w:val="single" w:sz="4" w:space="0" w:color="auto"/>
              <w:right w:val="single" w:sz="8" w:space="0" w:color="auto"/>
            </w:tcBorders>
            <w:shd w:val="clear" w:color="auto" w:fill="auto"/>
            <w:vAlign w:val="center"/>
            <w:hideMark/>
          </w:tcPr>
          <w:p w14:paraId="68FD9A6F"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199,40</w:t>
            </w:r>
          </w:p>
        </w:tc>
      </w:tr>
      <w:tr w:rsidR="00682E1A" w:rsidRPr="001E0579" w14:paraId="3E0ADE16" w14:textId="77777777" w:rsidTr="009A448B">
        <w:trPr>
          <w:trHeight w:val="290"/>
          <w:jc w:val="center"/>
        </w:trPr>
        <w:tc>
          <w:tcPr>
            <w:tcW w:w="3587" w:type="dxa"/>
            <w:vMerge/>
            <w:tcBorders>
              <w:top w:val="nil"/>
              <w:left w:val="single" w:sz="8" w:space="0" w:color="auto"/>
              <w:bottom w:val="single" w:sz="4" w:space="0" w:color="000000"/>
              <w:right w:val="single" w:sz="4" w:space="0" w:color="auto"/>
            </w:tcBorders>
            <w:vAlign w:val="center"/>
            <w:hideMark/>
          </w:tcPr>
          <w:p w14:paraId="68794AF7" w14:textId="77777777" w:rsidR="00682E1A" w:rsidRPr="001E0579" w:rsidRDefault="00682E1A" w:rsidP="00682E1A">
            <w:pPr>
              <w:rPr>
                <w:rFonts w:cs="Arial"/>
                <w:b/>
                <w:bCs/>
                <w:color w:val="000000"/>
                <w:lang w:val="de-AT" w:eastAsia="de-AT"/>
              </w:rPr>
            </w:pPr>
          </w:p>
        </w:tc>
        <w:tc>
          <w:tcPr>
            <w:tcW w:w="1418" w:type="dxa"/>
            <w:tcBorders>
              <w:top w:val="nil"/>
              <w:left w:val="nil"/>
              <w:bottom w:val="single" w:sz="4" w:space="0" w:color="auto"/>
              <w:right w:val="single" w:sz="4" w:space="0" w:color="auto"/>
            </w:tcBorders>
            <w:shd w:val="clear" w:color="auto" w:fill="auto"/>
            <w:noWrap/>
            <w:vAlign w:val="center"/>
            <w:hideMark/>
          </w:tcPr>
          <w:p w14:paraId="103DDE12" w14:textId="77777777" w:rsidR="00682E1A" w:rsidRPr="001E0579" w:rsidRDefault="00682E1A" w:rsidP="009871ED">
            <w:pPr>
              <w:jc w:val="right"/>
              <w:rPr>
                <w:rFonts w:cs="Arial"/>
                <w:color w:val="000000"/>
                <w:lang w:val="de-AT" w:eastAsia="de-AT"/>
              </w:rPr>
            </w:pPr>
            <w:r w:rsidRPr="001E0579">
              <w:rPr>
                <w:rFonts w:cs="Arial"/>
                <w:color w:val="000000"/>
                <w:lang w:val="de-AT" w:eastAsia="de-AT"/>
              </w:rPr>
              <w:t>4673,30</w:t>
            </w:r>
          </w:p>
        </w:tc>
        <w:tc>
          <w:tcPr>
            <w:tcW w:w="1451" w:type="dxa"/>
            <w:tcBorders>
              <w:top w:val="nil"/>
              <w:left w:val="nil"/>
              <w:bottom w:val="single" w:sz="4" w:space="0" w:color="auto"/>
              <w:right w:val="single" w:sz="4" w:space="0" w:color="auto"/>
            </w:tcBorders>
            <w:shd w:val="clear" w:color="auto" w:fill="auto"/>
            <w:vAlign w:val="center"/>
            <w:hideMark/>
          </w:tcPr>
          <w:p w14:paraId="307D0114"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13849,87</w:t>
            </w:r>
          </w:p>
        </w:tc>
        <w:tc>
          <w:tcPr>
            <w:tcW w:w="1058" w:type="dxa"/>
            <w:tcBorders>
              <w:top w:val="nil"/>
              <w:left w:val="nil"/>
              <w:bottom w:val="single" w:sz="4" w:space="0" w:color="auto"/>
              <w:right w:val="single" w:sz="4" w:space="0" w:color="auto"/>
            </w:tcBorders>
            <w:shd w:val="clear" w:color="auto" w:fill="auto"/>
            <w:noWrap/>
            <w:vAlign w:val="center"/>
            <w:hideMark/>
          </w:tcPr>
          <w:p w14:paraId="469F1A02"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25173,25</w:t>
            </w:r>
          </w:p>
        </w:tc>
        <w:tc>
          <w:tcPr>
            <w:tcW w:w="1424" w:type="dxa"/>
            <w:tcBorders>
              <w:top w:val="nil"/>
              <w:left w:val="nil"/>
              <w:bottom w:val="single" w:sz="4" w:space="0" w:color="auto"/>
              <w:right w:val="single" w:sz="4" w:space="0" w:color="auto"/>
            </w:tcBorders>
            <w:shd w:val="clear" w:color="auto" w:fill="auto"/>
            <w:vAlign w:val="center"/>
            <w:hideMark/>
          </w:tcPr>
          <w:p w14:paraId="60B58BFA"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11323,38</w:t>
            </w:r>
          </w:p>
        </w:tc>
        <w:tc>
          <w:tcPr>
            <w:tcW w:w="1639" w:type="dxa"/>
            <w:tcBorders>
              <w:top w:val="nil"/>
              <w:left w:val="nil"/>
              <w:bottom w:val="single" w:sz="4" w:space="0" w:color="auto"/>
              <w:right w:val="single" w:sz="4" w:space="0" w:color="auto"/>
            </w:tcBorders>
            <w:shd w:val="clear" w:color="auto" w:fill="auto"/>
            <w:vAlign w:val="center"/>
            <w:hideMark/>
          </w:tcPr>
          <w:p w14:paraId="2FC7DA13"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791,80</w:t>
            </w:r>
          </w:p>
        </w:tc>
        <w:tc>
          <w:tcPr>
            <w:tcW w:w="1639" w:type="dxa"/>
            <w:tcBorders>
              <w:top w:val="nil"/>
              <w:left w:val="nil"/>
              <w:bottom w:val="single" w:sz="4" w:space="0" w:color="auto"/>
              <w:right w:val="single" w:sz="4" w:space="0" w:color="auto"/>
            </w:tcBorders>
            <w:shd w:val="clear" w:color="auto" w:fill="auto"/>
            <w:vAlign w:val="center"/>
            <w:hideMark/>
          </w:tcPr>
          <w:p w14:paraId="2105E618"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592,40</w:t>
            </w:r>
          </w:p>
        </w:tc>
        <w:tc>
          <w:tcPr>
            <w:tcW w:w="1590" w:type="dxa"/>
            <w:tcBorders>
              <w:top w:val="nil"/>
              <w:left w:val="nil"/>
              <w:bottom w:val="single" w:sz="4" w:space="0" w:color="auto"/>
              <w:right w:val="single" w:sz="8" w:space="0" w:color="auto"/>
            </w:tcBorders>
            <w:shd w:val="clear" w:color="auto" w:fill="auto"/>
            <w:vAlign w:val="center"/>
            <w:hideMark/>
          </w:tcPr>
          <w:p w14:paraId="7A58DC5D"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199,40</w:t>
            </w:r>
          </w:p>
        </w:tc>
      </w:tr>
      <w:tr w:rsidR="00682E1A" w:rsidRPr="001E0579" w14:paraId="19515191" w14:textId="77777777" w:rsidTr="009A448B">
        <w:trPr>
          <w:trHeight w:val="290"/>
          <w:jc w:val="center"/>
        </w:trPr>
        <w:tc>
          <w:tcPr>
            <w:tcW w:w="3587"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41F6C709" w14:textId="77777777" w:rsidR="00682E1A" w:rsidRPr="001E0579" w:rsidRDefault="00682E1A" w:rsidP="00682E1A">
            <w:pPr>
              <w:rPr>
                <w:rFonts w:cs="Arial"/>
                <w:b/>
                <w:bCs/>
                <w:color w:val="000000"/>
                <w:lang w:val="de-AT" w:eastAsia="de-AT"/>
              </w:rPr>
            </w:pPr>
            <w:r w:rsidRPr="001E0579">
              <w:rPr>
                <w:rFonts w:cs="Arial"/>
                <w:b/>
                <w:bCs/>
                <w:color w:val="000000"/>
                <w:lang w:val="de-AT" w:eastAsia="de-AT"/>
              </w:rPr>
              <w:t>Cost of VSB provision</w:t>
            </w:r>
          </w:p>
        </w:tc>
        <w:tc>
          <w:tcPr>
            <w:tcW w:w="1418" w:type="dxa"/>
            <w:tcBorders>
              <w:top w:val="nil"/>
              <w:left w:val="nil"/>
              <w:bottom w:val="single" w:sz="4" w:space="0" w:color="auto"/>
              <w:right w:val="single" w:sz="4" w:space="0" w:color="auto"/>
            </w:tcBorders>
            <w:shd w:val="clear" w:color="auto" w:fill="auto"/>
            <w:noWrap/>
            <w:vAlign w:val="center"/>
            <w:hideMark/>
          </w:tcPr>
          <w:p w14:paraId="333E8454" w14:textId="77777777" w:rsidR="00682E1A" w:rsidRPr="001E0579" w:rsidRDefault="00682E1A" w:rsidP="00285665">
            <w:pPr>
              <w:jc w:val="right"/>
              <w:rPr>
                <w:rFonts w:cs="Arial"/>
                <w:color w:val="000000"/>
                <w:lang w:val="de-AT" w:eastAsia="de-AT"/>
              </w:rPr>
            </w:pPr>
            <w:r w:rsidRPr="001E0579">
              <w:rPr>
                <w:rFonts w:cs="Arial"/>
                <w:color w:val="000000"/>
                <w:lang w:val="de-AT" w:eastAsia="de-AT"/>
              </w:rPr>
              <w:t>13957,34</w:t>
            </w:r>
          </w:p>
        </w:tc>
        <w:tc>
          <w:tcPr>
            <w:tcW w:w="1451" w:type="dxa"/>
            <w:tcBorders>
              <w:top w:val="nil"/>
              <w:left w:val="nil"/>
              <w:bottom w:val="single" w:sz="4" w:space="0" w:color="auto"/>
              <w:right w:val="single" w:sz="4" w:space="0" w:color="auto"/>
            </w:tcBorders>
            <w:shd w:val="clear" w:color="auto" w:fill="auto"/>
            <w:vAlign w:val="center"/>
            <w:hideMark/>
          </w:tcPr>
          <w:p w14:paraId="00675F1D"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13849,87</w:t>
            </w:r>
          </w:p>
        </w:tc>
        <w:tc>
          <w:tcPr>
            <w:tcW w:w="1058" w:type="dxa"/>
            <w:tcBorders>
              <w:top w:val="nil"/>
              <w:left w:val="nil"/>
              <w:bottom w:val="single" w:sz="4" w:space="0" w:color="auto"/>
              <w:right w:val="single" w:sz="4" w:space="0" w:color="auto"/>
            </w:tcBorders>
            <w:shd w:val="clear" w:color="auto" w:fill="auto"/>
            <w:noWrap/>
            <w:vAlign w:val="center"/>
            <w:hideMark/>
          </w:tcPr>
          <w:p w14:paraId="18B891C9"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20529,50</w:t>
            </w:r>
          </w:p>
        </w:tc>
        <w:tc>
          <w:tcPr>
            <w:tcW w:w="1424" w:type="dxa"/>
            <w:tcBorders>
              <w:top w:val="nil"/>
              <w:left w:val="nil"/>
              <w:bottom w:val="single" w:sz="4" w:space="0" w:color="auto"/>
              <w:right w:val="single" w:sz="4" w:space="0" w:color="auto"/>
            </w:tcBorders>
            <w:shd w:val="clear" w:color="auto" w:fill="auto"/>
            <w:vAlign w:val="center"/>
            <w:hideMark/>
          </w:tcPr>
          <w:p w14:paraId="7BBD92FA"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6679,63</w:t>
            </w:r>
          </w:p>
        </w:tc>
        <w:tc>
          <w:tcPr>
            <w:tcW w:w="1639" w:type="dxa"/>
            <w:tcBorders>
              <w:top w:val="nil"/>
              <w:left w:val="nil"/>
              <w:bottom w:val="single" w:sz="4" w:space="0" w:color="auto"/>
              <w:right w:val="single" w:sz="4" w:space="0" w:color="auto"/>
            </w:tcBorders>
            <w:shd w:val="clear" w:color="auto" w:fill="auto"/>
            <w:vAlign w:val="center"/>
            <w:hideMark/>
          </w:tcPr>
          <w:p w14:paraId="32BC698D"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791,80</w:t>
            </w:r>
          </w:p>
        </w:tc>
        <w:tc>
          <w:tcPr>
            <w:tcW w:w="1639" w:type="dxa"/>
            <w:tcBorders>
              <w:top w:val="nil"/>
              <w:left w:val="nil"/>
              <w:bottom w:val="single" w:sz="4" w:space="0" w:color="auto"/>
              <w:right w:val="single" w:sz="4" w:space="0" w:color="auto"/>
            </w:tcBorders>
            <w:shd w:val="clear" w:color="auto" w:fill="auto"/>
            <w:vAlign w:val="center"/>
            <w:hideMark/>
          </w:tcPr>
          <w:p w14:paraId="012A2576"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592,40</w:t>
            </w:r>
          </w:p>
        </w:tc>
        <w:tc>
          <w:tcPr>
            <w:tcW w:w="1590" w:type="dxa"/>
            <w:tcBorders>
              <w:top w:val="nil"/>
              <w:left w:val="nil"/>
              <w:bottom w:val="single" w:sz="4" w:space="0" w:color="auto"/>
              <w:right w:val="single" w:sz="8" w:space="0" w:color="auto"/>
            </w:tcBorders>
            <w:shd w:val="clear" w:color="auto" w:fill="auto"/>
            <w:vAlign w:val="center"/>
            <w:hideMark/>
          </w:tcPr>
          <w:p w14:paraId="48EBCE2C"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199,40</w:t>
            </w:r>
          </w:p>
        </w:tc>
      </w:tr>
      <w:tr w:rsidR="00682E1A" w:rsidRPr="001E0579" w14:paraId="4620A91B" w14:textId="77777777" w:rsidTr="009A448B">
        <w:trPr>
          <w:trHeight w:val="290"/>
          <w:jc w:val="center"/>
        </w:trPr>
        <w:tc>
          <w:tcPr>
            <w:tcW w:w="3587" w:type="dxa"/>
            <w:vMerge/>
            <w:tcBorders>
              <w:top w:val="nil"/>
              <w:left w:val="single" w:sz="8" w:space="0" w:color="auto"/>
              <w:bottom w:val="single" w:sz="4" w:space="0" w:color="000000"/>
              <w:right w:val="single" w:sz="4" w:space="0" w:color="auto"/>
            </w:tcBorders>
            <w:vAlign w:val="center"/>
            <w:hideMark/>
          </w:tcPr>
          <w:p w14:paraId="5FB2F5F9" w14:textId="77777777" w:rsidR="00682E1A" w:rsidRPr="001E0579" w:rsidRDefault="00682E1A" w:rsidP="00682E1A">
            <w:pPr>
              <w:rPr>
                <w:rFonts w:cs="Arial"/>
                <w:b/>
                <w:bCs/>
                <w:color w:val="000000"/>
                <w:lang w:val="de-AT" w:eastAsia="de-AT"/>
              </w:rPr>
            </w:pPr>
          </w:p>
        </w:tc>
        <w:tc>
          <w:tcPr>
            <w:tcW w:w="1418" w:type="dxa"/>
            <w:tcBorders>
              <w:top w:val="nil"/>
              <w:left w:val="nil"/>
              <w:bottom w:val="single" w:sz="4" w:space="0" w:color="auto"/>
              <w:right w:val="single" w:sz="4" w:space="0" w:color="auto"/>
            </w:tcBorders>
            <w:shd w:val="clear" w:color="auto" w:fill="auto"/>
            <w:noWrap/>
            <w:vAlign w:val="center"/>
            <w:hideMark/>
          </w:tcPr>
          <w:p w14:paraId="6F934A8A" w14:textId="77777777" w:rsidR="00682E1A" w:rsidRPr="001E0579" w:rsidRDefault="00682E1A" w:rsidP="00285665">
            <w:pPr>
              <w:jc w:val="right"/>
              <w:rPr>
                <w:rFonts w:cs="Arial"/>
                <w:color w:val="000000"/>
                <w:lang w:val="de-AT" w:eastAsia="de-AT"/>
              </w:rPr>
            </w:pPr>
            <w:r w:rsidRPr="001E0579">
              <w:rPr>
                <w:rFonts w:cs="Arial"/>
                <w:color w:val="000000"/>
                <w:lang w:val="de-AT" w:eastAsia="de-AT"/>
              </w:rPr>
              <w:t>23262,24</w:t>
            </w:r>
          </w:p>
        </w:tc>
        <w:tc>
          <w:tcPr>
            <w:tcW w:w="1451" w:type="dxa"/>
            <w:tcBorders>
              <w:top w:val="nil"/>
              <w:left w:val="nil"/>
              <w:bottom w:val="single" w:sz="4" w:space="0" w:color="auto"/>
              <w:right w:val="single" w:sz="4" w:space="0" w:color="auto"/>
            </w:tcBorders>
            <w:shd w:val="clear" w:color="auto" w:fill="auto"/>
            <w:vAlign w:val="center"/>
            <w:hideMark/>
          </w:tcPr>
          <w:p w14:paraId="009F7E5B"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13849,87</w:t>
            </w:r>
          </w:p>
        </w:tc>
        <w:tc>
          <w:tcPr>
            <w:tcW w:w="1058" w:type="dxa"/>
            <w:tcBorders>
              <w:top w:val="nil"/>
              <w:left w:val="nil"/>
              <w:bottom w:val="single" w:sz="4" w:space="0" w:color="auto"/>
              <w:right w:val="single" w:sz="4" w:space="0" w:color="auto"/>
            </w:tcBorders>
            <w:shd w:val="clear" w:color="auto" w:fill="auto"/>
            <w:noWrap/>
            <w:vAlign w:val="center"/>
            <w:hideMark/>
          </w:tcPr>
          <w:p w14:paraId="01BF2408"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29806,29</w:t>
            </w:r>
          </w:p>
        </w:tc>
        <w:tc>
          <w:tcPr>
            <w:tcW w:w="1424" w:type="dxa"/>
            <w:tcBorders>
              <w:top w:val="nil"/>
              <w:left w:val="nil"/>
              <w:bottom w:val="single" w:sz="4" w:space="0" w:color="auto"/>
              <w:right w:val="single" w:sz="4" w:space="0" w:color="auto"/>
            </w:tcBorders>
            <w:shd w:val="clear" w:color="auto" w:fill="auto"/>
            <w:vAlign w:val="center"/>
            <w:hideMark/>
          </w:tcPr>
          <w:p w14:paraId="1CD5F883"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15956,42</w:t>
            </w:r>
          </w:p>
        </w:tc>
        <w:tc>
          <w:tcPr>
            <w:tcW w:w="1639" w:type="dxa"/>
            <w:tcBorders>
              <w:top w:val="nil"/>
              <w:left w:val="nil"/>
              <w:bottom w:val="single" w:sz="4" w:space="0" w:color="auto"/>
              <w:right w:val="single" w:sz="4" w:space="0" w:color="auto"/>
            </w:tcBorders>
            <w:shd w:val="clear" w:color="auto" w:fill="auto"/>
            <w:vAlign w:val="center"/>
            <w:hideMark/>
          </w:tcPr>
          <w:p w14:paraId="57AB8201"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791,80</w:t>
            </w:r>
          </w:p>
        </w:tc>
        <w:tc>
          <w:tcPr>
            <w:tcW w:w="1639" w:type="dxa"/>
            <w:tcBorders>
              <w:top w:val="nil"/>
              <w:left w:val="nil"/>
              <w:bottom w:val="single" w:sz="4" w:space="0" w:color="auto"/>
              <w:right w:val="single" w:sz="4" w:space="0" w:color="auto"/>
            </w:tcBorders>
            <w:shd w:val="clear" w:color="auto" w:fill="auto"/>
            <w:vAlign w:val="center"/>
            <w:hideMark/>
          </w:tcPr>
          <w:p w14:paraId="69A74BB2"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592,40</w:t>
            </w:r>
          </w:p>
        </w:tc>
        <w:tc>
          <w:tcPr>
            <w:tcW w:w="1590" w:type="dxa"/>
            <w:tcBorders>
              <w:top w:val="nil"/>
              <w:left w:val="nil"/>
              <w:bottom w:val="single" w:sz="4" w:space="0" w:color="auto"/>
              <w:right w:val="single" w:sz="8" w:space="0" w:color="auto"/>
            </w:tcBorders>
            <w:shd w:val="clear" w:color="auto" w:fill="auto"/>
            <w:vAlign w:val="center"/>
            <w:hideMark/>
          </w:tcPr>
          <w:p w14:paraId="520FE067"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199,40</w:t>
            </w:r>
          </w:p>
        </w:tc>
      </w:tr>
      <w:tr w:rsidR="00682E1A" w:rsidRPr="001E0579" w14:paraId="5ED60B33" w14:textId="77777777" w:rsidTr="009A448B">
        <w:trPr>
          <w:trHeight w:val="290"/>
          <w:jc w:val="center"/>
        </w:trPr>
        <w:tc>
          <w:tcPr>
            <w:tcW w:w="3587"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6E045AE8" w14:textId="77777777" w:rsidR="00682E1A" w:rsidRPr="001E0579" w:rsidRDefault="00682E1A" w:rsidP="00682E1A">
            <w:pPr>
              <w:rPr>
                <w:rFonts w:cs="Arial"/>
                <w:b/>
                <w:bCs/>
                <w:color w:val="000000"/>
                <w:lang w:val="de-AT" w:eastAsia="de-AT"/>
              </w:rPr>
            </w:pPr>
            <w:r w:rsidRPr="001E0579">
              <w:rPr>
                <w:rFonts w:cs="Arial"/>
                <w:b/>
                <w:bCs/>
                <w:color w:val="000000"/>
                <w:lang w:val="de-AT" w:eastAsia="de-AT"/>
              </w:rPr>
              <w:t>Cost of VSB reimplantation</w:t>
            </w:r>
          </w:p>
        </w:tc>
        <w:tc>
          <w:tcPr>
            <w:tcW w:w="1418" w:type="dxa"/>
            <w:tcBorders>
              <w:top w:val="nil"/>
              <w:left w:val="nil"/>
              <w:bottom w:val="single" w:sz="4" w:space="0" w:color="auto"/>
              <w:right w:val="single" w:sz="4" w:space="0" w:color="auto"/>
            </w:tcBorders>
            <w:shd w:val="clear" w:color="auto" w:fill="auto"/>
            <w:noWrap/>
            <w:vAlign w:val="center"/>
            <w:hideMark/>
          </w:tcPr>
          <w:p w14:paraId="382057EA" w14:textId="77777777" w:rsidR="00682E1A" w:rsidRPr="001E0579" w:rsidRDefault="00682E1A" w:rsidP="00285665">
            <w:pPr>
              <w:jc w:val="right"/>
              <w:rPr>
                <w:rFonts w:cs="Arial"/>
                <w:color w:val="000000"/>
                <w:lang w:val="de-AT" w:eastAsia="de-AT"/>
              </w:rPr>
            </w:pPr>
            <w:r w:rsidRPr="001E0579">
              <w:rPr>
                <w:rFonts w:cs="Arial"/>
                <w:color w:val="000000"/>
                <w:lang w:val="de-AT" w:eastAsia="de-AT"/>
              </w:rPr>
              <w:t>8354,84</w:t>
            </w:r>
          </w:p>
        </w:tc>
        <w:tc>
          <w:tcPr>
            <w:tcW w:w="1451" w:type="dxa"/>
            <w:tcBorders>
              <w:top w:val="nil"/>
              <w:left w:val="nil"/>
              <w:bottom w:val="single" w:sz="4" w:space="0" w:color="auto"/>
              <w:right w:val="single" w:sz="4" w:space="0" w:color="auto"/>
            </w:tcBorders>
            <w:shd w:val="clear" w:color="auto" w:fill="auto"/>
            <w:vAlign w:val="center"/>
            <w:hideMark/>
          </w:tcPr>
          <w:p w14:paraId="4BD9798F"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13849,87</w:t>
            </w:r>
          </w:p>
        </w:tc>
        <w:tc>
          <w:tcPr>
            <w:tcW w:w="1058" w:type="dxa"/>
            <w:tcBorders>
              <w:top w:val="nil"/>
              <w:left w:val="nil"/>
              <w:bottom w:val="single" w:sz="4" w:space="0" w:color="auto"/>
              <w:right w:val="single" w:sz="4" w:space="0" w:color="auto"/>
            </w:tcBorders>
            <w:shd w:val="clear" w:color="auto" w:fill="auto"/>
            <w:noWrap/>
            <w:vAlign w:val="center"/>
            <w:hideMark/>
          </w:tcPr>
          <w:p w14:paraId="71193CB6"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25119,98</w:t>
            </w:r>
          </w:p>
        </w:tc>
        <w:tc>
          <w:tcPr>
            <w:tcW w:w="1424" w:type="dxa"/>
            <w:tcBorders>
              <w:top w:val="nil"/>
              <w:left w:val="nil"/>
              <w:bottom w:val="single" w:sz="4" w:space="0" w:color="auto"/>
              <w:right w:val="single" w:sz="4" w:space="0" w:color="auto"/>
            </w:tcBorders>
            <w:shd w:val="clear" w:color="auto" w:fill="auto"/>
            <w:vAlign w:val="center"/>
            <w:hideMark/>
          </w:tcPr>
          <w:p w14:paraId="703B032E"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11270,11</w:t>
            </w:r>
          </w:p>
        </w:tc>
        <w:tc>
          <w:tcPr>
            <w:tcW w:w="1639" w:type="dxa"/>
            <w:tcBorders>
              <w:top w:val="nil"/>
              <w:left w:val="nil"/>
              <w:bottom w:val="single" w:sz="4" w:space="0" w:color="auto"/>
              <w:right w:val="single" w:sz="4" w:space="0" w:color="auto"/>
            </w:tcBorders>
            <w:shd w:val="clear" w:color="auto" w:fill="auto"/>
            <w:vAlign w:val="center"/>
            <w:hideMark/>
          </w:tcPr>
          <w:p w14:paraId="22F5FFA9"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791,80</w:t>
            </w:r>
          </w:p>
        </w:tc>
        <w:tc>
          <w:tcPr>
            <w:tcW w:w="1639" w:type="dxa"/>
            <w:tcBorders>
              <w:top w:val="nil"/>
              <w:left w:val="nil"/>
              <w:bottom w:val="single" w:sz="4" w:space="0" w:color="auto"/>
              <w:right w:val="single" w:sz="4" w:space="0" w:color="auto"/>
            </w:tcBorders>
            <w:shd w:val="clear" w:color="auto" w:fill="auto"/>
            <w:vAlign w:val="center"/>
            <w:hideMark/>
          </w:tcPr>
          <w:p w14:paraId="525DCB4A"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592,40</w:t>
            </w:r>
          </w:p>
        </w:tc>
        <w:tc>
          <w:tcPr>
            <w:tcW w:w="1590" w:type="dxa"/>
            <w:tcBorders>
              <w:top w:val="nil"/>
              <w:left w:val="nil"/>
              <w:bottom w:val="single" w:sz="4" w:space="0" w:color="auto"/>
              <w:right w:val="single" w:sz="8" w:space="0" w:color="auto"/>
            </w:tcBorders>
            <w:shd w:val="clear" w:color="auto" w:fill="auto"/>
            <w:vAlign w:val="center"/>
            <w:hideMark/>
          </w:tcPr>
          <w:p w14:paraId="734CA800"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199,40</w:t>
            </w:r>
          </w:p>
        </w:tc>
      </w:tr>
      <w:tr w:rsidR="00682E1A" w:rsidRPr="001E0579" w14:paraId="35FCE2AA" w14:textId="77777777" w:rsidTr="009A448B">
        <w:trPr>
          <w:trHeight w:val="290"/>
          <w:jc w:val="center"/>
        </w:trPr>
        <w:tc>
          <w:tcPr>
            <w:tcW w:w="3587" w:type="dxa"/>
            <w:vMerge/>
            <w:tcBorders>
              <w:top w:val="nil"/>
              <w:left w:val="single" w:sz="8" w:space="0" w:color="auto"/>
              <w:bottom w:val="single" w:sz="4" w:space="0" w:color="000000"/>
              <w:right w:val="single" w:sz="4" w:space="0" w:color="auto"/>
            </w:tcBorders>
            <w:vAlign w:val="center"/>
            <w:hideMark/>
          </w:tcPr>
          <w:p w14:paraId="54787F77" w14:textId="77777777" w:rsidR="00682E1A" w:rsidRPr="001E0579" w:rsidRDefault="00682E1A" w:rsidP="00682E1A">
            <w:pPr>
              <w:rPr>
                <w:rFonts w:cs="Arial"/>
                <w:b/>
                <w:bCs/>
                <w:color w:val="000000"/>
                <w:lang w:val="de-AT" w:eastAsia="de-AT"/>
              </w:rPr>
            </w:pPr>
          </w:p>
        </w:tc>
        <w:tc>
          <w:tcPr>
            <w:tcW w:w="1418" w:type="dxa"/>
            <w:tcBorders>
              <w:top w:val="nil"/>
              <w:left w:val="nil"/>
              <w:bottom w:val="single" w:sz="4" w:space="0" w:color="auto"/>
              <w:right w:val="single" w:sz="4" w:space="0" w:color="auto"/>
            </w:tcBorders>
            <w:shd w:val="clear" w:color="auto" w:fill="auto"/>
            <w:noWrap/>
            <w:vAlign w:val="center"/>
            <w:hideMark/>
          </w:tcPr>
          <w:p w14:paraId="2DBECD33" w14:textId="77777777" w:rsidR="00682E1A" w:rsidRPr="001E0579" w:rsidRDefault="00682E1A" w:rsidP="00285665">
            <w:pPr>
              <w:jc w:val="right"/>
              <w:rPr>
                <w:rFonts w:cs="Arial"/>
                <w:color w:val="000000"/>
                <w:lang w:val="de-AT" w:eastAsia="de-AT"/>
              </w:rPr>
            </w:pPr>
            <w:r w:rsidRPr="001E0579">
              <w:rPr>
                <w:rFonts w:cs="Arial"/>
                <w:color w:val="000000"/>
                <w:lang w:val="de-AT" w:eastAsia="de-AT"/>
              </w:rPr>
              <w:t>13924,74</w:t>
            </w:r>
          </w:p>
        </w:tc>
        <w:tc>
          <w:tcPr>
            <w:tcW w:w="1451" w:type="dxa"/>
            <w:tcBorders>
              <w:top w:val="nil"/>
              <w:left w:val="nil"/>
              <w:bottom w:val="single" w:sz="4" w:space="0" w:color="auto"/>
              <w:right w:val="single" w:sz="4" w:space="0" w:color="auto"/>
            </w:tcBorders>
            <w:shd w:val="clear" w:color="auto" w:fill="auto"/>
            <w:vAlign w:val="center"/>
            <w:hideMark/>
          </w:tcPr>
          <w:p w14:paraId="0BD2F69F"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13849,87</w:t>
            </w:r>
          </w:p>
        </w:tc>
        <w:tc>
          <w:tcPr>
            <w:tcW w:w="1058" w:type="dxa"/>
            <w:tcBorders>
              <w:top w:val="nil"/>
              <w:left w:val="nil"/>
              <w:bottom w:val="single" w:sz="4" w:space="0" w:color="auto"/>
              <w:right w:val="single" w:sz="4" w:space="0" w:color="auto"/>
            </w:tcBorders>
            <w:shd w:val="clear" w:color="auto" w:fill="auto"/>
            <w:noWrap/>
            <w:vAlign w:val="center"/>
            <w:hideMark/>
          </w:tcPr>
          <w:p w14:paraId="374BE41D"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25215,80</w:t>
            </w:r>
          </w:p>
        </w:tc>
        <w:tc>
          <w:tcPr>
            <w:tcW w:w="1424" w:type="dxa"/>
            <w:tcBorders>
              <w:top w:val="nil"/>
              <w:left w:val="nil"/>
              <w:bottom w:val="single" w:sz="4" w:space="0" w:color="auto"/>
              <w:right w:val="single" w:sz="4" w:space="0" w:color="auto"/>
            </w:tcBorders>
            <w:shd w:val="clear" w:color="auto" w:fill="auto"/>
            <w:vAlign w:val="center"/>
            <w:hideMark/>
          </w:tcPr>
          <w:p w14:paraId="757B08C5"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11365,93</w:t>
            </w:r>
          </w:p>
        </w:tc>
        <w:tc>
          <w:tcPr>
            <w:tcW w:w="1639" w:type="dxa"/>
            <w:tcBorders>
              <w:top w:val="nil"/>
              <w:left w:val="nil"/>
              <w:bottom w:val="single" w:sz="4" w:space="0" w:color="auto"/>
              <w:right w:val="single" w:sz="4" w:space="0" w:color="auto"/>
            </w:tcBorders>
            <w:shd w:val="clear" w:color="auto" w:fill="auto"/>
            <w:vAlign w:val="center"/>
            <w:hideMark/>
          </w:tcPr>
          <w:p w14:paraId="0C0C5E69"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791,80</w:t>
            </w:r>
          </w:p>
        </w:tc>
        <w:tc>
          <w:tcPr>
            <w:tcW w:w="1639" w:type="dxa"/>
            <w:tcBorders>
              <w:top w:val="nil"/>
              <w:left w:val="nil"/>
              <w:bottom w:val="single" w:sz="4" w:space="0" w:color="auto"/>
              <w:right w:val="single" w:sz="4" w:space="0" w:color="auto"/>
            </w:tcBorders>
            <w:shd w:val="clear" w:color="auto" w:fill="auto"/>
            <w:vAlign w:val="center"/>
            <w:hideMark/>
          </w:tcPr>
          <w:p w14:paraId="518EAAE6"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592,40</w:t>
            </w:r>
          </w:p>
        </w:tc>
        <w:tc>
          <w:tcPr>
            <w:tcW w:w="1590" w:type="dxa"/>
            <w:tcBorders>
              <w:top w:val="nil"/>
              <w:left w:val="nil"/>
              <w:bottom w:val="single" w:sz="4" w:space="0" w:color="auto"/>
              <w:right w:val="single" w:sz="8" w:space="0" w:color="auto"/>
            </w:tcBorders>
            <w:shd w:val="clear" w:color="auto" w:fill="auto"/>
            <w:vAlign w:val="center"/>
            <w:hideMark/>
          </w:tcPr>
          <w:p w14:paraId="693F21B4"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199,40</w:t>
            </w:r>
          </w:p>
        </w:tc>
      </w:tr>
      <w:tr w:rsidR="00682E1A" w:rsidRPr="001E0579" w14:paraId="671FAE14" w14:textId="77777777" w:rsidTr="009A448B">
        <w:trPr>
          <w:trHeight w:val="288"/>
          <w:jc w:val="center"/>
        </w:trPr>
        <w:tc>
          <w:tcPr>
            <w:tcW w:w="3587" w:type="dxa"/>
            <w:vMerge w:val="restart"/>
            <w:tcBorders>
              <w:top w:val="nil"/>
              <w:left w:val="single" w:sz="8" w:space="0" w:color="auto"/>
              <w:bottom w:val="single" w:sz="4" w:space="0" w:color="000000"/>
              <w:right w:val="single" w:sz="4" w:space="0" w:color="auto"/>
            </w:tcBorders>
            <w:shd w:val="clear" w:color="auto" w:fill="auto"/>
            <w:vAlign w:val="center"/>
            <w:hideMark/>
          </w:tcPr>
          <w:p w14:paraId="4190594B" w14:textId="77777777" w:rsidR="00682E1A" w:rsidRPr="001E0579" w:rsidRDefault="00682E1A" w:rsidP="00682E1A">
            <w:pPr>
              <w:rPr>
                <w:rFonts w:cs="Arial"/>
                <w:b/>
                <w:bCs/>
                <w:color w:val="000000"/>
                <w:lang w:val="de-AT" w:eastAsia="de-AT"/>
              </w:rPr>
            </w:pPr>
            <w:r w:rsidRPr="001E0579">
              <w:rPr>
                <w:rFonts w:cs="Arial"/>
                <w:b/>
                <w:bCs/>
                <w:color w:val="000000"/>
                <w:lang w:val="de-AT" w:eastAsia="de-AT"/>
              </w:rPr>
              <w:t xml:space="preserve">Cost of revision surgery </w:t>
            </w:r>
          </w:p>
        </w:tc>
        <w:tc>
          <w:tcPr>
            <w:tcW w:w="1418" w:type="dxa"/>
            <w:tcBorders>
              <w:top w:val="nil"/>
              <w:left w:val="nil"/>
              <w:bottom w:val="single" w:sz="4" w:space="0" w:color="auto"/>
              <w:right w:val="single" w:sz="4" w:space="0" w:color="auto"/>
            </w:tcBorders>
            <w:shd w:val="clear" w:color="auto" w:fill="auto"/>
            <w:vAlign w:val="center"/>
            <w:hideMark/>
          </w:tcPr>
          <w:p w14:paraId="59BE5B4D" w14:textId="77777777" w:rsidR="00682E1A" w:rsidRPr="001E0579" w:rsidRDefault="00682E1A" w:rsidP="00285665">
            <w:pPr>
              <w:jc w:val="right"/>
              <w:rPr>
                <w:rFonts w:cs="Arial"/>
                <w:color w:val="000000"/>
                <w:lang w:val="de-AT" w:eastAsia="de-AT"/>
              </w:rPr>
            </w:pPr>
            <w:r w:rsidRPr="001E0579">
              <w:rPr>
                <w:rFonts w:cs="Arial"/>
                <w:color w:val="000000"/>
                <w:lang w:val="de-AT" w:eastAsia="de-AT"/>
              </w:rPr>
              <w:t>817,43</w:t>
            </w:r>
          </w:p>
        </w:tc>
        <w:tc>
          <w:tcPr>
            <w:tcW w:w="1451" w:type="dxa"/>
            <w:tcBorders>
              <w:top w:val="nil"/>
              <w:left w:val="nil"/>
              <w:bottom w:val="single" w:sz="4" w:space="0" w:color="auto"/>
              <w:right w:val="single" w:sz="4" w:space="0" w:color="auto"/>
            </w:tcBorders>
            <w:shd w:val="clear" w:color="auto" w:fill="auto"/>
            <w:vAlign w:val="center"/>
            <w:hideMark/>
          </w:tcPr>
          <w:p w14:paraId="76C176A1"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13838,88</w:t>
            </w:r>
          </w:p>
        </w:tc>
        <w:tc>
          <w:tcPr>
            <w:tcW w:w="1058" w:type="dxa"/>
            <w:tcBorders>
              <w:top w:val="nil"/>
              <w:left w:val="nil"/>
              <w:bottom w:val="single" w:sz="4" w:space="0" w:color="auto"/>
              <w:right w:val="single" w:sz="4" w:space="0" w:color="auto"/>
            </w:tcBorders>
            <w:shd w:val="clear" w:color="auto" w:fill="auto"/>
            <w:vAlign w:val="center"/>
            <w:hideMark/>
          </w:tcPr>
          <w:p w14:paraId="76F100A3"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25157,61</w:t>
            </w:r>
          </w:p>
        </w:tc>
        <w:tc>
          <w:tcPr>
            <w:tcW w:w="1424" w:type="dxa"/>
            <w:tcBorders>
              <w:top w:val="nil"/>
              <w:left w:val="nil"/>
              <w:bottom w:val="single" w:sz="4" w:space="0" w:color="auto"/>
              <w:right w:val="single" w:sz="4" w:space="0" w:color="auto"/>
            </w:tcBorders>
            <w:shd w:val="clear" w:color="auto" w:fill="auto"/>
            <w:vAlign w:val="center"/>
            <w:hideMark/>
          </w:tcPr>
          <w:p w14:paraId="16B25AB0"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11318,73</w:t>
            </w:r>
          </w:p>
        </w:tc>
        <w:tc>
          <w:tcPr>
            <w:tcW w:w="1639" w:type="dxa"/>
            <w:tcBorders>
              <w:top w:val="nil"/>
              <w:left w:val="nil"/>
              <w:bottom w:val="single" w:sz="4" w:space="0" w:color="auto"/>
              <w:right w:val="single" w:sz="4" w:space="0" w:color="auto"/>
            </w:tcBorders>
            <w:shd w:val="clear" w:color="auto" w:fill="auto"/>
            <w:vAlign w:val="center"/>
            <w:hideMark/>
          </w:tcPr>
          <w:p w14:paraId="534DD3F3"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791,80</w:t>
            </w:r>
          </w:p>
        </w:tc>
        <w:tc>
          <w:tcPr>
            <w:tcW w:w="1639" w:type="dxa"/>
            <w:tcBorders>
              <w:top w:val="nil"/>
              <w:left w:val="nil"/>
              <w:bottom w:val="single" w:sz="4" w:space="0" w:color="auto"/>
              <w:right w:val="single" w:sz="4" w:space="0" w:color="auto"/>
            </w:tcBorders>
            <w:shd w:val="clear" w:color="auto" w:fill="auto"/>
            <w:vAlign w:val="center"/>
            <w:hideMark/>
          </w:tcPr>
          <w:p w14:paraId="6BC8EC17"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592,40</w:t>
            </w:r>
          </w:p>
        </w:tc>
        <w:tc>
          <w:tcPr>
            <w:tcW w:w="1590" w:type="dxa"/>
            <w:tcBorders>
              <w:top w:val="nil"/>
              <w:left w:val="nil"/>
              <w:bottom w:val="single" w:sz="4" w:space="0" w:color="auto"/>
              <w:right w:val="single" w:sz="8" w:space="0" w:color="auto"/>
            </w:tcBorders>
            <w:shd w:val="clear" w:color="auto" w:fill="auto"/>
            <w:vAlign w:val="center"/>
            <w:hideMark/>
          </w:tcPr>
          <w:p w14:paraId="16160DE4"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199,40</w:t>
            </w:r>
          </w:p>
        </w:tc>
      </w:tr>
      <w:tr w:rsidR="00682E1A" w:rsidRPr="001E0579" w14:paraId="383E564A" w14:textId="77777777" w:rsidTr="009A448B">
        <w:trPr>
          <w:trHeight w:val="290"/>
          <w:jc w:val="center"/>
        </w:trPr>
        <w:tc>
          <w:tcPr>
            <w:tcW w:w="3587" w:type="dxa"/>
            <w:vMerge/>
            <w:tcBorders>
              <w:top w:val="nil"/>
              <w:left w:val="single" w:sz="8" w:space="0" w:color="auto"/>
              <w:bottom w:val="single" w:sz="4" w:space="0" w:color="000000"/>
              <w:right w:val="single" w:sz="4" w:space="0" w:color="auto"/>
            </w:tcBorders>
            <w:vAlign w:val="center"/>
            <w:hideMark/>
          </w:tcPr>
          <w:p w14:paraId="456635B1" w14:textId="77777777" w:rsidR="00682E1A" w:rsidRPr="001E0579" w:rsidRDefault="00682E1A" w:rsidP="00682E1A">
            <w:pPr>
              <w:rPr>
                <w:rFonts w:cs="Arial"/>
                <w:b/>
                <w:bCs/>
                <w:color w:val="000000"/>
                <w:lang w:val="de-AT" w:eastAsia="de-AT"/>
              </w:rPr>
            </w:pPr>
          </w:p>
        </w:tc>
        <w:tc>
          <w:tcPr>
            <w:tcW w:w="1418" w:type="dxa"/>
            <w:tcBorders>
              <w:top w:val="nil"/>
              <w:left w:val="nil"/>
              <w:bottom w:val="single" w:sz="4" w:space="0" w:color="auto"/>
              <w:right w:val="single" w:sz="4" w:space="0" w:color="auto"/>
            </w:tcBorders>
            <w:shd w:val="clear" w:color="auto" w:fill="auto"/>
            <w:vAlign w:val="center"/>
            <w:hideMark/>
          </w:tcPr>
          <w:p w14:paraId="7D26ADE0" w14:textId="77777777" w:rsidR="00682E1A" w:rsidRPr="001E0579" w:rsidRDefault="00682E1A" w:rsidP="00285665">
            <w:pPr>
              <w:jc w:val="right"/>
              <w:rPr>
                <w:rFonts w:cs="Arial"/>
                <w:color w:val="000000"/>
                <w:lang w:val="de-AT" w:eastAsia="de-AT"/>
              </w:rPr>
            </w:pPr>
            <w:r w:rsidRPr="001E0579">
              <w:rPr>
                <w:rFonts w:cs="Arial"/>
                <w:color w:val="000000"/>
                <w:lang w:val="de-AT" w:eastAsia="de-AT"/>
              </w:rPr>
              <w:t>1362,38</w:t>
            </w:r>
          </w:p>
        </w:tc>
        <w:tc>
          <w:tcPr>
            <w:tcW w:w="1451" w:type="dxa"/>
            <w:tcBorders>
              <w:top w:val="nil"/>
              <w:left w:val="nil"/>
              <w:bottom w:val="single" w:sz="4" w:space="0" w:color="auto"/>
              <w:right w:val="single" w:sz="4" w:space="0" w:color="auto"/>
            </w:tcBorders>
            <w:shd w:val="clear" w:color="auto" w:fill="auto"/>
            <w:vAlign w:val="center"/>
            <w:hideMark/>
          </w:tcPr>
          <w:p w14:paraId="4FE95DC4"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13860,85</w:t>
            </w:r>
          </w:p>
        </w:tc>
        <w:tc>
          <w:tcPr>
            <w:tcW w:w="1058" w:type="dxa"/>
            <w:tcBorders>
              <w:top w:val="nil"/>
              <w:left w:val="nil"/>
              <w:bottom w:val="single" w:sz="4" w:space="0" w:color="auto"/>
              <w:right w:val="single" w:sz="4" w:space="0" w:color="auto"/>
            </w:tcBorders>
            <w:shd w:val="clear" w:color="auto" w:fill="auto"/>
            <w:vAlign w:val="center"/>
            <w:hideMark/>
          </w:tcPr>
          <w:p w14:paraId="46BEF78D"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25178,18</w:t>
            </w:r>
          </w:p>
        </w:tc>
        <w:tc>
          <w:tcPr>
            <w:tcW w:w="1424" w:type="dxa"/>
            <w:tcBorders>
              <w:top w:val="nil"/>
              <w:left w:val="nil"/>
              <w:bottom w:val="single" w:sz="4" w:space="0" w:color="auto"/>
              <w:right w:val="single" w:sz="4" w:space="0" w:color="auto"/>
            </w:tcBorders>
            <w:shd w:val="clear" w:color="auto" w:fill="auto"/>
            <w:vAlign w:val="center"/>
            <w:hideMark/>
          </w:tcPr>
          <w:p w14:paraId="272BC3C7"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11317,33</w:t>
            </w:r>
          </w:p>
        </w:tc>
        <w:tc>
          <w:tcPr>
            <w:tcW w:w="1639" w:type="dxa"/>
            <w:tcBorders>
              <w:top w:val="nil"/>
              <w:left w:val="nil"/>
              <w:bottom w:val="single" w:sz="4" w:space="0" w:color="auto"/>
              <w:right w:val="single" w:sz="4" w:space="0" w:color="auto"/>
            </w:tcBorders>
            <w:shd w:val="clear" w:color="auto" w:fill="auto"/>
            <w:vAlign w:val="center"/>
            <w:hideMark/>
          </w:tcPr>
          <w:p w14:paraId="55025DD1"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791,80</w:t>
            </w:r>
          </w:p>
        </w:tc>
        <w:tc>
          <w:tcPr>
            <w:tcW w:w="1639" w:type="dxa"/>
            <w:tcBorders>
              <w:top w:val="nil"/>
              <w:left w:val="nil"/>
              <w:bottom w:val="single" w:sz="4" w:space="0" w:color="auto"/>
              <w:right w:val="single" w:sz="4" w:space="0" w:color="auto"/>
            </w:tcBorders>
            <w:shd w:val="clear" w:color="auto" w:fill="auto"/>
            <w:vAlign w:val="center"/>
            <w:hideMark/>
          </w:tcPr>
          <w:p w14:paraId="56D6016D"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592,40</w:t>
            </w:r>
          </w:p>
        </w:tc>
        <w:tc>
          <w:tcPr>
            <w:tcW w:w="1590" w:type="dxa"/>
            <w:tcBorders>
              <w:top w:val="nil"/>
              <w:left w:val="nil"/>
              <w:bottom w:val="single" w:sz="4" w:space="0" w:color="auto"/>
              <w:right w:val="single" w:sz="8" w:space="0" w:color="auto"/>
            </w:tcBorders>
            <w:shd w:val="clear" w:color="auto" w:fill="auto"/>
            <w:vAlign w:val="center"/>
            <w:hideMark/>
          </w:tcPr>
          <w:p w14:paraId="6B019F04"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199,40</w:t>
            </w:r>
          </w:p>
        </w:tc>
      </w:tr>
      <w:tr w:rsidR="00682E1A" w:rsidRPr="001E0579" w14:paraId="558C39E4" w14:textId="77777777" w:rsidTr="009A448B">
        <w:trPr>
          <w:trHeight w:val="290"/>
          <w:jc w:val="center"/>
        </w:trPr>
        <w:tc>
          <w:tcPr>
            <w:tcW w:w="3587" w:type="dxa"/>
            <w:vMerge w:val="restart"/>
            <w:tcBorders>
              <w:top w:val="nil"/>
              <w:left w:val="single" w:sz="8" w:space="0" w:color="auto"/>
              <w:bottom w:val="single" w:sz="4" w:space="0" w:color="000000"/>
              <w:right w:val="single" w:sz="4" w:space="0" w:color="auto"/>
            </w:tcBorders>
            <w:shd w:val="clear" w:color="auto" w:fill="auto"/>
            <w:vAlign w:val="center"/>
            <w:hideMark/>
          </w:tcPr>
          <w:p w14:paraId="4A8115D8" w14:textId="77777777" w:rsidR="00682E1A" w:rsidRPr="001E0579" w:rsidRDefault="009871ED" w:rsidP="009871ED">
            <w:pPr>
              <w:rPr>
                <w:rFonts w:cs="Arial"/>
                <w:b/>
                <w:bCs/>
                <w:color w:val="000000"/>
                <w:lang w:val="en-GB" w:eastAsia="de-AT"/>
              </w:rPr>
            </w:pPr>
            <w:r w:rsidRPr="001E0579">
              <w:rPr>
                <w:rFonts w:cs="Arial"/>
                <w:b/>
                <w:bCs/>
                <w:color w:val="000000"/>
                <w:lang w:val="en-GB" w:eastAsia="de-AT"/>
              </w:rPr>
              <w:t>Probability of AE - MXM</w:t>
            </w:r>
          </w:p>
        </w:tc>
        <w:tc>
          <w:tcPr>
            <w:tcW w:w="1418" w:type="dxa"/>
            <w:tcBorders>
              <w:top w:val="nil"/>
              <w:left w:val="nil"/>
              <w:bottom w:val="single" w:sz="4" w:space="0" w:color="auto"/>
              <w:right w:val="single" w:sz="4" w:space="0" w:color="auto"/>
            </w:tcBorders>
            <w:shd w:val="clear" w:color="auto" w:fill="auto"/>
            <w:vAlign w:val="center"/>
            <w:hideMark/>
          </w:tcPr>
          <w:p w14:paraId="552FEBD0" w14:textId="77777777" w:rsidR="00682E1A" w:rsidRPr="001E0579" w:rsidRDefault="00682E1A" w:rsidP="00285665">
            <w:pPr>
              <w:jc w:val="right"/>
              <w:rPr>
                <w:rFonts w:cs="Arial"/>
                <w:color w:val="000000"/>
                <w:lang w:val="de-AT" w:eastAsia="de-AT"/>
              </w:rPr>
            </w:pPr>
            <w:r w:rsidRPr="001E0579">
              <w:rPr>
                <w:rFonts w:cs="Arial"/>
                <w:color w:val="000000"/>
                <w:lang w:val="de-AT" w:eastAsia="de-AT"/>
              </w:rPr>
              <w:t>0,0304</w:t>
            </w:r>
          </w:p>
        </w:tc>
        <w:tc>
          <w:tcPr>
            <w:tcW w:w="1451" w:type="dxa"/>
            <w:tcBorders>
              <w:top w:val="nil"/>
              <w:left w:val="nil"/>
              <w:bottom w:val="single" w:sz="4" w:space="0" w:color="auto"/>
              <w:right w:val="single" w:sz="4" w:space="0" w:color="auto"/>
            </w:tcBorders>
            <w:shd w:val="clear" w:color="auto" w:fill="auto"/>
            <w:vAlign w:val="center"/>
            <w:hideMark/>
          </w:tcPr>
          <w:p w14:paraId="2A767D6E"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13824,37</w:t>
            </w:r>
          </w:p>
        </w:tc>
        <w:tc>
          <w:tcPr>
            <w:tcW w:w="1058" w:type="dxa"/>
            <w:tcBorders>
              <w:top w:val="nil"/>
              <w:left w:val="nil"/>
              <w:bottom w:val="single" w:sz="4" w:space="0" w:color="auto"/>
              <w:right w:val="single" w:sz="4" w:space="0" w:color="auto"/>
            </w:tcBorders>
            <w:shd w:val="clear" w:color="auto" w:fill="auto"/>
            <w:vAlign w:val="center"/>
            <w:hideMark/>
          </w:tcPr>
          <w:p w14:paraId="1EB6A9E6"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25167,89</w:t>
            </w:r>
          </w:p>
        </w:tc>
        <w:tc>
          <w:tcPr>
            <w:tcW w:w="1424" w:type="dxa"/>
            <w:tcBorders>
              <w:top w:val="nil"/>
              <w:left w:val="nil"/>
              <w:bottom w:val="single" w:sz="4" w:space="0" w:color="auto"/>
              <w:right w:val="single" w:sz="4" w:space="0" w:color="auto"/>
            </w:tcBorders>
            <w:shd w:val="clear" w:color="auto" w:fill="auto"/>
            <w:vAlign w:val="center"/>
            <w:hideMark/>
          </w:tcPr>
          <w:p w14:paraId="60A0943A"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11343,52</w:t>
            </w:r>
          </w:p>
        </w:tc>
        <w:tc>
          <w:tcPr>
            <w:tcW w:w="1639" w:type="dxa"/>
            <w:tcBorders>
              <w:top w:val="nil"/>
              <w:left w:val="nil"/>
              <w:bottom w:val="single" w:sz="4" w:space="0" w:color="auto"/>
              <w:right w:val="single" w:sz="4" w:space="0" w:color="auto"/>
            </w:tcBorders>
            <w:shd w:val="clear" w:color="auto" w:fill="auto"/>
            <w:vAlign w:val="center"/>
            <w:hideMark/>
          </w:tcPr>
          <w:p w14:paraId="0B634D57"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791,80</w:t>
            </w:r>
          </w:p>
        </w:tc>
        <w:tc>
          <w:tcPr>
            <w:tcW w:w="1639" w:type="dxa"/>
            <w:tcBorders>
              <w:top w:val="nil"/>
              <w:left w:val="nil"/>
              <w:bottom w:val="single" w:sz="4" w:space="0" w:color="auto"/>
              <w:right w:val="single" w:sz="4" w:space="0" w:color="auto"/>
            </w:tcBorders>
            <w:shd w:val="clear" w:color="auto" w:fill="auto"/>
            <w:vAlign w:val="center"/>
            <w:hideMark/>
          </w:tcPr>
          <w:p w14:paraId="7B9AB507"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592,40</w:t>
            </w:r>
          </w:p>
        </w:tc>
        <w:tc>
          <w:tcPr>
            <w:tcW w:w="1590" w:type="dxa"/>
            <w:tcBorders>
              <w:top w:val="nil"/>
              <w:left w:val="nil"/>
              <w:bottom w:val="single" w:sz="4" w:space="0" w:color="auto"/>
              <w:right w:val="single" w:sz="8" w:space="0" w:color="auto"/>
            </w:tcBorders>
            <w:shd w:val="clear" w:color="auto" w:fill="auto"/>
            <w:vAlign w:val="center"/>
            <w:hideMark/>
          </w:tcPr>
          <w:p w14:paraId="791FD71C"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199,40</w:t>
            </w:r>
          </w:p>
        </w:tc>
      </w:tr>
      <w:tr w:rsidR="00682E1A" w:rsidRPr="001E0579" w14:paraId="09CA5993" w14:textId="77777777" w:rsidTr="009A448B">
        <w:trPr>
          <w:trHeight w:val="290"/>
          <w:jc w:val="center"/>
        </w:trPr>
        <w:tc>
          <w:tcPr>
            <w:tcW w:w="3587" w:type="dxa"/>
            <w:vMerge/>
            <w:tcBorders>
              <w:top w:val="nil"/>
              <w:left w:val="single" w:sz="8" w:space="0" w:color="auto"/>
              <w:bottom w:val="single" w:sz="4" w:space="0" w:color="000000"/>
              <w:right w:val="single" w:sz="4" w:space="0" w:color="auto"/>
            </w:tcBorders>
            <w:vAlign w:val="center"/>
            <w:hideMark/>
          </w:tcPr>
          <w:p w14:paraId="7F95CF3E" w14:textId="77777777" w:rsidR="00682E1A" w:rsidRPr="001E0579" w:rsidRDefault="00682E1A" w:rsidP="00682E1A">
            <w:pPr>
              <w:rPr>
                <w:rFonts w:cs="Arial"/>
                <w:b/>
                <w:bCs/>
                <w:color w:val="000000"/>
                <w:lang w:val="de-AT" w:eastAsia="de-AT"/>
              </w:rPr>
            </w:pPr>
          </w:p>
        </w:tc>
        <w:tc>
          <w:tcPr>
            <w:tcW w:w="1418" w:type="dxa"/>
            <w:tcBorders>
              <w:top w:val="nil"/>
              <w:left w:val="nil"/>
              <w:bottom w:val="single" w:sz="4" w:space="0" w:color="auto"/>
              <w:right w:val="single" w:sz="4" w:space="0" w:color="auto"/>
            </w:tcBorders>
            <w:shd w:val="clear" w:color="auto" w:fill="auto"/>
            <w:vAlign w:val="center"/>
            <w:hideMark/>
          </w:tcPr>
          <w:p w14:paraId="313C818C" w14:textId="77777777" w:rsidR="00682E1A" w:rsidRPr="001E0579" w:rsidRDefault="00682E1A" w:rsidP="00285665">
            <w:pPr>
              <w:jc w:val="right"/>
              <w:rPr>
                <w:rFonts w:cs="Arial"/>
                <w:color w:val="000000"/>
                <w:lang w:val="de-AT" w:eastAsia="de-AT"/>
              </w:rPr>
            </w:pPr>
            <w:r w:rsidRPr="001E0579">
              <w:rPr>
                <w:rFonts w:cs="Arial"/>
                <w:color w:val="000000"/>
                <w:lang w:val="de-AT" w:eastAsia="de-AT"/>
              </w:rPr>
              <w:t>0,14656</w:t>
            </w:r>
          </w:p>
        </w:tc>
        <w:tc>
          <w:tcPr>
            <w:tcW w:w="1451" w:type="dxa"/>
            <w:tcBorders>
              <w:top w:val="nil"/>
              <w:left w:val="nil"/>
              <w:bottom w:val="single" w:sz="4" w:space="0" w:color="auto"/>
              <w:right w:val="single" w:sz="4" w:space="0" w:color="auto"/>
            </w:tcBorders>
            <w:shd w:val="clear" w:color="auto" w:fill="auto"/>
            <w:vAlign w:val="center"/>
            <w:hideMark/>
          </w:tcPr>
          <w:p w14:paraId="7942B3CB"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13893,93</w:t>
            </w:r>
          </w:p>
        </w:tc>
        <w:tc>
          <w:tcPr>
            <w:tcW w:w="1058" w:type="dxa"/>
            <w:tcBorders>
              <w:top w:val="nil"/>
              <w:left w:val="nil"/>
              <w:bottom w:val="single" w:sz="4" w:space="0" w:color="auto"/>
              <w:right w:val="single" w:sz="4" w:space="0" w:color="auto"/>
            </w:tcBorders>
            <w:shd w:val="clear" w:color="auto" w:fill="auto"/>
            <w:vAlign w:val="center"/>
            <w:hideMark/>
          </w:tcPr>
          <w:p w14:paraId="0EF86E15"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25167,89</w:t>
            </w:r>
          </w:p>
        </w:tc>
        <w:tc>
          <w:tcPr>
            <w:tcW w:w="1424" w:type="dxa"/>
            <w:tcBorders>
              <w:top w:val="nil"/>
              <w:left w:val="nil"/>
              <w:bottom w:val="single" w:sz="4" w:space="0" w:color="auto"/>
              <w:right w:val="single" w:sz="4" w:space="0" w:color="auto"/>
            </w:tcBorders>
            <w:shd w:val="clear" w:color="auto" w:fill="auto"/>
            <w:vAlign w:val="center"/>
            <w:hideMark/>
          </w:tcPr>
          <w:p w14:paraId="6BA3CE81"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11273,96</w:t>
            </w:r>
          </w:p>
        </w:tc>
        <w:tc>
          <w:tcPr>
            <w:tcW w:w="1639" w:type="dxa"/>
            <w:tcBorders>
              <w:top w:val="nil"/>
              <w:left w:val="nil"/>
              <w:bottom w:val="single" w:sz="4" w:space="0" w:color="auto"/>
              <w:right w:val="single" w:sz="4" w:space="0" w:color="auto"/>
            </w:tcBorders>
            <w:shd w:val="clear" w:color="auto" w:fill="auto"/>
            <w:vAlign w:val="center"/>
            <w:hideMark/>
          </w:tcPr>
          <w:p w14:paraId="06361185"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791,80</w:t>
            </w:r>
          </w:p>
        </w:tc>
        <w:tc>
          <w:tcPr>
            <w:tcW w:w="1639" w:type="dxa"/>
            <w:tcBorders>
              <w:top w:val="nil"/>
              <w:left w:val="nil"/>
              <w:bottom w:val="single" w:sz="4" w:space="0" w:color="auto"/>
              <w:right w:val="single" w:sz="4" w:space="0" w:color="auto"/>
            </w:tcBorders>
            <w:shd w:val="clear" w:color="auto" w:fill="auto"/>
            <w:vAlign w:val="center"/>
            <w:hideMark/>
          </w:tcPr>
          <w:p w14:paraId="634AC919"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592,40</w:t>
            </w:r>
          </w:p>
        </w:tc>
        <w:tc>
          <w:tcPr>
            <w:tcW w:w="1590" w:type="dxa"/>
            <w:tcBorders>
              <w:top w:val="nil"/>
              <w:left w:val="nil"/>
              <w:bottom w:val="single" w:sz="4" w:space="0" w:color="auto"/>
              <w:right w:val="single" w:sz="8" w:space="0" w:color="auto"/>
            </w:tcBorders>
            <w:shd w:val="clear" w:color="auto" w:fill="auto"/>
            <w:vAlign w:val="center"/>
            <w:hideMark/>
          </w:tcPr>
          <w:p w14:paraId="47119D3F"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199,40</w:t>
            </w:r>
          </w:p>
        </w:tc>
      </w:tr>
      <w:tr w:rsidR="00682E1A" w:rsidRPr="001E0579" w14:paraId="5315F394" w14:textId="77777777" w:rsidTr="009A448B">
        <w:trPr>
          <w:trHeight w:val="290"/>
          <w:jc w:val="center"/>
        </w:trPr>
        <w:tc>
          <w:tcPr>
            <w:tcW w:w="3587" w:type="dxa"/>
            <w:vMerge w:val="restart"/>
            <w:tcBorders>
              <w:top w:val="nil"/>
              <w:left w:val="single" w:sz="8" w:space="0" w:color="auto"/>
              <w:bottom w:val="single" w:sz="4" w:space="0" w:color="000000"/>
              <w:right w:val="single" w:sz="4" w:space="0" w:color="auto"/>
            </w:tcBorders>
            <w:shd w:val="clear" w:color="auto" w:fill="auto"/>
            <w:vAlign w:val="center"/>
            <w:hideMark/>
          </w:tcPr>
          <w:p w14:paraId="32DB0E28" w14:textId="77777777" w:rsidR="00682E1A" w:rsidRPr="001E0579" w:rsidRDefault="00682E1A" w:rsidP="001E0579">
            <w:pPr>
              <w:rPr>
                <w:rFonts w:cs="Arial"/>
                <w:b/>
                <w:bCs/>
                <w:color w:val="000000"/>
                <w:lang w:val="en-GB" w:eastAsia="de-AT"/>
              </w:rPr>
            </w:pPr>
            <w:r w:rsidRPr="001E0579">
              <w:rPr>
                <w:rFonts w:cs="Arial"/>
                <w:b/>
                <w:bCs/>
                <w:color w:val="000000"/>
                <w:lang w:val="en-GB" w:eastAsia="de-AT"/>
              </w:rPr>
              <w:t xml:space="preserve">Probability of ceasing </w:t>
            </w:r>
            <w:r w:rsidR="009871ED" w:rsidRPr="001E0579">
              <w:rPr>
                <w:rFonts w:cs="Arial"/>
                <w:b/>
                <w:bCs/>
                <w:color w:val="000000"/>
                <w:lang w:val="en-GB" w:eastAsia="de-AT"/>
              </w:rPr>
              <w:t>MXM</w:t>
            </w:r>
          </w:p>
        </w:tc>
        <w:tc>
          <w:tcPr>
            <w:tcW w:w="1418" w:type="dxa"/>
            <w:tcBorders>
              <w:top w:val="nil"/>
              <w:left w:val="nil"/>
              <w:bottom w:val="single" w:sz="4" w:space="0" w:color="auto"/>
              <w:right w:val="single" w:sz="4" w:space="0" w:color="auto"/>
            </w:tcBorders>
            <w:shd w:val="clear" w:color="auto" w:fill="auto"/>
            <w:vAlign w:val="center"/>
            <w:hideMark/>
          </w:tcPr>
          <w:p w14:paraId="18BADF63" w14:textId="77777777" w:rsidR="00682E1A" w:rsidRPr="001E0579" w:rsidRDefault="00682E1A" w:rsidP="00285665">
            <w:pPr>
              <w:jc w:val="right"/>
              <w:rPr>
                <w:rFonts w:cs="Arial"/>
                <w:color w:val="000000"/>
                <w:lang w:val="de-AT" w:eastAsia="de-AT"/>
              </w:rPr>
            </w:pPr>
            <w:r w:rsidRPr="001E0579">
              <w:rPr>
                <w:rFonts w:cs="Arial"/>
                <w:color w:val="000000"/>
                <w:lang w:val="de-AT" w:eastAsia="de-AT"/>
              </w:rPr>
              <w:t>0,05397</w:t>
            </w:r>
          </w:p>
        </w:tc>
        <w:tc>
          <w:tcPr>
            <w:tcW w:w="1451" w:type="dxa"/>
            <w:tcBorders>
              <w:top w:val="nil"/>
              <w:left w:val="nil"/>
              <w:bottom w:val="single" w:sz="4" w:space="0" w:color="auto"/>
              <w:right w:val="single" w:sz="4" w:space="0" w:color="auto"/>
            </w:tcBorders>
            <w:shd w:val="clear" w:color="auto" w:fill="auto"/>
            <w:vAlign w:val="center"/>
            <w:hideMark/>
          </w:tcPr>
          <w:p w14:paraId="54189E0C"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14124,56</w:t>
            </w:r>
          </w:p>
        </w:tc>
        <w:tc>
          <w:tcPr>
            <w:tcW w:w="1058" w:type="dxa"/>
            <w:tcBorders>
              <w:top w:val="nil"/>
              <w:left w:val="nil"/>
              <w:bottom w:val="single" w:sz="4" w:space="0" w:color="auto"/>
              <w:right w:val="single" w:sz="4" w:space="0" w:color="auto"/>
            </w:tcBorders>
            <w:shd w:val="clear" w:color="auto" w:fill="auto"/>
            <w:vAlign w:val="center"/>
            <w:hideMark/>
          </w:tcPr>
          <w:p w14:paraId="4F741E55"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25167,89</w:t>
            </w:r>
          </w:p>
        </w:tc>
        <w:tc>
          <w:tcPr>
            <w:tcW w:w="1424" w:type="dxa"/>
            <w:tcBorders>
              <w:top w:val="nil"/>
              <w:left w:val="nil"/>
              <w:bottom w:val="single" w:sz="4" w:space="0" w:color="auto"/>
              <w:right w:val="single" w:sz="4" w:space="0" w:color="auto"/>
            </w:tcBorders>
            <w:shd w:val="clear" w:color="auto" w:fill="auto"/>
            <w:vAlign w:val="center"/>
            <w:hideMark/>
          </w:tcPr>
          <w:p w14:paraId="34BC72E7"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11043,33</w:t>
            </w:r>
          </w:p>
        </w:tc>
        <w:tc>
          <w:tcPr>
            <w:tcW w:w="1639" w:type="dxa"/>
            <w:tcBorders>
              <w:top w:val="nil"/>
              <w:left w:val="nil"/>
              <w:bottom w:val="single" w:sz="4" w:space="0" w:color="auto"/>
              <w:right w:val="single" w:sz="4" w:space="0" w:color="auto"/>
            </w:tcBorders>
            <w:shd w:val="clear" w:color="auto" w:fill="auto"/>
            <w:vAlign w:val="center"/>
            <w:hideMark/>
          </w:tcPr>
          <w:p w14:paraId="3C90E175"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766,20</w:t>
            </w:r>
          </w:p>
        </w:tc>
        <w:tc>
          <w:tcPr>
            <w:tcW w:w="1639" w:type="dxa"/>
            <w:tcBorders>
              <w:top w:val="nil"/>
              <w:left w:val="nil"/>
              <w:bottom w:val="single" w:sz="4" w:space="0" w:color="auto"/>
              <w:right w:val="single" w:sz="4" w:space="0" w:color="auto"/>
            </w:tcBorders>
            <w:shd w:val="clear" w:color="auto" w:fill="auto"/>
            <w:vAlign w:val="center"/>
            <w:hideMark/>
          </w:tcPr>
          <w:p w14:paraId="1D2621AB"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592,40</w:t>
            </w:r>
          </w:p>
        </w:tc>
        <w:tc>
          <w:tcPr>
            <w:tcW w:w="1590" w:type="dxa"/>
            <w:tcBorders>
              <w:top w:val="nil"/>
              <w:left w:val="nil"/>
              <w:bottom w:val="single" w:sz="4" w:space="0" w:color="auto"/>
              <w:right w:val="single" w:sz="8" w:space="0" w:color="auto"/>
            </w:tcBorders>
            <w:shd w:val="clear" w:color="auto" w:fill="auto"/>
            <w:vAlign w:val="center"/>
            <w:hideMark/>
          </w:tcPr>
          <w:p w14:paraId="5AE660A1"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173,80</w:t>
            </w:r>
          </w:p>
        </w:tc>
      </w:tr>
      <w:tr w:rsidR="00682E1A" w:rsidRPr="001E0579" w14:paraId="4262DBC7" w14:textId="77777777" w:rsidTr="009A448B">
        <w:trPr>
          <w:trHeight w:val="290"/>
          <w:jc w:val="center"/>
        </w:trPr>
        <w:tc>
          <w:tcPr>
            <w:tcW w:w="3587" w:type="dxa"/>
            <w:vMerge/>
            <w:tcBorders>
              <w:top w:val="nil"/>
              <w:left w:val="single" w:sz="8" w:space="0" w:color="auto"/>
              <w:bottom w:val="single" w:sz="4" w:space="0" w:color="000000"/>
              <w:right w:val="single" w:sz="4" w:space="0" w:color="auto"/>
            </w:tcBorders>
            <w:vAlign w:val="center"/>
            <w:hideMark/>
          </w:tcPr>
          <w:p w14:paraId="0C2E4E9C" w14:textId="77777777" w:rsidR="00682E1A" w:rsidRPr="001E0579" w:rsidRDefault="00682E1A" w:rsidP="00682E1A">
            <w:pPr>
              <w:rPr>
                <w:rFonts w:cs="Arial"/>
                <w:b/>
                <w:bCs/>
                <w:color w:val="000000"/>
                <w:lang w:val="de-AT" w:eastAsia="de-AT"/>
              </w:rPr>
            </w:pPr>
          </w:p>
        </w:tc>
        <w:tc>
          <w:tcPr>
            <w:tcW w:w="1418" w:type="dxa"/>
            <w:tcBorders>
              <w:top w:val="nil"/>
              <w:left w:val="nil"/>
              <w:bottom w:val="single" w:sz="4" w:space="0" w:color="auto"/>
              <w:right w:val="single" w:sz="4" w:space="0" w:color="auto"/>
            </w:tcBorders>
            <w:shd w:val="clear" w:color="auto" w:fill="auto"/>
            <w:vAlign w:val="center"/>
            <w:hideMark/>
          </w:tcPr>
          <w:p w14:paraId="678A61FA" w14:textId="77777777" w:rsidR="00682E1A" w:rsidRPr="001E0579" w:rsidRDefault="00682E1A" w:rsidP="00285665">
            <w:pPr>
              <w:jc w:val="right"/>
              <w:rPr>
                <w:rFonts w:cs="Arial"/>
                <w:color w:val="000000"/>
                <w:lang w:val="de-AT" w:eastAsia="de-AT"/>
              </w:rPr>
            </w:pPr>
            <w:r w:rsidRPr="001E0579">
              <w:rPr>
                <w:rFonts w:cs="Arial"/>
                <w:color w:val="000000"/>
                <w:lang w:val="de-AT" w:eastAsia="de-AT"/>
              </w:rPr>
              <w:t>0,21630</w:t>
            </w:r>
          </w:p>
        </w:tc>
        <w:tc>
          <w:tcPr>
            <w:tcW w:w="1451" w:type="dxa"/>
            <w:tcBorders>
              <w:top w:val="nil"/>
              <w:left w:val="nil"/>
              <w:bottom w:val="single" w:sz="4" w:space="0" w:color="auto"/>
              <w:right w:val="single" w:sz="4" w:space="0" w:color="auto"/>
            </w:tcBorders>
            <w:shd w:val="clear" w:color="auto" w:fill="auto"/>
            <w:vAlign w:val="center"/>
            <w:hideMark/>
          </w:tcPr>
          <w:p w14:paraId="42DDB393"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13422,04</w:t>
            </w:r>
          </w:p>
        </w:tc>
        <w:tc>
          <w:tcPr>
            <w:tcW w:w="1058" w:type="dxa"/>
            <w:tcBorders>
              <w:top w:val="nil"/>
              <w:left w:val="nil"/>
              <w:bottom w:val="single" w:sz="4" w:space="0" w:color="auto"/>
              <w:right w:val="single" w:sz="4" w:space="0" w:color="auto"/>
            </w:tcBorders>
            <w:shd w:val="clear" w:color="auto" w:fill="auto"/>
            <w:vAlign w:val="center"/>
            <w:hideMark/>
          </w:tcPr>
          <w:p w14:paraId="4E3EDCA0"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25167,89</w:t>
            </w:r>
          </w:p>
        </w:tc>
        <w:tc>
          <w:tcPr>
            <w:tcW w:w="1424" w:type="dxa"/>
            <w:tcBorders>
              <w:top w:val="nil"/>
              <w:left w:val="nil"/>
              <w:bottom w:val="single" w:sz="4" w:space="0" w:color="auto"/>
              <w:right w:val="single" w:sz="4" w:space="0" w:color="auto"/>
            </w:tcBorders>
            <w:shd w:val="clear" w:color="auto" w:fill="auto"/>
            <w:vAlign w:val="center"/>
            <w:hideMark/>
          </w:tcPr>
          <w:p w14:paraId="5CA2D83D"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11745,85</w:t>
            </w:r>
          </w:p>
        </w:tc>
        <w:tc>
          <w:tcPr>
            <w:tcW w:w="1639" w:type="dxa"/>
            <w:tcBorders>
              <w:top w:val="nil"/>
              <w:left w:val="nil"/>
              <w:bottom w:val="single" w:sz="4" w:space="0" w:color="auto"/>
              <w:right w:val="single" w:sz="4" w:space="0" w:color="auto"/>
            </w:tcBorders>
            <w:shd w:val="clear" w:color="auto" w:fill="auto"/>
            <w:vAlign w:val="center"/>
            <w:hideMark/>
          </w:tcPr>
          <w:p w14:paraId="6E4E8E80"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831,60</w:t>
            </w:r>
          </w:p>
        </w:tc>
        <w:tc>
          <w:tcPr>
            <w:tcW w:w="1639" w:type="dxa"/>
            <w:tcBorders>
              <w:top w:val="nil"/>
              <w:left w:val="nil"/>
              <w:bottom w:val="single" w:sz="4" w:space="0" w:color="auto"/>
              <w:right w:val="single" w:sz="4" w:space="0" w:color="auto"/>
            </w:tcBorders>
            <w:shd w:val="clear" w:color="auto" w:fill="auto"/>
            <w:vAlign w:val="center"/>
            <w:hideMark/>
          </w:tcPr>
          <w:p w14:paraId="56BDA562"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592,40</w:t>
            </w:r>
          </w:p>
        </w:tc>
        <w:tc>
          <w:tcPr>
            <w:tcW w:w="1590" w:type="dxa"/>
            <w:tcBorders>
              <w:top w:val="nil"/>
              <w:left w:val="nil"/>
              <w:bottom w:val="single" w:sz="4" w:space="0" w:color="auto"/>
              <w:right w:val="single" w:sz="8" w:space="0" w:color="auto"/>
            </w:tcBorders>
            <w:shd w:val="clear" w:color="auto" w:fill="auto"/>
            <w:vAlign w:val="center"/>
            <w:hideMark/>
          </w:tcPr>
          <w:p w14:paraId="447E7532"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239,20</w:t>
            </w:r>
          </w:p>
        </w:tc>
      </w:tr>
      <w:tr w:rsidR="00682E1A" w:rsidRPr="001E0579" w14:paraId="44CA6FC1" w14:textId="77777777" w:rsidTr="009A448B">
        <w:trPr>
          <w:trHeight w:val="290"/>
          <w:jc w:val="center"/>
        </w:trPr>
        <w:tc>
          <w:tcPr>
            <w:tcW w:w="3587" w:type="dxa"/>
            <w:vMerge w:val="restart"/>
            <w:tcBorders>
              <w:top w:val="nil"/>
              <w:left w:val="single" w:sz="8" w:space="0" w:color="auto"/>
              <w:bottom w:val="single" w:sz="4" w:space="0" w:color="000000"/>
              <w:right w:val="single" w:sz="4" w:space="0" w:color="auto"/>
            </w:tcBorders>
            <w:shd w:val="clear" w:color="auto" w:fill="auto"/>
            <w:vAlign w:val="center"/>
            <w:hideMark/>
          </w:tcPr>
          <w:p w14:paraId="65962840" w14:textId="4A5321C7" w:rsidR="00682E1A" w:rsidRPr="001E0579" w:rsidRDefault="00682E1A" w:rsidP="009871ED">
            <w:pPr>
              <w:rPr>
                <w:rFonts w:cs="Arial"/>
                <w:b/>
                <w:bCs/>
                <w:color w:val="000000"/>
                <w:lang w:val="en-GB" w:eastAsia="de-AT"/>
              </w:rPr>
            </w:pPr>
            <w:r w:rsidRPr="001E0579">
              <w:rPr>
                <w:rFonts w:cs="Arial"/>
                <w:b/>
                <w:bCs/>
                <w:color w:val="000000"/>
                <w:lang w:val="en-GB" w:eastAsia="de-AT"/>
              </w:rPr>
              <w:t xml:space="preserve">Probability of revision surgery </w:t>
            </w:r>
            <w:r w:rsidR="00ED1DEE">
              <w:rPr>
                <w:rFonts w:cs="Arial"/>
                <w:b/>
                <w:bCs/>
                <w:color w:val="000000"/>
                <w:lang w:val="en-GB" w:eastAsia="de-AT"/>
              </w:rPr>
              <w:t>–</w:t>
            </w:r>
            <w:r w:rsidR="009871ED" w:rsidRPr="001E0579">
              <w:rPr>
                <w:rFonts w:cs="Arial"/>
                <w:b/>
                <w:bCs/>
                <w:color w:val="000000"/>
                <w:lang w:val="en-GB" w:eastAsia="de-AT"/>
              </w:rPr>
              <w:t>MXM</w:t>
            </w:r>
          </w:p>
        </w:tc>
        <w:tc>
          <w:tcPr>
            <w:tcW w:w="1418" w:type="dxa"/>
            <w:tcBorders>
              <w:top w:val="nil"/>
              <w:left w:val="nil"/>
              <w:bottom w:val="single" w:sz="4" w:space="0" w:color="auto"/>
              <w:right w:val="single" w:sz="4" w:space="0" w:color="auto"/>
            </w:tcBorders>
            <w:shd w:val="clear" w:color="auto" w:fill="auto"/>
            <w:vAlign w:val="center"/>
            <w:hideMark/>
          </w:tcPr>
          <w:p w14:paraId="4C92F99D" w14:textId="77777777" w:rsidR="00682E1A" w:rsidRPr="001E0579" w:rsidRDefault="00682E1A" w:rsidP="00285665">
            <w:pPr>
              <w:jc w:val="right"/>
              <w:rPr>
                <w:rFonts w:cs="Arial"/>
                <w:color w:val="000000"/>
                <w:lang w:val="de-AT" w:eastAsia="de-AT"/>
              </w:rPr>
            </w:pPr>
            <w:r w:rsidRPr="001E0579">
              <w:rPr>
                <w:rFonts w:cs="Arial"/>
                <w:color w:val="000000"/>
                <w:lang w:val="de-AT" w:eastAsia="de-AT"/>
              </w:rPr>
              <w:t>0,00003</w:t>
            </w:r>
          </w:p>
        </w:tc>
        <w:tc>
          <w:tcPr>
            <w:tcW w:w="1451" w:type="dxa"/>
            <w:tcBorders>
              <w:top w:val="nil"/>
              <w:left w:val="nil"/>
              <w:bottom w:val="single" w:sz="4" w:space="0" w:color="auto"/>
              <w:right w:val="single" w:sz="4" w:space="0" w:color="auto"/>
            </w:tcBorders>
            <w:shd w:val="clear" w:color="auto" w:fill="auto"/>
            <w:vAlign w:val="center"/>
            <w:hideMark/>
          </w:tcPr>
          <w:p w14:paraId="3D7ED81F"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13805,95</w:t>
            </w:r>
          </w:p>
        </w:tc>
        <w:tc>
          <w:tcPr>
            <w:tcW w:w="1058" w:type="dxa"/>
            <w:tcBorders>
              <w:top w:val="nil"/>
              <w:left w:val="nil"/>
              <w:bottom w:val="single" w:sz="4" w:space="0" w:color="auto"/>
              <w:right w:val="single" w:sz="4" w:space="0" w:color="auto"/>
            </w:tcBorders>
            <w:shd w:val="clear" w:color="auto" w:fill="auto"/>
            <w:vAlign w:val="center"/>
            <w:hideMark/>
          </w:tcPr>
          <w:p w14:paraId="4636002B"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25167,89</w:t>
            </w:r>
          </w:p>
        </w:tc>
        <w:tc>
          <w:tcPr>
            <w:tcW w:w="1424" w:type="dxa"/>
            <w:tcBorders>
              <w:top w:val="nil"/>
              <w:left w:val="nil"/>
              <w:bottom w:val="single" w:sz="4" w:space="0" w:color="auto"/>
              <w:right w:val="single" w:sz="4" w:space="0" w:color="auto"/>
            </w:tcBorders>
            <w:shd w:val="clear" w:color="auto" w:fill="auto"/>
            <w:vAlign w:val="center"/>
            <w:hideMark/>
          </w:tcPr>
          <w:p w14:paraId="20B14279"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11361,94</w:t>
            </w:r>
          </w:p>
        </w:tc>
        <w:tc>
          <w:tcPr>
            <w:tcW w:w="1639" w:type="dxa"/>
            <w:tcBorders>
              <w:top w:val="nil"/>
              <w:left w:val="nil"/>
              <w:bottom w:val="single" w:sz="4" w:space="0" w:color="auto"/>
              <w:right w:val="single" w:sz="4" w:space="0" w:color="auto"/>
            </w:tcBorders>
            <w:shd w:val="clear" w:color="auto" w:fill="auto"/>
            <w:vAlign w:val="center"/>
            <w:hideMark/>
          </w:tcPr>
          <w:p w14:paraId="4B4FCF0F"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791,80</w:t>
            </w:r>
          </w:p>
        </w:tc>
        <w:tc>
          <w:tcPr>
            <w:tcW w:w="1639" w:type="dxa"/>
            <w:tcBorders>
              <w:top w:val="nil"/>
              <w:left w:val="nil"/>
              <w:bottom w:val="single" w:sz="4" w:space="0" w:color="auto"/>
              <w:right w:val="single" w:sz="4" w:space="0" w:color="auto"/>
            </w:tcBorders>
            <w:shd w:val="clear" w:color="auto" w:fill="auto"/>
            <w:vAlign w:val="center"/>
            <w:hideMark/>
          </w:tcPr>
          <w:p w14:paraId="4FC747A4"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592,40</w:t>
            </w:r>
          </w:p>
        </w:tc>
        <w:tc>
          <w:tcPr>
            <w:tcW w:w="1590" w:type="dxa"/>
            <w:tcBorders>
              <w:top w:val="nil"/>
              <w:left w:val="nil"/>
              <w:bottom w:val="single" w:sz="4" w:space="0" w:color="auto"/>
              <w:right w:val="single" w:sz="8" w:space="0" w:color="auto"/>
            </w:tcBorders>
            <w:shd w:val="clear" w:color="auto" w:fill="auto"/>
            <w:vAlign w:val="center"/>
            <w:hideMark/>
          </w:tcPr>
          <w:p w14:paraId="2B144C93"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199,40</w:t>
            </w:r>
          </w:p>
        </w:tc>
      </w:tr>
      <w:tr w:rsidR="00682E1A" w:rsidRPr="001E0579" w14:paraId="66F88660" w14:textId="77777777" w:rsidTr="009A448B">
        <w:trPr>
          <w:trHeight w:val="290"/>
          <w:jc w:val="center"/>
        </w:trPr>
        <w:tc>
          <w:tcPr>
            <w:tcW w:w="3587" w:type="dxa"/>
            <w:vMerge/>
            <w:tcBorders>
              <w:top w:val="nil"/>
              <w:left w:val="single" w:sz="8" w:space="0" w:color="auto"/>
              <w:bottom w:val="single" w:sz="4" w:space="0" w:color="000000"/>
              <w:right w:val="single" w:sz="4" w:space="0" w:color="auto"/>
            </w:tcBorders>
            <w:vAlign w:val="center"/>
            <w:hideMark/>
          </w:tcPr>
          <w:p w14:paraId="252E1C7A" w14:textId="77777777" w:rsidR="00682E1A" w:rsidRPr="001E0579" w:rsidRDefault="00682E1A" w:rsidP="00682E1A">
            <w:pPr>
              <w:rPr>
                <w:rFonts w:cs="Arial"/>
                <w:b/>
                <w:bCs/>
                <w:color w:val="000000"/>
                <w:lang w:val="de-AT" w:eastAsia="de-AT"/>
              </w:rPr>
            </w:pPr>
          </w:p>
        </w:tc>
        <w:tc>
          <w:tcPr>
            <w:tcW w:w="1418" w:type="dxa"/>
            <w:tcBorders>
              <w:top w:val="nil"/>
              <w:left w:val="nil"/>
              <w:bottom w:val="single" w:sz="4" w:space="0" w:color="auto"/>
              <w:right w:val="single" w:sz="4" w:space="0" w:color="auto"/>
            </w:tcBorders>
            <w:shd w:val="clear" w:color="auto" w:fill="auto"/>
            <w:vAlign w:val="center"/>
            <w:hideMark/>
          </w:tcPr>
          <w:p w14:paraId="7507343B" w14:textId="77777777" w:rsidR="00682E1A" w:rsidRPr="001E0579" w:rsidRDefault="00682E1A" w:rsidP="00285665">
            <w:pPr>
              <w:jc w:val="right"/>
              <w:rPr>
                <w:rFonts w:cs="Arial"/>
                <w:color w:val="000000"/>
                <w:lang w:val="de-AT" w:eastAsia="de-AT"/>
              </w:rPr>
            </w:pPr>
            <w:r w:rsidRPr="001E0579">
              <w:rPr>
                <w:rFonts w:cs="Arial"/>
                <w:color w:val="000000"/>
                <w:lang w:val="de-AT" w:eastAsia="de-AT"/>
              </w:rPr>
              <w:t>0,31160</w:t>
            </w:r>
          </w:p>
        </w:tc>
        <w:tc>
          <w:tcPr>
            <w:tcW w:w="1451" w:type="dxa"/>
            <w:tcBorders>
              <w:top w:val="nil"/>
              <w:left w:val="nil"/>
              <w:bottom w:val="single" w:sz="4" w:space="0" w:color="auto"/>
              <w:right w:val="single" w:sz="4" w:space="0" w:color="auto"/>
            </w:tcBorders>
            <w:shd w:val="clear" w:color="auto" w:fill="auto"/>
            <w:vAlign w:val="center"/>
            <w:hideMark/>
          </w:tcPr>
          <w:p w14:paraId="306BB950"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14175,54</w:t>
            </w:r>
          </w:p>
        </w:tc>
        <w:tc>
          <w:tcPr>
            <w:tcW w:w="1058" w:type="dxa"/>
            <w:tcBorders>
              <w:top w:val="nil"/>
              <w:left w:val="nil"/>
              <w:bottom w:val="single" w:sz="4" w:space="0" w:color="auto"/>
              <w:right w:val="single" w:sz="4" w:space="0" w:color="auto"/>
            </w:tcBorders>
            <w:shd w:val="clear" w:color="auto" w:fill="auto"/>
            <w:vAlign w:val="center"/>
            <w:hideMark/>
          </w:tcPr>
          <w:p w14:paraId="2FB111E6"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25167,89</w:t>
            </w:r>
          </w:p>
        </w:tc>
        <w:tc>
          <w:tcPr>
            <w:tcW w:w="1424" w:type="dxa"/>
            <w:tcBorders>
              <w:top w:val="nil"/>
              <w:left w:val="nil"/>
              <w:bottom w:val="single" w:sz="4" w:space="0" w:color="auto"/>
              <w:right w:val="single" w:sz="4" w:space="0" w:color="auto"/>
            </w:tcBorders>
            <w:shd w:val="clear" w:color="auto" w:fill="auto"/>
            <w:vAlign w:val="center"/>
            <w:hideMark/>
          </w:tcPr>
          <w:p w14:paraId="3708643F"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10992,35</w:t>
            </w:r>
          </w:p>
        </w:tc>
        <w:tc>
          <w:tcPr>
            <w:tcW w:w="1639" w:type="dxa"/>
            <w:tcBorders>
              <w:top w:val="nil"/>
              <w:left w:val="nil"/>
              <w:bottom w:val="single" w:sz="4" w:space="0" w:color="auto"/>
              <w:right w:val="single" w:sz="4" w:space="0" w:color="auto"/>
            </w:tcBorders>
            <w:shd w:val="clear" w:color="auto" w:fill="auto"/>
            <w:vAlign w:val="center"/>
            <w:hideMark/>
          </w:tcPr>
          <w:p w14:paraId="57FA877F"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791,80</w:t>
            </w:r>
          </w:p>
        </w:tc>
        <w:tc>
          <w:tcPr>
            <w:tcW w:w="1639" w:type="dxa"/>
            <w:tcBorders>
              <w:top w:val="nil"/>
              <w:left w:val="nil"/>
              <w:bottom w:val="single" w:sz="4" w:space="0" w:color="auto"/>
              <w:right w:val="single" w:sz="4" w:space="0" w:color="auto"/>
            </w:tcBorders>
            <w:shd w:val="clear" w:color="auto" w:fill="auto"/>
            <w:vAlign w:val="center"/>
            <w:hideMark/>
          </w:tcPr>
          <w:p w14:paraId="412CFF55"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592,40</w:t>
            </w:r>
          </w:p>
        </w:tc>
        <w:tc>
          <w:tcPr>
            <w:tcW w:w="1590" w:type="dxa"/>
            <w:tcBorders>
              <w:top w:val="nil"/>
              <w:left w:val="nil"/>
              <w:bottom w:val="single" w:sz="4" w:space="0" w:color="auto"/>
              <w:right w:val="single" w:sz="8" w:space="0" w:color="auto"/>
            </w:tcBorders>
            <w:shd w:val="clear" w:color="auto" w:fill="auto"/>
            <w:vAlign w:val="center"/>
            <w:hideMark/>
          </w:tcPr>
          <w:p w14:paraId="764C44CE"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199,40</w:t>
            </w:r>
          </w:p>
        </w:tc>
      </w:tr>
      <w:tr w:rsidR="00682E1A" w:rsidRPr="001E0579" w14:paraId="40E6B397" w14:textId="77777777" w:rsidTr="009A448B">
        <w:trPr>
          <w:trHeight w:val="290"/>
          <w:jc w:val="center"/>
        </w:trPr>
        <w:tc>
          <w:tcPr>
            <w:tcW w:w="3587" w:type="dxa"/>
            <w:vMerge w:val="restart"/>
            <w:tcBorders>
              <w:top w:val="nil"/>
              <w:left w:val="single" w:sz="8" w:space="0" w:color="auto"/>
              <w:bottom w:val="single" w:sz="4" w:space="0" w:color="000000"/>
              <w:right w:val="single" w:sz="4" w:space="0" w:color="auto"/>
            </w:tcBorders>
            <w:shd w:val="clear" w:color="auto" w:fill="auto"/>
            <w:vAlign w:val="center"/>
            <w:hideMark/>
          </w:tcPr>
          <w:p w14:paraId="6747EE4F" w14:textId="2BEF8A2B" w:rsidR="00682E1A" w:rsidRPr="001E0579" w:rsidRDefault="00682E1A" w:rsidP="009871ED">
            <w:pPr>
              <w:rPr>
                <w:rFonts w:cs="Arial"/>
                <w:b/>
                <w:bCs/>
                <w:color w:val="000000"/>
                <w:lang w:val="en-GB" w:eastAsia="de-AT"/>
              </w:rPr>
            </w:pPr>
            <w:r w:rsidRPr="001E0579">
              <w:rPr>
                <w:rFonts w:cs="Arial"/>
                <w:b/>
                <w:bCs/>
                <w:color w:val="000000"/>
                <w:lang w:val="en-GB" w:eastAsia="de-AT"/>
              </w:rPr>
              <w:t xml:space="preserve">Probability of unresolved </w:t>
            </w:r>
            <w:r w:rsidR="009871ED" w:rsidRPr="001E0579">
              <w:rPr>
                <w:rFonts w:cs="Arial"/>
                <w:b/>
                <w:bCs/>
                <w:color w:val="000000"/>
                <w:lang w:val="en-GB" w:eastAsia="de-AT"/>
              </w:rPr>
              <w:t xml:space="preserve">AE </w:t>
            </w:r>
            <w:r w:rsidR="00ED1DEE">
              <w:rPr>
                <w:rFonts w:cs="Arial"/>
                <w:b/>
                <w:bCs/>
                <w:color w:val="000000"/>
                <w:lang w:val="en-GB" w:eastAsia="de-AT"/>
              </w:rPr>
              <w:t>–</w:t>
            </w:r>
            <w:r w:rsidR="009871ED" w:rsidRPr="001E0579">
              <w:rPr>
                <w:rFonts w:cs="Arial"/>
                <w:b/>
                <w:bCs/>
                <w:color w:val="000000"/>
                <w:lang w:val="en-GB" w:eastAsia="de-AT"/>
              </w:rPr>
              <w:t xml:space="preserve"> MXM</w:t>
            </w:r>
          </w:p>
        </w:tc>
        <w:tc>
          <w:tcPr>
            <w:tcW w:w="1418" w:type="dxa"/>
            <w:tcBorders>
              <w:top w:val="nil"/>
              <w:left w:val="nil"/>
              <w:bottom w:val="single" w:sz="4" w:space="0" w:color="auto"/>
              <w:right w:val="single" w:sz="4" w:space="0" w:color="auto"/>
            </w:tcBorders>
            <w:shd w:val="clear" w:color="auto" w:fill="auto"/>
            <w:vAlign w:val="center"/>
            <w:hideMark/>
          </w:tcPr>
          <w:p w14:paraId="4D8E39F2" w14:textId="77777777" w:rsidR="00682E1A" w:rsidRPr="001E0579" w:rsidRDefault="00682E1A" w:rsidP="00285665">
            <w:pPr>
              <w:jc w:val="right"/>
              <w:rPr>
                <w:rFonts w:cs="Arial"/>
                <w:color w:val="000000"/>
                <w:lang w:val="de-AT" w:eastAsia="de-AT"/>
              </w:rPr>
            </w:pPr>
            <w:r w:rsidRPr="001E0579">
              <w:rPr>
                <w:rFonts w:cs="Arial"/>
                <w:color w:val="000000"/>
                <w:lang w:val="de-AT" w:eastAsia="de-AT"/>
              </w:rPr>
              <w:t>0,00169</w:t>
            </w:r>
          </w:p>
        </w:tc>
        <w:tc>
          <w:tcPr>
            <w:tcW w:w="1451" w:type="dxa"/>
            <w:tcBorders>
              <w:top w:val="nil"/>
              <w:left w:val="nil"/>
              <w:bottom w:val="single" w:sz="4" w:space="0" w:color="auto"/>
              <w:right w:val="single" w:sz="4" w:space="0" w:color="auto"/>
            </w:tcBorders>
            <w:shd w:val="clear" w:color="auto" w:fill="auto"/>
            <w:vAlign w:val="center"/>
            <w:hideMark/>
          </w:tcPr>
          <w:p w14:paraId="6451CC4F"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13846,89</w:t>
            </w:r>
          </w:p>
        </w:tc>
        <w:tc>
          <w:tcPr>
            <w:tcW w:w="1058" w:type="dxa"/>
            <w:tcBorders>
              <w:top w:val="nil"/>
              <w:left w:val="nil"/>
              <w:bottom w:val="single" w:sz="4" w:space="0" w:color="auto"/>
              <w:right w:val="single" w:sz="4" w:space="0" w:color="auto"/>
            </w:tcBorders>
            <w:shd w:val="clear" w:color="auto" w:fill="auto"/>
            <w:vAlign w:val="center"/>
            <w:hideMark/>
          </w:tcPr>
          <w:p w14:paraId="3117D2E9"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25167,89</w:t>
            </w:r>
          </w:p>
        </w:tc>
        <w:tc>
          <w:tcPr>
            <w:tcW w:w="1424" w:type="dxa"/>
            <w:tcBorders>
              <w:top w:val="nil"/>
              <w:left w:val="nil"/>
              <w:bottom w:val="single" w:sz="4" w:space="0" w:color="auto"/>
              <w:right w:val="single" w:sz="4" w:space="0" w:color="auto"/>
            </w:tcBorders>
            <w:shd w:val="clear" w:color="auto" w:fill="auto"/>
            <w:vAlign w:val="center"/>
            <w:hideMark/>
          </w:tcPr>
          <w:p w14:paraId="7A02F0CF"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11321,00</w:t>
            </w:r>
          </w:p>
        </w:tc>
        <w:tc>
          <w:tcPr>
            <w:tcW w:w="1639" w:type="dxa"/>
            <w:tcBorders>
              <w:top w:val="nil"/>
              <w:left w:val="nil"/>
              <w:bottom w:val="single" w:sz="4" w:space="0" w:color="auto"/>
              <w:right w:val="single" w:sz="4" w:space="0" w:color="auto"/>
            </w:tcBorders>
            <w:shd w:val="clear" w:color="auto" w:fill="auto"/>
            <w:vAlign w:val="center"/>
            <w:hideMark/>
          </w:tcPr>
          <w:p w14:paraId="5DDD2FEE"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791,80</w:t>
            </w:r>
          </w:p>
        </w:tc>
        <w:tc>
          <w:tcPr>
            <w:tcW w:w="1639" w:type="dxa"/>
            <w:tcBorders>
              <w:top w:val="nil"/>
              <w:left w:val="nil"/>
              <w:bottom w:val="single" w:sz="4" w:space="0" w:color="auto"/>
              <w:right w:val="single" w:sz="4" w:space="0" w:color="auto"/>
            </w:tcBorders>
            <w:shd w:val="clear" w:color="auto" w:fill="auto"/>
            <w:vAlign w:val="center"/>
            <w:hideMark/>
          </w:tcPr>
          <w:p w14:paraId="0984ABAF"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592,40</w:t>
            </w:r>
          </w:p>
        </w:tc>
        <w:tc>
          <w:tcPr>
            <w:tcW w:w="1590" w:type="dxa"/>
            <w:tcBorders>
              <w:top w:val="nil"/>
              <w:left w:val="nil"/>
              <w:bottom w:val="single" w:sz="4" w:space="0" w:color="auto"/>
              <w:right w:val="single" w:sz="8" w:space="0" w:color="auto"/>
            </w:tcBorders>
            <w:shd w:val="clear" w:color="auto" w:fill="auto"/>
            <w:vAlign w:val="center"/>
            <w:hideMark/>
          </w:tcPr>
          <w:p w14:paraId="41BB1378"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199,40</w:t>
            </w:r>
          </w:p>
        </w:tc>
      </w:tr>
      <w:tr w:rsidR="00682E1A" w:rsidRPr="001E0579" w14:paraId="7573BEEE" w14:textId="77777777" w:rsidTr="009A448B">
        <w:trPr>
          <w:trHeight w:val="290"/>
          <w:jc w:val="center"/>
        </w:trPr>
        <w:tc>
          <w:tcPr>
            <w:tcW w:w="3587" w:type="dxa"/>
            <w:vMerge/>
            <w:tcBorders>
              <w:top w:val="nil"/>
              <w:left w:val="single" w:sz="8" w:space="0" w:color="auto"/>
              <w:bottom w:val="single" w:sz="4" w:space="0" w:color="000000"/>
              <w:right w:val="single" w:sz="4" w:space="0" w:color="auto"/>
            </w:tcBorders>
            <w:vAlign w:val="center"/>
            <w:hideMark/>
          </w:tcPr>
          <w:p w14:paraId="6D848F41" w14:textId="77777777" w:rsidR="00682E1A" w:rsidRPr="001E0579" w:rsidRDefault="00682E1A" w:rsidP="00682E1A">
            <w:pPr>
              <w:rPr>
                <w:rFonts w:cs="Arial"/>
                <w:b/>
                <w:bCs/>
                <w:color w:val="000000"/>
                <w:lang w:val="de-AT" w:eastAsia="de-AT"/>
              </w:rPr>
            </w:pPr>
          </w:p>
        </w:tc>
        <w:tc>
          <w:tcPr>
            <w:tcW w:w="1418" w:type="dxa"/>
            <w:tcBorders>
              <w:top w:val="nil"/>
              <w:left w:val="nil"/>
              <w:bottom w:val="single" w:sz="4" w:space="0" w:color="auto"/>
              <w:right w:val="single" w:sz="4" w:space="0" w:color="auto"/>
            </w:tcBorders>
            <w:shd w:val="clear" w:color="auto" w:fill="auto"/>
            <w:vAlign w:val="center"/>
            <w:hideMark/>
          </w:tcPr>
          <w:p w14:paraId="1178A3EE" w14:textId="77777777" w:rsidR="00682E1A" w:rsidRPr="001E0579" w:rsidRDefault="00682E1A" w:rsidP="00285665">
            <w:pPr>
              <w:jc w:val="right"/>
              <w:rPr>
                <w:rFonts w:cs="Arial"/>
                <w:color w:val="000000"/>
                <w:lang w:val="de-AT" w:eastAsia="de-AT"/>
              </w:rPr>
            </w:pPr>
            <w:r w:rsidRPr="001E0579">
              <w:rPr>
                <w:rFonts w:cs="Arial"/>
                <w:color w:val="000000"/>
                <w:lang w:val="de-AT" w:eastAsia="de-AT"/>
              </w:rPr>
              <w:t>0,37143</w:t>
            </w:r>
          </w:p>
        </w:tc>
        <w:tc>
          <w:tcPr>
            <w:tcW w:w="1451" w:type="dxa"/>
            <w:tcBorders>
              <w:top w:val="nil"/>
              <w:left w:val="nil"/>
              <w:bottom w:val="single" w:sz="4" w:space="0" w:color="auto"/>
              <w:right w:val="single" w:sz="4" w:space="0" w:color="auto"/>
            </w:tcBorders>
            <w:shd w:val="clear" w:color="auto" w:fill="auto"/>
            <w:vAlign w:val="center"/>
            <w:hideMark/>
          </w:tcPr>
          <w:p w14:paraId="5C35A9EA"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13865,73</w:t>
            </w:r>
          </w:p>
        </w:tc>
        <w:tc>
          <w:tcPr>
            <w:tcW w:w="1058" w:type="dxa"/>
            <w:tcBorders>
              <w:top w:val="nil"/>
              <w:left w:val="nil"/>
              <w:bottom w:val="single" w:sz="4" w:space="0" w:color="auto"/>
              <w:right w:val="single" w:sz="4" w:space="0" w:color="auto"/>
            </w:tcBorders>
            <w:shd w:val="clear" w:color="auto" w:fill="auto"/>
            <w:vAlign w:val="center"/>
            <w:hideMark/>
          </w:tcPr>
          <w:p w14:paraId="11C468A7"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25167,89</w:t>
            </w:r>
          </w:p>
        </w:tc>
        <w:tc>
          <w:tcPr>
            <w:tcW w:w="1424" w:type="dxa"/>
            <w:tcBorders>
              <w:top w:val="nil"/>
              <w:left w:val="nil"/>
              <w:bottom w:val="single" w:sz="4" w:space="0" w:color="auto"/>
              <w:right w:val="single" w:sz="4" w:space="0" w:color="auto"/>
            </w:tcBorders>
            <w:shd w:val="clear" w:color="auto" w:fill="auto"/>
            <w:vAlign w:val="center"/>
            <w:hideMark/>
          </w:tcPr>
          <w:p w14:paraId="36EF7EB3"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11302,16</w:t>
            </w:r>
          </w:p>
        </w:tc>
        <w:tc>
          <w:tcPr>
            <w:tcW w:w="1639" w:type="dxa"/>
            <w:tcBorders>
              <w:top w:val="nil"/>
              <w:left w:val="nil"/>
              <w:bottom w:val="single" w:sz="4" w:space="0" w:color="auto"/>
              <w:right w:val="single" w:sz="4" w:space="0" w:color="auto"/>
            </w:tcBorders>
            <w:shd w:val="clear" w:color="auto" w:fill="auto"/>
            <w:vAlign w:val="center"/>
            <w:hideMark/>
          </w:tcPr>
          <w:p w14:paraId="1CDC5D11"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791,80</w:t>
            </w:r>
          </w:p>
        </w:tc>
        <w:tc>
          <w:tcPr>
            <w:tcW w:w="1639" w:type="dxa"/>
            <w:tcBorders>
              <w:top w:val="nil"/>
              <w:left w:val="nil"/>
              <w:bottom w:val="single" w:sz="4" w:space="0" w:color="auto"/>
              <w:right w:val="single" w:sz="4" w:space="0" w:color="auto"/>
            </w:tcBorders>
            <w:shd w:val="clear" w:color="auto" w:fill="auto"/>
            <w:vAlign w:val="center"/>
            <w:hideMark/>
          </w:tcPr>
          <w:p w14:paraId="4CEB05F4"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592,40</w:t>
            </w:r>
          </w:p>
        </w:tc>
        <w:tc>
          <w:tcPr>
            <w:tcW w:w="1590" w:type="dxa"/>
            <w:tcBorders>
              <w:top w:val="nil"/>
              <w:left w:val="nil"/>
              <w:bottom w:val="single" w:sz="4" w:space="0" w:color="auto"/>
              <w:right w:val="single" w:sz="8" w:space="0" w:color="auto"/>
            </w:tcBorders>
            <w:shd w:val="clear" w:color="auto" w:fill="auto"/>
            <w:vAlign w:val="center"/>
            <w:hideMark/>
          </w:tcPr>
          <w:p w14:paraId="6F5044FE"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199,40</w:t>
            </w:r>
          </w:p>
        </w:tc>
      </w:tr>
      <w:tr w:rsidR="00682E1A" w:rsidRPr="001E0579" w14:paraId="3C03EBF1" w14:textId="77777777" w:rsidTr="009A448B">
        <w:trPr>
          <w:trHeight w:val="290"/>
          <w:jc w:val="center"/>
        </w:trPr>
        <w:tc>
          <w:tcPr>
            <w:tcW w:w="3587" w:type="dxa"/>
            <w:vMerge w:val="restart"/>
            <w:tcBorders>
              <w:top w:val="nil"/>
              <w:left w:val="single" w:sz="8" w:space="0" w:color="auto"/>
              <w:bottom w:val="single" w:sz="4" w:space="0" w:color="000000"/>
              <w:right w:val="single" w:sz="4" w:space="0" w:color="auto"/>
            </w:tcBorders>
            <w:shd w:val="clear" w:color="auto" w:fill="auto"/>
            <w:vAlign w:val="center"/>
            <w:hideMark/>
          </w:tcPr>
          <w:p w14:paraId="747097A2" w14:textId="77777777" w:rsidR="00682E1A" w:rsidRPr="001E0579" w:rsidRDefault="00682E1A" w:rsidP="009871ED">
            <w:pPr>
              <w:rPr>
                <w:rFonts w:cs="Arial"/>
                <w:b/>
                <w:bCs/>
                <w:color w:val="000000"/>
                <w:lang w:val="en-GB" w:eastAsia="de-AT"/>
              </w:rPr>
            </w:pPr>
            <w:r w:rsidRPr="001E0579">
              <w:rPr>
                <w:rFonts w:cs="Arial"/>
                <w:b/>
                <w:bCs/>
                <w:color w:val="000000"/>
                <w:lang w:val="en-GB" w:eastAsia="de-AT"/>
              </w:rPr>
              <w:t xml:space="preserve">Probability of </w:t>
            </w:r>
            <w:r w:rsidR="009871ED" w:rsidRPr="001E0579">
              <w:rPr>
                <w:rFonts w:cs="Arial"/>
                <w:b/>
                <w:bCs/>
                <w:color w:val="000000"/>
                <w:lang w:val="en-GB" w:eastAsia="de-AT"/>
              </w:rPr>
              <w:t>AE</w:t>
            </w:r>
            <w:r w:rsidRPr="001E0579">
              <w:rPr>
                <w:rFonts w:cs="Arial"/>
                <w:b/>
                <w:bCs/>
                <w:color w:val="000000"/>
                <w:lang w:val="en-GB" w:eastAsia="de-AT"/>
              </w:rPr>
              <w:t xml:space="preserve"> </w:t>
            </w:r>
            <w:r w:rsidR="009871ED" w:rsidRPr="001E0579">
              <w:rPr>
                <w:rFonts w:cs="Arial"/>
                <w:b/>
                <w:bCs/>
                <w:color w:val="000000"/>
                <w:lang w:val="en-GB" w:eastAsia="de-AT"/>
              </w:rPr>
              <w:t>- VSB</w:t>
            </w:r>
          </w:p>
        </w:tc>
        <w:tc>
          <w:tcPr>
            <w:tcW w:w="1418" w:type="dxa"/>
            <w:tcBorders>
              <w:top w:val="nil"/>
              <w:left w:val="nil"/>
              <w:bottom w:val="single" w:sz="4" w:space="0" w:color="auto"/>
              <w:right w:val="single" w:sz="4" w:space="0" w:color="auto"/>
            </w:tcBorders>
            <w:shd w:val="clear" w:color="auto" w:fill="auto"/>
            <w:noWrap/>
            <w:vAlign w:val="center"/>
            <w:hideMark/>
          </w:tcPr>
          <w:p w14:paraId="1E7626B4" w14:textId="77777777" w:rsidR="00682E1A" w:rsidRPr="001E0579" w:rsidRDefault="00682E1A" w:rsidP="00285665">
            <w:pPr>
              <w:jc w:val="right"/>
              <w:rPr>
                <w:rFonts w:cs="Arial"/>
                <w:color w:val="000000"/>
                <w:lang w:val="de-AT" w:eastAsia="de-AT"/>
              </w:rPr>
            </w:pPr>
            <w:r w:rsidRPr="001E0579">
              <w:rPr>
                <w:rFonts w:cs="Arial"/>
                <w:color w:val="000000"/>
                <w:lang w:val="de-AT" w:eastAsia="de-AT"/>
              </w:rPr>
              <w:t>0,44290</w:t>
            </w:r>
          </w:p>
        </w:tc>
        <w:tc>
          <w:tcPr>
            <w:tcW w:w="1451" w:type="dxa"/>
            <w:tcBorders>
              <w:top w:val="nil"/>
              <w:left w:val="nil"/>
              <w:bottom w:val="single" w:sz="4" w:space="0" w:color="auto"/>
              <w:right w:val="single" w:sz="4" w:space="0" w:color="auto"/>
            </w:tcBorders>
            <w:shd w:val="clear" w:color="auto" w:fill="auto"/>
            <w:vAlign w:val="center"/>
            <w:hideMark/>
          </w:tcPr>
          <w:p w14:paraId="35B77CD1"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13849,87</w:t>
            </w:r>
          </w:p>
        </w:tc>
        <w:tc>
          <w:tcPr>
            <w:tcW w:w="1058" w:type="dxa"/>
            <w:tcBorders>
              <w:top w:val="nil"/>
              <w:left w:val="nil"/>
              <w:bottom w:val="single" w:sz="4" w:space="0" w:color="auto"/>
              <w:right w:val="single" w:sz="4" w:space="0" w:color="auto"/>
            </w:tcBorders>
            <w:shd w:val="clear" w:color="auto" w:fill="auto"/>
            <w:noWrap/>
            <w:vAlign w:val="center"/>
            <w:hideMark/>
          </w:tcPr>
          <w:p w14:paraId="5B3C24F5"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25148,20</w:t>
            </w:r>
          </w:p>
        </w:tc>
        <w:tc>
          <w:tcPr>
            <w:tcW w:w="1424" w:type="dxa"/>
            <w:tcBorders>
              <w:top w:val="nil"/>
              <w:left w:val="nil"/>
              <w:bottom w:val="single" w:sz="4" w:space="0" w:color="auto"/>
              <w:right w:val="single" w:sz="4" w:space="0" w:color="auto"/>
            </w:tcBorders>
            <w:shd w:val="clear" w:color="auto" w:fill="auto"/>
            <w:vAlign w:val="center"/>
            <w:hideMark/>
          </w:tcPr>
          <w:p w14:paraId="2D62AC56"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11298,33</w:t>
            </w:r>
          </w:p>
        </w:tc>
        <w:tc>
          <w:tcPr>
            <w:tcW w:w="1639" w:type="dxa"/>
            <w:tcBorders>
              <w:top w:val="nil"/>
              <w:left w:val="nil"/>
              <w:bottom w:val="single" w:sz="4" w:space="0" w:color="auto"/>
              <w:right w:val="single" w:sz="4" w:space="0" w:color="auto"/>
            </w:tcBorders>
            <w:shd w:val="clear" w:color="auto" w:fill="auto"/>
            <w:vAlign w:val="center"/>
            <w:hideMark/>
          </w:tcPr>
          <w:p w14:paraId="3D7A3735"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791,80</w:t>
            </w:r>
          </w:p>
        </w:tc>
        <w:tc>
          <w:tcPr>
            <w:tcW w:w="1639" w:type="dxa"/>
            <w:tcBorders>
              <w:top w:val="nil"/>
              <w:left w:val="nil"/>
              <w:bottom w:val="single" w:sz="4" w:space="0" w:color="auto"/>
              <w:right w:val="single" w:sz="4" w:space="0" w:color="auto"/>
            </w:tcBorders>
            <w:shd w:val="clear" w:color="auto" w:fill="auto"/>
            <w:vAlign w:val="center"/>
            <w:hideMark/>
          </w:tcPr>
          <w:p w14:paraId="14A4CF89"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592,40</w:t>
            </w:r>
          </w:p>
        </w:tc>
        <w:tc>
          <w:tcPr>
            <w:tcW w:w="1590" w:type="dxa"/>
            <w:tcBorders>
              <w:top w:val="nil"/>
              <w:left w:val="nil"/>
              <w:bottom w:val="single" w:sz="4" w:space="0" w:color="auto"/>
              <w:right w:val="single" w:sz="8" w:space="0" w:color="auto"/>
            </w:tcBorders>
            <w:shd w:val="clear" w:color="auto" w:fill="auto"/>
            <w:vAlign w:val="center"/>
            <w:hideMark/>
          </w:tcPr>
          <w:p w14:paraId="11BA8819"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199,40</w:t>
            </w:r>
          </w:p>
        </w:tc>
      </w:tr>
      <w:tr w:rsidR="00682E1A" w:rsidRPr="001E0579" w14:paraId="667002F3" w14:textId="77777777" w:rsidTr="009A448B">
        <w:trPr>
          <w:trHeight w:val="290"/>
          <w:jc w:val="center"/>
        </w:trPr>
        <w:tc>
          <w:tcPr>
            <w:tcW w:w="3587" w:type="dxa"/>
            <w:vMerge/>
            <w:tcBorders>
              <w:top w:val="nil"/>
              <w:left w:val="single" w:sz="8" w:space="0" w:color="auto"/>
              <w:bottom w:val="single" w:sz="4" w:space="0" w:color="000000"/>
              <w:right w:val="single" w:sz="4" w:space="0" w:color="auto"/>
            </w:tcBorders>
            <w:vAlign w:val="center"/>
            <w:hideMark/>
          </w:tcPr>
          <w:p w14:paraId="7D7F539D" w14:textId="77777777" w:rsidR="00682E1A" w:rsidRPr="001E0579" w:rsidRDefault="00682E1A" w:rsidP="00682E1A">
            <w:pPr>
              <w:rPr>
                <w:rFonts w:cs="Arial"/>
                <w:b/>
                <w:bCs/>
                <w:color w:val="000000"/>
                <w:lang w:val="de-AT" w:eastAsia="de-AT"/>
              </w:rPr>
            </w:pPr>
          </w:p>
        </w:tc>
        <w:tc>
          <w:tcPr>
            <w:tcW w:w="1418" w:type="dxa"/>
            <w:tcBorders>
              <w:top w:val="nil"/>
              <w:left w:val="nil"/>
              <w:bottom w:val="single" w:sz="4" w:space="0" w:color="auto"/>
              <w:right w:val="single" w:sz="4" w:space="0" w:color="auto"/>
            </w:tcBorders>
            <w:shd w:val="clear" w:color="auto" w:fill="auto"/>
            <w:noWrap/>
            <w:vAlign w:val="center"/>
            <w:hideMark/>
          </w:tcPr>
          <w:p w14:paraId="18B7B0CA" w14:textId="77777777" w:rsidR="00682E1A" w:rsidRPr="001E0579" w:rsidRDefault="00682E1A" w:rsidP="00285665">
            <w:pPr>
              <w:jc w:val="right"/>
              <w:rPr>
                <w:rFonts w:cs="Arial"/>
                <w:color w:val="000000"/>
                <w:lang w:val="de-AT" w:eastAsia="de-AT"/>
              </w:rPr>
            </w:pPr>
            <w:r w:rsidRPr="001E0579">
              <w:rPr>
                <w:rFonts w:cs="Arial"/>
                <w:color w:val="000000"/>
                <w:lang w:val="de-AT" w:eastAsia="de-AT"/>
              </w:rPr>
              <w:t>0,14973</w:t>
            </w:r>
          </w:p>
        </w:tc>
        <w:tc>
          <w:tcPr>
            <w:tcW w:w="1451" w:type="dxa"/>
            <w:tcBorders>
              <w:top w:val="nil"/>
              <w:left w:val="nil"/>
              <w:bottom w:val="single" w:sz="4" w:space="0" w:color="auto"/>
              <w:right w:val="single" w:sz="4" w:space="0" w:color="auto"/>
            </w:tcBorders>
            <w:shd w:val="clear" w:color="auto" w:fill="auto"/>
            <w:vAlign w:val="center"/>
            <w:hideMark/>
          </w:tcPr>
          <w:p w14:paraId="5A05E782"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13849,87</w:t>
            </w:r>
          </w:p>
        </w:tc>
        <w:tc>
          <w:tcPr>
            <w:tcW w:w="1058" w:type="dxa"/>
            <w:tcBorders>
              <w:top w:val="nil"/>
              <w:left w:val="nil"/>
              <w:bottom w:val="single" w:sz="4" w:space="0" w:color="auto"/>
              <w:right w:val="single" w:sz="4" w:space="0" w:color="auto"/>
            </w:tcBorders>
            <w:shd w:val="clear" w:color="auto" w:fill="auto"/>
            <w:noWrap/>
            <w:vAlign w:val="center"/>
            <w:hideMark/>
          </w:tcPr>
          <w:p w14:paraId="2F8F53EC"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25198,03</w:t>
            </w:r>
          </w:p>
        </w:tc>
        <w:tc>
          <w:tcPr>
            <w:tcW w:w="1424" w:type="dxa"/>
            <w:tcBorders>
              <w:top w:val="nil"/>
              <w:left w:val="nil"/>
              <w:bottom w:val="single" w:sz="4" w:space="0" w:color="auto"/>
              <w:right w:val="single" w:sz="4" w:space="0" w:color="auto"/>
            </w:tcBorders>
            <w:shd w:val="clear" w:color="auto" w:fill="auto"/>
            <w:vAlign w:val="center"/>
            <w:hideMark/>
          </w:tcPr>
          <w:p w14:paraId="28935B94"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11348,16</w:t>
            </w:r>
          </w:p>
        </w:tc>
        <w:tc>
          <w:tcPr>
            <w:tcW w:w="1639" w:type="dxa"/>
            <w:tcBorders>
              <w:top w:val="nil"/>
              <w:left w:val="nil"/>
              <w:bottom w:val="single" w:sz="4" w:space="0" w:color="auto"/>
              <w:right w:val="single" w:sz="4" w:space="0" w:color="auto"/>
            </w:tcBorders>
            <w:shd w:val="clear" w:color="auto" w:fill="auto"/>
            <w:vAlign w:val="center"/>
            <w:hideMark/>
          </w:tcPr>
          <w:p w14:paraId="382D043F"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791,80</w:t>
            </w:r>
          </w:p>
        </w:tc>
        <w:tc>
          <w:tcPr>
            <w:tcW w:w="1639" w:type="dxa"/>
            <w:tcBorders>
              <w:top w:val="nil"/>
              <w:left w:val="nil"/>
              <w:bottom w:val="single" w:sz="4" w:space="0" w:color="auto"/>
              <w:right w:val="single" w:sz="4" w:space="0" w:color="auto"/>
            </w:tcBorders>
            <w:shd w:val="clear" w:color="auto" w:fill="auto"/>
            <w:vAlign w:val="center"/>
            <w:hideMark/>
          </w:tcPr>
          <w:p w14:paraId="3208C9AB"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592,40</w:t>
            </w:r>
          </w:p>
        </w:tc>
        <w:tc>
          <w:tcPr>
            <w:tcW w:w="1590" w:type="dxa"/>
            <w:tcBorders>
              <w:top w:val="nil"/>
              <w:left w:val="nil"/>
              <w:bottom w:val="single" w:sz="4" w:space="0" w:color="auto"/>
              <w:right w:val="single" w:sz="8" w:space="0" w:color="auto"/>
            </w:tcBorders>
            <w:shd w:val="clear" w:color="auto" w:fill="auto"/>
            <w:vAlign w:val="center"/>
            <w:hideMark/>
          </w:tcPr>
          <w:p w14:paraId="162D645D"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199,40</w:t>
            </w:r>
          </w:p>
        </w:tc>
      </w:tr>
      <w:tr w:rsidR="00B5281F" w:rsidRPr="001E0579" w14:paraId="7539C222" w14:textId="77777777" w:rsidTr="009A448B">
        <w:trPr>
          <w:trHeight w:val="290"/>
          <w:jc w:val="center"/>
        </w:trPr>
        <w:tc>
          <w:tcPr>
            <w:tcW w:w="3587" w:type="dxa"/>
            <w:tcBorders>
              <w:top w:val="nil"/>
              <w:left w:val="single" w:sz="8" w:space="0" w:color="auto"/>
              <w:bottom w:val="single" w:sz="4" w:space="0" w:color="000000"/>
              <w:right w:val="single" w:sz="4" w:space="0" w:color="auto"/>
            </w:tcBorders>
            <w:shd w:val="clear" w:color="auto" w:fill="auto"/>
            <w:vAlign w:val="center"/>
          </w:tcPr>
          <w:p w14:paraId="157643D6" w14:textId="77777777" w:rsidR="00B5281F" w:rsidRPr="001E0579" w:rsidRDefault="00B5281F" w:rsidP="001E0579">
            <w:pPr>
              <w:rPr>
                <w:rFonts w:cs="Arial"/>
                <w:b/>
                <w:bCs/>
                <w:color w:val="000000"/>
                <w:lang w:val="en-GB" w:eastAsia="de-AT"/>
              </w:rPr>
            </w:pPr>
          </w:p>
        </w:tc>
        <w:tc>
          <w:tcPr>
            <w:tcW w:w="1418" w:type="dxa"/>
            <w:tcBorders>
              <w:top w:val="nil"/>
              <w:left w:val="nil"/>
              <w:bottom w:val="single" w:sz="4" w:space="0" w:color="auto"/>
              <w:right w:val="single" w:sz="4" w:space="0" w:color="auto"/>
            </w:tcBorders>
            <w:shd w:val="clear" w:color="auto" w:fill="auto"/>
            <w:noWrap/>
            <w:vAlign w:val="center"/>
          </w:tcPr>
          <w:p w14:paraId="75151433" w14:textId="77777777" w:rsidR="00B5281F" w:rsidRPr="001E0579" w:rsidRDefault="00B5281F" w:rsidP="00904A13">
            <w:pPr>
              <w:jc w:val="center"/>
              <w:rPr>
                <w:rFonts w:cs="Arial"/>
                <w:color w:val="000000"/>
                <w:lang w:val="de-AT" w:eastAsia="de-AT"/>
              </w:rPr>
            </w:pPr>
          </w:p>
        </w:tc>
        <w:tc>
          <w:tcPr>
            <w:tcW w:w="1451" w:type="dxa"/>
            <w:tcBorders>
              <w:top w:val="nil"/>
              <w:left w:val="nil"/>
              <w:bottom w:val="single" w:sz="4" w:space="0" w:color="auto"/>
              <w:right w:val="single" w:sz="4" w:space="0" w:color="auto"/>
            </w:tcBorders>
            <w:shd w:val="clear" w:color="auto" w:fill="auto"/>
            <w:vAlign w:val="center"/>
          </w:tcPr>
          <w:p w14:paraId="44B4CFDA" w14:textId="77777777" w:rsidR="00B5281F" w:rsidRPr="001E0579" w:rsidRDefault="00B5281F" w:rsidP="009871ED">
            <w:pPr>
              <w:jc w:val="center"/>
              <w:rPr>
                <w:rFonts w:cs="Arial"/>
                <w:color w:val="000000"/>
                <w:lang w:val="de-AT" w:eastAsia="de-AT"/>
              </w:rPr>
            </w:pPr>
          </w:p>
        </w:tc>
        <w:tc>
          <w:tcPr>
            <w:tcW w:w="1058" w:type="dxa"/>
            <w:tcBorders>
              <w:top w:val="nil"/>
              <w:left w:val="nil"/>
              <w:bottom w:val="single" w:sz="4" w:space="0" w:color="auto"/>
              <w:right w:val="single" w:sz="4" w:space="0" w:color="auto"/>
            </w:tcBorders>
            <w:shd w:val="clear" w:color="auto" w:fill="auto"/>
            <w:noWrap/>
            <w:vAlign w:val="center"/>
          </w:tcPr>
          <w:p w14:paraId="6796CA9D" w14:textId="77777777" w:rsidR="00B5281F" w:rsidRPr="001E0579" w:rsidRDefault="00B5281F" w:rsidP="009871ED">
            <w:pPr>
              <w:jc w:val="center"/>
              <w:rPr>
                <w:rFonts w:cs="Arial"/>
                <w:color w:val="000000"/>
                <w:lang w:val="de-AT" w:eastAsia="de-AT"/>
              </w:rPr>
            </w:pPr>
          </w:p>
        </w:tc>
        <w:tc>
          <w:tcPr>
            <w:tcW w:w="1424" w:type="dxa"/>
            <w:tcBorders>
              <w:top w:val="nil"/>
              <w:left w:val="nil"/>
              <w:bottom w:val="single" w:sz="4" w:space="0" w:color="auto"/>
              <w:right w:val="single" w:sz="4" w:space="0" w:color="auto"/>
            </w:tcBorders>
            <w:shd w:val="clear" w:color="auto" w:fill="auto"/>
            <w:vAlign w:val="center"/>
          </w:tcPr>
          <w:p w14:paraId="1EE7E2DF" w14:textId="77777777" w:rsidR="00B5281F" w:rsidRPr="001E0579" w:rsidRDefault="00B5281F" w:rsidP="009871ED">
            <w:pPr>
              <w:jc w:val="center"/>
              <w:rPr>
                <w:rFonts w:cs="Arial"/>
                <w:color w:val="000000"/>
                <w:lang w:val="de-AT" w:eastAsia="de-AT"/>
              </w:rPr>
            </w:pPr>
          </w:p>
        </w:tc>
        <w:tc>
          <w:tcPr>
            <w:tcW w:w="1639" w:type="dxa"/>
            <w:tcBorders>
              <w:top w:val="nil"/>
              <w:left w:val="nil"/>
              <w:bottom w:val="single" w:sz="4" w:space="0" w:color="auto"/>
              <w:right w:val="single" w:sz="4" w:space="0" w:color="auto"/>
            </w:tcBorders>
            <w:shd w:val="clear" w:color="auto" w:fill="auto"/>
            <w:vAlign w:val="center"/>
          </w:tcPr>
          <w:p w14:paraId="40F745D3" w14:textId="77777777" w:rsidR="00B5281F" w:rsidRPr="001E0579" w:rsidRDefault="00B5281F" w:rsidP="009871ED">
            <w:pPr>
              <w:jc w:val="center"/>
              <w:rPr>
                <w:rFonts w:cs="Arial"/>
                <w:color w:val="000000"/>
                <w:lang w:val="de-AT" w:eastAsia="de-AT"/>
              </w:rPr>
            </w:pPr>
          </w:p>
        </w:tc>
        <w:tc>
          <w:tcPr>
            <w:tcW w:w="1639" w:type="dxa"/>
            <w:tcBorders>
              <w:top w:val="nil"/>
              <w:left w:val="nil"/>
              <w:bottom w:val="single" w:sz="4" w:space="0" w:color="auto"/>
              <w:right w:val="single" w:sz="4" w:space="0" w:color="auto"/>
            </w:tcBorders>
            <w:shd w:val="clear" w:color="auto" w:fill="auto"/>
            <w:vAlign w:val="center"/>
          </w:tcPr>
          <w:p w14:paraId="693E8E0F" w14:textId="77777777" w:rsidR="00B5281F" w:rsidRPr="001E0579" w:rsidRDefault="00B5281F" w:rsidP="009871ED">
            <w:pPr>
              <w:jc w:val="center"/>
              <w:rPr>
                <w:rFonts w:cs="Arial"/>
                <w:color w:val="000000"/>
                <w:lang w:val="de-AT" w:eastAsia="de-AT"/>
              </w:rPr>
            </w:pPr>
          </w:p>
        </w:tc>
        <w:tc>
          <w:tcPr>
            <w:tcW w:w="1590" w:type="dxa"/>
            <w:tcBorders>
              <w:top w:val="nil"/>
              <w:left w:val="nil"/>
              <w:bottom w:val="single" w:sz="4" w:space="0" w:color="auto"/>
              <w:right w:val="single" w:sz="8" w:space="0" w:color="auto"/>
            </w:tcBorders>
            <w:shd w:val="clear" w:color="auto" w:fill="auto"/>
            <w:vAlign w:val="center"/>
          </w:tcPr>
          <w:p w14:paraId="1FDCD08F" w14:textId="77777777" w:rsidR="00B5281F" w:rsidRPr="001E0579" w:rsidRDefault="00B5281F" w:rsidP="009871ED">
            <w:pPr>
              <w:jc w:val="center"/>
              <w:rPr>
                <w:rFonts w:cs="Arial"/>
                <w:color w:val="000000"/>
                <w:lang w:val="de-AT" w:eastAsia="de-AT"/>
              </w:rPr>
            </w:pPr>
          </w:p>
        </w:tc>
      </w:tr>
      <w:tr w:rsidR="00B5281F" w:rsidRPr="001E0579" w14:paraId="77B113FA" w14:textId="77777777" w:rsidTr="00B5281F">
        <w:trPr>
          <w:trHeight w:val="290"/>
          <w:jc w:val="center"/>
        </w:trPr>
        <w:tc>
          <w:tcPr>
            <w:tcW w:w="3587" w:type="dxa"/>
            <w:tcBorders>
              <w:top w:val="nil"/>
              <w:left w:val="single" w:sz="8" w:space="0" w:color="auto"/>
              <w:bottom w:val="single" w:sz="4" w:space="0" w:color="000000"/>
              <w:right w:val="single" w:sz="4" w:space="0" w:color="auto"/>
            </w:tcBorders>
            <w:shd w:val="clear" w:color="auto" w:fill="auto"/>
            <w:vAlign w:val="center"/>
          </w:tcPr>
          <w:p w14:paraId="1996E6CF" w14:textId="77777777" w:rsidR="00B5281F" w:rsidRPr="00B5281F" w:rsidRDefault="00B5281F" w:rsidP="00B5281F">
            <w:pPr>
              <w:rPr>
                <w:rFonts w:cs="Arial"/>
                <w:b/>
                <w:bCs/>
                <w:color w:val="000000"/>
                <w:lang w:val="en-GB" w:eastAsia="de-AT"/>
              </w:rPr>
            </w:pPr>
            <w:r w:rsidRPr="00B5281F">
              <w:rPr>
                <w:rFonts w:cs="Arial"/>
                <w:b/>
                <w:bCs/>
                <w:color w:val="000000"/>
                <w:lang w:val="en-GB" w:eastAsia="de-AT"/>
              </w:rPr>
              <w:lastRenderedPageBreak/>
              <w:t>Variable</w:t>
            </w:r>
          </w:p>
        </w:tc>
        <w:tc>
          <w:tcPr>
            <w:tcW w:w="1418" w:type="dxa"/>
            <w:tcBorders>
              <w:top w:val="nil"/>
              <w:left w:val="nil"/>
              <w:bottom w:val="single" w:sz="4" w:space="0" w:color="auto"/>
              <w:right w:val="single" w:sz="4" w:space="0" w:color="auto"/>
            </w:tcBorders>
            <w:shd w:val="clear" w:color="auto" w:fill="auto"/>
            <w:noWrap/>
            <w:vAlign w:val="center"/>
          </w:tcPr>
          <w:p w14:paraId="4D21416E" w14:textId="77777777" w:rsidR="00B5281F" w:rsidRPr="00B5281F" w:rsidRDefault="00B5281F" w:rsidP="00B5281F">
            <w:pPr>
              <w:jc w:val="center"/>
              <w:rPr>
                <w:rFonts w:cs="Arial"/>
                <w:b/>
                <w:color w:val="000000"/>
                <w:lang w:val="de-AT" w:eastAsia="de-AT"/>
              </w:rPr>
            </w:pPr>
            <w:r w:rsidRPr="00B5281F">
              <w:rPr>
                <w:rFonts w:cs="Arial"/>
                <w:b/>
                <w:color w:val="000000"/>
                <w:lang w:val="de-AT" w:eastAsia="de-AT"/>
              </w:rPr>
              <w:t>Input value</w:t>
            </w:r>
          </w:p>
        </w:tc>
        <w:tc>
          <w:tcPr>
            <w:tcW w:w="1451" w:type="dxa"/>
            <w:tcBorders>
              <w:top w:val="nil"/>
              <w:left w:val="nil"/>
              <w:bottom w:val="single" w:sz="4" w:space="0" w:color="auto"/>
              <w:right w:val="single" w:sz="4" w:space="0" w:color="auto"/>
            </w:tcBorders>
            <w:shd w:val="clear" w:color="auto" w:fill="auto"/>
            <w:vAlign w:val="center"/>
          </w:tcPr>
          <w:p w14:paraId="0FD7F593" w14:textId="77777777" w:rsidR="00B5281F" w:rsidRPr="00B5281F" w:rsidRDefault="00B5281F" w:rsidP="00B5281F">
            <w:pPr>
              <w:jc w:val="center"/>
              <w:rPr>
                <w:rFonts w:cs="Arial"/>
                <w:b/>
                <w:color w:val="000000"/>
                <w:lang w:val="de-AT" w:eastAsia="de-AT"/>
              </w:rPr>
            </w:pPr>
            <w:r w:rsidRPr="00B5281F">
              <w:rPr>
                <w:rFonts w:cs="Arial"/>
                <w:b/>
                <w:color w:val="000000"/>
                <w:lang w:val="de-AT" w:eastAsia="de-AT"/>
              </w:rPr>
              <w:t>Cost of MAXUM</w:t>
            </w:r>
          </w:p>
        </w:tc>
        <w:tc>
          <w:tcPr>
            <w:tcW w:w="1058" w:type="dxa"/>
            <w:tcBorders>
              <w:top w:val="nil"/>
              <w:left w:val="nil"/>
              <w:bottom w:val="single" w:sz="4" w:space="0" w:color="auto"/>
              <w:right w:val="single" w:sz="4" w:space="0" w:color="auto"/>
            </w:tcBorders>
            <w:shd w:val="clear" w:color="auto" w:fill="auto"/>
            <w:noWrap/>
            <w:vAlign w:val="center"/>
          </w:tcPr>
          <w:p w14:paraId="6AF4CF5B" w14:textId="77777777" w:rsidR="00B5281F" w:rsidRPr="00B5281F" w:rsidRDefault="00B5281F" w:rsidP="00B5281F">
            <w:pPr>
              <w:jc w:val="center"/>
              <w:rPr>
                <w:rFonts w:cs="Arial"/>
                <w:b/>
                <w:color w:val="000000"/>
                <w:lang w:val="de-AT" w:eastAsia="de-AT"/>
              </w:rPr>
            </w:pPr>
            <w:r w:rsidRPr="00B5281F">
              <w:rPr>
                <w:rFonts w:cs="Arial"/>
                <w:b/>
                <w:color w:val="000000"/>
                <w:lang w:val="de-AT" w:eastAsia="de-AT"/>
              </w:rPr>
              <w:t>Cost of VSB</w:t>
            </w:r>
          </w:p>
        </w:tc>
        <w:tc>
          <w:tcPr>
            <w:tcW w:w="1424" w:type="dxa"/>
            <w:tcBorders>
              <w:top w:val="nil"/>
              <w:left w:val="nil"/>
              <w:bottom w:val="single" w:sz="4" w:space="0" w:color="auto"/>
              <w:right w:val="single" w:sz="4" w:space="0" w:color="auto"/>
            </w:tcBorders>
            <w:shd w:val="clear" w:color="auto" w:fill="auto"/>
            <w:vAlign w:val="center"/>
          </w:tcPr>
          <w:p w14:paraId="4CC3D6C9" w14:textId="77777777" w:rsidR="00B5281F" w:rsidRPr="00B5281F" w:rsidRDefault="00B5281F" w:rsidP="00B5281F">
            <w:pPr>
              <w:jc w:val="center"/>
              <w:rPr>
                <w:rFonts w:cs="Arial"/>
                <w:b/>
                <w:color w:val="000000"/>
                <w:lang w:val="de-AT" w:eastAsia="de-AT"/>
              </w:rPr>
            </w:pPr>
            <w:r w:rsidRPr="00B5281F">
              <w:rPr>
                <w:rFonts w:cs="Arial"/>
                <w:b/>
                <w:color w:val="000000"/>
                <w:lang w:val="de-AT" w:eastAsia="de-AT"/>
              </w:rPr>
              <w:t>Incremental cost</w:t>
            </w:r>
          </w:p>
        </w:tc>
        <w:tc>
          <w:tcPr>
            <w:tcW w:w="1639" w:type="dxa"/>
            <w:tcBorders>
              <w:top w:val="nil"/>
              <w:left w:val="nil"/>
              <w:bottom w:val="single" w:sz="4" w:space="0" w:color="auto"/>
              <w:right w:val="single" w:sz="4" w:space="0" w:color="auto"/>
            </w:tcBorders>
            <w:shd w:val="clear" w:color="auto" w:fill="auto"/>
            <w:vAlign w:val="center"/>
          </w:tcPr>
          <w:p w14:paraId="1013B91C" w14:textId="77777777" w:rsidR="00B5281F" w:rsidRPr="00B5281F" w:rsidRDefault="00B5281F" w:rsidP="00B5281F">
            <w:pPr>
              <w:jc w:val="center"/>
              <w:rPr>
                <w:rFonts w:cs="Arial"/>
                <w:b/>
                <w:color w:val="000000"/>
                <w:lang w:val="de-AT" w:eastAsia="de-AT"/>
              </w:rPr>
            </w:pPr>
            <w:r w:rsidRPr="00B5281F">
              <w:rPr>
                <w:rFonts w:cs="Arial"/>
                <w:b/>
                <w:color w:val="000000"/>
                <w:lang w:val="de-AT" w:eastAsia="de-AT"/>
              </w:rPr>
              <w:t>Effectiveness of MAXUM</w:t>
            </w:r>
          </w:p>
        </w:tc>
        <w:tc>
          <w:tcPr>
            <w:tcW w:w="1639" w:type="dxa"/>
            <w:tcBorders>
              <w:top w:val="nil"/>
              <w:left w:val="nil"/>
              <w:bottom w:val="single" w:sz="4" w:space="0" w:color="auto"/>
              <w:right w:val="single" w:sz="4" w:space="0" w:color="auto"/>
            </w:tcBorders>
            <w:shd w:val="clear" w:color="auto" w:fill="auto"/>
            <w:vAlign w:val="center"/>
          </w:tcPr>
          <w:p w14:paraId="5FB123B6" w14:textId="77777777" w:rsidR="00B5281F" w:rsidRPr="00B5281F" w:rsidRDefault="00B5281F" w:rsidP="00B5281F">
            <w:pPr>
              <w:jc w:val="center"/>
              <w:rPr>
                <w:rFonts w:cs="Arial"/>
                <w:b/>
                <w:color w:val="000000"/>
                <w:lang w:val="de-AT" w:eastAsia="de-AT"/>
              </w:rPr>
            </w:pPr>
            <w:r w:rsidRPr="00B5281F">
              <w:rPr>
                <w:rFonts w:cs="Arial"/>
                <w:b/>
                <w:color w:val="000000"/>
                <w:lang w:val="de-AT" w:eastAsia="de-AT"/>
              </w:rPr>
              <w:t>Effectiveness of VSB</w:t>
            </w:r>
          </w:p>
        </w:tc>
        <w:tc>
          <w:tcPr>
            <w:tcW w:w="1590" w:type="dxa"/>
            <w:tcBorders>
              <w:top w:val="nil"/>
              <w:left w:val="nil"/>
              <w:bottom w:val="single" w:sz="4" w:space="0" w:color="auto"/>
              <w:right w:val="single" w:sz="8" w:space="0" w:color="auto"/>
            </w:tcBorders>
            <w:shd w:val="clear" w:color="auto" w:fill="auto"/>
            <w:vAlign w:val="center"/>
          </w:tcPr>
          <w:p w14:paraId="29B3F454" w14:textId="77777777" w:rsidR="00B5281F" w:rsidRPr="00B5281F" w:rsidRDefault="00B5281F" w:rsidP="00B5281F">
            <w:pPr>
              <w:jc w:val="center"/>
              <w:rPr>
                <w:rFonts w:cs="Arial"/>
                <w:b/>
                <w:color w:val="000000"/>
                <w:lang w:val="de-AT" w:eastAsia="de-AT"/>
              </w:rPr>
            </w:pPr>
            <w:r w:rsidRPr="00B5281F">
              <w:rPr>
                <w:rFonts w:cs="Arial"/>
                <w:b/>
                <w:color w:val="000000"/>
                <w:lang w:val="de-AT" w:eastAsia="de-AT"/>
              </w:rPr>
              <w:t>Incremental effectiveness</w:t>
            </w:r>
          </w:p>
        </w:tc>
      </w:tr>
      <w:tr w:rsidR="00682E1A" w:rsidRPr="001E0579" w14:paraId="7FC032B5" w14:textId="77777777" w:rsidTr="009A448B">
        <w:trPr>
          <w:trHeight w:val="290"/>
          <w:jc w:val="center"/>
        </w:trPr>
        <w:tc>
          <w:tcPr>
            <w:tcW w:w="3587" w:type="dxa"/>
            <w:vMerge w:val="restart"/>
            <w:tcBorders>
              <w:top w:val="nil"/>
              <w:left w:val="single" w:sz="8" w:space="0" w:color="auto"/>
              <w:bottom w:val="single" w:sz="4" w:space="0" w:color="000000"/>
              <w:right w:val="single" w:sz="4" w:space="0" w:color="auto"/>
            </w:tcBorders>
            <w:shd w:val="clear" w:color="auto" w:fill="auto"/>
            <w:vAlign w:val="center"/>
            <w:hideMark/>
          </w:tcPr>
          <w:p w14:paraId="722E02D6" w14:textId="77777777" w:rsidR="00682E1A" w:rsidRPr="001E0579" w:rsidRDefault="00682E1A" w:rsidP="001E0579">
            <w:pPr>
              <w:rPr>
                <w:rFonts w:cs="Arial"/>
                <w:b/>
                <w:bCs/>
                <w:color w:val="000000"/>
                <w:lang w:val="en-GB" w:eastAsia="de-AT"/>
              </w:rPr>
            </w:pPr>
            <w:r w:rsidRPr="001E0579">
              <w:rPr>
                <w:rFonts w:cs="Arial"/>
                <w:b/>
                <w:bCs/>
                <w:color w:val="000000"/>
                <w:lang w:val="en-GB" w:eastAsia="de-AT"/>
              </w:rPr>
              <w:t>Probability of ceasing VSB</w:t>
            </w:r>
          </w:p>
        </w:tc>
        <w:tc>
          <w:tcPr>
            <w:tcW w:w="1418" w:type="dxa"/>
            <w:tcBorders>
              <w:top w:val="nil"/>
              <w:left w:val="nil"/>
              <w:bottom w:val="single" w:sz="4" w:space="0" w:color="auto"/>
              <w:right w:val="single" w:sz="4" w:space="0" w:color="auto"/>
            </w:tcBorders>
            <w:shd w:val="clear" w:color="auto" w:fill="auto"/>
            <w:noWrap/>
            <w:vAlign w:val="center"/>
            <w:hideMark/>
          </w:tcPr>
          <w:p w14:paraId="6A2FAE6C" w14:textId="77777777" w:rsidR="00682E1A" w:rsidRPr="001E0579" w:rsidRDefault="00682E1A" w:rsidP="00285665">
            <w:pPr>
              <w:jc w:val="right"/>
              <w:rPr>
                <w:rFonts w:cs="Arial"/>
                <w:color w:val="000000"/>
                <w:lang w:val="de-AT" w:eastAsia="de-AT"/>
              </w:rPr>
            </w:pPr>
            <w:r w:rsidRPr="001E0579">
              <w:rPr>
                <w:rFonts w:cs="Arial"/>
                <w:color w:val="000000"/>
                <w:lang w:val="de-AT" w:eastAsia="de-AT"/>
              </w:rPr>
              <w:t>0,00181</w:t>
            </w:r>
          </w:p>
        </w:tc>
        <w:tc>
          <w:tcPr>
            <w:tcW w:w="1451" w:type="dxa"/>
            <w:tcBorders>
              <w:top w:val="nil"/>
              <w:left w:val="nil"/>
              <w:bottom w:val="single" w:sz="4" w:space="0" w:color="auto"/>
              <w:right w:val="single" w:sz="4" w:space="0" w:color="auto"/>
            </w:tcBorders>
            <w:shd w:val="clear" w:color="auto" w:fill="auto"/>
            <w:vAlign w:val="center"/>
            <w:hideMark/>
          </w:tcPr>
          <w:p w14:paraId="4243479E"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13849,87</w:t>
            </w:r>
          </w:p>
        </w:tc>
        <w:tc>
          <w:tcPr>
            <w:tcW w:w="1058" w:type="dxa"/>
            <w:tcBorders>
              <w:top w:val="nil"/>
              <w:left w:val="nil"/>
              <w:bottom w:val="single" w:sz="4" w:space="0" w:color="auto"/>
              <w:right w:val="single" w:sz="4" w:space="0" w:color="auto"/>
            </w:tcBorders>
            <w:shd w:val="clear" w:color="auto" w:fill="auto"/>
            <w:noWrap/>
            <w:vAlign w:val="center"/>
            <w:hideMark/>
          </w:tcPr>
          <w:p w14:paraId="2A1F3ED5"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25260,71</w:t>
            </w:r>
          </w:p>
        </w:tc>
        <w:tc>
          <w:tcPr>
            <w:tcW w:w="1424" w:type="dxa"/>
            <w:tcBorders>
              <w:top w:val="nil"/>
              <w:left w:val="nil"/>
              <w:bottom w:val="single" w:sz="4" w:space="0" w:color="auto"/>
              <w:right w:val="single" w:sz="4" w:space="0" w:color="auto"/>
            </w:tcBorders>
            <w:shd w:val="clear" w:color="auto" w:fill="auto"/>
            <w:vAlign w:val="center"/>
            <w:hideMark/>
          </w:tcPr>
          <w:p w14:paraId="0BBA4155"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11410,84</w:t>
            </w:r>
          </w:p>
        </w:tc>
        <w:tc>
          <w:tcPr>
            <w:tcW w:w="1639" w:type="dxa"/>
            <w:tcBorders>
              <w:top w:val="nil"/>
              <w:left w:val="nil"/>
              <w:bottom w:val="single" w:sz="4" w:space="0" w:color="auto"/>
              <w:right w:val="single" w:sz="4" w:space="0" w:color="auto"/>
            </w:tcBorders>
            <w:shd w:val="clear" w:color="auto" w:fill="auto"/>
            <w:vAlign w:val="center"/>
            <w:hideMark/>
          </w:tcPr>
          <w:p w14:paraId="03690617"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791,80</w:t>
            </w:r>
          </w:p>
        </w:tc>
        <w:tc>
          <w:tcPr>
            <w:tcW w:w="1639" w:type="dxa"/>
            <w:tcBorders>
              <w:top w:val="nil"/>
              <w:left w:val="nil"/>
              <w:bottom w:val="single" w:sz="4" w:space="0" w:color="auto"/>
              <w:right w:val="single" w:sz="4" w:space="0" w:color="auto"/>
            </w:tcBorders>
            <w:shd w:val="clear" w:color="auto" w:fill="auto"/>
            <w:vAlign w:val="center"/>
            <w:hideMark/>
          </w:tcPr>
          <w:p w14:paraId="6F1B5A46"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585,60</w:t>
            </w:r>
          </w:p>
        </w:tc>
        <w:tc>
          <w:tcPr>
            <w:tcW w:w="1590" w:type="dxa"/>
            <w:tcBorders>
              <w:top w:val="nil"/>
              <w:left w:val="nil"/>
              <w:bottom w:val="single" w:sz="4" w:space="0" w:color="auto"/>
              <w:right w:val="single" w:sz="8" w:space="0" w:color="auto"/>
            </w:tcBorders>
            <w:shd w:val="clear" w:color="auto" w:fill="auto"/>
            <w:vAlign w:val="center"/>
            <w:hideMark/>
          </w:tcPr>
          <w:p w14:paraId="076318EF"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206,20</w:t>
            </w:r>
          </w:p>
        </w:tc>
      </w:tr>
      <w:tr w:rsidR="00682E1A" w:rsidRPr="001E0579" w14:paraId="61DE2114" w14:textId="77777777" w:rsidTr="009A448B">
        <w:trPr>
          <w:trHeight w:val="290"/>
          <w:jc w:val="center"/>
        </w:trPr>
        <w:tc>
          <w:tcPr>
            <w:tcW w:w="3587" w:type="dxa"/>
            <w:vMerge/>
            <w:tcBorders>
              <w:top w:val="nil"/>
              <w:left w:val="single" w:sz="8" w:space="0" w:color="auto"/>
              <w:bottom w:val="single" w:sz="4" w:space="0" w:color="000000"/>
              <w:right w:val="single" w:sz="4" w:space="0" w:color="auto"/>
            </w:tcBorders>
            <w:vAlign w:val="center"/>
            <w:hideMark/>
          </w:tcPr>
          <w:p w14:paraId="0B663834" w14:textId="77777777" w:rsidR="00682E1A" w:rsidRPr="001E0579" w:rsidRDefault="00682E1A" w:rsidP="00682E1A">
            <w:pPr>
              <w:rPr>
                <w:rFonts w:cs="Arial"/>
                <w:b/>
                <w:bCs/>
                <w:color w:val="000000"/>
                <w:lang w:val="de-AT" w:eastAsia="de-AT"/>
              </w:rPr>
            </w:pPr>
          </w:p>
        </w:tc>
        <w:tc>
          <w:tcPr>
            <w:tcW w:w="1418" w:type="dxa"/>
            <w:tcBorders>
              <w:top w:val="nil"/>
              <w:left w:val="nil"/>
              <w:bottom w:val="single" w:sz="4" w:space="0" w:color="auto"/>
              <w:right w:val="single" w:sz="4" w:space="0" w:color="auto"/>
            </w:tcBorders>
            <w:shd w:val="clear" w:color="auto" w:fill="auto"/>
            <w:noWrap/>
            <w:vAlign w:val="center"/>
            <w:hideMark/>
          </w:tcPr>
          <w:p w14:paraId="6B86CC79" w14:textId="77777777" w:rsidR="00682E1A" w:rsidRPr="001E0579" w:rsidRDefault="00682E1A" w:rsidP="00285665">
            <w:pPr>
              <w:jc w:val="right"/>
              <w:rPr>
                <w:rFonts w:cs="Arial"/>
                <w:color w:val="000000"/>
                <w:lang w:val="de-AT" w:eastAsia="de-AT"/>
              </w:rPr>
            </w:pPr>
            <w:r w:rsidRPr="001E0579">
              <w:rPr>
                <w:rFonts w:cs="Arial"/>
                <w:color w:val="000000"/>
                <w:lang w:val="de-AT" w:eastAsia="de-AT"/>
              </w:rPr>
              <w:t>0,05391</w:t>
            </w:r>
          </w:p>
        </w:tc>
        <w:tc>
          <w:tcPr>
            <w:tcW w:w="1451" w:type="dxa"/>
            <w:tcBorders>
              <w:top w:val="nil"/>
              <w:left w:val="nil"/>
              <w:bottom w:val="single" w:sz="4" w:space="0" w:color="auto"/>
              <w:right w:val="single" w:sz="4" w:space="0" w:color="auto"/>
            </w:tcBorders>
            <w:shd w:val="clear" w:color="auto" w:fill="auto"/>
            <w:vAlign w:val="center"/>
            <w:hideMark/>
          </w:tcPr>
          <w:p w14:paraId="2D5F36E5"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13849,87</w:t>
            </w:r>
          </w:p>
        </w:tc>
        <w:tc>
          <w:tcPr>
            <w:tcW w:w="1058" w:type="dxa"/>
            <w:tcBorders>
              <w:top w:val="nil"/>
              <w:left w:val="nil"/>
              <w:bottom w:val="single" w:sz="4" w:space="0" w:color="auto"/>
              <w:right w:val="single" w:sz="4" w:space="0" w:color="auto"/>
            </w:tcBorders>
            <w:shd w:val="clear" w:color="auto" w:fill="auto"/>
            <w:noWrap/>
            <w:vAlign w:val="center"/>
            <w:hideMark/>
          </w:tcPr>
          <w:p w14:paraId="38C9A943"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24966,33</w:t>
            </w:r>
          </w:p>
        </w:tc>
        <w:tc>
          <w:tcPr>
            <w:tcW w:w="1424" w:type="dxa"/>
            <w:tcBorders>
              <w:top w:val="nil"/>
              <w:left w:val="nil"/>
              <w:bottom w:val="single" w:sz="4" w:space="0" w:color="auto"/>
              <w:right w:val="single" w:sz="4" w:space="0" w:color="auto"/>
            </w:tcBorders>
            <w:shd w:val="clear" w:color="auto" w:fill="auto"/>
            <w:vAlign w:val="center"/>
            <w:hideMark/>
          </w:tcPr>
          <w:p w14:paraId="2B6F406A"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11116,46</w:t>
            </w:r>
          </w:p>
        </w:tc>
        <w:tc>
          <w:tcPr>
            <w:tcW w:w="1639" w:type="dxa"/>
            <w:tcBorders>
              <w:top w:val="nil"/>
              <w:left w:val="nil"/>
              <w:bottom w:val="single" w:sz="4" w:space="0" w:color="auto"/>
              <w:right w:val="single" w:sz="4" w:space="0" w:color="auto"/>
            </w:tcBorders>
            <w:shd w:val="clear" w:color="auto" w:fill="auto"/>
            <w:vAlign w:val="center"/>
            <w:hideMark/>
          </w:tcPr>
          <w:p w14:paraId="6606EA83"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791,80</w:t>
            </w:r>
          </w:p>
        </w:tc>
        <w:tc>
          <w:tcPr>
            <w:tcW w:w="1639" w:type="dxa"/>
            <w:tcBorders>
              <w:top w:val="nil"/>
              <w:left w:val="nil"/>
              <w:bottom w:val="single" w:sz="4" w:space="0" w:color="auto"/>
              <w:right w:val="single" w:sz="4" w:space="0" w:color="auto"/>
            </w:tcBorders>
            <w:shd w:val="clear" w:color="auto" w:fill="auto"/>
            <w:vAlign w:val="center"/>
            <w:hideMark/>
          </w:tcPr>
          <w:p w14:paraId="325F92C9"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611,40</w:t>
            </w:r>
          </w:p>
        </w:tc>
        <w:tc>
          <w:tcPr>
            <w:tcW w:w="1590" w:type="dxa"/>
            <w:tcBorders>
              <w:top w:val="nil"/>
              <w:left w:val="nil"/>
              <w:bottom w:val="single" w:sz="4" w:space="0" w:color="auto"/>
              <w:right w:val="single" w:sz="8" w:space="0" w:color="auto"/>
            </w:tcBorders>
            <w:shd w:val="clear" w:color="auto" w:fill="auto"/>
            <w:vAlign w:val="center"/>
            <w:hideMark/>
          </w:tcPr>
          <w:p w14:paraId="178EF1C7"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180,40</w:t>
            </w:r>
          </w:p>
        </w:tc>
      </w:tr>
      <w:tr w:rsidR="00682E1A" w:rsidRPr="001E0579" w14:paraId="52E705AB" w14:textId="77777777" w:rsidTr="009A448B">
        <w:trPr>
          <w:trHeight w:val="290"/>
          <w:jc w:val="center"/>
        </w:trPr>
        <w:tc>
          <w:tcPr>
            <w:tcW w:w="3587" w:type="dxa"/>
            <w:vMerge w:val="restart"/>
            <w:tcBorders>
              <w:top w:val="nil"/>
              <w:left w:val="single" w:sz="8" w:space="0" w:color="auto"/>
              <w:bottom w:val="single" w:sz="4" w:space="0" w:color="000000"/>
              <w:right w:val="single" w:sz="4" w:space="0" w:color="auto"/>
            </w:tcBorders>
            <w:shd w:val="clear" w:color="auto" w:fill="auto"/>
            <w:vAlign w:val="center"/>
            <w:hideMark/>
          </w:tcPr>
          <w:p w14:paraId="21A7E88A" w14:textId="18A042ED" w:rsidR="00682E1A" w:rsidRPr="001E0579" w:rsidRDefault="001E0579" w:rsidP="009871ED">
            <w:pPr>
              <w:rPr>
                <w:rFonts w:cs="Arial"/>
                <w:b/>
                <w:bCs/>
                <w:color w:val="000000"/>
                <w:lang w:val="en-GB" w:eastAsia="de-AT"/>
              </w:rPr>
            </w:pPr>
            <w:r>
              <w:rPr>
                <w:rFonts w:cs="Arial"/>
                <w:b/>
                <w:bCs/>
                <w:color w:val="000000"/>
                <w:lang w:val="en-GB" w:eastAsia="de-AT"/>
              </w:rPr>
              <w:t xml:space="preserve">Probability of revision surgery </w:t>
            </w:r>
            <w:r w:rsidR="00ED1DEE">
              <w:rPr>
                <w:rFonts w:cs="Arial"/>
                <w:b/>
                <w:bCs/>
                <w:color w:val="000000"/>
                <w:lang w:val="en-GB" w:eastAsia="de-AT"/>
              </w:rPr>
              <w:t>–</w:t>
            </w:r>
            <w:r>
              <w:rPr>
                <w:rFonts w:cs="Arial"/>
                <w:b/>
                <w:bCs/>
                <w:color w:val="000000"/>
                <w:lang w:val="en-GB" w:eastAsia="de-AT"/>
              </w:rPr>
              <w:t xml:space="preserve"> </w:t>
            </w:r>
            <w:r w:rsidR="009871ED" w:rsidRPr="001E0579">
              <w:rPr>
                <w:rFonts w:cs="Arial"/>
                <w:b/>
                <w:bCs/>
                <w:color w:val="000000"/>
                <w:lang w:val="en-GB" w:eastAsia="de-AT"/>
              </w:rPr>
              <w:t>VSB</w:t>
            </w:r>
          </w:p>
        </w:tc>
        <w:tc>
          <w:tcPr>
            <w:tcW w:w="1418" w:type="dxa"/>
            <w:tcBorders>
              <w:top w:val="nil"/>
              <w:left w:val="nil"/>
              <w:bottom w:val="single" w:sz="4" w:space="0" w:color="auto"/>
              <w:right w:val="single" w:sz="4" w:space="0" w:color="auto"/>
            </w:tcBorders>
            <w:shd w:val="clear" w:color="auto" w:fill="auto"/>
            <w:noWrap/>
            <w:vAlign w:val="center"/>
            <w:hideMark/>
          </w:tcPr>
          <w:p w14:paraId="4190BBAB" w14:textId="77777777" w:rsidR="00682E1A" w:rsidRPr="001E0579" w:rsidRDefault="00682E1A" w:rsidP="00285665">
            <w:pPr>
              <w:jc w:val="right"/>
              <w:rPr>
                <w:rFonts w:cs="Arial"/>
                <w:color w:val="000000"/>
                <w:lang w:val="en-GB" w:eastAsia="de-AT"/>
              </w:rPr>
            </w:pPr>
            <w:r w:rsidRPr="001E0579">
              <w:rPr>
                <w:rFonts w:cs="Arial"/>
                <w:color w:val="000000"/>
                <w:lang w:val="en-GB" w:eastAsia="de-AT"/>
              </w:rPr>
              <w:t>0,00004</w:t>
            </w:r>
          </w:p>
        </w:tc>
        <w:tc>
          <w:tcPr>
            <w:tcW w:w="1451" w:type="dxa"/>
            <w:tcBorders>
              <w:top w:val="nil"/>
              <w:left w:val="nil"/>
              <w:bottom w:val="single" w:sz="4" w:space="0" w:color="auto"/>
              <w:right w:val="single" w:sz="4" w:space="0" w:color="auto"/>
            </w:tcBorders>
            <w:shd w:val="clear" w:color="auto" w:fill="auto"/>
            <w:vAlign w:val="center"/>
            <w:hideMark/>
          </w:tcPr>
          <w:p w14:paraId="687C582D" w14:textId="77777777" w:rsidR="00682E1A" w:rsidRPr="001E0579" w:rsidRDefault="00682E1A" w:rsidP="009871ED">
            <w:pPr>
              <w:jc w:val="center"/>
              <w:rPr>
                <w:rFonts w:cs="Arial"/>
                <w:color w:val="000000"/>
                <w:lang w:val="en-GB" w:eastAsia="de-AT"/>
              </w:rPr>
            </w:pPr>
            <w:r w:rsidRPr="001E0579">
              <w:rPr>
                <w:rFonts w:cs="Arial"/>
                <w:color w:val="000000"/>
                <w:lang w:val="en-GB" w:eastAsia="de-AT"/>
              </w:rPr>
              <w:t>13849,87</w:t>
            </w:r>
          </w:p>
        </w:tc>
        <w:tc>
          <w:tcPr>
            <w:tcW w:w="1058" w:type="dxa"/>
            <w:tcBorders>
              <w:top w:val="nil"/>
              <w:left w:val="nil"/>
              <w:bottom w:val="single" w:sz="4" w:space="0" w:color="auto"/>
              <w:right w:val="single" w:sz="4" w:space="0" w:color="auto"/>
            </w:tcBorders>
            <w:shd w:val="clear" w:color="auto" w:fill="auto"/>
            <w:noWrap/>
            <w:vAlign w:val="center"/>
            <w:hideMark/>
          </w:tcPr>
          <w:p w14:paraId="054F9403" w14:textId="77777777" w:rsidR="00682E1A" w:rsidRPr="001E0579" w:rsidRDefault="00682E1A" w:rsidP="009871ED">
            <w:pPr>
              <w:jc w:val="center"/>
              <w:rPr>
                <w:rFonts w:cs="Arial"/>
                <w:color w:val="000000"/>
                <w:lang w:val="en-GB" w:eastAsia="de-AT"/>
              </w:rPr>
            </w:pPr>
            <w:r w:rsidRPr="001E0579">
              <w:rPr>
                <w:rFonts w:cs="Arial"/>
                <w:color w:val="000000"/>
                <w:lang w:val="en-GB" w:eastAsia="de-AT"/>
              </w:rPr>
              <w:t>25126,82</w:t>
            </w:r>
          </w:p>
        </w:tc>
        <w:tc>
          <w:tcPr>
            <w:tcW w:w="1424" w:type="dxa"/>
            <w:tcBorders>
              <w:top w:val="nil"/>
              <w:left w:val="nil"/>
              <w:bottom w:val="single" w:sz="4" w:space="0" w:color="auto"/>
              <w:right w:val="single" w:sz="4" w:space="0" w:color="auto"/>
            </w:tcBorders>
            <w:shd w:val="clear" w:color="auto" w:fill="auto"/>
            <w:vAlign w:val="center"/>
            <w:hideMark/>
          </w:tcPr>
          <w:p w14:paraId="58EDEC83" w14:textId="77777777" w:rsidR="00682E1A" w:rsidRPr="001E0579" w:rsidRDefault="00682E1A" w:rsidP="009871ED">
            <w:pPr>
              <w:jc w:val="center"/>
              <w:rPr>
                <w:rFonts w:cs="Arial"/>
                <w:color w:val="000000"/>
                <w:lang w:val="en-GB" w:eastAsia="de-AT"/>
              </w:rPr>
            </w:pPr>
            <w:r w:rsidRPr="001E0579">
              <w:rPr>
                <w:rFonts w:cs="Arial"/>
                <w:color w:val="000000"/>
                <w:lang w:val="en-GB" w:eastAsia="de-AT"/>
              </w:rPr>
              <w:t>11276,95</w:t>
            </w:r>
          </w:p>
        </w:tc>
        <w:tc>
          <w:tcPr>
            <w:tcW w:w="1639" w:type="dxa"/>
            <w:tcBorders>
              <w:top w:val="nil"/>
              <w:left w:val="nil"/>
              <w:bottom w:val="single" w:sz="4" w:space="0" w:color="auto"/>
              <w:right w:val="single" w:sz="4" w:space="0" w:color="auto"/>
            </w:tcBorders>
            <w:shd w:val="clear" w:color="auto" w:fill="auto"/>
            <w:vAlign w:val="center"/>
            <w:hideMark/>
          </w:tcPr>
          <w:p w14:paraId="3A974AFC" w14:textId="77777777" w:rsidR="00682E1A" w:rsidRPr="001E0579" w:rsidRDefault="00682E1A" w:rsidP="009871ED">
            <w:pPr>
              <w:jc w:val="center"/>
              <w:rPr>
                <w:rFonts w:cs="Arial"/>
                <w:color w:val="000000"/>
                <w:lang w:val="en-GB" w:eastAsia="de-AT"/>
              </w:rPr>
            </w:pPr>
            <w:r w:rsidRPr="001E0579">
              <w:rPr>
                <w:rFonts w:cs="Arial"/>
                <w:color w:val="000000"/>
                <w:lang w:val="en-GB" w:eastAsia="de-AT"/>
              </w:rPr>
              <w:t>791,80</w:t>
            </w:r>
          </w:p>
        </w:tc>
        <w:tc>
          <w:tcPr>
            <w:tcW w:w="1639" w:type="dxa"/>
            <w:tcBorders>
              <w:top w:val="nil"/>
              <w:left w:val="nil"/>
              <w:bottom w:val="single" w:sz="4" w:space="0" w:color="auto"/>
              <w:right w:val="single" w:sz="4" w:space="0" w:color="auto"/>
            </w:tcBorders>
            <w:shd w:val="clear" w:color="auto" w:fill="auto"/>
            <w:noWrap/>
            <w:vAlign w:val="center"/>
            <w:hideMark/>
          </w:tcPr>
          <w:p w14:paraId="592486E1" w14:textId="77777777" w:rsidR="00682E1A" w:rsidRPr="001E0579" w:rsidRDefault="00682E1A" w:rsidP="009871ED">
            <w:pPr>
              <w:jc w:val="center"/>
              <w:rPr>
                <w:rFonts w:cs="Arial"/>
                <w:color w:val="000000"/>
                <w:lang w:val="en-GB" w:eastAsia="de-AT"/>
              </w:rPr>
            </w:pPr>
            <w:r w:rsidRPr="001E0579">
              <w:rPr>
                <w:rFonts w:cs="Arial"/>
                <w:color w:val="000000"/>
                <w:lang w:val="en-GB" w:eastAsia="de-AT"/>
              </w:rPr>
              <w:t>592,40</w:t>
            </w:r>
          </w:p>
        </w:tc>
        <w:tc>
          <w:tcPr>
            <w:tcW w:w="1590" w:type="dxa"/>
            <w:tcBorders>
              <w:top w:val="nil"/>
              <w:left w:val="nil"/>
              <w:bottom w:val="single" w:sz="4" w:space="0" w:color="auto"/>
              <w:right w:val="single" w:sz="8" w:space="0" w:color="auto"/>
            </w:tcBorders>
            <w:shd w:val="clear" w:color="auto" w:fill="auto"/>
            <w:vAlign w:val="center"/>
            <w:hideMark/>
          </w:tcPr>
          <w:p w14:paraId="69573DB4" w14:textId="77777777" w:rsidR="00682E1A" w:rsidRPr="001E0579" w:rsidRDefault="00682E1A" w:rsidP="009871ED">
            <w:pPr>
              <w:jc w:val="center"/>
              <w:rPr>
                <w:rFonts w:cs="Arial"/>
                <w:color w:val="000000"/>
                <w:lang w:val="en-GB" w:eastAsia="de-AT"/>
              </w:rPr>
            </w:pPr>
            <w:r w:rsidRPr="001E0579">
              <w:rPr>
                <w:rFonts w:cs="Arial"/>
                <w:color w:val="000000"/>
                <w:lang w:val="en-GB" w:eastAsia="de-AT"/>
              </w:rPr>
              <w:t>199,40</w:t>
            </w:r>
          </w:p>
        </w:tc>
      </w:tr>
      <w:tr w:rsidR="00682E1A" w:rsidRPr="001E0579" w14:paraId="1AA22977" w14:textId="77777777" w:rsidTr="009A448B">
        <w:trPr>
          <w:trHeight w:val="290"/>
          <w:jc w:val="center"/>
        </w:trPr>
        <w:tc>
          <w:tcPr>
            <w:tcW w:w="3587" w:type="dxa"/>
            <w:vMerge/>
            <w:tcBorders>
              <w:top w:val="nil"/>
              <w:left w:val="single" w:sz="8" w:space="0" w:color="auto"/>
              <w:bottom w:val="single" w:sz="4" w:space="0" w:color="000000"/>
              <w:right w:val="single" w:sz="4" w:space="0" w:color="auto"/>
            </w:tcBorders>
            <w:vAlign w:val="center"/>
            <w:hideMark/>
          </w:tcPr>
          <w:p w14:paraId="03D164D0" w14:textId="77777777" w:rsidR="00682E1A" w:rsidRPr="001E0579" w:rsidRDefault="00682E1A" w:rsidP="00682E1A">
            <w:pPr>
              <w:rPr>
                <w:rFonts w:cs="Arial"/>
                <w:b/>
                <w:bCs/>
                <w:color w:val="000000"/>
                <w:lang w:val="en-GB" w:eastAsia="de-AT"/>
              </w:rPr>
            </w:pPr>
          </w:p>
        </w:tc>
        <w:tc>
          <w:tcPr>
            <w:tcW w:w="1418" w:type="dxa"/>
            <w:tcBorders>
              <w:top w:val="nil"/>
              <w:left w:val="nil"/>
              <w:bottom w:val="single" w:sz="4" w:space="0" w:color="auto"/>
              <w:right w:val="single" w:sz="4" w:space="0" w:color="auto"/>
            </w:tcBorders>
            <w:shd w:val="clear" w:color="auto" w:fill="auto"/>
            <w:noWrap/>
            <w:vAlign w:val="center"/>
            <w:hideMark/>
          </w:tcPr>
          <w:p w14:paraId="1315446D" w14:textId="77777777" w:rsidR="00682E1A" w:rsidRPr="001E0579" w:rsidRDefault="00682E1A" w:rsidP="00285665">
            <w:pPr>
              <w:jc w:val="right"/>
              <w:rPr>
                <w:rFonts w:cs="Arial"/>
                <w:color w:val="000000"/>
                <w:lang w:val="en-GB" w:eastAsia="de-AT"/>
              </w:rPr>
            </w:pPr>
            <w:r w:rsidRPr="001E0579">
              <w:rPr>
                <w:rFonts w:cs="Arial"/>
                <w:color w:val="000000"/>
                <w:lang w:val="en-GB" w:eastAsia="de-AT"/>
              </w:rPr>
              <w:t>0,33386</w:t>
            </w:r>
          </w:p>
        </w:tc>
        <w:tc>
          <w:tcPr>
            <w:tcW w:w="1451" w:type="dxa"/>
            <w:tcBorders>
              <w:top w:val="nil"/>
              <w:left w:val="nil"/>
              <w:bottom w:val="single" w:sz="4" w:space="0" w:color="auto"/>
              <w:right w:val="single" w:sz="4" w:space="0" w:color="auto"/>
            </w:tcBorders>
            <w:shd w:val="clear" w:color="auto" w:fill="auto"/>
            <w:vAlign w:val="center"/>
            <w:hideMark/>
          </w:tcPr>
          <w:p w14:paraId="31EEBA4D" w14:textId="77777777" w:rsidR="00682E1A" w:rsidRPr="001E0579" w:rsidRDefault="00682E1A" w:rsidP="009871ED">
            <w:pPr>
              <w:jc w:val="center"/>
              <w:rPr>
                <w:rFonts w:cs="Arial"/>
                <w:color w:val="000000"/>
                <w:lang w:val="en-GB" w:eastAsia="de-AT"/>
              </w:rPr>
            </w:pPr>
            <w:r w:rsidRPr="001E0579">
              <w:rPr>
                <w:rFonts w:cs="Arial"/>
                <w:color w:val="000000"/>
                <w:lang w:val="en-GB" w:eastAsia="de-AT"/>
              </w:rPr>
              <w:t>13849,87</w:t>
            </w:r>
          </w:p>
        </w:tc>
        <w:tc>
          <w:tcPr>
            <w:tcW w:w="1058" w:type="dxa"/>
            <w:tcBorders>
              <w:top w:val="nil"/>
              <w:left w:val="nil"/>
              <w:bottom w:val="single" w:sz="4" w:space="0" w:color="auto"/>
              <w:right w:val="single" w:sz="4" w:space="0" w:color="auto"/>
            </w:tcBorders>
            <w:shd w:val="clear" w:color="auto" w:fill="auto"/>
            <w:noWrap/>
            <w:vAlign w:val="center"/>
            <w:hideMark/>
          </w:tcPr>
          <w:p w14:paraId="2E6DF85C" w14:textId="77777777" w:rsidR="00682E1A" w:rsidRPr="001E0579" w:rsidRDefault="00682E1A" w:rsidP="009871ED">
            <w:pPr>
              <w:jc w:val="center"/>
              <w:rPr>
                <w:rFonts w:cs="Arial"/>
                <w:color w:val="000000"/>
                <w:lang w:val="en-GB" w:eastAsia="de-AT"/>
              </w:rPr>
            </w:pPr>
            <w:r w:rsidRPr="001E0579">
              <w:rPr>
                <w:rFonts w:cs="Arial"/>
                <w:color w:val="000000"/>
                <w:lang w:val="en-GB" w:eastAsia="de-AT"/>
              </w:rPr>
              <w:t>25679,15</w:t>
            </w:r>
          </w:p>
        </w:tc>
        <w:tc>
          <w:tcPr>
            <w:tcW w:w="1424" w:type="dxa"/>
            <w:tcBorders>
              <w:top w:val="nil"/>
              <w:left w:val="nil"/>
              <w:bottom w:val="single" w:sz="4" w:space="0" w:color="auto"/>
              <w:right w:val="single" w:sz="4" w:space="0" w:color="auto"/>
            </w:tcBorders>
            <w:shd w:val="clear" w:color="auto" w:fill="auto"/>
            <w:vAlign w:val="center"/>
            <w:hideMark/>
          </w:tcPr>
          <w:p w14:paraId="4BDDB9D6" w14:textId="77777777" w:rsidR="00682E1A" w:rsidRPr="001E0579" w:rsidRDefault="00682E1A" w:rsidP="009871ED">
            <w:pPr>
              <w:jc w:val="center"/>
              <w:rPr>
                <w:rFonts w:cs="Arial"/>
                <w:color w:val="000000"/>
                <w:lang w:val="en-GB" w:eastAsia="de-AT"/>
              </w:rPr>
            </w:pPr>
            <w:r w:rsidRPr="001E0579">
              <w:rPr>
                <w:rFonts w:cs="Arial"/>
                <w:color w:val="000000"/>
                <w:lang w:val="en-GB" w:eastAsia="de-AT"/>
              </w:rPr>
              <w:t>11829,28</w:t>
            </w:r>
          </w:p>
        </w:tc>
        <w:tc>
          <w:tcPr>
            <w:tcW w:w="1639" w:type="dxa"/>
            <w:tcBorders>
              <w:top w:val="nil"/>
              <w:left w:val="nil"/>
              <w:bottom w:val="single" w:sz="4" w:space="0" w:color="auto"/>
              <w:right w:val="single" w:sz="4" w:space="0" w:color="auto"/>
            </w:tcBorders>
            <w:shd w:val="clear" w:color="auto" w:fill="auto"/>
            <w:vAlign w:val="center"/>
            <w:hideMark/>
          </w:tcPr>
          <w:p w14:paraId="142F2D79" w14:textId="77777777" w:rsidR="00682E1A" w:rsidRPr="001E0579" w:rsidRDefault="00682E1A" w:rsidP="009871ED">
            <w:pPr>
              <w:jc w:val="center"/>
              <w:rPr>
                <w:rFonts w:cs="Arial"/>
                <w:color w:val="000000"/>
                <w:lang w:val="en-GB" w:eastAsia="de-AT"/>
              </w:rPr>
            </w:pPr>
            <w:r w:rsidRPr="001E0579">
              <w:rPr>
                <w:rFonts w:cs="Arial"/>
                <w:color w:val="000000"/>
                <w:lang w:val="en-GB" w:eastAsia="de-AT"/>
              </w:rPr>
              <w:t>791,80</w:t>
            </w:r>
          </w:p>
        </w:tc>
        <w:tc>
          <w:tcPr>
            <w:tcW w:w="1639" w:type="dxa"/>
            <w:tcBorders>
              <w:top w:val="nil"/>
              <w:left w:val="nil"/>
              <w:bottom w:val="single" w:sz="4" w:space="0" w:color="auto"/>
              <w:right w:val="single" w:sz="4" w:space="0" w:color="auto"/>
            </w:tcBorders>
            <w:shd w:val="clear" w:color="auto" w:fill="auto"/>
            <w:noWrap/>
            <w:vAlign w:val="center"/>
            <w:hideMark/>
          </w:tcPr>
          <w:p w14:paraId="70F02F8E" w14:textId="77777777" w:rsidR="00682E1A" w:rsidRPr="001E0579" w:rsidRDefault="00682E1A" w:rsidP="009871ED">
            <w:pPr>
              <w:jc w:val="center"/>
              <w:rPr>
                <w:rFonts w:cs="Arial"/>
                <w:color w:val="000000"/>
                <w:lang w:val="en-GB" w:eastAsia="de-AT"/>
              </w:rPr>
            </w:pPr>
            <w:r w:rsidRPr="001E0579">
              <w:rPr>
                <w:rFonts w:cs="Arial"/>
                <w:color w:val="000000"/>
                <w:lang w:val="en-GB" w:eastAsia="de-AT"/>
              </w:rPr>
              <w:t>592,40</w:t>
            </w:r>
          </w:p>
        </w:tc>
        <w:tc>
          <w:tcPr>
            <w:tcW w:w="1590" w:type="dxa"/>
            <w:tcBorders>
              <w:top w:val="nil"/>
              <w:left w:val="nil"/>
              <w:bottom w:val="single" w:sz="4" w:space="0" w:color="auto"/>
              <w:right w:val="single" w:sz="8" w:space="0" w:color="auto"/>
            </w:tcBorders>
            <w:shd w:val="clear" w:color="auto" w:fill="auto"/>
            <w:vAlign w:val="center"/>
            <w:hideMark/>
          </w:tcPr>
          <w:p w14:paraId="495D480E" w14:textId="77777777" w:rsidR="00682E1A" w:rsidRPr="001E0579" w:rsidRDefault="00682E1A" w:rsidP="009871ED">
            <w:pPr>
              <w:jc w:val="center"/>
              <w:rPr>
                <w:rFonts w:cs="Arial"/>
                <w:color w:val="000000"/>
                <w:lang w:val="en-GB" w:eastAsia="de-AT"/>
              </w:rPr>
            </w:pPr>
            <w:r w:rsidRPr="001E0579">
              <w:rPr>
                <w:rFonts w:cs="Arial"/>
                <w:color w:val="000000"/>
                <w:lang w:val="en-GB" w:eastAsia="de-AT"/>
              </w:rPr>
              <w:t>199,40</w:t>
            </w:r>
          </w:p>
        </w:tc>
      </w:tr>
      <w:tr w:rsidR="00682E1A" w:rsidRPr="001E0579" w14:paraId="3AC226A1" w14:textId="77777777" w:rsidTr="009A448B">
        <w:trPr>
          <w:trHeight w:val="290"/>
          <w:jc w:val="center"/>
        </w:trPr>
        <w:tc>
          <w:tcPr>
            <w:tcW w:w="3587" w:type="dxa"/>
            <w:vMerge w:val="restart"/>
            <w:tcBorders>
              <w:top w:val="nil"/>
              <w:left w:val="single" w:sz="8" w:space="0" w:color="auto"/>
              <w:bottom w:val="single" w:sz="4" w:space="0" w:color="000000"/>
              <w:right w:val="single" w:sz="4" w:space="0" w:color="auto"/>
            </w:tcBorders>
            <w:shd w:val="clear" w:color="auto" w:fill="auto"/>
            <w:vAlign w:val="center"/>
            <w:hideMark/>
          </w:tcPr>
          <w:p w14:paraId="5A1D6EAE" w14:textId="0A754E06" w:rsidR="00682E1A" w:rsidRPr="001E0579" w:rsidRDefault="00682E1A" w:rsidP="009871ED">
            <w:pPr>
              <w:rPr>
                <w:rFonts w:cs="Arial"/>
                <w:b/>
                <w:bCs/>
                <w:color w:val="000000"/>
                <w:lang w:val="en-GB" w:eastAsia="de-AT"/>
              </w:rPr>
            </w:pPr>
            <w:r w:rsidRPr="001E0579">
              <w:rPr>
                <w:rFonts w:cs="Arial"/>
                <w:b/>
                <w:bCs/>
                <w:color w:val="000000"/>
                <w:lang w:val="en-GB" w:eastAsia="de-AT"/>
              </w:rPr>
              <w:t xml:space="preserve">Probability of unresolved </w:t>
            </w:r>
            <w:r w:rsidR="009871ED" w:rsidRPr="001E0579">
              <w:rPr>
                <w:rFonts w:cs="Arial"/>
                <w:b/>
                <w:bCs/>
                <w:color w:val="000000"/>
                <w:lang w:val="en-GB" w:eastAsia="de-AT"/>
              </w:rPr>
              <w:t xml:space="preserve">AE </w:t>
            </w:r>
            <w:r w:rsidR="00ED1DEE">
              <w:rPr>
                <w:rFonts w:cs="Arial"/>
                <w:b/>
                <w:bCs/>
                <w:color w:val="000000"/>
                <w:lang w:val="en-GB" w:eastAsia="de-AT"/>
              </w:rPr>
              <w:t>–</w:t>
            </w:r>
            <w:r w:rsidR="009871ED" w:rsidRPr="001E0579">
              <w:rPr>
                <w:rFonts w:cs="Arial"/>
                <w:b/>
                <w:bCs/>
                <w:color w:val="000000"/>
                <w:lang w:val="en-GB" w:eastAsia="de-AT"/>
              </w:rPr>
              <w:t xml:space="preserve"> VSB</w:t>
            </w:r>
          </w:p>
        </w:tc>
        <w:tc>
          <w:tcPr>
            <w:tcW w:w="1418" w:type="dxa"/>
            <w:tcBorders>
              <w:top w:val="nil"/>
              <w:left w:val="nil"/>
              <w:bottom w:val="single" w:sz="4" w:space="0" w:color="auto"/>
              <w:right w:val="single" w:sz="4" w:space="0" w:color="auto"/>
            </w:tcBorders>
            <w:shd w:val="clear" w:color="auto" w:fill="auto"/>
            <w:noWrap/>
            <w:vAlign w:val="center"/>
            <w:hideMark/>
          </w:tcPr>
          <w:p w14:paraId="362BE8BF" w14:textId="77777777" w:rsidR="00682E1A" w:rsidRPr="001E0579" w:rsidRDefault="00682E1A" w:rsidP="00285665">
            <w:pPr>
              <w:jc w:val="right"/>
              <w:rPr>
                <w:rFonts w:cs="Arial"/>
                <w:color w:val="000000"/>
                <w:lang w:val="de-AT" w:eastAsia="de-AT"/>
              </w:rPr>
            </w:pPr>
            <w:r w:rsidRPr="001E0579">
              <w:rPr>
                <w:rFonts w:cs="Arial"/>
                <w:color w:val="000000"/>
                <w:lang w:val="de-AT" w:eastAsia="de-AT"/>
              </w:rPr>
              <w:t>0,06101</w:t>
            </w:r>
          </w:p>
        </w:tc>
        <w:tc>
          <w:tcPr>
            <w:tcW w:w="1451" w:type="dxa"/>
            <w:tcBorders>
              <w:top w:val="nil"/>
              <w:left w:val="nil"/>
              <w:bottom w:val="single" w:sz="4" w:space="0" w:color="auto"/>
              <w:right w:val="single" w:sz="4" w:space="0" w:color="auto"/>
            </w:tcBorders>
            <w:shd w:val="clear" w:color="auto" w:fill="auto"/>
            <w:vAlign w:val="center"/>
            <w:hideMark/>
          </w:tcPr>
          <w:p w14:paraId="4D8CB191"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13849,87</w:t>
            </w:r>
          </w:p>
        </w:tc>
        <w:tc>
          <w:tcPr>
            <w:tcW w:w="1058" w:type="dxa"/>
            <w:tcBorders>
              <w:top w:val="nil"/>
              <w:left w:val="nil"/>
              <w:bottom w:val="single" w:sz="4" w:space="0" w:color="auto"/>
              <w:right w:val="single" w:sz="4" w:space="0" w:color="auto"/>
            </w:tcBorders>
            <w:shd w:val="clear" w:color="auto" w:fill="auto"/>
            <w:noWrap/>
            <w:vAlign w:val="center"/>
            <w:hideMark/>
          </w:tcPr>
          <w:p w14:paraId="2984DAC6"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25165,38</w:t>
            </w:r>
          </w:p>
        </w:tc>
        <w:tc>
          <w:tcPr>
            <w:tcW w:w="1424" w:type="dxa"/>
            <w:tcBorders>
              <w:top w:val="nil"/>
              <w:left w:val="nil"/>
              <w:bottom w:val="single" w:sz="4" w:space="0" w:color="auto"/>
              <w:right w:val="single" w:sz="4" w:space="0" w:color="auto"/>
            </w:tcBorders>
            <w:shd w:val="clear" w:color="auto" w:fill="auto"/>
            <w:vAlign w:val="center"/>
            <w:hideMark/>
          </w:tcPr>
          <w:p w14:paraId="68C9A243"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11315,51</w:t>
            </w:r>
          </w:p>
        </w:tc>
        <w:tc>
          <w:tcPr>
            <w:tcW w:w="1639" w:type="dxa"/>
            <w:tcBorders>
              <w:top w:val="nil"/>
              <w:left w:val="nil"/>
              <w:bottom w:val="single" w:sz="4" w:space="0" w:color="auto"/>
              <w:right w:val="single" w:sz="4" w:space="0" w:color="auto"/>
            </w:tcBorders>
            <w:shd w:val="clear" w:color="auto" w:fill="auto"/>
            <w:vAlign w:val="center"/>
            <w:hideMark/>
          </w:tcPr>
          <w:p w14:paraId="1A62D75B"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791,80</w:t>
            </w:r>
          </w:p>
        </w:tc>
        <w:tc>
          <w:tcPr>
            <w:tcW w:w="1639" w:type="dxa"/>
            <w:tcBorders>
              <w:top w:val="nil"/>
              <w:left w:val="nil"/>
              <w:bottom w:val="single" w:sz="4" w:space="0" w:color="auto"/>
              <w:right w:val="single" w:sz="4" w:space="0" w:color="auto"/>
            </w:tcBorders>
            <w:shd w:val="clear" w:color="auto" w:fill="auto"/>
            <w:noWrap/>
            <w:vAlign w:val="center"/>
            <w:hideMark/>
          </w:tcPr>
          <w:p w14:paraId="5CEC90EE"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592,40</w:t>
            </w:r>
          </w:p>
        </w:tc>
        <w:tc>
          <w:tcPr>
            <w:tcW w:w="1590" w:type="dxa"/>
            <w:tcBorders>
              <w:top w:val="nil"/>
              <w:left w:val="nil"/>
              <w:bottom w:val="single" w:sz="4" w:space="0" w:color="auto"/>
              <w:right w:val="single" w:sz="8" w:space="0" w:color="auto"/>
            </w:tcBorders>
            <w:shd w:val="clear" w:color="auto" w:fill="auto"/>
            <w:vAlign w:val="center"/>
            <w:hideMark/>
          </w:tcPr>
          <w:p w14:paraId="7A80D040"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199,40</w:t>
            </w:r>
          </w:p>
        </w:tc>
      </w:tr>
      <w:tr w:rsidR="00682E1A" w:rsidRPr="001E0579" w14:paraId="3DE6CB81" w14:textId="77777777" w:rsidTr="009A448B">
        <w:trPr>
          <w:trHeight w:val="290"/>
          <w:jc w:val="center"/>
        </w:trPr>
        <w:tc>
          <w:tcPr>
            <w:tcW w:w="3587" w:type="dxa"/>
            <w:vMerge/>
            <w:tcBorders>
              <w:top w:val="nil"/>
              <w:left w:val="single" w:sz="8" w:space="0" w:color="auto"/>
              <w:bottom w:val="single" w:sz="4" w:space="0" w:color="000000"/>
              <w:right w:val="single" w:sz="4" w:space="0" w:color="auto"/>
            </w:tcBorders>
            <w:vAlign w:val="center"/>
            <w:hideMark/>
          </w:tcPr>
          <w:p w14:paraId="4550C03C" w14:textId="77777777" w:rsidR="00682E1A" w:rsidRPr="001E0579" w:rsidRDefault="00682E1A" w:rsidP="00682E1A">
            <w:pPr>
              <w:rPr>
                <w:rFonts w:cs="Arial"/>
                <w:b/>
                <w:bCs/>
                <w:color w:val="000000"/>
                <w:lang w:val="de-AT" w:eastAsia="de-AT"/>
              </w:rPr>
            </w:pPr>
          </w:p>
        </w:tc>
        <w:tc>
          <w:tcPr>
            <w:tcW w:w="1418" w:type="dxa"/>
            <w:tcBorders>
              <w:top w:val="nil"/>
              <w:left w:val="nil"/>
              <w:bottom w:val="single" w:sz="4" w:space="0" w:color="auto"/>
              <w:right w:val="single" w:sz="4" w:space="0" w:color="auto"/>
            </w:tcBorders>
            <w:shd w:val="clear" w:color="auto" w:fill="auto"/>
            <w:noWrap/>
            <w:vAlign w:val="center"/>
            <w:hideMark/>
          </w:tcPr>
          <w:p w14:paraId="45EB9E28" w14:textId="77777777" w:rsidR="00682E1A" w:rsidRPr="001E0579" w:rsidRDefault="00682E1A" w:rsidP="00285665">
            <w:pPr>
              <w:jc w:val="right"/>
              <w:rPr>
                <w:rFonts w:cs="Arial"/>
                <w:color w:val="000000"/>
                <w:lang w:val="de-AT" w:eastAsia="de-AT"/>
              </w:rPr>
            </w:pPr>
            <w:r w:rsidRPr="001E0579">
              <w:rPr>
                <w:rFonts w:cs="Arial"/>
                <w:color w:val="000000"/>
                <w:lang w:val="de-AT" w:eastAsia="de-AT"/>
              </w:rPr>
              <w:t>0,21301</w:t>
            </w:r>
          </w:p>
        </w:tc>
        <w:tc>
          <w:tcPr>
            <w:tcW w:w="1451" w:type="dxa"/>
            <w:tcBorders>
              <w:top w:val="nil"/>
              <w:left w:val="nil"/>
              <w:bottom w:val="single" w:sz="4" w:space="0" w:color="auto"/>
              <w:right w:val="single" w:sz="4" w:space="0" w:color="auto"/>
            </w:tcBorders>
            <w:shd w:val="clear" w:color="auto" w:fill="auto"/>
            <w:vAlign w:val="center"/>
            <w:hideMark/>
          </w:tcPr>
          <w:p w14:paraId="7B1F2EA2"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13849,87</w:t>
            </w:r>
          </w:p>
        </w:tc>
        <w:tc>
          <w:tcPr>
            <w:tcW w:w="1058" w:type="dxa"/>
            <w:tcBorders>
              <w:top w:val="nil"/>
              <w:left w:val="nil"/>
              <w:bottom w:val="single" w:sz="4" w:space="0" w:color="auto"/>
              <w:right w:val="single" w:sz="4" w:space="0" w:color="auto"/>
            </w:tcBorders>
            <w:shd w:val="clear" w:color="auto" w:fill="auto"/>
            <w:noWrap/>
            <w:vAlign w:val="center"/>
            <w:hideMark/>
          </w:tcPr>
          <w:p w14:paraId="764CEF57"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25172,24</w:t>
            </w:r>
          </w:p>
        </w:tc>
        <w:tc>
          <w:tcPr>
            <w:tcW w:w="1424" w:type="dxa"/>
            <w:tcBorders>
              <w:top w:val="nil"/>
              <w:left w:val="nil"/>
              <w:bottom w:val="single" w:sz="4" w:space="0" w:color="auto"/>
              <w:right w:val="single" w:sz="4" w:space="0" w:color="auto"/>
            </w:tcBorders>
            <w:shd w:val="clear" w:color="auto" w:fill="auto"/>
            <w:vAlign w:val="center"/>
            <w:hideMark/>
          </w:tcPr>
          <w:p w14:paraId="0086CB6E"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11322,37</w:t>
            </w:r>
          </w:p>
        </w:tc>
        <w:tc>
          <w:tcPr>
            <w:tcW w:w="1639" w:type="dxa"/>
            <w:tcBorders>
              <w:top w:val="nil"/>
              <w:left w:val="nil"/>
              <w:bottom w:val="single" w:sz="4" w:space="0" w:color="auto"/>
              <w:right w:val="single" w:sz="4" w:space="0" w:color="auto"/>
            </w:tcBorders>
            <w:shd w:val="clear" w:color="auto" w:fill="auto"/>
            <w:vAlign w:val="center"/>
            <w:hideMark/>
          </w:tcPr>
          <w:p w14:paraId="4E36E0F3"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791,80</w:t>
            </w:r>
          </w:p>
        </w:tc>
        <w:tc>
          <w:tcPr>
            <w:tcW w:w="1639" w:type="dxa"/>
            <w:tcBorders>
              <w:top w:val="nil"/>
              <w:left w:val="nil"/>
              <w:bottom w:val="single" w:sz="4" w:space="0" w:color="auto"/>
              <w:right w:val="single" w:sz="4" w:space="0" w:color="auto"/>
            </w:tcBorders>
            <w:shd w:val="clear" w:color="auto" w:fill="auto"/>
            <w:noWrap/>
            <w:vAlign w:val="center"/>
            <w:hideMark/>
          </w:tcPr>
          <w:p w14:paraId="2A60A7A4"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592,40</w:t>
            </w:r>
          </w:p>
        </w:tc>
        <w:tc>
          <w:tcPr>
            <w:tcW w:w="1590" w:type="dxa"/>
            <w:tcBorders>
              <w:top w:val="nil"/>
              <w:left w:val="nil"/>
              <w:bottom w:val="single" w:sz="4" w:space="0" w:color="auto"/>
              <w:right w:val="single" w:sz="8" w:space="0" w:color="auto"/>
            </w:tcBorders>
            <w:shd w:val="clear" w:color="auto" w:fill="auto"/>
            <w:vAlign w:val="center"/>
            <w:hideMark/>
          </w:tcPr>
          <w:p w14:paraId="590C09F4"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199,40</w:t>
            </w:r>
          </w:p>
        </w:tc>
      </w:tr>
      <w:tr w:rsidR="00682E1A" w:rsidRPr="001E0579" w14:paraId="53399CE8" w14:textId="77777777" w:rsidTr="009A448B">
        <w:trPr>
          <w:trHeight w:val="290"/>
          <w:jc w:val="center"/>
        </w:trPr>
        <w:tc>
          <w:tcPr>
            <w:tcW w:w="3587" w:type="dxa"/>
            <w:vMerge w:val="restart"/>
            <w:tcBorders>
              <w:top w:val="nil"/>
              <w:left w:val="single" w:sz="8" w:space="0" w:color="auto"/>
              <w:bottom w:val="single" w:sz="4" w:space="0" w:color="000000"/>
              <w:right w:val="single" w:sz="4" w:space="0" w:color="auto"/>
            </w:tcBorders>
            <w:shd w:val="clear" w:color="auto" w:fill="auto"/>
            <w:vAlign w:val="center"/>
            <w:hideMark/>
          </w:tcPr>
          <w:p w14:paraId="5A19E2FC" w14:textId="77777777" w:rsidR="00682E1A" w:rsidRPr="001E0579" w:rsidRDefault="00682E1A" w:rsidP="009871ED">
            <w:pPr>
              <w:rPr>
                <w:rFonts w:cs="Arial"/>
                <w:b/>
                <w:bCs/>
                <w:color w:val="000000"/>
                <w:lang w:val="en-GB" w:eastAsia="de-AT"/>
              </w:rPr>
            </w:pPr>
            <w:r w:rsidRPr="001E0579">
              <w:rPr>
                <w:rFonts w:cs="Arial"/>
                <w:b/>
                <w:bCs/>
                <w:color w:val="000000"/>
                <w:lang w:val="en-GB" w:eastAsia="de-AT"/>
              </w:rPr>
              <w:t xml:space="preserve">Probability of device failure </w:t>
            </w:r>
          </w:p>
        </w:tc>
        <w:tc>
          <w:tcPr>
            <w:tcW w:w="1418" w:type="dxa"/>
            <w:tcBorders>
              <w:top w:val="nil"/>
              <w:left w:val="nil"/>
              <w:bottom w:val="single" w:sz="4" w:space="0" w:color="auto"/>
              <w:right w:val="single" w:sz="4" w:space="0" w:color="auto"/>
            </w:tcBorders>
            <w:shd w:val="clear" w:color="auto" w:fill="auto"/>
            <w:noWrap/>
            <w:vAlign w:val="center"/>
            <w:hideMark/>
          </w:tcPr>
          <w:p w14:paraId="2E25D68F" w14:textId="77777777" w:rsidR="00682E1A" w:rsidRPr="001E0579" w:rsidRDefault="00682E1A" w:rsidP="00285665">
            <w:pPr>
              <w:jc w:val="right"/>
              <w:rPr>
                <w:rFonts w:cs="Arial"/>
                <w:color w:val="000000"/>
                <w:lang w:val="de-AT" w:eastAsia="de-AT"/>
              </w:rPr>
            </w:pPr>
            <w:r w:rsidRPr="001E0579">
              <w:rPr>
                <w:rFonts w:cs="Arial"/>
                <w:color w:val="000000"/>
                <w:lang w:val="de-AT" w:eastAsia="de-AT"/>
              </w:rPr>
              <w:t>0,00136</w:t>
            </w:r>
          </w:p>
        </w:tc>
        <w:tc>
          <w:tcPr>
            <w:tcW w:w="1451" w:type="dxa"/>
            <w:tcBorders>
              <w:top w:val="nil"/>
              <w:left w:val="nil"/>
              <w:bottom w:val="single" w:sz="4" w:space="0" w:color="auto"/>
              <w:right w:val="single" w:sz="4" w:space="0" w:color="auto"/>
            </w:tcBorders>
            <w:shd w:val="clear" w:color="auto" w:fill="auto"/>
            <w:vAlign w:val="center"/>
            <w:hideMark/>
          </w:tcPr>
          <w:p w14:paraId="7CA4ECD5"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13840,95</w:t>
            </w:r>
          </w:p>
        </w:tc>
        <w:tc>
          <w:tcPr>
            <w:tcW w:w="1058" w:type="dxa"/>
            <w:tcBorders>
              <w:top w:val="nil"/>
              <w:left w:val="nil"/>
              <w:bottom w:val="single" w:sz="4" w:space="0" w:color="auto"/>
              <w:right w:val="single" w:sz="4" w:space="0" w:color="auto"/>
            </w:tcBorders>
            <w:shd w:val="clear" w:color="auto" w:fill="auto"/>
            <w:noWrap/>
            <w:vAlign w:val="center"/>
            <w:hideMark/>
          </w:tcPr>
          <w:p w14:paraId="5E1EB31E"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25152,83</w:t>
            </w:r>
          </w:p>
        </w:tc>
        <w:tc>
          <w:tcPr>
            <w:tcW w:w="1424" w:type="dxa"/>
            <w:tcBorders>
              <w:top w:val="nil"/>
              <w:left w:val="nil"/>
              <w:bottom w:val="single" w:sz="4" w:space="0" w:color="auto"/>
              <w:right w:val="single" w:sz="4" w:space="0" w:color="auto"/>
            </w:tcBorders>
            <w:shd w:val="clear" w:color="auto" w:fill="auto"/>
            <w:vAlign w:val="center"/>
            <w:hideMark/>
          </w:tcPr>
          <w:p w14:paraId="5ACA7CF5"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11311,88</w:t>
            </w:r>
          </w:p>
        </w:tc>
        <w:tc>
          <w:tcPr>
            <w:tcW w:w="1639" w:type="dxa"/>
            <w:tcBorders>
              <w:top w:val="nil"/>
              <w:left w:val="nil"/>
              <w:bottom w:val="single" w:sz="4" w:space="0" w:color="auto"/>
              <w:right w:val="single" w:sz="4" w:space="0" w:color="auto"/>
            </w:tcBorders>
            <w:shd w:val="clear" w:color="auto" w:fill="auto"/>
            <w:vAlign w:val="center"/>
            <w:hideMark/>
          </w:tcPr>
          <w:p w14:paraId="2528B4E6"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791,70</w:t>
            </w:r>
          </w:p>
        </w:tc>
        <w:tc>
          <w:tcPr>
            <w:tcW w:w="1639" w:type="dxa"/>
            <w:tcBorders>
              <w:top w:val="nil"/>
              <w:left w:val="nil"/>
              <w:bottom w:val="single" w:sz="4" w:space="0" w:color="auto"/>
              <w:right w:val="single" w:sz="4" w:space="0" w:color="auto"/>
            </w:tcBorders>
            <w:shd w:val="clear" w:color="auto" w:fill="auto"/>
            <w:noWrap/>
            <w:vAlign w:val="center"/>
            <w:hideMark/>
          </w:tcPr>
          <w:p w14:paraId="25B092A1"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592,20</w:t>
            </w:r>
          </w:p>
        </w:tc>
        <w:tc>
          <w:tcPr>
            <w:tcW w:w="1590" w:type="dxa"/>
            <w:tcBorders>
              <w:top w:val="nil"/>
              <w:left w:val="nil"/>
              <w:bottom w:val="single" w:sz="4" w:space="0" w:color="auto"/>
              <w:right w:val="single" w:sz="8" w:space="0" w:color="auto"/>
            </w:tcBorders>
            <w:shd w:val="clear" w:color="auto" w:fill="auto"/>
            <w:vAlign w:val="center"/>
            <w:hideMark/>
          </w:tcPr>
          <w:p w14:paraId="01F5F160"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199,50</w:t>
            </w:r>
          </w:p>
        </w:tc>
      </w:tr>
      <w:tr w:rsidR="00682E1A" w:rsidRPr="001E0579" w14:paraId="14943622" w14:textId="77777777" w:rsidTr="009A448B">
        <w:trPr>
          <w:trHeight w:val="290"/>
          <w:jc w:val="center"/>
        </w:trPr>
        <w:tc>
          <w:tcPr>
            <w:tcW w:w="3587" w:type="dxa"/>
            <w:vMerge/>
            <w:tcBorders>
              <w:top w:val="nil"/>
              <w:left w:val="single" w:sz="8" w:space="0" w:color="auto"/>
              <w:bottom w:val="single" w:sz="4" w:space="0" w:color="000000"/>
              <w:right w:val="single" w:sz="4" w:space="0" w:color="auto"/>
            </w:tcBorders>
            <w:vAlign w:val="center"/>
            <w:hideMark/>
          </w:tcPr>
          <w:p w14:paraId="6445507D" w14:textId="77777777" w:rsidR="00682E1A" w:rsidRPr="001E0579" w:rsidRDefault="00682E1A" w:rsidP="00682E1A">
            <w:pPr>
              <w:rPr>
                <w:rFonts w:cs="Arial"/>
                <w:b/>
                <w:bCs/>
                <w:color w:val="000000"/>
                <w:lang w:val="de-AT" w:eastAsia="de-AT"/>
              </w:rPr>
            </w:pPr>
          </w:p>
        </w:tc>
        <w:tc>
          <w:tcPr>
            <w:tcW w:w="1418" w:type="dxa"/>
            <w:tcBorders>
              <w:top w:val="nil"/>
              <w:left w:val="nil"/>
              <w:bottom w:val="single" w:sz="4" w:space="0" w:color="auto"/>
              <w:right w:val="single" w:sz="4" w:space="0" w:color="auto"/>
            </w:tcBorders>
            <w:shd w:val="clear" w:color="auto" w:fill="auto"/>
            <w:noWrap/>
            <w:vAlign w:val="center"/>
            <w:hideMark/>
          </w:tcPr>
          <w:p w14:paraId="522DC4F1" w14:textId="77777777" w:rsidR="00682E1A" w:rsidRPr="001E0579" w:rsidRDefault="00682E1A" w:rsidP="00285665">
            <w:pPr>
              <w:jc w:val="right"/>
              <w:rPr>
                <w:rFonts w:cs="Arial"/>
                <w:color w:val="000000"/>
                <w:lang w:val="de-AT" w:eastAsia="de-AT"/>
              </w:rPr>
            </w:pPr>
            <w:r w:rsidRPr="001E0579">
              <w:rPr>
                <w:rFonts w:cs="Arial"/>
                <w:color w:val="000000"/>
                <w:lang w:val="de-AT" w:eastAsia="de-AT"/>
              </w:rPr>
              <w:t>0,00226</w:t>
            </w:r>
          </w:p>
        </w:tc>
        <w:tc>
          <w:tcPr>
            <w:tcW w:w="1451" w:type="dxa"/>
            <w:tcBorders>
              <w:top w:val="nil"/>
              <w:left w:val="nil"/>
              <w:bottom w:val="single" w:sz="4" w:space="0" w:color="auto"/>
              <w:right w:val="single" w:sz="4" w:space="0" w:color="auto"/>
            </w:tcBorders>
            <w:shd w:val="clear" w:color="auto" w:fill="auto"/>
            <w:vAlign w:val="center"/>
            <w:hideMark/>
          </w:tcPr>
          <w:p w14:paraId="40E94338"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13907,66</w:t>
            </w:r>
          </w:p>
        </w:tc>
        <w:tc>
          <w:tcPr>
            <w:tcW w:w="1058" w:type="dxa"/>
            <w:tcBorders>
              <w:top w:val="nil"/>
              <w:left w:val="nil"/>
              <w:bottom w:val="single" w:sz="4" w:space="0" w:color="auto"/>
              <w:right w:val="single" w:sz="4" w:space="0" w:color="auto"/>
            </w:tcBorders>
            <w:shd w:val="clear" w:color="auto" w:fill="auto"/>
            <w:noWrap/>
            <w:vAlign w:val="center"/>
            <w:hideMark/>
          </w:tcPr>
          <w:p w14:paraId="4FC483E0"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25265,68</w:t>
            </w:r>
          </w:p>
        </w:tc>
        <w:tc>
          <w:tcPr>
            <w:tcW w:w="1424" w:type="dxa"/>
            <w:tcBorders>
              <w:top w:val="nil"/>
              <w:left w:val="nil"/>
              <w:bottom w:val="single" w:sz="4" w:space="0" w:color="auto"/>
              <w:right w:val="single" w:sz="4" w:space="0" w:color="auto"/>
            </w:tcBorders>
            <w:shd w:val="clear" w:color="auto" w:fill="auto"/>
            <w:vAlign w:val="center"/>
            <w:hideMark/>
          </w:tcPr>
          <w:p w14:paraId="4103FB9F"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11358,02</w:t>
            </w:r>
          </w:p>
        </w:tc>
        <w:tc>
          <w:tcPr>
            <w:tcW w:w="1639" w:type="dxa"/>
            <w:tcBorders>
              <w:top w:val="nil"/>
              <w:left w:val="nil"/>
              <w:bottom w:val="single" w:sz="4" w:space="0" w:color="auto"/>
              <w:right w:val="single" w:sz="4" w:space="0" w:color="auto"/>
            </w:tcBorders>
            <w:shd w:val="clear" w:color="auto" w:fill="auto"/>
            <w:vAlign w:val="center"/>
            <w:hideMark/>
          </w:tcPr>
          <w:p w14:paraId="50D8D508"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792,60</w:t>
            </w:r>
          </w:p>
        </w:tc>
        <w:tc>
          <w:tcPr>
            <w:tcW w:w="1639" w:type="dxa"/>
            <w:tcBorders>
              <w:top w:val="nil"/>
              <w:left w:val="nil"/>
              <w:bottom w:val="single" w:sz="4" w:space="0" w:color="auto"/>
              <w:right w:val="single" w:sz="4" w:space="0" w:color="auto"/>
            </w:tcBorders>
            <w:shd w:val="clear" w:color="auto" w:fill="auto"/>
            <w:noWrap/>
            <w:vAlign w:val="center"/>
            <w:hideMark/>
          </w:tcPr>
          <w:p w14:paraId="29717EAE"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593,40</w:t>
            </w:r>
          </w:p>
        </w:tc>
        <w:tc>
          <w:tcPr>
            <w:tcW w:w="1590" w:type="dxa"/>
            <w:tcBorders>
              <w:top w:val="nil"/>
              <w:left w:val="nil"/>
              <w:bottom w:val="single" w:sz="4" w:space="0" w:color="auto"/>
              <w:right w:val="single" w:sz="8" w:space="0" w:color="auto"/>
            </w:tcBorders>
            <w:shd w:val="clear" w:color="auto" w:fill="auto"/>
            <w:vAlign w:val="center"/>
            <w:hideMark/>
          </w:tcPr>
          <w:p w14:paraId="0215ACD6"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199,20</w:t>
            </w:r>
          </w:p>
        </w:tc>
      </w:tr>
      <w:tr w:rsidR="00682E1A" w:rsidRPr="001E0579" w14:paraId="56198AF3" w14:textId="77777777" w:rsidTr="009A448B">
        <w:trPr>
          <w:trHeight w:val="290"/>
          <w:jc w:val="center"/>
        </w:trPr>
        <w:tc>
          <w:tcPr>
            <w:tcW w:w="3587" w:type="dxa"/>
            <w:vMerge w:val="restart"/>
            <w:tcBorders>
              <w:top w:val="nil"/>
              <w:left w:val="single" w:sz="8" w:space="0" w:color="auto"/>
              <w:bottom w:val="single" w:sz="4" w:space="0" w:color="000000"/>
              <w:right w:val="single" w:sz="4" w:space="0" w:color="auto"/>
            </w:tcBorders>
            <w:shd w:val="clear" w:color="auto" w:fill="auto"/>
            <w:vAlign w:val="center"/>
            <w:hideMark/>
          </w:tcPr>
          <w:p w14:paraId="14ED6629" w14:textId="77777777" w:rsidR="00682E1A" w:rsidRPr="001E0579" w:rsidRDefault="00682E1A" w:rsidP="00682E1A">
            <w:pPr>
              <w:rPr>
                <w:rFonts w:cs="Arial"/>
                <w:b/>
                <w:bCs/>
                <w:color w:val="000000"/>
                <w:lang w:val="de-AT" w:eastAsia="de-AT"/>
              </w:rPr>
            </w:pPr>
            <w:r w:rsidRPr="001E0579">
              <w:rPr>
                <w:rFonts w:cs="Arial"/>
                <w:b/>
                <w:bCs/>
                <w:color w:val="000000"/>
                <w:lang w:val="de-AT" w:eastAsia="de-AT"/>
              </w:rPr>
              <w:t>Probability of reimplantation</w:t>
            </w:r>
          </w:p>
        </w:tc>
        <w:tc>
          <w:tcPr>
            <w:tcW w:w="1418" w:type="dxa"/>
            <w:tcBorders>
              <w:top w:val="nil"/>
              <w:left w:val="nil"/>
              <w:bottom w:val="single" w:sz="4" w:space="0" w:color="auto"/>
              <w:right w:val="single" w:sz="4" w:space="0" w:color="auto"/>
            </w:tcBorders>
            <w:shd w:val="clear" w:color="auto" w:fill="auto"/>
            <w:noWrap/>
            <w:vAlign w:val="center"/>
            <w:hideMark/>
          </w:tcPr>
          <w:p w14:paraId="7274F906" w14:textId="77777777" w:rsidR="00682E1A" w:rsidRPr="001E0579" w:rsidRDefault="00682E1A" w:rsidP="00285665">
            <w:pPr>
              <w:jc w:val="right"/>
              <w:rPr>
                <w:rFonts w:cs="Arial"/>
                <w:color w:val="000000"/>
                <w:lang w:val="de-AT" w:eastAsia="de-AT"/>
              </w:rPr>
            </w:pPr>
            <w:r w:rsidRPr="001E0579">
              <w:rPr>
                <w:rFonts w:cs="Arial"/>
                <w:color w:val="000000"/>
                <w:lang w:val="de-AT" w:eastAsia="de-AT"/>
              </w:rPr>
              <w:t>0,38735</w:t>
            </w:r>
          </w:p>
        </w:tc>
        <w:tc>
          <w:tcPr>
            <w:tcW w:w="1451" w:type="dxa"/>
            <w:tcBorders>
              <w:top w:val="nil"/>
              <w:left w:val="nil"/>
              <w:bottom w:val="single" w:sz="4" w:space="0" w:color="auto"/>
              <w:right w:val="single" w:sz="4" w:space="0" w:color="auto"/>
            </w:tcBorders>
            <w:shd w:val="clear" w:color="auto" w:fill="auto"/>
            <w:vAlign w:val="center"/>
            <w:hideMark/>
          </w:tcPr>
          <w:p w14:paraId="0C825BFC"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13802,31</w:t>
            </w:r>
          </w:p>
        </w:tc>
        <w:tc>
          <w:tcPr>
            <w:tcW w:w="1058" w:type="dxa"/>
            <w:tcBorders>
              <w:top w:val="nil"/>
              <w:left w:val="nil"/>
              <w:bottom w:val="single" w:sz="4" w:space="0" w:color="auto"/>
              <w:right w:val="single" w:sz="4" w:space="0" w:color="auto"/>
            </w:tcBorders>
            <w:shd w:val="clear" w:color="auto" w:fill="auto"/>
            <w:noWrap/>
            <w:vAlign w:val="center"/>
            <w:hideMark/>
          </w:tcPr>
          <w:p w14:paraId="000F8F51"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25069,14</w:t>
            </w:r>
          </w:p>
        </w:tc>
        <w:tc>
          <w:tcPr>
            <w:tcW w:w="1424" w:type="dxa"/>
            <w:tcBorders>
              <w:top w:val="nil"/>
              <w:left w:val="nil"/>
              <w:bottom w:val="single" w:sz="4" w:space="0" w:color="auto"/>
              <w:right w:val="single" w:sz="4" w:space="0" w:color="auto"/>
            </w:tcBorders>
            <w:shd w:val="clear" w:color="auto" w:fill="auto"/>
            <w:vAlign w:val="center"/>
            <w:hideMark/>
          </w:tcPr>
          <w:p w14:paraId="6FF9D5D0"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11266,83</w:t>
            </w:r>
          </w:p>
        </w:tc>
        <w:tc>
          <w:tcPr>
            <w:tcW w:w="1639" w:type="dxa"/>
            <w:tcBorders>
              <w:top w:val="nil"/>
              <w:left w:val="nil"/>
              <w:bottom w:val="single" w:sz="4" w:space="0" w:color="auto"/>
              <w:right w:val="single" w:sz="4" w:space="0" w:color="auto"/>
            </w:tcBorders>
            <w:shd w:val="clear" w:color="auto" w:fill="auto"/>
            <w:vAlign w:val="center"/>
            <w:hideMark/>
          </w:tcPr>
          <w:p w14:paraId="5E8C8007"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793,20</w:t>
            </w:r>
          </w:p>
        </w:tc>
        <w:tc>
          <w:tcPr>
            <w:tcW w:w="1639" w:type="dxa"/>
            <w:tcBorders>
              <w:top w:val="nil"/>
              <w:left w:val="nil"/>
              <w:bottom w:val="single" w:sz="4" w:space="0" w:color="auto"/>
              <w:right w:val="single" w:sz="4" w:space="0" w:color="auto"/>
            </w:tcBorders>
            <w:shd w:val="clear" w:color="auto" w:fill="auto"/>
            <w:noWrap/>
            <w:vAlign w:val="center"/>
            <w:hideMark/>
          </w:tcPr>
          <w:p w14:paraId="4F187092"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594,90</w:t>
            </w:r>
          </w:p>
        </w:tc>
        <w:tc>
          <w:tcPr>
            <w:tcW w:w="1590" w:type="dxa"/>
            <w:tcBorders>
              <w:top w:val="nil"/>
              <w:left w:val="nil"/>
              <w:bottom w:val="single" w:sz="4" w:space="0" w:color="auto"/>
              <w:right w:val="single" w:sz="8" w:space="0" w:color="auto"/>
            </w:tcBorders>
            <w:shd w:val="clear" w:color="auto" w:fill="auto"/>
            <w:vAlign w:val="center"/>
            <w:hideMark/>
          </w:tcPr>
          <w:p w14:paraId="77A37DAF"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198,30</w:t>
            </w:r>
          </w:p>
        </w:tc>
      </w:tr>
      <w:tr w:rsidR="00682E1A" w:rsidRPr="001E0579" w14:paraId="616DBE54" w14:textId="77777777" w:rsidTr="009A448B">
        <w:trPr>
          <w:trHeight w:val="290"/>
          <w:jc w:val="center"/>
        </w:trPr>
        <w:tc>
          <w:tcPr>
            <w:tcW w:w="3587" w:type="dxa"/>
            <w:vMerge/>
            <w:tcBorders>
              <w:top w:val="nil"/>
              <w:left w:val="single" w:sz="8" w:space="0" w:color="auto"/>
              <w:bottom w:val="single" w:sz="4" w:space="0" w:color="000000"/>
              <w:right w:val="single" w:sz="4" w:space="0" w:color="auto"/>
            </w:tcBorders>
            <w:vAlign w:val="center"/>
            <w:hideMark/>
          </w:tcPr>
          <w:p w14:paraId="2CF4672B" w14:textId="77777777" w:rsidR="00682E1A" w:rsidRPr="001E0579" w:rsidRDefault="00682E1A" w:rsidP="00682E1A">
            <w:pPr>
              <w:rPr>
                <w:rFonts w:cs="Arial"/>
                <w:b/>
                <w:bCs/>
                <w:color w:val="000000"/>
                <w:lang w:val="de-AT" w:eastAsia="de-AT"/>
              </w:rPr>
            </w:pPr>
          </w:p>
        </w:tc>
        <w:tc>
          <w:tcPr>
            <w:tcW w:w="1418" w:type="dxa"/>
            <w:tcBorders>
              <w:top w:val="nil"/>
              <w:left w:val="nil"/>
              <w:bottom w:val="nil"/>
              <w:right w:val="single" w:sz="4" w:space="0" w:color="auto"/>
            </w:tcBorders>
            <w:shd w:val="clear" w:color="auto" w:fill="auto"/>
            <w:noWrap/>
            <w:vAlign w:val="center"/>
            <w:hideMark/>
          </w:tcPr>
          <w:p w14:paraId="37269CC3" w14:textId="77777777" w:rsidR="00682E1A" w:rsidRPr="001E0579" w:rsidRDefault="00682E1A" w:rsidP="00285665">
            <w:pPr>
              <w:jc w:val="right"/>
              <w:rPr>
                <w:rFonts w:cs="Arial"/>
                <w:color w:val="000000"/>
                <w:lang w:val="de-AT" w:eastAsia="de-AT"/>
              </w:rPr>
            </w:pPr>
            <w:r w:rsidRPr="001E0579">
              <w:rPr>
                <w:rFonts w:cs="Arial"/>
                <w:color w:val="000000"/>
                <w:lang w:val="de-AT" w:eastAsia="de-AT"/>
              </w:rPr>
              <w:t>1,00000</w:t>
            </w:r>
          </w:p>
        </w:tc>
        <w:tc>
          <w:tcPr>
            <w:tcW w:w="1451" w:type="dxa"/>
            <w:tcBorders>
              <w:top w:val="nil"/>
              <w:left w:val="nil"/>
              <w:bottom w:val="nil"/>
              <w:right w:val="single" w:sz="4" w:space="0" w:color="auto"/>
            </w:tcBorders>
            <w:shd w:val="clear" w:color="auto" w:fill="auto"/>
            <w:vAlign w:val="center"/>
            <w:hideMark/>
          </w:tcPr>
          <w:p w14:paraId="5F58AAE5"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13882,84</w:t>
            </w:r>
          </w:p>
        </w:tc>
        <w:tc>
          <w:tcPr>
            <w:tcW w:w="1058" w:type="dxa"/>
            <w:tcBorders>
              <w:top w:val="nil"/>
              <w:left w:val="nil"/>
              <w:bottom w:val="nil"/>
              <w:right w:val="single" w:sz="4" w:space="0" w:color="auto"/>
            </w:tcBorders>
            <w:shd w:val="clear" w:color="auto" w:fill="auto"/>
            <w:noWrap/>
            <w:vAlign w:val="center"/>
            <w:hideMark/>
          </w:tcPr>
          <w:p w14:paraId="67A10D06"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25236,46</w:t>
            </w:r>
          </w:p>
        </w:tc>
        <w:tc>
          <w:tcPr>
            <w:tcW w:w="1424" w:type="dxa"/>
            <w:tcBorders>
              <w:top w:val="nil"/>
              <w:left w:val="nil"/>
              <w:bottom w:val="single" w:sz="4" w:space="0" w:color="auto"/>
              <w:right w:val="single" w:sz="4" w:space="0" w:color="auto"/>
            </w:tcBorders>
            <w:shd w:val="clear" w:color="auto" w:fill="auto"/>
            <w:vAlign w:val="center"/>
            <w:hideMark/>
          </w:tcPr>
          <w:p w14:paraId="287D865C"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11353,62</w:t>
            </w:r>
          </w:p>
        </w:tc>
        <w:tc>
          <w:tcPr>
            <w:tcW w:w="1639" w:type="dxa"/>
            <w:tcBorders>
              <w:top w:val="nil"/>
              <w:left w:val="nil"/>
              <w:bottom w:val="nil"/>
              <w:right w:val="single" w:sz="4" w:space="0" w:color="auto"/>
            </w:tcBorders>
            <w:shd w:val="clear" w:color="auto" w:fill="auto"/>
            <w:vAlign w:val="center"/>
            <w:hideMark/>
          </w:tcPr>
          <w:p w14:paraId="72982F77"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790,80</w:t>
            </w:r>
          </w:p>
        </w:tc>
        <w:tc>
          <w:tcPr>
            <w:tcW w:w="1639" w:type="dxa"/>
            <w:tcBorders>
              <w:top w:val="nil"/>
              <w:left w:val="nil"/>
              <w:bottom w:val="nil"/>
              <w:right w:val="single" w:sz="4" w:space="0" w:color="auto"/>
            </w:tcBorders>
            <w:shd w:val="clear" w:color="auto" w:fill="auto"/>
            <w:noWrap/>
            <w:vAlign w:val="center"/>
            <w:hideMark/>
          </w:tcPr>
          <w:p w14:paraId="5361E356"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590,60</w:t>
            </w:r>
          </w:p>
        </w:tc>
        <w:tc>
          <w:tcPr>
            <w:tcW w:w="1590" w:type="dxa"/>
            <w:tcBorders>
              <w:top w:val="nil"/>
              <w:left w:val="nil"/>
              <w:bottom w:val="single" w:sz="4" w:space="0" w:color="auto"/>
              <w:right w:val="single" w:sz="8" w:space="0" w:color="auto"/>
            </w:tcBorders>
            <w:shd w:val="clear" w:color="auto" w:fill="auto"/>
            <w:vAlign w:val="center"/>
            <w:hideMark/>
          </w:tcPr>
          <w:p w14:paraId="6D5B44DD"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200,20</w:t>
            </w:r>
          </w:p>
        </w:tc>
      </w:tr>
      <w:tr w:rsidR="00682E1A" w:rsidRPr="001E0579" w14:paraId="13281735" w14:textId="77777777" w:rsidTr="009A448B">
        <w:trPr>
          <w:trHeight w:val="290"/>
          <w:jc w:val="center"/>
        </w:trPr>
        <w:tc>
          <w:tcPr>
            <w:tcW w:w="3587" w:type="dxa"/>
            <w:vMerge w:val="restart"/>
            <w:tcBorders>
              <w:top w:val="nil"/>
              <w:left w:val="single" w:sz="8" w:space="0" w:color="auto"/>
              <w:bottom w:val="single" w:sz="4" w:space="0" w:color="000000"/>
              <w:right w:val="single" w:sz="4" w:space="0" w:color="auto"/>
            </w:tcBorders>
            <w:shd w:val="clear" w:color="auto" w:fill="auto"/>
            <w:vAlign w:val="center"/>
            <w:hideMark/>
          </w:tcPr>
          <w:p w14:paraId="4A2B9A05" w14:textId="77777777" w:rsidR="00682E1A" w:rsidRPr="001E0579" w:rsidRDefault="009871ED" w:rsidP="001E0579">
            <w:pPr>
              <w:rPr>
                <w:rFonts w:cs="Arial"/>
                <w:b/>
                <w:bCs/>
                <w:color w:val="000000"/>
                <w:lang w:val="en-GB" w:eastAsia="de-AT"/>
              </w:rPr>
            </w:pPr>
            <w:r w:rsidRPr="001E0579">
              <w:rPr>
                <w:rFonts w:cs="Arial"/>
                <w:b/>
                <w:bCs/>
                <w:color w:val="000000"/>
                <w:lang w:val="en-GB" w:eastAsia="de-AT"/>
              </w:rPr>
              <w:t>APHAB global scores-</w:t>
            </w:r>
            <w:r w:rsidR="00682E1A" w:rsidRPr="001E0579">
              <w:rPr>
                <w:rFonts w:cs="Arial"/>
                <w:b/>
                <w:bCs/>
                <w:color w:val="000000"/>
                <w:lang w:val="en-GB" w:eastAsia="de-AT"/>
              </w:rPr>
              <w:t xml:space="preserve">MXM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05C0952D" w14:textId="77777777" w:rsidR="00682E1A" w:rsidRPr="001E0579" w:rsidRDefault="00682E1A" w:rsidP="00285665">
            <w:pPr>
              <w:jc w:val="right"/>
              <w:rPr>
                <w:rFonts w:cs="Arial"/>
                <w:color w:val="000000"/>
                <w:lang w:val="de-AT" w:eastAsia="de-AT"/>
              </w:rPr>
            </w:pPr>
            <w:r w:rsidRPr="001E0579">
              <w:rPr>
                <w:rFonts w:cs="Arial"/>
                <w:color w:val="000000"/>
                <w:lang w:val="de-AT" w:eastAsia="de-AT"/>
              </w:rPr>
              <w:t>38,46</w:t>
            </w:r>
          </w:p>
        </w:tc>
        <w:tc>
          <w:tcPr>
            <w:tcW w:w="1451" w:type="dxa"/>
            <w:tcBorders>
              <w:top w:val="single" w:sz="4" w:space="0" w:color="auto"/>
              <w:left w:val="nil"/>
              <w:bottom w:val="single" w:sz="4" w:space="0" w:color="auto"/>
              <w:right w:val="single" w:sz="4" w:space="0" w:color="auto"/>
            </w:tcBorders>
            <w:shd w:val="clear" w:color="auto" w:fill="auto"/>
            <w:vAlign w:val="center"/>
            <w:hideMark/>
          </w:tcPr>
          <w:p w14:paraId="48278D47"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13849,87</w:t>
            </w:r>
          </w:p>
        </w:tc>
        <w:tc>
          <w:tcPr>
            <w:tcW w:w="1058" w:type="dxa"/>
            <w:tcBorders>
              <w:top w:val="single" w:sz="4" w:space="0" w:color="auto"/>
              <w:left w:val="nil"/>
              <w:bottom w:val="single" w:sz="4" w:space="0" w:color="auto"/>
              <w:right w:val="single" w:sz="4" w:space="0" w:color="auto"/>
            </w:tcBorders>
            <w:shd w:val="clear" w:color="auto" w:fill="auto"/>
            <w:noWrap/>
            <w:vAlign w:val="center"/>
            <w:hideMark/>
          </w:tcPr>
          <w:p w14:paraId="3063C3E5"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25167,89</w:t>
            </w:r>
          </w:p>
        </w:tc>
        <w:tc>
          <w:tcPr>
            <w:tcW w:w="1424" w:type="dxa"/>
            <w:tcBorders>
              <w:top w:val="nil"/>
              <w:left w:val="nil"/>
              <w:bottom w:val="single" w:sz="4" w:space="0" w:color="auto"/>
              <w:right w:val="single" w:sz="4" w:space="0" w:color="auto"/>
            </w:tcBorders>
            <w:shd w:val="clear" w:color="auto" w:fill="auto"/>
            <w:vAlign w:val="center"/>
            <w:hideMark/>
          </w:tcPr>
          <w:p w14:paraId="7E5EFFA1"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11318,02</w:t>
            </w:r>
          </w:p>
        </w:tc>
        <w:tc>
          <w:tcPr>
            <w:tcW w:w="1639" w:type="dxa"/>
            <w:tcBorders>
              <w:top w:val="single" w:sz="4" w:space="0" w:color="auto"/>
              <w:left w:val="nil"/>
              <w:bottom w:val="single" w:sz="4" w:space="0" w:color="auto"/>
              <w:right w:val="single" w:sz="4" w:space="0" w:color="auto"/>
            </w:tcBorders>
            <w:shd w:val="clear" w:color="auto" w:fill="auto"/>
            <w:noWrap/>
            <w:vAlign w:val="center"/>
            <w:hideMark/>
          </w:tcPr>
          <w:p w14:paraId="1D81C2B8"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738,5</w:t>
            </w:r>
          </w:p>
        </w:tc>
        <w:tc>
          <w:tcPr>
            <w:tcW w:w="1639" w:type="dxa"/>
            <w:tcBorders>
              <w:top w:val="nil"/>
              <w:left w:val="nil"/>
              <w:bottom w:val="nil"/>
              <w:right w:val="nil"/>
            </w:tcBorders>
            <w:shd w:val="clear" w:color="auto" w:fill="auto"/>
            <w:noWrap/>
            <w:vAlign w:val="center"/>
            <w:hideMark/>
          </w:tcPr>
          <w:p w14:paraId="1617D0CE"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592,4</w:t>
            </w:r>
          </w:p>
        </w:tc>
        <w:tc>
          <w:tcPr>
            <w:tcW w:w="1590" w:type="dxa"/>
            <w:tcBorders>
              <w:top w:val="nil"/>
              <w:left w:val="single" w:sz="4" w:space="0" w:color="auto"/>
              <w:bottom w:val="single" w:sz="4" w:space="0" w:color="auto"/>
              <w:right w:val="single" w:sz="8" w:space="0" w:color="auto"/>
            </w:tcBorders>
            <w:shd w:val="clear" w:color="auto" w:fill="auto"/>
            <w:vAlign w:val="center"/>
            <w:hideMark/>
          </w:tcPr>
          <w:p w14:paraId="2AB23F03"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146,10</w:t>
            </w:r>
          </w:p>
        </w:tc>
      </w:tr>
      <w:tr w:rsidR="00682E1A" w:rsidRPr="001E0579" w14:paraId="2B977701" w14:textId="77777777" w:rsidTr="009A448B">
        <w:trPr>
          <w:trHeight w:val="290"/>
          <w:jc w:val="center"/>
        </w:trPr>
        <w:tc>
          <w:tcPr>
            <w:tcW w:w="3587" w:type="dxa"/>
            <w:vMerge/>
            <w:tcBorders>
              <w:top w:val="nil"/>
              <w:left w:val="single" w:sz="8" w:space="0" w:color="auto"/>
              <w:bottom w:val="single" w:sz="4" w:space="0" w:color="000000"/>
              <w:right w:val="single" w:sz="4" w:space="0" w:color="auto"/>
            </w:tcBorders>
            <w:vAlign w:val="center"/>
            <w:hideMark/>
          </w:tcPr>
          <w:p w14:paraId="040EF9D0" w14:textId="77777777" w:rsidR="00682E1A" w:rsidRPr="001E0579" w:rsidRDefault="00682E1A" w:rsidP="00682E1A">
            <w:pPr>
              <w:rPr>
                <w:rFonts w:cs="Arial"/>
                <w:b/>
                <w:bCs/>
                <w:color w:val="000000"/>
                <w:lang w:val="de-AT" w:eastAsia="de-AT"/>
              </w:rPr>
            </w:pPr>
          </w:p>
        </w:tc>
        <w:tc>
          <w:tcPr>
            <w:tcW w:w="1418" w:type="dxa"/>
            <w:tcBorders>
              <w:top w:val="nil"/>
              <w:left w:val="nil"/>
              <w:bottom w:val="single" w:sz="4" w:space="0" w:color="auto"/>
              <w:right w:val="single" w:sz="4" w:space="0" w:color="auto"/>
            </w:tcBorders>
            <w:shd w:val="clear" w:color="auto" w:fill="auto"/>
            <w:noWrap/>
            <w:vAlign w:val="center"/>
            <w:hideMark/>
          </w:tcPr>
          <w:p w14:paraId="4D9264D2" w14:textId="77777777" w:rsidR="00682E1A" w:rsidRPr="001E0579" w:rsidRDefault="00682E1A" w:rsidP="00285665">
            <w:pPr>
              <w:jc w:val="right"/>
              <w:rPr>
                <w:rFonts w:cs="Arial"/>
                <w:color w:val="000000"/>
                <w:lang w:val="de-AT" w:eastAsia="de-AT"/>
              </w:rPr>
            </w:pPr>
            <w:r w:rsidRPr="001E0579">
              <w:rPr>
                <w:rFonts w:cs="Arial"/>
                <w:color w:val="000000"/>
                <w:lang w:val="de-AT" w:eastAsia="de-AT"/>
              </w:rPr>
              <w:t>46,34</w:t>
            </w:r>
          </w:p>
        </w:tc>
        <w:tc>
          <w:tcPr>
            <w:tcW w:w="1451" w:type="dxa"/>
            <w:tcBorders>
              <w:top w:val="nil"/>
              <w:left w:val="nil"/>
              <w:bottom w:val="single" w:sz="4" w:space="0" w:color="auto"/>
              <w:right w:val="single" w:sz="4" w:space="0" w:color="auto"/>
            </w:tcBorders>
            <w:shd w:val="clear" w:color="auto" w:fill="auto"/>
            <w:vAlign w:val="center"/>
            <w:hideMark/>
          </w:tcPr>
          <w:p w14:paraId="0432B857"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13849,87</w:t>
            </w:r>
          </w:p>
        </w:tc>
        <w:tc>
          <w:tcPr>
            <w:tcW w:w="1058" w:type="dxa"/>
            <w:tcBorders>
              <w:top w:val="nil"/>
              <w:left w:val="nil"/>
              <w:bottom w:val="single" w:sz="4" w:space="0" w:color="auto"/>
              <w:right w:val="single" w:sz="4" w:space="0" w:color="auto"/>
            </w:tcBorders>
            <w:shd w:val="clear" w:color="auto" w:fill="auto"/>
            <w:noWrap/>
            <w:vAlign w:val="center"/>
            <w:hideMark/>
          </w:tcPr>
          <w:p w14:paraId="28D6923C"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25167,89</w:t>
            </w:r>
          </w:p>
        </w:tc>
        <w:tc>
          <w:tcPr>
            <w:tcW w:w="1424" w:type="dxa"/>
            <w:tcBorders>
              <w:top w:val="nil"/>
              <w:left w:val="nil"/>
              <w:bottom w:val="single" w:sz="4" w:space="0" w:color="auto"/>
              <w:right w:val="single" w:sz="4" w:space="0" w:color="auto"/>
            </w:tcBorders>
            <w:shd w:val="clear" w:color="auto" w:fill="auto"/>
            <w:vAlign w:val="center"/>
            <w:hideMark/>
          </w:tcPr>
          <w:p w14:paraId="4AB4DD37"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11318,02</w:t>
            </w:r>
          </w:p>
        </w:tc>
        <w:tc>
          <w:tcPr>
            <w:tcW w:w="1639" w:type="dxa"/>
            <w:tcBorders>
              <w:top w:val="nil"/>
              <w:left w:val="nil"/>
              <w:bottom w:val="single" w:sz="4" w:space="0" w:color="auto"/>
              <w:right w:val="single" w:sz="4" w:space="0" w:color="auto"/>
            </w:tcBorders>
            <w:shd w:val="clear" w:color="auto" w:fill="auto"/>
            <w:noWrap/>
            <w:vAlign w:val="center"/>
            <w:hideMark/>
          </w:tcPr>
          <w:p w14:paraId="17976385"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845</w:t>
            </w:r>
          </w:p>
        </w:tc>
        <w:tc>
          <w:tcPr>
            <w:tcW w:w="1639" w:type="dxa"/>
            <w:tcBorders>
              <w:top w:val="single" w:sz="4" w:space="0" w:color="auto"/>
              <w:left w:val="nil"/>
              <w:bottom w:val="single" w:sz="4" w:space="0" w:color="auto"/>
              <w:right w:val="single" w:sz="4" w:space="0" w:color="auto"/>
            </w:tcBorders>
            <w:shd w:val="clear" w:color="auto" w:fill="auto"/>
            <w:noWrap/>
            <w:vAlign w:val="center"/>
            <w:hideMark/>
          </w:tcPr>
          <w:p w14:paraId="25D1A54F"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592,4</w:t>
            </w:r>
          </w:p>
        </w:tc>
        <w:tc>
          <w:tcPr>
            <w:tcW w:w="1590" w:type="dxa"/>
            <w:tcBorders>
              <w:top w:val="nil"/>
              <w:left w:val="nil"/>
              <w:bottom w:val="single" w:sz="4" w:space="0" w:color="auto"/>
              <w:right w:val="single" w:sz="8" w:space="0" w:color="auto"/>
            </w:tcBorders>
            <w:shd w:val="clear" w:color="auto" w:fill="auto"/>
            <w:vAlign w:val="center"/>
            <w:hideMark/>
          </w:tcPr>
          <w:p w14:paraId="76BF7FD1"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252,60</w:t>
            </w:r>
          </w:p>
        </w:tc>
      </w:tr>
      <w:tr w:rsidR="00682E1A" w:rsidRPr="001E0579" w14:paraId="22AB44B9" w14:textId="77777777" w:rsidTr="009A448B">
        <w:trPr>
          <w:trHeight w:val="290"/>
          <w:jc w:val="center"/>
        </w:trPr>
        <w:tc>
          <w:tcPr>
            <w:tcW w:w="3587"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6CBD216D" w14:textId="77777777" w:rsidR="00682E1A" w:rsidRPr="001E0579" w:rsidRDefault="009871ED" w:rsidP="001E0579">
            <w:pPr>
              <w:rPr>
                <w:rFonts w:cs="Arial"/>
                <w:b/>
                <w:bCs/>
                <w:color w:val="000000"/>
                <w:lang w:val="en-GB" w:eastAsia="de-AT"/>
              </w:rPr>
            </w:pPr>
            <w:r w:rsidRPr="001E0579">
              <w:rPr>
                <w:rFonts w:cs="Arial"/>
                <w:b/>
                <w:bCs/>
                <w:color w:val="000000"/>
                <w:lang w:val="en-GB" w:eastAsia="de-AT"/>
              </w:rPr>
              <w:t xml:space="preserve">APHAB global </w:t>
            </w:r>
            <w:r w:rsidR="001E0579">
              <w:rPr>
                <w:rFonts w:cs="Arial"/>
                <w:b/>
                <w:bCs/>
                <w:color w:val="000000"/>
                <w:lang w:val="en-GB" w:eastAsia="de-AT"/>
              </w:rPr>
              <w:t>scores-</w:t>
            </w:r>
            <w:r w:rsidR="00682E1A" w:rsidRPr="001E0579">
              <w:rPr>
                <w:rFonts w:cs="Arial"/>
                <w:b/>
                <w:bCs/>
                <w:color w:val="000000"/>
                <w:lang w:val="en-GB" w:eastAsia="de-AT"/>
              </w:rPr>
              <w:t xml:space="preserve">VSB </w:t>
            </w:r>
          </w:p>
        </w:tc>
        <w:tc>
          <w:tcPr>
            <w:tcW w:w="1418" w:type="dxa"/>
            <w:tcBorders>
              <w:top w:val="nil"/>
              <w:left w:val="nil"/>
              <w:bottom w:val="single" w:sz="4" w:space="0" w:color="auto"/>
              <w:right w:val="single" w:sz="4" w:space="0" w:color="auto"/>
            </w:tcBorders>
            <w:shd w:val="clear" w:color="auto" w:fill="auto"/>
            <w:noWrap/>
            <w:vAlign w:val="center"/>
            <w:hideMark/>
          </w:tcPr>
          <w:p w14:paraId="2EB8380D" w14:textId="77777777" w:rsidR="00682E1A" w:rsidRPr="001E0579" w:rsidRDefault="00682E1A" w:rsidP="00285665">
            <w:pPr>
              <w:jc w:val="right"/>
              <w:rPr>
                <w:rFonts w:cs="Arial"/>
                <w:color w:val="000000"/>
                <w:lang w:val="de-AT" w:eastAsia="de-AT"/>
              </w:rPr>
            </w:pPr>
            <w:r w:rsidRPr="001E0579">
              <w:rPr>
                <w:rFonts w:cs="Arial"/>
                <w:color w:val="000000"/>
                <w:lang w:val="de-AT" w:eastAsia="de-AT"/>
              </w:rPr>
              <w:t>20,30</w:t>
            </w:r>
          </w:p>
        </w:tc>
        <w:tc>
          <w:tcPr>
            <w:tcW w:w="1451" w:type="dxa"/>
            <w:tcBorders>
              <w:top w:val="nil"/>
              <w:left w:val="nil"/>
              <w:bottom w:val="single" w:sz="4" w:space="0" w:color="auto"/>
              <w:right w:val="single" w:sz="4" w:space="0" w:color="auto"/>
            </w:tcBorders>
            <w:shd w:val="clear" w:color="auto" w:fill="auto"/>
            <w:vAlign w:val="center"/>
            <w:hideMark/>
          </w:tcPr>
          <w:p w14:paraId="6C4B2276"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13849,87</w:t>
            </w:r>
          </w:p>
        </w:tc>
        <w:tc>
          <w:tcPr>
            <w:tcW w:w="1058" w:type="dxa"/>
            <w:tcBorders>
              <w:top w:val="nil"/>
              <w:left w:val="nil"/>
              <w:bottom w:val="single" w:sz="4" w:space="0" w:color="auto"/>
              <w:right w:val="single" w:sz="4" w:space="0" w:color="auto"/>
            </w:tcBorders>
            <w:shd w:val="clear" w:color="auto" w:fill="auto"/>
            <w:noWrap/>
            <w:vAlign w:val="center"/>
            <w:hideMark/>
          </w:tcPr>
          <w:p w14:paraId="1975FD9C"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25167,89</w:t>
            </w:r>
          </w:p>
        </w:tc>
        <w:tc>
          <w:tcPr>
            <w:tcW w:w="1424" w:type="dxa"/>
            <w:tcBorders>
              <w:top w:val="nil"/>
              <w:left w:val="nil"/>
              <w:bottom w:val="single" w:sz="4" w:space="0" w:color="auto"/>
              <w:right w:val="single" w:sz="4" w:space="0" w:color="auto"/>
            </w:tcBorders>
            <w:shd w:val="clear" w:color="auto" w:fill="auto"/>
            <w:vAlign w:val="center"/>
            <w:hideMark/>
          </w:tcPr>
          <w:p w14:paraId="5E8EFD25"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11318,02</w:t>
            </w:r>
          </w:p>
        </w:tc>
        <w:tc>
          <w:tcPr>
            <w:tcW w:w="1639" w:type="dxa"/>
            <w:tcBorders>
              <w:top w:val="nil"/>
              <w:left w:val="nil"/>
              <w:bottom w:val="single" w:sz="4" w:space="0" w:color="auto"/>
              <w:right w:val="single" w:sz="4" w:space="0" w:color="auto"/>
            </w:tcBorders>
            <w:shd w:val="clear" w:color="auto" w:fill="auto"/>
            <w:noWrap/>
            <w:vAlign w:val="center"/>
            <w:hideMark/>
          </w:tcPr>
          <w:p w14:paraId="2E926C7A"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791,8</w:t>
            </w:r>
          </w:p>
        </w:tc>
        <w:tc>
          <w:tcPr>
            <w:tcW w:w="1639" w:type="dxa"/>
            <w:tcBorders>
              <w:top w:val="nil"/>
              <w:left w:val="nil"/>
              <w:bottom w:val="single" w:sz="4" w:space="0" w:color="auto"/>
              <w:right w:val="single" w:sz="4" w:space="0" w:color="auto"/>
            </w:tcBorders>
            <w:shd w:val="clear" w:color="auto" w:fill="auto"/>
            <w:noWrap/>
            <w:vAlign w:val="center"/>
            <w:hideMark/>
          </w:tcPr>
          <w:p w14:paraId="42585DB6"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418</w:t>
            </w:r>
          </w:p>
        </w:tc>
        <w:tc>
          <w:tcPr>
            <w:tcW w:w="1590" w:type="dxa"/>
            <w:tcBorders>
              <w:top w:val="nil"/>
              <w:left w:val="nil"/>
              <w:bottom w:val="single" w:sz="4" w:space="0" w:color="auto"/>
              <w:right w:val="single" w:sz="8" w:space="0" w:color="auto"/>
            </w:tcBorders>
            <w:shd w:val="clear" w:color="auto" w:fill="auto"/>
            <w:vAlign w:val="center"/>
            <w:hideMark/>
          </w:tcPr>
          <w:p w14:paraId="530FDD57"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373,80</w:t>
            </w:r>
          </w:p>
        </w:tc>
      </w:tr>
      <w:tr w:rsidR="00682E1A" w:rsidRPr="001E0579" w14:paraId="2EF1EC44" w14:textId="77777777" w:rsidTr="009A448B">
        <w:trPr>
          <w:trHeight w:val="290"/>
          <w:jc w:val="center"/>
        </w:trPr>
        <w:tc>
          <w:tcPr>
            <w:tcW w:w="3587" w:type="dxa"/>
            <w:vMerge/>
            <w:tcBorders>
              <w:top w:val="nil"/>
              <w:left w:val="single" w:sz="8" w:space="0" w:color="auto"/>
              <w:bottom w:val="single" w:sz="4" w:space="0" w:color="000000"/>
              <w:right w:val="single" w:sz="4" w:space="0" w:color="auto"/>
            </w:tcBorders>
            <w:vAlign w:val="center"/>
            <w:hideMark/>
          </w:tcPr>
          <w:p w14:paraId="1F783930" w14:textId="77777777" w:rsidR="00682E1A" w:rsidRPr="001E0579" w:rsidRDefault="00682E1A" w:rsidP="00682E1A">
            <w:pPr>
              <w:rPr>
                <w:rFonts w:cs="Arial"/>
                <w:b/>
                <w:bCs/>
                <w:color w:val="000000"/>
                <w:lang w:val="de-AT" w:eastAsia="de-AT"/>
              </w:rPr>
            </w:pPr>
          </w:p>
        </w:tc>
        <w:tc>
          <w:tcPr>
            <w:tcW w:w="1418" w:type="dxa"/>
            <w:tcBorders>
              <w:top w:val="nil"/>
              <w:left w:val="nil"/>
              <w:bottom w:val="single" w:sz="4" w:space="0" w:color="auto"/>
              <w:right w:val="single" w:sz="4" w:space="0" w:color="auto"/>
            </w:tcBorders>
            <w:shd w:val="clear" w:color="auto" w:fill="auto"/>
            <w:noWrap/>
            <w:vAlign w:val="center"/>
            <w:hideMark/>
          </w:tcPr>
          <w:p w14:paraId="6236A0F4" w14:textId="77777777" w:rsidR="00682E1A" w:rsidRPr="001E0579" w:rsidRDefault="00682E1A" w:rsidP="00285665">
            <w:pPr>
              <w:jc w:val="right"/>
              <w:rPr>
                <w:rFonts w:cs="Arial"/>
                <w:color w:val="000000"/>
                <w:lang w:val="de-AT" w:eastAsia="de-AT"/>
              </w:rPr>
            </w:pPr>
            <w:r w:rsidRPr="001E0579">
              <w:rPr>
                <w:rFonts w:cs="Arial"/>
                <w:color w:val="000000"/>
                <w:lang w:val="de-AT" w:eastAsia="de-AT"/>
              </w:rPr>
              <w:t>42,70</w:t>
            </w:r>
          </w:p>
        </w:tc>
        <w:tc>
          <w:tcPr>
            <w:tcW w:w="1451" w:type="dxa"/>
            <w:tcBorders>
              <w:top w:val="nil"/>
              <w:left w:val="nil"/>
              <w:bottom w:val="single" w:sz="4" w:space="0" w:color="auto"/>
              <w:right w:val="single" w:sz="4" w:space="0" w:color="auto"/>
            </w:tcBorders>
            <w:shd w:val="clear" w:color="auto" w:fill="auto"/>
            <w:vAlign w:val="center"/>
            <w:hideMark/>
          </w:tcPr>
          <w:p w14:paraId="64C9AB85"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13849,87</w:t>
            </w:r>
          </w:p>
        </w:tc>
        <w:tc>
          <w:tcPr>
            <w:tcW w:w="1058" w:type="dxa"/>
            <w:tcBorders>
              <w:top w:val="nil"/>
              <w:left w:val="nil"/>
              <w:bottom w:val="single" w:sz="4" w:space="0" w:color="auto"/>
              <w:right w:val="single" w:sz="4" w:space="0" w:color="auto"/>
            </w:tcBorders>
            <w:shd w:val="clear" w:color="auto" w:fill="auto"/>
            <w:noWrap/>
            <w:vAlign w:val="center"/>
            <w:hideMark/>
          </w:tcPr>
          <w:p w14:paraId="27C60953"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25167,89</w:t>
            </w:r>
          </w:p>
        </w:tc>
        <w:tc>
          <w:tcPr>
            <w:tcW w:w="1424" w:type="dxa"/>
            <w:tcBorders>
              <w:top w:val="nil"/>
              <w:left w:val="nil"/>
              <w:bottom w:val="single" w:sz="4" w:space="0" w:color="auto"/>
              <w:right w:val="single" w:sz="4" w:space="0" w:color="auto"/>
            </w:tcBorders>
            <w:shd w:val="clear" w:color="auto" w:fill="auto"/>
            <w:vAlign w:val="center"/>
            <w:hideMark/>
          </w:tcPr>
          <w:p w14:paraId="7360803A"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11318,02</w:t>
            </w:r>
          </w:p>
        </w:tc>
        <w:tc>
          <w:tcPr>
            <w:tcW w:w="1639" w:type="dxa"/>
            <w:tcBorders>
              <w:top w:val="nil"/>
              <w:left w:val="nil"/>
              <w:bottom w:val="single" w:sz="4" w:space="0" w:color="auto"/>
              <w:right w:val="single" w:sz="4" w:space="0" w:color="auto"/>
            </w:tcBorders>
            <w:shd w:val="clear" w:color="auto" w:fill="auto"/>
            <w:noWrap/>
            <w:vAlign w:val="center"/>
            <w:hideMark/>
          </w:tcPr>
          <w:p w14:paraId="5824316C"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791,8</w:t>
            </w:r>
          </w:p>
        </w:tc>
        <w:tc>
          <w:tcPr>
            <w:tcW w:w="1639" w:type="dxa"/>
            <w:tcBorders>
              <w:top w:val="nil"/>
              <w:left w:val="nil"/>
              <w:bottom w:val="single" w:sz="4" w:space="0" w:color="auto"/>
              <w:right w:val="single" w:sz="4" w:space="0" w:color="auto"/>
            </w:tcBorders>
            <w:shd w:val="clear" w:color="auto" w:fill="auto"/>
            <w:noWrap/>
            <w:vAlign w:val="center"/>
            <w:hideMark/>
          </w:tcPr>
          <w:p w14:paraId="7F88DBEA"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757,7</w:t>
            </w:r>
          </w:p>
        </w:tc>
        <w:tc>
          <w:tcPr>
            <w:tcW w:w="1590" w:type="dxa"/>
            <w:tcBorders>
              <w:top w:val="nil"/>
              <w:left w:val="nil"/>
              <w:bottom w:val="single" w:sz="4" w:space="0" w:color="auto"/>
              <w:right w:val="single" w:sz="8" w:space="0" w:color="auto"/>
            </w:tcBorders>
            <w:shd w:val="clear" w:color="auto" w:fill="auto"/>
            <w:vAlign w:val="center"/>
            <w:hideMark/>
          </w:tcPr>
          <w:p w14:paraId="40699E7D"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34,10</w:t>
            </w:r>
          </w:p>
        </w:tc>
      </w:tr>
      <w:tr w:rsidR="00682E1A" w:rsidRPr="001E0579" w14:paraId="2DC2ADBC" w14:textId="77777777" w:rsidTr="009A448B">
        <w:trPr>
          <w:trHeight w:val="290"/>
          <w:jc w:val="center"/>
        </w:trPr>
        <w:tc>
          <w:tcPr>
            <w:tcW w:w="3587" w:type="dxa"/>
            <w:vMerge w:val="restart"/>
            <w:tcBorders>
              <w:top w:val="nil"/>
              <w:left w:val="single" w:sz="8" w:space="0" w:color="auto"/>
              <w:bottom w:val="single" w:sz="8" w:space="0" w:color="000000"/>
              <w:right w:val="single" w:sz="4" w:space="0" w:color="auto"/>
            </w:tcBorders>
            <w:shd w:val="clear" w:color="auto" w:fill="auto"/>
            <w:vAlign w:val="center"/>
            <w:hideMark/>
          </w:tcPr>
          <w:p w14:paraId="1201B1CA" w14:textId="77777777" w:rsidR="00682E1A" w:rsidRPr="001E0579" w:rsidRDefault="009871ED" w:rsidP="009871ED">
            <w:pPr>
              <w:rPr>
                <w:rFonts w:cs="Arial"/>
                <w:b/>
                <w:bCs/>
                <w:color w:val="000000"/>
                <w:lang w:val="en-GB" w:eastAsia="de-AT"/>
              </w:rPr>
            </w:pPr>
            <w:r w:rsidRPr="001E0579">
              <w:rPr>
                <w:rFonts w:cs="Arial"/>
                <w:b/>
                <w:bCs/>
                <w:color w:val="000000"/>
                <w:lang w:val="en-GB" w:eastAsia="de-AT"/>
              </w:rPr>
              <w:t>APHAB global scores</w:t>
            </w:r>
            <w:r w:rsidR="001E0579">
              <w:rPr>
                <w:rFonts w:cs="Arial"/>
                <w:b/>
                <w:bCs/>
                <w:color w:val="000000"/>
                <w:lang w:val="en-GB" w:eastAsia="de-AT"/>
              </w:rPr>
              <w:t>-</w:t>
            </w:r>
            <w:r w:rsidR="00682E1A" w:rsidRPr="001E0579">
              <w:rPr>
                <w:rFonts w:cs="Arial"/>
                <w:b/>
                <w:bCs/>
                <w:color w:val="000000"/>
                <w:lang w:val="en-GB" w:eastAsia="de-AT"/>
              </w:rPr>
              <w:t xml:space="preserve">unaided </w:t>
            </w:r>
          </w:p>
        </w:tc>
        <w:tc>
          <w:tcPr>
            <w:tcW w:w="1418" w:type="dxa"/>
            <w:tcBorders>
              <w:top w:val="nil"/>
              <w:left w:val="nil"/>
              <w:bottom w:val="single" w:sz="4" w:space="0" w:color="auto"/>
              <w:right w:val="single" w:sz="4" w:space="0" w:color="auto"/>
            </w:tcBorders>
            <w:shd w:val="clear" w:color="auto" w:fill="auto"/>
            <w:noWrap/>
            <w:vAlign w:val="center"/>
            <w:hideMark/>
          </w:tcPr>
          <w:p w14:paraId="660E57FD" w14:textId="77777777" w:rsidR="00682E1A" w:rsidRPr="001E0579" w:rsidRDefault="00682E1A" w:rsidP="00285665">
            <w:pPr>
              <w:jc w:val="right"/>
              <w:rPr>
                <w:rFonts w:cs="Arial"/>
                <w:color w:val="000000"/>
                <w:lang w:val="de-AT" w:eastAsia="de-AT"/>
              </w:rPr>
            </w:pPr>
            <w:r w:rsidRPr="001E0579">
              <w:rPr>
                <w:rFonts w:cs="Arial"/>
                <w:color w:val="000000"/>
                <w:lang w:val="de-AT" w:eastAsia="de-AT"/>
              </w:rPr>
              <w:t>61,40</w:t>
            </w:r>
          </w:p>
        </w:tc>
        <w:tc>
          <w:tcPr>
            <w:tcW w:w="1451" w:type="dxa"/>
            <w:tcBorders>
              <w:top w:val="nil"/>
              <w:left w:val="nil"/>
              <w:bottom w:val="single" w:sz="4" w:space="0" w:color="auto"/>
              <w:right w:val="single" w:sz="4" w:space="0" w:color="auto"/>
            </w:tcBorders>
            <w:shd w:val="clear" w:color="auto" w:fill="auto"/>
            <w:vAlign w:val="center"/>
            <w:hideMark/>
          </w:tcPr>
          <w:p w14:paraId="4F527B4C"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13849,87</w:t>
            </w:r>
          </w:p>
        </w:tc>
        <w:tc>
          <w:tcPr>
            <w:tcW w:w="1058" w:type="dxa"/>
            <w:tcBorders>
              <w:top w:val="nil"/>
              <w:left w:val="nil"/>
              <w:bottom w:val="single" w:sz="4" w:space="0" w:color="auto"/>
              <w:right w:val="single" w:sz="4" w:space="0" w:color="auto"/>
            </w:tcBorders>
            <w:shd w:val="clear" w:color="auto" w:fill="auto"/>
            <w:noWrap/>
            <w:vAlign w:val="center"/>
            <w:hideMark/>
          </w:tcPr>
          <w:p w14:paraId="2A50EC26"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25167,89</w:t>
            </w:r>
          </w:p>
        </w:tc>
        <w:tc>
          <w:tcPr>
            <w:tcW w:w="1424" w:type="dxa"/>
            <w:tcBorders>
              <w:top w:val="nil"/>
              <w:left w:val="nil"/>
              <w:bottom w:val="single" w:sz="4" w:space="0" w:color="auto"/>
              <w:right w:val="single" w:sz="4" w:space="0" w:color="auto"/>
            </w:tcBorders>
            <w:shd w:val="clear" w:color="auto" w:fill="auto"/>
            <w:vAlign w:val="center"/>
            <w:hideMark/>
          </w:tcPr>
          <w:p w14:paraId="7D8049F7"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11318,02</w:t>
            </w:r>
          </w:p>
        </w:tc>
        <w:tc>
          <w:tcPr>
            <w:tcW w:w="1639" w:type="dxa"/>
            <w:tcBorders>
              <w:top w:val="nil"/>
              <w:left w:val="nil"/>
              <w:bottom w:val="single" w:sz="4" w:space="0" w:color="auto"/>
              <w:right w:val="single" w:sz="4" w:space="0" w:color="auto"/>
            </w:tcBorders>
            <w:shd w:val="clear" w:color="auto" w:fill="auto"/>
            <w:noWrap/>
            <w:vAlign w:val="center"/>
            <w:hideMark/>
          </w:tcPr>
          <w:p w14:paraId="3DA2729B"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783,5</w:t>
            </w:r>
          </w:p>
        </w:tc>
        <w:tc>
          <w:tcPr>
            <w:tcW w:w="1639" w:type="dxa"/>
            <w:tcBorders>
              <w:top w:val="nil"/>
              <w:left w:val="nil"/>
              <w:bottom w:val="single" w:sz="4" w:space="0" w:color="auto"/>
              <w:right w:val="single" w:sz="4" w:space="0" w:color="auto"/>
            </w:tcBorders>
            <w:shd w:val="clear" w:color="auto" w:fill="auto"/>
            <w:noWrap/>
            <w:vAlign w:val="center"/>
            <w:hideMark/>
          </w:tcPr>
          <w:p w14:paraId="1C13711D"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591,2</w:t>
            </w:r>
          </w:p>
        </w:tc>
        <w:tc>
          <w:tcPr>
            <w:tcW w:w="1590" w:type="dxa"/>
            <w:tcBorders>
              <w:top w:val="nil"/>
              <w:left w:val="nil"/>
              <w:bottom w:val="single" w:sz="4" w:space="0" w:color="auto"/>
              <w:right w:val="single" w:sz="8" w:space="0" w:color="auto"/>
            </w:tcBorders>
            <w:shd w:val="clear" w:color="auto" w:fill="auto"/>
            <w:vAlign w:val="center"/>
            <w:hideMark/>
          </w:tcPr>
          <w:p w14:paraId="30E71FFB"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192,30</w:t>
            </w:r>
          </w:p>
        </w:tc>
      </w:tr>
      <w:tr w:rsidR="00682E1A" w:rsidRPr="001E0579" w14:paraId="0499BBA4" w14:textId="77777777" w:rsidTr="009A448B">
        <w:trPr>
          <w:trHeight w:val="300"/>
          <w:jc w:val="center"/>
        </w:trPr>
        <w:tc>
          <w:tcPr>
            <w:tcW w:w="3587" w:type="dxa"/>
            <w:vMerge/>
            <w:tcBorders>
              <w:top w:val="nil"/>
              <w:left w:val="single" w:sz="8" w:space="0" w:color="auto"/>
              <w:bottom w:val="single" w:sz="8" w:space="0" w:color="000000"/>
              <w:right w:val="single" w:sz="4" w:space="0" w:color="auto"/>
            </w:tcBorders>
            <w:vAlign w:val="center"/>
            <w:hideMark/>
          </w:tcPr>
          <w:p w14:paraId="208FDF10" w14:textId="77777777" w:rsidR="00682E1A" w:rsidRPr="001E0579" w:rsidRDefault="00682E1A" w:rsidP="00682E1A">
            <w:pPr>
              <w:rPr>
                <w:rFonts w:cs="Arial"/>
                <w:b/>
                <w:bCs/>
                <w:color w:val="000000"/>
                <w:lang w:val="de-AT" w:eastAsia="de-AT"/>
              </w:rPr>
            </w:pPr>
          </w:p>
        </w:tc>
        <w:tc>
          <w:tcPr>
            <w:tcW w:w="1418" w:type="dxa"/>
            <w:tcBorders>
              <w:top w:val="nil"/>
              <w:left w:val="nil"/>
              <w:bottom w:val="single" w:sz="8" w:space="0" w:color="auto"/>
              <w:right w:val="single" w:sz="4" w:space="0" w:color="auto"/>
            </w:tcBorders>
            <w:shd w:val="clear" w:color="auto" w:fill="auto"/>
            <w:noWrap/>
            <w:vAlign w:val="center"/>
            <w:hideMark/>
          </w:tcPr>
          <w:p w14:paraId="4A6D3384" w14:textId="77777777" w:rsidR="00682E1A" w:rsidRPr="001E0579" w:rsidRDefault="00682E1A" w:rsidP="00285665">
            <w:pPr>
              <w:jc w:val="right"/>
              <w:rPr>
                <w:rFonts w:cs="Arial"/>
                <w:color w:val="000000"/>
                <w:lang w:val="de-AT" w:eastAsia="de-AT"/>
              </w:rPr>
            </w:pPr>
            <w:r w:rsidRPr="001E0579">
              <w:rPr>
                <w:rFonts w:cs="Arial"/>
                <w:color w:val="000000"/>
                <w:lang w:val="de-AT" w:eastAsia="de-AT"/>
              </w:rPr>
              <w:t>69,90</w:t>
            </w:r>
          </w:p>
        </w:tc>
        <w:tc>
          <w:tcPr>
            <w:tcW w:w="1451" w:type="dxa"/>
            <w:tcBorders>
              <w:top w:val="nil"/>
              <w:left w:val="nil"/>
              <w:bottom w:val="single" w:sz="8" w:space="0" w:color="auto"/>
              <w:right w:val="single" w:sz="4" w:space="0" w:color="auto"/>
            </w:tcBorders>
            <w:shd w:val="clear" w:color="auto" w:fill="auto"/>
            <w:vAlign w:val="center"/>
            <w:hideMark/>
          </w:tcPr>
          <w:p w14:paraId="5A5E2C76"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13849,87</w:t>
            </w:r>
          </w:p>
        </w:tc>
        <w:tc>
          <w:tcPr>
            <w:tcW w:w="1058" w:type="dxa"/>
            <w:tcBorders>
              <w:top w:val="nil"/>
              <w:left w:val="nil"/>
              <w:bottom w:val="single" w:sz="8" w:space="0" w:color="auto"/>
              <w:right w:val="single" w:sz="4" w:space="0" w:color="auto"/>
            </w:tcBorders>
            <w:shd w:val="clear" w:color="auto" w:fill="auto"/>
            <w:noWrap/>
            <w:vAlign w:val="center"/>
            <w:hideMark/>
          </w:tcPr>
          <w:p w14:paraId="69DC9F14"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25167,89</w:t>
            </w:r>
          </w:p>
        </w:tc>
        <w:tc>
          <w:tcPr>
            <w:tcW w:w="1424" w:type="dxa"/>
            <w:tcBorders>
              <w:top w:val="nil"/>
              <w:left w:val="nil"/>
              <w:bottom w:val="single" w:sz="8" w:space="0" w:color="auto"/>
              <w:right w:val="single" w:sz="4" w:space="0" w:color="auto"/>
            </w:tcBorders>
            <w:shd w:val="clear" w:color="auto" w:fill="auto"/>
            <w:vAlign w:val="center"/>
            <w:hideMark/>
          </w:tcPr>
          <w:p w14:paraId="4FCFB7E7"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11318,02</w:t>
            </w:r>
          </w:p>
        </w:tc>
        <w:tc>
          <w:tcPr>
            <w:tcW w:w="1639" w:type="dxa"/>
            <w:tcBorders>
              <w:top w:val="nil"/>
              <w:left w:val="nil"/>
              <w:bottom w:val="single" w:sz="8" w:space="0" w:color="auto"/>
              <w:right w:val="single" w:sz="4" w:space="0" w:color="auto"/>
            </w:tcBorders>
            <w:shd w:val="clear" w:color="auto" w:fill="auto"/>
            <w:noWrap/>
            <w:vAlign w:val="center"/>
            <w:hideMark/>
          </w:tcPr>
          <w:p w14:paraId="6ECEF97F"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799,9</w:t>
            </w:r>
          </w:p>
        </w:tc>
        <w:tc>
          <w:tcPr>
            <w:tcW w:w="1639" w:type="dxa"/>
            <w:tcBorders>
              <w:top w:val="nil"/>
              <w:left w:val="nil"/>
              <w:bottom w:val="single" w:sz="8" w:space="0" w:color="auto"/>
              <w:right w:val="single" w:sz="4" w:space="0" w:color="auto"/>
            </w:tcBorders>
            <w:shd w:val="clear" w:color="auto" w:fill="auto"/>
            <w:noWrap/>
            <w:vAlign w:val="center"/>
            <w:hideMark/>
          </w:tcPr>
          <w:p w14:paraId="15468283"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593,6</w:t>
            </w:r>
          </w:p>
        </w:tc>
        <w:tc>
          <w:tcPr>
            <w:tcW w:w="1590" w:type="dxa"/>
            <w:tcBorders>
              <w:top w:val="nil"/>
              <w:left w:val="nil"/>
              <w:bottom w:val="single" w:sz="8" w:space="0" w:color="auto"/>
              <w:right w:val="single" w:sz="8" w:space="0" w:color="auto"/>
            </w:tcBorders>
            <w:shd w:val="clear" w:color="auto" w:fill="auto"/>
            <w:vAlign w:val="center"/>
            <w:hideMark/>
          </w:tcPr>
          <w:p w14:paraId="4D099B5A" w14:textId="77777777" w:rsidR="00682E1A" w:rsidRPr="001E0579" w:rsidRDefault="00682E1A" w:rsidP="009871ED">
            <w:pPr>
              <w:jc w:val="center"/>
              <w:rPr>
                <w:rFonts w:cs="Arial"/>
                <w:color w:val="000000"/>
                <w:lang w:val="de-AT" w:eastAsia="de-AT"/>
              </w:rPr>
            </w:pPr>
            <w:r w:rsidRPr="001E0579">
              <w:rPr>
                <w:rFonts w:cs="Arial"/>
                <w:color w:val="000000"/>
                <w:lang w:val="de-AT" w:eastAsia="de-AT"/>
              </w:rPr>
              <w:t>206,30</w:t>
            </w:r>
          </w:p>
        </w:tc>
      </w:tr>
    </w:tbl>
    <w:p w14:paraId="18C0444B" w14:textId="77777777" w:rsidR="00F14CAB" w:rsidRDefault="00F14CAB" w:rsidP="00B22312">
      <w:pPr>
        <w:pStyle w:val="Textbody"/>
        <w:rPr>
          <w:szCs w:val="20"/>
          <w:lang w:val="en-GB"/>
        </w:rPr>
      </w:pPr>
    </w:p>
    <w:p w14:paraId="2308B030" w14:textId="77777777" w:rsidR="00F14CAB" w:rsidRDefault="00F14CAB" w:rsidP="00B22312">
      <w:pPr>
        <w:pStyle w:val="Textbody"/>
        <w:rPr>
          <w:szCs w:val="20"/>
          <w:lang w:val="en-GB"/>
        </w:rPr>
        <w:sectPr w:rsidR="00F14CAB" w:rsidSect="00F14CAB">
          <w:pgSz w:w="16840" w:h="11907" w:orient="landscape" w:code="9"/>
          <w:pgMar w:top="1814" w:right="1418" w:bottom="1418" w:left="1701" w:header="720" w:footer="720" w:gutter="0"/>
          <w:paperSrc w:first="7" w:other="7"/>
          <w:cols w:space="720"/>
          <w:noEndnote/>
          <w:docGrid w:linePitch="299"/>
        </w:sectPr>
      </w:pPr>
    </w:p>
    <w:p w14:paraId="2F1FEA3D" w14:textId="62BE0AAC" w:rsidR="00B22312" w:rsidRPr="00643366" w:rsidRDefault="001E0579" w:rsidP="00B22312">
      <w:pPr>
        <w:pStyle w:val="Textbody"/>
        <w:rPr>
          <w:szCs w:val="20"/>
          <w:lang w:val="en-GB"/>
        </w:rPr>
      </w:pPr>
      <w:r w:rsidRPr="001E0579">
        <w:rPr>
          <w:szCs w:val="20"/>
          <w:lang w:val="en-GB"/>
        </w:rPr>
        <w:lastRenderedPageBreak/>
        <w:t xml:space="preserve">device. The probability of reimplantation </w:t>
      </w:r>
      <w:r w:rsidR="009C3AC8">
        <w:rPr>
          <w:szCs w:val="20"/>
          <w:lang w:val="en-GB"/>
        </w:rPr>
        <w:t xml:space="preserve">plays a smalle role in the model and </w:t>
      </w:r>
      <w:r w:rsidRPr="001E0579">
        <w:rPr>
          <w:szCs w:val="20"/>
          <w:lang w:val="en-GB"/>
        </w:rPr>
        <w:t>impact</w:t>
      </w:r>
      <w:r w:rsidR="009C3AC8">
        <w:rPr>
          <w:szCs w:val="20"/>
          <w:lang w:val="en-GB"/>
        </w:rPr>
        <w:t>s</w:t>
      </w:r>
      <w:r w:rsidRPr="001E0579">
        <w:rPr>
          <w:szCs w:val="20"/>
          <w:lang w:val="en-GB"/>
        </w:rPr>
        <w:t xml:space="preserve"> VSB costs </w:t>
      </w:r>
      <w:r w:rsidR="009C3AC8" w:rsidRPr="009C3AC8">
        <w:rPr>
          <w:szCs w:val="20"/>
          <w:lang w:val="en-GB"/>
        </w:rPr>
        <w:t xml:space="preserve">slightly more </w:t>
      </w:r>
      <w:r w:rsidRPr="001E0579">
        <w:rPr>
          <w:szCs w:val="20"/>
          <w:lang w:val="en-GB"/>
        </w:rPr>
        <w:t xml:space="preserve">than MAXUM costs. Effectiveness outcomes were substantially impacted </w:t>
      </w:r>
      <w:r w:rsidR="00643366" w:rsidRPr="00643366">
        <w:rPr>
          <w:szCs w:val="20"/>
          <w:lang w:val="en-GB"/>
        </w:rPr>
        <w:t xml:space="preserve">again by the </w:t>
      </w:r>
      <w:r w:rsidR="009871ED" w:rsidRPr="00643366">
        <w:rPr>
          <w:szCs w:val="20"/>
          <w:lang w:val="en-GB"/>
        </w:rPr>
        <w:t>probability of ceasing to use MEI. The probability of device failure and reimplantation varied these outcomes slightly, this is however not significant. Changing the input parameters of the effectiveness variables demonstrated that the model is significantly decreasing the outcomes in accordance with the inputted values.</w:t>
      </w:r>
    </w:p>
    <w:p w14:paraId="7669F030" w14:textId="77777777" w:rsidR="009871ED" w:rsidRDefault="009871ED" w:rsidP="00B22312">
      <w:pPr>
        <w:pStyle w:val="Textbody"/>
        <w:rPr>
          <w:sz w:val="20"/>
          <w:szCs w:val="20"/>
          <w:lang w:val="en-GB"/>
        </w:rPr>
      </w:pPr>
    </w:p>
    <w:p w14:paraId="59304CF5" w14:textId="77777777" w:rsidR="009871ED" w:rsidRPr="009871ED" w:rsidRDefault="009871ED" w:rsidP="009871ED">
      <w:pPr>
        <w:pStyle w:val="Heading30"/>
      </w:pPr>
      <w:bookmarkStart w:id="580" w:name="_Toc431917602"/>
      <w:r w:rsidRPr="009871ED">
        <w:t>D.6.2. Probability sensitivity analysis</w:t>
      </w:r>
      <w:bookmarkEnd w:id="580"/>
    </w:p>
    <w:p w14:paraId="2D054605" w14:textId="6435F132" w:rsidR="00C15D7A" w:rsidRDefault="009871ED" w:rsidP="007D4C71">
      <w:pPr>
        <w:pStyle w:val="Textbody"/>
        <w:rPr>
          <w:lang w:val="en-GB"/>
        </w:rPr>
      </w:pPr>
      <w:r w:rsidRPr="00643366">
        <w:rPr>
          <w:lang w:val="en-GB"/>
        </w:rPr>
        <w:t xml:space="preserve">The variables found to be effective in DSA were entered into a probabilistic sensitivity analysis. For the main economic evaluation the following variables were sampled probabilistically: </w:t>
      </w:r>
      <w:r w:rsidR="007551D4">
        <w:rPr>
          <w:lang w:val="en-GB"/>
        </w:rPr>
        <w:t xml:space="preserve">the probability of exostosis, </w:t>
      </w:r>
      <w:r w:rsidRPr="00643366">
        <w:rPr>
          <w:lang w:val="en-GB"/>
        </w:rPr>
        <w:t>the cost and probability of otitis externa, the cost of candidacy; the cost of MEI(VSB) provision, the pro</w:t>
      </w:r>
      <w:r w:rsidR="007551D4">
        <w:rPr>
          <w:lang w:val="en-GB"/>
        </w:rPr>
        <w:t xml:space="preserve">babilities of revision surgery </w:t>
      </w:r>
      <w:r w:rsidRPr="00643366">
        <w:rPr>
          <w:lang w:val="en-GB"/>
        </w:rPr>
        <w:t xml:space="preserve">and ceasing to use MEI; and the utility of being unaided or aided with MEI. The parameterisation of these variables </w:t>
      </w:r>
      <w:r w:rsidR="007551D4">
        <w:rPr>
          <w:lang w:val="en-GB"/>
        </w:rPr>
        <w:t>is described in Appendix E</w:t>
      </w:r>
      <w:r w:rsidRPr="00643366">
        <w:rPr>
          <w:lang w:val="en-GB"/>
        </w:rPr>
        <w:t>. For the purpose of being able to repeat the outcomes, random number seeding was used with an initial seed set to 1.</w:t>
      </w:r>
    </w:p>
    <w:p w14:paraId="3E5C00B0" w14:textId="6DD8B77E" w:rsidR="00C15D7A" w:rsidRDefault="00C15D7A" w:rsidP="007D4C71">
      <w:pPr>
        <w:pStyle w:val="Textbody"/>
        <w:rPr>
          <w:lang w:val="en-GB"/>
        </w:rPr>
      </w:pPr>
      <w:r w:rsidRPr="00C15D7A">
        <w:rPr>
          <w:lang w:val="en-GB"/>
        </w:rPr>
        <w:t>The results of PSA tabulated in Table 53 show the cost and effectiveness outcomes to be similar to those reported for the base-case analysis (see Table 47) Providing a partially implantable MEI, namely the Vibrant Soundbridge, is associated with</w:t>
      </w:r>
      <w:r w:rsidR="007551D4">
        <w:rPr>
          <w:lang w:val="en-GB"/>
        </w:rPr>
        <w:t xml:space="preserve"> increased QALY ranging from 1,19 to 1,5</w:t>
      </w:r>
      <w:r w:rsidRPr="00C15D7A">
        <w:rPr>
          <w:lang w:val="en-GB"/>
        </w:rPr>
        <w:t xml:space="preserve">2 but also increased costs ranging from AUD </w:t>
      </w:r>
      <w:r w:rsidR="007551D4">
        <w:rPr>
          <w:lang w:val="en-GB"/>
        </w:rPr>
        <w:t>21.881,48 to AUD 22.265,86</w:t>
      </w:r>
      <w:r w:rsidRPr="00C15D7A">
        <w:rPr>
          <w:lang w:val="en-GB"/>
        </w:rPr>
        <w:t>, when compared to receiving no intervention. The results are visualized in Figure 13.</w:t>
      </w:r>
    </w:p>
    <w:p w14:paraId="6A9335BA" w14:textId="01369C2C" w:rsidR="00C15D7A" w:rsidRDefault="009C3AC8" w:rsidP="00C15D7A">
      <w:pPr>
        <w:pStyle w:val="Textbody"/>
        <w:jc w:val="center"/>
        <w:rPr>
          <w:lang w:val="en-GB"/>
        </w:rPr>
      </w:pPr>
      <w:r>
        <w:rPr>
          <w:noProof/>
          <w:lang w:val="en-AU" w:eastAsia="en-AU"/>
        </w:rPr>
        <w:drawing>
          <wp:inline distT="0" distB="0" distL="0" distR="0" wp14:anchorId="2A685F91" wp14:editId="7CF7BD48">
            <wp:extent cx="3360283" cy="2520000"/>
            <wp:effectExtent l="0" t="0" r="0" b="0"/>
            <wp:docPr id="3" name="Picture 3" descr="Cost-effectiveness scatterplot of the Vibrant Soundbridge against no interv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Vibrant\HTA\Countries\Australia\Authority\MSAC\1365_SNHL\Economical modelling\Analysis\CE Scatterplot VSB vs NO-I.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360283" cy="2520000"/>
                    </a:xfrm>
                    <a:prstGeom prst="rect">
                      <a:avLst/>
                    </a:prstGeom>
                    <a:noFill/>
                    <a:ln>
                      <a:noFill/>
                    </a:ln>
                  </pic:spPr>
                </pic:pic>
              </a:graphicData>
            </a:graphic>
          </wp:inline>
        </w:drawing>
      </w:r>
    </w:p>
    <w:p w14:paraId="2C811FF3" w14:textId="77777777" w:rsidR="00C15D7A" w:rsidRPr="00C15D7A" w:rsidRDefault="00C15D7A" w:rsidP="00C15D7A">
      <w:pPr>
        <w:pStyle w:val="Caption"/>
        <w:rPr>
          <w:rFonts w:ascii="Arial" w:hAnsi="Arial" w:cs="Arial"/>
          <w:u w:val="single"/>
        </w:rPr>
      </w:pPr>
      <w:r w:rsidRPr="00C15D7A">
        <w:rPr>
          <w:rFonts w:ascii="Arial" w:hAnsi="Arial" w:cs="Arial"/>
          <w:u w:val="single"/>
        </w:rPr>
        <w:t>Fig 13 – Cost-effectiveness scatterplot of the Vibrant Soundbridge against no intervention</w:t>
      </w:r>
    </w:p>
    <w:p w14:paraId="463A383B" w14:textId="77777777" w:rsidR="00C15D7A" w:rsidRPr="00C15D7A" w:rsidRDefault="00C15D7A" w:rsidP="00C15D7A">
      <w:pPr>
        <w:spacing w:line="360" w:lineRule="auto"/>
        <w:jc w:val="both"/>
        <w:rPr>
          <w:rFonts w:cs="Arial"/>
          <w:b/>
          <w:bCs/>
          <w:sz w:val="20"/>
          <w:szCs w:val="20"/>
          <w:lang w:val="en-GB"/>
        </w:rPr>
      </w:pPr>
      <w:bookmarkStart w:id="581" w:name="_Ref431643686"/>
    </w:p>
    <w:p w14:paraId="428C170F" w14:textId="77777777" w:rsidR="00B22312" w:rsidRPr="001E0579" w:rsidRDefault="00B22312" w:rsidP="00B22312">
      <w:pPr>
        <w:spacing w:line="360" w:lineRule="auto"/>
        <w:jc w:val="both"/>
        <w:rPr>
          <w:rFonts w:cs="Arial"/>
          <w:b/>
          <w:sz w:val="20"/>
          <w:szCs w:val="20"/>
          <w:lang w:val="en-GB"/>
        </w:rPr>
      </w:pPr>
      <w:bookmarkStart w:id="582" w:name="_Toc431917513"/>
      <w:r w:rsidRPr="001E0579">
        <w:rPr>
          <w:rFonts w:cs="Arial"/>
          <w:b/>
          <w:bCs/>
          <w:sz w:val="20"/>
          <w:szCs w:val="20"/>
        </w:rPr>
        <w:lastRenderedPageBreak/>
        <w:t xml:space="preserve">Table </w:t>
      </w:r>
      <w:r w:rsidRPr="001E0579">
        <w:rPr>
          <w:rFonts w:cs="Arial"/>
          <w:b/>
          <w:bCs/>
          <w:sz w:val="20"/>
          <w:szCs w:val="20"/>
        </w:rPr>
        <w:fldChar w:fldCharType="begin"/>
      </w:r>
      <w:r w:rsidRPr="001E0579">
        <w:rPr>
          <w:rFonts w:cs="Arial"/>
          <w:b/>
          <w:bCs/>
          <w:sz w:val="20"/>
          <w:szCs w:val="20"/>
        </w:rPr>
        <w:instrText xml:space="preserve"> SEQ Table \* ARABIC </w:instrText>
      </w:r>
      <w:r w:rsidRPr="001E0579">
        <w:rPr>
          <w:rFonts w:cs="Arial"/>
          <w:b/>
          <w:bCs/>
          <w:sz w:val="20"/>
          <w:szCs w:val="20"/>
        </w:rPr>
        <w:fldChar w:fldCharType="separate"/>
      </w:r>
      <w:r w:rsidR="00016592">
        <w:rPr>
          <w:rFonts w:cs="Arial"/>
          <w:b/>
          <w:bCs/>
          <w:noProof/>
          <w:sz w:val="20"/>
          <w:szCs w:val="20"/>
        </w:rPr>
        <w:t>53</w:t>
      </w:r>
      <w:r w:rsidRPr="001E0579">
        <w:rPr>
          <w:rFonts w:cs="Arial"/>
          <w:b/>
          <w:bCs/>
          <w:sz w:val="20"/>
          <w:szCs w:val="20"/>
        </w:rPr>
        <w:fldChar w:fldCharType="end"/>
      </w:r>
      <w:bookmarkEnd w:id="581"/>
      <w:r w:rsidRPr="001E0579">
        <w:rPr>
          <w:rFonts w:cs="Arial"/>
          <w:b/>
          <w:bCs/>
          <w:sz w:val="20"/>
          <w:szCs w:val="20"/>
        </w:rPr>
        <w:t xml:space="preserve"> –</w:t>
      </w:r>
      <w:r w:rsidR="00643366" w:rsidRPr="001E0579">
        <w:rPr>
          <w:rFonts w:cs="Arial"/>
          <w:b/>
          <w:sz w:val="20"/>
          <w:szCs w:val="20"/>
          <w:lang w:val="en-GB"/>
        </w:rPr>
        <w:t>Probabilistic sensitivity analysis for the main economic evaluation</w:t>
      </w:r>
      <w:bookmarkEnd w:id="582"/>
    </w:p>
    <w:tbl>
      <w:tblPr>
        <w:tblW w:w="8597" w:type="dxa"/>
        <w:tblInd w:w="55" w:type="dxa"/>
        <w:tblCellMar>
          <w:left w:w="70" w:type="dxa"/>
          <w:right w:w="70" w:type="dxa"/>
        </w:tblCellMar>
        <w:tblLook w:val="04A0" w:firstRow="1" w:lastRow="0" w:firstColumn="1" w:lastColumn="0" w:noHBand="0" w:noVBand="1"/>
        <w:tblDescription w:val="Probabilistic sensitivity analysis for the main economic evaluation"/>
      </w:tblPr>
      <w:tblGrid>
        <w:gridCol w:w="1940"/>
        <w:gridCol w:w="1903"/>
        <w:gridCol w:w="1559"/>
        <w:gridCol w:w="1660"/>
        <w:gridCol w:w="1535"/>
      </w:tblGrid>
      <w:tr w:rsidR="00643366" w:rsidRPr="00643366" w14:paraId="0350ECA8" w14:textId="77777777" w:rsidTr="009C3AC8">
        <w:trPr>
          <w:trHeight w:val="580"/>
        </w:trPr>
        <w:tc>
          <w:tcPr>
            <w:tcW w:w="194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35D7C4F" w14:textId="6BF4FBDB" w:rsidR="00643366" w:rsidRPr="00643366" w:rsidRDefault="00285665" w:rsidP="00643366">
            <w:pPr>
              <w:rPr>
                <w:rFonts w:cs="Arial"/>
                <w:b/>
                <w:bCs/>
                <w:color w:val="000000"/>
                <w:lang w:val="de-AT" w:eastAsia="de-AT"/>
              </w:rPr>
            </w:pPr>
            <w:r>
              <w:rPr>
                <w:rFonts w:cs="Arial"/>
                <w:b/>
                <w:bCs/>
                <w:color w:val="000000"/>
                <w:lang w:val="de-AT" w:eastAsia="de-AT"/>
              </w:rPr>
              <w:t>Stra</w:t>
            </w:r>
            <w:r w:rsidR="00643366" w:rsidRPr="00643366">
              <w:rPr>
                <w:rFonts w:cs="Arial"/>
                <w:b/>
                <w:bCs/>
                <w:color w:val="000000"/>
                <w:lang w:val="de-AT" w:eastAsia="de-AT"/>
              </w:rPr>
              <w:t>tegy</w:t>
            </w:r>
          </w:p>
        </w:tc>
        <w:tc>
          <w:tcPr>
            <w:tcW w:w="1903" w:type="dxa"/>
            <w:tcBorders>
              <w:top w:val="single" w:sz="8" w:space="0" w:color="auto"/>
              <w:left w:val="nil"/>
              <w:bottom w:val="nil"/>
              <w:right w:val="single" w:sz="4" w:space="0" w:color="auto"/>
            </w:tcBorders>
            <w:shd w:val="clear" w:color="auto" w:fill="auto"/>
            <w:noWrap/>
            <w:vAlign w:val="bottom"/>
            <w:hideMark/>
          </w:tcPr>
          <w:p w14:paraId="04769EB9" w14:textId="77777777" w:rsidR="00643366" w:rsidRPr="00643366" w:rsidRDefault="00643366" w:rsidP="00643366">
            <w:pPr>
              <w:jc w:val="center"/>
              <w:rPr>
                <w:rFonts w:cs="Arial"/>
                <w:b/>
                <w:bCs/>
                <w:color w:val="000000"/>
                <w:lang w:val="de-AT" w:eastAsia="de-AT"/>
              </w:rPr>
            </w:pPr>
            <w:r w:rsidRPr="00643366">
              <w:rPr>
                <w:rFonts w:cs="Arial"/>
                <w:b/>
                <w:bCs/>
                <w:color w:val="000000"/>
                <w:lang w:val="de-AT" w:eastAsia="de-AT"/>
              </w:rPr>
              <w:t>Cost (95%CI)</w:t>
            </w:r>
          </w:p>
        </w:tc>
        <w:tc>
          <w:tcPr>
            <w:tcW w:w="1559" w:type="dxa"/>
            <w:tcBorders>
              <w:top w:val="single" w:sz="8" w:space="0" w:color="auto"/>
              <w:left w:val="nil"/>
              <w:bottom w:val="nil"/>
              <w:right w:val="single" w:sz="4" w:space="0" w:color="auto"/>
            </w:tcBorders>
            <w:shd w:val="clear" w:color="auto" w:fill="auto"/>
            <w:vAlign w:val="bottom"/>
            <w:hideMark/>
          </w:tcPr>
          <w:p w14:paraId="55B3BF46" w14:textId="77777777" w:rsidR="00643366" w:rsidRPr="00643366" w:rsidRDefault="00643366" w:rsidP="00643366">
            <w:pPr>
              <w:jc w:val="center"/>
              <w:rPr>
                <w:rFonts w:cs="Arial"/>
                <w:b/>
                <w:bCs/>
                <w:color w:val="000000"/>
                <w:lang w:val="de-AT" w:eastAsia="de-AT"/>
              </w:rPr>
            </w:pPr>
            <w:r w:rsidRPr="00643366">
              <w:rPr>
                <w:rFonts w:cs="Arial"/>
                <w:b/>
                <w:bCs/>
                <w:color w:val="000000"/>
                <w:lang w:val="de-AT" w:eastAsia="de-AT"/>
              </w:rPr>
              <w:t>Incremental cost</w:t>
            </w:r>
          </w:p>
        </w:tc>
        <w:tc>
          <w:tcPr>
            <w:tcW w:w="1660" w:type="dxa"/>
            <w:tcBorders>
              <w:top w:val="single" w:sz="8" w:space="0" w:color="auto"/>
              <w:left w:val="nil"/>
              <w:bottom w:val="nil"/>
              <w:right w:val="single" w:sz="4" w:space="0" w:color="auto"/>
            </w:tcBorders>
            <w:shd w:val="clear" w:color="auto" w:fill="auto"/>
            <w:noWrap/>
            <w:vAlign w:val="bottom"/>
            <w:hideMark/>
          </w:tcPr>
          <w:p w14:paraId="6BBDD6BD" w14:textId="77777777" w:rsidR="00643366" w:rsidRPr="00643366" w:rsidRDefault="00643366" w:rsidP="00643366">
            <w:pPr>
              <w:jc w:val="center"/>
              <w:rPr>
                <w:rFonts w:cs="Arial"/>
                <w:b/>
                <w:bCs/>
                <w:color w:val="000000"/>
                <w:lang w:val="de-AT" w:eastAsia="de-AT"/>
              </w:rPr>
            </w:pPr>
            <w:r w:rsidRPr="00643366">
              <w:rPr>
                <w:rFonts w:cs="Arial"/>
                <w:b/>
                <w:bCs/>
                <w:color w:val="000000"/>
                <w:lang w:val="de-AT" w:eastAsia="de-AT"/>
              </w:rPr>
              <w:t>Effectiveness</w:t>
            </w:r>
          </w:p>
        </w:tc>
        <w:tc>
          <w:tcPr>
            <w:tcW w:w="1535" w:type="dxa"/>
            <w:tcBorders>
              <w:top w:val="single" w:sz="8" w:space="0" w:color="auto"/>
              <w:left w:val="nil"/>
              <w:bottom w:val="nil"/>
              <w:right w:val="single" w:sz="8" w:space="0" w:color="auto"/>
            </w:tcBorders>
            <w:shd w:val="clear" w:color="auto" w:fill="auto"/>
            <w:vAlign w:val="bottom"/>
            <w:hideMark/>
          </w:tcPr>
          <w:p w14:paraId="6CE40998" w14:textId="77777777" w:rsidR="00643366" w:rsidRPr="00643366" w:rsidRDefault="00643366" w:rsidP="00643366">
            <w:pPr>
              <w:jc w:val="center"/>
              <w:rPr>
                <w:rFonts w:cs="Arial"/>
                <w:b/>
                <w:bCs/>
                <w:color w:val="000000"/>
                <w:lang w:val="de-AT" w:eastAsia="de-AT"/>
              </w:rPr>
            </w:pPr>
            <w:r w:rsidRPr="00643366">
              <w:rPr>
                <w:rFonts w:cs="Arial"/>
                <w:b/>
                <w:bCs/>
                <w:color w:val="000000"/>
                <w:lang w:val="de-AT" w:eastAsia="de-AT"/>
              </w:rPr>
              <w:t>Incremental effectiveness</w:t>
            </w:r>
          </w:p>
        </w:tc>
      </w:tr>
      <w:tr w:rsidR="009C3AC8" w:rsidRPr="00643366" w14:paraId="42EFA6C1" w14:textId="77777777" w:rsidTr="009C3AC8">
        <w:trPr>
          <w:trHeight w:val="290"/>
        </w:trPr>
        <w:tc>
          <w:tcPr>
            <w:tcW w:w="1940" w:type="dxa"/>
            <w:vMerge w:val="restart"/>
            <w:tcBorders>
              <w:top w:val="nil"/>
              <w:left w:val="single" w:sz="8" w:space="0" w:color="auto"/>
              <w:bottom w:val="single" w:sz="4" w:space="0" w:color="auto"/>
              <w:right w:val="nil"/>
            </w:tcBorders>
            <w:shd w:val="clear" w:color="auto" w:fill="auto"/>
            <w:noWrap/>
            <w:hideMark/>
          </w:tcPr>
          <w:p w14:paraId="529393D1" w14:textId="77777777" w:rsidR="009C3AC8" w:rsidRPr="00643366" w:rsidRDefault="009C3AC8" w:rsidP="00643366">
            <w:pPr>
              <w:rPr>
                <w:rFonts w:cs="Arial"/>
                <w:b/>
                <w:bCs/>
                <w:color w:val="000000"/>
                <w:lang w:val="de-AT" w:eastAsia="de-AT"/>
              </w:rPr>
            </w:pPr>
            <w:r w:rsidRPr="00643366">
              <w:rPr>
                <w:rFonts w:cs="Arial"/>
                <w:b/>
                <w:bCs/>
                <w:color w:val="000000"/>
                <w:lang w:val="de-AT" w:eastAsia="de-AT"/>
              </w:rPr>
              <w:t>No intervention</w:t>
            </w:r>
          </w:p>
        </w:tc>
        <w:tc>
          <w:tcPr>
            <w:tcW w:w="1903" w:type="dxa"/>
            <w:tcBorders>
              <w:top w:val="single" w:sz="4" w:space="0" w:color="auto"/>
              <w:left w:val="single" w:sz="4" w:space="0" w:color="auto"/>
              <w:bottom w:val="nil"/>
              <w:right w:val="nil"/>
            </w:tcBorders>
            <w:shd w:val="clear" w:color="auto" w:fill="auto"/>
            <w:noWrap/>
            <w:vAlign w:val="bottom"/>
            <w:hideMark/>
          </w:tcPr>
          <w:p w14:paraId="029A87E8" w14:textId="13584F94" w:rsidR="009C3AC8" w:rsidRPr="00643366" w:rsidRDefault="009C3AC8" w:rsidP="00643366">
            <w:pPr>
              <w:jc w:val="center"/>
              <w:rPr>
                <w:rFonts w:cs="Arial"/>
                <w:color w:val="000000"/>
                <w:lang w:val="de-AT" w:eastAsia="de-AT"/>
              </w:rPr>
            </w:pPr>
            <w:r>
              <w:rPr>
                <w:rFonts w:ascii="Calibri" w:hAnsi="Calibri"/>
                <w:color w:val="000000"/>
              </w:rPr>
              <w:t>2469,08</w:t>
            </w:r>
          </w:p>
        </w:tc>
        <w:tc>
          <w:tcPr>
            <w:tcW w:w="1559" w:type="dxa"/>
            <w:tcBorders>
              <w:top w:val="single" w:sz="4" w:space="0" w:color="auto"/>
              <w:left w:val="single" w:sz="4" w:space="0" w:color="auto"/>
              <w:bottom w:val="nil"/>
              <w:right w:val="nil"/>
            </w:tcBorders>
            <w:shd w:val="clear" w:color="auto" w:fill="auto"/>
            <w:noWrap/>
            <w:vAlign w:val="bottom"/>
            <w:hideMark/>
          </w:tcPr>
          <w:p w14:paraId="7D5C84A0" w14:textId="7AD33D88" w:rsidR="009C3AC8" w:rsidRPr="00643366" w:rsidRDefault="009C3AC8" w:rsidP="00643366">
            <w:pPr>
              <w:jc w:val="center"/>
              <w:rPr>
                <w:rFonts w:cs="Arial"/>
                <w:color w:val="000000"/>
                <w:lang w:val="de-AT" w:eastAsia="de-AT"/>
              </w:rPr>
            </w:pPr>
            <w:r>
              <w:rPr>
                <w:rFonts w:ascii="Calibri" w:hAnsi="Calibri"/>
                <w:color w:val="000000"/>
              </w:rPr>
              <w:t xml:space="preserve"> - </w:t>
            </w:r>
          </w:p>
        </w:tc>
        <w:tc>
          <w:tcPr>
            <w:tcW w:w="1660" w:type="dxa"/>
            <w:tcBorders>
              <w:top w:val="single" w:sz="4" w:space="0" w:color="auto"/>
              <w:left w:val="single" w:sz="4" w:space="0" w:color="auto"/>
              <w:bottom w:val="nil"/>
              <w:right w:val="nil"/>
            </w:tcBorders>
            <w:shd w:val="clear" w:color="auto" w:fill="auto"/>
            <w:noWrap/>
            <w:vAlign w:val="bottom"/>
            <w:hideMark/>
          </w:tcPr>
          <w:p w14:paraId="6158FAEA" w14:textId="52B3873A" w:rsidR="009C3AC8" w:rsidRPr="00643366" w:rsidRDefault="009C3AC8" w:rsidP="00643366">
            <w:pPr>
              <w:jc w:val="center"/>
              <w:rPr>
                <w:rFonts w:cs="Arial"/>
                <w:color w:val="000000"/>
                <w:lang w:val="de-AT" w:eastAsia="de-AT"/>
              </w:rPr>
            </w:pPr>
            <w:r>
              <w:rPr>
                <w:rFonts w:ascii="Calibri" w:hAnsi="Calibri"/>
                <w:color w:val="000000"/>
              </w:rPr>
              <w:t>8,9</w:t>
            </w:r>
          </w:p>
        </w:tc>
        <w:tc>
          <w:tcPr>
            <w:tcW w:w="1535" w:type="dxa"/>
            <w:tcBorders>
              <w:top w:val="single" w:sz="4" w:space="0" w:color="auto"/>
              <w:left w:val="single" w:sz="4" w:space="0" w:color="auto"/>
              <w:bottom w:val="nil"/>
              <w:right w:val="single" w:sz="8" w:space="0" w:color="auto"/>
            </w:tcBorders>
            <w:shd w:val="clear" w:color="auto" w:fill="auto"/>
            <w:noWrap/>
            <w:vAlign w:val="bottom"/>
            <w:hideMark/>
          </w:tcPr>
          <w:p w14:paraId="2D9EDF77" w14:textId="58582F38" w:rsidR="009C3AC8" w:rsidRPr="00643366" w:rsidRDefault="009C3AC8" w:rsidP="00643366">
            <w:pPr>
              <w:jc w:val="center"/>
              <w:rPr>
                <w:rFonts w:cs="Arial"/>
                <w:color w:val="000000"/>
                <w:lang w:val="de-AT" w:eastAsia="de-AT"/>
              </w:rPr>
            </w:pPr>
            <w:r>
              <w:rPr>
                <w:rFonts w:ascii="Calibri" w:hAnsi="Calibri"/>
                <w:color w:val="000000"/>
              </w:rPr>
              <w:t xml:space="preserve"> - </w:t>
            </w:r>
          </w:p>
        </w:tc>
      </w:tr>
      <w:tr w:rsidR="009C3AC8" w:rsidRPr="00643366" w14:paraId="3E9F5516" w14:textId="77777777" w:rsidTr="009C3AC8">
        <w:trPr>
          <w:trHeight w:val="290"/>
        </w:trPr>
        <w:tc>
          <w:tcPr>
            <w:tcW w:w="1940" w:type="dxa"/>
            <w:vMerge/>
            <w:tcBorders>
              <w:top w:val="nil"/>
              <w:left w:val="single" w:sz="8" w:space="0" w:color="auto"/>
              <w:bottom w:val="single" w:sz="4" w:space="0" w:color="auto"/>
              <w:right w:val="nil"/>
            </w:tcBorders>
            <w:vAlign w:val="center"/>
            <w:hideMark/>
          </w:tcPr>
          <w:p w14:paraId="7EDD21BC" w14:textId="77777777" w:rsidR="009C3AC8" w:rsidRPr="00643366" w:rsidRDefault="009C3AC8" w:rsidP="00643366">
            <w:pPr>
              <w:rPr>
                <w:rFonts w:cs="Arial"/>
                <w:b/>
                <w:bCs/>
                <w:color w:val="000000"/>
                <w:lang w:val="de-AT" w:eastAsia="de-AT"/>
              </w:rPr>
            </w:pPr>
          </w:p>
        </w:tc>
        <w:tc>
          <w:tcPr>
            <w:tcW w:w="1903" w:type="dxa"/>
            <w:tcBorders>
              <w:top w:val="nil"/>
              <w:left w:val="single" w:sz="4" w:space="0" w:color="auto"/>
              <w:bottom w:val="nil"/>
              <w:right w:val="nil"/>
            </w:tcBorders>
            <w:shd w:val="clear" w:color="auto" w:fill="auto"/>
            <w:noWrap/>
            <w:vAlign w:val="bottom"/>
            <w:hideMark/>
          </w:tcPr>
          <w:p w14:paraId="04643185" w14:textId="238A5741" w:rsidR="009C3AC8" w:rsidRPr="00643366" w:rsidRDefault="009C3AC8" w:rsidP="00643366">
            <w:pPr>
              <w:jc w:val="center"/>
              <w:rPr>
                <w:rFonts w:cs="Arial"/>
                <w:color w:val="000000"/>
                <w:lang w:val="de-AT" w:eastAsia="de-AT"/>
              </w:rPr>
            </w:pPr>
            <w:r>
              <w:rPr>
                <w:rFonts w:ascii="Calibri" w:hAnsi="Calibri"/>
                <w:color w:val="000000"/>
              </w:rPr>
              <w:t>(453,44 to 8339,73)</w:t>
            </w:r>
          </w:p>
        </w:tc>
        <w:tc>
          <w:tcPr>
            <w:tcW w:w="1559" w:type="dxa"/>
            <w:tcBorders>
              <w:top w:val="nil"/>
              <w:left w:val="single" w:sz="4" w:space="0" w:color="auto"/>
              <w:bottom w:val="nil"/>
              <w:right w:val="nil"/>
            </w:tcBorders>
            <w:shd w:val="clear" w:color="auto" w:fill="auto"/>
            <w:noWrap/>
            <w:vAlign w:val="bottom"/>
            <w:hideMark/>
          </w:tcPr>
          <w:p w14:paraId="12CC777D" w14:textId="0D422425" w:rsidR="009C3AC8" w:rsidRPr="00643366" w:rsidRDefault="009C3AC8" w:rsidP="00643366">
            <w:pPr>
              <w:jc w:val="center"/>
              <w:rPr>
                <w:rFonts w:cs="Arial"/>
                <w:color w:val="000000"/>
                <w:lang w:val="de-AT" w:eastAsia="de-AT"/>
              </w:rPr>
            </w:pPr>
            <w:r>
              <w:rPr>
                <w:rFonts w:ascii="Calibri" w:hAnsi="Calibri"/>
                <w:color w:val="000000"/>
              </w:rPr>
              <w:t> </w:t>
            </w:r>
          </w:p>
        </w:tc>
        <w:tc>
          <w:tcPr>
            <w:tcW w:w="1660" w:type="dxa"/>
            <w:tcBorders>
              <w:top w:val="nil"/>
              <w:left w:val="single" w:sz="4" w:space="0" w:color="auto"/>
              <w:bottom w:val="nil"/>
              <w:right w:val="nil"/>
            </w:tcBorders>
            <w:shd w:val="clear" w:color="auto" w:fill="auto"/>
            <w:noWrap/>
            <w:vAlign w:val="bottom"/>
            <w:hideMark/>
          </w:tcPr>
          <w:p w14:paraId="4910A46A" w14:textId="4010CCD6" w:rsidR="009C3AC8" w:rsidRPr="00643366" w:rsidRDefault="009C3AC8" w:rsidP="00643366">
            <w:pPr>
              <w:jc w:val="center"/>
              <w:rPr>
                <w:rFonts w:cs="Arial"/>
                <w:color w:val="000000"/>
                <w:lang w:val="de-AT" w:eastAsia="de-AT"/>
              </w:rPr>
            </w:pPr>
            <w:r>
              <w:rPr>
                <w:rFonts w:ascii="Calibri" w:hAnsi="Calibri"/>
                <w:color w:val="000000"/>
              </w:rPr>
              <w:t>(5,09 to 12,49)</w:t>
            </w:r>
          </w:p>
        </w:tc>
        <w:tc>
          <w:tcPr>
            <w:tcW w:w="1535" w:type="dxa"/>
            <w:tcBorders>
              <w:top w:val="nil"/>
              <w:left w:val="single" w:sz="4" w:space="0" w:color="auto"/>
              <w:bottom w:val="nil"/>
              <w:right w:val="single" w:sz="8" w:space="0" w:color="auto"/>
            </w:tcBorders>
            <w:shd w:val="clear" w:color="auto" w:fill="auto"/>
            <w:noWrap/>
            <w:vAlign w:val="bottom"/>
            <w:hideMark/>
          </w:tcPr>
          <w:p w14:paraId="1E806494" w14:textId="5F8F0123" w:rsidR="009C3AC8" w:rsidRPr="00643366" w:rsidRDefault="009C3AC8" w:rsidP="00643366">
            <w:pPr>
              <w:jc w:val="center"/>
              <w:rPr>
                <w:rFonts w:cs="Arial"/>
                <w:color w:val="000000"/>
                <w:lang w:val="de-AT" w:eastAsia="de-AT"/>
              </w:rPr>
            </w:pPr>
            <w:r>
              <w:rPr>
                <w:rFonts w:ascii="Calibri" w:hAnsi="Calibri"/>
                <w:color w:val="000000"/>
              </w:rPr>
              <w:t> </w:t>
            </w:r>
          </w:p>
        </w:tc>
      </w:tr>
      <w:tr w:rsidR="009C3AC8" w:rsidRPr="00643366" w14:paraId="2A831B33" w14:textId="77777777" w:rsidTr="009C3AC8">
        <w:trPr>
          <w:trHeight w:val="290"/>
        </w:trPr>
        <w:tc>
          <w:tcPr>
            <w:tcW w:w="1940" w:type="dxa"/>
            <w:vMerge w:val="restart"/>
            <w:tcBorders>
              <w:top w:val="nil"/>
              <w:left w:val="single" w:sz="8" w:space="0" w:color="auto"/>
              <w:bottom w:val="single" w:sz="8" w:space="0" w:color="000000"/>
              <w:right w:val="nil"/>
            </w:tcBorders>
            <w:shd w:val="clear" w:color="auto" w:fill="auto"/>
            <w:noWrap/>
            <w:hideMark/>
          </w:tcPr>
          <w:p w14:paraId="0190063C" w14:textId="77777777" w:rsidR="009C3AC8" w:rsidRPr="00643366" w:rsidRDefault="009C3AC8" w:rsidP="00643366">
            <w:pPr>
              <w:rPr>
                <w:rFonts w:cs="Arial"/>
                <w:b/>
                <w:bCs/>
                <w:color w:val="000000"/>
                <w:lang w:val="de-AT" w:eastAsia="de-AT"/>
              </w:rPr>
            </w:pPr>
            <w:r w:rsidRPr="00643366">
              <w:rPr>
                <w:rFonts w:cs="Arial"/>
                <w:b/>
                <w:bCs/>
                <w:color w:val="000000"/>
                <w:lang w:val="de-AT" w:eastAsia="de-AT"/>
              </w:rPr>
              <w:t>VSB implantation</w:t>
            </w:r>
          </w:p>
        </w:tc>
        <w:tc>
          <w:tcPr>
            <w:tcW w:w="1903" w:type="dxa"/>
            <w:tcBorders>
              <w:top w:val="single" w:sz="4" w:space="0" w:color="auto"/>
              <w:left w:val="single" w:sz="4" w:space="0" w:color="auto"/>
              <w:bottom w:val="nil"/>
              <w:right w:val="nil"/>
            </w:tcBorders>
            <w:shd w:val="clear" w:color="auto" w:fill="auto"/>
            <w:noWrap/>
            <w:vAlign w:val="bottom"/>
            <w:hideMark/>
          </w:tcPr>
          <w:p w14:paraId="0D4BEC17" w14:textId="7B3DEF43" w:rsidR="009C3AC8" w:rsidRPr="00643366" w:rsidRDefault="009C3AC8" w:rsidP="00643366">
            <w:pPr>
              <w:jc w:val="center"/>
              <w:rPr>
                <w:rFonts w:cs="Arial"/>
                <w:color w:val="000000"/>
                <w:lang w:val="de-AT" w:eastAsia="de-AT"/>
              </w:rPr>
            </w:pPr>
            <w:r>
              <w:rPr>
                <w:rFonts w:ascii="Calibri" w:hAnsi="Calibri"/>
                <w:color w:val="000000"/>
              </w:rPr>
              <w:t>24542,75</w:t>
            </w:r>
          </w:p>
        </w:tc>
        <w:tc>
          <w:tcPr>
            <w:tcW w:w="1559" w:type="dxa"/>
            <w:tcBorders>
              <w:top w:val="single" w:sz="4" w:space="0" w:color="auto"/>
              <w:left w:val="single" w:sz="4" w:space="0" w:color="auto"/>
              <w:bottom w:val="nil"/>
              <w:right w:val="nil"/>
            </w:tcBorders>
            <w:shd w:val="clear" w:color="auto" w:fill="auto"/>
            <w:noWrap/>
            <w:vAlign w:val="bottom"/>
            <w:hideMark/>
          </w:tcPr>
          <w:p w14:paraId="34ACDBFD" w14:textId="2B3E189C" w:rsidR="009C3AC8" w:rsidRPr="00643366" w:rsidRDefault="009C3AC8" w:rsidP="00643366">
            <w:pPr>
              <w:jc w:val="center"/>
              <w:rPr>
                <w:rFonts w:cs="Arial"/>
                <w:color w:val="000000"/>
                <w:lang w:val="de-AT" w:eastAsia="de-AT"/>
              </w:rPr>
            </w:pPr>
            <w:r>
              <w:rPr>
                <w:rFonts w:ascii="Calibri" w:hAnsi="Calibri"/>
                <w:color w:val="000000"/>
              </w:rPr>
              <w:t>22073,67</w:t>
            </w:r>
          </w:p>
        </w:tc>
        <w:tc>
          <w:tcPr>
            <w:tcW w:w="1660" w:type="dxa"/>
            <w:tcBorders>
              <w:top w:val="single" w:sz="4" w:space="0" w:color="auto"/>
              <w:left w:val="single" w:sz="4" w:space="0" w:color="auto"/>
              <w:bottom w:val="nil"/>
              <w:right w:val="nil"/>
            </w:tcBorders>
            <w:shd w:val="clear" w:color="auto" w:fill="auto"/>
            <w:noWrap/>
            <w:vAlign w:val="bottom"/>
            <w:hideMark/>
          </w:tcPr>
          <w:p w14:paraId="66804FA3" w14:textId="0A644884" w:rsidR="009C3AC8" w:rsidRPr="00643366" w:rsidRDefault="009C3AC8" w:rsidP="00643366">
            <w:pPr>
              <w:jc w:val="center"/>
              <w:rPr>
                <w:rFonts w:cs="Arial"/>
                <w:color w:val="000000"/>
                <w:lang w:val="de-AT" w:eastAsia="de-AT"/>
              </w:rPr>
            </w:pPr>
            <w:r>
              <w:rPr>
                <w:rFonts w:ascii="Calibri" w:hAnsi="Calibri"/>
                <w:color w:val="000000"/>
              </w:rPr>
              <w:t>10,26</w:t>
            </w:r>
          </w:p>
        </w:tc>
        <w:tc>
          <w:tcPr>
            <w:tcW w:w="1535" w:type="dxa"/>
            <w:tcBorders>
              <w:top w:val="single" w:sz="4" w:space="0" w:color="auto"/>
              <w:left w:val="single" w:sz="4" w:space="0" w:color="auto"/>
              <w:bottom w:val="nil"/>
              <w:right w:val="single" w:sz="8" w:space="0" w:color="auto"/>
            </w:tcBorders>
            <w:shd w:val="clear" w:color="auto" w:fill="auto"/>
            <w:noWrap/>
            <w:vAlign w:val="bottom"/>
            <w:hideMark/>
          </w:tcPr>
          <w:p w14:paraId="637C16C9" w14:textId="33FC0E85" w:rsidR="009C3AC8" w:rsidRPr="00643366" w:rsidRDefault="009C3AC8" w:rsidP="00643366">
            <w:pPr>
              <w:jc w:val="center"/>
              <w:rPr>
                <w:rFonts w:cs="Arial"/>
                <w:color w:val="000000"/>
                <w:lang w:val="de-AT" w:eastAsia="de-AT"/>
              </w:rPr>
            </w:pPr>
            <w:r>
              <w:rPr>
                <w:rFonts w:ascii="Calibri" w:hAnsi="Calibri"/>
                <w:color w:val="000000"/>
              </w:rPr>
              <w:t>1,36</w:t>
            </w:r>
          </w:p>
        </w:tc>
      </w:tr>
      <w:tr w:rsidR="009C3AC8" w:rsidRPr="00643366" w14:paraId="383D0227" w14:textId="77777777" w:rsidTr="009C3AC8">
        <w:trPr>
          <w:trHeight w:val="300"/>
        </w:trPr>
        <w:tc>
          <w:tcPr>
            <w:tcW w:w="1940" w:type="dxa"/>
            <w:vMerge/>
            <w:tcBorders>
              <w:top w:val="nil"/>
              <w:left w:val="single" w:sz="8" w:space="0" w:color="auto"/>
              <w:bottom w:val="single" w:sz="8" w:space="0" w:color="000000"/>
              <w:right w:val="nil"/>
            </w:tcBorders>
            <w:vAlign w:val="center"/>
            <w:hideMark/>
          </w:tcPr>
          <w:p w14:paraId="02B748E0" w14:textId="77777777" w:rsidR="009C3AC8" w:rsidRPr="00643366" w:rsidRDefault="009C3AC8" w:rsidP="00643366">
            <w:pPr>
              <w:rPr>
                <w:rFonts w:cs="Arial"/>
                <w:b/>
                <w:bCs/>
                <w:color w:val="000000"/>
                <w:lang w:val="de-AT" w:eastAsia="de-AT"/>
              </w:rPr>
            </w:pPr>
          </w:p>
        </w:tc>
        <w:tc>
          <w:tcPr>
            <w:tcW w:w="1903" w:type="dxa"/>
            <w:tcBorders>
              <w:top w:val="nil"/>
              <w:left w:val="single" w:sz="4" w:space="0" w:color="auto"/>
              <w:bottom w:val="single" w:sz="8" w:space="0" w:color="auto"/>
              <w:right w:val="nil"/>
            </w:tcBorders>
            <w:shd w:val="clear" w:color="auto" w:fill="auto"/>
            <w:noWrap/>
            <w:vAlign w:val="bottom"/>
            <w:hideMark/>
          </w:tcPr>
          <w:p w14:paraId="4C736894" w14:textId="2AB7EF6C" w:rsidR="009C3AC8" w:rsidRPr="00643366" w:rsidRDefault="009C3AC8" w:rsidP="00643366">
            <w:pPr>
              <w:jc w:val="center"/>
              <w:rPr>
                <w:rFonts w:cs="Arial"/>
                <w:color w:val="000000"/>
                <w:lang w:val="de-AT" w:eastAsia="de-AT"/>
              </w:rPr>
            </w:pPr>
            <w:r>
              <w:rPr>
                <w:rFonts w:ascii="Calibri" w:hAnsi="Calibri"/>
                <w:color w:val="000000"/>
              </w:rPr>
              <w:t>(21545,92 to 28010,05)</w:t>
            </w:r>
          </w:p>
        </w:tc>
        <w:tc>
          <w:tcPr>
            <w:tcW w:w="1559" w:type="dxa"/>
            <w:tcBorders>
              <w:top w:val="nil"/>
              <w:left w:val="single" w:sz="4" w:space="0" w:color="auto"/>
              <w:bottom w:val="single" w:sz="8" w:space="0" w:color="auto"/>
              <w:right w:val="nil"/>
            </w:tcBorders>
            <w:shd w:val="clear" w:color="auto" w:fill="auto"/>
            <w:noWrap/>
            <w:vAlign w:val="bottom"/>
            <w:hideMark/>
          </w:tcPr>
          <w:p w14:paraId="027FE03F" w14:textId="6A70BAD7" w:rsidR="009C3AC8" w:rsidRPr="00643366" w:rsidRDefault="009C3AC8" w:rsidP="00643366">
            <w:pPr>
              <w:jc w:val="center"/>
              <w:rPr>
                <w:rFonts w:cs="Arial"/>
                <w:color w:val="000000"/>
                <w:lang w:val="de-AT" w:eastAsia="de-AT"/>
              </w:rPr>
            </w:pPr>
            <w:r>
              <w:rPr>
                <w:rFonts w:ascii="Calibri" w:hAnsi="Calibri"/>
                <w:color w:val="000000"/>
              </w:rPr>
              <w:t>(21881,48 to 22265,86)</w:t>
            </w:r>
          </w:p>
        </w:tc>
        <w:tc>
          <w:tcPr>
            <w:tcW w:w="1660" w:type="dxa"/>
            <w:tcBorders>
              <w:top w:val="nil"/>
              <w:left w:val="single" w:sz="4" w:space="0" w:color="auto"/>
              <w:bottom w:val="single" w:sz="8" w:space="0" w:color="auto"/>
              <w:right w:val="nil"/>
            </w:tcBorders>
            <w:shd w:val="clear" w:color="auto" w:fill="auto"/>
            <w:noWrap/>
            <w:vAlign w:val="bottom"/>
            <w:hideMark/>
          </w:tcPr>
          <w:p w14:paraId="7ECA7945" w14:textId="3FFDE927" w:rsidR="009C3AC8" w:rsidRPr="00643366" w:rsidRDefault="009C3AC8" w:rsidP="00643366">
            <w:pPr>
              <w:jc w:val="center"/>
              <w:rPr>
                <w:rFonts w:cs="Arial"/>
                <w:color w:val="000000"/>
                <w:lang w:val="de-AT" w:eastAsia="de-AT"/>
              </w:rPr>
            </w:pPr>
            <w:r>
              <w:rPr>
                <w:rFonts w:ascii="Calibri" w:hAnsi="Calibri"/>
                <w:color w:val="000000"/>
              </w:rPr>
              <w:t>(6,64 to 13,77)</w:t>
            </w:r>
          </w:p>
        </w:tc>
        <w:tc>
          <w:tcPr>
            <w:tcW w:w="1535" w:type="dxa"/>
            <w:tcBorders>
              <w:top w:val="nil"/>
              <w:left w:val="single" w:sz="4" w:space="0" w:color="auto"/>
              <w:bottom w:val="single" w:sz="8" w:space="0" w:color="auto"/>
              <w:right w:val="single" w:sz="8" w:space="0" w:color="auto"/>
            </w:tcBorders>
            <w:shd w:val="clear" w:color="auto" w:fill="auto"/>
            <w:noWrap/>
            <w:vAlign w:val="bottom"/>
            <w:hideMark/>
          </w:tcPr>
          <w:p w14:paraId="389B489A" w14:textId="3F156DE3" w:rsidR="009C3AC8" w:rsidRPr="00643366" w:rsidRDefault="009C3AC8" w:rsidP="00643366">
            <w:pPr>
              <w:jc w:val="center"/>
              <w:rPr>
                <w:rFonts w:cs="Arial"/>
                <w:color w:val="000000"/>
                <w:lang w:val="de-AT" w:eastAsia="de-AT"/>
              </w:rPr>
            </w:pPr>
            <w:r>
              <w:rPr>
                <w:rFonts w:ascii="Calibri" w:hAnsi="Calibri"/>
                <w:color w:val="000000"/>
              </w:rPr>
              <w:t>(1,19 to 1,52)</w:t>
            </w:r>
          </w:p>
        </w:tc>
      </w:tr>
    </w:tbl>
    <w:p w14:paraId="17887394" w14:textId="77777777" w:rsidR="00B22312" w:rsidRPr="00643366" w:rsidRDefault="00B22312" w:rsidP="00B22312">
      <w:pPr>
        <w:spacing w:line="360" w:lineRule="auto"/>
        <w:jc w:val="both"/>
        <w:rPr>
          <w:rFonts w:cs="Arial"/>
          <w:b/>
          <w:szCs w:val="20"/>
          <w:lang w:val="en-GB"/>
        </w:rPr>
      </w:pPr>
    </w:p>
    <w:p w14:paraId="7C7B7830" w14:textId="25D71BB5" w:rsidR="009C3AC8" w:rsidRPr="00C15D7A" w:rsidRDefault="009C3AC8" w:rsidP="009C3AC8">
      <w:pPr>
        <w:spacing w:line="360" w:lineRule="auto"/>
        <w:jc w:val="both"/>
        <w:rPr>
          <w:rFonts w:cs="Arial"/>
          <w:bCs/>
          <w:lang w:val="x-none"/>
        </w:rPr>
      </w:pPr>
      <w:bookmarkStart w:id="583" w:name="_Ref431643798"/>
      <w:r w:rsidRPr="00C15D7A">
        <w:rPr>
          <w:rFonts w:cs="Arial"/>
          <w:bCs/>
          <w:lang w:val="x-none"/>
        </w:rPr>
        <w:t>A second PSA was carried out for comparing the two partially implantable middle ear implants. The variables sampled probabilistically included the total costs of VSB and MAXUM provision, the probabilities of revision surgery and voluntary non-use for each implant, the probability of reimplantation, the effectiveness variables for each implant system and the unaided situation. The parameterisation of these variables</w:t>
      </w:r>
      <w:r w:rsidR="007551D4">
        <w:rPr>
          <w:rFonts w:cs="Arial"/>
          <w:bCs/>
          <w:lang w:val="x-none"/>
        </w:rPr>
        <w:t xml:space="preserve"> is also described in Appendix </w:t>
      </w:r>
      <w:r w:rsidR="007551D4">
        <w:rPr>
          <w:rFonts w:cs="Arial"/>
          <w:bCs/>
          <w:lang w:val="en-GB"/>
        </w:rPr>
        <w:t>E</w:t>
      </w:r>
      <w:r w:rsidRPr="00C15D7A">
        <w:rPr>
          <w:rFonts w:cs="Arial"/>
          <w:bCs/>
          <w:lang w:val="x-none"/>
        </w:rPr>
        <w:t>. For the purpose of being able to repeat the outcomes, random number seeding was used with an initial seed set to 1.</w:t>
      </w:r>
    </w:p>
    <w:p w14:paraId="27BED149" w14:textId="4C59CE31" w:rsidR="009C3AC8" w:rsidRPr="00C15D7A" w:rsidRDefault="009C3AC8" w:rsidP="009C3AC8">
      <w:pPr>
        <w:spacing w:line="360" w:lineRule="auto"/>
        <w:jc w:val="both"/>
        <w:rPr>
          <w:rFonts w:cs="Arial"/>
          <w:bCs/>
          <w:lang w:val="en-GB"/>
        </w:rPr>
      </w:pPr>
      <w:r w:rsidRPr="009C3AC8">
        <w:rPr>
          <w:rFonts w:cs="Arial"/>
          <w:bCs/>
          <w:lang w:val="x-none"/>
        </w:rPr>
        <w:fldChar w:fldCharType="begin"/>
      </w:r>
      <w:r w:rsidRPr="009C3AC8">
        <w:rPr>
          <w:rFonts w:cs="Arial"/>
          <w:bCs/>
          <w:lang w:val="x-none"/>
        </w:rPr>
        <w:instrText xml:space="preserve"> REF _Ref431654250 \h  \* MERGEFORMAT </w:instrText>
      </w:r>
      <w:r w:rsidRPr="009C3AC8">
        <w:rPr>
          <w:rFonts w:cs="Arial"/>
          <w:bCs/>
          <w:lang w:val="x-none"/>
        </w:rPr>
      </w:r>
      <w:r w:rsidRPr="009C3AC8">
        <w:rPr>
          <w:rFonts w:cs="Arial"/>
          <w:bCs/>
          <w:lang w:val="x-none"/>
        </w:rPr>
        <w:fldChar w:fldCharType="separate"/>
      </w:r>
      <w:r w:rsidRPr="009C3AC8">
        <w:rPr>
          <w:rFonts w:cs="Arial"/>
          <w:bCs/>
          <w:lang w:val="en-US"/>
        </w:rPr>
        <w:t xml:space="preserve">Table </w:t>
      </w:r>
      <w:r w:rsidRPr="009C3AC8">
        <w:rPr>
          <w:rFonts w:cs="Arial"/>
          <w:bCs/>
          <w:noProof/>
          <w:lang w:val="en-US"/>
        </w:rPr>
        <w:t>54</w:t>
      </w:r>
      <w:r w:rsidRPr="009C3AC8">
        <w:rPr>
          <w:rFonts w:cs="Arial"/>
          <w:bCs/>
          <w:lang w:val="x-none"/>
        </w:rPr>
        <w:fldChar w:fldCharType="end"/>
      </w:r>
      <w:r>
        <w:rPr>
          <w:rFonts w:cs="Arial"/>
          <w:bCs/>
          <w:lang w:val="en-GB"/>
        </w:rPr>
        <w:t xml:space="preserve"> </w:t>
      </w:r>
      <w:r w:rsidRPr="00C15D7A">
        <w:rPr>
          <w:rFonts w:cs="Arial"/>
          <w:bCs/>
          <w:lang w:val="x-none"/>
        </w:rPr>
        <w:t>provides the outcomes for each middle ear implant system. The cost and effectiveness results are found similar to those reported for the base-case analysis (see</w:t>
      </w:r>
      <w:r>
        <w:rPr>
          <w:rFonts w:cs="Arial"/>
          <w:bCs/>
          <w:lang w:val="en-GB"/>
        </w:rPr>
        <w:t xml:space="preserve"> </w:t>
      </w:r>
      <w:r w:rsidRPr="009C3AC8">
        <w:rPr>
          <w:rFonts w:cs="Arial"/>
          <w:bCs/>
          <w:lang w:val="x-none"/>
        </w:rPr>
        <w:fldChar w:fldCharType="begin"/>
      </w:r>
      <w:r w:rsidRPr="009C3AC8">
        <w:rPr>
          <w:rFonts w:cs="Arial"/>
          <w:bCs/>
          <w:lang w:val="x-none"/>
        </w:rPr>
        <w:instrText xml:space="preserve"> REF _Ref430967308 \h  \* MERGEFORMAT </w:instrText>
      </w:r>
      <w:r w:rsidRPr="009C3AC8">
        <w:rPr>
          <w:rFonts w:cs="Arial"/>
          <w:bCs/>
          <w:lang w:val="x-none"/>
        </w:rPr>
      </w:r>
      <w:r w:rsidRPr="009C3AC8">
        <w:rPr>
          <w:rFonts w:cs="Arial"/>
          <w:bCs/>
          <w:lang w:val="x-none"/>
        </w:rPr>
        <w:fldChar w:fldCharType="separate"/>
      </w:r>
      <w:r w:rsidRPr="009C3AC8">
        <w:rPr>
          <w:rFonts w:cs="Arial"/>
          <w:bCs/>
        </w:rPr>
        <w:t xml:space="preserve">Table </w:t>
      </w:r>
      <w:r w:rsidRPr="009C3AC8">
        <w:rPr>
          <w:rFonts w:cs="Arial"/>
          <w:bCs/>
          <w:noProof/>
        </w:rPr>
        <w:t>48</w:t>
      </w:r>
      <w:r w:rsidRPr="009C3AC8">
        <w:rPr>
          <w:rFonts w:cs="Arial"/>
          <w:bCs/>
          <w:lang w:val="x-none"/>
        </w:rPr>
        <w:fldChar w:fldCharType="end"/>
      </w:r>
      <w:r w:rsidRPr="009C3AC8">
        <w:rPr>
          <w:rFonts w:cs="Arial"/>
          <w:bCs/>
          <w:lang w:val="x-none"/>
        </w:rPr>
        <w:t>)</w:t>
      </w:r>
      <w:r w:rsidRPr="009C3AC8">
        <w:rPr>
          <w:rFonts w:cs="Arial"/>
          <w:bCs/>
          <w:sz w:val="24"/>
          <w:lang w:val="x-none"/>
        </w:rPr>
        <w:t xml:space="preserve"> </w:t>
      </w:r>
      <w:r w:rsidRPr="00C15D7A">
        <w:rPr>
          <w:rFonts w:cs="Arial"/>
          <w:bCs/>
          <w:lang w:val="x-none"/>
        </w:rPr>
        <w:t xml:space="preserve">Providing the Vibrant Soundbridge is associated with increased </w:t>
      </w:r>
      <w:r w:rsidR="007551D4">
        <w:rPr>
          <w:rFonts w:cs="Arial"/>
          <w:bCs/>
          <w:lang w:val="x-none"/>
        </w:rPr>
        <w:t>effectiveness ranging from 1</w:t>
      </w:r>
      <w:r w:rsidR="007551D4">
        <w:rPr>
          <w:rFonts w:cs="Arial"/>
          <w:bCs/>
          <w:lang w:val="en-GB"/>
        </w:rPr>
        <w:t>76</w:t>
      </w:r>
      <w:r w:rsidR="007551D4">
        <w:rPr>
          <w:rFonts w:cs="Arial"/>
          <w:bCs/>
          <w:lang w:val="x-none"/>
        </w:rPr>
        <w:t xml:space="preserve"> to 2</w:t>
      </w:r>
      <w:r w:rsidR="007551D4">
        <w:rPr>
          <w:rFonts w:cs="Arial"/>
          <w:bCs/>
          <w:lang w:val="en-GB"/>
        </w:rPr>
        <w:t>11.9</w:t>
      </w:r>
      <w:r w:rsidRPr="00C15D7A">
        <w:rPr>
          <w:rFonts w:cs="Arial"/>
          <w:bCs/>
          <w:lang w:val="x-none"/>
        </w:rPr>
        <w:t xml:space="preserve"> but also increased costs ranging from AUD </w:t>
      </w:r>
      <w:r w:rsidR="007551D4">
        <w:rPr>
          <w:rFonts w:cs="Arial"/>
          <w:bCs/>
          <w:lang w:val="en-GB"/>
        </w:rPr>
        <w:t>10,505.87</w:t>
      </w:r>
      <w:r w:rsidRPr="00C15D7A">
        <w:rPr>
          <w:rFonts w:cs="Arial"/>
          <w:bCs/>
          <w:lang w:val="x-none"/>
        </w:rPr>
        <w:t xml:space="preserve"> to AUD </w:t>
      </w:r>
      <w:r w:rsidR="007551D4">
        <w:rPr>
          <w:rFonts w:cs="Arial"/>
          <w:bCs/>
          <w:lang w:val="en-GB"/>
        </w:rPr>
        <w:t>10,745.28</w:t>
      </w:r>
      <w:r w:rsidRPr="00C15D7A">
        <w:rPr>
          <w:rFonts w:cs="Arial"/>
          <w:bCs/>
          <w:lang w:val="x-none"/>
        </w:rPr>
        <w:t>, when compared to receiving the MAXUM. The comparison of the outcomes for the different MEI are visualized in figure 14.</w:t>
      </w:r>
    </w:p>
    <w:p w14:paraId="68C6AD56" w14:textId="77777777" w:rsidR="00D76DA5" w:rsidRPr="00D76DA5" w:rsidRDefault="00D76DA5" w:rsidP="00B22312">
      <w:pPr>
        <w:spacing w:line="360" w:lineRule="auto"/>
        <w:jc w:val="both"/>
        <w:rPr>
          <w:rFonts w:cs="Arial"/>
          <w:b/>
          <w:bCs/>
          <w:sz w:val="20"/>
          <w:szCs w:val="20"/>
          <w:lang w:val="en-GB"/>
        </w:rPr>
      </w:pPr>
    </w:p>
    <w:p w14:paraId="28F49B67" w14:textId="34068C5E" w:rsidR="00D76DA5" w:rsidRDefault="009C3AC8" w:rsidP="00400BEC">
      <w:pPr>
        <w:spacing w:line="360" w:lineRule="auto"/>
        <w:jc w:val="center"/>
        <w:rPr>
          <w:rFonts w:cs="Arial"/>
          <w:b/>
          <w:bCs/>
          <w:sz w:val="20"/>
          <w:szCs w:val="20"/>
          <w:lang w:val="fr-FR"/>
        </w:rPr>
      </w:pPr>
      <w:r>
        <w:rPr>
          <w:rFonts w:cs="Arial"/>
          <w:b/>
          <w:bCs/>
          <w:noProof/>
          <w:sz w:val="20"/>
          <w:szCs w:val="20"/>
        </w:rPr>
        <w:drawing>
          <wp:inline distT="0" distB="0" distL="0" distR="0" wp14:anchorId="774CDA86" wp14:editId="6B59CB69">
            <wp:extent cx="3358835" cy="2520000"/>
            <wp:effectExtent l="0" t="0" r="0" b="0"/>
            <wp:docPr id="8" name="Picture 8" descr="Cost-effectiveness scatterplot of the Vibrant Soundbridge against the MAX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Vibrant\HTA\Countries\Australia\Authority\MSAC\1365_SNHL\Economical modelling\Analysis\CE Scatterplot VSB vs MXM.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358835" cy="2520000"/>
                    </a:xfrm>
                    <a:prstGeom prst="rect">
                      <a:avLst/>
                    </a:prstGeom>
                    <a:noFill/>
                    <a:ln>
                      <a:noFill/>
                    </a:ln>
                  </pic:spPr>
                </pic:pic>
              </a:graphicData>
            </a:graphic>
          </wp:inline>
        </w:drawing>
      </w:r>
    </w:p>
    <w:p w14:paraId="4AFA8C1E" w14:textId="77777777" w:rsidR="00400BEC" w:rsidRPr="00C15D7A" w:rsidRDefault="00400BEC" w:rsidP="00C15D7A">
      <w:pPr>
        <w:pStyle w:val="Caption"/>
        <w:rPr>
          <w:rFonts w:ascii="Arial" w:eastAsiaTheme="minorHAnsi" w:hAnsi="Arial" w:cs="Arial"/>
          <w:u w:val="single"/>
        </w:rPr>
      </w:pPr>
      <w:r w:rsidRPr="00C15D7A">
        <w:rPr>
          <w:rFonts w:ascii="Arial" w:hAnsi="Arial" w:cs="Arial"/>
          <w:u w:val="single"/>
        </w:rPr>
        <w:t>Fig 14</w:t>
      </w:r>
      <w:r w:rsidRPr="00C15D7A">
        <w:rPr>
          <w:rFonts w:ascii="Arial" w:eastAsiaTheme="minorHAnsi" w:hAnsi="Arial" w:cs="Arial"/>
          <w:u w:val="single"/>
        </w:rPr>
        <w:t xml:space="preserve"> – Cost-effectiveness scatterplot of the Vibrant Soundbridge against the MAXUM</w:t>
      </w:r>
    </w:p>
    <w:p w14:paraId="08DE429A" w14:textId="77777777" w:rsidR="00D76DA5" w:rsidRPr="00400BEC" w:rsidRDefault="00D76DA5" w:rsidP="00B22312">
      <w:pPr>
        <w:spacing w:line="360" w:lineRule="auto"/>
        <w:jc w:val="both"/>
        <w:rPr>
          <w:rFonts w:cs="Arial"/>
          <w:b/>
          <w:bCs/>
          <w:sz w:val="20"/>
          <w:szCs w:val="20"/>
          <w:lang w:val="x-none"/>
        </w:rPr>
      </w:pPr>
    </w:p>
    <w:p w14:paraId="36F9B463" w14:textId="77777777" w:rsidR="009C3AC8" w:rsidRDefault="009C3AC8" w:rsidP="00B22312">
      <w:pPr>
        <w:spacing w:line="360" w:lineRule="auto"/>
        <w:jc w:val="both"/>
        <w:rPr>
          <w:rFonts w:cs="Arial"/>
          <w:b/>
          <w:bCs/>
          <w:sz w:val="20"/>
          <w:szCs w:val="20"/>
          <w:lang w:val="en-US"/>
        </w:rPr>
      </w:pPr>
      <w:bookmarkStart w:id="584" w:name="_Ref431654250"/>
      <w:bookmarkStart w:id="585" w:name="_Toc431917514"/>
    </w:p>
    <w:p w14:paraId="51ADD068" w14:textId="77777777" w:rsidR="00B22312" w:rsidRPr="005079EC" w:rsidRDefault="00B22312" w:rsidP="00B22312">
      <w:pPr>
        <w:spacing w:line="360" w:lineRule="auto"/>
        <w:jc w:val="both"/>
        <w:rPr>
          <w:rFonts w:cs="Arial"/>
          <w:b/>
          <w:sz w:val="20"/>
          <w:szCs w:val="20"/>
          <w:lang w:val="en-US"/>
        </w:rPr>
      </w:pPr>
      <w:r w:rsidRPr="005079EC">
        <w:rPr>
          <w:rFonts w:cs="Arial"/>
          <w:b/>
          <w:bCs/>
          <w:sz w:val="20"/>
          <w:szCs w:val="20"/>
          <w:lang w:val="en-US"/>
        </w:rPr>
        <w:lastRenderedPageBreak/>
        <w:t xml:space="preserve">Table </w:t>
      </w:r>
      <w:r w:rsidRPr="001E0579">
        <w:rPr>
          <w:rFonts w:cs="Arial"/>
          <w:b/>
          <w:bCs/>
          <w:sz w:val="20"/>
          <w:szCs w:val="20"/>
        </w:rPr>
        <w:fldChar w:fldCharType="begin"/>
      </w:r>
      <w:r w:rsidRPr="005079EC">
        <w:rPr>
          <w:rFonts w:cs="Arial"/>
          <w:b/>
          <w:bCs/>
          <w:sz w:val="20"/>
          <w:szCs w:val="20"/>
          <w:lang w:val="en-US"/>
        </w:rPr>
        <w:instrText xml:space="preserve"> SEQ Table \* ARABIC </w:instrText>
      </w:r>
      <w:r w:rsidRPr="001E0579">
        <w:rPr>
          <w:rFonts w:cs="Arial"/>
          <w:b/>
          <w:bCs/>
          <w:sz w:val="20"/>
          <w:szCs w:val="20"/>
        </w:rPr>
        <w:fldChar w:fldCharType="separate"/>
      </w:r>
      <w:r w:rsidR="00016592">
        <w:rPr>
          <w:rFonts w:cs="Arial"/>
          <w:b/>
          <w:bCs/>
          <w:noProof/>
          <w:sz w:val="20"/>
          <w:szCs w:val="20"/>
          <w:lang w:val="en-US"/>
        </w:rPr>
        <w:t>54</w:t>
      </w:r>
      <w:r w:rsidRPr="001E0579">
        <w:rPr>
          <w:rFonts w:cs="Arial"/>
          <w:b/>
          <w:bCs/>
          <w:sz w:val="20"/>
          <w:szCs w:val="20"/>
        </w:rPr>
        <w:fldChar w:fldCharType="end"/>
      </w:r>
      <w:bookmarkEnd w:id="583"/>
      <w:bookmarkEnd w:id="584"/>
      <w:r w:rsidRPr="005079EC">
        <w:rPr>
          <w:rFonts w:cs="Arial"/>
          <w:b/>
          <w:bCs/>
          <w:sz w:val="20"/>
          <w:szCs w:val="20"/>
          <w:lang w:val="en-US"/>
        </w:rPr>
        <w:t xml:space="preserve"> –</w:t>
      </w:r>
      <w:r w:rsidR="00643366" w:rsidRPr="005079EC">
        <w:rPr>
          <w:rFonts w:cs="Arial"/>
          <w:b/>
          <w:sz w:val="20"/>
          <w:szCs w:val="20"/>
          <w:lang w:val="en-US"/>
        </w:rPr>
        <w:t xml:space="preserve"> Probabilistic sensitivity analysis for comparing different partially implantable middle ear implants</w:t>
      </w:r>
      <w:bookmarkEnd w:id="585"/>
    </w:p>
    <w:tbl>
      <w:tblPr>
        <w:tblW w:w="8597" w:type="dxa"/>
        <w:jc w:val="center"/>
        <w:tblCellMar>
          <w:left w:w="70" w:type="dxa"/>
          <w:right w:w="70" w:type="dxa"/>
        </w:tblCellMar>
        <w:tblLook w:val="04A0" w:firstRow="1" w:lastRow="0" w:firstColumn="1" w:lastColumn="0" w:noHBand="0" w:noVBand="1"/>
        <w:tblDescription w:val="Probabilistic sensitivity analysis for comparing different partially implantable middle ear implants"/>
      </w:tblPr>
      <w:tblGrid>
        <w:gridCol w:w="1940"/>
        <w:gridCol w:w="1903"/>
        <w:gridCol w:w="1559"/>
        <w:gridCol w:w="1660"/>
        <w:gridCol w:w="1535"/>
      </w:tblGrid>
      <w:tr w:rsidR="00643366" w:rsidRPr="00643366" w14:paraId="0844CAB0" w14:textId="77777777" w:rsidTr="009C3AC8">
        <w:trPr>
          <w:trHeight w:val="580"/>
          <w:jc w:val="center"/>
        </w:trPr>
        <w:tc>
          <w:tcPr>
            <w:tcW w:w="194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421040B" w14:textId="1DFC078A" w:rsidR="00643366" w:rsidRPr="00643366" w:rsidRDefault="009A448B" w:rsidP="00643366">
            <w:pPr>
              <w:rPr>
                <w:rFonts w:cs="Arial"/>
                <w:b/>
                <w:bCs/>
                <w:color w:val="000000"/>
                <w:lang w:val="de-AT" w:eastAsia="de-AT"/>
              </w:rPr>
            </w:pPr>
            <w:r>
              <w:rPr>
                <w:rFonts w:cs="Arial"/>
                <w:b/>
                <w:bCs/>
                <w:color w:val="000000"/>
                <w:lang w:val="de-AT" w:eastAsia="de-AT"/>
              </w:rPr>
              <w:t>Stra</w:t>
            </w:r>
            <w:r w:rsidR="00643366" w:rsidRPr="00643366">
              <w:rPr>
                <w:rFonts w:cs="Arial"/>
                <w:b/>
                <w:bCs/>
                <w:color w:val="000000"/>
                <w:lang w:val="de-AT" w:eastAsia="de-AT"/>
              </w:rPr>
              <w:t>tegy</w:t>
            </w:r>
          </w:p>
        </w:tc>
        <w:tc>
          <w:tcPr>
            <w:tcW w:w="1903" w:type="dxa"/>
            <w:tcBorders>
              <w:top w:val="single" w:sz="8" w:space="0" w:color="auto"/>
              <w:left w:val="nil"/>
              <w:bottom w:val="nil"/>
              <w:right w:val="single" w:sz="4" w:space="0" w:color="auto"/>
            </w:tcBorders>
            <w:shd w:val="clear" w:color="auto" w:fill="auto"/>
            <w:noWrap/>
            <w:vAlign w:val="center"/>
            <w:hideMark/>
          </w:tcPr>
          <w:p w14:paraId="51A4E0CD" w14:textId="77777777" w:rsidR="00643366" w:rsidRPr="00643366" w:rsidRDefault="00643366" w:rsidP="00643366">
            <w:pPr>
              <w:jc w:val="center"/>
              <w:rPr>
                <w:rFonts w:cs="Arial"/>
                <w:b/>
                <w:bCs/>
                <w:color w:val="000000"/>
                <w:lang w:val="de-AT" w:eastAsia="de-AT"/>
              </w:rPr>
            </w:pPr>
            <w:r w:rsidRPr="00643366">
              <w:rPr>
                <w:rFonts w:cs="Arial"/>
                <w:b/>
                <w:bCs/>
                <w:color w:val="000000"/>
                <w:lang w:val="de-AT" w:eastAsia="de-AT"/>
              </w:rPr>
              <w:t>Cost (95%CI)</w:t>
            </w:r>
          </w:p>
        </w:tc>
        <w:tc>
          <w:tcPr>
            <w:tcW w:w="1559" w:type="dxa"/>
            <w:tcBorders>
              <w:top w:val="single" w:sz="8" w:space="0" w:color="auto"/>
              <w:left w:val="nil"/>
              <w:bottom w:val="nil"/>
              <w:right w:val="single" w:sz="4" w:space="0" w:color="auto"/>
            </w:tcBorders>
            <w:shd w:val="clear" w:color="auto" w:fill="auto"/>
            <w:noWrap/>
            <w:vAlign w:val="center"/>
            <w:hideMark/>
          </w:tcPr>
          <w:p w14:paraId="3D510B43" w14:textId="77777777" w:rsidR="00643366" w:rsidRPr="00643366" w:rsidRDefault="00643366" w:rsidP="00643366">
            <w:pPr>
              <w:jc w:val="center"/>
              <w:rPr>
                <w:rFonts w:cs="Arial"/>
                <w:b/>
                <w:bCs/>
                <w:color w:val="000000"/>
                <w:lang w:val="de-AT" w:eastAsia="de-AT"/>
              </w:rPr>
            </w:pPr>
            <w:r w:rsidRPr="00643366">
              <w:rPr>
                <w:rFonts w:cs="Arial"/>
                <w:b/>
                <w:bCs/>
                <w:color w:val="000000"/>
                <w:lang w:val="de-AT" w:eastAsia="de-AT"/>
              </w:rPr>
              <w:t>Incremental cost</w:t>
            </w:r>
          </w:p>
        </w:tc>
        <w:tc>
          <w:tcPr>
            <w:tcW w:w="1660" w:type="dxa"/>
            <w:tcBorders>
              <w:top w:val="single" w:sz="8" w:space="0" w:color="auto"/>
              <w:left w:val="nil"/>
              <w:bottom w:val="nil"/>
              <w:right w:val="single" w:sz="4" w:space="0" w:color="auto"/>
            </w:tcBorders>
            <w:shd w:val="clear" w:color="auto" w:fill="auto"/>
            <w:noWrap/>
            <w:vAlign w:val="center"/>
            <w:hideMark/>
          </w:tcPr>
          <w:p w14:paraId="6929EDAB" w14:textId="77777777" w:rsidR="00643366" w:rsidRPr="00643366" w:rsidRDefault="00643366" w:rsidP="00643366">
            <w:pPr>
              <w:jc w:val="center"/>
              <w:rPr>
                <w:rFonts w:cs="Arial"/>
                <w:b/>
                <w:bCs/>
                <w:color w:val="000000"/>
                <w:lang w:val="de-AT" w:eastAsia="de-AT"/>
              </w:rPr>
            </w:pPr>
            <w:r w:rsidRPr="00643366">
              <w:rPr>
                <w:rFonts w:cs="Arial"/>
                <w:b/>
                <w:bCs/>
                <w:color w:val="000000"/>
                <w:lang w:val="de-AT" w:eastAsia="de-AT"/>
              </w:rPr>
              <w:t>Effectiveness</w:t>
            </w:r>
          </w:p>
        </w:tc>
        <w:tc>
          <w:tcPr>
            <w:tcW w:w="1535" w:type="dxa"/>
            <w:tcBorders>
              <w:top w:val="single" w:sz="8" w:space="0" w:color="auto"/>
              <w:left w:val="nil"/>
              <w:bottom w:val="nil"/>
              <w:right w:val="single" w:sz="8" w:space="0" w:color="auto"/>
            </w:tcBorders>
            <w:shd w:val="clear" w:color="auto" w:fill="auto"/>
            <w:vAlign w:val="center"/>
            <w:hideMark/>
          </w:tcPr>
          <w:p w14:paraId="088F9B48" w14:textId="77777777" w:rsidR="00643366" w:rsidRPr="00643366" w:rsidRDefault="00643366" w:rsidP="00643366">
            <w:pPr>
              <w:jc w:val="center"/>
              <w:rPr>
                <w:rFonts w:cs="Arial"/>
                <w:b/>
                <w:bCs/>
                <w:color w:val="000000"/>
                <w:lang w:val="de-AT" w:eastAsia="de-AT"/>
              </w:rPr>
            </w:pPr>
            <w:r w:rsidRPr="00643366">
              <w:rPr>
                <w:rFonts w:cs="Arial"/>
                <w:b/>
                <w:bCs/>
                <w:color w:val="000000"/>
                <w:lang w:val="de-AT" w:eastAsia="de-AT"/>
              </w:rPr>
              <w:t>Incremental effectiveness</w:t>
            </w:r>
          </w:p>
        </w:tc>
      </w:tr>
      <w:tr w:rsidR="009C3AC8" w:rsidRPr="00643366" w14:paraId="48DD200D" w14:textId="77777777" w:rsidTr="009C3AC8">
        <w:trPr>
          <w:trHeight w:val="290"/>
          <w:jc w:val="center"/>
        </w:trPr>
        <w:tc>
          <w:tcPr>
            <w:tcW w:w="1940" w:type="dxa"/>
            <w:vMerge w:val="restart"/>
            <w:tcBorders>
              <w:top w:val="nil"/>
              <w:left w:val="single" w:sz="8" w:space="0" w:color="auto"/>
              <w:bottom w:val="single" w:sz="4" w:space="0" w:color="000000"/>
              <w:right w:val="nil"/>
            </w:tcBorders>
            <w:shd w:val="clear" w:color="auto" w:fill="auto"/>
            <w:hideMark/>
          </w:tcPr>
          <w:p w14:paraId="522077E3" w14:textId="77777777" w:rsidR="009C3AC8" w:rsidRPr="00643366" w:rsidRDefault="009C3AC8" w:rsidP="00643366">
            <w:pPr>
              <w:rPr>
                <w:rFonts w:cs="Arial"/>
                <w:b/>
                <w:bCs/>
                <w:color w:val="000000"/>
                <w:lang w:val="de-AT" w:eastAsia="de-AT"/>
              </w:rPr>
            </w:pPr>
            <w:r w:rsidRPr="00643366">
              <w:rPr>
                <w:rFonts w:cs="Arial"/>
                <w:b/>
                <w:bCs/>
                <w:color w:val="000000"/>
                <w:lang w:val="de-AT" w:eastAsia="de-AT"/>
              </w:rPr>
              <w:t>MAXUM implantation</w:t>
            </w:r>
          </w:p>
        </w:tc>
        <w:tc>
          <w:tcPr>
            <w:tcW w:w="1903" w:type="dxa"/>
            <w:tcBorders>
              <w:top w:val="single" w:sz="4" w:space="0" w:color="auto"/>
              <w:left w:val="single" w:sz="4" w:space="0" w:color="auto"/>
              <w:bottom w:val="nil"/>
              <w:right w:val="single" w:sz="4" w:space="0" w:color="auto"/>
            </w:tcBorders>
            <w:shd w:val="clear" w:color="auto" w:fill="auto"/>
            <w:noWrap/>
            <w:vAlign w:val="bottom"/>
            <w:hideMark/>
          </w:tcPr>
          <w:p w14:paraId="42A410E9" w14:textId="3735F564" w:rsidR="009C3AC8" w:rsidRPr="00643366" w:rsidRDefault="009C3AC8" w:rsidP="00643366">
            <w:pPr>
              <w:jc w:val="center"/>
              <w:rPr>
                <w:rFonts w:cs="Arial"/>
                <w:color w:val="000000"/>
                <w:lang w:val="de-AT" w:eastAsia="de-AT"/>
              </w:rPr>
            </w:pPr>
            <w:r>
              <w:rPr>
                <w:rFonts w:ascii="Calibri" w:hAnsi="Calibri"/>
                <w:color w:val="000000"/>
              </w:rPr>
              <w:t>13879,8</w:t>
            </w:r>
          </w:p>
        </w:tc>
        <w:tc>
          <w:tcPr>
            <w:tcW w:w="1559" w:type="dxa"/>
            <w:tcBorders>
              <w:top w:val="single" w:sz="4" w:space="0" w:color="auto"/>
              <w:left w:val="nil"/>
              <w:bottom w:val="nil"/>
              <w:right w:val="single" w:sz="4" w:space="0" w:color="auto"/>
            </w:tcBorders>
            <w:shd w:val="clear" w:color="auto" w:fill="auto"/>
            <w:noWrap/>
            <w:vAlign w:val="bottom"/>
            <w:hideMark/>
          </w:tcPr>
          <w:p w14:paraId="2B29A57E" w14:textId="1085BA8C" w:rsidR="009C3AC8" w:rsidRPr="00643366" w:rsidRDefault="009C3AC8" w:rsidP="00643366">
            <w:pPr>
              <w:jc w:val="center"/>
              <w:rPr>
                <w:rFonts w:cs="Arial"/>
                <w:color w:val="000000"/>
                <w:lang w:val="de-AT" w:eastAsia="de-AT"/>
              </w:rPr>
            </w:pPr>
            <w:r>
              <w:rPr>
                <w:rFonts w:ascii="Calibri" w:hAnsi="Calibri"/>
                <w:color w:val="000000"/>
              </w:rPr>
              <w:t xml:space="preserve"> - </w:t>
            </w:r>
          </w:p>
        </w:tc>
        <w:tc>
          <w:tcPr>
            <w:tcW w:w="1660" w:type="dxa"/>
            <w:tcBorders>
              <w:top w:val="single" w:sz="4" w:space="0" w:color="auto"/>
              <w:left w:val="nil"/>
              <w:bottom w:val="nil"/>
              <w:right w:val="single" w:sz="4" w:space="0" w:color="auto"/>
            </w:tcBorders>
            <w:shd w:val="clear" w:color="auto" w:fill="auto"/>
            <w:noWrap/>
            <w:vAlign w:val="bottom"/>
            <w:hideMark/>
          </w:tcPr>
          <w:p w14:paraId="77BEAD5C" w14:textId="6EC01D51" w:rsidR="009C3AC8" w:rsidRPr="00643366" w:rsidRDefault="009C3AC8" w:rsidP="00643366">
            <w:pPr>
              <w:jc w:val="center"/>
              <w:rPr>
                <w:rFonts w:cs="Arial"/>
                <w:color w:val="000000"/>
                <w:lang w:val="de-AT" w:eastAsia="de-AT"/>
              </w:rPr>
            </w:pPr>
            <w:r>
              <w:rPr>
                <w:rFonts w:ascii="Calibri" w:hAnsi="Calibri"/>
                <w:color w:val="000000"/>
              </w:rPr>
              <w:t>786,6</w:t>
            </w:r>
          </w:p>
        </w:tc>
        <w:tc>
          <w:tcPr>
            <w:tcW w:w="1535" w:type="dxa"/>
            <w:tcBorders>
              <w:top w:val="single" w:sz="4" w:space="0" w:color="auto"/>
              <w:left w:val="nil"/>
              <w:bottom w:val="nil"/>
              <w:right w:val="single" w:sz="8" w:space="0" w:color="auto"/>
            </w:tcBorders>
            <w:shd w:val="clear" w:color="auto" w:fill="auto"/>
            <w:noWrap/>
            <w:vAlign w:val="bottom"/>
            <w:hideMark/>
          </w:tcPr>
          <w:p w14:paraId="690D9369" w14:textId="1B90300C" w:rsidR="009C3AC8" w:rsidRPr="00643366" w:rsidRDefault="009C3AC8" w:rsidP="00643366">
            <w:pPr>
              <w:jc w:val="center"/>
              <w:rPr>
                <w:rFonts w:cs="Arial"/>
                <w:color w:val="000000"/>
                <w:lang w:val="de-AT" w:eastAsia="de-AT"/>
              </w:rPr>
            </w:pPr>
            <w:r>
              <w:rPr>
                <w:rFonts w:ascii="Calibri" w:hAnsi="Calibri"/>
                <w:color w:val="000000"/>
              </w:rPr>
              <w:t xml:space="preserve"> - </w:t>
            </w:r>
          </w:p>
        </w:tc>
      </w:tr>
      <w:tr w:rsidR="009C3AC8" w:rsidRPr="00643366" w14:paraId="17CFC525" w14:textId="77777777" w:rsidTr="009C3AC8">
        <w:trPr>
          <w:trHeight w:val="290"/>
          <w:jc w:val="center"/>
        </w:trPr>
        <w:tc>
          <w:tcPr>
            <w:tcW w:w="1940" w:type="dxa"/>
            <w:vMerge/>
            <w:tcBorders>
              <w:top w:val="nil"/>
              <w:left w:val="single" w:sz="8" w:space="0" w:color="auto"/>
              <w:bottom w:val="single" w:sz="4" w:space="0" w:color="000000"/>
              <w:right w:val="nil"/>
            </w:tcBorders>
            <w:vAlign w:val="center"/>
            <w:hideMark/>
          </w:tcPr>
          <w:p w14:paraId="662364B1" w14:textId="77777777" w:rsidR="009C3AC8" w:rsidRPr="00643366" w:rsidRDefault="009C3AC8" w:rsidP="00643366">
            <w:pPr>
              <w:rPr>
                <w:rFonts w:cs="Arial"/>
                <w:b/>
                <w:bCs/>
                <w:color w:val="000000"/>
                <w:lang w:val="de-AT" w:eastAsia="de-AT"/>
              </w:rPr>
            </w:pPr>
          </w:p>
        </w:tc>
        <w:tc>
          <w:tcPr>
            <w:tcW w:w="1903" w:type="dxa"/>
            <w:tcBorders>
              <w:top w:val="nil"/>
              <w:left w:val="single" w:sz="4" w:space="0" w:color="auto"/>
              <w:bottom w:val="single" w:sz="4" w:space="0" w:color="auto"/>
              <w:right w:val="single" w:sz="4" w:space="0" w:color="auto"/>
            </w:tcBorders>
            <w:shd w:val="clear" w:color="auto" w:fill="auto"/>
            <w:noWrap/>
            <w:vAlign w:val="bottom"/>
            <w:hideMark/>
          </w:tcPr>
          <w:p w14:paraId="76DACF8F" w14:textId="0AAD8E77" w:rsidR="009C3AC8" w:rsidRPr="00643366" w:rsidRDefault="009C3AC8" w:rsidP="009C3AC8">
            <w:pPr>
              <w:jc w:val="center"/>
              <w:rPr>
                <w:rFonts w:cs="Arial"/>
                <w:color w:val="000000"/>
                <w:lang w:val="de-AT" w:eastAsia="de-AT"/>
              </w:rPr>
            </w:pPr>
            <w:r>
              <w:rPr>
                <w:rFonts w:ascii="Calibri" w:hAnsi="Calibri"/>
                <w:color w:val="000000"/>
              </w:rPr>
              <w:t>(12099,7 to   15874)</w:t>
            </w:r>
          </w:p>
        </w:tc>
        <w:tc>
          <w:tcPr>
            <w:tcW w:w="1559" w:type="dxa"/>
            <w:tcBorders>
              <w:top w:val="nil"/>
              <w:left w:val="nil"/>
              <w:bottom w:val="single" w:sz="4" w:space="0" w:color="auto"/>
              <w:right w:val="single" w:sz="4" w:space="0" w:color="auto"/>
            </w:tcBorders>
            <w:shd w:val="clear" w:color="auto" w:fill="auto"/>
            <w:noWrap/>
            <w:vAlign w:val="bottom"/>
            <w:hideMark/>
          </w:tcPr>
          <w:p w14:paraId="4359AB6B" w14:textId="33778E2D" w:rsidR="009C3AC8" w:rsidRPr="00643366" w:rsidRDefault="009C3AC8" w:rsidP="00643366">
            <w:pPr>
              <w:jc w:val="center"/>
              <w:rPr>
                <w:rFonts w:cs="Arial"/>
                <w:color w:val="000000"/>
                <w:lang w:val="de-AT" w:eastAsia="de-AT"/>
              </w:rPr>
            </w:pPr>
            <w:r>
              <w:rPr>
                <w:rFonts w:ascii="Calibri" w:hAnsi="Calibri"/>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6211F51F" w14:textId="78D88BB6" w:rsidR="009C3AC8" w:rsidRPr="00643366" w:rsidRDefault="009C3AC8" w:rsidP="00643366">
            <w:pPr>
              <w:jc w:val="center"/>
              <w:rPr>
                <w:rFonts w:cs="Arial"/>
                <w:color w:val="000000"/>
                <w:lang w:val="de-AT" w:eastAsia="de-AT"/>
              </w:rPr>
            </w:pPr>
            <w:r>
              <w:rPr>
                <w:rFonts w:ascii="Calibri" w:hAnsi="Calibri"/>
                <w:color w:val="000000"/>
              </w:rPr>
              <w:t>(235,6 to 1301,5)</w:t>
            </w:r>
          </w:p>
        </w:tc>
        <w:tc>
          <w:tcPr>
            <w:tcW w:w="1535" w:type="dxa"/>
            <w:tcBorders>
              <w:top w:val="nil"/>
              <w:left w:val="nil"/>
              <w:bottom w:val="single" w:sz="4" w:space="0" w:color="auto"/>
              <w:right w:val="single" w:sz="8" w:space="0" w:color="auto"/>
            </w:tcBorders>
            <w:shd w:val="clear" w:color="auto" w:fill="auto"/>
            <w:noWrap/>
            <w:vAlign w:val="bottom"/>
            <w:hideMark/>
          </w:tcPr>
          <w:p w14:paraId="65F58A84" w14:textId="2674C925" w:rsidR="009C3AC8" w:rsidRPr="00643366" w:rsidRDefault="009C3AC8" w:rsidP="00643366">
            <w:pPr>
              <w:jc w:val="center"/>
              <w:rPr>
                <w:rFonts w:cs="Arial"/>
                <w:color w:val="000000"/>
                <w:lang w:val="de-AT" w:eastAsia="de-AT"/>
              </w:rPr>
            </w:pPr>
            <w:r>
              <w:rPr>
                <w:rFonts w:ascii="Calibri" w:hAnsi="Calibri"/>
                <w:color w:val="000000"/>
              </w:rPr>
              <w:t> </w:t>
            </w:r>
          </w:p>
        </w:tc>
      </w:tr>
      <w:tr w:rsidR="009C3AC8" w:rsidRPr="00643366" w14:paraId="721E99D9" w14:textId="77777777" w:rsidTr="009C3AC8">
        <w:trPr>
          <w:trHeight w:val="290"/>
          <w:jc w:val="center"/>
        </w:trPr>
        <w:tc>
          <w:tcPr>
            <w:tcW w:w="1940" w:type="dxa"/>
            <w:vMerge w:val="restart"/>
            <w:tcBorders>
              <w:top w:val="nil"/>
              <w:left w:val="single" w:sz="8" w:space="0" w:color="auto"/>
              <w:bottom w:val="single" w:sz="8" w:space="0" w:color="000000"/>
              <w:right w:val="nil"/>
            </w:tcBorders>
            <w:shd w:val="clear" w:color="auto" w:fill="auto"/>
            <w:noWrap/>
            <w:hideMark/>
          </w:tcPr>
          <w:p w14:paraId="18CAD218" w14:textId="77777777" w:rsidR="009C3AC8" w:rsidRPr="00643366" w:rsidRDefault="009C3AC8" w:rsidP="00643366">
            <w:pPr>
              <w:rPr>
                <w:rFonts w:cs="Arial"/>
                <w:b/>
                <w:bCs/>
                <w:color w:val="000000"/>
                <w:lang w:val="de-AT" w:eastAsia="de-AT"/>
              </w:rPr>
            </w:pPr>
            <w:r w:rsidRPr="00643366">
              <w:rPr>
                <w:rFonts w:cs="Arial"/>
                <w:b/>
                <w:bCs/>
                <w:color w:val="000000"/>
                <w:lang w:val="de-AT" w:eastAsia="de-AT"/>
              </w:rPr>
              <w:t>VSB implantation</w:t>
            </w:r>
          </w:p>
        </w:tc>
        <w:tc>
          <w:tcPr>
            <w:tcW w:w="1903" w:type="dxa"/>
            <w:tcBorders>
              <w:top w:val="nil"/>
              <w:left w:val="single" w:sz="4" w:space="0" w:color="auto"/>
              <w:bottom w:val="nil"/>
              <w:right w:val="single" w:sz="4" w:space="0" w:color="auto"/>
            </w:tcBorders>
            <w:shd w:val="clear" w:color="auto" w:fill="auto"/>
            <w:noWrap/>
            <w:vAlign w:val="bottom"/>
            <w:hideMark/>
          </w:tcPr>
          <w:p w14:paraId="37EA984B" w14:textId="07661CAF" w:rsidR="009C3AC8" w:rsidRPr="00643366" w:rsidRDefault="009C3AC8" w:rsidP="00643366">
            <w:pPr>
              <w:jc w:val="center"/>
              <w:rPr>
                <w:rFonts w:cs="Arial"/>
                <w:color w:val="000000"/>
                <w:lang w:val="de-AT" w:eastAsia="de-AT"/>
              </w:rPr>
            </w:pPr>
            <w:r>
              <w:rPr>
                <w:rFonts w:ascii="Calibri" w:hAnsi="Calibri"/>
                <w:color w:val="000000"/>
              </w:rPr>
              <w:t>24505,5</w:t>
            </w:r>
          </w:p>
        </w:tc>
        <w:tc>
          <w:tcPr>
            <w:tcW w:w="1559" w:type="dxa"/>
            <w:tcBorders>
              <w:top w:val="nil"/>
              <w:left w:val="nil"/>
              <w:bottom w:val="nil"/>
              <w:right w:val="single" w:sz="4" w:space="0" w:color="auto"/>
            </w:tcBorders>
            <w:shd w:val="clear" w:color="auto" w:fill="auto"/>
            <w:noWrap/>
            <w:vAlign w:val="bottom"/>
            <w:hideMark/>
          </w:tcPr>
          <w:p w14:paraId="3DE14A37" w14:textId="56584C76" w:rsidR="009C3AC8" w:rsidRPr="00643366" w:rsidRDefault="009C3AC8" w:rsidP="00643366">
            <w:pPr>
              <w:jc w:val="center"/>
              <w:rPr>
                <w:rFonts w:cs="Arial"/>
                <w:color w:val="000000"/>
                <w:lang w:val="de-AT" w:eastAsia="de-AT"/>
              </w:rPr>
            </w:pPr>
            <w:r>
              <w:rPr>
                <w:rFonts w:ascii="Calibri" w:hAnsi="Calibri"/>
                <w:color w:val="000000"/>
              </w:rPr>
              <w:t>10625,7</w:t>
            </w:r>
          </w:p>
        </w:tc>
        <w:tc>
          <w:tcPr>
            <w:tcW w:w="1660" w:type="dxa"/>
            <w:tcBorders>
              <w:top w:val="nil"/>
              <w:left w:val="nil"/>
              <w:bottom w:val="nil"/>
              <w:right w:val="single" w:sz="4" w:space="0" w:color="auto"/>
            </w:tcBorders>
            <w:shd w:val="clear" w:color="auto" w:fill="auto"/>
            <w:noWrap/>
            <w:vAlign w:val="bottom"/>
            <w:hideMark/>
          </w:tcPr>
          <w:p w14:paraId="06E8F913" w14:textId="2E493522" w:rsidR="009C3AC8" w:rsidRPr="00643366" w:rsidRDefault="009C3AC8" w:rsidP="00643366">
            <w:pPr>
              <w:jc w:val="center"/>
              <w:rPr>
                <w:rFonts w:cs="Arial"/>
                <w:color w:val="000000"/>
                <w:lang w:val="de-AT" w:eastAsia="de-AT"/>
              </w:rPr>
            </w:pPr>
            <w:r>
              <w:rPr>
                <w:rFonts w:ascii="Calibri" w:hAnsi="Calibri"/>
                <w:color w:val="000000"/>
              </w:rPr>
              <w:t>592,6</w:t>
            </w:r>
          </w:p>
        </w:tc>
        <w:tc>
          <w:tcPr>
            <w:tcW w:w="1535" w:type="dxa"/>
            <w:tcBorders>
              <w:top w:val="nil"/>
              <w:left w:val="nil"/>
              <w:bottom w:val="nil"/>
              <w:right w:val="single" w:sz="8" w:space="0" w:color="auto"/>
            </w:tcBorders>
            <w:shd w:val="clear" w:color="auto" w:fill="auto"/>
            <w:noWrap/>
            <w:vAlign w:val="bottom"/>
            <w:hideMark/>
          </w:tcPr>
          <w:p w14:paraId="32A80041" w14:textId="05FBD4B0" w:rsidR="009C3AC8" w:rsidRPr="00643366" w:rsidRDefault="009C3AC8" w:rsidP="00643366">
            <w:pPr>
              <w:jc w:val="center"/>
              <w:rPr>
                <w:rFonts w:cs="Arial"/>
                <w:color w:val="000000"/>
                <w:lang w:val="de-AT" w:eastAsia="de-AT"/>
              </w:rPr>
            </w:pPr>
            <w:r>
              <w:rPr>
                <w:rFonts w:ascii="Calibri" w:hAnsi="Calibri"/>
                <w:color w:val="000000"/>
              </w:rPr>
              <w:t>194</w:t>
            </w:r>
          </w:p>
        </w:tc>
      </w:tr>
      <w:tr w:rsidR="009C3AC8" w:rsidRPr="00643366" w14:paraId="3AFBC641" w14:textId="77777777" w:rsidTr="009C3AC8">
        <w:trPr>
          <w:trHeight w:val="300"/>
          <w:jc w:val="center"/>
        </w:trPr>
        <w:tc>
          <w:tcPr>
            <w:tcW w:w="1940" w:type="dxa"/>
            <w:vMerge/>
            <w:tcBorders>
              <w:top w:val="nil"/>
              <w:left w:val="single" w:sz="8" w:space="0" w:color="auto"/>
              <w:bottom w:val="single" w:sz="8" w:space="0" w:color="000000"/>
              <w:right w:val="nil"/>
            </w:tcBorders>
            <w:vAlign w:val="center"/>
            <w:hideMark/>
          </w:tcPr>
          <w:p w14:paraId="1B010AAD" w14:textId="77777777" w:rsidR="009C3AC8" w:rsidRPr="00643366" w:rsidRDefault="009C3AC8" w:rsidP="00643366">
            <w:pPr>
              <w:rPr>
                <w:rFonts w:cs="Arial"/>
                <w:b/>
                <w:bCs/>
                <w:color w:val="000000"/>
                <w:lang w:val="de-AT" w:eastAsia="de-AT"/>
              </w:rPr>
            </w:pPr>
          </w:p>
        </w:tc>
        <w:tc>
          <w:tcPr>
            <w:tcW w:w="1903" w:type="dxa"/>
            <w:tcBorders>
              <w:top w:val="nil"/>
              <w:left w:val="single" w:sz="4" w:space="0" w:color="auto"/>
              <w:bottom w:val="single" w:sz="8" w:space="0" w:color="auto"/>
              <w:right w:val="single" w:sz="4" w:space="0" w:color="auto"/>
            </w:tcBorders>
            <w:shd w:val="clear" w:color="auto" w:fill="auto"/>
            <w:noWrap/>
            <w:vAlign w:val="bottom"/>
            <w:hideMark/>
          </w:tcPr>
          <w:p w14:paraId="1203579B" w14:textId="0FBFCAC9" w:rsidR="009C3AC8" w:rsidRPr="00643366" w:rsidRDefault="009C3AC8" w:rsidP="00643366">
            <w:pPr>
              <w:jc w:val="center"/>
              <w:rPr>
                <w:rFonts w:cs="Arial"/>
                <w:color w:val="000000"/>
                <w:lang w:val="de-AT" w:eastAsia="de-AT"/>
              </w:rPr>
            </w:pPr>
            <w:r>
              <w:rPr>
                <w:rFonts w:ascii="Calibri" w:hAnsi="Calibri"/>
                <w:color w:val="000000"/>
              </w:rPr>
              <w:t>(21541,2 to 27916,3)</w:t>
            </w:r>
          </w:p>
        </w:tc>
        <w:tc>
          <w:tcPr>
            <w:tcW w:w="1559" w:type="dxa"/>
            <w:tcBorders>
              <w:top w:val="nil"/>
              <w:left w:val="nil"/>
              <w:bottom w:val="single" w:sz="8" w:space="0" w:color="auto"/>
              <w:right w:val="single" w:sz="4" w:space="0" w:color="auto"/>
            </w:tcBorders>
            <w:shd w:val="clear" w:color="auto" w:fill="auto"/>
            <w:noWrap/>
            <w:vAlign w:val="bottom"/>
            <w:hideMark/>
          </w:tcPr>
          <w:p w14:paraId="25449719" w14:textId="02802792" w:rsidR="009C3AC8" w:rsidRPr="00643366" w:rsidRDefault="009C3AC8" w:rsidP="00643366">
            <w:pPr>
              <w:jc w:val="center"/>
              <w:rPr>
                <w:rFonts w:cs="Arial"/>
                <w:color w:val="000000"/>
                <w:lang w:val="de-AT" w:eastAsia="de-AT"/>
              </w:rPr>
            </w:pPr>
            <w:r>
              <w:rPr>
                <w:rFonts w:ascii="Calibri" w:hAnsi="Calibri"/>
                <w:color w:val="000000"/>
              </w:rPr>
              <w:t>(10505,87 to 10745,28)</w:t>
            </w:r>
          </w:p>
        </w:tc>
        <w:tc>
          <w:tcPr>
            <w:tcW w:w="1660" w:type="dxa"/>
            <w:tcBorders>
              <w:top w:val="nil"/>
              <w:left w:val="nil"/>
              <w:bottom w:val="single" w:sz="8" w:space="0" w:color="auto"/>
              <w:right w:val="single" w:sz="4" w:space="0" w:color="auto"/>
            </w:tcBorders>
            <w:shd w:val="clear" w:color="auto" w:fill="auto"/>
            <w:noWrap/>
            <w:vAlign w:val="bottom"/>
            <w:hideMark/>
          </w:tcPr>
          <w:p w14:paraId="53655FFD" w14:textId="42435CF5" w:rsidR="009C3AC8" w:rsidRPr="00643366" w:rsidRDefault="009C3AC8" w:rsidP="00643366">
            <w:pPr>
              <w:jc w:val="center"/>
              <w:rPr>
                <w:rFonts w:cs="Arial"/>
                <w:color w:val="000000"/>
                <w:lang w:val="de-AT" w:eastAsia="de-AT"/>
              </w:rPr>
            </w:pPr>
            <w:r>
              <w:rPr>
                <w:rFonts w:ascii="Calibri" w:hAnsi="Calibri"/>
                <w:color w:val="000000"/>
              </w:rPr>
              <w:t>(427,6 to 751,6)</w:t>
            </w:r>
          </w:p>
        </w:tc>
        <w:tc>
          <w:tcPr>
            <w:tcW w:w="1535" w:type="dxa"/>
            <w:tcBorders>
              <w:top w:val="nil"/>
              <w:left w:val="nil"/>
              <w:bottom w:val="single" w:sz="8" w:space="0" w:color="auto"/>
              <w:right w:val="single" w:sz="8" w:space="0" w:color="auto"/>
            </w:tcBorders>
            <w:shd w:val="clear" w:color="auto" w:fill="auto"/>
            <w:noWrap/>
            <w:vAlign w:val="bottom"/>
            <w:hideMark/>
          </w:tcPr>
          <w:p w14:paraId="732058CE" w14:textId="3FE9E2C6" w:rsidR="009C3AC8" w:rsidRPr="00643366" w:rsidRDefault="009C3AC8" w:rsidP="00643366">
            <w:pPr>
              <w:jc w:val="center"/>
              <w:rPr>
                <w:rFonts w:cs="Arial"/>
                <w:color w:val="000000"/>
                <w:lang w:val="de-AT" w:eastAsia="de-AT"/>
              </w:rPr>
            </w:pPr>
            <w:r>
              <w:rPr>
                <w:rFonts w:ascii="Calibri" w:hAnsi="Calibri"/>
                <w:color w:val="000000"/>
              </w:rPr>
              <w:t>(176 to 211,9)</w:t>
            </w:r>
          </w:p>
        </w:tc>
      </w:tr>
    </w:tbl>
    <w:p w14:paraId="67F18959" w14:textId="77777777" w:rsidR="00B22312" w:rsidRDefault="00B22312" w:rsidP="00B22312">
      <w:pPr>
        <w:spacing w:line="360" w:lineRule="auto"/>
        <w:jc w:val="both"/>
        <w:rPr>
          <w:rFonts w:cs="Arial"/>
          <w:b/>
          <w:sz w:val="20"/>
          <w:szCs w:val="20"/>
          <w:lang w:val="fr-FR"/>
        </w:rPr>
      </w:pPr>
    </w:p>
    <w:p w14:paraId="382EFE17" w14:textId="77777777" w:rsidR="00400BEC" w:rsidRPr="00400BEC" w:rsidRDefault="00400BEC" w:rsidP="00400BEC">
      <w:pPr>
        <w:pStyle w:val="Heading30"/>
        <w:rPr>
          <w:rFonts w:eastAsiaTheme="majorEastAsia"/>
          <w:lang w:eastAsia="en-US"/>
        </w:rPr>
      </w:pPr>
      <w:bookmarkStart w:id="586" w:name="_Toc431917603"/>
      <w:r w:rsidRPr="00400BEC">
        <w:rPr>
          <w:rFonts w:eastAsiaTheme="majorEastAsia"/>
          <w:lang w:eastAsia="en-US"/>
        </w:rPr>
        <w:t>D.6.3. Sensitivity  of the results to changes in the modelled economic evaluation</w:t>
      </w:r>
      <w:bookmarkEnd w:id="586"/>
    </w:p>
    <w:p w14:paraId="7DD67B43" w14:textId="77777777" w:rsidR="00400BEC" w:rsidRPr="00400BEC" w:rsidRDefault="00400BEC" w:rsidP="002151F1">
      <w:pPr>
        <w:spacing w:after="200" w:line="360" w:lineRule="auto"/>
        <w:jc w:val="both"/>
        <w:rPr>
          <w:rFonts w:eastAsiaTheme="minorHAnsi" w:cs="Arial"/>
          <w:lang w:val="en-GB" w:eastAsia="en-US"/>
        </w:rPr>
      </w:pPr>
      <w:r w:rsidRPr="00400BEC">
        <w:rPr>
          <w:rFonts w:eastAsiaTheme="minorHAnsi" w:cs="Arial"/>
          <w:lang w:val="en-GB" w:eastAsia="en-US"/>
        </w:rPr>
        <w:t xml:space="preserve">Base-case analysis as well as sensitivity analysis was conducted on an economic model discounted at a 5% rate over a 10 year time period. As a further measure of uncertainty the model was re-evaluated to assess differences in outcomes when both cost and effectiveness measures were undiscounted, and then again with the time horizon extended to 20 years. </w:t>
      </w:r>
    </w:p>
    <w:p w14:paraId="2843C169" w14:textId="406DB588" w:rsidR="00400BEC" w:rsidRPr="00400BEC" w:rsidRDefault="00400BEC" w:rsidP="002151F1">
      <w:pPr>
        <w:spacing w:after="200" w:line="360" w:lineRule="auto"/>
        <w:jc w:val="both"/>
        <w:rPr>
          <w:rFonts w:eastAsiaTheme="minorHAnsi" w:cs="Arial"/>
          <w:lang w:val="en-GB" w:eastAsia="en-US"/>
        </w:rPr>
      </w:pPr>
      <w:r w:rsidRPr="00400BEC">
        <w:rPr>
          <w:rFonts w:eastAsiaTheme="minorHAnsi" w:cs="Arial"/>
          <w:lang w:val="en-GB" w:eastAsia="en-US"/>
        </w:rPr>
        <w:t>Results for the main economic evaluation shown in</w:t>
      </w:r>
      <w:r w:rsidR="00C15D7A">
        <w:rPr>
          <w:rFonts w:eastAsiaTheme="minorHAnsi" w:cs="Arial"/>
          <w:lang w:val="en-GB" w:eastAsia="en-US"/>
        </w:rPr>
        <w:t xml:space="preserve"> </w:t>
      </w:r>
      <w:r w:rsidR="00C15D7A" w:rsidRPr="00FE1267">
        <w:rPr>
          <w:rFonts w:eastAsiaTheme="minorHAnsi" w:cs="Arial"/>
          <w:lang w:val="en-GB" w:eastAsia="en-US"/>
        </w:rPr>
        <w:fldChar w:fldCharType="begin"/>
      </w:r>
      <w:r w:rsidR="00C15D7A" w:rsidRPr="00FE1267">
        <w:rPr>
          <w:rFonts w:eastAsiaTheme="minorHAnsi" w:cs="Arial"/>
          <w:lang w:val="en-GB" w:eastAsia="en-US"/>
        </w:rPr>
        <w:instrText xml:space="preserve"> REF _Ref431654512 \h </w:instrText>
      </w:r>
      <w:r w:rsidR="00FE1267" w:rsidRPr="00FE1267">
        <w:rPr>
          <w:rFonts w:eastAsiaTheme="minorHAnsi" w:cs="Arial"/>
          <w:lang w:val="en-GB" w:eastAsia="en-US"/>
        </w:rPr>
        <w:instrText xml:space="preserve"> \* MERGEFORMAT </w:instrText>
      </w:r>
      <w:r w:rsidR="00C15D7A" w:rsidRPr="00FE1267">
        <w:rPr>
          <w:rFonts w:eastAsiaTheme="minorHAnsi" w:cs="Arial"/>
          <w:lang w:val="en-GB" w:eastAsia="en-US"/>
        </w:rPr>
      </w:r>
      <w:r w:rsidR="00C15D7A" w:rsidRPr="00FE1267">
        <w:rPr>
          <w:rFonts w:eastAsiaTheme="minorHAnsi" w:cs="Arial"/>
          <w:lang w:val="en-GB" w:eastAsia="en-US"/>
        </w:rPr>
        <w:fldChar w:fldCharType="separate"/>
      </w:r>
      <w:r w:rsidR="00016592" w:rsidRPr="00FE1267">
        <w:rPr>
          <w:rFonts w:cs="Arial"/>
          <w:bCs/>
          <w:lang w:val="en-US"/>
        </w:rPr>
        <w:t xml:space="preserve">Table </w:t>
      </w:r>
      <w:r w:rsidR="00016592" w:rsidRPr="00FE1267">
        <w:rPr>
          <w:rFonts w:cs="Arial"/>
          <w:bCs/>
          <w:noProof/>
          <w:lang w:val="en-US"/>
        </w:rPr>
        <w:t>55</w:t>
      </w:r>
      <w:r w:rsidR="00C15D7A" w:rsidRPr="00FE1267">
        <w:rPr>
          <w:rFonts w:eastAsiaTheme="minorHAnsi" w:cs="Arial"/>
          <w:lang w:val="en-GB" w:eastAsia="en-US"/>
        </w:rPr>
        <w:fldChar w:fldCharType="end"/>
      </w:r>
      <w:r w:rsidR="00C15D7A">
        <w:rPr>
          <w:rFonts w:eastAsiaTheme="minorHAnsi" w:cs="Arial"/>
          <w:lang w:val="en-GB" w:eastAsia="en-US"/>
        </w:rPr>
        <w:t xml:space="preserve"> and </w:t>
      </w:r>
      <w:r w:rsidR="00C15D7A" w:rsidRPr="00FE1267">
        <w:rPr>
          <w:rFonts w:eastAsiaTheme="minorHAnsi" w:cs="Arial"/>
          <w:lang w:val="en-GB" w:eastAsia="en-US"/>
        </w:rPr>
        <w:fldChar w:fldCharType="begin"/>
      </w:r>
      <w:r w:rsidR="00C15D7A" w:rsidRPr="00FE1267">
        <w:rPr>
          <w:rFonts w:eastAsiaTheme="minorHAnsi" w:cs="Arial"/>
          <w:lang w:val="en-GB" w:eastAsia="en-US"/>
        </w:rPr>
        <w:instrText xml:space="preserve"> REF _Ref431654532 \h </w:instrText>
      </w:r>
      <w:r w:rsidR="00FE1267" w:rsidRPr="00FE1267">
        <w:rPr>
          <w:rFonts w:eastAsiaTheme="minorHAnsi" w:cs="Arial"/>
          <w:lang w:val="en-GB" w:eastAsia="en-US"/>
        </w:rPr>
        <w:instrText xml:space="preserve"> \* MERGEFORMAT </w:instrText>
      </w:r>
      <w:r w:rsidR="00C15D7A" w:rsidRPr="00FE1267">
        <w:rPr>
          <w:rFonts w:eastAsiaTheme="minorHAnsi" w:cs="Arial"/>
          <w:lang w:val="en-GB" w:eastAsia="en-US"/>
        </w:rPr>
      </w:r>
      <w:r w:rsidR="00C15D7A" w:rsidRPr="00FE1267">
        <w:rPr>
          <w:rFonts w:eastAsiaTheme="minorHAnsi" w:cs="Arial"/>
          <w:lang w:val="en-GB" w:eastAsia="en-US"/>
        </w:rPr>
        <w:fldChar w:fldCharType="separate"/>
      </w:r>
      <w:r w:rsidR="00016592" w:rsidRPr="00FE1267">
        <w:rPr>
          <w:rFonts w:cs="Arial"/>
          <w:bCs/>
          <w:lang w:val="en-US"/>
        </w:rPr>
        <w:t xml:space="preserve">Table </w:t>
      </w:r>
      <w:r w:rsidR="00016592" w:rsidRPr="00FE1267">
        <w:rPr>
          <w:rFonts w:cs="Arial"/>
          <w:bCs/>
          <w:noProof/>
          <w:lang w:val="en-US"/>
        </w:rPr>
        <w:t>56</w:t>
      </w:r>
      <w:r w:rsidR="00C15D7A" w:rsidRPr="00FE1267">
        <w:rPr>
          <w:rFonts w:eastAsiaTheme="minorHAnsi" w:cs="Arial"/>
          <w:lang w:val="en-GB" w:eastAsia="en-US"/>
        </w:rPr>
        <w:fldChar w:fldCharType="end"/>
      </w:r>
      <w:r w:rsidRPr="00400BEC">
        <w:rPr>
          <w:rFonts w:eastAsiaTheme="minorHAnsi" w:cs="Arial"/>
          <w:lang w:val="en-GB" w:eastAsia="en-US"/>
        </w:rPr>
        <w:t xml:space="preserve"> indicate that discounting over a 10-year time period does not influence incremental costs too much while effectiveness outcomes are significantly decreased. Comparing the discounted costs at the 10 and 20 year periods show marked differences between the costs of interventions and in the effectiveness outcomes. The incremental QALY outcomes are substantially better with the VSB over the longer time horizon. </w:t>
      </w:r>
    </w:p>
    <w:p w14:paraId="4A5FAD97" w14:textId="70AD9363" w:rsidR="00A328BE" w:rsidRPr="00FE1267" w:rsidRDefault="00400BEC" w:rsidP="00FE1267">
      <w:pPr>
        <w:spacing w:line="360" w:lineRule="auto"/>
        <w:jc w:val="both"/>
        <w:rPr>
          <w:rFonts w:cs="Arial"/>
          <w:bCs/>
          <w:lang w:val="en-US"/>
        </w:rPr>
      </w:pPr>
      <w:r w:rsidRPr="00400BEC">
        <w:rPr>
          <w:rFonts w:eastAsiaTheme="minorHAnsi" w:cs="Arial"/>
          <w:lang w:val="en-GB" w:eastAsia="en-US"/>
        </w:rPr>
        <w:t>A similar trend was observed in the cost effectiveness outcomes of the model comparing different MEI. The results summarized in</w:t>
      </w:r>
      <w:r w:rsidR="00C15D7A">
        <w:rPr>
          <w:rFonts w:eastAsiaTheme="minorHAnsi" w:cs="Arial"/>
          <w:lang w:val="en-GB" w:eastAsia="en-US"/>
        </w:rPr>
        <w:t xml:space="preserve"> </w:t>
      </w:r>
      <w:r w:rsidR="00C15D7A" w:rsidRPr="00FE1267">
        <w:rPr>
          <w:rFonts w:eastAsiaTheme="minorHAnsi" w:cs="Arial"/>
          <w:lang w:val="en-GB" w:eastAsia="en-US"/>
        </w:rPr>
        <w:fldChar w:fldCharType="begin"/>
      </w:r>
      <w:r w:rsidR="00C15D7A" w:rsidRPr="00FE1267">
        <w:rPr>
          <w:rFonts w:eastAsiaTheme="minorHAnsi" w:cs="Arial"/>
          <w:lang w:val="en-GB" w:eastAsia="en-US"/>
        </w:rPr>
        <w:instrText xml:space="preserve"> REF _Ref431654561 \h </w:instrText>
      </w:r>
      <w:r w:rsidR="00FE1267" w:rsidRPr="00FE1267">
        <w:rPr>
          <w:rFonts w:eastAsiaTheme="minorHAnsi" w:cs="Arial"/>
          <w:lang w:val="en-GB" w:eastAsia="en-US"/>
        </w:rPr>
        <w:instrText xml:space="preserve"> \* MERGEFORMAT </w:instrText>
      </w:r>
      <w:r w:rsidR="00C15D7A" w:rsidRPr="00FE1267">
        <w:rPr>
          <w:rFonts w:eastAsiaTheme="minorHAnsi" w:cs="Arial"/>
          <w:lang w:val="en-GB" w:eastAsia="en-US"/>
        </w:rPr>
      </w:r>
      <w:r w:rsidR="00C15D7A" w:rsidRPr="00FE1267">
        <w:rPr>
          <w:rFonts w:eastAsiaTheme="minorHAnsi" w:cs="Arial"/>
          <w:lang w:val="en-GB" w:eastAsia="en-US"/>
        </w:rPr>
        <w:fldChar w:fldCharType="separate"/>
      </w:r>
      <w:r w:rsidR="00016592" w:rsidRPr="00FE1267">
        <w:rPr>
          <w:rFonts w:cs="Arial"/>
          <w:bCs/>
          <w:lang w:val="en-US"/>
        </w:rPr>
        <w:t xml:space="preserve">Table </w:t>
      </w:r>
      <w:r w:rsidR="00016592" w:rsidRPr="00FE1267">
        <w:rPr>
          <w:rFonts w:cs="Arial"/>
          <w:bCs/>
          <w:noProof/>
          <w:lang w:val="en-US"/>
        </w:rPr>
        <w:t>57</w:t>
      </w:r>
      <w:r w:rsidR="00C15D7A" w:rsidRPr="00FE1267">
        <w:rPr>
          <w:rFonts w:eastAsiaTheme="minorHAnsi" w:cs="Arial"/>
          <w:lang w:val="en-GB" w:eastAsia="en-US"/>
        </w:rPr>
        <w:fldChar w:fldCharType="end"/>
      </w:r>
      <w:r w:rsidR="00C15D7A" w:rsidRPr="00FE1267">
        <w:rPr>
          <w:rFonts w:eastAsiaTheme="minorHAnsi" w:cs="Arial"/>
          <w:lang w:val="en-GB" w:eastAsia="en-US"/>
        </w:rPr>
        <w:t xml:space="preserve"> and </w:t>
      </w:r>
      <w:r w:rsidR="00C15D7A" w:rsidRPr="00FE1267">
        <w:rPr>
          <w:rFonts w:eastAsiaTheme="minorHAnsi" w:cs="Arial"/>
          <w:lang w:val="en-GB" w:eastAsia="en-US"/>
        </w:rPr>
        <w:fldChar w:fldCharType="begin"/>
      </w:r>
      <w:r w:rsidR="00C15D7A" w:rsidRPr="00FE1267">
        <w:rPr>
          <w:rFonts w:eastAsiaTheme="minorHAnsi" w:cs="Arial"/>
          <w:lang w:val="en-GB" w:eastAsia="en-US"/>
        </w:rPr>
        <w:instrText xml:space="preserve"> REF _Ref431654563 \h </w:instrText>
      </w:r>
      <w:r w:rsidR="00FE1267" w:rsidRPr="00FE1267">
        <w:rPr>
          <w:rFonts w:eastAsiaTheme="minorHAnsi" w:cs="Arial"/>
          <w:lang w:val="en-GB" w:eastAsia="en-US"/>
        </w:rPr>
        <w:instrText xml:space="preserve"> \* MERGEFORMAT </w:instrText>
      </w:r>
      <w:r w:rsidR="00C15D7A" w:rsidRPr="00FE1267">
        <w:rPr>
          <w:rFonts w:eastAsiaTheme="minorHAnsi" w:cs="Arial"/>
          <w:lang w:val="en-GB" w:eastAsia="en-US"/>
        </w:rPr>
      </w:r>
      <w:r w:rsidR="00C15D7A" w:rsidRPr="00FE1267">
        <w:rPr>
          <w:rFonts w:eastAsiaTheme="minorHAnsi" w:cs="Arial"/>
          <w:lang w:val="en-GB" w:eastAsia="en-US"/>
        </w:rPr>
        <w:fldChar w:fldCharType="separate"/>
      </w:r>
      <w:r w:rsidR="00016592" w:rsidRPr="00FE1267">
        <w:rPr>
          <w:rFonts w:cs="Arial"/>
          <w:bCs/>
          <w:lang w:val="en-US"/>
        </w:rPr>
        <w:t xml:space="preserve">Table </w:t>
      </w:r>
      <w:r w:rsidR="00016592" w:rsidRPr="00FE1267">
        <w:rPr>
          <w:rFonts w:cs="Arial"/>
          <w:bCs/>
          <w:noProof/>
          <w:lang w:val="en-US"/>
        </w:rPr>
        <w:t>58</w:t>
      </w:r>
      <w:r w:rsidR="00C15D7A" w:rsidRPr="00FE1267">
        <w:rPr>
          <w:rFonts w:eastAsiaTheme="minorHAnsi" w:cs="Arial"/>
          <w:lang w:val="en-GB" w:eastAsia="en-US"/>
        </w:rPr>
        <w:fldChar w:fldCharType="end"/>
      </w:r>
      <w:r w:rsidRPr="00400BEC">
        <w:rPr>
          <w:rFonts w:eastAsiaTheme="minorHAnsi" w:cs="Arial"/>
          <w:lang w:val="en-GB" w:eastAsia="en-US"/>
        </w:rPr>
        <w:t xml:space="preserve"> show not too much of a difference in costs while incremental effectiveness is significantly reduced when discounted. Over a 20-year time horizon differences in the cost and effectiveness of the two interventions become more apparent with incremental effectiveness (patient perceived difficulty) being substantially better for the Vibrant Soundbridge middle ear implant system.</w:t>
      </w:r>
    </w:p>
    <w:p w14:paraId="2FA02B78" w14:textId="77777777" w:rsidR="00FE1267" w:rsidRPr="00C15D7A" w:rsidRDefault="00FE1267" w:rsidP="00C15D7A">
      <w:pPr>
        <w:spacing w:after="200" w:line="360" w:lineRule="auto"/>
        <w:rPr>
          <w:rFonts w:eastAsiaTheme="minorHAnsi" w:cs="Arial"/>
          <w:lang w:val="en-GB" w:eastAsia="en-US"/>
        </w:rPr>
      </w:pPr>
    </w:p>
    <w:p w14:paraId="2774539B" w14:textId="77777777" w:rsidR="00BE1424" w:rsidRDefault="00BE1424">
      <w:pPr>
        <w:rPr>
          <w:rFonts w:cs="Arial"/>
          <w:b/>
          <w:bCs/>
          <w:sz w:val="20"/>
          <w:szCs w:val="20"/>
          <w:lang w:val="en-US"/>
        </w:rPr>
      </w:pPr>
      <w:bookmarkStart w:id="587" w:name="_Ref431654512"/>
      <w:bookmarkStart w:id="588" w:name="_Toc431917515"/>
      <w:r>
        <w:rPr>
          <w:rFonts w:cs="Arial"/>
          <w:b/>
          <w:bCs/>
          <w:sz w:val="20"/>
          <w:szCs w:val="20"/>
          <w:lang w:val="en-US"/>
        </w:rPr>
        <w:br w:type="page"/>
      </w:r>
    </w:p>
    <w:p w14:paraId="5452589B" w14:textId="2B604643" w:rsidR="00B22312" w:rsidRPr="005079EC" w:rsidRDefault="00B22312" w:rsidP="00B22312">
      <w:pPr>
        <w:spacing w:line="360" w:lineRule="auto"/>
        <w:jc w:val="both"/>
        <w:rPr>
          <w:rFonts w:cs="Arial"/>
          <w:b/>
          <w:sz w:val="20"/>
          <w:szCs w:val="20"/>
          <w:lang w:val="en-US"/>
        </w:rPr>
      </w:pPr>
      <w:r w:rsidRPr="005079EC">
        <w:rPr>
          <w:rFonts w:cs="Arial"/>
          <w:b/>
          <w:bCs/>
          <w:sz w:val="20"/>
          <w:szCs w:val="20"/>
          <w:lang w:val="en-US"/>
        </w:rPr>
        <w:lastRenderedPageBreak/>
        <w:t xml:space="preserve">Table </w:t>
      </w:r>
      <w:r w:rsidRPr="00AE06D8">
        <w:rPr>
          <w:rFonts w:cs="Arial"/>
          <w:b/>
          <w:bCs/>
          <w:sz w:val="20"/>
          <w:szCs w:val="20"/>
        </w:rPr>
        <w:fldChar w:fldCharType="begin"/>
      </w:r>
      <w:r w:rsidRPr="005079EC">
        <w:rPr>
          <w:rFonts w:cs="Arial"/>
          <w:b/>
          <w:bCs/>
          <w:sz w:val="20"/>
          <w:szCs w:val="20"/>
          <w:lang w:val="en-US"/>
        </w:rPr>
        <w:instrText xml:space="preserve"> SEQ Table \* ARABIC </w:instrText>
      </w:r>
      <w:r w:rsidRPr="00AE06D8">
        <w:rPr>
          <w:rFonts w:cs="Arial"/>
          <w:b/>
          <w:bCs/>
          <w:sz w:val="20"/>
          <w:szCs w:val="20"/>
        </w:rPr>
        <w:fldChar w:fldCharType="separate"/>
      </w:r>
      <w:r w:rsidR="00016592">
        <w:rPr>
          <w:rFonts w:cs="Arial"/>
          <w:b/>
          <w:bCs/>
          <w:noProof/>
          <w:sz w:val="20"/>
          <w:szCs w:val="20"/>
          <w:lang w:val="en-US"/>
        </w:rPr>
        <w:t>55</w:t>
      </w:r>
      <w:r w:rsidRPr="00AE06D8">
        <w:rPr>
          <w:rFonts w:cs="Arial"/>
          <w:b/>
          <w:bCs/>
          <w:sz w:val="20"/>
          <w:szCs w:val="20"/>
        </w:rPr>
        <w:fldChar w:fldCharType="end"/>
      </w:r>
      <w:bookmarkEnd w:id="587"/>
      <w:r w:rsidRPr="005079EC">
        <w:rPr>
          <w:rFonts w:cs="Arial"/>
          <w:b/>
          <w:bCs/>
          <w:sz w:val="20"/>
          <w:szCs w:val="20"/>
          <w:lang w:val="en-US"/>
        </w:rPr>
        <w:t xml:space="preserve"> – </w:t>
      </w:r>
      <w:r w:rsidR="00D60854" w:rsidRPr="005079EC">
        <w:rPr>
          <w:rFonts w:cs="Arial"/>
          <w:b/>
          <w:sz w:val="20"/>
          <w:szCs w:val="20"/>
          <w:lang w:val="en-US"/>
        </w:rPr>
        <w:t>The effect of different discount rates on the main economic model</w:t>
      </w:r>
      <w:bookmarkEnd w:id="588"/>
    </w:p>
    <w:tbl>
      <w:tblPr>
        <w:tblW w:w="9323" w:type="dxa"/>
        <w:tblCellMar>
          <w:left w:w="70" w:type="dxa"/>
          <w:right w:w="70" w:type="dxa"/>
        </w:tblCellMar>
        <w:tblLook w:val="04A0" w:firstRow="1" w:lastRow="0" w:firstColumn="1" w:lastColumn="0" w:noHBand="0" w:noVBand="1"/>
        <w:tblDescription w:val="The effect of different discount rates on the main economic model"/>
      </w:tblPr>
      <w:tblGrid>
        <w:gridCol w:w="2425"/>
        <w:gridCol w:w="1701"/>
        <w:gridCol w:w="1818"/>
        <w:gridCol w:w="827"/>
        <w:gridCol w:w="1375"/>
        <w:gridCol w:w="1177"/>
      </w:tblGrid>
      <w:tr w:rsidR="00D60854" w:rsidRPr="00D60854" w14:paraId="4F0DFF10" w14:textId="77777777" w:rsidTr="00FE1267">
        <w:trPr>
          <w:trHeight w:val="560"/>
        </w:trPr>
        <w:tc>
          <w:tcPr>
            <w:tcW w:w="2425"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761E0BEB" w14:textId="77777777" w:rsidR="00D60854" w:rsidRPr="00D60854" w:rsidRDefault="00D60854" w:rsidP="00D60854">
            <w:pPr>
              <w:jc w:val="center"/>
              <w:rPr>
                <w:rFonts w:cs="Arial"/>
                <w:b/>
                <w:bCs/>
                <w:color w:val="000000"/>
                <w:lang w:val="de-AT" w:eastAsia="de-AT"/>
              </w:rPr>
            </w:pPr>
            <w:r w:rsidRPr="00D60854">
              <w:rPr>
                <w:rFonts w:cs="Arial"/>
                <w:b/>
                <w:bCs/>
                <w:color w:val="000000"/>
                <w:lang w:val="de-AT" w:eastAsia="de-AT"/>
              </w:rPr>
              <w:t>Strategy</w:t>
            </w:r>
          </w:p>
        </w:tc>
        <w:tc>
          <w:tcPr>
            <w:tcW w:w="1701" w:type="dxa"/>
            <w:tcBorders>
              <w:top w:val="single" w:sz="8" w:space="0" w:color="auto"/>
              <w:left w:val="nil"/>
              <w:bottom w:val="single" w:sz="4" w:space="0" w:color="auto"/>
              <w:right w:val="single" w:sz="4" w:space="0" w:color="auto"/>
            </w:tcBorders>
            <w:shd w:val="clear" w:color="auto" w:fill="auto"/>
            <w:vAlign w:val="center"/>
            <w:hideMark/>
          </w:tcPr>
          <w:p w14:paraId="79BC3FDC" w14:textId="77777777" w:rsidR="00D60854" w:rsidRPr="00D60854" w:rsidRDefault="00D60854" w:rsidP="00D60854">
            <w:pPr>
              <w:jc w:val="center"/>
              <w:rPr>
                <w:rFonts w:cs="Arial"/>
                <w:b/>
                <w:bCs/>
                <w:color w:val="000000"/>
                <w:lang w:val="de-AT" w:eastAsia="de-AT"/>
              </w:rPr>
            </w:pPr>
            <w:r w:rsidRPr="00D60854">
              <w:rPr>
                <w:rFonts w:cs="Arial"/>
                <w:b/>
                <w:bCs/>
                <w:color w:val="000000"/>
                <w:lang w:val="de-AT" w:eastAsia="de-AT"/>
              </w:rPr>
              <w:t>Cost</w:t>
            </w:r>
          </w:p>
        </w:tc>
        <w:tc>
          <w:tcPr>
            <w:tcW w:w="1818" w:type="dxa"/>
            <w:tcBorders>
              <w:top w:val="single" w:sz="8" w:space="0" w:color="auto"/>
              <w:left w:val="nil"/>
              <w:bottom w:val="single" w:sz="4" w:space="0" w:color="auto"/>
              <w:right w:val="single" w:sz="4" w:space="0" w:color="auto"/>
            </w:tcBorders>
            <w:shd w:val="clear" w:color="auto" w:fill="auto"/>
            <w:vAlign w:val="center"/>
            <w:hideMark/>
          </w:tcPr>
          <w:p w14:paraId="45EAE71D" w14:textId="77777777" w:rsidR="00D60854" w:rsidRPr="00D60854" w:rsidRDefault="00D60854" w:rsidP="00D60854">
            <w:pPr>
              <w:jc w:val="center"/>
              <w:rPr>
                <w:rFonts w:cs="Arial"/>
                <w:b/>
                <w:bCs/>
                <w:color w:val="000000"/>
                <w:lang w:val="de-AT" w:eastAsia="de-AT"/>
              </w:rPr>
            </w:pPr>
            <w:r w:rsidRPr="00D60854">
              <w:rPr>
                <w:rFonts w:cs="Arial"/>
                <w:b/>
                <w:bCs/>
                <w:color w:val="000000"/>
                <w:lang w:val="de-AT" w:eastAsia="de-AT"/>
              </w:rPr>
              <w:t xml:space="preserve">Incremental cost </w:t>
            </w:r>
          </w:p>
        </w:tc>
        <w:tc>
          <w:tcPr>
            <w:tcW w:w="827" w:type="dxa"/>
            <w:tcBorders>
              <w:top w:val="single" w:sz="8" w:space="0" w:color="auto"/>
              <w:left w:val="nil"/>
              <w:bottom w:val="single" w:sz="4" w:space="0" w:color="auto"/>
              <w:right w:val="single" w:sz="4" w:space="0" w:color="auto"/>
            </w:tcBorders>
            <w:shd w:val="clear" w:color="auto" w:fill="auto"/>
            <w:vAlign w:val="center"/>
            <w:hideMark/>
          </w:tcPr>
          <w:p w14:paraId="5FB117AE" w14:textId="77777777" w:rsidR="00D60854" w:rsidRPr="00D60854" w:rsidRDefault="00D60854" w:rsidP="00D60854">
            <w:pPr>
              <w:jc w:val="center"/>
              <w:rPr>
                <w:rFonts w:cs="Arial"/>
                <w:b/>
                <w:bCs/>
                <w:color w:val="000000"/>
                <w:lang w:val="de-AT" w:eastAsia="de-AT"/>
              </w:rPr>
            </w:pPr>
            <w:r w:rsidRPr="00D60854">
              <w:rPr>
                <w:rFonts w:cs="Arial"/>
                <w:b/>
                <w:bCs/>
                <w:color w:val="000000"/>
                <w:lang w:val="de-AT" w:eastAsia="de-AT"/>
              </w:rPr>
              <w:t>QALY</w:t>
            </w:r>
          </w:p>
        </w:tc>
        <w:tc>
          <w:tcPr>
            <w:tcW w:w="1375" w:type="dxa"/>
            <w:tcBorders>
              <w:top w:val="single" w:sz="8" w:space="0" w:color="auto"/>
              <w:left w:val="nil"/>
              <w:bottom w:val="single" w:sz="4" w:space="0" w:color="auto"/>
              <w:right w:val="single" w:sz="4" w:space="0" w:color="auto"/>
            </w:tcBorders>
            <w:shd w:val="clear" w:color="auto" w:fill="auto"/>
            <w:vAlign w:val="center"/>
            <w:hideMark/>
          </w:tcPr>
          <w:p w14:paraId="27E64761" w14:textId="77777777" w:rsidR="00D60854" w:rsidRPr="00D60854" w:rsidRDefault="00D60854" w:rsidP="00D60854">
            <w:pPr>
              <w:jc w:val="center"/>
              <w:rPr>
                <w:rFonts w:cs="Arial"/>
                <w:b/>
                <w:bCs/>
                <w:color w:val="000000"/>
                <w:lang w:val="de-AT" w:eastAsia="de-AT"/>
              </w:rPr>
            </w:pPr>
            <w:r w:rsidRPr="00D60854">
              <w:rPr>
                <w:rFonts w:cs="Arial"/>
                <w:b/>
                <w:bCs/>
                <w:color w:val="000000"/>
                <w:lang w:val="de-AT" w:eastAsia="de-AT"/>
              </w:rPr>
              <w:t>Incremental QALY</w:t>
            </w:r>
          </w:p>
        </w:tc>
        <w:tc>
          <w:tcPr>
            <w:tcW w:w="1177" w:type="dxa"/>
            <w:tcBorders>
              <w:top w:val="single" w:sz="8" w:space="0" w:color="auto"/>
              <w:left w:val="nil"/>
              <w:bottom w:val="single" w:sz="4" w:space="0" w:color="auto"/>
              <w:right w:val="single" w:sz="8" w:space="0" w:color="auto"/>
            </w:tcBorders>
            <w:shd w:val="clear" w:color="auto" w:fill="auto"/>
            <w:vAlign w:val="center"/>
            <w:hideMark/>
          </w:tcPr>
          <w:p w14:paraId="484D0D8F" w14:textId="77777777" w:rsidR="00D60854" w:rsidRPr="00D60854" w:rsidRDefault="00D60854" w:rsidP="00D60854">
            <w:pPr>
              <w:jc w:val="center"/>
              <w:rPr>
                <w:rFonts w:cs="Arial"/>
                <w:b/>
                <w:bCs/>
                <w:color w:val="000000"/>
                <w:lang w:val="de-AT" w:eastAsia="de-AT"/>
              </w:rPr>
            </w:pPr>
            <w:r w:rsidRPr="00D60854">
              <w:rPr>
                <w:rFonts w:cs="Arial"/>
                <w:b/>
                <w:bCs/>
                <w:color w:val="000000"/>
                <w:lang w:val="de-AT" w:eastAsia="de-AT"/>
              </w:rPr>
              <w:t>ICER ($/QALY)</w:t>
            </w:r>
          </w:p>
        </w:tc>
      </w:tr>
      <w:tr w:rsidR="00D60854" w:rsidRPr="00D60854" w14:paraId="28EC0ABF" w14:textId="77777777" w:rsidTr="00FE1267">
        <w:trPr>
          <w:trHeight w:val="484"/>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14:paraId="66FEFA07" w14:textId="77777777" w:rsidR="00D60854" w:rsidRPr="00D60854" w:rsidRDefault="00D60854" w:rsidP="00D76570">
            <w:pPr>
              <w:rPr>
                <w:rFonts w:cs="Arial"/>
                <w:b/>
                <w:bCs/>
                <w:color w:val="000000"/>
                <w:lang w:val="de-AT" w:eastAsia="de-AT"/>
              </w:rPr>
            </w:pPr>
            <w:r w:rsidRPr="00D60854">
              <w:rPr>
                <w:rFonts w:cs="Arial"/>
                <w:b/>
                <w:bCs/>
                <w:color w:val="000000"/>
                <w:lang w:val="de-AT" w:eastAsia="de-AT"/>
              </w:rPr>
              <w:t>10 year undiscounted</w:t>
            </w:r>
          </w:p>
        </w:tc>
        <w:tc>
          <w:tcPr>
            <w:tcW w:w="1701" w:type="dxa"/>
            <w:tcBorders>
              <w:top w:val="nil"/>
              <w:left w:val="nil"/>
              <w:bottom w:val="single" w:sz="4" w:space="0" w:color="auto"/>
              <w:right w:val="single" w:sz="4" w:space="0" w:color="auto"/>
            </w:tcBorders>
            <w:shd w:val="clear" w:color="auto" w:fill="auto"/>
            <w:noWrap/>
            <w:vAlign w:val="center"/>
            <w:hideMark/>
          </w:tcPr>
          <w:p w14:paraId="5ECAC9FD" w14:textId="77777777" w:rsidR="00D60854" w:rsidRPr="00D60854" w:rsidRDefault="00D60854" w:rsidP="00D60854">
            <w:pPr>
              <w:rPr>
                <w:rFonts w:cs="Arial"/>
                <w:color w:val="000000"/>
                <w:lang w:val="de-AT" w:eastAsia="de-AT"/>
              </w:rPr>
            </w:pPr>
            <w:r w:rsidRPr="00D60854">
              <w:rPr>
                <w:rFonts w:cs="Arial"/>
                <w:color w:val="000000"/>
                <w:lang w:val="de-AT" w:eastAsia="de-AT"/>
              </w:rPr>
              <w:t> </w:t>
            </w:r>
          </w:p>
        </w:tc>
        <w:tc>
          <w:tcPr>
            <w:tcW w:w="1818" w:type="dxa"/>
            <w:tcBorders>
              <w:top w:val="nil"/>
              <w:left w:val="nil"/>
              <w:bottom w:val="single" w:sz="4" w:space="0" w:color="auto"/>
              <w:right w:val="single" w:sz="4" w:space="0" w:color="auto"/>
            </w:tcBorders>
            <w:shd w:val="clear" w:color="auto" w:fill="auto"/>
            <w:noWrap/>
            <w:vAlign w:val="center"/>
            <w:hideMark/>
          </w:tcPr>
          <w:p w14:paraId="24B3DAE2" w14:textId="77777777" w:rsidR="00D60854" w:rsidRPr="00D60854" w:rsidRDefault="00D60854" w:rsidP="00D60854">
            <w:pPr>
              <w:rPr>
                <w:rFonts w:cs="Arial"/>
                <w:color w:val="000000"/>
                <w:lang w:val="de-AT" w:eastAsia="de-AT"/>
              </w:rPr>
            </w:pPr>
            <w:r w:rsidRPr="00D60854">
              <w:rPr>
                <w:rFonts w:cs="Arial"/>
                <w:color w:val="000000"/>
                <w:lang w:val="de-AT" w:eastAsia="de-AT"/>
              </w:rPr>
              <w:t> </w:t>
            </w:r>
          </w:p>
        </w:tc>
        <w:tc>
          <w:tcPr>
            <w:tcW w:w="827" w:type="dxa"/>
            <w:tcBorders>
              <w:top w:val="nil"/>
              <w:left w:val="nil"/>
              <w:bottom w:val="single" w:sz="4" w:space="0" w:color="auto"/>
              <w:right w:val="single" w:sz="4" w:space="0" w:color="auto"/>
            </w:tcBorders>
            <w:shd w:val="clear" w:color="auto" w:fill="auto"/>
            <w:noWrap/>
            <w:vAlign w:val="center"/>
            <w:hideMark/>
          </w:tcPr>
          <w:p w14:paraId="22E0E021" w14:textId="77777777" w:rsidR="00D60854" w:rsidRPr="00D60854" w:rsidRDefault="00D60854" w:rsidP="00D60854">
            <w:pPr>
              <w:jc w:val="center"/>
              <w:rPr>
                <w:rFonts w:cs="Arial"/>
                <w:color w:val="000000"/>
                <w:lang w:val="de-AT" w:eastAsia="de-AT"/>
              </w:rPr>
            </w:pPr>
            <w:r w:rsidRPr="00D60854">
              <w:rPr>
                <w:rFonts w:cs="Arial"/>
                <w:color w:val="000000"/>
                <w:lang w:val="de-AT" w:eastAsia="de-AT"/>
              </w:rPr>
              <w:t> </w:t>
            </w:r>
          </w:p>
        </w:tc>
        <w:tc>
          <w:tcPr>
            <w:tcW w:w="1375" w:type="dxa"/>
            <w:tcBorders>
              <w:top w:val="nil"/>
              <w:left w:val="nil"/>
              <w:bottom w:val="single" w:sz="4" w:space="0" w:color="auto"/>
              <w:right w:val="single" w:sz="4" w:space="0" w:color="auto"/>
            </w:tcBorders>
            <w:shd w:val="clear" w:color="auto" w:fill="auto"/>
            <w:noWrap/>
            <w:vAlign w:val="center"/>
            <w:hideMark/>
          </w:tcPr>
          <w:p w14:paraId="2803052B" w14:textId="77777777" w:rsidR="00D60854" w:rsidRPr="00D60854" w:rsidRDefault="00D60854" w:rsidP="00D60854">
            <w:pPr>
              <w:jc w:val="center"/>
              <w:rPr>
                <w:rFonts w:cs="Arial"/>
                <w:color w:val="000000"/>
                <w:lang w:val="de-AT" w:eastAsia="de-AT"/>
              </w:rPr>
            </w:pPr>
            <w:r w:rsidRPr="00D60854">
              <w:rPr>
                <w:rFonts w:cs="Arial"/>
                <w:color w:val="000000"/>
                <w:lang w:val="de-AT" w:eastAsia="de-AT"/>
              </w:rPr>
              <w:t> </w:t>
            </w:r>
          </w:p>
        </w:tc>
        <w:tc>
          <w:tcPr>
            <w:tcW w:w="1177" w:type="dxa"/>
            <w:tcBorders>
              <w:top w:val="nil"/>
              <w:left w:val="nil"/>
              <w:bottom w:val="single" w:sz="4" w:space="0" w:color="auto"/>
              <w:right w:val="single" w:sz="4" w:space="0" w:color="auto"/>
            </w:tcBorders>
            <w:shd w:val="clear" w:color="auto" w:fill="auto"/>
            <w:noWrap/>
            <w:vAlign w:val="center"/>
            <w:hideMark/>
          </w:tcPr>
          <w:p w14:paraId="16E9F86C" w14:textId="77777777" w:rsidR="00D60854" w:rsidRPr="00D60854" w:rsidRDefault="00D60854" w:rsidP="00D60854">
            <w:pPr>
              <w:rPr>
                <w:rFonts w:cs="Arial"/>
                <w:color w:val="000000"/>
                <w:lang w:val="de-AT" w:eastAsia="de-AT"/>
              </w:rPr>
            </w:pPr>
            <w:r w:rsidRPr="00D60854">
              <w:rPr>
                <w:rFonts w:cs="Arial"/>
                <w:color w:val="000000"/>
                <w:lang w:val="de-AT" w:eastAsia="de-AT"/>
              </w:rPr>
              <w:t> </w:t>
            </w:r>
          </w:p>
        </w:tc>
      </w:tr>
      <w:tr w:rsidR="007551D4" w:rsidRPr="00D60854" w14:paraId="2DDB5E39" w14:textId="77777777" w:rsidTr="00FE1267">
        <w:trPr>
          <w:trHeight w:val="560"/>
        </w:trPr>
        <w:tc>
          <w:tcPr>
            <w:tcW w:w="2425" w:type="dxa"/>
            <w:tcBorders>
              <w:top w:val="nil"/>
              <w:left w:val="single" w:sz="4" w:space="0" w:color="auto"/>
              <w:bottom w:val="single" w:sz="4" w:space="0" w:color="auto"/>
              <w:right w:val="single" w:sz="4" w:space="0" w:color="auto"/>
            </w:tcBorders>
            <w:shd w:val="clear" w:color="auto" w:fill="auto"/>
            <w:vAlign w:val="center"/>
            <w:hideMark/>
          </w:tcPr>
          <w:p w14:paraId="02650E1E" w14:textId="77777777" w:rsidR="007551D4" w:rsidRPr="00D60854" w:rsidRDefault="007551D4" w:rsidP="00D76570">
            <w:pPr>
              <w:rPr>
                <w:rFonts w:cs="Arial"/>
                <w:color w:val="000000"/>
                <w:lang w:val="de-AT" w:eastAsia="de-AT"/>
              </w:rPr>
            </w:pPr>
            <w:r w:rsidRPr="00D60854">
              <w:rPr>
                <w:rFonts w:cs="Arial"/>
                <w:color w:val="000000"/>
                <w:lang w:val="de-AT" w:eastAsia="de-AT"/>
              </w:rPr>
              <w:t>No intervention</w:t>
            </w:r>
          </w:p>
        </w:tc>
        <w:tc>
          <w:tcPr>
            <w:tcW w:w="1701" w:type="dxa"/>
            <w:tcBorders>
              <w:top w:val="nil"/>
              <w:left w:val="nil"/>
              <w:bottom w:val="single" w:sz="4" w:space="0" w:color="auto"/>
              <w:right w:val="single" w:sz="4" w:space="0" w:color="auto"/>
            </w:tcBorders>
            <w:shd w:val="clear" w:color="auto" w:fill="auto"/>
            <w:noWrap/>
            <w:hideMark/>
          </w:tcPr>
          <w:p w14:paraId="79DB485F" w14:textId="7E7921DF" w:rsidR="007551D4" w:rsidRPr="00D60854" w:rsidRDefault="007551D4" w:rsidP="00D60854">
            <w:pPr>
              <w:jc w:val="center"/>
              <w:rPr>
                <w:rFonts w:cs="Arial"/>
                <w:color w:val="000000"/>
                <w:lang w:val="de-AT" w:eastAsia="de-AT"/>
              </w:rPr>
            </w:pPr>
            <w:r>
              <w:rPr>
                <w:rFonts w:cs="Arial"/>
                <w:color w:val="000000"/>
              </w:rPr>
              <w:t>AUD 3.036,76</w:t>
            </w:r>
          </w:p>
        </w:tc>
        <w:tc>
          <w:tcPr>
            <w:tcW w:w="1818" w:type="dxa"/>
            <w:tcBorders>
              <w:top w:val="nil"/>
              <w:left w:val="nil"/>
              <w:bottom w:val="single" w:sz="4" w:space="0" w:color="auto"/>
              <w:right w:val="single" w:sz="4" w:space="0" w:color="auto"/>
            </w:tcBorders>
            <w:shd w:val="clear" w:color="auto" w:fill="auto"/>
            <w:noWrap/>
            <w:hideMark/>
          </w:tcPr>
          <w:p w14:paraId="6C745C8C" w14:textId="36ED2782" w:rsidR="007551D4" w:rsidRPr="00D60854" w:rsidRDefault="007551D4" w:rsidP="00D60854">
            <w:pPr>
              <w:jc w:val="center"/>
              <w:rPr>
                <w:rFonts w:cs="Arial"/>
                <w:color w:val="000000"/>
                <w:lang w:val="de-AT" w:eastAsia="de-AT"/>
              </w:rPr>
            </w:pPr>
            <w:r>
              <w:rPr>
                <w:rFonts w:cs="Arial"/>
                <w:color w:val="000000"/>
              </w:rPr>
              <w:t xml:space="preserve"> - </w:t>
            </w:r>
          </w:p>
        </w:tc>
        <w:tc>
          <w:tcPr>
            <w:tcW w:w="827" w:type="dxa"/>
            <w:tcBorders>
              <w:top w:val="nil"/>
              <w:left w:val="nil"/>
              <w:bottom w:val="single" w:sz="4" w:space="0" w:color="auto"/>
              <w:right w:val="single" w:sz="4" w:space="0" w:color="auto"/>
            </w:tcBorders>
            <w:shd w:val="clear" w:color="auto" w:fill="auto"/>
            <w:noWrap/>
            <w:hideMark/>
          </w:tcPr>
          <w:p w14:paraId="470F5754" w14:textId="0D406DD5" w:rsidR="007551D4" w:rsidRPr="00D60854" w:rsidRDefault="007551D4" w:rsidP="00D60854">
            <w:pPr>
              <w:jc w:val="center"/>
              <w:rPr>
                <w:rFonts w:cs="Arial"/>
                <w:color w:val="000000"/>
                <w:lang w:val="de-AT" w:eastAsia="de-AT"/>
              </w:rPr>
            </w:pPr>
            <w:r>
              <w:rPr>
                <w:rFonts w:cs="Arial"/>
                <w:color w:val="000000"/>
              </w:rPr>
              <w:t>11,02</w:t>
            </w:r>
          </w:p>
        </w:tc>
        <w:tc>
          <w:tcPr>
            <w:tcW w:w="1375" w:type="dxa"/>
            <w:tcBorders>
              <w:top w:val="nil"/>
              <w:left w:val="nil"/>
              <w:bottom w:val="single" w:sz="4" w:space="0" w:color="auto"/>
              <w:right w:val="single" w:sz="4" w:space="0" w:color="auto"/>
            </w:tcBorders>
            <w:shd w:val="clear" w:color="auto" w:fill="auto"/>
            <w:noWrap/>
            <w:hideMark/>
          </w:tcPr>
          <w:p w14:paraId="3295FDB8" w14:textId="63FCC8B4" w:rsidR="007551D4" w:rsidRPr="00D60854" w:rsidRDefault="007551D4" w:rsidP="00D60854">
            <w:pPr>
              <w:jc w:val="center"/>
              <w:rPr>
                <w:rFonts w:cs="Arial"/>
                <w:color w:val="000000"/>
                <w:lang w:val="de-AT" w:eastAsia="de-AT"/>
              </w:rPr>
            </w:pPr>
            <w:r>
              <w:rPr>
                <w:rFonts w:cs="Arial"/>
                <w:color w:val="000000"/>
              </w:rPr>
              <w:t xml:space="preserve"> - </w:t>
            </w:r>
          </w:p>
        </w:tc>
        <w:tc>
          <w:tcPr>
            <w:tcW w:w="1177" w:type="dxa"/>
            <w:tcBorders>
              <w:top w:val="nil"/>
              <w:left w:val="nil"/>
              <w:bottom w:val="single" w:sz="4" w:space="0" w:color="auto"/>
              <w:right w:val="single" w:sz="4" w:space="0" w:color="auto"/>
            </w:tcBorders>
            <w:shd w:val="clear" w:color="auto" w:fill="auto"/>
            <w:noWrap/>
            <w:hideMark/>
          </w:tcPr>
          <w:p w14:paraId="3F334B45" w14:textId="3EF9EA53" w:rsidR="007551D4" w:rsidRPr="00D60854" w:rsidRDefault="007551D4" w:rsidP="00D60854">
            <w:pPr>
              <w:jc w:val="center"/>
              <w:rPr>
                <w:rFonts w:cs="Arial"/>
                <w:color w:val="000000"/>
                <w:lang w:val="de-AT" w:eastAsia="de-AT"/>
              </w:rPr>
            </w:pPr>
            <w:r>
              <w:rPr>
                <w:rFonts w:cs="Arial"/>
                <w:color w:val="000000"/>
              </w:rPr>
              <w:t xml:space="preserve"> - </w:t>
            </w:r>
          </w:p>
        </w:tc>
      </w:tr>
      <w:tr w:rsidR="007551D4" w:rsidRPr="00D60854" w14:paraId="3E0B4954" w14:textId="77777777" w:rsidTr="00FE1267">
        <w:trPr>
          <w:trHeight w:val="560"/>
        </w:trPr>
        <w:tc>
          <w:tcPr>
            <w:tcW w:w="2425" w:type="dxa"/>
            <w:tcBorders>
              <w:top w:val="nil"/>
              <w:left w:val="single" w:sz="4" w:space="0" w:color="auto"/>
              <w:bottom w:val="single" w:sz="4" w:space="0" w:color="auto"/>
              <w:right w:val="single" w:sz="4" w:space="0" w:color="auto"/>
            </w:tcBorders>
            <w:shd w:val="clear" w:color="auto" w:fill="auto"/>
            <w:vAlign w:val="center"/>
            <w:hideMark/>
          </w:tcPr>
          <w:p w14:paraId="53BA8779" w14:textId="77777777" w:rsidR="007551D4" w:rsidRPr="00D60854" w:rsidRDefault="007551D4" w:rsidP="00D76570">
            <w:pPr>
              <w:rPr>
                <w:rFonts w:cs="Arial"/>
                <w:color w:val="000000"/>
                <w:lang w:val="de-AT" w:eastAsia="de-AT"/>
              </w:rPr>
            </w:pPr>
            <w:r w:rsidRPr="00D60854">
              <w:rPr>
                <w:rFonts w:cs="Arial"/>
                <w:color w:val="000000"/>
                <w:lang w:val="de-AT" w:eastAsia="de-AT"/>
              </w:rPr>
              <w:t>VSB implantation</w:t>
            </w:r>
          </w:p>
        </w:tc>
        <w:tc>
          <w:tcPr>
            <w:tcW w:w="1701" w:type="dxa"/>
            <w:tcBorders>
              <w:top w:val="nil"/>
              <w:left w:val="nil"/>
              <w:bottom w:val="single" w:sz="4" w:space="0" w:color="auto"/>
              <w:right w:val="single" w:sz="4" w:space="0" w:color="auto"/>
            </w:tcBorders>
            <w:shd w:val="clear" w:color="auto" w:fill="auto"/>
            <w:noWrap/>
            <w:hideMark/>
          </w:tcPr>
          <w:p w14:paraId="35EC13D6" w14:textId="3DF9A388" w:rsidR="007551D4" w:rsidRPr="00D60854" w:rsidRDefault="007551D4" w:rsidP="00D60854">
            <w:pPr>
              <w:jc w:val="center"/>
              <w:rPr>
                <w:rFonts w:cs="Arial"/>
                <w:color w:val="000000"/>
                <w:lang w:val="de-AT" w:eastAsia="de-AT"/>
              </w:rPr>
            </w:pPr>
            <w:r>
              <w:rPr>
                <w:rFonts w:cs="Arial"/>
                <w:color w:val="000000"/>
              </w:rPr>
              <w:t>AUD 26.059,55</w:t>
            </w:r>
          </w:p>
        </w:tc>
        <w:tc>
          <w:tcPr>
            <w:tcW w:w="1818" w:type="dxa"/>
            <w:tcBorders>
              <w:top w:val="nil"/>
              <w:left w:val="nil"/>
              <w:bottom w:val="single" w:sz="4" w:space="0" w:color="auto"/>
              <w:right w:val="single" w:sz="4" w:space="0" w:color="auto"/>
            </w:tcBorders>
            <w:shd w:val="clear" w:color="auto" w:fill="auto"/>
            <w:noWrap/>
            <w:hideMark/>
          </w:tcPr>
          <w:p w14:paraId="3CC1BB47" w14:textId="790BE381" w:rsidR="007551D4" w:rsidRPr="00D60854" w:rsidRDefault="007551D4" w:rsidP="00D60854">
            <w:pPr>
              <w:jc w:val="center"/>
              <w:rPr>
                <w:rFonts w:cs="Arial"/>
                <w:color w:val="000000"/>
                <w:lang w:val="de-AT" w:eastAsia="de-AT"/>
              </w:rPr>
            </w:pPr>
            <w:r>
              <w:rPr>
                <w:rFonts w:cs="Arial"/>
                <w:color w:val="000000"/>
              </w:rPr>
              <w:t>AUD 23.022,79</w:t>
            </w:r>
          </w:p>
        </w:tc>
        <w:tc>
          <w:tcPr>
            <w:tcW w:w="827" w:type="dxa"/>
            <w:tcBorders>
              <w:top w:val="nil"/>
              <w:left w:val="nil"/>
              <w:bottom w:val="single" w:sz="4" w:space="0" w:color="auto"/>
              <w:right w:val="single" w:sz="4" w:space="0" w:color="auto"/>
            </w:tcBorders>
            <w:shd w:val="clear" w:color="auto" w:fill="auto"/>
            <w:noWrap/>
            <w:hideMark/>
          </w:tcPr>
          <w:p w14:paraId="6F3A7805" w14:textId="6D4A9D19" w:rsidR="007551D4" w:rsidRPr="00D60854" w:rsidRDefault="007551D4" w:rsidP="00D60854">
            <w:pPr>
              <w:jc w:val="center"/>
              <w:rPr>
                <w:rFonts w:cs="Arial"/>
                <w:color w:val="000000"/>
                <w:lang w:val="de-AT" w:eastAsia="de-AT"/>
              </w:rPr>
            </w:pPr>
            <w:r>
              <w:rPr>
                <w:rFonts w:cs="Arial"/>
                <w:color w:val="000000"/>
              </w:rPr>
              <w:t>12,77</w:t>
            </w:r>
          </w:p>
        </w:tc>
        <w:tc>
          <w:tcPr>
            <w:tcW w:w="1375" w:type="dxa"/>
            <w:tcBorders>
              <w:top w:val="nil"/>
              <w:left w:val="nil"/>
              <w:bottom w:val="single" w:sz="4" w:space="0" w:color="auto"/>
              <w:right w:val="single" w:sz="4" w:space="0" w:color="auto"/>
            </w:tcBorders>
            <w:shd w:val="clear" w:color="auto" w:fill="auto"/>
            <w:noWrap/>
            <w:hideMark/>
          </w:tcPr>
          <w:p w14:paraId="311B40DE" w14:textId="7181B2AB" w:rsidR="007551D4" w:rsidRPr="00D60854" w:rsidRDefault="007551D4" w:rsidP="00D60854">
            <w:pPr>
              <w:jc w:val="center"/>
              <w:rPr>
                <w:rFonts w:cs="Arial"/>
                <w:color w:val="000000"/>
                <w:lang w:val="de-AT" w:eastAsia="de-AT"/>
              </w:rPr>
            </w:pPr>
            <w:r>
              <w:rPr>
                <w:rFonts w:cs="Arial"/>
                <w:color w:val="000000"/>
              </w:rPr>
              <w:t>1,75</w:t>
            </w:r>
          </w:p>
        </w:tc>
        <w:tc>
          <w:tcPr>
            <w:tcW w:w="1177" w:type="dxa"/>
            <w:tcBorders>
              <w:top w:val="nil"/>
              <w:left w:val="nil"/>
              <w:bottom w:val="single" w:sz="4" w:space="0" w:color="auto"/>
              <w:right w:val="single" w:sz="4" w:space="0" w:color="auto"/>
            </w:tcBorders>
            <w:shd w:val="clear" w:color="auto" w:fill="auto"/>
            <w:noWrap/>
            <w:hideMark/>
          </w:tcPr>
          <w:p w14:paraId="7D945199" w14:textId="5EE41D8F" w:rsidR="007551D4" w:rsidRPr="00D60854" w:rsidRDefault="007551D4" w:rsidP="00D60854">
            <w:pPr>
              <w:jc w:val="center"/>
              <w:rPr>
                <w:rFonts w:cs="Arial"/>
                <w:color w:val="000000"/>
                <w:lang w:val="de-AT" w:eastAsia="de-AT"/>
              </w:rPr>
            </w:pPr>
            <w:r>
              <w:rPr>
                <w:rFonts w:cs="Arial"/>
                <w:color w:val="000000"/>
              </w:rPr>
              <w:t>13160,06</w:t>
            </w:r>
          </w:p>
        </w:tc>
      </w:tr>
      <w:tr w:rsidR="007551D4" w:rsidRPr="00D60854" w14:paraId="2C4AA3FE" w14:textId="77777777" w:rsidTr="00FE1267">
        <w:trPr>
          <w:trHeight w:val="408"/>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14:paraId="5208E0F9" w14:textId="77777777" w:rsidR="007551D4" w:rsidRPr="00D60854" w:rsidRDefault="007551D4" w:rsidP="00D76570">
            <w:pPr>
              <w:rPr>
                <w:rFonts w:cs="Arial"/>
                <w:b/>
                <w:bCs/>
                <w:color w:val="000000"/>
                <w:lang w:val="de-AT" w:eastAsia="de-AT"/>
              </w:rPr>
            </w:pPr>
            <w:r w:rsidRPr="00D60854">
              <w:rPr>
                <w:rFonts w:cs="Arial"/>
                <w:b/>
                <w:bCs/>
                <w:color w:val="000000"/>
                <w:lang w:val="de-AT" w:eastAsia="de-AT"/>
              </w:rPr>
              <w:t>10 year discounted</w:t>
            </w:r>
          </w:p>
        </w:tc>
        <w:tc>
          <w:tcPr>
            <w:tcW w:w="1701" w:type="dxa"/>
            <w:tcBorders>
              <w:top w:val="nil"/>
              <w:left w:val="nil"/>
              <w:bottom w:val="single" w:sz="4" w:space="0" w:color="auto"/>
              <w:right w:val="single" w:sz="4" w:space="0" w:color="auto"/>
            </w:tcBorders>
            <w:shd w:val="clear" w:color="auto" w:fill="auto"/>
            <w:noWrap/>
            <w:hideMark/>
          </w:tcPr>
          <w:p w14:paraId="39AB98E8" w14:textId="704EDECC" w:rsidR="007551D4" w:rsidRPr="00D60854" w:rsidRDefault="007551D4" w:rsidP="00D60854">
            <w:pPr>
              <w:jc w:val="center"/>
              <w:rPr>
                <w:rFonts w:cs="Arial"/>
                <w:color w:val="000000"/>
                <w:lang w:val="de-AT" w:eastAsia="de-AT"/>
              </w:rPr>
            </w:pPr>
            <w:r>
              <w:rPr>
                <w:rFonts w:cs="Arial"/>
                <w:color w:val="000000"/>
              </w:rPr>
              <w:t> </w:t>
            </w:r>
          </w:p>
        </w:tc>
        <w:tc>
          <w:tcPr>
            <w:tcW w:w="1818" w:type="dxa"/>
            <w:tcBorders>
              <w:top w:val="nil"/>
              <w:left w:val="nil"/>
              <w:bottom w:val="single" w:sz="4" w:space="0" w:color="auto"/>
              <w:right w:val="single" w:sz="4" w:space="0" w:color="auto"/>
            </w:tcBorders>
            <w:shd w:val="clear" w:color="auto" w:fill="auto"/>
            <w:noWrap/>
            <w:hideMark/>
          </w:tcPr>
          <w:p w14:paraId="0715DE11" w14:textId="1CC62EE0" w:rsidR="007551D4" w:rsidRPr="00D60854" w:rsidRDefault="007551D4" w:rsidP="00D60854">
            <w:pPr>
              <w:jc w:val="center"/>
              <w:rPr>
                <w:rFonts w:cs="Arial"/>
                <w:color w:val="000000"/>
                <w:lang w:val="de-AT" w:eastAsia="de-AT"/>
              </w:rPr>
            </w:pPr>
            <w:r>
              <w:rPr>
                <w:rFonts w:cs="Arial"/>
                <w:color w:val="000000"/>
              </w:rPr>
              <w:t> </w:t>
            </w:r>
          </w:p>
        </w:tc>
        <w:tc>
          <w:tcPr>
            <w:tcW w:w="827" w:type="dxa"/>
            <w:tcBorders>
              <w:top w:val="nil"/>
              <w:left w:val="nil"/>
              <w:bottom w:val="single" w:sz="4" w:space="0" w:color="auto"/>
              <w:right w:val="single" w:sz="4" w:space="0" w:color="auto"/>
            </w:tcBorders>
            <w:shd w:val="clear" w:color="auto" w:fill="auto"/>
            <w:noWrap/>
            <w:hideMark/>
          </w:tcPr>
          <w:p w14:paraId="6CF4E739" w14:textId="7A00F71A" w:rsidR="007551D4" w:rsidRPr="00D60854" w:rsidRDefault="007551D4" w:rsidP="00D60854">
            <w:pPr>
              <w:jc w:val="center"/>
              <w:rPr>
                <w:rFonts w:cs="Arial"/>
                <w:color w:val="000000"/>
                <w:lang w:val="de-AT" w:eastAsia="de-AT"/>
              </w:rPr>
            </w:pPr>
            <w:r>
              <w:rPr>
                <w:rFonts w:cs="Arial"/>
                <w:color w:val="000000"/>
              </w:rPr>
              <w:t> </w:t>
            </w:r>
          </w:p>
        </w:tc>
        <w:tc>
          <w:tcPr>
            <w:tcW w:w="1375" w:type="dxa"/>
            <w:tcBorders>
              <w:top w:val="nil"/>
              <w:left w:val="nil"/>
              <w:bottom w:val="single" w:sz="4" w:space="0" w:color="auto"/>
              <w:right w:val="single" w:sz="4" w:space="0" w:color="auto"/>
            </w:tcBorders>
            <w:shd w:val="clear" w:color="auto" w:fill="auto"/>
            <w:noWrap/>
            <w:hideMark/>
          </w:tcPr>
          <w:p w14:paraId="0A5766A1" w14:textId="12149556" w:rsidR="007551D4" w:rsidRPr="00D60854" w:rsidRDefault="007551D4" w:rsidP="00D60854">
            <w:pPr>
              <w:jc w:val="center"/>
              <w:rPr>
                <w:rFonts w:cs="Arial"/>
                <w:color w:val="000000"/>
                <w:lang w:val="de-AT" w:eastAsia="de-AT"/>
              </w:rPr>
            </w:pPr>
            <w:r>
              <w:rPr>
                <w:rFonts w:cs="Arial"/>
                <w:color w:val="000000"/>
              </w:rPr>
              <w:t> </w:t>
            </w:r>
          </w:p>
        </w:tc>
        <w:tc>
          <w:tcPr>
            <w:tcW w:w="1177" w:type="dxa"/>
            <w:tcBorders>
              <w:top w:val="nil"/>
              <w:left w:val="nil"/>
              <w:bottom w:val="single" w:sz="4" w:space="0" w:color="auto"/>
              <w:right w:val="single" w:sz="4" w:space="0" w:color="auto"/>
            </w:tcBorders>
            <w:shd w:val="clear" w:color="auto" w:fill="auto"/>
            <w:noWrap/>
            <w:hideMark/>
          </w:tcPr>
          <w:p w14:paraId="5608D7C6" w14:textId="3AB1C581" w:rsidR="007551D4" w:rsidRPr="00D60854" w:rsidRDefault="007551D4" w:rsidP="00D60854">
            <w:pPr>
              <w:jc w:val="center"/>
              <w:rPr>
                <w:rFonts w:cs="Arial"/>
                <w:color w:val="000000"/>
                <w:lang w:val="de-AT" w:eastAsia="de-AT"/>
              </w:rPr>
            </w:pPr>
            <w:r>
              <w:rPr>
                <w:rFonts w:cs="Arial"/>
                <w:color w:val="000000"/>
              </w:rPr>
              <w:t> </w:t>
            </w:r>
          </w:p>
        </w:tc>
      </w:tr>
      <w:tr w:rsidR="007551D4" w:rsidRPr="00D60854" w14:paraId="0ECE3443" w14:textId="77777777" w:rsidTr="00FE1267">
        <w:trPr>
          <w:trHeight w:val="415"/>
        </w:trPr>
        <w:tc>
          <w:tcPr>
            <w:tcW w:w="2425" w:type="dxa"/>
            <w:tcBorders>
              <w:top w:val="nil"/>
              <w:left w:val="single" w:sz="4" w:space="0" w:color="auto"/>
              <w:bottom w:val="single" w:sz="4" w:space="0" w:color="auto"/>
              <w:right w:val="single" w:sz="4" w:space="0" w:color="auto"/>
            </w:tcBorders>
            <w:shd w:val="clear" w:color="auto" w:fill="auto"/>
            <w:vAlign w:val="center"/>
            <w:hideMark/>
          </w:tcPr>
          <w:p w14:paraId="468211AD" w14:textId="77777777" w:rsidR="007551D4" w:rsidRPr="00D60854" w:rsidRDefault="007551D4" w:rsidP="00D76570">
            <w:pPr>
              <w:rPr>
                <w:rFonts w:cs="Arial"/>
                <w:color w:val="000000"/>
                <w:lang w:val="de-AT" w:eastAsia="de-AT"/>
              </w:rPr>
            </w:pPr>
            <w:r w:rsidRPr="00D60854">
              <w:rPr>
                <w:rFonts w:cs="Arial"/>
                <w:color w:val="000000"/>
                <w:lang w:val="de-AT" w:eastAsia="de-AT"/>
              </w:rPr>
              <w:t>No intervention</w:t>
            </w:r>
          </w:p>
        </w:tc>
        <w:tc>
          <w:tcPr>
            <w:tcW w:w="1701" w:type="dxa"/>
            <w:tcBorders>
              <w:top w:val="nil"/>
              <w:left w:val="nil"/>
              <w:bottom w:val="single" w:sz="4" w:space="0" w:color="auto"/>
              <w:right w:val="single" w:sz="4" w:space="0" w:color="auto"/>
            </w:tcBorders>
            <w:shd w:val="clear" w:color="auto" w:fill="auto"/>
            <w:noWrap/>
            <w:hideMark/>
          </w:tcPr>
          <w:p w14:paraId="06ED01DA" w14:textId="0CE4C03A" w:rsidR="007551D4" w:rsidRPr="00D60854" w:rsidRDefault="007551D4" w:rsidP="00D60854">
            <w:pPr>
              <w:jc w:val="center"/>
              <w:rPr>
                <w:rFonts w:cs="Arial"/>
                <w:color w:val="000000"/>
                <w:lang w:val="de-AT" w:eastAsia="de-AT"/>
              </w:rPr>
            </w:pPr>
            <w:r>
              <w:rPr>
                <w:rFonts w:cs="Arial"/>
                <w:color w:val="000000"/>
              </w:rPr>
              <w:t xml:space="preserve"> AUD 2.541,16 </w:t>
            </w:r>
          </w:p>
        </w:tc>
        <w:tc>
          <w:tcPr>
            <w:tcW w:w="1818" w:type="dxa"/>
            <w:tcBorders>
              <w:top w:val="nil"/>
              <w:left w:val="nil"/>
              <w:bottom w:val="single" w:sz="4" w:space="0" w:color="auto"/>
              <w:right w:val="single" w:sz="4" w:space="0" w:color="auto"/>
            </w:tcBorders>
            <w:shd w:val="clear" w:color="auto" w:fill="auto"/>
            <w:noWrap/>
            <w:hideMark/>
          </w:tcPr>
          <w:p w14:paraId="4D6CC02B" w14:textId="62F11FCF" w:rsidR="007551D4" w:rsidRPr="00D60854" w:rsidRDefault="007551D4" w:rsidP="00D60854">
            <w:pPr>
              <w:jc w:val="center"/>
              <w:rPr>
                <w:rFonts w:cs="Arial"/>
                <w:color w:val="000000"/>
                <w:lang w:val="de-AT" w:eastAsia="de-AT"/>
              </w:rPr>
            </w:pPr>
            <w:r>
              <w:rPr>
                <w:rFonts w:cs="Arial"/>
                <w:color w:val="000000"/>
              </w:rPr>
              <w:t xml:space="preserve">  -  </w:t>
            </w:r>
          </w:p>
        </w:tc>
        <w:tc>
          <w:tcPr>
            <w:tcW w:w="827" w:type="dxa"/>
            <w:tcBorders>
              <w:top w:val="nil"/>
              <w:left w:val="nil"/>
              <w:bottom w:val="single" w:sz="4" w:space="0" w:color="auto"/>
              <w:right w:val="single" w:sz="4" w:space="0" w:color="auto"/>
            </w:tcBorders>
            <w:shd w:val="clear" w:color="auto" w:fill="auto"/>
            <w:noWrap/>
            <w:hideMark/>
          </w:tcPr>
          <w:p w14:paraId="6014FF65" w14:textId="55F595A2" w:rsidR="007551D4" w:rsidRPr="00D60854" w:rsidRDefault="007551D4" w:rsidP="00D60854">
            <w:pPr>
              <w:jc w:val="center"/>
              <w:rPr>
                <w:rFonts w:cs="Arial"/>
                <w:color w:val="000000"/>
                <w:lang w:val="de-AT" w:eastAsia="de-AT"/>
              </w:rPr>
            </w:pPr>
            <w:r>
              <w:rPr>
                <w:rFonts w:cs="Arial"/>
                <w:color w:val="000000"/>
              </w:rPr>
              <w:t>8,86</w:t>
            </w:r>
          </w:p>
        </w:tc>
        <w:tc>
          <w:tcPr>
            <w:tcW w:w="1375" w:type="dxa"/>
            <w:tcBorders>
              <w:top w:val="nil"/>
              <w:left w:val="nil"/>
              <w:bottom w:val="single" w:sz="4" w:space="0" w:color="auto"/>
              <w:right w:val="single" w:sz="4" w:space="0" w:color="auto"/>
            </w:tcBorders>
            <w:shd w:val="clear" w:color="auto" w:fill="auto"/>
            <w:noWrap/>
            <w:hideMark/>
          </w:tcPr>
          <w:p w14:paraId="2096B45D" w14:textId="748FB9F1" w:rsidR="007551D4" w:rsidRPr="00D60854" w:rsidRDefault="007551D4" w:rsidP="00D60854">
            <w:pPr>
              <w:jc w:val="center"/>
              <w:rPr>
                <w:rFonts w:cs="Arial"/>
                <w:color w:val="000000"/>
                <w:lang w:val="de-AT" w:eastAsia="de-AT"/>
              </w:rPr>
            </w:pPr>
            <w:r>
              <w:rPr>
                <w:rFonts w:cs="Arial"/>
                <w:color w:val="000000"/>
              </w:rPr>
              <w:t xml:space="preserve"> - </w:t>
            </w:r>
          </w:p>
        </w:tc>
        <w:tc>
          <w:tcPr>
            <w:tcW w:w="1177" w:type="dxa"/>
            <w:tcBorders>
              <w:top w:val="nil"/>
              <w:left w:val="nil"/>
              <w:bottom w:val="single" w:sz="4" w:space="0" w:color="auto"/>
              <w:right w:val="single" w:sz="4" w:space="0" w:color="auto"/>
            </w:tcBorders>
            <w:shd w:val="clear" w:color="auto" w:fill="auto"/>
            <w:noWrap/>
            <w:hideMark/>
          </w:tcPr>
          <w:p w14:paraId="50921220" w14:textId="6B13466F" w:rsidR="007551D4" w:rsidRPr="00D60854" w:rsidRDefault="007551D4" w:rsidP="00D60854">
            <w:pPr>
              <w:jc w:val="center"/>
              <w:rPr>
                <w:rFonts w:cs="Arial"/>
                <w:color w:val="000000"/>
                <w:lang w:val="de-AT" w:eastAsia="de-AT"/>
              </w:rPr>
            </w:pPr>
            <w:r>
              <w:rPr>
                <w:rFonts w:cs="Arial"/>
                <w:color w:val="000000"/>
              </w:rPr>
              <w:t xml:space="preserve">  -  </w:t>
            </w:r>
          </w:p>
        </w:tc>
      </w:tr>
      <w:tr w:rsidR="007551D4" w:rsidRPr="00D60854" w14:paraId="3FEB063F" w14:textId="77777777" w:rsidTr="00FE1267">
        <w:trPr>
          <w:trHeight w:val="570"/>
        </w:trPr>
        <w:tc>
          <w:tcPr>
            <w:tcW w:w="2425" w:type="dxa"/>
            <w:tcBorders>
              <w:top w:val="nil"/>
              <w:left w:val="single" w:sz="4" w:space="0" w:color="auto"/>
              <w:bottom w:val="single" w:sz="4" w:space="0" w:color="auto"/>
              <w:right w:val="single" w:sz="4" w:space="0" w:color="auto"/>
            </w:tcBorders>
            <w:shd w:val="clear" w:color="auto" w:fill="auto"/>
            <w:vAlign w:val="center"/>
            <w:hideMark/>
          </w:tcPr>
          <w:p w14:paraId="17B7B1A1" w14:textId="77777777" w:rsidR="007551D4" w:rsidRPr="00D60854" w:rsidRDefault="007551D4" w:rsidP="00D76570">
            <w:pPr>
              <w:rPr>
                <w:rFonts w:cs="Arial"/>
                <w:color w:val="000000"/>
                <w:lang w:val="de-AT" w:eastAsia="de-AT"/>
              </w:rPr>
            </w:pPr>
            <w:r w:rsidRPr="00D60854">
              <w:rPr>
                <w:rFonts w:cs="Arial"/>
                <w:color w:val="000000"/>
                <w:lang w:val="de-AT" w:eastAsia="de-AT"/>
              </w:rPr>
              <w:t>VSB implantation</w:t>
            </w:r>
          </w:p>
        </w:tc>
        <w:tc>
          <w:tcPr>
            <w:tcW w:w="1701" w:type="dxa"/>
            <w:tcBorders>
              <w:top w:val="nil"/>
              <w:left w:val="nil"/>
              <w:bottom w:val="single" w:sz="4" w:space="0" w:color="auto"/>
              <w:right w:val="single" w:sz="4" w:space="0" w:color="auto"/>
            </w:tcBorders>
            <w:shd w:val="clear" w:color="auto" w:fill="auto"/>
            <w:noWrap/>
            <w:hideMark/>
          </w:tcPr>
          <w:p w14:paraId="7D26254E" w14:textId="5E936150" w:rsidR="007551D4" w:rsidRPr="00D60854" w:rsidRDefault="007551D4" w:rsidP="00D60854">
            <w:pPr>
              <w:jc w:val="center"/>
              <w:rPr>
                <w:rFonts w:cs="Arial"/>
                <w:color w:val="000000"/>
                <w:lang w:val="de-AT" w:eastAsia="de-AT"/>
              </w:rPr>
            </w:pPr>
            <w:r>
              <w:rPr>
                <w:rFonts w:cs="Arial"/>
                <w:color w:val="000000"/>
              </w:rPr>
              <w:t>AUD 24.468,43</w:t>
            </w:r>
          </w:p>
        </w:tc>
        <w:tc>
          <w:tcPr>
            <w:tcW w:w="1818" w:type="dxa"/>
            <w:tcBorders>
              <w:top w:val="nil"/>
              <w:left w:val="nil"/>
              <w:bottom w:val="single" w:sz="4" w:space="0" w:color="auto"/>
              <w:right w:val="single" w:sz="4" w:space="0" w:color="auto"/>
            </w:tcBorders>
            <w:shd w:val="clear" w:color="auto" w:fill="auto"/>
            <w:noWrap/>
            <w:hideMark/>
          </w:tcPr>
          <w:p w14:paraId="3B722DE7" w14:textId="14895CDB" w:rsidR="007551D4" w:rsidRPr="00D60854" w:rsidRDefault="007551D4" w:rsidP="00D60854">
            <w:pPr>
              <w:jc w:val="center"/>
              <w:rPr>
                <w:rFonts w:cs="Arial"/>
                <w:color w:val="000000"/>
                <w:lang w:val="de-AT" w:eastAsia="de-AT"/>
              </w:rPr>
            </w:pPr>
            <w:r>
              <w:rPr>
                <w:rFonts w:cs="Arial"/>
                <w:color w:val="000000"/>
              </w:rPr>
              <w:t xml:space="preserve"> AUD  21.927,28 </w:t>
            </w:r>
          </w:p>
        </w:tc>
        <w:tc>
          <w:tcPr>
            <w:tcW w:w="827" w:type="dxa"/>
            <w:tcBorders>
              <w:top w:val="nil"/>
              <w:left w:val="nil"/>
              <w:bottom w:val="single" w:sz="4" w:space="0" w:color="auto"/>
              <w:right w:val="single" w:sz="4" w:space="0" w:color="auto"/>
            </w:tcBorders>
            <w:shd w:val="clear" w:color="auto" w:fill="auto"/>
            <w:noWrap/>
            <w:hideMark/>
          </w:tcPr>
          <w:p w14:paraId="2657C778" w14:textId="6C9E6F76" w:rsidR="007551D4" w:rsidRPr="00D60854" w:rsidRDefault="007551D4" w:rsidP="00D60854">
            <w:pPr>
              <w:jc w:val="center"/>
              <w:rPr>
                <w:rFonts w:cs="Arial"/>
                <w:color w:val="000000"/>
                <w:lang w:val="de-AT" w:eastAsia="de-AT"/>
              </w:rPr>
            </w:pPr>
            <w:r>
              <w:rPr>
                <w:rFonts w:cs="Arial"/>
                <w:color w:val="000000"/>
              </w:rPr>
              <w:t>10,27</w:t>
            </w:r>
          </w:p>
        </w:tc>
        <w:tc>
          <w:tcPr>
            <w:tcW w:w="1375" w:type="dxa"/>
            <w:tcBorders>
              <w:top w:val="nil"/>
              <w:left w:val="nil"/>
              <w:bottom w:val="single" w:sz="4" w:space="0" w:color="auto"/>
              <w:right w:val="single" w:sz="4" w:space="0" w:color="auto"/>
            </w:tcBorders>
            <w:shd w:val="clear" w:color="auto" w:fill="auto"/>
            <w:noWrap/>
            <w:hideMark/>
          </w:tcPr>
          <w:p w14:paraId="108C0430" w14:textId="10E3E831" w:rsidR="007551D4" w:rsidRPr="00D60854" w:rsidRDefault="007551D4" w:rsidP="00D60854">
            <w:pPr>
              <w:jc w:val="center"/>
              <w:rPr>
                <w:rFonts w:cs="Arial"/>
                <w:color w:val="000000"/>
                <w:lang w:val="de-AT" w:eastAsia="de-AT"/>
              </w:rPr>
            </w:pPr>
            <w:r>
              <w:rPr>
                <w:rFonts w:cs="Arial"/>
                <w:color w:val="000000"/>
              </w:rPr>
              <w:t>1,41</w:t>
            </w:r>
          </w:p>
        </w:tc>
        <w:tc>
          <w:tcPr>
            <w:tcW w:w="1177" w:type="dxa"/>
            <w:tcBorders>
              <w:top w:val="nil"/>
              <w:left w:val="nil"/>
              <w:bottom w:val="single" w:sz="4" w:space="0" w:color="auto"/>
              <w:right w:val="single" w:sz="4" w:space="0" w:color="auto"/>
            </w:tcBorders>
            <w:shd w:val="clear" w:color="auto" w:fill="auto"/>
            <w:noWrap/>
            <w:hideMark/>
          </w:tcPr>
          <w:p w14:paraId="668964C0" w14:textId="08153E26" w:rsidR="007551D4" w:rsidRPr="00D60854" w:rsidRDefault="007551D4" w:rsidP="00D60854">
            <w:pPr>
              <w:jc w:val="center"/>
              <w:rPr>
                <w:rFonts w:cs="Arial"/>
                <w:color w:val="000000"/>
                <w:lang w:val="de-AT" w:eastAsia="de-AT"/>
              </w:rPr>
            </w:pPr>
            <w:r>
              <w:rPr>
                <w:rFonts w:cs="Arial"/>
                <w:color w:val="000000"/>
              </w:rPr>
              <w:t xml:space="preserve">15.575,26 </w:t>
            </w:r>
          </w:p>
        </w:tc>
      </w:tr>
    </w:tbl>
    <w:p w14:paraId="365B7953" w14:textId="77777777" w:rsidR="00B22312" w:rsidRDefault="00B22312" w:rsidP="00B22312">
      <w:pPr>
        <w:spacing w:line="360" w:lineRule="auto"/>
        <w:jc w:val="both"/>
        <w:rPr>
          <w:rFonts w:cs="Arial"/>
          <w:b/>
          <w:sz w:val="20"/>
          <w:szCs w:val="20"/>
          <w:lang w:val="fr-FR"/>
        </w:rPr>
      </w:pPr>
    </w:p>
    <w:p w14:paraId="6E4A4834" w14:textId="77777777" w:rsidR="00A328BE" w:rsidRDefault="00A328BE" w:rsidP="00FE1267">
      <w:pPr>
        <w:spacing w:line="360" w:lineRule="auto"/>
        <w:jc w:val="center"/>
        <w:rPr>
          <w:rFonts w:cs="Arial"/>
          <w:b/>
          <w:bCs/>
          <w:sz w:val="20"/>
          <w:szCs w:val="20"/>
          <w:lang w:val="fr-FR"/>
        </w:rPr>
      </w:pPr>
    </w:p>
    <w:p w14:paraId="32C0F80A" w14:textId="77777777" w:rsidR="00B22312" w:rsidRPr="005079EC" w:rsidRDefault="00B22312" w:rsidP="00B22312">
      <w:pPr>
        <w:spacing w:line="360" w:lineRule="auto"/>
        <w:jc w:val="both"/>
        <w:rPr>
          <w:rFonts w:cs="Arial"/>
          <w:b/>
          <w:sz w:val="20"/>
          <w:szCs w:val="20"/>
          <w:lang w:val="en-US"/>
        </w:rPr>
      </w:pPr>
      <w:bookmarkStart w:id="589" w:name="_Ref431654532"/>
      <w:bookmarkStart w:id="590" w:name="_Toc431917516"/>
      <w:r w:rsidRPr="005079EC">
        <w:rPr>
          <w:rFonts w:cs="Arial"/>
          <w:b/>
          <w:bCs/>
          <w:sz w:val="20"/>
          <w:szCs w:val="20"/>
          <w:lang w:val="en-US"/>
        </w:rPr>
        <w:t xml:space="preserve">Table </w:t>
      </w:r>
      <w:r w:rsidRPr="00AE06D8">
        <w:rPr>
          <w:rFonts w:cs="Arial"/>
          <w:b/>
          <w:bCs/>
          <w:sz w:val="20"/>
          <w:szCs w:val="20"/>
        </w:rPr>
        <w:fldChar w:fldCharType="begin"/>
      </w:r>
      <w:r w:rsidRPr="005079EC">
        <w:rPr>
          <w:rFonts w:cs="Arial"/>
          <w:b/>
          <w:bCs/>
          <w:sz w:val="20"/>
          <w:szCs w:val="20"/>
          <w:lang w:val="en-US"/>
        </w:rPr>
        <w:instrText xml:space="preserve"> SEQ Table \* ARABIC </w:instrText>
      </w:r>
      <w:r w:rsidRPr="00AE06D8">
        <w:rPr>
          <w:rFonts w:cs="Arial"/>
          <w:b/>
          <w:bCs/>
          <w:sz w:val="20"/>
          <w:szCs w:val="20"/>
        </w:rPr>
        <w:fldChar w:fldCharType="separate"/>
      </w:r>
      <w:r w:rsidR="00016592">
        <w:rPr>
          <w:rFonts w:cs="Arial"/>
          <w:b/>
          <w:bCs/>
          <w:noProof/>
          <w:sz w:val="20"/>
          <w:szCs w:val="20"/>
          <w:lang w:val="en-US"/>
        </w:rPr>
        <w:t>56</w:t>
      </w:r>
      <w:r w:rsidRPr="00AE06D8">
        <w:rPr>
          <w:rFonts w:cs="Arial"/>
          <w:b/>
          <w:bCs/>
          <w:sz w:val="20"/>
          <w:szCs w:val="20"/>
        </w:rPr>
        <w:fldChar w:fldCharType="end"/>
      </w:r>
      <w:bookmarkEnd w:id="589"/>
      <w:r w:rsidRPr="005079EC">
        <w:rPr>
          <w:rFonts w:cs="Arial"/>
          <w:b/>
          <w:bCs/>
          <w:sz w:val="20"/>
          <w:szCs w:val="20"/>
          <w:lang w:val="en-US"/>
        </w:rPr>
        <w:t xml:space="preserve"> – </w:t>
      </w:r>
      <w:r w:rsidR="00D60854" w:rsidRPr="005079EC">
        <w:rPr>
          <w:rFonts w:cs="Arial"/>
          <w:b/>
          <w:sz w:val="20"/>
          <w:szCs w:val="20"/>
          <w:lang w:val="en-US"/>
        </w:rPr>
        <w:t>The effect of different time horizons on the main economic model</w:t>
      </w:r>
      <w:bookmarkEnd w:id="590"/>
    </w:p>
    <w:tbl>
      <w:tblPr>
        <w:tblW w:w="9314" w:type="dxa"/>
        <w:tblCellMar>
          <w:left w:w="70" w:type="dxa"/>
          <w:right w:w="70" w:type="dxa"/>
        </w:tblCellMar>
        <w:tblLook w:val="04A0" w:firstRow="1" w:lastRow="0" w:firstColumn="1" w:lastColumn="0" w:noHBand="0" w:noVBand="1"/>
        <w:tblDescription w:val="The effect of different time horizons on the main economic model"/>
      </w:tblPr>
      <w:tblGrid>
        <w:gridCol w:w="2425"/>
        <w:gridCol w:w="1701"/>
        <w:gridCol w:w="1821"/>
        <w:gridCol w:w="816"/>
        <w:gridCol w:w="1403"/>
        <w:gridCol w:w="1148"/>
      </w:tblGrid>
      <w:tr w:rsidR="00D60854" w:rsidRPr="00D60854" w14:paraId="47E7DB74" w14:textId="77777777" w:rsidTr="00FE1267">
        <w:trPr>
          <w:trHeight w:val="560"/>
        </w:trPr>
        <w:tc>
          <w:tcPr>
            <w:tcW w:w="2425"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2FF868EE" w14:textId="77777777" w:rsidR="00D60854" w:rsidRPr="00D60854" w:rsidRDefault="00D60854" w:rsidP="00D60854">
            <w:pPr>
              <w:jc w:val="center"/>
              <w:rPr>
                <w:rFonts w:cs="Arial"/>
                <w:b/>
                <w:bCs/>
                <w:color w:val="000000"/>
                <w:lang w:val="de-AT" w:eastAsia="de-AT"/>
              </w:rPr>
            </w:pPr>
            <w:r w:rsidRPr="00D60854">
              <w:rPr>
                <w:rFonts w:cs="Arial"/>
                <w:b/>
                <w:bCs/>
                <w:color w:val="000000"/>
                <w:lang w:val="de-AT" w:eastAsia="de-AT"/>
              </w:rPr>
              <w:t>Strategy</w:t>
            </w:r>
          </w:p>
        </w:tc>
        <w:tc>
          <w:tcPr>
            <w:tcW w:w="1701" w:type="dxa"/>
            <w:tcBorders>
              <w:top w:val="single" w:sz="8" w:space="0" w:color="auto"/>
              <w:left w:val="nil"/>
              <w:bottom w:val="single" w:sz="4" w:space="0" w:color="auto"/>
              <w:right w:val="single" w:sz="4" w:space="0" w:color="auto"/>
            </w:tcBorders>
            <w:shd w:val="clear" w:color="auto" w:fill="auto"/>
            <w:vAlign w:val="center"/>
            <w:hideMark/>
          </w:tcPr>
          <w:p w14:paraId="67DE4F5F" w14:textId="77777777" w:rsidR="00D60854" w:rsidRPr="00D60854" w:rsidRDefault="00D60854" w:rsidP="00D60854">
            <w:pPr>
              <w:jc w:val="center"/>
              <w:rPr>
                <w:rFonts w:cs="Arial"/>
                <w:b/>
                <w:bCs/>
                <w:color w:val="000000"/>
                <w:lang w:val="de-AT" w:eastAsia="de-AT"/>
              </w:rPr>
            </w:pPr>
            <w:r w:rsidRPr="00D60854">
              <w:rPr>
                <w:rFonts w:cs="Arial"/>
                <w:b/>
                <w:bCs/>
                <w:color w:val="000000"/>
                <w:lang w:val="de-AT" w:eastAsia="de-AT"/>
              </w:rPr>
              <w:t>Cost</w:t>
            </w:r>
          </w:p>
        </w:tc>
        <w:tc>
          <w:tcPr>
            <w:tcW w:w="1821" w:type="dxa"/>
            <w:tcBorders>
              <w:top w:val="single" w:sz="8" w:space="0" w:color="auto"/>
              <w:left w:val="nil"/>
              <w:bottom w:val="single" w:sz="4" w:space="0" w:color="auto"/>
              <w:right w:val="single" w:sz="4" w:space="0" w:color="auto"/>
            </w:tcBorders>
            <w:shd w:val="clear" w:color="auto" w:fill="auto"/>
            <w:vAlign w:val="center"/>
            <w:hideMark/>
          </w:tcPr>
          <w:p w14:paraId="5697D257" w14:textId="77777777" w:rsidR="00D60854" w:rsidRPr="00D60854" w:rsidRDefault="00D60854" w:rsidP="00D60854">
            <w:pPr>
              <w:jc w:val="center"/>
              <w:rPr>
                <w:rFonts w:cs="Arial"/>
                <w:b/>
                <w:bCs/>
                <w:color w:val="000000"/>
                <w:lang w:val="de-AT" w:eastAsia="de-AT"/>
              </w:rPr>
            </w:pPr>
            <w:r w:rsidRPr="00D60854">
              <w:rPr>
                <w:rFonts w:cs="Arial"/>
                <w:b/>
                <w:bCs/>
                <w:color w:val="000000"/>
                <w:lang w:val="de-AT" w:eastAsia="de-AT"/>
              </w:rPr>
              <w:t xml:space="preserve">Incremental cost </w:t>
            </w:r>
          </w:p>
        </w:tc>
        <w:tc>
          <w:tcPr>
            <w:tcW w:w="816" w:type="dxa"/>
            <w:tcBorders>
              <w:top w:val="single" w:sz="8" w:space="0" w:color="auto"/>
              <w:left w:val="nil"/>
              <w:bottom w:val="single" w:sz="4" w:space="0" w:color="auto"/>
              <w:right w:val="single" w:sz="4" w:space="0" w:color="auto"/>
            </w:tcBorders>
            <w:shd w:val="clear" w:color="auto" w:fill="auto"/>
            <w:vAlign w:val="center"/>
            <w:hideMark/>
          </w:tcPr>
          <w:p w14:paraId="196D43DA" w14:textId="77777777" w:rsidR="00D60854" w:rsidRPr="00D60854" w:rsidRDefault="00D60854" w:rsidP="00D60854">
            <w:pPr>
              <w:jc w:val="center"/>
              <w:rPr>
                <w:rFonts w:cs="Arial"/>
                <w:b/>
                <w:bCs/>
                <w:color w:val="000000"/>
                <w:lang w:val="de-AT" w:eastAsia="de-AT"/>
              </w:rPr>
            </w:pPr>
            <w:r w:rsidRPr="00D60854">
              <w:rPr>
                <w:rFonts w:cs="Arial"/>
                <w:b/>
                <w:bCs/>
                <w:color w:val="000000"/>
                <w:lang w:val="de-AT" w:eastAsia="de-AT"/>
              </w:rPr>
              <w:t>QALY</w:t>
            </w:r>
          </w:p>
        </w:tc>
        <w:tc>
          <w:tcPr>
            <w:tcW w:w="1403" w:type="dxa"/>
            <w:tcBorders>
              <w:top w:val="single" w:sz="8" w:space="0" w:color="auto"/>
              <w:left w:val="nil"/>
              <w:bottom w:val="single" w:sz="4" w:space="0" w:color="auto"/>
              <w:right w:val="single" w:sz="4" w:space="0" w:color="auto"/>
            </w:tcBorders>
            <w:shd w:val="clear" w:color="auto" w:fill="auto"/>
            <w:vAlign w:val="center"/>
            <w:hideMark/>
          </w:tcPr>
          <w:p w14:paraId="0FD0B96C" w14:textId="77777777" w:rsidR="00D60854" w:rsidRPr="00D60854" w:rsidRDefault="00D60854" w:rsidP="00D60854">
            <w:pPr>
              <w:jc w:val="center"/>
              <w:rPr>
                <w:rFonts w:cs="Arial"/>
                <w:b/>
                <w:bCs/>
                <w:color w:val="000000"/>
                <w:lang w:val="de-AT" w:eastAsia="de-AT"/>
              </w:rPr>
            </w:pPr>
            <w:r w:rsidRPr="00D60854">
              <w:rPr>
                <w:rFonts w:cs="Arial"/>
                <w:b/>
                <w:bCs/>
                <w:color w:val="000000"/>
                <w:lang w:val="de-AT" w:eastAsia="de-AT"/>
              </w:rPr>
              <w:t>Incremental QALY</w:t>
            </w:r>
          </w:p>
        </w:tc>
        <w:tc>
          <w:tcPr>
            <w:tcW w:w="1148" w:type="dxa"/>
            <w:tcBorders>
              <w:top w:val="single" w:sz="8" w:space="0" w:color="auto"/>
              <w:left w:val="nil"/>
              <w:bottom w:val="single" w:sz="4" w:space="0" w:color="auto"/>
              <w:right w:val="single" w:sz="8" w:space="0" w:color="auto"/>
            </w:tcBorders>
            <w:shd w:val="clear" w:color="auto" w:fill="auto"/>
            <w:vAlign w:val="center"/>
            <w:hideMark/>
          </w:tcPr>
          <w:p w14:paraId="556612B0" w14:textId="77777777" w:rsidR="00D60854" w:rsidRPr="00D60854" w:rsidRDefault="00D60854" w:rsidP="00D60854">
            <w:pPr>
              <w:jc w:val="center"/>
              <w:rPr>
                <w:rFonts w:cs="Arial"/>
                <w:b/>
                <w:bCs/>
                <w:color w:val="000000"/>
                <w:lang w:val="de-AT" w:eastAsia="de-AT"/>
              </w:rPr>
            </w:pPr>
            <w:r w:rsidRPr="00D60854">
              <w:rPr>
                <w:rFonts w:cs="Arial"/>
                <w:b/>
                <w:bCs/>
                <w:color w:val="000000"/>
                <w:lang w:val="de-AT" w:eastAsia="de-AT"/>
              </w:rPr>
              <w:t>ICER ($/QALY)</w:t>
            </w:r>
          </w:p>
        </w:tc>
      </w:tr>
      <w:tr w:rsidR="00D60854" w:rsidRPr="00D60854" w14:paraId="2F37196F" w14:textId="77777777" w:rsidTr="00FE1267">
        <w:trPr>
          <w:trHeight w:val="467"/>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14:paraId="24DAD21A" w14:textId="77777777" w:rsidR="00D60854" w:rsidRPr="00D60854" w:rsidRDefault="00D60854" w:rsidP="00D76570">
            <w:pPr>
              <w:rPr>
                <w:rFonts w:cs="Arial"/>
                <w:b/>
                <w:bCs/>
                <w:color w:val="000000"/>
                <w:lang w:val="de-AT" w:eastAsia="de-AT"/>
              </w:rPr>
            </w:pPr>
            <w:r w:rsidRPr="00D60854">
              <w:rPr>
                <w:rFonts w:cs="Arial"/>
                <w:b/>
                <w:bCs/>
                <w:color w:val="000000"/>
                <w:lang w:val="de-AT" w:eastAsia="de-AT"/>
              </w:rPr>
              <w:t>10 year discounted</w:t>
            </w:r>
          </w:p>
        </w:tc>
        <w:tc>
          <w:tcPr>
            <w:tcW w:w="1701" w:type="dxa"/>
            <w:tcBorders>
              <w:top w:val="nil"/>
              <w:left w:val="nil"/>
              <w:bottom w:val="single" w:sz="4" w:space="0" w:color="auto"/>
              <w:right w:val="single" w:sz="4" w:space="0" w:color="auto"/>
            </w:tcBorders>
            <w:shd w:val="clear" w:color="auto" w:fill="auto"/>
            <w:noWrap/>
            <w:vAlign w:val="center"/>
            <w:hideMark/>
          </w:tcPr>
          <w:p w14:paraId="79BAE491" w14:textId="77777777" w:rsidR="00D60854" w:rsidRPr="00D60854" w:rsidRDefault="00D60854" w:rsidP="00D60854">
            <w:pPr>
              <w:jc w:val="center"/>
              <w:rPr>
                <w:rFonts w:cs="Arial"/>
                <w:color w:val="000000"/>
                <w:lang w:val="de-AT" w:eastAsia="de-AT"/>
              </w:rPr>
            </w:pPr>
          </w:p>
        </w:tc>
        <w:tc>
          <w:tcPr>
            <w:tcW w:w="1821" w:type="dxa"/>
            <w:tcBorders>
              <w:top w:val="nil"/>
              <w:left w:val="nil"/>
              <w:bottom w:val="single" w:sz="4" w:space="0" w:color="auto"/>
              <w:right w:val="single" w:sz="4" w:space="0" w:color="auto"/>
            </w:tcBorders>
            <w:shd w:val="clear" w:color="auto" w:fill="auto"/>
            <w:noWrap/>
            <w:vAlign w:val="center"/>
            <w:hideMark/>
          </w:tcPr>
          <w:p w14:paraId="11DF8690" w14:textId="77777777" w:rsidR="00D60854" w:rsidRPr="00D60854" w:rsidRDefault="00D60854" w:rsidP="00D60854">
            <w:pPr>
              <w:jc w:val="center"/>
              <w:rPr>
                <w:rFonts w:cs="Arial"/>
                <w:color w:val="000000"/>
                <w:lang w:val="de-AT" w:eastAsia="de-AT"/>
              </w:rPr>
            </w:pPr>
          </w:p>
        </w:tc>
        <w:tc>
          <w:tcPr>
            <w:tcW w:w="816" w:type="dxa"/>
            <w:tcBorders>
              <w:top w:val="nil"/>
              <w:left w:val="nil"/>
              <w:bottom w:val="single" w:sz="4" w:space="0" w:color="auto"/>
              <w:right w:val="single" w:sz="4" w:space="0" w:color="auto"/>
            </w:tcBorders>
            <w:shd w:val="clear" w:color="auto" w:fill="auto"/>
            <w:noWrap/>
            <w:vAlign w:val="center"/>
            <w:hideMark/>
          </w:tcPr>
          <w:p w14:paraId="473A0DC4" w14:textId="77777777" w:rsidR="00D60854" w:rsidRPr="00D60854" w:rsidRDefault="00D60854" w:rsidP="00D60854">
            <w:pPr>
              <w:jc w:val="center"/>
              <w:rPr>
                <w:rFonts w:cs="Arial"/>
                <w:color w:val="000000"/>
                <w:lang w:val="de-AT" w:eastAsia="de-AT"/>
              </w:rPr>
            </w:pPr>
          </w:p>
        </w:tc>
        <w:tc>
          <w:tcPr>
            <w:tcW w:w="1403" w:type="dxa"/>
            <w:tcBorders>
              <w:top w:val="nil"/>
              <w:left w:val="nil"/>
              <w:bottom w:val="single" w:sz="4" w:space="0" w:color="auto"/>
              <w:right w:val="single" w:sz="4" w:space="0" w:color="auto"/>
            </w:tcBorders>
            <w:shd w:val="clear" w:color="auto" w:fill="auto"/>
            <w:noWrap/>
            <w:vAlign w:val="center"/>
            <w:hideMark/>
          </w:tcPr>
          <w:p w14:paraId="192EEEAC" w14:textId="77777777" w:rsidR="00D60854" w:rsidRPr="00D60854" w:rsidRDefault="00D60854" w:rsidP="00D60854">
            <w:pPr>
              <w:jc w:val="center"/>
              <w:rPr>
                <w:rFonts w:cs="Arial"/>
                <w:color w:val="000000"/>
                <w:lang w:val="de-AT" w:eastAsia="de-AT"/>
              </w:rPr>
            </w:pPr>
          </w:p>
        </w:tc>
        <w:tc>
          <w:tcPr>
            <w:tcW w:w="1148" w:type="dxa"/>
            <w:tcBorders>
              <w:top w:val="nil"/>
              <w:left w:val="nil"/>
              <w:bottom w:val="single" w:sz="4" w:space="0" w:color="auto"/>
              <w:right w:val="single" w:sz="4" w:space="0" w:color="auto"/>
            </w:tcBorders>
            <w:shd w:val="clear" w:color="auto" w:fill="auto"/>
            <w:noWrap/>
            <w:vAlign w:val="center"/>
            <w:hideMark/>
          </w:tcPr>
          <w:p w14:paraId="3887077D" w14:textId="77777777" w:rsidR="00D60854" w:rsidRPr="00D60854" w:rsidRDefault="00D60854" w:rsidP="00D60854">
            <w:pPr>
              <w:jc w:val="center"/>
              <w:rPr>
                <w:rFonts w:cs="Arial"/>
                <w:color w:val="000000"/>
                <w:lang w:val="de-AT" w:eastAsia="de-AT"/>
              </w:rPr>
            </w:pPr>
          </w:p>
        </w:tc>
      </w:tr>
      <w:tr w:rsidR="007551D4" w:rsidRPr="00D60854" w14:paraId="7B18C963" w14:textId="77777777" w:rsidTr="00FE1267">
        <w:trPr>
          <w:trHeight w:val="290"/>
        </w:trPr>
        <w:tc>
          <w:tcPr>
            <w:tcW w:w="2425" w:type="dxa"/>
            <w:tcBorders>
              <w:top w:val="nil"/>
              <w:left w:val="single" w:sz="4" w:space="0" w:color="auto"/>
              <w:bottom w:val="single" w:sz="4" w:space="0" w:color="auto"/>
              <w:right w:val="single" w:sz="4" w:space="0" w:color="auto"/>
            </w:tcBorders>
            <w:shd w:val="clear" w:color="auto" w:fill="auto"/>
            <w:vAlign w:val="center"/>
            <w:hideMark/>
          </w:tcPr>
          <w:p w14:paraId="6FD774B0" w14:textId="77777777" w:rsidR="007551D4" w:rsidRPr="00D60854" w:rsidRDefault="007551D4" w:rsidP="00D76570">
            <w:pPr>
              <w:rPr>
                <w:rFonts w:cs="Arial"/>
                <w:color w:val="000000"/>
                <w:lang w:val="de-AT" w:eastAsia="de-AT"/>
              </w:rPr>
            </w:pPr>
            <w:r w:rsidRPr="00D60854">
              <w:rPr>
                <w:rFonts w:cs="Arial"/>
                <w:color w:val="000000"/>
                <w:lang w:val="de-AT" w:eastAsia="de-AT"/>
              </w:rPr>
              <w:t>No intervention</w:t>
            </w:r>
          </w:p>
        </w:tc>
        <w:tc>
          <w:tcPr>
            <w:tcW w:w="1701" w:type="dxa"/>
            <w:tcBorders>
              <w:top w:val="nil"/>
              <w:left w:val="nil"/>
              <w:bottom w:val="single" w:sz="4" w:space="0" w:color="auto"/>
              <w:right w:val="single" w:sz="4" w:space="0" w:color="auto"/>
            </w:tcBorders>
            <w:shd w:val="clear" w:color="auto" w:fill="auto"/>
            <w:noWrap/>
            <w:hideMark/>
          </w:tcPr>
          <w:p w14:paraId="37A47B13" w14:textId="1FA79251" w:rsidR="007551D4" w:rsidRPr="00D60854" w:rsidRDefault="007551D4" w:rsidP="00D60854">
            <w:pPr>
              <w:jc w:val="center"/>
              <w:rPr>
                <w:rFonts w:cs="Arial"/>
                <w:color w:val="000000"/>
                <w:lang w:val="de-AT" w:eastAsia="de-AT"/>
              </w:rPr>
            </w:pPr>
            <w:r>
              <w:rPr>
                <w:rFonts w:cs="Arial"/>
                <w:color w:val="000000"/>
              </w:rPr>
              <w:t xml:space="preserve"> AUD 2.541,16 </w:t>
            </w:r>
          </w:p>
        </w:tc>
        <w:tc>
          <w:tcPr>
            <w:tcW w:w="1821" w:type="dxa"/>
            <w:tcBorders>
              <w:top w:val="nil"/>
              <w:left w:val="nil"/>
              <w:bottom w:val="single" w:sz="4" w:space="0" w:color="auto"/>
              <w:right w:val="single" w:sz="4" w:space="0" w:color="auto"/>
            </w:tcBorders>
            <w:shd w:val="clear" w:color="auto" w:fill="auto"/>
            <w:noWrap/>
            <w:hideMark/>
          </w:tcPr>
          <w:p w14:paraId="3C125A8C" w14:textId="26F7FA2E" w:rsidR="007551D4" w:rsidRPr="00D60854" w:rsidRDefault="007551D4" w:rsidP="00D60854">
            <w:pPr>
              <w:jc w:val="center"/>
              <w:rPr>
                <w:rFonts w:cs="Arial"/>
                <w:color w:val="000000"/>
                <w:lang w:val="de-AT" w:eastAsia="de-AT"/>
              </w:rPr>
            </w:pPr>
            <w:r>
              <w:rPr>
                <w:rFonts w:cs="Arial"/>
                <w:color w:val="000000"/>
              </w:rPr>
              <w:t xml:space="preserve">  -  </w:t>
            </w:r>
          </w:p>
        </w:tc>
        <w:tc>
          <w:tcPr>
            <w:tcW w:w="816" w:type="dxa"/>
            <w:tcBorders>
              <w:top w:val="nil"/>
              <w:left w:val="nil"/>
              <w:bottom w:val="single" w:sz="4" w:space="0" w:color="auto"/>
              <w:right w:val="single" w:sz="4" w:space="0" w:color="auto"/>
            </w:tcBorders>
            <w:shd w:val="clear" w:color="auto" w:fill="auto"/>
            <w:noWrap/>
            <w:hideMark/>
          </w:tcPr>
          <w:p w14:paraId="2728941D" w14:textId="0F9F5BBA" w:rsidR="007551D4" w:rsidRPr="00D60854" w:rsidRDefault="007551D4" w:rsidP="00D60854">
            <w:pPr>
              <w:jc w:val="center"/>
              <w:rPr>
                <w:rFonts w:cs="Arial"/>
                <w:color w:val="000000"/>
                <w:lang w:val="de-AT" w:eastAsia="de-AT"/>
              </w:rPr>
            </w:pPr>
            <w:r>
              <w:rPr>
                <w:rFonts w:cs="Arial"/>
                <w:color w:val="000000"/>
              </w:rPr>
              <w:t>8,86</w:t>
            </w:r>
          </w:p>
        </w:tc>
        <w:tc>
          <w:tcPr>
            <w:tcW w:w="1403" w:type="dxa"/>
            <w:tcBorders>
              <w:top w:val="nil"/>
              <w:left w:val="nil"/>
              <w:bottom w:val="single" w:sz="4" w:space="0" w:color="auto"/>
              <w:right w:val="single" w:sz="4" w:space="0" w:color="auto"/>
            </w:tcBorders>
            <w:shd w:val="clear" w:color="auto" w:fill="auto"/>
            <w:noWrap/>
            <w:hideMark/>
          </w:tcPr>
          <w:p w14:paraId="5AC6DB8C" w14:textId="51720F6C" w:rsidR="007551D4" w:rsidRPr="00D60854" w:rsidRDefault="007551D4" w:rsidP="00D60854">
            <w:pPr>
              <w:jc w:val="center"/>
              <w:rPr>
                <w:rFonts w:cs="Arial"/>
                <w:color w:val="000000"/>
                <w:lang w:val="de-AT" w:eastAsia="de-AT"/>
              </w:rPr>
            </w:pPr>
            <w:r>
              <w:rPr>
                <w:rFonts w:cs="Arial"/>
                <w:color w:val="000000"/>
              </w:rPr>
              <w:t xml:space="preserve"> - </w:t>
            </w:r>
          </w:p>
        </w:tc>
        <w:tc>
          <w:tcPr>
            <w:tcW w:w="1148" w:type="dxa"/>
            <w:tcBorders>
              <w:top w:val="nil"/>
              <w:left w:val="nil"/>
              <w:bottom w:val="single" w:sz="4" w:space="0" w:color="auto"/>
              <w:right w:val="single" w:sz="4" w:space="0" w:color="auto"/>
            </w:tcBorders>
            <w:shd w:val="clear" w:color="auto" w:fill="auto"/>
            <w:noWrap/>
            <w:hideMark/>
          </w:tcPr>
          <w:p w14:paraId="19E180D9" w14:textId="1E0E2581" w:rsidR="007551D4" w:rsidRPr="00D60854" w:rsidRDefault="007551D4" w:rsidP="00D60854">
            <w:pPr>
              <w:jc w:val="center"/>
              <w:rPr>
                <w:rFonts w:cs="Arial"/>
                <w:color w:val="000000"/>
                <w:lang w:val="de-AT" w:eastAsia="de-AT"/>
              </w:rPr>
            </w:pPr>
            <w:r>
              <w:rPr>
                <w:rFonts w:cs="Arial"/>
                <w:color w:val="000000"/>
              </w:rPr>
              <w:t xml:space="preserve">  -  </w:t>
            </w:r>
          </w:p>
        </w:tc>
      </w:tr>
      <w:tr w:rsidR="007551D4" w:rsidRPr="00D60854" w14:paraId="48EF9FAA" w14:textId="77777777" w:rsidTr="00FE1267">
        <w:trPr>
          <w:trHeight w:val="570"/>
        </w:trPr>
        <w:tc>
          <w:tcPr>
            <w:tcW w:w="2425" w:type="dxa"/>
            <w:tcBorders>
              <w:top w:val="nil"/>
              <w:left w:val="single" w:sz="4" w:space="0" w:color="auto"/>
              <w:bottom w:val="single" w:sz="4" w:space="0" w:color="auto"/>
              <w:right w:val="single" w:sz="4" w:space="0" w:color="auto"/>
            </w:tcBorders>
            <w:shd w:val="clear" w:color="auto" w:fill="auto"/>
            <w:vAlign w:val="center"/>
            <w:hideMark/>
          </w:tcPr>
          <w:p w14:paraId="00F2E2E4" w14:textId="77777777" w:rsidR="007551D4" w:rsidRPr="00D60854" w:rsidRDefault="007551D4" w:rsidP="00D76570">
            <w:pPr>
              <w:rPr>
                <w:rFonts w:cs="Arial"/>
                <w:color w:val="000000"/>
                <w:lang w:val="de-AT" w:eastAsia="de-AT"/>
              </w:rPr>
            </w:pPr>
            <w:r w:rsidRPr="00D60854">
              <w:rPr>
                <w:rFonts w:cs="Arial"/>
                <w:color w:val="000000"/>
                <w:lang w:val="de-AT" w:eastAsia="de-AT"/>
              </w:rPr>
              <w:t>VSB implantation</w:t>
            </w:r>
          </w:p>
        </w:tc>
        <w:tc>
          <w:tcPr>
            <w:tcW w:w="1701" w:type="dxa"/>
            <w:tcBorders>
              <w:top w:val="nil"/>
              <w:left w:val="nil"/>
              <w:bottom w:val="single" w:sz="4" w:space="0" w:color="auto"/>
              <w:right w:val="single" w:sz="4" w:space="0" w:color="auto"/>
            </w:tcBorders>
            <w:shd w:val="clear" w:color="auto" w:fill="auto"/>
            <w:noWrap/>
            <w:hideMark/>
          </w:tcPr>
          <w:p w14:paraId="00F6E520" w14:textId="60FEDABC" w:rsidR="007551D4" w:rsidRPr="00D60854" w:rsidRDefault="007551D4" w:rsidP="00D60854">
            <w:pPr>
              <w:jc w:val="center"/>
              <w:rPr>
                <w:rFonts w:cs="Arial"/>
                <w:color w:val="000000"/>
                <w:lang w:val="de-AT" w:eastAsia="de-AT"/>
              </w:rPr>
            </w:pPr>
            <w:r>
              <w:rPr>
                <w:rFonts w:cs="Arial"/>
                <w:color w:val="000000"/>
              </w:rPr>
              <w:t>AUD 24.468,43</w:t>
            </w:r>
          </w:p>
        </w:tc>
        <w:tc>
          <w:tcPr>
            <w:tcW w:w="1821" w:type="dxa"/>
            <w:tcBorders>
              <w:top w:val="nil"/>
              <w:left w:val="nil"/>
              <w:bottom w:val="single" w:sz="4" w:space="0" w:color="auto"/>
              <w:right w:val="single" w:sz="4" w:space="0" w:color="auto"/>
            </w:tcBorders>
            <w:shd w:val="clear" w:color="auto" w:fill="auto"/>
            <w:noWrap/>
            <w:hideMark/>
          </w:tcPr>
          <w:p w14:paraId="1AC0BB1E" w14:textId="07DF4640" w:rsidR="007551D4" w:rsidRPr="00D60854" w:rsidRDefault="007551D4" w:rsidP="00D60854">
            <w:pPr>
              <w:jc w:val="center"/>
              <w:rPr>
                <w:rFonts w:cs="Arial"/>
                <w:color w:val="000000"/>
                <w:lang w:val="de-AT" w:eastAsia="de-AT"/>
              </w:rPr>
            </w:pPr>
            <w:r>
              <w:rPr>
                <w:rFonts w:cs="Arial"/>
                <w:color w:val="000000"/>
              </w:rPr>
              <w:t xml:space="preserve"> AUD  21.927,28 </w:t>
            </w:r>
          </w:p>
        </w:tc>
        <w:tc>
          <w:tcPr>
            <w:tcW w:w="816" w:type="dxa"/>
            <w:tcBorders>
              <w:top w:val="nil"/>
              <w:left w:val="nil"/>
              <w:bottom w:val="single" w:sz="4" w:space="0" w:color="auto"/>
              <w:right w:val="single" w:sz="4" w:space="0" w:color="auto"/>
            </w:tcBorders>
            <w:shd w:val="clear" w:color="auto" w:fill="auto"/>
            <w:noWrap/>
            <w:hideMark/>
          </w:tcPr>
          <w:p w14:paraId="6ED73F9A" w14:textId="7E1761D0" w:rsidR="007551D4" w:rsidRPr="00D60854" w:rsidRDefault="007551D4" w:rsidP="00D60854">
            <w:pPr>
              <w:jc w:val="center"/>
              <w:rPr>
                <w:rFonts w:cs="Arial"/>
                <w:color w:val="000000"/>
                <w:lang w:val="de-AT" w:eastAsia="de-AT"/>
              </w:rPr>
            </w:pPr>
            <w:r>
              <w:rPr>
                <w:rFonts w:cs="Arial"/>
                <w:color w:val="000000"/>
              </w:rPr>
              <w:t>10,27</w:t>
            </w:r>
          </w:p>
        </w:tc>
        <w:tc>
          <w:tcPr>
            <w:tcW w:w="1403" w:type="dxa"/>
            <w:tcBorders>
              <w:top w:val="nil"/>
              <w:left w:val="nil"/>
              <w:bottom w:val="single" w:sz="4" w:space="0" w:color="auto"/>
              <w:right w:val="single" w:sz="4" w:space="0" w:color="auto"/>
            </w:tcBorders>
            <w:shd w:val="clear" w:color="auto" w:fill="auto"/>
            <w:noWrap/>
            <w:hideMark/>
          </w:tcPr>
          <w:p w14:paraId="52AFF65C" w14:textId="271AA0C9" w:rsidR="007551D4" w:rsidRPr="00D60854" w:rsidRDefault="007551D4" w:rsidP="00D60854">
            <w:pPr>
              <w:jc w:val="center"/>
              <w:rPr>
                <w:rFonts w:cs="Arial"/>
                <w:color w:val="000000"/>
                <w:lang w:val="de-AT" w:eastAsia="de-AT"/>
              </w:rPr>
            </w:pPr>
            <w:r>
              <w:rPr>
                <w:rFonts w:cs="Arial"/>
                <w:color w:val="000000"/>
              </w:rPr>
              <w:t>1,41</w:t>
            </w:r>
          </w:p>
        </w:tc>
        <w:tc>
          <w:tcPr>
            <w:tcW w:w="1148" w:type="dxa"/>
            <w:tcBorders>
              <w:top w:val="nil"/>
              <w:left w:val="nil"/>
              <w:bottom w:val="single" w:sz="4" w:space="0" w:color="auto"/>
              <w:right w:val="single" w:sz="4" w:space="0" w:color="auto"/>
            </w:tcBorders>
            <w:shd w:val="clear" w:color="auto" w:fill="auto"/>
            <w:noWrap/>
            <w:hideMark/>
          </w:tcPr>
          <w:p w14:paraId="438B0FF2" w14:textId="125A52DF" w:rsidR="007551D4" w:rsidRPr="00D60854" w:rsidRDefault="007551D4" w:rsidP="00D60854">
            <w:pPr>
              <w:jc w:val="center"/>
              <w:rPr>
                <w:rFonts w:cs="Arial"/>
                <w:color w:val="000000"/>
                <w:lang w:val="de-AT" w:eastAsia="de-AT"/>
              </w:rPr>
            </w:pPr>
            <w:r>
              <w:rPr>
                <w:rFonts w:cs="Arial"/>
                <w:color w:val="000000"/>
              </w:rPr>
              <w:t xml:space="preserve">15.575,26 </w:t>
            </w:r>
          </w:p>
        </w:tc>
      </w:tr>
      <w:tr w:rsidR="007551D4" w:rsidRPr="00D60854" w14:paraId="693E5836" w14:textId="77777777" w:rsidTr="00FE1267">
        <w:trPr>
          <w:trHeight w:val="387"/>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14:paraId="2BCD140D" w14:textId="77777777" w:rsidR="007551D4" w:rsidRPr="00D60854" w:rsidRDefault="007551D4" w:rsidP="00D76570">
            <w:pPr>
              <w:rPr>
                <w:rFonts w:cs="Arial"/>
                <w:b/>
                <w:bCs/>
                <w:color w:val="000000"/>
                <w:lang w:val="de-AT" w:eastAsia="de-AT"/>
              </w:rPr>
            </w:pPr>
            <w:r w:rsidRPr="00D60854">
              <w:rPr>
                <w:rFonts w:cs="Arial"/>
                <w:b/>
                <w:bCs/>
                <w:color w:val="000000"/>
                <w:lang w:val="de-AT" w:eastAsia="de-AT"/>
              </w:rPr>
              <w:t>20 year discounted</w:t>
            </w:r>
          </w:p>
        </w:tc>
        <w:tc>
          <w:tcPr>
            <w:tcW w:w="1701" w:type="dxa"/>
            <w:tcBorders>
              <w:top w:val="nil"/>
              <w:left w:val="nil"/>
              <w:bottom w:val="single" w:sz="4" w:space="0" w:color="auto"/>
              <w:right w:val="single" w:sz="4" w:space="0" w:color="auto"/>
            </w:tcBorders>
            <w:shd w:val="clear" w:color="auto" w:fill="auto"/>
            <w:noWrap/>
            <w:hideMark/>
          </w:tcPr>
          <w:p w14:paraId="758701A6" w14:textId="2E29E544" w:rsidR="007551D4" w:rsidRPr="00D60854" w:rsidRDefault="007551D4" w:rsidP="00D60854">
            <w:pPr>
              <w:jc w:val="center"/>
              <w:rPr>
                <w:rFonts w:cs="Arial"/>
                <w:b/>
                <w:bCs/>
                <w:lang w:val="de-AT" w:eastAsia="de-AT"/>
              </w:rPr>
            </w:pPr>
            <w:r>
              <w:rPr>
                <w:rFonts w:cs="Arial"/>
                <w:b/>
                <w:bCs/>
              </w:rPr>
              <w:t> </w:t>
            </w:r>
          </w:p>
        </w:tc>
        <w:tc>
          <w:tcPr>
            <w:tcW w:w="1821" w:type="dxa"/>
            <w:tcBorders>
              <w:top w:val="nil"/>
              <w:left w:val="nil"/>
              <w:bottom w:val="single" w:sz="4" w:space="0" w:color="auto"/>
              <w:right w:val="single" w:sz="4" w:space="0" w:color="auto"/>
            </w:tcBorders>
            <w:shd w:val="clear" w:color="auto" w:fill="auto"/>
            <w:noWrap/>
            <w:hideMark/>
          </w:tcPr>
          <w:p w14:paraId="57572FB8" w14:textId="184D3AA5" w:rsidR="007551D4" w:rsidRPr="00D60854" w:rsidRDefault="007551D4" w:rsidP="00D60854">
            <w:pPr>
              <w:jc w:val="center"/>
              <w:rPr>
                <w:rFonts w:cs="Arial"/>
                <w:b/>
                <w:bCs/>
                <w:lang w:val="de-AT" w:eastAsia="de-AT"/>
              </w:rPr>
            </w:pPr>
            <w:r>
              <w:rPr>
                <w:rFonts w:cs="Arial"/>
                <w:b/>
                <w:bCs/>
              </w:rPr>
              <w:t> </w:t>
            </w:r>
          </w:p>
        </w:tc>
        <w:tc>
          <w:tcPr>
            <w:tcW w:w="816" w:type="dxa"/>
            <w:tcBorders>
              <w:top w:val="nil"/>
              <w:left w:val="nil"/>
              <w:bottom w:val="single" w:sz="4" w:space="0" w:color="auto"/>
              <w:right w:val="single" w:sz="4" w:space="0" w:color="auto"/>
            </w:tcBorders>
            <w:shd w:val="clear" w:color="auto" w:fill="auto"/>
            <w:noWrap/>
            <w:hideMark/>
          </w:tcPr>
          <w:p w14:paraId="46CE8DC5" w14:textId="65CF96B8" w:rsidR="007551D4" w:rsidRPr="00D60854" w:rsidRDefault="007551D4" w:rsidP="00D60854">
            <w:pPr>
              <w:jc w:val="center"/>
              <w:rPr>
                <w:rFonts w:cs="Arial"/>
                <w:b/>
                <w:bCs/>
                <w:lang w:val="de-AT" w:eastAsia="de-AT"/>
              </w:rPr>
            </w:pPr>
            <w:r>
              <w:rPr>
                <w:rFonts w:cs="Arial"/>
                <w:b/>
                <w:bCs/>
              </w:rPr>
              <w:t> </w:t>
            </w:r>
          </w:p>
        </w:tc>
        <w:tc>
          <w:tcPr>
            <w:tcW w:w="1403" w:type="dxa"/>
            <w:tcBorders>
              <w:top w:val="nil"/>
              <w:left w:val="nil"/>
              <w:bottom w:val="single" w:sz="4" w:space="0" w:color="auto"/>
              <w:right w:val="single" w:sz="4" w:space="0" w:color="auto"/>
            </w:tcBorders>
            <w:shd w:val="clear" w:color="auto" w:fill="auto"/>
            <w:noWrap/>
            <w:hideMark/>
          </w:tcPr>
          <w:p w14:paraId="7D2195EE" w14:textId="67D5F552" w:rsidR="007551D4" w:rsidRPr="00D60854" w:rsidRDefault="007551D4" w:rsidP="00D60854">
            <w:pPr>
              <w:jc w:val="center"/>
              <w:rPr>
                <w:rFonts w:cs="Arial"/>
                <w:b/>
                <w:bCs/>
                <w:lang w:val="de-AT" w:eastAsia="de-AT"/>
              </w:rPr>
            </w:pPr>
            <w:r>
              <w:rPr>
                <w:rFonts w:cs="Arial"/>
                <w:b/>
                <w:bCs/>
              </w:rPr>
              <w:t> </w:t>
            </w:r>
          </w:p>
        </w:tc>
        <w:tc>
          <w:tcPr>
            <w:tcW w:w="1148" w:type="dxa"/>
            <w:tcBorders>
              <w:top w:val="nil"/>
              <w:left w:val="nil"/>
              <w:bottom w:val="single" w:sz="4" w:space="0" w:color="auto"/>
              <w:right w:val="single" w:sz="4" w:space="0" w:color="auto"/>
            </w:tcBorders>
            <w:shd w:val="clear" w:color="auto" w:fill="auto"/>
            <w:noWrap/>
            <w:hideMark/>
          </w:tcPr>
          <w:p w14:paraId="0C81C3B9" w14:textId="16313AE2" w:rsidR="007551D4" w:rsidRPr="00D60854" w:rsidRDefault="007551D4" w:rsidP="00D60854">
            <w:pPr>
              <w:jc w:val="center"/>
              <w:rPr>
                <w:rFonts w:cs="Arial"/>
                <w:b/>
                <w:bCs/>
                <w:lang w:val="de-AT" w:eastAsia="de-AT"/>
              </w:rPr>
            </w:pPr>
            <w:r>
              <w:rPr>
                <w:rFonts w:cs="Arial"/>
                <w:b/>
                <w:bCs/>
              </w:rPr>
              <w:t> </w:t>
            </w:r>
          </w:p>
        </w:tc>
      </w:tr>
      <w:tr w:rsidR="007551D4" w:rsidRPr="00D60854" w14:paraId="6835D0C4" w14:textId="77777777" w:rsidTr="00FE1267">
        <w:trPr>
          <w:trHeight w:val="560"/>
        </w:trPr>
        <w:tc>
          <w:tcPr>
            <w:tcW w:w="2425" w:type="dxa"/>
            <w:tcBorders>
              <w:top w:val="nil"/>
              <w:left w:val="single" w:sz="4" w:space="0" w:color="auto"/>
              <w:bottom w:val="single" w:sz="4" w:space="0" w:color="auto"/>
              <w:right w:val="single" w:sz="4" w:space="0" w:color="auto"/>
            </w:tcBorders>
            <w:shd w:val="clear" w:color="auto" w:fill="auto"/>
            <w:vAlign w:val="center"/>
            <w:hideMark/>
          </w:tcPr>
          <w:p w14:paraId="17CAFED0" w14:textId="77777777" w:rsidR="007551D4" w:rsidRPr="00D60854" w:rsidRDefault="007551D4" w:rsidP="00D76570">
            <w:pPr>
              <w:rPr>
                <w:rFonts w:cs="Arial"/>
                <w:color w:val="000000"/>
                <w:lang w:val="de-AT" w:eastAsia="de-AT"/>
              </w:rPr>
            </w:pPr>
            <w:r w:rsidRPr="00D60854">
              <w:rPr>
                <w:rFonts w:cs="Arial"/>
                <w:color w:val="000000"/>
                <w:lang w:val="de-AT" w:eastAsia="de-AT"/>
              </w:rPr>
              <w:t>No intervention</w:t>
            </w:r>
          </w:p>
        </w:tc>
        <w:tc>
          <w:tcPr>
            <w:tcW w:w="1701" w:type="dxa"/>
            <w:tcBorders>
              <w:top w:val="nil"/>
              <w:left w:val="nil"/>
              <w:bottom w:val="single" w:sz="4" w:space="0" w:color="auto"/>
              <w:right w:val="single" w:sz="4" w:space="0" w:color="auto"/>
            </w:tcBorders>
            <w:shd w:val="clear" w:color="auto" w:fill="auto"/>
            <w:noWrap/>
            <w:hideMark/>
          </w:tcPr>
          <w:p w14:paraId="619E3A51" w14:textId="734505CF" w:rsidR="007551D4" w:rsidRPr="00D60854" w:rsidRDefault="007551D4" w:rsidP="00D60854">
            <w:pPr>
              <w:jc w:val="center"/>
              <w:rPr>
                <w:rFonts w:cs="Arial"/>
                <w:lang w:val="de-AT" w:eastAsia="de-AT"/>
              </w:rPr>
            </w:pPr>
            <w:r>
              <w:rPr>
                <w:rFonts w:cs="Arial"/>
              </w:rPr>
              <w:t>AUD 3.626,74</w:t>
            </w:r>
          </w:p>
        </w:tc>
        <w:tc>
          <w:tcPr>
            <w:tcW w:w="1821" w:type="dxa"/>
            <w:tcBorders>
              <w:top w:val="nil"/>
              <w:left w:val="nil"/>
              <w:bottom w:val="single" w:sz="4" w:space="0" w:color="auto"/>
              <w:right w:val="single" w:sz="4" w:space="0" w:color="auto"/>
            </w:tcBorders>
            <w:shd w:val="clear" w:color="auto" w:fill="auto"/>
            <w:noWrap/>
            <w:hideMark/>
          </w:tcPr>
          <w:p w14:paraId="0E301D94" w14:textId="3169D9CF" w:rsidR="007551D4" w:rsidRPr="00D60854" w:rsidRDefault="007551D4" w:rsidP="00D60854">
            <w:pPr>
              <w:jc w:val="center"/>
              <w:rPr>
                <w:rFonts w:cs="Arial"/>
                <w:lang w:val="de-AT" w:eastAsia="de-AT"/>
              </w:rPr>
            </w:pPr>
            <w:r>
              <w:rPr>
                <w:rFonts w:cs="Arial"/>
              </w:rPr>
              <w:t xml:space="preserve"> - </w:t>
            </w:r>
          </w:p>
        </w:tc>
        <w:tc>
          <w:tcPr>
            <w:tcW w:w="816" w:type="dxa"/>
            <w:tcBorders>
              <w:top w:val="nil"/>
              <w:left w:val="nil"/>
              <w:bottom w:val="single" w:sz="4" w:space="0" w:color="auto"/>
              <w:right w:val="single" w:sz="4" w:space="0" w:color="auto"/>
            </w:tcBorders>
            <w:shd w:val="clear" w:color="auto" w:fill="auto"/>
            <w:noWrap/>
            <w:hideMark/>
          </w:tcPr>
          <w:p w14:paraId="66EB7CAC" w14:textId="5160C3BB" w:rsidR="007551D4" w:rsidRPr="00D60854" w:rsidRDefault="007551D4" w:rsidP="00D60854">
            <w:pPr>
              <w:jc w:val="center"/>
              <w:rPr>
                <w:rFonts w:cs="Arial"/>
                <w:lang w:val="de-AT" w:eastAsia="de-AT"/>
              </w:rPr>
            </w:pPr>
            <w:r>
              <w:rPr>
                <w:rFonts w:cs="Arial"/>
              </w:rPr>
              <w:t>13,38</w:t>
            </w:r>
          </w:p>
        </w:tc>
        <w:tc>
          <w:tcPr>
            <w:tcW w:w="1403" w:type="dxa"/>
            <w:tcBorders>
              <w:top w:val="nil"/>
              <w:left w:val="nil"/>
              <w:bottom w:val="single" w:sz="4" w:space="0" w:color="auto"/>
              <w:right w:val="single" w:sz="4" w:space="0" w:color="auto"/>
            </w:tcBorders>
            <w:shd w:val="clear" w:color="auto" w:fill="auto"/>
            <w:noWrap/>
            <w:hideMark/>
          </w:tcPr>
          <w:p w14:paraId="731ABE61" w14:textId="5F3B1700" w:rsidR="007551D4" w:rsidRPr="00D60854" w:rsidRDefault="007551D4" w:rsidP="00D60854">
            <w:pPr>
              <w:jc w:val="center"/>
              <w:rPr>
                <w:rFonts w:cs="Arial"/>
                <w:lang w:val="de-AT" w:eastAsia="de-AT"/>
              </w:rPr>
            </w:pPr>
            <w:r>
              <w:rPr>
                <w:rFonts w:cs="Arial"/>
              </w:rPr>
              <w:t xml:space="preserve"> - </w:t>
            </w:r>
          </w:p>
        </w:tc>
        <w:tc>
          <w:tcPr>
            <w:tcW w:w="1148" w:type="dxa"/>
            <w:tcBorders>
              <w:top w:val="nil"/>
              <w:left w:val="nil"/>
              <w:bottom w:val="single" w:sz="4" w:space="0" w:color="auto"/>
              <w:right w:val="single" w:sz="4" w:space="0" w:color="auto"/>
            </w:tcBorders>
            <w:shd w:val="clear" w:color="auto" w:fill="auto"/>
            <w:noWrap/>
            <w:hideMark/>
          </w:tcPr>
          <w:p w14:paraId="64067EA8" w14:textId="68CF26D9" w:rsidR="007551D4" w:rsidRPr="00D60854" w:rsidRDefault="007551D4" w:rsidP="00D60854">
            <w:pPr>
              <w:jc w:val="center"/>
              <w:rPr>
                <w:rFonts w:cs="Arial"/>
                <w:lang w:val="de-AT" w:eastAsia="de-AT"/>
              </w:rPr>
            </w:pPr>
            <w:r>
              <w:rPr>
                <w:rFonts w:cs="Arial"/>
              </w:rPr>
              <w:t xml:space="preserve"> - </w:t>
            </w:r>
          </w:p>
        </w:tc>
      </w:tr>
      <w:tr w:rsidR="007551D4" w:rsidRPr="00D60854" w14:paraId="702F1445" w14:textId="77777777" w:rsidTr="00FE1267">
        <w:trPr>
          <w:trHeight w:val="560"/>
        </w:trPr>
        <w:tc>
          <w:tcPr>
            <w:tcW w:w="2425" w:type="dxa"/>
            <w:tcBorders>
              <w:top w:val="nil"/>
              <w:left w:val="single" w:sz="4" w:space="0" w:color="auto"/>
              <w:bottom w:val="single" w:sz="4" w:space="0" w:color="auto"/>
              <w:right w:val="single" w:sz="4" w:space="0" w:color="auto"/>
            </w:tcBorders>
            <w:shd w:val="clear" w:color="auto" w:fill="auto"/>
            <w:vAlign w:val="center"/>
            <w:hideMark/>
          </w:tcPr>
          <w:p w14:paraId="7396D1F5" w14:textId="77777777" w:rsidR="007551D4" w:rsidRPr="00D60854" w:rsidRDefault="007551D4" w:rsidP="00D76570">
            <w:pPr>
              <w:rPr>
                <w:rFonts w:cs="Arial"/>
                <w:color w:val="000000"/>
                <w:lang w:val="de-AT" w:eastAsia="de-AT"/>
              </w:rPr>
            </w:pPr>
            <w:r w:rsidRPr="00D60854">
              <w:rPr>
                <w:rFonts w:cs="Arial"/>
                <w:color w:val="000000"/>
                <w:lang w:val="de-AT" w:eastAsia="de-AT"/>
              </w:rPr>
              <w:t>VSB implantation</w:t>
            </w:r>
          </w:p>
        </w:tc>
        <w:tc>
          <w:tcPr>
            <w:tcW w:w="1701" w:type="dxa"/>
            <w:tcBorders>
              <w:top w:val="nil"/>
              <w:left w:val="nil"/>
              <w:bottom w:val="single" w:sz="4" w:space="0" w:color="auto"/>
              <w:right w:val="single" w:sz="4" w:space="0" w:color="auto"/>
            </w:tcBorders>
            <w:shd w:val="clear" w:color="auto" w:fill="auto"/>
            <w:noWrap/>
            <w:hideMark/>
          </w:tcPr>
          <w:p w14:paraId="7C018D46" w14:textId="4E0E68B4" w:rsidR="007551D4" w:rsidRPr="00D60854" w:rsidRDefault="007551D4" w:rsidP="00D60854">
            <w:pPr>
              <w:jc w:val="center"/>
              <w:rPr>
                <w:rFonts w:cs="Arial"/>
                <w:lang w:val="de-AT" w:eastAsia="de-AT"/>
              </w:rPr>
            </w:pPr>
            <w:r>
              <w:rPr>
                <w:rFonts w:cs="Arial"/>
              </w:rPr>
              <w:t>AUD 31.149,79</w:t>
            </w:r>
          </w:p>
        </w:tc>
        <w:tc>
          <w:tcPr>
            <w:tcW w:w="1821" w:type="dxa"/>
            <w:tcBorders>
              <w:top w:val="nil"/>
              <w:left w:val="nil"/>
              <w:bottom w:val="single" w:sz="4" w:space="0" w:color="auto"/>
              <w:right w:val="single" w:sz="4" w:space="0" w:color="auto"/>
            </w:tcBorders>
            <w:shd w:val="clear" w:color="auto" w:fill="auto"/>
            <w:noWrap/>
            <w:hideMark/>
          </w:tcPr>
          <w:p w14:paraId="6295BE93" w14:textId="655BBF16" w:rsidR="007551D4" w:rsidRPr="00D60854" w:rsidRDefault="007551D4" w:rsidP="00D60854">
            <w:pPr>
              <w:jc w:val="center"/>
              <w:rPr>
                <w:rFonts w:cs="Arial"/>
                <w:lang w:val="de-AT" w:eastAsia="de-AT"/>
              </w:rPr>
            </w:pPr>
            <w:r>
              <w:rPr>
                <w:rFonts w:cs="Arial"/>
              </w:rPr>
              <w:t>AUD 27.523,06</w:t>
            </w:r>
          </w:p>
        </w:tc>
        <w:tc>
          <w:tcPr>
            <w:tcW w:w="816" w:type="dxa"/>
            <w:tcBorders>
              <w:top w:val="nil"/>
              <w:left w:val="nil"/>
              <w:bottom w:val="single" w:sz="4" w:space="0" w:color="auto"/>
              <w:right w:val="single" w:sz="4" w:space="0" w:color="auto"/>
            </w:tcBorders>
            <w:shd w:val="clear" w:color="auto" w:fill="auto"/>
            <w:noWrap/>
            <w:hideMark/>
          </w:tcPr>
          <w:p w14:paraId="25BCE8E4" w14:textId="2C1D70CE" w:rsidR="007551D4" w:rsidRPr="00D60854" w:rsidRDefault="007551D4" w:rsidP="00D60854">
            <w:pPr>
              <w:jc w:val="center"/>
              <w:rPr>
                <w:rFonts w:cs="Arial"/>
                <w:lang w:val="de-AT" w:eastAsia="de-AT"/>
              </w:rPr>
            </w:pPr>
            <w:r>
              <w:rPr>
                <w:rFonts w:cs="Arial"/>
              </w:rPr>
              <w:t>15,50</w:t>
            </w:r>
          </w:p>
        </w:tc>
        <w:tc>
          <w:tcPr>
            <w:tcW w:w="1403" w:type="dxa"/>
            <w:tcBorders>
              <w:top w:val="nil"/>
              <w:left w:val="nil"/>
              <w:bottom w:val="single" w:sz="4" w:space="0" w:color="auto"/>
              <w:right w:val="single" w:sz="4" w:space="0" w:color="auto"/>
            </w:tcBorders>
            <w:shd w:val="clear" w:color="auto" w:fill="auto"/>
            <w:noWrap/>
            <w:hideMark/>
          </w:tcPr>
          <w:p w14:paraId="5B3F4459" w14:textId="63C9E1AD" w:rsidR="007551D4" w:rsidRPr="00D60854" w:rsidRDefault="007551D4" w:rsidP="00D60854">
            <w:pPr>
              <w:jc w:val="center"/>
              <w:rPr>
                <w:rFonts w:cs="Arial"/>
                <w:lang w:val="de-AT" w:eastAsia="de-AT"/>
              </w:rPr>
            </w:pPr>
            <w:r>
              <w:rPr>
                <w:rFonts w:cs="Arial"/>
              </w:rPr>
              <w:t>2,12</w:t>
            </w:r>
          </w:p>
        </w:tc>
        <w:tc>
          <w:tcPr>
            <w:tcW w:w="1148" w:type="dxa"/>
            <w:tcBorders>
              <w:top w:val="nil"/>
              <w:left w:val="nil"/>
              <w:bottom w:val="single" w:sz="4" w:space="0" w:color="auto"/>
              <w:right w:val="single" w:sz="4" w:space="0" w:color="auto"/>
            </w:tcBorders>
            <w:shd w:val="clear" w:color="auto" w:fill="auto"/>
            <w:noWrap/>
            <w:hideMark/>
          </w:tcPr>
          <w:p w14:paraId="252DFC26" w14:textId="0064AFDE" w:rsidR="007551D4" w:rsidRPr="00D60854" w:rsidRDefault="007551D4" w:rsidP="00D60854">
            <w:pPr>
              <w:jc w:val="center"/>
              <w:rPr>
                <w:rFonts w:cs="Arial"/>
                <w:lang w:val="de-AT" w:eastAsia="de-AT"/>
              </w:rPr>
            </w:pPr>
            <w:r>
              <w:rPr>
                <w:rFonts w:cs="Arial"/>
              </w:rPr>
              <w:t>12986,73</w:t>
            </w:r>
          </w:p>
        </w:tc>
      </w:tr>
    </w:tbl>
    <w:p w14:paraId="59298C6F" w14:textId="77777777" w:rsidR="00B22312" w:rsidRDefault="00B22312" w:rsidP="00B22312">
      <w:pPr>
        <w:spacing w:line="360" w:lineRule="auto"/>
        <w:jc w:val="both"/>
        <w:rPr>
          <w:rFonts w:cs="Arial"/>
          <w:b/>
          <w:sz w:val="20"/>
          <w:szCs w:val="20"/>
          <w:lang w:val="fr-FR"/>
        </w:rPr>
      </w:pPr>
    </w:p>
    <w:p w14:paraId="76296091" w14:textId="77777777" w:rsidR="00C15D7A" w:rsidRDefault="00C15D7A" w:rsidP="00B22312">
      <w:pPr>
        <w:spacing w:line="360" w:lineRule="auto"/>
        <w:jc w:val="both"/>
        <w:rPr>
          <w:rFonts w:cs="Arial"/>
          <w:b/>
          <w:bCs/>
          <w:sz w:val="20"/>
          <w:szCs w:val="20"/>
          <w:lang w:val="en-US"/>
        </w:rPr>
      </w:pPr>
      <w:bookmarkStart w:id="591" w:name="_Ref431654561"/>
    </w:p>
    <w:p w14:paraId="2C6A8DB1" w14:textId="77777777" w:rsidR="00B22312" w:rsidRPr="008718FB" w:rsidRDefault="00B22312" w:rsidP="00B22312">
      <w:pPr>
        <w:spacing w:line="360" w:lineRule="auto"/>
        <w:jc w:val="both"/>
        <w:rPr>
          <w:rFonts w:cs="Arial"/>
          <w:b/>
          <w:sz w:val="20"/>
          <w:szCs w:val="20"/>
          <w:lang w:val="en-US"/>
        </w:rPr>
      </w:pPr>
      <w:bookmarkStart w:id="592" w:name="_Toc431917517"/>
      <w:r w:rsidRPr="008718FB">
        <w:rPr>
          <w:rFonts w:cs="Arial"/>
          <w:b/>
          <w:bCs/>
          <w:sz w:val="20"/>
          <w:szCs w:val="20"/>
          <w:lang w:val="en-US"/>
        </w:rPr>
        <w:t xml:space="preserve">Table </w:t>
      </w:r>
      <w:r w:rsidRPr="00AE06D8">
        <w:rPr>
          <w:rFonts w:cs="Arial"/>
          <w:b/>
          <w:bCs/>
          <w:sz w:val="20"/>
          <w:szCs w:val="20"/>
        </w:rPr>
        <w:fldChar w:fldCharType="begin"/>
      </w:r>
      <w:r w:rsidRPr="008718FB">
        <w:rPr>
          <w:rFonts w:cs="Arial"/>
          <w:b/>
          <w:bCs/>
          <w:sz w:val="20"/>
          <w:szCs w:val="20"/>
          <w:lang w:val="en-US"/>
        </w:rPr>
        <w:instrText xml:space="preserve"> SEQ Table \* ARABIC </w:instrText>
      </w:r>
      <w:r w:rsidRPr="00AE06D8">
        <w:rPr>
          <w:rFonts w:cs="Arial"/>
          <w:b/>
          <w:bCs/>
          <w:sz w:val="20"/>
          <w:szCs w:val="20"/>
        </w:rPr>
        <w:fldChar w:fldCharType="separate"/>
      </w:r>
      <w:r w:rsidR="00016592">
        <w:rPr>
          <w:rFonts w:cs="Arial"/>
          <w:b/>
          <w:bCs/>
          <w:noProof/>
          <w:sz w:val="20"/>
          <w:szCs w:val="20"/>
          <w:lang w:val="en-US"/>
        </w:rPr>
        <w:t>57</w:t>
      </w:r>
      <w:r w:rsidRPr="00AE06D8">
        <w:rPr>
          <w:rFonts w:cs="Arial"/>
          <w:b/>
          <w:bCs/>
          <w:sz w:val="20"/>
          <w:szCs w:val="20"/>
        </w:rPr>
        <w:fldChar w:fldCharType="end"/>
      </w:r>
      <w:bookmarkEnd w:id="591"/>
      <w:r w:rsidRPr="008718FB">
        <w:rPr>
          <w:rFonts w:cs="Arial"/>
          <w:b/>
          <w:bCs/>
          <w:sz w:val="20"/>
          <w:szCs w:val="20"/>
          <w:lang w:val="en-US"/>
        </w:rPr>
        <w:t xml:space="preserve"> – </w:t>
      </w:r>
      <w:r w:rsidR="00D60854">
        <w:rPr>
          <w:rFonts w:cs="Arial"/>
          <w:b/>
          <w:sz w:val="20"/>
          <w:szCs w:val="20"/>
          <w:lang w:val="en-US"/>
        </w:rPr>
        <w:t>The effect of different discount rates on the model comparing partially implantable MEI</w:t>
      </w:r>
      <w:bookmarkEnd w:id="592"/>
    </w:p>
    <w:tbl>
      <w:tblPr>
        <w:tblW w:w="10986" w:type="dxa"/>
        <w:tblCellMar>
          <w:left w:w="70" w:type="dxa"/>
          <w:right w:w="70" w:type="dxa"/>
        </w:tblCellMar>
        <w:tblLook w:val="04A0" w:firstRow="1" w:lastRow="0" w:firstColumn="1" w:lastColumn="0" w:noHBand="0" w:noVBand="1"/>
        <w:tblDescription w:val="The effect of different discount rates on the model comparing partially implantable MEI"/>
      </w:tblPr>
      <w:tblGrid>
        <w:gridCol w:w="1583"/>
        <w:gridCol w:w="1701"/>
        <w:gridCol w:w="1701"/>
        <w:gridCol w:w="1181"/>
        <w:gridCol w:w="1535"/>
        <w:gridCol w:w="1725"/>
        <w:gridCol w:w="1560"/>
      </w:tblGrid>
      <w:tr w:rsidR="00D60854" w:rsidRPr="00D60854" w14:paraId="3E482EB4" w14:textId="77777777" w:rsidTr="00FE1267">
        <w:trPr>
          <w:gridAfter w:val="1"/>
          <w:wAfter w:w="1560" w:type="dxa"/>
          <w:trHeight w:val="560"/>
        </w:trPr>
        <w:tc>
          <w:tcPr>
            <w:tcW w:w="1583"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0ECA9240" w14:textId="77777777" w:rsidR="00D60854" w:rsidRPr="00D60854" w:rsidRDefault="00D60854" w:rsidP="00D60854">
            <w:pPr>
              <w:jc w:val="center"/>
              <w:rPr>
                <w:rFonts w:cs="Arial"/>
                <w:b/>
                <w:bCs/>
                <w:color w:val="000000"/>
                <w:lang w:val="de-AT" w:eastAsia="de-AT"/>
              </w:rPr>
            </w:pPr>
            <w:r w:rsidRPr="00D60854">
              <w:rPr>
                <w:rFonts w:cs="Arial"/>
                <w:b/>
                <w:bCs/>
                <w:color w:val="000000"/>
                <w:lang w:val="de-AT" w:eastAsia="de-AT"/>
              </w:rPr>
              <w:t>Strategy</w:t>
            </w:r>
          </w:p>
        </w:tc>
        <w:tc>
          <w:tcPr>
            <w:tcW w:w="1701" w:type="dxa"/>
            <w:tcBorders>
              <w:top w:val="single" w:sz="8" w:space="0" w:color="auto"/>
              <w:left w:val="nil"/>
              <w:bottom w:val="single" w:sz="4" w:space="0" w:color="auto"/>
              <w:right w:val="single" w:sz="4" w:space="0" w:color="auto"/>
            </w:tcBorders>
            <w:shd w:val="clear" w:color="auto" w:fill="auto"/>
            <w:vAlign w:val="center"/>
            <w:hideMark/>
          </w:tcPr>
          <w:p w14:paraId="0C5957A7" w14:textId="77777777" w:rsidR="00D60854" w:rsidRPr="00D60854" w:rsidRDefault="00D60854" w:rsidP="00D60854">
            <w:pPr>
              <w:jc w:val="center"/>
              <w:rPr>
                <w:rFonts w:cs="Arial"/>
                <w:b/>
                <w:bCs/>
                <w:color w:val="000000"/>
                <w:lang w:val="de-AT" w:eastAsia="de-AT"/>
              </w:rPr>
            </w:pPr>
            <w:r w:rsidRPr="00D60854">
              <w:rPr>
                <w:rFonts w:cs="Arial"/>
                <w:b/>
                <w:bCs/>
                <w:color w:val="000000"/>
                <w:lang w:val="de-AT" w:eastAsia="de-AT"/>
              </w:rPr>
              <w:t>Cost</w:t>
            </w:r>
          </w:p>
        </w:tc>
        <w:tc>
          <w:tcPr>
            <w:tcW w:w="1701" w:type="dxa"/>
            <w:tcBorders>
              <w:top w:val="single" w:sz="8" w:space="0" w:color="auto"/>
              <w:left w:val="nil"/>
              <w:bottom w:val="single" w:sz="4" w:space="0" w:color="auto"/>
              <w:right w:val="single" w:sz="4" w:space="0" w:color="auto"/>
            </w:tcBorders>
            <w:shd w:val="clear" w:color="auto" w:fill="auto"/>
            <w:vAlign w:val="center"/>
            <w:hideMark/>
          </w:tcPr>
          <w:p w14:paraId="5A845032" w14:textId="77777777" w:rsidR="00D60854" w:rsidRPr="00D60854" w:rsidRDefault="00D60854" w:rsidP="00D60854">
            <w:pPr>
              <w:jc w:val="center"/>
              <w:rPr>
                <w:rFonts w:cs="Arial"/>
                <w:b/>
                <w:bCs/>
                <w:color w:val="000000"/>
                <w:lang w:val="de-AT" w:eastAsia="de-AT"/>
              </w:rPr>
            </w:pPr>
            <w:r w:rsidRPr="00D60854">
              <w:rPr>
                <w:rFonts w:cs="Arial"/>
                <w:b/>
                <w:bCs/>
                <w:color w:val="000000"/>
                <w:lang w:val="de-AT" w:eastAsia="de-AT"/>
              </w:rPr>
              <w:t xml:space="preserve">Incremental cost </w:t>
            </w:r>
          </w:p>
        </w:tc>
        <w:tc>
          <w:tcPr>
            <w:tcW w:w="1181" w:type="dxa"/>
            <w:tcBorders>
              <w:top w:val="single" w:sz="8" w:space="0" w:color="auto"/>
              <w:left w:val="nil"/>
              <w:bottom w:val="single" w:sz="4" w:space="0" w:color="auto"/>
              <w:right w:val="single" w:sz="4" w:space="0" w:color="auto"/>
            </w:tcBorders>
            <w:shd w:val="clear" w:color="auto" w:fill="auto"/>
            <w:noWrap/>
            <w:vAlign w:val="center"/>
            <w:hideMark/>
          </w:tcPr>
          <w:p w14:paraId="210586A7" w14:textId="3D227980" w:rsidR="00D60854" w:rsidRPr="00D60854" w:rsidRDefault="00D60854" w:rsidP="00D60854">
            <w:pPr>
              <w:jc w:val="center"/>
              <w:rPr>
                <w:rFonts w:cs="Arial"/>
                <w:b/>
                <w:bCs/>
                <w:color w:val="000000"/>
                <w:lang w:val="de-AT" w:eastAsia="de-AT"/>
              </w:rPr>
            </w:pPr>
            <w:r w:rsidRPr="00D60854">
              <w:rPr>
                <w:rFonts w:cs="Arial"/>
                <w:b/>
                <w:bCs/>
                <w:color w:val="000000"/>
                <w:lang w:val="de-AT" w:eastAsia="de-AT"/>
              </w:rPr>
              <w:t>Effective</w:t>
            </w:r>
            <w:r w:rsidR="00FE1267">
              <w:rPr>
                <w:rFonts w:cs="Arial"/>
                <w:b/>
                <w:bCs/>
                <w:color w:val="000000"/>
                <w:lang w:val="de-AT" w:eastAsia="de-AT"/>
              </w:rPr>
              <w:t>-</w:t>
            </w:r>
            <w:r w:rsidRPr="00D60854">
              <w:rPr>
                <w:rFonts w:cs="Arial"/>
                <w:b/>
                <w:bCs/>
                <w:color w:val="000000"/>
                <w:lang w:val="de-AT" w:eastAsia="de-AT"/>
              </w:rPr>
              <w:t>ness</w:t>
            </w:r>
          </w:p>
        </w:tc>
        <w:tc>
          <w:tcPr>
            <w:tcW w:w="1535" w:type="dxa"/>
            <w:tcBorders>
              <w:top w:val="single" w:sz="8" w:space="0" w:color="auto"/>
              <w:left w:val="nil"/>
              <w:bottom w:val="single" w:sz="4" w:space="0" w:color="auto"/>
              <w:right w:val="single" w:sz="4" w:space="0" w:color="auto"/>
            </w:tcBorders>
            <w:shd w:val="clear" w:color="auto" w:fill="auto"/>
            <w:vAlign w:val="center"/>
            <w:hideMark/>
          </w:tcPr>
          <w:p w14:paraId="6C0B6B23" w14:textId="77777777" w:rsidR="00D60854" w:rsidRPr="00D60854" w:rsidRDefault="00D60854" w:rsidP="00D60854">
            <w:pPr>
              <w:jc w:val="center"/>
              <w:rPr>
                <w:rFonts w:cs="Arial"/>
                <w:b/>
                <w:bCs/>
                <w:color w:val="000000"/>
                <w:lang w:val="de-AT" w:eastAsia="de-AT"/>
              </w:rPr>
            </w:pPr>
            <w:r w:rsidRPr="00D60854">
              <w:rPr>
                <w:rFonts w:cs="Arial"/>
                <w:b/>
                <w:bCs/>
                <w:color w:val="000000"/>
                <w:lang w:val="de-AT" w:eastAsia="de-AT"/>
              </w:rPr>
              <w:t>Incremental effectiveness</w:t>
            </w:r>
          </w:p>
        </w:tc>
        <w:tc>
          <w:tcPr>
            <w:tcW w:w="1725" w:type="dxa"/>
            <w:tcBorders>
              <w:top w:val="single" w:sz="8" w:space="0" w:color="auto"/>
              <w:left w:val="nil"/>
              <w:bottom w:val="single" w:sz="4" w:space="0" w:color="auto"/>
              <w:right w:val="single" w:sz="8" w:space="0" w:color="auto"/>
            </w:tcBorders>
            <w:shd w:val="clear" w:color="auto" w:fill="auto"/>
            <w:vAlign w:val="center"/>
            <w:hideMark/>
          </w:tcPr>
          <w:p w14:paraId="0D1A1FF2" w14:textId="6E9C0594" w:rsidR="00D60854" w:rsidRPr="00D60854" w:rsidRDefault="00D60854" w:rsidP="00FE1267">
            <w:pPr>
              <w:jc w:val="center"/>
              <w:rPr>
                <w:rFonts w:cs="Arial"/>
                <w:b/>
                <w:bCs/>
                <w:color w:val="000000"/>
                <w:lang w:val="de-AT" w:eastAsia="de-AT"/>
              </w:rPr>
            </w:pPr>
            <w:r w:rsidRPr="00D60854">
              <w:rPr>
                <w:rFonts w:cs="Arial"/>
                <w:b/>
                <w:bCs/>
                <w:color w:val="000000"/>
                <w:lang w:val="de-AT" w:eastAsia="de-AT"/>
              </w:rPr>
              <w:t xml:space="preserve">ICER </w:t>
            </w:r>
          </w:p>
        </w:tc>
      </w:tr>
      <w:tr w:rsidR="00D60854" w:rsidRPr="00D60854" w14:paraId="78ED341E" w14:textId="77777777" w:rsidTr="00FE1267">
        <w:trPr>
          <w:gridAfter w:val="1"/>
          <w:wAfter w:w="1560" w:type="dxa"/>
          <w:trHeight w:val="428"/>
        </w:trPr>
        <w:tc>
          <w:tcPr>
            <w:tcW w:w="3284" w:type="dxa"/>
            <w:gridSpan w:val="2"/>
            <w:tcBorders>
              <w:top w:val="nil"/>
              <w:left w:val="single" w:sz="4" w:space="0" w:color="auto"/>
              <w:bottom w:val="single" w:sz="4" w:space="0" w:color="auto"/>
              <w:right w:val="single" w:sz="4" w:space="0" w:color="auto"/>
            </w:tcBorders>
            <w:shd w:val="clear" w:color="auto" w:fill="auto"/>
            <w:noWrap/>
            <w:vAlign w:val="center"/>
            <w:hideMark/>
          </w:tcPr>
          <w:p w14:paraId="7234742C" w14:textId="77777777" w:rsidR="00D60854" w:rsidRPr="00D60854" w:rsidRDefault="00D60854" w:rsidP="00D60854">
            <w:pPr>
              <w:rPr>
                <w:rFonts w:cs="Arial"/>
                <w:b/>
                <w:bCs/>
                <w:color w:val="000000"/>
                <w:lang w:val="de-AT" w:eastAsia="de-AT"/>
              </w:rPr>
            </w:pPr>
            <w:r w:rsidRPr="00D60854">
              <w:rPr>
                <w:rFonts w:cs="Arial"/>
                <w:b/>
                <w:bCs/>
                <w:color w:val="000000"/>
                <w:lang w:val="de-AT" w:eastAsia="de-AT"/>
              </w:rPr>
              <w:t>10 year undiscounted</w:t>
            </w:r>
          </w:p>
        </w:tc>
        <w:tc>
          <w:tcPr>
            <w:tcW w:w="1701" w:type="dxa"/>
            <w:tcBorders>
              <w:top w:val="nil"/>
              <w:left w:val="nil"/>
              <w:bottom w:val="single" w:sz="4" w:space="0" w:color="auto"/>
              <w:right w:val="single" w:sz="4" w:space="0" w:color="auto"/>
            </w:tcBorders>
            <w:shd w:val="clear" w:color="auto" w:fill="auto"/>
            <w:vAlign w:val="center"/>
            <w:hideMark/>
          </w:tcPr>
          <w:p w14:paraId="6159B272" w14:textId="77777777" w:rsidR="00D60854" w:rsidRPr="00D60854" w:rsidRDefault="00D60854" w:rsidP="00D60854">
            <w:pPr>
              <w:jc w:val="center"/>
              <w:rPr>
                <w:rFonts w:cs="Arial"/>
                <w:b/>
                <w:bCs/>
                <w:color w:val="000000"/>
                <w:lang w:val="de-AT" w:eastAsia="de-AT"/>
              </w:rPr>
            </w:pPr>
          </w:p>
        </w:tc>
        <w:tc>
          <w:tcPr>
            <w:tcW w:w="1181" w:type="dxa"/>
            <w:tcBorders>
              <w:top w:val="nil"/>
              <w:left w:val="nil"/>
              <w:bottom w:val="single" w:sz="4" w:space="0" w:color="auto"/>
              <w:right w:val="single" w:sz="4" w:space="0" w:color="auto"/>
            </w:tcBorders>
            <w:shd w:val="clear" w:color="auto" w:fill="auto"/>
            <w:noWrap/>
            <w:vAlign w:val="center"/>
            <w:hideMark/>
          </w:tcPr>
          <w:p w14:paraId="491F9FFF" w14:textId="77777777" w:rsidR="00D60854" w:rsidRPr="00D60854" w:rsidRDefault="00D60854" w:rsidP="00D60854">
            <w:pPr>
              <w:jc w:val="center"/>
              <w:rPr>
                <w:rFonts w:cs="Arial"/>
                <w:b/>
                <w:bCs/>
                <w:color w:val="000000"/>
                <w:lang w:val="de-AT" w:eastAsia="de-AT"/>
              </w:rPr>
            </w:pPr>
          </w:p>
        </w:tc>
        <w:tc>
          <w:tcPr>
            <w:tcW w:w="1535" w:type="dxa"/>
            <w:tcBorders>
              <w:top w:val="nil"/>
              <w:left w:val="nil"/>
              <w:bottom w:val="single" w:sz="4" w:space="0" w:color="auto"/>
              <w:right w:val="single" w:sz="4" w:space="0" w:color="auto"/>
            </w:tcBorders>
            <w:shd w:val="clear" w:color="auto" w:fill="auto"/>
            <w:vAlign w:val="center"/>
            <w:hideMark/>
          </w:tcPr>
          <w:p w14:paraId="5D49D8A5" w14:textId="77777777" w:rsidR="00D60854" w:rsidRPr="00D60854" w:rsidRDefault="00D60854" w:rsidP="00D60854">
            <w:pPr>
              <w:jc w:val="center"/>
              <w:rPr>
                <w:rFonts w:cs="Arial"/>
                <w:b/>
                <w:bCs/>
                <w:color w:val="000000"/>
                <w:lang w:val="de-AT" w:eastAsia="de-AT"/>
              </w:rPr>
            </w:pPr>
          </w:p>
        </w:tc>
        <w:tc>
          <w:tcPr>
            <w:tcW w:w="1725" w:type="dxa"/>
            <w:tcBorders>
              <w:top w:val="nil"/>
              <w:left w:val="nil"/>
              <w:bottom w:val="single" w:sz="4" w:space="0" w:color="auto"/>
              <w:right w:val="single" w:sz="4" w:space="0" w:color="auto"/>
            </w:tcBorders>
            <w:shd w:val="clear" w:color="auto" w:fill="auto"/>
            <w:vAlign w:val="center"/>
            <w:hideMark/>
          </w:tcPr>
          <w:p w14:paraId="75091811" w14:textId="77777777" w:rsidR="00D60854" w:rsidRPr="00D60854" w:rsidRDefault="00D60854" w:rsidP="00D60854">
            <w:pPr>
              <w:jc w:val="center"/>
              <w:rPr>
                <w:rFonts w:cs="Arial"/>
                <w:b/>
                <w:bCs/>
                <w:color w:val="000000"/>
                <w:lang w:val="de-AT" w:eastAsia="de-AT"/>
              </w:rPr>
            </w:pPr>
          </w:p>
        </w:tc>
      </w:tr>
      <w:tr w:rsidR="007551D4" w:rsidRPr="00D60854" w14:paraId="5546E744" w14:textId="77777777" w:rsidTr="00FE1267">
        <w:trPr>
          <w:gridAfter w:val="1"/>
          <w:wAfter w:w="1560" w:type="dxa"/>
          <w:trHeight w:val="560"/>
        </w:trPr>
        <w:tc>
          <w:tcPr>
            <w:tcW w:w="1583" w:type="dxa"/>
            <w:tcBorders>
              <w:top w:val="nil"/>
              <w:left w:val="single" w:sz="4" w:space="0" w:color="auto"/>
              <w:bottom w:val="single" w:sz="4" w:space="0" w:color="auto"/>
              <w:right w:val="single" w:sz="4" w:space="0" w:color="auto"/>
            </w:tcBorders>
            <w:shd w:val="clear" w:color="auto" w:fill="auto"/>
            <w:vAlign w:val="center"/>
            <w:hideMark/>
          </w:tcPr>
          <w:p w14:paraId="3EF54B20" w14:textId="77777777" w:rsidR="007551D4" w:rsidRPr="00D60854" w:rsidRDefault="007551D4" w:rsidP="00D60854">
            <w:pPr>
              <w:rPr>
                <w:rFonts w:cs="Arial"/>
                <w:color w:val="000000"/>
                <w:lang w:val="de-AT" w:eastAsia="de-AT"/>
              </w:rPr>
            </w:pPr>
            <w:r w:rsidRPr="00D60854">
              <w:rPr>
                <w:rFonts w:cs="Arial"/>
                <w:color w:val="000000"/>
                <w:lang w:val="de-AT" w:eastAsia="de-AT"/>
              </w:rPr>
              <w:t>MXM implantation</w:t>
            </w:r>
          </w:p>
        </w:tc>
        <w:tc>
          <w:tcPr>
            <w:tcW w:w="1701" w:type="dxa"/>
            <w:tcBorders>
              <w:top w:val="nil"/>
              <w:left w:val="nil"/>
              <w:bottom w:val="single" w:sz="4" w:space="0" w:color="auto"/>
              <w:right w:val="single" w:sz="4" w:space="0" w:color="auto"/>
            </w:tcBorders>
            <w:shd w:val="clear" w:color="auto" w:fill="auto"/>
            <w:noWrap/>
            <w:hideMark/>
          </w:tcPr>
          <w:p w14:paraId="634FD793" w14:textId="1296E96A" w:rsidR="007551D4" w:rsidRPr="00D60854" w:rsidRDefault="007551D4" w:rsidP="00D60854">
            <w:pPr>
              <w:jc w:val="center"/>
              <w:rPr>
                <w:rFonts w:cs="Arial"/>
                <w:color w:val="000000"/>
                <w:lang w:val="de-AT" w:eastAsia="de-AT"/>
              </w:rPr>
            </w:pPr>
            <w:r>
              <w:rPr>
                <w:rFonts w:cs="Arial"/>
                <w:color w:val="000000"/>
              </w:rPr>
              <w:t>AUD 14.685,71</w:t>
            </w:r>
          </w:p>
        </w:tc>
        <w:tc>
          <w:tcPr>
            <w:tcW w:w="1701" w:type="dxa"/>
            <w:tcBorders>
              <w:top w:val="nil"/>
              <w:left w:val="nil"/>
              <w:bottom w:val="single" w:sz="4" w:space="0" w:color="auto"/>
              <w:right w:val="single" w:sz="4" w:space="0" w:color="auto"/>
            </w:tcBorders>
            <w:shd w:val="clear" w:color="auto" w:fill="auto"/>
            <w:noWrap/>
            <w:hideMark/>
          </w:tcPr>
          <w:p w14:paraId="090E1126" w14:textId="0E652E01" w:rsidR="007551D4" w:rsidRPr="00D60854" w:rsidRDefault="007551D4" w:rsidP="00D60854">
            <w:pPr>
              <w:jc w:val="center"/>
              <w:rPr>
                <w:rFonts w:cs="Arial"/>
                <w:color w:val="000000"/>
                <w:lang w:val="de-AT" w:eastAsia="de-AT"/>
              </w:rPr>
            </w:pPr>
            <w:r>
              <w:rPr>
                <w:rFonts w:cs="Arial"/>
                <w:color w:val="000000"/>
              </w:rPr>
              <w:t xml:space="preserve"> - </w:t>
            </w:r>
          </w:p>
        </w:tc>
        <w:tc>
          <w:tcPr>
            <w:tcW w:w="1181" w:type="dxa"/>
            <w:tcBorders>
              <w:top w:val="nil"/>
              <w:left w:val="nil"/>
              <w:bottom w:val="single" w:sz="4" w:space="0" w:color="auto"/>
              <w:right w:val="single" w:sz="4" w:space="0" w:color="auto"/>
            </w:tcBorders>
            <w:shd w:val="clear" w:color="auto" w:fill="auto"/>
            <w:noWrap/>
            <w:hideMark/>
          </w:tcPr>
          <w:p w14:paraId="7BB4A41C" w14:textId="29B15A10" w:rsidR="007551D4" w:rsidRPr="00D60854" w:rsidRDefault="007551D4" w:rsidP="00D60854">
            <w:pPr>
              <w:jc w:val="center"/>
              <w:rPr>
                <w:rFonts w:cs="Arial"/>
                <w:color w:val="000000"/>
                <w:lang w:val="de-AT" w:eastAsia="de-AT"/>
              </w:rPr>
            </w:pPr>
            <w:r>
              <w:rPr>
                <w:rFonts w:cs="Arial"/>
                <w:color w:val="000000"/>
              </w:rPr>
              <w:t>996,78</w:t>
            </w:r>
          </w:p>
        </w:tc>
        <w:tc>
          <w:tcPr>
            <w:tcW w:w="1535" w:type="dxa"/>
            <w:tcBorders>
              <w:top w:val="nil"/>
              <w:left w:val="nil"/>
              <w:bottom w:val="single" w:sz="4" w:space="0" w:color="auto"/>
              <w:right w:val="single" w:sz="4" w:space="0" w:color="auto"/>
            </w:tcBorders>
            <w:shd w:val="clear" w:color="auto" w:fill="auto"/>
            <w:noWrap/>
            <w:hideMark/>
          </w:tcPr>
          <w:p w14:paraId="5C08C70C" w14:textId="03319710" w:rsidR="007551D4" w:rsidRPr="00D60854" w:rsidRDefault="007551D4" w:rsidP="00D60854">
            <w:pPr>
              <w:jc w:val="center"/>
              <w:rPr>
                <w:rFonts w:cs="Arial"/>
                <w:color w:val="000000"/>
                <w:lang w:val="de-AT" w:eastAsia="de-AT"/>
              </w:rPr>
            </w:pPr>
            <w:r>
              <w:rPr>
                <w:rFonts w:cs="Arial"/>
                <w:color w:val="000000"/>
              </w:rPr>
              <w:t xml:space="preserve"> - </w:t>
            </w:r>
          </w:p>
        </w:tc>
        <w:tc>
          <w:tcPr>
            <w:tcW w:w="1725" w:type="dxa"/>
            <w:tcBorders>
              <w:top w:val="nil"/>
              <w:left w:val="nil"/>
              <w:bottom w:val="single" w:sz="4" w:space="0" w:color="auto"/>
              <w:right w:val="single" w:sz="4" w:space="0" w:color="auto"/>
            </w:tcBorders>
            <w:shd w:val="clear" w:color="auto" w:fill="auto"/>
            <w:noWrap/>
            <w:hideMark/>
          </w:tcPr>
          <w:p w14:paraId="57C90162" w14:textId="73028015" w:rsidR="007551D4" w:rsidRPr="00D60854" w:rsidRDefault="007551D4" w:rsidP="00D60854">
            <w:pPr>
              <w:jc w:val="center"/>
              <w:rPr>
                <w:rFonts w:cs="Arial"/>
                <w:color w:val="000000"/>
                <w:lang w:val="de-AT" w:eastAsia="de-AT"/>
              </w:rPr>
            </w:pPr>
            <w:r>
              <w:rPr>
                <w:rFonts w:cs="Arial"/>
                <w:color w:val="000000"/>
              </w:rPr>
              <w:t xml:space="preserve"> - </w:t>
            </w:r>
          </w:p>
        </w:tc>
      </w:tr>
      <w:tr w:rsidR="007551D4" w:rsidRPr="00D60854" w14:paraId="037B5E44" w14:textId="77777777" w:rsidTr="00FE1267">
        <w:trPr>
          <w:gridAfter w:val="1"/>
          <w:wAfter w:w="1560" w:type="dxa"/>
          <w:trHeight w:val="560"/>
        </w:trPr>
        <w:tc>
          <w:tcPr>
            <w:tcW w:w="1583" w:type="dxa"/>
            <w:tcBorders>
              <w:top w:val="nil"/>
              <w:left w:val="single" w:sz="4" w:space="0" w:color="auto"/>
              <w:bottom w:val="single" w:sz="4" w:space="0" w:color="auto"/>
              <w:right w:val="single" w:sz="4" w:space="0" w:color="auto"/>
            </w:tcBorders>
            <w:shd w:val="clear" w:color="auto" w:fill="auto"/>
            <w:vAlign w:val="center"/>
            <w:hideMark/>
          </w:tcPr>
          <w:p w14:paraId="1C22ED4D" w14:textId="77777777" w:rsidR="007551D4" w:rsidRPr="00D60854" w:rsidRDefault="007551D4" w:rsidP="00D60854">
            <w:pPr>
              <w:rPr>
                <w:rFonts w:cs="Arial"/>
                <w:color w:val="000000"/>
                <w:lang w:val="de-AT" w:eastAsia="de-AT"/>
              </w:rPr>
            </w:pPr>
            <w:r w:rsidRPr="00D60854">
              <w:rPr>
                <w:rFonts w:cs="Arial"/>
                <w:color w:val="000000"/>
                <w:lang w:val="de-AT" w:eastAsia="de-AT"/>
              </w:rPr>
              <w:t>VSB implantation</w:t>
            </w:r>
          </w:p>
        </w:tc>
        <w:tc>
          <w:tcPr>
            <w:tcW w:w="1701" w:type="dxa"/>
            <w:tcBorders>
              <w:top w:val="nil"/>
              <w:left w:val="nil"/>
              <w:bottom w:val="single" w:sz="4" w:space="0" w:color="auto"/>
              <w:right w:val="single" w:sz="4" w:space="0" w:color="auto"/>
            </w:tcBorders>
            <w:shd w:val="clear" w:color="auto" w:fill="auto"/>
            <w:noWrap/>
            <w:hideMark/>
          </w:tcPr>
          <w:p w14:paraId="02F67566" w14:textId="79E4FACC" w:rsidR="007551D4" w:rsidRPr="00D60854" w:rsidRDefault="007551D4" w:rsidP="00D60854">
            <w:pPr>
              <w:jc w:val="center"/>
              <w:rPr>
                <w:rFonts w:cs="Arial"/>
                <w:color w:val="000000"/>
                <w:lang w:val="de-AT" w:eastAsia="de-AT"/>
              </w:rPr>
            </w:pPr>
            <w:r>
              <w:rPr>
                <w:rFonts w:cs="Arial"/>
                <w:color w:val="000000"/>
              </w:rPr>
              <w:t>AUD 26.059,55</w:t>
            </w:r>
          </w:p>
        </w:tc>
        <w:tc>
          <w:tcPr>
            <w:tcW w:w="1701" w:type="dxa"/>
            <w:tcBorders>
              <w:top w:val="nil"/>
              <w:left w:val="nil"/>
              <w:bottom w:val="single" w:sz="4" w:space="0" w:color="auto"/>
              <w:right w:val="single" w:sz="4" w:space="0" w:color="auto"/>
            </w:tcBorders>
            <w:shd w:val="clear" w:color="auto" w:fill="auto"/>
            <w:noWrap/>
            <w:hideMark/>
          </w:tcPr>
          <w:p w14:paraId="4402760A" w14:textId="373596C8" w:rsidR="007551D4" w:rsidRPr="00D60854" w:rsidRDefault="007551D4" w:rsidP="00D60854">
            <w:pPr>
              <w:jc w:val="center"/>
              <w:rPr>
                <w:rFonts w:cs="Arial"/>
                <w:color w:val="000000"/>
                <w:lang w:val="de-AT" w:eastAsia="de-AT"/>
              </w:rPr>
            </w:pPr>
            <w:r>
              <w:rPr>
                <w:rFonts w:cs="Arial"/>
                <w:color w:val="000000"/>
              </w:rPr>
              <w:t>AUD 11.373,84</w:t>
            </w:r>
          </w:p>
        </w:tc>
        <w:tc>
          <w:tcPr>
            <w:tcW w:w="1181" w:type="dxa"/>
            <w:tcBorders>
              <w:top w:val="nil"/>
              <w:left w:val="nil"/>
              <w:bottom w:val="single" w:sz="4" w:space="0" w:color="auto"/>
              <w:right w:val="single" w:sz="4" w:space="0" w:color="auto"/>
            </w:tcBorders>
            <w:shd w:val="clear" w:color="auto" w:fill="auto"/>
            <w:noWrap/>
            <w:hideMark/>
          </w:tcPr>
          <w:p w14:paraId="2D772904" w14:textId="259721BC" w:rsidR="007551D4" w:rsidRPr="00D60854" w:rsidRDefault="007551D4" w:rsidP="00D60854">
            <w:pPr>
              <w:jc w:val="center"/>
              <w:rPr>
                <w:rFonts w:cs="Arial"/>
                <w:color w:val="000000"/>
                <w:lang w:val="de-AT" w:eastAsia="de-AT"/>
              </w:rPr>
            </w:pPr>
            <w:r>
              <w:rPr>
                <w:rFonts w:cs="Arial"/>
                <w:color w:val="000000"/>
              </w:rPr>
              <w:t>748,17</w:t>
            </w:r>
          </w:p>
        </w:tc>
        <w:tc>
          <w:tcPr>
            <w:tcW w:w="1535" w:type="dxa"/>
            <w:tcBorders>
              <w:top w:val="nil"/>
              <w:left w:val="nil"/>
              <w:bottom w:val="single" w:sz="4" w:space="0" w:color="auto"/>
              <w:right w:val="single" w:sz="4" w:space="0" w:color="auto"/>
            </w:tcBorders>
            <w:shd w:val="clear" w:color="auto" w:fill="auto"/>
            <w:noWrap/>
            <w:hideMark/>
          </w:tcPr>
          <w:p w14:paraId="4F6D3E97" w14:textId="45171092" w:rsidR="007551D4" w:rsidRPr="00D60854" w:rsidRDefault="007551D4" w:rsidP="00D60854">
            <w:pPr>
              <w:jc w:val="center"/>
              <w:rPr>
                <w:rFonts w:cs="Arial"/>
                <w:color w:val="000000"/>
                <w:lang w:val="de-AT" w:eastAsia="de-AT"/>
              </w:rPr>
            </w:pPr>
            <w:r>
              <w:rPr>
                <w:rFonts w:cs="Arial"/>
                <w:color w:val="000000"/>
              </w:rPr>
              <w:t>248,61</w:t>
            </w:r>
          </w:p>
        </w:tc>
        <w:tc>
          <w:tcPr>
            <w:tcW w:w="1725" w:type="dxa"/>
            <w:tcBorders>
              <w:top w:val="nil"/>
              <w:left w:val="nil"/>
              <w:bottom w:val="single" w:sz="4" w:space="0" w:color="auto"/>
              <w:right w:val="single" w:sz="4" w:space="0" w:color="auto"/>
            </w:tcBorders>
            <w:shd w:val="clear" w:color="auto" w:fill="auto"/>
            <w:noWrap/>
            <w:hideMark/>
          </w:tcPr>
          <w:p w14:paraId="2D071347" w14:textId="521D64E3" w:rsidR="007551D4" w:rsidRPr="00D60854" w:rsidRDefault="007551D4" w:rsidP="00D60854">
            <w:pPr>
              <w:jc w:val="center"/>
              <w:rPr>
                <w:rFonts w:cs="Arial"/>
                <w:color w:val="000000"/>
                <w:lang w:val="de-AT" w:eastAsia="de-AT"/>
              </w:rPr>
            </w:pPr>
            <w:r>
              <w:rPr>
                <w:rFonts w:cs="Arial"/>
                <w:color w:val="000000"/>
              </w:rPr>
              <w:t>45,75</w:t>
            </w:r>
          </w:p>
        </w:tc>
      </w:tr>
      <w:tr w:rsidR="007551D4" w:rsidRPr="00D60854" w14:paraId="46E9AF03" w14:textId="4CB43813" w:rsidTr="00FE1267">
        <w:trPr>
          <w:trHeight w:val="393"/>
        </w:trPr>
        <w:tc>
          <w:tcPr>
            <w:tcW w:w="3284" w:type="dxa"/>
            <w:gridSpan w:val="2"/>
            <w:tcBorders>
              <w:top w:val="nil"/>
              <w:left w:val="single" w:sz="4" w:space="0" w:color="auto"/>
              <w:bottom w:val="single" w:sz="4" w:space="0" w:color="auto"/>
              <w:right w:val="single" w:sz="4" w:space="0" w:color="auto"/>
            </w:tcBorders>
            <w:shd w:val="clear" w:color="auto" w:fill="auto"/>
            <w:noWrap/>
            <w:vAlign w:val="center"/>
            <w:hideMark/>
          </w:tcPr>
          <w:p w14:paraId="2EDC1784" w14:textId="77777777" w:rsidR="007551D4" w:rsidRPr="00D60854" w:rsidRDefault="007551D4" w:rsidP="00D60854">
            <w:pPr>
              <w:rPr>
                <w:rFonts w:cs="Arial"/>
                <w:b/>
                <w:bCs/>
                <w:color w:val="000000"/>
                <w:lang w:val="de-AT" w:eastAsia="de-AT"/>
              </w:rPr>
            </w:pPr>
            <w:r w:rsidRPr="00D60854">
              <w:rPr>
                <w:rFonts w:cs="Arial"/>
                <w:b/>
                <w:bCs/>
                <w:color w:val="000000"/>
                <w:lang w:val="de-AT" w:eastAsia="de-AT"/>
              </w:rPr>
              <w:t>10-year discounted</w:t>
            </w:r>
          </w:p>
        </w:tc>
        <w:tc>
          <w:tcPr>
            <w:tcW w:w="1701" w:type="dxa"/>
            <w:tcBorders>
              <w:top w:val="nil"/>
              <w:left w:val="nil"/>
              <w:bottom w:val="single" w:sz="4" w:space="0" w:color="auto"/>
              <w:right w:val="single" w:sz="4" w:space="0" w:color="auto"/>
            </w:tcBorders>
            <w:shd w:val="clear" w:color="auto" w:fill="auto"/>
            <w:hideMark/>
          </w:tcPr>
          <w:p w14:paraId="4C7F015D" w14:textId="51D37BB2" w:rsidR="007551D4" w:rsidRPr="00D60854" w:rsidRDefault="007551D4" w:rsidP="00D60854">
            <w:pPr>
              <w:jc w:val="center"/>
              <w:rPr>
                <w:rFonts w:cs="Arial"/>
                <w:b/>
                <w:bCs/>
                <w:color w:val="000000"/>
                <w:lang w:val="de-AT" w:eastAsia="de-AT"/>
              </w:rPr>
            </w:pPr>
            <w:r>
              <w:rPr>
                <w:rFonts w:cs="Arial"/>
                <w:b/>
                <w:bCs/>
                <w:color w:val="000000"/>
              </w:rPr>
              <w:t> </w:t>
            </w:r>
          </w:p>
        </w:tc>
        <w:tc>
          <w:tcPr>
            <w:tcW w:w="1181" w:type="dxa"/>
            <w:tcBorders>
              <w:top w:val="nil"/>
              <w:left w:val="nil"/>
              <w:bottom w:val="single" w:sz="4" w:space="0" w:color="auto"/>
              <w:right w:val="single" w:sz="4" w:space="0" w:color="auto"/>
            </w:tcBorders>
            <w:shd w:val="clear" w:color="auto" w:fill="auto"/>
            <w:noWrap/>
            <w:hideMark/>
          </w:tcPr>
          <w:p w14:paraId="3F642188" w14:textId="393D46BD" w:rsidR="007551D4" w:rsidRPr="00D60854" w:rsidRDefault="007551D4" w:rsidP="00D60854">
            <w:pPr>
              <w:jc w:val="center"/>
              <w:rPr>
                <w:rFonts w:cs="Arial"/>
                <w:b/>
                <w:bCs/>
                <w:color w:val="000000"/>
                <w:lang w:val="de-AT" w:eastAsia="de-AT"/>
              </w:rPr>
            </w:pPr>
            <w:r>
              <w:rPr>
                <w:rFonts w:cs="Arial"/>
                <w:b/>
                <w:bCs/>
                <w:color w:val="000000"/>
              </w:rPr>
              <w:t> </w:t>
            </w:r>
          </w:p>
        </w:tc>
        <w:tc>
          <w:tcPr>
            <w:tcW w:w="1535" w:type="dxa"/>
            <w:tcBorders>
              <w:top w:val="nil"/>
              <w:left w:val="nil"/>
              <w:bottom w:val="single" w:sz="4" w:space="0" w:color="auto"/>
              <w:right w:val="single" w:sz="4" w:space="0" w:color="auto"/>
            </w:tcBorders>
            <w:shd w:val="clear" w:color="auto" w:fill="auto"/>
            <w:hideMark/>
          </w:tcPr>
          <w:p w14:paraId="7F672296" w14:textId="7ECF89C9" w:rsidR="007551D4" w:rsidRPr="00D60854" w:rsidRDefault="007551D4" w:rsidP="00D60854">
            <w:pPr>
              <w:jc w:val="center"/>
              <w:rPr>
                <w:rFonts w:cs="Arial"/>
                <w:b/>
                <w:bCs/>
                <w:color w:val="000000"/>
                <w:lang w:val="de-AT" w:eastAsia="de-AT"/>
              </w:rPr>
            </w:pPr>
            <w:r>
              <w:rPr>
                <w:rFonts w:cs="Arial"/>
                <w:b/>
                <w:bCs/>
                <w:color w:val="000000"/>
              </w:rPr>
              <w:t> </w:t>
            </w:r>
          </w:p>
        </w:tc>
        <w:tc>
          <w:tcPr>
            <w:tcW w:w="1725" w:type="dxa"/>
            <w:tcBorders>
              <w:top w:val="nil"/>
              <w:left w:val="nil"/>
              <w:bottom w:val="single" w:sz="4" w:space="0" w:color="auto"/>
              <w:right w:val="single" w:sz="4" w:space="0" w:color="auto"/>
            </w:tcBorders>
            <w:shd w:val="clear" w:color="auto" w:fill="auto"/>
            <w:hideMark/>
          </w:tcPr>
          <w:p w14:paraId="32A6DFEF" w14:textId="7AE5EF02" w:rsidR="007551D4" w:rsidRPr="00D60854" w:rsidRDefault="007551D4" w:rsidP="00D60854">
            <w:pPr>
              <w:jc w:val="center"/>
              <w:rPr>
                <w:rFonts w:cs="Arial"/>
                <w:b/>
                <w:bCs/>
                <w:color w:val="000000"/>
                <w:lang w:val="de-AT" w:eastAsia="de-AT"/>
              </w:rPr>
            </w:pPr>
            <w:r>
              <w:rPr>
                <w:rFonts w:cs="Arial"/>
                <w:b/>
                <w:bCs/>
                <w:color w:val="000000"/>
              </w:rPr>
              <w:t> </w:t>
            </w:r>
          </w:p>
        </w:tc>
        <w:tc>
          <w:tcPr>
            <w:tcW w:w="1560" w:type="dxa"/>
          </w:tcPr>
          <w:p w14:paraId="38D8020D" w14:textId="620F1DD4" w:rsidR="007551D4" w:rsidRPr="00D60854" w:rsidRDefault="007551D4">
            <w:r>
              <w:rPr>
                <w:rFonts w:cs="Arial"/>
                <w:b/>
                <w:bCs/>
                <w:color w:val="000000"/>
              </w:rPr>
              <w:t> </w:t>
            </w:r>
          </w:p>
        </w:tc>
      </w:tr>
      <w:tr w:rsidR="007551D4" w:rsidRPr="00D60854" w14:paraId="1DCD0AF8" w14:textId="77777777" w:rsidTr="00FE1267">
        <w:trPr>
          <w:gridAfter w:val="1"/>
          <w:wAfter w:w="1560" w:type="dxa"/>
          <w:trHeight w:val="570"/>
        </w:trPr>
        <w:tc>
          <w:tcPr>
            <w:tcW w:w="1583" w:type="dxa"/>
            <w:tcBorders>
              <w:top w:val="nil"/>
              <w:left w:val="single" w:sz="4" w:space="0" w:color="auto"/>
              <w:bottom w:val="single" w:sz="4" w:space="0" w:color="auto"/>
              <w:right w:val="single" w:sz="4" w:space="0" w:color="auto"/>
            </w:tcBorders>
            <w:shd w:val="clear" w:color="auto" w:fill="auto"/>
            <w:vAlign w:val="center"/>
            <w:hideMark/>
          </w:tcPr>
          <w:p w14:paraId="0DEBE21B" w14:textId="77777777" w:rsidR="007551D4" w:rsidRPr="00D60854" w:rsidRDefault="007551D4" w:rsidP="00D76570">
            <w:pPr>
              <w:rPr>
                <w:rFonts w:cs="Arial"/>
                <w:color w:val="000000"/>
                <w:lang w:val="de-AT" w:eastAsia="de-AT"/>
              </w:rPr>
            </w:pPr>
            <w:r w:rsidRPr="00D60854">
              <w:rPr>
                <w:rFonts w:cs="Arial"/>
                <w:color w:val="000000"/>
                <w:lang w:val="de-AT" w:eastAsia="de-AT"/>
              </w:rPr>
              <w:t>MXM implantation</w:t>
            </w:r>
          </w:p>
        </w:tc>
        <w:tc>
          <w:tcPr>
            <w:tcW w:w="1701" w:type="dxa"/>
            <w:tcBorders>
              <w:top w:val="nil"/>
              <w:left w:val="nil"/>
              <w:bottom w:val="single" w:sz="4" w:space="0" w:color="auto"/>
              <w:right w:val="single" w:sz="4" w:space="0" w:color="auto"/>
            </w:tcBorders>
            <w:shd w:val="clear" w:color="auto" w:fill="auto"/>
            <w:noWrap/>
            <w:hideMark/>
          </w:tcPr>
          <w:p w14:paraId="2D4DDB62" w14:textId="67289FAC" w:rsidR="007551D4" w:rsidRPr="00D60854" w:rsidRDefault="007551D4" w:rsidP="00D60854">
            <w:pPr>
              <w:jc w:val="center"/>
              <w:rPr>
                <w:rFonts w:cs="Arial"/>
                <w:color w:val="000000"/>
                <w:lang w:val="de-AT" w:eastAsia="de-AT"/>
              </w:rPr>
            </w:pPr>
            <w:r>
              <w:rPr>
                <w:rFonts w:cs="Arial"/>
                <w:color w:val="000000"/>
              </w:rPr>
              <w:t>AUD 13.849,87</w:t>
            </w:r>
          </w:p>
        </w:tc>
        <w:tc>
          <w:tcPr>
            <w:tcW w:w="1701" w:type="dxa"/>
            <w:tcBorders>
              <w:top w:val="nil"/>
              <w:left w:val="nil"/>
              <w:bottom w:val="single" w:sz="4" w:space="0" w:color="auto"/>
              <w:right w:val="single" w:sz="4" w:space="0" w:color="auto"/>
            </w:tcBorders>
            <w:shd w:val="clear" w:color="auto" w:fill="auto"/>
            <w:noWrap/>
            <w:hideMark/>
          </w:tcPr>
          <w:p w14:paraId="1EE61393" w14:textId="52FAE3DF" w:rsidR="007551D4" w:rsidRPr="00D60854" w:rsidRDefault="007551D4" w:rsidP="00D60854">
            <w:pPr>
              <w:jc w:val="center"/>
              <w:rPr>
                <w:rFonts w:cs="Arial"/>
                <w:color w:val="000000"/>
                <w:lang w:val="de-AT" w:eastAsia="de-AT"/>
              </w:rPr>
            </w:pPr>
            <w:r>
              <w:rPr>
                <w:rFonts w:cs="Arial"/>
                <w:color w:val="000000"/>
              </w:rPr>
              <w:t xml:space="preserve"> - </w:t>
            </w:r>
          </w:p>
        </w:tc>
        <w:tc>
          <w:tcPr>
            <w:tcW w:w="1181" w:type="dxa"/>
            <w:tcBorders>
              <w:top w:val="nil"/>
              <w:left w:val="nil"/>
              <w:bottom w:val="single" w:sz="4" w:space="0" w:color="auto"/>
              <w:right w:val="single" w:sz="4" w:space="0" w:color="auto"/>
            </w:tcBorders>
            <w:shd w:val="clear" w:color="auto" w:fill="auto"/>
            <w:noWrap/>
            <w:hideMark/>
          </w:tcPr>
          <w:p w14:paraId="7B89A120" w14:textId="1A05C512" w:rsidR="007551D4" w:rsidRPr="00D60854" w:rsidRDefault="007551D4" w:rsidP="00D60854">
            <w:pPr>
              <w:jc w:val="center"/>
              <w:rPr>
                <w:rFonts w:cs="Arial"/>
                <w:color w:val="000000"/>
                <w:lang w:val="de-AT" w:eastAsia="de-AT"/>
              </w:rPr>
            </w:pPr>
            <w:r>
              <w:rPr>
                <w:rFonts w:cs="Arial"/>
                <w:color w:val="000000"/>
              </w:rPr>
              <w:t>791,79</w:t>
            </w:r>
          </w:p>
        </w:tc>
        <w:tc>
          <w:tcPr>
            <w:tcW w:w="1535" w:type="dxa"/>
            <w:tcBorders>
              <w:top w:val="nil"/>
              <w:left w:val="nil"/>
              <w:bottom w:val="single" w:sz="4" w:space="0" w:color="auto"/>
              <w:right w:val="single" w:sz="4" w:space="0" w:color="auto"/>
            </w:tcBorders>
            <w:shd w:val="clear" w:color="auto" w:fill="auto"/>
            <w:noWrap/>
            <w:hideMark/>
          </w:tcPr>
          <w:p w14:paraId="69F747B3" w14:textId="692333B0" w:rsidR="007551D4" w:rsidRPr="00D60854" w:rsidRDefault="007551D4" w:rsidP="00D60854">
            <w:pPr>
              <w:jc w:val="center"/>
              <w:rPr>
                <w:rFonts w:cs="Arial"/>
                <w:color w:val="000000"/>
                <w:lang w:val="de-AT" w:eastAsia="de-AT"/>
              </w:rPr>
            </w:pPr>
            <w:r>
              <w:rPr>
                <w:rFonts w:cs="Arial"/>
                <w:color w:val="000000"/>
              </w:rPr>
              <w:t xml:space="preserve"> - </w:t>
            </w:r>
          </w:p>
        </w:tc>
        <w:tc>
          <w:tcPr>
            <w:tcW w:w="1725" w:type="dxa"/>
            <w:tcBorders>
              <w:top w:val="nil"/>
              <w:left w:val="nil"/>
              <w:bottom w:val="single" w:sz="4" w:space="0" w:color="auto"/>
              <w:right w:val="single" w:sz="4" w:space="0" w:color="auto"/>
            </w:tcBorders>
            <w:shd w:val="clear" w:color="auto" w:fill="auto"/>
            <w:noWrap/>
            <w:hideMark/>
          </w:tcPr>
          <w:p w14:paraId="4E86A0A0" w14:textId="61B45DC1" w:rsidR="007551D4" w:rsidRPr="00D60854" w:rsidRDefault="007551D4" w:rsidP="00D60854">
            <w:pPr>
              <w:jc w:val="center"/>
              <w:rPr>
                <w:rFonts w:cs="Arial"/>
                <w:color w:val="000000"/>
                <w:lang w:val="de-AT" w:eastAsia="de-AT"/>
              </w:rPr>
            </w:pPr>
            <w:r>
              <w:rPr>
                <w:rFonts w:cs="Arial"/>
                <w:color w:val="000000"/>
              </w:rPr>
              <w:t xml:space="preserve"> - </w:t>
            </w:r>
          </w:p>
        </w:tc>
      </w:tr>
      <w:tr w:rsidR="007551D4" w:rsidRPr="00D60854" w14:paraId="1955D6B3" w14:textId="77777777" w:rsidTr="00FE1267">
        <w:trPr>
          <w:gridAfter w:val="1"/>
          <w:wAfter w:w="1560" w:type="dxa"/>
          <w:trHeight w:val="570"/>
        </w:trPr>
        <w:tc>
          <w:tcPr>
            <w:tcW w:w="1583" w:type="dxa"/>
            <w:tcBorders>
              <w:top w:val="nil"/>
              <w:left w:val="single" w:sz="4" w:space="0" w:color="auto"/>
              <w:bottom w:val="single" w:sz="4" w:space="0" w:color="auto"/>
              <w:right w:val="single" w:sz="4" w:space="0" w:color="auto"/>
            </w:tcBorders>
            <w:shd w:val="clear" w:color="auto" w:fill="auto"/>
            <w:vAlign w:val="center"/>
            <w:hideMark/>
          </w:tcPr>
          <w:p w14:paraId="5E2A94B3" w14:textId="77777777" w:rsidR="007551D4" w:rsidRPr="00D60854" w:rsidRDefault="007551D4" w:rsidP="00D76570">
            <w:pPr>
              <w:rPr>
                <w:rFonts w:cs="Arial"/>
                <w:color w:val="000000"/>
                <w:lang w:val="de-AT" w:eastAsia="de-AT"/>
              </w:rPr>
            </w:pPr>
            <w:r w:rsidRPr="00D60854">
              <w:rPr>
                <w:rFonts w:cs="Arial"/>
                <w:color w:val="000000"/>
                <w:lang w:val="de-AT" w:eastAsia="de-AT"/>
              </w:rPr>
              <w:t>VSB implantation</w:t>
            </w:r>
          </w:p>
        </w:tc>
        <w:tc>
          <w:tcPr>
            <w:tcW w:w="1701" w:type="dxa"/>
            <w:tcBorders>
              <w:top w:val="nil"/>
              <w:left w:val="nil"/>
              <w:bottom w:val="single" w:sz="4" w:space="0" w:color="auto"/>
              <w:right w:val="single" w:sz="4" w:space="0" w:color="auto"/>
            </w:tcBorders>
            <w:shd w:val="clear" w:color="auto" w:fill="auto"/>
            <w:noWrap/>
            <w:hideMark/>
          </w:tcPr>
          <w:p w14:paraId="2297713E" w14:textId="73AA8138" w:rsidR="007551D4" w:rsidRPr="00D60854" w:rsidRDefault="007551D4" w:rsidP="00D60854">
            <w:pPr>
              <w:jc w:val="center"/>
              <w:rPr>
                <w:rFonts w:cs="Arial"/>
                <w:color w:val="000000"/>
                <w:lang w:val="de-AT" w:eastAsia="de-AT"/>
              </w:rPr>
            </w:pPr>
            <w:r>
              <w:rPr>
                <w:rFonts w:cs="Arial"/>
                <w:color w:val="000000"/>
              </w:rPr>
              <w:t>AUD 24.468,43</w:t>
            </w:r>
          </w:p>
        </w:tc>
        <w:tc>
          <w:tcPr>
            <w:tcW w:w="1701" w:type="dxa"/>
            <w:tcBorders>
              <w:top w:val="nil"/>
              <w:left w:val="nil"/>
              <w:bottom w:val="single" w:sz="4" w:space="0" w:color="auto"/>
              <w:right w:val="single" w:sz="4" w:space="0" w:color="auto"/>
            </w:tcBorders>
            <w:shd w:val="clear" w:color="auto" w:fill="auto"/>
            <w:noWrap/>
            <w:hideMark/>
          </w:tcPr>
          <w:p w14:paraId="26E025AD" w14:textId="0B691CD3" w:rsidR="007551D4" w:rsidRPr="00D60854" w:rsidRDefault="007551D4" w:rsidP="00D60854">
            <w:pPr>
              <w:jc w:val="center"/>
              <w:rPr>
                <w:rFonts w:cs="Arial"/>
                <w:color w:val="000000"/>
                <w:lang w:val="de-AT" w:eastAsia="de-AT"/>
              </w:rPr>
            </w:pPr>
            <w:r>
              <w:rPr>
                <w:rFonts w:cs="Arial"/>
                <w:color w:val="000000"/>
              </w:rPr>
              <w:t>AUD 10.618,57</w:t>
            </w:r>
          </w:p>
        </w:tc>
        <w:tc>
          <w:tcPr>
            <w:tcW w:w="1181" w:type="dxa"/>
            <w:tcBorders>
              <w:top w:val="nil"/>
              <w:left w:val="nil"/>
              <w:bottom w:val="single" w:sz="4" w:space="0" w:color="auto"/>
              <w:right w:val="single" w:sz="4" w:space="0" w:color="auto"/>
            </w:tcBorders>
            <w:shd w:val="clear" w:color="auto" w:fill="auto"/>
            <w:noWrap/>
            <w:hideMark/>
          </w:tcPr>
          <w:p w14:paraId="001222A3" w14:textId="7FE11CCC" w:rsidR="007551D4" w:rsidRPr="00D60854" w:rsidRDefault="007551D4" w:rsidP="00D60854">
            <w:pPr>
              <w:jc w:val="center"/>
              <w:rPr>
                <w:rFonts w:cs="Arial"/>
                <w:color w:val="000000"/>
                <w:lang w:val="de-AT" w:eastAsia="de-AT"/>
              </w:rPr>
            </w:pPr>
            <w:r>
              <w:rPr>
                <w:rFonts w:cs="Arial"/>
                <w:color w:val="000000"/>
              </w:rPr>
              <w:t>592,38</w:t>
            </w:r>
          </w:p>
        </w:tc>
        <w:tc>
          <w:tcPr>
            <w:tcW w:w="1535" w:type="dxa"/>
            <w:tcBorders>
              <w:top w:val="nil"/>
              <w:left w:val="nil"/>
              <w:bottom w:val="single" w:sz="4" w:space="0" w:color="auto"/>
              <w:right w:val="single" w:sz="4" w:space="0" w:color="auto"/>
            </w:tcBorders>
            <w:shd w:val="clear" w:color="auto" w:fill="auto"/>
            <w:noWrap/>
            <w:hideMark/>
          </w:tcPr>
          <w:p w14:paraId="52C770F3" w14:textId="6E5D1C4F" w:rsidR="007551D4" w:rsidRPr="00D60854" w:rsidRDefault="007551D4" w:rsidP="00D60854">
            <w:pPr>
              <w:jc w:val="center"/>
              <w:rPr>
                <w:rFonts w:cs="Arial"/>
                <w:color w:val="000000"/>
                <w:lang w:val="de-AT" w:eastAsia="de-AT"/>
              </w:rPr>
            </w:pPr>
            <w:r>
              <w:rPr>
                <w:rFonts w:cs="Arial"/>
                <w:color w:val="000000"/>
              </w:rPr>
              <w:t>199,41</w:t>
            </w:r>
          </w:p>
        </w:tc>
        <w:tc>
          <w:tcPr>
            <w:tcW w:w="1725" w:type="dxa"/>
            <w:tcBorders>
              <w:top w:val="nil"/>
              <w:left w:val="nil"/>
              <w:bottom w:val="single" w:sz="4" w:space="0" w:color="auto"/>
              <w:right w:val="single" w:sz="4" w:space="0" w:color="auto"/>
            </w:tcBorders>
            <w:shd w:val="clear" w:color="auto" w:fill="auto"/>
            <w:noWrap/>
            <w:hideMark/>
          </w:tcPr>
          <w:p w14:paraId="4844FAC9" w14:textId="6850913C" w:rsidR="007551D4" w:rsidRPr="00D60854" w:rsidRDefault="007551D4" w:rsidP="00D60854">
            <w:pPr>
              <w:jc w:val="center"/>
              <w:rPr>
                <w:rFonts w:cs="Arial"/>
                <w:color w:val="000000"/>
                <w:lang w:val="de-AT" w:eastAsia="de-AT"/>
              </w:rPr>
            </w:pPr>
            <w:r>
              <w:rPr>
                <w:rFonts w:cs="Arial"/>
                <w:color w:val="000000"/>
              </w:rPr>
              <w:t>53,25</w:t>
            </w:r>
          </w:p>
        </w:tc>
      </w:tr>
    </w:tbl>
    <w:p w14:paraId="67C391EF" w14:textId="77777777" w:rsidR="00B22312" w:rsidRPr="008718FB" w:rsidRDefault="00B22312" w:rsidP="00B22312">
      <w:pPr>
        <w:spacing w:line="360" w:lineRule="auto"/>
        <w:jc w:val="both"/>
        <w:rPr>
          <w:rFonts w:cs="Arial"/>
          <w:b/>
          <w:sz w:val="20"/>
          <w:szCs w:val="20"/>
          <w:lang w:val="en-US"/>
        </w:rPr>
      </w:pPr>
      <w:bookmarkStart w:id="593" w:name="_Ref431654563"/>
      <w:bookmarkStart w:id="594" w:name="_Toc431917518"/>
      <w:r w:rsidRPr="008718FB">
        <w:rPr>
          <w:rFonts w:cs="Arial"/>
          <w:b/>
          <w:bCs/>
          <w:sz w:val="20"/>
          <w:szCs w:val="20"/>
          <w:lang w:val="en-US"/>
        </w:rPr>
        <w:lastRenderedPageBreak/>
        <w:t xml:space="preserve">Table </w:t>
      </w:r>
      <w:r w:rsidRPr="00AE06D8">
        <w:rPr>
          <w:rFonts w:cs="Arial"/>
          <w:b/>
          <w:bCs/>
          <w:sz w:val="20"/>
          <w:szCs w:val="20"/>
        </w:rPr>
        <w:fldChar w:fldCharType="begin"/>
      </w:r>
      <w:r w:rsidRPr="008718FB">
        <w:rPr>
          <w:rFonts w:cs="Arial"/>
          <w:b/>
          <w:bCs/>
          <w:sz w:val="20"/>
          <w:szCs w:val="20"/>
          <w:lang w:val="en-US"/>
        </w:rPr>
        <w:instrText xml:space="preserve"> SEQ Table \* ARABIC </w:instrText>
      </w:r>
      <w:r w:rsidRPr="00AE06D8">
        <w:rPr>
          <w:rFonts w:cs="Arial"/>
          <w:b/>
          <w:bCs/>
          <w:sz w:val="20"/>
          <w:szCs w:val="20"/>
        </w:rPr>
        <w:fldChar w:fldCharType="separate"/>
      </w:r>
      <w:r w:rsidR="00016592">
        <w:rPr>
          <w:rFonts w:cs="Arial"/>
          <w:b/>
          <w:bCs/>
          <w:noProof/>
          <w:sz w:val="20"/>
          <w:szCs w:val="20"/>
          <w:lang w:val="en-US"/>
        </w:rPr>
        <w:t>58</w:t>
      </w:r>
      <w:r w:rsidRPr="00AE06D8">
        <w:rPr>
          <w:rFonts w:cs="Arial"/>
          <w:b/>
          <w:bCs/>
          <w:sz w:val="20"/>
          <w:szCs w:val="20"/>
        </w:rPr>
        <w:fldChar w:fldCharType="end"/>
      </w:r>
      <w:bookmarkEnd w:id="593"/>
      <w:r w:rsidRPr="008718FB">
        <w:rPr>
          <w:rFonts w:cs="Arial"/>
          <w:b/>
          <w:bCs/>
          <w:sz w:val="20"/>
          <w:szCs w:val="20"/>
          <w:lang w:val="en-US"/>
        </w:rPr>
        <w:t xml:space="preserve"> –</w:t>
      </w:r>
      <w:r w:rsidR="00D60854" w:rsidRPr="00D60854">
        <w:rPr>
          <w:rFonts w:cs="Arial"/>
          <w:b/>
          <w:sz w:val="20"/>
          <w:szCs w:val="20"/>
          <w:lang w:val="en-US"/>
        </w:rPr>
        <w:t xml:space="preserve">The effect of different </w:t>
      </w:r>
      <w:r w:rsidR="00D60854">
        <w:rPr>
          <w:rFonts w:cs="Arial"/>
          <w:b/>
          <w:sz w:val="20"/>
          <w:szCs w:val="20"/>
          <w:lang w:val="en-US"/>
        </w:rPr>
        <w:t>time horizons</w:t>
      </w:r>
      <w:r w:rsidR="00D60854" w:rsidRPr="00D60854">
        <w:rPr>
          <w:rFonts w:cs="Arial"/>
          <w:b/>
          <w:sz w:val="20"/>
          <w:szCs w:val="20"/>
          <w:lang w:val="en-US"/>
        </w:rPr>
        <w:t xml:space="preserve"> on the model comparing partially implantable MEI</w:t>
      </w:r>
      <w:bookmarkEnd w:id="594"/>
    </w:p>
    <w:tbl>
      <w:tblPr>
        <w:tblW w:w="10986" w:type="dxa"/>
        <w:tblCellMar>
          <w:left w:w="70" w:type="dxa"/>
          <w:right w:w="70" w:type="dxa"/>
        </w:tblCellMar>
        <w:tblLook w:val="04A0" w:firstRow="1" w:lastRow="0" w:firstColumn="1" w:lastColumn="0" w:noHBand="0" w:noVBand="1"/>
        <w:tblDescription w:val="The effect of different time horizons on the model comparing partially implantable MEI"/>
      </w:tblPr>
      <w:tblGrid>
        <w:gridCol w:w="1575"/>
        <w:gridCol w:w="1701"/>
        <w:gridCol w:w="1701"/>
        <w:gridCol w:w="1189"/>
        <w:gridCol w:w="1535"/>
        <w:gridCol w:w="1725"/>
        <w:gridCol w:w="1560"/>
      </w:tblGrid>
      <w:tr w:rsidR="00D60854" w:rsidRPr="00D60854" w14:paraId="18B3420B" w14:textId="77777777" w:rsidTr="00FE1267">
        <w:trPr>
          <w:gridAfter w:val="1"/>
          <w:trHeight w:val="560"/>
        </w:trPr>
        <w:tc>
          <w:tcPr>
            <w:tcW w:w="1575"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54C25C9C" w14:textId="77777777" w:rsidR="00D60854" w:rsidRPr="00D60854" w:rsidRDefault="00D60854" w:rsidP="00D60854">
            <w:pPr>
              <w:jc w:val="center"/>
              <w:rPr>
                <w:rFonts w:cs="Arial"/>
                <w:b/>
                <w:bCs/>
                <w:color w:val="000000"/>
                <w:lang w:val="de-AT" w:eastAsia="de-AT"/>
              </w:rPr>
            </w:pPr>
            <w:r w:rsidRPr="00D60854">
              <w:rPr>
                <w:rFonts w:cs="Arial"/>
                <w:b/>
                <w:bCs/>
                <w:color w:val="000000"/>
                <w:lang w:val="de-AT" w:eastAsia="de-AT"/>
              </w:rPr>
              <w:t>Strategy</w:t>
            </w:r>
          </w:p>
        </w:tc>
        <w:tc>
          <w:tcPr>
            <w:tcW w:w="1701" w:type="dxa"/>
            <w:tcBorders>
              <w:top w:val="single" w:sz="8" w:space="0" w:color="auto"/>
              <w:left w:val="nil"/>
              <w:bottom w:val="single" w:sz="4" w:space="0" w:color="auto"/>
              <w:right w:val="single" w:sz="4" w:space="0" w:color="auto"/>
            </w:tcBorders>
            <w:shd w:val="clear" w:color="auto" w:fill="auto"/>
            <w:vAlign w:val="center"/>
            <w:hideMark/>
          </w:tcPr>
          <w:p w14:paraId="3F679DE5" w14:textId="77777777" w:rsidR="00D60854" w:rsidRPr="00D60854" w:rsidRDefault="00D60854" w:rsidP="00D60854">
            <w:pPr>
              <w:jc w:val="center"/>
              <w:rPr>
                <w:rFonts w:cs="Arial"/>
                <w:b/>
                <w:bCs/>
                <w:color w:val="000000"/>
                <w:lang w:val="de-AT" w:eastAsia="de-AT"/>
              </w:rPr>
            </w:pPr>
            <w:r w:rsidRPr="00D60854">
              <w:rPr>
                <w:rFonts w:cs="Arial"/>
                <w:b/>
                <w:bCs/>
                <w:color w:val="000000"/>
                <w:lang w:val="de-AT" w:eastAsia="de-AT"/>
              </w:rPr>
              <w:t>Cost</w:t>
            </w:r>
          </w:p>
        </w:tc>
        <w:tc>
          <w:tcPr>
            <w:tcW w:w="1701" w:type="dxa"/>
            <w:tcBorders>
              <w:top w:val="single" w:sz="8" w:space="0" w:color="auto"/>
              <w:left w:val="nil"/>
              <w:bottom w:val="single" w:sz="4" w:space="0" w:color="auto"/>
              <w:right w:val="single" w:sz="4" w:space="0" w:color="auto"/>
            </w:tcBorders>
            <w:shd w:val="clear" w:color="auto" w:fill="auto"/>
            <w:vAlign w:val="center"/>
            <w:hideMark/>
          </w:tcPr>
          <w:p w14:paraId="05213023" w14:textId="77777777" w:rsidR="00D60854" w:rsidRPr="00D60854" w:rsidRDefault="00D60854" w:rsidP="00D60854">
            <w:pPr>
              <w:jc w:val="center"/>
              <w:rPr>
                <w:rFonts w:cs="Arial"/>
                <w:b/>
                <w:bCs/>
                <w:color w:val="000000"/>
                <w:lang w:val="de-AT" w:eastAsia="de-AT"/>
              </w:rPr>
            </w:pPr>
            <w:r w:rsidRPr="00D60854">
              <w:rPr>
                <w:rFonts w:cs="Arial"/>
                <w:b/>
                <w:bCs/>
                <w:color w:val="000000"/>
                <w:lang w:val="de-AT" w:eastAsia="de-AT"/>
              </w:rPr>
              <w:t xml:space="preserve">Incremental cost </w:t>
            </w:r>
          </w:p>
        </w:tc>
        <w:tc>
          <w:tcPr>
            <w:tcW w:w="1189" w:type="dxa"/>
            <w:tcBorders>
              <w:top w:val="single" w:sz="8" w:space="0" w:color="auto"/>
              <w:left w:val="nil"/>
              <w:bottom w:val="single" w:sz="4" w:space="0" w:color="auto"/>
              <w:right w:val="single" w:sz="4" w:space="0" w:color="auto"/>
            </w:tcBorders>
            <w:shd w:val="clear" w:color="auto" w:fill="auto"/>
            <w:noWrap/>
            <w:vAlign w:val="center"/>
            <w:hideMark/>
          </w:tcPr>
          <w:p w14:paraId="65406F4D" w14:textId="77AEE5D1" w:rsidR="00D60854" w:rsidRPr="00D60854" w:rsidRDefault="00D60854" w:rsidP="00D60854">
            <w:pPr>
              <w:jc w:val="center"/>
              <w:rPr>
                <w:rFonts w:cs="Arial"/>
                <w:b/>
                <w:bCs/>
                <w:color w:val="000000"/>
                <w:lang w:val="de-AT" w:eastAsia="de-AT"/>
              </w:rPr>
            </w:pPr>
            <w:r w:rsidRPr="00D60854">
              <w:rPr>
                <w:rFonts w:cs="Arial"/>
                <w:b/>
                <w:bCs/>
                <w:color w:val="000000"/>
                <w:lang w:val="de-AT" w:eastAsia="de-AT"/>
              </w:rPr>
              <w:t>Effective</w:t>
            </w:r>
            <w:r w:rsidR="00FE1267">
              <w:rPr>
                <w:rFonts w:cs="Arial"/>
                <w:b/>
                <w:bCs/>
                <w:color w:val="000000"/>
                <w:lang w:val="de-AT" w:eastAsia="de-AT"/>
              </w:rPr>
              <w:t>-</w:t>
            </w:r>
            <w:r w:rsidRPr="00D60854">
              <w:rPr>
                <w:rFonts w:cs="Arial"/>
                <w:b/>
                <w:bCs/>
                <w:color w:val="000000"/>
                <w:lang w:val="de-AT" w:eastAsia="de-AT"/>
              </w:rPr>
              <w:t>ness</w:t>
            </w:r>
          </w:p>
        </w:tc>
        <w:tc>
          <w:tcPr>
            <w:tcW w:w="1535" w:type="dxa"/>
            <w:tcBorders>
              <w:top w:val="single" w:sz="8" w:space="0" w:color="auto"/>
              <w:left w:val="nil"/>
              <w:bottom w:val="single" w:sz="4" w:space="0" w:color="auto"/>
              <w:right w:val="single" w:sz="4" w:space="0" w:color="auto"/>
            </w:tcBorders>
            <w:shd w:val="clear" w:color="auto" w:fill="auto"/>
            <w:vAlign w:val="center"/>
            <w:hideMark/>
          </w:tcPr>
          <w:p w14:paraId="73FACCD6" w14:textId="77777777" w:rsidR="00D60854" w:rsidRPr="00D60854" w:rsidRDefault="00D60854" w:rsidP="00D60854">
            <w:pPr>
              <w:jc w:val="center"/>
              <w:rPr>
                <w:rFonts w:cs="Arial"/>
                <w:b/>
                <w:bCs/>
                <w:color w:val="000000"/>
                <w:lang w:val="de-AT" w:eastAsia="de-AT"/>
              </w:rPr>
            </w:pPr>
            <w:r w:rsidRPr="00D60854">
              <w:rPr>
                <w:rFonts w:cs="Arial"/>
                <w:b/>
                <w:bCs/>
                <w:color w:val="000000"/>
                <w:lang w:val="de-AT" w:eastAsia="de-AT"/>
              </w:rPr>
              <w:t>Incremental effectiveness</w:t>
            </w:r>
          </w:p>
        </w:tc>
        <w:tc>
          <w:tcPr>
            <w:tcW w:w="1725" w:type="dxa"/>
            <w:tcBorders>
              <w:top w:val="single" w:sz="8" w:space="0" w:color="auto"/>
              <w:left w:val="nil"/>
              <w:bottom w:val="single" w:sz="4" w:space="0" w:color="auto"/>
              <w:right w:val="single" w:sz="8" w:space="0" w:color="auto"/>
            </w:tcBorders>
            <w:shd w:val="clear" w:color="auto" w:fill="auto"/>
            <w:vAlign w:val="center"/>
            <w:hideMark/>
          </w:tcPr>
          <w:p w14:paraId="77913536" w14:textId="00DCD930" w:rsidR="00D60854" w:rsidRPr="00D60854" w:rsidRDefault="00D60854" w:rsidP="00FE1267">
            <w:pPr>
              <w:jc w:val="center"/>
              <w:rPr>
                <w:rFonts w:cs="Arial"/>
                <w:b/>
                <w:bCs/>
                <w:color w:val="000000"/>
                <w:lang w:val="de-AT" w:eastAsia="de-AT"/>
              </w:rPr>
            </w:pPr>
            <w:r w:rsidRPr="00D60854">
              <w:rPr>
                <w:rFonts w:cs="Arial"/>
                <w:b/>
                <w:bCs/>
                <w:color w:val="000000"/>
                <w:lang w:val="de-AT" w:eastAsia="de-AT"/>
              </w:rPr>
              <w:t>ICER</w:t>
            </w:r>
          </w:p>
        </w:tc>
      </w:tr>
      <w:tr w:rsidR="00D60854" w:rsidRPr="00D60854" w14:paraId="6A5D68B4" w14:textId="77777777" w:rsidTr="00FE1267">
        <w:trPr>
          <w:gridAfter w:val="1"/>
          <w:trHeight w:val="415"/>
        </w:trPr>
        <w:tc>
          <w:tcPr>
            <w:tcW w:w="3276" w:type="dxa"/>
            <w:gridSpan w:val="2"/>
            <w:tcBorders>
              <w:top w:val="nil"/>
              <w:left w:val="single" w:sz="4" w:space="0" w:color="auto"/>
              <w:bottom w:val="single" w:sz="4" w:space="0" w:color="auto"/>
              <w:right w:val="single" w:sz="4" w:space="0" w:color="auto"/>
            </w:tcBorders>
            <w:shd w:val="clear" w:color="auto" w:fill="auto"/>
            <w:noWrap/>
            <w:vAlign w:val="center"/>
            <w:hideMark/>
          </w:tcPr>
          <w:p w14:paraId="2FF9695A" w14:textId="77777777" w:rsidR="00D60854" w:rsidRPr="00D60854" w:rsidRDefault="00D60854" w:rsidP="00D76570">
            <w:pPr>
              <w:rPr>
                <w:rFonts w:cs="Arial"/>
                <w:b/>
                <w:bCs/>
                <w:color w:val="000000"/>
                <w:lang w:val="de-AT" w:eastAsia="de-AT"/>
              </w:rPr>
            </w:pPr>
            <w:r w:rsidRPr="00D60854">
              <w:rPr>
                <w:rFonts w:cs="Arial"/>
                <w:b/>
                <w:bCs/>
                <w:color w:val="000000"/>
                <w:lang w:val="de-AT" w:eastAsia="de-AT"/>
              </w:rPr>
              <w:t>10-year discounted </w:t>
            </w:r>
          </w:p>
        </w:tc>
        <w:tc>
          <w:tcPr>
            <w:tcW w:w="1701" w:type="dxa"/>
            <w:tcBorders>
              <w:top w:val="nil"/>
              <w:left w:val="nil"/>
              <w:bottom w:val="single" w:sz="4" w:space="0" w:color="auto"/>
              <w:right w:val="single" w:sz="4" w:space="0" w:color="auto"/>
            </w:tcBorders>
            <w:shd w:val="clear" w:color="auto" w:fill="auto"/>
            <w:vAlign w:val="center"/>
            <w:hideMark/>
          </w:tcPr>
          <w:p w14:paraId="0E4B74DE" w14:textId="77777777" w:rsidR="00D60854" w:rsidRPr="00D60854" w:rsidRDefault="00D60854" w:rsidP="00D60854">
            <w:pPr>
              <w:jc w:val="center"/>
              <w:rPr>
                <w:rFonts w:cs="Arial"/>
                <w:b/>
                <w:bCs/>
                <w:color w:val="000000"/>
                <w:lang w:val="de-AT" w:eastAsia="de-AT"/>
              </w:rPr>
            </w:pPr>
            <w:r w:rsidRPr="00D60854">
              <w:rPr>
                <w:rFonts w:cs="Arial"/>
                <w:b/>
                <w:bCs/>
                <w:color w:val="000000"/>
                <w:lang w:val="de-AT" w:eastAsia="de-AT"/>
              </w:rPr>
              <w:t> </w:t>
            </w:r>
          </w:p>
        </w:tc>
        <w:tc>
          <w:tcPr>
            <w:tcW w:w="1189" w:type="dxa"/>
            <w:tcBorders>
              <w:top w:val="nil"/>
              <w:left w:val="nil"/>
              <w:bottom w:val="single" w:sz="4" w:space="0" w:color="auto"/>
              <w:right w:val="single" w:sz="4" w:space="0" w:color="auto"/>
            </w:tcBorders>
            <w:shd w:val="clear" w:color="auto" w:fill="auto"/>
            <w:noWrap/>
            <w:vAlign w:val="center"/>
            <w:hideMark/>
          </w:tcPr>
          <w:p w14:paraId="7FCF33F3" w14:textId="77777777" w:rsidR="00D60854" w:rsidRPr="00D60854" w:rsidRDefault="00D60854" w:rsidP="00D60854">
            <w:pPr>
              <w:jc w:val="center"/>
              <w:rPr>
                <w:rFonts w:cs="Arial"/>
                <w:b/>
                <w:bCs/>
                <w:color w:val="000000"/>
                <w:lang w:val="de-AT" w:eastAsia="de-AT"/>
              </w:rPr>
            </w:pPr>
            <w:r w:rsidRPr="00D60854">
              <w:rPr>
                <w:rFonts w:cs="Arial"/>
                <w:b/>
                <w:bCs/>
                <w:color w:val="000000"/>
                <w:lang w:val="de-AT" w:eastAsia="de-AT"/>
              </w:rPr>
              <w:t> </w:t>
            </w:r>
          </w:p>
        </w:tc>
        <w:tc>
          <w:tcPr>
            <w:tcW w:w="1535" w:type="dxa"/>
            <w:tcBorders>
              <w:top w:val="nil"/>
              <w:left w:val="nil"/>
              <w:bottom w:val="single" w:sz="4" w:space="0" w:color="auto"/>
              <w:right w:val="single" w:sz="4" w:space="0" w:color="auto"/>
            </w:tcBorders>
            <w:shd w:val="clear" w:color="auto" w:fill="auto"/>
            <w:vAlign w:val="center"/>
            <w:hideMark/>
          </w:tcPr>
          <w:p w14:paraId="4B08E02C" w14:textId="77777777" w:rsidR="00D60854" w:rsidRPr="00D60854" w:rsidRDefault="00D60854" w:rsidP="00D60854">
            <w:pPr>
              <w:jc w:val="center"/>
              <w:rPr>
                <w:rFonts w:cs="Arial"/>
                <w:b/>
                <w:bCs/>
                <w:color w:val="000000"/>
                <w:lang w:val="de-AT" w:eastAsia="de-AT"/>
              </w:rPr>
            </w:pPr>
            <w:r w:rsidRPr="00D60854">
              <w:rPr>
                <w:rFonts w:cs="Arial"/>
                <w:b/>
                <w:bCs/>
                <w:color w:val="000000"/>
                <w:lang w:val="de-AT" w:eastAsia="de-AT"/>
              </w:rPr>
              <w:t> </w:t>
            </w:r>
          </w:p>
        </w:tc>
        <w:tc>
          <w:tcPr>
            <w:tcW w:w="1725" w:type="dxa"/>
            <w:tcBorders>
              <w:top w:val="nil"/>
              <w:left w:val="nil"/>
              <w:bottom w:val="single" w:sz="4" w:space="0" w:color="auto"/>
              <w:right w:val="single" w:sz="4" w:space="0" w:color="auto"/>
            </w:tcBorders>
            <w:shd w:val="clear" w:color="auto" w:fill="auto"/>
            <w:vAlign w:val="center"/>
            <w:hideMark/>
          </w:tcPr>
          <w:p w14:paraId="2E8CCB3B" w14:textId="77777777" w:rsidR="00D60854" w:rsidRPr="00D60854" w:rsidRDefault="00D60854" w:rsidP="00D60854">
            <w:pPr>
              <w:jc w:val="center"/>
              <w:rPr>
                <w:rFonts w:cs="Arial"/>
                <w:b/>
                <w:bCs/>
                <w:color w:val="000000"/>
                <w:lang w:val="de-AT" w:eastAsia="de-AT"/>
              </w:rPr>
            </w:pPr>
            <w:r w:rsidRPr="00D60854">
              <w:rPr>
                <w:rFonts w:cs="Arial"/>
                <w:b/>
                <w:bCs/>
                <w:color w:val="000000"/>
                <w:lang w:val="de-AT" w:eastAsia="de-AT"/>
              </w:rPr>
              <w:t> </w:t>
            </w:r>
          </w:p>
        </w:tc>
      </w:tr>
      <w:tr w:rsidR="00FE1267" w:rsidRPr="00D60854" w14:paraId="16A37E29" w14:textId="77777777" w:rsidTr="00FE1267">
        <w:trPr>
          <w:gridAfter w:val="1"/>
          <w:trHeight w:val="570"/>
        </w:trPr>
        <w:tc>
          <w:tcPr>
            <w:tcW w:w="1575" w:type="dxa"/>
            <w:tcBorders>
              <w:top w:val="nil"/>
              <w:left w:val="single" w:sz="4" w:space="0" w:color="auto"/>
              <w:bottom w:val="single" w:sz="4" w:space="0" w:color="auto"/>
              <w:right w:val="single" w:sz="4" w:space="0" w:color="auto"/>
            </w:tcBorders>
            <w:shd w:val="clear" w:color="auto" w:fill="auto"/>
            <w:vAlign w:val="center"/>
            <w:hideMark/>
          </w:tcPr>
          <w:p w14:paraId="1C86AC2A" w14:textId="77777777" w:rsidR="00FE1267" w:rsidRPr="00D60854" w:rsidRDefault="00FE1267" w:rsidP="00D76570">
            <w:pPr>
              <w:rPr>
                <w:rFonts w:cs="Arial"/>
                <w:color w:val="000000"/>
                <w:lang w:val="de-AT" w:eastAsia="de-AT"/>
              </w:rPr>
            </w:pPr>
            <w:r w:rsidRPr="00D60854">
              <w:rPr>
                <w:rFonts w:cs="Arial"/>
                <w:color w:val="000000"/>
                <w:lang w:val="de-AT" w:eastAsia="de-AT"/>
              </w:rPr>
              <w:t>MXM implantation</w:t>
            </w:r>
          </w:p>
        </w:tc>
        <w:tc>
          <w:tcPr>
            <w:tcW w:w="1701" w:type="dxa"/>
            <w:tcBorders>
              <w:top w:val="nil"/>
              <w:left w:val="nil"/>
              <w:bottom w:val="single" w:sz="4" w:space="0" w:color="auto"/>
              <w:right w:val="single" w:sz="4" w:space="0" w:color="auto"/>
            </w:tcBorders>
            <w:shd w:val="clear" w:color="auto" w:fill="auto"/>
            <w:noWrap/>
            <w:hideMark/>
          </w:tcPr>
          <w:p w14:paraId="75879AE0" w14:textId="27A1C0A5" w:rsidR="00FE1267" w:rsidRPr="00D60854" w:rsidRDefault="00FE1267" w:rsidP="00FE1267">
            <w:pPr>
              <w:rPr>
                <w:rFonts w:cs="Arial"/>
                <w:color w:val="000000"/>
                <w:lang w:val="de-AT" w:eastAsia="de-AT"/>
              </w:rPr>
            </w:pPr>
            <w:r>
              <w:rPr>
                <w:rFonts w:cs="Arial"/>
                <w:color w:val="000000"/>
              </w:rPr>
              <w:t>AUD 13.849,87</w:t>
            </w:r>
          </w:p>
        </w:tc>
        <w:tc>
          <w:tcPr>
            <w:tcW w:w="1701" w:type="dxa"/>
            <w:tcBorders>
              <w:top w:val="nil"/>
              <w:left w:val="nil"/>
              <w:bottom w:val="single" w:sz="4" w:space="0" w:color="auto"/>
              <w:right w:val="single" w:sz="4" w:space="0" w:color="auto"/>
            </w:tcBorders>
            <w:shd w:val="clear" w:color="auto" w:fill="auto"/>
            <w:noWrap/>
            <w:hideMark/>
          </w:tcPr>
          <w:p w14:paraId="6E4D787C" w14:textId="538B5B07" w:rsidR="00FE1267" w:rsidRPr="00D60854" w:rsidRDefault="00FE1267" w:rsidP="00D60854">
            <w:pPr>
              <w:jc w:val="center"/>
              <w:rPr>
                <w:rFonts w:cs="Arial"/>
                <w:color w:val="000000"/>
                <w:lang w:val="de-AT" w:eastAsia="de-AT"/>
              </w:rPr>
            </w:pPr>
            <w:r>
              <w:rPr>
                <w:rFonts w:cs="Arial"/>
                <w:color w:val="000000"/>
              </w:rPr>
              <w:t xml:space="preserve"> - </w:t>
            </w:r>
          </w:p>
        </w:tc>
        <w:tc>
          <w:tcPr>
            <w:tcW w:w="1189" w:type="dxa"/>
            <w:tcBorders>
              <w:top w:val="nil"/>
              <w:left w:val="nil"/>
              <w:bottom w:val="single" w:sz="4" w:space="0" w:color="auto"/>
              <w:right w:val="single" w:sz="4" w:space="0" w:color="auto"/>
            </w:tcBorders>
            <w:shd w:val="clear" w:color="auto" w:fill="auto"/>
            <w:noWrap/>
            <w:hideMark/>
          </w:tcPr>
          <w:p w14:paraId="2D1429A7" w14:textId="5F279F4C" w:rsidR="00FE1267" w:rsidRPr="00D60854" w:rsidRDefault="00FE1267" w:rsidP="00D60854">
            <w:pPr>
              <w:jc w:val="center"/>
              <w:rPr>
                <w:rFonts w:cs="Arial"/>
                <w:color w:val="000000"/>
                <w:lang w:val="de-AT" w:eastAsia="de-AT"/>
              </w:rPr>
            </w:pPr>
            <w:r>
              <w:rPr>
                <w:rFonts w:cs="Arial"/>
                <w:color w:val="000000"/>
              </w:rPr>
              <w:t>791,79</w:t>
            </w:r>
          </w:p>
        </w:tc>
        <w:tc>
          <w:tcPr>
            <w:tcW w:w="1535" w:type="dxa"/>
            <w:tcBorders>
              <w:top w:val="nil"/>
              <w:left w:val="nil"/>
              <w:bottom w:val="single" w:sz="4" w:space="0" w:color="auto"/>
              <w:right w:val="single" w:sz="4" w:space="0" w:color="auto"/>
            </w:tcBorders>
            <w:shd w:val="clear" w:color="auto" w:fill="auto"/>
            <w:noWrap/>
            <w:hideMark/>
          </w:tcPr>
          <w:p w14:paraId="798EC834" w14:textId="2672CB2E" w:rsidR="00FE1267" w:rsidRPr="00D60854" w:rsidRDefault="00FE1267" w:rsidP="00D60854">
            <w:pPr>
              <w:jc w:val="center"/>
              <w:rPr>
                <w:rFonts w:cs="Arial"/>
                <w:color w:val="000000"/>
                <w:lang w:val="de-AT" w:eastAsia="de-AT"/>
              </w:rPr>
            </w:pPr>
            <w:r>
              <w:rPr>
                <w:rFonts w:cs="Arial"/>
                <w:color w:val="000000"/>
              </w:rPr>
              <w:t xml:space="preserve"> - </w:t>
            </w:r>
          </w:p>
        </w:tc>
        <w:tc>
          <w:tcPr>
            <w:tcW w:w="1725" w:type="dxa"/>
            <w:tcBorders>
              <w:top w:val="nil"/>
              <w:left w:val="nil"/>
              <w:bottom w:val="single" w:sz="4" w:space="0" w:color="auto"/>
              <w:right w:val="single" w:sz="4" w:space="0" w:color="auto"/>
            </w:tcBorders>
            <w:shd w:val="clear" w:color="auto" w:fill="auto"/>
            <w:noWrap/>
            <w:hideMark/>
          </w:tcPr>
          <w:p w14:paraId="75A3593D" w14:textId="41C21B94" w:rsidR="00FE1267" w:rsidRPr="00D60854" w:rsidRDefault="00FE1267" w:rsidP="00D60854">
            <w:pPr>
              <w:jc w:val="center"/>
              <w:rPr>
                <w:rFonts w:cs="Arial"/>
                <w:color w:val="000000"/>
                <w:lang w:val="de-AT" w:eastAsia="de-AT"/>
              </w:rPr>
            </w:pPr>
            <w:r>
              <w:rPr>
                <w:rFonts w:cs="Arial"/>
                <w:color w:val="000000"/>
              </w:rPr>
              <w:t xml:space="preserve"> - </w:t>
            </w:r>
          </w:p>
        </w:tc>
      </w:tr>
      <w:tr w:rsidR="00FE1267" w:rsidRPr="00D60854" w14:paraId="7A4CD044" w14:textId="77777777" w:rsidTr="00FE1267">
        <w:trPr>
          <w:gridAfter w:val="1"/>
          <w:trHeight w:val="570"/>
        </w:trPr>
        <w:tc>
          <w:tcPr>
            <w:tcW w:w="1575" w:type="dxa"/>
            <w:tcBorders>
              <w:top w:val="nil"/>
              <w:left w:val="single" w:sz="4" w:space="0" w:color="auto"/>
              <w:bottom w:val="single" w:sz="4" w:space="0" w:color="auto"/>
              <w:right w:val="single" w:sz="4" w:space="0" w:color="auto"/>
            </w:tcBorders>
            <w:shd w:val="clear" w:color="auto" w:fill="auto"/>
            <w:vAlign w:val="center"/>
            <w:hideMark/>
          </w:tcPr>
          <w:p w14:paraId="192BAE42" w14:textId="77777777" w:rsidR="00FE1267" w:rsidRPr="00D60854" w:rsidRDefault="00FE1267" w:rsidP="00D76570">
            <w:pPr>
              <w:rPr>
                <w:rFonts w:cs="Arial"/>
                <w:color w:val="000000"/>
                <w:lang w:val="de-AT" w:eastAsia="de-AT"/>
              </w:rPr>
            </w:pPr>
            <w:r w:rsidRPr="00D60854">
              <w:rPr>
                <w:rFonts w:cs="Arial"/>
                <w:color w:val="000000"/>
                <w:lang w:val="de-AT" w:eastAsia="de-AT"/>
              </w:rPr>
              <w:t>VSB implantation</w:t>
            </w:r>
          </w:p>
        </w:tc>
        <w:tc>
          <w:tcPr>
            <w:tcW w:w="1701" w:type="dxa"/>
            <w:tcBorders>
              <w:top w:val="nil"/>
              <w:left w:val="nil"/>
              <w:bottom w:val="single" w:sz="4" w:space="0" w:color="auto"/>
              <w:right w:val="single" w:sz="4" w:space="0" w:color="auto"/>
            </w:tcBorders>
            <w:shd w:val="clear" w:color="auto" w:fill="auto"/>
            <w:noWrap/>
            <w:hideMark/>
          </w:tcPr>
          <w:p w14:paraId="3BC8D8C4" w14:textId="400115AD" w:rsidR="00FE1267" w:rsidRPr="00D60854" w:rsidRDefault="00FE1267" w:rsidP="00D76570">
            <w:pPr>
              <w:jc w:val="center"/>
              <w:rPr>
                <w:rFonts w:cs="Arial"/>
                <w:color w:val="000000"/>
                <w:lang w:val="de-AT" w:eastAsia="de-AT"/>
              </w:rPr>
            </w:pPr>
            <w:r>
              <w:rPr>
                <w:rFonts w:cs="Arial"/>
                <w:color w:val="000000"/>
              </w:rPr>
              <w:t>AUD 24.468,43</w:t>
            </w:r>
          </w:p>
        </w:tc>
        <w:tc>
          <w:tcPr>
            <w:tcW w:w="1701" w:type="dxa"/>
            <w:tcBorders>
              <w:top w:val="nil"/>
              <w:left w:val="nil"/>
              <w:bottom w:val="single" w:sz="4" w:space="0" w:color="auto"/>
              <w:right w:val="single" w:sz="4" w:space="0" w:color="auto"/>
            </w:tcBorders>
            <w:shd w:val="clear" w:color="auto" w:fill="auto"/>
            <w:noWrap/>
            <w:hideMark/>
          </w:tcPr>
          <w:p w14:paraId="2330B949" w14:textId="72B0B476" w:rsidR="00FE1267" w:rsidRPr="00D60854" w:rsidRDefault="00FE1267" w:rsidP="00D60854">
            <w:pPr>
              <w:jc w:val="center"/>
              <w:rPr>
                <w:rFonts w:cs="Arial"/>
                <w:color w:val="000000"/>
                <w:lang w:val="de-AT" w:eastAsia="de-AT"/>
              </w:rPr>
            </w:pPr>
            <w:r>
              <w:rPr>
                <w:rFonts w:cs="Arial"/>
                <w:color w:val="000000"/>
              </w:rPr>
              <w:t>AUD 10.618,57</w:t>
            </w:r>
          </w:p>
        </w:tc>
        <w:tc>
          <w:tcPr>
            <w:tcW w:w="1189" w:type="dxa"/>
            <w:tcBorders>
              <w:top w:val="nil"/>
              <w:left w:val="nil"/>
              <w:bottom w:val="single" w:sz="4" w:space="0" w:color="auto"/>
              <w:right w:val="single" w:sz="4" w:space="0" w:color="auto"/>
            </w:tcBorders>
            <w:shd w:val="clear" w:color="auto" w:fill="auto"/>
            <w:noWrap/>
            <w:hideMark/>
          </w:tcPr>
          <w:p w14:paraId="1F40F672" w14:textId="4C557ED0" w:rsidR="00FE1267" w:rsidRPr="00D60854" w:rsidRDefault="00FE1267" w:rsidP="00D60854">
            <w:pPr>
              <w:jc w:val="center"/>
              <w:rPr>
                <w:rFonts w:cs="Arial"/>
                <w:color w:val="000000"/>
                <w:lang w:val="de-AT" w:eastAsia="de-AT"/>
              </w:rPr>
            </w:pPr>
            <w:r>
              <w:rPr>
                <w:rFonts w:cs="Arial"/>
                <w:color w:val="000000"/>
              </w:rPr>
              <w:t>592,38</w:t>
            </w:r>
          </w:p>
        </w:tc>
        <w:tc>
          <w:tcPr>
            <w:tcW w:w="1535" w:type="dxa"/>
            <w:tcBorders>
              <w:top w:val="nil"/>
              <w:left w:val="nil"/>
              <w:bottom w:val="single" w:sz="4" w:space="0" w:color="auto"/>
              <w:right w:val="single" w:sz="4" w:space="0" w:color="auto"/>
            </w:tcBorders>
            <w:shd w:val="clear" w:color="auto" w:fill="auto"/>
            <w:noWrap/>
            <w:hideMark/>
          </w:tcPr>
          <w:p w14:paraId="1A3B2D7C" w14:textId="1120B7B0" w:rsidR="00FE1267" w:rsidRPr="00D60854" w:rsidRDefault="00FE1267" w:rsidP="00D60854">
            <w:pPr>
              <w:jc w:val="center"/>
              <w:rPr>
                <w:rFonts w:cs="Arial"/>
                <w:color w:val="000000"/>
                <w:lang w:val="de-AT" w:eastAsia="de-AT"/>
              </w:rPr>
            </w:pPr>
            <w:r>
              <w:rPr>
                <w:rFonts w:cs="Arial"/>
                <w:color w:val="000000"/>
              </w:rPr>
              <w:t>199,41</w:t>
            </w:r>
          </w:p>
        </w:tc>
        <w:tc>
          <w:tcPr>
            <w:tcW w:w="1725" w:type="dxa"/>
            <w:tcBorders>
              <w:top w:val="nil"/>
              <w:left w:val="nil"/>
              <w:bottom w:val="single" w:sz="4" w:space="0" w:color="auto"/>
              <w:right w:val="single" w:sz="4" w:space="0" w:color="auto"/>
            </w:tcBorders>
            <w:shd w:val="clear" w:color="auto" w:fill="auto"/>
            <w:noWrap/>
            <w:hideMark/>
          </w:tcPr>
          <w:p w14:paraId="6B4CBF1E" w14:textId="69BFD519" w:rsidR="00FE1267" w:rsidRPr="00D60854" w:rsidRDefault="00FE1267" w:rsidP="00D60854">
            <w:pPr>
              <w:jc w:val="center"/>
              <w:rPr>
                <w:rFonts w:cs="Arial"/>
                <w:color w:val="000000"/>
                <w:lang w:val="de-AT" w:eastAsia="de-AT"/>
              </w:rPr>
            </w:pPr>
            <w:r>
              <w:rPr>
                <w:rFonts w:cs="Arial"/>
                <w:color w:val="000000"/>
              </w:rPr>
              <w:t>53,25</w:t>
            </w:r>
          </w:p>
        </w:tc>
      </w:tr>
      <w:tr w:rsidR="00FE1267" w:rsidRPr="00D60854" w14:paraId="29950294" w14:textId="7F5F0C46" w:rsidTr="00FE1267">
        <w:trPr>
          <w:trHeight w:val="395"/>
        </w:trPr>
        <w:tc>
          <w:tcPr>
            <w:tcW w:w="3276" w:type="dxa"/>
            <w:gridSpan w:val="2"/>
            <w:tcBorders>
              <w:top w:val="nil"/>
              <w:left w:val="single" w:sz="4" w:space="0" w:color="auto"/>
              <w:bottom w:val="single" w:sz="4" w:space="0" w:color="auto"/>
              <w:right w:val="single" w:sz="4" w:space="0" w:color="auto"/>
            </w:tcBorders>
            <w:shd w:val="clear" w:color="auto" w:fill="auto"/>
            <w:noWrap/>
            <w:vAlign w:val="center"/>
            <w:hideMark/>
          </w:tcPr>
          <w:p w14:paraId="6FDEAFF8" w14:textId="77777777" w:rsidR="00FE1267" w:rsidRPr="00D60854" w:rsidRDefault="00FE1267" w:rsidP="00D76570">
            <w:pPr>
              <w:rPr>
                <w:rFonts w:cs="Arial"/>
                <w:b/>
                <w:bCs/>
                <w:color w:val="000000"/>
                <w:lang w:val="de-AT" w:eastAsia="de-AT"/>
              </w:rPr>
            </w:pPr>
            <w:r w:rsidRPr="00D60854">
              <w:rPr>
                <w:rFonts w:cs="Arial"/>
                <w:b/>
                <w:bCs/>
                <w:color w:val="000000"/>
                <w:lang w:val="de-AT" w:eastAsia="de-AT"/>
              </w:rPr>
              <w:t>20 year discounted</w:t>
            </w:r>
          </w:p>
        </w:tc>
        <w:tc>
          <w:tcPr>
            <w:tcW w:w="1701" w:type="dxa"/>
            <w:tcBorders>
              <w:top w:val="nil"/>
              <w:left w:val="nil"/>
              <w:bottom w:val="single" w:sz="4" w:space="0" w:color="auto"/>
              <w:right w:val="single" w:sz="4" w:space="0" w:color="auto"/>
            </w:tcBorders>
            <w:shd w:val="clear" w:color="auto" w:fill="auto"/>
            <w:noWrap/>
            <w:hideMark/>
          </w:tcPr>
          <w:p w14:paraId="4D11B341" w14:textId="12615A76" w:rsidR="00FE1267" w:rsidRPr="00D60854" w:rsidRDefault="00FE1267" w:rsidP="00D60854">
            <w:pPr>
              <w:jc w:val="center"/>
              <w:rPr>
                <w:rFonts w:cs="Arial"/>
                <w:color w:val="000000"/>
                <w:lang w:val="de-AT" w:eastAsia="de-AT"/>
              </w:rPr>
            </w:pPr>
            <w:r>
              <w:rPr>
                <w:rFonts w:cs="Arial"/>
                <w:color w:val="000000"/>
              </w:rPr>
              <w:t> </w:t>
            </w:r>
          </w:p>
        </w:tc>
        <w:tc>
          <w:tcPr>
            <w:tcW w:w="1189" w:type="dxa"/>
            <w:tcBorders>
              <w:top w:val="nil"/>
              <w:left w:val="nil"/>
              <w:bottom w:val="single" w:sz="4" w:space="0" w:color="auto"/>
              <w:right w:val="single" w:sz="4" w:space="0" w:color="auto"/>
            </w:tcBorders>
            <w:shd w:val="clear" w:color="auto" w:fill="auto"/>
            <w:noWrap/>
            <w:hideMark/>
          </w:tcPr>
          <w:p w14:paraId="3B16AFB0" w14:textId="3BD81ED5" w:rsidR="00FE1267" w:rsidRPr="00D60854" w:rsidRDefault="00FE1267" w:rsidP="00D60854">
            <w:pPr>
              <w:jc w:val="center"/>
              <w:rPr>
                <w:rFonts w:cs="Arial"/>
                <w:color w:val="000000"/>
                <w:lang w:val="de-AT" w:eastAsia="de-AT"/>
              </w:rPr>
            </w:pPr>
            <w:r>
              <w:rPr>
                <w:rFonts w:cs="Arial"/>
                <w:color w:val="000000"/>
              </w:rPr>
              <w:t> </w:t>
            </w:r>
          </w:p>
        </w:tc>
        <w:tc>
          <w:tcPr>
            <w:tcW w:w="1535" w:type="dxa"/>
            <w:tcBorders>
              <w:top w:val="nil"/>
              <w:left w:val="nil"/>
              <w:bottom w:val="single" w:sz="4" w:space="0" w:color="auto"/>
              <w:right w:val="single" w:sz="4" w:space="0" w:color="auto"/>
            </w:tcBorders>
            <w:shd w:val="clear" w:color="auto" w:fill="auto"/>
            <w:noWrap/>
            <w:hideMark/>
          </w:tcPr>
          <w:p w14:paraId="705EBC11" w14:textId="6D23B388" w:rsidR="00FE1267" w:rsidRPr="00D60854" w:rsidRDefault="00FE1267" w:rsidP="00D60854">
            <w:pPr>
              <w:jc w:val="center"/>
              <w:rPr>
                <w:rFonts w:cs="Arial"/>
                <w:color w:val="000000"/>
                <w:lang w:val="de-AT" w:eastAsia="de-AT"/>
              </w:rPr>
            </w:pPr>
            <w:r>
              <w:rPr>
                <w:rFonts w:cs="Arial"/>
                <w:color w:val="000000"/>
              </w:rPr>
              <w:t> </w:t>
            </w:r>
          </w:p>
        </w:tc>
        <w:tc>
          <w:tcPr>
            <w:tcW w:w="1725" w:type="dxa"/>
            <w:tcBorders>
              <w:top w:val="nil"/>
              <w:left w:val="nil"/>
              <w:bottom w:val="single" w:sz="4" w:space="0" w:color="auto"/>
              <w:right w:val="single" w:sz="4" w:space="0" w:color="auto"/>
            </w:tcBorders>
            <w:shd w:val="clear" w:color="auto" w:fill="auto"/>
            <w:noWrap/>
            <w:hideMark/>
          </w:tcPr>
          <w:p w14:paraId="7D61BCCD" w14:textId="0DAB66AA" w:rsidR="00FE1267" w:rsidRPr="00D60854" w:rsidRDefault="00FE1267" w:rsidP="00D60854">
            <w:pPr>
              <w:jc w:val="center"/>
              <w:rPr>
                <w:rFonts w:cs="Arial"/>
                <w:color w:val="000000"/>
                <w:lang w:val="de-AT" w:eastAsia="de-AT"/>
              </w:rPr>
            </w:pPr>
            <w:r>
              <w:rPr>
                <w:rFonts w:cs="Arial"/>
                <w:color w:val="000000"/>
              </w:rPr>
              <w:t> </w:t>
            </w:r>
          </w:p>
        </w:tc>
        <w:tc>
          <w:tcPr>
            <w:tcW w:w="0" w:type="auto"/>
          </w:tcPr>
          <w:p w14:paraId="7C66E4B8" w14:textId="038E3DC9" w:rsidR="00FE1267" w:rsidRPr="00D60854" w:rsidRDefault="00FE1267">
            <w:r>
              <w:rPr>
                <w:rFonts w:cs="Arial"/>
                <w:color w:val="000000"/>
              </w:rPr>
              <w:t> </w:t>
            </w:r>
          </w:p>
        </w:tc>
      </w:tr>
      <w:tr w:rsidR="00FE1267" w:rsidRPr="00D60854" w14:paraId="107BA8C8" w14:textId="77777777" w:rsidTr="00FE1267">
        <w:trPr>
          <w:gridAfter w:val="1"/>
          <w:trHeight w:val="560"/>
        </w:trPr>
        <w:tc>
          <w:tcPr>
            <w:tcW w:w="1575" w:type="dxa"/>
            <w:tcBorders>
              <w:top w:val="nil"/>
              <w:left w:val="single" w:sz="4" w:space="0" w:color="auto"/>
              <w:bottom w:val="single" w:sz="4" w:space="0" w:color="auto"/>
              <w:right w:val="single" w:sz="4" w:space="0" w:color="auto"/>
            </w:tcBorders>
            <w:shd w:val="clear" w:color="auto" w:fill="auto"/>
            <w:vAlign w:val="center"/>
            <w:hideMark/>
          </w:tcPr>
          <w:p w14:paraId="5490B637" w14:textId="77777777" w:rsidR="00FE1267" w:rsidRPr="00D60854" w:rsidRDefault="00FE1267" w:rsidP="00D76570">
            <w:pPr>
              <w:rPr>
                <w:rFonts w:cs="Arial"/>
                <w:color w:val="000000"/>
                <w:lang w:val="de-AT" w:eastAsia="de-AT"/>
              </w:rPr>
            </w:pPr>
            <w:r w:rsidRPr="00D60854">
              <w:rPr>
                <w:rFonts w:cs="Arial"/>
                <w:color w:val="000000"/>
                <w:lang w:val="de-AT" w:eastAsia="de-AT"/>
              </w:rPr>
              <w:t>MXM implantation</w:t>
            </w:r>
          </w:p>
        </w:tc>
        <w:tc>
          <w:tcPr>
            <w:tcW w:w="1701" w:type="dxa"/>
            <w:tcBorders>
              <w:top w:val="nil"/>
              <w:left w:val="nil"/>
              <w:bottom w:val="single" w:sz="4" w:space="0" w:color="auto"/>
              <w:right w:val="single" w:sz="4" w:space="0" w:color="auto"/>
            </w:tcBorders>
            <w:shd w:val="clear" w:color="auto" w:fill="auto"/>
            <w:noWrap/>
            <w:hideMark/>
          </w:tcPr>
          <w:p w14:paraId="4EAB3CA3" w14:textId="255A6B45" w:rsidR="00FE1267" w:rsidRPr="00D60854" w:rsidRDefault="00FE1267" w:rsidP="00D76570">
            <w:pPr>
              <w:jc w:val="center"/>
              <w:rPr>
                <w:rFonts w:cs="Arial"/>
                <w:color w:val="000000"/>
                <w:lang w:val="de-AT" w:eastAsia="de-AT"/>
              </w:rPr>
            </w:pPr>
            <w:r>
              <w:rPr>
                <w:rFonts w:cs="Arial"/>
                <w:color w:val="000000"/>
              </w:rPr>
              <w:t>AUD 17.168,10</w:t>
            </w:r>
          </w:p>
        </w:tc>
        <w:tc>
          <w:tcPr>
            <w:tcW w:w="1701" w:type="dxa"/>
            <w:tcBorders>
              <w:top w:val="nil"/>
              <w:left w:val="nil"/>
              <w:bottom w:val="single" w:sz="4" w:space="0" w:color="auto"/>
              <w:right w:val="single" w:sz="4" w:space="0" w:color="auto"/>
            </w:tcBorders>
            <w:shd w:val="clear" w:color="auto" w:fill="auto"/>
            <w:noWrap/>
            <w:hideMark/>
          </w:tcPr>
          <w:p w14:paraId="1A421F32" w14:textId="4824803B" w:rsidR="00FE1267" w:rsidRPr="00D60854" w:rsidRDefault="00FE1267" w:rsidP="00D60854">
            <w:pPr>
              <w:jc w:val="center"/>
              <w:rPr>
                <w:rFonts w:cs="Arial"/>
                <w:color w:val="000000"/>
                <w:lang w:val="de-AT" w:eastAsia="de-AT"/>
              </w:rPr>
            </w:pPr>
            <w:r>
              <w:rPr>
                <w:rFonts w:cs="Arial"/>
                <w:color w:val="000000"/>
              </w:rPr>
              <w:t xml:space="preserve"> - </w:t>
            </w:r>
          </w:p>
        </w:tc>
        <w:tc>
          <w:tcPr>
            <w:tcW w:w="1189" w:type="dxa"/>
            <w:tcBorders>
              <w:top w:val="nil"/>
              <w:left w:val="nil"/>
              <w:bottom w:val="single" w:sz="4" w:space="0" w:color="auto"/>
              <w:right w:val="single" w:sz="4" w:space="0" w:color="auto"/>
            </w:tcBorders>
            <w:shd w:val="clear" w:color="auto" w:fill="auto"/>
            <w:noWrap/>
            <w:hideMark/>
          </w:tcPr>
          <w:p w14:paraId="75B37CCE" w14:textId="423612CA" w:rsidR="00FE1267" w:rsidRPr="00D60854" w:rsidRDefault="00FE1267" w:rsidP="00D60854">
            <w:pPr>
              <w:jc w:val="center"/>
              <w:rPr>
                <w:rFonts w:cs="Arial"/>
                <w:color w:val="000000"/>
                <w:lang w:val="de-AT" w:eastAsia="de-AT"/>
              </w:rPr>
            </w:pPr>
            <w:r>
              <w:rPr>
                <w:rFonts w:cs="Arial"/>
                <w:color w:val="000000"/>
              </w:rPr>
              <w:t>1332,85</w:t>
            </w:r>
          </w:p>
        </w:tc>
        <w:tc>
          <w:tcPr>
            <w:tcW w:w="1535" w:type="dxa"/>
            <w:tcBorders>
              <w:top w:val="nil"/>
              <w:left w:val="nil"/>
              <w:bottom w:val="single" w:sz="4" w:space="0" w:color="auto"/>
              <w:right w:val="single" w:sz="4" w:space="0" w:color="auto"/>
            </w:tcBorders>
            <w:shd w:val="clear" w:color="auto" w:fill="auto"/>
            <w:noWrap/>
            <w:hideMark/>
          </w:tcPr>
          <w:p w14:paraId="01C7DB28" w14:textId="378D7091" w:rsidR="00FE1267" w:rsidRPr="00D60854" w:rsidRDefault="00FE1267" w:rsidP="00D60854">
            <w:pPr>
              <w:jc w:val="center"/>
              <w:rPr>
                <w:rFonts w:cs="Arial"/>
                <w:color w:val="000000"/>
                <w:lang w:val="de-AT" w:eastAsia="de-AT"/>
              </w:rPr>
            </w:pPr>
            <w:r>
              <w:rPr>
                <w:rFonts w:cs="Arial"/>
                <w:color w:val="000000"/>
              </w:rPr>
              <w:t xml:space="preserve"> - </w:t>
            </w:r>
          </w:p>
        </w:tc>
        <w:tc>
          <w:tcPr>
            <w:tcW w:w="1725" w:type="dxa"/>
            <w:tcBorders>
              <w:top w:val="nil"/>
              <w:left w:val="nil"/>
              <w:bottom w:val="single" w:sz="4" w:space="0" w:color="auto"/>
              <w:right w:val="single" w:sz="4" w:space="0" w:color="auto"/>
            </w:tcBorders>
            <w:shd w:val="clear" w:color="auto" w:fill="auto"/>
            <w:noWrap/>
            <w:hideMark/>
          </w:tcPr>
          <w:p w14:paraId="6B2F4BCB" w14:textId="3287CC13" w:rsidR="00FE1267" w:rsidRPr="00D60854" w:rsidRDefault="00FE1267" w:rsidP="00D60854">
            <w:pPr>
              <w:jc w:val="center"/>
              <w:rPr>
                <w:rFonts w:cs="Arial"/>
                <w:lang w:val="de-AT" w:eastAsia="de-AT"/>
              </w:rPr>
            </w:pPr>
            <w:r>
              <w:rPr>
                <w:rFonts w:cs="Arial"/>
              </w:rPr>
              <w:t xml:space="preserve"> - </w:t>
            </w:r>
          </w:p>
        </w:tc>
      </w:tr>
      <w:tr w:rsidR="00FE1267" w:rsidRPr="00D60854" w14:paraId="5686C924" w14:textId="77777777" w:rsidTr="00FE1267">
        <w:trPr>
          <w:gridAfter w:val="1"/>
          <w:trHeight w:val="560"/>
        </w:trPr>
        <w:tc>
          <w:tcPr>
            <w:tcW w:w="1575" w:type="dxa"/>
            <w:tcBorders>
              <w:top w:val="nil"/>
              <w:left w:val="single" w:sz="4" w:space="0" w:color="auto"/>
              <w:bottom w:val="single" w:sz="4" w:space="0" w:color="auto"/>
              <w:right w:val="single" w:sz="4" w:space="0" w:color="auto"/>
            </w:tcBorders>
            <w:shd w:val="clear" w:color="auto" w:fill="auto"/>
            <w:vAlign w:val="center"/>
            <w:hideMark/>
          </w:tcPr>
          <w:p w14:paraId="7306B8C6" w14:textId="77777777" w:rsidR="00FE1267" w:rsidRPr="00D60854" w:rsidRDefault="00FE1267" w:rsidP="00D76570">
            <w:pPr>
              <w:rPr>
                <w:rFonts w:cs="Arial"/>
                <w:color w:val="000000"/>
                <w:lang w:val="de-AT" w:eastAsia="de-AT"/>
              </w:rPr>
            </w:pPr>
            <w:r w:rsidRPr="00D60854">
              <w:rPr>
                <w:rFonts w:cs="Arial"/>
                <w:color w:val="000000"/>
                <w:lang w:val="de-AT" w:eastAsia="de-AT"/>
              </w:rPr>
              <w:t>VSB implantation</w:t>
            </w:r>
          </w:p>
        </w:tc>
        <w:tc>
          <w:tcPr>
            <w:tcW w:w="1701" w:type="dxa"/>
            <w:tcBorders>
              <w:top w:val="nil"/>
              <w:left w:val="nil"/>
              <w:bottom w:val="single" w:sz="4" w:space="0" w:color="auto"/>
              <w:right w:val="single" w:sz="4" w:space="0" w:color="auto"/>
            </w:tcBorders>
            <w:shd w:val="clear" w:color="auto" w:fill="auto"/>
            <w:noWrap/>
            <w:hideMark/>
          </w:tcPr>
          <w:p w14:paraId="63EB8601" w14:textId="64C9749C" w:rsidR="00FE1267" w:rsidRPr="00D60854" w:rsidRDefault="00FE1267" w:rsidP="00D76570">
            <w:pPr>
              <w:jc w:val="center"/>
              <w:rPr>
                <w:rFonts w:cs="Arial"/>
                <w:color w:val="000000"/>
                <w:lang w:val="de-AT" w:eastAsia="de-AT"/>
              </w:rPr>
            </w:pPr>
            <w:r>
              <w:rPr>
                <w:rFonts w:cs="Arial"/>
                <w:color w:val="000000"/>
              </w:rPr>
              <w:t>AUD 31.149,79</w:t>
            </w:r>
          </w:p>
        </w:tc>
        <w:tc>
          <w:tcPr>
            <w:tcW w:w="1701" w:type="dxa"/>
            <w:tcBorders>
              <w:top w:val="nil"/>
              <w:left w:val="nil"/>
              <w:bottom w:val="single" w:sz="4" w:space="0" w:color="auto"/>
              <w:right w:val="single" w:sz="4" w:space="0" w:color="auto"/>
            </w:tcBorders>
            <w:shd w:val="clear" w:color="auto" w:fill="auto"/>
            <w:noWrap/>
            <w:hideMark/>
          </w:tcPr>
          <w:p w14:paraId="5D80BACA" w14:textId="43C37616" w:rsidR="00FE1267" w:rsidRPr="00D60854" w:rsidRDefault="00FE1267" w:rsidP="00D60854">
            <w:pPr>
              <w:jc w:val="center"/>
              <w:rPr>
                <w:rFonts w:cs="Arial"/>
                <w:color w:val="000000"/>
                <w:lang w:val="de-AT" w:eastAsia="de-AT"/>
              </w:rPr>
            </w:pPr>
            <w:r>
              <w:rPr>
                <w:rFonts w:cs="Arial"/>
                <w:color w:val="000000"/>
              </w:rPr>
              <w:t>AUD 13.981,69</w:t>
            </w:r>
          </w:p>
        </w:tc>
        <w:tc>
          <w:tcPr>
            <w:tcW w:w="1189" w:type="dxa"/>
            <w:tcBorders>
              <w:top w:val="nil"/>
              <w:left w:val="nil"/>
              <w:bottom w:val="single" w:sz="4" w:space="0" w:color="auto"/>
              <w:right w:val="single" w:sz="4" w:space="0" w:color="auto"/>
            </w:tcBorders>
            <w:shd w:val="clear" w:color="auto" w:fill="auto"/>
            <w:noWrap/>
            <w:hideMark/>
          </w:tcPr>
          <w:p w14:paraId="2E8ABCD6" w14:textId="60CAA34F" w:rsidR="00FE1267" w:rsidRPr="00D60854" w:rsidRDefault="00FE1267" w:rsidP="00D60854">
            <w:pPr>
              <w:jc w:val="center"/>
              <w:rPr>
                <w:rFonts w:cs="Arial"/>
                <w:color w:val="000000"/>
                <w:lang w:val="de-AT" w:eastAsia="de-AT"/>
              </w:rPr>
            </w:pPr>
            <w:r>
              <w:rPr>
                <w:rFonts w:cs="Arial"/>
                <w:color w:val="000000"/>
              </w:rPr>
              <w:t>1026,00</w:t>
            </w:r>
          </w:p>
        </w:tc>
        <w:tc>
          <w:tcPr>
            <w:tcW w:w="1535" w:type="dxa"/>
            <w:tcBorders>
              <w:top w:val="nil"/>
              <w:left w:val="nil"/>
              <w:bottom w:val="single" w:sz="4" w:space="0" w:color="auto"/>
              <w:right w:val="single" w:sz="4" w:space="0" w:color="auto"/>
            </w:tcBorders>
            <w:shd w:val="clear" w:color="auto" w:fill="auto"/>
            <w:noWrap/>
            <w:hideMark/>
          </w:tcPr>
          <w:p w14:paraId="1B7B3556" w14:textId="577BBED5" w:rsidR="00FE1267" w:rsidRPr="00D60854" w:rsidRDefault="00FE1267" w:rsidP="00D60854">
            <w:pPr>
              <w:jc w:val="center"/>
              <w:rPr>
                <w:rFonts w:cs="Arial"/>
                <w:color w:val="000000"/>
                <w:lang w:val="de-AT" w:eastAsia="de-AT"/>
              </w:rPr>
            </w:pPr>
            <w:r>
              <w:rPr>
                <w:rFonts w:cs="Arial"/>
                <w:color w:val="000000"/>
              </w:rPr>
              <w:t>306,85</w:t>
            </w:r>
          </w:p>
        </w:tc>
        <w:tc>
          <w:tcPr>
            <w:tcW w:w="1725" w:type="dxa"/>
            <w:tcBorders>
              <w:top w:val="nil"/>
              <w:left w:val="nil"/>
              <w:bottom w:val="single" w:sz="4" w:space="0" w:color="auto"/>
              <w:right w:val="single" w:sz="4" w:space="0" w:color="auto"/>
            </w:tcBorders>
            <w:shd w:val="clear" w:color="auto" w:fill="auto"/>
            <w:noWrap/>
            <w:hideMark/>
          </w:tcPr>
          <w:p w14:paraId="60B9E4AE" w14:textId="6FB1163C" w:rsidR="00FE1267" w:rsidRPr="00D60854" w:rsidRDefault="00FE1267" w:rsidP="00D60854">
            <w:pPr>
              <w:jc w:val="center"/>
              <w:rPr>
                <w:rFonts w:cs="Arial"/>
                <w:lang w:val="de-AT" w:eastAsia="de-AT"/>
              </w:rPr>
            </w:pPr>
            <w:r>
              <w:rPr>
                <w:rFonts w:cs="Arial"/>
              </w:rPr>
              <w:t>45,57</w:t>
            </w:r>
          </w:p>
        </w:tc>
      </w:tr>
    </w:tbl>
    <w:p w14:paraId="0BDF536E" w14:textId="77777777" w:rsidR="00713153" w:rsidRPr="008718FB" w:rsidRDefault="00713153" w:rsidP="00A27B10">
      <w:pPr>
        <w:pStyle w:val="Textbody"/>
      </w:pPr>
    </w:p>
    <w:p w14:paraId="11906547" w14:textId="77777777" w:rsidR="00713153" w:rsidRPr="008718FB" w:rsidRDefault="00713153" w:rsidP="005176AE">
      <w:pPr>
        <w:autoSpaceDE w:val="0"/>
        <w:autoSpaceDN w:val="0"/>
        <w:adjustRightInd w:val="0"/>
        <w:rPr>
          <w:rFonts w:cs="Arial"/>
          <w:color w:val="000000"/>
          <w:sz w:val="20"/>
          <w:szCs w:val="20"/>
          <w:lang w:val="en-US"/>
        </w:rPr>
      </w:pPr>
    </w:p>
    <w:p w14:paraId="6B89FEC0" w14:textId="77777777" w:rsidR="00713153" w:rsidRPr="008718FB" w:rsidRDefault="00713153" w:rsidP="005176AE">
      <w:pPr>
        <w:autoSpaceDE w:val="0"/>
        <w:autoSpaceDN w:val="0"/>
        <w:adjustRightInd w:val="0"/>
        <w:rPr>
          <w:rFonts w:cs="Arial"/>
          <w:color w:val="000000"/>
          <w:sz w:val="20"/>
          <w:szCs w:val="20"/>
          <w:lang w:val="en-US"/>
        </w:rPr>
        <w:sectPr w:rsidR="00713153" w:rsidRPr="008718FB" w:rsidSect="00695C41">
          <w:pgSz w:w="11907" w:h="16840" w:code="9"/>
          <w:pgMar w:top="1418" w:right="1418" w:bottom="1701" w:left="1814" w:header="720" w:footer="720" w:gutter="0"/>
          <w:paperSrc w:first="7" w:other="7"/>
          <w:cols w:space="720"/>
          <w:noEndnote/>
          <w:docGrid w:linePitch="299"/>
        </w:sectPr>
      </w:pPr>
    </w:p>
    <w:p w14:paraId="27FF012A" w14:textId="77777777" w:rsidR="00C5321C" w:rsidRPr="009A1A2E" w:rsidRDefault="00695C41" w:rsidP="000214FE">
      <w:pPr>
        <w:pStyle w:val="Heading1"/>
        <w:rPr>
          <w:lang w:val="en-AU"/>
        </w:rPr>
      </w:pPr>
      <w:bookmarkStart w:id="595" w:name="_Toc191199101"/>
      <w:bookmarkStart w:id="596" w:name="_Toc191822185"/>
      <w:bookmarkStart w:id="597" w:name="_Toc191822235"/>
      <w:bookmarkStart w:id="598" w:name="_Toc191822285"/>
      <w:bookmarkStart w:id="599" w:name="_Toc258501802"/>
      <w:bookmarkStart w:id="600" w:name="_Toc273301512"/>
      <w:bookmarkStart w:id="601" w:name="_Toc334430219"/>
      <w:bookmarkStart w:id="602" w:name="_Toc400549433"/>
      <w:bookmarkStart w:id="603" w:name="_Toc431917604"/>
      <w:r w:rsidRPr="009A1A2E">
        <w:rPr>
          <w:lang w:val="en-AU"/>
        </w:rPr>
        <w:lastRenderedPageBreak/>
        <w:t>E.</w:t>
      </w:r>
      <w:r w:rsidRPr="009A1A2E">
        <w:rPr>
          <w:lang w:val="en-AU"/>
        </w:rPr>
        <w:tab/>
      </w:r>
      <w:r w:rsidR="00C5321C" w:rsidRPr="009A1A2E">
        <w:rPr>
          <w:lang w:val="en-AU"/>
        </w:rPr>
        <w:t>Estimated extent of use and financial implications</w:t>
      </w:r>
      <w:bookmarkEnd w:id="595"/>
      <w:bookmarkEnd w:id="596"/>
      <w:bookmarkEnd w:id="597"/>
      <w:bookmarkEnd w:id="598"/>
      <w:bookmarkEnd w:id="599"/>
      <w:bookmarkEnd w:id="600"/>
      <w:bookmarkEnd w:id="601"/>
      <w:bookmarkEnd w:id="602"/>
      <w:bookmarkEnd w:id="603"/>
    </w:p>
    <w:p w14:paraId="7CDC7402" w14:textId="77777777" w:rsidR="000214FE" w:rsidRPr="009A1A2E" w:rsidRDefault="000214FE" w:rsidP="000214FE">
      <w:pPr>
        <w:pStyle w:val="Textbody"/>
        <w:rPr>
          <w:lang w:val="en-AU" w:eastAsia="en-AU"/>
        </w:rPr>
      </w:pPr>
      <w:r w:rsidRPr="009A1A2E">
        <w:rPr>
          <w:lang w:val="en-AU" w:eastAsia="en-AU"/>
        </w:rPr>
        <w:t>The purpose of this section is to generate the most likely utilisation and financial estimates by requesting a set of budget impact analyses. These analyses will inform the deliberations of MSAC about its recommendation to the Australian Government concerning the outcome of the application. A budget impact analysis (BIA) is an economic assessment that estimates the financial consequences of adopting a new intervention for local, regional and national budgets. A BIA is performed in addition to a cost-effectiveness analysis in order to provide a comprehensive economic assessment of a new health care intervention. The BIA is assessed from the payer's perspective, and uses a short-term time horizon, therefore does not use discounting or long term modeling.</w:t>
      </w:r>
    </w:p>
    <w:p w14:paraId="305B6312" w14:textId="77777777" w:rsidR="000214FE" w:rsidRPr="009A1A2E" w:rsidRDefault="000214FE" w:rsidP="000214FE">
      <w:pPr>
        <w:pStyle w:val="Textbody"/>
        <w:rPr>
          <w:highlight w:val="lightGray"/>
          <w:lang w:val="en-AU"/>
        </w:rPr>
      </w:pPr>
      <w:r w:rsidRPr="009A1A2E">
        <w:rPr>
          <w:lang w:val="en-AU" w:eastAsia="en-AU"/>
        </w:rPr>
        <w:t>A BIA identifies the size of the population affected by the intervention, and the effect of implementation on costs over the short-term. The BIA focuses is on the direct costs of specific resources needed to put the intervention into effect.</w:t>
      </w:r>
    </w:p>
    <w:p w14:paraId="3CF46435" w14:textId="77777777" w:rsidR="000214FE" w:rsidRPr="009A1A2E" w:rsidRDefault="000214FE" w:rsidP="000214FE">
      <w:pPr>
        <w:pStyle w:val="Textbody"/>
        <w:rPr>
          <w:lang w:val="en-AU"/>
        </w:rPr>
      </w:pPr>
      <w:r w:rsidRPr="009A1A2E">
        <w:rPr>
          <w:lang w:val="en-AU"/>
        </w:rPr>
        <w:t>The suggested impacts presented below assume change to the ENT treatment options. These comments are presented to illustrate the potential impact of MBS listing of insertion of a partially implantable Middle Ear Implant under current conditions whilst recognising that DoHA decision making will ultimately determine the extent of use and hence financial impact.</w:t>
      </w:r>
    </w:p>
    <w:p w14:paraId="06B527B7" w14:textId="77777777" w:rsidR="000214FE" w:rsidRPr="009A1A2E" w:rsidRDefault="000214FE" w:rsidP="000214FE">
      <w:pPr>
        <w:pStyle w:val="Textbody"/>
        <w:rPr>
          <w:lang w:val="en-AU"/>
        </w:rPr>
      </w:pPr>
      <w:r w:rsidRPr="009A1A2E">
        <w:rPr>
          <w:lang w:val="en-AU"/>
        </w:rPr>
        <w:t xml:space="preserve">The proposed listing will offer an additional treatment to the MBS listing. This means that given the cost-effectiveness benefit amount requested for implantation of a partially implantable Middle Ear Implant in this submission, any use of the new treatment on the MBS will be accompanied by substitution effect of opportunity costs to the society as a whole, thereby generating cost savings to the MBS on the long term and thus offsetting the costs of insertion of a partially implantable Middle Ear Implant. </w:t>
      </w:r>
    </w:p>
    <w:p w14:paraId="6EC13E84" w14:textId="77777777" w:rsidR="000214FE" w:rsidRPr="009A1A2E" w:rsidRDefault="000214FE" w:rsidP="000214FE">
      <w:pPr>
        <w:pStyle w:val="Textbody"/>
        <w:rPr>
          <w:lang w:val="en-AU"/>
        </w:rPr>
      </w:pPr>
      <w:r w:rsidRPr="009A1A2E">
        <w:rPr>
          <w:lang w:val="en-AU"/>
        </w:rPr>
        <w:t xml:space="preserve">Given the data in Section B, an epidemiological approach is considered to inform decision making rather than a market share approach. When compared with No treatment, implantation of a partially implantable active middle ear implant has been shown to improve the quality of life of the patient derived by QALY measures, </w:t>
      </w:r>
      <w:r w:rsidR="001D68B4" w:rsidRPr="009A1A2E">
        <w:rPr>
          <w:lang w:val="en-AU"/>
        </w:rPr>
        <w:t xml:space="preserve">enhancement of functional gain, speech perception in </w:t>
      </w:r>
      <w:r w:rsidR="00B74506" w:rsidRPr="009A1A2E">
        <w:rPr>
          <w:lang w:val="en-AU"/>
        </w:rPr>
        <w:t>quiet</w:t>
      </w:r>
      <w:r w:rsidR="001D68B4" w:rsidRPr="009A1A2E">
        <w:rPr>
          <w:lang w:val="en-AU"/>
        </w:rPr>
        <w:t xml:space="preserve"> and in noise and subjective benefits for the patient</w:t>
      </w:r>
      <w:r w:rsidR="00D47098" w:rsidRPr="009A1A2E">
        <w:rPr>
          <w:lang w:val="en-AU"/>
        </w:rPr>
        <w:t xml:space="preserve">s. </w:t>
      </w:r>
      <w:r w:rsidRPr="009A1A2E">
        <w:rPr>
          <w:lang w:val="en-AU"/>
        </w:rPr>
        <w:t xml:space="preserve">This means that a specific niche population of patients that is currently left untreated can be provided with a solution to restore their </w:t>
      </w:r>
      <w:r w:rsidRPr="00A83F80">
        <w:rPr>
          <w:lang w:val="en-AU"/>
        </w:rPr>
        <w:t>hearing to a close</w:t>
      </w:r>
      <w:r w:rsidRPr="009A1A2E">
        <w:rPr>
          <w:lang w:val="en-AU"/>
        </w:rPr>
        <w:t xml:space="preserve"> to a normal level. The costs associated with an implant life span of approximately 20 </w:t>
      </w:r>
      <w:r w:rsidRPr="009A1A2E">
        <w:rPr>
          <w:lang w:val="en-AU"/>
        </w:rPr>
        <w:lastRenderedPageBreak/>
        <w:t xml:space="preserve">years are also considered in this analysis. </w:t>
      </w:r>
    </w:p>
    <w:p w14:paraId="06884026" w14:textId="2288CFD5" w:rsidR="000B7EA5" w:rsidRPr="009A1A2E" w:rsidRDefault="000B7EA5" w:rsidP="000B7EA5">
      <w:pPr>
        <w:pStyle w:val="Textbody"/>
        <w:rPr>
          <w:lang w:val="en-AU"/>
        </w:rPr>
      </w:pPr>
      <w:bookmarkStart w:id="604" w:name="_Toc334430220"/>
      <w:bookmarkStart w:id="605" w:name="_Toc337546923"/>
      <w:bookmarkStart w:id="606" w:name="_Toc400549434"/>
      <w:r w:rsidRPr="009A1A2E">
        <w:rPr>
          <w:lang w:val="en-AU"/>
        </w:rPr>
        <w:t xml:space="preserve">Section E.1 describes data sources that are selected to inform the current analysis. Section E.2 estimates the likely extent of use for insertion of a partially implantable active middle ear implant over the next five years. The projected use of implantation of a partially implantable active middle ear implant is determined on the basis of </w:t>
      </w:r>
      <w:r>
        <w:rPr>
          <w:lang w:val="en-AU"/>
        </w:rPr>
        <w:t>the estim</w:t>
      </w:r>
      <w:r w:rsidRPr="008A37D8">
        <w:rPr>
          <w:lang w:val="en-AU"/>
        </w:rPr>
        <w:t xml:space="preserve">ated </w:t>
      </w:r>
      <w:r>
        <w:rPr>
          <w:lang w:val="en-AU"/>
        </w:rPr>
        <w:t>Australian population growth</w:t>
      </w:r>
      <w:r w:rsidRPr="009A1A2E">
        <w:rPr>
          <w:lang w:val="en-AU"/>
        </w:rPr>
        <w:t xml:space="preserve"> </w:t>
      </w:r>
      <w:r>
        <w:rPr>
          <w:lang w:val="en-AU"/>
        </w:rPr>
        <w:t xml:space="preserve">of </w:t>
      </w:r>
      <w:r w:rsidRPr="008A37D8">
        <w:rPr>
          <w:lang w:val="en-AU"/>
        </w:rPr>
        <w:t>1.</w:t>
      </w:r>
      <w:r>
        <w:rPr>
          <w:lang w:val="en-AU"/>
        </w:rPr>
        <w:t>7</w:t>
      </w:r>
      <w:r w:rsidRPr="008A37D8">
        <w:rPr>
          <w:lang w:val="en-AU"/>
        </w:rPr>
        <w:t xml:space="preserve"> % per year (available online: </w:t>
      </w:r>
      <w:hyperlink r:id="rId69" w:tooltip="Australian Bureau of Statistics Population Projections PDF document" w:history="1">
        <w:r w:rsidR="000B51AF" w:rsidRPr="000B51AF">
          <w:rPr>
            <w:rStyle w:val="Hyperlink"/>
            <w:shd w:val="clear" w:color="auto" w:fill="auto"/>
            <w:lang w:val="en-AU"/>
          </w:rPr>
          <w:t>http://www.ausstats.abs.gov.au/ausstats/subscriber.nsf/0/13D196FB0DBECC3BCA257C2E00173FAD/$File/32220_2012%20(base)%20to%202101.pdf</w:t>
        </w:r>
      </w:hyperlink>
      <w:r>
        <w:rPr>
          <w:lang w:val="en-AU"/>
        </w:rPr>
        <w:t>; downloaded 2015-09-23)</w:t>
      </w:r>
      <w:r w:rsidRPr="008A37D8">
        <w:rPr>
          <w:lang w:val="en-AU"/>
        </w:rPr>
        <w:t xml:space="preserve">, </w:t>
      </w:r>
      <w:r>
        <w:rPr>
          <w:lang w:val="en-AU"/>
        </w:rPr>
        <w:t xml:space="preserve">which will influence the </w:t>
      </w:r>
      <w:r w:rsidRPr="009A1A2E">
        <w:rPr>
          <w:lang w:val="en-AU"/>
        </w:rPr>
        <w:t xml:space="preserve">increase of number of patients per year. Besides the overall usage the financial implications associated with the expected usage are quantified. Section E.3 provides an </w:t>
      </w:r>
      <w:r>
        <w:rPr>
          <w:bCs/>
          <w:lang w:val="en-AU"/>
        </w:rPr>
        <w:t>e</w:t>
      </w:r>
      <w:r w:rsidRPr="009A1A2E">
        <w:rPr>
          <w:bCs/>
          <w:lang w:val="en-AU"/>
        </w:rPr>
        <w:t xml:space="preserve">stimation of changes in use and cost of other medical services. Section E.4 </w:t>
      </w:r>
      <w:r w:rsidRPr="009A1A2E">
        <w:rPr>
          <w:lang w:val="en-AU"/>
        </w:rPr>
        <w:t xml:space="preserve">determines the estimated net financial implications of the proposed treatment for the MBS in each year over the next five </w:t>
      </w:r>
      <w:r w:rsidRPr="004E3818">
        <w:rPr>
          <w:lang w:val="en-AU"/>
        </w:rPr>
        <w:t>years. S</w:t>
      </w:r>
      <w:r>
        <w:rPr>
          <w:lang w:val="en-AU"/>
        </w:rPr>
        <w:t>ection E</w:t>
      </w:r>
      <w:r w:rsidR="002E36BA">
        <w:rPr>
          <w:lang w:val="en-AU"/>
        </w:rPr>
        <w:t>5</w:t>
      </w:r>
      <w:r>
        <w:rPr>
          <w:lang w:val="en-AU"/>
        </w:rPr>
        <w:t xml:space="preserve"> provides a detailed sensitivity analysis of the parameters used in the economic model addressing possible sources of uncertainty. </w:t>
      </w:r>
      <w:r w:rsidRPr="009A1A2E">
        <w:rPr>
          <w:lang w:val="en-AU"/>
        </w:rPr>
        <w:t xml:space="preserve">An electronic spread sheet with calculations contained in section E is </w:t>
      </w:r>
      <w:r w:rsidR="00B75D53">
        <w:rPr>
          <w:lang w:val="en-AU"/>
        </w:rPr>
        <w:t>provided in Attachment F</w:t>
      </w:r>
      <w:r w:rsidRPr="005D6BCB">
        <w:rPr>
          <w:lang w:val="en-AU"/>
        </w:rPr>
        <w:t>.</w:t>
      </w:r>
      <w:r w:rsidRPr="009A1A2E">
        <w:rPr>
          <w:lang w:val="en-AU"/>
        </w:rPr>
        <w:t xml:space="preserve"> </w:t>
      </w:r>
    </w:p>
    <w:p w14:paraId="34119E63" w14:textId="77777777" w:rsidR="005D6BCB" w:rsidRDefault="005D6BCB" w:rsidP="008718FB"/>
    <w:p w14:paraId="22F618BA" w14:textId="77777777" w:rsidR="000214FE" w:rsidRPr="009A1A2E" w:rsidRDefault="000214FE" w:rsidP="000214FE">
      <w:pPr>
        <w:pStyle w:val="Heading20"/>
        <w:spacing w:line="360" w:lineRule="auto"/>
        <w:jc w:val="both"/>
        <w:rPr>
          <w:lang w:val="en-AU"/>
        </w:rPr>
      </w:pPr>
      <w:bookmarkStart w:id="607" w:name="_Toc431917605"/>
      <w:r w:rsidRPr="009A1A2E">
        <w:rPr>
          <w:lang w:val="en-AU"/>
        </w:rPr>
        <w:t>E.1</w:t>
      </w:r>
      <w:r w:rsidRPr="009A1A2E">
        <w:rPr>
          <w:lang w:val="en-AU"/>
        </w:rPr>
        <w:tab/>
        <w:t>Justification of the selection of sources of data</w:t>
      </w:r>
      <w:bookmarkEnd w:id="604"/>
      <w:bookmarkEnd w:id="605"/>
      <w:bookmarkEnd w:id="606"/>
      <w:bookmarkEnd w:id="607"/>
    </w:p>
    <w:p w14:paraId="561F6C77" w14:textId="77777777" w:rsidR="000214FE" w:rsidRDefault="0080273B" w:rsidP="000214FE">
      <w:pPr>
        <w:pStyle w:val="Textbody"/>
        <w:rPr>
          <w:lang w:val="en-AU"/>
        </w:rPr>
      </w:pPr>
      <w:r>
        <w:rPr>
          <w:lang w:val="en-AU"/>
        </w:rPr>
        <w:t xml:space="preserve">A literature search, though not systematic, was carried out using the search terms “incidence OR prevalence OR epidemiology” together with common outer ear pathology terms “otitis externa OR (ear) exostosis OR earwax OR cerumen” to identify epidemiological research. The </w:t>
      </w:r>
      <w:r w:rsidR="00864A31">
        <w:rPr>
          <w:lang w:val="en-AU"/>
        </w:rPr>
        <w:t>best available evidence was</w:t>
      </w:r>
      <w:r>
        <w:rPr>
          <w:lang w:val="en-AU"/>
        </w:rPr>
        <w:t xml:space="preserve"> </w:t>
      </w:r>
      <w:r w:rsidR="000214FE" w:rsidRPr="009A1A2E">
        <w:rPr>
          <w:lang w:val="en-AU"/>
        </w:rPr>
        <w:t>used to conduct the estimation of t</w:t>
      </w:r>
      <w:r w:rsidR="005D6BCB">
        <w:rPr>
          <w:lang w:val="en-AU"/>
        </w:rPr>
        <w:t>he use of the proposed listing.</w:t>
      </w:r>
    </w:p>
    <w:p w14:paraId="0E90E35B" w14:textId="77777777" w:rsidR="005D6BCB" w:rsidRPr="009A1A2E" w:rsidRDefault="005D6BCB" w:rsidP="000214FE">
      <w:pPr>
        <w:pStyle w:val="Textbody"/>
        <w:rPr>
          <w:lang w:val="en-AU"/>
        </w:rPr>
      </w:pPr>
    </w:p>
    <w:p w14:paraId="676ED088" w14:textId="77777777" w:rsidR="000214FE" w:rsidRPr="009A1A2E" w:rsidRDefault="000214FE" w:rsidP="000214FE">
      <w:pPr>
        <w:pStyle w:val="Heading30"/>
        <w:spacing w:line="360" w:lineRule="auto"/>
        <w:jc w:val="both"/>
        <w:rPr>
          <w:lang w:val="en-AU"/>
        </w:rPr>
      </w:pPr>
      <w:bookmarkStart w:id="608" w:name="_Toc400549435"/>
      <w:bookmarkStart w:id="609" w:name="_Toc431917606"/>
      <w:r w:rsidRPr="009A1A2E">
        <w:rPr>
          <w:lang w:val="en-AU"/>
        </w:rPr>
        <w:t>E</w:t>
      </w:r>
      <w:r w:rsidR="005D6BCB">
        <w:rPr>
          <w:lang w:val="en-AU"/>
        </w:rPr>
        <w:t>.1.1</w:t>
      </w:r>
      <w:r w:rsidR="005D6BCB">
        <w:rPr>
          <w:lang w:val="en-AU"/>
        </w:rPr>
        <w:tab/>
        <w:t>Prevalence of hearing loss</w:t>
      </w:r>
      <w:r w:rsidRPr="009A1A2E">
        <w:rPr>
          <w:lang w:val="en-AU"/>
        </w:rPr>
        <w:t xml:space="preserve"> in Australia according to DAP</w:t>
      </w:r>
      <w:bookmarkEnd w:id="608"/>
      <w:bookmarkEnd w:id="609"/>
    </w:p>
    <w:p w14:paraId="2142CD45" w14:textId="77777777" w:rsidR="000214FE" w:rsidRPr="009A1A2E" w:rsidRDefault="000214FE" w:rsidP="000214FE">
      <w:pPr>
        <w:pStyle w:val="Textbody"/>
        <w:rPr>
          <w:lang w:val="en-AU"/>
        </w:rPr>
      </w:pPr>
      <w:r w:rsidRPr="009A1A2E">
        <w:rPr>
          <w:lang w:val="en-AU"/>
        </w:rPr>
        <w:t xml:space="preserve">According to the decision analytical protocol provided by PASC, in Australia SNHL is the most common form of hearing loss. The overall prevalence of hearing loss </w:t>
      </w:r>
      <w:r w:rsidRPr="009A1A2E">
        <w:rPr>
          <w:rFonts w:ascii="Cambria Math" w:hAnsi="Cambria Math" w:cs="Cambria Math"/>
          <w:lang w:val="en-AU"/>
        </w:rPr>
        <w:t>≧</w:t>
      </w:r>
      <w:r w:rsidRPr="009A1A2E">
        <w:rPr>
          <w:lang w:val="en-AU"/>
        </w:rPr>
        <w:t>25</w:t>
      </w:r>
      <w:r w:rsidR="00561FB0">
        <w:rPr>
          <w:lang w:val="en-AU"/>
        </w:rPr>
        <w:t> </w:t>
      </w:r>
      <w:r w:rsidRPr="009A1A2E">
        <w:rPr>
          <w:lang w:val="en-AU"/>
        </w:rPr>
        <w:t>dBHTL</w:t>
      </w:r>
      <w:r w:rsidR="00D36A06">
        <w:rPr>
          <w:rStyle w:val="FootnoteReference"/>
          <w:lang w:val="en-AU"/>
        </w:rPr>
        <w:footnoteReference w:id="3"/>
      </w:r>
      <w:r w:rsidRPr="009A1A2E">
        <w:rPr>
          <w:lang w:val="en-AU"/>
        </w:rPr>
        <w:t xml:space="preserve"> in adults is 20.2</w:t>
      </w:r>
      <w:r w:rsidR="00561FB0">
        <w:rPr>
          <w:lang w:val="en-AU"/>
        </w:rPr>
        <w:t> </w:t>
      </w:r>
      <w:r w:rsidRPr="009A1A2E">
        <w:rPr>
          <w:lang w:val="en-AU"/>
        </w:rPr>
        <w:t>% for SNHL, 0.4</w:t>
      </w:r>
      <w:r w:rsidR="00561FB0">
        <w:rPr>
          <w:lang w:val="en-AU"/>
        </w:rPr>
        <w:t> </w:t>
      </w:r>
      <w:r w:rsidRPr="009A1A2E">
        <w:rPr>
          <w:lang w:val="en-AU"/>
        </w:rPr>
        <w:t>% for CHL and 1.6</w:t>
      </w:r>
      <w:r w:rsidR="00561FB0">
        <w:rPr>
          <w:lang w:val="en-AU"/>
        </w:rPr>
        <w:t> </w:t>
      </w:r>
      <w:r w:rsidRPr="009A1A2E">
        <w:rPr>
          <w:lang w:val="en-AU"/>
        </w:rPr>
        <w:t>% for MHL (</w:t>
      </w:r>
      <w:r w:rsidRPr="009A1A2E">
        <w:rPr>
          <w:lang w:val="en-AU"/>
        </w:rPr>
        <w:fldChar w:fldCharType="begin"/>
      </w:r>
      <w:r w:rsidRPr="009A1A2E">
        <w:rPr>
          <w:lang w:val="en-AU"/>
        </w:rPr>
        <w:instrText xml:space="preserve"> REF _Ref400385260 \h  \* MERGEFORMAT </w:instrText>
      </w:r>
      <w:r w:rsidRPr="009A1A2E">
        <w:rPr>
          <w:lang w:val="en-AU"/>
        </w:rPr>
      </w:r>
      <w:r w:rsidRPr="009A1A2E">
        <w:rPr>
          <w:lang w:val="en-AU"/>
        </w:rPr>
        <w:fldChar w:fldCharType="separate"/>
      </w:r>
      <w:r w:rsidR="00016592" w:rsidRPr="009A1A2E">
        <w:rPr>
          <w:lang w:val="en-AU"/>
        </w:rPr>
        <w:t xml:space="preserve">Table </w:t>
      </w:r>
      <w:r w:rsidR="00016592">
        <w:rPr>
          <w:lang w:val="en-AU"/>
        </w:rPr>
        <w:t>59</w:t>
      </w:r>
      <w:r w:rsidRPr="009A1A2E">
        <w:rPr>
          <w:lang w:val="en-AU"/>
        </w:rPr>
        <w:fldChar w:fldCharType="end"/>
      </w:r>
      <w:r w:rsidRPr="009A1A2E">
        <w:rPr>
          <w:lang w:val="en-AU"/>
        </w:rPr>
        <w:t>). In adults, SNHL is largely caused by ageing, with most people aged over 50 years. Sensorineural hearing loss may also be caused by congenital malformation and exposure to noise or ototoxic substances. There are more adult males with hearing loss than females (26.3</w:t>
      </w:r>
      <w:r w:rsidR="00561FB0">
        <w:rPr>
          <w:lang w:val="en-AU"/>
        </w:rPr>
        <w:t> </w:t>
      </w:r>
      <w:r w:rsidRPr="009A1A2E">
        <w:rPr>
          <w:lang w:val="en-AU"/>
        </w:rPr>
        <w:t xml:space="preserve">% </w:t>
      </w:r>
      <w:r w:rsidRPr="009A1A2E">
        <w:rPr>
          <w:lang w:val="en-AU"/>
        </w:rPr>
        <w:lastRenderedPageBreak/>
        <w:t>males vs. 17.1</w:t>
      </w:r>
      <w:r w:rsidR="00561FB0">
        <w:rPr>
          <w:lang w:val="en-AU"/>
        </w:rPr>
        <w:t> </w:t>
      </w:r>
      <w:r w:rsidRPr="009A1A2E">
        <w:rPr>
          <w:lang w:val="en-AU"/>
        </w:rPr>
        <w:t>% females). In adults, 66</w:t>
      </w:r>
      <w:r w:rsidR="00561FB0">
        <w:rPr>
          <w:lang w:val="en-AU"/>
        </w:rPr>
        <w:t> </w:t>
      </w:r>
      <w:r w:rsidRPr="009A1A2E">
        <w:rPr>
          <w:lang w:val="en-AU"/>
        </w:rPr>
        <w:t>% have mild hearing loss; 23</w:t>
      </w:r>
      <w:r w:rsidR="00561FB0">
        <w:rPr>
          <w:lang w:val="en-AU"/>
        </w:rPr>
        <w:t> </w:t>
      </w:r>
      <w:r w:rsidRPr="009A1A2E">
        <w:rPr>
          <w:lang w:val="en-AU"/>
        </w:rPr>
        <w:t>% have moderate hearing loss and 11</w:t>
      </w:r>
      <w:r w:rsidR="00561FB0">
        <w:rPr>
          <w:lang w:val="en-AU"/>
        </w:rPr>
        <w:t> </w:t>
      </w:r>
      <w:r w:rsidRPr="009A1A2E">
        <w:rPr>
          <w:lang w:val="en-AU"/>
        </w:rPr>
        <w:t xml:space="preserve">% have severe to profound hearing loss. </w:t>
      </w:r>
    </w:p>
    <w:p w14:paraId="1AC99E12" w14:textId="77777777" w:rsidR="005D6BCB" w:rsidRPr="009A1A2E" w:rsidRDefault="005D6BCB" w:rsidP="000214FE">
      <w:pPr>
        <w:pStyle w:val="Textbody"/>
        <w:rPr>
          <w:lang w:val="en-AU"/>
        </w:rPr>
      </w:pPr>
    </w:p>
    <w:p w14:paraId="43C1CF63" w14:textId="77777777" w:rsidR="000214FE" w:rsidRPr="005D6BCB" w:rsidRDefault="000214FE" w:rsidP="005D6BCB">
      <w:pPr>
        <w:pStyle w:val="Caption"/>
        <w:spacing w:after="0" w:line="360" w:lineRule="auto"/>
        <w:rPr>
          <w:rFonts w:ascii="Arial" w:hAnsi="Arial" w:cs="Arial"/>
          <w:lang w:val="en-AU"/>
        </w:rPr>
      </w:pPr>
      <w:bookmarkStart w:id="610" w:name="_Ref400385260"/>
      <w:bookmarkStart w:id="611" w:name="_Toc431917519"/>
      <w:r w:rsidRPr="009A1A2E">
        <w:rPr>
          <w:rFonts w:ascii="Arial" w:hAnsi="Arial" w:cs="Arial"/>
          <w:lang w:val="en-AU"/>
        </w:rPr>
        <w:t xml:space="preserve">Table </w:t>
      </w:r>
      <w:r w:rsidRPr="009A1A2E">
        <w:rPr>
          <w:rFonts w:ascii="Arial" w:hAnsi="Arial" w:cs="Arial"/>
          <w:lang w:val="en-AU"/>
        </w:rPr>
        <w:fldChar w:fldCharType="begin"/>
      </w:r>
      <w:r w:rsidRPr="009A1A2E">
        <w:rPr>
          <w:rFonts w:ascii="Arial" w:hAnsi="Arial" w:cs="Arial"/>
          <w:lang w:val="en-AU"/>
        </w:rPr>
        <w:instrText xml:space="preserve"> SEQ Table \* ARABIC </w:instrText>
      </w:r>
      <w:r w:rsidRPr="009A1A2E">
        <w:rPr>
          <w:rFonts w:ascii="Arial" w:hAnsi="Arial" w:cs="Arial"/>
          <w:lang w:val="en-AU"/>
        </w:rPr>
        <w:fldChar w:fldCharType="separate"/>
      </w:r>
      <w:r w:rsidR="00016592">
        <w:rPr>
          <w:rFonts w:ascii="Arial" w:hAnsi="Arial" w:cs="Arial"/>
          <w:noProof/>
          <w:lang w:val="en-AU"/>
        </w:rPr>
        <w:t>59</w:t>
      </w:r>
      <w:r w:rsidRPr="009A1A2E">
        <w:rPr>
          <w:rFonts w:ascii="Arial" w:hAnsi="Arial" w:cs="Arial"/>
          <w:lang w:val="en-AU"/>
        </w:rPr>
        <w:fldChar w:fldCharType="end"/>
      </w:r>
      <w:bookmarkEnd w:id="610"/>
      <w:r w:rsidR="005D140A" w:rsidRPr="009A1A2E">
        <w:rPr>
          <w:rFonts w:ascii="Arial" w:hAnsi="Arial" w:cs="Arial"/>
          <w:lang w:val="en-AU"/>
        </w:rPr>
        <w:t xml:space="preserve"> - </w:t>
      </w:r>
      <w:r w:rsidRPr="009A1A2E">
        <w:rPr>
          <w:rFonts w:ascii="Arial" w:hAnsi="Arial" w:cs="Arial"/>
          <w:lang w:val="en-AU"/>
        </w:rPr>
        <w:t>Overall prevalence of hearing impairment, South Australian population</w:t>
      </w:r>
      <w:bookmarkEnd w:id="611"/>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Overall prevalence of hearing impairment, South Australian population"/>
        <w:tblDescription w:val="Overall prevalence of hearing impairment, South Australian population"/>
      </w:tblPr>
      <w:tblGrid>
        <w:gridCol w:w="709"/>
        <w:gridCol w:w="1417"/>
        <w:gridCol w:w="1134"/>
        <w:gridCol w:w="1134"/>
        <w:gridCol w:w="1418"/>
        <w:gridCol w:w="1134"/>
        <w:gridCol w:w="1417"/>
      </w:tblGrid>
      <w:tr w:rsidR="000214FE" w:rsidRPr="009A1A2E" w14:paraId="776D154E" w14:textId="77777777" w:rsidTr="00D64182">
        <w:trPr>
          <w:trHeight w:val="368"/>
          <w:tblHeader/>
          <w:jc w:val="center"/>
        </w:trPr>
        <w:tc>
          <w:tcPr>
            <w:tcW w:w="709" w:type="dxa"/>
            <w:vAlign w:val="center"/>
          </w:tcPr>
          <w:p w14:paraId="7D3DE14D" w14:textId="77777777" w:rsidR="000214FE" w:rsidRPr="009A1A2E" w:rsidRDefault="000214FE" w:rsidP="000214FE">
            <w:pPr>
              <w:jc w:val="center"/>
              <w:rPr>
                <w:rFonts w:ascii="Arial" w:hAnsi="Arial" w:cs="Arial"/>
                <w:b/>
                <w:sz w:val="16"/>
                <w:szCs w:val="16"/>
              </w:rPr>
            </w:pPr>
          </w:p>
        </w:tc>
        <w:tc>
          <w:tcPr>
            <w:tcW w:w="3685" w:type="dxa"/>
            <w:gridSpan w:val="3"/>
            <w:vAlign w:val="center"/>
          </w:tcPr>
          <w:p w14:paraId="49F94D18" w14:textId="77777777" w:rsidR="000214FE" w:rsidRPr="009A1A2E" w:rsidRDefault="000214FE" w:rsidP="00D36A06">
            <w:pPr>
              <w:jc w:val="center"/>
              <w:rPr>
                <w:rFonts w:ascii="Arial" w:hAnsi="Arial" w:cs="Arial"/>
                <w:b/>
                <w:sz w:val="16"/>
                <w:szCs w:val="16"/>
              </w:rPr>
            </w:pPr>
            <w:r w:rsidRPr="009A1A2E">
              <w:rPr>
                <w:rFonts w:ascii="Cambria Math" w:hAnsi="Cambria Math" w:cs="Cambria Math"/>
                <w:b/>
                <w:sz w:val="16"/>
                <w:szCs w:val="16"/>
              </w:rPr>
              <w:t>≧</w:t>
            </w:r>
            <w:r w:rsidRPr="009A1A2E">
              <w:rPr>
                <w:rFonts w:ascii="Arial" w:hAnsi="Arial" w:cs="Arial"/>
                <w:b/>
                <w:sz w:val="16"/>
                <w:szCs w:val="16"/>
              </w:rPr>
              <w:t xml:space="preserve"> 25dBHTL</w:t>
            </w:r>
          </w:p>
        </w:tc>
        <w:tc>
          <w:tcPr>
            <w:tcW w:w="3969" w:type="dxa"/>
            <w:gridSpan w:val="3"/>
            <w:vAlign w:val="center"/>
          </w:tcPr>
          <w:p w14:paraId="7C0F70F3" w14:textId="77777777" w:rsidR="000214FE" w:rsidRPr="009A1A2E" w:rsidRDefault="000214FE" w:rsidP="000214FE">
            <w:pPr>
              <w:jc w:val="center"/>
              <w:rPr>
                <w:rFonts w:ascii="Arial" w:hAnsi="Arial" w:cs="Arial"/>
                <w:b/>
                <w:sz w:val="16"/>
                <w:szCs w:val="16"/>
              </w:rPr>
            </w:pPr>
            <w:r w:rsidRPr="009A1A2E">
              <w:rPr>
                <w:rFonts w:ascii="Cambria Math" w:hAnsi="Cambria Math" w:cs="Cambria Math"/>
                <w:b/>
                <w:sz w:val="16"/>
                <w:szCs w:val="16"/>
              </w:rPr>
              <w:t>≧</w:t>
            </w:r>
            <w:r w:rsidRPr="009A1A2E">
              <w:rPr>
                <w:rFonts w:ascii="Arial" w:hAnsi="Arial" w:cs="Arial"/>
                <w:b/>
                <w:sz w:val="16"/>
                <w:szCs w:val="16"/>
              </w:rPr>
              <w:t xml:space="preserve"> 21dBHTL</w:t>
            </w:r>
          </w:p>
        </w:tc>
      </w:tr>
      <w:tr w:rsidR="000214FE" w:rsidRPr="009A1A2E" w14:paraId="3539ADEF" w14:textId="77777777" w:rsidTr="00D64182">
        <w:trPr>
          <w:trHeight w:val="368"/>
          <w:tblHeader/>
          <w:jc w:val="center"/>
        </w:trPr>
        <w:tc>
          <w:tcPr>
            <w:tcW w:w="709" w:type="dxa"/>
            <w:vAlign w:val="center"/>
          </w:tcPr>
          <w:p w14:paraId="2ED75B6E" w14:textId="77777777" w:rsidR="000214FE" w:rsidRPr="009A1A2E" w:rsidRDefault="000214FE" w:rsidP="000214FE">
            <w:pPr>
              <w:jc w:val="center"/>
              <w:rPr>
                <w:rFonts w:ascii="Arial" w:hAnsi="Arial" w:cs="Arial"/>
                <w:b/>
                <w:sz w:val="16"/>
                <w:szCs w:val="16"/>
              </w:rPr>
            </w:pPr>
            <w:r w:rsidRPr="009A1A2E">
              <w:rPr>
                <w:rFonts w:ascii="Arial" w:hAnsi="Arial" w:cs="Arial"/>
                <w:b/>
                <w:sz w:val="16"/>
                <w:szCs w:val="16"/>
              </w:rPr>
              <w:t>Age yr</w:t>
            </w:r>
          </w:p>
        </w:tc>
        <w:tc>
          <w:tcPr>
            <w:tcW w:w="1417" w:type="dxa"/>
            <w:vAlign w:val="center"/>
          </w:tcPr>
          <w:p w14:paraId="16DB5BD0" w14:textId="77777777" w:rsidR="000214FE" w:rsidRPr="009A1A2E" w:rsidRDefault="000214FE" w:rsidP="000214FE">
            <w:pPr>
              <w:jc w:val="center"/>
              <w:rPr>
                <w:rFonts w:ascii="Arial" w:hAnsi="Arial" w:cs="Arial"/>
                <w:b/>
                <w:sz w:val="16"/>
                <w:szCs w:val="16"/>
              </w:rPr>
            </w:pPr>
            <w:r w:rsidRPr="009A1A2E">
              <w:rPr>
                <w:rFonts w:ascii="Arial" w:hAnsi="Arial" w:cs="Arial"/>
                <w:b/>
                <w:sz w:val="16"/>
                <w:szCs w:val="16"/>
              </w:rPr>
              <w:t>SNHL</w:t>
            </w:r>
          </w:p>
        </w:tc>
        <w:tc>
          <w:tcPr>
            <w:tcW w:w="1134" w:type="dxa"/>
            <w:vAlign w:val="center"/>
          </w:tcPr>
          <w:p w14:paraId="785DEDA9" w14:textId="77777777" w:rsidR="000214FE" w:rsidRPr="009A1A2E" w:rsidRDefault="000214FE" w:rsidP="000214FE">
            <w:pPr>
              <w:jc w:val="center"/>
              <w:rPr>
                <w:rFonts w:ascii="Arial" w:hAnsi="Arial" w:cs="Arial"/>
                <w:b/>
                <w:sz w:val="16"/>
                <w:szCs w:val="16"/>
              </w:rPr>
            </w:pPr>
            <w:r w:rsidRPr="009A1A2E">
              <w:rPr>
                <w:rFonts w:ascii="Arial" w:hAnsi="Arial" w:cs="Arial"/>
                <w:b/>
                <w:sz w:val="16"/>
                <w:szCs w:val="16"/>
              </w:rPr>
              <w:t>CHL</w:t>
            </w:r>
          </w:p>
        </w:tc>
        <w:tc>
          <w:tcPr>
            <w:tcW w:w="1134" w:type="dxa"/>
            <w:vAlign w:val="center"/>
          </w:tcPr>
          <w:p w14:paraId="467367F4" w14:textId="77777777" w:rsidR="000214FE" w:rsidRPr="009A1A2E" w:rsidRDefault="000214FE" w:rsidP="000214FE">
            <w:pPr>
              <w:jc w:val="center"/>
              <w:rPr>
                <w:rFonts w:ascii="Arial" w:hAnsi="Arial" w:cs="Arial"/>
                <w:b/>
                <w:sz w:val="16"/>
                <w:szCs w:val="16"/>
              </w:rPr>
            </w:pPr>
            <w:r w:rsidRPr="009A1A2E">
              <w:rPr>
                <w:rFonts w:ascii="Arial" w:hAnsi="Arial" w:cs="Arial"/>
                <w:b/>
                <w:sz w:val="16"/>
                <w:szCs w:val="16"/>
              </w:rPr>
              <w:t>MHL</w:t>
            </w:r>
          </w:p>
        </w:tc>
        <w:tc>
          <w:tcPr>
            <w:tcW w:w="1418" w:type="dxa"/>
            <w:vAlign w:val="center"/>
          </w:tcPr>
          <w:p w14:paraId="5467C359" w14:textId="77777777" w:rsidR="000214FE" w:rsidRPr="009A1A2E" w:rsidRDefault="000214FE" w:rsidP="000214FE">
            <w:pPr>
              <w:jc w:val="center"/>
              <w:rPr>
                <w:rFonts w:ascii="Arial" w:hAnsi="Arial" w:cs="Arial"/>
                <w:b/>
                <w:sz w:val="16"/>
                <w:szCs w:val="16"/>
              </w:rPr>
            </w:pPr>
            <w:r w:rsidRPr="009A1A2E">
              <w:rPr>
                <w:rFonts w:ascii="Arial" w:hAnsi="Arial" w:cs="Arial"/>
                <w:b/>
                <w:sz w:val="16"/>
                <w:szCs w:val="16"/>
              </w:rPr>
              <w:t>SNHL</w:t>
            </w:r>
          </w:p>
        </w:tc>
        <w:tc>
          <w:tcPr>
            <w:tcW w:w="1134" w:type="dxa"/>
            <w:vAlign w:val="center"/>
          </w:tcPr>
          <w:p w14:paraId="2BBE00A7" w14:textId="77777777" w:rsidR="000214FE" w:rsidRPr="009A1A2E" w:rsidRDefault="000214FE" w:rsidP="000214FE">
            <w:pPr>
              <w:jc w:val="center"/>
              <w:rPr>
                <w:rFonts w:ascii="Arial" w:hAnsi="Arial" w:cs="Arial"/>
                <w:b/>
                <w:sz w:val="16"/>
                <w:szCs w:val="16"/>
              </w:rPr>
            </w:pPr>
            <w:r w:rsidRPr="009A1A2E">
              <w:rPr>
                <w:rFonts w:ascii="Arial" w:hAnsi="Arial" w:cs="Arial"/>
                <w:b/>
                <w:sz w:val="16"/>
                <w:szCs w:val="16"/>
              </w:rPr>
              <w:t>CHL</w:t>
            </w:r>
          </w:p>
        </w:tc>
        <w:tc>
          <w:tcPr>
            <w:tcW w:w="1417" w:type="dxa"/>
            <w:vAlign w:val="center"/>
          </w:tcPr>
          <w:p w14:paraId="332BDFE9" w14:textId="77777777" w:rsidR="000214FE" w:rsidRPr="009A1A2E" w:rsidRDefault="000214FE" w:rsidP="000214FE">
            <w:pPr>
              <w:jc w:val="center"/>
              <w:rPr>
                <w:rFonts w:ascii="Arial" w:hAnsi="Arial" w:cs="Arial"/>
                <w:b/>
                <w:sz w:val="16"/>
                <w:szCs w:val="16"/>
              </w:rPr>
            </w:pPr>
            <w:r w:rsidRPr="009A1A2E">
              <w:rPr>
                <w:rFonts w:ascii="Arial" w:hAnsi="Arial" w:cs="Arial"/>
                <w:b/>
                <w:sz w:val="16"/>
                <w:szCs w:val="16"/>
              </w:rPr>
              <w:t>MHL</w:t>
            </w:r>
          </w:p>
        </w:tc>
      </w:tr>
      <w:tr w:rsidR="000214FE" w:rsidRPr="009A1A2E" w14:paraId="49DABB8A" w14:textId="77777777" w:rsidTr="001C2E0E">
        <w:trPr>
          <w:trHeight w:val="368"/>
          <w:jc w:val="center"/>
        </w:trPr>
        <w:tc>
          <w:tcPr>
            <w:tcW w:w="709" w:type="dxa"/>
            <w:vAlign w:val="center"/>
          </w:tcPr>
          <w:p w14:paraId="00D27DD3" w14:textId="77777777" w:rsidR="000214FE" w:rsidRPr="009A1A2E" w:rsidRDefault="000214FE" w:rsidP="000214FE">
            <w:pPr>
              <w:jc w:val="center"/>
              <w:rPr>
                <w:rFonts w:ascii="Arial" w:hAnsi="Arial" w:cs="Arial"/>
                <w:sz w:val="16"/>
                <w:szCs w:val="16"/>
              </w:rPr>
            </w:pPr>
            <w:r w:rsidRPr="009A1A2E">
              <w:rPr>
                <w:rFonts w:ascii="Arial" w:hAnsi="Arial" w:cs="Arial"/>
                <w:sz w:val="16"/>
                <w:szCs w:val="16"/>
              </w:rPr>
              <w:t>15-50</w:t>
            </w:r>
          </w:p>
        </w:tc>
        <w:tc>
          <w:tcPr>
            <w:tcW w:w="1417" w:type="dxa"/>
            <w:vAlign w:val="center"/>
          </w:tcPr>
          <w:p w14:paraId="2631AC85" w14:textId="77777777" w:rsidR="000214FE" w:rsidRPr="009A1A2E" w:rsidRDefault="000214FE" w:rsidP="000214FE">
            <w:pPr>
              <w:jc w:val="center"/>
              <w:rPr>
                <w:rFonts w:ascii="Arial" w:hAnsi="Arial" w:cs="Arial"/>
                <w:sz w:val="16"/>
                <w:szCs w:val="16"/>
              </w:rPr>
            </w:pPr>
            <w:r w:rsidRPr="009A1A2E">
              <w:rPr>
                <w:rFonts w:ascii="Arial" w:hAnsi="Arial" w:cs="Arial"/>
                <w:sz w:val="16"/>
                <w:szCs w:val="16"/>
              </w:rPr>
              <w:t>4.0 (0.0-8.3)</w:t>
            </w:r>
          </w:p>
        </w:tc>
        <w:tc>
          <w:tcPr>
            <w:tcW w:w="1134" w:type="dxa"/>
            <w:vAlign w:val="center"/>
          </w:tcPr>
          <w:p w14:paraId="5AB42BE1" w14:textId="77777777" w:rsidR="000214FE" w:rsidRPr="009A1A2E" w:rsidRDefault="000214FE" w:rsidP="000214FE">
            <w:pPr>
              <w:jc w:val="center"/>
              <w:rPr>
                <w:rFonts w:ascii="Arial" w:hAnsi="Arial" w:cs="Arial"/>
                <w:sz w:val="16"/>
                <w:szCs w:val="16"/>
              </w:rPr>
            </w:pPr>
            <w:r w:rsidRPr="009A1A2E">
              <w:rPr>
                <w:rFonts w:ascii="Arial" w:hAnsi="Arial" w:cs="Arial"/>
                <w:sz w:val="16"/>
                <w:szCs w:val="16"/>
              </w:rPr>
              <w:t>0.5 (0.2-0.7)</w:t>
            </w:r>
          </w:p>
        </w:tc>
        <w:tc>
          <w:tcPr>
            <w:tcW w:w="1134" w:type="dxa"/>
            <w:vAlign w:val="center"/>
          </w:tcPr>
          <w:p w14:paraId="4D04399B" w14:textId="77777777" w:rsidR="000214FE" w:rsidRPr="009A1A2E" w:rsidRDefault="000214FE" w:rsidP="000214FE">
            <w:pPr>
              <w:jc w:val="center"/>
              <w:rPr>
                <w:rFonts w:ascii="Arial" w:hAnsi="Arial" w:cs="Arial"/>
                <w:sz w:val="16"/>
                <w:szCs w:val="16"/>
              </w:rPr>
            </w:pPr>
            <w:r w:rsidRPr="009A1A2E">
              <w:rPr>
                <w:rFonts w:ascii="Arial" w:hAnsi="Arial" w:cs="Arial"/>
                <w:sz w:val="16"/>
                <w:szCs w:val="16"/>
              </w:rPr>
              <w:t>0.8 (0.0-2.0)</w:t>
            </w:r>
          </w:p>
        </w:tc>
        <w:tc>
          <w:tcPr>
            <w:tcW w:w="1418" w:type="dxa"/>
            <w:vAlign w:val="center"/>
          </w:tcPr>
          <w:p w14:paraId="3622CFD1" w14:textId="77777777" w:rsidR="000214FE" w:rsidRPr="009A1A2E" w:rsidRDefault="000214FE" w:rsidP="000214FE">
            <w:pPr>
              <w:jc w:val="center"/>
              <w:rPr>
                <w:rFonts w:ascii="Arial" w:hAnsi="Arial" w:cs="Arial"/>
                <w:sz w:val="16"/>
                <w:szCs w:val="16"/>
              </w:rPr>
            </w:pPr>
            <w:r w:rsidRPr="009A1A2E">
              <w:rPr>
                <w:rFonts w:ascii="Arial" w:hAnsi="Arial" w:cs="Arial"/>
                <w:sz w:val="16"/>
                <w:szCs w:val="16"/>
              </w:rPr>
              <w:t>5.5 (0.9-10.2)</w:t>
            </w:r>
          </w:p>
        </w:tc>
        <w:tc>
          <w:tcPr>
            <w:tcW w:w="1134" w:type="dxa"/>
            <w:vAlign w:val="center"/>
          </w:tcPr>
          <w:p w14:paraId="708B5CF7" w14:textId="77777777" w:rsidR="000214FE" w:rsidRPr="009A1A2E" w:rsidRDefault="000214FE" w:rsidP="000214FE">
            <w:pPr>
              <w:jc w:val="center"/>
              <w:rPr>
                <w:rFonts w:ascii="Arial" w:hAnsi="Arial" w:cs="Arial"/>
                <w:sz w:val="16"/>
                <w:szCs w:val="16"/>
              </w:rPr>
            </w:pPr>
            <w:r w:rsidRPr="009A1A2E">
              <w:rPr>
                <w:rFonts w:ascii="Arial" w:hAnsi="Arial" w:cs="Arial"/>
                <w:sz w:val="16"/>
                <w:szCs w:val="16"/>
              </w:rPr>
              <w:t>1.0 (0.0-3.2)</w:t>
            </w:r>
          </w:p>
        </w:tc>
        <w:tc>
          <w:tcPr>
            <w:tcW w:w="1417" w:type="dxa"/>
            <w:vAlign w:val="center"/>
          </w:tcPr>
          <w:p w14:paraId="2D7A59FB" w14:textId="77777777" w:rsidR="000214FE" w:rsidRPr="009A1A2E" w:rsidRDefault="000214FE" w:rsidP="000214FE">
            <w:pPr>
              <w:jc w:val="center"/>
              <w:rPr>
                <w:rFonts w:ascii="Arial" w:hAnsi="Arial" w:cs="Arial"/>
                <w:sz w:val="16"/>
                <w:szCs w:val="16"/>
              </w:rPr>
            </w:pPr>
            <w:r w:rsidRPr="009A1A2E">
              <w:rPr>
                <w:rFonts w:ascii="Arial" w:hAnsi="Arial" w:cs="Arial"/>
                <w:sz w:val="16"/>
                <w:szCs w:val="16"/>
              </w:rPr>
              <w:t>0.8 (0.1-1.5)</w:t>
            </w:r>
          </w:p>
        </w:tc>
      </w:tr>
      <w:tr w:rsidR="000214FE" w:rsidRPr="009A1A2E" w14:paraId="350AA8AD" w14:textId="77777777" w:rsidTr="001C2E0E">
        <w:trPr>
          <w:trHeight w:val="368"/>
          <w:jc w:val="center"/>
        </w:trPr>
        <w:tc>
          <w:tcPr>
            <w:tcW w:w="709" w:type="dxa"/>
            <w:vAlign w:val="center"/>
          </w:tcPr>
          <w:p w14:paraId="6759704D" w14:textId="77777777" w:rsidR="000214FE" w:rsidRPr="009A1A2E" w:rsidRDefault="000214FE" w:rsidP="000214FE">
            <w:pPr>
              <w:jc w:val="center"/>
              <w:rPr>
                <w:rFonts w:ascii="Arial" w:hAnsi="Arial" w:cs="Arial"/>
                <w:sz w:val="16"/>
                <w:szCs w:val="16"/>
              </w:rPr>
            </w:pPr>
            <w:r w:rsidRPr="009A1A2E">
              <w:rPr>
                <w:rFonts w:ascii="Arial" w:hAnsi="Arial" w:cs="Arial"/>
                <w:sz w:val="16"/>
                <w:szCs w:val="16"/>
              </w:rPr>
              <w:t>51-60</w:t>
            </w:r>
          </w:p>
        </w:tc>
        <w:tc>
          <w:tcPr>
            <w:tcW w:w="1417" w:type="dxa"/>
            <w:vAlign w:val="center"/>
          </w:tcPr>
          <w:p w14:paraId="6D362BA3" w14:textId="77777777" w:rsidR="000214FE" w:rsidRPr="009A1A2E" w:rsidRDefault="000214FE" w:rsidP="000214FE">
            <w:pPr>
              <w:jc w:val="center"/>
              <w:rPr>
                <w:rFonts w:ascii="Arial" w:hAnsi="Arial" w:cs="Arial"/>
                <w:sz w:val="16"/>
                <w:szCs w:val="16"/>
              </w:rPr>
            </w:pPr>
            <w:r w:rsidRPr="009A1A2E">
              <w:rPr>
                <w:rFonts w:ascii="Arial" w:hAnsi="Arial" w:cs="Arial"/>
                <w:sz w:val="16"/>
                <w:szCs w:val="16"/>
              </w:rPr>
              <w:t>25.5 (10.8-40.3)</w:t>
            </w:r>
          </w:p>
        </w:tc>
        <w:tc>
          <w:tcPr>
            <w:tcW w:w="1134" w:type="dxa"/>
            <w:vAlign w:val="center"/>
          </w:tcPr>
          <w:p w14:paraId="5234FB1C" w14:textId="77777777" w:rsidR="000214FE" w:rsidRPr="009A1A2E" w:rsidRDefault="000214FE" w:rsidP="000214FE">
            <w:pPr>
              <w:jc w:val="center"/>
              <w:rPr>
                <w:rFonts w:ascii="Arial" w:hAnsi="Arial" w:cs="Arial"/>
                <w:sz w:val="16"/>
                <w:szCs w:val="16"/>
              </w:rPr>
            </w:pPr>
            <w:r w:rsidRPr="009A1A2E">
              <w:rPr>
                <w:rFonts w:ascii="Arial" w:hAnsi="Arial" w:cs="Arial"/>
                <w:sz w:val="16"/>
                <w:szCs w:val="16"/>
              </w:rPr>
              <w:t>0.4 (0.0-1.1)</w:t>
            </w:r>
          </w:p>
        </w:tc>
        <w:tc>
          <w:tcPr>
            <w:tcW w:w="1134" w:type="dxa"/>
            <w:vAlign w:val="center"/>
          </w:tcPr>
          <w:p w14:paraId="5592346B" w14:textId="77777777" w:rsidR="000214FE" w:rsidRPr="009A1A2E" w:rsidRDefault="000214FE" w:rsidP="000214FE">
            <w:pPr>
              <w:jc w:val="center"/>
              <w:rPr>
                <w:rFonts w:ascii="Arial" w:hAnsi="Arial" w:cs="Arial"/>
                <w:sz w:val="16"/>
                <w:szCs w:val="16"/>
              </w:rPr>
            </w:pPr>
            <w:r w:rsidRPr="009A1A2E">
              <w:rPr>
                <w:rFonts w:ascii="Arial" w:hAnsi="Arial" w:cs="Arial"/>
                <w:sz w:val="16"/>
                <w:szCs w:val="16"/>
              </w:rPr>
              <w:t>2.4 (0.6-4.1)</w:t>
            </w:r>
          </w:p>
        </w:tc>
        <w:tc>
          <w:tcPr>
            <w:tcW w:w="1418" w:type="dxa"/>
            <w:vAlign w:val="center"/>
          </w:tcPr>
          <w:p w14:paraId="64F1BF24" w14:textId="77777777" w:rsidR="000214FE" w:rsidRPr="009A1A2E" w:rsidRDefault="000214FE" w:rsidP="000214FE">
            <w:pPr>
              <w:jc w:val="center"/>
              <w:rPr>
                <w:rFonts w:ascii="Arial" w:hAnsi="Arial" w:cs="Arial"/>
                <w:sz w:val="16"/>
                <w:szCs w:val="16"/>
              </w:rPr>
            </w:pPr>
            <w:r w:rsidRPr="009A1A2E">
              <w:rPr>
                <w:rFonts w:ascii="Arial" w:hAnsi="Arial" w:cs="Arial"/>
                <w:sz w:val="16"/>
                <w:szCs w:val="16"/>
              </w:rPr>
              <w:t>28.5 (13.6-43.4)</w:t>
            </w:r>
          </w:p>
        </w:tc>
        <w:tc>
          <w:tcPr>
            <w:tcW w:w="1134" w:type="dxa"/>
            <w:vAlign w:val="center"/>
          </w:tcPr>
          <w:p w14:paraId="293EB2DA" w14:textId="77777777" w:rsidR="000214FE" w:rsidRPr="009A1A2E" w:rsidRDefault="000214FE" w:rsidP="000214FE">
            <w:pPr>
              <w:jc w:val="center"/>
              <w:rPr>
                <w:rFonts w:ascii="Arial" w:hAnsi="Arial" w:cs="Arial"/>
                <w:sz w:val="16"/>
                <w:szCs w:val="16"/>
              </w:rPr>
            </w:pPr>
            <w:r w:rsidRPr="009A1A2E">
              <w:rPr>
                <w:rFonts w:ascii="Arial" w:hAnsi="Arial" w:cs="Arial"/>
                <w:sz w:val="16"/>
                <w:szCs w:val="16"/>
              </w:rPr>
              <w:t>0.4 (0.0-1.1)</w:t>
            </w:r>
          </w:p>
        </w:tc>
        <w:tc>
          <w:tcPr>
            <w:tcW w:w="1417" w:type="dxa"/>
            <w:vAlign w:val="center"/>
          </w:tcPr>
          <w:p w14:paraId="656028D0" w14:textId="77777777" w:rsidR="000214FE" w:rsidRPr="009A1A2E" w:rsidRDefault="000214FE" w:rsidP="000214FE">
            <w:pPr>
              <w:jc w:val="center"/>
              <w:rPr>
                <w:rFonts w:ascii="Arial" w:hAnsi="Arial" w:cs="Arial"/>
                <w:sz w:val="16"/>
                <w:szCs w:val="16"/>
              </w:rPr>
            </w:pPr>
            <w:r w:rsidRPr="009A1A2E">
              <w:rPr>
                <w:rFonts w:ascii="Arial" w:hAnsi="Arial" w:cs="Arial"/>
                <w:sz w:val="16"/>
                <w:szCs w:val="16"/>
              </w:rPr>
              <w:t>1.6 (0.2-3.0)</w:t>
            </w:r>
          </w:p>
        </w:tc>
      </w:tr>
      <w:tr w:rsidR="000214FE" w:rsidRPr="009A1A2E" w14:paraId="3F489B98" w14:textId="77777777" w:rsidTr="001C2E0E">
        <w:trPr>
          <w:trHeight w:val="368"/>
          <w:jc w:val="center"/>
        </w:trPr>
        <w:tc>
          <w:tcPr>
            <w:tcW w:w="709" w:type="dxa"/>
            <w:vAlign w:val="center"/>
          </w:tcPr>
          <w:p w14:paraId="74F5CB03" w14:textId="77777777" w:rsidR="000214FE" w:rsidRPr="009A1A2E" w:rsidRDefault="000214FE" w:rsidP="000214FE">
            <w:pPr>
              <w:jc w:val="center"/>
              <w:rPr>
                <w:rFonts w:ascii="Arial" w:hAnsi="Arial" w:cs="Arial"/>
                <w:sz w:val="16"/>
                <w:szCs w:val="16"/>
              </w:rPr>
            </w:pPr>
            <w:r w:rsidRPr="009A1A2E">
              <w:rPr>
                <w:rFonts w:ascii="Arial" w:hAnsi="Arial" w:cs="Arial"/>
                <w:sz w:val="16"/>
                <w:szCs w:val="16"/>
              </w:rPr>
              <w:t>61-70</w:t>
            </w:r>
          </w:p>
        </w:tc>
        <w:tc>
          <w:tcPr>
            <w:tcW w:w="1417" w:type="dxa"/>
            <w:vAlign w:val="center"/>
          </w:tcPr>
          <w:p w14:paraId="147A2DF3" w14:textId="77777777" w:rsidR="000214FE" w:rsidRPr="009A1A2E" w:rsidRDefault="000214FE" w:rsidP="000214FE">
            <w:pPr>
              <w:jc w:val="center"/>
              <w:rPr>
                <w:rFonts w:ascii="Arial" w:hAnsi="Arial" w:cs="Arial"/>
                <w:sz w:val="16"/>
                <w:szCs w:val="16"/>
              </w:rPr>
            </w:pPr>
            <w:r w:rsidRPr="009A1A2E">
              <w:rPr>
                <w:rFonts w:ascii="Arial" w:hAnsi="Arial" w:cs="Arial"/>
                <w:sz w:val="16"/>
                <w:szCs w:val="16"/>
              </w:rPr>
              <w:t>55.5 (37.4-73.6)</w:t>
            </w:r>
          </w:p>
        </w:tc>
        <w:tc>
          <w:tcPr>
            <w:tcW w:w="1134" w:type="dxa"/>
            <w:vAlign w:val="center"/>
          </w:tcPr>
          <w:p w14:paraId="2E41807F" w14:textId="77777777" w:rsidR="000214FE" w:rsidRPr="009A1A2E" w:rsidRDefault="000214FE" w:rsidP="000214FE">
            <w:pPr>
              <w:jc w:val="center"/>
              <w:rPr>
                <w:rFonts w:ascii="Arial" w:hAnsi="Arial" w:cs="Arial"/>
                <w:sz w:val="16"/>
                <w:szCs w:val="16"/>
              </w:rPr>
            </w:pPr>
            <w:r w:rsidRPr="009A1A2E">
              <w:rPr>
                <w:rFonts w:ascii="Arial" w:hAnsi="Arial" w:cs="Arial"/>
                <w:sz w:val="16"/>
                <w:szCs w:val="16"/>
              </w:rPr>
              <w:t>0.5 (0.0-1.2)</w:t>
            </w:r>
          </w:p>
        </w:tc>
        <w:tc>
          <w:tcPr>
            <w:tcW w:w="1134" w:type="dxa"/>
            <w:vAlign w:val="center"/>
          </w:tcPr>
          <w:p w14:paraId="21EB4AFA" w14:textId="77777777" w:rsidR="000214FE" w:rsidRPr="009A1A2E" w:rsidRDefault="000214FE" w:rsidP="000214FE">
            <w:pPr>
              <w:jc w:val="center"/>
              <w:rPr>
                <w:rFonts w:ascii="Arial" w:hAnsi="Arial" w:cs="Arial"/>
                <w:sz w:val="16"/>
                <w:szCs w:val="16"/>
              </w:rPr>
            </w:pPr>
            <w:r w:rsidRPr="009A1A2E">
              <w:rPr>
                <w:rFonts w:ascii="Arial" w:hAnsi="Arial" w:cs="Arial"/>
                <w:sz w:val="16"/>
                <w:szCs w:val="16"/>
              </w:rPr>
              <w:t>2.7 (1.2-4.3)</w:t>
            </w:r>
          </w:p>
        </w:tc>
        <w:tc>
          <w:tcPr>
            <w:tcW w:w="1418" w:type="dxa"/>
            <w:vAlign w:val="center"/>
          </w:tcPr>
          <w:p w14:paraId="5AA80D32" w14:textId="77777777" w:rsidR="000214FE" w:rsidRPr="009A1A2E" w:rsidRDefault="000214FE" w:rsidP="000214FE">
            <w:pPr>
              <w:jc w:val="center"/>
              <w:rPr>
                <w:rFonts w:ascii="Arial" w:hAnsi="Arial" w:cs="Arial"/>
                <w:sz w:val="16"/>
                <w:szCs w:val="16"/>
              </w:rPr>
            </w:pPr>
            <w:r w:rsidRPr="009A1A2E">
              <w:rPr>
                <w:rFonts w:ascii="Arial" w:hAnsi="Arial" w:cs="Arial"/>
                <w:sz w:val="16"/>
                <w:szCs w:val="16"/>
              </w:rPr>
              <w:t>64.2 (45.7-82.7)</w:t>
            </w:r>
          </w:p>
        </w:tc>
        <w:tc>
          <w:tcPr>
            <w:tcW w:w="1134" w:type="dxa"/>
            <w:vAlign w:val="center"/>
          </w:tcPr>
          <w:p w14:paraId="7C0F0FBA" w14:textId="77777777" w:rsidR="000214FE" w:rsidRPr="009A1A2E" w:rsidRDefault="000214FE" w:rsidP="000214FE">
            <w:pPr>
              <w:jc w:val="center"/>
              <w:rPr>
                <w:rFonts w:ascii="Arial" w:hAnsi="Arial" w:cs="Arial"/>
                <w:sz w:val="16"/>
                <w:szCs w:val="16"/>
              </w:rPr>
            </w:pPr>
            <w:r w:rsidRPr="009A1A2E">
              <w:rPr>
                <w:rFonts w:ascii="Arial" w:hAnsi="Arial" w:cs="Arial"/>
                <w:sz w:val="16"/>
                <w:szCs w:val="16"/>
              </w:rPr>
              <w:t>0.5 (0.0-1.2)</w:t>
            </w:r>
          </w:p>
        </w:tc>
        <w:tc>
          <w:tcPr>
            <w:tcW w:w="1417" w:type="dxa"/>
            <w:vAlign w:val="center"/>
          </w:tcPr>
          <w:p w14:paraId="68DB473B" w14:textId="77777777" w:rsidR="000214FE" w:rsidRPr="009A1A2E" w:rsidRDefault="000214FE" w:rsidP="000214FE">
            <w:pPr>
              <w:jc w:val="center"/>
              <w:rPr>
                <w:rFonts w:ascii="Arial" w:hAnsi="Arial" w:cs="Arial"/>
                <w:sz w:val="16"/>
                <w:szCs w:val="16"/>
              </w:rPr>
            </w:pPr>
            <w:r w:rsidRPr="009A1A2E">
              <w:rPr>
                <w:rFonts w:ascii="Arial" w:hAnsi="Arial" w:cs="Arial"/>
                <w:sz w:val="16"/>
                <w:szCs w:val="16"/>
              </w:rPr>
              <w:t>3.6 (1.9-5.3)</w:t>
            </w:r>
          </w:p>
        </w:tc>
      </w:tr>
      <w:tr w:rsidR="000214FE" w:rsidRPr="009A1A2E" w14:paraId="5CF3AC3C" w14:textId="77777777" w:rsidTr="001C2E0E">
        <w:trPr>
          <w:trHeight w:val="368"/>
          <w:jc w:val="center"/>
        </w:trPr>
        <w:tc>
          <w:tcPr>
            <w:tcW w:w="709" w:type="dxa"/>
            <w:vAlign w:val="center"/>
          </w:tcPr>
          <w:p w14:paraId="5F85E50B" w14:textId="77777777" w:rsidR="000214FE" w:rsidRPr="009A1A2E" w:rsidRDefault="000214FE" w:rsidP="000214FE">
            <w:pPr>
              <w:pStyle w:val="ListParagraph"/>
              <w:jc w:val="center"/>
              <w:rPr>
                <w:rFonts w:ascii="Arial" w:hAnsi="Arial" w:cs="Arial"/>
                <w:sz w:val="16"/>
                <w:szCs w:val="16"/>
                <w:lang w:val="en-AU"/>
              </w:rPr>
            </w:pPr>
            <w:r w:rsidRPr="009A1A2E">
              <w:rPr>
                <w:rFonts w:ascii="Arial" w:hAnsi="Arial" w:cs="Arial"/>
                <w:sz w:val="16"/>
                <w:szCs w:val="16"/>
                <w:lang w:val="en-AU"/>
              </w:rPr>
              <w:t>&gt;70</w:t>
            </w:r>
          </w:p>
        </w:tc>
        <w:tc>
          <w:tcPr>
            <w:tcW w:w="1417" w:type="dxa"/>
            <w:vAlign w:val="center"/>
          </w:tcPr>
          <w:p w14:paraId="2EB0B422" w14:textId="77777777" w:rsidR="000214FE" w:rsidRPr="009A1A2E" w:rsidRDefault="000214FE" w:rsidP="000214FE">
            <w:pPr>
              <w:jc w:val="center"/>
              <w:rPr>
                <w:rFonts w:ascii="Arial" w:hAnsi="Arial" w:cs="Arial"/>
                <w:sz w:val="16"/>
                <w:szCs w:val="16"/>
              </w:rPr>
            </w:pPr>
            <w:r w:rsidRPr="009A1A2E">
              <w:rPr>
                <w:rFonts w:ascii="Arial" w:hAnsi="Arial" w:cs="Arial"/>
                <w:sz w:val="16"/>
                <w:szCs w:val="16"/>
              </w:rPr>
              <w:t>68.5 (41.3-95.7)</w:t>
            </w:r>
          </w:p>
        </w:tc>
        <w:tc>
          <w:tcPr>
            <w:tcW w:w="1134" w:type="dxa"/>
            <w:vAlign w:val="center"/>
          </w:tcPr>
          <w:p w14:paraId="4BFB4DB9" w14:textId="77777777" w:rsidR="000214FE" w:rsidRPr="009A1A2E" w:rsidRDefault="000214FE" w:rsidP="000214FE">
            <w:pPr>
              <w:jc w:val="center"/>
              <w:rPr>
                <w:rFonts w:ascii="Arial" w:hAnsi="Arial" w:cs="Arial"/>
                <w:sz w:val="16"/>
                <w:szCs w:val="16"/>
              </w:rPr>
            </w:pPr>
            <w:r w:rsidRPr="009A1A2E">
              <w:rPr>
                <w:rFonts w:ascii="Arial" w:hAnsi="Arial" w:cs="Arial"/>
                <w:sz w:val="16"/>
                <w:szCs w:val="16"/>
              </w:rPr>
              <w:t>0.0</w:t>
            </w:r>
          </w:p>
        </w:tc>
        <w:tc>
          <w:tcPr>
            <w:tcW w:w="1134" w:type="dxa"/>
            <w:vAlign w:val="center"/>
          </w:tcPr>
          <w:p w14:paraId="02E19617" w14:textId="77777777" w:rsidR="000214FE" w:rsidRPr="009A1A2E" w:rsidRDefault="000214FE" w:rsidP="000214FE">
            <w:pPr>
              <w:jc w:val="center"/>
              <w:rPr>
                <w:rFonts w:ascii="Arial" w:hAnsi="Arial" w:cs="Arial"/>
                <w:sz w:val="16"/>
                <w:szCs w:val="16"/>
              </w:rPr>
            </w:pPr>
            <w:r w:rsidRPr="009A1A2E">
              <w:rPr>
                <w:rFonts w:ascii="Arial" w:hAnsi="Arial" w:cs="Arial"/>
                <w:sz w:val="16"/>
                <w:szCs w:val="16"/>
              </w:rPr>
              <w:t>5.0 (0.0-11.8)</w:t>
            </w:r>
          </w:p>
        </w:tc>
        <w:tc>
          <w:tcPr>
            <w:tcW w:w="1418" w:type="dxa"/>
            <w:vAlign w:val="center"/>
          </w:tcPr>
          <w:p w14:paraId="2347A8B4" w14:textId="77777777" w:rsidR="000214FE" w:rsidRPr="009A1A2E" w:rsidDel="0083723D" w:rsidRDefault="000214FE" w:rsidP="000214FE">
            <w:pPr>
              <w:jc w:val="center"/>
              <w:rPr>
                <w:rFonts w:ascii="Arial" w:hAnsi="Arial" w:cs="Arial"/>
                <w:sz w:val="16"/>
                <w:szCs w:val="16"/>
              </w:rPr>
            </w:pPr>
            <w:r w:rsidRPr="009A1A2E">
              <w:rPr>
                <w:rFonts w:ascii="Arial" w:hAnsi="Arial" w:cs="Arial"/>
                <w:sz w:val="16"/>
                <w:szCs w:val="16"/>
              </w:rPr>
              <w:t>77.7 (51.4-100.0)</w:t>
            </w:r>
          </w:p>
        </w:tc>
        <w:tc>
          <w:tcPr>
            <w:tcW w:w="1134" w:type="dxa"/>
            <w:vAlign w:val="center"/>
          </w:tcPr>
          <w:p w14:paraId="0F1FCBA6" w14:textId="77777777" w:rsidR="000214FE" w:rsidRPr="009A1A2E" w:rsidDel="0083723D" w:rsidRDefault="000214FE" w:rsidP="000214FE">
            <w:pPr>
              <w:jc w:val="center"/>
              <w:rPr>
                <w:rFonts w:ascii="Arial" w:hAnsi="Arial" w:cs="Arial"/>
                <w:sz w:val="16"/>
                <w:szCs w:val="16"/>
              </w:rPr>
            </w:pPr>
            <w:r w:rsidRPr="009A1A2E">
              <w:rPr>
                <w:rFonts w:ascii="Arial" w:hAnsi="Arial" w:cs="Arial"/>
                <w:sz w:val="16"/>
                <w:szCs w:val="16"/>
              </w:rPr>
              <w:t>4.8 (0.0-11.5)</w:t>
            </w:r>
          </w:p>
        </w:tc>
        <w:tc>
          <w:tcPr>
            <w:tcW w:w="1417" w:type="dxa"/>
            <w:vAlign w:val="center"/>
          </w:tcPr>
          <w:p w14:paraId="51D46A02" w14:textId="77777777" w:rsidR="000214FE" w:rsidRPr="009A1A2E" w:rsidDel="0083723D" w:rsidRDefault="000214FE" w:rsidP="000214FE">
            <w:pPr>
              <w:jc w:val="center"/>
              <w:rPr>
                <w:rFonts w:ascii="Arial" w:hAnsi="Arial" w:cs="Arial"/>
                <w:sz w:val="16"/>
                <w:szCs w:val="16"/>
              </w:rPr>
            </w:pPr>
            <w:r w:rsidRPr="009A1A2E">
              <w:rPr>
                <w:rFonts w:ascii="Arial" w:hAnsi="Arial" w:cs="Arial"/>
                <w:sz w:val="16"/>
                <w:szCs w:val="16"/>
              </w:rPr>
              <w:t>4.1 (0.0-10.6)</w:t>
            </w:r>
          </w:p>
        </w:tc>
      </w:tr>
      <w:tr w:rsidR="000214FE" w:rsidRPr="009A1A2E" w14:paraId="4CB31BB5" w14:textId="77777777" w:rsidTr="001C2E0E">
        <w:trPr>
          <w:trHeight w:val="368"/>
          <w:jc w:val="center"/>
        </w:trPr>
        <w:tc>
          <w:tcPr>
            <w:tcW w:w="709" w:type="dxa"/>
            <w:vAlign w:val="center"/>
          </w:tcPr>
          <w:p w14:paraId="0B236E04" w14:textId="77777777" w:rsidR="000214FE" w:rsidRPr="009A1A2E" w:rsidRDefault="000214FE" w:rsidP="000214FE">
            <w:pPr>
              <w:pStyle w:val="ListParagraph"/>
              <w:jc w:val="center"/>
              <w:rPr>
                <w:rFonts w:ascii="Arial" w:hAnsi="Arial" w:cs="Arial"/>
                <w:b/>
                <w:sz w:val="16"/>
                <w:szCs w:val="16"/>
                <w:lang w:val="en-AU"/>
              </w:rPr>
            </w:pPr>
            <w:r w:rsidRPr="009A1A2E">
              <w:rPr>
                <w:rFonts w:ascii="Arial" w:hAnsi="Arial" w:cs="Arial"/>
                <w:b/>
                <w:sz w:val="16"/>
                <w:szCs w:val="16"/>
                <w:lang w:val="en-AU"/>
              </w:rPr>
              <w:t>Total</w:t>
            </w:r>
          </w:p>
        </w:tc>
        <w:tc>
          <w:tcPr>
            <w:tcW w:w="1417" w:type="dxa"/>
            <w:vAlign w:val="center"/>
          </w:tcPr>
          <w:p w14:paraId="6940385D" w14:textId="77777777" w:rsidR="000214FE" w:rsidRPr="009A1A2E" w:rsidRDefault="000214FE" w:rsidP="000214FE">
            <w:pPr>
              <w:jc w:val="center"/>
              <w:rPr>
                <w:rFonts w:ascii="Arial" w:hAnsi="Arial" w:cs="Arial"/>
                <w:sz w:val="16"/>
                <w:szCs w:val="16"/>
              </w:rPr>
            </w:pPr>
            <w:r w:rsidRPr="009A1A2E">
              <w:rPr>
                <w:rFonts w:ascii="Arial" w:hAnsi="Arial" w:cs="Arial"/>
                <w:b/>
                <w:sz w:val="16"/>
                <w:szCs w:val="16"/>
              </w:rPr>
              <w:t xml:space="preserve">20.2 </w:t>
            </w:r>
            <w:r w:rsidRPr="009A1A2E">
              <w:rPr>
                <w:rFonts w:ascii="Arial" w:hAnsi="Arial" w:cs="Arial"/>
                <w:sz w:val="16"/>
                <w:szCs w:val="16"/>
              </w:rPr>
              <w:t>(14.9-25.4)</w:t>
            </w:r>
          </w:p>
        </w:tc>
        <w:tc>
          <w:tcPr>
            <w:tcW w:w="1134" w:type="dxa"/>
            <w:vAlign w:val="center"/>
          </w:tcPr>
          <w:p w14:paraId="5FBF285E" w14:textId="77777777" w:rsidR="000214FE" w:rsidRPr="009A1A2E" w:rsidRDefault="000214FE" w:rsidP="000214FE">
            <w:pPr>
              <w:jc w:val="center"/>
              <w:rPr>
                <w:rFonts w:ascii="Arial" w:hAnsi="Arial" w:cs="Arial"/>
                <w:sz w:val="16"/>
                <w:szCs w:val="16"/>
              </w:rPr>
            </w:pPr>
            <w:r w:rsidRPr="009A1A2E">
              <w:rPr>
                <w:rFonts w:ascii="Arial" w:hAnsi="Arial" w:cs="Arial"/>
                <w:b/>
                <w:sz w:val="16"/>
                <w:szCs w:val="16"/>
              </w:rPr>
              <w:t xml:space="preserve">0.4 </w:t>
            </w:r>
            <w:r w:rsidRPr="009A1A2E">
              <w:rPr>
                <w:rFonts w:ascii="Arial" w:hAnsi="Arial" w:cs="Arial"/>
                <w:sz w:val="16"/>
                <w:szCs w:val="16"/>
              </w:rPr>
              <w:t>(0.1-0.7)</w:t>
            </w:r>
          </w:p>
        </w:tc>
        <w:tc>
          <w:tcPr>
            <w:tcW w:w="1134" w:type="dxa"/>
            <w:vAlign w:val="center"/>
          </w:tcPr>
          <w:p w14:paraId="437C7D28" w14:textId="77777777" w:rsidR="000214FE" w:rsidRPr="009A1A2E" w:rsidRDefault="000214FE" w:rsidP="000214FE">
            <w:pPr>
              <w:jc w:val="center"/>
              <w:rPr>
                <w:rFonts w:ascii="Arial" w:hAnsi="Arial" w:cs="Arial"/>
                <w:sz w:val="16"/>
                <w:szCs w:val="16"/>
              </w:rPr>
            </w:pPr>
            <w:r w:rsidRPr="009A1A2E">
              <w:rPr>
                <w:rFonts w:ascii="Arial" w:hAnsi="Arial" w:cs="Arial"/>
                <w:b/>
                <w:sz w:val="16"/>
                <w:szCs w:val="16"/>
              </w:rPr>
              <w:t xml:space="preserve">1.6 </w:t>
            </w:r>
            <w:r w:rsidRPr="009A1A2E">
              <w:rPr>
                <w:rFonts w:ascii="Arial" w:hAnsi="Arial" w:cs="Arial"/>
                <w:sz w:val="16"/>
                <w:szCs w:val="16"/>
              </w:rPr>
              <w:t>(0.7-2.5)</w:t>
            </w:r>
          </w:p>
        </w:tc>
        <w:tc>
          <w:tcPr>
            <w:tcW w:w="1418" w:type="dxa"/>
            <w:vAlign w:val="center"/>
          </w:tcPr>
          <w:p w14:paraId="19DA4DA9" w14:textId="77777777" w:rsidR="000214FE" w:rsidRPr="009A1A2E" w:rsidRDefault="000214FE" w:rsidP="000214FE">
            <w:pPr>
              <w:jc w:val="center"/>
              <w:rPr>
                <w:rFonts w:ascii="Arial" w:hAnsi="Arial" w:cs="Arial"/>
                <w:b/>
                <w:sz w:val="16"/>
                <w:szCs w:val="16"/>
              </w:rPr>
            </w:pPr>
            <w:r w:rsidRPr="009A1A2E">
              <w:rPr>
                <w:rFonts w:ascii="Arial" w:hAnsi="Arial" w:cs="Arial"/>
                <w:b/>
                <w:sz w:val="16"/>
                <w:szCs w:val="16"/>
              </w:rPr>
              <w:t>23.6 (18.3-29.0)</w:t>
            </w:r>
          </w:p>
        </w:tc>
        <w:tc>
          <w:tcPr>
            <w:tcW w:w="1134" w:type="dxa"/>
            <w:vAlign w:val="center"/>
          </w:tcPr>
          <w:p w14:paraId="66E215F9" w14:textId="77777777" w:rsidR="000214FE" w:rsidRPr="009A1A2E" w:rsidRDefault="000214FE" w:rsidP="000214FE">
            <w:pPr>
              <w:jc w:val="center"/>
              <w:rPr>
                <w:rFonts w:ascii="Arial" w:hAnsi="Arial" w:cs="Arial"/>
                <w:b/>
                <w:sz w:val="16"/>
                <w:szCs w:val="16"/>
              </w:rPr>
            </w:pPr>
            <w:r w:rsidRPr="009A1A2E">
              <w:rPr>
                <w:rFonts w:ascii="Arial" w:hAnsi="Arial" w:cs="Arial"/>
                <w:b/>
                <w:sz w:val="16"/>
                <w:szCs w:val="16"/>
              </w:rPr>
              <w:t>1.3 (0.0-2.9)</w:t>
            </w:r>
          </w:p>
        </w:tc>
        <w:tc>
          <w:tcPr>
            <w:tcW w:w="1417" w:type="dxa"/>
            <w:vAlign w:val="center"/>
          </w:tcPr>
          <w:p w14:paraId="0A71D989" w14:textId="77777777" w:rsidR="000214FE" w:rsidRPr="009A1A2E" w:rsidRDefault="000214FE" w:rsidP="000214FE">
            <w:pPr>
              <w:jc w:val="center"/>
              <w:rPr>
                <w:rFonts w:ascii="Arial" w:hAnsi="Arial" w:cs="Arial"/>
                <w:b/>
                <w:sz w:val="16"/>
                <w:szCs w:val="16"/>
              </w:rPr>
            </w:pPr>
            <w:r w:rsidRPr="009A1A2E">
              <w:rPr>
                <w:rFonts w:ascii="Arial" w:hAnsi="Arial" w:cs="Arial"/>
                <w:b/>
                <w:sz w:val="16"/>
                <w:szCs w:val="16"/>
              </w:rPr>
              <w:t>1.5 (0.9-2.1)</w:t>
            </w:r>
          </w:p>
        </w:tc>
      </w:tr>
    </w:tbl>
    <w:p w14:paraId="0E3ADEC6" w14:textId="77777777" w:rsidR="000214FE" w:rsidRPr="009A1A2E" w:rsidRDefault="000214FE" w:rsidP="000214FE">
      <w:pPr>
        <w:pStyle w:val="Textbody"/>
        <w:rPr>
          <w:sz w:val="20"/>
          <w:szCs w:val="20"/>
          <w:lang w:val="en-AU"/>
        </w:rPr>
      </w:pPr>
      <w:r w:rsidRPr="009A1A2E">
        <w:rPr>
          <w:sz w:val="20"/>
          <w:szCs w:val="20"/>
          <w:lang w:val="en-AU"/>
        </w:rPr>
        <w:t xml:space="preserve">Data deriving from </w:t>
      </w:r>
      <w:r w:rsidRPr="009A1A2E">
        <w:rPr>
          <w:sz w:val="20"/>
          <w:szCs w:val="20"/>
          <w:lang w:val="en-AU"/>
        </w:rPr>
        <w:fldChar w:fldCharType="begin">
          <w:fldData xml:space="preserve">PFJlZm1hbj48Q2l0ZT48QXV0aG9yPldpbHNvbjwvQXV0aG9yPjxZZWFyPjE5OTk8L1llYXI+PFJl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</w:fldData>
        </w:fldChar>
      </w:r>
      <w:r w:rsidR="00D85D29">
        <w:rPr>
          <w:sz w:val="20"/>
          <w:szCs w:val="20"/>
          <w:lang w:val="en-AU"/>
        </w:rPr>
        <w:instrText xml:space="preserve"> ADDIN REFMGR.CITE </w:instrText>
      </w:r>
      <w:r w:rsidR="00D85D29">
        <w:rPr>
          <w:sz w:val="20"/>
          <w:szCs w:val="20"/>
          <w:lang w:val="en-AU"/>
        </w:rPr>
        <w:fldChar w:fldCharType="begin">
          <w:fldData xml:space="preserve">PFJlZm1hbj48Q2l0ZT48QXV0aG9yPldpbHNvbjwvQXV0aG9yPjxZZWFyPjE5OTk8L1llYXI+PFJl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</w:fldData>
        </w:fldChar>
      </w:r>
      <w:r w:rsidR="00D85D29">
        <w:rPr>
          <w:sz w:val="20"/>
          <w:szCs w:val="20"/>
          <w:lang w:val="en-AU"/>
        </w:rPr>
        <w:instrText xml:space="preserve"> ADDIN EN.CITE.DATA </w:instrText>
      </w:r>
      <w:r w:rsidR="00D85D29">
        <w:rPr>
          <w:sz w:val="20"/>
          <w:szCs w:val="20"/>
          <w:lang w:val="en-AU"/>
        </w:rPr>
      </w:r>
      <w:r w:rsidR="00D85D29">
        <w:rPr>
          <w:sz w:val="20"/>
          <w:szCs w:val="20"/>
          <w:lang w:val="en-AU"/>
        </w:rPr>
        <w:fldChar w:fldCharType="end"/>
      </w:r>
      <w:r w:rsidRPr="009A1A2E">
        <w:rPr>
          <w:sz w:val="20"/>
          <w:szCs w:val="20"/>
          <w:lang w:val="en-AU"/>
        </w:rPr>
      </w:r>
      <w:r w:rsidRPr="009A1A2E">
        <w:rPr>
          <w:sz w:val="20"/>
          <w:szCs w:val="20"/>
          <w:lang w:val="en-AU"/>
        </w:rPr>
        <w:fldChar w:fldCharType="separate"/>
      </w:r>
      <w:r w:rsidRPr="009A1A2E">
        <w:rPr>
          <w:noProof/>
          <w:sz w:val="20"/>
          <w:szCs w:val="20"/>
          <w:lang w:val="en-AU"/>
        </w:rPr>
        <w:t>(Wilson et al., 1999)</w:t>
      </w:r>
      <w:r w:rsidRPr="009A1A2E">
        <w:rPr>
          <w:sz w:val="20"/>
          <w:szCs w:val="20"/>
          <w:lang w:val="en-AU"/>
        </w:rPr>
        <w:fldChar w:fldCharType="end"/>
      </w:r>
    </w:p>
    <w:p w14:paraId="03811A9D" w14:textId="77777777" w:rsidR="000214FE" w:rsidRPr="009A1A2E" w:rsidRDefault="000214FE" w:rsidP="000214FE">
      <w:pPr>
        <w:pStyle w:val="Textbody"/>
        <w:rPr>
          <w:lang w:val="en-AU"/>
        </w:rPr>
      </w:pPr>
    </w:p>
    <w:p w14:paraId="0AE6B3DC" w14:textId="77777777" w:rsidR="000214FE" w:rsidRPr="009A1A2E" w:rsidRDefault="000214FE" w:rsidP="000214FE">
      <w:pPr>
        <w:pStyle w:val="Textbody"/>
        <w:rPr>
          <w:lang w:val="en-AU"/>
        </w:rPr>
      </w:pPr>
      <w:r w:rsidRPr="009A1A2E">
        <w:rPr>
          <w:lang w:val="en-AU"/>
        </w:rPr>
        <w:t>The overall prevalence of hearing loss in children (&lt;15 years) is 2.5 in 1,000. Of these, it is estimated that 36.7</w:t>
      </w:r>
      <w:r w:rsidR="00561FB0">
        <w:rPr>
          <w:lang w:val="en-AU"/>
        </w:rPr>
        <w:t> </w:t>
      </w:r>
      <w:r w:rsidRPr="009A1A2E">
        <w:rPr>
          <w:lang w:val="en-AU"/>
        </w:rPr>
        <w:t>% have mild hearing loss; 38.3</w:t>
      </w:r>
      <w:r w:rsidR="00561FB0">
        <w:rPr>
          <w:lang w:val="en-AU"/>
        </w:rPr>
        <w:t> </w:t>
      </w:r>
      <w:r w:rsidRPr="009A1A2E">
        <w:rPr>
          <w:lang w:val="en-AU"/>
        </w:rPr>
        <w:t>% have moderate hearing loss, 13.3</w:t>
      </w:r>
      <w:r w:rsidR="00561FB0">
        <w:rPr>
          <w:lang w:val="en-AU"/>
        </w:rPr>
        <w:t> </w:t>
      </w:r>
      <w:r w:rsidRPr="009A1A2E">
        <w:rPr>
          <w:lang w:val="en-AU"/>
        </w:rPr>
        <w:t>% have severe hearing loss and 11.7</w:t>
      </w:r>
      <w:r w:rsidR="00561FB0">
        <w:rPr>
          <w:lang w:val="en-AU"/>
        </w:rPr>
        <w:t> </w:t>
      </w:r>
      <w:r w:rsidRPr="009A1A2E">
        <w:rPr>
          <w:lang w:val="en-AU"/>
        </w:rPr>
        <w:t>% have profound hearing loss. Sensorineural hearing loss in children may be caused by genetics, maternal infection, birthing issues or childhood infections such as meningitis. Certain population groups such as communities of Aboriginal or Torres Strait Islander people have a significantly higher prevalence of ear disease and hearing loss. For example, the rate of hearing loss in Aboriginal children is estimated at between 10</w:t>
      </w:r>
      <w:r w:rsidR="00561FB0">
        <w:rPr>
          <w:lang w:val="en-AU"/>
        </w:rPr>
        <w:t> </w:t>
      </w:r>
      <w:r w:rsidRPr="009A1A2E">
        <w:rPr>
          <w:lang w:val="en-AU"/>
        </w:rPr>
        <w:t>% and 41</w:t>
      </w:r>
      <w:r w:rsidR="00561FB0">
        <w:rPr>
          <w:lang w:val="en-AU"/>
        </w:rPr>
        <w:t> </w:t>
      </w:r>
      <w:r w:rsidRPr="009A1A2E">
        <w:rPr>
          <w:lang w:val="en-AU"/>
        </w:rPr>
        <w:t>%.</w:t>
      </w:r>
    </w:p>
    <w:p w14:paraId="4F8EA296" w14:textId="77777777" w:rsidR="000B7EA5" w:rsidRDefault="000B7EA5" w:rsidP="000B7EA5">
      <w:pPr>
        <w:pStyle w:val="Textbody"/>
        <w:rPr>
          <w:lang w:val="en-AU"/>
        </w:rPr>
      </w:pPr>
      <w:r>
        <w:rPr>
          <w:lang w:val="en-AU"/>
        </w:rPr>
        <w:t xml:space="preserve">In </w:t>
      </w:r>
      <w:r>
        <w:rPr>
          <w:lang w:val="en-AU"/>
        </w:rPr>
        <w:fldChar w:fldCharType="begin"/>
      </w:r>
      <w:r>
        <w:rPr>
          <w:lang w:val="en-AU"/>
        </w:rPr>
        <w:instrText xml:space="preserve"> REF _Ref430941374 \h </w:instrText>
      </w:r>
      <w:r>
        <w:rPr>
          <w:lang w:val="en-AU"/>
        </w:rPr>
      </w:r>
      <w:r>
        <w:rPr>
          <w:lang w:val="en-AU"/>
        </w:rPr>
        <w:fldChar w:fldCharType="separate"/>
      </w:r>
      <w:r w:rsidR="00016592" w:rsidRPr="00A83F80">
        <w:t xml:space="preserve">Table </w:t>
      </w:r>
      <w:r w:rsidR="00016592">
        <w:rPr>
          <w:noProof/>
        </w:rPr>
        <w:t>60</w:t>
      </w:r>
      <w:r>
        <w:rPr>
          <w:lang w:val="en-AU"/>
        </w:rPr>
        <w:fldChar w:fldCharType="end"/>
      </w:r>
      <w:r>
        <w:rPr>
          <w:lang w:val="en-AU"/>
        </w:rPr>
        <w:t xml:space="preserve"> all data sources used for the financial estimations are summarized.</w:t>
      </w:r>
    </w:p>
    <w:p w14:paraId="2E004004" w14:textId="77777777" w:rsidR="004E3818" w:rsidRDefault="004E3818">
      <w:pPr>
        <w:rPr>
          <w:rFonts w:cs="Arial"/>
          <w:lang w:eastAsia="de-AT"/>
        </w:rPr>
      </w:pPr>
      <w:r>
        <w:br w:type="page"/>
      </w:r>
    </w:p>
    <w:p w14:paraId="5AA4A607" w14:textId="77777777" w:rsidR="000B7EA5" w:rsidRPr="00A83F80" w:rsidRDefault="000B7EA5" w:rsidP="000B7EA5">
      <w:pPr>
        <w:pStyle w:val="Caption"/>
        <w:rPr>
          <w:rFonts w:ascii="Arial" w:hAnsi="Arial" w:cs="Arial"/>
        </w:rPr>
      </w:pPr>
      <w:bookmarkStart w:id="612" w:name="_Ref430941374"/>
      <w:bookmarkStart w:id="613" w:name="_Toc431917520"/>
      <w:r w:rsidRPr="00A83F80">
        <w:rPr>
          <w:rFonts w:ascii="Arial" w:hAnsi="Arial" w:cs="Arial"/>
        </w:rPr>
        <w:lastRenderedPageBreak/>
        <w:t xml:space="preserve">Table </w:t>
      </w:r>
      <w:r w:rsidR="00CF0322" w:rsidRPr="00A83F80">
        <w:rPr>
          <w:rFonts w:ascii="Arial" w:hAnsi="Arial" w:cs="Arial"/>
        </w:rPr>
        <w:fldChar w:fldCharType="begin"/>
      </w:r>
      <w:r w:rsidR="00CF0322" w:rsidRPr="00A83F80">
        <w:rPr>
          <w:rFonts w:ascii="Arial" w:hAnsi="Arial" w:cs="Arial"/>
        </w:rPr>
        <w:instrText xml:space="preserve"> SEQ Table \* ARABIC </w:instrText>
      </w:r>
      <w:r w:rsidR="00CF0322" w:rsidRPr="00A83F80">
        <w:rPr>
          <w:rFonts w:ascii="Arial" w:hAnsi="Arial" w:cs="Arial"/>
        </w:rPr>
        <w:fldChar w:fldCharType="separate"/>
      </w:r>
      <w:r w:rsidR="00016592">
        <w:rPr>
          <w:rFonts w:ascii="Arial" w:hAnsi="Arial" w:cs="Arial"/>
          <w:noProof/>
        </w:rPr>
        <w:t>60</w:t>
      </w:r>
      <w:r w:rsidR="00CF0322" w:rsidRPr="00A83F80">
        <w:rPr>
          <w:rFonts w:ascii="Arial" w:hAnsi="Arial" w:cs="Arial"/>
          <w:noProof/>
        </w:rPr>
        <w:fldChar w:fldCharType="end"/>
      </w:r>
      <w:bookmarkEnd w:id="612"/>
      <w:r w:rsidRPr="00A83F80">
        <w:rPr>
          <w:rFonts w:ascii="Arial" w:hAnsi="Arial" w:cs="Arial"/>
          <w:lang w:val="en-US"/>
        </w:rPr>
        <w:t xml:space="preserve"> </w:t>
      </w:r>
      <w:r w:rsidRPr="00E0477C">
        <w:rPr>
          <w:rFonts w:ascii="Arial" w:hAnsi="Arial" w:cs="Arial"/>
          <w:lang w:val="en-AU"/>
        </w:rPr>
        <w:t xml:space="preserve">- </w:t>
      </w:r>
      <w:r w:rsidRPr="005C1F7C">
        <w:rPr>
          <w:rFonts w:ascii="Arial" w:hAnsi="Arial" w:cs="Arial"/>
          <w:lang w:val="en-AU"/>
        </w:rPr>
        <w:t>Data sources used for the financial estimates</w:t>
      </w:r>
      <w:bookmarkEnd w:id="613"/>
    </w:p>
    <w:p w14:paraId="79824CCE" w14:textId="77777777" w:rsidR="000B7EA5" w:rsidRPr="00236C5F" w:rsidRDefault="000B7EA5" w:rsidP="000B7EA5">
      <w:pPr>
        <w:jc w:val="both"/>
        <w:rPr>
          <w:rFonts w:cs="Arial"/>
          <w:lang w:val="x-none"/>
        </w:rPr>
      </w:pPr>
    </w:p>
    <w:tbl>
      <w:tblPr>
        <w:tblStyle w:val="TableGrid"/>
        <w:tblW w:w="4653" w:type="pct"/>
        <w:jc w:val="center"/>
        <w:tblLook w:val="04A0" w:firstRow="1" w:lastRow="0" w:firstColumn="1" w:lastColumn="0" w:noHBand="0" w:noVBand="1"/>
        <w:tblCaption w:val="Data sources used for the financial estimates"/>
        <w:tblDescription w:val="Data sources used for the financial estimates"/>
      </w:tblPr>
      <w:tblGrid>
        <w:gridCol w:w="2293"/>
        <w:gridCol w:w="2297"/>
        <w:gridCol w:w="3684"/>
      </w:tblGrid>
      <w:tr w:rsidR="000B7EA5" w:rsidRPr="00DC0F64" w14:paraId="14C6C300" w14:textId="77777777" w:rsidTr="00D64182">
        <w:trPr>
          <w:trHeight w:val="242"/>
          <w:tblHeader/>
          <w:jc w:val="center"/>
        </w:trPr>
        <w:tc>
          <w:tcPr>
            <w:tcW w:w="1386" w:type="pct"/>
            <w:vMerge w:val="restart"/>
            <w:vAlign w:val="center"/>
            <w:hideMark/>
          </w:tcPr>
          <w:p w14:paraId="16C97B1E" w14:textId="77777777" w:rsidR="000B7EA5" w:rsidRPr="0020192A" w:rsidRDefault="000B7EA5" w:rsidP="00C80001">
            <w:pPr>
              <w:jc w:val="center"/>
              <w:rPr>
                <w:rFonts w:ascii="Arial" w:hAnsi="Arial" w:cs="Arial"/>
                <w:b/>
                <w:sz w:val="18"/>
                <w:szCs w:val="18"/>
                <w:lang w:val="de-DE"/>
              </w:rPr>
            </w:pPr>
            <w:r>
              <w:rPr>
                <w:rFonts w:cs="Arial"/>
                <w:b/>
                <w:sz w:val="18"/>
                <w:szCs w:val="18"/>
                <w:lang w:val="de-DE"/>
              </w:rPr>
              <w:t>Data retrieved</w:t>
            </w:r>
          </w:p>
        </w:tc>
        <w:tc>
          <w:tcPr>
            <w:tcW w:w="1388" w:type="pct"/>
            <w:vMerge w:val="restart"/>
            <w:noWrap/>
            <w:vAlign w:val="center"/>
            <w:hideMark/>
          </w:tcPr>
          <w:p w14:paraId="4A84E02D" w14:textId="77777777" w:rsidR="000B7EA5" w:rsidRPr="0020192A" w:rsidRDefault="000B7EA5" w:rsidP="00C80001">
            <w:pPr>
              <w:jc w:val="center"/>
              <w:rPr>
                <w:rFonts w:ascii="Arial" w:hAnsi="Arial" w:cs="Arial"/>
                <w:b/>
                <w:sz w:val="18"/>
                <w:szCs w:val="18"/>
                <w:lang w:val="de-DE"/>
              </w:rPr>
            </w:pPr>
            <w:r>
              <w:rPr>
                <w:rFonts w:cs="Arial"/>
                <w:b/>
                <w:sz w:val="18"/>
                <w:szCs w:val="18"/>
              </w:rPr>
              <w:t>Source of data</w:t>
            </w:r>
          </w:p>
        </w:tc>
        <w:tc>
          <w:tcPr>
            <w:tcW w:w="2226" w:type="pct"/>
            <w:vMerge w:val="restart"/>
            <w:noWrap/>
            <w:vAlign w:val="center"/>
            <w:hideMark/>
          </w:tcPr>
          <w:p w14:paraId="6698F39D" w14:textId="77777777" w:rsidR="000B7EA5" w:rsidRPr="0020192A" w:rsidRDefault="000B7EA5" w:rsidP="00C80001">
            <w:pPr>
              <w:jc w:val="center"/>
              <w:rPr>
                <w:rFonts w:ascii="Arial" w:hAnsi="Arial" w:cs="Arial"/>
                <w:b/>
                <w:sz w:val="18"/>
                <w:szCs w:val="18"/>
                <w:lang w:val="de-DE"/>
              </w:rPr>
            </w:pPr>
            <w:r>
              <w:rPr>
                <w:rFonts w:cs="Arial"/>
                <w:b/>
                <w:sz w:val="18"/>
                <w:szCs w:val="18"/>
              </w:rPr>
              <w:t>Justification</w:t>
            </w:r>
          </w:p>
        </w:tc>
      </w:tr>
      <w:tr w:rsidR="000B7EA5" w:rsidRPr="00DC0F64" w14:paraId="4F7F0826" w14:textId="77777777" w:rsidTr="00D64182">
        <w:trPr>
          <w:trHeight w:val="242"/>
          <w:tblHeader/>
          <w:jc w:val="center"/>
        </w:trPr>
        <w:tc>
          <w:tcPr>
            <w:tcW w:w="1386" w:type="pct"/>
            <w:vMerge/>
            <w:hideMark/>
          </w:tcPr>
          <w:p w14:paraId="28339F3C" w14:textId="77777777" w:rsidR="000B7EA5" w:rsidRPr="00DC0F64" w:rsidRDefault="000B7EA5" w:rsidP="00C80001">
            <w:pPr>
              <w:rPr>
                <w:rFonts w:ascii="Arial" w:hAnsi="Arial" w:cs="Arial"/>
                <w:sz w:val="18"/>
                <w:szCs w:val="18"/>
                <w:lang w:val="de-DE"/>
              </w:rPr>
            </w:pPr>
          </w:p>
        </w:tc>
        <w:tc>
          <w:tcPr>
            <w:tcW w:w="1388" w:type="pct"/>
            <w:vMerge/>
            <w:hideMark/>
          </w:tcPr>
          <w:p w14:paraId="5F70782B" w14:textId="77777777" w:rsidR="000B7EA5" w:rsidRPr="00DC0F64" w:rsidRDefault="000B7EA5" w:rsidP="00C80001">
            <w:pPr>
              <w:rPr>
                <w:rFonts w:ascii="Arial" w:hAnsi="Arial" w:cs="Arial"/>
                <w:sz w:val="18"/>
                <w:szCs w:val="18"/>
                <w:lang w:val="de-DE"/>
              </w:rPr>
            </w:pPr>
          </w:p>
        </w:tc>
        <w:tc>
          <w:tcPr>
            <w:tcW w:w="2226" w:type="pct"/>
            <w:vMerge/>
            <w:hideMark/>
          </w:tcPr>
          <w:p w14:paraId="78BEEC60" w14:textId="77777777" w:rsidR="000B7EA5" w:rsidRPr="00DC0F64" w:rsidRDefault="000B7EA5" w:rsidP="00C80001">
            <w:pPr>
              <w:rPr>
                <w:rFonts w:ascii="Arial" w:hAnsi="Arial" w:cs="Arial"/>
                <w:sz w:val="18"/>
                <w:szCs w:val="18"/>
                <w:lang w:val="de-DE"/>
              </w:rPr>
            </w:pPr>
          </w:p>
        </w:tc>
      </w:tr>
      <w:tr w:rsidR="000B7EA5" w:rsidRPr="003437DF" w14:paraId="10289B52" w14:textId="77777777" w:rsidTr="00C80001">
        <w:trPr>
          <w:trHeight w:val="242"/>
          <w:jc w:val="center"/>
        </w:trPr>
        <w:tc>
          <w:tcPr>
            <w:tcW w:w="1386" w:type="pct"/>
            <w:hideMark/>
          </w:tcPr>
          <w:p w14:paraId="57687B96" w14:textId="77777777" w:rsidR="000B7EA5" w:rsidRPr="000B7EA5" w:rsidRDefault="000B7EA5" w:rsidP="00C80001">
            <w:pPr>
              <w:rPr>
                <w:rFonts w:ascii="Arial" w:hAnsi="Arial" w:cs="Arial"/>
                <w:sz w:val="16"/>
                <w:szCs w:val="16"/>
                <w:lang w:eastAsia="de-AT"/>
              </w:rPr>
            </w:pPr>
            <w:r w:rsidRPr="000B7EA5">
              <w:rPr>
                <w:rFonts w:ascii="Arial" w:hAnsi="Arial" w:cs="Arial"/>
                <w:sz w:val="16"/>
                <w:szCs w:val="16"/>
                <w:lang w:eastAsia="de-AT"/>
              </w:rPr>
              <w:t>Australian adult population</w:t>
            </w:r>
          </w:p>
        </w:tc>
        <w:tc>
          <w:tcPr>
            <w:tcW w:w="1388" w:type="pct"/>
            <w:noWrap/>
            <w:hideMark/>
          </w:tcPr>
          <w:p w14:paraId="5E5A04E7" w14:textId="77777777" w:rsidR="000B7EA5" w:rsidRPr="000B7EA5" w:rsidRDefault="000B7EA5" w:rsidP="00C80001">
            <w:pPr>
              <w:rPr>
                <w:rFonts w:ascii="Arial" w:hAnsi="Arial" w:cs="Arial"/>
                <w:sz w:val="16"/>
                <w:szCs w:val="16"/>
                <w:lang w:eastAsia="de-AT"/>
              </w:rPr>
            </w:pPr>
            <w:r w:rsidRPr="000B7EA5">
              <w:rPr>
                <w:rFonts w:ascii="Arial" w:hAnsi="Arial" w:cs="Arial"/>
                <w:sz w:val="16"/>
                <w:szCs w:val="16"/>
                <w:lang w:eastAsia="de-AT"/>
              </w:rPr>
              <w:t>ABS</w:t>
            </w:r>
          </w:p>
        </w:tc>
        <w:tc>
          <w:tcPr>
            <w:tcW w:w="2226" w:type="pct"/>
            <w:hideMark/>
          </w:tcPr>
          <w:p w14:paraId="3E7B02D6" w14:textId="77777777" w:rsidR="000B7EA5" w:rsidRPr="000B7EA5" w:rsidRDefault="000B7EA5" w:rsidP="00C80001">
            <w:pPr>
              <w:autoSpaceDE w:val="0"/>
              <w:autoSpaceDN w:val="0"/>
              <w:adjustRightInd w:val="0"/>
              <w:rPr>
                <w:rFonts w:ascii="Arial" w:hAnsi="Arial" w:cs="Arial"/>
                <w:sz w:val="16"/>
                <w:szCs w:val="16"/>
                <w:lang w:eastAsia="de-AT"/>
              </w:rPr>
            </w:pPr>
            <w:r w:rsidRPr="000B7EA5">
              <w:rPr>
                <w:rFonts w:ascii="Arial" w:hAnsi="Arial" w:cs="Arial"/>
                <w:sz w:val="16"/>
                <w:szCs w:val="16"/>
                <w:lang w:eastAsia="de-AT"/>
              </w:rPr>
              <w:t>Used as the basis for the Australian epidemiological estimates.</w:t>
            </w:r>
          </w:p>
        </w:tc>
      </w:tr>
      <w:tr w:rsidR="000B7EA5" w:rsidRPr="003437DF" w14:paraId="152F3A68" w14:textId="77777777" w:rsidTr="00C80001">
        <w:trPr>
          <w:trHeight w:val="242"/>
          <w:jc w:val="center"/>
        </w:trPr>
        <w:tc>
          <w:tcPr>
            <w:tcW w:w="1386" w:type="pct"/>
            <w:hideMark/>
          </w:tcPr>
          <w:p w14:paraId="00DB4886" w14:textId="77777777" w:rsidR="000B7EA5" w:rsidRPr="000B7EA5" w:rsidRDefault="000B7EA5" w:rsidP="00C80001">
            <w:pPr>
              <w:autoSpaceDE w:val="0"/>
              <w:autoSpaceDN w:val="0"/>
              <w:adjustRightInd w:val="0"/>
              <w:rPr>
                <w:rFonts w:ascii="Arial" w:hAnsi="Arial" w:cs="Arial"/>
                <w:sz w:val="16"/>
                <w:szCs w:val="16"/>
                <w:lang w:eastAsia="de-AT"/>
              </w:rPr>
            </w:pPr>
            <w:r w:rsidRPr="000B7EA5">
              <w:rPr>
                <w:rFonts w:ascii="Arial" w:hAnsi="Arial" w:cs="Arial"/>
                <w:sz w:val="16"/>
                <w:szCs w:val="16"/>
                <w:lang w:eastAsia="de-AT"/>
              </w:rPr>
              <w:t>Proportion of Australian adults with SNHL: 20.2%</w:t>
            </w:r>
          </w:p>
        </w:tc>
        <w:tc>
          <w:tcPr>
            <w:tcW w:w="1388" w:type="pct"/>
            <w:hideMark/>
          </w:tcPr>
          <w:p w14:paraId="7779E4D7" w14:textId="77777777" w:rsidR="000B7EA5" w:rsidRPr="000B7EA5" w:rsidRDefault="000B7EA5" w:rsidP="00C80001">
            <w:pPr>
              <w:rPr>
                <w:rFonts w:ascii="Arial" w:hAnsi="Arial" w:cs="Arial"/>
                <w:sz w:val="16"/>
                <w:szCs w:val="16"/>
                <w:lang w:eastAsia="de-AT"/>
              </w:rPr>
            </w:pPr>
            <w:r w:rsidRPr="000B7EA5">
              <w:rPr>
                <w:rFonts w:ascii="Arial" w:hAnsi="Arial" w:cs="Arial"/>
                <w:sz w:val="16"/>
                <w:szCs w:val="16"/>
                <w:lang w:eastAsia="de-AT"/>
              </w:rPr>
              <w:t>Wilson et al (1999)</w:t>
            </w:r>
          </w:p>
        </w:tc>
        <w:tc>
          <w:tcPr>
            <w:tcW w:w="2226" w:type="pct"/>
            <w:hideMark/>
          </w:tcPr>
          <w:p w14:paraId="1A4CF3BC" w14:textId="77777777" w:rsidR="000B7EA5" w:rsidRPr="000B7EA5" w:rsidRDefault="000B7EA5" w:rsidP="00C80001">
            <w:pPr>
              <w:autoSpaceDE w:val="0"/>
              <w:autoSpaceDN w:val="0"/>
              <w:adjustRightInd w:val="0"/>
              <w:rPr>
                <w:rFonts w:ascii="Arial" w:hAnsi="Arial" w:cs="Arial"/>
                <w:sz w:val="16"/>
                <w:szCs w:val="16"/>
                <w:lang w:eastAsia="de-AT"/>
              </w:rPr>
            </w:pPr>
            <w:r w:rsidRPr="000B7EA5">
              <w:rPr>
                <w:rFonts w:ascii="Arial" w:hAnsi="Arial" w:cs="Arial"/>
                <w:sz w:val="16"/>
                <w:szCs w:val="16"/>
                <w:lang w:eastAsia="de-AT"/>
              </w:rPr>
              <w:t>Used to estimate the number of eligible patients for insertion of partially implantable MEIs. Used in the Protocol provided by PASC.</w:t>
            </w:r>
          </w:p>
        </w:tc>
      </w:tr>
      <w:tr w:rsidR="000B7EA5" w:rsidRPr="003437DF" w14:paraId="156ECFA7" w14:textId="77777777" w:rsidTr="00C80001">
        <w:trPr>
          <w:trHeight w:val="242"/>
          <w:jc w:val="center"/>
        </w:trPr>
        <w:tc>
          <w:tcPr>
            <w:tcW w:w="1386" w:type="pct"/>
            <w:hideMark/>
          </w:tcPr>
          <w:p w14:paraId="4FE069B8" w14:textId="77777777" w:rsidR="000B7EA5" w:rsidRPr="000B7EA5" w:rsidRDefault="000B7EA5" w:rsidP="00C80001">
            <w:pPr>
              <w:autoSpaceDE w:val="0"/>
              <w:autoSpaceDN w:val="0"/>
              <w:adjustRightInd w:val="0"/>
              <w:rPr>
                <w:rFonts w:ascii="Arial" w:hAnsi="Arial" w:cs="Arial"/>
                <w:sz w:val="16"/>
                <w:szCs w:val="16"/>
                <w:lang w:eastAsia="de-AT"/>
              </w:rPr>
            </w:pPr>
            <w:r w:rsidRPr="000B7EA5">
              <w:rPr>
                <w:rFonts w:ascii="Arial" w:hAnsi="Arial" w:cs="Arial"/>
                <w:sz w:val="16"/>
                <w:szCs w:val="16"/>
                <w:lang w:eastAsia="de-AT"/>
              </w:rPr>
              <w:t>Proportion of SNHL patients that would be possible candidates for MEI based on audiograms: 0.76%</w:t>
            </w:r>
          </w:p>
        </w:tc>
        <w:tc>
          <w:tcPr>
            <w:tcW w:w="1388" w:type="pct"/>
            <w:hideMark/>
          </w:tcPr>
          <w:p w14:paraId="6F448BB0" w14:textId="77777777" w:rsidR="000B7EA5" w:rsidRPr="000B7EA5" w:rsidRDefault="000B7EA5" w:rsidP="00C80001">
            <w:pPr>
              <w:rPr>
                <w:rFonts w:ascii="Arial" w:hAnsi="Arial" w:cs="Arial"/>
                <w:sz w:val="16"/>
                <w:szCs w:val="16"/>
                <w:lang w:eastAsia="de-AT"/>
              </w:rPr>
            </w:pPr>
            <w:r w:rsidRPr="000B7EA5">
              <w:rPr>
                <w:rFonts w:ascii="Arial" w:hAnsi="Arial" w:cs="Arial"/>
                <w:sz w:val="16"/>
                <w:szCs w:val="16"/>
                <w:lang w:eastAsia="de-AT"/>
              </w:rPr>
              <w:t>Junker et al (2002)</w:t>
            </w:r>
          </w:p>
        </w:tc>
        <w:tc>
          <w:tcPr>
            <w:tcW w:w="2226" w:type="pct"/>
            <w:hideMark/>
          </w:tcPr>
          <w:p w14:paraId="33AFC298" w14:textId="77777777" w:rsidR="000B7EA5" w:rsidRPr="000B7EA5" w:rsidRDefault="000B7EA5" w:rsidP="00C80001">
            <w:pPr>
              <w:autoSpaceDE w:val="0"/>
              <w:autoSpaceDN w:val="0"/>
              <w:adjustRightInd w:val="0"/>
              <w:rPr>
                <w:rFonts w:ascii="Arial" w:hAnsi="Arial" w:cs="Arial"/>
                <w:sz w:val="16"/>
                <w:szCs w:val="16"/>
                <w:lang w:eastAsia="de-AT"/>
              </w:rPr>
            </w:pPr>
            <w:r w:rsidRPr="000B7EA5">
              <w:rPr>
                <w:rFonts w:ascii="Arial" w:hAnsi="Arial" w:cs="Arial"/>
                <w:sz w:val="16"/>
                <w:szCs w:val="16"/>
                <w:lang w:eastAsia="de-AT"/>
              </w:rPr>
              <w:t>Used to estimate the number of eligible patients for insertion of partially implantable MEIs. A stated in Section C1.1, a quite good overlap of the population cited in Junker et al. and the Australian population is given:</w:t>
            </w:r>
          </w:p>
          <w:p w14:paraId="78C90B2B" w14:textId="77777777" w:rsidR="000B7EA5" w:rsidRPr="000B7EA5" w:rsidRDefault="000B7EA5" w:rsidP="000B7EA5">
            <w:pPr>
              <w:pStyle w:val="ListParagraph"/>
              <w:numPr>
                <w:ilvl w:val="0"/>
                <w:numId w:val="91"/>
              </w:numPr>
              <w:autoSpaceDE w:val="0"/>
              <w:autoSpaceDN w:val="0"/>
              <w:adjustRightInd w:val="0"/>
              <w:rPr>
                <w:rFonts w:ascii="Arial" w:hAnsi="Arial" w:cs="Arial"/>
                <w:sz w:val="16"/>
                <w:szCs w:val="16"/>
                <w:lang w:val="en-AU" w:eastAsia="de-AT"/>
              </w:rPr>
            </w:pPr>
            <w:r w:rsidRPr="000B7EA5">
              <w:rPr>
                <w:rFonts w:ascii="Arial" w:hAnsi="Arial" w:cs="Arial"/>
                <w:sz w:val="16"/>
                <w:szCs w:val="16"/>
                <w:lang w:eastAsia="de-AT"/>
              </w:rPr>
              <w:t>Age range between 18 and 70 years.</w:t>
            </w:r>
          </w:p>
          <w:p w14:paraId="53BE7B8A" w14:textId="77777777" w:rsidR="000B7EA5" w:rsidRPr="000B7EA5" w:rsidRDefault="000B7EA5" w:rsidP="000B7EA5">
            <w:pPr>
              <w:pStyle w:val="ListParagraph"/>
              <w:numPr>
                <w:ilvl w:val="0"/>
                <w:numId w:val="91"/>
              </w:numPr>
              <w:autoSpaceDE w:val="0"/>
              <w:autoSpaceDN w:val="0"/>
              <w:adjustRightInd w:val="0"/>
              <w:rPr>
                <w:rFonts w:ascii="Arial" w:hAnsi="Arial" w:cs="Arial"/>
                <w:sz w:val="16"/>
                <w:szCs w:val="16"/>
                <w:lang w:val="en-AU" w:eastAsia="de-AT"/>
              </w:rPr>
            </w:pPr>
            <w:r w:rsidRPr="000B7EA5">
              <w:rPr>
                <w:rFonts w:ascii="Arial" w:hAnsi="Arial" w:cs="Arial"/>
                <w:sz w:val="16"/>
                <w:szCs w:val="16"/>
                <w:lang w:eastAsia="de-AT"/>
              </w:rPr>
              <w:t>No history of chronic otitis, Menière’s disease, otosclerosis,</w:t>
            </w:r>
            <w:r w:rsidRPr="000B7EA5">
              <w:rPr>
                <w:rFonts w:ascii="Arial" w:hAnsi="Arial" w:cs="Arial"/>
                <w:sz w:val="16"/>
                <w:szCs w:val="16"/>
                <w:lang w:val="en-US" w:eastAsia="de-AT"/>
              </w:rPr>
              <w:t xml:space="preserve"> </w:t>
            </w:r>
            <w:r w:rsidRPr="000B7EA5">
              <w:rPr>
                <w:rFonts w:ascii="Arial" w:hAnsi="Arial" w:cs="Arial"/>
                <w:sz w:val="16"/>
                <w:szCs w:val="16"/>
                <w:lang w:val="en-AU" w:eastAsia="de-AT"/>
              </w:rPr>
              <w:t>central or retrocochlear lesions, systemic disease, psychiatric problems, or malignant tumors.</w:t>
            </w:r>
          </w:p>
          <w:p w14:paraId="4D962DFB" w14:textId="77777777" w:rsidR="000B7EA5" w:rsidRPr="000B7EA5" w:rsidRDefault="000B7EA5" w:rsidP="000B7EA5">
            <w:pPr>
              <w:pStyle w:val="ListParagraph"/>
              <w:numPr>
                <w:ilvl w:val="0"/>
                <w:numId w:val="91"/>
              </w:numPr>
              <w:autoSpaceDE w:val="0"/>
              <w:autoSpaceDN w:val="0"/>
              <w:adjustRightInd w:val="0"/>
              <w:rPr>
                <w:rFonts w:ascii="Arial" w:hAnsi="Arial" w:cs="Arial"/>
                <w:sz w:val="16"/>
                <w:szCs w:val="16"/>
                <w:lang w:val="en-AU" w:eastAsia="de-AT"/>
              </w:rPr>
            </w:pPr>
            <w:r w:rsidRPr="000B7EA5">
              <w:rPr>
                <w:rFonts w:ascii="Arial" w:hAnsi="Arial" w:cs="Arial"/>
                <w:sz w:val="16"/>
                <w:szCs w:val="16"/>
                <w:lang w:val="en-AU" w:eastAsia="de-AT"/>
              </w:rPr>
              <w:t>Symmetrical SNHL..</w:t>
            </w:r>
          </w:p>
        </w:tc>
      </w:tr>
      <w:tr w:rsidR="000B7EA5" w:rsidRPr="003437DF" w14:paraId="281A58C1" w14:textId="77777777" w:rsidTr="00C80001">
        <w:trPr>
          <w:trHeight w:val="242"/>
          <w:jc w:val="center"/>
        </w:trPr>
        <w:tc>
          <w:tcPr>
            <w:tcW w:w="1386" w:type="pct"/>
            <w:hideMark/>
          </w:tcPr>
          <w:p w14:paraId="5720E87F" w14:textId="77777777" w:rsidR="000B7EA5" w:rsidRPr="000B7EA5" w:rsidRDefault="000B7EA5" w:rsidP="00C80001">
            <w:pPr>
              <w:autoSpaceDE w:val="0"/>
              <w:autoSpaceDN w:val="0"/>
              <w:adjustRightInd w:val="0"/>
              <w:rPr>
                <w:rFonts w:ascii="Arial" w:hAnsi="Arial" w:cs="Arial"/>
                <w:sz w:val="16"/>
                <w:szCs w:val="16"/>
                <w:lang w:eastAsia="de-AT"/>
              </w:rPr>
            </w:pPr>
            <w:r w:rsidRPr="000B7EA5">
              <w:rPr>
                <w:rFonts w:ascii="Arial" w:hAnsi="Arial" w:cs="Arial"/>
                <w:sz w:val="16"/>
                <w:szCs w:val="16"/>
                <w:lang w:eastAsia="de-AT"/>
              </w:rPr>
              <w:t>Proportion of the Australian population affected by outer ear pathology (chronic otitis externa, ear canal stenosis/exostosis, excessive cerumen): 2.95%</w:t>
            </w:r>
          </w:p>
        </w:tc>
        <w:tc>
          <w:tcPr>
            <w:tcW w:w="1388" w:type="pct"/>
            <w:hideMark/>
          </w:tcPr>
          <w:p w14:paraId="24843E22" w14:textId="77777777" w:rsidR="000B7EA5" w:rsidRPr="000B7EA5" w:rsidRDefault="000B7EA5" w:rsidP="00C80001">
            <w:pPr>
              <w:autoSpaceDE w:val="0"/>
              <w:autoSpaceDN w:val="0"/>
              <w:adjustRightInd w:val="0"/>
              <w:rPr>
                <w:rFonts w:ascii="Arial" w:hAnsi="Arial" w:cs="Arial"/>
                <w:sz w:val="16"/>
                <w:szCs w:val="16"/>
                <w:lang w:val="fr-FR" w:eastAsia="de-AT"/>
              </w:rPr>
            </w:pPr>
            <w:r w:rsidRPr="000B7EA5">
              <w:rPr>
                <w:rFonts w:ascii="Arial" w:hAnsi="Arial" w:cs="Arial"/>
                <w:sz w:val="16"/>
                <w:szCs w:val="16"/>
                <w:lang w:val="fr-FR" w:eastAsia="de-AT"/>
              </w:rPr>
              <w:t>Combined estimate, based on Agius et al (1992), DiBartolomeo et al (1979), Karlsmose et al (2001) and Ahmed et al (2009)</w:t>
            </w:r>
          </w:p>
        </w:tc>
        <w:tc>
          <w:tcPr>
            <w:tcW w:w="2226" w:type="pct"/>
            <w:hideMark/>
          </w:tcPr>
          <w:p w14:paraId="00506AB5" w14:textId="77777777" w:rsidR="000B7EA5" w:rsidRPr="000B7EA5" w:rsidRDefault="000B7EA5" w:rsidP="00C80001">
            <w:pPr>
              <w:autoSpaceDE w:val="0"/>
              <w:autoSpaceDN w:val="0"/>
              <w:adjustRightInd w:val="0"/>
              <w:rPr>
                <w:rFonts w:ascii="Arial" w:hAnsi="Arial" w:cs="Arial"/>
                <w:sz w:val="16"/>
                <w:szCs w:val="16"/>
                <w:lang w:eastAsia="de-AT"/>
              </w:rPr>
            </w:pPr>
            <w:r w:rsidRPr="000B7EA5">
              <w:rPr>
                <w:rFonts w:ascii="Arial" w:hAnsi="Arial" w:cs="Arial"/>
                <w:sz w:val="16"/>
                <w:szCs w:val="16"/>
                <w:lang w:eastAsia="de-AT"/>
              </w:rPr>
              <w:t>Used to estimate the number of eligible patients for insertion of partially implantable MEIs under the proposed MBS listing.</w:t>
            </w:r>
          </w:p>
        </w:tc>
      </w:tr>
      <w:tr w:rsidR="000B7EA5" w:rsidRPr="003437DF" w14:paraId="2F559638" w14:textId="77777777" w:rsidTr="00C80001">
        <w:trPr>
          <w:trHeight w:val="242"/>
          <w:jc w:val="center"/>
        </w:trPr>
        <w:tc>
          <w:tcPr>
            <w:tcW w:w="1386" w:type="pct"/>
            <w:hideMark/>
          </w:tcPr>
          <w:p w14:paraId="15CBA408" w14:textId="77777777" w:rsidR="000B7EA5" w:rsidRPr="000B7EA5" w:rsidRDefault="000B7EA5" w:rsidP="00C80001">
            <w:pPr>
              <w:rPr>
                <w:rFonts w:ascii="Arial" w:hAnsi="Arial" w:cs="Arial"/>
                <w:sz w:val="16"/>
                <w:szCs w:val="16"/>
                <w:lang w:eastAsia="de-AT"/>
              </w:rPr>
            </w:pPr>
            <w:r w:rsidRPr="000B7EA5">
              <w:rPr>
                <w:rFonts w:ascii="Arial" w:hAnsi="Arial" w:cs="Arial"/>
                <w:sz w:val="16"/>
                <w:szCs w:val="16"/>
                <w:lang w:eastAsia="de-AT"/>
              </w:rPr>
              <w:t>Proposed MBS item Schedule fee</w:t>
            </w:r>
          </w:p>
        </w:tc>
        <w:tc>
          <w:tcPr>
            <w:tcW w:w="1388" w:type="pct"/>
            <w:hideMark/>
          </w:tcPr>
          <w:p w14:paraId="40608672" w14:textId="77777777" w:rsidR="000B7EA5" w:rsidRPr="000B7EA5" w:rsidRDefault="000B7EA5" w:rsidP="00C80001">
            <w:pPr>
              <w:rPr>
                <w:rFonts w:ascii="Arial" w:hAnsi="Arial" w:cs="Arial"/>
                <w:sz w:val="16"/>
                <w:szCs w:val="16"/>
                <w:lang w:eastAsia="de-AT"/>
              </w:rPr>
            </w:pPr>
            <w:r w:rsidRPr="000B7EA5">
              <w:rPr>
                <w:rFonts w:ascii="Arial" w:hAnsi="Arial" w:cs="Arial"/>
                <w:sz w:val="16"/>
                <w:szCs w:val="16"/>
                <w:lang w:eastAsia="de-AT"/>
              </w:rPr>
              <w:t>Section A.2</w:t>
            </w:r>
          </w:p>
        </w:tc>
        <w:tc>
          <w:tcPr>
            <w:tcW w:w="2226" w:type="pct"/>
            <w:hideMark/>
          </w:tcPr>
          <w:p w14:paraId="52129E73" w14:textId="77777777" w:rsidR="000B7EA5" w:rsidRPr="000B7EA5" w:rsidRDefault="000B7EA5" w:rsidP="00C80001">
            <w:pPr>
              <w:autoSpaceDE w:val="0"/>
              <w:autoSpaceDN w:val="0"/>
              <w:adjustRightInd w:val="0"/>
              <w:rPr>
                <w:rFonts w:ascii="Arial" w:hAnsi="Arial" w:cs="Arial"/>
                <w:sz w:val="16"/>
                <w:szCs w:val="16"/>
                <w:lang w:eastAsia="de-AT"/>
              </w:rPr>
            </w:pPr>
            <w:r w:rsidRPr="000B7EA5">
              <w:rPr>
                <w:rFonts w:ascii="Arial" w:hAnsi="Arial" w:cs="Arial"/>
                <w:sz w:val="16"/>
                <w:szCs w:val="16"/>
                <w:lang w:eastAsia="de-AT"/>
              </w:rPr>
              <w:t>As per proposed MBS item descriptor and fee in Section A.2. Used in the economic evaluation. The Assessment Report did not disaggregate the total cost of the procedure in the financial estimates. The Critique shows the breakdown of costs to the MBS.</w:t>
            </w:r>
          </w:p>
        </w:tc>
      </w:tr>
      <w:tr w:rsidR="000B7EA5" w:rsidRPr="003437DF" w14:paraId="6DA58025" w14:textId="77777777" w:rsidTr="00C80001">
        <w:trPr>
          <w:trHeight w:val="242"/>
          <w:jc w:val="center"/>
        </w:trPr>
        <w:tc>
          <w:tcPr>
            <w:tcW w:w="1386" w:type="pct"/>
            <w:hideMark/>
          </w:tcPr>
          <w:p w14:paraId="0170A02A" w14:textId="77777777" w:rsidR="000B7EA5" w:rsidRPr="000B7EA5" w:rsidRDefault="000B7EA5" w:rsidP="00C80001">
            <w:pPr>
              <w:rPr>
                <w:rFonts w:ascii="Arial" w:hAnsi="Arial" w:cs="Arial"/>
                <w:sz w:val="16"/>
                <w:szCs w:val="16"/>
                <w:lang w:eastAsia="de-AT"/>
              </w:rPr>
            </w:pPr>
            <w:r w:rsidRPr="000B7EA5">
              <w:rPr>
                <w:rFonts w:ascii="Arial" w:hAnsi="Arial" w:cs="Arial"/>
                <w:sz w:val="16"/>
                <w:szCs w:val="16"/>
                <w:lang w:eastAsia="de-AT"/>
              </w:rPr>
              <w:t>Associated MBS items for service</w:t>
            </w:r>
          </w:p>
        </w:tc>
        <w:tc>
          <w:tcPr>
            <w:tcW w:w="1388" w:type="pct"/>
            <w:hideMark/>
          </w:tcPr>
          <w:p w14:paraId="58BD191D" w14:textId="77777777" w:rsidR="000B7EA5" w:rsidRPr="000B7EA5" w:rsidRDefault="000B7EA5" w:rsidP="00C80001">
            <w:pPr>
              <w:rPr>
                <w:rFonts w:ascii="Arial" w:hAnsi="Arial" w:cs="Arial"/>
                <w:sz w:val="16"/>
                <w:szCs w:val="16"/>
                <w:lang w:eastAsia="de-AT"/>
              </w:rPr>
            </w:pPr>
            <w:r w:rsidRPr="000B7EA5">
              <w:rPr>
                <w:rFonts w:ascii="Arial" w:hAnsi="Arial" w:cs="Arial"/>
                <w:sz w:val="16"/>
                <w:szCs w:val="16"/>
                <w:lang w:eastAsia="de-AT"/>
              </w:rPr>
              <w:t>Section D.4</w:t>
            </w:r>
          </w:p>
        </w:tc>
        <w:tc>
          <w:tcPr>
            <w:tcW w:w="2226" w:type="pct"/>
            <w:hideMark/>
          </w:tcPr>
          <w:p w14:paraId="69794DAB" w14:textId="77777777" w:rsidR="000B7EA5" w:rsidRPr="000B7EA5" w:rsidRDefault="000B7EA5" w:rsidP="00C80001">
            <w:pPr>
              <w:rPr>
                <w:rFonts w:ascii="Arial" w:hAnsi="Arial" w:cs="Arial"/>
                <w:sz w:val="16"/>
                <w:szCs w:val="16"/>
                <w:lang w:eastAsia="de-AT"/>
              </w:rPr>
            </w:pPr>
            <w:r w:rsidRPr="000B7EA5">
              <w:rPr>
                <w:rFonts w:ascii="Arial" w:hAnsi="Arial" w:cs="Arial"/>
                <w:sz w:val="16"/>
                <w:szCs w:val="16"/>
                <w:lang w:eastAsia="de-AT"/>
              </w:rPr>
              <w:t>Used in the economic evaluation</w:t>
            </w:r>
          </w:p>
        </w:tc>
      </w:tr>
      <w:tr w:rsidR="000B7EA5" w:rsidRPr="003437DF" w14:paraId="0A8913CD" w14:textId="77777777" w:rsidTr="00C80001">
        <w:trPr>
          <w:trHeight w:val="242"/>
          <w:jc w:val="center"/>
        </w:trPr>
        <w:tc>
          <w:tcPr>
            <w:tcW w:w="1386" w:type="pct"/>
            <w:hideMark/>
          </w:tcPr>
          <w:p w14:paraId="01320248" w14:textId="77777777" w:rsidR="000B7EA5" w:rsidRPr="000B7EA5" w:rsidRDefault="000B7EA5" w:rsidP="00C80001">
            <w:pPr>
              <w:rPr>
                <w:rFonts w:ascii="Arial" w:hAnsi="Arial" w:cs="Arial"/>
                <w:sz w:val="16"/>
                <w:szCs w:val="16"/>
                <w:lang w:eastAsia="de-AT"/>
              </w:rPr>
            </w:pPr>
            <w:r w:rsidRPr="000B7EA5">
              <w:rPr>
                <w:rFonts w:ascii="Arial" w:hAnsi="Arial" w:cs="Arial"/>
                <w:sz w:val="16"/>
                <w:szCs w:val="16"/>
                <w:lang w:eastAsia="de-AT"/>
              </w:rPr>
              <w:t>Associated non-MBS items for service</w:t>
            </w:r>
          </w:p>
        </w:tc>
        <w:tc>
          <w:tcPr>
            <w:tcW w:w="1388" w:type="pct"/>
            <w:hideMark/>
          </w:tcPr>
          <w:p w14:paraId="768E3AED" w14:textId="77777777" w:rsidR="000B7EA5" w:rsidRPr="000B7EA5" w:rsidRDefault="000B7EA5" w:rsidP="00C80001">
            <w:pPr>
              <w:autoSpaceDE w:val="0"/>
              <w:autoSpaceDN w:val="0"/>
              <w:adjustRightInd w:val="0"/>
              <w:rPr>
                <w:rFonts w:ascii="Arial" w:hAnsi="Arial" w:cs="Arial"/>
                <w:sz w:val="16"/>
                <w:szCs w:val="16"/>
                <w:lang w:eastAsia="de-AT"/>
              </w:rPr>
            </w:pPr>
            <w:r w:rsidRPr="000B7EA5">
              <w:rPr>
                <w:rFonts w:ascii="Arial" w:hAnsi="Arial" w:cs="Arial"/>
                <w:sz w:val="16"/>
                <w:szCs w:val="16"/>
                <w:lang w:eastAsia="de-AT"/>
              </w:rPr>
              <w:t>Section D.4.1 and Section D.4.2</w:t>
            </w:r>
          </w:p>
        </w:tc>
        <w:tc>
          <w:tcPr>
            <w:tcW w:w="2226" w:type="pct"/>
            <w:hideMark/>
          </w:tcPr>
          <w:p w14:paraId="49778DD6" w14:textId="77777777" w:rsidR="000B7EA5" w:rsidRPr="000B7EA5" w:rsidRDefault="000B7EA5" w:rsidP="00C80001">
            <w:pPr>
              <w:autoSpaceDE w:val="0"/>
              <w:autoSpaceDN w:val="0"/>
              <w:adjustRightInd w:val="0"/>
              <w:rPr>
                <w:rFonts w:ascii="Arial" w:hAnsi="Arial" w:cs="Arial"/>
                <w:sz w:val="16"/>
                <w:szCs w:val="16"/>
                <w:lang w:eastAsia="de-AT"/>
              </w:rPr>
            </w:pPr>
            <w:r w:rsidRPr="000B7EA5">
              <w:rPr>
                <w:rFonts w:ascii="Arial" w:hAnsi="Arial" w:cs="Arial"/>
                <w:sz w:val="16"/>
                <w:szCs w:val="16"/>
                <w:lang w:eastAsia="de-AT"/>
              </w:rPr>
              <w:t>Used in the economic evaluation. The societal costs were revised during the Critique.</w:t>
            </w:r>
          </w:p>
        </w:tc>
      </w:tr>
    </w:tbl>
    <w:p w14:paraId="47C956C5" w14:textId="77777777" w:rsidR="000B7EA5" w:rsidRDefault="000B7EA5" w:rsidP="000B7EA5">
      <w:pPr>
        <w:jc w:val="both"/>
        <w:rPr>
          <w:rFonts w:cs="Arial"/>
        </w:rPr>
      </w:pPr>
    </w:p>
    <w:p w14:paraId="12129F5B" w14:textId="77777777" w:rsidR="000214FE" w:rsidRPr="000B7EA5" w:rsidRDefault="000214FE" w:rsidP="000214FE">
      <w:pPr>
        <w:jc w:val="both"/>
        <w:rPr>
          <w:rFonts w:cs="Arial"/>
          <w:lang w:val="en-US"/>
        </w:rPr>
      </w:pPr>
    </w:p>
    <w:p w14:paraId="6F782D17" w14:textId="77777777" w:rsidR="000214FE" w:rsidRPr="009A1A2E" w:rsidRDefault="000214FE" w:rsidP="000214FE">
      <w:pPr>
        <w:pStyle w:val="Heading30"/>
        <w:spacing w:line="360" w:lineRule="auto"/>
        <w:jc w:val="both"/>
        <w:rPr>
          <w:lang w:val="en-AU"/>
        </w:rPr>
      </w:pPr>
      <w:bookmarkStart w:id="614" w:name="_Toc337546925"/>
      <w:bookmarkStart w:id="615" w:name="_Toc400549436"/>
      <w:bookmarkStart w:id="616" w:name="_Toc431917607"/>
      <w:r w:rsidRPr="009A1A2E">
        <w:rPr>
          <w:lang w:val="en-AU"/>
        </w:rPr>
        <w:t>E.1.2</w:t>
      </w:r>
      <w:r w:rsidRPr="009A1A2E">
        <w:rPr>
          <w:lang w:val="en-AU"/>
        </w:rPr>
        <w:tab/>
      </w:r>
      <w:bookmarkEnd w:id="614"/>
      <w:r w:rsidRPr="009A1A2E">
        <w:rPr>
          <w:lang w:val="en-AU"/>
        </w:rPr>
        <w:t>Prevalence of hearing loss according to the application</w:t>
      </w:r>
      <w:bookmarkEnd w:id="615"/>
      <w:bookmarkEnd w:id="616"/>
    </w:p>
    <w:p w14:paraId="7066ACAF" w14:textId="77777777" w:rsidR="000B7EA5" w:rsidRPr="009A1A2E" w:rsidRDefault="000B7EA5" w:rsidP="000B7EA5">
      <w:pPr>
        <w:pStyle w:val="Textbody"/>
        <w:rPr>
          <w:lang w:val="en-AU" w:eastAsia="en-AU"/>
        </w:rPr>
      </w:pPr>
      <w:r w:rsidRPr="009A1A2E">
        <w:rPr>
          <w:lang w:val="en-AU"/>
        </w:rPr>
        <w:t>Prevalence of hearing loss in the better ear (Hearing thresholds ≥25</w:t>
      </w:r>
      <w:r>
        <w:rPr>
          <w:lang w:val="en-AU"/>
        </w:rPr>
        <w:t> </w:t>
      </w:r>
      <w:r w:rsidRPr="009A1A2E">
        <w:rPr>
          <w:lang w:val="en-AU"/>
        </w:rPr>
        <w:t xml:space="preserve">dB) in Australia was reported in a study of Wilson </w:t>
      </w:r>
      <w:r w:rsidRPr="009A1A2E">
        <w:rPr>
          <w:lang w:val="en-AU"/>
        </w:rPr>
        <w:fldChar w:fldCharType="begin">
          <w:fldData xml:space="preserve">PFJlZm1hbj48Q2l0ZT48QXV0aG9yPldpbHNvbjwvQXV0aG9yPjxZZWFyPjE5OTk8L1llYXI+PFJl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</w:fldData>
        </w:fldChar>
      </w:r>
      <w:r>
        <w:rPr>
          <w:lang w:val="en-AU"/>
        </w:rPr>
        <w:instrText xml:space="preserve"> ADDIN REFMGR.CITE </w:instrText>
      </w:r>
      <w:r>
        <w:rPr>
          <w:lang w:val="en-AU"/>
        </w:rPr>
        <w:fldChar w:fldCharType="begin">
          <w:fldData xml:space="preserve">PFJlZm1hbj48Q2l0ZT48QXV0aG9yPldpbHNvbjwvQXV0aG9yPjxZZWFyPjE5OTk8L1llYXI+PFJl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</w:fldData>
        </w:fldChar>
      </w:r>
      <w:r>
        <w:rPr>
          <w:lang w:val="en-AU"/>
        </w:rPr>
        <w:instrText xml:space="preserve"> ADDIN EN.CITE.DATA </w:instrText>
      </w:r>
      <w:r>
        <w:rPr>
          <w:lang w:val="en-AU"/>
        </w:rPr>
      </w:r>
      <w:r>
        <w:rPr>
          <w:lang w:val="en-AU"/>
        </w:rPr>
        <w:fldChar w:fldCharType="end"/>
      </w:r>
      <w:r w:rsidRPr="009A1A2E">
        <w:rPr>
          <w:lang w:val="en-AU"/>
        </w:rPr>
      </w:r>
      <w:r w:rsidRPr="009A1A2E">
        <w:rPr>
          <w:lang w:val="en-AU"/>
        </w:rPr>
        <w:fldChar w:fldCharType="separate"/>
      </w:r>
      <w:r w:rsidRPr="009A1A2E">
        <w:rPr>
          <w:noProof/>
          <w:lang w:val="en-AU"/>
        </w:rPr>
        <w:t>(Wilson et al., 1999)</w:t>
      </w:r>
      <w:r w:rsidRPr="009A1A2E">
        <w:rPr>
          <w:lang w:val="en-AU"/>
        </w:rPr>
        <w:fldChar w:fldCharType="end"/>
      </w:r>
      <w:r w:rsidRPr="009A1A2E">
        <w:rPr>
          <w:lang w:val="en-AU"/>
        </w:rPr>
        <w:t xml:space="preserve"> to be on the overall population 22.2</w:t>
      </w:r>
      <w:r>
        <w:rPr>
          <w:lang w:val="en-AU"/>
        </w:rPr>
        <w:t> </w:t>
      </w:r>
      <w:r w:rsidRPr="009A1A2E">
        <w:rPr>
          <w:lang w:val="en-AU"/>
        </w:rPr>
        <w:t xml:space="preserve">%. The prevalence of SNHL was increasing with age. No evidence indicating a considerable patient demand for MEI was identified in the published literature. The authors also observed that their patients’ main concerns were audiological, rather than cosmetic or financial </w:t>
      </w:r>
      <w:r w:rsidRPr="009A1A2E">
        <w:rPr>
          <w:lang w:val="en-AU"/>
        </w:rPr>
        <w:fldChar w:fldCharType="begin">
          <w:fldData xml:space="preserve">PFJlZm1hbj48Q2l0ZT48QXV0aG9yPkp1bmtlcjwvQXV0aG9yPjxZZWFyPjIwMDI8L1llYXI+PFJl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</w:fldData>
        </w:fldChar>
      </w:r>
      <w:r>
        <w:rPr>
          <w:lang w:val="en-AU"/>
        </w:rPr>
        <w:instrText xml:space="preserve"> ADDIN REFMGR.CITE </w:instrText>
      </w:r>
      <w:r>
        <w:rPr>
          <w:lang w:val="en-AU"/>
        </w:rPr>
        <w:fldChar w:fldCharType="begin">
          <w:fldData xml:space="preserve">PFJlZm1hbj48Q2l0ZT48QXV0aG9yPkp1bmtlcjwvQXV0aG9yPjxZZWFyPjIwMDI8L1llYXI+PFJl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</w:fldData>
        </w:fldChar>
      </w:r>
      <w:r>
        <w:rPr>
          <w:lang w:val="en-AU"/>
        </w:rPr>
        <w:instrText xml:space="preserve"> ADDIN EN.CITE.DATA </w:instrText>
      </w:r>
      <w:r>
        <w:rPr>
          <w:lang w:val="en-AU"/>
        </w:rPr>
      </w:r>
      <w:r>
        <w:rPr>
          <w:lang w:val="en-AU"/>
        </w:rPr>
        <w:fldChar w:fldCharType="end"/>
      </w:r>
      <w:r w:rsidRPr="009A1A2E">
        <w:rPr>
          <w:lang w:val="en-AU"/>
        </w:rPr>
      </w:r>
      <w:r w:rsidRPr="009A1A2E">
        <w:rPr>
          <w:lang w:val="en-AU"/>
        </w:rPr>
        <w:fldChar w:fldCharType="separate"/>
      </w:r>
      <w:r w:rsidRPr="009A1A2E">
        <w:rPr>
          <w:noProof/>
          <w:lang w:val="en-AU"/>
        </w:rPr>
        <w:t>(Junker et al., 2002)</w:t>
      </w:r>
      <w:r w:rsidRPr="009A1A2E">
        <w:rPr>
          <w:lang w:val="en-AU"/>
        </w:rPr>
        <w:fldChar w:fldCharType="end"/>
      </w:r>
      <w:r w:rsidRPr="009A1A2E">
        <w:rPr>
          <w:lang w:val="en-AU"/>
        </w:rPr>
        <w:t>.</w:t>
      </w:r>
    </w:p>
    <w:p w14:paraId="2DFBB3FB" w14:textId="5926B726" w:rsidR="000B7EA5" w:rsidRDefault="006D425C" w:rsidP="000B7EA5">
      <w:pPr>
        <w:pStyle w:val="Textbody"/>
        <w:rPr>
          <w:lang w:val="en-AU"/>
        </w:rPr>
      </w:pPr>
      <w:r>
        <w:rPr>
          <w:lang w:val="en-AU"/>
        </w:rPr>
        <w:t>Using the prevalence data</w:t>
      </w:r>
      <w:r w:rsidR="000B7EA5" w:rsidRPr="009A1A2E">
        <w:rPr>
          <w:lang w:val="en-AU"/>
        </w:rPr>
        <w:t xml:space="preserve"> reported in </w:t>
      </w:r>
      <w:r w:rsidR="00CA53C8">
        <w:rPr>
          <w:lang w:val="en-AU"/>
        </w:rPr>
        <w:t xml:space="preserve">Appendix F, sheet ‘prevalence of pathologies’ </w:t>
      </w:r>
      <w:r w:rsidR="000B7EA5" w:rsidRPr="009A1A2E">
        <w:rPr>
          <w:lang w:val="en-AU"/>
        </w:rPr>
        <w:t xml:space="preserve">we conservatively estimate that up to </w:t>
      </w:r>
      <w:r w:rsidR="000B7EA5">
        <w:rPr>
          <w:lang w:val="en-AU"/>
        </w:rPr>
        <w:t>2,95 </w:t>
      </w:r>
      <w:r w:rsidR="000B7EA5" w:rsidRPr="009A1A2E">
        <w:rPr>
          <w:lang w:val="en-AU"/>
        </w:rPr>
        <w:t>% of the Australian population (</w:t>
      </w:r>
      <w:r w:rsidR="000B7EA5">
        <w:rPr>
          <w:lang w:val="en-AU"/>
        </w:rPr>
        <w:t>687’922</w:t>
      </w:r>
      <w:r w:rsidR="000B7EA5" w:rsidRPr="009A1A2E">
        <w:rPr>
          <w:lang w:val="en-AU"/>
        </w:rPr>
        <w:t xml:space="preserve">) could be affected by an outer ear pathology. We would like to point out there may be an overlap between ear pathologies and that this number is conservative. The probability of a person having both a sensorineural hearing loss within our candidacy criteria, </w:t>
      </w:r>
      <w:r w:rsidR="000B7EA5" w:rsidRPr="009A1A2E">
        <w:rPr>
          <w:u w:val="single"/>
          <w:lang w:val="en-AU"/>
        </w:rPr>
        <w:t>and</w:t>
      </w:r>
      <w:r w:rsidR="000B7EA5" w:rsidRPr="009A1A2E">
        <w:rPr>
          <w:lang w:val="en-AU"/>
        </w:rPr>
        <w:t xml:space="preserve"> having an outer ear pathology can thus be calculated using basic probability functions. With the numbers given above, it is estimated that 4.4 in 10`000 (2.95/100 x 0.15/100) may be </w:t>
      </w:r>
      <w:r w:rsidR="000B7EA5" w:rsidRPr="009A1A2E">
        <w:rPr>
          <w:lang w:val="en-AU"/>
        </w:rPr>
        <w:lastRenderedPageBreak/>
        <w:t xml:space="preserve">affected. This would estimate 1`032 potential candidates in Australia. This number is a projection of how many </w:t>
      </w:r>
      <w:r w:rsidR="000B7EA5" w:rsidRPr="009A1A2E">
        <w:rPr>
          <w:u w:val="single"/>
          <w:lang w:val="en-AU"/>
        </w:rPr>
        <w:t>could</w:t>
      </w:r>
      <w:r w:rsidR="000B7EA5" w:rsidRPr="009A1A2E">
        <w:rPr>
          <w:lang w:val="en-AU"/>
        </w:rPr>
        <w:t xml:space="preserve"> be implanted over a </w:t>
      </w:r>
      <w:r w:rsidR="000B7EA5" w:rsidRPr="009A1A2E">
        <w:rPr>
          <w:u w:val="single"/>
          <w:lang w:val="en-AU"/>
        </w:rPr>
        <w:t xml:space="preserve">10-15 year </w:t>
      </w:r>
      <w:r w:rsidR="000B7EA5" w:rsidRPr="009A1A2E">
        <w:rPr>
          <w:lang w:val="en-AU"/>
        </w:rPr>
        <w:t xml:space="preserve">period. This would provide an </w:t>
      </w:r>
      <w:r w:rsidR="000B7EA5" w:rsidRPr="009A1A2E">
        <w:rPr>
          <w:b/>
          <w:lang w:val="en-AU"/>
        </w:rPr>
        <w:t>average of 69-103 cases per year</w:t>
      </w:r>
      <w:r w:rsidR="000B7EA5" w:rsidRPr="009A1A2E">
        <w:rPr>
          <w:lang w:val="en-AU"/>
        </w:rPr>
        <w:t>.</w:t>
      </w:r>
    </w:p>
    <w:p w14:paraId="2C346825" w14:textId="3622A0EF" w:rsidR="000B7EA5" w:rsidRPr="006E2470" w:rsidRDefault="000B7EA5" w:rsidP="000B7EA5">
      <w:pPr>
        <w:pStyle w:val="Textbody"/>
        <w:rPr>
          <w:lang w:val="en-AU"/>
        </w:rPr>
      </w:pPr>
      <w:r w:rsidRPr="009A1A2E">
        <w:rPr>
          <w:lang w:val="en-AU"/>
        </w:rPr>
        <w:t xml:space="preserve">Alternatively in 2012 according to the German OPS codes used in the G-DRG system (available from </w:t>
      </w:r>
      <w:hyperlink r:id="rId70" w:tooltip="InEK website" w:history="1">
        <w:r w:rsidRPr="009A1A2E">
          <w:rPr>
            <w:rStyle w:val="Hyperlink"/>
            <w:lang w:val="en-AU"/>
          </w:rPr>
          <w:t>http://www.g-drg.de/cms/Datenveroeffentlichung_gem._21_KHEntgG</w:t>
        </w:r>
      </w:hyperlink>
      <w:r w:rsidRPr="009A1A2E">
        <w:rPr>
          <w:lang w:val="en-AU"/>
        </w:rPr>
        <w:t>), 0.57</w:t>
      </w:r>
      <w:r>
        <w:rPr>
          <w:lang w:val="en-AU"/>
        </w:rPr>
        <w:t> </w:t>
      </w:r>
      <w:r w:rsidRPr="009A1A2E">
        <w:rPr>
          <w:lang w:val="en-AU"/>
        </w:rPr>
        <w:t>% of the ENT population (approx. 75`454) received a partially implantable active MEI, for sensorineural or conductive/mixed hearing loss. This equals to 431 cases of implantation. Considering that Germany has a population of approximately 82`000`000, the prevalence to the whole population would be 0.052 in 10`000. According to th</w:t>
      </w:r>
      <w:r>
        <w:rPr>
          <w:lang w:val="en-AU"/>
        </w:rPr>
        <w:t>ese</w:t>
      </w:r>
      <w:r w:rsidRPr="009A1A2E">
        <w:rPr>
          <w:lang w:val="en-AU"/>
        </w:rPr>
        <w:t xml:space="preserve"> </w:t>
      </w:r>
      <w:r>
        <w:rPr>
          <w:lang w:val="en-AU"/>
        </w:rPr>
        <w:t>estimations,</w:t>
      </w:r>
      <w:r w:rsidRPr="009A1A2E">
        <w:rPr>
          <w:lang w:val="en-AU"/>
        </w:rPr>
        <w:t xml:space="preserve"> 121 cases per year of implantation for </w:t>
      </w:r>
      <w:r w:rsidRPr="009A1A2E">
        <w:rPr>
          <w:u w:val="single"/>
          <w:lang w:val="en-AU"/>
        </w:rPr>
        <w:t>either type</w:t>
      </w:r>
      <w:r w:rsidRPr="009A1A2E">
        <w:rPr>
          <w:lang w:val="en-AU"/>
        </w:rPr>
        <w:t xml:space="preserve"> of hearing loss can be estimated for Australia. In Germany, 27.3</w:t>
      </w:r>
      <w:r>
        <w:rPr>
          <w:lang w:val="en-AU"/>
        </w:rPr>
        <w:t> </w:t>
      </w:r>
      <w:r w:rsidRPr="009A1A2E">
        <w:rPr>
          <w:lang w:val="en-AU"/>
        </w:rPr>
        <w:t>% of all cases can be assigned to SNHL, 41</w:t>
      </w:r>
      <w:r>
        <w:rPr>
          <w:lang w:val="en-AU"/>
        </w:rPr>
        <w:t> </w:t>
      </w:r>
      <w:r w:rsidRPr="009A1A2E">
        <w:rPr>
          <w:lang w:val="en-AU"/>
        </w:rPr>
        <w:t>% to MHL and 27</w:t>
      </w:r>
      <w:r>
        <w:rPr>
          <w:lang w:val="en-AU"/>
        </w:rPr>
        <w:t> </w:t>
      </w:r>
      <w:r w:rsidRPr="009A1A2E">
        <w:rPr>
          <w:lang w:val="en-AU"/>
        </w:rPr>
        <w:t>% to CHL indications. Approximately 4</w:t>
      </w:r>
      <w:r>
        <w:rPr>
          <w:lang w:val="en-AU"/>
        </w:rPr>
        <w:t> </w:t>
      </w:r>
      <w:r w:rsidRPr="009A1A2E">
        <w:rPr>
          <w:lang w:val="en-AU"/>
        </w:rPr>
        <w:t xml:space="preserve">% of the cases cannot be assigned based on the ICD-10 codes. Applying this information to Australia it can be estimated that </w:t>
      </w:r>
      <w:r>
        <w:rPr>
          <w:b/>
          <w:lang w:val="en-AU"/>
        </w:rPr>
        <w:t>33</w:t>
      </w:r>
      <w:r w:rsidRPr="009A1A2E">
        <w:rPr>
          <w:b/>
          <w:lang w:val="en-AU"/>
        </w:rPr>
        <w:t xml:space="preserve"> cases </w:t>
      </w:r>
      <w:r w:rsidRPr="009A1A2E">
        <w:rPr>
          <w:lang w:val="en-AU"/>
        </w:rPr>
        <w:t xml:space="preserve">of insertion of a partially implantable Middle Ear Implant are to be expected </w:t>
      </w:r>
      <w:r w:rsidRPr="00A83F80">
        <w:rPr>
          <w:b/>
          <w:lang w:val="en-AU"/>
        </w:rPr>
        <w:t>per year</w:t>
      </w:r>
      <w:r w:rsidRPr="009A1A2E">
        <w:rPr>
          <w:lang w:val="en-AU"/>
        </w:rPr>
        <w:t xml:space="preserve"> immediately after introduction of the procedure.</w:t>
      </w:r>
    </w:p>
    <w:p w14:paraId="718C239D" w14:textId="77777777" w:rsidR="000B7EA5" w:rsidRPr="009A1A2E" w:rsidRDefault="000B7EA5" w:rsidP="000B7EA5">
      <w:pPr>
        <w:pStyle w:val="Textbody"/>
        <w:rPr>
          <w:lang w:val="en-AU"/>
        </w:rPr>
      </w:pPr>
    </w:p>
    <w:p w14:paraId="283F2583" w14:textId="77777777" w:rsidR="000B7EA5" w:rsidRDefault="000B7EA5" w:rsidP="000B7EA5">
      <w:pPr>
        <w:pStyle w:val="Textbody"/>
        <w:rPr>
          <w:lang w:val="en-AU"/>
        </w:rPr>
      </w:pPr>
      <w:r w:rsidRPr="009A1A2E">
        <w:rPr>
          <w:lang w:val="en-AU"/>
        </w:rPr>
        <w:t>The use of the insertion of partially implantable Middle Ear Implants over the next five years to 20</w:t>
      </w:r>
      <w:r>
        <w:rPr>
          <w:lang w:val="en-AU"/>
        </w:rPr>
        <w:t>21</w:t>
      </w:r>
      <w:r w:rsidRPr="009A1A2E">
        <w:rPr>
          <w:lang w:val="en-AU"/>
        </w:rPr>
        <w:t xml:space="preserve"> is estimated based on </w:t>
      </w:r>
      <w:r>
        <w:rPr>
          <w:lang w:val="en-AU"/>
        </w:rPr>
        <w:t xml:space="preserve">a combination of </w:t>
      </w:r>
      <w:r w:rsidRPr="009A1A2E">
        <w:rPr>
          <w:lang w:val="en-AU"/>
        </w:rPr>
        <w:t>these information. This is shown in Section E.2.1.</w:t>
      </w:r>
    </w:p>
    <w:p w14:paraId="198EE696" w14:textId="77777777" w:rsidR="000214FE" w:rsidRPr="009A1A2E" w:rsidRDefault="000214FE" w:rsidP="00BF4FBB">
      <w:pPr>
        <w:pStyle w:val="Textbody"/>
        <w:rPr>
          <w:lang w:val="en-AU"/>
        </w:rPr>
      </w:pPr>
    </w:p>
    <w:p w14:paraId="1A30D3B9" w14:textId="77777777" w:rsidR="000214FE" w:rsidRPr="009A1A2E" w:rsidRDefault="000214FE" w:rsidP="000214FE">
      <w:pPr>
        <w:pStyle w:val="Heading20"/>
        <w:spacing w:line="360" w:lineRule="auto"/>
        <w:jc w:val="both"/>
        <w:rPr>
          <w:lang w:val="en-AU"/>
        </w:rPr>
      </w:pPr>
      <w:bookmarkStart w:id="617" w:name="_Toc337546926"/>
      <w:bookmarkStart w:id="618" w:name="_Toc400549437"/>
      <w:bookmarkStart w:id="619" w:name="_Toc431917608"/>
      <w:r w:rsidRPr="009A1A2E">
        <w:rPr>
          <w:lang w:val="en-AU"/>
        </w:rPr>
        <w:t>E.2</w:t>
      </w:r>
      <w:r w:rsidRPr="009A1A2E">
        <w:rPr>
          <w:lang w:val="en-AU"/>
        </w:rPr>
        <w:tab/>
        <w:t>Estimation of use and costs of the proposed listing</w:t>
      </w:r>
      <w:bookmarkEnd w:id="617"/>
      <w:bookmarkEnd w:id="618"/>
      <w:bookmarkEnd w:id="619"/>
    </w:p>
    <w:p w14:paraId="5E3721C5" w14:textId="77777777" w:rsidR="000214FE" w:rsidRPr="009A1A2E" w:rsidRDefault="000214FE" w:rsidP="000214FE">
      <w:pPr>
        <w:pStyle w:val="Heading30"/>
        <w:spacing w:line="360" w:lineRule="auto"/>
        <w:jc w:val="both"/>
        <w:rPr>
          <w:lang w:val="en-AU"/>
        </w:rPr>
      </w:pPr>
      <w:bookmarkStart w:id="620" w:name="_Toc337546927"/>
      <w:bookmarkStart w:id="621" w:name="_Toc400549438"/>
      <w:bookmarkStart w:id="622" w:name="_Toc431917609"/>
      <w:r w:rsidRPr="009A1A2E">
        <w:rPr>
          <w:lang w:val="en-AU"/>
        </w:rPr>
        <w:t>E.2.1</w:t>
      </w:r>
      <w:r w:rsidRPr="009A1A2E">
        <w:rPr>
          <w:lang w:val="en-AU"/>
        </w:rPr>
        <w:tab/>
        <w:t xml:space="preserve">Historical and projected use of </w:t>
      </w:r>
      <w:bookmarkEnd w:id="620"/>
      <w:r w:rsidRPr="009A1A2E">
        <w:rPr>
          <w:lang w:val="en-AU"/>
        </w:rPr>
        <w:t>insertion of a partially implantable MEI</w:t>
      </w:r>
      <w:bookmarkEnd w:id="621"/>
      <w:bookmarkEnd w:id="622"/>
    </w:p>
    <w:p w14:paraId="041759F0" w14:textId="77777777" w:rsidR="000B7EA5" w:rsidRPr="009A1A2E" w:rsidRDefault="000B7EA5" w:rsidP="000B7EA5">
      <w:pPr>
        <w:pStyle w:val="Textbody"/>
        <w:rPr>
          <w:lang w:val="en-AU"/>
        </w:rPr>
      </w:pPr>
      <w:bookmarkStart w:id="623" w:name="_Toc337546930"/>
      <w:bookmarkStart w:id="624" w:name="_Toc400549439"/>
      <w:r w:rsidRPr="009A1A2E">
        <w:rPr>
          <w:lang w:val="en-AU"/>
        </w:rPr>
        <w:t>The service numbers associated with the insertion of partially implantable Middle Ear Implants in 201</w:t>
      </w:r>
      <w:r>
        <w:rPr>
          <w:lang w:val="en-AU"/>
        </w:rPr>
        <w:t>7</w:t>
      </w:r>
      <w:r w:rsidRPr="009A1A2E">
        <w:rPr>
          <w:lang w:val="en-AU"/>
        </w:rPr>
        <w:t>–202</w:t>
      </w:r>
      <w:r>
        <w:rPr>
          <w:lang w:val="en-AU"/>
        </w:rPr>
        <w:t>1</w:t>
      </w:r>
      <w:r w:rsidRPr="009A1A2E">
        <w:rPr>
          <w:lang w:val="en-AU"/>
        </w:rPr>
        <w:t xml:space="preserve"> are estimated. Taking </w:t>
      </w:r>
      <w:r>
        <w:rPr>
          <w:lang w:val="en-AU"/>
        </w:rPr>
        <w:t xml:space="preserve">prevalence data from German </w:t>
      </w:r>
      <w:r w:rsidRPr="009A1A2E">
        <w:rPr>
          <w:lang w:val="en-AU"/>
        </w:rPr>
        <w:t xml:space="preserve">data sources into account, </w:t>
      </w:r>
      <w:r>
        <w:rPr>
          <w:lang w:val="en-AU"/>
        </w:rPr>
        <w:t>the</w:t>
      </w:r>
      <w:r w:rsidRPr="009A1A2E">
        <w:rPr>
          <w:lang w:val="en-AU"/>
        </w:rPr>
        <w:t xml:space="preserve"> numbers of possible usage of the procedure can be </w:t>
      </w:r>
      <w:r>
        <w:rPr>
          <w:lang w:val="en-AU"/>
        </w:rPr>
        <w:t>estimated</w:t>
      </w:r>
      <w:r w:rsidRPr="009A1A2E">
        <w:rPr>
          <w:lang w:val="en-AU"/>
        </w:rPr>
        <w:t>. As the proposed service is new to the MBS listing no historical data can be presented.</w:t>
      </w:r>
    </w:p>
    <w:p w14:paraId="0EE1F7B9" w14:textId="77777777" w:rsidR="000B7EA5" w:rsidRDefault="000B7EA5" w:rsidP="000B7EA5">
      <w:pPr>
        <w:pStyle w:val="Textbody"/>
        <w:rPr>
          <w:lang w:val="en-AU"/>
        </w:rPr>
      </w:pPr>
      <w:r w:rsidRPr="009A1A2E">
        <w:rPr>
          <w:lang w:val="en-AU"/>
        </w:rPr>
        <w:t xml:space="preserve">Based on the prevalence data provided in Section E.1, </w:t>
      </w:r>
      <w:r>
        <w:rPr>
          <w:highlight w:val="yellow"/>
          <w:lang w:val="en-AU"/>
        </w:rPr>
        <w:fldChar w:fldCharType="begin"/>
      </w:r>
      <w:r>
        <w:rPr>
          <w:lang w:val="en-AU"/>
        </w:rPr>
        <w:instrText xml:space="preserve"> REF _Ref430941316 \h </w:instrText>
      </w:r>
      <w:r>
        <w:rPr>
          <w:highlight w:val="yellow"/>
          <w:lang w:val="en-AU"/>
        </w:rPr>
      </w:r>
      <w:r>
        <w:rPr>
          <w:highlight w:val="yellow"/>
          <w:lang w:val="en-AU"/>
        </w:rPr>
        <w:fldChar w:fldCharType="separate"/>
      </w:r>
      <w:r w:rsidR="00016592" w:rsidRPr="00A83F80">
        <w:t xml:space="preserve">Table </w:t>
      </w:r>
      <w:r w:rsidR="00016592">
        <w:rPr>
          <w:noProof/>
        </w:rPr>
        <w:t>61</w:t>
      </w:r>
      <w:r>
        <w:rPr>
          <w:highlight w:val="yellow"/>
          <w:lang w:val="en-AU"/>
        </w:rPr>
        <w:fldChar w:fldCharType="end"/>
      </w:r>
      <w:r>
        <w:rPr>
          <w:lang w:val="en-AU"/>
        </w:rPr>
        <w:t xml:space="preserve"> </w:t>
      </w:r>
      <w:r w:rsidRPr="003A18E9">
        <w:rPr>
          <w:lang w:val="en-AU"/>
        </w:rPr>
        <w:t xml:space="preserve">presents the method for </w:t>
      </w:r>
      <w:r>
        <w:rPr>
          <w:lang w:val="en-AU"/>
        </w:rPr>
        <w:t>determining the patient population eligible to receive the proposed intervention over the first five years of an MBS listing and the maximum, minimum and average number of procedures to be expected in each year</w:t>
      </w:r>
      <w:r w:rsidRPr="003A18E9">
        <w:rPr>
          <w:lang w:val="en-AU"/>
        </w:rPr>
        <w:t>.</w:t>
      </w:r>
      <w:r>
        <w:rPr>
          <w:lang w:val="en-AU"/>
        </w:rPr>
        <w:t xml:space="preserve"> The insertion of partially implantable MEI is likely to take place in both the private and public setting, although the extent to which procedures will be done in public hospitals is unknown so far. </w:t>
      </w:r>
      <w:r>
        <w:rPr>
          <w:lang w:val="en-AU"/>
        </w:rPr>
        <w:fldChar w:fldCharType="begin"/>
      </w:r>
      <w:r>
        <w:rPr>
          <w:lang w:val="en-AU"/>
        </w:rPr>
        <w:instrText xml:space="preserve"> REF _Ref430941316 \h </w:instrText>
      </w:r>
      <w:r>
        <w:rPr>
          <w:lang w:val="en-AU"/>
        </w:rPr>
      </w:r>
      <w:r>
        <w:rPr>
          <w:lang w:val="en-AU"/>
        </w:rPr>
        <w:fldChar w:fldCharType="separate"/>
      </w:r>
      <w:r w:rsidR="00016592" w:rsidRPr="00A83F80">
        <w:t xml:space="preserve">Table </w:t>
      </w:r>
      <w:r w:rsidR="00016592">
        <w:rPr>
          <w:noProof/>
        </w:rPr>
        <w:t>61</w:t>
      </w:r>
      <w:r>
        <w:rPr>
          <w:lang w:val="en-AU"/>
        </w:rPr>
        <w:fldChar w:fldCharType="end"/>
      </w:r>
      <w:r>
        <w:rPr>
          <w:lang w:val="en-AU"/>
        </w:rPr>
        <w:t xml:space="preserve"> accounts for a </w:t>
      </w:r>
      <w:r>
        <w:rPr>
          <w:lang w:val="en-AU"/>
        </w:rPr>
        <w:lastRenderedPageBreak/>
        <w:t>population growth of about 1.7 % per year starting in 2016,</w:t>
      </w:r>
      <w:r w:rsidRPr="00881C30">
        <w:rPr>
          <w:lang w:val="en-AU"/>
        </w:rPr>
        <w:t xml:space="preserve"> </w:t>
      </w:r>
      <w:r>
        <w:rPr>
          <w:lang w:val="en-AU"/>
        </w:rPr>
        <w:t>a</w:t>
      </w:r>
      <w:r w:rsidRPr="009A1A2E">
        <w:rPr>
          <w:lang w:val="en-AU"/>
        </w:rPr>
        <w:t>s the listing is expected for 201</w:t>
      </w:r>
      <w:r>
        <w:rPr>
          <w:lang w:val="en-AU"/>
        </w:rPr>
        <w:t>6</w:t>
      </w:r>
      <w:r w:rsidRPr="009A1A2E">
        <w:rPr>
          <w:lang w:val="en-AU"/>
        </w:rPr>
        <w:t xml:space="preserve"> this year is cho</w:t>
      </w:r>
      <w:r>
        <w:rPr>
          <w:lang w:val="en-AU"/>
        </w:rPr>
        <w:t>sen as the base year.</w:t>
      </w:r>
    </w:p>
    <w:p w14:paraId="0DE93C24" w14:textId="77777777" w:rsidR="000B7EA5" w:rsidRDefault="000B7EA5" w:rsidP="000B7EA5">
      <w:pPr>
        <w:autoSpaceDE w:val="0"/>
        <w:autoSpaceDN w:val="0"/>
        <w:adjustRightInd w:val="0"/>
        <w:spacing w:line="360" w:lineRule="auto"/>
        <w:jc w:val="both"/>
        <w:rPr>
          <w:rFonts w:cs="Arial"/>
          <w:lang w:eastAsia="de-AT"/>
        </w:rPr>
      </w:pPr>
      <w:r>
        <w:rPr>
          <w:rFonts w:cs="Arial"/>
          <w:lang w:eastAsia="de-AT"/>
        </w:rPr>
        <w:t xml:space="preserve">In addition, it can be assumed that </w:t>
      </w:r>
      <w:r w:rsidRPr="00881C30">
        <w:rPr>
          <w:rFonts w:cs="Arial"/>
          <w:lang w:eastAsia="de-AT"/>
        </w:rPr>
        <w:t>in</w:t>
      </w:r>
      <w:r>
        <w:rPr>
          <w:rFonts w:cs="Arial"/>
          <w:lang w:eastAsia="de-AT"/>
        </w:rPr>
        <w:t xml:space="preserve"> </w:t>
      </w:r>
      <w:r w:rsidRPr="00881C30">
        <w:rPr>
          <w:rFonts w:cs="Arial"/>
          <w:lang w:eastAsia="de-AT"/>
        </w:rPr>
        <w:t>addition to the estimated number of patients eligible for implantation in the first year, new patients with SNHL</w:t>
      </w:r>
      <w:r>
        <w:rPr>
          <w:rFonts w:cs="Arial"/>
          <w:lang w:eastAsia="de-AT"/>
        </w:rPr>
        <w:t xml:space="preserve"> </w:t>
      </w:r>
      <w:r w:rsidRPr="00881C30">
        <w:rPr>
          <w:rFonts w:cs="Arial"/>
          <w:lang w:eastAsia="de-AT"/>
        </w:rPr>
        <w:t>and external ear pathology will enter the pool of candidates each year.</w:t>
      </w:r>
      <w:r>
        <w:rPr>
          <w:rFonts w:cs="Arial"/>
          <w:lang w:eastAsia="de-AT"/>
        </w:rPr>
        <w:t xml:space="preserve"> No increase in the rate of SNHL over time is taken into account.</w:t>
      </w:r>
    </w:p>
    <w:p w14:paraId="47B4F2F1" w14:textId="77777777" w:rsidR="000B7EA5" w:rsidRDefault="000B7EA5" w:rsidP="000B7EA5">
      <w:pPr>
        <w:autoSpaceDE w:val="0"/>
        <w:autoSpaceDN w:val="0"/>
        <w:adjustRightInd w:val="0"/>
        <w:spacing w:line="360" w:lineRule="auto"/>
        <w:jc w:val="both"/>
      </w:pPr>
    </w:p>
    <w:p w14:paraId="03D8D46E" w14:textId="77777777" w:rsidR="000B7EA5" w:rsidRPr="00E0477C" w:rsidRDefault="000B7EA5" w:rsidP="007B1699">
      <w:pPr>
        <w:pStyle w:val="Caption"/>
        <w:rPr>
          <w:rFonts w:ascii="Arial" w:hAnsi="Arial" w:cs="Arial"/>
          <w:lang w:val="en-AU"/>
        </w:rPr>
      </w:pPr>
      <w:bookmarkStart w:id="625" w:name="_Ref430941316"/>
      <w:bookmarkStart w:id="626" w:name="_Toc431917521"/>
      <w:r w:rsidRPr="00A83F80">
        <w:rPr>
          <w:rFonts w:ascii="Arial" w:hAnsi="Arial" w:cs="Arial"/>
        </w:rPr>
        <w:t xml:space="preserve">Table </w:t>
      </w:r>
      <w:r w:rsidR="00CF0322" w:rsidRPr="00A83F80">
        <w:rPr>
          <w:rFonts w:ascii="Arial" w:hAnsi="Arial" w:cs="Arial"/>
        </w:rPr>
        <w:fldChar w:fldCharType="begin"/>
      </w:r>
      <w:r w:rsidR="00CF0322" w:rsidRPr="00A83F80">
        <w:rPr>
          <w:rFonts w:ascii="Arial" w:hAnsi="Arial" w:cs="Arial"/>
        </w:rPr>
        <w:instrText xml:space="preserve"> SEQ Table \* ARABIC </w:instrText>
      </w:r>
      <w:r w:rsidR="00CF0322" w:rsidRPr="00A83F80">
        <w:rPr>
          <w:rFonts w:ascii="Arial" w:hAnsi="Arial" w:cs="Arial"/>
        </w:rPr>
        <w:fldChar w:fldCharType="separate"/>
      </w:r>
      <w:r w:rsidR="00016592">
        <w:rPr>
          <w:rFonts w:ascii="Arial" w:hAnsi="Arial" w:cs="Arial"/>
          <w:noProof/>
        </w:rPr>
        <w:t>61</w:t>
      </w:r>
      <w:r w:rsidR="00CF0322" w:rsidRPr="00A83F80">
        <w:rPr>
          <w:rFonts w:ascii="Arial" w:hAnsi="Arial" w:cs="Arial"/>
          <w:noProof/>
        </w:rPr>
        <w:fldChar w:fldCharType="end"/>
      </w:r>
      <w:bookmarkEnd w:id="625"/>
      <w:r w:rsidRPr="00A83F80">
        <w:rPr>
          <w:rFonts w:ascii="Arial" w:hAnsi="Arial" w:cs="Arial"/>
          <w:lang w:val="en-US"/>
        </w:rPr>
        <w:t>.-</w:t>
      </w:r>
      <w:r w:rsidRPr="00E0477C">
        <w:rPr>
          <w:rFonts w:ascii="Arial" w:hAnsi="Arial" w:cs="Arial"/>
          <w:lang w:val="en-AU"/>
        </w:rPr>
        <w:t xml:space="preserve"> Estimated eligible population of patients </w:t>
      </w:r>
      <w:r w:rsidRPr="00E0477C">
        <w:rPr>
          <w:rStyle w:val="FootnoteReference"/>
          <w:rFonts w:ascii="Arial" w:hAnsi="Arial" w:cs="Arial"/>
          <w:lang w:val="en-AU"/>
        </w:rPr>
        <w:footnoteReference w:id="4"/>
      </w:r>
      <w:bookmarkEnd w:id="626"/>
    </w:p>
    <w:p w14:paraId="305A4160" w14:textId="77777777" w:rsidR="000B7EA5" w:rsidRDefault="000B7EA5" w:rsidP="000B7EA5">
      <w:pPr>
        <w:jc w:val="both"/>
        <w:rPr>
          <w:rFonts w:cs="Arial"/>
          <w:highlight w:val="lightGray"/>
        </w:rPr>
      </w:pPr>
    </w:p>
    <w:tbl>
      <w:tblPr>
        <w:tblW w:w="10842" w:type="dxa"/>
        <w:jc w:val="center"/>
        <w:tblLook w:val="04A0" w:firstRow="1" w:lastRow="0" w:firstColumn="1" w:lastColumn="0" w:noHBand="0" w:noVBand="1"/>
        <w:tblDescription w:val="Estimated eligible population of patients "/>
      </w:tblPr>
      <w:tblGrid>
        <w:gridCol w:w="372"/>
        <w:gridCol w:w="2272"/>
        <w:gridCol w:w="1134"/>
        <w:gridCol w:w="1171"/>
        <w:gridCol w:w="1275"/>
        <w:gridCol w:w="1218"/>
        <w:gridCol w:w="1106"/>
        <w:gridCol w:w="1188"/>
        <w:gridCol w:w="1106"/>
      </w:tblGrid>
      <w:tr w:rsidR="007B1699" w:rsidRPr="007B1699" w14:paraId="75CD54E0" w14:textId="77777777" w:rsidTr="00BF0EEF">
        <w:trPr>
          <w:trHeight w:val="555"/>
          <w:jc w:val="center"/>
        </w:trPr>
        <w:tc>
          <w:tcPr>
            <w:tcW w:w="37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156E520" w14:textId="77777777" w:rsidR="007B1699" w:rsidRPr="007B1699" w:rsidRDefault="007B1699" w:rsidP="007B1699">
            <w:pPr>
              <w:rPr>
                <w:rFonts w:cs="Arial"/>
                <w:b/>
                <w:bCs/>
                <w:color w:val="000000"/>
                <w:sz w:val="20"/>
                <w:szCs w:val="20"/>
                <w:lang w:val="en-US" w:eastAsia="en-US"/>
              </w:rPr>
            </w:pPr>
            <w:r w:rsidRPr="007B1699">
              <w:rPr>
                <w:rFonts w:cs="Arial"/>
                <w:b/>
                <w:bCs/>
                <w:color w:val="000000"/>
                <w:sz w:val="20"/>
                <w:szCs w:val="20"/>
                <w:lang w:val="en-US" w:eastAsia="en-US"/>
              </w:rPr>
              <w:t> </w:t>
            </w:r>
          </w:p>
        </w:tc>
        <w:tc>
          <w:tcPr>
            <w:tcW w:w="2272" w:type="dxa"/>
            <w:tcBorders>
              <w:top w:val="single" w:sz="8" w:space="0" w:color="auto"/>
              <w:left w:val="nil"/>
              <w:bottom w:val="single" w:sz="4" w:space="0" w:color="auto"/>
              <w:right w:val="single" w:sz="4" w:space="0" w:color="auto"/>
            </w:tcBorders>
            <w:shd w:val="clear" w:color="auto" w:fill="auto"/>
            <w:vAlign w:val="center"/>
            <w:hideMark/>
          </w:tcPr>
          <w:p w14:paraId="6DA0BA70" w14:textId="77777777" w:rsidR="007B1699" w:rsidRPr="007B1699" w:rsidRDefault="007B1699" w:rsidP="007B1699">
            <w:pPr>
              <w:rPr>
                <w:rFonts w:cs="Arial"/>
                <w:b/>
                <w:bCs/>
                <w:color w:val="000000"/>
                <w:sz w:val="20"/>
                <w:szCs w:val="20"/>
                <w:lang w:val="en-US" w:eastAsia="en-US"/>
              </w:rPr>
            </w:pPr>
            <w:r w:rsidRPr="007B1699">
              <w:rPr>
                <w:rFonts w:cs="Arial"/>
                <w:b/>
                <w:bCs/>
                <w:color w:val="000000"/>
                <w:sz w:val="20"/>
                <w:szCs w:val="20"/>
                <w:lang w:val="en-US" w:eastAsia="en-US"/>
              </w:rPr>
              <w:t>Description</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14:paraId="4A1D5545" w14:textId="77777777" w:rsidR="007B1699" w:rsidRPr="007B1699" w:rsidRDefault="007B1699" w:rsidP="007B1699">
            <w:pPr>
              <w:jc w:val="center"/>
              <w:rPr>
                <w:rFonts w:cs="Arial"/>
                <w:b/>
                <w:bCs/>
                <w:color w:val="000000"/>
                <w:sz w:val="20"/>
                <w:szCs w:val="20"/>
                <w:lang w:val="en-US" w:eastAsia="en-US"/>
              </w:rPr>
            </w:pPr>
            <w:r w:rsidRPr="007B1699">
              <w:rPr>
                <w:rFonts w:cs="Arial"/>
                <w:b/>
                <w:bCs/>
                <w:color w:val="000000"/>
                <w:sz w:val="20"/>
                <w:szCs w:val="20"/>
                <w:lang w:val="en-US" w:eastAsia="en-US"/>
              </w:rPr>
              <w:t>Method</w:t>
            </w:r>
          </w:p>
        </w:tc>
        <w:tc>
          <w:tcPr>
            <w:tcW w:w="1171" w:type="dxa"/>
            <w:tcBorders>
              <w:top w:val="single" w:sz="8" w:space="0" w:color="auto"/>
              <w:left w:val="nil"/>
              <w:bottom w:val="single" w:sz="4" w:space="0" w:color="auto"/>
              <w:right w:val="single" w:sz="4" w:space="0" w:color="auto"/>
            </w:tcBorders>
            <w:shd w:val="clear" w:color="auto" w:fill="auto"/>
            <w:vAlign w:val="center"/>
            <w:hideMark/>
          </w:tcPr>
          <w:p w14:paraId="625D1833" w14:textId="77777777" w:rsidR="007B1699" w:rsidRPr="007B1699" w:rsidRDefault="007B1699" w:rsidP="007B1699">
            <w:pPr>
              <w:jc w:val="center"/>
              <w:rPr>
                <w:rFonts w:cs="Arial"/>
                <w:b/>
                <w:bCs/>
                <w:color w:val="000000"/>
                <w:sz w:val="20"/>
                <w:szCs w:val="20"/>
                <w:lang w:val="en-US" w:eastAsia="en-US"/>
              </w:rPr>
            </w:pPr>
            <w:r w:rsidRPr="007B1699">
              <w:rPr>
                <w:rFonts w:cs="Arial"/>
                <w:b/>
                <w:bCs/>
                <w:color w:val="000000"/>
                <w:sz w:val="20"/>
                <w:szCs w:val="20"/>
                <w:lang w:val="en-US" w:eastAsia="en-US"/>
              </w:rPr>
              <w:t>current (2016)</w:t>
            </w:r>
          </w:p>
        </w:tc>
        <w:tc>
          <w:tcPr>
            <w:tcW w:w="1275" w:type="dxa"/>
            <w:tcBorders>
              <w:top w:val="single" w:sz="8" w:space="0" w:color="auto"/>
              <w:left w:val="nil"/>
              <w:bottom w:val="single" w:sz="4" w:space="0" w:color="auto"/>
              <w:right w:val="single" w:sz="4" w:space="0" w:color="auto"/>
            </w:tcBorders>
            <w:shd w:val="clear" w:color="auto" w:fill="auto"/>
            <w:vAlign w:val="center"/>
            <w:hideMark/>
          </w:tcPr>
          <w:p w14:paraId="28763817" w14:textId="77777777" w:rsidR="007B1699" w:rsidRPr="007B1699" w:rsidRDefault="007B1699" w:rsidP="007B1699">
            <w:pPr>
              <w:jc w:val="center"/>
              <w:rPr>
                <w:rFonts w:cs="Arial"/>
                <w:b/>
                <w:bCs/>
                <w:color w:val="000000"/>
                <w:sz w:val="20"/>
                <w:szCs w:val="20"/>
                <w:lang w:val="en-US" w:eastAsia="en-US"/>
              </w:rPr>
            </w:pPr>
            <w:r w:rsidRPr="007B1699">
              <w:rPr>
                <w:rFonts w:cs="Arial"/>
                <w:b/>
                <w:bCs/>
                <w:color w:val="000000"/>
                <w:sz w:val="20"/>
                <w:szCs w:val="20"/>
                <w:lang w:val="en-US" w:eastAsia="en-US"/>
              </w:rPr>
              <w:t>2017</w:t>
            </w:r>
          </w:p>
        </w:tc>
        <w:tc>
          <w:tcPr>
            <w:tcW w:w="1218" w:type="dxa"/>
            <w:tcBorders>
              <w:top w:val="single" w:sz="8" w:space="0" w:color="auto"/>
              <w:left w:val="nil"/>
              <w:bottom w:val="single" w:sz="4" w:space="0" w:color="auto"/>
              <w:right w:val="single" w:sz="4" w:space="0" w:color="auto"/>
            </w:tcBorders>
            <w:shd w:val="clear" w:color="auto" w:fill="auto"/>
            <w:vAlign w:val="center"/>
            <w:hideMark/>
          </w:tcPr>
          <w:p w14:paraId="5A52A2D8" w14:textId="77777777" w:rsidR="007B1699" w:rsidRPr="007B1699" w:rsidRDefault="007B1699" w:rsidP="007B1699">
            <w:pPr>
              <w:jc w:val="center"/>
              <w:rPr>
                <w:rFonts w:cs="Arial"/>
                <w:b/>
                <w:bCs/>
                <w:color w:val="000000"/>
                <w:sz w:val="20"/>
                <w:szCs w:val="20"/>
                <w:lang w:val="en-US" w:eastAsia="en-US"/>
              </w:rPr>
            </w:pPr>
            <w:r w:rsidRPr="007B1699">
              <w:rPr>
                <w:rFonts w:cs="Arial"/>
                <w:b/>
                <w:bCs/>
                <w:color w:val="000000"/>
                <w:sz w:val="20"/>
                <w:szCs w:val="20"/>
                <w:lang w:val="en-US" w:eastAsia="en-US"/>
              </w:rPr>
              <w:t>2018</w:t>
            </w:r>
          </w:p>
        </w:tc>
        <w:tc>
          <w:tcPr>
            <w:tcW w:w="1106" w:type="dxa"/>
            <w:tcBorders>
              <w:top w:val="single" w:sz="8" w:space="0" w:color="auto"/>
              <w:left w:val="nil"/>
              <w:bottom w:val="single" w:sz="4" w:space="0" w:color="auto"/>
              <w:right w:val="single" w:sz="4" w:space="0" w:color="auto"/>
            </w:tcBorders>
            <w:shd w:val="clear" w:color="auto" w:fill="auto"/>
            <w:vAlign w:val="center"/>
            <w:hideMark/>
          </w:tcPr>
          <w:p w14:paraId="2F3E262A" w14:textId="77777777" w:rsidR="007B1699" w:rsidRPr="007B1699" w:rsidRDefault="007B1699" w:rsidP="007B1699">
            <w:pPr>
              <w:jc w:val="center"/>
              <w:rPr>
                <w:rFonts w:cs="Arial"/>
                <w:b/>
                <w:bCs/>
                <w:color w:val="000000"/>
                <w:sz w:val="20"/>
                <w:szCs w:val="20"/>
                <w:lang w:val="en-US" w:eastAsia="en-US"/>
              </w:rPr>
            </w:pPr>
            <w:r w:rsidRPr="007B1699">
              <w:rPr>
                <w:rFonts w:cs="Arial"/>
                <w:b/>
                <w:bCs/>
                <w:color w:val="000000"/>
                <w:sz w:val="20"/>
                <w:szCs w:val="20"/>
                <w:lang w:val="en-US" w:eastAsia="en-US"/>
              </w:rPr>
              <w:t>2019</w:t>
            </w:r>
          </w:p>
        </w:tc>
        <w:tc>
          <w:tcPr>
            <w:tcW w:w="1188" w:type="dxa"/>
            <w:tcBorders>
              <w:top w:val="single" w:sz="8" w:space="0" w:color="auto"/>
              <w:left w:val="nil"/>
              <w:bottom w:val="single" w:sz="4" w:space="0" w:color="auto"/>
              <w:right w:val="single" w:sz="4" w:space="0" w:color="auto"/>
            </w:tcBorders>
            <w:shd w:val="clear" w:color="auto" w:fill="auto"/>
            <w:vAlign w:val="center"/>
            <w:hideMark/>
          </w:tcPr>
          <w:p w14:paraId="7E4AF019" w14:textId="77777777" w:rsidR="007B1699" w:rsidRPr="007B1699" w:rsidRDefault="007B1699" w:rsidP="007B1699">
            <w:pPr>
              <w:jc w:val="center"/>
              <w:rPr>
                <w:rFonts w:cs="Arial"/>
                <w:b/>
                <w:bCs/>
                <w:color w:val="000000"/>
                <w:sz w:val="20"/>
                <w:szCs w:val="20"/>
                <w:lang w:val="en-US" w:eastAsia="en-US"/>
              </w:rPr>
            </w:pPr>
            <w:r w:rsidRPr="007B1699">
              <w:rPr>
                <w:rFonts w:cs="Arial"/>
                <w:b/>
                <w:bCs/>
                <w:color w:val="000000"/>
                <w:sz w:val="20"/>
                <w:szCs w:val="20"/>
                <w:lang w:val="en-US" w:eastAsia="en-US"/>
              </w:rPr>
              <w:t>2020</w:t>
            </w:r>
          </w:p>
        </w:tc>
        <w:tc>
          <w:tcPr>
            <w:tcW w:w="1106" w:type="dxa"/>
            <w:tcBorders>
              <w:top w:val="single" w:sz="8" w:space="0" w:color="auto"/>
              <w:left w:val="nil"/>
              <w:bottom w:val="single" w:sz="4" w:space="0" w:color="auto"/>
              <w:right w:val="single" w:sz="8" w:space="0" w:color="auto"/>
            </w:tcBorders>
            <w:shd w:val="clear" w:color="auto" w:fill="auto"/>
            <w:vAlign w:val="center"/>
            <w:hideMark/>
          </w:tcPr>
          <w:p w14:paraId="1BE9DCEE" w14:textId="77777777" w:rsidR="007B1699" w:rsidRPr="007B1699" w:rsidRDefault="007B1699" w:rsidP="007B1699">
            <w:pPr>
              <w:jc w:val="center"/>
              <w:rPr>
                <w:rFonts w:cs="Arial"/>
                <w:b/>
                <w:bCs/>
                <w:color w:val="000000"/>
                <w:sz w:val="20"/>
                <w:szCs w:val="20"/>
                <w:lang w:val="en-US" w:eastAsia="en-US"/>
              </w:rPr>
            </w:pPr>
            <w:r w:rsidRPr="007B1699">
              <w:rPr>
                <w:rFonts w:cs="Arial"/>
                <w:b/>
                <w:bCs/>
                <w:color w:val="000000"/>
                <w:sz w:val="20"/>
                <w:szCs w:val="20"/>
                <w:lang w:val="en-US" w:eastAsia="en-US"/>
              </w:rPr>
              <w:t>2021</w:t>
            </w:r>
          </w:p>
        </w:tc>
      </w:tr>
      <w:tr w:rsidR="007B1699" w:rsidRPr="007B1699" w14:paraId="5CCE312B" w14:textId="77777777" w:rsidTr="00BF0EEF">
        <w:trPr>
          <w:trHeight w:val="465"/>
          <w:jc w:val="center"/>
        </w:trPr>
        <w:tc>
          <w:tcPr>
            <w:tcW w:w="372" w:type="dxa"/>
            <w:tcBorders>
              <w:top w:val="nil"/>
              <w:left w:val="single" w:sz="8" w:space="0" w:color="auto"/>
              <w:bottom w:val="single" w:sz="4" w:space="0" w:color="auto"/>
              <w:right w:val="single" w:sz="4" w:space="0" w:color="auto"/>
            </w:tcBorders>
            <w:shd w:val="clear" w:color="auto" w:fill="auto"/>
            <w:noWrap/>
            <w:vAlign w:val="center"/>
            <w:hideMark/>
          </w:tcPr>
          <w:p w14:paraId="613DFAFA" w14:textId="77777777" w:rsidR="007B1699" w:rsidRPr="007B1699" w:rsidRDefault="007B1699" w:rsidP="007B1699">
            <w:pPr>
              <w:rPr>
                <w:rFonts w:cs="Arial"/>
                <w:b/>
                <w:bCs/>
                <w:color w:val="000000"/>
                <w:sz w:val="20"/>
                <w:szCs w:val="20"/>
                <w:lang w:val="en-US" w:eastAsia="en-US"/>
              </w:rPr>
            </w:pPr>
            <w:r w:rsidRPr="007B1699">
              <w:rPr>
                <w:rFonts w:cs="Arial"/>
                <w:b/>
                <w:bCs/>
                <w:color w:val="000000"/>
                <w:sz w:val="20"/>
                <w:szCs w:val="20"/>
                <w:lang w:val="en-US" w:eastAsia="en-US"/>
              </w:rPr>
              <w:t>A</w:t>
            </w:r>
          </w:p>
        </w:tc>
        <w:tc>
          <w:tcPr>
            <w:tcW w:w="2272" w:type="dxa"/>
            <w:tcBorders>
              <w:top w:val="nil"/>
              <w:left w:val="nil"/>
              <w:bottom w:val="single" w:sz="4" w:space="0" w:color="auto"/>
              <w:right w:val="single" w:sz="4" w:space="0" w:color="auto"/>
            </w:tcBorders>
            <w:shd w:val="clear" w:color="auto" w:fill="auto"/>
            <w:vAlign w:val="center"/>
            <w:hideMark/>
          </w:tcPr>
          <w:p w14:paraId="21D22E5A" w14:textId="77777777" w:rsidR="007B1699" w:rsidRPr="007B1699" w:rsidRDefault="007B1699" w:rsidP="007B1699">
            <w:pPr>
              <w:rPr>
                <w:rFonts w:cs="Arial"/>
                <w:color w:val="000000"/>
                <w:sz w:val="20"/>
                <w:szCs w:val="20"/>
                <w:lang w:val="en-US" w:eastAsia="en-US"/>
              </w:rPr>
            </w:pPr>
            <w:r w:rsidRPr="007B1699">
              <w:rPr>
                <w:rFonts w:cs="Arial"/>
                <w:color w:val="000000"/>
                <w:sz w:val="20"/>
                <w:szCs w:val="20"/>
                <w:lang w:val="en-US" w:eastAsia="en-US"/>
              </w:rPr>
              <w:t>Australian population</w:t>
            </w:r>
          </w:p>
        </w:tc>
        <w:tc>
          <w:tcPr>
            <w:tcW w:w="1134" w:type="dxa"/>
            <w:tcBorders>
              <w:top w:val="nil"/>
              <w:left w:val="nil"/>
              <w:bottom w:val="single" w:sz="4" w:space="0" w:color="auto"/>
              <w:right w:val="single" w:sz="4" w:space="0" w:color="auto"/>
            </w:tcBorders>
            <w:shd w:val="clear" w:color="auto" w:fill="auto"/>
            <w:noWrap/>
            <w:vAlign w:val="center"/>
            <w:hideMark/>
          </w:tcPr>
          <w:p w14:paraId="1748EAE5" w14:textId="77777777" w:rsidR="007B1699" w:rsidRPr="007B1699" w:rsidRDefault="007B1699" w:rsidP="007B1699">
            <w:pPr>
              <w:jc w:val="center"/>
              <w:rPr>
                <w:rFonts w:cs="Arial"/>
                <w:color w:val="000000"/>
                <w:sz w:val="20"/>
                <w:szCs w:val="20"/>
                <w:lang w:val="en-US" w:eastAsia="en-US"/>
              </w:rPr>
            </w:pPr>
            <w:r w:rsidRPr="007B1699">
              <w:rPr>
                <w:rFonts w:cs="Arial"/>
                <w:color w:val="000000"/>
                <w:sz w:val="20"/>
                <w:szCs w:val="20"/>
                <w:lang w:val="en-US" w:eastAsia="en-US"/>
              </w:rPr>
              <w:t>ABS</w:t>
            </w:r>
          </w:p>
        </w:tc>
        <w:tc>
          <w:tcPr>
            <w:tcW w:w="1171" w:type="dxa"/>
            <w:tcBorders>
              <w:top w:val="nil"/>
              <w:left w:val="nil"/>
              <w:bottom w:val="single" w:sz="4" w:space="0" w:color="auto"/>
              <w:right w:val="single" w:sz="4" w:space="0" w:color="auto"/>
            </w:tcBorders>
            <w:shd w:val="clear" w:color="auto" w:fill="auto"/>
            <w:noWrap/>
            <w:vAlign w:val="center"/>
            <w:hideMark/>
          </w:tcPr>
          <w:p w14:paraId="63680F82" w14:textId="77777777" w:rsidR="007B1699" w:rsidRPr="007B1699" w:rsidRDefault="007B1699" w:rsidP="007B1699">
            <w:pPr>
              <w:jc w:val="center"/>
              <w:rPr>
                <w:rFonts w:cs="Arial"/>
                <w:color w:val="000000"/>
                <w:sz w:val="20"/>
                <w:szCs w:val="20"/>
                <w:lang w:val="en-US" w:eastAsia="en-US"/>
              </w:rPr>
            </w:pPr>
            <w:r w:rsidRPr="007B1699">
              <w:rPr>
                <w:rFonts w:cs="Arial"/>
                <w:color w:val="000000"/>
                <w:sz w:val="20"/>
                <w:szCs w:val="20"/>
                <w:lang w:val="en-US" w:eastAsia="en-US"/>
              </w:rPr>
              <w:t>24359761</w:t>
            </w:r>
          </w:p>
        </w:tc>
        <w:tc>
          <w:tcPr>
            <w:tcW w:w="1275" w:type="dxa"/>
            <w:tcBorders>
              <w:top w:val="nil"/>
              <w:left w:val="nil"/>
              <w:bottom w:val="single" w:sz="4" w:space="0" w:color="auto"/>
              <w:right w:val="single" w:sz="4" w:space="0" w:color="auto"/>
            </w:tcBorders>
            <w:shd w:val="clear" w:color="auto" w:fill="auto"/>
            <w:noWrap/>
            <w:vAlign w:val="center"/>
            <w:hideMark/>
          </w:tcPr>
          <w:p w14:paraId="2A27D089" w14:textId="77777777" w:rsidR="007B1699" w:rsidRPr="007B1699" w:rsidRDefault="007B1699" w:rsidP="007B1699">
            <w:pPr>
              <w:jc w:val="center"/>
              <w:rPr>
                <w:rFonts w:cs="Arial"/>
                <w:color w:val="000000"/>
                <w:sz w:val="20"/>
                <w:szCs w:val="20"/>
                <w:lang w:val="en-US" w:eastAsia="en-US"/>
              </w:rPr>
            </w:pPr>
            <w:r w:rsidRPr="007B1699">
              <w:rPr>
                <w:rFonts w:cs="Arial"/>
                <w:color w:val="000000"/>
                <w:sz w:val="20"/>
                <w:szCs w:val="20"/>
                <w:lang w:val="en-US" w:eastAsia="en-US"/>
              </w:rPr>
              <w:t>24781121</w:t>
            </w:r>
          </w:p>
        </w:tc>
        <w:tc>
          <w:tcPr>
            <w:tcW w:w="1218" w:type="dxa"/>
            <w:tcBorders>
              <w:top w:val="nil"/>
              <w:left w:val="nil"/>
              <w:bottom w:val="single" w:sz="4" w:space="0" w:color="auto"/>
              <w:right w:val="single" w:sz="4" w:space="0" w:color="auto"/>
            </w:tcBorders>
            <w:shd w:val="clear" w:color="auto" w:fill="auto"/>
            <w:noWrap/>
            <w:vAlign w:val="center"/>
            <w:hideMark/>
          </w:tcPr>
          <w:p w14:paraId="5477D73C" w14:textId="77777777" w:rsidR="007B1699" w:rsidRPr="007B1699" w:rsidRDefault="007B1699" w:rsidP="007B1699">
            <w:pPr>
              <w:jc w:val="center"/>
              <w:rPr>
                <w:rFonts w:cs="Arial"/>
                <w:color w:val="000000"/>
                <w:sz w:val="20"/>
                <w:szCs w:val="20"/>
                <w:lang w:val="en-US" w:eastAsia="en-US"/>
              </w:rPr>
            </w:pPr>
            <w:r w:rsidRPr="007B1699">
              <w:rPr>
                <w:rFonts w:cs="Arial"/>
                <w:color w:val="000000"/>
                <w:sz w:val="20"/>
                <w:szCs w:val="20"/>
                <w:lang w:val="en-US" w:eastAsia="en-US"/>
              </w:rPr>
              <w:t>25201317</w:t>
            </w:r>
          </w:p>
        </w:tc>
        <w:tc>
          <w:tcPr>
            <w:tcW w:w="1106" w:type="dxa"/>
            <w:tcBorders>
              <w:top w:val="nil"/>
              <w:left w:val="nil"/>
              <w:bottom w:val="single" w:sz="4" w:space="0" w:color="auto"/>
              <w:right w:val="single" w:sz="4" w:space="0" w:color="auto"/>
            </w:tcBorders>
            <w:shd w:val="clear" w:color="auto" w:fill="auto"/>
            <w:noWrap/>
            <w:vAlign w:val="center"/>
            <w:hideMark/>
          </w:tcPr>
          <w:p w14:paraId="1488ECDF" w14:textId="77777777" w:rsidR="007B1699" w:rsidRPr="007B1699" w:rsidRDefault="007B1699" w:rsidP="007B1699">
            <w:pPr>
              <w:jc w:val="center"/>
              <w:rPr>
                <w:rFonts w:cs="Arial"/>
                <w:color w:val="000000"/>
                <w:sz w:val="20"/>
                <w:szCs w:val="20"/>
                <w:lang w:val="en-US" w:eastAsia="en-US"/>
              </w:rPr>
            </w:pPr>
            <w:r w:rsidRPr="007B1699">
              <w:rPr>
                <w:rFonts w:cs="Arial"/>
                <w:color w:val="000000"/>
                <w:sz w:val="20"/>
                <w:szCs w:val="20"/>
                <w:lang w:val="en-US" w:eastAsia="en-US"/>
              </w:rPr>
              <w:t>25619895</w:t>
            </w:r>
          </w:p>
        </w:tc>
        <w:tc>
          <w:tcPr>
            <w:tcW w:w="1188" w:type="dxa"/>
            <w:tcBorders>
              <w:top w:val="nil"/>
              <w:left w:val="nil"/>
              <w:bottom w:val="single" w:sz="4" w:space="0" w:color="auto"/>
              <w:right w:val="single" w:sz="4" w:space="0" w:color="auto"/>
            </w:tcBorders>
            <w:shd w:val="clear" w:color="auto" w:fill="auto"/>
            <w:noWrap/>
            <w:vAlign w:val="center"/>
            <w:hideMark/>
          </w:tcPr>
          <w:p w14:paraId="63F3D2D8" w14:textId="77777777" w:rsidR="007B1699" w:rsidRPr="007B1699" w:rsidRDefault="007B1699" w:rsidP="007B1699">
            <w:pPr>
              <w:jc w:val="center"/>
              <w:rPr>
                <w:rFonts w:cs="Arial"/>
                <w:color w:val="000000"/>
                <w:sz w:val="20"/>
                <w:szCs w:val="20"/>
                <w:lang w:val="en-US" w:eastAsia="en-US"/>
              </w:rPr>
            </w:pPr>
            <w:r w:rsidRPr="007B1699">
              <w:rPr>
                <w:rFonts w:cs="Arial"/>
                <w:color w:val="000000"/>
                <w:sz w:val="20"/>
                <w:szCs w:val="20"/>
                <w:lang w:val="en-US" w:eastAsia="en-US"/>
              </w:rPr>
              <w:t>26037356</w:t>
            </w:r>
          </w:p>
        </w:tc>
        <w:tc>
          <w:tcPr>
            <w:tcW w:w="1106" w:type="dxa"/>
            <w:tcBorders>
              <w:top w:val="nil"/>
              <w:left w:val="nil"/>
              <w:bottom w:val="single" w:sz="4" w:space="0" w:color="auto"/>
              <w:right w:val="single" w:sz="8" w:space="0" w:color="auto"/>
            </w:tcBorders>
            <w:shd w:val="clear" w:color="auto" w:fill="auto"/>
            <w:noWrap/>
            <w:vAlign w:val="center"/>
            <w:hideMark/>
          </w:tcPr>
          <w:p w14:paraId="1BEC8C47" w14:textId="77777777" w:rsidR="007B1699" w:rsidRPr="007B1699" w:rsidRDefault="007B1699" w:rsidP="007B1699">
            <w:pPr>
              <w:jc w:val="center"/>
              <w:rPr>
                <w:rFonts w:cs="Arial"/>
                <w:color w:val="000000"/>
                <w:sz w:val="20"/>
                <w:szCs w:val="20"/>
                <w:lang w:val="en-US" w:eastAsia="en-US"/>
              </w:rPr>
            </w:pPr>
            <w:r w:rsidRPr="007B1699">
              <w:rPr>
                <w:rFonts w:cs="Arial"/>
                <w:color w:val="000000"/>
                <w:sz w:val="20"/>
                <w:szCs w:val="20"/>
                <w:lang w:val="en-US" w:eastAsia="en-US"/>
              </w:rPr>
              <w:t>26479991</w:t>
            </w:r>
          </w:p>
        </w:tc>
      </w:tr>
      <w:tr w:rsidR="007B1699" w:rsidRPr="007B1699" w14:paraId="685F820A" w14:textId="77777777" w:rsidTr="00BF0EEF">
        <w:trPr>
          <w:trHeight w:val="405"/>
          <w:jc w:val="center"/>
        </w:trPr>
        <w:tc>
          <w:tcPr>
            <w:tcW w:w="372" w:type="dxa"/>
            <w:tcBorders>
              <w:top w:val="nil"/>
              <w:left w:val="single" w:sz="8" w:space="0" w:color="auto"/>
              <w:bottom w:val="single" w:sz="4" w:space="0" w:color="auto"/>
              <w:right w:val="single" w:sz="4" w:space="0" w:color="auto"/>
            </w:tcBorders>
            <w:shd w:val="clear" w:color="auto" w:fill="auto"/>
            <w:noWrap/>
            <w:vAlign w:val="center"/>
            <w:hideMark/>
          </w:tcPr>
          <w:p w14:paraId="6D41335B" w14:textId="77777777" w:rsidR="007B1699" w:rsidRPr="007B1699" w:rsidRDefault="007B1699" w:rsidP="007B1699">
            <w:pPr>
              <w:rPr>
                <w:rFonts w:cs="Arial"/>
                <w:b/>
                <w:bCs/>
                <w:color w:val="000000"/>
                <w:sz w:val="20"/>
                <w:szCs w:val="20"/>
                <w:lang w:val="en-US" w:eastAsia="en-US"/>
              </w:rPr>
            </w:pPr>
            <w:r w:rsidRPr="007B1699">
              <w:rPr>
                <w:rFonts w:cs="Arial"/>
                <w:b/>
                <w:bCs/>
                <w:color w:val="000000"/>
                <w:sz w:val="20"/>
                <w:szCs w:val="20"/>
                <w:lang w:val="en-US" w:eastAsia="en-US"/>
              </w:rPr>
              <w:t>B</w:t>
            </w:r>
          </w:p>
        </w:tc>
        <w:tc>
          <w:tcPr>
            <w:tcW w:w="2272" w:type="dxa"/>
            <w:tcBorders>
              <w:top w:val="nil"/>
              <w:left w:val="nil"/>
              <w:bottom w:val="single" w:sz="4" w:space="0" w:color="auto"/>
              <w:right w:val="single" w:sz="4" w:space="0" w:color="auto"/>
            </w:tcBorders>
            <w:shd w:val="clear" w:color="auto" w:fill="auto"/>
            <w:vAlign w:val="center"/>
            <w:hideMark/>
          </w:tcPr>
          <w:p w14:paraId="795C2A1C" w14:textId="77777777" w:rsidR="007B1699" w:rsidRPr="007B1699" w:rsidRDefault="007B1699" w:rsidP="007B1699">
            <w:pPr>
              <w:rPr>
                <w:rFonts w:cs="Arial"/>
                <w:color w:val="000000"/>
                <w:sz w:val="20"/>
                <w:szCs w:val="20"/>
                <w:lang w:val="en-US" w:eastAsia="en-US"/>
              </w:rPr>
            </w:pPr>
            <w:r w:rsidRPr="007B1699">
              <w:rPr>
                <w:rFonts w:cs="Arial"/>
                <w:color w:val="000000"/>
                <w:sz w:val="20"/>
                <w:szCs w:val="20"/>
                <w:lang w:val="en-US" w:eastAsia="en-US"/>
              </w:rPr>
              <w:t>Number of Australian adults</w:t>
            </w:r>
          </w:p>
        </w:tc>
        <w:tc>
          <w:tcPr>
            <w:tcW w:w="1134" w:type="dxa"/>
            <w:tcBorders>
              <w:top w:val="nil"/>
              <w:left w:val="nil"/>
              <w:bottom w:val="single" w:sz="4" w:space="0" w:color="auto"/>
              <w:right w:val="single" w:sz="4" w:space="0" w:color="auto"/>
            </w:tcBorders>
            <w:shd w:val="clear" w:color="auto" w:fill="auto"/>
            <w:noWrap/>
            <w:vAlign w:val="center"/>
            <w:hideMark/>
          </w:tcPr>
          <w:p w14:paraId="5FC85E58" w14:textId="77777777" w:rsidR="007B1699" w:rsidRPr="007B1699" w:rsidRDefault="007B1699" w:rsidP="007B1699">
            <w:pPr>
              <w:jc w:val="center"/>
              <w:rPr>
                <w:rFonts w:cs="Arial"/>
                <w:color w:val="000000"/>
                <w:sz w:val="20"/>
                <w:szCs w:val="20"/>
                <w:lang w:val="en-US" w:eastAsia="en-US"/>
              </w:rPr>
            </w:pPr>
            <w:r w:rsidRPr="007B1699">
              <w:rPr>
                <w:rFonts w:cs="Arial"/>
                <w:color w:val="000000"/>
                <w:sz w:val="20"/>
                <w:szCs w:val="20"/>
                <w:lang w:val="en-US" w:eastAsia="en-US"/>
              </w:rPr>
              <w:t>ABS</w:t>
            </w:r>
          </w:p>
        </w:tc>
        <w:tc>
          <w:tcPr>
            <w:tcW w:w="1171" w:type="dxa"/>
            <w:tcBorders>
              <w:top w:val="nil"/>
              <w:left w:val="nil"/>
              <w:bottom w:val="single" w:sz="4" w:space="0" w:color="auto"/>
              <w:right w:val="single" w:sz="4" w:space="0" w:color="auto"/>
            </w:tcBorders>
            <w:shd w:val="clear" w:color="auto" w:fill="auto"/>
            <w:noWrap/>
            <w:vAlign w:val="center"/>
            <w:hideMark/>
          </w:tcPr>
          <w:p w14:paraId="24D83EA5" w14:textId="77777777" w:rsidR="007B1699" w:rsidRPr="007B1699" w:rsidRDefault="007B1699" w:rsidP="007B1699">
            <w:pPr>
              <w:jc w:val="center"/>
              <w:rPr>
                <w:rFonts w:cs="Arial"/>
                <w:color w:val="000000"/>
                <w:sz w:val="20"/>
                <w:szCs w:val="20"/>
                <w:lang w:val="en-US" w:eastAsia="en-US"/>
              </w:rPr>
            </w:pPr>
            <w:r w:rsidRPr="007B1699">
              <w:rPr>
                <w:rFonts w:cs="Arial"/>
                <w:color w:val="000000"/>
                <w:sz w:val="20"/>
                <w:szCs w:val="20"/>
                <w:lang w:val="en-US" w:eastAsia="en-US"/>
              </w:rPr>
              <w:t>18871777</w:t>
            </w:r>
          </w:p>
        </w:tc>
        <w:tc>
          <w:tcPr>
            <w:tcW w:w="1275" w:type="dxa"/>
            <w:tcBorders>
              <w:top w:val="nil"/>
              <w:left w:val="nil"/>
              <w:bottom w:val="single" w:sz="4" w:space="0" w:color="auto"/>
              <w:right w:val="single" w:sz="4" w:space="0" w:color="auto"/>
            </w:tcBorders>
            <w:shd w:val="clear" w:color="auto" w:fill="auto"/>
            <w:noWrap/>
            <w:vAlign w:val="center"/>
            <w:hideMark/>
          </w:tcPr>
          <w:p w14:paraId="16E81044" w14:textId="77777777" w:rsidR="007B1699" w:rsidRPr="007B1699" w:rsidRDefault="007B1699" w:rsidP="007B1699">
            <w:pPr>
              <w:jc w:val="center"/>
              <w:rPr>
                <w:rFonts w:cs="Arial"/>
                <w:color w:val="000000"/>
                <w:sz w:val="20"/>
                <w:szCs w:val="20"/>
                <w:lang w:val="en-US" w:eastAsia="en-US"/>
              </w:rPr>
            </w:pPr>
            <w:r w:rsidRPr="007B1699">
              <w:rPr>
                <w:rFonts w:cs="Arial"/>
                <w:color w:val="000000"/>
                <w:sz w:val="20"/>
                <w:szCs w:val="20"/>
                <w:lang w:val="en-US" w:eastAsia="en-US"/>
              </w:rPr>
              <w:t>19201809</w:t>
            </w:r>
          </w:p>
        </w:tc>
        <w:tc>
          <w:tcPr>
            <w:tcW w:w="1218" w:type="dxa"/>
            <w:tcBorders>
              <w:top w:val="nil"/>
              <w:left w:val="nil"/>
              <w:bottom w:val="single" w:sz="4" w:space="0" w:color="auto"/>
              <w:right w:val="single" w:sz="4" w:space="0" w:color="auto"/>
            </w:tcBorders>
            <w:shd w:val="clear" w:color="auto" w:fill="auto"/>
            <w:noWrap/>
            <w:vAlign w:val="center"/>
            <w:hideMark/>
          </w:tcPr>
          <w:p w14:paraId="5FC4CFC0" w14:textId="77777777" w:rsidR="007B1699" w:rsidRPr="007B1699" w:rsidRDefault="007B1699" w:rsidP="007B1699">
            <w:pPr>
              <w:jc w:val="center"/>
              <w:rPr>
                <w:rFonts w:cs="Arial"/>
                <w:color w:val="000000"/>
                <w:sz w:val="20"/>
                <w:szCs w:val="20"/>
                <w:lang w:val="en-US" w:eastAsia="en-US"/>
              </w:rPr>
            </w:pPr>
            <w:r w:rsidRPr="007B1699">
              <w:rPr>
                <w:rFonts w:cs="Arial"/>
                <w:color w:val="000000"/>
                <w:sz w:val="20"/>
                <w:szCs w:val="20"/>
                <w:lang w:val="en-US" w:eastAsia="en-US"/>
              </w:rPr>
              <w:t>19529153</w:t>
            </w:r>
          </w:p>
        </w:tc>
        <w:tc>
          <w:tcPr>
            <w:tcW w:w="1106" w:type="dxa"/>
            <w:tcBorders>
              <w:top w:val="nil"/>
              <w:left w:val="nil"/>
              <w:bottom w:val="single" w:sz="4" w:space="0" w:color="auto"/>
              <w:right w:val="single" w:sz="4" w:space="0" w:color="auto"/>
            </w:tcBorders>
            <w:shd w:val="clear" w:color="auto" w:fill="auto"/>
            <w:noWrap/>
            <w:vAlign w:val="center"/>
            <w:hideMark/>
          </w:tcPr>
          <w:p w14:paraId="1C62EACB" w14:textId="77777777" w:rsidR="007B1699" w:rsidRPr="007B1699" w:rsidRDefault="007B1699" w:rsidP="007B1699">
            <w:pPr>
              <w:jc w:val="center"/>
              <w:rPr>
                <w:rFonts w:cs="Arial"/>
                <w:color w:val="000000"/>
                <w:sz w:val="20"/>
                <w:szCs w:val="20"/>
                <w:lang w:val="en-US" w:eastAsia="en-US"/>
              </w:rPr>
            </w:pPr>
            <w:r w:rsidRPr="007B1699">
              <w:rPr>
                <w:rFonts w:cs="Arial"/>
                <w:color w:val="000000"/>
                <w:sz w:val="20"/>
                <w:szCs w:val="20"/>
                <w:lang w:val="en-US" w:eastAsia="en-US"/>
              </w:rPr>
              <w:t>19853831</w:t>
            </w:r>
          </w:p>
        </w:tc>
        <w:tc>
          <w:tcPr>
            <w:tcW w:w="1188" w:type="dxa"/>
            <w:tcBorders>
              <w:top w:val="nil"/>
              <w:left w:val="nil"/>
              <w:bottom w:val="single" w:sz="4" w:space="0" w:color="auto"/>
              <w:right w:val="single" w:sz="4" w:space="0" w:color="auto"/>
            </w:tcBorders>
            <w:shd w:val="clear" w:color="auto" w:fill="auto"/>
            <w:noWrap/>
            <w:vAlign w:val="center"/>
            <w:hideMark/>
          </w:tcPr>
          <w:p w14:paraId="19D632C2" w14:textId="77777777" w:rsidR="007B1699" w:rsidRPr="007B1699" w:rsidRDefault="007B1699" w:rsidP="007B1699">
            <w:pPr>
              <w:jc w:val="center"/>
              <w:rPr>
                <w:rFonts w:cs="Arial"/>
                <w:color w:val="000000"/>
                <w:sz w:val="20"/>
                <w:szCs w:val="20"/>
                <w:lang w:val="en-US" w:eastAsia="en-US"/>
              </w:rPr>
            </w:pPr>
            <w:r w:rsidRPr="007B1699">
              <w:rPr>
                <w:rFonts w:cs="Arial"/>
                <w:color w:val="000000"/>
                <w:sz w:val="20"/>
                <w:szCs w:val="20"/>
                <w:lang w:val="en-US" w:eastAsia="en-US"/>
              </w:rPr>
              <w:t>20173593</w:t>
            </w:r>
          </w:p>
        </w:tc>
        <w:tc>
          <w:tcPr>
            <w:tcW w:w="1106" w:type="dxa"/>
            <w:tcBorders>
              <w:top w:val="nil"/>
              <w:left w:val="nil"/>
              <w:bottom w:val="single" w:sz="4" w:space="0" w:color="auto"/>
              <w:right w:val="single" w:sz="8" w:space="0" w:color="auto"/>
            </w:tcBorders>
            <w:shd w:val="clear" w:color="auto" w:fill="auto"/>
            <w:noWrap/>
            <w:vAlign w:val="center"/>
            <w:hideMark/>
          </w:tcPr>
          <w:p w14:paraId="4965FB1E" w14:textId="77777777" w:rsidR="007B1699" w:rsidRPr="007B1699" w:rsidRDefault="007B1699" w:rsidP="007B1699">
            <w:pPr>
              <w:jc w:val="center"/>
              <w:rPr>
                <w:rFonts w:cs="Arial"/>
                <w:color w:val="000000"/>
                <w:sz w:val="20"/>
                <w:szCs w:val="20"/>
                <w:lang w:val="en-US" w:eastAsia="en-US"/>
              </w:rPr>
            </w:pPr>
            <w:r w:rsidRPr="007B1699">
              <w:rPr>
                <w:rFonts w:cs="Arial"/>
                <w:color w:val="000000"/>
                <w:sz w:val="20"/>
                <w:szCs w:val="20"/>
                <w:lang w:val="en-US" w:eastAsia="en-US"/>
              </w:rPr>
              <w:t>20516544</w:t>
            </w:r>
          </w:p>
        </w:tc>
      </w:tr>
      <w:tr w:rsidR="007B1699" w:rsidRPr="007B1699" w14:paraId="69A3F1E3" w14:textId="77777777" w:rsidTr="00BF0EEF">
        <w:trPr>
          <w:trHeight w:val="825"/>
          <w:jc w:val="center"/>
        </w:trPr>
        <w:tc>
          <w:tcPr>
            <w:tcW w:w="372" w:type="dxa"/>
            <w:tcBorders>
              <w:top w:val="nil"/>
              <w:left w:val="single" w:sz="8" w:space="0" w:color="auto"/>
              <w:bottom w:val="single" w:sz="4" w:space="0" w:color="auto"/>
              <w:right w:val="single" w:sz="4" w:space="0" w:color="auto"/>
            </w:tcBorders>
            <w:shd w:val="clear" w:color="auto" w:fill="auto"/>
            <w:noWrap/>
            <w:vAlign w:val="center"/>
            <w:hideMark/>
          </w:tcPr>
          <w:p w14:paraId="330CB929" w14:textId="77777777" w:rsidR="007B1699" w:rsidRPr="007B1699" w:rsidRDefault="007B1699" w:rsidP="007B1699">
            <w:pPr>
              <w:rPr>
                <w:rFonts w:cs="Arial"/>
                <w:b/>
                <w:bCs/>
                <w:color w:val="000000"/>
                <w:sz w:val="20"/>
                <w:szCs w:val="20"/>
                <w:lang w:val="en-US" w:eastAsia="en-US"/>
              </w:rPr>
            </w:pPr>
            <w:r w:rsidRPr="007B1699">
              <w:rPr>
                <w:rFonts w:cs="Arial"/>
                <w:b/>
                <w:bCs/>
                <w:color w:val="000000"/>
                <w:sz w:val="20"/>
                <w:szCs w:val="20"/>
                <w:lang w:val="en-US" w:eastAsia="en-US"/>
              </w:rPr>
              <w:t>C</w:t>
            </w:r>
          </w:p>
        </w:tc>
        <w:tc>
          <w:tcPr>
            <w:tcW w:w="2272" w:type="dxa"/>
            <w:tcBorders>
              <w:top w:val="nil"/>
              <w:left w:val="nil"/>
              <w:bottom w:val="single" w:sz="4" w:space="0" w:color="auto"/>
              <w:right w:val="single" w:sz="4" w:space="0" w:color="auto"/>
            </w:tcBorders>
            <w:shd w:val="clear" w:color="auto" w:fill="auto"/>
            <w:vAlign w:val="center"/>
            <w:hideMark/>
          </w:tcPr>
          <w:p w14:paraId="0A283995" w14:textId="77777777" w:rsidR="007B1699" w:rsidRPr="007B1699" w:rsidRDefault="007B1699" w:rsidP="007B1699">
            <w:pPr>
              <w:rPr>
                <w:rFonts w:cs="Arial"/>
                <w:color w:val="000000"/>
                <w:sz w:val="20"/>
                <w:szCs w:val="20"/>
                <w:lang w:val="en-US" w:eastAsia="en-US"/>
              </w:rPr>
            </w:pPr>
            <w:r w:rsidRPr="007B1699">
              <w:rPr>
                <w:rFonts w:cs="Arial"/>
                <w:color w:val="000000"/>
                <w:sz w:val="20"/>
                <w:szCs w:val="20"/>
                <w:lang w:val="en-US" w:eastAsia="en-US"/>
              </w:rPr>
              <w:t>Prevalence of SNHL in the adult population (%)</w:t>
            </w:r>
          </w:p>
        </w:tc>
        <w:tc>
          <w:tcPr>
            <w:tcW w:w="1134" w:type="dxa"/>
            <w:tcBorders>
              <w:top w:val="nil"/>
              <w:left w:val="nil"/>
              <w:bottom w:val="single" w:sz="4" w:space="0" w:color="auto"/>
              <w:right w:val="single" w:sz="4" w:space="0" w:color="auto"/>
            </w:tcBorders>
            <w:shd w:val="clear" w:color="auto" w:fill="auto"/>
            <w:vAlign w:val="center"/>
            <w:hideMark/>
          </w:tcPr>
          <w:p w14:paraId="4435BAE2" w14:textId="77777777" w:rsidR="007B1699" w:rsidRPr="007B1699" w:rsidRDefault="007B1699" w:rsidP="007B1699">
            <w:pPr>
              <w:jc w:val="center"/>
              <w:rPr>
                <w:rFonts w:cs="Arial"/>
                <w:color w:val="000000"/>
                <w:sz w:val="20"/>
                <w:szCs w:val="20"/>
                <w:lang w:val="en-US" w:eastAsia="en-US"/>
              </w:rPr>
            </w:pPr>
            <w:r w:rsidRPr="007B1699">
              <w:rPr>
                <w:rFonts w:cs="Arial"/>
                <w:color w:val="000000"/>
                <w:sz w:val="20"/>
                <w:szCs w:val="20"/>
                <w:lang w:val="en-US" w:eastAsia="en-US"/>
              </w:rPr>
              <w:t>Wilson et al., (1999)</w:t>
            </w:r>
          </w:p>
        </w:tc>
        <w:tc>
          <w:tcPr>
            <w:tcW w:w="1171" w:type="dxa"/>
            <w:tcBorders>
              <w:top w:val="nil"/>
              <w:left w:val="nil"/>
              <w:bottom w:val="single" w:sz="4" w:space="0" w:color="auto"/>
              <w:right w:val="single" w:sz="4" w:space="0" w:color="auto"/>
            </w:tcBorders>
            <w:shd w:val="clear" w:color="auto" w:fill="auto"/>
            <w:vAlign w:val="center"/>
            <w:hideMark/>
          </w:tcPr>
          <w:p w14:paraId="5C4F3AF4" w14:textId="77777777" w:rsidR="007B1699" w:rsidRPr="007B1699" w:rsidRDefault="007B1699" w:rsidP="007B1699">
            <w:pPr>
              <w:jc w:val="center"/>
              <w:rPr>
                <w:rFonts w:cs="Arial"/>
                <w:color w:val="000000"/>
                <w:sz w:val="20"/>
                <w:szCs w:val="20"/>
                <w:lang w:val="en-US" w:eastAsia="en-US"/>
              </w:rPr>
            </w:pPr>
            <w:r w:rsidRPr="007B1699">
              <w:rPr>
                <w:rFonts w:cs="Arial"/>
                <w:color w:val="000000"/>
                <w:sz w:val="20"/>
                <w:szCs w:val="20"/>
                <w:lang w:val="en-US" w:eastAsia="en-US"/>
              </w:rPr>
              <w:t>20,20%</w:t>
            </w:r>
          </w:p>
        </w:tc>
        <w:tc>
          <w:tcPr>
            <w:tcW w:w="1275" w:type="dxa"/>
            <w:tcBorders>
              <w:top w:val="nil"/>
              <w:left w:val="nil"/>
              <w:bottom w:val="single" w:sz="4" w:space="0" w:color="auto"/>
              <w:right w:val="single" w:sz="4" w:space="0" w:color="auto"/>
            </w:tcBorders>
            <w:shd w:val="clear" w:color="auto" w:fill="auto"/>
            <w:vAlign w:val="center"/>
            <w:hideMark/>
          </w:tcPr>
          <w:p w14:paraId="66958E16" w14:textId="77777777" w:rsidR="007B1699" w:rsidRPr="007B1699" w:rsidRDefault="007B1699" w:rsidP="007B1699">
            <w:pPr>
              <w:jc w:val="center"/>
              <w:rPr>
                <w:rFonts w:cs="Arial"/>
                <w:color w:val="000000"/>
                <w:sz w:val="20"/>
                <w:szCs w:val="20"/>
                <w:lang w:val="en-US" w:eastAsia="en-US"/>
              </w:rPr>
            </w:pPr>
            <w:r w:rsidRPr="007B1699">
              <w:rPr>
                <w:rFonts w:cs="Arial"/>
                <w:color w:val="000000"/>
                <w:sz w:val="20"/>
                <w:szCs w:val="20"/>
                <w:lang w:val="en-US" w:eastAsia="en-US"/>
              </w:rPr>
              <w:t>20,20%</w:t>
            </w:r>
          </w:p>
        </w:tc>
        <w:tc>
          <w:tcPr>
            <w:tcW w:w="1218" w:type="dxa"/>
            <w:tcBorders>
              <w:top w:val="nil"/>
              <w:left w:val="nil"/>
              <w:bottom w:val="single" w:sz="4" w:space="0" w:color="auto"/>
              <w:right w:val="single" w:sz="4" w:space="0" w:color="auto"/>
            </w:tcBorders>
            <w:shd w:val="clear" w:color="auto" w:fill="auto"/>
            <w:vAlign w:val="center"/>
            <w:hideMark/>
          </w:tcPr>
          <w:p w14:paraId="1278CDF8" w14:textId="77777777" w:rsidR="007B1699" w:rsidRPr="007B1699" w:rsidRDefault="007B1699" w:rsidP="007B1699">
            <w:pPr>
              <w:jc w:val="center"/>
              <w:rPr>
                <w:rFonts w:cs="Arial"/>
                <w:color w:val="000000"/>
                <w:sz w:val="20"/>
                <w:szCs w:val="20"/>
                <w:lang w:val="en-US" w:eastAsia="en-US"/>
              </w:rPr>
            </w:pPr>
            <w:r w:rsidRPr="007B1699">
              <w:rPr>
                <w:rFonts w:cs="Arial"/>
                <w:color w:val="000000"/>
                <w:sz w:val="20"/>
                <w:szCs w:val="20"/>
                <w:lang w:val="en-US" w:eastAsia="en-US"/>
              </w:rPr>
              <w:t>20,20%</w:t>
            </w:r>
          </w:p>
        </w:tc>
        <w:tc>
          <w:tcPr>
            <w:tcW w:w="1106" w:type="dxa"/>
            <w:tcBorders>
              <w:top w:val="nil"/>
              <w:left w:val="nil"/>
              <w:bottom w:val="single" w:sz="4" w:space="0" w:color="auto"/>
              <w:right w:val="single" w:sz="4" w:space="0" w:color="auto"/>
            </w:tcBorders>
            <w:shd w:val="clear" w:color="auto" w:fill="auto"/>
            <w:vAlign w:val="center"/>
            <w:hideMark/>
          </w:tcPr>
          <w:p w14:paraId="3F824CC1" w14:textId="77777777" w:rsidR="007B1699" w:rsidRPr="007B1699" w:rsidRDefault="007B1699" w:rsidP="007B1699">
            <w:pPr>
              <w:jc w:val="center"/>
              <w:rPr>
                <w:rFonts w:cs="Arial"/>
                <w:color w:val="000000"/>
                <w:sz w:val="20"/>
                <w:szCs w:val="20"/>
                <w:lang w:val="en-US" w:eastAsia="en-US"/>
              </w:rPr>
            </w:pPr>
            <w:r w:rsidRPr="007B1699">
              <w:rPr>
                <w:rFonts w:cs="Arial"/>
                <w:color w:val="000000"/>
                <w:sz w:val="20"/>
                <w:szCs w:val="20"/>
                <w:lang w:val="en-US" w:eastAsia="en-US"/>
              </w:rPr>
              <w:t>20,20%</w:t>
            </w:r>
          </w:p>
        </w:tc>
        <w:tc>
          <w:tcPr>
            <w:tcW w:w="1188" w:type="dxa"/>
            <w:tcBorders>
              <w:top w:val="nil"/>
              <w:left w:val="nil"/>
              <w:bottom w:val="single" w:sz="4" w:space="0" w:color="auto"/>
              <w:right w:val="single" w:sz="4" w:space="0" w:color="auto"/>
            </w:tcBorders>
            <w:shd w:val="clear" w:color="auto" w:fill="auto"/>
            <w:vAlign w:val="center"/>
            <w:hideMark/>
          </w:tcPr>
          <w:p w14:paraId="04C761A8" w14:textId="77777777" w:rsidR="007B1699" w:rsidRPr="007B1699" w:rsidRDefault="007B1699" w:rsidP="007B1699">
            <w:pPr>
              <w:jc w:val="center"/>
              <w:rPr>
                <w:rFonts w:cs="Arial"/>
                <w:color w:val="000000"/>
                <w:sz w:val="20"/>
                <w:szCs w:val="20"/>
                <w:lang w:val="en-US" w:eastAsia="en-US"/>
              </w:rPr>
            </w:pPr>
            <w:r w:rsidRPr="007B1699">
              <w:rPr>
                <w:rFonts w:cs="Arial"/>
                <w:color w:val="000000"/>
                <w:sz w:val="20"/>
                <w:szCs w:val="20"/>
                <w:lang w:val="en-US" w:eastAsia="en-US"/>
              </w:rPr>
              <w:t>20,20%</w:t>
            </w:r>
          </w:p>
        </w:tc>
        <w:tc>
          <w:tcPr>
            <w:tcW w:w="1106" w:type="dxa"/>
            <w:tcBorders>
              <w:top w:val="nil"/>
              <w:left w:val="nil"/>
              <w:bottom w:val="single" w:sz="4" w:space="0" w:color="auto"/>
              <w:right w:val="single" w:sz="8" w:space="0" w:color="auto"/>
            </w:tcBorders>
            <w:shd w:val="clear" w:color="auto" w:fill="auto"/>
            <w:vAlign w:val="center"/>
            <w:hideMark/>
          </w:tcPr>
          <w:p w14:paraId="6FFA1FD4" w14:textId="77777777" w:rsidR="007B1699" w:rsidRPr="007B1699" w:rsidRDefault="007B1699" w:rsidP="007B1699">
            <w:pPr>
              <w:jc w:val="center"/>
              <w:rPr>
                <w:rFonts w:cs="Arial"/>
                <w:color w:val="000000"/>
                <w:sz w:val="20"/>
                <w:szCs w:val="20"/>
                <w:lang w:val="en-US" w:eastAsia="en-US"/>
              </w:rPr>
            </w:pPr>
            <w:r w:rsidRPr="007B1699">
              <w:rPr>
                <w:rFonts w:cs="Arial"/>
                <w:color w:val="000000"/>
                <w:sz w:val="20"/>
                <w:szCs w:val="20"/>
                <w:lang w:val="en-US" w:eastAsia="en-US"/>
              </w:rPr>
              <w:t>20,20%</w:t>
            </w:r>
          </w:p>
        </w:tc>
      </w:tr>
      <w:tr w:rsidR="007B1699" w:rsidRPr="007B1699" w14:paraId="500E0273" w14:textId="77777777" w:rsidTr="00BF0EEF">
        <w:trPr>
          <w:trHeight w:val="795"/>
          <w:jc w:val="center"/>
        </w:trPr>
        <w:tc>
          <w:tcPr>
            <w:tcW w:w="372" w:type="dxa"/>
            <w:tcBorders>
              <w:top w:val="nil"/>
              <w:left w:val="single" w:sz="8" w:space="0" w:color="auto"/>
              <w:bottom w:val="single" w:sz="4" w:space="0" w:color="auto"/>
              <w:right w:val="single" w:sz="4" w:space="0" w:color="auto"/>
            </w:tcBorders>
            <w:shd w:val="clear" w:color="auto" w:fill="auto"/>
            <w:noWrap/>
            <w:vAlign w:val="center"/>
            <w:hideMark/>
          </w:tcPr>
          <w:p w14:paraId="518384A1" w14:textId="77777777" w:rsidR="007B1699" w:rsidRPr="007B1699" w:rsidRDefault="007B1699" w:rsidP="007B1699">
            <w:pPr>
              <w:rPr>
                <w:rFonts w:cs="Arial"/>
                <w:b/>
                <w:bCs/>
                <w:color w:val="000000"/>
                <w:sz w:val="20"/>
                <w:szCs w:val="20"/>
                <w:lang w:val="en-US" w:eastAsia="en-US"/>
              </w:rPr>
            </w:pPr>
            <w:r w:rsidRPr="007B1699">
              <w:rPr>
                <w:rFonts w:cs="Arial"/>
                <w:b/>
                <w:bCs/>
                <w:color w:val="000000"/>
                <w:sz w:val="20"/>
                <w:szCs w:val="20"/>
                <w:lang w:val="en-US" w:eastAsia="en-US"/>
              </w:rPr>
              <w:t>D</w:t>
            </w:r>
          </w:p>
        </w:tc>
        <w:tc>
          <w:tcPr>
            <w:tcW w:w="2272" w:type="dxa"/>
            <w:tcBorders>
              <w:top w:val="nil"/>
              <w:left w:val="nil"/>
              <w:bottom w:val="single" w:sz="4" w:space="0" w:color="auto"/>
              <w:right w:val="single" w:sz="4" w:space="0" w:color="auto"/>
            </w:tcBorders>
            <w:shd w:val="clear" w:color="auto" w:fill="auto"/>
            <w:vAlign w:val="center"/>
            <w:hideMark/>
          </w:tcPr>
          <w:p w14:paraId="3D83F54C" w14:textId="77777777" w:rsidR="007B1699" w:rsidRPr="007B1699" w:rsidRDefault="007B1699" w:rsidP="007B1699">
            <w:pPr>
              <w:rPr>
                <w:rFonts w:cs="Arial"/>
                <w:color w:val="000000"/>
                <w:sz w:val="20"/>
                <w:szCs w:val="20"/>
                <w:lang w:val="en-US" w:eastAsia="en-US"/>
              </w:rPr>
            </w:pPr>
            <w:r w:rsidRPr="007B1699">
              <w:rPr>
                <w:rFonts w:cs="Arial"/>
                <w:color w:val="000000"/>
                <w:sz w:val="20"/>
                <w:szCs w:val="20"/>
                <w:lang w:val="en-US" w:eastAsia="en-US"/>
              </w:rPr>
              <w:t>Estimated number of Australian adults with SNHL</w:t>
            </w:r>
          </w:p>
        </w:tc>
        <w:tc>
          <w:tcPr>
            <w:tcW w:w="1134" w:type="dxa"/>
            <w:tcBorders>
              <w:top w:val="nil"/>
              <w:left w:val="nil"/>
              <w:bottom w:val="single" w:sz="4" w:space="0" w:color="auto"/>
              <w:right w:val="single" w:sz="4" w:space="0" w:color="auto"/>
            </w:tcBorders>
            <w:shd w:val="clear" w:color="auto" w:fill="auto"/>
            <w:vAlign w:val="center"/>
            <w:hideMark/>
          </w:tcPr>
          <w:p w14:paraId="0A66322A" w14:textId="77777777" w:rsidR="007B1699" w:rsidRPr="007B1699" w:rsidRDefault="007B1699" w:rsidP="007B1699">
            <w:pPr>
              <w:jc w:val="center"/>
              <w:rPr>
                <w:rFonts w:cs="Arial"/>
                <w:color w:val="000000"/>
                <w:sz w:val="20"/>
                <w:szCs w:val="20"/>
                <w:lang w:val="en-US" w:eastAsia="en-US"/>
              </w:rPr>
            </w:pPr>
            <w:r w:rsidRPr="007B1699">
              <w:rPr>
                <w:rFonts w:cs="Arial"/>
                <w:color w:val="000000"/>
                <w:sz w:val="20"/>
                <w:szCs w:val="20"/>
                <w:lang w:val="en-US" w:eastAsia="en-US"/>
              </w:rPr>
              <w:t>B x C</w:t>
            </w:r>
          </w:p>
        </w:tc>
        <w:tc>
          <w:tcPr>
            <w:tcW w:w="1171" w:type="dxa"/>
            <w:tcBorders>
              <w:top w:val="nil"/>
              <w:left w:val="nil"/>
              <w:bottom w:val="single" w:sz="4" w:space="0" w:color="auto"/>
              <w:right w:val="single" w:sz="4" w:space="0" w:color="auto"/>
            </w:tcBorders>
            <w:shd w:val="clear" w:color="auto" w:fill="auto"/>
            <w:vAlign w:val="center"/>
            <w:hideMark/>
          </w:tcPr>
          <w:p w14:paraId="0D9F28A9" w14:textId="77777777" w:rsidR="007B1699" w:rsidRPr="007B1699" w:rsidRDefault="007B1699" w:rsidP="007B1699">
            <w:pPr>
              <w:jc w:val="center"/>
              <w:rPr>
                <w:rFonts w:cs="Arial"/>
                <w:color w:val="000000"/>
                <w:sz w:val="20"/>
                <w:szCs w:val="20"/>
                <w:lang w:val="en-US" w:eastAsia="en-US"/>
              </w:rPr>
            </w:pPr>
            <w:r w:rsidRPr="007B1699">
              <w:rPr>
                <w:rFonts w:cs="Arial"/>
                <w:color w:val="000000"/>
                <w:sz w:val="20"/>
                <w:szCs w:val="20"/>
                <w:lang w:val="en-US" w:eastAsia="en-US"/>
              </w:rPr>
              <w:t>3812099</w:t>
            </w:r>
          </w:p>
        </w:tc>
        <w:tc>
          <w:tcPr>
            <w:tcW w:w="1275" w:type="dxa"/>
            <w:tcBorders>
              <w:top w:val="nil"/>
              <w:left w:val="nil"/>
              <w:bottom w:val="single" w:sz="4" w:space="0" w:color="auto"/>
              <w:right w:val="single" w:sz="4" w:space="0" w:color="auto"/>
            </w:tcBorders>
            <w:shd w:val="clear" w:color="auto" w:fill="auto"/>
            <w:vAlign w:val="center"/>
            <w:hideMark/>
          </w:tcPr>
          <w:p w14:paraId="2DE7A619" w14:textId="77777777" w:rsidR="007B1699" w:rsidRPr="007B1699" w:rsidRDefault="007B1699" w:rsidP="007B1699">
            <w:pPr>
              <w:jc w:val="center"/>
              <w:rPr>
                <w:rFonts w:cs="Arial"/>
                <w:color w:val="000000"/>
                <w:sz w:val="20"/>
                <w:szCs w:val="20"/>
                <w:lang w:val="en-US" w:eastAsia="en-US"/>
              </w:rPr>
            </w:pPr>
            <w:r w:rsidRPr="007B1699">
              <w:rPr>
                <w:rFonts w:cs="Arial"/>
                <w:color w:val="000000"/>
                <w:sz w:val="20"/>
                <w:szCs w:val="20"/>
                <w:lang w:val="en-US" w:eastAsia="en-US"/>
              </w:rPr>
              <w:t>3878765</w:t>
            </w:r>
          </w:p>
        </w:tc>
        <w:tc>
          <w:tcPr>
            <w:tcW w:w="1218" w:type="dxa"/>
            <w:tcBorders>
              <w:top w:val="nil"/>
              <w:left w:val="nil"/>
              <w:bottom w:val="single" w:sz="4" w:space="0" w:color="auto"/>
              <w:right w:val="single" w:sz="4" w:space="0" w:color="auto"/>
            </w:tcBorders>
            <w:shd w:val="clear" w:color="auto" w:fill="auto"/>
            <w:vAlign w:val="center"/>
            <w:hideMark/>
          </w:tcPr>
          <w:p w14:paraId="2ADBEA98" w14:textId="77777777" w:rsidR="007B1699" w:rsidRPr="007B1699" w:rsidRDefault="007B1699" w:rsidP="007B1699">
            <w:pPr>
              <w:jc w:val="center"/>
              <w:rPr>
                <w:rFonts w:cs="Arial"/>
                <w:color w:val="000000"/>
                <w:sz w:val="20"/>
                <w:szCs w:val="20"/>
                <w:lang w:val="en-US" w:eastAsia="en-US"/>
              </w:rPr>
            </w:pPr>
            <w:r w:rsidRPr="007B1699">
              <w:rPr>
                <w:rFonts w:cs="Arial"/>
                <w:color w:val="000000"/>
                <w:sz w:val="20"/>
                <w:szCs w:val="20"/>
                <w:lang w:val="en-US" w:eastAsia="en-US"/>
              </w:rPr>
              <w:t>3944889</w:t>
            </w:r>
          </w:p>
        </w:tc>
        <w:tc>
          <w:tcPr>
            <w:tcW w:w="1106" w:type="dxa"/>
            <w:tcBorders>
              <w:top w:val="nil"/>
              <w:left w:val="nil"/>
              <w:bottom w:val="single" w:sz="4" w:space="0" w:color="auto"/>
              <w:right w:val="single" w:sz="4" w:space="0" w:color="auto"/>
            </w:tcBorders>
            <w:shd w:val="clear" w:color="auto" w:fill="auto"/>
            <w:vAlign w:val="center"/>
            <w:hideMark/>
          </w:tcPr>
          <w:p w14:paraId="51C39712" w14:textId="77777777" w:rsidR="007B1699" w:rsidRPr="007B1699" w:rsidRDefault="007B1699" w:rsidP="007B1699">
            <w:pPr>
              <w:jc w:val="center"/>
              <w:rPr>
                <w:rFonts w:cs="Arial"/>
                <w:color w:val="000000"/>
                <w:sz w:val="20"/>
                <w:szCs w:val="20"/>
                <w:lang w:val="en-US" w:eastAsia="en-US"/>
              </w:rPr>
            </w:pPr>
            <w:r w:rsidRPr="007B1699">
              <w:rPr>
                <w:rFonts w:cs="Arial"/>
                <w:color w:val="000000"/>
                <w:sz w:val="20"/>
                <w:szCs w:val="20"/>
                <w:lang w:val="en-US" w:eastAsia="en-US"/>
              </w:rPr>
              <w:t>4010474</w:t>
            </w:r>
          </w:p>
        </w:tc>
        <w:tc>
          <w:tcPr>
            <w:tcW w:w="1188" w:type="dxa"/>
            <w:tcBorders>
              <w:top w:val="nil"/>
              <w:left w:val="nil"/>
              <w:bottom w:val="single" w:sz="4" w:space="0" w:color="auto"/>
              <w:right w:val="single" w:sz="4" w:space="0" w:color="auto"/>
            </w:tcBorders>
            <w:shd w:val="clear" w:color="auto" w:fill="auto"/>
            <w:vAlign w:val="center"/>
            <w:hideMark/>
          </w:tcPr>
          <w:p w14:paraId="57875CD0" w14:textId="77777777" w:rsidR="007B1699" w:rsidRPr="007B1699" w:rsidRDefault="007B1699" w:rsidP="007B1699">
            <w:pPr>
              <w:jc w:val="center"/>
              <w:rPr>
                <w:rFonts w:cs="Arial"/>
                <w:color w:val="000000"/>
                <w:sz w:val="20"/>
                <w:szCs w:val="20"/>
                <w:lang w:val="en-US" w:eastAsia="en-US"/>
              </w:rPr>
            </w:pPr>
            <w:r w:rsidRPr="007B1699">
              <w:rPr>
                <w:rFonts w:cs="Arial"/>
                <w:color w:val="000000"/>
                <w:sz w:val="20"/>
                <w:szCs w:val="20"/>
                <w:lang w:val="en-US" w:eastAsia="en-US"/>
              </w:rPr>
              <w:t>4075066</w:t>
            </w:r>
          </w:p>
        </w:tc>
        <w:tc>
          <w:tcPr>
            <w:tcW w:w="1106" w:type="dxa"/>
            <w:tcBorders>
              <w:top w:val="nil"/>
              <w:left w:val="nil"/>
              <w:bottom w:val="single" w:sz="4" w:space="0" w:color="auto"/>
              <w:right w:val="single" w:sz="8" w:space="0" w:color="auto"/>
            </w:tcBorders>
            <w:shd w:val="clear" w:color="auto" w:fill="auto"/>
            <w:vAlign w:val="center"/>
            <w:hideMark/>
          </w:tcPr>
          <w:p w14:paraId="7F007824" w14:textId="77777777" w:rsidR="007B1699" w:rsidRPr="007B1699" w:rsidRDefault="007B1699" w:rsidP="007B1699">
            <w:pPr>
              <w:jc w:val="center"/>
              <w:rPr>
                <w:rFonts w:cs="Arial"/>
                <w:color w:val="000000"/>
                <w:sz w:val="20"/>
                <w:szCs w:val="20"/>
                <w:lang w:val="en-US" w:eastAsia="en-US"/>
              </w:rPr>
            </w:pPr>
            <w:r w:rsidRPr="007B1699">
              <w:rPr>
                <w:rFonts w:cs="Arial"/>
                <w:color w:val="000000"/>
                <w:sz w:val="20"/>
                <w:szCs w:val="20"/>
                <w:lang w:val="en-US" w:eastAsia="en-US"/>
              </w:rPr>
              <w:t>4144342</w:t>
            </w:r>
          </w:p>
        </w:tc>
      </w:tr>
      <w:tr w:rsidR="007B1699" w:rsidRPr="007B1699" w14:paraId="6C035A28" w14:textId="77777777" w:rsidTr="00BF0EEF">
        <w:trPr>
          <w:trHeight w:val="780"/>
          <w:jc w:val="center"/>
        </w:trPr>
        <w:tc>
          <w:tcPr>
            <w:tcW w:w="372" w:type="dxa"/>
            <w:tcBorders>
              <w:top w:val="nil"/>
              <w:left w:val="single" w:sz="8" w:space="0" w:color="auto"/>
              <w:bottom w:val="single" w:sz="4" w:space="0" w:color="auto"/>
              <w:right w:val="single" w:sz="4" w:space="0" w:color="auto"/>
            </w:tcBorders>
            <w:shd w:val="clear" w:color="auto" w:fill="auto"/>
            <w:noWrap/>
            <w:vAlign w:val="center"/>
            <w:hideMark/>
          </w:tcPr>
          <w:p w14:paraId="4480DBE8" w14:textId="77777777" w:rsidR="007B1699" w:rsidRPr="007B1699" w:rsidRDefault="007B1699" w:rsidP="007B1699">
            <w:pPr>
              <w:rPr>
                <w:rFonts w:cs="Arial"/>
                <w:b/>
                <w:bCs/>
                <w:color w:val="000000"/>
                <w:sz w:val="20"/>
                <w:szCs w:val="20"/>
                <w:lang w:val="en-US" w:eastAsia="en-US"/>
              </w:rPr>
            </w:pPr>
            <w:r w:rsidRPr="007B1699">
              <w:rPr>
                <w:rFonts w:cs="Arial"/>
                <w:b/>
                <w:bCs/>
                <w:color w:val="000000"/>
                <w:sz w:val="20"/>
                <w:szCs w:val="20"/>
                <w:lang w:val="en-US" w:eastAsia="en-US"/>
              </w:rPr>
              <w:t>E</w:t>
            </w:r>
          </w:p>
        </w:tc>
        <w:tc>
          <w:tcPr>
            <w:tcW w:w="2272" w:type="dxa"/>
            <w:tcBorders>
              <w:top w:val="nil"/>
              <w:left w:val="nil"/>
              <w:bottom w:val="single" w:sz="4" w:space="0" w:color="auto"/>
              <w:right w:val="single" w:sz="4" w:space="0" w:color="auto"/>
            </w:tcBorders>
            <w:shd w:val="clear" w:color="auto" w:fill="auto"/>
            <w:vAlign w:val="center"/>
            <w:hideMark/>
          </w:tcPr>
          <w:p w14:paraId="1E811CDD" w14:textId="77777777" w:rsidR="007B1699" w:rsidRPr="007B1699" w:rsidRDefault="007B1699" w:rsidP="007B1699">
            <w:pPr>
              <w:rPr>
                <w:rFonts w:cs="Arial"/>
                <w:color w:val="000000"/>
                <w:sz w:val="20"/>
                <w:szCs w:val="20"/>
                <w:lang w:val="en-US" w:eastAsia="en-US"/>
              </w:rPr>
            </w:pPr>
            <w:r w:rsidRPr="007B1699">
              <w:rPr>
                <w:rFonts w:cs="Arial"/>
                <w:color w:val="000000"/>
                <w:sz w:val="20"/>
                <w:szCs w:val="20"/>
                <w:lang w:val="en-US" w:eastAsia="en-US"/>
              </w:rPr>
              <w:t>Proportion of patients as possible candidate for a MEI</w:t>
            </w:r>
          </w:p>
        </w:tc>
        <w:tc>
          <w:tcPr>
            <w:tcW w:w="1134" w:type="dxa"/>
            <w:tcBorders>
              <w:top w:val="nil"/>
              <w:left w:val="nil"/>
              <w:bottom w:val="single" w:sz="4" w:space="0" w:color="auto"/>
              <w:right w:val="single" w:sz="4" w:space="0" w:color="auto"/>
            </w:tcBorders>
            <w:shd w:val="clear" w:color="auto" w:fill="auto"/>
            <w:vAlign w:val="center"/>
            <w:hideMark/>
          </w:tcPr>
          <w:p w14:paraId="5A3D0BFF" w14:textId="77777777" w:rsidR="007B1699" w:rsidRPr="007B1699" w:rsidRDefault="007B1699" w:rsidP="007B1699">
            <w:pPr>
              <w:jc w:val="center"/>
              <w:rPr>
                <w:rFonts w:cs="Arial"/>
                <w:color w:val="000000"/>
                <w:sz w:val="20"/>
                <w:szCs w:val="20"/>
                <w:lang w:val="en-US" w:eastAsia="en-US"/>
              </w:rPr>
            </w:pPr>
            <w:r w:rsidRPr="007B1699">
              <w:rPr>
                <w:rFonts w:cs="Arial"/>
                <w:color w:val="000000"/>
                <w:sz w:val="20"/>
                <w:szCs w:val="20"/>
                <w:lang w:val="en-US" w:eastAsia="en-US"/>
              </w:rPr>
              <w:t>Junker et al., (2002)</w:t>
            </w:r>
          </w:p>
        </w:tc>
        <w:tc>
          <w:tcPr>
            <w:tcW w:w="1171" w:type="dxa"/>
            <w:tcBorders>
              <w:top w:val="nil"/>
              <w:left w:val="nil"/>
              <w:bottom w:val="single" w:sz="4" w:space="0" w:color="auto"/>
              <w:right w:val="single" w:sz="4" w:space="0" w:color="auto"/>
            </w:tcBorders>
            <w:shd w:val="clear" w:color="auto" w:fill="auto"/>
            <w:vAlign w:val="center"/>
            <w:hideMark/>
          </w:tcPr>
          <w:p w14:paraId="73021AF0" w14:textId="77777777" w:rsidR="007B1699" w:rsidRPr="007B1699" w:rsidRDefault="007B1699" w:rsidP="007B1699">
            <w:pPr>
              <w:jc w:val="center"/>
              <w:rPr>
                <w:rFonts w:cs="Arial"/>
                <w:color w:val="000000"/>
                <w:sz w:val="20"/>
                <w:szCs w:val="20"/>
                <w:lang w:val="en-US" w:eastAsia="en-US"/>
              </w:rPr>
            </w:pPr>
            <w:r w:rsidRPr="007B1699">
              <w:rPr>
                <w:rFonts w:cs="Arial"/>
                <w:color w:val="000000"/>
                <w:sz w:val="20"/>
                <w:szCs w:val="20"/>
                <w:lang w:val="en-US" w:eastAsia="en-US"/>
              </w:rPr>
              <w:t>0,76%</w:t>
            </w:r>
          </w:p>
        </w:tc>
        <w:tc>
          <w:tcPr>
            <w:tcW w:w="1275" w:type="dxa"/>
            <w:tcBorders>
              <w:top w:val="nil"/>
              <w:left w:val="nil"/>
              <w:bottom w:val="single" w:sz="4" w:space="0" w:color="auto"/>
              <w:right w:val="single" w:sz="4" w:space="0" w:color="auto"/>
            </w:tcBorders>
            <w:shd w:val="clear" w:color="auto" w:fill="auto"/>
            <w:vAlign w:val="center"/>
            <w:hideMark/>
          </w:tcPr>
          <w:p w14:paraId="32D05935" w14:textId="77777777" w:rsidR="007B1699" w:rsidRPr="007B1699" w:rsidRDefault="007B1699" w:rsidP="007B1699">
            <w:pPr>
              <w:jc w:val="center"/>
              <w:rPr>
                <w:rFonts w:cs="Arial"/>
                <w:color w:val="000000"/>
                <w:sz w:val="20"/>
                <w:szCs w:val="20"/>
                <w:lang w:val="en-US" w:eastAsia="en-US"/>
              </w:rPr>
            </w:pPr>
            <w:r w:rsidRPr="007B1699">
              <w:rPr>
                <w:rFonts w:cs="Arial"/>
                <w:color w:val="000000"/>
                <w:sz w:val="20"/>
                <w:szCs w:val="20"/>
                <w:lang w:val="en-US" w:eastAsia="en-US"/>
              </w:rPr>
              <w:t>0,76%</w:t>
            </w:r>
          </w:p>
        </w:tc>
        <w:tc>
          <w:tcPr>
            <w:tcW w:w="1218" w:type="dxa"/>
            <w:tcBorders>
              <w:top w:val="nil"/>
              <w:left w:val="nil"/>
              <w:bottom w:val="single" w:sz="4" w:space="0" w:color="auto"/>
              <w:right w:val="single" w:sz="4" w:space="0" w:color="auto"/>
            </w:tcBorders>
            <w:shd w:val="clear" w:color="auto" w:fill="auto"/>
            <w:vAlign w:val="center"/>
            <w:hideMark/>
          </w:tcPr>
          <w:p w14:paraId="7DFB0F01" w14:textId="77777777" w:rsidR="007B1699" w:rsidRPr="007B1699" w:rsidRDefault="007B1699" w:rsidP="007B1699">
            <w:pPr>
              <w:jc w:val="center"/>
              <w:rPr>
                <w:rFonts w:cs="Arial"/>
                <w:color w:val="000000"/>
                <w:sz w:val="20"/>
                <w:szCs w:val="20"/>
                <w:lang w:val="en-US" w:eastAsia="en-US"/>
              </w:rPr>
            </w:pPr>
            <w:r w:rsidRPr="007B1699">
              <w:rPr>
                <w:rFonts w:cs="Arial"/>
                <w:color w:val="000000"/>
                <w:sz w:val="20"/>
                <w:szCs w:val="20"/>
                <w:lang w:val="en-US" w:eastAsia="en-US"/>
              </w:rPr>
              <w:t>0,76%</w:t>
            </w:r>
          </w:p>
        </w:tc>
        <w:tc>
          <w:tcPr>
            <w:tcW w:w="1106" w:type="dxa"/>
            <w:tcBorders>
              <w:top w:val="nil"/>
              <w:left w:val="nil"/>
              <w:bottom w:val="single" w:sz="4" w:space="0" w:color="auto"/>
              <w:right w:val="single" w:sz="4" w:space="0" w:color="auto"/>
            </w:tcBorders>
            <w:shd w:val="clear" w:color="auto" w:fill="auto"/>
            <w:vAlign w:val="center"/>
            <w:hideMark/>
          </w:tcPr>
          <w:p w14:paraId="237BA7E1" w14:textId="77777777" w:rsidR="007B1699" w:rsidRPr="007B1699" w:rsidRDefault="007B1699" w:rsidP="007B1699">
            <w:pPr>
              <w:jc w:val="center"/>
              <w:rPr>
                <w:rFonts w:cs="Arial"/>
                <w:color w:val="000000"/>
                <w:sz w:val="20"/>
                <w:szCs w:val="20"/>
                <w:lang w:val="en-US" w:eastAsia="en-US"/>
              </w:rPr>
            </w:pPr>
            <w:r w:rsidRPr="007B1699">
              <w:rPr>
                <w:rFonts w:cs="Arial"/>
                <w:color w:val="000000"/>
                <w:sz w:val="20"/>
                <w:szCs w:val="20"/>
                <w:lang w:val="en-US" w:eastAsia="en-US"/>
              </w:rPr>
              <w:t>0,76%</w:t>
            </w:r>
          </w:p>
        </w:tc>
        <w:tc>
          <w:tcPr>
            <w:tcW w:w="1188" w:type="dxa"/>
            <w:tcBorders>
              <w:top w:val="nil"/>
              <w:left w:val="nil"/>
              <w:bottom w:val="single" w:sz="4" w:space="0" w:color="auto"/>
              <w:right w:val="single" w:sz="4" w:space="0" w:color="auto"/>
            </w:tcBorders>
            <w:shd w:val="clear" w:color="auto" w:fill="auto"/>
            <w:vAlign w:val="center"/>
            <w:hideMark/>
          </w:tcPr>
          <w:p w14:paraId="59E428A5" w14:textId="77777777" w:rsidR="007B1699" w:rsidRPr="007B1699" w:rsidRDefault="007B1699" w:rsidP="007B1699">
            <w:pPr>
              <w:jc w:val="center"/>
              <w:rPr>
                <w:rFonts w:cs="Arial"/>
                <w:color w:val="000000"/>
                <w:sz w:val="20"/>
                <w:szCs w:val="20"/>
                <w:lang w:val="en-US" w:eastAsia="en-US"/>
              </w:rPr>
            </w:pPr>
            <w:r w:rsidRPr="007B1699">
              <w:rPr>
                <w:rFonts w:cs="Arial"/>
                <w:color w:val="000000"/>
                <w:sz w:val="20"/>
                <w:szCs w:val="20"/>
                <w:lang w:val="en-US" w:eastAsia="en-US"/>
              </w:rPr>
              <w:t>0,76%</w:t>
            </w:r>
          </w:p>
        </w:tc>
        <w:tc>
          <w:tcPr>
            <w:tcW w:w="1106" w:type="dxa"/>
            <w:tcBorders>
              <w:top w:val="nil"/>
              <w:left w:val="nil"/>
              <w:bottom w:val="single" w:sz="4" w:space="0" w:color="auto"/>
              <w:right w:val="single" w:sz="8" w:space="0" w:color="auto"/>
            </w:tcBorders>
            <w:shd w:val="clear" w:color="auto" w:fill="auto"/>
            <w:vAlign w:val="center"/>
            <w:hideMark/>
          </w:tcPr>
          <w:p w14:paraId="20F82DD7" w14:textId="77777777" w:rsidR="007B1699" w:rsidRPr="007B1699" w:rsidRDefault="007B1699" w:rsidP="007B1699">
            <w:pPr>
              <w:jc w:val="center"/>
              <w:rPr>
                <w:rFonts w:cs="Arial"/>
                <w:color w:val="000000"/>
                <w:sz w:val="20"/>
                <w:szCs w:val="20"/>
                <w:lang w:val="en-US" w:eastAsia="en-US"/>
              </w:rPr>
            </w:pPr>
            <w:r w:rsidRPr="007B1699">
              <w:rPr>
                <w:rFonts w:cs="Arial"/>
                <w:color w:val="000000"/>
                <w:sz w:val="20"/>
                <w:szCs w:val="20"/>
                <w:lang w:val="en-US" w:eastAsia="en-US"/>
              </w:rPr>
              <w:t>0,76%</w:t>
            </w:r>
          </w:p>
        </w:tc>
      </w:tr>
      <w:tr w:rsidR="007B1699" w:rsidRPr="007B1699" w14:paraId="194FFCB9" w14:textId="77777777" w:rsidTr="00BF0EEF">
        <w:trPr>
          <w:trHeight w:val="750"/>
          <w:jc w:val="center"/>
        </w:trPr>
        <w:tc>
          <w:tcPr>
            <w:tcW w:w="372" w:type="dxa"/>
            <w:tcBorders>
              <w:top w:val="nil"/>
              <w:left w:val="single" w:sz="8" w:space="0" w:color="auto"/>
              <w:bottom w:val="single" w:sz="4" w:space="0" w:color="auto"/>
              <w:right w:val="single" w:sz="4" w:space="0" w:color="auto"/>
            </w:tcBorders>
            <w:shd w:val="clear" w:color="auto" w:fill="auto"/>
            <w:noWrap/>
            <w:vAlign w:val="center"/>
            <w:hideMark/>
          </w:tcPr>
          <w:p w14:paraId="57A6B48E" w14:textId="77777777" w:rsidR="007B1699" w:rsidRPr="007B1699" w:rsidRDefault="007B1699" w:rsidP="007B1699">
            <w:pPr>
              <w:rPr>
                <w:rFonts w:cs="Arial"/>
                <w:b/>
                <w:bCs/>
                <w:color w:val="000000"/>
                <w:sz w:val="20"/>
                <w:szCs w:val="20"/>
                <w:lang w:val="en-US" w:eastAsia="en-US"/>
              </w:rPr>
            </w:pPr>
            <w:r w:rsidRPr="007B1699">
              <w:rPr>
                <w:rFonts w:cs="Arial"/>
                <w:b/>
                <w:bCs/>
                <w:color w:val="000000"/>
                <w:sz w:val="20"/>
                <w:szCs w:val="20"/>
                <w:lang w:val="en-US" w:eastAsia="en-US"/>
              </w:rPr>
              <w:t>F</w:t>
            </w:r>
          </w:p>
        </w:tc>
        <w:tc>
          <w:tcPr>
            <w:tcW w:w="2272" w:type="dxa"/>
            <w:tcBorders>
              <w:top w:val="nil"/>
              <w:left w:val="nil"/>
              <w:bottom w:val="single" w:sz="4" w:space="0" w:color="auto"/>
              <w:right w:val="single" w:sz="4" w:space="0" w:color="auto"/>
            </w:tcBorders>
            <w:shd w:val="clear" w:color="auto" w:fill="auto"/>
            <w:vAlign w:val="center"/>
            <w:hideMark/>
          </w:tcPr>
          <w:p w14:paraId="31698760" w14:textId="77777777" w:rsidR="007B1699" w:rsidRPr="007B1699" w:rsidRDefault="007B1699" w:rsidP="007B1699">
            <w:pPr>
              <w:rPr>
                <w:rFonts w:cs="Arial"/>
                <w:color w:val="000000"/>
                <w:sz w:val="20"/>
                <w:szCs w:val="20"/>
                <w:lang w:val="en-US" w:eastAsia="en-US"/>
              </w:rPr>
            </w:pPr>
            <w:r w:rsidRPr="007B1699">
              <w:rPr>
                <w:rFonts w:cs="Arial"/>
                <w:color w:val="000000"/>
                <w:sz w:val="20"/>
                <w:szCs w:val="20"/>
                <w:lang w:val="en-US" w:eastAsia="en-US"/>
              </w:rPr>
              <w:t>Number of Australian adults with SNHL and candidates of a MEI</w:t>
            </w:r>
          </w:p>
        </w:tc>
        <w:tc>
          <w:tcPr>
            <w:tcW w:w="1134" w:type="dxa"/>
            <w:tcBorders>
              <w:top w:val="nil"/>
              <w:left w:val="nil"/>
              <w:bottom w:val="single" w:sz="4" w:space="0" w:color="auto"/>
              <w:right w:val="single" w:sz="4" w:space="0" w:color="auto"/>
            </w:tcBorders>
            <w:shd w:val="clear" w:color="auto" w:fill="auto"/>
            <w:vAlign w:val="center"/>
            <w:hideMark/>
          </w:tcPr>
          <w:p w14:paraId="387B34E8" w14:textId="77777777" w:rsidR="007B1699" w:rsidRPr="007B1699" w:rsidRDefault="007B1699" w:rsidP="007B1699">
            <w:pPr>
              <w:jc w:val="center"/>
              <w:rPr>
                <w:rFonts w:cs="Arial"/>
                <w:color w:val="000000"/>
                <w:sz w:val="20"/>
                <w:szCs w:val="20"/>
                <w:lang w:val="en-US" w:eastAsia="en-US"/>
              </w:rPr>
            </w:pPr>
            <w:r w:rsidRPr="007B1699">
              <w:rPr>
                <w:rFonts w:cs="Arial"/>
                <w:color w:val="000000"/>
                <w:sz w:val="20"/>
                <w:szCs w:val="20"/>
                <w:lang w:val="en-US" w:eastAsia="en-US"/>
              </w:rPr>
              <w:t>D x E</w:t>
            </w:r>
          </w:p>
        </w:tc>
        <w:tc>
          <w:tcPr>
            <w:tcW w:w="1171" w:type="dxa"/>
            <w:tcBorders>
              <w:top w:val="nil"/>
              <w:left w:val="nil"/>
              <w:bottom w:val="single" w:sz="4" w:space="0" w:color="auto"/>
              <w:right w:val="single" w:sz="4" w:space="0" w:color="auto"/>
            </w:tcBorders>
            <w:shd w:val="clear" w:color="auto" w:fill="auto"/>
            <w:vAlign w:val="center"/>
            <w:hideMark/>
          </w:tcPr>
          <w:p w14:paraId="69A9899C" w14:textId="77777777" w:rsidR="007B1699" w:rsidRPr="007B1699" w:rsidRDefault="007B1699" w:rsidP="007B1699">
            <w:pPr>
              <w:jc w:val="center"/>
              <w:rPr>
                <w:rFonts w:cs="Arial"/>
                <w:color w:val="000000"/>
                <w:sz w:val="20"/>
                <w:szCs w:val="20"/>
                <w:lang w:val="en-US" w:eastAsia="en-US"/>
              </w:rPr>
            </w:pPr>
            <w:r w:rsidRPr="007B1699">
              <w:rPr>
                <w:rFonts w:cs="Arial"/>
                <w:color w:val="000000"/>
                <w:sz w:val="20"/>
                <w:szCs w:val="20"/>
                <w:lang w:val="en-US" w:eastAsia="en-US"/>
              </w:rPr>
              <w:t>28972</w:t>
            </w:r>
          </w:p>
        </w:tc>
        <w:tc>
          <w:tcPr>
            <w:tcW w:w="1275" w:type="dxa"/>
            <w:tcBorders>
              <w:top w:val="nil"/>
              <w:left w:val="nil"/>
              <w:bottom w:val="single" w:sz="4" w:space="0" w:color="auto"/>
              <w:right w:val="single" w:sz="4" w:space="0" w:color="auto"/>
            </w:tcBorders>
            <w:shd w:val="clear" w:color="auto" w:fill="auto"/>
            <w:vAlign w:val="center"/>
            <w:hideMark/>
          </w:tcPr>
          <w:p w14:paraId="28112401" w14:textId="77777777" w:rsidR="007B1699" w:rsidRPr="007B1699" w:rsidRDefault="007B1699" w:rsidP="007B1699">
            <w:pPr>
              <w:jc w:val="center"/>
              <w:rPr>
                <w:rFonts w:cs="Arial"/>
                <w:color w:val="000000"/>
                <w:sz w:val="20"/>
                <w:szCs w:val="20"/>
                <w:lang w:val="en-US" w:eastAsia="en-US"/>
              </w:rPr>
            </w:pPr>
            <w:r w:rsidRPr="007B1699">
              <w:rPr>
                <w:rFonts w:cs="Arial"/>
                <w:color w:val="000000"/>
                <w:sz w:val="20"/>
                <w:szCs w:val="20"/>
                <w:lang w:val="en-US" w:eastAsia="en-US"/>
              </w:rPr>
              <w:t>29479</w:t>
            </w:r>
          </w:p>
        </w:tc>
        <w:tc>
          <w:tcPr>
            <w:tcW w:w="1218" w:type="dxa"/>
            <w:tcBorders>
              <w:top w:val="nil"/>
              <w:left w:val="nil"/>
              <w:bottom w:val="single" w:sz="4" w:space="0" w:color="auto"/>
              <w:right w:val="single" w:sz="4" w:space="0" w:color="auto"/>
            </w:tcBorders>
            <w:shd w:val="clear" w:color="auto" w:fill="auto"/>
            <w:vAlign w:val="center"/>
            <w:hideMark/>
          </w:tcPr>
          <w:p w14:paraId="349EF748" w14:textId="77777777" w:rsidR="007B1699" w:rsidRPr="007B1699" w:rsidRDefault="007B1699" w:rsidP="007B1699">
            <w:pPr>
              <w:jc w:val="center"/>
              <w:rPr>
                <w:rFonts w:cs="Arial"/>
                <w:color w:val="000000"/>
                <w:sz w:val="20"/>
                <w:szCs w:val="20"/>
                <w:lang w:val="en-US" w:eastAsia="en-US"/>
              </w:rPr>
            </w:pPr>
            <w:r w:rsidRPr="007B1699">
              <w:rPr>
                <w:rFonts w:cs="Arial"/>
                <w:color w:val="000000"/>
                <w:sz w:val="20"/>
                <w:szCs w:val="20"/>
                <w:lang w:val="en-US" w:eastAsia="en-US"/>
              </w:rPr>
              <w:t>29981</w:t>
            </w:r>
          </w:p>
        </w:tc>
        <w:tc>
          <w:tcPr>
            <w:tcW w:w="1106" w:type="dxa"/>
            <w:tcBorders>
              <w:top w:val="nil"/>
              <w:left w:val="nil"/>
              <w:bottom w:val="single" w:sz="4" w:space="0" w:color="auto"/>
              <w:right w:val="single" w:sz="4" w:space="0" w:color="auto"/>
            </w:tcBorders>
            <w:shd w:val="clear" w:color="auto" w:fill="auto"/>
            <w:vAlign w:val="center"/>
            <w:hideMark/>
          </w:tcPr>
          <w:p w14:paraId="5181527B" w14:textId="77777777" w:rsidR="007B1699" w:rsidRPr="007B1699" w:rsidRDefault="007B1699" w:rsidP="007B1699">
            <w:pPr>
              <w:jc w:val="center"/>
              <w:rPr>
                <w:rFonts w:cs="Arial"/>
                <w:color w:val="000000"/>
                <w:sz w:val="20"/>
                <w:szCs w:val="20"/>
                <w:lang w:val="en-US" w:eastAsia="en-US"/>
              </w:rPr>
            </w:pPr>
            <w:r w:rsidRPr="007B1699">
              <w:rPr>
                <w:rFonts w:cs="Arial"/>
                <w:color w:val="000000"/>
                <w:sz w:val="20"/>
                <w:szCs w:val="20"/>
                <w:lang w:val="en-US" w:eastAsia="en-US"/>
              </w:rPr>
              <w:t>30480</w:t>
            </w:r>
          </w:p>
        </w:tc>
        <w:tc>
          <w:tcPr>
            <w:tcW w:w="1188" w:type="dxa"/>
            <w:tcBorders>
              <w:top w:val="nil"/>
              <w:left w:val="nil"/>
              <w:bottom w:val="single" w:sz="4" w:space="0" w:color="auto"/>
              <w:right w:val="single" w:sz="4" w:space="0" w:color="auto"/>
            </w:tcBorders>
            <w:shd w:val="clear" w:color="auto" w:fill="auto"/>
            <w:vAlign w:val="center"/>
            <w:hideMark/>
          </w:tcPr>
          <w:p w14:paraId="694623E7" w14:textId="77777777" w:rsidR="007B1699" w:rsidRPr="007B1699" w:rsidRDefault="007B1699" w:rsidP="007B1699">
            <w:pPr>
              <w:jc w:val="center"/>
              <w:rPr>
                <w:rFonts w:cs="Arial"/>
                <w:color w:val="000000"/>
                <w:sz w:val="20"/>
                <w:szCs w:val="20"/>
                <w:lang w:val="en-US" w:eastAsia="en-US"/>
              </w:rPr>
            </w:pPr>
            <w:r w:rsidRPr="007B1699">
              <w:rPr>
                <w:rFonts w:cs="Arial"/>
                <w:color w:val="000000"/>
                <w:sz w:val="20"/>
                <w:szCs w:val="20"/>
                <w:lang w:val="en-US" w:eastAsia="en-US"/>
              </w:rPr>
              <w:t>30970</w:t>
            </w:r>
          </w:p>
        </w:tc>
        <w:tc>
          <w:tcPr>
            <w:tcW w:w="1106" w:type="dxa"/>
            <w:tcBorders>
              <w:top w:val="nil"/>
              <w:left w:val="nil"/>
              <w:bottom w:val="single" w:sz="4" w:space="0" w:color="auto"/>
              <w:right w:val="single" w:sz="8" w:space="0" w:color="auto"/>
            </w:tcBorders>
            <w:shd w:val="clear" w:color="auto" w:fill="auto"/>
            <w:vAlign w:val="center"/>
            <w:hideMark/>
          </w:tcPr>
          <w:p w14:paraId="42DC5259" w14:textId="77777777" w:rsidR="007B1699" w:rsidRPr="007B1699" w:rsidRDefault="007B1699" w:rsidP="007B1699">
            <w:pPr>
              <w:jc w:val="center"/>
              <w:rPr>
                <w:rFonts w:cs="Arial"/>
                <w:color w:val="000000"/>
                <w:sz w:val="20"/>
                <w:szCs w:val="20"/>
                <w:lang w:val="en-US" w:eastAsia="en-US"/>
              </w:rPr>
            </w:pPr>
            <w:r w:rsidRPr="007B1699">
              <w:rPr>
                <w:rFonts w:cs="Arial"/>
                <w:color w:val="000000"/>
                <w:sz w:val="20"/>
                <w:szCs w:val="20"/>
                <w:lang w:val="en-US" w:eastAsia="en-US"/>
              </w:rPr>
              <w:t>31497</w:t>
            </w:r>
          </w:p>
        </w:tc>
      </w:tr>
      <w:tr w:rsidR="007B1699" w:rsidRPr="007B1699" w14:paraId="50748F96" w14:textId="77777777" w:rsidTr="00BF0EEF">
        <w:trPr>
          <w:trHeight w:val="1020"/>
          <w:jc w:val="center"/>
        </w:trPr>
        <w:tc>
          <w:tcPr>
            <w:tcW w:w="372" w:type="dxa"/>
            <w:tcBorders>
              <w:top w:val="nil"/>
              <w:left w:val="single" w:sz="8" w:space="0" w:color="auto"/>
              <w:bottom w:val="single" w:sz="4" w:space="0" w:color="auto"/>
              <w:right w:val="single" w:sz="4" w:space="0" w:color="auto"/>
            </w:tcBorders>
            <w:shd w:val="clear" w:color="auto" w:fill="auto"/>
            <w:noWrap/>
            <w:vAlign w:val="center"/>
            <w:hideMark/>
          </w:tcPr>
          <w:p w14:paraId="2C9EF743" w14:textId="77777777" w:rsidR="007B1699" w:rsidRPr="007B1699" w:rsidRDefault="007B1699" w:rsidP="007B1699">
            <w:pPr>
              <w:rPr>
                <w:rFonts w:cs="Arial"/>
                <w:b/>
                <w:bCs/>
                <w:color w:val="000000"/>
                <w:sz w:val="20"/>
                <w:szCs w:val="20"/>
                <w:lang w:val="en-US" w:eastAsia="en-US"/>
              </w:rPr>
            </w:pPr>
            <w:r w:rsidRPr="007B1699">
              <w:rPr>
                <w:rFonts w:cs="Arial"/>
                <w:b/>
                <w:bCs/>
                <w:color w:val="000000"/>
                <w:sz w:val="20"/>
                <w:szCs w:val="20"/>
                <w:lang w:val="en-US" w:eastAsia="en-US"/>
              </w:rPr>
              <w:t>G</w:t>
            </w:r>
          </w:p>
        </w:tc>
        <w:tc>
          <w:tcPr>
            <w:tcW w:w="2272" w:type="dxa"/>
            <w:tcBorders>
              <w:top w:val="nil"/>
              <w:left w:val="nil"/>
              <w:bottom w:val="single" w:sz="4" w:space="0" w:color="auto"/>
              <w:right w:val="single" w:sz="4" w:space="0" w:color="auto"/>
            </w:tcBorders>
            <w:shd w:val="clear" w:color="auto" w:fill="auto"/>
            <w:vAlign w:val="center"/>
            <w:hideMark/>
          </w:tcPr>
          <w:p w14:paraId="698085B3" w14:textId="77777777" w:rsidR="007B1699" w:rsidRPr="007B1699" w:rsidRDefault="007B1699" w:rsidP="007B1699">
            <w:pPr>
              <w:rPr>
                <w:rFonts w:cs="Arial"/>
                <w:color w:val="000000"/>
                <w:sz w:val="20"/>
                <w:szCs w:val="20"/>
                <w:lang w:val="en-US" w:eastAsia="en-US"/>
              </w:rPr>
            </w:pPr>
            <w:r w:rsidRPr="007B1699">
              <w:rPr>
                <w:rFonts w:cs="Arial"/>
                <w:color w:val="000000"/>
                <w:sz w:val="20"/>
                <w:szCs w:val="20"/>
                <w:lang w:val="en-US" w:eastAsia="en-US"/>
              </w:rPr>
              <w:t>Prevalence of external ear pathology in the Australian population (%)</w:t>
            </w:r>
          </w:p>
        </w:tc>
        <w:tc>
          <w:tcPr>
            <w:tcW w:w="1134" w:type="dxa"/>
            <w:tcBorders>
              <w:top w:val="nil"/>
              <w:left w:val="nil"/>
              <w:bottom w:val="single" w:sz="4" w:space="0" w:color="auto"/>
              <w:right w:val="single" w:sz="4" w:space="0" w:color="auto"/>
            </w:tcBorders>
            <w:shd w:val="clear" w:color="auto" w:fill="auto"/>
            <w:vAlign w:val="center"/>
            <w:hideMark/>
          </w:tcPr>
          <w:p w14:paraId="0296255C" w14:textId="09418639" w:rsidR="007B1699" w:rsidRPr="007B1699" w:rsidRDefault="007B1699" w:rsidP="007B1699">
            <w:pPr>
              <w:jc w:val="center"/>
              <w:rPr>
                <w:rFonts w:cs="Arial"/>
                <w:color w:val="000000"/>
                <w:sz w:val="20"/>
                <w:szCs w:val="20"/>
                <w:lang w:val="en-US" w:eastAsia="en-US"/>
              </w:rPr>
            </w:pPr>
            <w:r w:rsidRPr="007B1699">
              <w:rPr>
                <w:rFonts w:cs="Arial"/>
                <w:color w:val="000000"/>
                <w:sz w:val="20"/>
                <w:szCs w:val="20"/>
                <w:lang w:val="en-US" w:eastAsia="en-US"/>
              </w:rPr>
              <w:t xml:space="preserve">see </w:t>
            </w:r>
            <w:r>
              <w:rPr>
                <w:rFonts w:cs="Arial"/>
                <w:color w:val="000000"/>
                <w:sz w:val="20"/>
                <w:szCs w:val="20"/>
                <w:lang w:val="en-US" w:eastAsia="en-US"/>
              </w:rPr>
              <w:fldChar w:fldCharType="begin"/>
            </w:r>
            <w:r>
              <w:rPr>
                <w:rFonts w:cs="Arial"/>
                <w:color w:val="000000"/>
                <w:sz w:val="20"/>
                <w:szCs w:val="20"/>
                <w:lang w:val="en-US" w:eastAsia="en-US"/>
              </w:rPr>
              <w:instrText xml:space="preserve"> REF _Ref430959493 \h  \* MERGEFORMAT </w:instrText>
            </w:r>
            <w:r>
              <w:rPr>
                <w:rFonts w:cs="Arial"/>
                <w:color w:val="000000"/>
                <w:sz w:val="20"/>
                <w:szCs w:val="20"/>
                <w:lang w:val="en-US" w:eastAsia="en-US"/>
              </w:rPr>
            </w:r>
            <w:r>
              <w:rPr>
                <w:rFonts w:cs="Arial"/>
                <w:color w:val="000000"/>
                <w:sz w:val="20"/>
                <w:szCs w:val="20"/>
                <w:lang w:val="en-US" w:eastAsia="en-US"/>
              </w:rPr>
              <w:fldChar w:fldCharType="separate"/>
            </w:r>
            <w:r w:rsidRPr="007B1699">
              <w:rPr>
                <w:rFonts w:cs="Arial"/>
                <w:color w:val="000000"/>
                <w:sz w:val="20"/>
                <w:szCs w:val="20"/>
                <w:lang w:val="en-US" w:eastAsia="en-US"/>
              </w:rPr>
              <w:t>Table 34</w:t>
            </w:r>
            <w:r>
              <w:rPr>
                <w:rFonts w:cs="Arial"/>
                <w:color w:val="000000"/>
                <w:sz w:val="20"/>
                <w:szCs w:val="20"/>
                <w:lang w:val="en-US" w:eastAsia="en-US"/>
              </w:rPr>
              <w:fldChar w:fldCharType="end"/>
            </w:r>
          </w:p>
        </w:tc>
        <w:tc>
          <w:tcPr>
            <w:tcW w:w="1171" w:type="dxa"/>
            <w:tcBorders>
              <w:top w:val="nil"/>
              <w:left w:val="nil"/>
              <w:bottom w:val="single" w:sz="4" w:space="0" w:color="auto"/>
              <w:right w:val="single" w:sz="4" w:space="0" w:color="auto"/>
            </w:tcBorders>
            <w:shd w:val="clear" w:color="auto" w:fill="auto"/>
            <w:vAlign w:val="center"/>
            <w:hideMark/>
          </w:tcPr>
          <w:p w14:paraId="5523DB2A" w14:textId="77777777" w:rsidR="007B1699" w:rsidRPr="007B1699" w:rsidRDefault="007B1699" w:rsidP="007B1699">
            <w:pPr>
              <w:jc w:val="center"/>
              <w:rPr>
                <w:rFonts w:cs="Arial"/>
                <w:color w:val="000000"/>
                <w:sz w:val="20"/>
                <w:szCs w:val="20"/>
                <w:lang w:val="en-US" w:eastAsia="en-US"/>
              </w:rPr>
            </w:pPr>
            <w:r w:rsidRPr="007B1699">
              <w:rPr>
                <w:rFonts w:cs="Arial"/>
                <w:color w:val="000000"/>
                <w:sz w:val="20"/>
                <w:szCs w:val="20"/>
                <w:lang w:val="en-US" w:eastAsia="en-US"/>
              </w:rPr>
              <w:t>2,95%</w:t>
            </w:r>
          </w:p>
        </w:tc>
        <w:tc>
          <w:tcPr>
            <w:tcW w:w="1275" w:type="dxa"/>
            <w:tcBorders>
              <w:top w:val="nil"/>
              <w:left w:val="nil"/>
              <w:bottom w:val="single" w:sz="4" w:space="0" w:color="auto"/>
              <w:right w:val="single" w:sz="4" w:space="0" w:color="auto"/>
            </w:tcBorders>
            <w:shd w:val="clear" w:color="auto" w:fill="auto"/>
            <w:vAlign w:val="center"/>
            <w:hideMark/>
          </w:tcPr>
          <w:p w14:paraId="5B9BC28F" w14:textId="77777777" w:rsidR="007B1699" w:rsidRPr="007B1699" w:rsidRDefault="007B1699" w:rsidP="007B1699">
            <w:pPr>
              <w:jc w:val="center"/>
              <w:rPr>
                <w:rFonts w:cs="Arial"/>
                <w:color w:val="000000"/>
                <w:sz w:val="20"/>
                <w:szCs w:val="20"/>
                <w:lang w:val="en-US" w:eastAsia="en-US"/>
              </w:rPr>
            </w:pPr>
            <w:r w:rsidRPr="007B1699">
              <w:rPr>
                <w:rFonts w:cs="Arial"/>
                <w:color w:val="000000"/>
                <w:sz w:val="20"/>
                <w:szCs w:val="20"/>
                <w:lang w:val="en-US" w:eastAsia="en-US"/>
              </w:rPr>
              <w:t>2,95%</w:t>
            </w:r>
          </w:p>
        </w:tc>
        <w:tc>
          <w:tcPr>
            <w:tcW w:w="1218" w:type="dxa"/>
            <w:tcBorders>
              <w:top w:val="nil"/>
              <w:left w:val="nil"/>
              <w:bottom w:val="single" w:sz="4" w:space="0" w:color="auto"/>
              <w:right w:val="single" w:sz="4" w:space="0" w:color="auto"/>
            </w:tcBorders>
            <w:shd w:val="clear" w:color="auto" w:fill="auto"/>
            <w:vAlign w:val="center"/>
            <w:hideMark/>
          </w:tcPr>
          <w:p w14:paraId="0183D2CD" w14:textId="77777777" w:rsidR="007B1699" w:rsidRPr="007B1699" w:rsidRDefault="007B1699" w:rsidP="007B1699">
            <w:pPr>
              <w:jc w:val="center"/>
              <w:rPr>
                <w:rFonts w:cs="Arial"/>
                <w:color w:val="000000"/>
                <w:sz w:val="20"/>
                <w:szCs w:val="20"/>
                <w:lang w:val="en-US" w:eastAsia="en-US"/>
              </w:rPr>
            </w:pPr>
            <w:r w:rsidRPr="007B1699">
              <w:rPr>
                <w:rFonts w:cs="Arial"/>
                <w:color w:val="000000"/>
                <w:sz w:val="20"/>
                <w:szCs w:val="20"/>
                <w:lang w:val="en-US" w:eastAsia="en-US"/>
              </w:rPr>
              <w:t>2,95%</w:t>
            </w:r>
          </w:p>
        </w:tc>
        <w:tc>
          <w:tcPr>
            <w:tcW w:w="1106" w:type="dxa"/>
            <w:tcBorders>
              <w:top w:val="nil"/>
              <w:left w:val="nil"/>
              <w:bottom w:val="single" w:sz="4" w:space="0" w:color="auto"/>
              <w:right w:val="single" w:sz="4" w:space="0" w:color="auto"/>
            </w:tcBorders>
            <w:shd w:val="clear" w:color="auto" w:fill="auto"/>
            <w:vAlign w:val="center"/>
            <w:hideMark/>
          </w:tcPr>
          <w:p w14:paraId="393AB6B3" w14:textId="77777777" w:rsidR="007B1699" w:rsidRPr="007B1699" w:rsidRDefault="007B1699" w:rsidP="007B1699">
            <w:pPr>
              <w:jc w:val="center"/>
              <w:rPr>
                <w:rFonts w:cs="Arial"/>
                <w:color w:val="000000"/>
                <w:sz w:val="20"/>
                <w:szCs w:val="20"/>
                <w:lang w:val="en-US" w:eastAsia="en-US"/>
              </w:rPr>
            </w:pPr>
            <w:r w:rsidRPr="007B1699">
              <w:rPr>
                <w:rFonts w:cs="Arial"/>
                <w:color w:val="000000"/>
                <w:sz w:val="20"/>
                <w:szCs w:val="20"/>
                <w:lang w:val="en-US" w:eastAsia="en-US"/>
              </w:rPr>
              <w:t>2,95%</w:t>
            </w:r>
          </w:p>
        </w:tc>
        <w:tc>
          <w:tcPr>
            <w:tcW w:w="1188" w:type="dxa"/>
            <w:tcBorders>
              <w:top w:val="nil"/>
              <w:left w:val="nil"/>
              <w:bottom w:val="single" w:sz="4" w:space="0" w:color="auto"/>
              <w:right w:val="single" w:sz="4" w:space="0" w:color="auto"/>
            </w:tcBorders>
            <w:shd w:val="clear" w:color="auto" w:fill="auto"/>
            <w:vAlign w:val="center"/>
            <w:hideMark/>
          </w:tcPr>
          <w:p w14:paraId="1C7FBBA9" w14:textId="77777777" w:rsidR="007B1699" w:rsidRPr="007B1699" w:rsidRDefault="007B1699" w:rsidP="007B1699">
            <w:pPr>
              <w:jc w:val="center"/>
              <w:rPr>
                <w:rFonts w:cs="Arial"/>
                <w:color w:val="000000"/>
                <w:sz w:val="20"/>
                <w:szCs w:val="20"/>
                <w:lang w:val="en-US" w:eastAsia="en-US"/>
              </w:rPr>
            </w:pPr>
            <w:r w:rsidRPr="007B1699">
              <w:rPr>
                <w:rFonts w:cs="Arial"/>
                <w:color w:val="000000"/>
                <w:sz w:val="20"/>
                <w:szCs w:val="20"/>
                <w:lang w:val="en-US" w:eastAsia="en-US"/>
              </w:rPr>
              <w:t>2,95%</w:t>
            </w:r>
          </w:p>
        </w:tc>
        <w:tc>
          <w:tcPr>
            <w:tcW w:w="1106" w:type="dxa"/>
            <w:tcBorders>
              <w:top w:val="nil"/>
              <w:left w:val="nil"/>
              <w:bottom w:val="single" w:sz="4" w:space="0" w:color="auto"/>
              <w:right w:val="single" w:sz="8" w:space="0" w:color="auto"/>
            </w:tcBorders>
            <w:shd w:val="clear" w:color="auto" w:fill="auto"/>
            <w:vAlign w:val="center"/>
            <w:hideMark/>
          </w:tcPr>
          <w:p w14:paraId="6B4EFE09" w14:textId="77777777" w:rsidR="007B1699" w:rsidRPr="007B1699" w:rsidRDefault="007B1699" w:rsidP="007B1699">
            <w:pPr>
              <w:jc w:val="center"/>
              <w:rPr>
                <w:rFonts w:cs="Arial"/>
                <w:color w:val="000000"/>
                <w:sz w:val="20"/>
                <w:szCs w:val="20"/>
                <w:lang w:val="en-US" w:eastAsia="en-US"/>
              </w:rPr>
            </w:pPr>
            <w:r w:rsidRPr="007B1699">
              <w:rPr>
                <w:rFonts w:cs="Arial"/>
                <w:color w:val="000000"/>
                <w:sz w:val="20"/>
                <w:szCs w:val="20"/>
                <w:lang w:val="en-US" w:eastAsia="en-US"/>
              </w:rPr>
              <w:t>2,95%</w:t>
            </w:r>
          </w:p>
        </w:tc>
      </w:tr>
      <w:tr w:rsidR="007B1699" w:rsidRPr="007B1699" w14:paraId="6C06A5A3" w14:textId="77777777" w:rsidTr="00BF0EEF">
        <w:trPr>
          <w:trHeight w:val="900"/>
          <w:jc w:val="center"/>
        </w:trPr>
        <w:tc>
          <w:tcPr>
            <w:tcW w:w="372" w:type="dxa"/>
            <w:tcBorders>
              <w:top w:val="nil"/>
              <w:left w:val="single" w:sz="8" w:space="0" w:color="auto"/>
              <w:bottom w:val="single" w:sz="4" w:space="0" w:color="auto"/>
              <w:right w:val="single" w:sz="4" w:space="0" w:color="auto"/>
            </w:tcBorders>
            <w:shd w:val="clear" w:color="auto" w:fill="auto"/>
            <w:noWrap/>
            <w:vAlign w:val="center"/>
            <w:hideMark/>
          </w:tcPr>
          <w:p w14:paraId="22B5521F" w14:textId="77777777" w:rsidR="007B1699" w:rsidRPr="007B1699" w:rsidRDefault="007B1699" w:rsidP="007B1699">
            <w:pPr>
              <w:rPr>
                <w:rFonts w:cs="Arial"/>
                <w:b/>
                <w:bCs/>
                <w:color w:val="000000"/>
                <w:sz w:val="20"/>
                <w:szCs w:val="20"/>
                <w:lang w:val="en-US" w:eastAsia="en-US"/>
              </w:rPr>
            </w:pPr>
            <w:r w:rsidRPr="007B1699">
              <w:rPr>
                <w:rFonts w:cs="Arial"/>
                <w:b/>
                <w:bCs/>
                <w:color w:val="000000"/>
                <w:sz w:val="20"/>
                <w:szCs w:val="20"/>
                <w:lang w:val="en-US" w:eastAsia="en-US"/>
              </w:rPr>
              <w:t>H</w:t>
            </w:r>
          </w:p>
        </w:tc>
        <w:tc>
          <w:tcPr>
            <w:tcW w:w="2272" w:type="dxa"/>
            <w:tcBorders>
              <w:top w:val="nil"/>
              <w:left w:val="nil"/>
              <w:bottom w:val="single" w:sz="4" w:space="0" w:color="auto"/>
              <w:right w:val="single" w:sz="4" w:space="0" w:color="auto"/>
            </w:tcBorders>
            <w:shd w:val="clear" w:color="auto" w:fill="auto"/>
            <w:vAlign w:val="center"/>
            <w:hideMark/>
          </w:tcPr>
          <w:p w14:paraId="211C46EE" w14:textId="77777777" w:rsidR="007B1699" w:rsidRPr="007B1699" w:rsidRDefault="007B1699" w:rsidP="007B1699">
            <w:pPr>
              <w:rPr>
                <w:rFonts w:cs="Arial"/>
                <w:color w:val="000000"/>
                <w:sz w:val="20"/>
                <w:szCs w:val="20"/>
                <w:lang w:val="en-US" w:eastAsia="en-US"/>
              </w:rPr>
            </w:pPr>
            <w:r w:rsidRPr="007B1699">
              <w:rPr>
                <w:rFonts w:cs="Arial"/>
                <w:color w:val="000000"/>
                <w:sz w:val="20"/>
                <w:szCs w:val="20"/>
                <w:lang w:val="en-US" w:eastAsia="en-US"/>
              </w:rPr>
              <w:t>Estimated number of Australian adults eligible for implantation</w:t>
            </w:r>
          </w:p>
        </w:tc>
        <w:tc>
          <w:tcPr>
            <w:tcW w:w="1134" w:type="dxa"/>
            <w:tcBorders>
              <w:top w:val="nil"/>
              <w:left w:val="nil"/>
              <w:bottom w:val="single" w:sz="4" w:space="0" w:color="auto"/>
              <w:right w:val="single" w:sz="4" w:space="0" w:color="auto"/>
            </w:tcBorders>
            <w:shd w:val="clear" w:color="auto" w:fill="auto"/>
            <w:vAlign w:val="center"/>
            <w:hideMark/>
          </w:tcPr>
          <w:p w14:paraId="54D9DFDE" w14:textId="77777777" w:rsidR="007B1699" w:rsidRPr="007B1699" w:rsidRDefault="007B1699" w:rsidP="007B1699">
            <w:pPr>
              <w:jc w:val="center"/>
              <w:rPr>
                <w:rFonts w:cs="Arial"/>
                <w:color w:val="000000"/>
                <w:sz w:val="20"/>
                <w:szCs w:val="20"/>
                <w:lang w:val="en-US" w:eastAsia="en-US"/>
              </w:rPr>
            </w:pPr>
            <w:r w:rsidRPr="007B1699">
              <w:rPr>
                <w:rFonts w:cs="Arial"/>
                <w:color w:val="000000"/>
                <w:sz w:val="20"/>
                <w:szCs w:val="20"/>
                <w:lang w:val="en-US" w:eastAsia="en-US"/>
              </w:rPr>
              <w:t>F x G</w:t>
            </w:r>
          </w:p>
        </w:tc>
        <w:tc>
          <w:tcPr>
            <w:tcW w:w="1171" w:type="dxa"/>
            <w:tcBorders>
              <w:top w:val="nil"/>
              <w:left w:val="nil"/>
              <w:bottom w:val="single" w:sz="4" w:space="0" w:color="auto"/>
              <w:right w:val="single" w:sz="4" w:space="0" w:color="auto"/>
            </w:tcBorders>
            <w:shd w:val="clear" w:color="auto" w:fill="auto"/>
            <w:vAlign w:val="center"/>
            <w:hideMark/>
          </w:tcPr>
          <w:p w14:paraId="456E2575" w14:textId="77777777" w:rsidR="007B1699" w:rsidRPr="007B1699" w:rsidRDefault="007B1699" w:rsidP="007B1699">
            <w:pPr>
              <w:jc w:val="center"/>
              <w:rPr>
                <w:rFonts w:cs="Arial"/>
                <w:color w:val="000000"/>
                <w:sz w:val="20"/>
                <w:szCs w:val="20"/>
                <w:lang w:val="en-US" w:eastAsia="en-US"/>
              </w:rPr>
            </w:pPr>
            <w:r w:rsidRPr="007B1699">
              <w:rPr>
                <w:rFonts w:cs="Arial"/>
                <w:color w:val="000000"/>
                <w:sz w:val="20"/>
                <w:szCs w:val="20"/>
                <w:lang w:val="en-US" w:eastAsia="en-US"/>
              </w:rPr>
              <w:t>855</w:t>
            </w:r>
          </w:p>
        </w:tc>
        <w:tc>
          <w:tcPr>
            <w:tcW w:w="1275" w:type="dxa"/>
            <w:tcBorders>
              <w:top w:val="nil"/>
              <w:left w:val="nil"/>
              <w:bottom w:val="single" w:sz="4" w:space="0" w:color="auto"/>
              <w:right w:val="single" w:sz="4" w:space="0" w:color="auto"/>
            </w:tcBorders>
            <w:shd w:val="clear" w:color="auto" w:fill="auto"/>
            <w:vAlign w:val="center"/>
            <w:hideMark/>
          </w:tcPr>
          <w:p w14:paraId="2D9FE33B" w14:textId="77777777" w:rsidR="007B1699" w:rsidRPr="007B1699" w:rsidRDefault="007B1699" w:rsidP="007B1699">
            <w:pPr>
              <w:jc w:val="center"/>
              <w:rPr>
                <w:rFonts w:cs="Arial"/>
                <w:color w:val="000000"/>
                <w:sz w:val="20"/>
                <w:szCs w:val="20"/>
                <w:lang w:val="en-US" w:eastAsia="en-US"/>
              </w:rPr>
            </w:pPr>
            <w:r w:rsidRPr="007B1699">
              <w:rPr>
                <w:rFonts w:cs="Arial"/>
                <w:color w:val="000000"/>
                <w:sz w:val="20"/>
                <w:szCs w:val="20"/>
                <w:lang w:val="en-US" w:eastAsia="en-US"/>
              </w:rPr>
              <w:t>870</w:t>
            </w:r>
          </w:p>
        </w:tc>
        <w:tc>
          <w:tcPr>
            <w:tcW w:w="1218" w:type="dxa"/>
            <w:tcBorders>
              <w:top w:val="nil"/>
              <w:left w:val="nil"/>
              <w:bottom w:val="single" w:sz="4" w:space="0" w:color="auto"/>
              <w:right w:val="single" w:sz="4" w:space="0" w:color="auto"/>
            </w:tcBorders>
            <w:shd w:val="clear" w:color="auto" w:fill="auto"/>
            <w:vAlign w:val="center"/>
            <w:hideMark/>
          </w:tcPr>
          <w:p w14:paraId="69DD0D39" w14:textId="77777777" w:rsidR="007B1699" w:rsidRPr="007B1699" w:rsidRDefault="007B1699" w:rsidP="007B1699">
            <w:pPr>
              <w:jc w:val="center"/>
              <w:rPr>
                <w:rFonts w:cs="Arial"/>
                <w:color w:val="000000"/>
                <w:sz w:val="20"/>
                <w:szCs w:val="20"/>
                <w:lang w:val="en-US" w:eastAsia="en-US"/>
              </w:rPr>
            </w:pPr>
            <w:r w:rsidRPr="007B1699">
              <w:rPr>
                <w:rFonts w:cs="Arial"/>
                <w:color w:val="000000"/>
                <w:sz w:val="20"/>
                <w:szCs w:val="20"/>
                <w:lang w:val="en-US" w:eastAsia="en-US"/>
              </w:rPr>
              <w:t>884</w:t>
            </w:r>
          </w:p>
        </w:tc>
        <w:tc>
          <w:tcPr>
            <w:tcW w:w="1106" w:type="dxa"/>
            <w:tcBorders>
              <w:top w:val="nil"/>
              <w:left w:val="nil"/>
              <w:bottom w:val="single" w:sz="4" w:space="0" w:color="auto"/>
              <w:right w:val="single" w:sz="4" w:space="0" w:color="auto"/>
            </w:tcBorders>
            <w:shd w:val="clear" w:color="auto" w:fill="auto"/>
            <w:vAlign w:val="center"/>
            <w:hideMark/>
          </w:tcPr>
          <w:p w14:paraId="605125C9" w14:textId="77777777" w:rsidR="007B1699" w:rsidRPr="007B1699" w:rsidRDefault="007B1699" w:rsidP="007B1699">
            <w:pPr>
              <w:jc w:val="center"/>
              <w:rPr>
                <w:rFonts w:cs="Arial"/>
                <w:color w:val="000000"/>
                <w:sz w:val="20"/>
                <w:szCs w:val="20"/>
                <w:lang w:val="en-US" w:eastAsia="en-US"/>
              </w:rPr>
            </w:pPr>
            <w:r w:rsidRPr="007B1699">
              <w:rPr>
                <w:rFonts w:cs="Arial"/>
                <w:color w:val="000000"/>
                <w:sz w:val="20"/>
                <w:szCs w:val="20"/>
                <w:lang w:val="en-US" w:eastAsia="en-US"/>
              </w:rPr>
              <w:t>899</w:t>
            </w:r>
          </w:p>
        </w:tc>
        <w:tc>
          <w:tcPr>
            <w:tcW w:w="1188" w:type="dxa"/>
            <w:tcBorders>
              <w:top w:val="nil"/>
              <w:left w:val="nil"/>
              <w:bottom w:val="single" w:sz="4" w:space="0" w:color="auto"/>
              <w:right w:val="single" w:sz="4" w:space="0" w:color="auto"/>
            </w:tcBorders>
            <w:shd w:val="clear" w:color="auto" w:fill="auto"/>
            <w:vAlign w:val="center"/>
            <w:hideMark/>
          </w:tcPr>
          <w:p w14:paraId="2423874F" w14:textId="77777777" w:rsidR="007B1699" w:rsidRPr="007B1699" w:rsidRDefault="007B1699" w:rsidP="007B1699">
            <w:pPr>
              <w:jc w:val="center"/>
              <w:rPr>
                <w:rFonts w:cs="Arial"/>
                <w:color w:val="000000"/>
                <w:sz w:val="20"/>
                <w:szCs w:val="20"/>
                <w:lang w:val="en-US" w:eastAsia="en-US"/>
              </w:rPr>
            </w:pPr>
            <w:r w:rsidRPr="007B1699">
              <w:rPr>
                <w:rFonts w:cs="Arial"/>
                <w:color w:val="000000"/>
                <w:sz w:val="20"/>
                <w:szCs w:val="20"/>
                <w:lang w:val="en-US" w:eastAsia="en-US"/>
              </w:rPr>
              <w:t>914</w:t>
            </w:r>
          </w:p>
        </w:tc>
        <w:tc>
          <w:tcPr>
            <w:tcW w:w="1106" w:type="dxa"/>
            <w:tcBorders>
              <w:top w:val="nil"/>
              <w:left w:val="nil"/>
              <w:bottom w:val="single" w:sz="4" w:space="0" w:color="auto"/>
              <w:right w:val="single" w:sz="8" w:space="0" w:color="auto"/>
            </w:tcBorders>
            <w:shd w:val="clear" w:color="auto" w:fill="auto"/>
            <w:vAlign w:val="center"/>
            <w:hideMark/>
          </w:tcPr>
          <w:p w14:paraId="020A9BC6" w14:textId="77777777" w:rsidR="007B1699" w:rsidRPr="007B1699" w:rsidRDefault="007B1699" w:rsidP="007B1699">
            <w:pPr>
              <w:jc w:val="center"/>
              <w:rPr>
                <w:rFonts w:cs="Arial"/>
                <w:color w:val="000000"/>
                <w:sz w:val="20"/>
                <w:szCs w:val="20"/>
                <w:lang w:val="en-US" w:eastAsia="en-US"/>
              </w:rPr>
            </w:pPr>
            <w:r w:rsidRPr="007B1699">
              <w:rPr>
                <w:rFonts w:cs="Arial"/>
                <w:color w:val="000000"/>
                <w:sz w:val="20"/>
                <w:szCs w:val="20"/>
                <w:lang w:val="en-US" w:eastAsia="en-US"/>
              </w:rPr>
              <w:t>929</w:t>
            </w:r>
          </w:p>
        </w:tc>
      </w:tr>
      <w:tr w:rsidR="007B1699" w:rsidRPr="007B1699" w14:paraId="359D71B5" w14:textId="77777777" w:rsidTr="00BF0EEF">
        <w:trPr>
          <w:trHeight w:val="660"/>
          <w:jc w:val="center"/>
        </w:trPr>
        <w:tc>
          <w:tcPr>
            <w:tcW w:w="372" w:type="dxa"/>
            <w:tcBorders>
              <w:top w:val="nil"/>
              <w:left w:val="single" w:sz="8" w:space="0" w:color="auto"/>
              <w:bottom w:val="single" w:sz="4" w:space="0" w:color="auto"/>
              <w:right w:val="single" w:sz="4" w:space="0" w:color="auto"/>
            </w:tcBorders>
            <w:shd w:val="clear" w:color="auto" w:fill="auto"/>
            <w:noWrap/>
            <w:vAlign w:val="center"/>
            <w:hideMark/>
          </w:tcPr>
          <w:p w14:paraId="560D4C96" w14:textId="77777777" w:rsidR="007B1699" w:rsidRPr="007B1699" w:rsidRDefault="007B1699" w:rsidP="007B1699">
            <w:pPr>
              <w:rPr>
                <w:rFonts w:cs="Arial"/>
                <w:b/>
                <w:bCs/>
                <w:color w:val="000000"/>
                <w:sz w:val="20"/>
                <w:szCs w:val="20"/>
                <w:lang w:val="en-US" w:eastAsia="en-US"/>
              </w:rPr>
            </w:pPr>
            <w:r w:rsidRPr="007B1699">
              <w:rPr>
                <w:rFonts w:cs="Arial"/>
                <w:b/>
                <w:bCs/>
                <w:color w:val="000000"/>
                <w:sz w:val="20"/>
                <w:szCs w:val="20"/>
                <w:lang w:val="en-US" w:eastAsia="en-US"/>
              </w:rPr>
              <w:t>I</w:t>
            </w:r>
          </w:p>
        </w:tc>
        <w:tc>
          <w:tcPr>
            <w:tcW w:w="2272" w:type="dxa"/>
            <w:tcBorders>
              <w:top w:val="nil"/>
              <w:left w:val="nil"/>
              <w:bottom w:val="single" w:sz="4" w:space="0" w:color="auto"/>
              <w:right w:val="single" w:sz="4" w:space="0" w:color="auto"/>
            </w:tcBorders>
            <w:shd w:val="clear" w:color="auto" w:fill="auto"/>
            <w:vAlign w:val="center"/>
            <w:hideMark/>
          </w:tcPr>
          <w:p w14:paraId="573FF653" w14:textId="77777777" w:rsidR="007B1699" w:rsidRPr="007B1699" w:rsidRDefault="007B1699" w:rsidP="007B1699">
            <w:pPr>
              <w:rPr>
                <w:rFonts w:cs="Arial"/>
                <w:color w:val="000000"/>
                <w:sz w:val="20"/>
                <w:szCs w:val="20"/>
                <w:lang w:val="en-US" w:eastAsia="en-US"/>
              </w:rPr>
            </w:pPr>
            <w:r w:rsidRPr="007B1699">
              <w:rPr>
                <w:rFonts w:cs="Arial"/>
                <w:color w:val="000000"/>
                <w:sz w:val="20"/>
                <w:szCs w:val="20"/>
                <w:lang w:val="en-US" w:eastAsia="en-US"/>
              </w:rPr>
              <w:t>Minimum number of services per year</w:t>
            </w:r>
          </w:p>
        </w:tc>
        <w:tc>
          <w:tcPr>
            <w:tcW w:w="1134" w:type="dxa"/>
            <w:tcBorders>
              <w:top w:val="nil"/>
              <w:left w:val="nil"/>
              <w:bottom w:val="single" w:sz="4" w:space="0" w:color="auto"/>
              <w:right w:val="single" w:sz="4" w:space="0" w:color="auto"/>
            </w:tcBorders>
            <w:shd w:val="clear" w:color="auto" w:fill="auto"/>
            <w:noWrap/>
            <w:vAlign w:val="center"/>
            <w:hideMark/>
          </w:tcPr>
          <w:p w14:paraId="4BD9B434" w14:textId="77777777" w:rsidR="007B1699" w:rsidRPr="007B1699" w:rsidRDefault="007B1699" w:rsidP="007B1699">
            <w:pPr>
              <w:jc w:val="center"/>
              <w:rPr>
                <w:rFonts w:cs="Arial"/>
                <w:color w:val="000000"/>
                <w:sz w:val="20"/>
                <w:szCs w:val="20"/>
                <w:lang w:val="en-US" w:eastAsia="en-US"/>
              </w:rPr>
            </w:pPr>
            <w:r w:rsidRPr="007B1699">
              <w:rPr>
                <w:rFonts w:cs="Arial"/>
                <w:color w:val="000000"/>
                <w:sz w:val="20"/>
                <w:szCs w:val="20"/>
                <w:lang w:val="en-US" w:eastAsia="en-US"/>
              </w:rPr>
              <w:t>H / 15</w:t>
            </w:r>
          </w:p>
        </w:tc>
        <w:tc>
          <w:tcPr>
            <w:tcW w:w="1171" w:type="dxa"/>
            <w:tcBorders>
              <w:top w:val="nil"/>
              <w:left w:val="nil"/>
              <w:bottom w:val="single" w:sz="4" w:space="0" w:color="auto"/>
              <w:right w:val="single" w:sz="4" w:space="0" w:color="auto"/>
            </w:tcBorders>
            <w:shd w:val="clear" w:color="auto" w:fill="auto"/>
            <w:noWrap/>
            <w:vAlign w:val="center"/>
            <w:hideMark/>
          </w:tcPr>
          <w:p w14:paraId="79E317DD" w14:textId="77777777" w:rsidR="007B1699" w:rsidRPr="007B1699" w:rsidRDefault="007B1699" w:rsidP="007B1699">
            <w:pPr>
              <w:jc w:val="center"/>
              <w:rPr>
                <w:rFonts w:cs="Arial"/>
                <w:color w:val="000000"/>
                <w:sz w:val="20"/>
                <w:szCs w:val="20"/>
                <w:lang w:val="en-US" w:eastAsia="en-US"/>
              </w:rPr>
            </w:pPr>
            <w:r w:rsidRPr="007B1699">
              <w:rPr>
                <w:rFonts w:cs="Arial"/>
                <w:color w:val="000000"/>
                <w:sz w:val="20"/>
                <w:szCs w:val="20"/>
                <w:lang w:val="en-US" w:eastAsia="en-US"/>
              </w:rPr>
              <w:t>57</w:t>
            </w:r>
          </w:p>
        </w:tc>
        <w:tc>
          <w:tcPr>
            <w:tcW w:w="1275" w:type="dxa"/>
            <w:tcBorders>
              <w:top w:val="nil"/>
              <w:left w:val="nil"/>
              <w:bottom w:val="single" w:sz="4" w:space="0" w:color="auto"/>
              <w:right w:val="single" w:sz="4" w:space="0" w:color="auto"/>
            </w:tcBorders>
            <w:shd w:val="clear" w:color="auto" w:fill="auto"/>
            <w:noWrap/>
            <w:vAlign w:val="center"/>
            <w:hideMark/>
          </w:tcPr>
          <w:p w14:paraId="1817657C" w14:textId="77777777" w:rsidR="007B1699" w:rsidRPr="007B1699" w:rsidRDefault="007B1699" w:rsidP="007B1699">
            <w:pPr>
              <w:jc w:val="center"/>
              <w:rPr>
                <w:rFonts w:cs="Arial"/>
                <w:color w:val="000000"/>
                <w:sz w:val="20"/>
                <w:szCs w:val="20"/>
                <w:lang w:val="en-US" w:eastAsia="en-US"/>
              </w:rPr>
            </w:pPr>
            <w:r w:rsidRPr="007B1699">
              <w:rPr>
                <w:rFonts w:cs="Arial"/>
                <w:color w:val="000000"/>
                <w:sz w:val="20"/>
                <w:szCs w:val="20"/>
                <w:lang w:val="en-US" w:eastAsia="en-US"/>
              </w:rPr>
              <w:t>58</w:t>
            </w:r>
          </w:p>
        </w:tc>
        <w:tc>
          <w:tcPr>
            <w:tcW w:w="1218" w:type="dxa"/>
            <w:tcBorders>
              <w:top w:val="nil"/>
              <w:left w:val="nil"/>
              <w:bottom w:val="single" w:sz="4" w:space="0" w:color="auto"/>
              <w:right w:val="single" w:sz="4" w:space="0" w:color="auto"/>
            </w:tcBorders>
            <w:shd w:val="clear" w:color="auto" w:fill="auto"/>
            <w:noWrap/>
            <w:vAlign w:val="center"/>
            <w:hideMark/>
          </w:tcPr>
          <w:p w14:paraId="549D049C" w14:textId="77777777" w:rsidR="007B1699" w:rsidRPr="007B1699" w:rsidRDefault="007B1699" w:rsidP="007B1699">
            <w:pPr>
              <w:jc w:val="center"/>
              <w:rPr>
                <w:rFonts w:cs="Arial"/>
                <w:color w:val="000000"/>
                <w:sz w:val="20"/>
                <w:szCs w:val="20"/>
                <w:lang w:val="en-US" w:eastAsia="en-US"/>
              </w:rPr>
            </w:pPr>
            <w:r w:rsidRPr="007B1699">
              <w:rPr>
                <w:rFonts w:cs="Arial"/>
                <w:color w:val="000000"/>
                <w:sz w:val="20"/>
                <w:szCs w:val="20"/>
                <w:lang w:val="en-US" w:eastAsia="en-US"/>
              </w:rPr>
              <w:t>59</w:t>
            </w:r>
          </w:p>
        </w:tc>
        <w:tc>
          <w:tcPr>
            <w:tcW w:w="1106" w:type="dxa"/>
            <w:tcBorders>
              <w:top w:val="nil"/>
              <w:left w:val="nil"/>
              <w:bottom w:val="single" w:sz="4" w:space="0" w:color="auto"/>
              <w:right w:val="single" w:sz="4" w:space="0" w:color="auto"/>
            </w:tcBorders>
            <w:shd w:val="clear" w:color="auto" w:fill="auto"/>
            <w:noWrap/>
            <w:vAlign w:val="center"/>
            <w:hideMark/>
          </w:tcPr>
          <w:p w14:paraId="26C6C837" w14:textId="77777777" w:rsidR="007B1699" w:rsidRPr="007B1699" w:rsidRDefault="007B1699" w:rsidP="007B1699">
            <w:pPr>
              <w:jc w:val="center"/>
              <w:rPr>
                <w:rFonts w:cs="Arial"/>
                <w:color w:val="000000"/>
                <w:sz w:val="20"/>
                <w:szCs w:val="20"/>
                <w:lang w:val="en-US" w:eastAsia="en-US"/>
              </w:rPr>
            </w:pPr>
            <w:r w:rsidRPr="007B1699">
              <w:rPr>
                <w:rFonts w:cs="Arial"/>
                <w:color w:val="000000"/>
                <w:sz w:val="20"/>
                <w:szCs w:val="20"/>
                <w:lang w:val="en-US" w:eastAsia="en-US"/>
              </w:rPr>
              <w:t>60</w:t>
            </w:r>
          </w:p>
        </w:tc>
        <w:tc>
          <w:tcPr>
            <w:tcW w:w="1188" w:type="dxa"/>
            <w:tcBorders>
              <w:top w:val="nil"/>
              <w:left w:val="nil"/>
              <w:bottom w:val="single" w:sz="4" w:space="0" w:color="auto"/>
              <w:right w:val="single" w:sz="4" w:space="0" w:color="auto"/>
            </w:tcBorders>
            <w:shd w:val="clear" w:color="auto" w:fill="auto"/>
            <w:noWrap/>
            <w:vAlign w:val="center"/>
            <w:hideMark/>
          </w:tcPr>
          <w:p w14:paraId="32FB9CE7" w14:textId="77777777" w:rsidR="007B1699" w:rsidRPr="007B1699" w:rsidRDefault="007B1699" w:rsidP="007B1699">
            <w:pPr>
              <w:jc w:val="center"/>
              <w:rPr>
                <w:rFonts w:cs="Arial"/>
                <w:color w:val="000000"/>
                <w:sz w:val="20"/>
                <w:szCs w:val="20"/>
                <w:lang w:val="en-US" w:eastAsia="en-US"/>
              </w:rPr>
            </w:pPr>
            <w:r w:rsidRPr="007B1699">
              <w:rPr>
                <w:rFonts w:cs="Arial"/>
                <w:color w:val="000000"/>
                <w:sz w:val="20"/>
                <w:szCs w:val="20"/>
                <w:lang w:val="en-US" w:eastAsia="en-US"/>
              </w:rPr>
              <w:t>61</w:t>
            </w:r>
          </w:p>
        </w:tc>
        <w:tc>
          <w:tcPr>
            <w:tcW w:w="1106" w:type="dxa"/>
            <w:tcBorders>
              <w:top w:val="nil"/>
              <w:left w:val="nil"/>
              <w:bottom w:val="single" w:sz="4" w:space="0" w:color="auto"/>
              <w:right w:val="single" w:sz="8" w:space="0" w:color="auto"/>
            </w:tcBorders>
            <w:shd w:val="clear" w:color="auto" w:fill="auto"/>
            <w:noWrap/>
            <w:vAlign w:val="center"/>
            <w:hideMark/>
          </w:tcPr>
          <w:p w14:paraId="79BF2939" w14:textId="77777777" w:rsidR="007B1699" w:rsidRPr="007B1699" w:rsidRDefault="007B1699" w:rsidP="007B1699">
            <w:pPr>
              <w:jc w:val="center"/>
              <w:rPr>
                <w:rFonts w:cs="Arial"/>
                <w:color w:val="000000"/>
                <w:sz w:val="20"/>
                <w:szCs w:val="20"/>
                <w:lang w:val="en-US" w:eastAsia="en-US"/>
              </w:rPr>
            </w:pPr>
            <w:r w:rsidRPr="007B1699">
              <w:rPr>
                <w:rFonts w:cs="Arial"/>
                <w:color w:val="000000"/>
                <w:sz w:val="20"/>
                <w:szCs w:val="20"/>
                <w:lang w:val="en-US" w:eastAsia="en-US"/>
              </w:rPr>
              <w:t>62</w:t>
            </w:r>
          </w:p>
        </w:tc>
      </w:tr>
      <w:tr w:rsidR="007B1699" w:rsidRPr="007B1699" w14:paraId="0BBAEAEC" w14:textId="77777777" w:rsidTr="00BF0EEF">
        <w:trPr>
          <w:trHeight w:val="615"/>
          <w:jc w:val="center"/>
        </w:trPr>
        <w:tc>
          <w:tcPr>
            <w:tcW w:w="372" w:type="dxa"/>
            <w:tcBorders>
              <w:top w:val="nil"/>
              <w:left w:val="single" w:sz="8" w:space="0" w:color="auto"/>
              <w:bottom w:val="single" w:sz="4" w:space="0" w:color="auto"/>
              <w:right w:val="single" w:sz="4" w:space="0" w:color="auto"/>
            </w:tcBorders>
            <w:shd w:val="clear" w:color="auto" w:fill="auto"/>
            <w:noWrap/>
            <w:vAlign w:val="center"/>
            <w:hideMark/>
          </w:tcPr>
          <w:p w14:paraId="74200C49" w14:textId="77777777" w:rsidR="007B1699" w:rsidRPr="007B1699" w:rsidRDefault="007B1699" w:rsidP="007B1699">
            <w:pPr>
              <w:rPr>
                <w:rFonts w:cs="Arial"/>
                <w:b/>
                <w:bCs/>
                <w:color w:val="000000"/>
                <w:sz w:val="20"/>
                <w:szCs w:val="20"/>
                <w:lang w:val="en-US" w:eastAsia="en-US"/>
              </w:rPr>
            </w:pPr>
            <w:r w:rsidRPr="007B1699">
              <w:rPr>
                <w:rFonts w:cs="Arial"/>
                <w:b/>
                <w:bCs/>
                <w:color w:val="000000"/>
                <w:sz w:val="20"/>
                <w:szCs w:val="20"/>
                <w:lang w:val="en-US" w:eastAsia="en-US"/>
              </w:rPr>
              <w:t>J</w:t>
            </w:r>
          </w:p>
        </w:tc>
        <w:tc>
          <w:tcPr>
            <w:tcW w:w="2272" w:type="dxa"/>
            <w:tcBorders>
              <w:top w:val="nil"/>
              <w:left w:val="nil"/>
              <w:bottom w:val="single" w:sz="4" w:space="0" w:color="auto"/>
              <w:right w:val="single" w:sz="4" w:space="0" w:color="auto"/>
            </w:tcBorders>
            <w:shd w:val="clear" w:color="auto" w:fill="auto"/>
            <w:vAlign w:val="center"/>
            <w:hideMark/>
          </w:tcPr>
          <w:p w14:paraId="0C843D11" w14:textId="77777777" w:rsidR="007B1699" w:rsidRPr="007B1699" w:rsidRDefault="007B1699" w:rsidP="007B1699">
            <w:pPr>
              <w:rPr>
                <w:rFonts w:cs="Arial"/>
                <w:color w:val="000000"/>
                <w:sz w:val="20"/>
                <w:szCs w:val="20"/>
                <w:lang w:val="en-US" w:eastAsia="en-US"/>
              </w:rPr>
            </w:pPr>
            <w:r w:rsidRPr="007B1699">
              <w:rPr>
                <w:rFonts w:cs="Arial"/>
                <w:color w:val="000000"/>
                <w:sz w:val="20"/>
                <w:szCs w:val="20"/>
                <w:lang w:val="en-US" w:eastAsia="en-US"/>
              </w:rPr>
              <w:t>Maximum number of services per year</w:t>
            </w:r>
          </w:p>
        </w:tc>
        <w:tc>
          <w:tcPr>
            <w:tcW w:w="1134" w:type="dxa"/>
            <w:tcBorders>
              <w:top w:val="nil"/>
              <w:left w:val="nil"/>
              <w:bottom w:val="single" w:sz="4" w:space="0" w:color="auto"/>
              <w:right w:val="single" w:sz="4" w:space="0" w:color="auto"/>
            </w:tcBorders>
            <w:shd w:val="clear" w:color="auto" w:fill="auto"/>
            <w:noWrap/>
            <w:vAlign w:val="center"/>
            <w:hideMark/>
          </w:tcPr>
          <w:p w14:paraId="482761E8" w14:textId="77777777" w:rsidR="007B1699" w:rsidRPr="007B1699" w:rsidRDefault="007B1699" w:rsidP="007B1699">
            <w:pPr>
              <w:jc w:val="center"/>
              <w:rPr>
                <w:rFonts w:cs="Arial"/>
                <w:color w:val="000000"/>
                <w:sz w:val="20"/>
                <w:szCs w:val="20"/>
                <w:lang w:val="en-US" w:eastAsia="en-US"/>
              </w:rPr>
            </w:pPr>
            <w:r w:rsidRPr="007B1699">
              <w:rPr>
                <w:rFonts w:cs="Arial"/>
                <w:color w:val="000000"/>
                <w:sz w:val="20"/>
                <w:szCs w:val="20"/>
                <w:lang w:val="en-US" w:eastAsia="en-US"/>
              </w:rPr>
              <w:t>H / 10</w:t>
            </w:r>
          </w:p>
        </w:tc>
        <w:tc>
          <w:tcPr>
            <w:tcW w:w="1171" w:type="dxa"/>
            <w:tcBorders>
              <w:top w:val="nil"/>
              <w:left w:val="nil"/>
              <w:bottom w:val="single" w:sz="4" w:space="0" w:color="auto"/>
              <w:right w:val="single" w:sz="4" w:space="0" w:color="auto"/>
            </w:tcBorders>
            <w:shd w:val="clear" w:color="auto" w:fill="auto"/>
            <w:noWrap/>
            <w:vAlign w:val="center"/>
            <w:hideMark/>
          </w:tcPr>
          <w:p w14:paraId="29E3EBFB" w14:textId="77777777" w:rsidR="007B1699" w:rsidRPr="007B1699" w:rsidRDefault="007B1699" w:rsidP="007B1699">
            <w:pPr>
              <w:jc w:val="center"/>
              <w:rPr>
                <w:rFonts w:cs="Arial"/>
                <w:color w:val="000000"/>
                <w:sz w:val="20"/>
                <w:szCs w:val="20"/>
                <w:lang w:val="en-US" w:eastAsia="en-US"/>
              </w:rPr>
            </w:pPr>
            <w:r w:rsidRPr="007B1699">
              <w:rPr>
                <w:rFonts w:cs="Arial"/>
                <w:color w:val="000000"/>
                <w:sz w:val="20"/>
                <w:szCs w:val="20"/>
                <w:lang w:val="en-US" w:eastAsia="en-US"/>
              </w:rPr>
              <w:t>85</w:t>
            </w:r>
          </w:p>
        </w:tc>
        <w:tc>
          <w:tcPr>
            <w:tcW w:w="1275" w:type="dxa"/>
            <w:tcBorders>
              <w:top w:val="nil"/>
              <w:left w:val="nil"/>
              <w:bottom w:val="single" w:sz="4" w:space="0" w:color="auto"/>
              <w:right w:val="single" w:sz="4" w:space="0" w:color="auto"/>
            </w:tcBorders>
            <w:shd w:val="clear" w:color="auto" w:fill="auto"/>
            <w:noWrap/>
            <w:vAlign w:val="center"/>
            <w:hideMark/>
          </w:tcPr>
          <w:p w14:paraId="27E0C8D6" w14:textId="77777777" w:rsidR="007B1699" w:rsidRPr="007B1699" w:rsidRDefault="007B1699" w:rsidP="007B1699">
            <w:pPr>
              <w:jc w:val="center"/>
              <w:rPr>
                <w:rFonts w:cs="Arial"/>
                <w:color w:val="000000"/>
                <w:sz w:val="20"/>
                <w:szCs w:val="20"/>
                <w:lang w:val="en-US" w:eastAsia="en-US"/>
              </w:rPr>
            </w:pPr>
            <w:r w:rsidRPr="007B1699">
              <w:rPr>
                <w:rFonts w:cs="Arial"/>
                <w:color w:val="000000"/>
                <w:sz w:val="20"/>
                <w:szCs w:val="20"/>
                <w:lang w:val="en-US" w:eastAsia="en-US"/>
              </w:rPr>
              <w:t>87</w:t>
            </w:r>
          </w:p>
        </w:tc>
        <w:tc>
          <w:tcPr>
            <w:tcW w:w="1218" w:type="dxa"/>
            <w:tcBorders>
              <w:top w:val="nil"/>
              <w:left w:val="nil"/>
              <w:bottom w:val="single" w:sz="4" w:space="0" w:color="auto"/>
              <w:right w:val="single" w:sz="4" w:space="0" w:color="auto"/>
            </w:tcBorders>
            <w:shd w:val="clear" w:color="auto" w:fill="auto"/>
            <w:noWrap/>
            <w:vAlign w:val="center"/>
            <w:hideMark/>
          </w:tcPr>
          <w:p w14:paraId="75858C9C" w14:textId="77777777" w:rsidR="007B1699" w:rsidRPr="007B1699" w:rsidRDefault="007B1699" w:rsidP="007B1699">
            <w:pPr>
              <w:jc w:val="center"/>
              <w:rPr>
                <w:rFonts w:cs="Arial"/>
                <w:color w:val="000000"/>
                <w:sz w:val="20"/>
                <w:szCs w:val="20"/>
                <w:lang w:val="en-US" w:eastAsia="en-US"/>
              </w:rPr>
            </w:pPr>
            <w:r w:rsidRPr="007B1699">
              <w:rPr>
                <w:rFonts w:cs="Arial"/>
                <w:color w:val="000000"/>
                <w:sz w:val="20"/>
                <w:szCs w:val="20"/>
                <w:lang w:val="en-US" w:eastAsia="en-US"/>
              </w:rPr>
              <w:t>88</w:t>
            </w:r>
          </w:p>
        </w:tc>
        <w:tc>
          <w:tcPr>
            <w:tcW w:w="1106" w:type="dxa"/>
            <w:tcBorders>
              <w:top w:val="nil"/>
              <w:left w:val="nil"/>
              <w:bottom w:val="single" w:sz="4" w:space="0" w:color="auto"/>
              <w:right w:val="single" w:sz="4" w:space="0" w:color="auto"/>
            </w:tcBorders>
            <w:shd w:val="clear" w:color="auto" w:fill="auto"/>
            <w:noWrap/>
            <w:vAlign w:val="center"/>
            <w:hideMark/>
          </w:tcPr>
          <w:p w14:paraId="1F7038D5" w14:textId="77777777" w:rsidR="007B1699" w:rsidRPr="007B1699" w:rsidRDefault="007B1699" w:rsidP="007B1699">
            <w:pPr>
              <w:jc w:val="center"/>
              <w:rPr>
                <w:rFonts w:cs="Arial"/>
                <w:color w:val="000000"/>
                <w:sz w:val="20"/>
                <w:szCs w:val="20"/>
                <w:lang w:val="en-US" w:eastAsia="en-US"/>
              </w:rPr>
            </w:pPr>
            <w:r w:rsidRPr="007B1699">
              <w:rPr>
                <w:rFonts w:cs="Arial"/>
                <w:color w:val="000000"/>
                <w:sz w:val="20"/>
                <w:szCs w:val="20"/>
                <w:lang w:val="en-US" w:eastAsia="en-US"/>
              </w:rPr>
              <w:t>90</w:t>
            </w:r>
          </w:p>
        </w:tc>
        <w:tc>
          <w:tcPr>
            <w:tcW w:w="1188" w:type="dxa"/>
            <w:tcBorders>
              <w:top w:val="nil"/>
              <w:left w:val="nil"/>
              <w:bottom w:val="single" w:sz="4" w:space="0" w:color="auto"/>
              <w:right w:val="single" w:sz="4" w:space="0" w:color="auto"/>
            </w:tcBorders>
            <w:shd w:val="clear" w:color="auto" w:fill="auto"/>
            <w:noWrap/>
            <w:vAlign w:val="center"/>
            <w:hideMark/>
          </w:tcPr>
          <w:p w14:paraId="2F40F61B" w14:textId="77777777" w:rsidR="007B1699" w:rsidRPr="007B1699" w:rsidRDefault="007B1699" w:rsidP="007B1699">
            <w:pPr>
              <w:jc w:val="center"/>
              <w:rPr>
                <w:rFonts w:cs="Arial"/>
                <w:color w:val="000000"/>
                <w:sz w:val="20"/>
                <w:szCs w:val="20"/>
                <w:lang w:val="en-US" w:eastAsia="en-US"/>
              </w:rPr>
            </w:pPr>
            <w:r w:rsidRPr="007B1699">
              <w:rPr>
                <w:rFonts w:cs="Arial"/>
                <w:color w:val="000000"/>
                <w:sz w:val="20"/>
                <w:szCs w:val="20"/>
                <w:lang w:val="en-US" w:eastAsia="en-US"/>
              </w:rPr>
              <w:t>91</w:t>
            </w:r>
          </w:p>
        </w:tc>
        <w:tc>
          <w:tcPr>
            <w:tcW w:w="1106" w:type="dxa"/>
            <w:tcBorders>
              <w:top w:val="nil"/>
              <w:left w:val="nil"/>
              <w:bottom w:val="single" w:sz="4" w:space="0" w:color="auto"/>
              <w:right w:val="single" w:sz="8" w:space="0" w:color="auto"/>
            </w:tcBorders>
            <w:shd w:val="clear" w:color="auto" w:fill="auto"/>
            <w:noWrap/>
            <w:vAlign w:val="center"/>
            <w:hideMark/>
          </w:tcPr>
          <w:p w14:paraId="6A2E4285" w14:textId="77777777" w:rsidR="007B1699" w:rsidRPr="007B1699" w:rsidRDefault="007B1699" w:rsidP="007B1699">
            <w:pPr>
              <w:jc w:val="center"/>
              <w:rPr>
                <w:rFonts w:cs="Arial"/>
                <w:color w:val="000000"/>
                <w:sz w:val="20"/>
                <w:szCs w:val="20"/>
                <w:lang w:val="en-US" w:eastAsia="en-US"/>
              </w:rPr>
            </w:pPr>
            <w:r w:rsidRPr="007B1699">
              <w:rPr>
                <w:rFonts w:cs="Arial"/>
                <w:color w:val="000000"/>
                <w:sz w:val="20"/>
                <w:szCs w:val="20"/>
                <w:lang w:val="en-US" w:eastAsia="en-US"/>
              </w:rPr>
              <w:t>93</w:t>
            </w:r>
          </w:p>
        </w:tc>
      </w:tr>
      <w:tr w:rsidR="007B1699" w:rsidRPr="007B1699" w14:paraId="1F68E888" w14:textId="77777777" w:rsidTr="00BF0EEF">
        <w:trPr>
          <w:trHeight w:val="720"/>
          <w:jc w:val="center"/>
        </w:trPr>
        <w:tc>
          <w:tcPr>
            <w:tcW w:w="372" w:type="dxa"/>
            <w:tcBorders>
              <w:top w:val="nil"/>
              <w:left w:val="single" w:sz="8" w:space="0" w:color="auto"/>
              <w:bottom w:val="single" w:sz="8" w:space="0" w:color="auto"/>
              <w:right w:val="single" w:sz="4" w:space="0" w:color="auto"/>
            </w:tcBorders>
            <w:shd w:val="clear" w:color="auto" w:fill="auto"/>
            <w:noWrap/>
            <w:vAlign w:val="center"/>
            <w:hideMark/>
          </w:tcPr>
          <w:p w14:paraId="1CD303DA" w14:textId="77777777" w:rsidR="007B1699" w:rsidRPr="007B1699" w:rsidRDefault="007B1699" w:rsidP="007B1699">
            <w:pPr>
              <w:rPr>
                <w:rFonts w:cs="Arial"/>
                <w:b/>
                <w:bCs/>
                <w:color w:val="000000"/>
                <w:sz w:val="20"/>
                <w:szCs w:val="20"/>
                <w:lang w:val="en-US" w:eastAsia="en-US"/>
              </w:rPr>
            </w:pPr>
            <w:r w:rsidRPr="007B1699">
              <w:rPr>
                <w:rFonts w:cs="Arial"/>
                <w:b/>
                <w:bCs/>
                <w:color w:val="000000"/>
                <w:sz w:val="20"/>
                <w:szCs w:val="20"/>
                <w:lang w:val="en-US" w:eastAsia="en-US"/>
              </w:rPr>
              <w:t>K</w:t>
            </w:r>
          </w:p>
        </w:tc>
        <w:tc>
          <w:tcPr>
            <w:tcW w:w="2272" w:type="dxa"/>
            <w:tcBorders>
              <w:top w:val="nil"/>
              <w:left w:val="nil"/>
              <w:bottom w:val="single" w:sz="8" w:space="0" w:color="auto"/>
              <w:right w:val="single" w:sz="4" w:space="0" w:color="auto"/>
            </w:tcBorders>
            <w:shd w:val="clear" w:color="auto" w:fill="auto"/>
            <w:vAlign w:val="center"/>
            <w:hideMark/>
          </w:tcPr>
          <w:p w14:paraId="66478ACC" w14:textId="77777777" w:rsidR="007B1699" w:rsidRPr="007B1699" w:rsidRDefault="007B1699" w:rsidP="007B1699">
            <w:pPr>
              <w:rPr>
                <w:rFonts w:cs="Arial"/>
                <w:color w:val="000000"/>
                <w:sz w:val="20"/>
                <w:szCs w:val="20"/>
                <w:lang w:val="en-US" w:eastAsia="en-US"/>
              </w:rPr>
            </w:pPr>
            <w:r w:rsidRPr="007B1699">
              <w:rPr>
                <w:rFonts w:cs="Arial"/>
                <w:color w:val="000000"/>
                <w:sz w:val="20"/>
                <w:szCs w:val="20"/>
                <w:lang w:val="en-US" w:eastAsia="en-US"/>
              </w:rPr>
              <w:t>Mean number of services per year</w:t>
            </w:r>
          </w:p>
        </w:tc>
        <w:tc>
          <w:tcPr>
            <w:tcW w:w="1134" w:type="dxa"/>
            <w:tcBorders>
              <w:top w:val="nil"/>
              <w:left w:val="nil"/>
              <w:bottom w:val="single" w:sz="8" w:space="0" w:color="auto"/>
              <w:right w:val="single" w:sz="4" w:space="0" w:color="auto"/>
            </w:tcBorders>
            <w:shd w:val="clear" w:color="auto" w:fill="auto"/>
            <w:vAlign w:val="center"/>
            <w:hideMark/>
          </w:tcPr>
          <w:p w14:paraId="61A4B4AF" w14:textId="77777777" w:rsidR="007B1699" w:rsidRPr="007B1699" w:rsidRDefault="007B1699" w:rsidP="007B1699">
            <w:pPr>
              <w:jc w:val="center"/>
              <w:rPr>
                <w:rFonts w:cs="Arial"/>
                <w:color w:val="000000"/>
                <w:sz w:val="20"/>
                <w:szCs w:val="20"/>
                <w:lang w:val="en-US" w:eastAsia="en-US"/>
              </w:rPr>
            </w:pPr>
            <w:r w:rsidRPr="007B1699">
              <w:rPr>
                <w:rFonts w:cs="Arial"/>
                <w:color w:val="000000"/>
                <w:sz w:val="20"/>
                <w:szCs w:val="20"/>
                <w:lang w:val="en-US" w:eastAsia="en-US"/>
              </w:rPr>
              <w:t>Average of I &amp; J</w:t>
            </w:r>
          </w:p>
        </w:tc>
        <w:tc>
          <w:tcPr>
            <w:tcW w:w="1171" w:type="dxa"/>
            <w:tcBorders>
              <w:top w:val="nil"/>
              <w:left w:val="nil"/>
              <w:bottom w:val="single" w:sz="8" w:space="0" w:color="auto"/>
              <w:right w:val="single" w:sz="4" w:space="0" w:color="auto"/>
            </w:tcBorders>
            <w:shd w:val="clear" w:color="auto" w:fill="auto"/>
            <w:vAlign w:val="center"/>
            <w:hideMark/>
          </w:tcPr>
          <w:p w14:paraId="06B49217" w14:textId="77777777" w:rsidR="007B1699" w:rsidRPr="007B1699" w:rsidRDefault="007B1699" w:rsidP="007B1699">
            <w:pPr>
              <w:jc w:val="center"/>
              <w:rPr>
                <w:rFonts w:cs="Arial"/>
                <w:b/>
                <w:bCs/>
                <w:color w:val="000000"/>
                <w:sz w:val="20"/>
                <w:szCs w:val="20"/>
                <w:lang w:val="en-US" w:eastAsia="en-US"/>
              </w:rPr>
            </w:pPr>
            <w:r w:rsidRPr="007B1699">
              <w:rPr>
                <w:rFonts w:cs="Arial"/>
                <w:b/>
                <w:bCs/>
                <w:color w:val="000000"/>
                <w:sz w:val="20"/>
                <w:szCs w:val="20"/>
                <w:lang w:val="en-US" w:eastAsia="en-US"/>
              </w:rPr>
              <w:t>71</w:t>
            </w:r>
          </w:p>
        </w:tc>
        <w:tc>
          <w:tcPr>
            <w:tcW w:w="1275" w:type="dxa"/>
            <w:tcBorders>
              <w:top w:val="nil"/>
              <w:left w:val="nil"/>
              <w:bottom w:val="single" w:sz="8" w:space="0" w:color="auto"/>
              <w:right w:val="single" w:sz="4" w:space="0" w:color="auto"/>
            </w:tcBorders>
            <w:shd w:val="clear" w:color="auto" w:fill="auto"/>
            <w:vAlign w:val="center"/>
            <w:hideMark/>
          </w:tcPr>
          <w:p w14:paraId="58554123" w14:textId="77777777" w:rsidR="007B1699" w:rsidRPr="007B1699" w:rsidRDefault="007B1699" w:rsidP="007B1699">
            <w:pPr>
              <w:jc w:val="center"/>
              <w:rPr>
                <w:rFonts w:cs="Arial"/>
                <w:b/>
                <w:bCs/>
                <w:color w:val="000000"/>
                <w:sz w:val="20"/>
                <w:szCs w:val="20"/>
                <w:lang w:val="en-US" w:eastAsia="en-US"/>
              </w:rPr>
            </w:pPr>
            <w:r w:rsidRPr="007B1699">
              <w:rPr>
                <w:rFonts w:cs="Arial"/>
                <w:b/>
                <w:bCs/>
                <w:color w:val="000000"/>
                <w:sz w:val="20"/>
                <w:szCs w:val="20"/>
                <w:lang w:val="en-US" w:eastAsia="en-US"/>
              </w:rPr>
              <w:t>72</w:t>
            </w:r>
          </w:p>
        </w:tc>
        <w:tc>
          <w:tcPr>
            <w:tcW w:w="1218" w:type="dxa"/>
            <w:tcBorders>
              <w:top w:val="nil"/>
              <w:left w:val="nil"/>
              <w:bottom w:val="single" w:sz="8" w:space="0" w:color="auto"/>
              <w:right w:val="single" w:sz="4" w:space="0" w:color="auto"/>
            </w:tcBorders>
            <w:shd w:val="clear" w:color="auto" w:fill="auto"/>
            <w:vAlign w:val="center"/>
            <w:hideMark/>
          </w:tcPr>
          <w:p w14:paraId="59B0D22D" w14:textId="77777777" w:rsidR="007B1699" w:rsidRPr="007B1699" w:rsidRDefault="007B1699" w:rsidP="007B1699">
            <w:pPr>
              <w:jc w:val="center"/>
              <w:rPr>
                <w:rFonts w:cs="Arial"/>
                <w:b/>
                <w:bCs/>
                <w:color w:val="000000"/>
                <w:sz w:val="20"/>
                <w:szCs w:val="20"/>
                <w:lang w:val="en-US" w:eastAsia="en-US"/>
              </w:rPr>
            </w:pPr>
            <w:r w:rsidRPr="007B1699">
              <w:rPr>
                <w:rFonts w:cs="Arial"/>
                <w:b/>
                <w:bCs/>
                <w:color w:val="000000"/>
                <w:sz w:val="20"/>
                <w:szCs w:val="20"/>
                <w:lang w:val="en-US" w:eastAsia="en-US"/>
              </w:rPr>
              <w:t>74</w:t>
            </w:r>
          </w:p>
        </w:tc>
        <w:tc>
          <w:tcPr>
            <w:tcW w:w="1106" w:type="dxa"/>
            <w:tcBorders>
              <w:top w:val="nil"/>
              <w:left w:val="nil"/>
              <w:bottom w:val="single" w:sz="8" w:space="0" w:color="auto"/>
              <w:right w:val="single" w:sz="4" w:space="0" w:color="auto"/>
            </w:tcBorders>
            <w:shd w:val="clear" w:color="auto" w:fill="auto"/>
            <w:vAlign w:val="center"/>
            <w:hideMark/>
          </w:tcPr>
          <w:p w14:paraId="6F7BE8DA" w14:textId="77777777" w:rsidR="007B1699" w:rsidRPr="007B1699" w:rsidRDefault="007B1699" w:rsidP="007B1699">
            <w:pPr>
              <w:jc w:val="center"/>
              <w:rPr>
                <w:rFonts w:cs="Arial"/>
                <w:b/>
                <w:bCs/>
                <w:color w:val="000000"/>
                <w:sz w:val="20"/>
                <w:szCs w:val="20"/>
                <w:lang w:val="en-US" w:eastAsia="en-US"/>
              </w:rPr>
            </w:pPr>
            <w:r w:rsidRPr="007B1699">
              <w:rPr>
                <w:rFonts w:cs="Arial"/>
                <w:b/>
                <w:bCs/>
                <w:color w:val="000000"/>
                <w:sz w:val="20"/>
                <w:szCs w:val="20"/>
                <w:lang w:val="en-US" w:eastAsia="en-US"/>
              </w:rPr>
              <w:t>75</w:t>
            </w:r>
          </w:p>
        </w:tc>
        <w:tc>
          <w:tcPr>
            <w:tcW w:w="1188" w:type="dxa"/>
            <w:tcBorders>
              <w:top w:val="nil"/>
              <w:left w:val="nil"/>
              <w:bottom w:val="single" w:sz="8" w:space="0" w:color="auto"/>
              <w:right w:val="single" w:sz="4" w:space="0" w:color="auto"/>
            </w:tcBorders>
            <w:shd w:val="clear" w:color="auto" w:fill="auto"/>
            <w:vAlign w:val="center"/>
            <w:hideMark/>
          </w:tcPr>
          <w:p w14:paraId="7FA0F199" w14:textId="77777777" w:rsidR="007B1699" w:rsidRPr="007B1699" w:rsidRDefault="007B1699" w:rsidP="007B1699">
            <w:pPr>
              <w:jc w:val="center"/>
              <w:rPr>
                <w:rFonts w:cs="Arial"/>
                <w:b/>
                <w:bCs/>
                <w:color w:val="000000"/>
                <w:sz w:val="20"/>
                <w:szCs w:val="20"/>
                <w:lang w:val="en-US" w:eastAsia="en-US"/>
              </w:rPr>
            </w:pPr>
            <w:r w:rsidRPr="007B1699">
              <w:rPr>
                <w:rFonts w:cs="Arial"/>
                <w:b/>
                <w:bCs/>
                <w:color w:val="000000"/>
                <w:sz w:val="20"/>
                <w:szCs w:val="20"/>
                <w:lang w:val="en-US" w:eastAsia="en-US"/>
              </w:rPr>
              <w:t>76</w:t>
            </w:r>
          </w:p>
        </w:tc>
        <w:tc>
          <w:tcPr>
            <w:tcW w:w="1106" w:type="dxa"/>
            <w:tcBorders>
              <w:top w:val="nil"/>
              <w:left w:val="nil"/>
              <w:bottom w:val="single" w:sz="8" w:space="0" w:color="auto"/>
              <w:right w:val="single" w:sz="8" w:space="0" w:color="auto"/>
            </w:tcBorders>
            <w:shd w:val="clear" w:color="auto" w:fill="auto"/>
            <w:vAlign w:val="center"/>
            <w:hideMark/>
          </w:tcPr>
          <w:p w14:paraId="5C6164E7" w14:textId="77777777" w:rsidR="007B1699" w:rsidRPr="007B1699" w:rsidRDefault="007B1699" w:rsidP="007B1699">
            <w:pPr>
              <w:jc w:val="center"/>
              <w:rPr>
                <w:rFonts w:cs="Arial"/>
                <w:b/>
                <w:bCs/>
                <w:color w:val="000000"/>
                <w:sz w:val="20"/>
                <w:szCs w:val="20"/>
                <w:lang w:val="en-US" w:eastAsia="en-US"/>
              </w:rPr>
            </w:pPr>
            <w:r w:rsidRPr="007B1699">
              <w:rPr>
                <w:rFonts w:cs="Arial"/>
                <w:b/>
                <w:bCs/>
                <w:color w:val="000000"/>
                <w:sz w:val="20"/>
                <w:szCs w:val="20"/>
                <w:lang w:val="en-US" w:eastAsia="en-US"/>
              </w:rPr>
              <w:t>77</w:t>
            </w:r>
          </w:p>
        </w:tc>
      </w:tr>
    </w:tbl>
    <w:p w14:paraId="118AC94F" w14:textId="77DA4FF6" w:rsidR="000B7EA5" w:rsidRDefault="000B7EA5" w:rsidP="00A54546">
      <w:pPr>
        <w:jc w:val="center"/>
        <w:rPr>
          <w:rFonts w:cs="Arial"/>
          <w:highlight w:val="lightGray"/>
        </w:rPr>
      </w:pPr>
    </w:p>
    <w:p w14:paraId="14598F7A" w14:textId="77777777" w:rsidR="000B7EA5" w:rsidRPr="009A1A2E" w:rsidRDefault="000B7EA5" w:rsidP="000B7EA5">
      <w:pPr>
        <w:jc w:val="both"/>
        <w:rPr>
          <w:rFonts w:cs="Arial"/>
          <w:highlight w:val="lightGray"/>
        </w:rPr>
      </w:pPr>
    </w:p>
    <w:p w14:paraId="4AE20280" w14:textId="77777777" w:rsidR="000B7EA5" w:rsidRDefault="000B7EA5" w:rsidP="000B7EA5">
      <w:pPr>
        <w:pStyle w:val="Textbody"/>
        <w:rPr>
          <w:lang w:val="en-AU"/>
        </w:rPr>
      </w:pPr>
      <w:r>
        <w:rPr>
          <w:lang w:val="en-AU"/>
        </w:rPr>
        <w:t xml:space="preserve">As stated in the critique of the assessment report, still the calculation of number of </w:t>
      </w:r>
      <w:r>
        <w:rPr>
          <w:lang w:val="en-AU"/>
        </w:rPr>
        <w:lastRenderedPageBreak/>
        <w:t>services each year is based on the assumption that the existing pool of eligible patients could be implanted over a 10 to 15 year period, with 10 years representing a minimum and 15 years representing a maximum number of services per year. Of course this assumption m</w:t>
      </w:r>
      <w:r w:rsidR="00470C5B">
        <w:rPr>
          <w:lang w:val="en-AU"/>
        </w:rPr>
        <w:t>a</w:t>
      </w:r>
      <w:r>
        <w:rPr>
          <w:lang w:val="en-AU"/>
        </w:rPr>
        <w:t xml:space="preserve">y be influenced by patients’ preferences, their willingness to undergo a surgical procedure and their ability to pay out-of-pocket for additional services or non-covered device costs. “Therefore, assuming that the eligibility criteria in the proposed MBS item descriptor are adhered to, there is a potential for the number of services to be less than the estimate” given in </w:t>
      </w:r>
      <w:r>
        <w:rPr>
          <w:lang w:val="en-AU"/>
        </w:rPr>
        <w:fldChar w:fldCharType="begin"/>
      </w:r>
      <w:r>
        <w:rPr>
          <w:lang w:val="en-AU"/>
        </w:rPr>
        <w:instrText xml:space="preserve"> REF _Ref430941316 \h </w:instrText>
      </w:r>
      <w:r>
        <w:rPr>
          <w:lang w:val="en-AU"/>
        </w:rPr>
      </w:r>
      <w:r>
        <w:rPr>
          <w:lang w:val="en-AU"/>
        </w:rPr>
        <w:fldChar w:fldCharType="separate"/>
      </w:r>
      <w:r w:rsidR="00016592" w:rsidRPr="00A83F80">
        <w:t xml:space="preserve">Table </w:t>
      </w:r>
      <w:r w:rsidR="00016592">
        <w:rPr>
          <w:noProof/>
        </w:rPr>
        <w:t>61</w:t>
      </w:r>
      <w:r>
        <w:rPr>
          <w:lang w:val="en-AU"/>
        </w:rPr>
        <w:fldChar w:fldCharType="end"/>
      </w:r>
      <w:r>
        <w:rPr>
          <w:lang w:val="en-AU"/>
        </w:rPr>
        <w:t>.</w:t>
      </w:r>
    </w:p>
    <w:p w14:paraId="5B86D7C4" w14:textId="77777777" w:rsidR="000B7EA5" w:rsidRPr="009A1A2E" w:rsidRDefault="000B7EA5" w:rsidP="000B7EA5">
      <w:pPr>
        <w:pStyle w:val="Textbody"/>
        <w:rPr>
          <w:lang w:val="en-AU"/>
        </w:rPr>
      </w:pPr>
    </w:p>
    <w:p w14:paraId="5F10704A" w14:textId="77777777" w:rsidR="000B7EA5" w:rsidRPr="001D3D80" w:rsidRDefault="000B7EA5" w:rsidP="000B7EA5">
      <w:pPr>
        <w:spacing w:line="360" w:lineRule="auto"/>
        <w:jc w:val="both"/>
        <w:rPr>
          <w:rFonts w:cs="Arial"/>
          <w:lang w:eastAsia="de-AT"/>
        </w:rPr>
      </w:pPr>
      <w:r w:rsidRPr="001D3D80">
        <w:rPr>
          <w:rFonts w:cs="Arial"/>
          <w:lang w:eastAsia="de-AT"/>
        </w:rPr>
        <w:t xml:space="preserve">Taking into consideration </w:t>
      </w:r>
      <w:r>
        <w:rPr>
          <w:rFonts w:cs="Arial"/>
          <w:lang w:eastAsia="de-AT"/>
        </w:rPr>
        <w:t xml:space="preserve">that patients with the medical condition (i.e., candidates for the </w:t>
      </w:r>
      <w:r w:rsidRPr="009A1A2E">
        <w:t>insertion of partially</w:t>
      </w:r>
      <w:r>
        <w:t xml:space="preserve"> implantable Middle Ear Implant) are properly examined before the implantation the number of patients that are eligible for the requested intervention equals the number of patients who are candidates not taking service restrictions</w:t>
      </w:r>
      <w:r w:rsidR="00470C5B">
        <w:t xml:space="preserve"> into accaount</w:t>
      </w:r>
      <w:r>
        <w:t xml:space="preserve"> </w:t>
      </w:r>
      <w:r w:rsidR="00470C5B">
        <w:t>(</w:t>
      </w:r>
      <w:r>
        <w:t>e.g., hospitals/surgeons are not trained to offer the service).</w:t>
      </w:r>
    </w:p>
    <w:p w14:paraId="14B0AAEA" w14:textId="77777777" w:rsidR="000214FE" w:rsidRPr="009A1A2E" w:rsidRDefault="000214FE" w:rsidP="000214FE">
      <w:pPr>
        <w:pStyle w:val="Heading30"/>
        <w:spacing w:line="360" w:lineRule="auto"/>
        <w:jc w:val="both"/>
        <w:rPr>
          <w:lang w:val="en-AU"/>
        </w:rPr>
      </w:pPr>
      <w:bookmarkStart w:id="627" w:name="_Toc431917610"/>
      <w:r w:rsidRPr="009A1A2E">
        <w:rPr>
          <w:lang w:val="en-AU"/>
        </w:rPr>
        <w:t>E.2.2</w:t>
      </w:r>
      <w:r w:rsidRPr="009A1A2E">
        <w:rPr>
          <w:lang w:val="en-AU"/>
        </w:rPr>
        <w:tab/>
        <w:t>Estimated costs of insertion of partially implantable MEIs on the MBS</w:t>
      </w:r>
      <w:bookmarkEnd w:id="623"/>
      <w:bookmarkEnd w:id="624"/>
      <w:bookmarkEnd w:id="627"/>
    </w:p>
    <w:bookmarkStart w:id="628" w:name="_Toc337546931"/>
    <w:p w14:paraId="5899994A" w14:textId="77777777" w:rsidR="00830612" w:rsidRDefault="00830612" w:rsidP="00830612">
      <w:pPr>
        <w:autoSpaceDE w:val="0"/>
        <w:autoSpaceDN w:val="0"/>
        <w:adjustRightInd w:val="0"/>
        <w:spacing w:line="360" w:lineRule="auto"/>
        <w:jc w:val="both"/>
      </w:pPr>
      <w:r w:rsidRPr="00B616B9">
        <w:rPr>
          <w:rFonts w:cs="Arial"/>
        </w:rPr>
        <w:fldChar w:fldCharType="begin"/>
      </w:r>
      <w:r w:rsidRPr="00B616B9">
        <w:rPr>
          <w:rFonts w:cs="Arial"/>
        </w:rPr>
        <w:instrText xml:space="preserve"> REF _Ref334453724 \h  \* MERGEFORMAT </w:instrText>
      </w:r>
      <w:r w:rsidRPr="00B616B9">
        <w:rPr>
          <w:rFonts w:cs="Arial"/>
        </w:rPr>
      </w:r>
      <w:r w:rsidRPr="00B616B9">
        <w:rPr>
          <w:rFonts w:cs="Arial"/>
        </w:rPr>
        <w:fldChar w:fldCharType="separate"/>
      </w:r>
      <w:r w:rsidR="00016592" w:rsidRPr="003C53BB">
        <w:rPr>
          <w:rFonts w:cs="Arial"/>
        </w:rPr>
        <w:t xml:space="preserve">Table </w:t>
      </w:r>
      <w:r w:rsidR="00016592">
        <w:rPr>
          <w:rFonts w:cs="Arial"/>
        </w:rPr>
        <w:t>62</w:t>
      </w:r>
      <w:r w:rsidRPr="00B616B9">
        <w:rPr>
          <w:rFonts w:cs="Arial"/>
        </w:rPr>
        <w:fldChar w:fldCharType="end"/>
      </w:r>
      <w:r w:rsidRPr="00B616B9">
        <w:rPr>
          <w:rFonts w:cs="Arial"/>
        </w:rPr>
        <w:t xml:space="preserve"> presents the estimated </w:t>
      </w:r>
      <w:r>
        <w:rPr>
          <w:rFonts w:cs="Arial"/>
        </w:rPr>
        <w:t>budget impact</w:t>
      </w:r>
      <w:r w:rsidRPr="00B616B9">
        <w:rPr>
          <w:rFonts w:cs="Arial"/>
        </w:rPr>
        <w:t xml:space="preserve"> to the MBS</w:t>
      </w:r>
      <w:r>
        <w:rPr>
          <w:rFonts w:cs="Arial"/>
        </w:rPr>
        <w:t>.</w:t>
      </w:r>
      <w:r w:rsidRPr="00B616B9">
        <w:rPr>
          <w:rFonts w:cs="Arial"/>
        </w:rPr>
        <w:t xml:space="preserve"> </w:t>
      </w:r>
      <w:r>
        <w:rPr>
          <w:rFonts w:cs="Arial"/>
        </w:rPr>
        <w:t xml:space="preserve">Costs for the proposed MBS fee for the insertion of partially implantable MEIs are taken from section A.2. </w:t>
      </w:r>
      <w:r>
        <w:rPr>
          <w:rFonts w:eastAsiaTheme="minorHAnsi" w:cs="Arial"/>
          <w:lang w:val="en-US" w:eastAsia="en-US"/>
        </w:rPr>
        <w:t>Costs from section D.4.</w:t>
      </w:r>
      <w:r w:rsidRPr="00B616B9">
        <w:rPr>
          <w:rFonts w:eastAsiaTheme="minorHAnsi" w:cs="Arial"/>
          <w:lang w:val="en-US" w:eastAsia="en-US"/>
        </w:rPr>
        <w:t xml:space="preserve"> will be </w:t>
      </w:r>
      <w:r>
        <w:rPr>
          <w:rFonts w:eastAsiaTheme="minorHAnsi" w:cs="Arial"/>
          <w:lang w:val="en-US" w:eastAsia="en-US"/>
        </w:rPr>
        <w:t xml:space="preserve">used to determine the financial </w:t>
      </w:r>
      <w:r w:rsidRPr="00B616B9">
        <w:rPr>
          <w:rFonts w:eastAsiaTheme="minorHAnsi" w:cs="Arial"/>
          <w:lang w:val="en-US" w:eastAsia="en-US"/>
        </w:rPr>
        <w:t>implications of the service for the first five years of MBS listing.</w:t>
      </w:r>
      <w:r w:rsidRPr="00B616B9">
        <w:rPr>
          <w:rFonts w:cs="Arial"/>
        </w:rPr>
        <w:t xml:space="preserve"> Again, these cost estimates reflect a full uptake assumption, thereby offering a conservative estimate from the perspective of the MBS. Cost offsets associated with</w:t>
      </w:r>
      <w:r w:rsidRPr="009A1A2E">
        <w:t xml:space="preserve"> substitution effects are determined in Section E.3.</w:t>
      </w:r>
      <w:r>
        <w:t xml:space="preserve"> </w:t>
      </w:r>
    </w:p>
    <w:p w14:paraId="179A9443" w14:textId="77777777" w:rsidR="003C53BB" w:rsidRDefault="003C53BB" w:rsidP="00830612">
      <w:pPr>
        <w:autoSpaceDE w:val="0"/>
        <w:autoSpaceDN w:val="0"/>
        <w:adjustRightInd w:val="0"/>
        <w:spacing w:line="360" w:lineRule="auto"/>
        <w:jc w:val="both"/>
      </w:pPr>
    </w:p>
    <w:p w14:paraId="203682CB" w14:textId="77777777" w:rsidR="003C53BB" w:rsidRPr="003C53BB" w:rsidRDefault="003C53BB" w:rsidP="003C53BB">
      <w:pPr>
        <w:pStyle w:val="Caption"/>
        <w:rPr>
          <w:rFonts w:ascii="Arial" w:hAnsi="Arial" w:cs="Arial"/>
        </w:rPr>
      </w:pPr>
      <w:bookmarkStart w:id="629" w:name="_Ref334453724"/>
      <w:bookmarkStart w:id="630" w:name="_Toc335666068"/>
      <w:bookmarkStart w:id="631" w:name="_Toc337547035"/>
      <w:bookmarkStart w:id="632" w:name="_Toc431917522"/>
      <w:r w:rsidRPr="003C53BB">
        <w:rPr>
          <w:rFonts w:ascii="Arial" w:hAnsi="Arial" w:cs="Arial"/>
        </w:rPr>
        <w:t xml:space="preserve">Table </w:t>
      </w:r>
      <w:r w:rsidRPr="003C53BB">
        <w:rPr>
          <w:rFonts w:ascii="Arial" w:hAnsi="Arial" w:cs="Arial"/>
        </w:rPr>
        <w:fldChar w:fldCharType="begin"/>
      </w:r>
      <w:r w:rsidRPr="003C53BB">
        <w:rPr>
          <w:rFonts w:ascii="Arial" w:hAnsi="Arial" w:cs="Arial"/>
        </w:rPr>
        <w:instrText xml:space="preserve"> SEQ Table \* ARABIC </w:instrText>
      </w:r>
      <w:r w:rsidRPr="003C53BB">
        <w:rPr>
          <w:rFonts w:ascii="Arial" w:hAnsi="Arial" w:cs="Arial"/>
        </w:rPr>
        <w:fldChar w:fldCharType="separate"/>
      </w:r>
      <w:r w:rsidR="00016592">
        <w:rPr>
          <w:rFonts w:ascii="Arial" w:hAnsi="Arial" w:cs="Arial"/>
          <w:noProof/>
        </w:rPr>
        <w:t>62</w:t>
      </w:r>
      <w:r w:rsidRPr="003C53BB">
        <w:rPr>
          <w:rFonts w:ascii="Arial" w:hAnsi="Arial" w:cs="Arial"/>
        </w:rPr>
        <w:fldChar w:fldCharType="end"/>
      </w:r>
      <w:bookmarkEnd w:id="629"/>
      <w:r w:rsidRPr="003C53BB">
        <w:rPr>
          <w:rFonts w:ascii="Arial" w:hAnsi="Arial" w:cs="Arial"/>
        </w:rPr>
        <w:t xml:space="preserve"> - Estimated </w:t>
      </w:r>
      <w:bookmarkEnd w:id="630"/>
      <w:bookmarkEnd w:id="631"/>
      <w:r w:rsidRPr="003C53BB">
        <w:rPr>
          <w:rFonts w:ascii="Arial" w:hAnsi="Arial" w:cs="Arial"/>
        </w:rPr>
        <w:t>cost of proposed MBS item</w:t>
      </w:r>
      <w:bookmarkEnd w:id="632"/>
    </w:p>
    <w:p w14:paraId="66445EEA" w14:textId="77777777" w:rsidR="003C53BB" w:rsidRPr="009A1A2E" w:rsidRDefault="003C53BB" w:rsidP="003C53BB">
      <w:pPr>
        <w:pStyle w:val="Textbody"/>
        <w:rPr>
          <w:lang w:val="en-AU"/>
        </w:rPr>
      </w:pPr>
    </w:p>
    <w:tbl>
      <w:tblPr>
        <w:tblW w:w="10139" w:type="dxa"/>
        <w:jc w:val="center"/>
        <w:tblLook w:val="04A0" w:firstRow="1" w:lastRow="0" w:firstColumn="1" w:lastColumn="0" w:noHBand="0" w:noVBand="1"/>
        <w:tblDescription w:val="Estimated cost of proposed MBS item"/>
      </w:tblPr>
      <w:tblGrid>
        <w:gridCol w:w="383"/>
        <w:gridCol w:w="1317"/>
        <w:gridCol w:w="839"/>
        <w:gridCol w:w="1288"/>
        <w:gridCol w:w="1377"/>
        <w:gridCol w:w="1424"/>
        <w:gridCol w:w="1361"/>
        <w:gridCol w:w="1361"/>
        <w:gridCol w:w="1361"/>
      </w:tblGrid>
      <w:tr w:rsidR="003C53BB" w:rsidRPr="004E3818" w14:paraId="5E15A6F5" w14:textId="77777777" w:rsidTr="003C53BB">
        <w:trPr>
          <w:trHeight w:val="300"/>
          <w:jc w:val="center"/>
        </w:trPr>
        <w:tc>
          <w:tcPr>
            <w:tcW w:w="383"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7FA278C" w14:textId="77777777" w:rsidR="003C53BB" w:rsidRPr="004E3818" w:rsidRDefault="003C53BB" w:rsidP="006962CA">
            <w:pPr>
              <w:rPr>
                <w:rFonts w:cs="Arial"/>
                <w:b/>
                <w:bCs/>
                <w:color w:val="000000"/>
                <w:sz w:val="20"/>
                <w:szCs w:val="20"/>
                <w:lang w:val="en-US" w:eastAsia="en-US"/>
              </w:rPr>
            </w:pPr>
            <w:r w:rsidRPr="004E3818">
              <w:rPr>
                <w:rFonts w:cs="Arial"/>
                <w:b/>
                <w:bCs/>
                <w:color w:val="000000"/>
                <w:sz w:val="20"/>
                <w:szCs w:val="20"/>
                <w:lang w:val="en-US" w:eastAsia="en-US"/>
              </w:rPr>
              <w:t> </w:t>
            </w:r>
          </w:p>
        </w:tc>
        <w:tc>
          <w:tcPr>
            <w:tcW w:w="1317" w:type="dxa"/>
            <w:tcBorders>
              <w:top w:val="single" w:sz="8" w:space="0" w:color="auto"/>
              <w:left w:val="nil"/>
              <w:bottom w:val="single" w:sz="4" w:space="0" w:color="auto"/>
              <w:right w:val="single" w:sz="4" w:space="0" w:color="auto"/>
            </w:tcBorders>
            <w:shd w:val="clear" w:color="auto" w:fill="auto"/>
            <w:vAlign w:val="center"/>
            <w:hideMark/>
          </w:tcPr>
          <w:p w14:paraId="02CC1F52" w14:textId="77777777" w:rsidR="003C53BB" w:rsidRPr="004E3818" w:rsidRDefault="003C53BB" w:rsidP="006962CA">
            <w:pPr>
              <w:rPr>
                <w:rFonts w:cs="Arial"/>
                <w:b/>
                <w:bCs/>
                <w:color w:val="000000"/>
                <w:sz w:val="20"/>
                <w:szCs w:val="20"/>
                <w:lang w:val="en-US" w:eastAsia="en-US"/>
              </w:rPr>
            </w:pPr>
            <w:r w:rsidRPr="004E3818">
              <w:rPr>
                <w:rFonts w:cs="Arial"/>
                <w:b/>
                <w:bCs/>
                <w:color w:val="000000"/>
                <w:sz w:val="20"/>
                <w:szCs w:val="20"/>
                <w:lang w:val="en-US" w:eastAsia="en-US"/>
              </w:rPr>
              <w:t>Description</w:t>
            </w:r>
          </w:p>
        </w:tc>
        <w:tc>
          <w:tcPr>
            <w:tcW w:w="839" w:type="dxa"/>
            <w:tcBorders>
              <w:top w:val="single" w:sz="8" w:space="0" w:color="auto"/>
              <w:left w:val="nil"/>
              <w:bottom w:val="single" w:sz="4" w:space="0" w:color="auto"/>
              <w:right w:val="single" w:sz="4" w:space="0" w:color="auto"/>
            </w:tcBorders>
            <w:shd w:val="clear" w:color="auto" w:fill="auto"/>
            <w:vAlign w:val="center"/>
            <w:hideMark/>
          </w:tcPr>
          <w:p w14:paraId="6BDA511F" w14:textId="77777777" w:rsidR="003C53BB" w:rsidRPr="004E3818" w:rsidRDefault="003C53BB" w:rsidP="006962CA">
            <w:pPr>
              <w:jc w:val="center"/>
              <w:rPr>
                <w:rFonts w:cs="Arial"/>
                <w:b/>
                <w:bCs/>
                <w:color w:val="000000"/>
                <w:sz w:val="16"/>
                <w:szCs w:val="16"/>
                <w:lang w:val="en-US" w:eastAsia="en-US"/>
              </w:rPr>
            </w:pPr>
            <w:r w:rsidRPr="004E3818">
              <w:rPr>
                <w:rFonts w:cs="Arial"/>
                <w:b/>
                <w:bCs/>
                <w:color w:val="000000"/>
                <w:sz w:val="16"/>
                <w:szCs w:val="16"/>
                <w:lang w:val="en-US" w:eastAsia="en-US"/>
              </w:rPr>
              <w:t>Method</w:t>
            </w:r>
          </w:p>
        </w:tc>
        <w:tc>
          <w:tcPr>
            <w:tcW w:w="1288" w:type="dxa"/>
            <w:tcBorders>
              <w:top w:val="single" w:sz="8" w:space="0" w:color="auto"/>
              <w:left w:val="nil"/>
              <w:bottom w:val="single" w:sz="4" w:space="0" w:color="auto"/>
              <w:right w:val="single" w:sz="4" w:space="0" w:color="auto"/>
            </w:tcBorders>
            <w:shd w:val="clear" w:color="auto" w:fill="auto"/>
            <w:noWrap/>
            <w:vAlign w:val="center"/>
            <w:hideMark/>
          </w:tcPr>
          <w:p w14:paraId="31670548" w14:textId="77777777" w:rsidR="003C53BB" w:rsidRPr="004E3818" w:rsidRDefault="003C53BB" w:rsidP="006962CA">
            <w:pPr>
              <w:jc w:val="center"/>
              <w:rPr>
                <w:rFonts w:cs="Arial"/>
                <w:b/>
                <w:bCs/>
                <w:color w:val="000000"/>
                <w:sz w:val="16"/>
                <w:szCs w:val="16"/>
                <w:lang w:val="en-US" w:eastAsia="en-US"/>
              </w:rPr>
            </w:pPr>
            <w:r w:rsidRPr="004E3818">
              <w:rPr>
                <w:rFonts w:cs="Arial"/>
                <w:b/>
                <w:bCs/>
                <w:color w:val="000000"/>
                <w:sz w:val="16"/>
                <w:szCs w:val="16"/>
                <w:lang w:val="en-US" w:eastAsia="en-US"/>
              </w:rPr>
              <w:t>current (2016)</w:t>
            </w:r>
          </w:p>
        </w:tc>
        <w:tc>
          <w:tcPr>
            <w:tcW w:w="1377" w:type="dxa"/>
            <w:tcBorders>
              <w:top w:val="single" w:sz="8" w:space="0" w:color="auto"/>
              <w:left w:val="nil"/>
              <w:bottom w:val="single" w:sz="4" w:space="0" w:color="auto"/>
              <w:right w:val="single" w:sz="4" w:space="0" w:color="auto"/>
            </w:tcBorders>
            <w:shd w:val="clear" w:color="auto" w:fill="auto"/>
            <w:noWrap/>
            <w:vAlign w:val="center"/>
            <w:hideMark/>
          </w:tcPr>
          <w:p w14:paraId="58425EAA" w14:textId="77777777" w:rsidR="003C53BB" w:rsidRPr="004E3818" w:rsidRDefault="003C53BB" w:rsidP="006962CA">
            <w:pPr>
              <w:jc w:val="center"/>
              <w:rPr>
                <w:rFonts w:cs="Arial"/>
                <w:b/>
                <w:bCs/>
                <w:color w:val="000000"/>
                <w:sz w:val="16"/>
                <w:szCs w:val="16"/>
                <w:lang w:val="en-US" w:eastAsia="en-US"/>
              </w:rPr>
            </w:pPr>
            <w:r w:rsidRPr="004E3818">
              <w:rPr>
                <w:rFonts w:cs="Arial"/>
                <w:b/>
                <w:bCs/>
                <w:color w:val="000000"/>
                <w:sz w:val="16"/>
                <w:szCs w:val="16"/>
                <w:lang w:val="en-US" w:eastAsia="en-US"/>
              </w:rPr>
              <w:t>2017</w:t>
            </w:r>
          </w:p>
        </w:tc>
        <w:tc>
          <w:tcPr>
            <w:tcW w:w="1424" w:type="dxa"/>
            <w:tcBorders>
              <w:top w:val="single" w:sz="8" w:space="0" w:color="auto"/>
              <w:left w:val="nil"/>
              <w:bottom w:val="single" w:sz="4" w:space="0" w:color="auto"/>
              <w:right w:val="single" w:sz="4" w:space="0" w:color="auto"/>
            </w:tcBorders>
            <w:shd w:val="clear" w:color="auto" w:fill="auto"/>
            <w:noWrap/>
            <w:vAlign w:val="center"/>
            <w:hideMark/>
          </w:tcPr>
          <w:p w14:paraId="053692DA" w14:textId="77777777" w:rsidR="003C53BB" w:rsidRPr="004E3818" w:rsidRDefault="003C53BB" w:rsidP="006962CA">
            <w:pPr>
              <w:jc w:val="center"/>
              <w:rPr>
                <w:rFonts w:cs="Arial"/>
                <w:b/>
                <w:bCs/>
                <w:color w:val="000000"/>
                <w:sz w:val="16"/>
                <w:szCs w:val="16"/>
                <w:lang w:val="en-US" w:eastAsia="en-US"/>
              </w:rPr>
            </w:pPr>
            <w:r w:rsidRPr="004E3818">
              <w:rPr>
                <w:rFonts w:cs="Arial"/>
                <w:b/>
                <w:bCs/>
                <w:color w:val="000000"/>
                <w:sz w:val="16"/>
                <w:szCs w:val="16"/>
                <w:lang w:val="en-US" w:eastAsia="en-US"/>
              </w:rPr>
              <w:t>2018</w:t>
            </w:r>
          </w:p>
        </w:tc>
        <w:tc>
          <w:tcPr>
            <w:tcW w:w="1361" w:type="dxa"/>
            <w:tcBorders>
              <w:top w:val="single" w:sz="8" w:space="0" w:color="auto"/>
              <w:left w:val="nil"/>
              <w:bottom w:val="single" w:sz="4" w:space="0" w:color="auto"/>
              <w:right w:val="single" w:sz="4" w:space="0" w:color="auto"/>
            </w:tcBorders>
            <w:shd w:val="clear" w:color="auto" w:fill="auto"/>
            <w:noWrap/>
            <w:vAlign w:val="center"/>
            <w:hideMark/>
          </w:tcPr>
          <w:p w14:paraId="19AC68AC" w14:textId="77777777" w:rsidR="003C53BB" w:rsidRPr="004E3818" w:rsidRDefault="003C53BB" w:rsidP="006962CA">
            <w:pPr>
              <w:jc w:val="center"/>
              <w:rPr>
                <w:rFonts w:cs="Arial"/>
                <w:b/>
                <w:bCs/>
                <w:color w:val="000000"/>
                <w:sz w:val="16"/>
                <w:szCs w:val="16"/>
                <w:lang w:val="en-US" w:eastAsia="en-US"/>
              </w:rPr>
            </w:pPr>
            <w:r w:rsidRPr="004E3818">
              <w:rPr>
                <w:rFonts w:cs="Arial"/>
                <w:b/>
                <w:bCs/>
                <w:color w:val="000000"/>
                <w:sz w:val="16"/>
                <w:szCs w:val="16"/>
                <w:lang w:val="en-US" w:eastAsia="en-US"/>
              </w:rPr>
              <w:t>2019</w:t>
            </w:r>
          </w:p>
        </w:tc>
        <w:tc>
          <w:tcPr>
            <w:tcW w:w="1361" w:type="dxa"/>
            <w:tcBorders>
              <w:top w:val="single" w:sz="8" w:space="0" w:color="auto"/>
              <w:left w:val="nil"/>
              <w:bottom w:val="single" w:sz="4" w:space="0" w:color="auto"/>
              <w:right w:val="single" w:sz="4" w:space="0" w:color="auto"/>
            </w:tcBorders>
            <w:shd w:val="clear" w:color="auto" w:fill="auto"/>
            <w:noWrap/>
            <w:vAlign w:val="center"/>
            <w:hideMark/>
          </w:tcPr>
          <w:p w14:paraId="06386029" w14:textId="77777777" w:rsidR="003C53BB" w:rsidRPr="004E3818" w:rsidRDefault="003C53BB" w:rsidP="006962CA">
            <w:pPr>
              <w:jc w:val="center"/>
              <w:rPr>
                <w:rFonts w:cs="Arial"/>
                <w:b/>
                <w:bCs/>
                <w:color w:val="000000"/>
                <w:sz w:val="16"/>
                <w:szCs w:val="16"/>
                <w:lang w:val="en-US" w:eastAsia="en-US"/>
              </w:rPr>
            </w:pPr>
            <w:r w:rsidRPr="004E3818">
              <w:rPr>
                <w:rFonts w:cs="Arial"/>
                <w:b/>
                <w:bCs/>
                <w:color w:val="000000"/>
                <w:sz w:val="16"/>
                <w:szCs w:val="16"/>
                <w:lang w:val="en-US" w:eastAsia="en-US"/>
              </w:rPr>
              <w:t>2020</w:t>
            </w:r>
          </w:p>
        </w:tc>
        <w:tc>
          <w:tcPr>
            <w:tcW w:w="1361" w:type="dxa"/>
            <w:tcBorders>
              <w:top w:val="single" w:sz="8" w:space="0" w:color="auto"/>
              <w:left w:val="nil"/>
              <w:bottom w:val="single" w:sz="4" w:space="0" w:color="auto"/>
              <w:right w:val="single" w:sz="8" w:space="0" w:color="auto"/>
            </w:tcBorders>
            <w:shd w:val="clear" w:color="auto" w:fill="auto"/>
            <w:noWrap/>
            <w:vAlign w:val="center"/>
            <w:hideMark/>
          </w:tcPr>
          <w:p w14:paraId="3BCDB7EC" w14:textId="77777777" w:rsidR="003C53BB" w:rsidRPr="004E3818" w:rsidRDefault="003C53BB" w:rsidP="006962CA">
            <w:pPr>
              <w:jc w:val="center"/>
              <w:rPr>
                <w:rFonts w:cs="Arial"/>
                <w:b/>
                <w:bCs/>
                <w:color w:val="000000"/>
                <w:sz w:val="16"/>
                <w:szCs w:val="16"/>
                <w:lang w:val="en-US" w:eastAsia="en-US"/>
              </w:rPr>
            </w:pPr>
            <w:r w:rsidRPr="004E3818">
              <w:rPr>
                <w:rFonts w:cs="Arial"/>
                <w:b/>
                <w:bCs/>
                <w:color w:val="000000"/>
                <w:sz w:val="16"/>
                <w:szCs w:val="16"/>
                <w:lang w:val="en-US" w:eastAsia="en-US"/>
              </w:rPr>
              <w:t>2021</w:t>
            </w:r>
          </w:p>
        </w:tc>
      </w:tr>
      <w:tr w:rsidR="003C53BB" w:rsidRPr="004E3818" w14:paraId="025B8807" w14:textId="77777777" w:rsidTr="003C53BB">
        <w:trPr>
          <w:trHeight w:val="1111"/>
          <w:jc w:val="center"/>
        </w:trPr>
        <w:tc>
          <w:tcPr>
            <w:tcW w:w="383" w:type="dxa"/>
            <w:tcBorders>
              <w:top w:val="nil"/>
              <w:left w:val="single" w:sz="8" w:space="0" w:color="auto"/>
              <w:bottom w:val="single" w:sz="4" w:space="0" w:color="auto"/>
              <w:right w:val="single" w:sz="4" w:space="0" w:color="auto"/>
            </w:tcBorders>
            <w:shd w:val="clear" w:color="auto" w:fill="auto"/>
            <w:noWrap/>
            <w:vAlign w:val="center"/>
            <w:hideMark/>
          </w:tcPr>
          <w:p w14:paraId="7FB2F71E" w14:textId="77777777" w:rsidR="003C53BB" w:rsidRPr="004E3818" w:rsidRDefault="003C53BB" w:rsidP="006962CA">
            <w:pPr>
              <w:rPr>
                <w:rFonts w:cs="Arial"/>
                <w:b/>
                <w:bCs/>
                <w:color w:val="000000"/>
                <w:sz w:val="20"/>
                <w:szCs w:val="20"/>
                <w:lang w:val="en-US" w:eastAsia="en-US"/>
              </w:rPr>
            </w:pPr>
            <w:r w:rsidRPr="004E3818">
              <w:rPr>
                <w:rFonts w:cs="Arial"/>
                <w:b/>
                <w:bCs/>
                <w:color w:val="000000"/>
                <w:sz w:val="20"/>
                <w:szCs w:val="20"/>
                <w:lang w:val="en-US" w:eastAsia="en-US"/>
              </w:rPr>
              <w:t>L</w:t>
            </w:r>
          </w:p>
        </w:tc>
        <w:tc>
          <w:tcPr>
            <w:tcW w:w="1317" w:type="dxa"/>
            <w:tcBorders>
              <w:top w:val="nil"/>
              <w:left w:val="nil"/>
              <w:bottom w:val="single" w:sz="4" w:space="0" w:color="auto"/>
              <w:right w:val="single" w:sz="4" w:space="0" w:color="auto"/>
            </w:tcBorders>
            <w:shd w:val="clear" w:color="auto" w:fill="auto"/>
            <w:vAlign w:val="center"/>
            <w:hideMark/>
          </w:tcPr>
          <w:p w14:paraId="0FBF2C3E" w14:textId="77777777" w:rsidR="003C53BB" w:rsidRPr="004E3818" w:rsidRDefault="003C53BB" w:rsidP="006962CA">
            <w:pPr>
              <w:rPr>
                <w:rFonts w:cs="Arial"/>
                <w:color w:val="000000"/>
                <w:sz w:val="20"/>
                <w:szCs w:val="20"/>
                <w:lang w:val="en-US" w:eastAsia="en-US"/>
              </w:rPr>
            </w:pPr>
            <w:r w:rsidRPr="004E3818">
              <w:rPr>
                <w:rFonts w:cs="Arial"/>
                <w:color w:val="000000"/>
                <w:sz w:val="20"/>
                <w:szCs w:val="20"/>
                <w:lang w:val="en-US" w:eastAsia="en-US"/>
              </w:rPr>
              <w:t>Estimated number of services per year</w:t>
            </w:r>
          </w:p>
        </w:tc>
        <w:tc>
          <w:tcPr>
            <w:tcW w:w="839" w:type="dxa"/>
            <w:tcBorders>
              <w:top w:val="nil"/>
              <w:left w:val="nil"/>
              <w:bottom w:val="single" w:sz="4" w:space="0" w:color="auto"/>
              <w:right w:val="single" w:sz="4" w:space="0" w:color="auto"/>
            </w:tcBorders>
            <w:shd w:val="clear" w:color="auto" w:fill="auto"/>
            <w:vAlign w:val="center"/>
            <w:hideMark/>
          </w:tcPr>
          <w:p w14:paraId="34110131" w14:textId="77777777" w:rsidR="003C53BB" w:rsidRPr="004E3818" w:rsidRDefault="003C53BB" w:rsidP="006962CA">
            <w:pPr>
              <w:rPr>
                <w:rFonts w:cs="Arial"/>
                <w:b/>
                <w:bCs/>
                <w:color w:val="000000"/>
                <w:sz w:val="16"/>
                <w:szCs w:val="16"/>
                <w:lang w:val="en-US" w:eastAsia="en-US"/>
              </w:rPr>
            </w:pPr>
            <w:r w:rsidRPr="004E3818">
              <w:rPr>
                <w:rFonts w:cs="Arial"/>
                <w:b/>
                <w:bCs/>
                <w:color w:val="000000"/>
                <w:sz w:val="16"/>
                <w:szCs w:val="16"/>
                <w:lang w:val="en-US" w:eastAsia="en-US"/>
              </w:rPr>
              <w:fldChar w:fldCharType="begin"/>
            </w:r>
            <w:r w:rsidRPr="004E3818">
              <w:rPr>
                <w:rFonts w:cs="Arial"/>
                <w:b/>
                <w:bCs/>
                <w:color w:val="000000"/>
                <w:sz w:val="16"/>
                <w:szCs w:val="16"/>
                <w:lang w:val="en-US" w:eastAsia="en-US"/>
              </w:rPr>
              <w:instrText xml:space="preserve"> REF _Ref430941316 \h </w:instrText>
            </w:r>
            <w:r>
              <w:rPr>
                <w:rFonts w:cs="Arial"/>
                <w:b/>
                <w:bCs/>
                <w:color w:val="000000"/>
                <w:sz w:val="16"/>
                <w:szCs w:val="16"/>
                <w:lang w:val="en-US" w:eastAsia="en-US"/>
              </w:rPr>
              <w:instrText xml:space="preserve"> \* MERGEFORMAT </w:instrText>
            </w:r>
            <w:r w:rsidRPr="004E3818">
              <w:rPr>
                <w:rFonts w:cs="Arial"/>
                <w:b/>
                <w:bCs/>
                <w:color w:val="000000"/>
                <w:sz w:val="16"/>
                <w:szCs w:val="16"/>
                <w:lang w:val="en-US" w:eastAsia="en-US"/>
              </w:rPr>
            </w:r>
            <w:r w:rsidRPr="004E3818">
              <w:rPr>
                <w:rFonts w:cs="Arial"/>
                <w:b/>
                <w:bCs/>
                <w:color w:val="000000"/>
                <w:sz w:val="16"/>
                <w:szCs w:val="16"/>
                <w:lang w:val="en-US" w:eastAsia="en-US"/>
              </w:rPr>
              <w:fldChar w:fldCharType="separate"/>
            </w:r>
            <w:r w:rsidR="00016592" w:rsidRPr="00016592">
              <w:rPr>
                <w:rFonts w:cs="Arial"/>
                <w:sz w:val="16"/>
                <w:szCs w:val="16"/>
              </w:rPr>
              <w:t xml:space="preserve">Table </w:t>
            </w:r>
            <w:r w:rsidR="00016592" w:rsidRPr="00016592">
              <w:rPr>
                <w:rFonts w:cs="Arial"/>
                <w:noProof/>
                <w:sz w:val="16"/>
                <w:szCs w:val="16"/>
              </w:rPr>
              <w:t>61</w:t>
            </w:r>
            <w:r w:rsidRPr="004E3818">
              <w:rPr>
                <w:rFonts w:cs="Arial"/>
                <w:b/>
                <w:bCs/>
                <w:color w:val="000000"/>
                <w:sz w:val="16"/>
                <w:szCs w:val="16"/>
                <w:lang w:val="en-US" w:eastAsia="en-US"/>
              </w:rPr>
              <w:fldChar w:fldCharType="end"/>
            </w:r>
            <w:r w:rsidRPr="004E3818">
              <w:rPr>
                <w:rFonts w:cs="Arial"/>
                <w:b/>
                <w:bCs/>
                <w:color w:val="000000"/>
                <w:sz w:val="16"/>
                <w:szCs w:val="16"/>
                <w:lang w:val="en-US" w:eastAsia="en-US"/>
              </w:rPr>
              <w:t>, row K</w:t>
            </w:r>
          </w:p>
        </w:tc>
        <w:tc>
          <w:tcPr>
            <w:tcW w:w="1288" w:type="dxa"/>
            <w:tcBorders>
              <w:top w:val="nil"/>
              <w:left w:val="nil"/>
              <w:bottom w:val="single" w:sz="4" w:space="0" w:color="auto"/>
              <w:right w:val="single" w:sz="4" w:space="0" w:color="auto"/>
            </w:tcBorders>
            <w:shd w:val="clear" w:color="auto" w:fill="auto"/>
            <w:noWrap/>
            <w:vAlign w:val="center"/>
            <w:hideMark/>
          </w:tcPr>
          <w:p w14:paraId="0B679743" w14:textId="77777777" w:rsidR="003C53BB" w:rsidRPr="004E3818" w:rsidRDefault="003C53BB" w:rsidP="006962CA">
            <w:pPr>
              <w:jc w:val="center"/>
              <w:rPr>
                <w:rFonts w:cs="Arial"/>
                <w:b/>
                <w:bCs/>
                <w:color w:val="000000"/>
                <w:sz w:val="16"/>
                <w:szCs w:val="16"/>
                <w:lang w:val="en-US" w:eastAsia="en-US"/>
              </w:rPr>
            </w:pPr>
            <w:r w:rsidRPr="004E3818">
              <w:rPr>
                <w:rFonts w:cs="Arial"/>
                <w:b/>
                <w:bCs/>
                <w:color w:val="000000"/>
                <w:sz w:val="16"/>
                <w:szCs w:val="16"/>
                <w:lang w:val="en-US" w:eastAsia="en-US"/>
              </w:rPr>
              <w:t>71</w:t>
            </w:r>
          </w:p>
        </w:tc>
        <w:tc>
          <w:tcPr>
            <w:tcW w:w="1377" w:type="dxa"/>
            <w:tcBorders>
              <w:top w:val="nil"/>
              <w:left w:val="nil"/>
              <w:bottom w:val="single" w:sz="4" w:space="0" w:color="auto"/>
              <w:right w:val="single" w:sz="4" w:space="0" w:color="auto"/>
            </w:tcBorders>
            <w:shd w:val="clear" w:color="auto" w:fill="auto"/>
            <w:noWrap/>
            <w:vAlign w:val="center"/>
            <w:hideMark/>
          </w:tcPr>
          <w:p w14:paraId="20228C61" w14:textId="77777777" w:rsidR="003C53BB" w:rsidRPr="004E3818" w:rsidRDefault="003C53BB" w:rsidP="006962CA">
            <w:pPr>
              <w:jc w:val="center"/>
              <w:rPr>
                <w:rFonts w:cs="Arial"/>
                <w:b/>
                <w:bCs/>
                <w:color w:val="000000"/>
                <w:sz w:val="16"/>
                <w:szCs w:val="16"/>
                <w:lang w:val="en-US" w:eastAsia="en-US"/>
              </w:rPr>
            </w:pPr>
            <w:r w:rsidRPr="004E3818">
              <w:rPr>
                <w:rFonts w:cs="Arial"/>
                <w:b/>
                <w:bCs/>
                <w:color w:val="000000"/>
                <w:sz w:val="16"/>
                <w:szCs w:val="16"/>
                <w:lang w:val="en-US" w:eastAsia="en-US"/>
              </w:rPr>
              <w:t>72</w:t>
            </w:r>
          </w:p>
        </w:tc>
        <w:tc>
          <w:tcPr>
            <w:tcW w:w="1424" w:type="dxa"/>
            <w:tcBorders>
              <w:top w:val="nil"/>
              <w:left w:val="nil"/>
              <w:bottom w:val="single" w:sz="4" w:space="0" w:color="auto"/>
              <w:right w:val="single" w:sz="4" w:space="0" w:color="auto"/>
            </w:tcBorders>
            <w:shd w:val="clear" w:color="auto" w:fill="auto"/>
            <w:noWrap/>
            <w:vAlign w:val="center"/>
            <w:hideMark/>
          </w:tcPr>
          <w:p w14:paraId="68703110" w14:textId="77777777" w:rsidR="003C53BB" w:rsidRPr="004E3818" w:rsidRDefault="003C53BB" w:rsidP="006962CA">
            <w:pPr>
              <w:jc w:val="center"/>
              <w:rPr>
                <w:rFonts w:cs="Arial"/>
                <w:b/>
                <w:bCs/>
                <w:color w:val="000000"/>
                <w:sz w:val="16"/>
                <w:szCs w:val="16"/>
                <w:lang w:val="en-US" w:eastAsia="en-US"/>
              </w:rPr>
            </w:pPr>
            <w:r w:rsidRPr="004E3818">
              <w:rPr>
                <w:rFonts w:cs="Arial"/>
                <w:b/>
                <w:bCs/>
                <w:color w:val="000000"/>
                <w:sz w:val="16"/>
                <w:szCs w:val="16"/>
                <w:lang w:val="en-US" w:eastAsia="en-US"/>
              </w:rPr>
              <w:t>74</w:t>
            </w:r>
          </w:p>
        </w:tc>
        <w:tc>
          <w:tcPr>
            <w:tcW w:w="1361" w:type="dxa"/>
            <w:tcBorders>
              <w:top w:val="nil"/>
              <w:left w:val="nil"/>
              <w:bottom w:val="single" w:sz="4" w:space="0" w:color="auto"/>
              <w:right w:val="single" w:sz="4" w:space="0" w:color="auto"/>
            </w:tcBorders>
            <w:shd w:val="clear" w:color="auto" w:fill="auto"/>
            <w:noWrap/>
            <w:vAlign w:val="center"/>
            <w:hideMark/>
          </w:tcPr>
          <w:p w14:paraId="33172C1F" w14:textId="77777777" w:rsidR="003C53BB" w:rsidRPr="004E3818" w:rsidRDefault="003C53BB" w:rsidP="006962CA">
            <w:pPr>
              <w:jc w:val="center"/>
              <w:rPr>
                <w:rFonts w:cs="Arial"/>
                <w:b/>
                <w:bCs/>
                <w:color w:val="000000"/>
                <w:sz w:val="16"/>
                <w:szCs w:val="16"/>
                <w:lang w:val="en-US" w:eastAsia="en-US"/>
              </w:rPr>
            </w:pPr>
            <w:r w:rsidRPr="004E3818">
              <w:rPr>
                <w:rFonts w:cs="Arial"/>
                <w:b/>
                <w:bCs/>
                <w:color w:val="000000"/>
                <w:sz w:val="16"/>
                <w:szCs w:val="16"/>
                <w:lang w:val="en-US" w:eastAsia="en-US"/>
              </w:rPr>
              <w:t>75</w:t>
            </w:r>
          </w:p>
        </w:tc>
        <w:tc>
          <w:tcPr>
            <w:tcW w:w="1361" w:type="dxa"/>
            <w:tcBorders>
              <w:top w:val="nil"/>
              <w:left w:val="nil"/>
              <w:bottom w:val="single" w:sz="4" w:space="0" w:color="auto"/>
              <w:right w:val="single" w:sz="4" w:space="0" w:color="auto"/>
            </w:tcBorders>
            <w:shd w:val="clear" w:color="auto" w:fill="auto"/>
            <w:noWrap/>
            <w:vAlign w:val="center"/>
            <w:hideMark/>
          </w:tcPr>
          <w:p w14:paraId="1B047E07" w14:textId="77777777" w:rsidR="003C53BB" w:rsidRPr="004E3818" w:rsidRDefault="003C53BB" w:rsidP="006962CA">
            <w:pPr>
              <w:jc w:val="center"/>
              <w:rPr>
                <w:rFonts w:cs="Arial"/>
                <w:b/>
                <w:bCs/>
                <w:color w:val="000000"/>
                <w:sz w:val="16"/>
                <w:szCs w:val="16"/>
                <w:lang w:val="en-US" w:eastAsia="en-US"/>
              </w:rPr>
            </w:pPr>
            <w:r w:rsidRPr="004E3818">
              <w:rPr>
                <w:rFonts w:cs="Arial"/>
                <w:b/>
                <w:bCs/>
                <w:color w:val="000000"/>
                <w:sz w:val="16"/>
                <w:szCs w:val="16"/>
                <w:lang w:val="en-US" w:eastAsia="en-US"/>
              </w:rPr>
              <w:t>76</w:t>
            </w:r>
          </w:p>
        </w:tc>
        <w:tc>
          <w:tcPr>
            <w:tcW w:w="1361" w:type="dxa"/>
            <w:tcBorders>
              <w:top w:val="nil"/>
              <w:left w:val="nil"/>
              <w:bottom w:val="single" w:sz="4" w:space="0" w:color="auto"/>
              <w:right w:val="single" w:sz="8" w:space="0" w:color="auto"/>
            </w:tcBorders>
            <w:shd w:val="clear" w:color="auto" w:fill="auto"/>
            <w:noWrap/>
            <w:vAlign w:val="center"/>
            <w:hideMark/>
          </w:tcPr>
          <w:p w14:paraId="16638114" w14:textId="77777777" w:rsidR="003C53BB" w:rsidRPr="004E3818" w:rsidRDefault="003C53BB" w:rsidP="006962CA">
            <w:pPr>
              <w:jc w:val="center"/>
              <w:rPr>
                <w:rFonts w:cs="Arial"/>
                <w:b/>
                <w:bCs/>
                <w:color w:val="000000"/>
                <w:sz w:val="16"/>
                <w:szCs w:val="16"/>
                <w:lang w:val="en-US" w:eastAsia="en-US"/>
              </w:rPr>
            </w:pPr>
            <w:r w:rsidRPr="004E3818">
              <w:rPr>
                <w:rFonts w:cs="Arial"/>
                <w:b/>
                <w:bCs/>
                <w:color w:val="000000"/>
                <w:sz w:val="16"/>
                <w:szCs w:val="16"/>
                <w:lang w:val="en-US" w:eastAsia="en-US"/>
              </w:rPr>
              <w:t>77</w:t>
            </w:r>
          </w:p>
        </w:tc>
      </w:tr>
      <w:tr w:rsidR="003C53BB" w:rsidRPr="004E3818" w14:paraId="0772AEC3" w14:textId="77777777" w:rsidTr="003C53BB">
        <w:trPr>
          <w:trHeight w:val="1127"/>
          <w:jc w:val="center"/>
        </w:trPr>
        <w:tc>
          <w:tcPr>
            <w:tcW w:w="383" w:type="dxa"/>
            <w:tcBorders>
              <w:top w:val="nil"/>
              <w:left w:val="single" w:sz="8" w:space="0" w:color="auto"/>
              <w:bottom w:val="single" w:sz="8" w:space="0" w:color="auto"/>
              <w:right w:val="single" w:sz="4" w:space="0" w:color="auto"/>
            </w:tcBorders>
            <w:shd w:val="clear" w:color="000000" w:fill="C5D9F1"/>
            <w:noWrap/>
            <w:vAlign w:val="center"/>
            <w:hideMark/>
          </w:tcPr>
          <w:p w14:paraId="0C7E2B05" w14:textId="77777777" w:rsidR="003C53BB" w:rsidRPr="004E3818" w:rsidRDefault="003C53BB" w:rsidP="006962CA">
            <w:pPr>
              <w:rPr>
                <w:rFonts w:cs="Arial"/>
                <w:b/>
                <w:bCs/>
                <w:color w:val="000000"/>
                <w:sz w:val="20"/>
                <w:szCs w:val="20"/>
                <w:lang w:val="en-US" w:eastAsia="en-US"/>
              </w:rPr>
            </w:pPr>
            <w:r w:rsidRPr="004E3818">
              <w:rPr>
                <w:rFonts w:cs="Arial"/>
                <w:b/>
                <w:bCs/>
                <w:color w:val="000000"/>
                <w:sz w:val="20"/>
                <w:szCs w:val="20"/>
                <w:lang w:val="en-US" w:eastAsia="en-US"/>
              </w:rPr>
              <w:t>M</w:t>
            </w:r>
          </w:p>
        </w:tc>
        <w:tc>
          <w:tcPr>
            <w:tcW w:w="1317" w:type="dxa"/>
            <w:tcBorders>
              <w:top w:val="nil"/>
              <w:left w:val="nil"/>
              <w:bottom w:val="single" w:sz="8" w:space="0" w:color="auto"/>
              <w:right w:val="single" w:sz="4" w:space="0" w:color="auto"/>
            </w:tcBorders>
            <w:shd w:val="clear" w:color="000000" w:fill="C5D9F1"/>
            <w:vAlign w:val="center"/>
            <w:hideMark/>
          </w:tcPr>
          <w:p w14:paraId="5F451451" w14:textId="77777777" w:rsidR="003C53BB" w:rsidRPr="004E3818" w:rsidRDefault="003C53BB" w:rsidP="006962CA">
            <w:pPr>
              <w:rPr>
                <w:rFonts w:cs="Arial"/>
                <w:color w:val="000000"/>
                <w:sz w:val="20"/>
                <w:szCs w:val="20"/>
                <w:lang w:val="en-US" w:eastAsia="en-US"/>
              </w:rPr>
            </w:pPr>
            <w:r w:rsidRPr="004E3818">
              <w:rPr>
                <w:rFonts w:cs="Arial"/>
                <w:color w:val="000000"/>
                <w:sz w:val="20"/>
                <w:szCs w:val="20"/>
                <w:lang w:val="en-US" w:eastAsia="en-US"/>
              </w:rPr>
              <w:t>Cost to MBS of the proposed item</w:t>
            </w:r>
          </w:p>
        </w:tc>
        <w:tc>
          <w:tcPr>
            <w:tcW w:w="839" w:type="dxa"/>
            <w:tcBorders>
              <w:top w:val="nil"/>
              <w:left w:val="nil"/>
              <w:bottom w:val="single" w:sz="8" w:space="0" w:color="auto"/>
              <w:right w:val="single" w:sz="4" w:space="0" w:color="auto"/>
            </w:tcBorders>
            <w:shd w:val="clear" w:color="000000" w:fill="C5D9F1"/>
            <w:vAlign w:val="center"/>
            <w:hideMark/>
          </w:tcPr>
          <w:p w14:paraId="78294C6B" w14:textId="77777777" w:rsidR="003C53BB" w:rsidRPr="004E3818" w:rsidRDefault="003C53BB" w:rsidP="006962CA">
            <w:pPr>
              <w:rPr>
                <w:rFonts w:cs="Arial"/>
                <w:color w:val="000000"/>
                <w:sz w:val="16"/>
                <w:szCs w:val="16"/>
                <w:lang w:val="en-US" w:eastAsia="en-US"/>
              </w:rPr>
            </w:pPr>
            <w:r w:rsidRPr="004E3818">
              <w:rPr>
                <w:rFonts w:cs="Arial"/>
                <w:color w:val="000000"/>
                <w:sz w:val="16"/>
                <w:szCs w:val="16"/>
                <w:lang w:val="en-US" w:eastAsia="en-US"/>
              </w:rPr>
              <w:t>L x AUD 1,876.95</w:t>
            </w:r>
          </w:p>
        </w:tc>
        <w:tc>
          <w:tcPr>
            <w:tcW w:w="1288" w:type="dxa"/>
            <w:tcBorders>
              <w:top w:val="nil"/>
              <w:left w:val="nil"/>
              <w:bottom w:val="single" w:sz="8" w:space="0" w:color="auto"/>
              <w:right w:val="single" w:sz="4" w:space="0" w:color="auto"/>
            </w:tcBorders>
            <w:shd w:val="clear" w:color="000000" w:fill="C5D9F1"/>
            <w:noWrap/>
            <w:vAlign w:val="center"/>
            <w:hideMark/>
          </w:tcPr>
          <w:p w14:paraId="63659017" w14:textId="77777777" w:rsidR="003C53BB" w:rsidRPr="004E3818" w:rsidRDefault="003C53BB" w:rsidP="003C53BB">
            <w:pPr>
              <w:rPr>
                <w:rFonts w:cs="Arial"/>
                <w:color w:val="000000"/>
                <w:sz w:val="16"/>
                <w:szCs w:val="16"/>
                <w:lang w:val="en-US" w:eastAsia="en-US"/>
              </w:rPr>
            </w:pPr>
            <w:r>
              <w:rPr>
                <w:rFonts w:cs="Arial"/>
                <w:color w:val="000000"/>
                <w:sz w:val="16"/>
                <w:szCs w:val="16"/>
                <w:lang w:val="en-US" w:eastAsia="en-US"/>
              </w:rPr>
              <w:t xml:space="preserve"> AUD  </w:t>
            </w:r>
            <w:r w:rsidRPr="004E3818">
              <w:rPr>
                <w:rFonts w:cs="Arial"/>
                <w:color w:val="000000"/>
                <w:sz w:val="16"/>
                <w:szCs w:val="16"/>
                <w:lang w:val="en-US" w:eastAsia="en-US"/>
              </w:rPr>
              <w:t xml:space="preserve">133.263 </w:t>
            </w:r>
          </w:p>
        </w:tc>
        <w:tc>
          <w:tcPr>
            <w:tcW w:w="1377" w:type="dxa"/>
            <w:tcBorders>
              <w:top w:val="nil"/>
              <w:left w:val="nil"/>
              <w:bottom w:val="single" w:sz="8" w:space="0" w:color="auto"/>
              <w:right w:val="single" w:sz="4" w:space="0" w:color="auto"/>
            </w:tcBorders>
            <w:shd w:val="clear" w:color="000000" w:fill="C5D9F1"/>
            <w:noWrap/>
            <w:vAlign w:val="center"/>
            <w:hideMark/>
          </w:tcPr>
          <w:p w14:paraId="4A55BFDC" w14:textId="77777777" w:rsidR="003C53BB" w:rsidRPr="004E3818" w:rsidRDefault="003C53BB" w:rsidP="006962CA">
            <w:pPr>
              <w:rPr>
                <w:rFonts w:cs="Arial"/>
                <w:color w:val="000000"/>
                <w:sz w:val="16"/>
                <w:szCs w:val="16"/>
                <w:lang w:val="en-US" w:eastAsia="en-US"/>
              </w:rPr>
            </w:pPr>
            <w:r>
              <w:rPr>
                <w:rFonts w:cs="Arial"/>
                <w:color w:val="000000"/>
                <w:sz w:val="16"/>
                <w:szCs w:val="16"/>
                <w:lang w:val="en-US" w:eastAsia="en-US"/>
              </w:rPr>
              <w:t xml:space="preserve"> AUD   </w:t>
            </w:r>
            <w:r w:rsidRPr="004E3818">
              <w:rPr>
                <w:rFonts w:cs="Arial"/>
                <w:color w:val="000000"/>
                <w:sz w:val="16"/>
                <w:szCs w:val="16"/>
                <w:lang w:val="en-US" w:eastAsia="en-US"/>
              </w:rPr>
              <w:t xml:space="preserve">135.140 </w:t>
            </w:r>
          </w:p>
        </w:tc>
        <w:tc>
          <w:tcPr>
            <w:tcW w:w="1424" w:type="dxa"/>
            <w:tcBorders>
              <w:top w:val="nil"/>
              <w:left w:val="nil"/>
              <w:bottom w:val="single" w:sz="8" w:space="0" w:color="auto"/>
              <w:right w:val="single" w:sz="4" w:space="0" w:color="auto"/>
            </w:tcBorders>
            <w:shd w:val="clear" w:color="000000" w:fill="C5D9F1"/>
            <w:noWrap/>
            <w:vAlign w:val="center"/>
            <w:hideMark/>
          </w:tcPr>
          <w:p w14:paraId="56AE3E47" w14:textId="77777777" w:rsidR="003C53BB" w:rsidRPr="004E3818" w:rsidRDefault="003C53BB" w:rsidP="006962CA">
            <w:pPr>
              <w:rPr>
                <w:rFonts w:cs="Arial"/>
                <w:color w:val="000000"/>
                <w:sz w:val="16"/>
                <w:szCs w:val="16"/>
                <w:lang w:val="en-US" w:eastAsia="en-US"/>
              </w:rPr>
            </w:pPr>
            <w:r>
              <w:rPr>
                <w:rFonts w:cs="Arial"/>
                <w:color w:val="000000"/>
                <w:sz w:val="16"/>
                <w:szCs w:val="16"/>
                <w:lang w:val="en-US" w:eastAsia="en-US"/>
              </w:rPr>
              <w:t xml:space="preserve"> AUD   </w:t>
            </w:r>
            <w:r w:rsidRPr="004E3818">
              <w:rPr>
                <w:rFonts w:cs="Arial"/>
                <w:color w:val="000000"/>
                <w:sz w:val="16"/>
                <w:szCs w:val="16"/>
                <w:lang w:val="en-US" w:eastAsia="en-US"/>
              </w:rPr>
              <w:t xml:space="preserve">138.894 </w:t>
            </w:r>
          </w:p>
        </w:tc>
        <w:tc>
          <w:tcPr>
            <w:tcW w:w="1361" w:type="dxa"/>
            <w:tcBorders>
              <w:top w:val="nil"/>
              <w:left w:val="nil"/>
              <w:bottom w:val="single" w:sz="8" w:space="0" w:color="auto"/>
              <w:right w:val="single" w:sz="4" w:space="0" w:color="auto"/>
            </w:tcBorders>
            <w:shd w:val="clear" w:color="000000" w:fill="C5D9F1"/>
            <w:noWrap/>
            <w:vAlign w:val="center"/>
            <w:hideMark/>
          </w:tcPr>
          <w:p w14:paraId="7597FE16" w14:textId="77777777" w:rsidR="003C53BB" w:rsidRPr="004E3818" w:rsidRDefault="003C53BB" w:rsidP="006962CA">
            <w:pPr>
              <w:rPr>
                <w:rFonts w:cs="Arial"/>
                <w:color w:val="000000"/>
                <w:sz w:val="16"/>
                <w:szCs w:val="16"/>
                <w:lang w:val="en-US" w:eastAsia="en-US"/>
              </w:rPr>
            </w:pPr>
            <w:r w:rsidRPr="004E3818">
              <w:rPr>
                <w:rFonts w:cs="Arial"/>
                <w:color w:val="000000"/>
                <w:sz w:val="16"/>
                <w:szCs w:val="16"/>
                <w:lang w:val="en-US" w:eastAsia="en-US"/>
              </w:rPr>
              <w:t xml:space="preserve"> AUD  140.771 </w:t>
            </w:r>
          </w:p>
        </w:tc>
        <w:tc>
          <w:tcPr>
            <w:tcW w:w="1361" w:type="dxa"/>
            <w:tcBorders>
              <w:top w:val="nil"/>
              <w:left w:val="nil"/>
              <w:bottom w:val="single" w:sz="8" w:space="0" w:color="auto"/>
              <w:right w:val="single" w:sz="4" w:space="0" w:color="auto"/>
            </w:tcBorders>
            <w:shd w:val="clear" w:color="000000" w:fill="C5D9F1"/>
            <w:noWrap/>
            <w:vAlign w:val="center"/>
            <w:hideMark/>
          </w:tcPr>
          <w:p w14:paraId="62FB7917" w14:textId="77777777" w:rsidR="003C53BB" w:rsidRPr="004E3818" w:rsidRDefault="003C53BB" w:rsidP="006962CA">
            <w:pPr>
              <w:rPr>
                <w:rFonts w:cs="Arial"/>
                <w:color w:val="000000"/>
                <w:sz w:val="16"/>
                <w:szCs w:val="16"/>
                <w:lang w:val="en-US" w:eastAsia="en-US"/>
              </w:rPr>
            </w:pPr>
            <w:r w:rsidRPr="004E3818">
              <w:rPr>
                <w:rFonts w:cs="Arial"/>
                <w:color w:val="000000"/>
                <w:sz w:val="16"/>
                <w:szCs w:val="16"/>
                <w:lang w:val="en-US" w:eastAsia="en-US"/>
              </w:rPr>
              <w:t xml:space="preserve"> AUD  142.648 </w:t>
            </w:r>
          </w:p>
        </w:tc>
        <w:tc>
          <w:tcPr>
            <w:tcW w:w="1361" w:type="dxa"/>
            <w:tcBorders>
              <w:top w:val="nil"/>
              <w:left w:val="nil"/>
              <w:bottom w:val="single" w:sz="8" w:space="0" w:color="auto"/>
              <w:right w:val="single" w:sz="8" w:space="0" w:color="auto"/>
            </w:tcBorders>
            <w:shd w:val="clear" w:color="000000" w:fill="C5D9F1"/>
            <w:noWrap/>
            <w:vAlign w:val="center"/>
            <w:hideMark/>
          </w:tcPr>
          <w:p w14:paraId="64616528" w14:textId="77777777" w:rsidR="003C53BB" w:rsidRPr="004E3818" w:rsidRDefault="003C53BB" w:rsidP="006962CA">
            <w:pPr>
              <w:rPr>
                <w:rFonts w:cs="Arial"/>
                <w:color w:val="000000"/>
                <w:sz w:val="16"/>
                <w:szCs w:val="16"/>
                <w:lang w:val="en-US" w:eastAsia="en-US"/>
              </w:rPr>
            </w:pPr>
            <w:r w:rsidRPr="004E3818">
              <w:rPr>
                <w:rFonts w:cs="Arial"/>
                <w:color w:val="000000"/>
                <w:sz w:val="16"/>
                <w:szCs w:val="16"/>
                <w:lang w:val="en-US" w:eastAsia="en-US"/>
              </w:rPr>
              <w:t xml:space="preserve"> AUD  144.525 </w:t>
            </w:r>
          </w:p>
        </w:tc>
      </w:tr>
    </w:tbl>
    <w:p w14:paraId="55A732A6" w14:textId="77777777" w:rsidR="003C53BB" w:rsidRDefault="003C53BB" w:rsidP="003C53BB">
      <w:pPr>
        <w:pStyle w:val="Textbody"/>
        <w:rPr>
          <w:highlight w:val="lightGray"/>
          <w:lang w:val="en-AU"/>
        </w:rPr>
      </w:pPr>
    </w:p>
    <w:p w14:paraId="0A4EF2E8" w14:textId="77777777" w:rsidR="003C53BB" w:rsidRPr="009A1A2E" w:rsidRDefault="003C53BB" w:rsidP="003C53BB">
      <w:pPr>
        <w:pStyle w:val="Heading20"/>
        <w:spacing w:line="360" w:lineRule="auto"/>
        <w:jc w:val="both"/>
        <w:rPr>
          <w:lang w:val="en-AU"/>
        </w:rPr>
      </w:pPr>
      <w:bookmarkStart w:id="633" w:name="_Toc400549440"/>
      <w:bookmarkStart w:id="634" w:name="_Toc431917611"/>
      <w:r w:rsidRPr="009A1A2E">
        <w:rPr>
          <w:lang w:val="en-AU"/>
        </w:rPr>
        <w:lastRenderedPageBreak/>
        <w:t>E.3</w:t>
      </w:r>
      <w:r w:rsidRPr="009A1A2E">
        <w:rPr>
          <w:lang w:val="en-AU"/>
        </w:rPr>
        <w:tab/>
        <w:t>Estimation of changes in use and cost of other medical services</w:t>
      </w:r>
      <w:bookmarkEnd w:id="633"/>
      <w:bookmarkEnd w:id="634"/>
    </w:p>
    <w:p w14:paraId="11C977A4" w14:textId="77777777" w:rsidR="003C53BB" w:rsidRPr="009A1A2E" w:rsidRDefault="003C53BB" w:rsidP="003C53BB">
      <w:pPr>
        <w:pStyle w:val="Textbody"/>
        <w:rPr>
          <w:lang w:val="en-AU"/>
        </w:rPr>
      </w:pPr>
      <w:r w:rsidRPr="009A1A2E">
        <w:rPr>
          <w:lang w:val="en-AU"/>
        </w:rPr>
        <w:t>Other MBS-funded medical services that are likely to be affected by listing the proposed medical service could not be identified. The devices are mutually exclusive to the CI and the BAHA, as was identified by the PASC committee. The proposed listing is an extension of the current treatment options for patients who suffer from a SNHL plus medical condition, as defined in Section A.</w:t>
      </w:r>
    </w:p>
    <w:p w14:paraId="78FF7B62" w14:textId="77777777" w:rsidR="003C53BB" w:rsidRPr="001A4AB0" w:rsidRDefault="003C53BB" w:rsidP="003C53BB">
      <w:pPr>
        <w:autoSpaceDE w:val="0"/>
        <w:autoSpaceDN w:val="0"/>
        <w:adjustRightInd w:val="0"/>
        <w:spacing w:line="360" w:lineRule="auto"/>
        <w:jc w:val="both"/>
        <w:rPr>
          <w:rFonts w:cs="Arial"/>
          <w:lang w:eastAsia="de-AT"/>
        </w:rPr>
      </w:pPr>
      <w:r w:rsidRPr="001A4AB0">
        <w:rPr>
          <w:rFonts w:cs="Arial"/>
          <w:lang w:eastAsia="de-AT"/>
        </w:rPr>
        <w:t>Other MBS costs associated with the insertion of the VSB include the cost of a CT scan,</w:t>
      </w:r>
      <w:r>
        <w:rPr>
          <w:rFonts w:cs="Arial"/>
          <w:lang w:eastAsia="de-AT"/>
        </w:rPr>
        <w:t xml:space="preserve"> </w:t>
      </w:r>
      <w:r w:rsidRPr="001A4AB0">
        <w:rPr>
          <w:rFonts w:cs="Arial"/>
          <w:lang w:eastAsia="de-AT"/>
        </w:rPr>
        <w:t>assistance with surgery, and anaesthetist services (pre-anaesthesia consultation, anaesthesia</w:t>
      </w:r>
      <w:r>
        <w:rPr>
          <w:rFonts w:cs="Arial"/>
          <w:lang w:eastAsia="de-AT"/>
        </w:rPr>
        <w:t xml:space="preserve"> </w:t>
      </w:r>
      <w:r w:rsidRPr="001A4AB0">
        <w:rPr>
          <w:rFonts w:cs="Arial"/>
          <w:lang w:eastAsia="de-AT"/>
        </w:rPr>
        <w:t>initiation, anaesthetist attendance for 2-2.5 hours). In addition, there are pre-operational and</w:t>
      </w:r>
      <w:r>
        <w:rPr>
          <w:rFonts w:cs="Arial"/>
          <w:lang w:eastAsia="de-AT"/>
        </w:rPr>
        <w:t xml:space="preserve"> </w:t>
      </w:r>
      <w:r w:rsidRPr="001A4AB0">
        <w:rPr>
          <w:rFonts w:cs="Arial"/>
          <w:lang w:eastAsia="de-AT"/>
        </w:rPr>
        <w:t xml:space="preserve">post-operational MBS items associated with the procedure (accounted for </w:t>
      </w:r>
      <w:r w:rsidRPr="00587B90">
        <w:rPr>
          <w:rFonts w:cs="Arial"/>
          <w:lang w:eastAsia="de-AT"/>
        </w:rPr>
        <w:t xml:space="preserve">in details in </w:t>
      </w:r>
      <w:r w:rsidR="00587B90" w:rsidRPr="00587B90">
        <w:rPr>
          <w:rFonts w:cs="Arial"/>
          <w:highlight w:val="yellow"/>
          <w:lang w:eastAsia="de-AT"/>
        </w:rPr>
        <w:fldChar w:fldCharType="begin"/>
      </w:r>
      <w:r w:rsidR="00587B90" w:rsidRPr="00587B90">
        <w:rPr>
          <w:rFonts w:cs="Arial"/>
          <w:lang w:eastAsia="de-AT"/>
        </w:rPr>
        <w:instrText xml:space="preserve"> REF _Ref431385908 \h </w:instrText>
      </w:r>
      <w:r w:rsidR="00587B90">
        <w:rPr>
          <w:rFonts w:cs="Arial"/>
          <w:highlight w:val="yellow"/>
          <w:lang w:eastAsia="de-AT"/>
        </w:rPr>
        <w:instrText xml:space="preserve"> \* MERGEFORMAT </w:instrText>
      </w:r>
      <w:r w:rsidR="00587B90" w:rsidRPr="00587B90">
        <w:rPr>
          <w:rFonts w:cs="Arial"/>
          <w:highlight w:val="yellow"/>
          <w:lang w:eastAsia="de-AT"/>
        </w:rPr>
      </w:r>
      <w:r w:rsidR="00587B90" w:rsidRPr="00587B90">
        <w:rPr>
          <w:rFonts w:cs="Arial"/>
          <w:highlight w:val="yellow"/>
          <w:lang w:eastAsia="de-AT"/>
        </w:rPr>
        <w:fldChar w:fldCharType="separate"/>
      </w:r>
      <w:r w:rsidR="00016592" w:rsidRPr="00016592">
        <w:rPr>
          <w:rFonts w:cs="Arial"/>
          <w:lang w:val="x-none"/>
        </w:rPr>
        <w:t>Table 63</w:t>
      </w:r>
      <w:r w:rsidR="00587B90" w:rsidRPr="00587B90">
        <w:rPr>
          <w:rFonts w:cs="Arial"/>
          <w:highlight w:val="yellow"/>
          <w:lang w:eastAsia="de-AT"/>
        </w:rPr>
        <w:fldChar w:fldCharType="end"/>
      </w:r>
      <w:r w:rsidR="00587B90" w:rsidRPr="00587B90">
        <w:rPr>
          <w:rFonts w:cs="Arial"/>
          <w:lang w:eastAsia="de-AT"/>
        </w:rPr>
        <w:t xml:space="preserve"> to </w:t>
      </w:r>
      <w:r w:rsidR="00587B90" w:rsidRPr="00587B90">
        <w:rPr>
          <w:rFonts w:cs="Arial"/>
          <w:highlight w:val="yellow"/>
          <w:lang w:eastAsia="de-AT"/>
        </w:rPr>
        <w:fldChar w:fldCharType="begin"/>
      </w:r>
      <w:r w:rsidR="00587B90" w:rsidRPr="00587B90">
        <w:rPr>
          <w:rFonts w:cs="Arial"/>
          <w:lang w:eastAsia="de-AT"/>
        </w:rPr>
        <w:instrText xml:space="preserve"> REF _Ref430947292 \h </w:instrText>
      </w:r>
      <w:r w:rsidR="00587B90">
        <w:rPr>
          <w:rFonts w:cs="Arial"/>
          <w:highlight w:val="yellow"/>
          <w:lang w:eastAsia="de-AT"/>
        </w:rPr>
        <w:instrText xml:space="preserve"> \* MERGEFORMAT </w:instrText>
      </w:r>
      <w:r w:rsidR="00587B90" w:rsidRPr="00587B90">
        <w:rPr>
          <w:rFonts w:cs="Arial"/>
          <w:highlight w:val="yellow"/>
          <w:lang w:eastAsia="de-AT"/>
        </w:rPr>
      </w:r>
      <w:r w:rsidR="00587B90" w:rsidRPr="00587B90">
        <w:rPr>
          <w:rFonts w:cs="Arial"/>
          <w:highlight w:val="yellow"/>
          <w:lang w:eastAsia="de-AT"/>
        </w:rPr>
        <w:fldChar w:fldCharType="separate"/>
      </w:r>
      <w:r w:rsidR="00016592" w:rsidRPr="004D294A">
        <w:rPr>
          <w:rFonts w:cs="Arial"/>
        </w:rPr>
        <w:t xml:space="preserve">Table </w:t>
      </w:r>
      <w:r w:rsidR="00016592">
        <w:rPr>
          <w:rFonts w:cs="Arial"/>
          <w:noProof/>
        </w:rPr>
        <w:t>65</w:t>
      </w:r>
      <w:r w:rsidR="00587B90" w:rsidRPr="00587B90">
        <w:rPr>
          <w:rFonts w:cs="Arial"/>
          <w:highlight w:val="yellow"/>
          <w:lang w:eastAsia="de-AT"/>
        </w:rPr>
        <w:fldChar w:fldCharType="end"/>
      </w:r>
      <w:r w:rsidRPr="00587B90">
        <w:rPr>
          <w:rFonts w:cs="Arial"/>
          <w:lang w:eastAsia="de-AT"/>
        </w:rPr>
        <w:t>. Issues relating</w:t>
      </w:r>
      <w:r w:rsidRPr="001A4AB0">
        <w:rPr>
          <w:rFonts w:cs="Arial"/>
          <w:lang w:eastAsia="de-AT"/>
        </w:rPr>
        <w:t xml:space="preserve"> to the cost of the implantation procedure are addressed in</w:t>
      </w:r>
      <w:r>
        <w:rPr>
          <w:rFonts w:cs="Arial"/>
          <w:lang w:eastAsia="de-AT"/>
        </w:rPr>
        <w:t xml:space="preserve"> </w:t>
      </w:r>
      <w:r w:rsidRPr="001A4AB0">
        <w:rPr>
          <w:rFonts w:cs="Arial"/>
          <w:lang w:eastAsia="de-AT"/>
        </w:rPr>
        <w:t xml:space="preserve">relation to Section D.4 </w:t>
      </w:r>
      <w:r>
        <w:rPr>
          <w:rFonts w:cs="Arial"/>
          <w:lang w:eastAsia="de-AT"/>
        </w:rPr>
        <w:t>U</w:t>
      </w:r>
      <w:r w:rsidRPr="001A4AB0">
        <w:rPr>
          <w:rFonts w:cs="Arial"/>
          <w:lang w:eastAsia="de-AT"/>
        </w:rPr>
        <w:t>nit costs for Ma</w:t>
      </w:r>
      <w:r>
        <w:rPr>
          <w:rFonts w:cs="Arial"/>
          <w:lang w:eastAsia="de-AT"/>
        </w:rPr>
        <w:t>xum/Soundtec were derived from appropriate MBS unit costs.</w:t>
      </w:r>
    </w:p>
    <w:p w14:paraId="7C2D5044" w14:textId="77777777" w:rsidR="003C53BB" w:rsidRDefault="003C53BB" w:rsidP="003C53BB">
      <w:pPr>
        <w:autoSpaceDE w:val="0"/>
        <w:autoSpaceDN w:val="0"/>
        <w:adjustRightInd w:val="0"/>
        <w:spacing w:line="360" w:lineRule="auto"/>
        <w:jc w:val="both"/>
      </w:pPr>
      <w:r w:rsidRPr="003C53BB">
        <w:rPr>
          <w:rFonts w:cs="Arial"/>
          <w:highlight w:val="yellow"/>
          <w:lang w:eastAsia="de-AT"/>
        </w:rPr>
        <w:fldChar w:fldCharType="begin"/>
      </w:r>
      <w:r w:rsidRPr="003C53BB">
        <w:rPr>
          <w:rFonts w:cs="Arial"/>
          <w:lang w:eastAsia="de-AT"/>
        </w:rPr>
        <w:instrText xml:space="preserve"> REF _Ref431385908 \h </w:instrText>
      </w:r>
      <w:r>
        <w:rPr>
          <w:rFonts w:cs="Arial"/>
          <w:highlight w:val="yellow"/>
          <w:lang w:eastAsia="de-AT"/>
        </w:rPr>
        <w:instrText xml:space="preserve"> \* MERGEFORMAT </w:instrText>
      </w:r>
      <w:r w:rsidRPr="003C53BB">
        <w:rPr>
          <w:rFonts w:cs="Arial"/>
          <w:highlight w:val="yellow"/>
          <w:lang w:eastAsia="de-AT"/>
        </w:rPr>
      </w:r>
      <w:r w:rsidRPr="003C53BB">
        <w:rPr>
          <w:rFonts w:cs="Arial"/>
          <w:highlight w:val="yellow"/>
          <w:lang w:eastAsia="de-AT"/>
        </w:rPr>
        <w:fldChar w:fldCharType="separate"/>
      </w:r>
      <w:r w:rsidR="00016592" w:rsidRPr="00016592">
        <w:rPr>
          <w:rFonts w:cs="Arial"/>
          <w:lang w:val="x-none"/>
        </w:rPr>
        <w:t>Table 63</w:t>
      </w:r>
      <w:r w:rsidRPr="003C53BB">
        <w:rPr>
          <w:rFonts w:cs="Arial"/>
          <w:highlight w:val="yellow"/>
          <w:lang w:eastAsia="de-AT"/>
        </w:rPr>
        <w:fldChar w:fldCharType="end"/>
      </w:r>
      <w:r>
        <w:rPr>
          <w:rFonts w:cs="Arial"/>
          <w:lang w:eastAsia="de-AT"/>
        </w:rPr>
        <w:t xml:space="preserve"> </w:t>
      </w:r>
      <w:r w:rsidRPr="003C53BB">
        <w:rPr>
          <w:rFonts w:cs="Arial"/>
          <w:lang w:eastAsia="de-AT"/>
        </w:rPr>
        <w:t>presents the</w:t>
      </w:r>
      <w:r w:rsidRPr="004D294A">
        <w:rPr>
          <w:rFonts w:cs="Arial"/>
          <w:lang w:eastAsia="de-AT"/>
        </w:rPr>
        <w:t xml:space="preserve"> cost of other MBS items co-administered with the proposed MBS</w:t>
      </w:r>
      <w:r>
        <w:rPr>
          <w:rFonts w:cs="Arial"/>
          <w:lang w:eastAsia="de-AT"/>
        </w:rPr>
        <w:t xml:space="preserve"> </w:t>
      </w:r>
      <w:r w:rsidRPr="004D294A">
        <w:rPr>
          <w:rFonts w:cs="Arial"/>
          <w:lang w:eastAsia="de-AT"/>
        </w:rPr>
        <w:t>service, over the first five years of the proposed listing. Other costs associated with the</w:t>
      </w:r>
      <w:r>
        <w:rPr>
          <w:rFonts w:cs="Arial"/>
          <w:lang w:eastAsia="de-AT"/>
        </w:rPr>
        <w:t xml:space="preserve"> </w:t>
      </w:r>
      <w:r w:rsidRPr="004D294A">
        <w:rPr>
          <w:rFonts w:cs="Arial"/>
          <w:lang w:eastAsia="de-AT"/>
        </w:rPr>
        <w:t>implantation procedure (theatre/admission, equipment, hospital stay) are largely worn by</w:t>
      </w:r>
      <w:r>
        <w:rPr>
          <w:rFonts w:cs="Arial"/>
          <w:lang w:eastAsia="de-AT"/>
        </w:rPr>
        <w:t xml:space="preserve"> </w:t>
      </w:r>
      <w:r w:rsidRPr="004D294A">
        <w:rPr>
          <w:rFonts w:cs="Arial"/>
          <w:lang w:eastAsia="de-AT"/>
        </w:rPr>
        <w:t>hospital budgets, private health fund ex-gratia payments, and occasionally self-funded by patients.</w:t>
      </w:r>
      <w:r>
        <w:rPr>
          <w:rFonts w:cs="Arial"/>
          <w:lang w:eastAsia="de-AT"/>
        </w:rPr>
        <w:t xml:space="preserve"> </w:t>
      </w:r>
      <w:r w:rsidRPr="004D294A">
        <w:rPr>
          <w:rFonts w:cs="Arial"/>
          <w:lang w:eastAsia="de-AT"/>
        </w:rPr>
        <w:t>Although the Maxum</w:t>
      </w:r>
      <w:r>
        <w:rPr>
          <w:rFonts w:cs="Arial"/>
          <w:lang w:eastAsia="de-AT"/>
        </w:rPr>
        <w:t>/Soundtec</w:t>
      </w:r>
      <w:r w:rsidRPr="004D294A">
        <w:rPr>
          <w:rFonts w:cs="Arial"/>
          <w:lang w:eastAsia="de-AT"/>
        </w:rPr>
        <w:t xml:space="preserve"> system is not indicated in patients with external ear pathology (see Section A.4), the costs</w:t>
      </w:r>
      <w:r>
        <w:rPr>
          <w:rFonts w:cs="Arial"/>
          <w:lang w:eastAsia="de-AT"/>
        </w:rPr>
        <w:t xml:space="preserve"> </w:t>
      </w:r>
      <w:r w:rsidRPr="004D294A">
        <w:rPr>
          <w:rFonts w:cs="Arial"/>
          <w:lang w:eastAsia="de-AT"/>
        </w:rPr>
        <w:t>associated with the insertion of the Maxum</w:t>
      </w:r>
      <w:r>
        <w:rPr>
          <w:rFonts w:cs="Arial"/>
          <w:lang w:eastAsia="de-AT"/>
        </w:rPr>
        <w:t>/</w:t>
      </w:r>
      <w:r w:rsidRPr="003C53BB">
        <w:rPr>
          <w:rFonts w:cs="Arial"/>
          <w:lang w:eastAsia="de-AT"/>
        </w:rPr>
        <w:t xml:space="preserve">Soundtec are shown in </w:t>
      </w:r>
      <w:r w:rsidRPr="003C53BB">
        <w:rPr>
          <w:rFonts w:cs="Arial"/>
          <w:lang w:eastAsia="de-AT"/>
        </w:rPr>
        <w:fldChar w:fldCharType="begin"/>
      </w:r>
      <w:r w:rsidRPr="003C53BB">
        <w:rPr>
          <w:rFonts w:cs="Arial"/>
          <w:lang w:eastAsia="de-AT"/>
        </w:rPr>
        <w:instrText xml:space="preserve"> REF _Ref431385908 \h </w:instrText>
      </w:r>
      <w:r>
        <w:rPr>
          <w:rFonts w:cs="Arial"/>
          <w:lang w:eastAsia="de-AT"/>
        </w:rPr>
        <w:instrText xml:space="preserve"> \* MERGEFORMAT </w:instrText>
      </w:r>
      <w:r w:rsidRPr="003C53BB">
        <w:rPr>
          <w:rFonts w:cs="Arial"/>
          <w:lang w:eastAsia="de-AT"/>
        </w:rPr>
      </w:r>
      <w:r w:rsidRPr="003C53BB">
        <w:rPr>
          <w:rFonts w:cs="Arial"/>
          <w:lang w:eastAsia="de-AT"/>
        </w:rPr>
        <w:fldChar w:fldCharType="separate"/>
      </w:r>
      <w:r w:rsidR="00016592" w:rsidRPr="00016592">
        <w:rPr>
          <w:rFonts w:cs="Arial"/>
          <w:lang w:val="x-none"/>
        </w:rPr>
        <w:t>Table 63</w:t>
      </w:r>
      <w:r w:rsidRPr="003C53BB">
        <w:rPr>
          <w:rFonts w:cs="Arial"/>
          <w:lang w:eastAsia="de-AT"/>
        </w:rPr>
        <w:fldChar w:fldCharType="end"/>
      </w:r>
      <w:r w:rsidRPr="003C53BB">
        <w:rPr>
          <w:rFonts w:cs="Arial"/>
          <w:lang w:eastAsia="de-AT"/>
        </w:rPr>
        <w:t xml:space="preserve"> for comparison</w:t>
      </w:r>
      <w:r w:rsidRPr="004D294A">
        <w:rPr>
          <w:rFonts w:cs="Arial"/>
          <w:lang w:eastAsia="de-AT"/>
        </w:rPr>
        <w:t>.</w:t>
      </w:r>
    </w:p>
    <w:p w14:paraId="716D2FAB" w14:textId="77777777" w:rsidR="003C53BB" w:rsidRDefault="003C53BB" w:rsidP="003C53BB">
      <w:pPr>
        <w:pStyle w:val="Textbody"/>
        <w:rPr>
          <w:lang w:val="en-AU"/>
        </w:rPr>
      </w:pPr>
      <w:r>
        <w:rPr>
          <w:lang w:val="en-AU"/>
        </w:rPr>
        <w:t xml:space="preserve">Costs of MBS items of pre-operational services are shown in </w:t>
      </w:r>
      <w:r w:rsidR="00A54546">
        <w:rPr>
          <w:lang w:val="en-AU"/>
        </w:rPr>
        <w:fldChar w:fldCharType="begin"/>
      </w:r>
      <w:r w:rsidR="00A54546">
        <w:rPr>
          <w:lang w:val="en-AU"/>
        </w:rPr>
        <w:instrText xml:space="preserve"> REF _Ref430945419 \h </w:instrText>
      </w:r>
      <w:r w:rsidR="00A54546">
        <w:rPr>
          <w:lang w:val="en-AU"/>
        </w:rPr>
      </w:r>
      <w:r w:rsidR="00A54546">
        <w:rPr>
          <w:lang w:val="en-AU"/>
        </w:rPr>
        <w:fldChar w:fldCharType="separate"/>
      </w:r>
      <w:r w:rsidR="00016592" w:rsidRPr="004D294A">
        <w:rPr>
          <w:lang w:val="en-AU"/>
        </w:rPr>
        <w:t xml:space="preserve">Table </w:t>
      </w:r>
      <w:r w:rsidR="00016592">
        <w:rPr>
          <w:noProof/>
          <w:lang w:val="en-AU"/>
        </w:rPr>
        <w:t>64</w:t>
      </w:r>
      <w:r w:rsidR="00A54546">
        <w:rPr>
          <w:lang w:val="en-AU"/>
        </w:rPr>
        <w:fldChar w:fldCharType="end"/>
      </w:r>
      <w:r w:rsidR="00A54546">
        <w:rPr>
          <w:lang w:val="en-AU"/>
        </w:rPr>
        <w:t xml:space="preserve"> </w:t>
      </w:r>
      <w:r>
        <w:rPr>
          <w:lang w:val="en-AU"/>
        </w:rPr>
        <w:t>again for the first 5 years of listing.</w:t>
      </w:r>
    </w:p>
    <w:p w14:paraId="04CAB3C7" w14:textId="77777777" w:rsidR="00A54546" w:rsidRDefault="00A54546" w:rsidP="00A54546">
      <w:pPr>
        <w:pStyle w:val="Textbody"/>
        <w:rPr>
          <w:lang w:val="en-AU"/>
        </w:rPr>
      </w:pPr>
      <w:r>
        <w:rPr>
          <w:lang w:val="en-AU"/>
        </w:rPr>
        <w:fldChar w:fldCharType="begin"/>
      </w:r>
      <w:r>
        <w:rPr>
          <w:lang w:val="en-AU"/>
        </w:rPr>
        <w:instrText xml:space="preserve"> REF _Ref430947292 \h </w:instrText>
      </w:r>
      <w:r>
        <w:rPr>
          <w:lang w:val="en-AU"/>
        </w:rPr>
      </w:r>
      <w:r>
        <w:rPr>
          <w:lang w:val="en-AU"/>
        </w:rPr>
        <w:fldChar w:fldCharType="separate"/>
      </w:r>
      <w:r w:rsidR="00016592" w:rsidRPr="004D294A">
        <w:rPr>
          <w:lang w:val="en-AU"/>
        </w:rPr>
        <w:t xml:space="preserve">Table </w:t>
      </w:r>
      <w:r w:rsidR="00016592">
        <w:rPr>
          <w:noProof/>
          <w:lang w:val="en-AU"/>
        </w:rPr>
        <w:t>65</w:t>
      </w:r>
      <w:r>
        <w:rPr>
          <w:lang w:val="en-AU"/>
        </w:rPr>
        <w:fldChar w:fldCharType="end"/>
      </w:r>
      <w:r>
        <w:rPr>
          <w:lang w:val="en-AU"/>
        </w:rPr>
        <w:t xml:space="preserve"> </w:t>
      </w:r>
      <w:r w:rsidRPr="00FE08A7">
        <w:rPr>
          <w:lang w:val="en-AU"/>
        </w:rPr>
        <w:t>presents the cost of MBS items associated with post-operational services, over the</w:t>
      </w:r>
      <w:r>
        <w:rPr>
          <w:lang w:val="en-AU"/>
        </w:rPr>
        <w:t xml:space="preserve"> </w:t>
      </w:r>
      <w:r w:rsidRPr="00FE08A7">
        <w:rPr>
          <w:lang w:val="en-AU"/>
        </w:rPr>
        <w:t>first five years of the proposed listing.</w:t>
      </w:r>
    </w:p>
    <w:p w14:paraId="6F5F881F" w14:textId="77777777" w:rsidR="00A54546" w:rsidRDefault="00A54546" w:rsidP="00A54546">
      <w:pPr>
        <w:pStyle w:val="Textbody"/>
        <w:rPr>
          <w:lang w:val="en-AU"/>
        </w:rPr>
      </w:pPr>
      <w:r>
        <w:rPr>
          <w:lang w:val="en-AU"/>
        </w:rPr>
        <w:t xml:space="preserve">In </w:t>
      </w:r>
      <w:r>
        <w:rPr>
          <w:lang w:val="en-AU"/>
        </w:rPr>
        <w:fldChar w:fldCharType="begin"/>
      </w:r>
      <w:r>
        <w:rPr>
          <w:lang w:val="en-AU"/>
        </w:rPr>
        <w:instrText xml:space="preserve"> REF _Ref430948755 \h </w:instrText>
      </w:r>
      <w:r>
        <w:rPr>
          <w:lang w:val="en-AU"/>
        </w:rPr>
      </w:r>
      <w:r>
        <w:rPr>
          <w:lang w:val="en-AU"/>
        </w:rPr>
        <w:fldChar w:fldCharType="separate"/>
      </w:r>
      <w:r w:rsidR="00016592" w:rsidRPr="004D294A">
        <w:rPr>
          <w:lang w:val="en-AU"/>
        </w:rPr>
        <w:t xml:space="preserve">Table </w:t>
      </w:r>
      <w:r w:rsidR="00016592">
        <w:rPr>
          <w:noProof/>
          <w:lang w:val="en-AU"/>
        </w:rPr>
        <w:t>66</w:t>
      </w:r>
      <w:r>
        <w:rPr>
          <w:lang w:val="en-AU"/>
        </w:rPr>
        <w:fldChar w:fldCharType="end"/>
      </w:r>
      <w:r>
        <w:rPr>
          <w:lang w:val="en-AU"/>
        </w:rPr>
        <w:t xml:space="preserve"> </w:t>
      </w:r>
      <w:r w:rsidRPr="00C623E0">
        <w:rPr>
          <w:lang w:val="en-AU"/>
        </w:rPr>
        <w:t>cost to the MBS of re-implantation over the first five years of listing</w:t>
      </w:r>
      <w:r>
        <w:rPr>
          <w:lang w:val="en-AU"/>
        </w:rPr>
        <w:t xml:space="preserve"> are presented</w:t>
      </w:r>
      <w:r w:rsidRPr="00C623E0">
        <w:rPr>
          <w:lang w:val="en-AU"/>
        </w:rPr>
        <w:t>. As</w:t>
      </w:r>
      <w:r>
        <w:rPr>
          <w:lang w:val="en-AU"/>
        </w:rPr>
        <w:t xml:space="preserve"> </w:t>
      </w:r>
      <w:r w:rsidRPr="00C623E0">
        <w:rPr>
          <w:lang w:val="en-AU"/>
        </w:rPr>
        <w:t xml:space="preserve">discussed in Section A.2, the </w:t>
      </w:r>
      <w:r>
        <w:rPr>
          <w:lang w:val="en-AU"/>
        </w:rPr>
        <w:t>p</w:t>
      </w:r>
      <w:r w:rsidRPr="00C623E0">
        <w:rPr>
          <w:lang w:val="en-AU"/>
        </w:rPr>
        <w:t>rotocol proposed a separate MBS item for explantation or revision surgery for</w:t>
      </w:r>
      <w:r>
        <w:rPr>
          <w:lang w:val="en-AU"/>
        </w:rPr>
        <w:t xml:space="preserve"> the MEIs</w:t>
      </w:r>
      <w:r w:rsidRPr="00C623E0">
        <w:rPr>
          <w:lang w:val="en-AU"/>
        </w:rPr>
        <w:t>.</w:t>
      </w:r>
      <w:r>
        <w:rPr>
          <w:lang w:val="en-AU"/>
        </w:rPr>
        <w:t xml:space="preserve"> Data for revision surgery were already provided in </w:t>
      </w:r>
      <w:r>
        <w:rPr>
          <w:lang w:val="en-AU"/>
        </w:rPr>
        <w:fldChar w:fldCharType="begin"/>
      </w:r>
      <w:r>
        <w:rPr>
          <w:lang w:val="en-AU"/>
        </w:rPr>
        <w:instrText xml:space="preserve"> REF _Ref400647807 \h </w:instrText>
      </w:r>
      <w:r>
        <w:rPr>
          <w:lang w:val="en-AU"/>
        </w:rPr>
      </w:r>
      <w:r>
        <w:rPr>
          <w:lang w:val="en-AU"/>
        </w:rPr>
        <w:fldChar w:fldCharType="separate"/>
      </w:r>
      <w:r w:rsidR="00016592" w:rsidRPr="00403E99">
        <w:t xml:space="preserve">Table </w:t>
      </w:r>
      <w:r w:rsidR="00016592">
        <w:rPr>
          <w:noProof/>
        </w:rPr>
        <w:t>26</w:t>
      </w:r>
      <w:r>
        <w:rPr>
          <w:lang w:val="en-AU"/>
        </w:rPr>
        <w:fldChar w:fldCharType="end"/>
      </w:r>
      <w:r>
        <w:rPr>
          <w:lang w:val="en-AU"/>
        </w:rPr>
        <w:t xml:space="preserve"> und </w:t>
      </w:r>
      <w:r>
        <w:rPr>
          <w:lang w:val="en-AU"/>
        </w:rPr>
        <w:fldChar w:fldCharType="begin"/>
      </w:r>
      <w:r>
        <w:rPr>
          <w:lang w:val="en-AU"/>
        </w:rPr>
        <w:instrText xml:space="preserve"> REF _Ref431222462 \h </w:instrText>
      </w:r>
      <w:r>
        <w:rPr>
          <w:lang w:val="en-AU"/>
        </w:rPr>
      </w:r>
      <w:r>
        <w:rPr>
          <w:lang w:val="en-AU"/>
        </w:rPr>
        <w:fldChar w:fldCharType="separate"/>
      </w:r>
      <w:r w:rsidR="00016592" w:rsidRPr="00403E99">
        <w:t xml:space="preserve">Table </w:t>
      </w:r>
      <w:r w:rsidR="00016592">
        <w:rPr>
          <w:noProof/>
        </w:rPr>
        <w:t>27</w:t>
      </w:r>
      <w:r>
        <w:rPr>
          <w:lang w:val="en-AU"/>
        </w:rPr>
        <w:fldChar w:fldCharType="end"/>
      </w:r>
      <w:r>
        <w:rPr>
          <w:lang w:val="en-AU"/>
        </w:rPr>
        <w:t xml:space="preserve"> for VSB and Maxum/Soundtec, respectively, and account for 2.72 % for VSB and 1 % for Maxum/Soundtec. </w:t>
      </w:r>
      <w:r w:rsidRPr="00C623E0">
        <w:rPr>
          <w:lang w:val="en-AU"/>
        </w:rPr>
        <w:t>These percentages were used in the estimation of</w:t>
      </w:r>
      <w:r>
        <w:rPr>
          <w:lang w:val="en-AU"/>
        </w:rPr>
        <w:t xml:space="preserve"> </w:t>
      </w:r>
      <w:r w:rsidRPr="00C623E0">
        <w:rPr>
          <w:lang w:val="en-AU"/>
        </w:rPr>
        <w:t>re-implantations costs to the MBS in the first five years of listing.</w:t>
      </w:r>
    </w:p>
    <w:p w14:paraId="7DB4DF53" w14:textId="4CFCCA0A" w:rsidR="003C53BB" w:rsidRDefault="00A54546" w:rsidP="003C53BB">
      <w:pPr>
        <w:pStyle w:val="Textbody"/>
        <w:rPr>
          <w:lang w:val="en-AU"/>
        </w:rPr>
      </w:pPr>
      <w:r>
        <w:rPr>
          <w:lang w:val="en-AU"/>
        </w:rPr>
        <w:fldChar w:fldCharType="begin"/>
      </w:r>
      <w:r>
        <w:rPr>
          <w:lang w:val="en-AU"/>
        </w:rPr>
        <w:instrText xml:space="preserve"> REF _Ref430954244 \h </w:instrText>
      </w:r>
      <w:r>
        <w:rPr>
          <w:lang w:val="en-AU"/>
        </w:rPr>
      </w:r>
      <w:r>
        <w:rPr>
          <w:lang w:val="en-AU"/>
        </w:rPr>
        <w:fldChar w:fldCharType="separate"/>
      </w:r>
      <w:r w:rsidR="00016592" w:rsidRPr="004D294A">
        <w:rPr>
          <w:lang w:val="en-AU"/>
        </w:rPr>
        <w:t xml:space="preserve">Table </w:t>
      </w:r>
      <w:r w:rsidR="00016592">
        <w:rPr>
          <w:noProof/>
          <w:lang w:val="en-AU"/>
        </w:rPr>
        <w:t>67</w:t>
      </w:r>
      <w:r>
        <w:rPr>
          <w:lang w:val="en-AU"/>
        </w:rPr>
        <w:fldChar w:fldCharType="end"/>
      </w:r>
      <w:r>
        <w:rPr>
          <w:lang w:val="en-AU"/>
        </w:rPr>
        <w:t xml:space="preserve"> presents the total cost of associated ite</w:t>
      </w:r>
      <w:r w:rsidR="00B75D53">
        <w:rPr>
          <w:lang w:val="en-AU"/>
        </w:rPr>
        <w:t>ms to the MBS for both devices.</w:t>
      </w:r>
    </w:p>
    <w:p w14:paraId="1EE876E1" w14:textId="77777777" w:rsidR="003C53BB" w:rsidRPr="003C53BB" w:rsidRDefault="003C53BB" w:rsidP="00830612">
      <w:pPr>
        <w:autoSpaceDE w:val="0"/>
        <w:autoSpaceDN w:val="0"/>
        <w:adjustRightInd w:val="0"/>
        <w:spacing w:line="360" w:lineRule="auto"/>
        <w:jc w:val="both"/>
        <w:rPr>
          <w:rFonts w:eastAsiaTheme="minorHAnsi" w:cs="Arial"/>
          <w:lang w:eastAsia="en-US"/>
        </w:rPr>
      </w:pPr>
    </w:p>
    <w:p w14:paraId="4E597EED" w14:textId="77777777" w:rsidR="004E3818" w:rsidRDefault="004E3818" w:rsidP="004E3818">
      <w:pPr>
        <w:sectPr w:rsidR="004E3818" w:rsidSect="00695C41">
          <w:headerReference w:type="default" r:id="rId71"/>
          <w:pgSz w:w="11907" w:h="16840" w:code="9"/>
          <w:pgMar w:top="1418" w:right="1418" w:bottom="1701" w:left="1814" w:header="720" w:footer="720" w:gutter="0"/>
          <w:paperSrc w:first="7" w:other="7"/>
          <w:cols w:space="720"/>
          <w:noEndnote/>
          <w:docGrid w:linePitch="299"/>
        </w:sectPr>
      </w:pPr>
    </w:p>
    <w:p w14:paraId="5A6721B0" w14:textId="77777777" w:rsidR="004E3818" w:rsidRPr="003C53BB" w:rsidRDefault="003C53BB" w:rsidP="003C53BB">
      <w:pPr>
        <w:pStyle w:val="Caption"/>
        <w:rPr>
          <w:rFonts w:ascii="Arial" w:hAnsi="Arial" w:cs="Arial"/>
        </w:rPr>
      </w:pPr>
      <w:bookmarkStart w:id="635" w:name="_Ref431385908"/>
      <w:bookmarkStart w:id="636" w:name="_Toc431917523"/>
      <w:r w:rsidRPr="003C53BB">
        <w:rPr>
          <w:rFonts w:ascii="Arial" w:hAnsi="Arial" w:cs="Arial"/>
        </w:rPr>
        <w:lastRenderedPageBreak/>
        <w:t xml:space="preserve">Table </w:t>
      </w:r>
      <w:r w:rsidRPr="003C53BB">
        <w:rPr>
          <w:rFonts w:ascii="Arial" w:hAnsi="Arial" w:cs="Arial"/>
        </w:rPr>
        <w:fldChar w:fldCharType="begin"/>
      </w:r>
      <w:r w:rsidRPr="003C53BB">
        <w:rPr>
          <w:rFonts w:ascii="Arial" w:hAnsi="Arial" w:cs="Arial"/>
        </w:rPr>
        <w:instrText xml:space="preserve"> SEQ Table \* ARABIC </w:instrText>
      </w:r>
      <w:r w:rsidRPr="003C53BB">
        <w:rPr>
          <w:rFonts w:ascii="Arial" w:hAnsi="Arial" w:cs="Arial"/>
        </w:rPr>
        <w:fldChar w:fldCharType="separate"/>
      </w:r>
      <w:r w:rsidR="00016592">
        <w:rPr>
          <w:rFonts w:ascii="Arial" w:hAnsi="Arial" w:cs="Arial"/>
          <w:noProof/>
        </w:rPr>
        <w:t>63</w:t>
      </w:r>
      <w:r w:rsidRPr="003C53BB">
        <w:rPr>
          <w:rFonts w:ascii="Arial" w:hAnsi="Arial" w:cs="Arial"/>
        </w:rPr>
        <w:fldChar w:fldCharType="end"/>
      </w:r>
      <w:bookmarkEnd w:id="635"/>
      <w:r w:rsidR="004E3818" w:rsidRPr="003C53BB">
        <w:rPr>
          <w:rFonts w:ascii="Arial" w:hAnsi="Arial" w:cs="Arial"/>
        </w:rPr>
        <w:t xml:space="preserve"> - </w:t>
      </w:r>
      <w:r w:rsidRPr="003C53BB">
        <w:rPr>
          <w:rFonts w:ascii="Arial" w:hAnsi="Arial" w:cs="Arial"/>
        </w:rPr>
        <w:t>Estimated cost to the MBS of co-administered items</w:t>
      </w:r>
      <w:bookmarkEnd w:id="636"/>
    </w:p>
    <w:p w14:paraId="418443BD" w14:textId="77777777" w:rsidR="004E3818" w:rsidRPr="004E3818" w:rsidRDefault="004E3818" w:rsidP="00830612">
      <w:pPr>
        <w:pStyle w:val="Textbody"/>
        <w:rPr>
          <w:highlight w:val="lightGray"/>
          <w:lang w:val="x-none"/>
        </w:rPr>
      </w:pPr>
    </w:p>
    <w:tbl>
      <w:tblPr>
        <w:tblW w:w="14113" w:type="dxa"/>
        <w:jc w:val="center"/>
        <w:tblLook w:val="04A0" w:firstRow="1" w:lastRow="0" w:firstColumn="1" w:lastColumn="0" w:noHBand="0" w:noVBand="1"/>
        <w:tblDescription w:val="Estimated cost to the MBS of co-administered items"/>
      </w:tblPr>
      <w:tblGrid>
        <w:gridCol w:w="380"/>
        <w:gridCol w:w="3179"/>
        <w:gridCol w:w="1559"/>
        <w:gridCol w:w="1937"/>
        <w:gridCol w:w="1462"/>
        <w:gridCol w:w="1399"/>
        <w:gridCol w:w="1399"/>
        <w:gridCol w:w="1399"/>
        <w:gridCol w:w="1399"/>
      </w:tblGrid>
      <w:tr w:rsidR="004E3818" w:rsidRPr="004E3818" w14:paraId="00B7E487" w14:textId="77777777" w:rsidTr="00BF0EEF">
        <w:trPr>
          <w:trHeight w:val="300"/>
          <w:jc w:val="center"/>
        </w:trPr>
        <w:tc>
          <w:tcPr>
            <w:tcW w:w="38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A278B98" w14:textId="77777777" w:rsidR="004E3818" w:rsidRPr="004E3818" w:rsidRDefault="004E3818" w:rsidP="004E3818">
            <w:pPr>
              <w:rPr>
                <w:rFonts w:cs="Arial"/>
                <w:b/>
                <w:bCs/>
                <w:color w:val="000000"/>
                <w:sz w:val="20"/>
                <w:szCs w:val="20"/>
                <w:lang w:val="en-US" w:eastAsia="en-US"/>
              </w:rPr>
            </w:pPr>
            <w:r w:rsidRPr="004E3818">
              <w:rPr>
                <w:rFonts w:cs="Arial"/>
                <w:b/>
                <w:bCs/>
                <w:color w:val="000000"/>
                <w:sz w:val="20"/>
                <w:szCs w:val="20"/>
                <w:lang w:val="en-US" w:eastAsia="en-US"/>
              </w:rPr>
              <w:t> </w:t>
            </w:r>
          </w:p>
        </w:tc>
        <w:tc>
          <w:tcPr>
            <w:tcW w:w="3179" w:type="dxa"/>
            <w:tcBorders>
              <w:top w:val="single" w:sz="8" w:space="0" w:color="auto"/>
              <w:left w:val="nil"/>
              <w:bottom w:val="single" w:sz="4" w:space="0" w:color="auto"/>
              <w:right w:val="single" w:sz="4" w:space="0" w:color="auto"/>
            </w:tcBorders>
            <w:shd w:val="clear" w:color="auto" w:fill="auto"/>
            <w:vAlign w:val="center"/>
            <w:hideMark/>
          </w:tcPr>
          <w:p w14:paraId="2A230935" w14:textId="77777777" w:rsidR="004E3818" w:rsidRPr="004E3818" w:rsidRDefault="004E3818" w:rsidP="004E3818">
            <w:pPr>
              <w:rPr>
                <w:rFonts w:cs="Arial"/>
                <w:b/>
                <w:bCs/>
                <w:color w:val="000000"/>
                <w:sz w:val="20"/>
                <w:szCs w:val="20"/>
                <w:lang w:val="en-US" w:eastAsia="en-US"/>
              </w:rPr>
            </w:pPr>
            <w:r w:rsidRPr="004E3818">
              <w:rPr>
                <w:rFonts w:cs="Arial"/>
                <w:b/>
                <w:bCs/>
                <w:color w:val="000000"/>
                <w:sz w:val="20"/>
                <w:szCs w:val="20"/>
                <w:lang w:val="en-US" w:eastAsia="en-US"/>
              </w:rPr>
              <w:t>Description</w:t>
            </w:r>
          </w:p>
        </w:tc>
        <w:tc>
          <w:tcPr>
            <w:tcW w:w="1559" w:type="dxa"/>
            <w:tcBorders>
              <w:top w:val="single" w:sz="8" w:space="0" w:color="auto"/>
              <w:left w:val="nil"/>
              <w:bottom w:val="single" w:sz="4" w:space="0" w:color="auto"/>
              <w:right w:val="single" w:sz="4" w:space="0" w:color="auto"/>
            </w:tcBorders>
            <w:shd w:val="clear" w:color="auto" w:fill="auto"/>
            <w:vAlign w:val="center"/>
            <w:hideMark/>
          </w:tcPr>
          <w:p w14:paraId="1D24F891" w14:textId="77777777" w:rsidR="004E3818" w:rsidRPr="004E3818" w:rsidRDefault="004E3818" w:rsidP="004E3818">
            <w:pPr>
              <w:jc w:val="center"/>
              <w:rPr>
                <w:rFonts w:cs="Arial"/>
                <w:b/>
                <w:bCs/>
                <w:color w:val="000000"/>
                <w:sz w:val="16"/>
                <w:szCs w:val="16"/>
                <w:lang w:val="en-US" w:eastAsia="en-US"/>
              </w:rPr>
            </w:pPr>
            <w:r w:rsidRPr="004E3818">
              <w:rPr>
                <w:rFonts w:cs="Arial"/>
                <w:b/>
                <w:bCs/>
                <w:color w:val="000000"/>
                <w:sz w:val="16"/>
                <w:szCs w:val="16"/>
                <w:lang w:val="en-US" w:eastAsia="en-US"/>
              </w:rPr>
              <w:t>Method</w:t>
            </w:r>
          </w:p>
        </w:tc>
        <w:tc>
          <w:tcPr>
            <w:tcW w:w="1937" w:type="dxa"/>
            <w:tcBorders>
              <w:top w:val="single" w:sz="8" w:space="0" w:color="auto"/>
              <w:left w:val="nil"/>
              <w:bottom w:val="single" w:sz="4" w:space="0" w:color="auto"/>
              <w:right w:val="single" w:sz="4" w:space="0" w:color="auto"/>
            </w:tcBorders>
            <w:shd w:val="clear" w:color="auto" w:fill="auto"/>
            <w:noWrap/>
            <w:vAlign w:val="center"/>
            <w:hideMark/>
          </w:tcPr>
          <w:p w14:paraId="2E60A300" w14:textId="77777777" w:rsidR="004E3818" w:rsidRPr="004E3818" w:rsidRDefault="004E3818" w:rsidP="004E3818">
            <w:pPr>
              <w:jc w:val="center"/>
              <w:rPr>
                <w:rFonts w:cs="Arial"/>
                <w:b/>
                <w:bCs/>
                <w:color w:val="000000"/>
                <w:sz w:val="16"/>
                <w:szCs w:val="16"/>
                <w:lang w:val="en-US" w:eastAsia="en-US"/>
              </w:rPr>
            </w:pPr>
            <w:r w:rsidRPr="004E3818">
              <w:rPr>
                <w:rFonts w:cs="Arial"/>
                <w:b/>
                <w:bCs/>
                <w:color w:val="000000"/>
                <w:sz w:val="16"/>
                <w:szCs w:val="16"/>
                <w:lang w:val="en-US" w:eastAsia="en-US"/>
              </w:rPr>
              <w:t>current (2016)</w:t>
            </w:r>
          </w:p>
        </w:tc>
        <w:tc>
          <w:tcPr>
            <w:tcW w:w="1462" w:type="dxa"/>
            <w:tcBorders>
              <w:top w:val="single" w:sz="8" w:space="0" w:color="auto"/>
              <w:left w:val="nil"/>
              <w:bottom w:val="single" w:sz="4" w:space="0" w:color="auto"/>
              <w:right w:val="single" w:sz="4" w:space="0" w:color="auto"/>
            </w:tcBorders>
            <w:shd w:val="clear" w:color="auto" w:fill="auto"/>
            <w:noWrap/>
            <w:vAlign w:val="center"/>
            <w:hideMark/>
          </w:tcPr>
          <w:p w14:paraId="4C5A060D" w14:textId="77777777" w:rsidR="004E3818" w:rsidRPr="004E3818" w:rsidRDefault="004E3818" w:rsidP="004E3818">
            <w:pPr>
              <w:jc w:val="center"/>
              <w:rPr>
                <w:rFonts w:cs="Arial"/>
                <w:b/>
                <w:bCs/>
                <w:color w:val="000000"/>
                <w:sz w:val="16"/>
                <w:szCs w:val="16"/>
                <w:lang w:val="en-US" w:eastAsia="en-US"/>
              </w:rPr>
            </w:pPr>
            <w:r w:rsidRPr="004E3818">
              <w:rPr>
                <w:rFonts w:cs="Arial"/>
                <w:b/>
                <w:bCs/>
                <w:color w:val="000000"/>
                <w:sz w:val="16"/>
                <w:szCs w:val="16"/>
                <w:lang w:val="en-US" w:eastAsia="en-US"/>
              </w:rPr>
              <w:t>2017</w:t>
            </w:r>
          </w:p>
        </w:tc>
        <w:tc>
          <w:tcPr>
            <w:tcW w:w="1399" w:type="dxa"/>
            <w:tcBorders>
              <w:top w:val="single" w:sz="8" w:space="0" w:color="auto"/>
              <w:left w:val="nil"/>
              <w:bottom w:val="single" w:sz="4" w:space="0" w:color="auto"/>
              <w:right w:val="single" w:sz="4" w:space="0" w:color="auto"/>
            </w:tcBorders>
            <w:shd w:val="clear" w:color="auto" w:fill="auto"/>
            <w:noWrap/>
            <w:vAlign w:val="center"/>
            <w:hideMark/>
          </w:tcPr>
          <w:p w14:paraId="34A6EC67" w14:textId="77777777" w:rsidR="004E3818" w:rsidRPr="004E3818" w:rsidRDefault="004E3818" w:rsidP="004E3818">
            <w:pPr>
              <w:jc w:val="center"/>
              <w:rPr>
                <w:rFonts w:cs="Arial"/>
                <w:b/>
                <w:bCs/>
                <w:color w:val="000000"/>
                <w:sz w:val="16"/>
                <w:szCs w:val="16"/>
                <w:lang w:val="en-US" w:eastAsia="en-US"/>
              </w:rPr>
            </w:pPr>
            <w:r w:rsidRPr="004E3818">
              <w:rPr>
                <w:rFonts w:cs="Arial"/>
                <w:b/>
                <w:bCs/>
                <w:color w:val="000000"/>
                <w:sz w:val="16"/>
                <w:szCs w:val="16"/>
                <w:lang w:val="en-US" w:eastAsia="en-US"/>
              </w:rPr>
              <w:t>2018</w:t>
            </w:r>
          </w:p>
        </w:tc>
        <w:tc>
          <w:tcPr>
            <w:tcW w:w="1399" w:type="dxa"/>
            <w:tcBorders>
              <w:top w:val="single" w:sz="8" w:space="0" w:color="auto"/>
              <w:left w:val="nil"/>
              <w:bottom w:val="single" w:sz="4" w:space="0" w:color="auto"/>
              <w:right w:val="single" w:sz="4" w:space="0" w:color="auto"/>
            </w:tcBorders>
            <w:shd w:val="clear" w:color="auto" w:fill="auto"/>
            <w:noWrap/>
            <w:vAlign w:val="center"/>
            <w:hideMark/>
          </w:tcPr>
          <w:p w14:paraId="02C7F06E" w14:textId="77777777" w:rsidR="004E3818" w:rsidRPr="004E3818" w:rsidRDefault="004E3818" w:rsidP="004E3818">
            <w:pPr>
              <w:jc w:val="center"/>
              <w:rPr>
                <w:rFonts w:cs="Arial"/>
                <w:b/>
                <w:bCs/>
                <w:color w:val="000000"/>
                <w:sz w:val="16"/>
                <w:szCs w:val="16"/>
                <w:lang w:val="en-US" w:eastAsia="en-US"/>
              </w:rPr>
            </w:pPr>
            <w:r w:rsidRPr="004E3818">
              <w:rPr>
                <w:rFonts w:cs="Arial"/>
                <w:b/>
                <w:bCs/>
                <w:color w:val="000000"/>
                <w:sz w:val="16"/>
                <w:szCs w:val="16"/>
                <w:lang w:val="en-US" w:eastAsia="en-US"/>
              </w:rPr>
              <w:t>2019</w:t>
            </w:r>
          </w:p>
        </w:tc>
        <w:tc>
          <w:tcPr>
            <w:tcW w:w="1399" w:type="dxa"/>
            <w:tcBorders>
              <w:top w:val="single" w:sz="8" w:space="0" w:color="auto"/>
              <w:left w:val="nil"/>
              <w:bottom w:val="single" w:sz="4" w:space="0" w:color="auto"/>
              <w:right w:val="single" w:sz="4" w:space="0" w:color="auto"/>
            </w:tcBorders>
            <w:shd w:val="clear" w:color="auto" w:fill="auto"/>
            <w:noWrap/>
            <w:vAlign w:val="center"/>
            <w:hideMark/>
          </w:tcPr>
          <w:p w14:paraId="4B5F6A9A" w14:textId="77777777" w:rsidR="004E3818" w:rsidRPr="004E3818" w:rsidRDefault="004E3818" w:rsidP="004E3818">
            <w:pPr>
              <w:jc w:val="center"/>
              <w:rPr>
                <w:rFonts w:cs="Arial"/>
                <w:b/>
                <w:bCs/>
                <w:color w:val="000000"/>
                <w:sz w:val="16"/>
                <w:szCs w:val="16"/>
                <w:lang w:val="en-US" w:eastAsia="en-US"/>
              </w:rPr>
            </w:pPr>
            <w:r w:rsidRPr="004E3818">
              <w:rPr>
                <w:rFonts w:cs="Arial"/>
                <w:b/>
                <w:bCs/>
                <w:color w:val="000000"/>
                <w:sz w:val="16"/>
                <w:szCs w:val="16"/>
                <w:lang w:val="en-US" w:eastAsia="en-US"/>
              </w:rPr>
              <w:t>2020</w:t>
            </w:r>
          </w:p>
        </w:tc>
        <w:tc>
          <w:tcPr>
            <w:tcW w:w="1399" w:type="dxa"/>
            <w:tcBorders>
              <w:top w:val="single" w:sz="8" w:space="0" w:color="auto"/>
              <w:left w:val="nil"/>
              <w:bottom w:val="single" w:sz="4" w:space="0" w:color="auto"/>
              <w:right w:val="single" w:sz="8" w:space="0" w:color="auto"/>
            </w:tcBorders>
            <w:shd w:val="clear" w:color="auto" w:fill="auto"/>
            <w:noWrap/>
            <w:vAlign w:val="center"/>
            <w:hideMark/>
          </w:tcPr>
          <w:p w14:paraId="26896A18" w14:textId="77777777" w:rsidR="004E3818" w:rsidRPr="004E3818" w:rsidRDefault="004E3818" w:rsidP="004E3818">
            <w:pPr>
              <w:jc w:val="center"/>
              <w:rPr>
                <w:rFonts w:cs="Arial"/>
                <w:b/>
                <w:bCs/>
                <w:color w:val="000000"/>
                <w:sz w:val="16"/>
                <w:szCs w:val="16"/>
                <w:lang w:val="en-US" w:eastAsia="en-US"/>
              </w:rPr>
            </w:pPr>
            <w:r w:rsidRPr="004E3818">
              <w:rPr>
                <w:rFonts w:cs="Arial"/>
                <w:b/>
                <w:bCs/>
                <w:color w:val="000000"/>
                <w:sz w:val="16"/>
                <w:szCs w:val="16"/>
                <w:lang w:val="en-US" w:eastAsia="en-US"/>
              </w:rPr>
              <w:t>2021</w:t>
            </w:r>
          </w:p>
        </w:tc>
      </w:tr>
      <w:tr w:rsidR="004E3818" w:rsidRPr="004E3818" w14:paraId="14E6BA81" w14:textId="77777777" w:rsidTr="00BF0EEF">
        <w:trPr>
          <w:trHeight w:val="300"/>
          <w:jc w:val="center"/>
        </w:trPr>
        <w:tc>
          <w:tcPr>
            <w:tcW w:w="380" w:type="dxa"/>
            <w:tcBorders>
              <w:top w:val="nil"/>
              <w:left w:val="single" w:sz="8" w:space="0" w:color="auto"/>
              <w:bottom w:val="single" w:sz="4" w:space="0" w:color="auto"/>
              <w:right w:val="single" w:sz="4" w:space="0" w:color="auto"/>
            </w:tcBorders>
            <w:shd w:val="clear" w:color="auto" w:fill="auto"/>
            <w:noWrap/>
            <w:vAlign w:val="center"/>
            <w:hideMark/>
          </w:tcPr>
          <w:p w14:paraId="29C6BF4C" w14:textId="77777777" w:rsidR="004E3818" w:rsidRPr="004E3818" w:rsidRDefault="004E3818" w:rsidP="004E3818">
            <w:pPr>
              <w:rPr>
                <w:rFonts w:cs="Arial"/>
                <w:b/>
                <w:bCs/>
                <w:color w:val="000000"/>
                <w:sz w:val="20"/>
                <w:szCs w:val="20"/>
                <w:lang w:val="en-US" w:eastAsia="en-US"/>
              </w:rPr>
            </w:pPr>
            <w:r w:rsidRPr="004E3818">
              <w:rPr>
                <w:rFonts w:cs="Arial"/>
                <w:b/>
                <w:bCs/>
                <w:color w:val="000000"/>
                <w:sz w:val="20"/>
                <w:szCs w:val="20"/>
                <w:lang w:val="en-US" w:eastAsia="en-US"/>
              </w:rPr>
              <w:t> </w:t>
            </w:r>
          </w:p>
        </w:tc>
        <w:tc>
          <w:tcPr>
            <w:tcW w:w="13733" w:type="dxa"/>
            <w:gridSpan w:val="8"/>
            <w:tcBorders>
              <w:top w:val="single" w:sz="4" w:space="0" w:color="auto"/>
              <w:left w:val="single" w:sz="4" w:space="0" w:color="auto"/>
              <w:bottom w:val="single" w:sz="4" w:space="0" w:color="auto"/>
              <w:right w:val="single" w:sz="8" w:space="0" w:color="000000"/>
            </w:tcBorders>
            <w:shd w:val="clear" w:color="auto" w:fill="auto"/>
            <w:vAlign w:val="center"/>
            <w:hideMark/>
          </w:tcPr>
          <w:p w14:paraId="48A59F8D" w14:textId="77777777" w:rsidR="004E3818" w:rsidRPr="004E3818" w:rsidRDefault="004E3818" w:rsidP="004E3818">
            <w:pPr>
              <w:rPr>
                <w:rFonts w:cs="Arial"/>
                <w:b/>
                <w:bCs/>
                <w:color w:val="000000"/>
                <w:lang w:val="en-US" w:eastAsia="en-US"/>
              </w:rPr>
            </w:pPr>
            <w:r w:rsidRPr="004E3818">
              <w:rPr>
                <w:rFonts w:cs="Arial"/>
                <w:b/>
                <w:bCs/>
                <w:color w:val="000000"/>
                <w:lang w:val="en-US" w:eastAsia="en-US"/>
              </w:rPr>
              <w:t>VSB</w:t>
            </w:r>
          </w:p>
        </w:tc>
      </w:tr>
      <w:tr w:rsidR="004E3818" w:rsidRPr="004E3818" w14:paraId="7250F208" w14:textId="77777777" w:rsidTr="00BF0EEF">
        <w:trPr>
          <w:trHeight w:val="540"/>
          <w:jc w:val="center"/>
        </w:trPr>
        <w:tc>
          <w:tcPr>
            <w:tcW w:w="380" w:type="dxa"/>
            <w:tcBorders>
              <w:top w:val="nil"/>
              <w:left w:val="single" w:sz="8" w:space="0" w:color="auto"/>
              <w:bottom w:val="single" w:sz="4" w:space="0" w:color="auto"/>
              <w:right w:val="single" w:sz="4" w:space="0" w:color="auto"/>
            </w:tcBorders>
            <w:shd w:val="clear" w:color="auto" w:fill="auto"/>
            <w:noWrap/>
            <w:vAlign w:val="center"/>
            <w:hideMark/>
          </w:tcPr>
          <w:p w14:paraId="728DB396" w14:textId="77777777" w:rsidR="004E3818" w:rsidRPr="004E3818" w:rsidRDefault="004E3818" w:rsidP="004E3818">
            <w:pPr>
              <w:rPr>
                <w:rFonts w:cs="Arial"/>
                <w:b/>
                <w:bCs/>
                <w:color w:val="000000"/>
                <w:sz w:val="20"/>
                <w:szCs w:val="20"/>
                <w:lang w:val="en-US" w:eastAsia="en-US"/>
              </w:rPr>
            </w:pPr>
            <w:r w:rsidRPr="004E3818">
              <w:rPr>
                <w:rFonts w:cs="Arial"/>
                <w:b/>
                <w:bCs/>
                <w:color w:val="000000"/>
                <w:sz w:val="20"/>
                <w:szCs w:val="20"/>
                <w:lang w:val="en-US" w:eastAsia="en-US"/>
              </w:rPr>
              <w:t>N</w:t>
            </w:r>
          </w:p>
        </w:tc>
        <w:tc>
          <w:tcPr>
            <w:tcW w:w="3179" w:type="dxa"/>
            <w:tcBorders>
              <w:top w:val="nil"/>
              <w:left w:val="nil"/>
              <w:bottom w:val="single" w:sz="4" w:space="0" w:color="auto"/>
              <w:right w:val="single" w:sz="4" w:space="0" w:color="auto"/>
            </w:tcBorders>
            <w:shd w:val="clear" w:color="auto" w:fill="auto"/>
            <w:vAlign w:val="center"/>
            <w:hideMark/>
          </w:tcPr>
          <w:p w14:paraId="412F81B2" w14:textId="77777777" w:rsidR="004E3818" w:rsidRPr="004E3818" w:rsidRDefault="004E3818" w:rsidP="004E3818">
            <w:pPr>
              <w:rPr>
                <w:rFonts w:cs="Arial"/>
                <w:color w:val="000000"/>
                <w:sz w:val="20"/>
                <w:szCs w:val="20"/>
                <w:lang w:val="en-US" w:eastAsia="en-US"/>
              </w:rPr>
            </w:pPr>
            <w:r w:rsidRPr="004E3818">
              <w:rPr>
                <w:rFonts w:cs="Arial"/>
                <w:color w:val="000000"/>
                <w:sz w:val="20"/>
                <w:szCs w:val="20"/>
                <w:lang w:val="en-US" w:eastAsia="en-US"/>
              </w:rPr>
              <w:t>Cost of CT scan</w:t>
            </w:r>
          </w:p>
        </w:tc>
        <w:tc>
          <w:tcPr>
            <w:tcW w:w="1559" w:type="dxa"/>
            <w:tcBorders>
              <w:top w:val="nil"/>
              <w:left w:val="nil"/>
              <w:bottom w:val="single" w:sz="4" w:space="0" w:color="auto"/>
              <w:right w:val="single" w:sz="4" w:space="0" w:color="auto"/>
            </w:tcBorders>
            <w:shd w:val="clear" w:color="auto" w:fill="auto"/>
            <w:vAlign w:val="center"/>
            <w:hideMark/>
          </w:tcPr>
          <w:p w14:paraId="568F5B69" w14:textId="77777777" w:rsidR="004E3818" w:rsidRPr="004E3818" w:rsidRDefault="004E3818" w:rsidP="004E3818">
            <w:pPr>
              <w:rPr>
                <w:rFonts w:cs="Arial"/>
                <w:color w:val="000000"/>
                <w:sz w:val="16"/>
                <w:szCs w:val="16"/>
                <w:lang w:val="en-US" w:eastAsia="en-US"/>
              </w:rPr>
            </w:pPr>
            <w:r w:rsidRPr="004E3818">
              <w:rPr>
                <w:rFonts w:cs="Arial"/>
                <w:color w:val="000000"/>
                <w:sz w:val="16"/>
                <w:szCs w:val="16"/>
                <w:lang w:val="en-US" w:eastAsia="en-US"/>
              </w:rPr>
              <w:fldChar w:fldCharType="begin"/>
            </w:r>
            <w:r w:rsidRPr="004E3818">
              <w:rPr>
                <w:rFonts w:cs="Arial"/>
                <w:color w:val="000000"/>
                <w:sz w:val="16"/>
                <w:szCs w:val="16"/>
                <w:lang w:val="en-US" w:eastAsia="en-US"/>
              </w:rPr>
              <w:instrText xml:space="preserve"> REF _Ref430941316 \h </w:instrText>
            </w:r>
            <w:r>
              <w:rPr>
                <w:rFonts w:cs="Arial"/>
                <w:color w:val="000000"/>
                <w:sz w:val="16"/>
                <w:szCs w:val="16"/>
                <w:lang w:val="en-US" w:eastAsia="en-US"/>
              </w:rPr>
              <w:instrText xml:space="preserve"> \* MERGEFORMAT </w:instrText>
            </w:r>
            <w:r w:rsidRPr="004E3818">
              <w:rPr>
                <w:rFonts w:cs="Arial"/>
                <w:color w:val="000000"/>
                <w:sz w:val="16"/>
                <w:szCs w:val="16"/>
                <w:lang w:val="en-US" w:eastAsia="en-US"/>
              </w:rPr>
            </w:r>
            <w:r w:rsidRPr="004E3818">
              <w:rPr>
                <w:rFonts w:cs="Arial"/>
                <w:color w:val="000000"/>
                <w:sz w:val="16"/>
                <w:szCs w:val="16"/>
                <w:lang w:val="en-US" w:eastAsia="en-US"/>
              </w:rPr>
              <w:fldChar w:fldCharType="separate"/>
            </w:r>
            <w:r w:rsidR="00016592" w:rsidRPr="00016592">
              <w:rPr>
                <w:rFonts w:cs="Arial"/>
                <w:sz w:val="16"/>
                <w:szCs w:val="16"/>
              </w:rPr>
              <w:t xml:space="preserve">Table </w:t>
            </w:r>
            <w:r w:rsidR="00016592" w:rsidRPr="00016592">
              <w:rPr>
                <w:rFonts w:cs="Arial"/>
                <w:noProof/>
                <w:sz w:val="16"/>
                <w:szCs w:val="16"/>
              </w:rPr>
              <w:t>61</w:t>
            </w:r>
            <w:r w:rsidRPr="004E3818">
              <w:rPr>
                <w:rFonts w:cs="Arial"/>
                <w:color w:val="000000"/>
                <w:sz w:val="16"/>
                <w:szCs w:val="16"/>
                <w:lang w:val="en-US" w:eastAsia="en-US"/>
              </w:rPr>
              <w:fldChar w:fldCharType="end"/>
            </w:r>
            <w:r w:rsidRPr="004E3818">
              <w:rPr>
                <w:rFonts w:cs="Arial"/>
                <w:color w:val="000000"/>
                <w:sz w:val="16"/>
                <w:szCs w:val="16"/>
                <w:lang w:val="en-US" w:eastAsia="en-US"/>
              </w:rPr>
              <w:t>, row K x AUD 290,00</w:t>
            </w:r>
          </w:p>
        </w:tc>
        <w:tc>
          <w:tcPr>
            <w:tcW w:w="1937" w:type="dxa"/>
            <w:tcBorders>
              <w:top w:val="nil"/>
              <w:left w:val="nil"/>
              <w:bottom w:val="single" w:sz="8" w:space="0" w:color="auto"/>
              <w:right w:val="single" w:sz="4" w:space="0" w:color="auto"/>
            </w:tcBorders>
            <w:shd w:val="clear" w:color="auto" w:fill="auto"/>
            <w:noWrap/>
            <w:vAlign w:val="center"/>
            <w:hideMark/>
          </w:tcPr>
          <w:p w14:paraId="54B2AB80" w14:textId="0564B1AD" w:rsidR="004E3818" w:rsidRPr="004E3818" w:rsidRDefault="004E3818" w:rsidP="00BE1424">
            <w:pPr>
              <w:rPr>
                <w:rFonts w:cs="Arial"/>
                <w:color w:val="000000"/>
                <w:sz w:val="16"/>
                <w:szCs w:val="16"/>
                <w:lang w:val="en-US" w:eastAsia="en-US"/>
              </w:rPr>
            </w:pPr>
            <w:r w:rsidRPr="004E3818">
              <w:rPr>
                <w:rFonts w:cs="Arial"/>
                <w:color w:val="000000"/>
                <w:sz w:val="16"/>
                <w:szCs w:val="16"/>
                <w:lang w:val="en-US" w:eastAsia="en-US"/>
              </w:rPr>
              <w:t xml:space="preserve"> AUD   20.590 </w:t>
            </w:r>
          </w:p>
        </w:tc>
        <w:tc>
          <w:tcPr>
            <w:tcW w:w="1462" w:type="dxa"/>
            <w:tcBorders>
              <w:top w:val="nil"/>
              <w:left w:val="nil"/>
              <w:bottom w:val="single" w:sz="8" w:space="0" w:color="auto"/>
              <w:right w:val="single" w:sz="4" w:space="0" w:color="auto"/>
            </w:tcBorders>
            <w:shd w:val="clear" w:color="auto" w:fill="auto"/>
            <w:noWrap/>
            <w:vAlign w:val="center"/>
            <w:hideMark/>
          </w:tcPr>
          <w:p w14:paraId="656A3DF7" w14:textId="0300F2B9" w:rsidR="004E3818" w:rsidRPr="004E3818" w:rsidRDefault="004E3818" w:rsidP="004E3818">
            <w:pPr>
              <w:rPr>
                <w:rFonts w:cs="Arial"/>
                <w:color w:val="000000"/>
                <w:sz w:val="16"/>
                <w:szCs w:val="16"/>
                <w:lang w:val="en-US" w:eastAsia="en-US"/>
              </w:rPr>
            </w:pPr>
            <w:r w:rsidRPr="004E3818">
              <w:rPr>
                <w:rFonts w:cs="Arial"/>
                <w:color w:val="000000"/>
                <w:sz w:val="16"/>
                <w:szCs w:val="16"/>
                <w:lang w:val="en-US" w:eastAsia="en-US"/>
              </w:rPr>
              <w:t xml:space="preserve"> AUD   20.880 </w:t>
            </w:r>
          </w:p>
        </w:tc>
        <w:tc>
          <w:tcPr>
            <w:tcW w:w="1399" w:type="dxa"/>
            <w:tcBorders>
              <w:top w:val="nil"/>
              <w:left w:val="nil"/>
              <w:bottom w:val="single" w:sz="8" w:space="0" w:color="auto"/>
              <w:right w:val="single" w:sz="4" w:space="0" w:color="auto"/>
            </w:tcBorders>
            <w:shd w:val="clear" w:color="auto" w:fill="auto"/>
            <w:noWrap/>
            <w:vAlign w:val="center"/>
            <w:hideMark/>
          </w:tcPr>
          <w:p w14:paraId="37D81F39" w14:textId="566C5183" w:rsidR="004E3818" w:rsidRPr="004E3818" w:rsidRDefault="004E3818" w:rsidP="004E3818">
            <w:pPr>
              <w:rPr>
                <w:rFonts w:cs="Arial"/>
                <w:color w:val="000000"/>
                <w:sz w:val="16"/>
                <w:szCs w:val="16"/>
                <w:lang w:val="en-US" w:eastAsia="en-US"/>
              </w:rPr>
            </w:pPr>
            <w:r w:rsidRPr="004E3818">
              <w:rPr>
                <w:rFonts w:cs="Arial"/>
                <w:color w:val="000000"/>
                <w:sz w:val="16"/>
                <w:szCs w:val="16"/>
                <w:lang w:val="en-US" w:eastAsia="en-US"/>
              </w:rPr>
              <w:t xml:space="preserve"> AUD   21.460 </w:t>
            </w:r>
          </w:p>
        </w:tc>
        <w:tc>
          <w:tcPr>
            <w:tcW w:w="1399" w:type="dxa"/>
            <w:tcBorders>
              <w:top w:val="nil"/>
              <w:left w:val="nil"/>
              <w:bottom w:val="single" w:sz="8" w:space="0" w:color="auto"/>
              <w:right w:val="single" w:sz="4" w:space="0" w:color="auto"/>
            </w:tcBorders>
            <w:shd w:val="clear" w:color="auto" w:fill="auto"/>
            <w:noWrap/>
            <w:vAlign w:val="center"/>
            <w:hideMark/>
          </w:tcPr>
          <w:p w14:paraId="79329629" w14:textId="147FF22D" w:rsidR="004E3818" w:rsidRPr="004E3818" w:rsidRDefault="004E3818" w:rsidP="004E3818">
            <w:pPr>
              <w:rPr>
                <w:rFonts w:cs="Arial"/>
                <w:color w:val="000000"/>
                <w:sz w:val="16"/>
                <w:szCs w:val="16"/>
                <w:lang w:val="en-US" w:eastAsia="en-US"/>
              </w:rPr>
            </w:pPr>
            <w:r w:rsidRPr="004E3818">
              <w:rPr>
                <w:rFonts w:cs="Arial"/>
                <w:color w:val="000000"/>
                <w:sz w:val="16"/>
                <w:szCs w:val="16"/>
                <w:lang w:val="en-US" w:eastAsia="en-US"/>
              </w:rPr>
              <w:t xml:space="preserve"> AUD   21.750 </w:t>
            </w:r>
          </w:p>
        </w:tc>
        <w:tc>
          <w:tcPr>
            <w:tcW w:w="1399" w:type="dxa"/>
            <w:tcBorders>
              <w:top w:val="nil"/>
              <w:left w:val="nil"/>
              <w:bottom w:val="single" w:sz="8" w:space="0" w:color="auto"/>
              <w:right w:val="single" w:sz="4" w:space="0" w:color="auto"/>
            </w:tcBorders>
            <w:shd w:val="clear" w:color="auto" w:fill="auto"/>
            <w:noWrap/>
            <w:vAlign w:val="center"/>
            <w:hideMark/>
          </w:tcPr>
          <w:p w14:paraId="24B79589" w14:textId="70217F52" w:rsidR="004E3818" w:rsidRPr="004E3818" w:rsidRDefault="004E3818" w:rsidP="004E3818">
            <w:pPr>
              <w:rPr>
                <w:rFonts w:cs="Arial"/>
                <w:color w:val="000000"/>
                <w:sz w:val="16"/>
                <w:szCs w:val="16"/>
                <w:lang w:val="en-US" w:eastAsia="en-US"/>
              </w:rPr>
            </w:pPr>
            <w:r w:rsidRPr="004E3818">
              <w:rPr>
                <w:rFonts w:cs="Arial"/>
                <w:color w:val="000000"/>
                <w:sz w:val="16"/>
                <w:szCs w:val="16"/>
                <w:lang w:val="en-US" w:eastAsia="en-US"/>
              </w:rPr>
              <w:t xml:space="preserve"> AUD</w:t>
            </w:r>
            <w:r w:rsidR="00BE1424">
              <w:rPr>
                <w:rFonts w:cs="Arial"/>
                <w:color w:val="000000"/>
                <w:sz w:val="16"/>
                <w:szCs w:val="16"/>
                <w:lang w:val="en-US" w:eastAsia="en-US"/>
              </w:rPr>
              <w:t xml:space="preserve"> </w:t>
            </w:r>
            <w:r w:rsidRPr="004E3818">
              <w:rPr>
                <w:rFonts w:cs="Arial"/>
                <w:color w:val="000000"/>
                <w:sz w:val="16"/>
                <w:szCs w:val="16"/>
                <w:lang w:val="en-US" w:eastAsia="en-US"/>
              </w:rPr>
              <w:t xml:space="preserve">  22.040 </w:t>
            </w:r>
          </w:p>
        </w:tc>
        <w:tc>
          <w:tcPr>
            <w:tcW w:w="1399" w:type="dxa"/>
            <w:tcBorders>
              <w:top w:val="nil"/>
              <w:left w:val="nil"/>
              <w:bottom w:val="single" w:sz="8" w:space="0" w:color="auto"/>
              <w:right w:val="single" w:sz="8" w:space="0" w:color="auto"/>
            </w:tcBorders>
            <w:shd w:val="clear" w:color="auto" w:fill="auto"/>
            <w:noWrap/>
            <w:vAlign w:val="center"/>
            <w:hideMark/>
          </w:tcPr>
          <w:p w14:paraId="31F07F50" w14:textId="3A36DECC" w:rsidR="004E3818" w:rsidRPr="004E3818" w:rsidRDefault="004E3818" w:rsidP="004E3818">
            <w:pPr>
              <w:rPr>
                <w:rFonts w:cs="Arial"/>
                <w:color w:val="000000"/>
                <w:sz w:val="16"/>
                <w:szCs w:val="16"/>
                <w:lang w:val="en-US" w:eastAsia="en-US"/>
              </w:rPr>
            </w:pPr>
            <w:r w:rsidRPr="004E3818">
              <w:rPr>
                <w:rFonts w:cs="Arial"/>
                <w:color w:val="000000"/>
                <w:sz w:val="16"/>
                <w:szCs w:val="16"/>
                <w:lang w:val="en-US" w:eastAsia="en-US"/>
              </w:rPr>
              <w:t xml:space="preserve"> AUD</w:t>
            </w:r>
            <w:r w:rsidR="00BE1424">
              <w:rPr>
                <w:rFonts w:cs="Arial"/>
                <w:color w:val="000000"/>
                <w:sz w:val="16"/>
                <w:szCs w:val="16"/>
                <w:lang w:val="en-US" w:eastAsia="en-US"/>
              </w:rPr>
              <w:t xml:space="preserve"> </w:t>
            </w:r>
            <w:r w:rsidRPr="004E3818">
              <w:rPr>
                <w:rFonts w:cs="Arial"/>
                <w:color w:val="000000"/>
                <w:sz w:val="16"/>
                <w:szCs w:val="16"/>
                <w:lang w:val="en-US" w:eastAsia="en-US"/>
              </w:rPr>
              <w:t xml:space="preserve">  22.330 </w:t>
            </w:r>
          </w:p>
        </w:tc>
      </w:tr>
      <w:tr w:rsidR="004E3818" w:rsidRPr="004E3818" w14:paraId="26D1C404" w14:textId="77777777" w:rsidTr="00BF0EEF">
        <w:trPr>
          <w:trHeight w:val="840"/>
          <w:jc w:val="center"/>
        </w:trPr>
        <w:tc>
          <w:tcPr>
            <w:tcW w:w="380" w:type="dxa"/>
            <w:tcBorders>
              <w:top w:val="nil"/>
              <w:left w:val="single" w:sz="8" w:space="0" w:color="auto"/>
              <w:bottom w:val="single" w:sz="8" w:space="0" w:color="auto"/>
              <w:right w:val="single" w:sz="4" w:space="0" w:color="auto"/>
            </w:tcBorders>
            <w:shd w:val="clear" w:color="auto" w:fill="auto"/>
            <w:noWrap/>
            <w:vAlign w:val="center"/>
            <w:hideMark/>
          </w:tcPr>
          <w:p w14:paraId="2662122C" w14:textId="77777777" w:rsidR="004E3818" w:rsidRPr="004E3818" w:rsidRDefault="004E3818" w:rsidP="004E3818">
            <w:pPr>
              <w:rPr>
                <w:rFonts w:cs="Arial"/>
                <w:b/>
                <w:bCs/>
                <w:color w:val="000000"/>
                <w:sz w:val="20"/>
                <w:szCs w:val="20"/>
                <w:lang w:val="en-US" w:eastAsia="en-US"/>
              </w:rPr>
            </w:pPr>
            <w:r w:rsidRPr="004E3818">
              <w:rPr>
                <w:rFonts w:cs="Arial"/>
                <w:b/>
                <w:bCs/>
                <w:color w:val="000000"/>
                <w:sz w:val="20"/>
                <w:szCs w:val="20"/>
                <w:lang w:val="en-US" w:eastAsia="en-US"/>
              </w:rPr>
              <w:t>O</w:t>
            </w:r>
          </w:p>
        </w:tc>
        <w:tc>
          <w:tcPr>
            <w:tcW w:w="3179" w:type="dxa"/>
            <w:tcBorders>
              <w:top w:val="nil"/>
              <w:left w:val="nil"/>
              <w:bottom w:val="single" w:sz="8" w:space="0" w:color="auto"/>
              <w:right w:val="single" w:sz="4" w:space="0" w:color="auto"/>
            </w:tcBorders>
            <w:shd w:val="clear" w:color="auto" w:fill="auto"/>
            <w:vAlign w:val="center"/>
            <w:hideMark/>
          </w:tcPr>
          <w:p w14:paraId="1B5FDFCE" w14:textId="77777777" w:rsidR="004E3818" w:rsidRPr="004E3818" w:rsidRDefault="004E3818" w:rsidP="004E3818">
            <w:pPr>
              <w:rPr>
                <w:rFonts w:cs="Arial"/>
                <w:color w:val="000000"/>
                <w:sz w:val="20"/>
                <w:szCs w:val="20"/>
                <w:lang w:val="en-US" w:eastAsia="en-US"/>
              </w:rPr>
            </w:pPr>
            <w:r w:rsidRPr="004E3818">
              <w:rPr>
                <w:rFonts w:cs="Arial"/>
                <w:color w:val="000000"/>
                <w:sz w:val="20"/>
                <w:szCs w:val="20"/>
                <w:lang w:val="en-US" w:eastAsia="en-US"/>
              </w:rPr>
              <w:t>Cost of anaesthesia (initiation &amp; perfusion; MBS items 20225 &amp; 23101)</w:t>
            </w:r>
          </w:p>
        </w:tc>
        <w:tc>
          <w:tcPr>
            <w:tcW w:w="1559" w:type="dxa"/>
            <w:tcBorders>
              <w:top w:val="nil"/>
              <w:left w:val="nil"/>
              <w:bottom w:val="single" w:sz="8" w:space="0" w:color="auto"/>
              <w:right w:val="single" w:sz="4" w:space="0" w:color="auto"/>
            </w:tcBorders>
            <w:shd w:val="clear" w:color="auto" w:fill="auto"/>
            <w:vAlign w:val="center"/>
            <w:hideMark/>
          </w:tcPr>
          <w:p w14:paraId="48198FB1" w14:textId="77777777" w:rsidR="004E3818" w:rsidRPr="004E3818" w:rsidRDefault="004E3818" w:rsidP="004E3818">
            <w:pPr>
              <w:rPr>
                <w:rFonts w:cs="Arial"/>
                <w:color w:val="000000"/>
                <w:sz w:val="16"/>
                <w:szCs w:val="16"/>
                <w:lang w:val="en-US" w:eastAsia="en-US"/>
              </w:rPr>
            </w:pPr>
            <w:r w:rsidRPr="004E3818">
              <w:rPr>
                <w:rFonts w:cs="Arial"/>
                <w:color w:val="000000"/>
                <w:sz w:val="16"/>
                <w:szCs w:val="16"/>
                <w:lang w:val="en-US" w:eastAsia="en-US"/>
              </w:rPr>
              <w:fldChar w:fldCharType="begin"/>
            </w:r>
            <w:r w:rsidRPr="004E3818">
              <w:rPr>
                <w:rFonts w:cs="Arial"/>
                <w:color w:val="000000"/>
                <w:sz w:val="16"/>
                <w:szCs w:val="16"/>
                <w:lang w:val="en-US" w:eastAsia="en-US"/>
              </w:rPr>
              <w:instrText xml:space="preserve"> REF _Ref430941316 \h </w:instrText>
            </w:r>
            <w:r>
              <w:rPr>
                <w:rFonts w:cs="Arial"/>
                <w:color w:val="000000"/>
                <w:sz w:val="16"/>
                <w:szCs w:val="16"/>
                <w:lang w:val="en-US" w:eastAsia="en-US"/>
              </w:rPr>
              <w:instrText xml:space="preserve"> \* MERGEFORMAT </w:instrText>
            </w:r>
            <w:r w:rsidRPr="004E3818">
              <w:rPr>
                <w:rFonts w:cs="Arial"/>
                <w:color w:val="000000"/>
                <w:sz w:val="16"/>
                <w:szCs w:val="16"/>
                <w:lang w:val="en-US" w:eastAsia="en-US"/>
              </w:rPr>
            </w:r>
            <w:r w:rsidRPr="004E3818">
              <w:rPr>
                <w:rFonts w:cs="Arial"/>
                <w:color w:val="000000"/>
                <w:sz w:val="16"/>
                <w:szCs w:val="16"/>
                <w:lang w:val="en-US" w:eastAsia="en-US"/>
              </w:rPr>
              <w:fldChar w:fldCharType="separate"/>
            </w:r>
            <w:r w:rsidR="00016592" w:rsidRPr="00016592">
              <w:rPr>
                <w:rFonts w:cs="Arial"/>
                <w:sz w:val="16"/>
                <w:szCs w:val="16"/>
              </w:rPr>
              <w:t xml:space="preserve">Table </w:t>
            </w:r>
            <w:r w:rsidR="00016592" w:rsidRPr="00016592">
              <w:rPr>
                <w:rFonts w:cs="Arial"/>
                <w:noProof/>
                <w:sz w:val="16"/>
                <w:szCs w:val="16"/>
              </w:rPr>
              <w:t>61</w:t>
            </w:r>
            <w:r w:rsidRPr="004E3818">
              <w:rPr>
                <w:rFonts w:cs="Arial"/>
                <w:color w:val="000000"/>
                <w:sz w:val="16"/>
                <w:szCs w:val="16"/>
                <w:lang w:val="en-US" w:eastAsia="en-US"/>
              </w:rPr>
              <w:fldChar w:fldCharType="end"/>
            </w:r>
            <w:r w:rsidRPr="004E3818">
              <w:rPr>
                <w:rFonts w:cs="Arial"/>
                <w:color w:val="000000"/>
                <w:sz w:val="16"/>
                <w:szCs w:val="16"/>
                <w:lang w:val="en-US" w:eastAsia="en-US"/>
              </w:rPr>
              <w:t>, row K x AUD 435,60</w:t>
            </w:r>
          </w:p>
        </w:tc>
        <w:tc>
          <w:tcPr>
            <w:tcW w:w="1937" w:type="dxa"/>
            <w:tcBorders>
              <w:top w:val="single" w:sz="4" w:space="0" w:color="auto"/>
              <w:left w:val="nil"/>
              <w:bottom w:val="single" w:sz="8" w:space="0" w:color="auto"/>
              <w:right w:val="single" w:sz="4" w:space="0" w:color="auto"/>
            </w:tcBorders>
            <w:shd w:val="clear" w:color="auto" w:fill="auto"/>
            <w:noWrap/>
            <w:vAlign w:val="center"/>
            <w:hideMark/>
          </w:tcPr>
          <w:p w14:paraId="17AA5970" w14:textId="35C832DC" w:rsidR="004E3818" w:rsidRPr="004E3818" w:rsidRDefault="004E3818" w:rsidP="004E3818">
            <w:pPr>
              <w:rPr>
                <w:rFonts w:cs="Arial"/>
                <w:color w:val="000000"/>
                <w:sz w:val="16"/>
                <w:szCs w:val="16"/>
                <w:lang w:val="en-US" w:eastAsia="en-US"/>
              </w:rPr>
            </w:pPr>
            <w:r w:rsidRPr="004E3818">
              <w:rPr>
                <w:rFonts w:cs="Arial"/>
                <w:color w:val="000000"/>
                <w:sz w:val="16"/>
                <w:szCs w:val="16"/>
                <w:lang w:val="en-US" w:eastAsia="en-US"/>
              </w:rPr>
              <w:t xml:space="preserve"> AUD   30.928 </w:t>
            </w:r>
          </w:p>
        </w:tc>
        <w:tc>
          <w:tcPr>
            <w:tcW w:w="1462" w:type="dxa"/>
            <w:tcBorders>
              <w:top w:val="single" w:sz="4" w:space="0" w:color="auto"/>
              <w:left w:val="nil"/>
              <w:bottom w:val="single" w:sz="8" w:space="0" w:color="auto"/>
              <w:right w:val="single" w:sz="4" w:space="0" w:color="auto"/>
            </w:tcBorders>
            <w:shd w:val="clear" w:color="auto" w:fill="auto"/>
            <w:noWrap/>
            <w:vAlign w:val="center"/>
            <w:hideMark/>
          </w:tcPr>
          <w:p w14:paraId="7D35D2E2" w14:textId="1A5077A6" w:rsidR="004E3818" w:rsidRPr="004E3818" w:rsidRDefault="004E3818" w:rsidP="004E3818">
            <w:pPr>
              <w:rPr>
                <w:rFonts w:cs="Arial"/>
                <w:color w:val="000000"/>
                <w:sz w:val="16"/>
                <w:szCs w:val="16"/>
                <w:lang w:val="en-US" w:eastAsia="en-US"/>
              </w:rPr>
            </w:pPr>
            <w:r w:rsidRPr="004E3818">
              <w:rPr>
                <w:rFonts w:cs="Arial"/>
                <w:color w:val="000000"/>
                <w:sz w:val="16"/>
                <w:szCs w:val="16"/>
                <w:lang w:val="en-US" w:eastAsia="en-US"/>
              </w:rPr>
              <w:t xml:space="preserve"> AUD</w:t>
            </w:r>
            <w:r w:rsidR="00BE1424">
              <w:rPr>
                <w:rFonts w:cs="Arial"/>
                <w:color w:val="000000"/>
                <w:sz w:val="16"/>
                <w:szCs w:val="16"/>
                <w:lang w:val="en-US" w:eastAsia="en-US"/>
              </w:rPr>
              <w:t xml:space="preserve">  </w:t>
            </w:r>
            <w:r w:rsidRPr="004E3818">
              <w:rPr>
                <w:rFonts w:cs="Arial"/>
                <w:color w:val="000000"/>
                <w:sz w:val="16"/>
                <w:szCs w:val="16"/>
                <w:lang w:val="en-US" w:eastAsia="en-US"/>
              </w:rPr>
              <w:t xml:space="preserve"> 31.363 </w:t>
            </w:r>
          </w:p>
        </w:tc>
        <w:tc>
          <w:tcPr>
            <w:tcW w:w="1399" w:type="dxa"/>
            <w:tcBorders>
              <w:top w:val="single" w:sz="4" w:space="0" w:color="auto"/>
              <w:left w:val="nil"/>
              <w:bottom w:val="single" w:sz="8" w:space="0" w:color="auto"/>
              <w:right w:val="single" w:sz="4" w:space="0" w:color="auto"/>
            </w:tcBorders>
            <w:shd w:val="clear" w:color="auto" w:fill="auto"/>
            <w:noWrap/>
            <w:vAlign w:val="center"/>
            <w:hideMark/>
          </w:tcPr>
          <w:p w14:paraId="14E826F5" w14:textId="1C0ACF75" w:rsidR="004E3818" w:rsidRPr="004E3818" w:rsidRDefault="004E3818" w:rsidP="004E3818">
            <w:pPr>
              <w:rPr>
                <w:rFonts w:cs="Arial"/>
                <w:color w:val="000000"/>
                <w:sz w:val="16"/>
                <w:szCs w:val="16"/>
                <w:lang w:val="en-US" w:eastAsia="en-US"/>
              </w:rPr>
            </w:pPr>
            <w:r w:rsidRPr="004E3818">
              <w:rPr>
                <w:rFonts w:cs="Arial"/>
                <w:color w:val="000000"/>
                <w:sz w:val="16"/>
                <w:szCs w:val="16"/>
                <w:lang w:val="en-US" w:eastAsia="en-US"/>
              </w:rPr>
              <w:t xml:space="preserve"> AUD   32.234 </w:t>
            </w:r>
          </w:p>
        </w:tc>
        <w:tc>
          <w:tcPr>
            <w:tcW w:w="1399" w:type="dxa"/>
            <w:tcBorders>
              <w:top w:val="single" w:sz="4" w:space="0" w:color="auto"/>
              <w:left w:val="nil"/>
              <w:bottom w:val="single" w:sz="8" w:space="0" w:color="auto"/>
              <w:right w:val="single" w:sz="4" w:space="0" w:color="auto"/>
            </w:tcBorders>
            <w:shd w:val="clear" w:color="auto" w:fill="auto"/>
            <w:noWrap/>
            <w:vAlign w:val="center"/>
            <w:hideMark/>
          </w:tcPr>
          <w:p w14:paraId="292B4C6A" w14:textId="64AC48EB" w:rsidR="004E3818" w:rsidRPr="004E3818" w:rsidRDefault="004E3818" w:rsidP="004E3818">
            <w:pPr>
              <w:rPr>
                <w:rFonts w:cs="Arial"/>
                <w:color w:val="000000"/>
                <w:sz w:val="16"/>
                <w:szCs w:val="16"/>
                <w:lang w:val="en-US" w:eastAsia="en-US"/>
              </w:rPr>
            </w:pPr>
            <w:r w:rsidRPr="004E3818">
              <w:rPr>
                <w:rFonts w:cs="Arial"/>
                <w:color w:val="000000"/>
                <w:sz w:val="16"/>
                <w:szCs w:val="16"/>
                <w:lang w:val="en-US" w:eastAsia="en-US"/>
              </w:rPr>
              <w:t xml:space="preserve"> AUD</w:t>
            </w:r>
            <w:r w:rsidR="00BE1424">
              <w:rPr>
                <w:rFonts w:cs="Arial"/>
                <w:color w:val="000000"/>
                <w:sz w:val="16"/>
                <w:szCs w:val="16"/>
                <w:lang w:val="en-US" w:eastAsia="en-US"/>
              </w:rPr>
              <w:t xml:space="preserve">  </w:t>
            </w:r>
            <w:r w:rsidRPr="004E3818">
              <w:rPr>
                <w:rFonts w:cs="Arial"/>
                <w:color w:val="000000"/>
                <w:sz w:val="16"/>
                <w:szCs w:val="16"/>
                <w:lang w:val="en-US" w:eastAsia="en-US"/>
              </w:rPr>
              <w:t xml:space="preserve"> 32.670 </w:t>
            </w:r>
          </w:p>
        </w:tc>
        <w:tc>
          <w:tcPr>
            <w:tcW w:w="1399" w:type="dxa"/>
            <w:tcBorders>
              <w:top w:val="single" w:sz="4" w:space="0" w:color="auto"/>
              <w:left w:val="nil"/>
              <w:bottom w:val="single" w:sz="8" w:space="0" w:color="auto"/>
              <w:right w:val="single" w:sz="4" w:space="0" w:color="auto"/>
            </w:tcBorders>
            <w:shd w:val="clear" w:color="auto" w:fill="auto"/>
            <w:noWrap/>
            <w:vAlign w:val="center"/>
            <w:hideMark/>
          </w:tcPr>
          <w:p w14:paraId="7D1F35F4" w14:textId="40765755" w:rsidR="004E3818" w:rsidRPr="004E3818" w:rsidRDefault="004E3818" w:rsidP="004E3818">
            <w:pPr>
              <w:rPr>
                <w:rFonts w:cs="Arial"/>
                <w:color w:val="000000"/>
                <w:sz w:val="16"/>
                <w:szCs w:val="16"/>
                <w:lang w:val="en-US" w:eastAsia="en-US"/>
              </w:rPr>
            </w:pPr>
            <w:r w:rsidRPr="004E3818">
              <w:rPr>
                <w:rFonts w:cs="Arial"/>
                <w:color w:val="000000"/>
                <w:sz w:val="16"/>
                <w:szCs w:val="16"/>
                <w:lang w:val="en-US" w:eastAsia="en-US"/>
              </w:rPr>
              <w:t xml:space="preserve"> AUD   33.106 </w:t>
            </w:r>
          </w:p>
        </w:tc>
        <w:tc>
          <w:tcPr>
            <w:tcW w:w="1399" w:type="dxa"/>
            <w:tcBorders>
              <w:top w:val="single" w:sz="4" w:space="0" w:color="auto"/>
              <w:left w:val="nil"/>
              <w:bottom w:val="single" w:sz="8" w:space="0" w:color="auto"/>
              <w:right w:val="single" w:sz="8" w:space="0" w:color="auto"/>
            </w:tcBorders>
            <w:shd w:val="clear" w:color="auto" w:fill="auto"/>
            <w:noWrap/>
            <w:vAlign w:val="center"/>
            <w:hideMark/>
          </w:tcPr>
          <w:p w14:paraId="3165BB5E" w14:textId="22C09E52" w:rsidR="004E3818" w:rsidRPr="004E3818" w:rsidRDefault="004E3818" w:rsidP="004E3818">
            <w:pPr>
              <w:rPr>
                <w:rFonts w:cs="Arial"/>
                <w:color w:val="000000"/>
                <w:sz w:val="16"/>
                <w:szCs w:val="16"/>
                <w:lang w:val="en-US" w:eastAsia="en-US"/>
              </w:rPr>
            </w:pPr>
            <w:r w:rsidRPr="004E3818">
              <w:rPr>
                <w:rFonts w:cs="Arial"/>
                <w:color w:val="000000"/>
                <w:sz w:val="16"/>
                <w:szCs w:val="16"/>
                <w:lang w:val="en-US" w:eastAsia="en-US"/>
              </w:rPr>
              <w:t xml:space="preserve"> AUD</w:t>
            </w:r>
            <w:r w:rsidR="00BE1424">
              <w:rPr>
                <w:rFonts w:cs="Arial"/>
                <w:color w:val="000000"/>
                <w:sz w:val="16"/>
                <w:szCs w:val="16"/>
                <w:lang w:val="en-US" w:eastAsia="en-US"/>
              </w:rPr>
              <w:t xml:space="preserve"> </w:t>
            </w:r>
            <w:r w:rsidRPr="004E3818">
              <w:rPr>
                <w:rFonts w:cs="Arial"/>
                <w:color w:val="000000"/>
                <w:sz w:val="16"/>
                <w:szCs w:val="16"/>
                <w:lang w:val="en-US" w:eastAsia="en-US"/>
              </w:rPr>
              <w:t xml:space="preserve">  33.541 </w:t>
            </w:r>
          </w:p>
        </w:tc>
      </w:tr>
      <w:tr w:rsidR="004E3818" w:rsidRPr="004E3818" w14:paraId="2064BD66" w14:textId="77777777" w:rsidTr="00BF0EEF">
        <w:trPr>
          <w:trHeight w:val="540"/>
          <w:jc w:val="center"/>
        </w:trPr>
        <w:tc>
          <w:tcPr>
            <w:tcW w:w="38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8599023" w14:textId="77777777" w:rsidR="004E3818" w:rsidRPr="004E3818" w:rsidRDefault="004E3818" w:rsidP="004E3818">
            <w:pPr>
              <w:rPr>
                <w:rFonts w:cs="Arial"/>
                <w:b/>
                <w:bCs/>
                <w:color w:val="000000"/>
                <w:sz w:val="20"/>
                <w:szCs w:val="20"/>
                <w:lang w:val="en-US" w:eastAsia="en-US"/>
              </w:rPr>
            </w:pPr>
            <w:r w:rsidRPr="004E3818">
              <w:rPr>
                <w:rFonts w:cs="Arial"/>
                <w:b/>
                <w:bCs/>
                <w:color w:val="000000"/>
                <w:sz w:val="20"/>
                <w:szCs w:val="20"/>
                <w:lang w:val="en-US" w:eastAsia="en-US"/>
              </w:rPr>
              <w:t>P</w:t>
            </w:r>
          </w:p>
        </w:tc>
        <w:tc>
          <w:tcPr>
            <w:tcW w:w="3179" w:type="dxa"/>
            <w:tcBorders>
              <w:top w:val="single" w:sz="4" w:space="0" w:color="auto"/>
              <w:left w:val="nil"/>
              <w:bottom w:val="single" w:sz="4" w:space="0" w:color="auto"/>
              <w:right w:val="single" w:sz="4" w:space="0" w:color="auto"/>
            </w:tcBorders>
            <w:shd w:val="clear" w:color="auto" w:fill="auto"/>
            <w:vAlign w:val="center"/>
            <w:hideMark/>
          </w:tcPr>
          <w:p w14:paraId="7EFB81E0" w14:textId="77777777" w:rsidR="004E3818" w:rsidRPr="004E3818" w:rsidRDefault="004E3818" w:rsidP="004E3818">
            <w:pPr>
              <w:rPr>
                <w:rFonts w:cs="Arial"/>
                <w:color w:val="000000"/>
                <w:sz w:val="20"/>
                <w:szCs w:val="20"/>
                <w:lang w:val="en-US" w:eastAsia="en-US"/>
              </w:rPr>
            </w:pPr>
            <w:r w:rsidRPr="004E3818">
              <w:rPr>
                <w:rFonts w:cs="Arial"/>
                <w:color w:val="000000"/>
                <w:sz w:val="20"/>
                <w:szCs w:val="20"/>
                <w:lang w:val="en-US" w:eastAsia="en-US"/>
              </w:rPr>
              <w:t>Cost of assistance</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11B2758C" w14:textId="77777777" w:rsidR="004E3818" w:rsidRPr="004E3818" w:rsidRDefault="004E3818" w:rsidP="004E3818">
            <w:pPr>
              <w:rPr>
                <w:rFonts w:cs="Arial"/>
                <w:color w:val="000000"/>
                <w:sz w:val="16"/>
                <w:szCs w:val="16"/>
                <w:lang w:val="en-US" w:eastAsia="en-US"/>
              </w:rPr>
            </w:pPr>
            <w:r w:rsidRPr="004E3818">
              <w:rPr>
                <w:rFonts w:cs="Arial"/>
                <w:color w:val="000000"/>
                <w:sz w:val="16"/>
                <w:szCs w:val="16"/>
                <w:lang w:val="en-US" w:eastAsia="en-US"/>
              </w:rPr>
              <w:fldChar w:fldCharType="begin"/>
            </w:r>
            <w:r w:rsidRPr="004E3818">
              <w:rPr>
                <w:rFonts w:cs="Arial"/>
                <w:color w:val="000000"/>
                <w:sz w:val="16"/>
                <w:szCs w:val="16"/>
                <w:lang w:val="en-US" w:eastAsia="en-US"/>
              </w:rPr>
              <w:instrText xml:space="preserve"> REF _Ref430941316 \h </w:instrText>
            </w:r>
            <w:r>
              <w:rPr>
                <w:rFonts w:cs="Arial"/>
                <w:color w:val="000000"/>
                <w:sz w:val="16"/>
                <w:szCs w:val="16"/>
                <w:lang w:val="en-US" w:eastAsia="en-US"/>
              </w:rPr>
              <w:instrText xml:space="preserve"> \* MERGEFORMAT </w:instrText>
            </w:r>
            <w:r w:rsidRPr="004E3818">
              <w:rPr>
                <w:rFonts w:cs="Arial"/>
                <w:color w:val="000000"/>
                <w:sz w:val="16"/>
                <w:szCs w:val="16"/>
                <w:lang w:val="en-US" w:eastAsia="en-US"/>
              </w:rPr>
            </w:r>
            <w:r w:rsidRPr="004E3818">
              <w:rPr>
                <w:rFonts w:cs="Arial"/>
                <w:color w:val="000000"/>
                <w:sz w:val="16"/>
                <w:szCs w:val="16"/>
                <w:lang w:val="en-US" w:eastAsia="en-US"/>
              </w:rPr>
              <w:fldChar w:fldCharType="separate"/>
            </w:r>
            <w:r w:rsidR="00016592" w:rsidRPr="00016592">
              <w:rPr>
                <w:rFonts w:cs="Arial"/>
                <w:sz w:val="16"/>
                <w:szCs w:val="16"/>
              </w:rPr>
              <w:t xml:space="preserve">Table </w:t>
            </w:r>
            <w:r w:rsidR="00016592" w:rsidRPr="00016592">
              <w:rPr>
                <w:rFonts w:cs="Arial"/>
                <w:noProof/>
                <w:sz w:val="16"/>
                <w:szCs w:val="16"/>
              </w:rPr>
              <w:t>61</w:t>
            </w:r>
            <w:r w:rsidRPr="004E3818">
              <w:rPr>
                <w:rFonts w:cs="Arial"/>
                <w:color w:val="000000"/>
                <w:sz w:val="16"/>
                <w:szCs w:val="16"/>
                <w:lang w:val="en-US" w:eastAsia="en-US"/>
              </w:rPr>
              <w:fldChar w:fldCharType="end"/>
            </w:r>
            <w:r w:rsidRPr="004E3818">
              <w:rPr>
                <w:rFonts w:cs="Arial"/>
                <w:color w:val="000000"/>
                <w:sz w:val="16"/>
                <w:szCs w:val="16"/>
                <w:lang w:val="en-US" w:eastAsia="en-US"/>
              </w:rPr>
              <w:t>, row K x AUD 375,39</w:t>
            </w:r>
          </w:p>
        </w:tc>
        <w:tc>
          <w:tcPr>
            <w:tcW w:w="1937" w:type="dxa"/>
            <w:tcBorders>
              <w:top w:val="single" w:sz="4" w:space="0" w:color="auto"/>
              <w:left w:val="nil"/>
              <w:bottom w:val="single" w:sz="8" w:space="0" w:color="auto"/>
              <w:right w:val="single" w:sz="4" w:space="0" w:color="auto"/>
            </w:tcBorders>
            <w:shd w:val="clear" w:color="auto" w:fill="auto"/>
            <w:noWrap/>
            <w:vAlign w:val="center"/>
            <w:hideMark/>
          </w:tcPr>
          <w:p w14:paraId="0654496A" w14:textId="68512A1C" w:rsidR="004E3818" w:rsidRPr="004E3818" w:rsidRDefault="004E3818" w:rsidP="00BE1424">
            <w:pPr>
              <w:rPr>
                <w:rFonts w:cs="Arial"/>
                <w:color w:val="000000"/>
                <w:sz w:val="16"/>
                <w:szCs w:val="16"/>
                <w:lang w:val="en-US" w:eastAsia="en-US"/>
              </w:rPr>
            </w:pPr>
            <w:r w:rsidRPr="004E3818">
              <w:rPr>
                <w:rFonts w:cs="Arial"/>
                <w:color w:val="000000"/>
                <w:sz w:val="16"/>
                <w:szCs w:val="16"/>
                <w:lang w:val="en-US" w:eastAsia="en-US"/>
              </w:rPr>
              <w:t xml:space="preserve"> AUD   26.653 </w:t>
            </w:r>
          </w:p>
        </w:tc>
        <w:tc>
          <w:tcPr>
            <w:tcW w:w="1462" w:type="dxa"/>
            <w:tcBorders>
              <w:top w:val="single" w:sz="4" w:space="0" w:color="auto"/>
              <w:left w:val="nil"/>
              <w:bottom w:val="single" w:sz="8" w:space="0" w:color="auto"/>
              <w:right w:val="single" w:sz="4" w:space="0" w:color="auto"/>
            </w:tcBorders>
            <w:shd w:val="clear" w:color="auto" w:fill="auto"/>
            <w:noWrap/>
            <w:vAlign w:val="center"/>
            <w:hideMark/>
          </w:tcPr>
          <w:p w14:paraId="6A911AE8" w14:textId="0CC96B29" w:rsidR="004E3818" w:rsidRPr="004E3818" w:rsidRDefault="004E3818" w:rsidP="004E3818">
            <w:pPr>
              <w:rPr>
                <w:rFonts w:cs="Arial"/>
                <w:color w:val="000000"/>
                <w:sz w:val="16"/>
                <w:szCs w:val="16"/>
                <w:lang w:val="en-US" w:eastAsia="en-US"/>
              </w:rPr>
            </w:pPr>
            <w:r w:rsidRPr="004E3818">
              <w:rPr>
                <w:rFonts w:cs="Arial"/>
                <w:color w:val="000000"/>
                <w:sz w:val="16"/>
                <w:szCs w:val="16"/>
                <w:lang w:val="en-US" w:eastAsia="en-US"/>
              </w:rPr>
              <w:t xml:space="preserve"> AUD   27.028 </w:t>
            </w:r>
          </w:p>
        </w:tc>
        <w:tc>
          <w:tcPr>
            <w:tcW w:w="1399" w:type="dxa"/>
            <w:tcBorders>
              <w:top w:val="single" w:sz="4" w:space="0" w:color="auto"/>
              <w:left w:val="nil"/>
              <w:bottom w:val="single" w:sz="8" w:space="0" w:color="auto"/>
              <w:right w:val="single" w:sz="4" w:space="0" w:color="auto"/>
            </w:tcBorders>
            <w:shd w:val="clear" w:color="auto" w:fill="auto"/>
            <w:noWrap/>
            <w:vAlign w:val="center"/>
            <w:hideMark/>
          </w:tcPr>
          <w:p w14:paraId="5BC22759" w14:textId="2620C875" w:rsidR="004E3818" w:rsidRPr="004E3818" w:rsidRDefault="004E3818" w:rsidP="004E3818">
            <w:pPr>
              <w:rPr>
                <w:rFonts w:cs="Arial"/>
                <w:color w:val="000000"/>
                <w:sz w:val="16"/>
                <w:szCs w:val="16"/>
                <w:lang w:val="en-US" w:eastAsia="en-US"/>
              </w:rPr>
            </w:pPr>
            <w:r w:rsidRPr="004E3818">
              <w:rPr>
                <w:rFonts w:cs="Arial"/>
                <w:color w:val="000000"/>
                <w:sz w:val="16"/>
                <w:szCs w:val="16"/>
                <w:lang w:val="en-US" w:eastAsia="en-US"/>
              </w:rPr>
              <w:t xml:space="preserve"> AUD   27.779 </w:t>
            </w:r>
          </w:p>
        </w:tc>
        <w:tc>
          <w:tcPr>
            <w:tcW w:w="1399" w:type="dxa"/>
            <w:tcBorders>
              <w:top w:val="single" w:sz="4" w:space="0" w:color="auto"/>
              <w:left w:val="nil"/>
              <w:bottom w:val="single" w:sz="8" w:space="0" w:color="auto"/>
              <w:right w:val="single" w:sz="4" w:space="0" w:color="auto"/>
            </w:tcBorders>
            <w:shd w:val="clear" w:color="auto" w:fill="auto"/>
            <w:noWrap/>
            <w:vAlign w:val="center"/>
            <w:hideMark/>
          </w:tcPr>
          <w:p w14:paraId="426C5ED8" w14:textId="52B6EBB2" w:rsidR="004E3818" w:rsidRPr="004E3818" w:rsidRDefault="004E3818" w:rsidP="004E3818">
            <w:pPr>
              <w:rPr>
                <w:rFonts w:cs="Arial"/>
                <w:color w:val="000000"/>
                <w:sz w:val="16"/>
                <w:szCs w:val="16"/>
                <w:lang w:val="en-US" w:eastAsia="en-US"/>
              </w:rPr>
            </w:pPr>
            <w:r w:rsidRPr="004E3818">
              <w:rPr>
                <w:rFonts w:cs="Arial"/>
                <w:color w:val="000000"/>
                <w:sz w:val="16"/>
                <w:szCs w:val="16"/>
                <w:lang w:val="en-US" w:eastAsia="en-US"/>
              </w:rPr>
              <w:t xml:space="preserve"> AUD   28.154 </w:t>
            </w:r>
          </w:p>
        </w:tc>
        <w:tc>
          <w:tcPr>
            <w:tcW w:w="1399" w:type="dxa"/>
            <w:tcBorders>
              <w:top w:val="single" w:sz="4" w:space="0" w:color="auto"/>
              <w:left w:val="nil"/>
              <w:bottom w:val="single" w:sz="8" w:space="0" w:color="auto"/>
              <w:right w:val="single" w:sz="4" w:space="0" w:color="auto"/>
            </w:tcBorders>
            <w:shd w:val="clear" w:color="auto" w:fill="auto"/>
            <w:noWrap/>
            <w:vAlign w:val="center"/>
            <w:hideMark/>
          </w:tcPr>
          <w:p w14:paraId="527F5252" w14:textId="2B5776B0" w:rsidR="004E3818" w:rsidRPr="004E3818" w:rsidRDefault="004E3818" w:rsidP="004E3818">
            <w:pPr>
              <w:rPr>
                <w:rFonts w:cs="Arial"/>
                <w:color w:val="000000"/>
                <w:sz w:val="16"/>
                <w:szCs w:val="16"/>
                <w:lang w:val="en-US" w:eastAsia="en-US"/>
              </w:rPr>
            </w:pPr>
            <w:r w:rsidRPr="004E3818">
              <w:rPr>
                <w:rFonts w:cs="Arial"/>
                <w:color w:val="000000"/>
                <w:sz w:val="16"/>
                <w:szCs w:val="16"/>
                <w:lang w:val="en-US" w:eastAsia="en-US"/>
              </w:rPr>
              <w:t xml:space="preserve"> AUD</w:t>
            </w:r>
            <w:r w:rsidR="00BE1424">
              <w:rPr>
                <w:rFonts w:cs="Arial"/>
                <w:color w:val="000000"/>
                <w:sz w:val="16"/>
                <w:szCs w:val="16"/>
                <w:lang w:val="en-US" w:eastAsia="en-US"/>
              </w:rPr>
              <w:t xml:space="preserve">  </w:t>
            </w:r>
            <w:r w:rsidRPr="004E3818">
              <w:rPr>
                <w:rFonts w:cs="Arial"/>
                <w:color w:val="000000"/>
                <w:sz w:val="16"/>
                <w:szCs w:val="16"/>
                <w:lang w:val="en-US" w:eastAsia="en-US"/>
              </w:rPr>
              <w:t xml:space="preserve"> 28.530 </w:t>
            </w:r>
          </w:p>
        </w:tc>
        <w:tc>
          <w:tcPr>
            <w:tcW w:w="1399" w:type="dxa"/>
            <w:tcBorders>
              <w:top w:val="single" w:sz="4" w:space="0" w:color="auto"/>
              <w:left w:val="nil"/>
              <w:bottom w:val="single" w:sz="8" w:space="0" w:color="auto"/>
              <w:right w:val="single" w:sz="8" w:space="0" w:color="auto"/>
            </w:tcBorders>
            <w:shd w:val="clear" w:color="auto" w:fill="auto"/>
            <w:noWrap/>
            <w:vAlign w:val="center"/>
            <w:hideMark/>
          </w:tcPr>
          <w:p w14:paraId="7985E30F" w14:textId="55710C63" w:rsidR="004E3818" w:rsidRPr="004E3818" w:rsidRDefault="004E3818" w:rsidP="004E3818">
            <w:pPr>
              <w:rPr>
                <w:rFonts w:cs="Arial"/>
                <w:color w:val="000000"/>
                <w:sz w:val="16"/>
                <w:szCs w:val="16"/>
                <w:lang w:val="en-US" w:eastAsia="en-US"/>
              </w:rPr>
            </w:pPr>
            <w:r w:rsidRPr="004E3818">
              <w:rPr>
                <w:rFonts w:cs="Arial"/>
                <w:color w:val="000000"/>
                <w:sz w:val="16"/>
                <w:szCs w:val="16"/>
                <w:lang w:val="en-US" w:eastAsia="en-US"/>
              </w:rPr>
              <w:t xml:space="preserve"> AUD   28.905 </w:t>
            </w:r>
          </w:p>
        </w:tc>
      </w:tr>
      <w:tr w:rsidR="004E3818" w:rsidRPr="004E3818" w14:paraId="7A789183" w14:textId="77777777" w:rsidTr="00BF0EEF">
        <w:trPr>
          <w:trHeight w:val="600"/>
          <w:jc w:val="center"/>
        </w:trPr>
        <w:tc>
          <w:tcPr>
            <w:tcW w:w="380" w:type="dxa"/>
            <w:tcBorders>
              <w:top w:val="nil"/>
              <w:left w:val="single" w:sz="8" w:space="0" w:color="auto"/>
              <w:bottom w:val="single" w:sz="8" w:space="0" w:color="auto"/>
              <w:right w:val="single" w:sz="4" w:space="0" w:color="auto"/>
            </w:tcBorders>
            <w:shd w:val="clear" w:color="000000" w:fill="C5D9F1"/>
            <w:noWrap/>
            <w:vAlign w:val="center"/>
            <w:hideMark/>
          </w:tcPr>
          <w:p w14:paraId="53C2AAC6" w14:textId="77777777" w:rsidR="004E3818" w:rsidRPr="004E3818" w:rsidRDefault="004E3818" w:rsidP="004E3818">
            <w:pPr>
              <w:rPr>
                <w:rFonts w:cs="Arial"/>
                <w:b/>
                <w:bCs/>
                <w:color w:val="000000"/>
                <w:sz w:val="20"/>
                <w:szCs w:val="20"/>
                <w:lang w:val="en-US" w:eastAsia="en-US"/>
              </w:rPr>
            </w:pPr>
            <w:r w:rsidRPr="004E3818">
              <w:rPr>
                <w:rFonts w:cs="Arial"/>
                <w:b/>
                <w:bCs/>
                <w:color w:val="000000"/>
                <w:sz w:val="20"/>
                <w:szCs w:val="20"/>
                <w:lang w:val="en-US" w:eastAsia="en-US"/>
              </w:rPr>
              <w:t>Q</w:t>
            </w:r>
          </w:p>
        </w:tc>
        <w:tc>
          <w:tcPr>
            <w:tcW w:w="3179" w:type="dxa"/>
            <w:tcBorders>
              <w:top w:val="nil"/>
              <w:left w:val="nil"/>
              <w:bottom w:val="single" w:sz="8" w:space="0" w:color="auto"/>
              <w:right w:val="single" w:sz="4" w:space="0" w:color="auto"/>
            </w:tcBorders>
            <w:shd w:val="clear" w:color="000000" w:fill="C5D9F1"/>
            <w:vAlign w:val="center"/>
            <w:hideMark/>
          </w:tcPr>
          <w:p w14:paraId="6E1E5B06" w14:textId="77777777" w:rsidR="004E3818" w:rsidRPr="004E3818" w:rsidRDefault="004E3818" w:rsidP="004E3818">
            <w:pPr>
              <w:rPr>
                <w:rFonts w:cs="Arial"/>
                <w:color w:val="000000"/>
                <w:sz w:val="20"/>
                <w:szCs w:val="20"/>
                <w:lang w:val="en-US" w:eastAsia="en-US"/>
              </w:rPr>
            </w:pPr>
            <w:r w:rsidRPr="004E3818">
              <w:rPr>
                <w:rFonts w:cs="Arial"/>
                <w:color w:val="000000"/>
                <w:sz w:val="20"/>
                <w:szCs w:val="20"/>
                <w:lang w:val="en-US" w:eastAsia="en-US"/>
              </w:rPr>
              <w:t>Total cost to MBS of associated items</w:t>
            </w:r>
          </w:p>
        </w:tc>
        <w:tc>
          <w:tcPr>
            <w:tcW w:w="1559" w:type="dxa"/>
            <w:tcBorders>
              <w:top w:val="nil"/>
              <w:left w:val="nil"/>
              <w:bottom w:val="single" w:sz="8" w:space="0" w:color="auto"/>
              <w:right w:val="single" w:sz="4" w:space="0" w:color="auto"/>
            </w:tcBorders>
            <w:shd w:val="clear" w:color="000000" w:fill="C5D9F1"/>
            <w:vAlign w:val="center"/>
            <w:hideMark/>
          </w:tcPr>
          <w:p w14:paraId="1D96E101" w14:textId="77777777" w:rsidR="004E3818" w:rsidRPr="004E3818" w:rsidRDefault="004E3818" w:rsidP="004E3818">
            <w:pPr>
              <w:rPr>
                <w:rFonts w:cs="Arial"/>
                <w:color w:val="000000"/>
                <w:sz w:val="16"/>
                <w:szCs w:val="16"/>
                <w:lang w:val="en-US" w:eastAsia="en-US"/>
              </w:rPr>
            </w:pPr>
            <w:r w:rsidRPr="004E3818">
              <w:rPr>
                <w:rFonts w:cs="Arial"/>
                <w:color w:val="000000"/>
                <w:sz w:val="16"/>
                <w:szCs w:val="16"/>
                <w:lang w:val="en-US" w:eastAsia="en-US"/>
              </w:rPr>
              <w:t>N + O + P</w:t>
            </w:r>
          </w:p>
        </w:tc>
        <w:tc>
          <w:tcPr>
            <w:tcW w:w="1937" w:type="dxa"/>
            <w:tcBorders>
              <w:top w:val="single" w:sz="4" w:space="0" w:color="auto"/>
              <w:left w:val="nil"/>
              <w:bottom w:val="single" w:sz="8" w:space="0" w:color="auto"/>
              <w:right w:val="single" w:sz="4" w:space="0" w:color="auto"/>
            </w:tcBorders>
            <w:shd w:val="clear" w:color="000000" w:fill="C5D9F1"/>
            <w:noWrap/>
            <w:vAlign w:val="center"/>
            <w:hideMark/>
          </w:tcPr>
          <w:p w14:paraId="4042A586" w14:textId="448D437B" w:rsidR="004E3818" w:rsidRPr="004E3818" w:rsidRDefault="004E3818" w:rsidP="004E3818">
            <w:pPr>
              <w:rPr>
                <w:rFonts w:cs="Arial"/>
                <w:color w:val="000000"/>
                <w:sz w:val="16"/>
                <w:szCs w:val="16"/>
                <w:lang w:val="en-US" w:eastAsia="en-US"/>
              </w:rPr>
            </w:pPr>
            <w:r w:rsidRPr="004E3818">
              <w:rPr>
                <w:rFonts w:cs="Arial"/>
                <w:color w:val="000000"/>
                <w:sz w:val="16"/>
                <w:szCs w:val="16"/>
                <w:lang w:val="en-US" w:eastAsia="en-US"/>
              </w:rPr>
              <w:t xml:space="preserve"> AUD   78.170 </w:t>
            </w:r>
          </w:p>
        </w:tc>
        <w:tc>
          <w:tcPr>
            <w:tcW w:w="1462" w:type="dxa"/>
            <w:tcBorders>
              <w:top w:val="single" w:sz="4" w:space="0" w:color="auto"/>
              <w:left w:val="nil"/>
              <w:bottom w:val="single" w:sz="8" w:space="0" w:color="auto"/>
              <w:right w:val="single" w:sz="4" w:space="0" w:color="auto"/>
            </w:tcBorders>
            <w:shd w:val="clear" w:color="000000" w:fill="C5D9F1"/>
            <w:noWrap/>
            <w:vAlign w:val="center"/>
            <w:hideMark/>
          </w:tcPr>
          <w:p w14:paraId="57D4EE6E" w14:textId="7A6294A8" w:rsidR="004E3818" w:rsidRPr="004E3818" w:rsidRDefault="004E3818" w:rsidP="004E3818">
            <w:pPr>
              <w:rPr>
                <w:rFonts w:cs="Arial"/>
                <w:color w:val="000000"/>
                <w:sz w:val="16"/>
                <w:szCs w:val="16"/>
                <w:lang w:val="en-US" w:eastAsia="en-US"/>
              </w:rPr>
            </w:pPr>
            <w:r w:rsidRPr="004E3818">
              <w:rPr>
                <w:rFonts w:cs="Arial"/>
                <w:color w:val="000000"/>
                <w:sz w:val="16"/>
                <w:szCs w:val="16"/>
                <w:lang w:val="en-US" w:eastAsia="en-US"/>
              </w:rPr>
              <w:t xml:space="preserve"> AUD   79.271 </w:t>
            </w:r>
          </w:p>
        </w:tc>
        <w:tc>
          <w:tcPr>
            <w:tcW w:w="1399" w:type="dxa"/>
            <w:tcBorders>
              <w:top w:val="single" w:sz="4" w:space="0" w:color="auto"/>
              <w:left w:val="nil"/>
              <w:bottom w:val="single" w:sz="8" w:space="0" w:color="auto"/>
              <w:right w:val="single" w:sz="4" w:space="0" w:color="auto"/>
            </w:tcBorders>
            <w:shd w:val="clear" w:color="000000" w:fill="C5D9F1"/>
            <w:noWrap/>
            <w:vAlign w:val="center"/>
            <w:hideMark/>
          </w:tcPr>
          <w:p w14:paraId="1ECBC941" w14:textId="6A21C103" w:rsidR="004E3818" w:rsidRPr="004E3818" w:rsidRDefault="004E3818" w:rsidP="004E3818">
            <w:pPr>
              <w:rPr>
                <w:rFonts w:cs="Arial"/>
                <w:color w:val="000000"/>
                <w:sz w:val="16"/>
                <w:szCs w:val="16"/>
                <w:lang w:val="en-US" w:eastAsia="en-US"/>
              </w:rPr>
            </w:pPr>
            <w:r w:rsidRPr="004E3818">
              <w:rPr>
                <w:rFonts w:cs="Arial"/>
                <w:color w:val="000000"/>
                <w:sz w:val="16"/>
                <w:szCs w:val="16"/>
                <w:lang w:val="en-US" w:eastAsia="en-US"/>
              </w:rPr>
              <w:t xml:space="preserve"> AUD</w:t>
            </w:r>
            <w:r w:rsidR="00BE1424">
              <w:rPr>
                <w:rFonts w:cs="Arial"/>
                <w:color w:val="000000"/>
                <w:sz w:val="16"/>
                <w:szCs w:val="16"/>
                <w:lang w:val="en-US" w:eastAsia="en-US"/>
              </w:rPr>
              <w:t xml:space="preserve">  </w:t>
            </w:r>
            <w:r w:rsidRPr="004E3818">
              <w:rPr>
                <w:rFonts w:cs="Arial"/>
                <w:color w:val="000000"/>
                <w:sz w:val="16"/>
                <w:szCs w:val="16"/>
                <w:lang w:val="en-US" w:eastAsia="en-US"/>
              </w:rPr>
              <w:t xml:space="preserve"> 81.473 </w:t>
            </w:r>
          </w:p>
        </w:tc>
        <w:tc>
          <w:tcPr>
            <w:tcW w:w="1399" w:type="dxa"/>
            <w:tcBorders>
              <w:top w:val="single" w:sz="4" w:space="0" w:color="auto"/>
              <w:left w:val="nil"/>
              <w:bottom w:val="single" w:sz="8" w:space="0" w:color="auto"/>
              <w:right w:val="single" w:sz="4" w:space="0" w:color="auto"/>
            </w:tcBorders>
            <w:shd w:val="clear" w:color="000000" w:fill="C5D9F1"/>
            <w:noWrap/>
            <w:vAlign w:val="center"/>
            <w:hideMark/>
          </w:tcPr>
          <w:p w14:paraId="0AF48D8C" w14:textId="29F3E27C" w:rsidR="004E3818" w:rsidRPr="004E3818" w:rsidRDefault="004E3818" w:rsidP="004E3818">
            <w:pPr>
              <w:rPr>
                <w:rFonts w:cs="Arial"/>
                <w:color w:val="000000"/>
                <w:sz w:val="16"/>
                <w:szCs w:val="16"/>
                <w:lang w:val="en-US" w:eastAsia="en-US"/>
              </w:rPr>
            </w:pPr>
            <w:r w:rsidRPr="004E3818">
              <w:rPr>
                <w:rFonts w:cs="Arial"/>
                <w:color w:val="000000"/>
                <w:sz w:val="16"/>
                <w:szCs w:val="16"/>
                <w:lang w:val="en-US" w:eastAsia="en-US"/>
              </w:rPr>
              <w:t xml:space="preserve"> AUD</w:t>
            </w:r>
            <w:r w:rsidR="00BE1424">
              <w:rPr>
                <w:rFonts w:cs="Arial"/>
                <w:color w:val="000000"/>
                <w:sz w:val="16"/>
                <w:szCs w:val="16"/>
                <w:lang w:val="en-US" w:eastAsia="en-US"/>
              </w:rPr>
              <w:t xml:space="preserve">  </w:t>
            </w:r>
            <w:r w:rsidRPr="004E3818">
              <w:rPr>
                <w:rFonts w:cs="Arial"/>
                <w:color w:val="000000"/>
                <w:sz w:val="16"/>
                <w:szCs w:val="16"/>
                <w:lang w:val="en-US" w:eastAsia="en-US"/>
              </w:rPr>
              <w:t xml:space="preserve"> 82.574 </w:t>
            </w:r>
          </w:p>
        </w:tc>
        <w:tc>
          <w:tcPr>
            <w:tcW w:w="1399" w:type="dxa"/>
            <w:tcBorders>
              <w:top w:val="single" w:sz="4" w:space="0" w:color="auto"/>
              <w:left w:val="nil"/>
              <w:bottom w:val="single" w:sz="8" w:space="0" w:color="auto"/>
              <w:right w:val="single" w:sz="4" w:space="0" w:color="auto"/>
            </w:tcBorders>
            <w:shd w:val="clear" w:color="000000" w:fill="C5D9F1"/>
            <w:noWrap/>
            <w:vAlign w:val="center"/>
            <w:hideMark/>
          </w:tcPr>
          <w:p w14:paraId="62E6D98C" w14:textId="0C4476D5" w:rsidR="004E3818" w:rsidRPr="004E3818" w:rsidRDefault="004E3818" w:rsidP="004E3818">
            <w:pPr>
              <w:rPr>
                <w:rFonts w:cs="Arial"/>
                <w:color w:val="000000"/>
                <w:sz w:val="16"/>
                <w:szCs w:val="16"/>
                <w:lang w:val="en-US" w:eastAsia="en-US"/>
              </w:rPr>
            </w:pPr>
            <w:r w:rsidRPr="004E3818">
              <w:rPr>
                <w:rFonts w:cs="Arial"/>
                <w:color w:val="000000"/>
                <w:sz w:val="16"/>
                <w:szCs w:val="16"/>
                <w:lang w:val="en-US" w:eastAsia="en-US"/>
              </w:rPr>
              <w:t xml:space="preserve"> AUD   83.675 </w:t>
            </w:r>
          </w:p>
        </w:tc>
        <w:tc>
          <w:tcPr>
            <w:tcW w:w="1399" w:type="dxa"/>
            <w:tcBorders>
              <w:top w:val="single" w:sz="4" w:space="0" w:color="auto"/>
              <w:left w:val="nil"/>
              <w:bottom w:val="single" w:sz="8" w:space="0" w:color="auto"/>
              <w:right w:val="single" w:sz="8" w:space="0" w:color="auto"/>
            </w:tcBorders>
            <w:shd w:val="clear" w:color="000000" w:fill="C5D9F1"/>
            <w:noWrap/>
            <w:vAlign w:val="center"/>
            <w:hideMark/>
          </w:tcPr>
          <w:p w14:paraId="4D34B7B6" w14:textId="50C6EE74" w:rsidR="004E3818" w:rsidRPr="004E3818" w:rsidRDefault="004E3818" w:rsidP="004E3818">
            <w:pPr>
              <w:rPr>
                <w:rFonts w:cs="Arial"/>
                <w:color w:val="000000"/>
                <w:sz w:val="16"/>
                <w:szCs w:val="16"/>
                <w:lang w:val="en-US" w:eastAsia="en-US"/>
              </w:rPr>
            </w:pPr>
            <w:r w:rsidRPr="004E3818">
              <w:rPr>
                <w:rFonts w:cs="Arial"/>
                <w:color w:val="000000"/>
                <w:sz w:val="16"/>
                <w:szCs w:val="16"/>
                <w:lang w:val="en-US" w:eastAsia="en-US"/>
              </w:rPr>
              <w:t xml:space="preserve"> AUD</w:t>
            </w:r>
            <w:r w:rsidR="00BE1424">
              <w:rPr>
                <w:rFonts w:cs="Arial"/>
                <w:color w:val="000000"/>
                <w:sz w:val="16"/>
                <w:szCs w:val="16"/>
                <w:lang w:val="en-US" w:eastAsia="en-US"/>
              </w:rPr>
              <w:t xml:space="preserve"> </w:t>
            </w:r>
            <w:r w:rsidRPr="004E3818">
              <w:rPr>
                <w:rFonts w:cs="Arial"/>
                <w:color w:val="000000"/>
                <w:sz w:val="16"/>
                <w:szCs w:val="16"/>
                <w:lang w:val="en-US" w:eastAsia="en-US"/>
              </w:rPr>
              <w:t xml:space="preserve">  84.776 </w:t>
            </w:r>
          </w:p>
        </w:tc>
      </w:tr>
      <w:tr w:rsidR="004E3818" w:rsidRPr="004E3818" w14:paraId="07F730EA" w14:textId="77777777" w:rsidTr="00BF0EEF">
        <w:trPr>
          <w:trHeight w:val="540"/>
          <w:jc w:val="center"/>
        </w:trPr>
        <w:tc>
          <w:tcPr>
            <w:tcW w:w="38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E734AF8" w14:textId="77777777" w:rsidR="004E3818" w:rsidRPr="004E3818" w:rsidRDefault="004E3818" w:rsidP="004E3818">
            <w:pPr>
              <w:rPr>
                <w:rFonts w:cs="Arial"/>
                <w:b/>
                <w:bCs/>
                <w:color w:val="000000"/>
                <w:sz w:val="20"/>
                <w:szCs w:val="20"/>
                <w:lang w:val="en-US" w:eastAsia="en-US"/>
              </w:rPr>
            </w:pPr>
            <w:r w:rsidRPr="004E3818">
              <w:rPr>
                <w:rFonts w:cs="Arial"/>
                <w:b/>
                <w:bCs/>
                <w:color w:val="000000"/>
                <w:sz w:val="20"/>
                <w:szCs w:val="20"/>
                <w:lang w:val="en-US" w:eastAsia="en-US"/>
              </w:rPr>
              <w:t> </w:t>
            </w:r>
          </w:p>
        </w:tc>
        <w:tc>
          <w:tcPr>
            <w:tcW w:w="13733" w:type="dxa"/>
            <w:gridSpan w:val="8"/>
            <w:tcBorders>
              <w:top w:val="single" w:sz="4" w:space="0" w:color="auto"/>
              <w:left w:val="single" w:sz="4" w:space="0" w:color="auto"/>
              <w:bottom w:val="single" w:sz="4" w:space="0" w:color="auto"/>
              <w:right w:val="single" w:sz="8" w:space="0" w:color="000000"/>
            </w:tcBorders>
            <w:shd w:val="clear" w:color="auto" w:fill="auto"/>
            <w:vAlign w:val="center"/>
            <w:hideMark/>
          </w:tcPr>
          <w:p w14:paraId="280FFA04" w14:textId="77777777" w:rsidR="004E3818" w:rsidRPr="004E3818" w:rsidRDefault="004E3818" w:rsidP="004E3818">
            <w:pPr>
              <w:rPr>
                <w:rFonts w:cs="Arial"/>
                <w:b/>
                <w:bCs/>
                <w:color w:val="000000"/>
                <w:sz w:val="16"/>
                <w:szCs w:val="16"/>
                <w:lang w:val="en-US" w:eastAsia="en-US"/>
              </w:rPr>
            </w:pPr>
            <w:r w:rsidRPr="004E3818">
              <w:rPr>
                <w:rFonts w:cs="Arial"/>
                <w:b/>
                <w:bCs/>
                <w:color w:val="000000"/>
                <w:sz w:val="16"/>
                <w:szCs w:val="16"/>
                <w:lang w:val="en-US" w:eastAsia="en-US"/>
              </w:rPr>
              <w:t>Maxum/Soundtec</w:t>
            </w:r>
          </w:p>
        </w:tc>
      </w:tr>
      <w:tr w:rsidR="004E3818" w:rsidRPr="004E3818" w14:paraId="72CE55ED" w14:textId="77777777" w:rsidTr="00BF0EEF">
        <w:trPr>
          <w:trHeight w:val="870"/>
          <w:jc w:val="center"/>
        </w:trPr>
        <w:tc>
          <w:tcPr>
            <w:tcW w:w="380" w:type="dxa"/>
            <w:tcBorders>
              <w:top w:val="nil"/>
              <w:left w:val="single" w:sz="8" w:space="0" w:color="auto"/>
              <w:bottom w:val="single" w:sz="8" w:space="0" w:color="auto"/>
              <w:right w:val="single" w:sz="4" w:space="0" w:color="auto"/>
            </w:tcBorders>
            <w:shd w:val="clear" w:color="auto" w:fill="auto"/>
            <w:noWrap/>
            <w:vAlign w:val="center"/>
            <w:hideMark/>
          </w:tcPr>
          <w:p w14:paraId="311C4319" w14:textId="77777777" w:rsidR="004E3818" w:rsidRPr="004E3818" w:rsidRDefault="004E3818" w:rsidP="004E3818">
            <w:pPr>
              <w:rPr>
                <w:rFonts w:cs="Arial"/>
                <w:b/>
                <w:bCs/>
                <w:color w:val="000000"/>
                <w:sz w:val="20"/>
                <w:szCs w:val="20"/>
                <w:lang w:val="en-US" w:eastAsia="en-US"/>
              </w:rPr>
            </w:pPr>
            <w:r w:rsidRPr="004E3818">
              <w:rPr>
                <w:rFonts w:cs="Arial"/>
                <w:b/>
                <w:bCs/>
                <w:color w:val="000000"/>
                <w:sz w:val="20"/>
                <w:szCs w:val="20"/>
                <w:lang w:val="en-US" w:eastAsia="en-US"/>
              </w:rPr>
              <w:t>R</w:t>
            </w:r>
          </w:p>
        </w:tc>
        <w:tc>
          <w:tcPr>
            <w:tcW w:w="3179" w:type="dxa"/>
            <w:tcBorders>
              <w:top w:val="nil"/>
              <w:left w:val="nil"/>
              <w:bottom w:val="single" w:sz="8" w:space="0" w:color="auto"/>
              <w:right w:val="single" w:sz="4" w:space="0" w:color="auto"/>
            </w:tcBorders>
            <w:shd w:val="clear" w:color="auto" w:fill="auto"/>
            <w:vAlign w:val="center"/>
            <w:hideMark/>
          </w:tcPr>
          <w:p w14:paraId="2446D181" w14:textId="77777777" w:rsidR="004E3818" w:rsidRPr="004E3818" w:rsidRDefault="004E3818" w:rsidP="004E3818">
            <w:pPr>
              <w:rPr>
                <w:rFonts w:cs="Arial"/>
                <w:color w:val="000000"/>
                <w:sz w:val="20"/>
                <w:szCs w:val="20"/>
                <w:lang w:val="en-US" w:eastAsia="en-US"/>
              </w:rPr>
            </w:pPr>
            <w:r w:rsidRPr="004E3818">
              <w:rPr>
                <w:rFonts w:cs="Arial"/>
                <w:color w:val="000000"/>
                <w:sz w:val="20"/>
                <w:szCs w:val="20"/>
                <w:lang w:val="en-US" w:eastAsia="en-US"/>
              </w:rPr>
              <w:t>Cost of anaesthesia (initiation &amp; perfusion; MBS items 20225 &amp; 23032)</w:t>
            </w:r>
          </w:p>
        </w:tc>
        <w:tc>
          <w:tcPr>
            <w:tcW w:w="1559" w:type="dxa"/>
            <w:tcBorders>
              <w:top w:val="nil"/>
              <w:left w:val="nil"/>
              <w:bottom w:val="single" w:sz="8" w:space="0" w:color="auto"/>
              <w:right w:val="single" w:sz="4" w:space="0" w:color="auto"/>
            </w:tcBorders>
            <w:shd w:val="clear" w:color="auto" w:fill="auto"/>
            <w:vAlign w:val="center"/>
            <w:hideMark/>
          </w:tcPr>
          <w:p w14:paraId="4BDFF6EA" w14:textId="77777777" w:rsidR="004E3818" w:rsidRPr="004E3818" w:rsidRDefault="004E3818" w:rsidP="004E3818">
            <w:pPr>
              <w:rPr>
                <w:rFonts w:cs="Arial"/>
                <w:color w:val="000000"/>
                <w:sz w:val="16"/>
                <w:szCs w:val="16"/>
                <w:lang w:val="en-US" w:eastAsia="en-US"/>
              </w:rPr>
            </w:pPr>
            <w:r w:rsidRPr="004E3818">
              <w:rPr>
                <w:rFonts w:cs="Arial"/>
                <w:color w:val="000000"/>
                <w:sz w:val="16"/>
                <w:szCs w:val="16"/>
                <w:lang w:val="en-US" w:eastAsia="en-US"/>
              </w:rPr>
              <w:fldChar w:fldCharType="begin"/>
            </w:r>
            <w:r w:rsidRPr="004E3818">
              <w:rPr>
                <w:rFonts w:cs="Arial"/>
                <w:color w:val="000000"/>
                <w:sz w:val="16"/>
                <w:szCs w:val="16"/>
                <w:lang w:val="en-US" w:eastAsia="en-US"/>
              </w:rPr>
              <w:instrText xml:space="preserve"> REF _Ref430941316 \h </w:instrText>
            </w:r>
            <w:r>
              <w:rPr>
                <w:rFonts w:cs="Arial"/>
                <w:color w:val="000000"/>
                <w:sz w:val="16"/>
                <w:szCs w:val="16"/>
                <w:lang w:val="en-US" w:eastAsia="en-US"/>
              </w:rPr>
              <w:instrText xml:space="preserve"> \* MERGEFORMAT </w:instrText>
            </w:r>
            <w:r w:rsidRPr="004E3818">
              <w:rPr>
                <w:rFonts w:cs="Arial"/>
                <w:color w:val="000000"/>
                <w:sz w:val="16"/>
                <w:szCs w:val="16"/>
                <w:lang w:val="en-US" w:eastAsia="en-US"/>
              </w:rPr>
            </w:r>
            <w:r w:rsidRPr="004E3818">
              <w:rPr>
                <w:rFonts w:cs="Arial"/>
                <w:color w:val="000000"/>
                <w:sz w:val="16"/>
                <w:szCs w:val="16"/>
                <w:lang w:val="en-US" w:eastAsia="en-US"/>
              </w:rPr>
              <w:fldChar w:fldCharType="separate"/>
            </w:r>
            <w:r w:rsidR="00016592" w:rsidRPr="00016592">
              <w:rPr>
                <w:rFonts w:cs="Arial"/>
                <w:sz w:val="16"/>
                <w:szCs w:val="16"/>
              </w:rPr>
              <w:t xml:space="preserve">Table </w:t>
            </w:r>
            <w:r w:rsidR="00016592" w:rsidRPr="00016592">
              <w:rPr>
                <w:rFonts w:cs="Arial"/>
                <w:noProof/>
                <w:sz w:val="16"/>
                <w:szCs w:val="16"/>
              </w:rPr>
              <w:t>61</w:t>
            </w:r>
            <w:r w:rsidRPr="004E3818">
              <w:rPr>
                <w:rFonts w:cs="Arial"/>
                <w:color w:val="000000"/>
                <w:sz w:val="16"/>
                <w:szCs w:val="16"/>
                <w:lang w:val="en-US" w:eastAsia="en-US"/>
              </w:rPr>
              <w:fldChar w:fldCharType="end"/>
            </w:r>
            <w:r w:rsidRPr="004E3818">
              <w:rPr>
                <w:rFonts w:cs="Arial"/>
                <w:color w:val="000000"/>
                <w:sz w:val="16"/>
                <w:szCs w:val="16"/>
                <w:lang w:val="en-US" w:eastAsia="en-US"/>
              </w:rPr>
              <w:t>, row K x AUD 297,00</w:t>
            </w:r>
          </w:p>
        </w:tc>
        <w:tc>
          <w:tcPr>
            <w:tcW w:w="1937" w:type="dxa"/>
            <w:tcBorders>
              <w:top w:val="nil"/>
              <w:left w:val="nil"/>
              <w:bottom w:val="single" w:sz="8" w:space="0" w:color="auto"/>
              <w:right w:val="single" w:sz="4" w:space="0" w:color="auto"/>
            </w:tcBorders>
            <w:shd w:val="clear" w:color="auto" w:fill="auto"/>
            <w:noWrap/>
            <w:vAlign w:val="center"/>
            <w:hideMark/>
          </w:tcPr>
          <w:p w14:paraId="6A10398F" w14:textId="1D1B0DE9" w:rsidR="004E3818" w:rsidRPr="004E3818" w:rsidRDefault="004E3818" w:rsidP="004E3818">
            <w:pPr>
              <w:rPr>
                <w:rFonts w:cs="Arial"/>
                <w:color w:val="000000"/>
                <w:sz w:val="16"/>
                <w:szCs w:val="16"/>
                <w:lang w:val="en-US" w:eastAsia="en-US"/>
              </w:rPr>
            </w:pPr>
            <w:r w:rsidRPr="004E3818">
              <w:rPr>
                <w:rFonts w:cs="Arial"/>
                <w:color w:val="000000"/>
                <w:sz w:val="16"/>
                <w:szCs w:val="16"/>
                <w:lang w:val="en-US" w:eastAsia="en-US"/>
              </w:rPr>
              <w:t xml:space="preserve"> AUD   21.087 </w:t>
            </w:r>
          </w:p>
        </w:tc>
        <w:tc>
          <w:tcPr>
            <w:tcW w:w="1462" w:type="dxa"/>
            <w:tcBorders>
              <w:top w:val="nil"/>
              <w:left w:val="nil"/>
              <w:bottom w:val="single" w:sz="8" w:space="0" w:color="auto"/>
              <w:right w:val="single" w:sz="4" w:space="0" w:color="auto"/>
            </w:tcBorders>
            <w:shd w:val="clear" w:color="auto" w:fill="auto"/>
            <w:noWrap/>
            <w:vAlign w:val="center"/>
            <w:hideMark/>
          </w:tcPr>
          <w:p w14:paraId="0B7D18E4" w14:textId="31F174F1" w:rsidR="004E3818" w:rsidRPr="004E3818" w:rsidRDefault="004E3818" w:rsidP="004E3818">
            <w:pPr>
              <w:rPr>
                <w:rFonts w:cs="Arial"/>
                <w:color w:val="000000"/>
                <w:sz w:val="16"/>
                <w:szCs w:val="16"/>
                <w:lang w:val="en-US" w:eastAsia="en-US"/>
              </w:rPr>
            </w:pPr>
            <w:r w:rsidRPr="004E3818">
              <w:rPr>
                <w:rFonts w:cs="Arial"/>
                <w:color w:val="000000"/>
                <w:sz w:val="16"/>
                <w:szCs w:val="16"/>
                <w:lang w:val="en-US" w:eastAsia="en-US"/>
              </w:rPr>
              <w:t xml:space="preserve"> AUD   21.384 </w:t>
            </w:r>
          </w:p>
        </w:tc>
        <w:tc>
          <w:tcPr>
            <w:tcW w:w="1399" w:type="dxa"/>
            <w:tcBorders>
              <w:top w:val="nil"/>
              <w:left w:val="nil"/>
              <w:bottom w:val="single" w:sz="8" w:space="0" w:color="auto"/>
              <w:right w:val="single" w:sz="4" w:space="0" w:color="auto"/>
            </w:tcBorders>
            <w:shd w:val="clear" w:color="auto" w:fill="auto"/>
            <w:noWrap/>
            <w:vAlign w:val="center"/>
            <w:hideMark/>
          </w:tcPr>
          <w:p w14:paraId="5930928E" w14:textId="463D77B3" w:rsidR="004E3818" w:rsidRPr="004E3818" w:rsidRDefault="004E3818" w:rsidP="004E3818">
            <w:pPr>
              <w:rPr>
                <w:rFonts w:cs="Arial"/>
                <w:color w:val="000000"/>
                <w:sz w:val="16"/>
                <w:szCs w:val="16"/>
                <w:lang w:val="en-US" w:eastAsia="en-US"/>
              </w:rPr>
            </w:pPr>
            <w:r w:rsidRPr="004E3818">
              <w:rPr>
                <w:rFonts w:cs="Arial"/>
                <w:color w:val="000000"/>
                <w:sz w:val="16"/>
                <w:szCs w:val="16"/>
                <w:lang w:val="en-US" w:eastAsia="en-US"/>
              </w:rPr>
              <w:t xml:space="preserve"> AUD</w:t>
            </w:r>
            <w:r w:rsidR="00BE1424">
              <w:rPr>
                <w:rFonts w:cs="Arial"/>
                <w:color w:val="000000"/>
                <w:sz w:val="16"/>
                <w:szCs w:val="16"/>
                <w:lang w:val="en-US" w:eastAsia="en-US"/>
              </w:rPr>
              <w:t xml:space="preserve"> </w:t>
            </w:r>
            <w:r w:rsidRPr="004E3818">
              <w:rPr>
                <w:rFonts w:cs="Arial"/>
                <w:color w:val="000000"/>
                <w:sz w:val="16"/>
                <w:szCs w:val="16"/>
                <w:lang w:val="en-US" w:eastAsia="en-US"/>
              </w:rPr>
              <w:t xml:space="preserve">  21.978 </w:t>
            </w:r>
          </w:p>
        </w:tc>
        <w:tc>
          <w:tcPr>
            <w:tcW w:w="1399" w:type="dxa"/>
            <w:tcBorders>
              <w:top w:val="nil"/>
              <w:left w:val="nil"/>
              <w:bottom w:val="single" w:sz="8" w:space="0" w:color="auto"/>
              <w:right w:val="single" w:sz="4" w:space="0" w:color="auto"/>
            </w:tcBorders>
            <w:shd w:val="clear" w:color="auto" w:fill="auto"/>
            <w:noWrap/>
            <w:vAlign w:val="center"/>
            <w:hideMark/>
          </w:tcPr>
          <w:p w14:paraId="3773467A" w14:textId="29D8BCDE" w:rsidR="004E3818" w:rsidRPr="004E3818" w:rsidRDefault="004E3818" w:rsidP="004E3818">
            <w:pPr>
              <w:rPr>
                <w:rFonts w:cs="Arial"/>
                <w:color w:val="000000"/>
                <w:sz w:val="16"/>
                <w:szCs w:val="16"/>
                <w:lang w:val="en-US" w:eastAsia="en-US"/>
              </w:rPr>
            </w:pPr>
            <w:r w:rsidRPr="004E3818">
              <w:rPr>
                <w:rFonts w:cs="Arial"/>
                <w:color w:val="000000"/>
                <w:sz w:val="16"/>
                <w:szCs w:val="16"/>
                <w:lang w:val="en-US" w:eastAsia="en-US"/>
              </w:rPr>
              <w:t xml:space="preserve"> AUD</w:t>
            </w:r>
            <w:r w:rsidR="00BE1424">
              <w:rPr>
                <w:rFonts w:cs="Arial"/>
                <w:color w:val="000000"/>
                <w:sz w:val="16"/>
                <w:szCs w:val="16"/>
                <w:lang w:val="en-US" w:eastAsia="en-US"/>
              </w:rPr>
              <w:t xml:space="preserve"> </w:t>
            </w:r>
            <w:r w:rsidRPr="004E3818">
              <w:rPr>
                <w:rFonts w:cs="Arial"/>
                <w:color w:val="000000"/>
                <w:sz w:val="16"/>
                <w:szCs w:val="16"/>
                <w:lang w:val="en-US" w:eastAsia="en-US"/>
              </w:rPr>
              <w:t xml:space="preserve">  22.275 </w:t>
            </w:r>
          </w:p>
        </w:tc>
        <w:tc>
          <w:tcPr>
            <w:tcW w:w="1399" w:type="dxa"/>
            <w:tcBorders>
              <w:top w:val="nil"/>
              <w:left w:val="nil"/>
              <w:bottom w:val="single" w:sz="8" w:space="0" w:color="auto"/>
              <w:right w:val="single" w:sz="4" w:space="0" w:color="auto"/>
            </w:tcBorders>
            <w:shd w:val="clear" w:color="auto" w:fill="auto"/>
            <w:noWrap/>
            <w:vAlign w:val="center"/>
            <w:hideMark/>
          </w:tcPr>
          <w:p w14:paraId="5C637795" w14:textId="748B77BE" w:rsidR="004E3818" w:rsidRPr="004E3818" w:rsidRDefault="004E3818" w:rsidP="004E3818">
            <w:pPr>
              <w:rPr>
                <w:rFonts w:cs="Arial"/>
                <w:color w:val="000000"/>
                <w:sz w:val="16"/>
                <w:szCs w:val="16"/>
                <w:lang w:val="en-US" w:eastAsia="en-US"/>
              </w:rPr>
            </w:pPr>
            <w:r w:rsidRPr="004E3818">
              <w:rPr>
                <w:rFonts w:cs="Arial"/>
                <w:color w:val="000000"/>
                <w:sz w:val="16"/>
                <w:szCs w:val="16"/>
                <w:lang w:val="en-US" w:eastAsia="en-US"/>
              </w:rPr>
              <w:t xml:space="preserve"> AUD</w:t>
            </w:r>
            <w:r w:rsidR="00BE1424">
              <w:rPr>
                <w:rFonts w:cs="Arial"/>
                <w:color w:val="000000"/>
                <w:sz w:val="16"/>
                <w:szCs w:val="16"/>
                <w:lang w:val="en-US" w:eastAsia="en-US"/>
              </w:rPr>
              <w:t xml:space="preserve">  </w:t>
            </w:r>
            <w:r w:rsidRPr="004E3818">
              <w:rPr>
                <w:rFonts w:cs="Arial"/>
                <w:color w:val="000000"/>
                <w:sz w:val="16"/>
                <w:szCs w:val="16"/>
                <w:lang w:val="en-US" w:eastAsia="en-US"/>
              </w:rPr>
              <w:t xml:space="preserve"> 22.572 </w:t>
            </w:r>
          </w:p>
        </w:tc>
        <w:tc>
          <w:tcPr>
            <w:tcW w:w="1399" w:type="dxa"/>
            <w:tcBorders>
              <w:top w:val="nil"/>
              <w:left w:val="nil"/>
              <w:bottom w:val="single" w:sz="8" w:space="0" w:color="auto"/>
              <w:right w:val="single" w:sz="8" w:space="0" w:color="auto"/>
            </w:tcBorders>
            <w:shd w:val="clear" w:color="auto" w:fill="auto"/>
            <w:noWrap/>
            <w:vAlign w:val="center"/>
            <w:hideMark/>
          </w:tcPr>
          <w:p w14:paraId="6EEF70FC" w14:textId="638BDA66" w:rsidR="004E3818" w:rsidRPr="004E3818" w:rsidRDefault="004E3818" w:rsidP="004E3818">
            <w:pPr>
              <w:rPr>
                <w:rFonts w:cs="Arial"/>
                <w:color w:val="000000"/>
                <w:sz w:val="16"/>
                <w:szCs w:val="16"/>
                <w:lang w:val="en-US" w:eastAsia="en-US"/>
              </w:rPr>
            </w:pPr>
            <w:r w:rsidRPr="004E3818">
              <w:rPr>
                <w:rFonts w:cs="Arial"/>
                <w:color w:val="000000"/>
                <w:sz w:val="16"/>
                <w:szCs w:val="16"/>
                <w:lang w:val="en-US" w:eastAsia="en-US"/>
              </w:rPr>
              <w:t xml:space="preserve"> AUD</w:t>
            </w:r>
            <w:r w:rsidR="00BE1424">
              <w:rPr>
                <w:rFonts w:cs="Arial"/>
                <w:color w:val="000000"/>
                <w:sz w:val="16"/>
                <w:szCs w:val="16"/>
                <w:lang w:val="en-US" w:eastAsia="en-US"/>
              </w:rPr>
              <w:t xml:space="preserve"> </w:t>
            </w:r>
            <w:r w:rsidRPr="004E3818">
              <w:rPr>
                <w:rFonts w:cs="Arial"/>
                <w:color w:val="000000"/>
                <w:sz w:val="16"/>
                <w:szCs w:val="16"/>
                <w:lang w:val="en-US" w:eastAsia="en-US"/>
              </w:rPr>
              <w:t xml:space="preserve">  22.869 </w:t>
            </w:r>
          </w:p>
        </w:tc>
      </w:tr>
      <w:tr w:rsidR="004E3818" w:rsidRPr="004E3818" w14:paraId="7AA40369" w14:textId="77777777" w:rsidTr="00BF0EEF">
        <w:trPr>
          <w:trHeight w:val="540"/>
          <w:jc w:val="center"/>
        </w:trPr>
        <w:tc>
          <w:tcPr>
            <w:tcW w:w="38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0C351F7" w14:textId="77777777" w:rsidR="004E3818" w:rsidRPr="004E3818" w:rsidRDefault="004E3818" w:rsidP="004E3818">
            <w:pPr>
              <w:rPr>
                <w:rFonts w:cs="Arial"/>
                <w:b/>
                <w:bCs/>
                <w:color w:val="000000"/>
                <w:sz w:val="20"/>
                <w:szCs w:val="20"/>
                <w:lang w:val="en-US" w:eastAsia="en-US"/>
              </w:rPr>
            </w:pPr>
            <w:r w:rsidRPr="004E3818">
              <w:rPr>
                <w:rFonts w:cs="Arial"/>
                <w:b/>
                <w:bCs/>
                <w:color w:val="000000"/>
                <w:sz w:val="20"/>
                <w:szCs w:val="20"/>
                <w:lang w:val="en-US" w:eastAsia="en-US"/>
              </w:rPr>
              <w:t>S</w:t>
            </w:r>
          </w:p>
        </w:tc>
        <w:tc>
          <w:tcPr>
            <w:tcW w:w="3179" w:type="dxa"/>
            <w:tcBorders>
              <w:top w:val="single" w:sz="4" w:space="0" w:color="auto"/>
              <w:left w:val="nil"/>
              <w:bottom w:val="single" w:sz="4" w:space="0" w:color="auto"/>
              <w:right w:val="single" w:sz="4" w:space="0" w:color="auto"/>
            </w:tcBorders>
            <w:shd w:val="clear" w:color="auto" w:fill="auto"/>
            <w:vAlign w:val="center"/>
            <w:hideMark/>
          </w:tcPr>
          <w:p w14:paraId="102C6E17" w14:textId="77777777" w:rsidR="004E3818" w:rsidRPr="004E3818" w:rsidRDefault="004E3818" w:rsidP="004E3818">
            <w:pPr>
              <w:rPr>
                <w:rFonts w:cs="Arial"/>
                <w:color w:val="000000"/>
                <w:sz w:val="20"/>
                <w:szCs w:val="20"/>
                <w:lang w:val="en-US" w:eastAsia="en-US"/>
              </w:rPr>
            </w:pPr>
            <w:r w:rsidRPr="004E3818">
              <w:rPr>
                <w:rFonts w:cs="Arial"/>
                <w:color w:val="000000"/>
                <w:sz w:val="20"/>
                <w:szCs w:val="20"/>
                <w:lang w:val="en-US" w:eastAsia="en-US"/>
              </w:rPr>
              <w:t>Cost of assistance</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1388177D" w14:textId="77777777" w:rsidR="004E3818" w:rsidRPr="004E3818" w:rsidRDefault="004E3818" w:rsidP="004E3818">
            <w:pPr>
              <w:rPr>
                <w:rFonts w:cs="Arial"/>
                <w:color w:val="000000"/>
                <w:sz w:val="16"/>
                <w:szCs w:val="16"/>
                <w:lang w:val="en-US" w:eastAsia="en-US"/>
              </w:rPr>
            </w:pPr>
            <w:r w:rsidRPr="004E3818">
              <w:rPr>
                <w:rFonts w:cs="Arial"/>
                <w:color w:val="000000"/>
                <w:sz w:val="16"/>
                <w:szCs w:val="16"/>
                <w:lang w:val="en-US" w:eastAsia="en-US"/>
              </w:rPr>
              <w:fldChar w:fldCharType="begin"/>
            </w:r>
            <w:r w:rsidRPr="004E3818">
              <w:rPr>
                <w:rFonts w:cs="Arial"/>
                <w:color w:val="000000"/>
                <w:sz w:val="16"/>
                <w:szCs w:val="16"/>
                <w:lang w:val="en-US" w:eastAsia="en-US"/>
              </w:rPr>
              <w:instrText xml:space="preserve"> REF _Ref430941316 \h </w:instrText>
            </w:r>
            <w:r>
              <w:rPr>
                <w:rFonts w:cs="Arial"/>
                <w:color w:val="000000"/>
                <w:sz w:val="16"/>
                <w:szCs w:val="16"/>
                <w:lang w:val="en-US" w:eastAsia="en-US"/>
              </w:rPr>
              <w:instrText xml:space="preserve"> \* MERGEFORMAT </w:instrText>
            </w:r>
            <w:r w:rsidRPr="004E3818">
              <w:rPr>
                <w:rFonts w:cs="Arial"/>
                <w:color w:val="000000"/>
                <w:sz w:val="16"/>
                <w:szCs w:val="16"/>
                <w:lang w:val="en-US" w:eastAsia="en-US"/>
              </w:rPr>
            </w:r>
            <w:r w:rsidRPr="004E3818">
              <w:rPr>
                <w:rFonts w:cs="Arial"/>
                <w:color w:val="000000"/>
                <w:sz w:val="16"/>
                <w:szCs w:val="16"/>
                <w:lang w:val="en-US" w:eastAsia="en-US"/>
              </w:rPr>
              <w:fldChar w:fldCharType="separate"/>
            </w:r>
            <w:r w:rsidR="00016592" w:rsidRPr="00016592">
              <w:rPr>
                <w:rFonts w:cs="Arial"/>
                <w:sz w:val="16"/>
                <w:szCs w:val="16"/>
              </w:rPr>
              <w:t xml:space="preserve">Table </w:t>
            </w:r>
            <w:r w:rsidR="00016592" w:rsidRPr="00016592">
              <w:rPr>
                <w:rFonts w:cs="Arial"/>
                <w:noProof/>
                <w:sz w:val="16"/>
                <w:szCs w:val="16"/>
              </w:rPr>
              <w:t>61</w:t>
            </w:r>
            <w:r w:rsidRPr="004E3818">
              <w:rPr>
                <w:rFonts w:cs="Arial"/>
                <w:color w:val="000000"/>
                <w:sz w:val="16"/>
                <w:szCs w:val="16"/>
                <w:lang w:val="en-US" w:eastAsia="en-US"/>
              </w:rPr>
              <w:fldChar w:fldCharType="end"/>
            </w:r>
            <w:r w:rsidRPr="004E3818">
              <w:rPr>
                <w:rFonts w:cs="Arial"/>
                <w:color w:val="000000"/>
                <w:sz w:val="16"/>
                <w:szCs w:val="16"/>
                <w:lang w:val="en-US" w:eastAsia="en-US"/>
              </w:rPr>
              <w:t>, row K x AUD 375,39</w:t>
            </w:r>
          </w:p>
        </w:tc>
        <w:tc>
          <w:tcPr>
            <w:tcW w:w="1937" w:type="dxa"/>
            <w:tcBorders>
              <w:top w:val="single" w:sz="4" w:space="0" w:color="auto"/>
              <w:left w:val="nil"/>
              <w:bottom w:val="single" w:sz="8" w:space="0" w:color="auto"/>
              <w:right w:val="single" w:sz="4" w:space="0" w:color="auto"/>
            </w:tcBorders>
            <w:shd w:val="clear" w:color="auto" w:fill="auto"/>
            <w:noWrap/>
            <w:vAlign w:val="center"/>
            <w:hideMark/>
          </w:tcPr>
          <w:p w14:paraId="66F9D38D" w14:textId="3FD374F0" w:rsidR="004E3818" w:rsidRPr="004E3818" w:rsidRDefault="004E3818" w:rsidP="004E3818">
            <w:pPr>
              <w:rPr>
                <w:rFonts w:cs="Arial"/>
                <w:color w:val="000000"/>
                <w:sz w:val="16"/>
                <w:szCs w:val="16"/>
                <w:lang w:val="en-US" w:eastAsia="en-US"/>
              </w:rPr>
            </w:pPr>
            <w:r w:rsidRPr="004E3818">
              <w:rPr>
                <w:rFonts w:cs="Arial"/>
                <w:color w:val="000000"/>
                <w:sz w:val="16"/>
                <w:szCs w:val="16"/>
                <w:lang w:val="en-US" w:eastAsia="en-US"/>
              </w:rPr>
              <w:t xml:space="preserve"> AUD   26.653 </w:t>
            </w:r>
          </w:p>
        </w:tc>
        <w:tc>
          <w:tcPr>
            <w:tcW w:w="1462" w:type="dxa"/>
            <w:tcBorders>
              <w:top w:val="single" w:sz="4" w:space="0" w:color="auto"/>
              <w:left w:val="nil"/>
              <w:bottom w:val="single" w:sz="8" w:space="0" w:color="auto"/>
              <w:right w:val="single" w:sz="4" w:space="0" w:color="auto"/>
            </w:tcBorders>
            <w:shd w:val="clear" w:color="auto" w:fill="auto"/>
            <w:noWrap/>
            <w:vAlign w:val="center"/>
            <w:hideMark/>
          </w:tcPr>
          <w:p w14:paraId="1935AA75" w14:textId="7E49586E" w:rsidR="004E3818" w:rsidRPr="004E3818" w:rsidRDefault="004E3818" w:rsidP="004E3818">
            <w:pPr>
              <w:rPr>
                <w:rFonts w:cs="Arial"/>
                <w:color w:val="000000"/>
                <w:sz w:val="16"/>
                <w:szCs w:val="16"/>
                <w:lang w:val="en-US" w:eastAsia="en-US"/>
              </w:rPr>
            </w:pPr>
            <w:r w:rsidRPr="004E3818">
              <w:rPr>
                <w:rFonts w:cs="Arial"/>
                <w:color w:val="000000"/>
                <w:sz w:val="16"/>
                <w:szCs w:val="16"/>
                <w:lang w:val="en-US" w:eastAsia="en-US"/>
              </w:rPr>
              <w:t xml:space="preserve"> AUD</w:t>
            </w:r>
            <w:r w:rsidR="00BE1424">
              <w:rPr>
                <w:rFonts w:cs="Arial"/>
                <w:color w:val="000000"/>
                <w:sz w:val="16"/>
                <w:szCs w:val="16"/>
                <w:lang w:val="en-US" w:eastAsia="en-US"/>
              </w:rPr>
              <w:t xml:space="preserve">  </w:t>
            </w:r>
            <w:r w:rsidRPr="004E3818">
              <w:rPr>
                <w:rFonts w:cs="Arial"/>
                <w:color w:val="000000"/>
                <w:sz w:val="16"/>
                <w:szCs w:val="16"/>
                <w:lang w:val="en-US" w:eastAsia="en-US"/>
              </w:rPr>
              <w:t xml:space="preserve"> 27.028 </w:t>
            </w:r>
          </w:p>
        </w:tc>
        <w:tc>
          <w:tcPr>
            <w:tcW w:w="1399" w:type="dxa"/>
            <w:tcBorders>
              <w:top w:val="single" w:sz="4" w:space="0" w:color="auto"/>
              <w:left w:val="nil"/>
              <w:bottom w:val="single" w:sz="8" w:space="0" w:color="auto"/>
              <w:right w:val="single" w:sz="4" w:space="0" w:color="auto"/>
            </w:tcBorders>
            <w:shd w:val="clear" w:color="auto" w:fill="auto"/>
            <w:noWrap/>
            <w:vAlign w:val="center"/>
            <w:hideMark/>
          </w:tcPr>
          <w:p w14:paraId="3AD90300" w14:textId="5ED271B0" w:rsidR="004E3818" w:rsidRPr="004E3818" w:rsidRDefault="004E3818" w:rsidP="004E3818">
            <w:pPr>
              <w:rPr>
                <w:rFonts w:cs="Arial"/>
                <w:color w:val="000000"/>
                <w:sz w:val="16"/>
                <w:szCs w:val="16"/>
                <w:lang w:val="en-US" w:eastAsia="en-US"/>
              </w:rPr>
            </w:pPr>
            <w:r w:rsidRPr="004E3818">
              <w:rPr>
                <w:rFonts w:cs="Arial"/>
                <w:color w:val="000000"/>
                <w:sz w:val="16"/>
                <w:szCs w:val="16"/>
                <w:lang w:val="en-US" w:eastAsia="en-US"/>
              </w:rPr>
              <w:t xml:space="preserve"> AUD   27.779 </w:t>
            </w:r>
          </w:p>
        </w:tc>
        <w:tc>
          <w:tcPr>
            <w:tcW w:w="1399" w:type="dxa"/>
            <w:tcBorders>
              <w:top w:val="single" w:sz="4" w:space="0" w:color="auto"/>
              <w:left w:val="nil"/>
              <w:bottom w:val="single" w:sz="8" w:space="0" w:color="auto"/>
              <w:right w:val="single" w:sz="4" w:space="0" w:color="auto"/>
            </w:tcBorders>
            <w:shd w:val="clear" w:color="auto" w:fill="auto"/>
            <w:noWrap/>
            <w:vAlign w:val="center"/>
            <w:hideMark/>
          </w:tcPr>
          <w:p w14:paraId="3254EF31" w14:textId="6F171D75" w:rsidR="004E3818" w:rsidRPr="004E3818" w:rsidRDefault="004E3818" w:rsidP="004E3818">
            <w:pPr>
              <w:rPr>
                <w:rFonts w:cs="Arial"/>
                <w:color w:val="000000"/>
                <w:sz w:val="16"/>
                <w:szCs w:val="16"/>
                <w:lang w:val="en-US" w:eastAsia="en-US"/>
              </w:rPr>
            </w:pPr>
            <w:r w:rsidRPr="004E3818">
              <w:rPr>
                <w:rFonts w:cs="Arial"/>
                <w:color w:val="000000"/>
                <w:sz w:val="16"/>
                <w:szCs w:val="16"/>
                <w:lang w:val="en-US" w:eastAsia="en-US"/>
              </w:rPr>
              <w:t xml:space="preserve"> AUD</w:t>
            </w:r>
            <w:r w:rsidR="00BE1424">
              <w:rPr>
                <w:rFonts w:cs="Arial"/>
                <w:color w:val="000000"/>
                <w:sz w:val="16"/>
                <w:szCs w:val="16"/>
                <w:lang w:val="en-US" w:eastAsia="en-US"/>
              </w:rPr>
              <w:t xml:space="preserve">  </w:t>
            </w:r>
            <w:r w:rsidRPr="004E3818">
              <w:rPr>
                <w:rFonts w:cs="Arial"/>
                <w:color w:val="000000"/>
                <w:sz w:val="16"/>
                <w:szCs w:val="16"/>
                <w:lang w:val="en-US" w:eastAsia="en-US"/>
              </w:rPr>
              <w:t xml:space="preserve"> 28.154 </w:t>
            </w:r>
          </w:p>
        </w:tc>
        <w:tc>
          <w:tcPr>
            <w:tcW w:w="1399" w:type="dxa"/>
            <w:tcBorders>
              <w:top w:val="single" w:sz="4" w:space="0" w:color="auto"/>
              <w:left w:val="nil"/>
              <w:bottom w:val="single" w:sz="8" w:space="0" w:color="auto"/>
              <w:right w:val="single" w:sz="4" w:space="0" w:color="auto"/>
            </w:tcBorders>
            <w:shd w:val="clear" w:color="auto" w:fill="auto"/>
            <w:noWrap/>
            <w:vAlign w:val="center"/>
            <w:hideMark/>
          </w:tcPr>
          <w:p w14:paraId="7F68FC9E" w14:textId="666647E2" w:rsidR="004E3818" w:rsidRPr="004E3818" w:rsidRDefault="004E3818" w:rsidP="004E3818">
            <w:pPr>
              <w:rPr>
                <w:rFonts w:cs="Arial"/>
                <w:color w:val="000000"/>
                <w:sz w:val="16"/>
                <w:szCs w:val="16"/>
                <w:lang w:val="en-US" w:eastAsia="en-US"/>
              </w:rPr>
            </w:pPr>
            <w:r w:rsidRPr="004E3818">
              <w:rPr>
                <w:rFonts w:cs="Arial"/>
                <w:color w:val="000000"/>
                <w:sz w:val="16"/>
                <w:szCs w:val="16"/>
                <w:lang w:val="en-US" w:eastAsia="en-US"/>
              </w:rPr>
              <w:t xml:space="preserve"> AUD</w:t>
            </w:r>
            <w:r w:rsidR="00BE1424">
              <w:rPr>
                <w:rFonts w:cs="Arial"/>
                <w:color w:val="000000"/>
                <w:sz w:val="16"/>
                <w:szCs w:val="16"/>
                <w:lang w:val="en-US" w:eastAsia="en-US"/>
              </w:rPr>
              <w:t xml:space="preserve"> </w:t>
            </w:r>
            <w:r w:rsidRPr="004E3818">
              <w:rPr>
                <w:rFonts w:cs="Arial"/>
                <w:color w:val="000000"/>
                <w:sz w:val="16"/>
                <w:szCs w:val="16"/>
                <w:lang w:val="en-US" w:eastAsia="en-US"/>
              </w:rPr>
              <w:t xml:space="preserve">  28.530 </w:t>
            </w:r>
          </w:p>
        </w:tc>
        <w:tc>
          <w:tcPr>
            <w:tcW w:w="1399" w:type="dxa"/>
            <w:tcBorders>
              <w:top w:val="single" w:sz="4" w:space="0" w:color="auto"/>
              <w:left w:val="nil"/>
              <w:bottom w:val="single" w:sz="8" w:space="0" w:color="auto"/>
              <w:right w:val="single" w:sz="8" w:space="0" w:color="auto"/>
            </w:tcBorders>
            <w:shd w:val="clear" w:color="auto" w:fill="auto"/>
            <w:noWrap/>
            <w:vAlign w:val="center"/>
            <w:hideMark/>
          </w:tcPr>
          <w:p w14:paraId="79B04716" w14:textId="4F2E2524" w:rsidR="004E3818" w:rsidRPr="004E3818" w:rsidRDefault="004E3818" w:rsidP="004E3818">
            <w:pPr>
              <w:rPr>
                <w:rFonts w:cs="Arial"/>
                <w:color w:val="000000"/>
                <w:sz w:val="16"/>
                <w:szCs w:val="16"/>
                <w:lang w:val="en-US" w:eastAsia="en-US"/>
              </w:rPr>
            </w:pPr>
            <w:r w:rsidRPr="004E3818">
              <w:rPr>
                <w:rFonts w:cs="Arial"/>
                <w:color w:val="000000"/>
                <w:sz w:val="16"/>
                <w:szCs w:val="16"/>
                <w:lang w:val="en-US" w:eastAsia="en-US"/>
              </w:rPr>
              <w:t xml:space="preserve"> AUD</w:t>
            </w:r>
            <w:r w:rsidR="00BE1424">
              <w:rPr>
                <w:rFonts w:cs="Arial"/>
                <w:color w:val="000000"/>
                <w:sz w:val="16"/>
                <w:szCs w:val="16"/>
                <w:lang w:val="en-US" w:eastAsia="en-US"/>
              </w:rPr>
              <w:t xml:space="preserve">  </w:t>
            </w:r>
            <w:r w:rsidRPr="004E3818">
              <w:rPr>
                <w:rFonts w:cs="Arial"/>
                <w:color w:val="000000"/>
                <w:sz w:val="16"/>
                <w:szCs w:val="16"/>
                <w:lang w:val="en-US" w:eastAsia="en-US"/>
              </w:rPr>
              <w:t xml:space="preserve"> 28.905 </w:t>
            </w:r>
          </w:p>
        </w:tc>
      </w:tr>
      <w:tr w:rsidR="004E3818" w:rsidRPr="004E3818" w14:paraId="5F1D8A70" w14:textId="77777777" w:rsidTr="00BF0EEF">
        <w:trPr>
          <w:trHeight w:val="600"/>
          <w:jc w:val="center"/>
        </w:trPr>
        <w:tc>
          <w:tcPr>
            <w:tcW w:w="380" w:type="dxa"/>
            <w:tcBorders>
              <w:top w:val="nil"/>
              <w:left w:val="single" w:sz="8" w:space="0" w:color="auto"/>
              <w:bottom w:val="single" w:sz="8" w:space="0" w:color="auto"/>
              <w:right w:val="single" w:sz="4" w:space="0" w:color="auto"/>
            </w:tcBorders>
            <w:shd w:val="clear" w:color="auto" w:fill="auto"/>
            <w:noWrap/>
            <w:vAlign w:val="center"/>
            <w:hideMark/>
          </w:tcPr>
          <w:p w14:paraId="0123CD0F" w14:textId="77777777" w:rsidR="004E3818" w:rsidRPr="004E3818" w:rsidRDefault="004E3818" w:rsidP="004E3818">
            <w:pPr>
              <w:rPr>
                <w:rFonts w:cs="Arial"/>
                <w:b/>
                <w:bCs/>
                <w:color w:val="000000"/>
                <w:sz w:val="20"/>
                <w:szCs w:val="20"/>
                <w:lang w:val="en-US" w:eastAsia="en-US"/>
              </w:rPr>
            </w:pPr>
            <w:r w:rsidRPr="004E3818">
              <w:rPr>
                <w:rFonts w:cs="Arial"/>
                <w:b/>
                <w:bCs/>
                <w:color w:val="000000"/>
                <w:sz w:val="20"/>
                <w:szCs w:val="20"/>
                <w:lang w:val="en-US" w:eastAsia="en-US"/>
              </w:rPr>
              <w:t>T</w:t>
            </w:r>
          </w:p>
        </w:tc>
        <w:tc>
          <w:tcPr>
            <w:tcW w:w="3179" w:type="dxa"/>
            <w:tcBorders>
              <w:top w:val="nil"/>
              <w:left w:val="nil"/>
              <w:bottom w:val="single" w:sz="8" w:space="0" w:color="auto"/>
              <w:right w:val="single" w:sz="4" w:space="0" w:color="auto"/>
            </w:tcBorders>
            <w:shd w:val="clear" w:color="auto" w:fill="auto"/>
            <w:vAlign w:val="center"/>
            <w:hideMark/>
          </w:tcPr>
          <w:p w14:paraId="557E59F1" w14:textId="77777777" w:rsidR="004E3818" w:rsidRPr="004E3818" w:rsidRDefault="004E3818" w:rsidP="004E3818">
            <w:pPr>
              <w:rPr>
                <w:rFonts w:cs="Arial"/>
                <w:color w:val="000000"/>
                <w:sz w:val="20"/>
                <w:szCs w:val="20"/>
                <w:lang w:val="en-US" w:eastAsia="en-US"/>
              </w:rPr>
            </w:pPr>
            <w:r w:rsidRPr="004E3818">
              <w:rPr>
                <w:rFonts w:cs="Arial"/>
                <w:color w:val="000000"/>
                <w:sz w:val="20"/>
                <w:szCs w:val="20"/>
                <w:lang w:val="en-US" w:eastAsia="en-US"/>
              </w:rPr>
              <w:t>Cost to MBS of the proposed item</w:t>
            </w:r>
          </w:p>
        </w:tc>
        <w:tc>
          <w:tcPr>
            <w:tcW w:w="1559" w:type="dxa"/>
            <w:tcBorders>
              <w:top w:val="nil"/>
              <w:left w:val="nil"/>
              <w:bottom w:val="single" w:sz="8" w:space="0" w:color="auto"/>
              <w:right w:val="single" w:sz="4" w:space="0" w:color="auto"/>
            </w:tcBorders>
            <w:shd w:val="clear" w:color="auto" w:fill="auto"/>
            <w:vAlign w:val="center"/>
            <w:hideMark/>
          </w:tcPr>
          <w:p w14:paraId="6B4D53CE" w14:textId="77777777" w:rsidR="004E3818" w:rsidRPr="004E3818" w:rsidRDefault="004E3818" w:rsidP="004E3818">
            <w:pPr>
              <w:rPr>
                <w:rFonts w:cs="Arial"/>
                <w:color w:val="000000"/>
                <w:sz w:val="16"/>
                <w:szCs w:val="16"/>
                <w:lang w:val="en-US" w:eastAsia="en-US"/>
              </w:rPr>
            </w:pPr>
            <w:r w:rsidRPr="004E3818">
              <w:rPr>
                <w:rFonts w:cs="Arial"/>
                <w:color w:val="000000"/>
                <w:sz w:val="16"/>
                <w:szCs w:val="16"/>
                <w:lang w:val="en-US" w:eastAsia="en-US"/>
              </w:rPr>
              <w:t>R + S</w:t>
            </w:r>
          </w:p>
        </w:tc>
        <w:tc>
          <w:tcPr>
            <w:tcW w:w="1937" w:type="dxa"/>
            <w:tcBorders>
              <w:top w:val="single" w:sz="4" w:space="0" w:color="auto"/>
              <w:left w:val="nil"/>
              <w:bottom w:val="single" w:sz="8" w:space="0" w:color="auto"/>
              <w:right w:val="single" w:sz="4" w:space="0" w:color="auto"/>
            </w:tcBorders>
            <w:shd w:val="clear" w:color="auto" w:fill="auto"/>
            <w:noWrap/>
            <w:vAlign w:val="center"/>
            <w:hideMark/>
          </w:tcPr>
          <w:p w14:paraId="109508AA" w14:textId="77084C76" w:rsidR="004E3818" w:rsidRPr="004E3818" w:rsidRDefault="004E3818" w:rsidP="004E3818">
            <w:pPr>
              <w:rPr>
                <w:rFonts w:cs="Arial"/>
                <w:color w:val="000000"/>
                <w:sz w:val="16"/>
                <w:szCs w:val="16"/>
                <w:lang w:val="en-US" w:eastAsia="en-US"/>
              </w:rPr>
            </w:pPr>
            <w:r w:rsidRPr="004E3818">
              <w:rPr>
                <w:rFonts w:cs="Arial"/>
                <w:color w:val="000000"/>
                <w:sz w:val="16"/>
                <w:szCs w:val="16"/>
                <w:lang w:val="en-US" w:eastAsia="en-US"/>
              </w:rPr>
              <w:t xml:space="preserve"> AUD   47.740 </w:t>
            </w:r>
          </w:p>
        </w:tc>
        <w:tc>
          <w:tcPr>
            <w:tcW w:w="1462" w:type="dxa"/>
            <w:tcBorders>
              <w:top w:val="single" w:sz="4" w:space="0" w:color="auto"/>
              <w:left w:val="nil"/>
              <w:bottom w:val="single" w:sz="8" w:space="0" w:color="auto"/>
              <w:right w:val="single" w:sz="4" w:space="0" w:color="auto"/>
            </w:tcBorders>
            <w:shd w:val="clear" w:color="auto" w:fill="auto"/>
            <w:noWrap/>
            <w:vAlign w:val="center"/>
            <w:hideMark/>
          </w:tcPr>
          <w:p w14:paraId="407A1AEE" w14:textId="146A41B5" w:rsidR="004E3818" w:rsidRPr="004E3818" w:rsidRDefault="004E3818" w:rsidP="004E3818">
            <w:pPr>
              <w:rPr>
                <w:rFonts w:cs="Arial"/>
                <w:color w:val="000000"/>
                <w:sz w:val="16"/>
                <w:szCs w:val="16"/>
                <w:lang w:val="en-US" w:eastAsia="en-US"/>
              </w:rPr>
            </w:pPr>
            <w:r w:rsidRPr="004E3818">
              <w:rPr>
                <w:rFonts w:cs="Arial"/>
                <w:color w:val="000000"/>
                <w:sz w:val="16"/>
                <w:szCs w:val="16"/>
                <w:lang w:val="en-US" w:eastAsia="en-US"/>
              </w:rPr>
              <w:t xml:space="preserve"> AUD   48.412 </w:t>
            </w:r>
          </w:p>
        </w:tc>
        <w:tc>
          <w:tcPr>
            <w:tcW w:w="1399" w:type="dxa"/>
            <w:tcBorders>
              <w:top w:val="single" w:sz="4" w:space="0" w:color="auto"/>
              <w:left w:val="nil"/>
              <w:bottom w:val="single" w:sz="8" w:space="0" w:color="auto"/>
              <w:right w:val="single" w:sz="4" w:space="0" w:color="auto"/>
            </w:tcBorders>
            <w:shd w:val="clear" w:color="auto" w:fill="auto"/>
            <w:noWrap/>
            <w:vAlign w:val="center"/>
            <w:hideMark/>
          </w:tcPr>
          <w:p w14:paraId="2767E6A4" w14:textId="5AC213AC" w:rsidR="004E3818" w:rsidRPr="004E3818" w:rsidRDefault="004E3818" w:rsidP="004E3818">
            <w:pPr>
              <w:rPr>
                <w:rFonts w:cs="Arial"/>
                <w:color w:val="000000"/>
                <w:sz w:val="16"/>
                <w:szCs w:val="16"/>
                <w:lang w:val="en-US" w:eastAsia="en-US"/>
              </w:rPr>
            </w:pPr>
            <w:r w:rsidRPr="004E3818">
              <w:rPr>
                <w:rFonts w:cs="Arial"/>
                <w:color w:val="000000"/>
                <w:sz w:val="16"/>
                <w:szCs w:val="16"/>
                <w:lang w:val="en-US" w:eastAsia="en-US"/>
              </w:rPr>
              <w:t xml:space="preserve"> AUD</w:t>
            </w:r>
            <w:r w:rsidR="00BE1424">
              <w:rPr>
                <w:rFonts w:cs="Arial"/>
                <w:color w:val="000000"/>
                <w:sz w:val="16"/>
                <w:szCs w:val="16"/>
                <w:lang w:val="en-US" w:eastAsia="en-US"/>
              </w:rPr>
              <w:t xml:space="preserve"> </w:t>
            </w:r>
            <w:r w:rsidRPr="004E3818">
              <w:rPr>
                <w:rFonts w:cs="Arial"/>
                <w:color w:val="000000"/>
                <w:sz w:val="16"/>
                <w:szCs w:val="16"/>
                <w:lang w:val="en-US" w:eastAsia="en-US"/>
              </w:rPr>
              <w:t xml:space="preserve">  49.757 </w:t>
            </w:r>
          </w:p>
        </w:tc>
        <w:tc>
          <w:tcPr>
            <w:tcW w:w="1399" w:type="dxa"/>
            <w:tcBorders>
              <w:top w:val="single" w:sz="4" w:space="0" w:color="auto"/>
              <w:left w:val="nil"/>
              <w:bottom w:val="single" w:sz="8" w:space="0" w:color="auto"/>
              <w:right w:val="single" w:sz="4" w:space="0" w:color="auto"/>
            </w:tcBorders>
            <w:shd w:val="clear" w:color="auto" w:fill="auto"/>
            <w:noWrap/>
            <w:vAlign w:val="center"/>
            <w:hideMark/>
          </w:tcPr>
          <w:p w14:paraId="5807F4AC" w14:textId="6E06AD44" w:rsidR="004E3818" w:rsidRPr="004E3818" w:rsidRDefault="004E3818" w:rsidP="004E3818">
            <w:pPr>
              <w:rPr>
                <w:rFonts w:cs="Arial"/>
                <w:color w:val="000000"/>
                <w:sz w:val="16"/>
                <w:szCs w:val="16"/>
                <w:lang w:val="en-US" w:eastAsia="en-US"/>
              </w:rPr>
            </w:pPr>
            <w:r w:rsidRPr="004E3818">
              <w:rPr>
                <w:rFonts w:cs="Arial"/>
                <w:color w:val="000000"/>
                <w:sz w:val="16"/>
                <w:szCs w:val="16"/>
                <w:lang w:val="en-US" w:eastAsia="en-US"/>
              </w:rPr>
              <w:t xml:space="preserve"> AUD</w:t>
            </w:r>
            <w:r w:rsidR="00BE1424">
              <w:rPr>
                <w:rFonts w:cs="Arial"/>
                <w:color w:val="000000"/>
                <w:sz w:val="16"/>
                <w:szCs w:val="16"/>
                <w:lang w:val="en-US" w:eastAsia="en-US"/>
              </w:rPr>
              <w:t xml:space="preserve">  </w:t>
            </w:r>
            <w:r w:rsidRPr="004E3818">
              <w:rPr>
                <w:rFonts w:cs="Arial"/>
                <w:color w:val="000000"/>
                <w:sz w:val="16"/>
                <w:szCs w:val="16"/>
                <w:lang w:val="en-US" w:eastAsia="en-US"/>
              </w:rPr>
              <w:t xml:space="preserve"> 50.429 </w:t>
            </w:r>
          </w:p>
        </w:tc>
        <w:tc>
          <w:tcPr>
            <w:tcW w:w="1399" w:type="dxa"/>
            <w:tcBorders>
              <w:top w:val="single" w:sz="4" w:space="0" w:color="auto"/>
              <w:left w:val="nil"/>
              <w:bottom w:val="single" w:sz="8" w:space="0" w:color="auto"/>
              <w:right w:val="single" w:sz="4" w:space="0" w:color="auto"/>
            </w:tcBorders>
            <w:shd w:val="clear" w:color="auto" w:fill="auto"/>
            <w:noWrap/>
            <w:vAlign w:val="center"/>
            <w:hideMark/>
          </w:tcPr>
          <w:p w14:paraId="4442552F" w14:textId="466B29C5" w:rsidR="004E3818" w:rsidRPr="004E3818" w:rsidRDefault="004E3818" w:rsidP="004E3818">
            <w:pPr>
              <w:rPr>
                <w:rFonts w:cs="Arial"/>
                <w:color w:val="000000"/>
                <w:sz w:val="16"/>
                <w:szCs w:val="16"/>
                <w:lang w:val="en-US" w:eastAsia="en-US"/>
              </w:rPr>
            </w:pPr>
            <w:r w:rsidRPr="004E3818">
              <w:rPr>
                <w:rFonts w:cs="Arial"/>
                <w:color w:val="000000"/>
                <w:sz w:val="16"/>
                <w:szCs w:val="16"/>
                <w:lang w:val="en-US" w:eastAsia="en-US"/>
              </w:rPr>
              <w:t xml:space="preserve"> AUD</w:t>
            </w:r>
            <w:r w:rsidR="00BE1424">
              <w:rPr>
                <w:rFonts w:cs="Arial"/>
                <w:color w:val="000000"/>
                <w:sz w:val="16"/>
                <w:szCs w:val="16"/>
                <w:lang w:val="en-US" w:eastAsia="en-US"/>
              </w:rPr>
              <w:t xml:space="preserve">  </w:t>
            </w:r>
            <w:r w:rsidRPr="004E3818">
              <w:rPr>
                <w:rFonts w:cs="Arial"/>
                <w:color w:val="000000"/>
                <w:sz w:val="16"/>
                <w:szCs w:val="16"/>
                <w:lang w:val="en-US" w:eastAsia="en-US"/>
              </w:rPr>
              <w:t xml:space="preserve"> 51.102 </w:t>
            </w:r>
          </w:p>
        </w:tc>
        <w:tc>
          <w:tcPr>
            <w:tcW w:w="1399" w:type="dxa"/>
            <w:tcBorders>
              <w:top w:val="single" w:sz="4" w:space="0" w:color="auto"/>
              <w:left w:val="nil"/>
              <w:bottom w:val="single" w:sz="8" w:space="0" w:color="auto"/>
              <w:right w:val="single" w:sz="8" w:space="0" w:color="auto"/>
            </w:tcBorders>
            <w:shd w:val="clear" w:color="auto" w:fill="auto"/>
            <w:noWrap/>
            <w:vAlign w:val="center"/>
            <w:hideMark/>
          </w:tcPr>
          <w:p w14:paraId="3FCAB8BA" w14:textId="44675FE8" w:rsidR="004E3818" w:rsidRPr="004E3818" w:rsidRDefault="004E3818" w:rsidP="004E3818">
            <w:pPr>
              <w:rPr>
                <w:rFonts w:cs="Arial"/>
                <w:color w:val="000000"/>
                <w:sz w:val="16"/>
                <w:szCs w:val="16"/>
                <w:lang w:val="en-US" w:eastAsia="en-US"/>
              </w:rPr>
            </w:pPr>
            <w:r w:rsidRPr="004E3818">
              <w:rPr>
                <w:rFonts w:cs="Arial"/>
                <w:color w:val="000000"/>
                <w:sz w:val="16"/>
                <w:szCs w:val="16"/>
                <w:lang w:val="en-US" w:eastAsia="en-US"/>
              </w:rPr>
              <w:t xml:space="preserve"> AUD</w:t>
            </w:r>
            <w:r w:rsidR="00BE1424">
              <w:rPr>
                <w:rFonts w:cs="Arial"/>
                <w:color w:val="000000"/>
                <w:sz w:val="16"/>
                <w:szCs w:val="16"/>
                <w:lang w:val="en-US" w:eastAsia="en-US"/>
              </w:rPr>
              <w:t xml:space="preserve"> </w:t>
            </w:r>
            <w:r w:rsidRPr="004E3818">
              <w:rPr>
                <w:rFonts w:cs="Arial"/>
                <w:color w:val="000000"/>
                <w:sz w:val="16"/>
                <w:szCs w:val="16"/>
                <w:lang w:val="en-US" w:eastAsia="en-US"/>
              </w:rPr>
              <w:t xml:space="preserve">  51.774 </w:t>
            </w:r>
          </w:p>
        </w:tc>
      </w:tr>
    </w:tbl>
    <w:p w14:paraId="53BC60E9" w14:textId="77777777" w:rsidR="003C53BB" w:rsidRDefault="003C53BB" w:rsidP="00830612">
      <w:pPr>
        <w:pStyle w:val="Textbody"/>
        <w:rPr>
          <w:highlight w:val="lightGray"/>
          <w:lang w:val="en-AU"/>
        </w:rPr>
      </w:pPr>
    </w:p>
    <w:p w14:paraId="74BC8CD1" w14:textId="77777777" w:rsidR="00BE1424" w:rsidRDefault="00BE1424">
      <w:pPr>
        <w:rPr>
          <w:rFonts w:cs="Arial"/>
          <w:b/>
          <w:bCs/>
          <w:sz w:val="20"/>
          <w:szCs w:val="20"/>
        </w:rPr>
      </w:pPr>
      <w:bookmarkStart w:id="637" w:name="_Ref430945419"/>
      <w:bookmarkStart w:id="638" w:name="_Toc431917524"/>
      <w:r>
        <w:rPr>
          <w:rFonts w:cs="Arial"/>
        </w:rPr>
        <w:br w:type="page"/>
      </w:r>
    </w:p>
    <w:p w14:paraId="7CDEBD35" w14:textId="4CD7253E" w:rsidR="003C53BB" w:rsidRPr="004D294A" w:rsidRDefault="003C53BB" w:rsidP="003C53BB">
      <w:pPr>
        <w:pStyle w:val="Tablecaption"/>
        <w:spacing w:line="360" w:lineRule="auto"/>
        <w:rPr>
          <w:rFonts w:ascii="Arial" w:hAnsi="Arial" w:cs="Arial"/>
          <w:lang w:val="en-AU"/>
        </w:rPr>
      </w:pPr>
      <w:r w:rsidRPr="004D294A">
        <w:rPr>
          <w:rFonts w:ascii="Arial" w:hAnsi="Arial" w:cs="Arial"/>
          <w:lang w:val="en-AU"/>
        </w:rPr>
        <w:lastRenderedPageBreak/>
        <w:t xml:space="preserve">Table </w:t>
      </w:r>
      <w:r w:rsidRPr="004D294A">
        <w:rPr>
          <w:rFonts w:ascii="Arial" w:hAnsi="Arial" w:cs="Arial"/>
          <w:lang w:val="en-AU"/>
        </w:rPr>
        <w:fldChar w:fldCharType="begin"/>
      </w:r>
      <w:r w:rsidRPr="004D294A">
        <w:rPr>
          <w:rFonts w:ascii="Arial" w:hAnsi="Arial" w:cs="Arial"/>
          <w:lang w:val="en-AU"/>
        </w:rPr>
        <w:instrText xml:space="preserve"> SEQ Table \* ARABIC </w:instrText>
      </w:r>
      <w:r w:rsidRPr="004D294A">
        <w:rPr>
          <w:rFonts w:ascii="Arial" w:hAnsi="Arial" w:cs="Arial"/>
          <w:lang w:val="en-AU"/>
        </w:rPr>
        <w:fldChar w:fldCharType="separate"/>
      </w:r>
      <w:r w:rsidR="00016592">
        <w:rPr>
          <w:rFonts w:ascii="Arial" w:hAnsi="Arial" w:cs="Arial"/>
          <w:noProof/>
          <w:lang w:val="en-AU"/>
        </w:rPr>
        <w:t>64</w:t>
      </w:r>
      <w:r w:rsidRPr="004D294A">
        <w:rPr>
          <w:rFonts w:ascii="Arial" w:hAnsi="Arial" w:cs="Arial"/>
          <w:lang w:val="en-AU"/>
        </w:rPr>
        <w:fldChar w:fldCharType="end"/>
      </w:r>
      <w:bookmarkEnd w:id="637"/>
      <w:r w:rsidRPr="004D294A">
        <w:rPr>
          <w:rFonts w:ascii="Arial" w:hAnsi="Arial" w:cs="Arial"/>
          <w:lang w:val="en-AU"/>
        </w:rPr>
        <w:t xml:space="preserve"> – Estimated cost to</w:t>
      </w:r>
      <w:r>
        <w:rPr>
          <w:rFonts w:ascii="Arial" w:hAnsi="Arial" w:cs="Arial"/>
          <w:lang w:val="en-AU"/>
        </w:rPr>
        <w:t xml:space="preserve"> t</w:t>
      </w:r>
      <w:r w:rsidRPr="004D294A">
        <w:rPr>
          <w:rFonts w:ascii="Arial" w:hAnsi="Arial" w:cs="Arial"/>
          <w:lang w:val="en-AU"/>
        </w:rPr>
        <w:t xml:space="preserve">he MBS of </w:t>
      </w:r>
      <w:r>
        <w:rPr>
          <w:rFonts w:ascii="Arial" w:hAnsi="Arial" w:cs="Arial"/>
          <w:lang w:val="en-AU"/>
        </w:rPr>
        <w:t>associated pre-operational</w:t>
      </w:r>
      <w:r w:rsidRPr="004D294A">
        <w:rPr>
          <w:rFonts w:ascii="Arial" w:hAnsi="Arial" w:cs="Arial"/>
          <w:lang w:val="en-AU"/>
        </w:rPr>
        <w:t xml:space="preserve"> items</w:t>
      </w:r>
      <w:bookmarkEnd w:id="638"/>
    </w:p>
    <w:tbl>
      <w:tblPr>
        <w:tblW w:w="13844" w:type="dxa"/>
        <w:jc w:val="center"/>
        <w:tblLook w:val="04A0" w:firstRow="1" w:lastRow="0" w:firstColumn="1" w:lastColumn="0" w:noHBand="0" w:noVBand="1"/>
        <w:tblDescription w:val="Estimated cost to the MBS of associated pre-operational items"/>
      </w:tblPr>
      <w:tblGrid>
        <w:gridCol w:w="505"/>
        <w:gridCol w:w="3125"/>
        <w:gridCol w:w="1630"/>
        <w:gridCol w:w="1589"/>
        <w:gridCol w:w="1399"/>
        <w:gridCol w:w="1399"/>
        <w:gridCol w:w="1399"/>
        <w:gridCol w:w="1399"/>
        <w:gridCol w:w="1399"/>
      </w:tblGrid>
      <w:tr w:rsidR="003C53BB" w:rsidRPr="003C53BB" w14:paraId="3FE731B9" w14:textId="77777777" w:rsidTr="00BF0EEF">
        <w:trPr>
          <w:trHeight w:val="360"/>
          <w:jc w:val="center"/>
        </w:trPr>
        <w:tc>
          <w:tcPr>
            <w:tcW w:w="505"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80D900B" w14:textId="77777777" w:rsidR="003C53BB" w:rsidRPr="003C53BB" w:rsidRDefault="003C53BB" w:rsidP="003C53BB">
            <w:pPr>
              <w:rPr>
                <w:rFonts w:cs="Arial"/>
                <w:b/>
                <w:bCs/>
                <w:color w:val="000000"/>
                <w:sz w:val="20"/>
                <w:szCs w:val="20"/>
                <w:lang w:val="en-US" w:eastAsia="en-US"/>
              </w:rPr>
            </w:pPr>
            <w:r w:rsidRPr="003C53BB">
              <w:rPr>
                <w:rFonts w:cs="Arial"/>
                <w:b/>
                <w:bCs/>
                <w:color w:val="000000"/>
                <w:sz w:val="20"/>
                <w:szCs w:val="20"/>
                <w:lang w:val="en-US" w:eastAsia="en-US"/>
              </w:rPr>
              <w:t> </w:t>
            </w:r>
          </w:p>
        </w:tc>
        <w:tc>
          <w:tcPr>
            <w:tcW w:w="3125" w:type="dxa"/>
            <w:tcBorders>
              <w:top w:val="single" w:sz="8" w:space="0" w:color="auto"/>
              <w:left w:val="nil"/>
              <w:bottom w:val="single" w:sz="4" w:space="0" w:color="auto"/>
              <w:right w:val="single" w:sz="4" w:space="0" w:color="auto"/>
            </w:tcBorders>
            <w:shd w:val="clear" w:color="auto" w:fill="auto"/>
            <w:vAlign w:val="center"/>
            <w:hideMark/>
          </w:tcPr>
          <w:p w14:paraId="0B5BBE28" w14:textId="77777777" w:rsidR="003C53BB" w:rsidRPr="003C53BB" w:rsidRDefault="003C53BB" w:rsidP="003C53BB">
            <w:pPr>
              <w:rPr>
                <w:rFonts w:cs="Arial"/>
                <w:b/>
                <w:bCs/>
                <w:color w:val="000000"/>
                <w:sz w:val="20"/>
                <w:szCs w:val="20"/>
                <w:lang w:val="en-US" w:eastAsia="en-US"/>
              </w:rPr>
            </w:pPr>
            <w:r w:rsidRPr="003C53BB">
              <w:rPr>
                <w:rFonts w:cs="Arial"/>
                <w:b/>
                <w:bCs/>
                <w:color w:val="000000"/>
                <w:sz w:val="20"/>
                <w:szCs w:val="20"/>
                <w:lang w:val="en-US" w:eastAsia="en-US"/>
              </w:rPr>
              <w:t>Description</w:t>
            </w:r>
          </w:p>
        </w:tc>
        <w:tc>
          <w:tcPr>
            <w:tcW w:w="1630" w:type="dxa"/>
            <w:tcBorders>
              <w:top w:val="single" w:sz="8" w:space="0" w:color="auto"/>
              <w:left w:val="nil"/>
              <w:bottom w:val="single" w:sz="4" w:space="0" w:color="auto"/>
              <w:right w:val="single" w:sz="4" w:space="0" w:color="auto"/>
            </w:tcBorders>
            <w:shd w:val="clear" w:color="auto" w:fill="auto"/>
            <w:vAlign w:val="center"/>
            <w:hideMark/>
          </w:tcPr>
          <w:p w14:paraId="599AB4EF" w14:textId="77777777" w:rsidR="003C53BB" w:rsidRPr="003C53BB" w:rsidRDefault="003C53BB" w:rsidP="003C53BB">
            <w:pPr>
              <w:jc w:val="center"/>
              <w:rPr>
                <w:rFonts w:cs="Arial"/>
                <w:b/>
                <w:bCs/>
                <w:color w:val="000000"/>
                <w:sz w:val="16"/>
                <w:szCs w:val="16"/>
                <w:lang w:val="en-US" w:eastAsia="en-US"/>
              </w:rPr>
            </w:pPr>
            <w:r w:rsidRPr="003C53BB">
              <w:rPr>
                <w:rFonts w:cs="Arial"/>
                <w:b/>
                <w:bCs/>
                <w:color w:val="000000"/>
                <w:sz w:val="16"/>
                <w:szCs w:val="16"/>
                <w:lang w:val="en-US" w:eastAsia="en-US"/>
              </w:rPr>
              <w:t>Method</w:t>
            </w:r>
          </w:p>
        </w:tc>
        <w:tc>
          <w:tcPr>
            <w:tcW w:w="1589" w:type="dxa"/>
            <w:tcBorders>
              <w:top w:val="single" w:sz="8" w:space="0" w:color="auto"/>
              <w:left w:val="nil"/>
              <w:bottom w:val="single" w:sz="4" w:space="0" w:color="auto"/>
              <w:right w:val="single" w:sz="4" w:space="0" w:color="auto"/>
            </w:tcBorders>
            <w:shd w:val="clear" w:color="auto" w:fill="auto"/>
            <w:noWrap/>
            <w:vAlign w:val="center"/>
            <w:hideMark/>
          </w:tcPr>
          <w:p w14:paraId="1F1C1BB4" w14:textId="77777777" w:rsidR="003C53BB" w:rsidRPr="003C53BB" w:rsidRDefault="003C53BB" w:rsidP="003C53BB">
            <w:pPr>
              <w:jc w:val="center"/>
              <w:rPr>
                <w:rFonts w:cs="Arial"/>
                <w:b/>
                <w:bCs/>
                <w:color w:val="000000"/>
                <w:sz w:val="16"/>
                <w:szCs w:val="16"/>
                <w:lang w:val="en-US" w:eastAsia="en-US"/>
              </w:rPr>
            </w:pPr>
            <w:r w:rsidRPr="003C53BB">
              <w:rPr>
                <w:rFonts w:cs="Arial"/>
                <w:b/>
                <w:bCs/>
                <w:color w:val="000000"/>
                <w:sz w:val="16"/>
                <w:szCs w:val="16"/>
                <w:lang w:val="en-US" w:eastAsia="en-US"/>
              </w:rPr>
              <w:t>current (2016)</w:t>
            </w:r>
          </w:p>
        </w:tc>
        <w:tc>
          <w:tcPr>
            <w:tcW w:w="1399" w:type="dxa"/>
            <w:tcBorders>
              <w:top w:val="single" w:sz="8" w:space="0" w:color="auto"/>
              <w:left w:val="nil"/>
              <w:bottom w:val="single" w:sz="4" w:space="0" w:color="auto"/>
              <w:right w:val="single" w:sz="4" w:space="0" w:color="auto"/>
            </w:tcBorders>
            <w:shd w:val="clear" w:color="auto" w:fill="auto"/>
            <w:noWrap/>
            <w:vAlign w:val="center"/>
            <w:hideMark/>
          </w:tcPr>
          <w:p w14:paraId="145F8AEE" w14:textId="77777777" w:rsidR="003C53BB" w:rsidRPr="003C53BB" w:rsidRDefault="003C53BB" w:rsidP="003C53BB">
            <w:pPr>
              <w:jc w:val="center"/>
              <w:rPr>
                <w:rFonts w:cs="Arial"/>
                <w:b/>
                <w:bCs/>
                <w:color w:val="000000"/>
                <w:sz w:val="16"/>
                <w:szCs w:val="16"/>
                <w:lang w:val="en-US" w:eastAsia="en-US"/>
              </w:rPr>
            </w:pPr>
            <w:r w:rsidRPr="003C53BB">
              <w:rPr>
                <w:rFonts w:cs="Arial"/>
                <w:b/>
                <w:bCs/>
                <w:color w:val="000000"/>
                <w:sz w:val="16"/>
                <w:szCs w:val="16"/>
                <w:lang w:val="en-US" w:eastAsia="en-US"/>
              </w:rPr>
              <w:t>2017</w:t>
            </w:r>
          </w:p>
        </w:tc>
        <w:tc>
          <w:tcPr>
            <w:tcW w:w="1399" w:type="dxa"/>
            <w:tcBorders>
              <w:top w:val="single" w:sz="8" w:space="0" w:color="auto"/>
              <w:left w:val="nil"/>
              <w:bottom w:val="single" w:sz="4" w:space="0" w:color="auto"/>
              <w:right w:val="single" w:sz="4" w:space="0" w:color="auto"/>
            </w:tcBorders>
            <w:shd w:val="clear" w:color="auto" w:fill="auto"/>
            <w:noWrap/>
            <w:vAlign w:val="center"/>
            <w:hideMark/>
          </w:tcPr>
          <w:p w14:paraId="30618B54" w14:textId="77777777" w:rsidR="003C53BB" w:rsidRPr="003C53BB" w:rsidRDefault="003C53BB" w:rsidP="003C53BB">
            <w:pPr>
              <w:jc w:val="center"/>
              <w:rPr>
                <w:rFonts w:cs="Arial"/>
                <w:b/>
                <w:bCs/>
                <w:color w:val="000000"/>
                <w:sz w:val="16"/>
                <w:szCs w:val="16"/>
                <w:lang w:val="en-US" w:eastAsia="en-US"/>
              </w:rPr>
            </w:pPr>
            <w:r w:rsidRPr="003C53BB">
              <w:rPr>
                <w:rFonts w:cs="Arial"/>
                <w:b/>
                <w:bCs/>
                <w:color w:val="000000"/>
                <w:sz w:val="16"/>
                <w:szCs w:val="16"/>
                <w:lang w:val="en-US" w:eastAsia="en-US"/>
              </w:rPr>
              <w:t>2018</w:t>
            </w:r>
          </w:p>
        </w:tc>
        <w:tc>
          <w:tcPr>
            <w:tcW w:w="1399" w:type="dxa"/>
            <w:tcBorders>
              <w:top w:val="single" w:sz="8" w:space="0" w:color="auto"/>
              <w:left w:val="nil"/>
              <w:bottom w:val="single" w:sz="4" w:space="0" w:color="auto"/>
              <w:right w:val="single" w:sz="4" w:space="0" w:color="auto"/>
            </w:tcBorders>
            <w:shd w:val="clear" w:color="auto" w:fill="auto"/>
            <w:noWrap/>
            <w:vAlign w:val="center"/>
            <w:hideMark/>
          </w:tcPr>
          <w:p w14:paraId="292AD834" w14:textId="77777777" w:rsidR="003C53BB" w:rsidRPr="003C53BB" w:rsidRDefault="003C53BB" w:rsidP="003C53BB">
            <w:pPr>
              <w:jc w:val="center"/>
              <w:rPr>
                <w:rFonts w:cs="Arial"/>
                <w:b/>
                <w:bCs/>
                <w:color w:val="000000"/>
                <w:sz w:val="16"/>
                <w:szCs w:val="16"/>
                <w:lang w:val="en-US" w:eastAsia="en-US"/>
              </w:rPr>
            </w:pPr>
            <w:r w:rsidRPr="003C53BB">
              <w:rPr>
                <w:rFonts w:cs="Arial"/>
                <w:b/>
                <w:bCs/>
                <w:color w:val="000000"/>
                <w:sz w:val="16"/>
                <w:szCs w:val="16"/>
                <w:lang w:val="en-US" w:eastAsia="en-US"/>
              </w:rPr>
              <w:t>2019</w:t>
            </w:r>
          </w:p>
        </w:tc>
        <w:tc>
          <w:tcPr>
            <w:tcW w:w="1399" w:type="dxa"/>
            <w:tcBorders>
              <w:top w:val="single" w:sz="8" w:space="0" w:color="auto"/>
              <w:left w:val="nil"/>
              <w:bottom w:val="single" w:sz="4" w:space="0" w:color="auto"/>
              <w:right w:val="single" w:sz="4" w:space="0" w:color="auto"/>
            </w:tcBorders>
            <w:shd w:val="clear" w:color="auto" w:fill="auto"/>
            <w:noWrap/>
            <w:vAlign w:val="center"/>
            <w:hideMark/>
          </w:tcPr>
          <w:p w14:paraId="6BB50FB1" w14:textId="77777777" w:rsidR="003C53BB" w:rsidRPr="003C53BB" w:rsidRDefault="003C53BB" w:rsidP="003C53BB">
            <w:pPr>
              <w:jc w:val="center"/>
              <w:rPr>
                <w:rFonts w:cs="Arial"/>
                <w:b/>
                <w:bCs/>
                <w:color w:val="000000"/>
                <w:sz w:val="16"/>
                <w:szCs w:val="16"/>
                <w:lang w:val="en-US" w:eastAsia="en-US"/>
              </w:rPr>
            </w:pPr>
            <w:r w:rsidRPr="003C53BB">
              <w:rPr>
                <w:rFonts w:cs="Arial"/>
                <w:b/>
                <w:bCs/>
                <w:color w:val="000000"/>
                <w:sz w:val="16"/>
                <w:szCs w:val="16"/>
                <w:lang w:val="en-US" w:eastAsia="en-US"/>
              </w:rPr>
              <w:t>2020</w:t>
            </w:r>
          </w:p>
        </w:tc>
        <w:tc>
          <w:tcPr>
            <w:tcW w:w="1399" w:type="dxa"/>
            <w:tcBorders>
              <w:top w:val="single" w:sz="8" w:space="0" w:color="auto"/>
              <w:left w:val="nil"/>
              <w:bottom w:val="single" w:sz="4" w:space="0" w:color="auto"/>
              <w:right w:val="single" w:sz="8" w:space="0" w:color="auto"/>
            </w:tcBorders>
            <w:shd w:val="clear" w:color="auto" w:fill="auto"/>
            <w:noWrap/>
            <w:vAlign w:val="center"/>
            <w:hideMark/>
          </w:tcPr>
          <w:p w14:paraId="1C27DA1C" w14:textId="77777777" w:rsidR="003C53BB" w:rsidRPr="003C53BB" w:rsidRDefault="003C53BB" w:rsidP="003C53BB">
            <w:pPr>
              <w:jc w:val="center"/>
              <w:rPr>
                <w:rFonts w:cs="Arial"/>
                <w:b/>
                <w:bCs/>
                <w:color w:val="000000"/>
                <w:sz w:val="16"/>
                <w:szCs w:val="16"/>
                <w:lang w:val="en-US" w:eastAsia="en-US"/>
              </w:rPr>
            </w:pPr>
            <w:r w:rsidRPr="003C53BB">
              <w:rPr>
                <w:rFonts w:cs="Arial"/>
                <w:b/>
                <w:bCs/>
                <w:color w:val="000000"/>
                <w:sz w:val="16"/>
                <w:szCs w:val="16"/>
                <w:lang w:val="en-US" w:eastAsia="en-US"/>
              </w:rPr>
              <w:t>2021</w:t>
            </w:r>
          </w:p>
        </w:tc>
      </w:tr>
      <w:tr w:rsidR="003C53BB" w:rsidRPr="003C53BB" w14:paraId="61B96867" w14:textId="77777777" w:rsidTr="00BF0EEF">
        <w:trPr>
          <w:trHeight w:val="540"/>
          <w:jc w:val="center"/>
        </w:trPr>
        <w:tc>
          <w:tcPr>
            <w:tcW w:w="505" w:type="dxa"/>
            <w:tcBorders>
              <w:top w:val="nil"/>
              <w:left w:val="single" w:sz="8" w:space="0" w:color="auto"/>
              <w:bottom w:val="single" w:sz="4" w:space="0" w:color="auto"/>
              <w:right w:val="single" w:sz="4" w:space="0" w:color="auto"/>
            </w:tcBorders>
            <w:shd w:val="clear" w:color="auto" w:fill="auto"/>
            <w:noWrap/>
            <w:vAlign w:val="center"/>
            <w:hideMark/>
          </w:tcPr>
          <w:p w14:paraId="236B5FF9" w14:textId="77777777" w:rsidR="003C53BB" w:rsidRPr="003C53BB" w:rsidRDefault="003C53BB" w:rsidP="003C53BB">
            <w:pPr>
              <w:rPr>
                <w:rFonts w:cs="Arial"/>
                <w:b/>
                <w:bCs/>
                <w:color w:val="000000"/>
                <w:sz w:val="20"/>
                <w:szCs w:val="20"/>
                <w:lang w:val="en-US" w:eastAsia="en-US"/>
              </w:rPr>
            </w:pPr>
            <w:r w:rsidRPr="003C53BB">
              <w:rPr>
                <w:rFonts w:cs="Arial"/>
                <w:b/>
                <w:bCs/>
                <w:color w:val="000000"/>
                <w:sz w:val="20"/>
                <w:szCs w:val="20"/>
                <w:lang w:val="en-US" w:eastAsia="en-US"/>
              </w:rPr>
              <w:t> </w:t>
            </w:r>
          </w:p>
        </w:tc>
        <w:tc>
          <w:tcPr>
            <w:tcW w:w="13339" w:type="dxa"/>
            <w:gridSpan w:val="8"/>
            <w:tcBorders>
              <w:top w:val="single" w:sz="4" w:space="0" w:color="auto"/>
              <w:left w:val="single" w:sz="4" w:space="0" w:color="auto"/>
              <w:bottom w:val="single" w:sz="4" w:space="0" w:color="auto"/>
              <w:right w:val="single" w:sz="8" w:space="0" w:color="000000"/>
            </w:tcBorders>
            <w:shd w:val="clear" w:color="auto" w:fill="auto"/>
            <w:vAlign w:val="center"/>
            <w:hideMark/>
          </w:tcPr>
          <w:p w14:paraId="694D9E29" w14:textId="77777777" w:rsidR="003C53BB" w:rsidRPr="003C53BB" w:rsidRDefault="003C53BB" w:rsidP="003C53BB">
            <w:pPr>
              <w:rPr>
                <w:rFonts w:cs="Arial"/>
                <w:b/>
                <w:bCs/>
                <w:color w:val="000000"/>
                <w:lang w:val="en-US" w:eastAsia="en-US"/>
              </w:rPr>
            </w:pPr>
            <w:r w:rsidRPr="003C53BB">
              <w:rPr>
                <w:rFonts w:cs="Arial"/>
                <w:b/>
                <w:bCs/>
                <w:color w:val="000000"/>
                <w:lang w:val="en-US" w:eastAsia="en-US"/>
              </w:rPr>
              <w:t>VSB</w:t>
            </w:r>
          </w:p>
        </w:tc>
      </w:tr>
      <w:tr w:rsidR="003C53BB" w:rsidRPr="003C53BB" w14:paraId="20C01940" w14:textId="77777777" w:rsidTr="00BF0EEF">
        <w:trPr>
          <w:trHeight w:val="600"/>
          <w:jc w:val="center"/>
        </w:trPr>
        <w:tc>
          <w:tcPr>
            <w:tcW w:w="505" w:type="dxa"/>
            <w:tcBorders>
              <w:top w:val="nil"/>
              <w:left w:val="single" w:sz="8" w:space="0" w:color="auto"/>
              <w:bottom w:val="single" w:sz="4" w:space="0" w:color="auto"/>
              <w:right w:val="single" w:sz="4" w:space="0" w:color="auto"/>
            </w:tcBorders>
            <w:shd w:val="clear" w:color="auto" w:fill="auto"/>
            <w:noWrap/>
            <w:vAlign w:val="center"/>
            <w:hideMark/>
          </w:tcPr>
          <w:p w14:paraId="20E72BA2" w14:textId="77777777" w:rsidR="003C53BB" w:rsidRPr="003C53BB" w:rsidRDefault="003C53BB" w:rsidP="003C53BB">
            <w:pPr>
              <w:rPr>
                <w:rFonts w:cs="Arial"/>
                <w:b/>
                <w:bCs/>
                <w:color w:val="000000"/>
                <w:sz w:val="20"/>
                <w:szCs w:val="20"/>
                <w:lang w:val="en-US" w:eastAsia="en-US"/>
              </w:rPr>
            </w:pPr>
            <w:r w:rsidRPr="003C53BB">
              <w:rPr>
                <w:rFonts w:cs="Arial"/>
                <w:b/>
                <w:bCs/>
                <w:color w:val="000000"/>
                <w:sz w:val="20"/>
                <w:szCs w:val="20"/>
                <w:lang w:val="en-US" w:eastAsia="en-US"/>
              </w:rPr>
              <w:t>U</w:t>
            </w:r>
          </w:p>
        </w:tc>
        <w:tc>
          <w:tcPr>
            <w:tcW w:w="3125" w:type="dxa"/>
            <w:tcBorders>
              <w:top w:val="nil"/>
              <w:left w:val="nil"/>
              <w:bottom w:val="single" w:sz="4" w:space="0" w:color="auto"/>
              <w:right w:val="single" w:sz="4" w:space="0" w:color="auto"/>
            </w:tcBorders>
            <w:shd w:val="clear" w:color="auto" w:fill="auto"/>
            <w:vAlign w:val="center"/>
            <w:hideMark/>
          </w:tcPr>
          <w:p w14:paraId="5F81B520" w14:textId="77777777" w:rsidR="003C53BB" w:rsidRPr="003C53BB" w:rsidRDefault="003C53BB" w:rsidP="003C53BB">
            <w:pPr>
              <w:rPr>
                <w:rFonts w:cs="Arial"/>
                <w:color w:val="000000"/>
                <w:sz w:val="20"/>
                <w:szCs w:val="20"/>
                <w:lang w:val="en-US" w:eastAsia="en-US"/>
              </w:rPr>
            </w:pPr>
            <w:r w:rsidRPr="003C53BB">
              <w:rPr>
                <w:rFonts w:cs="Arial"/>
                <w:color w:val="000000"/>
                <w:sz w:val="20"/>
                <w:szCs w:val="20"/>
                <w:lang w:val="en-US" w:eastAsia="en-US"/>
              </w:rPr>
              <w:t>Cost of ENT specialist (2 visits)</w:t>
            </w:r>
          </w:p>
        </w:tc>
        <w:tc>
          <w:tcPr>
            <w:tcW w:w="1630" w:type="dxa"/>
            <w:tcBorders>
              <w:top w:val="nil"/>
              <w:left w:val="nil"/>
              <w:bottom w:val="single" w:sz="4" w:space="0" w:color="auto"/>
              <w:right w:val="single" w:sz="4" w:space="0" w:color="auto"/>
            </w:tcBorders>
            <w:shd w:val="clear" w:color="auto" w:fill="auto"/>
            <w:vAlign w:val="center"/>
            <w:hideMark/>
          </w:tcPr>
          <w:p w14:paraId="0E0E6D36" w14:textId="77777777" w:rsidR="003C53BB" w:rsidRPr="003C53BB" w:rsidRDefault="003C53BB" w:rsidP="003C53BB">
            <w:pPr>
              <w:rPr>
                <w:rFonts w:cs="Arial"/>
                <w:color w:val="000000"/>
                <w:sz w:val="16"/>
                <w:szCs w:val="16"/>
                <w:lang w:val="en-US" w:eastAsia="en-US"/>
              </w:rPr>
            </w:pPr>
            <w:r w:rsidRPr="003C53BB">
              <w:rPr>
                <w:rFonts w:cs="Arial"/>
                <w:color w:val="000000"/>
                <w:sz w:val="16"/>
                <w:szCs w:val="16"/>
                <w:lang w:val="en-US" w:eastAsia="en-US"/>
              </w:rPr>
              <w:fldChar w:fldCharType="begin"/>
            </w:r>
            <w:r w:rsidRPr="003C53BB">
              <w:rPr>
                <w:rFonts w:cs="Arial"/>
                <w:color w:val="000000"/>
                <w:sz w:val="16"/>
                <w:szCs w:val="16"/>
                <w:lang w:val="en-US" w:eastAsia="en-US"/>
              </w:rPr>
              <w:instrText xml:space="preserve"> REF _Ref430941316 \h </w:instrText>
            </w:r>
            <w:r>
              <w:rPr>
                <w:rFonts w:cs="Arial"/>
                <w:color w:val="000000"/>
                <w:sz w:val="16"/>
                <w:szCs w:val="16"/>
                <w:lang w:val="en-US" w:eastAsia="en-US"/>
              </w:rPr>
              <w:instrText xml:space="preserve"> \* MERGEFORMAT </w:instrText>
            </w:r>
            <w:r w:rsidRPr="003C53BB">
              <w:rPr>
                <w:rFonts w:cs="Arial"/>
                <w:color w:val="000000"/>
                <w:sz w:val="16"/>
                <w:szCs w:val="16"/>
                <w:lang w:val="en-US" w:eastAsia="en-US"/>
              </w:rPr>
            </w:r>
            <w:r w:rsidRPr="003C53BB">
              <w:rPr>
                <w:rFonts w:cs="Arial"/>
                <w:color w:val="000000"/>
                <w:sz w:val="16"/>
                <w:szCs w:val="16"/>
                <w:lang w:val="en-US" w:eastAsia="en-US"/>
              </w:rPr>
              <w:fldChar w:fldCharType="separate"/>
            </w:r>
            <w:r w:rsidR="00016592" w:rsidRPr="00016592">
              <w:rPr>
                <w:rFonts w:cs="Arial"/>
                <w:sz w:val="16"/>
                <w:szCs w:val="16"/>
              </w:rPr>
              <w:t xml:space="preserve">Table </w:t>
            </w:r>
            <w:r w:rsidR="00016592" w:rsidRPr="00016592">
              <w:rPr>
                <w:rFonts w:cs="Arial"/>
                <w:noProof/>
                <w:sz w:val="16"/>
                <w:szCs w:val="16"/>
              </w:rPr>
              <w:t>61</w:t>
            </w:r>
            <w:r w:rsidRPr="003C53BB">
              <w:rPr>
                <w:rFonts w:cs="Arial"/>
                <w:color w:val="000000"/>
                <w:sz w:val="16"/>
                <w:szCs w:val="16"/>
                <w:lang w:val="en-US" w:eastAsia="en-US"/>
              </w:rPr>
              <w:fldChar w:fldCharType="end"/>
            </w:r>
            <w:r w:rsidRPr="003C53BB">
              <w:rPr>
                <w:rFonts w:cs="Arial"/>
                <w:color w:val="000000"/>
                <w:sz w:val="16"/>
                <w:szCs w:val="16"/>
                <w:lang w:val="en-US" w:eastAsia="en-US"/>
              </w:rPr>
              <w:t>, row K x AUD 85,55 x 2</w:t>
            </w:r>
          </w:p>
        </w:tc>
        <w:tc>
          <w:tcPr>
            <w:tcW w:w="1589" w:type="dxa"/>
            <w:tcBorders>
              <w:top w:val="nil"/>
              <w:left w:val="nil"/>
              <w:bottom w:val="single" w:sz="8" w:space="0" w:color="auto"/>
              <w:right w:val="single" w:sz="4" w:space="0" w:color="auto"/>
            </w:tcBorders>
            <w:shd w:val="clear" w:color="auto" w:fill="auto"/>
            <w:noWrap/>
            <w:vAlign w:val="center"/>
            <w:hideMark/>
          </w:tcPr>
          <w:p w14:paraId="5A806943" w14:textId="19C1E612" w:rsidR="003C53BB" w:rsidRPr="003C53BB" w:rsidRDefault="003C53BB" w:rsidP="003C53BB">
            <w:pPr>
              <w:rPr>
                <w:rFonts w:cs="Arial"/>
                <w:color w:val="000000"/>
                <w:sz w:val="16"/>
                <w:szCs w:val="16"/>
                <w:lang w:val="en-US" w:eastAsia="en-US"/>
              </w:rPr>
            </w:pPr>
            <w:r w:rsidRPr="003C53BB">
              <w:rPr>
                <w:rFonts w:cs="Arial"/>
                <w:color w:val="000000"/>
                <w:sz w:val="16"/>
                <w:szCs w:val="16"/>
                <w:lang w:val="en-US" w:eastAsia="en-US"/>
              </w:rPr>
              <w:t xml:space="preserve"> AUD   12.148 </w:t>
            </w:r>
          </w:p>
        </w:tc>
        <w:tc>
          <w:tcPr>
            <w:tcW w:w="1399" w:type="dxa"/>
            <w:tcBorders>
              <w:top w:val="nil"/>
              <w:left w:val="nil"/>
              <w:bottom w:val="single" w:sz="8" w:space="0" w:color="auto"/>
              <w:right w:val="single" w:sz="4" w:space="0" w:color="auto"/>
            </w:tcBorders>
            <w:shd w:val="clear" w:color="auto" w:fill="auto"/>
            <w:noWrap/>
            <w:vAlign w:val="center"/>
            <w:hideMark/>
          </w:tcPr>
          <w:p w14:paraId="0B531578" w14:textId="3EA3EEB2" w:rsidR="003C53BB" w:rsidRPr="003C53BB" w:rsidRDefault="003C53BB" w:rsidP="003C53BB">
            <w:pPr>
              <w:rPr>
                <w:rFonts w:cs="Arial"/>
                <w:color w:val="000000"/>
                <w:sz w:val="16"/>
                <w:szCs w:val="16"/>
                <w:lang w:val="en-US" w:eastAsia="en-US"/>
              </w:rPr>
            </w:pPr>
            <w:r w:rsidRPr="003C53BB">
              <w:rPr>
                <w:rFonts w:cs="Arial"/>
                <w:color w:val="000000"/>
                <w:sz w:val="16"/>
                <w:szCs w:val="16"/>
                <w:lang w:val="en-US" w:eastAsia="en-US"/>
              </w:rPr>
              <w:t xml:space="preserve"> AUD   12.319 </w:t>
            </w:r>
          </w:p>
        </w:tc>
        <w:tc>
          <w:tcPr>
            <w:tcW w:w="1399" w:type="dxa"/>
            <w:tcBorders>
              <w:top w:val="nil"/>
              <w:left w:val="nil"/>
              <w:bottom w:val="single" w:sz="8" w:space="0" w:color="auto"/>
              <w:right w:val="single" w:sz="4" w:space="0" w:color="auto"/>
            </w:tcBorders>
            <w:shd w:val="clear" w:color="auto" w:fill="auto"/>
            <w:noWrap/>
            <w:vAlign w:val="center"/>
            <w:hideMark/>
          </w:tcPr>
          <w:p w14:paraId="0D6B662D" w14:textId="1D2AB9C8" w:rsidR="003C53BB" w:rsidRPr="003C53BB" w:rsidRDefault="003C53BB" w:rsidP="003C53BB">
            <w:pPr>
              <w:rPr>
                <w:rFonts w:cs="Arial"/>
                <w:color w:val="000000"/>
                <w:sz w:val="16"/>
                <w:szCs w:val="16"/>
                <w:lang w:val="en-US" w:eastAsia="en-US"/>
              </w:rPr>
            </w:pPr>
            <w:r w:rsidRPr="003C53BB">
              <w:rPr>
                <w:rFonts w:cs="Arial"/>
                <w:color w:val="000000"/>
                <w:sz w:val="16"/>
                <w:szCs w:val="16"/>
                <w:lang w:val="en-US" w:eastAsia="en-US"/>
              </w:rPr>
              <w:t xml:space="preserve"> AUD</w:t>
            </w:r>
            <w:r w:rsidR="00BE1424">
              <w:rPr>
                <w:rFonts w:cs="Arial"/>
                <w:color w:val="000000"/>
                <w:sz w:val="16"/>
                <w:szCs w:val="16"/>
                <w:lang w:val="en-US" w:eastAsia="en-US"/>
              </w:rPr>
              <w:t xml:space="preserve">  </w:t>
            </w:r>
            <w:r w:rsidRPr="003C53BB">
              <w:rPr>
                <w:rFonts w:cs="Arial"/>
                <w:color w:val="000000"/>
                <w:sz w:val="16"/>
                <w:szCs w:val="16"/>
                <w:lang w:val="en-US" w:eastAsia="en-US"/>
              </w:rPr>
              <w:t xml:space="preserve"> 12.661 </w:t>
            </w:r>
          </w:p>
        </w:tc>
        <w:tc>
          <w:tcPr>
            <w:tcW w:w="1399" w:type="dxa"/>
            <w:tcBorders>
              <w:top w:val="nil"/>
              <w:left w:val="nil"/>
              <w:bottom w:val="single" w:sz="8" w:space="0" w:color="auto"/>
              <w:right w:val="single" w:sz="4" w:space="0" w:color="auto"/>
            </w:tcBorders>
            <w:shd w:val="clear" w:color="auto" w:fill="auto"/>
            <w:noWrap/>
            <w:vAlign w:val="center"/>
            <w:hideMark/>
          </w:tcPr>
          <w:p w14:paraId="6C3B8E0F" w14:textId="474066C4" w:rsidR="003C53BB" w:rsidRPr="003C53BB" w:rsidRDefault="003C53BB" w:rsidP="003C53BB">
            <w:pPr>
              <w:rPr>
                <w:rFonts w:cs="Arial"/>
                <w:color w:val="000000"/>
                <w:sz w:val="16"/>
                <w:szCs w:val="16"/>
                <w:lang w:val="en-US" w:eastAsia="en-US"/>
              </w:rPr>
            </w:pPr>
            <w:r w:rsidRPr="003C53BB">
              <w:rPr>
                <w:rFonts w:cs="Arial"/>
                <w:color w:val="000000"/>
                <w:sz w:val="16"/>
                <w:szCs w:val="16"/>
                <w:lang w:val="en-US" w:eastAsia="en-US"/>
              </w:rPr>
              <w:t xml:space="preserve"> AUD</w:t>
            </w:r>
            <w:r w:rsidR="00BE1424">
              <w:rPr>
                <w:rFonts w:cs="Arial"/>
                <w:color w:val="000000"/>
                <w:sz w:val="16"/>
                <w:szCs w:val="16"/>
                <w:lang w:val="en-US" w:eastAsia="en-US"/>
              </w:rPr>
              <w:t xml:space="preserve">  </w:t>
            </w:r>
            <w:r w:rsidRPr="003C53BB">
              <w:rPr>
                <w:rFonts w:cs="Arial"/>
                <w:color w:val="000000"/>
                <w:sz w:val="16"/>
                <w:szCs w:val="16"/>
                <w:lang w:val="en-US" w:eastAsia="en-US"/>
              </w:rPr>
              <w:t xml:space="preserve"> 12.833 </w:t>
            </w:r>
          </w:p>
        </w:tc>
        <w:tc>
          <w:tcPr>
            <w:tcW w:w="1399" w:type="dxa"/>
            <w:tcBorders>
              <w:top w:val="nil"/>
              <w:left w:val="nil"/>
              <w:bottom w:val="single" w:sz="8" w:space="0" w:color="auto"/>
              <w:right w:val="single" w:sz="4" w:space="0" w:color="auto"/>
            </w:tcBorders>
            <w:shd w:val="clear" w:color="auto" w:fill="auto"/>
            <w:noWrap/>
            <w:vAlign w:val="center"/>
            <w:hideMark/>
          </w:tcPr>
          <w:p w14:paraId="43C5BAC1" w14:textId="536BD1AB" w:rsidR="003C53BB" w:rsidRPr="003C53BB" w:rsidRDefault="003C53BB" w:rsidP="003C53BB">
            <w:pPr>
              <w:rPr>
                <w:rFonts w:cs="Arial"/>
                <w:color w:val="000000"/>
                <w:sz w:val="16"/>
                <w:szCs w:val="16"/>
                <w:lang w:val="en-US" w:eastAsia="en-US"/>
              </w:rPr>
            </w:pPr>
            <w:r w:rsidRPr="003C53BB">
              <w:rPr>
                <w:rFonts w:cs="Arial"/>
                <w:color w:val="000000"/>
                <w:sz w:val="16"/>
                <w:szCs w:val="16"/>
                <w:lang w:val="en-US" w:eastAsia="en-US"/>
              </w:rPr>
              <w:t xml:space="preserve"> AUD</w:t>
            </w:r>
            <w:r w:rsidR="00BE1424">
              <w:rPr>
                <w:rFonts w:cs="Arial"/>
                <w:color w:val="000000"/>
                <w:sz w:val="16"/>
                <w:szCs w:val="16"/>
                <w:lang w:val="en-US" w:eastAsia="en-US"/>
              </w:rPr>
              <w:t xml:space="preserve">  </w:t>
            </w:r>
            <w:r w:rsidRPr="003C53BB">
              <w:rPr>
                <w:rFonts w:cs="Arial"/>
                <w:color w:val="000000"/>
                <w:sz w:val="16"/>
                <w:szCs w:val="16"/>
                <w:lang w:val="en-US" w:eastAsia="en-US"/>
              </w:rPr>
              <w:t xml:space="preserve"> 13.004 </w:t>
            </w:r>
          </w:p>
        </w:tc>
        <w:tc>
          <w:tcPr>
            <w:tcW w:w="1399" w:type="dxa"/>
            <w:tcBorders>
              <w:top w:val="nil"/>
              <w:left w:val="nil"/>
              <w:bottom w:val="single" w:sz="8" w:space="0" w:color="auto"/>
              <w:right w:val="single" w:sz="8" w:space="0" w:color="auto"/>
            </w:tcBorders>
            <w:shd w:val="clear" w:color="auto" w:fill="auto"/>
            <w:noWrap/>
            <w:vAlign w:val="center"/>
            <w:hideMark/>
          </w:tcPr>
          <w:p w14:paraId="139A47C5" w14:textId="38AADF4B" w:rsidR="003C53BB" w:rsidRPr="003C53BB" w:rsidRDefault="003C53BB" w:rsidP="003C53BB">
            <w:pPr>
              <w:rPr>
                <w:rFonts w:cs="Arial"/>
                <w:color w:val="000000"/>
                <w:sz w:val="16"/>
                <w:szCs w:val="16"/>
                <w:lang w:val="en-US" w:eastAsia="en-US"/>
              </w:rPr>
            </w:pPr>
            <w:r w:rsidRPr="003C53BB">
              <w:rPr>
                <w:rFonts w:cs="Arial"/>
                <w:color w:val="000000"/>
                <w:sz w:val="16"/>
                <w:szCs w:val="16"/>
                <w:lang w:val="en-US" w:eastAsia="en-US"/>
              </w:rPr>
              <w:t xml:space="preserve"> AUD</w:t>
            </w:r>
            <w:r w:rsidR="00BE1424">
              <w:rPr>
                <w:rFonts w:cs="Arial"/>
                <w:color w:val="000000"/>
                <w:sz w:val="16"/>
                <w:szCs w:val="16"/>
                <w:lang w:val="en-US" w:eastAsia="en-US"/>
              </w:rPr>
              <w:t xml:space="preserve"> </w:t>
            </w:r>
            <w:r w:rsidRPr="003C53BB">
              <w:rPr>
                <w:rFonts w:cs="Arial"/>
                <w:color w:val="000000"/>
                <w:sz w:val="16"/>
                <w:szCs w:val="16"/>
                <w:lang w:val="en-US" w:eastAsia="en-US"/>
              </w:rPr>
              <w:t xml:space="preserve">  13.175 </w:t>
            </w:r>
          </w:p>
        </w:tc>
      </w:tr>
      <w:tr w:rsidR="003C53BB" w:rsidRPr="003C53BB" w14:paraId="64A09B0A" w14:textId="77777777" w:rsidTr="00BF0EEF">
        <w:trPr>
          <w:trHeight w:val="600"/>
          <w:jc w:val="center"/>
        </w:trPr>
        <w:tc>
          <w:tcPr>
            <w:tcW w:w="505" w:type="dxa"/>
            <w:tcBorders>
              <w:top w:val="nil"/>
              <w:left w:val="single" w:sz="8" w:space="0" w:color="auto"/>
              <w:bottom w:val="single" w:sz="8" w:space="0" w:color="auto"/>
              <w:right w:val="single" w:sz="4" w:space="0" w:color="auto"/>
            </w:tcBorders>
            <w:shd w:val="clear" w:color="auto" w:fill="auto"/>
            <w:noWrap/>
            <w:vAlign w:val="center"/>
            <w:hideMark/>
          </w:tcPr>
          <w:p w14:paraId="04956713" w14:textId="77777777" w:rsidR="003C53BB" w:rsidRPr="003C53BB" w:rsidRDefault="003C53BB" w:rsidP="003C53BB">
            <w:pPr>
              <w:rPr>
                <w:rFonts w:cs="Arial"/>
                <w:b/>
                <w:bCs/>
                <w:color w:val="000000"/>
                <w:sz w:val="20"/>
                <w:szCs w:val="20"/>
                <w:lang w:val="en-US" w:eastAsia="en-US"/>
              </w:rPr>
            </w:pPr>
            <w:r w:rsidRPr="003C53BB">
              <w:rPr>
                <w:rFonts w:cs="Arial"/>
                <w:b/>
                <w:bCs/>
                <w:color w:val="000000"/>
                <w:sz w:val="20"/>
                <w:szCs w:val="20"/>
                <w:lang w:val="en-US" w:eastAsia="en-US"/>
              </w:rPr>
              <w:t>V</w:t>
            </w:r>
          </w:p>
        </w:tc>
        <w:tc>
          <w:tcPr>
            <w:tcW w:w="3125" w:type="dxa"/>
            <w:tcBorders>
              <w:top w:val="nil"/>
              <w:left w:val="nil"/>
              <w:bottom w:val="single" w:sz="8" w:space="0" w:color="auto"/>
              <w:right w:val="single" w:sz="4" w:space="0" w:color="auto"/>
            </w:tcBorders>
            <w:shd w:val="clear" w:color="auto" w:fill="auto"/>
            <w:vAlign w:val="center"/>
            <w:hideMark/>
          </w:tcPr>
          <w:p w14:paraId="729FE791" w14:textId="77777777" w:rsidR="003C53BB" w:rsidRPr="003C53BB" w:rsidRDefault="003C53BB" w:rsidP="003C53BB">
            <w:pPr>
              <w:rPr>
                <w:rFonts w:cs="Arial"/>
                <w:color w:val="000000"/>
                <w:sz w:val="20"/>
                <w:szCs w:val="20"/>
                <w:lang w:val="en-US" w:eastAsia="en-US"/>
              </w:rPr>
            </w:pPr>
            <w:r w:rsidRPr="003C53BB">
              <w:rPr>
                <w:rFonts w:cs="Arial"/>
                <w:color w:val="000000"/>
                <w:sz w:val="20"/>
                <w:szCs w:val="20"/>
                <w:lang w:val="en-US" w:eastAsia="en-US"/>
              </w:rPr>
              <w:t>Cost of facial stem monitoring</w:t>
            </w:r>
          </w:p>
        </w:tc>
        <w:tc>
          <w:tcPr>
            <w:tcW w:w="1630" w:type="dxa"/>
            <w:tcBorders>
              <w:top w:val="nil"/>
              <w:left w:val="nil"/>
              <w:bottom w:val="single" w:sz="8" w:space="0" w:color="auto"/>
              <w:right w:val="single" w:sz="4" w:space="0" w:color="auto"/>
            </w:tcBorders>
            <w:shd w:val="clear" w:color="auto" w:fill="auto"/>
            <w:vAlign w:val="center"/>
            <w:hideMark/>
          </w:tcPr>
          <w:p w14:paraId="7B839132" w14:textId="77777777" w:rsidR="003C53BB" w:rsidRPr="003C53BB" w:rsidRDefault="003C53BB" w:rsidP="003C53BB">
            <w:pPr>
              <w:rPr>
                <w:rFonts w:cs="Arial"/>
                <w:color w:val="000000"/>
                <w:sz w:val="16"/>
                <w:szCs w:val="16"/>
                <w:lang w:val="en-US" w:eastAsia="en-US"/>
              </w:rPr>
            </w:pPr>
            <w:r w:rsidRPr="003C53BB">
              <w:rPr>
                <w:rFonts w:cs="Arial"/>
                <w:color w:val="000000"/>
                <w:sz w:val="16"/>
                <w:szCs w:val="16"/>
                <w:lang w:val="en-US" w:eastAsia="en-US"/>
              </w:rPr>
              <w:fldChar w:fldCharType="begin"/>
            </w:r>
            <w:r w:rsidRPr="003C53BB">
              <w:rPr>
                <w:rFonts w:cs="Arial"/>
                <w:color w:val="000000"/>
                <w:sz w:val="16"/>
                <w:szCs w:val="16"/>
                <w:lang w:val="en-US" w:eastAsia="en-US"/>
              </w:rPr>
              <w:instrText xml:space="preserve"> REF _Ref430941316 \h </w:instrText>
            </w:r>
            <w:r>
              <w:rPr>
                <w:rFonts w:cs="Arial"/>
                <w:color w:val="000000"/>
                <w:sz w:val="16"/>
                <w:szCs w:val="16"/>
                <w:lang w:val="en-US" w:eastAsia="en-US"/>
              </w:rPr>
              <w:instrText xml:space="preserve"> \* MERGEFORMAT </w:instrText>
            </w:r>
            <w:r w:rsidRPr="003C53BB">
              <w:rPr>
                <w:rFonts w:cs="Arial"/>
                <w:color w:val="000000"/>
                <w:sz w:val="16"/>
                <w:szCs w:val="16"/>
                <w:lang w:val="en-US" w:eastAsia="en-US"/>
              </w:rPr>
            </w:r>
            <w:r w:rsidRPr="003C53BB">
              <w:rPr>
                <w:rFonts w:cs="Arial"/>
                <w:color w:val="000000"/>
                <w:sz w:val="16"/>
                <w:szCs w:val="16"/>
                <w:lang w:val="en-US" w:eastAsia="en-US"/>
              </w:rPr>
              <w:fldChar w:fldCharType="separate"/>
            </w:r>
            <w:r w:rsidR="00016592" w:rsidRPr="00016592">
              <w:rPr>
                <w:rFonts w:cs="Arial"/>
                <w:sz w:val="16"/>
                <w:szCs w:val="16"/>
              </w:rPr>
              <w:t xml:space="preserve">Table </w:t>
            </w:r>
            <w:r w:rsidR="00016592" w:rsidRPr="00016592">
              <w:rPr>
                <w:rFonts w:cs="Arial"/>
                <w:noProof/>
                <w:sz w:val="16"/>
                <w:szCs w:val="16"/>
              </w:rPr>
              <w:t>61</w:t>
            </w:r>
            <w:r w:rsidRPr="003C53BB">
              <w:rPr>
                <w:rFonts w:cs="Arial"/>
                <w:color w:val="000000"/>
                <w:sz w:val="16"/>
                <w:szCs w:val="16"/>
                <w:lang w:val="en-US" w:eastAsia="en-US"/>
              </w:rPr>
              <w:fldChar w:fldCharType="end"/>
            </w:r>
            <w:r w:rsidRPr="003C53BB">
              <w:rPr>
                <w:rFonts w:cs="Arial"/>
                <w:color w:val="000000"/>
                <w:sz w:val="16"/>
                <w:szCs w:val="16"/>
                <w:lang w:val="en-US" w:eastAsia="en-US"/>
              </w:rPr>
              <w:t>, row K x AUD 149,90</w:t>
            </w:r>
          </w:p>
        </w:tc>
        <w:tc>
          <w:tcPr>
            <w:tcW w:w="1589" w:type="dxa"/>
            <w:tcBorders>
              <w:top w:val="single" w:sz="4" w:space="0" w:color="auto"/>
              <w:left w:val="nil"/>
              <w:bottom w:val="single" w:sz="8" w:space="0" w:color="auto"/>
              <w:right w:val="single" w:sz="4" w:space="0" w:color="auto"/>
            </w:tcBorders>
            <w:shd w:val="clear" w:color="auto" w:fill="auto"/>
            <w:noWrap/>
            <w:vAlign w:val="center"/>
            <w:hideMark/>
          </w:tcPr>
          <w:p w14:paraId="01661E2F" w14:textId="5CF6E5F9" w:rsidR="003C53BB" w:rsidRPr="003C53BB" w:rsidRDefault="003C53BB" w:rsidP="003C53BB">
            <w:pPr>
              <w:rPr>
                <w:rFonts w:cs="Arial"/>
                <w:color w:val="000000"/>
                <w:sz w:val="16"/>
                <w:szCs w:val="16"/>
                <w:lang w:val="en-US" w:eastAsia="en-US"/>
              </w:rPr>
            </w:pPr>
            <w:r w:rsidRPr="003C53BB">
              <w:rPr>
                <w:rFonts w:cs="Arial"/>
                <w:color w:val="000000"/>
                <w:sz w:val="16"/>
                <w:szCs w:val="16"/>
                <w:lang w:val="en-US" w:eastAsia="en-US"/>
              </w:rPr>
              <w:t xml:space="preserve"> AUD   10.643 </w:t>
            </w:r>
          </w:p>
        </w:tc>
        <w:tc>
          <w:tcPr>
            <w:tcW w:w="1399" w:type="dxa"/>
            <w:tcBorders>
              <w:top w:val="single" w:sz="4" w:space="0" w:color="auto"/>
              <w:left w:val="nil"/>
              <w:bottom w:val="single" w:sz="8" w:space="0" w:color="auto"/>
              <w:right w:val="single" w:sz="4" w:space="0" w:color="auto"/>
            </w:tcBorders>
            <w:shd w:val="clear" w:color="auto" w:fill="auto"/>
            <w:noWrap/>
            <w:vAlign w:val="center"/>
            <w:hideMark/>
          </w:tcPr>
          <w:p w14:paraId="45A09DA8" w14:textId="10BFCA08" w:rsidR="003C53BB" w:rsidRPr="003C53BB" w:rsidRDefault="003C53BB" w:rsidP="003C53BB">
            <w:pPr>
              <w:rPr>
                <w:rFonts w:cs="Arial"/>
                <w:color w:val="000000"/>
                <w:sz w:val="16"/>
                <w:szCs w:val="16"/>
                <w:lang w:val="en-US" w:eastAsia="en-US"/>
              </w:rPr>
            </w:pPr>
            <w:r w:rsidRPr="003C53BB">
              <w:rPr>
                <w:rFonts w:cs="Arial"/>
                <w:color w:val="000000"/>
                <w:sz w:val="16"/>
                <w:szCs w:val="16"/>
                <w:lang w:val="en-US" w:eastAsia="en-US"/>
              </w:rPr>
              <w:t xml:space="preserve"> AUD</w:t>
            </w:r>
            <w:r w:rsidR="00BE1424">
              <w:rPr>
                <w:rFonts w:cs="Arial"/>
                <w:color w:val="000000"/>
                <w:sz w:val="16"/>
                <w:szCs w:val="16"/>
                <w:lang w:val="en-US" w:eastAsia="en-US"/>
              </w:rPr>
              <w:t xml:space="preserve">  </w:t>
            </w:r>
            <w:r w:rsidRPr="003C53BB">
              <w:rPr>
                <w:rFonts w:cs="Arial"/>
                <w:color w:val="000000"/>
                <w:sz w:val="16"/>
                <w:szCs w:val="16"/>
                <w:lang w:val="en-US" w:eastAsia="en-US"/>
              </w:rPr>
              <w:t xml:space="preserve"> 10.793 </w:t>
            </w:r>
          </w:p>
        </w:tc>
        <w:tc>
          <w:tcPr>
            <w:tcW w:w="1399" w:type="dxa"/>
            <w:tcBorders>
              <w:top w:val="single" w:sz="4" w:space="0" w:color="auto"/>
              <w:left w:val="nil"/>
              <w:bottom w:val="single" w:sz="8" w:space="0" w:color="auto"/>
              <w:right w:val="single" w:sz="4" w:space="0" w:color="auto"/>
            </w:tcBorders>
            <w:shd w:val="clear" w:color="auto" w:fill="auto"/>
            <w:noWrap/>
            <w:vAlign w:val="center"/>
            <w:hideMark/>
          </w:tcPr>
          <w:p w14:paraId="3DCD12CB" w14:textId="750EFD3E" w:rsidR="003C53BB" w:rsidRPr="003C53BB" w:rsidRDefault="003C53BB" w:rsidP="003C53BB">
            <w:pPr>
              <w:rPr>
                <w:rFonts w:cs="Arial"/>
                <w:color w:val="000000"/>
                <w:sz w:val="16"/>
                <w:szCs w:val="16"/>
                <w:lang w:val="en-US" w:eastAsia="en-US"/>
              </w:rPr>
            </w:pPr>
            <w:r w:rsidRPr="003C53BB">
              <w:rPr>
                <w:rFonts w:cs="Arial"/>
                <w:color w:val="000000"/>
                <w:sz w:val="16"/>
                <w:szCs w:val="16"/>
                <w:lang w:val="en-US" w:eastAsia="en-US"/>
              </w:rPr>
              <w:t xml:space="preserve"> AUD</w:t>
            </w:r>
            <w:r w:rsidR="00BE1424">
              <w:rPr>
                <w:rFonts w:cs="Arial"/>
                <w:color w:val="000000"/>
                <w:sz w:val="16"/>
                <w:szCs w:val="16"/>
                <w:lang w:val="en-US" w:eastAsia="en-US"/>
              </w:rPr>
              <w:t xml:space="preserve">  </w:t>
            </w:r>
            <w:r w:rsidRPr="003C53BB">
              <w:rPr>
                <w:rFonts w:cs="Arial"/>
                <w:color w:val="000000"/>
                <w:sz w:val="16"/>
                <w:szCs w:val="16"/>
                <w:lang w:val="en-US" w:eastAsia="en-US"/>
              </w:rPr>
              <w:t xml:space="preserve"> 11.093 </w:t>
            </w:r>
          </w:p>
        </w:tc>
        <w:tc>
          <w:tcPr>
            <w:tcW w:w="1399" w:type="dxa"/>
            <w:tcBorders>
              <w:top w:val="single" w:sz="4" w:space="0" w:color="auto"/>
              <w:left w:val="nil"/>
              <w:bottom w:val="single" w:sz="8" w:space="0" w:color="auto"/>
              <w:right w:val="single" w:sz="4" w:space="0" w:color="auto"/>
            </w:tcBorders>
            <w:shd w:val="clear" w:color="auto" w:fill="auto"/>
            <w:noWrap/>
            <w:vAlign w:val="center"/>
            <w:hideMark/>
          </w:tcPr>
          <w:p w14:paraId="7F56D61A" w14:textId="5B1633A6" w:rsidR="003C53BB" w:rsidRPr="003C53BB" w:rsidRDefault="003C53BB" w:rsidP="003C53BB">
            <w:pPr>
              <w:rPr>
                <w:rFonts w:cs="Arial"/>
                <w:color w:val="000000"/>
                <w:sz w:val="16"/>
                <w:szCs w:val="16"/>
                <w:lang w:val="en-US" w:eastAsia="en-US"/>
              </w:rPr>
            </w:pPr>
            <w:r w:rsidRPr="003C53BB">
              <w:rPr>
                <w:rFonts w:cs="Arial"/>
                <w:color w:val="000000"/>
                <w:sz w:val="16"/>
                <w:szCs w:val="16"/>
                <w:lang w:val="en-US" w:eastAsia="en-US"/>
              </w:rPr>
              <w:t xml:space="preserve"> AUD   11.243 </w:t>
            </w:r>
          </w:p>
        </w:tc>
        <w:tc>
          <w:tcPr>
            <w:tcW w:w="1399" w:type="dxa"/>
            <w:tcBorders>
              <w:top w:val="single" w:sz="4" w:space="0" w:color="auto"/>
              <w:left w:val="nil"/>
              <w:bottom w:val="single" w:sz="8" w:space="0" w:color="auto"/>
              <w:right w:val="single" w:sz="4" w:space="0" w:color="auto"/>
            </w:tcBorders>
            <w:shd w:val="clear" w:color="auto" w:fill="auto"/>
            <w:noWrap/>
            <w:vAlign w:val="center"/>
            <w:hideMark/>
          </w:tcPr>
          <w:p w14:paraId="416093EA" w14:textId="7DC8585E" w:rsidR="003C53BB" w:rsidRPr="003C53BB" w:rsidRDefault="003C53BB" w:rsidP="003C53BB">
            <w:pPr>
              <w:rPr>
                <w:rFonts w:cs="Arial"/>
                <w:color w:val="000000"/>
                <w:sz w:val="16"/>
                <w:szCs w:val="16"/>
                <w:lang w:val="en-US" w:eastAsia="en-US"/>
              </w:rPr>
            </w:pPr>
            <w:r w:rsidRPr="003C53BB">
              <w:rPr>
                <w:rFonts w:cs="Arial"/>
                <w:color w:val="000000"/>
                <w:sz w:val="16"/>
                <w:szCs w:val="16"/>
                <w:lang w:val="en-US" w:eastAsia="en-US"/>
              </w:rPr>
              <w:t xml:space="preserve"> AUD   11.392 </w:t>
            </w:r>
          </w:p>
        </w:tc>
        <w:tc>
          <w:tcPr>
            <w:tcW w:w="1399" w:type="dxa"/>
            <w:tcBorders>
              <w:top w:val="single" w:sz="4" w:space="0" w:color="auto"/>
              <w:left w:val="nil"/>
              <w:bottom w:val="single" w:sz="8" w:space="0" w:color="auto"/>
              <w:right w:val="single" w:sz="8" w:space="0" w:color="auto"/>
            </w:tcBorders>
            <w:shd w:val="clear" w:color="auto" w:fill="auto"/>
            <w:noWrap/>
            <w:vAlign w:val="center"/>
            <w:hideMark/>
          </w:tcPr>
          <w:p w14:paraId="31174436" w14:textId="4D073E08" w:rsidR="003C53BB" w:rsidRPr="003C53BB" w:rsidRDefault="003C53BB" w:rsidP="003C53BB">
            <w:pPr>
              <w:rPr>
                <w:rFonts w:cs="Arial"/>
                <w:color w:val="000000"/>
                <w:sz w:val="16"/>
                <w:szCs w:val="16"/>
                <w:lang w:val="en-US" w:eastAsia="en-US"/>
              </w:rPr>
            </w:pPr>
            <w:r w:rsidRPr="003C53BB">
              <w:rPr>
                <w:rFonts w:cs="Arial"/>
                <w:color w:val="000000"/>
                <w:sz w:val="16"/>
                <w:szCs w:val="16"/>
                <w:lang w:val="en-US" w:eastAsia="en-US"/>
              </w:rPr>
              <w:t xml:space="preserve"> AUD</w:t>
            </w:r>
            <w:r w:rsidR="00BE1424">
              <w:rPr>
                <w:rFonts w:cs="Arial"/>
                <w:color w:val="000000"/>
                <w:sz w:val="16"/>
                <w:szCs w:val="16"/>
                <w:lang w:val="en-US" w:eastAsia="en-US"/>
              </w:rPr>
              <w:t xml:space="preserve"> </w:t>
            </w:r>
            <w:r w:rsidRPr="003C53BB">
              <w:rPr>
                <w:rFonts w:cs="Arial"/>
                <w:color w:val="000000"/>
                <w:sz w:val="16"/>
                <w:szCs w:val="16"/>
                <w:lang w:val="en-US" w:eastAsia="en-US"/>
              </w:rPr>
              <w:t xml:space="preserve">  11.542 </w:t>
            </w:r>
          </w:p>
        </w:tc>
      </w:tr>
      <w:tr w:rsidR="003C53BB" w:rsidRPr="003C53BB" w14:paraId="06BC00A1" w14:textId="77777777" w:rsidTr="00BF0EEF">
        <w:trPr>
          <w:trHeight w:val="600"/>
          <w:jc w:val="center"/>
        </w:trPr>
        <w:tc>
          <w:tcPr>
            <w:tcW w:w="50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068BD28" w14:textId="77777777" w:rsidR="003C53BB" w:rsidRPr="003C53BB" w:rsidRDefault="003C53BB" w:rsidP="003C53BB">
            <w:pPr>
              <w:rPr>
                <w:rFonts w:cs="Arial"/>
                <w:b/>
                <w:bCs/>
                <w:color w:val="000000"/>
                <w:sz w:val="20"/>
                <w:szCs w:val="20"/>
                <w:lang w:val="en-US" w:eastAsia="en-US"/>
              </w:rPr>
            </w:pPr>
            <w:r w:rsidRPr="003C53BB">
              <w:rPr>
                <w:rFonts w:cs="Arial"/>
                <w:b/>
                <w:bCs/>
                <w:color w:val="000000"/>
                <w:sz w:val="20"/>
                <w:szCs w:val="20"/>
                <w:lang w:val="en-US" w:eastAsia="en-US"/>
              </w:rPr>
              <w:t>W</w:t>
            </w:r>
          </w:p>
        </w:tc>
        <w:tc>
          <w:tcPr>
            <w:tcW w:w="3125" w:type="dxa"/>
            <w:tcBorders>
              <w:top w:val="single" w:sz="4" w:space="0" w:color="auto"/>
              <w:left w:val="nil"/>
              <w:bottom w:val="single" w:sz="4" w:space="0" w:color="auto"/>
              <w:right w:val="single" w:sz="4" w:space="0" w:color="auto"/>
            </w:tcBorders>
            <w:shd w:val="clear" w:color="auto" w:fill="auto"/>
            <w:vAlign w:val="center"/>
            <w:hideMark/>
          </w:tcPr>
          <w:p w14:paraId="4D2D57EF" w14:textId="77777777" w:rsidR="003C53BB" w:rsidRPr="003C53BB" w:rsidRDefault="003C53BB" w:rsidP="003C53BB">
            <w:pPr>
              <w:rPr>
                <w:rFonts w:cs="Arial"/>
                <w:color w:val="000000"/>
                <w:sz w:val="20"/>
                <w:szCs w:val="20"/>
                <w:lang w:val="en-US" w:eastAsia="en-US"/>
              </w:rPr>
            </w:pPr>
            <w:r w:rsidRPr="003C53BB">
              <w:rPr>
                <w:rFonts w:cs="Arial"/>
                <w:color w:val="000000"/>
                <w:sz w:val="20"/>
                <w:szCs w:val="20"/>
                <w:lang w:val="en-US" w:eastAsia="en-US"/>
              </w:rPr>
              <w:t>Cost of pre-anaesthesia consult</w:t>
            </w:r>
          </w:p>
        </w:tc>
        <w:tc>
          <w:tcPr>
            <w:tcW w:w="1630" w:type="dxa"/>
            <w:tcBorders>
              <w:top w:val="single" w:sz="4" w:space="0" w:color="auto"/>
              <w:left w:val="nil"/>
              <w:bottom w:val="single" w:sz="4" w:space="0" w:color="auto"/>
              <w:right w:val="single" w:sz="4" w:space="0" w:color="auto"/>
            </w:tcBorders>
            <w:shd w:val="clear" w:color="auto" w:fill="auto"/>
            <w:vAlign w:val="center"/>
            <w:hideMark/>
          </w:tcPr>
          <w:p w14:paraId="5F9352B3" w14:textId="77777777" w:rsidR="003C53BB" w:rsidRPr="003C53BB" w:rsidRDefault="003C53BB" w:rsidP="003C53BB">
            <w:pPr>
              <w:rPr>
                <w:rFonts w:cs="Arial"/>
                <w:color w:val="000000"/>
                <w:sz w:val="16"/>
                <w:szCs w:val="16"/>
                <w:lang w:val="en-US" w:eastAsia="en-US"/>
              </w:rPr>
            </w:pPr>
            <w:r w:rsidRPr="003C53BB">
              <w:rPr>
                <w:rFonts w:cs="Arial"/>
                <w:color w:val="000000"/>
                <w:sz w:val="16"/>
                <w:szCs w:val="16"/>
                <w:lang w:val="en-US" w:eastAsia="en-US"/>
              </w:rPr>
              <w:fldChar w:fldCharType="begin"/>
            </w:r>
            <w:r w:rsidRPr="003C53BB">
              <w:rPr>
                <w:rFonts w:cs="Arial"/>
                <w:color w:val="000000"/>
                <w:sz w:val="16"/>
                <w:szCs w:val="16"/>
                <w:lang w:val="en-US" w:eastAsia="en-US"/>
              </w:rPr>
              <w:instrText xml:space="preserve"> REF _Ref430941316 \h </w:instrText>
            </w:r>
            <w:r>
              <w:rPr>
                <w:rFonts w:cs="Arial"/>
                <w:color w:val="000000"/>
                <w:sz w:val="16"/>
                <w:szCs w:val="16"/>
                <w:lang w:val="en-US" w:eastAsia="en-US"/>
              </w:rPr>
              <w:instrText xml:space="preserve"> \* MERGEFORMAT </w:instrText>
            </w:r>
            <w:r w:rsidRPr="003C53BB">
              <w:rPr>
                <w:rFonts w:cs="Arial"/>
                <w:color w:val="000000"/>
                <w:sz w:val="16"/>
                <w:szCs w:val="16"/>
                <w:lang w:val="en-US" w:eastAsia="en-US"/>
              </w:rPr>
            </w:r>
            <w:r w:rsidRPr="003C53BB">
              <w:rPr>
                <w:rFonts w:cs="Arial"/>
                <w:color w:val="000000"/>
                <w:sz w:val="16"/>
                <w:szCs w:val="16"/>
                <w:lang w:val="en-US" w:eastAsia="en-US"/>
              </w:rPr>
              <w:fldChar w:fldCharType="separate"/>
            </w:r>
            <w:r w:rsidR="00016592" w:rsidRPr="00016592">
              <w:rPr>
                <w:rFonts w:cs="Arial"/>
                <w:sz w:val="16"/>
                <w:szCs w:val="16"/>
              </w:rPr>
              <w:t xml:space="preserve">Table </w:t>
            </w:r>
            <w:r w:rsidR="00016592" w:rsidRPr="00016592">
              <w:rPr>
                <w:rFonts w:cs="Arial"/>
                <w:noProof/>
                <w:sz w:val="16"/>
                <w:szCs w:val="16"/>
              </w:rPr>
              <w:t>61</w:t>
            </w:r>
            <w:r w:rsidRPr="003C53BB">
              <w:rPr>
                <w:rFonts w:cs="Arial"/>
                <w:color w:val="000000"/>
                <w:sz w:val="16"/>
                <w:szCs w:val="16"/>
                <w:lang w:val="en-US" w:eastAsia="en-US"/>
              </w:rPr>
              <w:fldChar w:fldCharType="end"/>
            </w:r>
            <w:r w:rsidRPr="003C53BB">
              <w:rPr>
                <w:rFonts w:cs="Arial"/>
                <w:color w:val="000000"/>
                <w:sz w:val="16"/>
                <w:szCs w:val="16"/>
                <w:lang w:val="en-US" w:eastAsia="en-US"/>
              </w:rPr>
              <w:t>, row K x AUD 43</w:t>
            </w:r>
          </w:p>
        </w:tc>
        <w:tc>
          <w:tcPr>
            <w:tcW w:w="1589" w:type="dxa"/>
            <w:tcBorders>
              <w:top w:val="single" w:sz="4" w:space="0" w:color="auto"/>
              <w:left w:val="nil"/>
              <w:bottom w:val="single" w:sz="8" w:space="0" w:color="auto"/>
              <w:right w:val="single" w:sz="4" w:space="0" w:color="auto"/>
            </w:tcBorders>
            <w:shd w:val="clear" w:color="auto" w:fill="auto"/>
            <w:noWrap/>
            <w:vAlign w:val="center"/>
            <w:hideMark/>
          </w:tcPr>
          <w:p w14:paraId="31D89450" w14:textId="22C1E9EB" w:rsidR="003C53BB" w:rsidRPr="003C53BB" w:rsidRDefault="003C53BB" w:rsidP="003C53BB">
            <w:pPr>
              <w:rPr>
                <w:rFonts w:cs="Arial"/>
                <w:color w:val="000000"/>
                <w:sz w:val="16"/>
                <w:szCs w:val="16"/>
                <w:lang w:val="en-US" w:eastAsia="en-US"/>
              </w:rPr>
            </w:pPr>
            <w:r w:rsidRPr="003C53BB">
              <w:rPr>
                <w:rFonts w:cs="Arial"/>
                <w:color w:val="000000"/>
                <w:sz w:val="16"/>
                <w:szCs w:val="16"/>
                <w:lang w:val="en-US" w:eastAsia="en-US"/>
              </w:rPr>
              <w:t xml:space="preserve"> AUD   3.053 </w:t>
            </w:r>
          </w:p>
        </w:tc>
        <w:tc>
          <w:tcPr>
            <w:tcW w:w="1399" w:type="dxa"/>
            <w:tcBorders>
              <w:top w:val="single" w:sz="4" w:space="0" w:color="auto"/>
              <w:left w:val="nil"/>
              <w:bottom w:val="single" w:sz="8" w:space="0" w:color="auto"/>
              <w:right w:val="single" w:sz="4" w:space="0" w:color="auto"/>
            </w:tcBorders>
            <w:shd w:val="clear" w:color="auto" w:fill="auto"/>
            <w:noWrap/>
            <w:vAlign w:val="center"/>
            <w:hideMark/>
          </w:tcPr>
          <w:p w14:paraId="5CBEA17E" w14:textId="79F9736B" w:rsidR="003C53BB" w:rsidRPr="003C53BB" w:rsidRDefault="003C53BB" w:rsidP="003C53BB">
            <w:pPr>
              <w:rPr>
                <w:rFonts w:cs="Arial"/>
                <w:color w:val="000000"/>
                <w:sz w:val="16"/>
                <w:szCs w:val="16"/>
                <w:lang w:val="en-US" w:eastAsia="en-US"/>
              </w:rPr>
            </w:pPr>
            <w:r w:rsidRPr="003C53BB">
              <w:rPr>
                <w:rFonts w:cs="Arial"/>
                <w:color w:val="000000"/>
                <w:sz w:val="16"/>
                <w:szCs w:val="16"/>
                <w:lang w:val="en-US" w:eastAsia="en-US"/>
              </w:rPr>
              <w:t xml:space="preserve"> AUD</w:t>
            </w:r>
            <w:r w:rsidR="00BE1424">
              <w:rPr>
                <w:rFonts w:cs="Arial"/>
                <w:color w:val="000000"/>
                <w:sz w:val="16"/>
                <w:szCs w:val="16"/>
                <w:lang w:val="en-US" w:eastAsia="en-US"/>
              </w:rPr>
              <w:t xml:space="preserve">  </w:t>
            </w:r>
            <w:r w:rsidRPr="003C53BB">
              <w:rPr>
                <w:rFonts w:cs="Arial"/>
                <w:color w:val="000000"/>
                <w:sz w:val="16"/>
                <w:szCs w:val="16"/>
                <w:lang w:val="en-US" w:eastAsia="en-US"/>
              </w:rPr>
              <w:t xml:space="preserve"> 3.096 </w:t>
            </w:r>
          </w:p>
        </w:tc>
        <w:tc>
          <w:tcPr>
            <w:tcW w:w="1399" w:type="dxa"/>
            <w:tcBorders>
              <w:top w:val="single" w:sz="4" w:space="0" w:color="auto"/>
              <w:left w:val="nil"/>
              <w:bottom w:val="single" w:sz="8" w:space="0" w:color="auto"/>
              <w:right w:val="single" w:sz="4" w:space="0" w:color="auto"/>
            </w:tcBorders>
            <w:shd w:val="clear" w:color="auto" w:fill="auto"/>
            <w:noWrap/>
            <w:vAlign w:val="center"/>
            <w:hideMark/>
          </w:tcPr>
          <w:p w14:paraId="18465636" w14:textId="269DA1DF" w:rsidR="003C53BB" w:rsidRPr="003C53BB" w:rsidRDefault="003C53BB" w:rsidP="003C53BB">
            <w:pPr>
              <w:rPr>
                <w:rFonts w:cs="Arial"/>
                <w:color w:val="000000"/>
                <w:sz w:val="16"/>
                <w:szCs w:val="16"/>
                <w:lang w:val="en-US" w:eastAsia="en-US"/>
              </w:rPr>
            </w:pPr>
            <w:r w:rsidRPr="003C53BB">
              <w:rPr>
                <w:rFonts w:cs="Arial"/>
                <w:color w:val="000000"/>
                <w:sz w:val="16"/>
                <w:szCs w:val="16"/>
                <w:lang w:val="en-US" w:eastAsia="en-US"/>
              </w:rPr>
              <w:t xml:space="preserve"> AUD</w:t>
            </w:r>
            <w:r w:rsidR="00BE1424">
              <w:rPr>
                <w:rFonts w:cs="Arial"/>
                <w:color w:val="000000"/>
                <w:sz w:val="16"/>
                <w:szCs w:val="16"/>
                <w:lang w:val="en-US" w:eastAsia="en-US"/>
              </w:rPr>
              <w:t xml:space="preserve"> </w:t>
            </w:r>
            <w:r w:rsidRPr="003C53BB">
              <w:rPr>
                <w:rFonts w:cs="Arial"/>
                <w:color w:val="000000"/>
                <w:sz w:val="16"/>
                <w:szCs w:val="16"/>
                <w:lang w:val="en-US" w:eastAsia="en-US"/>
              </w:rPr>
              <w:t xml:space="preserve">  3.182 </w:t>
            </w:r>
          </w:p>
        </w:tc>
        <w:tc>
          <w:tcPr>
            <w:tcW w:w="1399" w:type="dxa"/>
            <w:tcBorders>
              <w:top w:val="single" w:sz="4" w:space="0" w:color="auto"/>
              <w:left w:val="nil"/>
              <w:bottom w:val="single" w:sz="8" w:space="0" w:color="auto"/>
              <w:right w:val="single" w:sz="4" w:space="0" w:color="auto"/>
            </w:tcBorders>
            <w:shd w:val="clear" w:color="auto" w:fill="auto"/>
            <w:noWrap/>
            <w:vAlign w:val="center"/>
            <w:hideMark/>
          </w:tcPr>
          <w:p w14:paraId="5D661D9F" w14:textId="38074D03" w:rsidR="003C53BB" w:rsidRPr="003C53BB" w:rsidRDefault="003C53BB" w:rsidP="003C53BB">
            <w:pPr>
              <w:rPr>
                <w:rFonts w:cs="Arial"/>
                <w:color w:val="000000"/>
                <w:sz w:val="16"/>
                <w:szCs w:val="16"/>
                <w:lang w:val="en-US" w:eastAsia="en-US"/>
              </w:rPr>
            </w:pPr>
            <w:r w:rsidRPr="003C53BB">
              <w:rPr>
                <w:rFonts w:cs="Arial"/>
                <w:color w:val="000000"/>
                <w:sz w:val="16"/>
                <w:szCs w:val="16"/>
                <w:lang w:val="en-US" w:eastAsia="en-US"/>
              </w:rPr>
              <w:t xml:space="preserve"> AUD</w:t>
            </w:r>
            <w:r w:rsidR="00BE1424">
              <w:rPr>
                <w:rFonts w:cs="Arial"/>
                <w:color w:val="000000"/>
                <w:sz w:val="16"/>
                <w:szCs w:val="16"/>
                <w:lang w:val="en-US" w:eastAsia="en-US"/>
              </w:rPr>
              <w:t xml:space="preserve">  </w:t>
            </w:r>
            <w:r w:rsidRPr="003C53BB">
              <w:rPr>
                <w:rFonts w:cs="Arial"/>
                <w:color w:val="000000"/>
                <w:sz w:val="16"/>
                <w:szCs w:val="16"/>
                <w:lang w:val="en-US" w:eastAsia="en-US"/>
              </w:rPr>
              <w:t xml:space="preserve"> 3.225 </w:t>
            </w:r>
          </w:p>
        </w:tc>
        <w:tc>
          <w:tcPr>
            <w:tcW w:w="1399" w:type="dxa"/>
            <w:tcBorders>
              <w:top w:val="single" w:sz="4" w:space="0" w:color="auto"/>
              <w:left w:val="nil"/>
              <w:bottom w:val="single" w:sz="8" w:space="0" w:color="auto"/>
              <w:right w:val="single" w:sz="4" w:space="0" w:color="auto"/>
            </w:tcBorders>
            <w:shd w:val="clear" w:color="auto" w:fill="auto"/>
            <w:noWrap/>
            <w:vAlign w:val="center"/>
            <w:hideMark/>
          </w:tcPr>
          <w:p w14:paraId="318B4BF5" w14:textId="1F4831F9" w:rsidR="003C53BB" w:rsidRPr="003C53BB" w:rsidRDefault="003C53BB" w:rsidP="003C53BB">
            <w:pPr>
              <w:rPr>
                <w:rFonts w:cs="Arial"/>
                <w:color w:val="000000"/>
                <w:sz w:val="16"/>
                <w:szCs w:val="16"/>
                <w:lang w:val="en-US" w:eastAsia="en-US"/>
              </w:rPr>
            </w:pPr>
            <w:r w:rsidRPr="003C53BB">
              <w:rPr>
                <w:rFonts w:cs="Arial"/>
                <w:color w:val="000000"/>
                <w:sz w:val="16"/>
                <w:szCs w:val="16"/>
                <w:lang w:val="en-US" w:eastAsia="en-US"/>
              </w:rPr>
              <w:t xml:space="preserve"> AUD</w:t>
            </w:r>
            <w:r w:rsidR="00BE1424">
              <w:rPr>
                <w:rFonts w:cs="Arial"/>
                <w:color w:val="000000"/>
                <w:sz w:val="16"/>
                <w:szCs w:val="16"/>
                <w:lang w:val="en-US" w:eastAsia="en-US"/>
              </w:rPr>
              <w:t xml:space="preserve">  </w:t>
            </w:r>
            <w:r w:rsidRPr="003C53BB">
              <w:rPr>
                <w:rFonts w:cs="Arial"/>
                <w:color w:val="000000"/>
                <w:sz w:val="16"/>
                <w:szCs w:val="16"/>
                <w:lang w:val="en-US" w:eastAsia="en-US"/>
              </w:rPr>
              <w:t xml:space="preserve"> 3.268 </w:t>
            </w:r>
          </w:p>
        </w:tc>
        <w:tc>
          <w:tcPr>
            <w:tcW w:w="1399" w:type="dxa"/>
            <w:tcBorders>
              <w:top w:val="single" w:sz="4" w:space="0" w:color="auto"/>
              <w:left w:val="nil"/>
              <w:bottom w:val="single" w:sz="8" w:space="0" w:color="auto"/>
              <w:right w:val="single" w:sz="8" w:space="0" w:color="auto"/>
            </w:tcBorders>
            <w:shd w:val="clear" w:color="auto" w:fill="auto"/>
            <w:noWrap/>
            <w:vAlign w:val="center"/>
            <w:hideMark/>
          </w:tcPr>
          <w:p w14:paraId="47EDBEC2" w14:textId="7CE516EA" w:rsidR="003C53BB" w:rsidRPr="003C53BB" w:rsidRDefault="003C53BB" w:rsidP="003C53BB">
            <w:pPr>
              <w:rPr>
                <w:rFonts w:cs="Arial"/>
                <w:color w:val="000000"/>
                <w:sz w:val="16"/>
                <w:szCs w:val="16"/>
                <w:lang w:val="en-US" w:eastAsia="en-US"/>
              </w:rPr>
            </w:pPr>
            <w:r w:rsidRPr="003C53BB">
              <w:rPr>
                <w:rFonts w:cs="Arial"/>
                <w:color w:val="000000"/>
                <w:sz w:val="16"/>
                <w:szCs w:val="16"/>
                <w:lang w:val="en-US" w:eastAsia="en-US"/>
              </w:rPr>
              <w:t xml:space="preserve"> AUD</w:t>
            </w:r>
            <w:r w:rsidR="00BE1424">
              <w:rPr>
                <w:rFonts w:cs="Arial"/>
                <w:color w:val="000000"/>
                <w:sz w:val="16"/>
                <w:szCs w:val="16"/>
                <w:lang w:val="en-US" w:eastAsia="en-US"/>
              </w:rPr>
              <w:t xml:space="preserve"> </w:t>
            </w:r>
            <w:r w:rsidRPr="003C53BB">
              <w:rPr>
                <w:rFonts w:cs="Arial"/>
                <w:color w:val="000000"/>
                <w:sz w:val="16"/>
                <w:szCs w:val="16"/>
                <w:lang w:val="en-US" w:eastAsia="en-US"/>
              </w:rPr>
              <w:t xml:space="preserve">  3.311 </w:t>
            </w:r>
          </w:p>
        </w:tc>
      </w:tr>
      <w:tr w:rsidR="003C53BB" w:rsidRPr="003C53BB" w14:paraId="0D23F950" w14:textId="77777777" w:rsidTr="00BF0EEF">
        <w:trPr>
          <w:trHeight w:val="465"/>
          <w:jc w:val="center"/>
        </w:trPr>
        <w:tc>
          <w:tcPr>
            <w:tcW w:w="505" w:type="dxa"/>
            <w:tcBorders>
              <w:top w:val="nil"/>
              <w:left w:val="single" w:sz="8" w:space="0" w:color="auto"/>
              <w:bottom w:val="single" w:sz="8" w:space="0" w:color="auto"/>
              <w:right w:val="single" w:sz="4" w:space="0" w:color="auto"/>
            </w:tcBorders>
            <w:shd w:val="clear" w:color="auto" w:fill="auto"/>
            <w:noWrap/>
            <w:vAlign w:val="center"/>
            <w:hideMark/>
          </w:tcPr>
          <w:p w14:paraId="7570E665" w14:textId="77777777" w:rsidR="003C53BB" w:rsidRPr="003C53BB" w:rsidRDefault="003C53BB" w:rsidP="003C53BB">
            <w:pPr>
              <w:rPr>
                <w:rFonts w:cs="Arial"/>
                <w:b/>
                <w:bCs/>
                <w:color w:val="000000"/>
                <w:sz w:val="20"/>
                <w:szCs w:val="20"/>
                <w:lang w:val="en-US" w:eastAsia="en-US"/>
              </w:rPr>
            </w:pPr>
            <w:r w:rsidRPr="003C53BB">
              <w:rPr>
                <w:rFonts w:cs="Arial"/>
                <w:b/>
                <w:bCs/>
                <w:color w:val="000000"/>
                <w:sz w:val="20"/>
                <w:szCs w:val="20"/>
                <w:lang w:val="en-US" w:eastAsia="en-US"/>
              </w:rPr>
              <w:t>X</w:t>
            </w:r>
          </w:p>
        </w:tc>
        <w:tc>
          <w:tcPr>
            <w:tcW w:w="3125" w:type="dxa"/>
            <w:tcBorders>
              <w:top w:val="nil"/>
              <w:left w:val="nil"/>
              <w:bottom w:val="single" w:sz="8" w:space="0" w:color="auto"/>
              <w:right w:val="single" w:sz="4" w:space="0" w:color="auto"/>
            </w:tcBorders>
            <w:shd w:val="clear" w:color="auto" w:fill="auto"/>
            <w:vAlign w:val="center"/>
            <w:hideMark/>
          </w:tcPr>
          <w:p w14:paraId="07439C98" w14:textId="77777777" w:rsidR="003C53BB" w:rsidRPr="003C53BB" w:rsidRDefault="003C53BB" w:rsidP="003C53BB">
            <w:pPr>
              <w:rPr>
                <w:rFonts w:cs="Arial"/>
                <w:color w:val="000000"/>
                <w:sz w:val="20"/>
                <w:szCs w:val="20"/>
                <w:lang w:val="en-US" w:eastAsia="en-US"/>
              </w:rPr>
            </w:pPr>
            <w:r w:rsidRPr="003C53BB">
              <w:rPr>
                <w:rFonts w:cs="Arial"/>
                <w:color w:val="000000"/>
                <w:sz w:val="20"/>
                <w:szCs w:val="20"/>
                <w:lang w:val="en-US" w:eastAsia="en-US"/>
              </w:rPr>
              <w:t>Cost of audiogram</w:t>
            </w:r>
          </w:p>
        </w:tc>
        <w:tc>
          <w:tcPr>
            <w:tcW w:w="1630" w:type="dxa"/>
            <w:tcBorders>
              <w:top w:val="nil"/>
              <w:left w:val="nil"/>
              <w:bottom w:val="single" w:sz="8" w:space="0" w:color="auto"/>
              <w:right w:val="single" w:sz="4" w:space="0" w:color="auto"/>
            </w:tcBorders>
            <w:shd w:val="clear" w:color="auto" w:fill="auto"/>
            <w:vAlign w:val="center"/>
            <w:hideMark/>
          </w:tcPr>
          <w:p w14:paraId="47DB15E9" w14:textId="77777777" w:rsidR="003C53BB" w:rsidRPr="003C53BB" w:rsidRDefault="003C53BB" w:rsidP="003C53BB">
            <w:pPr>
              <w:rPr>
                <w:rFonts w:cs="Arial"/>
                <w:color w:val="000000"/>
                <w:sz w:val="16"/>
                <w:szCs w:val="16"/>
                <w:lang w:val="en-US" w:eastAsia="en-US"/>
              </w:rPr>
            </w:pPr>
            <w:r w:rsidRPr="003C53BB">
              <w:rPr>
                <w:rFonts w:cs="Arial"/>
                <w:color w:val="000000"/>
                <w:sz w:val="16"/>
                <w:szCs w:val="16"/>
                <w:lang w:val="en-US" w:eastAsia="en-US"/>
              </w:rPr>
              <w:fldChar w:fldCharType="begin"/>
            </w:r>
            <w:r w:rsidRPr="003C53BB">
              <w:rPr>
                <w:rFonts w:cs="Arial"/>
                <w:color w:val="000000"/>
                <w:sz w:val="16"/>
                <w:szCs w:val="16"/>
                <w:lang w:val="en-US" w:eastAsia="en-US"/>
              </w:rPr>
              <w:instrText xml:space="preserve"> REF _Ref430941316 \h </w:instrText>
            </w:r>
            <w:r>
              <w:rPr>
                <w:rFonts w:cs="Arial"/>
                <w:color w:val="000000"/>
                <w:sz w:val="16"/>
                <w:szCs w:val="16"/>
                <w:lang w:val="en-US" w:eastAsia="en-US"/>
              </w:rPr>
              <w:instrText xml:space="preserve"> \* MERGEFORMAT </w:instrText>
            </w:r>
            <w:r w:rsidRPr="003C53BB">
              <w:rPr>
                <w:rFonts w:cs="Arial"/>
                <w:color w:val="000000"/>
                <w:sz w:val="16"/>
                <w:szCs w:val="16"/>
                <w:lang w:val="en-US" w:eastAsia="en-US"/>
              </w:rPr>
            </w:r>
            <w:r w:rsidRPr="003C53BB">
              <w:rPr>
                <w:rFonts w:cs="Arial"/>
                <w:color w:val="000000"/>
                <w:sz w:val="16"/>
                <w:szCs w:val="16"/>
                <w:lang w:val="en-US" w:eastAsia="en-US"/>
              </w:rPr>
              <w:fldChar w:fldCharType="separate"/>
            </w:r>
            <w:r w:rsidR="00016592" w:rsidRPr="00016592">
              <w:rPr>
                <w:rFonts w:cs="Arial"/>
                <w:sz w:val="16"/>
                <w:szCs w:val="16"/>
              </w:rPr>
              <w:t xml:space="preserve">Table </w:t>
            </w:r>
            <w:r w:rsidR="00016592" w:rsidRPr="00016592">
              <w:rPr>
                <w:rFonts w:cs="Arial"/>
                <w:noProof/>
                <w:sz w:val="16"/>
                <w:szCs w:val="16"/>
              </w:rPr>
              <w:t>61</w:t>
            </w:r>
            <w:r w:rsidRPr="003C53BB">
              <w:rPr>
                <w:rFonts w:cs="Arial"/>
                <w:color w:val="000000"/>
                <w:sz w:val="16"/>
                <w:szCs w:val="16"/>
                <w:lang w:val="en-US" w:eastAsia="en-US"/>
              </w:rPr>
              <w:fldChar w:fldCharType="end"/>
            </w:r>
            <w:r w:rsidRPr="003C53BB">
              <w:rPr>
                <w:rFonts w:cs="Arial"/>
                <w:color w:val="000000"/>
                <w:sz w:val="16"/>
                <w:szCs w:val="16"/>
                <w:lang w:val="en-US" w:eastAsia="en-US"/>
              </w:rPr>
              <w:t>, row K x AUD 49,20</w:t>
            </w:r>
          </w:p>
        </w:tc>
        <w:tc>
          <w:tcPr>
            <w:tcW w:w="1589" w:type="dxa"/>
            <w:tcBorders>
              <w:top w:val="single" w:sz="4" w:space="0" w:color="auto"/>
              <w:left w:val="nil"/>
              <w:bottom w:val="single" w:sz="8" w:space="0" w:color="auto"/>
              <w:right w:val="single" w:sz="4" w:space="0" w:color="auto"/>
            </w:tcBorders>
            <w:shd w:val="clear" w:color="auto" w:fill="auto"/>
            <w:noWrap/>
            <w:vAlign w:val="center"/>
            <w:hideMark/>
          </w:tcPr>
          <w:p w14:paraId="3AE4694E" w14:textId="1E5D2C90" w:rsidR="003C53BB" w:rsidRPr="003C53BB" w:rsidRDefault="003C53BB" w:rsidP="003C53BB">
            <w:pPr>
              <w:rPr>
                <w:rFonts w:cs="Arial"/>
                <w:color w:val="000000"/>
                <w:sz w:val="16"/>
                <w:szCs w:val="16"/>
                <w:lang w:val="en-US" w:eastAsia="en-US"/>
              </w:rPr>
            </w:pPr>
            <w:r w:rsidRPr="003C53BB">
              <w:rPr>
                <w:rFonts w:cs="Arial"/>
                <w:color w:val="000000"/>
                <w:sz w:val="16"/>
                <w:szCs w:val="16"/>
                <w:lang w:val="en-US" w:eastAsia="en-US"/>
              </w:rPr>
              <w:t xml:space="preserve"> AUD</w:t>
            </w:r>
            <w:r w:rsidR="00BE1424">
              <w:rPr>
                <w:rFonts w:cs="Arial"/>
                <w:color w:val="000000"/>
                <w:sz w:val="16"/>
                <w:szCs w:val="16"/>
                <w:lang w:val="en-US" w:eastAsia="en-US"/>
              </w:rPr>
              <w:t xml:space="preserve">  </w:t>
            </w:r>
            <w:r w:rsidRPr="003C53BB">
              <w:rPr>
                <w:rFonts w:cs="Arial"/>
                <w:color w:val="000000"/>
                <w:sz w:val="16"/>
                <w:szCs w:val="16"/>
                <w:lang w:val="en-US" w:eastAsia="en-US"/>
              </w:rPr>
              <w:t xml:space="preserve"> 3.493 </w:t>
            </w:r>
          </w:p>
        </w:tc>
        <w:tc>
          <w:tcPr>
            <w:tcW w:w="1399" w:type="dxa"/>
            <w:tcBorders>
              <w:top w:val="single" w:sz="4" w:space="0" w:color="auto"/>
              <w:left w:val="nil"/>
              <w:bottom w:val="single" w:sz="8" w:space="0" w:color="auto"/>
              <w:right w:val="single" w:sz="4" w:space="0" w:color="auto"/>
            </w:tcBorders>
            <w:shd w:val="clear" w:color="auto" w:fill="auto"/>
            <w:noWrap/>
            <w:vAlign w:val="center"/>
            <w:hideMark/>
          </w:tcPr>
          <w:p w14:paraId="67A8B11F" w14:textId="27B8EAB6" w:rsidR="003C53BB" w:rsidRPr="003C53BB" w:rsidRDefault="003C53BB" w:rsidP="003C53BB">
            <w:pPr>
              <w:rPr>
                <w:rFonts w:cs="Arial"/>
                <w:color w:val="000000"/>
                <w:sz w:val="16"/>
                <w:szCs w:val="16"/>
                <w:lang w:val="en-US" w:eastAsia="en-US"/>
              </w:rPr>
            </w:pPr>
            <w:r w:rsidRPr="003C53BB">
              <w:rPr>
                <w:rFonts w:cs="Arial"/>
                <w:color w:val="000000"/>
                <w:sz w:val="16"/>
                <w:szCs w:val="16"/>
                <w:lang w:val="en-US" w:eastAsia="en-US"/>
              </w:rPr>
              <w:t xml:space="preserve"> AUD   3.542 </w:t>
            </w:r>
          </w:p>
        </w:tc>
        <w:tc>
          <w:tcPr>
            <w:tcW w:w="1399" w:type="dxa"/>
            <w:tcBorders>
              <w:top w:val="single" w:sz="4" w:space="0" w:color="auto"/>
              <w:left w:val="nil"/>
              <w:bottom w:val="single" w:sz="8" w:space="0" w:color="auto"/>
              <w:right w:val="single" w:sz="4" w:space="0" w:color="auto"/>
            </w:tcBorders>
            <w:shd w:val="clear" w:color="auto" w:fill="auto"/>
            <w:noWrap/>
            <w:vAlign w:val="center"/>
            <w:hideMark/>
          </w:tcPr>
          <w:p w14:paraId="4D9FDFA8" w14:textId="3DF00D70" w:rsidR="003C53BB" w:rsidRPr="003C53BB" w:rsidRDefault="003C53BB" w:rsidP="003C53BB">
            <w:pPr>
              <w:rPr>
                <w:rFonts w:cs="Arial"/>
                <w:color w:val="000000"/>
                <w:sz w:val="16"/>
                <w:szCs w:val="16"/>
                <w:lang w:val="en-US" w:eastAsia="en-US"/>
              </w:rPr>
            </w:pPr>
            <w:r w:rsidRPr="003C53BB">
              <w:rPr>
                <w:rFonts w:cs="Arial"/>
                <w:color w:val="000000"/>
                <w:sz w:val="16"/>
                <w:szCs w:val="16"/>
                <w:lang w:val="en-US" w:eastAsia="en-US"/>
              </w:rPr>
              <w:t xml:space="preserve"> AUD</w:t>
            </w:r>
            <w:r w:rsidR="00BE1424">
              <w:rPr>
                <w:rFonts w:cs="Arial"/>
                <w:color w:val="000000"/>
                <w:sz w:val="16"/>
                <w:szCs w:val="16"/>
                <w:lang w:val="en-US" w:eastAsia="en-US"/>
              </w:rPr>
              <w:t xml:space="preserve"> </w:t>
            </w:r>
            <w:r w:rsidRPr="003C53BB">
              <w:rPr>
                <w:rFonts w:cs="Arial"/>
                <w:color w:val="000000"/>
                <w:sz w:val="16"/>
                <w:szCs w:val="16"/>
                <w:lang w:val="en-US" w:eastAsia="en-US"/>
              </w:rPr>
              <w:t xml:space="preserve">  3.641 </w:t>
            </w:r>
          </w:p>
        </w:tc>
        <w:tc>
          <w:tcPr>
            <w:tcW w:w="1399" w:type="dxa"/>
            <w:tcBorders>
              <w:top w:val="single" w:sz="4" w:space="0" w:color="auto"/>
              <w:left w:val="nil"/>
              <w:bottom w:val="single" w:sz="8" w:space="0" w:color="auto"/>
              <w:right w:val="single" w:sz="4" w:space="0" w:color="auto"/>
            </w:tcBorders>
            <w:shd w:val="clear" w:color="auto" w:fill="auto"/>
            <w:noWrap/>
            <w:vAlign w:val="center"/>
            <w:hideMark/>
          </w:tcPr>
          <w:p w14:paraId="0954115E" w14:textId="7B6694E5" w:rsidR="003C53BB" w:rsidRPr="003C53BB" w:rsidRDefault="003C53BB" w:rsidP="003C53BB">
            <w:pPr>
              <w:rPr>
                <w:rFonts w:cs="Arial"/>
                <w:color w:val="000000"/>
                <w:sz w:val="16"/>
                <w:szCs w:val="16"/>
                <w:lang w:val="en-US" w:eastAsia="en-US"/>
              </w:rPr>
            </w:pPr>
            <w:r w:rsidRPr="003C53BB">
              <w:rPr>
                <w:rFonts w:cs="Arial"/>
                <w:color w:val="000000"/>
                <w:sz w:val="16"/>
                <w:szCs w:val="16"/>
                <w:lang w:val="en-US" w:eastAsia="en-US"/>
              </w:rPr>
              <w:t xml:space="preserve"> AUD   3.690 </w:t>
            </w:r>
          </w:p>
        </w:tc>
        <w:tc>
          <w:tcPr>
            <w:tcW w:w="1399" w:type="dxa"/>
            <w:tcBorders>
              <w:top w:val="single" w:sz="4" w:space="0" w:color="auto"/>
              <w:left w:val="nil"/>
              <w:bottom w:val="single" w:sz="8" w:space="0" w:color="auto"/>
              <w:right w:val="single" w:sz="4" w:space="0" w:color="auto"/>
            </w:tcBorders>
            <w:shd w:val="clear" w:color="auto" w:fill="auto"/>
            <w:noWrap/>
            <w:vAlign w:val="center"/>
            <w:hideMark/>
          </w:tcPr>
          <w:p w14:paraId="792AF4BF" w14:textId="73C27E90" w:rsidR="003C53BB" w:rsidRPr="003C53BB" w:rsidRDefault="003C53BB" w:rsidP="003C53BB">
            <w:pPr>
              <w:rPr>
                <w:rFonts w:cs="Arial"/>
                <w:color w:val="000000"/>
                <w:sz w:val="16"/>
                <w:szCs w:val="16"/>
                <w:lang w:val="en-US" w:eastAsia="en-US"/>
              </w:rPr>
            </w:pPr>
            <w:r w:rsidRPr="003C53BB">
              <w:rPr>
                <w:rFonts w:cs="Arial"/>
                <w:color w:val="000000"/>
                <w:sz w:val="16"/>
                <w:szCs w:val="16"/>
                <w:lang w:val="en-US" w:eastAsia="en-US"/>
              </w:rPr>
              <w:t xml:space="preserve"> AUD</w:t>
            </w:r>
            <w:r w:rsidR="00BE1424">
              <w:rPr>
                <w:rFonts w:cs="Arial"/>
                <w:color w:val="000000"/>
                <w:sz w:val="16"/>
                <w:szCs w:val="16"/>
                <w:lang w:val="en-US" w:eastAsia="en-US"/>
              </w:rPr>
              <w:t xml:space="preserve"> </w:t>
            </w:r>
            <w:r w:rsidRPr="003C53BB">
              <w:rPr>
                <w:rFonts w:cs="Arial"/>
                <w:color w:val="000000"/>
                <w:sz w:val="16"/>
                <w:szCs w:val="16"/>
                <w:lang w:val="en-US" w:eastAsia="en-US"/>
              </w:rPr>
              <w:t xml:space="preserve">  3.739 </w:t>
            </w:r>
          </w:p>
        </w:tc>
        <w:tc>
          <w:tcPr>
            <w:tcW w:w="1399" w:type="dxa"/>
            <w:tcBorders>
              <w:top w:val="single" w:sz="4" w:space="0" w:color="auto"/>
              <w:left w:val="nil"/>
              <w:bottom w:val="single" w:sz="8" w:space="0" w:color="auto"/>
              <w:right w:val="single" w:sz="8" w:space="0" w:color="auto"/>
            </w:tcBorders>
            <w:shd w:val="clear" w:color="auto" w:fill="auto"/>
            <w:noWrap/>
            <w:vAlign w:val="center"/>
            <w:hideMark/>
          </w:tcPr>
          <w:p w14:paraId="7FFC4D07" w14:textId="58648BB7" w:rsidR="003C53BB" w:rsidRPr="003C53BB" w:rsidRDefault="003C53BB" w:rsidP="003C53BB">
            <w:pPr>
              <w:rPr>
                <w:rFonts w:cs="Arial"/>
                <w:color w:val="000000"/>
                <w:sz w:val="16"/>
                <w:szCs w:val="16"/>
                <w:lang w:val="en-US" w:eastAsia="en-US"/>
              </w:rPr>
            </w:pPr>
            <w:r w:rsidRPr="003C53BB">
              <w:rPr>
                <w:rFonts w:cs="Arial"/>
                <w:color w:val="000000"/>
                <w:sz w:val="16"/>
                <w:szCs w:val="16"/>
                <w:lang w:val="en-US" w:eastAsia="en-US"/>
              </w:rPr>
              <w:t xml:space="preserve"> AUD</w:t>
            </w:r>
            <w:r w:rsidR="00BE1424">
              <w:rPr>
                <w:rFonts w:cs="Arial"/>
                <w:color w:val="000000"/>
                <w:sz w:val="16"/>
                <w:szCs w:val="16"/>
                <w:lang w:val="en-US" w:eastAsia="en-US"/>
              </w:rPr>
              <w:t xml:space="preserve">  </w:t>
            </w:r>
            <w:r w:rsidRPr="003C53BB">
              <w:rPr>
                <w:rFonts w:cs="Arial"/>
                <w:color w:val="000000"/>
                <w:sz w:val="16"/>
                <w:szCs w:val="16"/>
                <w:lang w:val="en-US" w:eastAsia="en-US"/>
              </w:rPr>
              <w:t xml:space="preserve"> 3.788 </w:t>
            </w:r>
          </w:p>
        </w:tc>
      </w:tr>
      <w:tr w:rsidR="003C53BB" w:rsidRPr="003C53BB" w14:paraId="1CD608A2" w14:textId="77777777" w:rsidTr="00BF0EEF">
        <w:trPr>
          <w:trHeight w:val="600"/>
          <w:jc w:val="center"/>
        </w:trPr>
        <w:tc>
          <w:tcPr>
            <w:tcW w:w="50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820179A" w14:textId="77777777" w:rsidR="003C53BB" w:rsidRPr="003C53BB" w:rsidRDefault="003C53BB" w:rsidP="003C53BB">
            <w:pPr>
              <w:rPr>
                <w:rFonts w:cs="Arial"/>
                <w:b/>
                <w:bCs/>
                <w:color w:val="000000"/>
                <w:sz w:val="20"/>
                <w:szCs w:val="20"/>
                <w:lang w:val="en-US" w:eastAsia="en-US"/>
              </w:rPr>
            </w:pPr>
            <w:r w:rsidRPr="003C53BB">
              <w:rPr>
                <w:rFonts w:cs="Arial"/>
                <w:b/>
                <w:bCs/>
                <w:color w:val="000000"/>
                <w:sz w:val="20"/>
                <w:szCs w:val="20"/>
                <w:lang w:val="en-US" w:eastAsia="en-US"/>
              </w:rPr>
              <w:t>Y</w:t>
            </w:r>
          </w:p>
        </w:tc>
        <w:tc>
          <w:tcPr>
            <w:tcW w:w="3125" w:type="dxa"/>
            <w:tcBorders>
              <w:top w:val="single" w:sz="4" w:space="0" w:color="auto"/>
              <w:left w:val="nil"/>
              <w:bottom w:val="single" w:sz="4" w:space="0" w:color="auto"/>
              <w:right w:val="single" w:sz="4" w:space="0" w:color="auto"/>
            </w:tcBorders>
            <w:shd w:val="clear" w:color="auto" w:fill="auto"/>
            <w:vAlign w:val="center"/>
            <w:hideMark/>
          </w:tcPr>
          <w:p w14:paraId="423648DC" w14:textId="77777777" w:rsidR="003C53BB" w:rsidRPr="003C53BB" w:rsidRDefault="003C53BB" w:rsidP="003C53BB">
            <w:pPr>
              <w:rPr>
                <w:rFonts w:cs="Arial"/>
                <w:color w:val="000000"/>
                <w:sz w:val="20"/>
                <w:szCs w:val="20"/>
                <w:lang w:val="en-US" w:eastAsia="en-US"/>
              </w:rPr>
            </w:pPr>
            <w:r w:rsidRPr="003C53BB">
              <w:rPr>
                <w:rFonts w:cs="Arial"/>
                <w:color w:val="000000"/>
                <w:sz w:val="20"/>
                <w:szCs w:val="20"/>
                <w:lang w:val="en-US" w:eastAsia="en-US"/>
              </w:rPr>
              <w:t>Cost of impedance audiogram</w:t>
            </w:r>
          </w:p>
        </w:tc>
        <w:tc>
          <w:tcPr>
            <w:tcW w:w="1630" w:type="dxa"/>
            <w:tcBorders>
              <w:top w:val="single" w:sz="4" w:space="0" w:color="auto"/>
              <w:left w:val="nil"/>
              <w:bottom w:val="single" w:sz="4" w:space="0" w:color="auto"/>
              <w:right w:val="single" w:sz="4" w:space="0" w:color="auto"/>
            </w:tcBorders>
            <w:shd w:val="clear" w:color="auto" w:fill="auto"/>
            <w:vAlign w:val="center"/>
            <w:hideMark/>
          </w:tcPr>
          <w:p w14:paraId="3795F890" w14:textId="77777777" w:rsidR="003C53BB" w:rsidRPr="003C53BB" w:rsidRDefault="003C53BB" w:rsidP="003C53BB">
            <w:pPr>
              <w:rPr>
                <w:rFonts w:cs="Arial"/>
                <w:color w:val="000000"/>
                <w:sz w:val="16"/>
                <w:szCs w:val="16"/>
                <w:lang w:val="en-US" w:eastAsia="en-US"/>
              </w:rPr>
            </w:pPr>
            <w:r w:rsidRPr="003C53BB">
              <w:rPr>
                <w:rFonts w:cs="Arial"/>
                <w:color w:val="000000"/>
                <w:sz w:val="16"/>
                <w:szCs w:val="16"/>
                <w:lang w:val="en-US" w:eastAsia="en-US"/>
              </w:rPr>
              <w:fldChar w:fldCharType="begin"/>
            </w:r>
            <w:r w:rsidRPr="003C53BB">
              <w:rPr>
                <w:rFonts w:cs="Arial"/>
                <w:color w:val="000000"/>
                <w:sz w:val="16"/>
                <w:szCs w:val="16"/>
                <w:lang w:val="en-US" w:eastAsia="en-US"/>
              </w:rPr>
              <w:instrText xml:space="preserve"> REF _Ref430941316 \h </w:instrText>
            </w:r>
            <w:r>
              <w:rPr>
                <w:rFonts w:cs="Arial"/>
                <w:color w:val="000000"/>
                <w:sz w:val="16"/>
                <w:szCs w:val="16"/>
                <w:lang w:val="en-US" w:eastAsia="en-US"/>
              </w:rPr>
              <w:instrText xml:space="preserve"> \* MERGEFORMAT </w:instrText>
            </w:r>
            <w:r w:rsidRPr="003C53BB">
              <w:rPr>
                <w:rFonts w:cs="Arial"/>
                <w:color w:val="000000"/>
                <w:sz w:val="16"/>
                <w:szCs w:val="16"/>
                <w:lang w:val="en-US" w:eastAsia="en-US"/>
              </w:rPr>
            </w:r>
            <w:r w:rsidRPr="003C53BB">
              <w:rPr>
                <w:rFonts w:cs="Arial"/>
                <w:color w:val="000000"/>
                <w:sz w:val="16"/>
                <w:szCs w:val="16"/>
                <w:lang w:val="en-US" w:eastAsia="en-US"/>
              </w:rPr>
              <w:fldChar w:fldCharType="separate"/>
            </w:r>
            <w:r w:rsidR="00016592" w:rsidRPr="00016592">
              <w:rPr>
                <w:rFonts w:cs="Arial"/>
                <w:sz w:val="16"/>
                <w:szCs w:val="16"/>
              </w:rPr>
              <w:t xml:space="preserve">Table </w:t>
            </w:r>
            <w:r w:rsidR="00016592" w:rsidRPr="00016592">
              <w:rPr>
                <w:rFonts w:cs="Arial"/>
                <w:noProof/>
                <w:sz w:val="16"/>
                <w:szCs w:val="16"/>
              </w:rPr>
              <w:t>61</w:t>
            </w:r>
            <w:r w:rsidRPr="003C53BB">
              <w:rPr>
                <w:rFonts w:cs="Arial"/>
                <w:color w:val="000000"/>
                <w:sz w:val="16"/>
                <w:szCs w:val="16"/>
                <w:lang w:val="en-US" w:eastAsia="en-US"/>
              </w:rPr>
              <w:fldChar w:fldCharType="end"/>
            </w:r>
            <w:r w:rsidRPr="003C53BB">
              <w:rPr>
                <w:rFonts w:cs="Arial"/>
                <w:color w:val="000000"/>
                <w:sz w:val="16"/>
                <w:szCs w:val="16"/>
                <w:lang w:val="en-US" w:eastAsia="en-US"/>
              </w:rPr>
              <w:t>, row K x AUD 19,75</w:t>
            </w:r>
          </w:p>
        </w:tc>
        <w:tc>
          <w:tcPr>
            <w:tcW w:w="1589" w:type="dxa"/>
            <w:tcBorders>
              <w:top w:val="single" w:sz="4" w:space="0" w:color="auto"/>
              <w:left w:val="nil"/>
              <w:bottom w:val="single" w:sz="8" w:space="0" w:color="auto"/>
              <w:right w:val="single" w:sz="4" w:space="0" w:color="auto"/>
            </w:tcBorders>
            <w:shd w:val="clear" w:color="auto" w:fill="auto"/>
            <w:noWrap/>
            <w:vAlign w:val="center"/>
            <w:hideMark/>
          </w:tcPr>
          <w:p w14:paraId="0F6D8196" w14:textId="6FD68E24" w:rsidR="003C53BB" w:rsidRPr="003C53BB" w:rsidRDefault="003C53BB" w:rsidP="003C53BB">
            <w:pPr>
              <w:rPr>
                <w:rFonts w:cs="Arial"/>
                <w:color w:val="000000"/>
                <w:sz w:val="16"/>
                <w:szCs w:val="16"/>
                <w:lang w:val="en-US" w:eastAsia="en-US"/>
              </w:rPr>
            </w:pPr>
            <w:r w:rsidRPr="003C53BB">
              <w:rPr>
                <w:rFonts w:cs="Arial"/>
                <w:color w:val="000000"/>
                <w:sz w:val="16"/>
                <w:szCs w:val="16"/>
                <w:lang w:val="en-US" w:eastAsia="en-US"/>
              </w:rPr>
              <w:t xml:space="preserve"> AUD   1.402 </w:t>
            </w:r>
          </w:p>
        </w:tc>
        <w:tc>
          <w:tcPr>
            <w:tcW w:w="1399" w:type="dxa"/>
            <w:tcBorders>
              <w:top w:val="single" w:sz="4" w:space="0" w:color="auto"/>
              <w:left w:val="nil"/>
              <w:bottom w:val="single" w:sz="8" w:space="0" w:color="auto"/>
              <w:right w:val="single" w:sz="4" w:space="0" w:color="auto"/>
            </w:tcBorders>
            <w:shd w:val="clear" w:color="auto" w:fill="auto"/>
            <w:noWrap/>
            <w:vAlign w:val="center"/>
            <w:hideMark/>
          </w:tcPr>
          <w:p w14:paraId="7710FFBA" w14:textId="3C6EB798" w:rsidR="003C53BB" w:rsidRPr="003C53BB" w:rsidRDefault="003C53BB" w:rsidP="003C53BB">
            <w:pPr>
              <w:rPr>
                <w:rFonts w:cs="Arial"/>
                <w:color w:val="000000"/>
                <w:sz w:val="16"/>
                <w:szCs w:val="16"/>
                <w:lang w:val="en-US" w:eastAsia="en-US"/>
              </w:rPr>
            </w:pPr>
            <w:r w:rsidRPr="003C53BB">
              <w:rPr>
                <w:rFonts w:cs="Arial"/>
                <w:color w:val="000000"/>
                <w:sz w:val="16"/>
                <w:szCs w:val="16"/>
                <w:lang w:val="en-US" w:eastAsia="en-US"/>
              </w:rPr>
              <w:t xml:space="preserve"> AUD</w:t>
            </w:r>
            <w:r w:rsidR="00BE1424">
              <w:rPr>
                <w:rFonts w:cs="Arial"/>
                <w:color w:val="000000"/>
                <w:sz w:val="16"/>
                <w:szCs w:val="16"/>
                <w:lang w:val="en-US" w:eastAsia="en-US"/>
              </w:rPr>
              <w:t xml:space="preserve">  </w:t>
            </w:r>
            <w:r w:rsidRPr="003C53BB">
              <w:rPr>
                <w:rFonts w:cs="Arial"/>
                <w:color w:val="000000"/>
                <w:sz w:val="16"/>
                <w:szCs w:val="16"/>
                <w:lang w:val="en-US" w:eastAsia="en-US"/>
              </w:rPr>
              <w:t xml:space="preserve"> 1.422 </w:t>
            </w:r>
          </w:p>
        </w:tc>
        <w:tc>
          <w:tcPr>
            <w:tcW w:w="1399" w:type="dxa"/>
            <w:tcBorders>
              <w:top w:val="single" w:sz="4" w:space="0" w:color="auto"/>
              <w:left w:val="nil"/>
              <w:bottom w:val="single" w:sz="8" w:space="0" w:color="auto"/>
              <w:right w:val="single" w:sz="4" w:space="0" w:color="auto"/>
            </w:tcBorders>
            <w:shd w:val="clear" w:color="auto" w:fill="auto"/>
            <w:noWrap/>
            <w:vAlign w:val="center"/>
            <w:hideMark/>
          </w:tcPr>
          <w:p w14:paraId="622F712A" w14:textId="3A909197" w:rsidR="003C53BB" w:rsidRPr="003C53BB" w:rsidRDefault="003C53BB" w:rsidP="003C53BB">
            <w:pPr>
              <w:rPr>
                <w:rFonts w:cs="Arial"/>
                <w:color w:val="000000"/>
                <w:sz w:val="16"/>
                <w:szCs w:val="16"/>
                <w:lang w:val="en-US" w:eastAsia="en-US"/>
              </w:rPr>
            </w:pPr>
            <w:r w:rsidRPr="003C53BB">
              <w:rPr>
                <w:rFonts w:cs="Arial"/>
                <w:color w:val="000000"/>
                <w:sz w:val="16"/>
                <w:szCs w:val="16"/>
                <w:lang w:val="en-US" w:eastAsia="en-US"/>
              </w:rPr>
              <w:t xml:space="preserve"> AUD   1.462 </w:t>
            </w:r>
          </w:p>
        </w:tc>
        <w:tc>
          <w:tcPr>
            <w:tcW w:w="1399" w:type="dxa"/>
            <w:tcBorders>
              <w:top w:val="single" w:sz="4" w:space="0" w:color="auto"/>
              <w:left w:val="nil"/>
              <w:bottom w:val="single" w:sz="8" w:space="0" w:color="auto"/>
              <w:right w:val="single" w:sz="4" w:space="0" w:color="auto"/>
            </w:tcBorders>
            <w:shd w:val="clear" w:color="auto" w:fill="auto"/>
            <w:noWrap/>
            <w:vAlign w:val="center"/>
            <w:hideMark/>
          </w:tcPr>
          <w:p w14:paraId="511535FE" w14:textId="66EC3060" w:rsidR="003C53BB" w:rsidRPr="003C53BB" w:rsidRDefault="003C53BB" w:rsidP="003C53BB">
            <w:pPr>
              <w:rPr>
                <w:rFonts w:cs="Arial"/>
                <w:color w:val="000000"/>
                <w:sz w:val="16"/>
                <w:szCs w:val="16"/>
                <w:lang w:val="en-US" w:eastAsia="en-US"/>
              </w:rPr>
            </w:pPr>
            <w:r w:rsidRPr="003C53BB">
              <w:rPr>
                <w:rFonts w:cs="Arial"/>
                <w:color w:val="000000"/>
                <w:sz w:val="16"/>
                <w:szCs w:val="16"/>
                <w:lang w:val="en-US" w:eastAsia="en-US"/>
              </w:rPr>
              <w:t xml:space="preserve"> AUD   1.481 </w:t>
            </w:r>
          </w:p>
        </w:tc>
        <w:tc>
          <w:tcPr>
            <w:tcW w:w="1399" w:type="dxa"/>
            <w:tcBorders>
              <w:top w:val="single" w:sz="4" w:space="0" w:color="auto"/>
              <w:left w:val="nil"/>
              <w:bottom w:val="single" w:sz="8" w:space="0" w:color="auto"/>
              <w:right w:val="single" w:sz="4" w:space="0" w:color="auto"/>
            </w:tcBorders>
            <w:shd w:val="clear" w:color="auto" w:fill="auto"/>
            <w:noWrap/>
            <w:vAlign w:val="center"/>
            <w:hideMark/>
          </w:tcPr>
          <w:p w14:paraId="35C53408" w14:textId="32FFF388" w:rsidR="003C53BB" w:rsidRPr="003C53BB" w:rsidRDefault="003C53BB" w:rsidP="003C53BB">
            <w:pPr>
              <w:rPr>
                <w:rFonts w:cs="Arial"/>
                <w:color w:val="000000"/>
                <w:sz w:val="16"/>
                <w:szCs w:val="16"/>
                <w:lang w:val="en-US" w:eastAsia="en-US"/>
              </w:rPr>
            </w:pPr>
            <w:r w:rsidRPr="003C53BB">
              <w:rPr>
                <w:rFonts w:cs="Arial"/>
                <w:color w:val="000000"/>
                <w:sz w:val="16"/>
                <w:szCs w:val="16"/>
                <w:lang w:val="en-US" w:eastAsia="en-US"/>
              </w:rPr>
              <w:t xml:space="preserve"> AUD</w:t>
            </w:r>
            <w:r w:rsidR="00BE1424">
              <w:rPr>
                <w:rFonts w:cs="Arial"/>
                <w:color w:val="000000"/>
                <w:sz w:val="16"/>
                <w:szCs w:val="16"/>
                <w:lang w:val="en-US" w:eastAsia="en-US"/>
              </w:rPr>
              <w:t xml:space="preserve">  </w:t>
            </w:r>
            <w:r w:rsidRPr="003C53BB">
              <w:rPr>
                <w:rFonts w:cs="Arial"/>
                <w:color w:val="000000"/>
                <w:sz w:val="16"/>
                <w:szCs w:val="16"/>
                <w:lang w:val="en-US" w:eastAsia="en-US"/>
              </w:rPr>
              <w:t xml:space="preserve"> 1.501 </w:t>
            </w:r>
          </w:p>
        </w:tc>
        <w:tc>
          <w:tcPr>
            <w:tcW w:w="1399" w:type="dxa"/>
            <w:tcBorders>
              <w:top w:val="single" w:sz="4" w:space="0" w:color="auto"/>
              <w:left w:val="nil"/>
              <w:bottom w:val="single" w:sz="8" w:space="0" w:color="auto"/>
              <w:right w:val="single" w:sz="8" w:space="0" w:color="auto"/>
            </w:tcBorders>
            <w:shd w:val="clear" w:color="auto" w:fill="auto"/>
            <w:noWrap/>
            <w:vAlign w:val="center"/>
            <w:hideMark/>
          </w:tcPr>
          <w:p w14:paraId="6969D9D1" w14:textId="0B1C84BB" w:rsidR="003C53BB" w:rsidRPr="003C53BB" w:rsidRDefault="003C53BB" w:rsidP="003C53BB">
            <w:pPr>
              <w:rPr>
                <w:rFonts w:cs="Arial"/>
                <w:color w:val="000000"/>
                <w:sz w:val="16"/>
                <w:szCs w:val="16"/>
                <w:lang w:val="en-US" w:eastAsia="en-US"/>
              </w:rPr>
            </w:pPr>
            <w:r w:rsidRPr="003C53BB">
              <w:rPr>
                <w:rFonts w:cs="Arial"/>
                <w:color w:val="000000"/>
                <w:sz w:val="16"/>
                <w:szCs w:val="16"/>
                <w:lang w:val="en-US" w:eastAsia="en-US"/>
              </w:rPr>
              <w:t xml:space="preserve"> AUD</w:t>
            </w:r>
            <w:r w:rsidR="00BE1424">
              <w:rPr>
                <w:rFonts w:cs="Arial"/>
                <w:color w:val="000000"/>
                <w:sz w:val="16"/>
                <w:szCs w:val="16"/>
                <w:lang w:val="en-US" w:eastAsia="en-US"/>
              </w:rPr>
              <w:t xml:space="preserve"> </w:t>
            </w:r>
            <w:r w:rsidRPr="003C53BB">
              <w:rPr>
                <w:rFonts w:cs="Arial"/>
                <w:color w:val="000000"/>
                <w:sz w:val="16"/>
                <w:szCs w:val="16"/>
                <w:lang w:val="en-US" w:eastAsia="en-US"/>
              </w:rPr>
              <w:t xml:space="preserve">  1.521 </w:t>
            </w:r>
          </w:p>
        </w:tc>
      </w:tr>
      <w:tr w:rsidR="003C53BB" w:rsidRPr="003C53BB" w14:paraId="65D992C3" w14:textId="77777777" w:rsidTr="00BF0EEF">
        <w:trPr>
          <w:trHeight w:val="600"/>
          <w:jc w:val="center"/>
        </w:trPr>
        <w:tc>
          <w:tcPr>
            <w:tcW w:w="505" w:type="dxa"/>
            <w:tcBorders>
              <w:top w:val="nil"/>
              <w:left w:val="single" w:sz="8" w:space="0" w:color="auto"/>
              <w:bottom w:val="single" w:sz="8" w:space="0" w:color="auto"/>
              <w:right w:val="single" w:sz="4" w:space="0" w:color="auto"/>
            </w:tcBorders>
            <w:shd w:val="clear" w:color="auto" w:fill="auto"/>
            <w:noWrap/>
            <w:vAlign w:val="center"/>
            <w:hideMark/>
          </w:tcPr>
          <w:p w14:paraId="5A16034B" w14:textId="77777777" w:rsidR="003C53BB" w:rsidRPr="003C53BB" w:rsidRDefault="003C53BB" w:rsidP="003C53BB">
            <w:pPr>
              <w:rPr>
                <w:rFonts w:cs="Arial"/>
                <w:b/>
                <w:bCs/>
                <w:color w:val="000000"/>
                <w:sz w:val="20"/>
                <w:szCs w:val="20"/>
                <w:lang w:val="en-US" w:eastAsia="en-US"/>
              </w:rPr>
            </w:pPr>
            <w:r w:rsidRPr="003C53BB">
              <w:rPr>
                <w:rFonts w:cs="Arial"/>
                <w:b/>
                <w:bCs/>
                <w:color w:val="000000"/>
                <w:sz w:val="20"/>
                <w:szCs w:val="20"/>
                <w:lang w:val="en-US" w:eastAsia="en-US"/>
              </w:rPr>
              <w:t>Z</w:t>
            </w:r>
          </w:p>
        </w:tc>
        <w:tc>
          <w:tcPr>
            <w:tcW w:w="3125" w:type="dxa"/>
            <w:tcBorders>
              <w:top w:val="nil"/>
              <w:left w:val="nil"/>
              <w:bottom w:val="single" w:sz="8" w:space="0" w:color="auto"/>
              <w:right w:val="single" w:sz="4" w:space="0" w:color="auto"/>
            </w:tcBorders>
            <w:shd w:val="clear" w:color="auto" w:fill="auto"/>
            <w:vAlign w:val="center"/>
            <w:hideMark/>
          </w:tcPr>
          <w:p w14:paraId="19894949" w14:textId="77777777" w:rsidR="003C53BB" w:rsidRPr="003C53BB" w:rsidRDefault="003C53BB" w:rsidP="003C53BB">
            <w:pPr>
              <w:rPr>
                <w:rFonts w:cs="Arial"/>
                <w:color w:val="000000"/>
                <w:sz w:val="20"/>
                <w:szCs w:val="20"/>
                <w:lang w:val="en-US" w:eastAsia="en-US"/>
              </w:rPr>
            </w:pPr>
            <w:r w:rsidRPr="003C53BB">
              <w:rPr>
                <w:rFonts w:cs="Arial"/>
                <w:color w:val="000000"/>
                <w:sz w:val="20"/>
                <w:szCs w:val="20"/>
                <w:lang w:val="en-US" w:eastAsia="en-US"/>
              </w:rPr>
              <w:t>Cost of impedance additional to audiogram</w:t>
            </w:r>
          </w:p>
        </w:tc>
        <w:tc>
          <w:tcPr>
            <w:tcW w:w="1630" w:type="dxa"/>
            <w:tcBorders>
              <w:top w:val="nil"/>
              <w:left w:val="nil"/>
              <w:bottom w:val="single" w:sz="8" w:space="0" w:color="auto"/>
              <w:right w:val="single" w:sz="4" w:space="0" w:color="auto"/>
            </w:tcBorders>
            <w:shd w:val="clear" w:color="auto" w:fill="auto"/>
            <w:vAlign w:val="center"/>
            <w:hideMark/>
          </w:tcPr>
          <w:p w14:paraId="42CD44B8" w14:textId="77777777" w:rsidR="003C53BB" w:rsidRPr="003C53BB" w:rsidRDefault="003C53BB" w:rsidP="003C53BB">
            <w:pPr>
              <w:rPr>
                <w:rFonts w:cs="Arial"/>
                <w:color w:val="000000"/>
                <w:sz w:val="16"/>
                <w:szCs w:val="16"/>
                <w:lang w:val="en-US" w:eastAsia="en-US"/>
              </w:rPr>
            </w:pPr>
            <w:r w:rsidRPr="003C53BB">
              <w:rPr>
                <w:rFonts w:cs="Arial"/>
                <w:color w:val="000000"/>
                <w:sz w:val="16"/>
                <w:szCs w:val="16"/>
                <w:lang w:val="en-US" w:eastAsia="en-US"/>
              </w:rPr>
              <w:fldChar w:fldCharType="begin"/>
            </w:r>
            <w:r w:rsidRPr="003C53BB">
              <w:rPr>
                <w:rFonts w:cs="Arial"/>
                <w:color w:val="000000"/>
                <w:sz w:val="16"/>
                <w:szCs w:val="16"/>
                <w:lang w:val="en-US" w:eastAsia="en-US"/>
              </w:rPr>
              <w:instrText xml:space="preserve"> REF _Ref430941316 \h </w:instrText>
            </w:r>
            <w:r>
              <w:rPr>
                <w:rFonts w:cs="Arial"/>
                <w:color w:val="000000"/>
                <w:sz w:val="16"/>
                <w:szCs w:val="16"/>
                <w:lang w:val="en-US" w:eastAsia="en-US"/>
              </w:rPr>
              <w:instrText xml:space="preserve"> \* MERGEFORMAT </w:instrText>
            </w:r>
            <w:r w:rsidRPr="003C53BB">
              <w:rPr>
                <w:rFonts w:cs="Arial"/>
                <w:color w:val="000000"/>
                <w:sz w:val="16"/>
                <w:szCs w:val="16"/>
                <w:lang w:val="en-US" w:eastAsia="en-US"/>
              </w:rPr>
            </w:r>
            <w:r w:rsidRPr="003C53BB">
              <w:rPr>
                <w:rFonts w:cs="Arial"/>
                <w:color w:val="000000"/>
                <w:sz w:val="16"/>
                <w:szCs w:val="16"/>
                <w:lang w:val="en-US" w:eastAsia="en-US"/>
              </w:rPr>
              <w:fldChar w:fldCharType="separate"/>
            </w:r>
            <w:r w:rsidR="00016592" w:rsidRPr="00016592">
              <w:rPr>
                <w:rFonts w:cs="Arial"/>
                <w:sz w:val="16"/>
                <w:szCs w:val="16"/>
              </w:rPr>
              <w:t xml:space="preserve">Table </w:t>
            </w:r>
            <w:r w:rsidR="00016592" w:rsidRPr="00016592">
              <w:rPr>
                <w:rFonts w:cs="Arial"/>
                <w:noProof/>
                <w:sz w:val="16"/>
                <w:szCs w:val="16"/>
              </w:rPr>
              <w:t>61</w:t>
            </w:r>
            <w:r w:rsidRPr="003C53BB">
              <w:rPr>
                <w:rFonts w:cs="Arial"/>
                <w:color w:val="000000"/>
                <w:sz w:val="16"/>
                <w:szCs w:val="16"/>
                <w:lang w:val="en-US" w:eastAsia="en-US"/>
              </w:rPr>
              <w:fldChar w:fldCharType="end"/>
            </w:r>
            <w:r w:rsidRPr="003C53BB">
              <w:rPr>
                <w:rFonts w:cs="Arial"/>
                <w:color w:val="000000"/>
                <w:sz w:val="16"/>
                <w:szCs w:val="16"/>
                <w:lang w:val="en-US" w:eastAsia="en-US"/>
              </w:rPr>
              <w:t>, row K x AUD 15,80</w:t>
            </w:r>
          </w:p>
        </w:tc>
        <w:tc>
          <w:tcPr>
            <w:tcW w:w="1589" w:type="dxa"/>
            <w:tcBorders>
              <w:top w:val="single" w:sz="4" w:space="0" w:color="auto"/>
              <w:left w:val="nil"/>
              <w:bottom w:val="single" w:sz="8" w:space="0" w:color="auto"/>
              <w:right w:val="single" w:sz="4" w:space="0" w:color="auto"/>
            </w:tcBorders>
            <w:shd w:val="clear" w:color="auto" w:fill="auto"/>
            <w:noWrap/>
            <w:vAlign w:val="center"/>
            <w:hideMark/>
          </w:tcPr>
          <w:p w14:paraId="57D22075" w14:textId="64D04D66" w:rsidR="003C53BB" w:rsidRPr="003C53BB" w:rsidRDefault="003C53BB" w:rsidP="003C53BB">
            <w:pPr>
              <w:rPr>
                <w:rFonts w:cs="Arial"/>
                <w:color w:val="000000"/>
                <w:sz w:val="16"/>
                <w:szCs w:val="16"/>
                <w:lang w:val="en-US" w:eastAsia="en-US"/>
              </w:rPr>
            </w:pPr>
            <w:r w:rsidRPr="003C53BB">
              <w:rPr>
                <w:rFonts w:cs="Arial"/>
                <w:color w:val="000000"/>
                <w:sz w:val="16"/>
                <w:szCs w:val="16"/>
                <w:lang w:val="en-US" w:eastAsia="en-US"/>
              </w:rPr>
              <w:t xml:space="preserve"> AUD   1.122 </w:t>
            </w:r>
          </w:p>
        </w:tc>
        <w:tc>
          <w:tcPr>
            <w:tcW w:w="1399" w:type="dxa"/>
            <w:tcBorders>
              <w:top w:val="single" w:sz="4" w:space="0" w:color="auto"/>
              <w:left w:val="nil"/>
              <w:bottom w:val="single" w:sz="8" w:space="0" w:color="auto"/>
              <w:right w:val="single" w:sz="4" w:space="0" w:color="auto"/>
            </w:tcBorders>
            <w:shd w:val="clear" w:color="auto" w:fill="auto"/>
            <w:noWrap/>
            <w:vAlign w:val="center"/>
            <w:hideMark/>
          </w:tcPr>
          <w:p w14:paraId="33340BA3" w14:textId="125152B3" w:rsidR="003C53BB" w:rsidRPr="003C53BB" w:rsidRDefault="003C53BB" w:rsidP="003C53BB">
            <w:pPr>
              <w:rPr>
                <w:rFonts w:cs="Arial"/>
                <w:color w:val="000000"/>
                <w:sz w:val="16"/>
                <w:szCs w:val="16"/>
                <w:lang w:val="en-US" w:eastAsia="en-US"/>
              </w:rPr>
            </w:pPr>
            <w:r w:rsidRPr="003C53BB">
              <w:rPr>
                <w:rFonts w:cs="Arial"/>
                <w:color w:val="000000"/>
                <w:sz w:val="16"/>
                <w:szCs w:val="16"/>
                <w:lang w:val="en-US" w:eastAsia="en-US"/>
              </w:rPr>
              <w:t xml:space="preserve"> AUD</w:t>
            </w:r>
            <w:r w:rsidR="00BE1424">
              <w:rPr>
                <w:rFonts w:cs="Arial"/>
                <w:color w:val="000000"/>
                <w:sz w:val="16"/>
                <w:szCs w:val="16"/>
                <w:lang w:val="en-US" w:eastAsia="en-US"/>
              </w:rPr>
              <w:t xml:space="preserve">  </w:t>
            </w:r>
            <w:r w:rsidRPr="003C53BB">
              <w:rPr>
                <w:rFonts w:cs="Arial"/>
                <w:color w:val="000000"/>
                <w:sz w:val="16"/>
                <w:szCs w:val="16"/>
                <w:lang w:val="en-US" w:eastAsia="en-US"/>
              </w:rPr>
              <w:t xml:space="preserve"> 1.138 </w:t>
            </w:r>
          </w:p>
        </w:tc>
        <w:tc>
          <w:tcPr>
            <w:tcW w:w="1399" w:type="dxa"/>
            <w:tcBorders>
              <w:top w:val="single" w:sz="4" w:space="0" w:color="auto"/>
              <w:left w:val="nil"/>
              <w:bottom w:val="single" w:sz="8" w:space="0" w:color="auto"/>
              <w:right w:val="single" w:sz="4" w:space="0" w:color="auto"/>
            </w:tcBorders>
            <w:shd w:val="clear" w:color="auto" w:fill="auto"/>
            <w:noWrap/>
            <w:vAlign w:val="center"/>
            <w:hideMark/>
          </w:tcPr>
          <w:p w14:paraId="6EAF2B9A" w14:textId="26D8DD5F" w:rsidR="003C53BB" w:rsidRPr="003C53BB" w:rsidRDefault="003C53BB" w:rsidP="003C53BB">
            <w:pPr>
              <w:rPr>
                <w:rFonts w:cs="Arial"/>
                <w:color w:val="000000"/>
                <w:sz w:val="16"/>
                <w:szCs w:val="16"/>
                <w:lang w:val="en-US" w:eastAsia="en-US"/>
              </w:rPr>
            </w:pPr>
            <w:r w:rsidRPr="003C53BB">
              <w:rPr>
                <w:rFonts w:cs="Arial"/>
                <w:color w:val="000000"/>
                <w:sz w:val="16"/>
                <w:szCs w:val="16"/>
                <w:lang w:val="en-US" w:eastAsia="en-US"/>
              </w:rPr>
              <w:t xml:space="preserve"> AUD   1.169 </w:t>
            </w:r>
          </w:p>
        </w:tc>
        <w:tc>
          <w:tcPr>
            <w:tcW w:w="1399" w:type="dxa"/>
            <w:tcBorders>
              <w:top w:val="single" w:sz="4" w:space="0" w:color="auto"/>
              <w:left w:val="nil"/>
              <w:bottom w:val="single" w:sz="8" w:space="0" w:color="auto"/>
              <w:right w:val="single" w:sz="4" w:space="0" w:color="auto"/>
            </w:tcBorders>
            <w:shd w:val="clear" w:color="auto" w:fill="auto"/>
            <w:noWrap/>
            <w:vAlign w:val="center"/>
            <w:hideMark/>
          </w:tcPr>
          <w:p w14:paraId="5128A669" w14:textId="259620DA" w:rsidR="003C53BB" w:rsidRPr="003C53BB" w:rsidRDefault="003C53BB" w:rsidP="003C53BB">
            <w:pPr>
              <w:rPr>
                <w:rFonts w:cs="Arial"/>
                <w:color w:val="000000"/>
                <w:sz w:val="16"/>
                <w:szCs w:val="16"/>
                <w:lang w:val="en-US" w:eastAsia="en-US"/>
              </w:rPr>
            </w:pPr>
            <w:r w:rsidRPr="003C53BB">
              <w:rPr>
                <w:rFonts w:cs="Arial"/>
                <w:color w:val="000000"/>
                <w:sz w:val="16"/>
                <w:szCs w:val="16"/>
                <w:lang w:val="en-US" w:eastAsia="en-US"/>
              </w:rPr>
              <w:t xml:space="preserve"> AUD</w:t>
            </w:r>
            <w:r w:rsidR="00BE1424">
              <w:rPr>
                <w:rFonts w:cs="Arial"/>
                <w:color w:val="000000"/>
                <w:sz w:val="16"/>
                <w:szCs w:val="16"/>
                <w:lang w:val="en-US" w:eastAsia="en-US"/>
              </w:rPr>
              <w:t xml:space="preserve">  </w:t>
            </w:r>
            <w:r w:rsidRPr="003C53BB">
              <w:rPr>
                <w:rFonts w:cs="Arial"/>
                <w:color w:val="000000"/>
                <w:sz w:val="16"/>
                <w:szCs w:val="16"/>
                <w:lang w:val="en-US" w:eastAsia="en-US"/>
              </w:rPr>
              <w:t xml:space="preserve"> 1.185 </w:t>
            </w:r>
          </w:p>
        </w:tc>
        <w:tc>
          <w:tcPr>
            <w:tcW w:w="1399" w:type="dxa"/>
            <w:tcBorders>
              <w:top w:val="single" w:sz="4" w:space="0" w:color="auto"/>
              <w:left w:val="nil"/>
              <w:bottom w:val="single" w:sz="8" w:space="0" w:color="auto"/>
              <w:right w:val="single" w:sz="4" w:space="0" w:color="auto"/>
            </w:tcBorders>
            <w:shd w:val="clear" w:color="auto" w:fill="auto"/>
            <w:noWrap/>
            <w:vAlign w:val="center"/>
            <w:hideMark/>
          </w:tcPr>
          <w:p w14:paraId="1F84E08A" w14:textId="1107063A" w:rsidR="003C53BB" w:rsidRPr="003C53BB" w:rsidRDefault="003C53BB" w:rsidP="003C53BB">
            <w:pPr>
              <w:rPr>
                <w:rFonts w:cs="Arial"/>
                <w:color w:val="000000"/>
                <w:sz w:val="16"/>
                <w:szCs w:val="16"/>
                <w:lang w:val="en-US" w:eastAsia="en-US"/>
              </w:rPr>
            </w:pPr>
            <w:r w:rsidRPr="003C53BB">
              <w:rPr>
                <w:rFonts w:cs="Arial"/>
                <w:color w:val="000000"/>
                <w:sz w:val="16"/>
                <w:szCs w:val="16"/>
                <w:lang w:val="en-US" w:eastAsia="en-US"/>
              </w:rPr>
              <w:t xml:space="preserve"> AUD</w:t>
            </w:r>
            <w:r w:rsidR="00BE1424">
              <w:rPr>
                <w:rFonts w:cs="Arial"/>
                <w:color w:val="000000"/>
                <w:sz w:val="16"/>
                <w:szCs w:val="16"/>
                <w:lang w:val="en-US" w:eastAsia="en-US"/>
              </w:rPr>
              <w:t xml:space="preserve">  </w:t>
            </w:r>
            <w:r w:rsidRPr="003C53BB">
              <w:rPr>
                <w:rFonts w:cs="Arial"/>
                <w:color w:val="000000"/>
                <w:sz w:val="16"/>
                <w:szCs w:val="16"/>
                <w:lang w:val="en-US" w:eastAsia="en-US"/>
              </w:rPr>
              <w:t xml:space="preserve"> 1.201 </w:t>
            </w:r>
          </w:p>
        </w:tc>
        <w:tc>
          <w:tcPr>
            <w:tcW w:w="1399" w:type="dxa"/>
            <w:tcBorders>
              <w:top w:val="single" w:sz="4" w:space="0" w:color="auto"/>
              <w:left w:val="nil"/>
              <w:bottom w:val="single" w:sz="8" w:space="0" w:color="auto"/>
              <w:right w:val="single" w:sz="8" w:space="0" w:color="auto"/>
            </w:tcBorders>
            <w:shd w:val="clear" w:color="auto" w:fill="auto"/>
            <w:noWrap/>
            <w:vAlign w:val="center"/>
            <w:hideMark/>
          </w:tcPr>
          <w:p w14:paraId="47A6D22B" w14:textId="35919E6B" w:rsidR="003C53BB" w:rsidRPr="003C53BB" w:rsidRDefault="003C53BB" w:rsidP="003C53BB">
            <w:pPr>
              <w:rPr>
                <w:rFonts w:cs="Arial"/>
                <w:color w:val="000000"/>
                <w:sz w:val="16"/>
                <w:szCs w:val="16"/>
                <w:lang w:val="en-US" w:eastAsia="en-US"/>
              </w:rPr>
            </w:pPr>
            <w:r w:rsidRPr="003C53BB">
              <w:rPr>
                <w:rFonts w:cs="Arial"/>
                <w:color w:val="000000"/>
                <w:sz w:val="16"/>
                <w:szCs w:val="16"/>
                <w:lang w:val="en-US" w:eastAsia="en-US"/>
              </w:rPr>
              <w:t xml:space="preserve"> AUD</w:t>
            </w:r>
            <w:r w:rsidR="00BE1424">
              <w:rPr>
                <w:rFonts w:cs="Arial"/>
                <w:color w:val="000000"/>
                <w:sz w:val="16"/>
                <w:szCs w:val="16"/>
                <w:lang w:val="en-US" w:eastAsia="en-US"/>
              </w:rPr>
              <w:t xml:space="preserve"> </w:t>
            </w:r>
            <w:r w:rsidRPr="003C53BB">
              <w:rPr>
                <w:rFonts w:cs="Arial"/>
                <w:color w:val="000000"/>
                <w:sz w:val="16"/>
                <w:szCs w:val="16"/>
                <w:lang w:val="en-US" w:eastAsia="en-US"/>
              </w:rPr>
              <w:t xml:space="preserve">  1.217 </w:t>
            </w:r>
          </w:p>
        </w:tc>
      </w:tr>
      <w:tr w:rsidR="003C53BB" w:rsidRPr="003C53BB" w14:paraId="409AF5E3" w14:textId="77777777" w:rsidTr="00BF0EEF">
        <w:trPr>
          <w:trHeight w:val="600"/>
          <w:jc w:val="center"/>
        </w:trPr>
        <w:tc>
          <w:tcPr>
            <w:tcW w:w="50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6E02631" w14:textId="77777777" w:rsidR="003C53BB" w:rsidRPr="003C53BB" w:rsidRDefault="003C53BB" w:rsidP="003C53BB">
            <w:pPr>
              <w:rPr>
                <w:rFonts w:cs="Arial"/>
                <w:b/>
                <w:bCs/>
                <w:color w:val="000000"/>
                <w:sz w:val="20"/>
                <w:szCs w:val="20"/>
                <w:lang w:val="en-US" w:eastAsia="en-US"/>
              </w:rPr>
            </w:pPr>
            <w:r w:rsidRPr="003C53BB">
              <w:rPr>
                <w:rFonts w:cs="Arial"/>
                <w:b/>
                <w:bCs/>
                <w:color w:val="000000"/>
                <w:sz w:val="20"/>
                <w:szCs w:val="20"/>
                <w:lang w:val="en-US" w:eastAsia="en-US"/>
              </w:rPr>
              <w:t>AA</w:t>
            </w:r>
          </w:p>
        </w:tc>
        <w:tc>
          <w:tcPr>
            <w:tcW w:w="3125" w:type="dxa"/>
            <w:tcBorders>
              <w:top w:val="single" w:sz="4" w:space="0" w:color="auto"/>
              <w:left w:val="nil"/>
              <w:bottom w:val="single" w:sz="4" w:space="0" w:color="auto"/>
              <w:right w:val="single" w:sz="4" w:space="0" w:color="auto"/>
            </w:tcBorders>
            <w:shd w:val="clear" w:color="auto" w:fill="auto"/>
            <w:vAlign w:val="center"/>
            <w:hideMark/>
          </w:tcPr>
          <w:p w14:paraId="40262075" w14:textId="77777777" w:rsidR="003C53BB" w:rsidRPr="003C53BB" w:rsidRDefault="003C53BB" w:rsidP="003C53BB">
            <w:pPr>
              <w:rPr>
                <w:rFonts w:cs="Arial"/>
                <w:color w:val="000000"/>
                <w:sz w:val="20"/>
                <w:szCs w:val="20"/>
                <w:lang w:val="en-US" w:eastAsia="en-US"/>
              </w:rPr>
            </w:pPr>
            <w:r w:rsidRPr="003C53BB">
              <w:rPr>
                <w:rFonts w:cs="Arial"/>
                <w:color w:val="000000"/>
                <w:sz w:val="20"/>
                <w:szCs w:val="20"/>
                <w:lang w:val="en-US" w:eastAsia="en-US"/>
              </w:rPr>
              <w:t>Cost of surgery consultation</w:t>
            </w:r>
          </w:p>
        </w:tc>
        <w:tc>
          <w:tcPr>
            <w:tcW w:w="1630" w:type="dxa"/>
            <w:tcBorders>
              <w:top w:val="single" w:sz="4" w:space="0" w:color="auto"/>
              <w:left w:val="nil"/>
              <w:bottom w:val="single" w:sz="4" w:space="0" w:color="auto"/>
              <w:right w:val="single" w:sz="4" w:space="0" w:color="auto"/>
            </w:tcBorders>
            <w:shd w:val="clear" w:color="auto" w:fill="auto"/>
            <w:vAlign w:val="center"/>
            <w:hideMark/>
          </w:tcPr>
          <w:p w14:paraId="11B80F9C" w14:textId="77777777" w:rsidR="003C53BB" w:rsidRPr="003C53BB" w:rsidRDefault="003C53BB" w:rsidP="003C53BB">
            <w:pPr>
              <w:rPr>
                <w:rFonts w:cs="Arial"/>
                <w:color w:val="000000"/>
                <w:sz w:val="16"/>
                <w:szCs w:val="16"/>
                <w:lang w:val="en-US" w:eastAsia="en-US"/>
              </w:rPr>
            </w:pPr>
            <w:r w:rsidRPr="003C53BB">
              <w:rPr>
                <w:rFonts w:cs="Arial"/>
                <w:color w:val="000000"/>
                <w:sz w:val="16"/>
                <w:szCs w:val="16"/>
                <w:lang w:val="en-US" w:eastAsia="en-US"/>
              </w:rPr>
              <w:fldChar w:fldCharType="begin"/>
            </w:r>
            <w:r w:rsidRPr="003C53BB">
              <w:rPr>
                <w:rFonts w:cs="Arial"/>
                <w:color w:val="000000"/>
                <w:sz w:val="16"/>
                <w:szCs w:val="16"/>
                <w:lang w:val="en-US" w:eastAsia="en-US"/>
              </w:rPr>
              <w:instrText xml:space="preserve"> REF _Ref430941316 \h </w:instrText>
            </w:r>
            <w:r>
              <w:rPr>
                <w:rFonts w:cs="Arial"/>
                <w:color w:val="000000"/>
                <w:sz w:val="16"/>
                <w:szCs w:val="16"/>
                <w:lang w:val="en-US" w:eastAsia="en-US"/>
              </w:rPr>
              <w:instrText xml:space="preserve"> \* MERGEFORMAT </w:instrText>
            </w:r>
            <w:r w:rsidRPr="003C53BB">
              <w:rPr>
                <w:rFonts w:cs="Arial"/>
                <w:color w:val="000000"/>
                <w:sz w:val="16"/>
                <w:szCs w:val="16"/>
                <w:lang w:val="en-US" w:eastAsia="en-US"/>
              </w:rPr>
            </w:r>
            <w:r w:rsidRPr="003C53BB">
              <w:rPr>
                <w:rFonts w:cs="Arial"/>
                <w:color w:val="000000"/>
                <w:sz w:val="16"/>
                <w:szCs w:val="16"/>
                <w:lang w:val="en-US" w:eastAsia="en-US"/>
              </w:rPr>
              <w:fldChar w:fldCharType="separate"/>
            </w:r>
            <w:r w:rsidR="00016592" w:rsidRPr="00016592">
              <w:rPr>
                <w:rFonts w:cs="Arial"/>
                <w:sz w:val="16"/>
                <w:szCs w:val="16"/>
              </w:rPr>
              <w:t xml:space="preserve">Table </w:t>
            </w:r>
            <w:r w:rsidR="00016592" w:rsidRPr="00016592">
              <w:rPr>
                <w:rFonts w:cs="Arial"/>
                <w:noProof/>
                <w:sz w:val="16"/>
                <w:szCs w:val="16"/>
              </w:rPr>
              <w:t>61</w:t>
            </w:r>
            <w:r w:rsidRPr="003C53BB">
              <w:rPr>
                <w:rFonts w:cs="Arial"/>
                <w:color w:val="000000"/>
                <w:sz w:val="16"/>
                <w:szCs w:val="16"/>
                <w:lang w:val="en-US" w:eastAsia="en-US"/>
              </w:rPr>
              <w:fldChar w:fldCharType="end"/>
            </w:r>
            <w:r w:rsidRPr="003C53BB">
              <w:rPr>
                <w:rFonts w:cs="Arial"/>
                <w:color w:val="000000"/>
                <w:sz w:val="16"/>
                <w:szCs w:val="16"/>
                <w:lang w:val="en-US" w:eastAsia="en-US"/>
              </w:rPr>
              <w:t>, row K x AUD 85,55</w:t>
            </w:r>
          </w:p>
        </w:tc>
        <w:tc>
          <w:tcPr>
            <w:tcW w:w="1589" w:type="dxa"/>
            <w:tcBorders>
              <w:top w:val="single" w:sz="4" w:space="0" w:color="auto"/>
              <w:left w:val="nil"/>
              <w:bottom w:val="single" w:sz="8" w:space="0" w:color="auto"/>
              <w:right w:val="single" w:sz="4" w:space="0" w:color="auto"/>
            </w:tcBorders>
            <w:shd w:val="clear" w:color="auto" w:fill="auto"/>
            <w:noWrap/>
            <w:vAlign w:val="center"/>
            <w:hideMark/>
          </w:tcPr>
          <w:p w14:paraId="5D3B84C0" w14:textId="35E7BBEB" w:rsidR="003C53BB" w:rsidRPr="003C53BB" w:rsidRDefault="003C53BB" w:rsidP="003C53BB">
            <w:pPr>
              <w:rPr>
                <w:rFonts w:cs="Arial"/>
                <w:color w:val="000000"/>
                <w:sz w:val="16"/>
                <w:szCs w:val="16"/>
                <w:lang w:val="en-US" w:eastAsia="en-US"/>
              </w:rPr>
            </w:pPr>
            <w:r w:rsidRPr="003C53BB">
              <w:rPr>
                <w:rFonts w:cs="Arial"/>
                <w:color w:val="000000"/>
                <w:sz w:val="16"/>
                <w:szCs w:val="16"/>
                <w:lang w:val="en-US" w:eastAsia="en-US"/>
              </w:rPr>
              <w:t xml:space="preserve"> AUD   6.074 </w:t>
            </w:r>
          </w:p>
        </w:tc>
        <w:tc>
          <w:tcPr>
            <w:tcW w:w="1399" w:type="dxa"/>
            <w:tcBorders>
              <w:top w:val="single" w:sz="4" w:space="0" w:color="auto"/>
              <w:left w:val="nil"/>
              <w:bottom w:val="single" w:sz="8" w:space="0" w:color="auto"/>
              <w:right w:val="single" w:sz="4" w:space="0" w:color="auto"/>
            </w:tcBorders>
            <w:shd w:val="clear" w:color="auto" w:fill="auto"/>
            <w:noWrap/>
            <w:vAlign w:val="center"/>
            <w:hideMark/>
          </w:tcPr>
          <w:p w14:paraId="4F60929D" w14:textId="7D4569AD" w:rsidR="003C53BB" w:rsidRPr="003C53BB" w:rsidRDefault="003C53BB" w:rsidP="003C53BB">
            <w:pPr>
              <w:rPr>
                <w:rFonts w:cs="Arial"/>
                <w:color w:val="000000"/>
                <w:sz w:val="16"/>
                <w:szCs w:val="16"/>
                <w:lang w:val="en-US" w:eastAsia="en-US"/>
              </w:rPr>
            </w:pPr>
            <w:r w:rsidRPr="003C53BB">
              <w:rPr>
                <w:rFonts w:cs="Arial"/>
                <w:color w:val="000000"/>
                <w:sz w:val="16"/>
                <w:szCs w:val="16"/>
                <w:lang w:val="en-US" w:eastAsia="en-US"/>
              </w:rPr>
              <w:t xml:space="preserve"> AUD</w:t>
            </w:r>
            <w:r w:rsidR="00BE1424">
              <w:rPr>
                <w:rFonts w:cs="Arial"/>
                <w:color w:val="000000"/>
                <w:sz w:val="16"/>
                <w:szCs w:val="16"/>
                <w:lang w:val="en-US" w:eastAsia="en-US"/>
              </w:rPr>
              <w:t xml:space="preserve">  </w:t>
            </w:r>
            <w:r w:rsidRPr="003C53BB">
              <w:rPr>
                <w:rFonts w:cs="Arial"/>
                <w:color w:val="000000"/>
                <w:sz w:val="16"/>
                <w:szCs w:val="16"/>
                <w:lang w:val="en-US" w:eastAsia="en-US"/>
              </w:rPr>
              <w:t xml:space="preserve"> 6.160 </w:t>
            </w:r>
          </w:p>
        </w:tc>
        <w:tc>
          <w:tcPr>
            <w:tcW w:w="1399" w:type="dxa"/>
            <w:tcBorders>
              <w:top w:val="single" w:sz="4" w:space="0" w:color="auto"/>
              <w:left w:val="nil"/>
              <w:bottom w:val="single" w:sz="8" w:space="0" w:color="auto"/>
              <w:right w:val="single" w:sz="4" w:space="0" w:color="auto"/>
            </w:tcBorders>
            <w:shd w:val="clear" w:color="auto" w:fill="auto"/>
            <w:noWrap/>
            <w:vAlign w:val="center"/>
            <w:hideMark/>
          </w:tcPr>
          <w:p w14:paraId="46E57B35" w14:textId="32848465" w:rsidR="003C53BB" w:rsidRPr="003C53BB" w:rsidRDefault="003C53BB" w:rsidP="003C53BB">
            <w:pPr>
              <w:rPr>
                <w:rFonts w:cs="Arial"/>
                <w:color w:val="000000"/>
                <w:sz w:val="16"/>
                <w:szCs w:val="16"/>
                <w:lang w:val="en-US" w:eastAsia="en-US"/>
              </w:rPr>
            </w:pPr>
            <w:r w:rsidRPr="003C53BB">
              <w:rPr>
                <w:rFonts w:cs="Arial"/>
                <w:color w:val="000000"/>
                <w:sz w:val="16"/>
                <w:szCs w:val="16"/>
                <w:lang w:val="en-US" w:eastAsia="en-US"/>
              </w:rPr>
              <w:t xml:space="preserve"> AUD</w:t>
            </w:r>
            <w:r w:rsidR="00BE1424">
              <w:rPr>
                <w:rFonts w:cs="Arial"/>
                <w:color w:val="000000"/>
                <w:sz w:val="16"/>
                <w:szCs w:val="16"/>
                <w:lang w:val="en-US" w:eastAsia="en-US"/>
              </w:rPr>
              <w:t xml:space="preserve">  </w:t>
            </w:r>
            <w:r w:rsidRPr="003C53BB">
              <w:rPr>
                <w:rFonts w:cs="Arial"/>
                <w:color w:val="000000"/>
                <w:sz w:val="16"/>
                <w:szCs w:val="16"/>
                <w:lang w:val="en-US" w:eastAsia="en-US"/>
              </w:rPr>
              <w:t xml:space="preserve"> 6.331 </w:t>
            </w:r>
          </w:p>
        </w:tc>
        <w:tc>
          <w:tcPr>
            <w:tcW w:w="1399" w:type="dxa"/>
            <w:tcBorders>
              <w:top w:val="single" w:sz="4" w:space="0" w:color="auto"/>
              <w:left w:val="nil"/>
              <w:bottom w:val="single" w:sz="8" w:space="0" w:color="auto"/>
              <w:right w:val="single" w:sz="4" w:space="0" w:color="auto"/>
            </w:tcBorders>
            <w:shd w:val="clear" w:color="auto" w:fill="auto"/>
            <w:noWrap/>
            <w:vAlign w:val="center"/>
            <w:hideMark/>
          </w:tcPr>
          <w:p w14:paraId="6CB488DA" w14:textId="45063168" w:rsidR="003C53BB" w:rsidRPr="003C53BB" w:rsidRDefault="003C53BB" w:rsidP="003C53BB">
            <w:pPr>
              <w:rPr>
                <w:rFonts w:cs="Arial"/>
                <w:color w:val="000000"/>
                <w:sz w:val="16"/>
                <w:szCs w:val="16"/>
                <w:lang w:val="en-US" w:eastAsia="en-US"/>
              </w:rPr>
            </w:pPr>
            <w:r w:rsidRPr="003C53BB">
              <w:rPr>
                <w:rFonts w:cs="Arial"/>
                <w:color w:val="000000"/>
                <w:sz w:val="16"/>
                <w:szCs w:val="16"/>
                <w:lang w:val="en-US" w:eastAsia="en-US"/>
              </w:rPr>
              <w:t xml:space="preserve"> AUD   6.416 </w:t>
            </w:r>
          </w:p>
        </w:tc>
        <w:tc>
          <w:tcPr>
            <w:tcW w:w="1399" w:type="dxa"/>
            <w:tcBorders>
              <w:top w:val="single" w:sz="4" w:space="0" w:color="auto"/>
              <w:left w:val="nil"/>
              <w:bottom w:val="single" w:sz="8" w:space="0" w:color="auto"/>
              <w:right w:val="single" w:sz="4" w:space="0" w:color="auto"/>
            </w:tcBorders>
            <w:shd w:val="clear" w:color="auto" w:fill="auto"/>
            <w:noWrap/>
            <w:vAlign w:val="center"/>
            <w:hideMark/>
          </w:tcPr>
          <w:p w14:paraId="64F302E9" w14:textId="5A456D30" w:rsidR="003C53BB" w:rsidRPr="003C53BB" w:rsidRDefault="003C53BB" w:rsidP="003C53BB">
            <w:pPr>
              <w:rPr>
                <w:rFonts w:cs="Arial"/>
                <w:color w:val="000000"/>
                <w:sz w:val="16"/>
                <w:szCs w:val="16"/>
                <w:lang w:val="en-US" w:eastAsia="en-US"/>
              </w:rPr>
            </w:pPr>
            <w:r w:rsidRPr="003C53BB">
              <w:rPr>
                <w:rFonts w:cs="Arial"/>
                <w:color w:val="000000"/>
                <w:sz w:val="16"/>
                <w:szCs w:val="16"/>
                <w:lang w:val="en-US" w:eastAsia="en-US"/>
              </w:rPr>
              <w:t xml:space="preserve"> AUD</w:t>
            </w:r>
            <w:r w:rsidR="00BE1424">
              <w:rPr>
                <w:rFonts w:cs="Arial"/>
                <w:color w:val="000000"/>
                <w:sz w:val="16"/>
                <w:szCs w:val="16"/>
                <w:lang w:val="en-US" w:eastAsia="en-US"/>
              </w:rPr>
              <w:t xml:space="preserve">  </w:t>
            </w:r>
            <w:r w:rsidRPr="003C53BB">
              <w:rPr>
                <w:rFonts w:cs="Arial"/>
                <w:color w:val="000000"/>
                <w:sz w:val="16"/>
                <w:szCs w:val="16"/>
                <w:lang w:val="en-US" w:eastAsia="en-US"/>
              </w:rPr>
              <w:t xml:space="preserve"> 6.502 </w:t>
            </w:r>
          </w:p>
        </w:tc>
        <w:tc>
          <w:tcPr>
            <w:tcW w:w="1399" w:type="dxa"/>
            <w:tcBorders>
              <w:top w:val="single" w:sz="4" w:space="0" w:color="auto"/>
              <w:left w:val="nil"/>
              <w:bottom w:val="single" w:sz="8" w:space="0" w:color="auto"/>
              <w:right w:val="single" w:sz="8" w:space="0" w:color="auto"/>
            </w:tcBorders>
            <w:shd w:val="clear" w:color="auto" w:fill="auto"/>
            <w:noWrap/>
            <w:vAlign w:val="center"/>
            <w:hideMark/>
          </w:tcPr>
          <w:p w14:paraId="59C39E40" w14:textId="5BCD0DC6" w:rsidR="003C53BB" w:rsidRPr="003C53BB" w:rsidRDefault="003C53BB" w:rsidP="003C53BB">
            <w:pPr>
              <w:rPr>
                <w:rFonts w:cs="Arial"/>
                <w:color w:val="000000"/>
                <w:sz w:val="16"/>
                <w:szCs w:val="16"/>
                <w:lang w:val="en-US" w:eastAsia="en-US"/>
              </w:rPr>
            </w:pPr>
            <w:r w:rsidRPr="003C53BB">
              <w:rPr>
                <w:rFonts w:cs="Arial"/>
                <w:color w:val="000000"/>
                <w:sz w:val="16"/>
                <w:szCs w:val="16"/>
                <w:lang w:val="en-US" w:eastAsia="en-US"/>
              </w:rPr>
              <w:t xml:space="preserve"> AUD</w:t>
            </w:r>
            <w:r w:rsidR="00BE1424">
              <w:rPr>
                <w:rFonts w:cs="Arial"/>
                <w:color w:val="000000"/>
                <w:sz w:val="16"/>
                <w:szCs w:val="16"/>
                <w:lang w:val="en-US" w:eastAsia="en-US"/>
              </w:rPr>
              <w:t xml:space="preserve">  </w:t>
            </w:r>
            <w:r w:rsidRPr="003C53BB">
              <w:rPr>
                <w:rFonts w:cs="Arial"/>
                <w:color w:val="000000"/>
                <w:sz w:val="16"/>
                <w:szCs w:val="16"/>
                <w:lang w:val="en-US" w:eastAsia="en-US"/>
              </w:rPr>
              <w:t xml:space="preserve"> 6.587 </w:t>
            </w:r>
          </w:p>
        </w:tc>
      </w:tr>
      <w:tr w:rsidR="003C53BB" w:rsidRPr="003C53BB" w14:paraId="5AAEA7AF" w14:textId="77777777" w:rsidTr="00BF0EEF">
        <w:trPr>
          <w:trHeight w:val="525"/>
          <w:jc w:val="center"/>
        </w:trPr>
        <w:tc>
          <w:tcPr>
            <w:tcW w:w="505" w:type="dxa"/>
            <w:tcBorders>
              <w:top w:val="nil"/>
              <w:left w:val="single" w:sz="8" w:space="0" w:color="auto"/>
              <w:bottom w:val="single" w:sz="8" w:space="0" w:color="auto"/>
              <w:right w:val="single" w:sz="4" w:space="0" w:color="auto"/>
            </w:tcBorders>
            <w:shd w:val="clear" w:color="000000" w:fill="C5D9F1"/>
            <w:noWrap/>
            <w:vAlign w:val="center"/>
            <w:hideMark/>
          </w:tcPr>
          <w:p w14:paraId="13D7C9E1" w14:textId="77777777" w:rsidR="003C53BB" w:rsidRPr="003C53BB" w:rsidRDefault="003C53BB" w:rsidP="003C53BB">
            <w:pPr>
              <w:rPr>
                <w:rFonts w:cs="Arial"/>
                <w:b/>
                <w:bCs/>
                <w:color w:val="000000"/>
                <w:sz w:val="20"/>
                <w:szCs w:val="20"/>
                <w:lang w:val="en-US" w:eastAsia="en-US"/>
              </w:rPr>
            </w:pPr>
            <w:r w:rsidRPr="003C53BB">
              <w:rPr>
                <w:rFonts w:cs="Arial"/>
                <w:b/>
                <w:bCs/>
                <w:color w:val="000000"/>
                <w:sz w:val="20"/>
                <w:szCs w:val="20"/>
                <w:lang w:val="en-US" w:eastAsia="en-US"/>
              </w:rPr>
              <w:t>AB</w:t>
            </w:r>
          </w:p>
        </w:tc>
        <w:tc>
          <w:tcPr>
            <w:tcW w:w="3125" w:type="dxa"/>
            <w:tcBorders>
              <w:top w:val="nil"/>
              <w:left w:val="nil"/>
              <w:bottom w:val="single" w:sz="8" w:space="0" w:color="auto"/>
              <w:right w:val="single" w:sz="4" w:space="0" w:color="auto"/>
            </w:tcBorders>
            <w:shd w:val="clear" w:color="000000" w:fill="C5D9F1"/>
            <w:vAlign w:val="center"/>
            <w:hideMark/>
          </w:tcPr>
          <w:p w14:paraId="586869FE" w14:textId="77777777" w:rsidR="003C53BB" w:rsidRPr="003C53BB" w:rsidRDefault="003C53BB" w:rsidP="003C53BB">
            <w:pPr>
              <w:rPr>
                <w:rFonts w:cs="Arial"/>
                <w:color w:val="000000"/>
                <w:sz w:val="20"/>
                <w:szCs w:val="20"/>
                <w:lang w:val="en-US" w:eastAsia="en-US"/>
              </w:rPr>
            </w:pPr>
            <w:r w:rsidRPr="003C53BB">
              <w:rPr>
                <w:rFonts w:cs="Arial"/>
                <w:color w:val="000000"/>
                <w:sz w:val="20"/>
                <w:szCs w:val="20"/>
                <w:lang w:val="en-US" w:eastAsia="en-US"/>
              </w:rPr>
              <w:t>Total cost to MBS of associated items</w:t>
            </w:r>
          </w:p>
        </w:tc>
        <w:tc>
          <w:tcPr>
            <w:tcW w:w="1630" w:type="dxa"/>
            <w:tcBorders>
              <w:top w:val="nil"/>
              <w:left w:val="nil"/>
              <w:bottom w:val="single" w:sz="8" w:space="0" w:color="auto"/>
              <w:right w:val="single" w:sz="4" w:space="0" w:color="auto"/>
            </w:tcBorders>
            <w:shd w:val="clear" w:color="000000" w:fill="C5D9F1"/>
            <w:vAlign w:val="center"/>
            <w:hideMark/>
          </w:tcPr>
          <w:p w14:paraId="38B72A63" w14:textId="77777777" w:rsidR="003C53BB" w:rsidRPr="003C53BB" w:rsidRDefault="003C53BB" w:rsidP="003C53BB">
            <w:pPr>
              <w:rPr>
                <w:rFonts w:cs="Arial"/>
                <w:color w:val="000000"/>
                <w:sz w:val="16"/>
                <w:szCs w:val="16"/>
                <w:lang w:val="es-ES" w:eastAsia="en-US"/>
              </w:rPr>
            </w:pPr>
            <w:r w:rsidRPr="003C53BB">
              <w:rPr>
                <w:rFonts w:cs="Arial"/>
                <w:color w:val="000000"/>
                <w:sz w:val="16"/>
                <w:szCs w:val="16"/>
                <w:lang w:val="es-ES" w:eastAsia="en-US"/>
              </w:rPr>
              <w:t>U + V + W + X + Y + Z + AA + AB</w:t>
            </w:r>
          </w:p>
        </w:tc>
        <w:tc>
          <w:tcPr>
            <w:tcW w:w="1589" w:type="dxa"/>
            <w:tcBorders>
              <w:top w:val="single" w:sz="4" w:space="0" w:color="auto"/>
              <w:left w:val="nil"/>
              <w:bottom w:val="single" w:sz="8" w:space="0" w:color="auto"/>
              <w:right w:val="single" w:sz="4" w:space="0" w:color="auto"/>
            </w:tcBorders>
            <w:shd w:val="clear" w:color="000000" w:fill="C5D9F1"/>
            <w:noWrap/>
            <w:vAlign w:val="center"/>
            <w:hideMark/>
          </w:tcPr>
          <w:p w14:paraId="65E1EE21" w14:textId="36AC74C8" w:rsidR="003C53BB" w:rsidRPr="003C53BB" w:rsidRDefault="003C53BB" w:rsidP="003C53BB">
            <w:pPr>
              <w:rPr>
                <w:rFonts w:cs="Arial"/>
                <w:color w:val="000000"/>
                <w:sz w:val="16"/>
                <w:szCs w:val="16"/>
                <w:lang w:val="en-US" w:eastAsia="en-US"/>
              </w:rPr>
            </w:pPr>
            <w:r w:rsidRPr="003C53BB">
              <w:rPr>
                <w:rFonts w:cs="Arial"/>
                <w:color w:val="000000"/>
                <w:sz w:val="16"/>
                <w:szCs w:val="16"/>
                <w:lang w:val="es-ES" w:eastAsia="en-US"/>
              </w:rPr>
              <w:t xml:space="preserve"> </w:t>
            </w:r>
            <w:r w:rsidRPr="003C53BB">
              <w:rPr>
                <w:rFonts w:cs="Arial"/>
                <w:color w:val="000000"/>
                <w:sz w:val="16"/>
                <w:szCs w:val="16"/>
                <w:lang w:val="en-US" w:eastAsia="en-US"/>
              </w:rPr>
              <w:t xml:space="preserve">AUD   37.935 </w:t>
            </w:r>
          </w:p>
        </w:tc>
        <w:tc>
          <w:tcPr>
            <w:tcW w:w="1399" w:type="dxa"/>
            <w:tcBorders>
              <w:top w:val="single" w:sz="4" w:space="0" w:color="auto"/>
              <w:left w:val="nil"/>
              <w:bottom w:val="single" w:sz="8" w:space="0" w:color="auto"/>
              <w:right w:val="single" w:sz="4" w:space="0" w:color="auto"/>
            </w:tcBorders>
            <w:shd w:val="clear" w:color="000000" w:fill="C5D9F1"/>
            <w:noWrap/>
            <w:vAlign w:val="center"/>
            <w:hideMark/>
          </w:tcPr>
          <w:p w14:paraId="277963D9" w14:textId="1108F23A" w:rsidR="003C53BB" w:rsidRPr="003C53BB" w:rsidRDefault="003C53BB" w:rsidP="003C53BB">
            <w:pPr>
              <w:rPr>
                <w:rFonts w:cs="Arial"/>
                <w:color w:val="000000"/>
                <w:sz w:val="16"/>
                <w:szCs w:val="16"/>
                <w:lang w:val="en-US" w:eastAsia="en-US"/>
              </w:rPr>
            </w:pPr>
            <w:r w:rsidRPr="003C53BB">
              <w:rPr>
                <w:rFonts w:cs="Arial"/>
                <w:color w:val="000000"/>
                <w:sz w:val="16"/>
                <w:szCs w:val="16"/>
                <w:lang w:val="en-US" w:eastAsia="en-US"/>
              </w:rPr>
              <w:t xml:space="preserve"> AUD   38.470 </w:t>
            </w:r>
          </w:p>
        </w:tc>
        <w:tc>
          <w:tcPr>
            <w:tcW w:w="1399" w:type="dxa"/>
            <w:tcBorders>
              <w:top w:val="single" w:sz="4" w:space="0" w:color="auto"/>
              <w:left w:val="nil"/>
              <w:bottom w:val="single" w:sz="8" w:space="0" w:color="auto"/>
              <w:right w:val="single" w:sz="4" w:space="0" w:color="auto"/>
            </w:tcBorders>
            <w:shd w:val="clear" w:color="000000" w:fill="C5D9F1"/>
            <w:noWrap/>
            <w:vAlign w:val="center"/>
            <w:hideMark/>
          </w:tcPr>
          <w:p w14:paraId="76F838F8" w14:textId="29ED45D3" w:rsidR="003C53BB" w:rsidRPr="003C53BB" w:rsidRDefault="003C53BB" w:rsidP="003C53BB">
            <w:pPr>
              <w:rPr>
                <w:rFonts w:cs="Arial"/>
                <w:color w:val="000000"/>
                <w:sz w:val="16"/>
                <w:szCs w:val="16"/>
                <w:lang w:val="en-US" w:eastAsia="en-US"/>
              </w:rPr>
            </w:pPr>
            <w:r w:rsidRPr="003C53BB">
              <w:rPr>
                <w:rFonts w:cs="Arial"/>
                <w:color w:val="000000"/>
                <w:sz w:val="16"/>
                <w:szCs w:val="16"/>
                <w:lang w:val="en-US" w:eastAsia="en-US"/>
              </w:rPr>
              <w:t xml:space="preserve"> AUD</w:t>
            </w:r>
            <w:r w:rsidR="00BE1424">
              <w:rPr>
                <w:rFonts w:cs="Arial"/>
                <w:color w:val="000000"/>
                <w:sz w:val="16"/>
                <w:szCs w:val="16"/>
                <w:lang w:val="en-US" w:eastAsia="en-US"/>
              </w:rPr>
              <w:t xml:space="preserve"> </w:t>
            </w:r>
            <w:r w:rsidRPr="003C53BB">
              <w:rPr>
                <w:rFonts w:cs="Arial"/>
                <w:color w:val="000000"/>
                <w:sz w:val="16"/>
                <w:szCs w:val="16"/>
                <w:lang w:val="en-US" w:eastAsia="en-US"/>
              </w:rPr>
              <w:t xml:space="preserve">  39.538 </w:t>
            </w:r>
          </w:p>
        </w:tc>
        <w:tc>
          <w:tcPr>
            <w:tcW w:w="1399" w:type="dxa"/>
            <w:tcBorders>
              <w:top w:val="single" w:sz="4" w:space="0" w:color="auto"/>
              <w:left w:val="nil"/>
              <w:bottom w:val="single" w:sz="8" w:space="0" w:color="auto"/>
              <w:right w:val="single" w:sz="4" w:space="0" w:color="auto"/>
            </w:tcBorders>
            <w:shd w:val="clear" w:color="000000" w:fill="C5D9F1"/>
            <w:noWrap/>
            <w:vAlign w:val="center"/>
            <w:hideMark/>
          </w:tcPr>
          <w:p w14:paraId="2BAE8AB1" w14:textId="2162B15A" w:rsidR="003C53BB" w:rsidRPr="003C53BB" w:rsidRDefault="003C53BB" w:rsidP="003C53BB">
            <w:pPr>
              <w:rPr>
                <w:rFonts w:cs="Arial"/>
                <w:color w:val="000000"/>
                <w:sz w:val="16"/>
                <w:szCs w:val="16"/>
                <w:lang w:val="en-US" w:eastAsia="en-US"/>
              </w:rPr>
            </w:pPr>
            <w:r w:rsidRPr="003C53BB">
              <w:rPr>
                <w:rFonts w:cs="Arial"/>
                <w:color w:val="000000"/>
                <w:sz w:val="16"/>
                <w:szCs w:val="16"/>
                <w:lang w:val="en-US" w:eastAsia="en-US"/>
              </w:rPr>
              <w:t xml:space="preserve"> AUD</w:t>
            </w:r>
            <w:r w:rsidR="00BE1424">
              <w:rPr>
                <w:rFonts w:cs="Arial"/>
                <w:color w:val="000000"/>
                <w:sz w:val="16"/>
                <w:szCs w:val="16"/>
                <w:lang w:val="en-US" w:eastAsia="en-US"/>
              </w:rPr>
              <w:t xml:space="preserve"> </w:t>
            </w:r>
            <w:r w:rsidRPr="003C53BB">
              <w:rPr>
                <w:rFonts w:cs="Arial"/>
                <w:color w:val="000000"/>
                <w:sz w:val="16"/>
                <w:szCs w:val="16"/>
                <w:lang w:val="en-US" w:eastAsia="en-US"/>
              </w:rPr>
              <w:t xml:space="preserve">  40.073 </w:t>
            </w:r>
          </w:p>
        </w:tc>
        <w:tc>
          <w:tcPr>
            <w:tcW w:w="1399" w:type="dxa"/>
            <w:tcBorders>
              <w:top w:val="single" w:sz="4" w:space="0" w:color="auto"/>
              <w:left w:val="nil"/>
              <w:bottom w:val="single" w:sz="8" w:space="0" w:color="auto"/>
              <w:right w:val="single" w:sz="4" w:space="0" w:color="auto"/>
            </w:tcBorders>
            <w:shd w:val="clear" w:color="000000" w:fill="C5D9F1"/>
            <w:noWrap/>
            <w:vAlign w:val="center"/>
            <w:hideMark/>
          </w:tcPr>
          <w:p w14:paraId="620B60DF" w14:textId="7A5681D7" w:rsidR="003C53BB" w:rsidRPr="003C53BB" w:rsidRDefault="003C53BB" w:rsidP="003C53BB">
            <w:pPr>
              <w:rPr>
                <w:rFonts w:cs="Arial"/>
                <w:color w:val="000000"/>
                <w:sz w:val="16"/>
                <w:szCs w:val="16"/>
                <w:lang w:val="en-US" w:eastAsia="en-US"/>
              </w:rPr>
            </w:pPr>
            <w:r w:rsidRPr="003C53BB">
              <w:rPr>
                <w:rFonts w:cs="Arial"/>
                <w:color w:val="000000"/>
                <w:sz w:val="16"/>
                <w:szCs w:val="16"/>
                <w:lang w:val="en-US" w:eastAsia="en-US"/>
              </w:rPr>
              <w:t xml:space="preserve"> AUD</w:t>
            </w:r>
            <w:r w:rsidR="00BE1424">
              <w:rPr>
                <w:rFonts w:cs="Arial"/>
                <w:color w:val="000000"/>
                <w:sz w:val="16"/>
                <w:szCs w:val="16"/>
                <w:lang w:val="en-US" w:eastAsia="en-US"/>
              </w:rPr>
              <w:t xml:space="preserve">  </w:t>
            </w:r>
            <w:r w:rsidRPr="003C53BB">
              <w:rPr>
                <w:rFonts w:cs="Arial"/>
                <w:color w:val="000000"/>
                <w:sz w:val="16"/>
                <w:szCs w:val="16"/>
                <w:lang w:val="en-US" w:eastAsia="en-US"/>
              </w:rPr>
              <w:t xml:space="preserve"> 40.607 </w:t>
            </w:r>
          </w:p>
        </w:tc>
        <w:tc>
          <w:tcPr>
            <w:tcW w:w="1399" w:type="dxa"/>
            <w:tcBorders>
              <w:top w:val="single" w:sz="4" w:space="0" w:color="auto"/>
              <w:left w:val="nil"/>
              <w:bottom w:val="single" w:sz="8" w:space="0" w:color="auto"/>
              <w:right w:val="single" w:sz="8" w:space="0" w:color="auto"/>
            </w:tcBorders>
            <w:shd w:val="clear" w:color="000000" w:fill="C5D9F1"/>
            <w:noWrap/>
            <w:vAlign w:val="center"/>
            <w:hideMark/>
          </w:tcPr>
          <w:p w14:paraId="69902A2B" w14:textId="5B20C7E5" w:rsidR="003C53BB" w:rsidRPr="003C53BB" w:rsidRDefault="003C53BB" w:rsidP="003C53BB">
            <w:pPr>
              <w:rPr>
                <w:rFonts w:cs="Arial"/>
                <w:color w:val="000000"/>
                <w:sz w:val="16"/>
                <w:szCs w:val="16"/>
                <w:lang w:val="en-US" w:eastAsia="en-US"/>
              </w:rPr>
            </w:pPr>
            <w:r w:rsidRPr="003C53BB">
              <w:rPr>
                <w:rFonts w:cs="Arial"/>
                <w:color w:val="000000"/>
                <w:sz w:val="16"/>
                <w:szCs w:val="16"/>
                <w:lang w:val="en-US" w:eastAsia="en-US"/>
              </w:rPr>
              <w:t xml:space="preserve"> AUD</w:t>
            </w:r>
            <w:r w:rsidR="00BE1424">
              <w:rPr>
                <w:rFonts w:cs="Arial"/>
                <w:color w:val="000000"/>
                <w:sz w:val="16"/>
                <w:szCs w:val="16"/>
                <w:lang w:val="en-US" w:eastAsia="en-US"/>
              </w:rPr>
              <w:t xml:space="preserve"> </w:t>
            </w:r>
            <w:r w:rsidRPr="003C53BB">
              <w:rPr>
                <w:rFonts w:cs="Arial"/>
                <w:color w:val="000000"/>
                <w:sz w:val="16"/>
                <w:szCs w:val="16"/>
                <w:lang w:val="en-US" w:eastAsia="en-US"/>
              </w:rPr>
              <w:t xml:space="preserve">  41.141 </w:t>
            </w:r>
          </w:p>
        </w:tc>
      </w:tr>
      <w:tr w:rsidR="003C53BB" w:rsidRPr="003C53BB" w14:paraId="1CB1D5F3" w14:textId="77777777" w:rsidTr="00BF0EEF">
        <w:trPr>
          <w:trHeight w:val="300"/>
          <w:jc w:val="center"/>
        </w:trPr>
        <w:tc>
          <w:tcPr>
            <w:tcW w:w="50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963CC46" w14:textId="77777777" w:rsidR="003C53BB" w:rsidRPr="003C53BB" w:rsidRDefault="003C53BB" w:rsidP="003C53BB">
            <w:pPr>
              <w:rPr>
                <w:rFonts w:cs="Arial"/>
                <w:b/>
                <w:bCs/>
                <w:color w:val="000000"/>
                <w:sz w:val="20"/>
                <w:szCs w:val="20"/>
                <w:lang w:val="en-US" w:eastAsia="en-US"/>
              </w:rPr>
            </w:pPr>
            <w:r w:rsidRPr="003C53BB">
              <w:rPr>
                <w:rFonts w:cs="Arial"/>
                <w:b/>
                <w:bCs/>
                <w:color w:val="000000"/>
                <w:sz w:val="20"/>
                <w:szCs w:val="20"/>
                <w:lang w:val="en-US" w:eastAsia="en-US"/>
              </w:rPr>
              <w:t> </w:t>
            </w:r>
          </w:p>
        </w:tc>
        <w:tc>
          <w:tcPr>
            <w:tcW w:w="13339" w:type="dxa"/>
            <w:gridSpan w:val="8"/>
            <w:tcBorders>
              <w:top w:val="single" w:sz="4" w:space="0" w:color="auto"/>
              <w:left w:val="single" w:sz="4" w:space="0" w:color="auto"/>
              <w:bottom w:val="single" w:sz="4" w:space="0" w:color="auto"/>
              <w:right w:val="single" w:sz="8" w:space="0" w:color="000000"/>
            </w:tcBorders>
            <w:shd w:val="clear" w:color="auto" w:fill="auto"/>
            <w:vAlign w:val="center"/>
            <w:hideMark/>
          </w:tcPr>
          <w:p w14:paraId="04A08242" w14:textId="77777777" w:rsidR="003C53BB" w:rsidRPr="003C53BB" w:rsidRDefault="003C53BB" w:rsidP="003C53BB">
            <w:pPr>
              <w:rPr>
                <w:rFonts w:cs="Arial"/>
                <w:b/>
                <w:bCs/>
                <w:color w:val="000000"/>
                <w:lang w:val="en-US" w:eastAsia="en-US"/>
              </w:rPr>
            </w:pPr>
            <w:r w:rsidRPr="003C53BB">
              <w:rPr>
                <w:rFonts w:cs="Arial"/>
                <w:b/>
                <w:bCs/>
                <w:color w:val="000000"/>
                <w:lang w:val="en-US" w:eastAsia="en-US"/>
              </w:rPr>
              <w:t>Maxum/Soundtec</w:t>
            </w:r>
          </w:p>
        </w:tc>
      </w:tr>
      <w:tr w:rsidR="003C53BB" w:rsidRPr="003C53BB" w14:paraId="35FCBB8A" w14:textId="77777777" w:rsidTr="00BF0EEF">
        <w:trPr>
          <w:trHeight w:val="465"/>
          <w:jc w:val="center"/>
        </w:trPr>
        <w:tc>
          <w:tcPr>
            <w:tcW w:w="505" w:type="dxa"/>
            <w:tcBorders>
              <w:top w:val="nil"/>
              <w:left w:val="single" w:sz="8" w:space="0" w:color="auto"/>
              <w:bottom w:val="single" w:sz="8" w:space="0" w:color="auto"/>
              <w:right w:val="single" w:sz="4" w:space="0" w:color="auto"/>
            </w:tcBorders>
            <w:shd w:val="clear" w:color="auto" w:fill="auto"/>
            <w:noWrap/>
            <w:vAlign w:val="center"/>
            <w:hideMark/>
          </w:tcPr>
          <w:p w14:paraId="6D69990D" w14:textId="77777777" w:rsidR="003C53BB" w:rsidRPr="003C53BB" w:rsidRDefault="003C53BB" w:rsidP="003C53BB">
            <w:pPr>
              <w:rPr>
                <w:rFonts w:cs="Arial"/>
                <w:b/>
                <w:bCs/>
                <w:color w:val="000000"/>
                <w:sz w:val="20"/>
                <w:szCs w:val="20"/>
                <w:lang w:val="en-US" w:eastAsia="en-US"/>
              </w:rPr>
            </w:pPr>
            <w:r w:rsidRPr="003C53BB">
              <w:rPr>
                <w:rFonts w:cs="Arial"/>
                <w:b/>
                <w:bCs/>
                <w:color w:val="000000"/>
                <w:sz w:val="20"/>
                <w:szCs w:val="20"/>
                <w:lang w:val="en-US" w:eastAsia="en-US"/>
              </w:rPr>
              <w:t>AC</w:t>
            </w:r>
          </w:p>
        </w:tc>
        <w:tc>
          <w:tcPr>
            <w:tcW w:w="3125" w:type="dxa"/>
            <w:tcBorders>
              <w:top w:val="nil"/>
              <w:left w:val="nil"/>
              <w:bottom w:val="single" w:sz="8" w:space="0" w:color="auto"/>
              <w:right w:val="single" w:sz="4" w:space="0" w:color="auto"/>
            </w:tcBorders>
            <w:shd w:val="clear" w:color="auto" w:fill="auto"/>
            <w:vAlign w:val="center"/>
            <w:hideMark/>
          </w:tcPr>
          <w:p w14:paraId="07217665" w14:textId="77777777" w:rsidR="003C53BB" w:rsidRPr="003C53BB" w:rsidRDefault="003C53BB" w:rsidP="003C53BB">
            <w:pPr>
              <w:rPr>
                <w:rFonts w:cs="Arial"/>
                <w:color w:val="000000"/>
                <w:sz w:val="20"/>
                <w:szCs w:val="20"/>
                <w:lang w:val="en-US" w:eastAsia="en-US"/>
              </w:rPr>
            </w:pPr>
            <w:r w:rsidRPr="003C53BB">
              <w:rPr>
                <w:rFonts w:cs="Arial"/>
                <w:color w:val="000000"/>
                <w:sz w:val="20"/>
                <w:szCs w:val="20"/>
                <w:lang w:val="en-US" w:eastAsia="en-US"/>
              </w:rPr>
              <w:t>Cost of ENT specialist</w:t>
            </w:r>
          </w:p>
        </w:tc>
        <w:tc>
          <w:tcPr>
            <w:tcW w:w="1630" w:type="dxa"/>
            <w:tcBorders>
              <w:top w:val="nil"/>
              <w:left w:val="nil"/>
              <w:bottom w:val="single" w:sz="8" w:space="0" w:color="auto"/>
              <w:right w:val="single" w:sz="4" w:space="0" w:color="auto"/>
            </w:tcBorders>
            <w:shd w:val="clear" w:color="auto" w:fill="auto"/>
            <w:vAlign w:val="center"/>
            <w:hideMark/>
          </w:tcPr>
          <w:p w14:paraId="29C7BF1C" w14:textId="77777777" w:rsidR="003C53BB" w:rsidRPr="003C53BB" w:rsidRDefault="003C53BB" w:rsidP="003C53BB">
            <w:pPr>
              <w:rPr>
                <w:rFonts w:cs="Arial"/>
                <w:color w:val="000000"/>
                <w:sz w:val="16"/>
                <w:szCs w:val="16"/>
                <w:lang w:val="en-US" w:eastAsia="en-US"/>
              </w:rPr>
            </w:pPr>
            <w:r w:rsidRPr="003C53BB">
              <w:rPr>
                <w:rFonts w:cs="Arial"/>
                <w:color w:val="000000"/>
                <w:sz w:val="16"/>
                <w:szCs w:val="16"/>
                <w:lang w:val="en-US" w:eastAsia="en-US"/>
              </w:rPr>
              <w:fldChar w:fldCharType="begin"/>
            </w:r>
            <w:r w:rsidRPr="003C53BB">
              <w:rPr>
                <w:rFonts w:cs="Arial"/>
                <w:color w:val="000000"/>
                <w:sz w:val="16"/>
                <w:szCs w:val="16"/>
                <w:lang w:val="en-US" w:eastAsia="en-US"/>
              </w:rPr>
              <w:instrText xml:space="preserve"> REF _Ref430941316 \h </w:instrText>
            </w:r>
            <w:r>
              <w:rPr>
                <w:rFonts w:cs="Arial"/>
                <w:color w:val="000000"/>
                <w:sz w:val="16"/>
                <w:szCs w:val="16"/>
                <w:lang w:val="en-US" w:eastAsia="en-US"/>
              </w:rPr>
              <w:instrText xml:space="preserve"> \* MERGEFORMAT </w:instrText>
            </w:r>
            <w:r w:rsidRPr="003C53BB">
              <w:rPr>
                <w:rFonts w:cs="Arial"/>
                <w:color w:val="000000"/>
                <w:sz w:val="16"/>
                <w:szCs w:val="16"/>
                <w:lang w:val="en-US" w:eastAsia="en-US"/>
              </w:rPr>
            </w:r>
            <w:r w:rsidRPr="003C53BB">
              <w:rPr>
                <w:rFonts w:cs="Arial"/>
                <w:color w:val="000000"/>
                <w:sz w:val="16"/>
                <w:szCs w:val="16"/>
                <w:lang w:val="en-US" w:eastAsia="en-US"/>
              </w:rPr>
              <w:fldChar w:fldCharType="separate"/>
            </w:r>
            <w:r w:rsidR="00016592" w:rsidRPr="00016592">
              <w:rPr>
                <w:rFonts w:cs="Arial"/>
                <w:sz w:val="16"/>
                <w:szCs w:val="16"/>
              </w:rPr>
              <w:t xml:space="preserve">Table </w:t>
            </w:r>
            <w:r w:rsidR="00016592" w:rsidRPr="00016592">
              <w:rPr>
                <w:rFonts w:cs="Arial"/>
                <w:noProof/>
                <w:sz w:val="16"/>
                <w:szCs w:val="16"/>
              </w:rPr>
              <w:t>61</w:t>
            </w:r>
            <w:r w:rsidRPr="003C53BB">
              <w:rPr>
                <w:rFonts w:cs="Arial"/>
                <w:color w:val="000000"/>
                <w:sz w:val="16"/>
                <w:szCs w:val="16"/>
                <w:lang w:val="en-US" w:eastAsia="en-US"/>
              </w:rPr>
              <w:fldChar w:fldCharType="end"/>
            </w:r>
            <w:r w:rsidRPr="003C53BB">
              <w:rPr>
                <w:rFonts w:cs="Arial"/>
                <w:color w:val="000000"/>
                <w:sz w:val="16"/>
                <w:szCs w:val="16"/>
                <w:lang w:val="en-US" w:eastAsia="en-US"/>
              </w:rPr>
              <w:t>, row K x AUD 85,55</w:t>
            </w:r>
          </w:p>
        </w:tc>
        <w:tc>
          <w:tcPr>
            <w:tcW w:w="1589" w:type="dxa"/>
            <w:tcBorders>
              <w:top w:val="nil"/>
              <w:left w:val="nil"/>
              <w:bottom w:val="single" w:sz="8" w:space="0" w:color="auto"/>
              <w:right w:val="single" w:sz="4" w:space="0" w:color="auto"/>
            </w:tcBorders>
            <w:shd w:val="clear" w:color="auto" w:fill="auto"/>
            <w:noWrap/>
            <w:vAlign w:val="center"/>
            <w:hideMark/>
          </w:tcPr>
          <w:p w14:paraId="6EFB5469" w14:textId="5DCE8FE1" w:rsidR="003C53BB" w:rsidRPr="003C53BB" w:rsidRDefault="003C53BB" w:rsidP="003C53BB">
            <w:pPr>
              <w:rPr>
                <w:rFonts w:cs="Arial"/>
                <w:color w:val="000000"/>
                <w:sz w:val="16"/>
                <w:szCs w:val="16"/>
                <w:lang w:val="en-US" w:eastAsia="en-US"/>
              </w:rPr>
            </w:pPr>
            <w:r w:rsidRPr="003C53BB">
              <w:rPr>
                <w:rFonts w:cs="Arial"/>
                <w:color w:val="000000"/>
                <w:sz w:val="16"/>
                <w:szCs w:val="16"/>
                <w:lang w:val="en-US" w:eastAsia="en-US"/>
              </w:rPr>
              <w:t xml:space="preserve"> AUD</w:t>
            </w:r>
            <w:r w:rsidR="00BE1424">
              <w:rPr>
                <w:rFonts w:cs="Arial"/>
                <w:color w:val="000000"/>
                <w:sz w:val="16"/>
                <w:szCs w:val="16"/>
                <w:lang w:val="en-US" w:eastAsia="en-US"/>
              </w:rPr>
              <w:t xml:space="preserve">  </w:t>
            </w:r>
            <w:r w:rsidRPr="003C53BB">
              <w:rPr>
                <w:rFonts w:cs="Arial"/>
                <w:color w:val="000000"/>
                <w:sz w:val="16"/>
                <w:szCs w:val="16"/>
                <w:lang w:val="en-US" w:eastAsia="en-US"/>
              </w:rPr>
              <w:t xml:space="preserve"> 6.074 </w:t>
            </w:r>
          </w:p>
        </w:tc>
        <w:tc>
          <w:tcPr>
            <w:tcW w:w="1399" w:type="dxa"/>
            <w:tcBorders>
              <w:top w:val="nil"/>
              <w:left w:val="nil"/>
              <w:bottom w:val="single" w:sz="8" w:space="0" w:color="auto"/>
              <w:right w:val="single" w:sz="4" w:space="0" w:color="auto"/>
            </w:tcBorders>
            <w:shd w:val="clear" w:color="auto" w:fill="auto"/>
            <w:noWrap/>
            <w:vAlign w:val="center"/>
            <w:hideMark/>
          </w:tcPr>
          <w:p w14:paraId="3AE225AC" w14:textId="3F8C2EE4" w:rsidR="003C53BB" w:rsidRPr="003C53BB" w:rsidRDefault="003C53BB" w:rsidP="003C53BB">
            <w:pPr>
              <w:rPr>
                <w:rFonts w:cs="Arial"/>
                <w:color w:val="000000"/>
                <w:sz w:val="16"/>
                <w:szCs w:val="16"/>
                <w:lang w:val="en-US" w:eastAsia="en-US"/>
              </w:rPr>
            </w:pPr>
            <w:r w:rsidRPr="003C53BB">
              <w:rPr>
                <w:rFonts w:cs="Arial"/>
                <w:color w:val="000000"/>
                <w:sz w:val="16"/>
                <w:szCs w:val="16"/>
                <w:lang w:val="en-US" w:eastAsia="en-US"/>
              </w:rPr>
              <w:t xml:space="preserve"> AUD   6.160 </w:t>
            </w:r>
          </w:p>
        </w:tc>
        <w:tc>
          <w:tcPr>
            <w:tcW w:w="1399" w:type="dxa"/>
            <w:tcBorders>
              <w:top w:val="nil"/>
              <w:left w:val="nil"/>
              <w:bottom w:val="single" w:sz="8" w:space="0" w:color="auto"/>
              <w:right w:val="single" w:sz="4" w:space="0" w:color="auto"/>
            </w:tcBorders>
            <w:shd w:val="clear" w:color="auto" w:fill="auto"/>
            <w:noWrap/>
            <w:vAlign w:val="center"/>
            <w:hideMark/>
          </w:tcPr>
          <w:p w14:paraId="10CC161F" w14:textId="1BEF49AA" w:rsidR="003C53BB" w:rsidRPr="003C53BB" w:rsidRDefault="003C53BB" w:rsidP="003C53BB">
            <w:pPr>
              <w:rPr>
                <w:rFonts w:cs="Arial"/>
                <w:color w:val="000000"/>
                <w:sz w:val="16"/>
                <w:szCs w:val="16"/>
                <w:lang w:val="en-US" w:eastAsia="en-US"/>
              </w:rPr>
            </w:pPr>
            <w:r w:rsidRPr="003C53BB">
              <w:rPr>
                <w:rFonts w:cs="Arial"/>
                <w:color w:val="000000"/>
                <w:sz w:val="16"/>
                <w:szCs w:val="16"/>
                <w:lang w:val="en-US" w:eastAsia="en-US"/>
              </w:rPr>
              <w:t xml:space="preserve"> AUD</w:t>
            </w:r>
            <w:r w:rsidR="00BE1424">
              <w:rPr>
                <w:rFonts w:cs="Arial"/>
                <w:color w:val="000000"/>
                <w:sz w:val="16"/>
                <w:szCs w:val="16"/>
                <w:lang w:val="en-US" w:eastAsia="en-US"/>
              </w:rPr>
              <w:t xml:space="preserve"> </w:t>
            </w:r>
            <w:r w:rsidRPr="003C53BB">
              <w:rPr>
                <w:rFonts w:cs="Arial"/>
                <w:color w:val="000000"/>
                <w:sz w:val="16"/>
                <w:szCs w:val="16"/>
                <w:lang w:val="en-US" w:eastAsia="en-US"/>
              </w:rPr>
              <w:t xml:space="preserve">  6.331 </w:t>
            </w:r>
          </w:p>
        </w:tc>
        <w:tc>
          <w:tcPr>
            <w:tcW w:w="1399" w:type="dxa"/>
            <w:tcBorders>
              <w:top w:val="nil"/>
              <w:left w:val="nil"/>
              <w:bottom w:val="single" w:sz="8" w:space="0" w:color="auto"/>
              <w:right w:val="single" w:sz="4" w:space="0" w:color="auto"/>
            </w:tcBorders>
            <w:shd w:val="clear" w:color="auto" w:fill="auto"/>
            <w:noWrap/>
            <w:vAlign w:val="center"/>
            <w:hideMark/>
          </w:tcPr>
          <w:p w14:paraId="0079668D" w14:textId="69787A18" w:rsidR="003C53BB" w:rsidRPr="003C53BB" w:rsidRDefault="003C53BB" w:rsidP="003C53BB">
            <w:pPr>
              <w:rPr>
                <w:rFonts w:cs="Arial"/>
                <w:color w:val="000000"/>
                <w:sz w:val="16"/>
                <w:szCs w:val="16"/>
                <w:lang w:val="en-US" w:eastAsia="en-US"/>
              </w:rPr>
            </w:pPr>
            <w:r w:rsidRPr="003C53BB">
              <w:rPr>
                <w:rFonts w:cs="Arial"/>
                <w:color w:val="000000"/>
                <w:sz w:val="16"/>
                <w:szCs w:val="16"/>
                <w:lang w:val="en-US" w:eastAsia="en-US"/>
              </w:rPr>
              <w:t xml:space="preserve"> AUD</w:t>
            </w:r>
            <w:r w:rsidR="00BE1424">
              <w:rPr>
                <w:rFonts w:cs="Arial"/>
                <w:color w:val="000000"/>
                <w:sz w:val="16"/>
                <w:szCs w:val="16"/>
                <w:lang w:val="en-US" w:eastAsia="en-US"/>
              </w:rPr>
              <w:t xml:space="preserve">  </w:t>
            </w:r>
            <w:r w:rsidRPr="003C53BB">
              <w:rPr>
                <w:rFonts w:cs="Arial"/>
                <w:color w:val="000000"/>
                <w:sz w:val="16"/>
                <w:szCs w:val="16"/>
                <w:lang w:val="en-US" w:eastAsia="en-US"/>
              </w:rPr>
              <w:t xml:space="preserve"> 6.416 </w:t>
            </w:r>
          </w:p>
        </w:tc>
        <w:tc>
          <w:tcPr>
            <w:tcW w:w="1399" w:type="dxa"/>
            <w:tcBorders>
              <w:top w:val="nil"/>
              <w:left w:val="nil"/>
              <w:bottom w:val="single" w:sz="8" w:space="0" w:color="auto"/>
              <w:right w:val="single" w:sz="4" w:space="0" w:color="auto"/>
            </w:tcBorders>
            <w:shd w:val="clear" w:color="auto" w:fill="auto"/>
            <w:noWrap/>
            <w:vAlign w:val="center"/>
            <w:hideMark/>
          </w:tcPr>
          <w:p w14:paraId="4C5FE70B" w14:textId="3AF8CB6F" w:rsidR="003C53BB" w:rsidRPr="003C53BB" w:rsidRDefault="003C53BB" w:rsidP="003C53BB">
            <w:pPr>
              <w:rPr>
                <w:rFonts w:cs="Arial"/>
                <w:color w:val="000000"/>
                <w:sz w:val="16"/>
                <w:szCs w:val="16"/>
                <w:lang w:val="en-US" w:eastAsia="en-US"/>
              </w:rPr>
            </w:pPr>
            <w:r w:rsidRPr="003C53BB">
              <w:rPr>
                <w:rFonts w:cs="Arial"/>
                <w:color w:val="000000"/>
                <w:sz w:val="16"/>
                <w:szCs w:val="16"/>
                <w:lang w:val="en-US" w:eastAsia="en-US"/>
              </w:rPr>
              <w:t xml:space="preserve"> AUD</w:t>
            </w:r>
            <w:r w:rsidR="00BE1424">
              <w:rPr>
                <w:rFonts w:cs="Arial"/>
                <w:color w:val="000000"/>
                <w:sz w:val="16"/>
                <w:szCs w:val="16"/>
                <w:lang w:val="en-US" w:eastAsia="en-US"/>
              </w:rPr>
              <w:t xml:space="preserve">  </w:t>
            </w:r>
            <w:r w:rsidRPr="003C53BB">
              <w:rPr>
                <w:rFonts w:cs="Arial"/>
                <w:color w:val="000000"/>
                <w:sz w:val="16"/>
                <w:szCs w:val="16"/>
                <w:lang w:val="en-US" w:eastAsia="en-US"/>
              </w:rPr>
              <w:t xml:space="preserve"> 6.502 </w:t>
            </w:r>
          </w:p>
        </w:tc>
        <w:tc>
          <w:tcPr>
            <w:tcW w:w="1399" w:type="dxa"/>
            <w:tcBorders>
              <w:top w:val="nil"/>
              <w:left w:val="nil"/>
              <w:bottom w:val="single" w:sz="8" w:space="0" w:color="auto"/>
              <w:right w:val="single" w:sz="8" w:space="0" w:color="auto"/>
            </w:tcBorders>
            <w:shd w:val="clear" w:color="auto" w:fill="auto"/>
            <w:noWrap/>
            <w:vAlign w:val="center"/>
            <w:hideMark/>
          </w:tcPr>
          <w:p w14:paraId="162F7734" w14:textId="782E4F09" w:rsidR="003C53BB" w:rsidRPr="003C53BB" w:rsidRDefault="003C53BB" w:rsidP="003C53BB">
            <w:pPr>
              <w:rPr>
                <w:rFonts w:cs="Arial"/>
                <w:color w:val="000000"/>
                <w:sz w:val="16"/>
                <w:szCs w:val="16"/>
                <w:lang w:val="en-US" w:eastAsia="en-US"/>
              </w:rPr>
            </w:pPr>
            <w:r w:rsidRPr="003C53BB">
              <w:rPr>
                <w:rFonts w:cs="Arial"/>
                <w:color w:val="000000"/>
                <w:sz w:val="16"/>
                <w:szCs w:val="16"/>
                <w:lang w:val="en-US" w:eastAsia="en-US"/>
              </w:rPr>
              <w:t xml:space="preserve"> AUD</w:t>
            </w:r>
            <w:r w:rsidR="00BE1424">
              <w:rPr>
                <w:rFonts w:cs="Arial"/>
                <w:color w:val="000000"/>
                <w:sz w:val="16"/>
                <w:szCs w:val="16"/>
                <w:lang w:val="en-US" w:eastAsia="en-US"/>
              </w:rPr>
              <w:t xml:space="preserve"> </w:t>
            </w:r>
            <w:r w:rsidRPr="003C53BB">
              <w:rPr>
                <w:rFonts w:cs="Arial"/>
                <w:color w:val="000000"/>
                <w:sz w:val="16"/>
                <w:szCs w:val="16"/>
                <w:lang w:val="en-US" w:eastAsia="en-US"/>
              </w:rPr>
              <w:t xml:space="preserve">  6.587 </w:t>
            </w:r>
          </w:p>
        </w:tc>
      </w:tr>
      <w:tr w:rsidR="003C53BB" w:rsidRPr="003C53BB" w14:paraId="1641B1EE" w14:textId="77777777" w:rsidTr="00BF0EEF">
        <w:trPr>
          <w:trHeight w:val="465"/>
          <w:jc w:val="center"/>
        </w:trPr>
        <w:tc>
          <w:tcPr>
            <w:tcW w:w="50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BB37912" w14:textId="77777777" w:rsidR="003C53BB" w:rsidRPr="003C53BB" w:rsidRDefault="003C53BB" w:rsidP="003C53BB">
            <w:pPr>
              <w:rPr>
                <w:rFonts w:cs="Arial"/>
                <w:b/>
                <w:bCs/>
                <w:color w:val="000000"/>
                <w:sz w:val="20"/>
                <w:szCs w:val="20"/>
                <w:lang w:val="en-US" w:eastAsia="en-US"/>
              </w:rPr>
            </w:pPr>
            <w:r w:rsidRPr="003C53BB">
              <w:rPr>
                <w:rFonts w:cs="Arial"/>
                <w:b/>
                <w:bCs/>
                <w:color w:val="000000"/>
                <w:sz w:val="20"/>
                <w:szCs w:val="20"/>
                <w:lang w:val="en-US" w:eastAsia="en-US"/>
              </w:rPr>
              <w:t>AD</w:t>
            </w:r>
          </w:p>
        </w:tc>
        <w:tc>
          <w:tcPr>
            <w:tcW w:w="3125" w:type="dxa"/>
            <w:tcBorders>
              <w:top w:val="single" w:sz="4" w:space="0" w:color="auto"/>
              <w:left w:val="nil"/>
              <w:bottom w:val="single" w:sz="4" w:space="0" w:color="auto"/>
              <w:right w:val="single" w:sz="4" w:space="0" w:color="auto"/>
            </w:tcBorders>
            <w:shd w:val="clear" w:color="auto" w:fill="auto"/>
            <w:vAlign w:val="center"/>
            <w:hideMark/>
          </w:tcPr>
          <w:p w14:paraId="6F387C81" w14:textId="77777777" w:rsidR="003C53BB" w:rsidRPr="003C53BB" w:rsidRDefault="003C53BB" w:rsidP="003C53BB">
            <w:pPr>
              <w:rPr>
                <w:rFonts w:cs="Arial"/>
                <w:color w:val="000000"/>
                <w:sz w:val="20"/>
                <w:szCs w:val="20"/>
                <w:lang w:val="en-US" w:eastAsia="en-US"/>
              </w:rPr>
            </w:pPr>
            <w:r w:rsidRPr="003C53BB">
              <w:rPr>
                <w:rFonts w:cs="Arial"/>
                <w:color w:val="000000"/>
                <w:sz w:val="20"/>
                <w:szCs w:val="20"/>
                <w:lang w:val="en-US" w:eastAsia="en-US"/>
              </w:rPr>
              <w:t>Cost of audiogram</w:t>
            </w:r>
          </w:p>
        </w:tc>
        <w:tc>
          <w:tcPr>
            <w:tcW w:w="1630" w:type="dxa"/>
            <w:tcBorders>
              <w:top w:val="single" w:sz="4" w:space="0" w:color="auto"/>
              <w:left w:val="nil"/>
              <w:bottom w:val="single" w:sz="4" w:space="0" w:color="auto"/>
              <w:right w:val="single" w:sz="4" w:space="0" w:color="auto"/>
            </w:tcBorders>
            <w:shd w:val="clear" w:color="auto" w:fill="auto"/>
            <w:vAlign w:val="center"/>
            <w:hideMark/>
          </w:tcPr>
          <w:p w14:paraId="650D6050" w14:textId="77777777" w:rsidR="003C53BB" w:rsidRPr="003C53BB" w:rsidRDefault="003C53BB" w:rsidP="003C53BB">
            <w:pPr>
              <w:rPr>
                <w:rFonts w:cs="Arial"/>
                <w:color w:val="000000"/>
                <w:sz w:val="16"/>
                <w:szCs w:val="16"/>
                <w:lang w:val="en-US" w:eastAsia="en-US"/>
              </w:rPr>
            </w:pPr>
            <w:r w:rsidRPr="003C53BB">
              <w:rPr>
                <w:rFonts w:cs="Arial"/>
                <w:color w:val="000000"/>
                <w:sz w:val="16"/>
                <w:szCs w:val="16"/>
                <w:lang w:val="en-US" w:eastAsia="en-US"/>
              </w:rPr>
              <w:fldChar w:fldCharType="begin"/>
            </w:r>
            <w:r w:rsidRPr="003C53BB">
              <w:rPr>
                <w:rFonts w:cs="Arial"/>
                <w:color w:val="000000"/>
                <w:sz w:val="16"/>
                <w:szCs w:val="16"/>
                <w:lang w:val="en-US" w:eastAsia="en-US"/>
              </w:rPr>
              <w:instrText xml:space="preserve"> REF _Ref430941316 \h </w:instrText>
            </w:r>
            <w:r>
              <w:rPr>
                <w:rFonts w:cs="Arial"/>
                <w:color w:val="000000"/>
                <w:sz w:val="16"/>
                <w:szCs w:val="16"/>
                <w:lang w:val="en-US" w:eastAsia="en-US"/>
              </w:rPr>
              <w:instrText xml:space="preserve"> \* MERGEFORMAT </w:instrText>
            </w:r>
            <w:r w:rsidRPr="003C53BB">
              <w:rPr>
                <w:rFonts w:cs="Arial"/>
                <w:color w:val="000000"/>
                <w:sz w:val="16"/>
                <w:szCs w:val="16"/>
                <w:lang w:val="en-US" w:eastAsia="en-US"/>
              </w:rPr>
            </w:r>
            <w:r w:rsidRPr="003C53BB">
              <w:rPr>
                <w:rFonts w:cs="Arial"/>
                <w:color w:val="000000"/>
                <w:sz w:val="16"/>
                <w:szCs w:val="16"/>
                <w:lang w:val="en-US" w:eastAsia="en-US"/>
              </w:rPr>
              <w:fldChar w:fldCharType="separate"/>
            </w:r>
            <w:r w:rsidR="00016592" w:rsidRPr="00016592">
              <w:rPr>
                <w:rFonts w:cs="Arial"/>
                <w:sz w:val="16"/>
                <w:szCs w:val="16"/>
              </w:rPr>
              <w:t xml:space="preserve">Table </w:t>
            </w:r>
            <w:r w:rsidR="00016592" w:rsidRPr="00016592">
              <w:rPr>
                <w:rFonts w:cs="Arial"/>
                <w:noProof/>
                <w:sz w:val="16"/>
                <w:szCs w:val="16"/>
              </w:rPr>
              <w:t>61</w:t>
            </w:r>
            <w:r w:rsidRPr="003C53BB">
              <w:rPr>
                <w:rFonts w:cs="Arial"/>
                <w:color w:val="000000"/>
                <w:sz w:val="16"/>
                <w:szCs w:val="16"/>
                <w:lang w:val="en-US" w:eastAsia="en-US"/>
              </w:rPr>
              <w:fldChar w:fldCharType="end"/>
            </w:r>
            <w:r w:rsidRPr="003C53BB">
              <w:rPr>
                <w:rFonts w:cs="Arial"/>
                <w:color w:val="000000"/>
                <w:sz w:val="16"/>
                <w:szCs w:val="16"/>
                <w:lang w:val="en-US" w:eastAsia="en-US"/>
              </w:rPr>
              <w:t>, row K x AUD 49,20</w:t>
            </w:r>
          </w:p>
        </w:tc>
        <w:tc>
          <w:tcPr>
            <w:tcW w:w="1589" w:type="dxa"/>
            <w:tcBorders>
              <w:top w:val="single" w:sz="4" w:space="0" w:color="auto"/>
              <w:left w:val="nil"/>
              <w:bottom w:val="single" w:sz="8" w:space="0" w:color="auto"/>
              <w:right w:val="single" w:sz="4" w:space="0" w:color="auto"/>
            </w:tcBorders>
            <w:shd w:val="clear" w:color="auto" w:fill="auto"/>
            <w:noWrap/>
            <w:vAlign w:val="center"/>
            <w:hideMark/>
          </w:tcPr>
          <w:p w14:paraId="4D34DC37" w14:textId="638EB66D" w:rsidR="003C53BB" w:rsidRPr="003C53BB" w:rsidRDefault="003C53BB" w:rsidP="003C53BB">
            <w:pPr>
              <w:rPr>
                <w:rFonts w:cs="Arial"/>
                <w:color w:val="000000"/>
                <w:sz w:val="16"/>
                <w:szCs w:val="16"/>
                <w:lang w:val="en-US" w:eastAsia="en-US"/>
              </w:rPr>
            </w:pPr>
            <w:r w:rsidRPr="003C53BB">
              <w:rPr>
                <w:rFonts w:cs="Arial"/>
                <w:color w:val="000000"/>
                <w:sz w:val="16"/>
                <w:szCs w:val="16"/>
                <w:lang w:val="en-US" w:eastAsia="en-US"/>
              </w:rPr>
              <w:t xml:space="preserve"> AUD</w:t>
            </w:r>
            <w:r w:rsidR="00BE1424">
              <w:rPr>
                <w:rFonts w:cs="Arial"/>
                <w:color w:val="000000"/>
                <w:sz w:val="16"/>
                <w:szCs w:val="16"/>
                <w:lang w:val="en-US" w:eastAsia="en-US"/>
              </w:rPr>
              <w:t xml:space="preserve">  </w:t>
            </w:r>
            <w:r w:rsidRPr="003C53BB">
              <w:rPr>
                <w:rFonts w:cs="Arial"/>
                <w:color w:val="000000"/>
                <w:sz w:val="16"/>
                <w:szCs w:val="16"/>
                <w:lang w:val="en-US" w:eastAsia="en-US"/>
              </w:rPr>
              <w:t xml:space="preserve"> 3.493 </w:t>
            </w:r>
          </w:p>
        </w:tc>
        <w:tc>
          <w:tcPr>
            <w:tcW w:w="1399" w:type="dxa"/>
            <w:tcBorders>
              <w:top w:val="single" w:sz="4" w:space="0" w:color="auto"/>
              <w:left w:val="nil"/>
              <w:bottom w:val="single" w:sz="8" w:space="0" w:color="auto"/>
              <w:right w:val="single" w:sz="4" w:space="0" w:color="auto"/>
            </w:tcBorders>
            <w:shd w:val="clear" w:color="auto" w:fill="auto"/>
            <w:noWrap/>
            <w:vAlign w:val="center"/>
            <w:hideMark/>
          </w:tcPr>
          <w:p w14:paraId="7FF10D2F" w14:textId="450A5AC3" w:rsidR="003C53BB" w:rsidRPr="003C53BB" w:rsidRDefault="003C53BB" w:rsidP="003C53BB">
            <w:pPr>
              <w:rPr>
                <w:rFonts w:cs="Arial"/>
                <w:color w:val="000000"/>
                <w:sz w:val="16"/>
                <w:szCs w:val="16"/>
                <w:lang w:val="en-US" w:eastAsia="en-US"/>
              </w:rPr>
            </w:pPr>
            <w:r w:rsidRPr="003C53BB">
              <w:rPr>
                <w:rFonts w:cs="Arial"/>
                <w:color w:val="000000"/>
                <w:sz w:val="16"/>
                <w:szCs w:val="16"/>
                <w:lang w:val="en-US" w:eastAsia="en-US"/>
              </w:rPr>
              <w:t xml:space="preserve"> AUD</w:t>
            </w:r>
            <w:r w:rsidR="00BE1424">
              <w:rPr>
                <w:rFonts w:cs="Arial"/>
                <w:color w:val="000000"/>
                <w:sz w:val="16"/>
                <w:szCs w:val="16"/>
                <w:lang w:val="en-US" w:eastAsia="en-US"/>
              </w:rPr>
              <w:t xml:space="preserve">  </w:t>
            </w:r>
            <w:r w:rsidRPr="003C53BB">
              <w:rPr>
                <w:rFonts w:cs="Arial"/>
                <w:color w:val="000000"/>
                <w:sz w:val="16"/>
                <w:szCs w:val="16"/>
                <w:lang w:val="en-US" w:eastAsia="en-US"/>
              </w:rPr>
              <w:t xml:space="preserve"> 3.542 </w:t>
            </w:r>
          </w:p>
        </w:tc>
        <w:tc>
          <w:tcPr>
            <w:tcW w:w="1399" w:type="dxa"/>
            <w:tcBorders>
              <w:top w:val="single" w:sz="4" w:space="0" w:color="auto"/>
              <w:left w:val="nil"/>
              <w:bottom w:val="single" w:sz="8" w:space="0" w:color="auto"/>
              <w:right w:val="single" w:sz="4" w:space="0" w:color="auto"/>
            </w:tcBorders>
            <w:shd w:val="clear" w:color="auto" w:fill="auto"/>
            <w:noWrap/>
            <w:vAlign w:val="center"/>
            <w:hideMark/>
          </w:tcPr>
          <w:p w14:paraId="5D93B0CB" w14:textId="294813DB" w:rsidR="003C53BB" w:rsidRPr="003C53BB" w:rsidRDefault="003C53BB" w:rsidP="003C53BB">
            <w:pPr>
              <w:rPr>
                <w:rFonts w:cs="Arial"/>
                <w:color w:val="000000"/>
                <w:sz w:val="16"/>
                <w:szCs w:val="16"/>
                <w:lang w:val="en-US" w:eastAsia="en-US"/>
              </w:rPr>
            </w:pPr>
            <w:r w:rsidRPr="003C53BB">
              <w:rPr>
                <w:rFonts w:cs="Arial"/>
                <w:color w:val="000000"/>
                <w:sz w:val="16"/>
                <w:szCs w:val="16"/>
                <w:lang w:val="en-US" w:eastAsia="en-US"/>
              </w:rPr>
              <w:t xml:space="preserve"> AUD   3.641 </w:t>
            </w:r>
          </w:p>
        </w:tc>
        <w:tc>
          <w:tcPr>
            <w:tcW w:w="1399" w:type="dxa"/>
            <w:tcBorders>
              <w:top w:val="single" w:sz="4" w:space="0" w:color="auto"/>
              <w:left w:val="nil"/>
              <w:bottom w:val="single" w:sz="8" w:space="0" w:color="auto"/>
              <w:right w:val="single" w:sz="4" w:space="0" w:color="auto"/>
            </w:tcBorders>
            <w:shd w:val="clear" w:color="auto" w:fill="auto"/>
            <w:noWrap/>
            <w:vAlign w:val="center"/>
            <w:hideMark/>
          </w:tcPr>
          <w:p w14:paraId="05F24B2B" w14:textId="3F1A2AFF" w:rsidR="003C53BB" w:rsidRPr="003C53BB" w:rsidRDefault="003C53BB" w:rsidP="003C53BB">
            <w:pPr>
              <w:rPr>
                <w:rFonts w:cs="Arial"/>
                <w:color w:val="000000"/>
                <w:sz w:val="16"/>
                <w:szCs w:val="16"/>
                <w:lang w:val="en-US" w:eastAsia="en-US"/>
              </w:rPr>
            </w:pPr>
            <w:r w:rsidRPr="003C53BB">
              <w:rPr>
                <w:rFonts w:cs="Arial"/>
                <w:color w:val="000000"/>
                <w:sz w:val="16"/>
                <w:szCs w:val="16"/>
                <w:lang w:val="en-US" w:eastAsia="en-US"/>
              </w:rPr>
              <w:t xml:space="preserve"> AUD   3.690 </w:t>
            </w:r>
          </w:p>
        </w:tc>
        <w:tc>
          <w:tcPr>
            <w:tcW w:w="1399" w:type="dxa"/>
            <w:tcBorders>
              <w:top w:val="single" w:sz="4" w:space="0" w:color="auto"/>
              <w:left w:val="nil"/>
              <w:bottom w:val="single" w:sz="8" w:space="0" w:color="auto"/>
              <w:right w:val="single" w:sz="4" w:space="0" w:color="auto"/>
            </w:tcBorders>
            <w:shd w:val="clear" w:color="auto" w:fill="auto"/>
            <w:noWrap/>
            <w:vAlign w:val="center"/>
            <w:hideMark/>
          </w:tcPr>
          <w:p w14:paraId="3B3A67EB" w14:textId="1A1E9750" w:rsidR="003C53BB" w:rsidRPr="003C53BB" w:rsidRDefault="003C53BB" w:rsidP="003C53BB">
            <w:pPr>
              <w:rPr>
                <w:rFonts w:cs="Arial"/>
                <w:color w:val="000000"/>
                <w:sz w:val="16"/>
                <w:szCs w:val="16"/>
                <w:lang w:val="en-US" w:eastAsia="en-US"/>
              </w:rPr>
            </w:pPr>
            <w:r w:rsidRPr="003C53BB">
              <w:rPr>
                <w:rFonts w:cs="Arial"/>
                <w:color w:val="000000"/>
                <w:sz w:val="16"/>
                <w:szCs w:val="16"/>
                <w:lang w:val="en-US" w:eastAsia="en-US"/>
              </w:rPr>
              <w:t xml:space="preserve"> AUD   3.739 </w:t>
            </w:r>
          </w:p>
        </w:tc>
        <w:tc>
          <w:tcPr>
            <w:tcW w:w="1399" w:type="dxa"/>
            <w:tcBorders>
              <w:top w:val="single" w:sz="4" w:space="0" w:color="auto"/>
              <w:left w:val="nil"/>
              <w:bottom w:val="single" w:sz="8" w:space="0" w:color="auto"/>
              <w:right w:val="single" w:sz="8" w:space="0" w:color="auto"/>
            </w:tcBorders>
            <w:shd w:val="clear" w:color="auto" w:fill="auto"/>
            <w:noWrap/>
            <w:vAlign w:val="center"/>
            <w:hideMark/>
          </w:tcPr>
          <w:p w14:paraId="4AB17E28" w14:textId="1E6A7572" w:rsidR="003C53BB" w:rsidRPr="003C53BB" w:rsidRDefault="003C53BB" w:rsidP="003C53BB">
            <w:pPr>
              <w:rPr>
                <w:rFonts w:cs="Arial"/>
                <w:color w:val="000000"/>
                <w:sz w:val="16"/>
                <w:szCs w:val="16"/>
                <w:lang w:val="en-US" w:eastAsia="en-US"/>
              </w:rPr>
            </w:pPr>
            <w:r w:rsidRPr="003C53BB">
              <w:rPr>
                <w:rFonts w:cs="Arial"/>
                <w:color w:val="000000"/>
                <w:sz w:val="16"/>
                <w:szCs w:val="16"/>
                <w:lang w:val="en-US" w:eastAsia="en-US"/>
              </w:rPr>
              <w:t xml:space="preserve"> AUD</w:t>
            </w:r>
            <w:r w:rsidR="00BE1424">
              <w:rPr>
                <w:rFonts w:cs="Arial"/>
                <w:color w:val="000000"/>
                <w:sz w:val="16"/>
                <w:szCs w:val="16"/>
                <w:lang w:val="en-US" w:eastAsia="en-US"/>
              </w:rPr>
              <w:t xml:space="preserve">  </w:t>
            </w:r>
            <w:r w:rsidRPr="003C53BB">
              <w:rPr>
                <w:rFonts w:cs="Arial"/>
                <w:color w:val="000000"/>
                <w:sz w:val="16"/>
                <w:szCs w:val="16"/>
                <w:lang w:val="en-US" w:eastAsia="en-US"/>
              </w:rPr>
              <w:t xml:space="preserve"> 3.788 </w:t>
            </w:r>
          </w:p>
        </w:tc>
      </w:tr>
      <w:tr w:rsidR="003C53BB" w:rsidRPr="003C53BB" w14:paraId="45C28540" w14:textId="77777777" w:rsidTr="00BF0EEF">
        <w:trPr>
          <w:trHeight w:val="465"/>
          <w:jc w:val="center"/>
        </w:trPr>
        <w:tc>
          <w:tcPr>
            <w:tcW w:w="505" w:type="dxa"/>
            <w:tcBorders>
              <w:top w:val="nil"/>
              <w:left w:val="single" w:sz="8" w:space="0" w:color="auto"/>
              <w:bottom w:val="single" w:sz="8" w:space="0" w:color="auto"/>
              <w:right w:val="single" w:sz="4" w:space="0" w:color="auto"/>
            </w:tcBorders>
            <w:shd w:val="clear" w:color="auto" w:fill="auto"/>
            <w:noWrap/>
            <w:vAlign w:val="center"/>
            <w:hideMark/>
          </w:tcPr>
          <w:p w14:paraId="7153B26D" w14:textId="77777777" w:rsidR="003C53BB" w:rsidRPr="003C53BB" w:rsidRDefault="003C53BB" w:rsidP="003C53BB">
            <w:pPr>
              <w:rPr>
                <w:rFonts w:cs="Arial"/>
                <w:b/>
                <w:bCs/>
                <w:color w:val="000000"/>
                <w:sz w:val="20"/>
                <w:szCs w:val="20"/>
                <w:lang w:val="en-US" w:eastAsia="en-US"/>
              </w:rPr>
            </w:pPr>
            <w:r w:rsidRPr="003C53BB">
              <w:rPr>
                <w:rFonts w:cs="Arial"/>
                <w:b/>
                <w:bCs/>
                <w:color w:val="000000"/>
                <w:sz w:val="20"/>
                <w:szCs w:val="20"/>
                <w:lang w:val="en-US" w:eastAsia="en-US"/>
              </w:rPr>
              <w:t>AE</w:t>
            </w:r>
          </w:p>
        </w:tc>
        <w:tc>
          <w:tcPr>
            <w:tcW w:w="3125" w:type="dxa"/>
            <w:tcBorders>
              <w:top w:val="nil"/>
              <w:left w:val="nil"/>
              <w:bottom w:val="single" w:sz="4" w:space="0" w:color="auto"/>
              <w:right w:val="single" w:sz="4" w:space="0" w:color="auto"/>
            </w:tcBorders>
            <w:shd w:val="clear" w:color="auto" w:fill="auto"/>
            <w:vAlign w:val="center"/>
            <w:hideMark/>
          </w:tcPr>
          <w:p w14:paraId="32F0FDEE" w14:textId="77777777" w:rsidR="003C53BB" w:rsidRPr="003C53BB" w:rsidRDefault="003C53BB" w:rsidP="003C53BB">
            <w:pPr>
              <w:rPr>
                <w:rFonts w:cs="Arial"/>
                <w:color w:val="000000"/>
                <w:sz w:val="20"/>
                <w:szCs w:val="20"/>
                <w:lang w:val="en-US" w:eastAsia="en-US"/>
              </w:rPr>
            </w:pPr>
            <w:r w:rsidRPr="003C53BB">
              <w:rPr>
                <w:rFonts w:cs="Arial"/>
                <w:color w:val="000000"/>
                <w:sz w:val="20"/>
                <w:szCs w:val="20"/>
                <w:lang w:val="en-US" w:eastAsia="en-US"/>
              </w:rPr>
              <w:t>Cost of surgery consultation</w:t>
            </w:r>
          </w:p>
        </w:tc>
        <w:tc>
          <w:tcPr>
            <w:tcW w:w="1630" w:type="dxa"/>
            <w:tcBorders>
              <w:top w:val="nil"/>
              <w:left w:val="nil"/>
              <w:bottom w:val="single" w:sz="4" w:space="0" w:color="auto"/>
              <w:right w:val="single" w:sz="4" w:space="0" w:color="auto"/>
            </w:tcBorders>
            <w:shd w:val="clear" w:color="auto" w:fill="auto"/>
            <w:vAlign w:val="center"/>
            <w:hideMark/>
          </w:tcPr>
          <w:p w14:paraId="624A5087" w14:textId="77777777" w:rsidR="003C53BB" w:rsidRPr="003C53BB" w:rsidRDefault="003C53BB" w:rsidP="003C53BB">
            <w:pPr>
              <w:rPr>
                <w:rFonts w:cs="Arial"/>
                <w:color w:val="000000"/>
                <w:sz w:val="16"/>
                <w:szCs w:val="16"/>
                <w:lang w:val="en-US" w:eastAsia="en-US"/>
              </w:rPr>
            </w:pPr>
            <w:r w:rsidRPr="003C53BB">
              <w:rPr>
                <w:rFonts w:cs="Arial"/>
                <w:color w:val="000000"/>
                <w:sz w:val="16"/>
                <w:szCs w:val="16"/>
                <w:lang w:val="en-US" w:eastAsia="en-US"/>
              </w:rPr>
              <w:fldChar w:fldCharType="begin"/>
            </w:r>
            <w:r w:rsidRPr="003C53BB">
              <w:rPr>
                <w:rFonts w:cs="Arial"/>
                <w:color w:val="000000"/>
                <w:sz w:val="16"/>
                <w:szCs w:val="16"/>
                <w:lang w:val="en-US" w:eastAsia="en-US"/>
              </w:rPr>
              <w:instrText xml:space="preserve"> REF _Ref430941316 \h </w:instrText>
            </w:r>
            <w:r>
              <w:rPr>
                <w:rFonts w:cs="Arial"/>
                <w:color w:val="000000"/>
                <w:sz w:val="16"/>
                <w:szCs w:val="16"/>
                <w:lang w:val="en-US" w:eastAsia="en-US"/>
              </w:rPr>
              <w:instrText xml:space="preserve"> \* MERGEFORMAT </w:instrText>
            </w:r>
            <w:r w:rsidRPr="003C53BB">
              <w:rPr>
                <w:rFonts w:cs="Arial"/>
                <w:color w:val="000000"/>
                <w:sz w:val="16"/>
                <w:szCs w:val="16"/>
                <w:lang w:val="en-US" w:eastAsia="en-US"/>
              </w:rPr>
            </w:r>
            <w:r w:rsidRPr="003C53BB">
              <w:rPr>
                <w:rFonts w:cs="Arial"/>
                <w:color w:val="000000"/>
                <w:sz w:val="16"/>
                <w:szCs w:val="16"/>
                <w:lang w:val="en-US" w:eastAsia="en-US"/>
              </w:rPr>
              <w:fldChar w:fldCharType="separate"/>
            </w:r>
            <w:r w:rsidR="00016592" w:rsidRPr="00016592">
              <w:rPr>
                <w:rFonts w:cs="Arial"/>
                <w:sz w:val="16"/>
                <w:szCs w:val="16"/>
              </w:rPr>
              <w:t xml:space="preserve">Table </w:t>
            </w:r>
            <w:r w:rsidR="00016592" w:rsidRPr="00016592">
              <w:rPr>
                <w:rFonts w:cs="Arial"/>
                <w:noProof/>
                <w:sz w:val="16"/>
                <w:szCs w:val="16"/>
              </w:rPr>
              <w:t>61</w:t>
            </w:r>
            <w:r w:rsidRPr="003C53BB">
              <w:rPr>
                <w:rFonts w:cs="Arial"/>
                <w:color w:val="000000"/>
                <w:sz w:val="16"/>
                <w:szCs w:val="16"/>
                <w:lang w:val="en-US" w:eastAsia="en-US"/>
              </w:rPr>
              <w:fldChar w:fldCharType="end"/>
            </w:r>
            <w:r w:rsidRPr="003C53BB">
              <w:rPr>
                <w:rFonts w:cs="Arial"/>
                <w:color w:val="000000"/>
                <w:sz w:val="16"/>
                <w:szCs w:val="16"/>
                <w:lang w:val="en-US" w:eastAsia="en-US"/>
              </w:rPr>
              <w:t>, row K x AUD 85,55</w:t>
            </w:r>
          </w:p>
        </w:tc>
        <w:tc>
          <w:tcPr>
            <w:tcW w:w="1589" w:type="dxa"/>
            <w:tcBorders>
              <w:top w:val="single" w:sz="4" w:space="0" w:color="auto"/>
              <w:left w:val="nil"/>
              <w:bottom w:val="single" w:sz="8" w:space="0" w:color="auto"/>
              <w:right w:val="single" w:sz="4" w:space="0" w:color="auto"/>
            </w:tcBorders>
            <w:shd w:val="clear" w:color="auto" w:fill="auto"/>
            <w:noWrap/>
            <w:vAlign w:val="center"/>
            <w:hideMark/>
          </w:tcPr>
          <w:p w14:paraId="5800264E" w14:textId="1AC03CB5" w:rsidR="003C53BB" w:rsidRPr="003C53BB" w:rsidRDefault="003C53BB" w:rsidP="003C53BB">
            <w:pPr>
              <w:rPr>
                <w:rFonts w:cs="Arial"/>
                <w:color w:val="000000"/>
                <w:sz w:val="16"/>
                <w:szCs w:val="16"/>
                <w:lang w:val="en-US" w:eastAsia="en-US"/>
              </w:rPr>
            </w:pPr>
            <w:r w:rsidRPr="003C53BB">
              <w:rPr>
                <w:rFonts w:cs="Arial"/>
                <w:color w:val="000000"/>
                <w:sz w:val="16"/>
                <w:szCs w:val="16"/>
                <w:lang w:val="en-US" w:eastAsia="en-US"/>
              </w:rPr>
              <w:t xml:space="preserve"> AUD   6.074 </w:t>
            </w:r>
          </w:p>
        </w:tc>
        <w:tc>
          <w:tcPr>
            <w:tcW w:w="1399" w:type="dxa"/>
            <w:tcBorders>
              <w:top w:val="single" w:sz="4" w:space="0" w:color="auto"/>
              <w:left w:val="nil"/>
              <w:bottom w:val="single" w:sz="8" w:space="0" w:color="auto"/>
              <w:right w:val="single" w:sz="4" w:space="0" w:color="auto"/>
            </w:tcBorders>
            <w:shd w:val="clear" w:color="auto" w:fill="auto"/>
            <w:noWrap/>
            <w:vAlign w:val="center"/>
            <w:hideMark/>
          </w:tcPr>
          <w:p w14:paraId="18CA6152" w14:textId="24EE1F80" w:rsidR="003C53BB" w:rsidRPr="003C53BB" w:rsidRDefault="003C53BB" w:rsidP="003C53BB">
            <w:pPr>
              <w:rPr>
                <w:rFonts w:cs="Arial"/>
                <w:color w:val="000000"/>
                <w:sz w:val="16"/>
                <w:szCs w:val="16"/>
                <w:lang w:val="en-US" w:eastAsia="en-US"/>
              </w:rPr>
            </w:pPr>
            <w:r w:rsidRPr="003C53BB">
              <w:rPr>
                <w:rFonts w:cs="Arial"/>
                <w:color w:val="000000"/>
                <w:sz w:val="16"/>
                <w:szCs w:val="16"/>
                <w:lang w:val="en-US" w:eastAsia="en-US"/>
              </w:rPr>
              <w:t xml:space="preserve"> AUD</w:t>
            </w:r>
            <w:r w:rsidR="00BE1424">
              <w:rPr>
                <w:rFonts w:cs="Arial"/>
                <w:color w:val="000000"/>
                <w:sz w:val="16"/>
                <w:szCs w:val="16"/>
                <w:lang w:val="en-US" w:eastAsia="en-US"/>
              </w:rPr>
              <w:t xml:space="preserve">   </w:t>
            </w:r>
            <w:r w:rsidRPr="003C53BB">
              <w:rPr>
                <w:rFonts w:cs="Arial"/>
                <w:color w:val="000000"/>
                <w:sz w:val="16"/>
                <w:szCs w:val="16"/>
                <w:lang w:val="en-US" w:eastAsia="en-US"/>
              </w:rPr>
              <w:t xml:space="preserve">6.160 </w:t>
            </w:r>
          </w:p>
        </w:tc>
        <w:tc>
          <w:tcPr>
            <w:tcW w:w="1399" w:type="dxa"/>
            <w:tcBorders>
              <w:top w:val="single" w:sz="4" w:space="0" w:color="auto"/>
              <w:left w:val="nil"/>
              <w:bottom w:val="single" w:sz="8" w:space="0" w:color="auto"/>
              <w:right w:val="single" w:sz="4" w:space="0" w:color="auto"/>
            </w:tcBorders>
            <w:shd w:val="clear" w:color="auto" w:fill="auto"/>
            <w:noWrap/>
            <w:vAlign w:val="center"/>
            <w:hideMark/>
          </w:tcPr>
          <w:p w14:paraId="2704383E" w14:textId="22F443B8" w:rsidR="003C53BB" w:rsidRPr="003C53BB" w:rsidRDefault="003C53BB" w:rsidP="003C53BB">
            <w:pPr>
              <w:rPr>
                <w:rFonts w:cs="Arial"/>
                <w:color w:val="000000"/>
                <w:sz w:val="16"/>
                <w:szCs w:val="16"/>
                <w:lang w:val="en-US" w:eastAsia="en-US"/>
              </w:rPr>
            </w:pPr>
            <w:r w:rsidRPr="003C53BB">
              <w:rPr>
                <w:rFonts w:cs="Arial"/>
                <w:color w:val="000000"/>
                <w:sz w:val="16"/>
                <w:szCs w:val="16"/>
                <w:lang w:val="en-US" w:eastAsia="en-US"/>
              </w:rPr>
              <w:t xml:space="preserve"> AUD</w:t>
            </w:r>
            <w:r w:rsidR="00BE1424">
              <w:rPr>
                <w:rFonts w:cs="Arial"/>
                <w:color w:val="000000"/>
                <w:sz w:val="16"/>
                <w:szCs w:val="16"/>
                <w:lang w:val="en-US" w:eastAsia="en-US"/>
              </w:rPr>
              <w:t xml:space="preserve">  </w:t>
            </w:r>
            <w:r w:rsidRPr="003C53BB">
              <w:rPr>
                <w:rFonts w:cs="Arial"/>
                <w:color w:val="000000"/>
                <w:sz w:val="16"/>
                <w:szCs w:val="16"/>
                <w:lang w:val="en-US" w:eastAsia="en-US"/>
              </w:rPr>
              <w:t xml:space="preserve"> 6.331 </w:t>
            </w:r>
          </w:p>
        </w:tc>
        <w:tc>
          <w:tcPr>
            <w:tcW w:w="1399" w:type="dxa"/>
            <w:tcBorders>
              <w:top w:val="single" w:sz="4" w:space="0" w:color="auto"/>
              <w:left w:val="nil"/>
              <w:bottom w:val="single" w:sz="8" w:space="0" w:color="auto"/>
              <w:right w:val="single" w:sz="4" w:space="0" w:color="auto"/>
            </w:tcBorders>
            <w:shd w:val="clear" w:color="auto" w:fill="auto"/>
            <w:noWrap/>
            <w:vAlign w:val="center"/>
            <w:hideMark/>
          </w:tcPr>
          <w:p w14:paraId="67EE77DD" w14:textId="0FD6BD2B" w:rsidR="003C53BB" w:rsidRPr="003C53BB" w:rsidRDefault="003C53BB" w:rsidP="003C53BB">
            <w:pPr>
              <w:rPr>
                <w:rFonts w:cs="Arial"/>
                <w:color w:val="000000"/>
                <w:sz w:val="16"/>
                <w:szCs w:val="16"/>
                <w:lang w:val="en-US" w:eastAsia="en-US"/>
              </w:rPr>
            </w:pPr>
            <w:r w:rsidRPr="003C53BB">
              <w:rPr>
                <w:rFonts w:cs="Arial"/>
                <w:color w:val="000000"/>
                <w:sz w:val="16"/>
                <w:szCs w:val="16"/>
                <w:lang w:val="en-US" w:eastAsia="en-US"/>
              </w:rPr>
              <w:t xml:space="preserve"> AUD</w:t>
            </w:r>
            <w:r w:rsidR="00BE1424">
              <w:rPr>
                <w:rFonts w:cs="Arial"/>
                <w:color w:val="000000"/>
                <w:sz w:val="16"/>
                <w:szCs w:val="16"/>
                <w:lang w:val="en-US" w:eastAsia="en-US"/>
              </w:rPr>
              <w:t xml:space="preserve"> </w:t>
            </w:r>
            <w:r w:rsidRPr="003C53BB">
              <w:rPr>
                <w:rFonts w:cs="Arial"/>
                <w:color w:val="000000"/>
                <w:sz w:val="16"/>
                <w:szCs w:val="16"/>
                <w:lang w:val="en-US" w:eastAsia="en-US"/>
              </w:rPr>
              <w:t xml:space="preserve">  6.416 </w:t>
            </w:r>
          </w:p>
        </w:tc>
        <w:tc>
          <w:tcPr>
            <w:tcW w:w="1399" w:type="dxa"/>
            <w:tcBorders>
              <w:top w:val="single" w:sz="4" w:space="0" w:color="auto"/>
              <w:left w:val="nil"/>
              <w:bottom w:val="single" w:sz="8" w:space="0" w:color="auto"/>
              <w:right w:val="single" w:sz="4" w:space="0" w:color="auto"/>
            </w:tcBorders>
            <w:shd w:val="clear" w:color="auto" w:fill="auto"/>
            <w:noWrap/>
            <w:vAlign w:val="center"/>
            <w:hideMark/>
          </w:tcPr>
          <w:p w14:paraId="42795537" w14:textId="448F67CA" w:rsidR="003C53BB" w:rsidRPr="003C53BB" w:rsidRDefault="003C53BB" w:rsidP="003C53BB">
            <w:pPr>
              <w:rPr>
                <w:rFonts w:cs="Arial"/>
                <w:color w:val="000000"/>
                <w:sz w:val="16"/>
                <w:szCs w:val="16"/>
                <w:lang w:val="en-US" w:eastAsia="en-US"/>
              </w:rPr>
            </w:pPr>
            <w:r w:rsidRPr="003C53BB">
              <w:rPr>
                <w:rFonts w:cs="Arial"/>
                <w:color w:val="000000"/>
                <w:sz w:val="16"/>
                <w:szCs w:val="16"/>
                <w:lang w:val="en-US" w:eastAsia="en-US"/>
              </w:rPr>
              <w:t xml:space="preserve"> AUD</w:t>
            </w:r>
            <w:r w:rsidR="00BE1424">
              <w:rPr>
                <w:rFonts w:cs="Arial"/>
                <w:color w:val="000000"/>
                <w:sz w:val="16"/>
                <w:szCs w:val="16"/>
                <w:lang w:val="en-US" w:eastAsia="en-US"/>
              </w:rPr>
              <w:t xml:space="preserve">  </w:t>
            </w:r>
            <w:r w:rsidRPr="003C53BB">
              <w:rPr>
                <w:rFonts w:cs="Arial"/>
                <w:color w:val="000000"/>
                <w:sz w:val="16"/>
                <w:szCs w:val="16"/>
                <w:lang w:val="en-US" w:eastAsia="en-US"/>
              </w:rPr>
              <w:t xml:space="preserve"> 6.502 </w:t>
            </w:r>
          </w:p>
        </w:tc>
        <w:tc>
          <w:tcPr>
            <w:tcW w:w="1399" w:type="dxa"/>
            <w:tcBorders>
              <w:top w:val="single" w:sz="4" w:space="0" w:color="auto"/>
              <w:left w:val="nil"/>
              <w:bottom w:val="single" w:sz="8" w:space="0" w:color="auto"/>
              <w:right w:val="single" w:sz="8" w:space="0" w:color="auto"/>
            </w:tcBorders>
            <w:shd w:val="clear" w:color="auto" w:fill="auto"/>
            <w:noWrap/>
            <w:vAlign w:val="center"/>
            <w:hideMark/>
          </w:tcPr>
          <w:p w14:paraId="43C70974" w14:textId="4C8D8461" w:rsidR="003C53BB" w:rsidRPr="003C53BB" w:rsidRDefault="003C53BB" w:rsidP="003C53BB">
            <w:pPr>
              <w:rPr>
                <w:rFonts w:cs="Arial"/>
                <w:color w:val="000000"/>
                <w:sz w:val="16"/>
                <w:szCs w:val="16"/>
                <w:lang w:val="en-US" w:eastAsia="en-US"/>
              </w:rPr>
            </w:pPr>
            <w:r w:rsidRPr="003C53BB">
              <w:rPr>
                <w:rFonts w:cs="Arial"/>
                <w:color w:val="000000"/>
                <w:sz w:val="16"/>
                <w:szCs w:val="16"/>
                <w:lang w:val="en-US" w:eastAsia="en-US"/>
              </w:rPr>
              <w:t xml:space="preserve"> AUD</w:t>
            </w:r>
            <w:r w:rsidR="00BE1424">
              <w:rPr>
                <w:rFonts w:cs="Arial"/>
                <w:color w:val="000000"/>
                <w:sz w:val="16"/>
                <w:szCs w:val="16"/>
                <w:lang w:val="en-US" w:eastAsia="en-US"/>
              </w:rPr>
              <w:t xml:space="preserve">  </w:t>
            </w:r>
            <w:r w:rsidRPr="003C53BB">
              <w:rPr>
                <w:rFonts w:cs="Arial"/>
                <w:color w:val="000000"/>
                <w:sz w:val="16"/>
                <w:szCs w:val="16"/>
                <w:lang w:val="en-US" w:eastAsia="en-US"/>
              </w:rPr>
              <w:t xml:space="preserve"> 6.587 </w:t>
            </w:r>
          </w:p>
        </w:tc>
      </w:tr>
      <w:tr w:rsidR="003C53BB" w:rsidRPr="003C53BB" w14:paraId="397FCF29" w14:textId="77777777" w:rsidTr="00BF0EEF">
        <w:trPr>
          <w:trHeight w:val="525"/>
          <w:jc w:val="center"/>
        </w:trPr>
        <w:tc>
          <w:tcPr>
            <w:tcW w:w="505"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527EC77C" w14:textId="77777777" w:rsidR="003C53BB" w:rsidRPr="003C53BB" w:rsidRDefault="003C53BB" w:rsidP="003C53BB">
            <w:pPr>
              <w:rPr>
                <w:rFonts w:cs="Arial"/>
                <w:b/>
                <w:bCs/>
                <w:color w:val="000000"/>
                <w:sz w:val="20"/>
                <w:szCs w:val="20"/>
                <w:lang w:val="en-US" w:eastAsia="en-US"/>
              </w:rPr>
            </w:pPr>
            <w:r w:rsidRPr="003C53BB">
              <w:rPr>
                <w:rFonts w:cs="Arial"/>
                <w:b/>
                <w:bCs/>
                <w:color w:val="000000"/>
                <w:sz w:val="20"/>
                <w:szCs w:val="20"/>
                <w:lang w:val="en-US" w:eastAsia="en-US"/>
              </w:rPr>
              <w:t>AF</w:t>
            </w:r>
          </w:p>
        </w:tc>
        <w:tc>
          <w:tcPr>
            <w:tcW w:w="3125" w:type="dxa"/>
            <w:tcBorders>
              <w:top w:val="nil"/>
              <w:left w:val="nil"/>
              <w:bottom w:val="single" w:sz="8" w:space="0" w:color="auto"/>
              <w:right w:val="single" w:sz="4" w:space="0" w:color="auto"/>
            </w:tcBorders>
            <w:shd w:val="clear" w:color="auto" w:fill="auto"/>
            <w:vAlign w:val="center"/>
            <w:hideMark/>
          </w:tcPr>
          <w:p w14:paraId="64B7B4B7" w14:textId="77777777" w:rsidR="003C53BB" w:rsidRPr="003C53BB" w:rsidRDefault="003C53BB" w:rsidP="003C53BB">
            <w:pPr>
              <w:rPr>
                <w:rFonts w:cs="Arial"/>
                <w:color w:val="000000"/>
                <w:sz w:val="20"/>
                <w:szCs w:val="20"/>
                <w:lang w:val="en-US" w:eastAsia="en-US"/>
              </w:rPr>
            </w:pPr>
            <w:r w:rsidRPr="003C53BB">
              <w:rPr>
                <w:rFonts w:cs="Arial"/>
                <w:color w:val="000000"/>
                <w:sz w:val="20"/>
                <w:szCs w:val="20"/>
                <w:lang w:val="en-US" w:eastAsia="en-US"/>
              </w:rPr>
              <w:t>Total cost to MBS of associated items</w:t>
            </w:r>
          </w:p>
        </w:tc>
        <w:tc>
          <w:tcPr>
            <w:tcW w:w="1630" w:type="dxa"/>
            <w:tcBorders>
              <w:top w:val="nil"/>
              <w:left w:val="nil"/>
              <w:bottom w:val="single" w:sz="8" w:space="0" w:color="auto"/>
              <w:right w:val="single" w:sz="4" w:space="0" w:color="auto"/>
            </w:tcBorders>
            <w:shd w:val="clear" w:color="auto" w:fill="auto"/>
            <w:vAlign w:val="center"/>
            <w:hideMark/>
          </w:tcPr>
          <w:p w14:paraId="769CB40F" w14:textId="77777777" w:rsidR="003C53BB" w:rsidRPr="003C53BB" w:rsidRDefault="003C53BB" w:rsidP="003C53BB">
            <w:pPr>
              <w:rPr>
                <w:rFonts w:cs="Arial"/>
                <w:color w:val="000000"/>
                <w:sz w:val="16"/>
                <w:szCs w:val="16"/>
                <w:lang w:val="en-US" w:eastAsia="en-US"/>
              </w:rPr>
            </w:pPr>
            <w:r w:rsidRPr="003C53BB">
              <w:rPr>
                <w:rFonts w:cs="Arial"/>
                <w:color w:val="000000"/>
                <w:sz w:val="16"/>
                <w:szCs w:val="16"/>
                <w:lang w:val="en-US" w:eastAsia="en-US"/>
              </w:rPr>
              <w:t>AC + AD + AE</w:t>
            </w:r>
          </w:p>
        </w:tc>
        <w:tc>
          <w:tcPr>
            <w:tcW w:w="1589" w:type="dxa"/>
            <w:tcBorders>
              <w:top w:val="single" w:sz="4" w:space="0" w:color="auto"/>
              <w:left w:val="nil"/>
              <w:bottom w:val="single" w:sz="8" w:space="0" w:color="auto"/>
              <w:right w:val="single" w:sz="4" w:space="0" w:color="auto"/>
            </w:tcBorders>
            <w:shd w:val="clear" w:color="auto" w:fill="auto"/>
            <w:noWrap/>
            <w:vAlign w:val="center"/>
            <w:hideMark/>
          </w:tcPr>
          <w:p w14:paraId="74B48CA5" w14:textId="73B43A15" w:rsidR="003C53BB" w:rsidRPr="003C53BB" w:rsidRDefault="003C53BB" w:rsidP="003C53BB">
            <w:pPr>
              <w:rPr>
                <w:rFonts w:cs="Arial"/>
                <w:color w:val="000000"/>
                <w:sz w:val="16"/>
                <w:szCs w:val="16"/>
                <w:lang w:val="en-US" w:eastAsia="en-US"/>
              </w:rPr>
            </w:pPr>
            <w:r w:rsidRPr="003C53BB">
              <w:rPr>
                <w:rFonts w:cs="Arial"/>
                <w:color w:val="000000"/>
                <w:sz w:val="16"/>
                <w:szCs w:val="16"/>
                <w:lang w:val="en-US" w:eastAsia="en-US"/>
              </w:rPr>
              <w:t xml:space="preserve"> AUD   15.641 </w:t>
            </w:r>
          </w:p>
        </w:tc>
        <w:tc>
          <w:tcPr>
            <w:tcW w:w="1399" w:type="dxa"/>
            <w:tcBorders>
              <w:top w:val="single" w:sz="4" w:space="0" w:color="auto"/>
              <w:left w:val="nil"/>
              <w:bottom w:val="single" w:sz="8" w:space="0" w:color="auto"/>
              <w:right w:val="single" w:sz="4" w:space="0" w:color="auto"/>
            </w:tcBorders>
            <w:shd w:val="clear" w:color="auto" w:fill="auto"/>
            <w:noWrap/>
            <w:vAlign w:val="center"/>
            <w:hideMark/>
          </w:tcPr>
          <w:p w14:paraId="4D84970B" w14:textId="041509F5" w:rsidR="003C53BB" w:rsidRPr="003C53BB" w:rsidRDefault="003C53BB" w:rsidP="003C53BB">
            <w:pPr>
              <w:rPr>
                <w:rFonts w:cs="Arial"/>
                <w:color w:val="000000"/>
                <w:sz w:val="16"/>
                <w:szCs w:val="16"/>
                <w:lang w:val="en-US" w:eastAsia="en-US"/>
              </w:rPr>
            </w:pPr>
            <w:r w:rsidRPr="003C53BB">
              <w:rPr>
                <w:rFonts w:cs="Arial"/>
                <w:color w:val="000000"/>
                <w:sz w:val="16"/>
                <w:szCs w:val="16"/>
                <w:lang w:val="en-US" w:eastAsia="en-US"/>
              </w:rPr>
              <w:t xml:space="preserve"> AUD</w:t>
            </w:r>
            <w:r w:rsidR="00BE1424">
              <w:rPr>
                <w:rFonts w:cs="Arial"/>
                <w:color w:val="000000"/>
                <w:sz w:val="16"/>
                <w:szCs w:val="16"/>
                <w:lang w:val="en-US" w:eastAsia="en-US"/>
              </w:rPr>
              <w:t xml:space="preserve">  </w:t>
            </w:r>
            <w:r w:rsidRPr="003C53BB">
              <w:rPr>
                <w:rFonts w:cs="Arial"/>
                <w:color w:val="000000"/>
                <w:sz w:val="16"/>
                <w:szCs w:val="16"/>
                <w:lang w:val="en-US" w:eastAsia="en-US"/>
              </w:rPr>
              <w:t xml:space="preserve"> 15.862 </w:t>
            </w:r>
          </w:p>
        </w:tc>
        <w:tc>
          <w:tcPr>
            <w:tcW w:w="1399" w:type="dxa"/>
            <w:tcBorders>
              <w:top w:val="single" w:sz="4" w:space="0" w:color="auto"/>
              <w:left w:val="nil"/>
              <w:bottom w:val="single" w:sz="8" w:space="0" w:color="auto"/>
              <w:right w:val="single" w:sz="4" w:space="0" w:color="auto"/>
            </w:tcBorders>
            <w:shd w:val="clear" w:color="auto" w:fill="auto"/>
            <w:noWrap/>
            <w:vAlign w:val="center"/>
            <w:hideMark/>
          </w:tcPr>
          <w:p w14:paraId="72A359A2" w14:textId="4692E0DD" w:rsidR="003C53BB" w:rsidRPr="003C53BB" w:rsidRDefault="003C53BB" w:rsidP="003C53BB">
            <w:pPr>
              <w:rPr>
                <w:rFonts w:cs="Arial"/>
                <w:color w:val="000000"/>
                <w:sz w:val="16"/>
                <w:szCs w:val="16"/>
                <w:lang w:val="en-US" w:eastAsia="en-US"/>
              </w:rPr>
            </w:pPr>
            <w:r w:rsidRPr="003C53BB">
              <w:rPr>
                <w:rFonts w:cs="Arial"/>
                <w:color w:val="000000"/>
                <w:sz w:val="16"/>
                <w:szCs w:val="16"/>
                <w:lang w:val="en-US" w:eastAsia="en-US"/>
              </w:rPr>
              <w:t xml:space="preserve"> AUD</w:t>
            </w:r>
            <w:r w:rsidR="00BE1424">
              <w:rPr>
                <w:rFonts w:cs="Arial"/>
                <w:color w:val="000000"/>
                <w:sz w:val="16"/>
                <w:szCs w:val="16"/>
                <w:lang w:val="en-US" w:eastAsia="en-US"/>
              </w:rPr>
              <w:t xml:space="preserve">  </w:t>
            </w:r>
            <w:r w:rsidRPr="003C53BB">
              <w:rPr>
                <w:rFonts w:cs="Arial"/>
                <w:color w:val="000000"/>
                <w:sz w:val="16"/>
                <w:szCs w:val="16"/>
                <w:lang w:val="en-US" w:eastAsia="en-US"/>
              </w:rPr>
              <w:t xml:space="preserve"> 16.302 </w:t>
            </w:r>
          </w:p>
        </w:tc>
        <w:tc>
          <w:tcPr>
            <w:tcW w:w="1399" w:type="dxa"/>
            <w:tcBorders>
              <w:top w:val="single" w:sz="4" w:space="0" w:color="auto"/>
              <w:left w:val="nil"/>
              <w:bottom w:val="single" w:sz="8" w:space="0" w:color="auto"/>
              <w:right w:val="single" w:sz="4" w:space="0" w:color="auto"/>
            </w:tcBorders>
            <w:shd w:val="clear" w:color="auto" w:fill="auto"/>
            <w:noWrap/>
            <w:vAlign w:val="center"/>
            <w:hideMark/>
          </w:tcPr>
          <w:p w14:paraId="7FB2977B" w14:textId="44218E00" w:rsidR="003C53BB" w:rsidRPr="003C53BB" w:rsidRDefault="003C53BB" w:rsidP="003C53BB">
            <w:pPr>
              <w:rPr>
                <w:rFonts w:cs="Arial"/>
                <w:color w:val="000000"/>
                <w:sz w:val="16"/>
                <w:szCs w:val="16"/>
                <w:lang w:val="en-US" w:eastAsia="en-US"/>
              </w:rPr>
            </w:pPr>
            <w:r w:rsidRPr="003C53BB">
              <w:rPr>
                <w:rFonts w:cs="Arial"/>
                <w:color w:val="000000"/>
                <w:sz w:val="16"/>
                <w:szCs w:val="16"/>
                <w:lang w:val="en-US" w:eastAsia="en-US"/>
              </w:rPr>
              <w:t xml:space="preserve"> AUD</w:t>
            </w:r>
            <w:r w:rsidR="00BE1424">
              <w:rPr>
                <w:rFonts w:cs="Arial"/>
                <w:color w:val="000000"/>
                <w:sz w:val="16"/>
                <w:szCs w:val="16"/>
                <w:lang w:val="en-US" w:eastAsia="en-US"/>
              </w:rPr>
              <w:t xml:space="preserve">  </w:t>
            </w:r>
            <w:r w:rsidRPr="003C53BB">
              <w:rPr>
                <w:rFonts w:cs="Arial"/>
                <w:color w:val="000000"/>
                <w:sz w:val="16"/>
                <w:szCs w:val="16"/>
                <w:lang w:val="en-US" w:eastAsia="en-US"/>
              </w:rPr>
              <w:t xml:space="preserve"> 16.523 </w:t>
            </w:r>
          </w:p>
        </w:tc>
        <w:tc>
          <w:tcPr>
            <w:tcW w:w="1399" w:type="dxa"/>
            <w:tcBorders>
              <w:top w:val="single" w:sz="4" w:space="0" w:color="auto"/>
              <w:left w:val="nil"/>
              <w:bottom w:val="single" w:sz="8" w:space="0" w:color="auto"/>
              <w:right w:val="single" w:sz="4" w:space="0" w:color="auto"/>
            </w:tcBorders>
            <w:shd w:val="clear" w:color="auto" w:fill="auto"/>
            <w:noWrap/>
            <w:vAlign w:val="center"/>
            <w:hideMark/>
          </w:tcPr>
          <w:p w14:paraId="016A3ECD" w14:textId="0A651D80" w:rsidR="003C53BB" w:rsidRPr="003C53BB" w:rsidRDefault="003C53BB" w:rsidP="003C53BB">
            <w:pPr>
              <w:rPr>
                <w:rFonts w:cs="Arial"/>
                <w:color w:val="000000"/>
                <w:sz w:val="16"/>
                <w:szCs w:val="16"/>
                <w:lang w:val="en-US" w:eastAsia="en-US"/>
              </w:rPr>
            </w:pPr>
            <w:r w:rsidRPr="003C53BB">
              <w:rPr>
                <w:rFonts w:cs="Arial"/>
                <w:color w:val="000000"/>
                <w:sz w:val="16"/>
                <w:szCs w:val="16"/>
                <w:lang w:val="en-US" w:eastAsia="en-US"/>
              </w:rPr>
              <w:t xml:space="preserve"> AUD</w:t>
            </w:r>
            <w:r w:rsidR="00BE1424">
              <w:rPr>
                <w:rFonts w:cs="Arial"/>
                <w:color w:val="000000"/>
                <w:sz w:val="16"/>
                <w:szCs w:val="16"/>
                <w:lang w:val="en-US" w:eastAsia="en-US"/>
              </w:rPr>
              <w:t xml:space="preserve">  </w:t>
            </w:r>
            <w:r w:rsidRPr="003C53BB">
              <w:rPr>
                <w:rFonts w:cs="Arial"/>
                <w:color w:val="000000"/>
                <w:sz w:val="16"/>
                <w:szCs w:val="16"/>
                <w:lang w:val="en-US" w:eastAsia="en-US"/>
              </w:rPr>
              <w:t xml:space="preserve"> 16.743 </w:t>
            </w:r>
          </w:p>
        </w:tc>
        <w:tc>
          <w:tcPr>
            <w:tcW w:w="1399" w:type="dxa"/>
            <w:tcBorders>
              <w:top w:val="single" w:sz="4" w:space="0" w:color="auto"/>
              <w:left w:val="nil"/>
              <w:bottom w:val="single" w:sz="8" w:space="0" w:color="auto"/>
              <w:right w:val="single" w:sz="8" w:space="0" w:color="auto"/>
            </w:tcBorders>
            <w:shd w:val="clear" w:color="auto" w:fill="auto"/>
            <w:noWrap/>
            <w:vAlign w:val="center"/>
            <w:hideMark/>
          </w:tcPr>
          <w:p w14:paraId="63F7EE5A" w14:textId="64297158" w:rsidR="003C53BB" w:rsidRPr="003C53BB" w:rsidRDefault="003C53BB" w:rsidP="003C53BB">
            <w:pPr>
              <w:rPr>
                <w:rFonts w:cs="Arial"/>
                <w:color w:val="000000"/>
                <w:sz w:val="16"/>
                <w:szCs w:val="16"/>
                <w:lang w:val="en-US" w:eastAsia="en-US"/>
              </w:rPr>
            </w:pPr>
            <w:r w:rsidRPr="003C53BB">
              <w:rPr>
                <w:rFonts w:cs="Arial"/>
                <w:color w:val="000000"/>
                <w:sz w:val="16"/>
                <w:szCs w:val="16"/>
                <w:lang w:val="en-US" w:eastAsia="en-US"/>
              </w:rPr>
              <w:t xml:space="preserve"> AUD   16.963 </w:t>
            </w:r>
          </w:p>
        </w:tc>
      </w:tr>
    </w:tbl>
    <w:p w14:paraId="773B1C60" w14:textId="77777777" w:rsidR="00A54546" w:rsidRPr="004D294A" w:rsidRDefault="00A54546" w:rsidP="00A54546">
      <w:pPr>
        <w:pStyle w:val="Tablecaption"/>
        <w:spacing w:line="360" w:lineRule="auto"/>
        <w:rPr>
          <w:rFonts w:ascii="Arial" w:hAnsi="Arial" w:cs="Arial"/>
          <w:lang w:val="en-AU"/>
        </w:rPr>
      </w:pPr>
      <w:bookmarkStart w:id="639" w:name="_Ref430947292"/>
      <w:bookmarkStart w:id="640" w:name="_Toc431917525"/>
      <w:r w:rsidRPr="004D294A">
        <w:rPr>
          <w:rFonts w:ascii="Arial" w:hAnsi="Arial" w:cs="Arial"/>
          <w:lang w:val="en-AU"/>
        </w:rPr>
        <w:lastRenderedPageBreak/>
        <w:t xml:space="preserve">Table </w:t>
      </w:r>
      <w:r w:rsidRPr="004D294A">
        <w:rPr>
          <w:rFonts w:ascii="Arial" w:hAnsi="Arial" w:cs="Arial"/>
          <w:lang w:val="en-AU"/>
        </w:rPr>
        <w:fldChar w:fldCharType="begin"/>
      </w:r>
      <w:r w:rsidRPr="004D294A">
        <w:rPr>
          <w:rFonts w:ascii="Arial" w:hAnsi="Arial" w:cs="Arial"/>
          <w:lang w:val="en-AU"/>
        </w:rPr>
        <w:instrText xml:space="preserve"> SEQ Table \* ARABIC </w:instrText>
      </w:r>
      <w:r w:rsidRPr="004D294A">
        <w:rPr>
          <w:rFonts w:ascii="Arial" w:hAnsi="Arial" w:cs="Arial"/>
          <w:lang w:val="en-AU"/>
        </w:rPr>
        <w:fldChar w:fldCharType="separate"/>
      </w:r>
      <w:r w:rsidR="00016592">
        <w:rPr>
          <w:rFonts w:ascii="Arial" w:hAnsi="Arial" w:cs="Arial"/>
          <w:noProof/>
          <w:lang w:val="en-AU"/>
        </w:rPr>
        <w:t>65</w:t>
      </w:r>
      <w:r w:rsidRPr="004D294A">
        <w:rPr>
          <w:rFonts w:ascii="Arial" w:hAnsi="Arial" w:cs="Arial"/>
          <w:lang w:val="en-AU"/>
        </w:rPr>
        <w:fldChar w:fldCharType="end"/>
      </w:r>
      <w:bookmarkEnd w:id="639"/>
      <w:r w:rsidRPr="004D294A">
        <w:rPr>
          <w:rFonts w:ascii="Arial" w:hAnsi="Arial" w:cs="Arial"/>
          <w:lang w:val="en-AU"/>
        </w:rPr>
        <w:t xml:space="preserve"> – Estimated cost to</w:t>
      </w:r>
      <w:r>
        <w:rPr>
          <w:rFonts w:ascii="Arial" w:hAnsi="Arial" w:cs="Arial"/>
          <w:lang w:val="en-AU"/>
        </w:rPr>
        <w:t xml:space="preserve"> t</w:t>
      </w:r>
      <w:r w:rsidRPr="004D294A">
        <w:rPr>
          <w:rFonts w:ascii="Arial" w:hAnsi="Arial" w:cs="Arial"/>
          <w:lang w:val="en-AU"/>
        </w:rPr>
        <w:t xml:space="preserve">he MBS of </w:t>
      </w:r>
      <w:r>
        <w:rPr>
          <w:rFonts w:ascii="Arial" w:hAnsi="Arial" w:cs="Arial"/>
          <w:lang w:val="en-AU"/>
        </w:rPr>
        <w:t>associated post-operational services</w:t>
      </w:r>
      <w:bookmarkEnd w:id="640"/>
    </w:p>
    <w:tbl>
      <w:tblPr>
        <w:tblW w:w="13877" w:type="dxa"/>
        <w:jc w:val="center"/>
        <w:tblLook w:val="04A0" w:firstRow="1" w:lastRow="0" w:firstColumn="1" w:lastColumn="0" w:noHBand="0" w:noVBand="1"/>
        <w:tblDescription w:val="Estimated cost to the MBS of associated post-operational services"/>
      </w:tblPr>
      <w:tblGrid>
        <w:gridCol w:w="528"/>
        <w:gridCol w:w="3173"/>
        <w:gridCol w:w="1559"/>
        <w:gridCol w:w="1701"/>
        <w:gridCol w:w="1320"/>
        <w:gridCol w:w="1399"/>
        <w:gridCol w:w="1399"/>
        <w:gridCol w:w="1399"/>
        <w:gridCol w:w="1399"/>
      </w:tblGrid>
      <w:tr w:rsidR="00A54546" w:rsidRPr="00A54546" w14:paraId="53F2F3FE" w14:textId="77777777" w:rsidTr="00BF0EEF">
        <w:trPr>
          <w:trHeight w:val="515"/>
          <w:jc w:val="center"/>
        </w:trPr>
        <w:tc>
          <w:tcPr>
            <w:tcW w:w="52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1BC8FD4" w14:textId="77777777" w:rsidR="00A54546" w:rsidRPr="00A54546" w:rsidRDefault="00A54546" w:rsidP="00A54546">
            <w:pPr>
              <w:rPr>
                <w:rFonts w:cs="Arial"/>
                <w:b/>
                <w:bCs/>
                <w:color w:val="000000"/>
                <w:sz w:val="20"/>
                <w:szCs w:val="20"/>
                <w:lang w:val="en-US" w:eastAsia="en-US"/>
              </w:rPr>
            </w:pPr>
            <w:r w:rsidRPr="00A54546">
              <w:rPr>
                <w:rFonts w:cs="Arial"/>
                <w:b/>
                <w:bCs/>
                <w:color w:val="000000"/>
                <w:sz w:val="20"/>
                <w:szCs w:val="20"/>
                <w:lang w:val="en-US" w:eastAsia="en-US"/>
              </w:rPr>
              <w:t> </w:t>
            </w:r>
          </w:p>
        </w:tc>
        <w:tc>
          <w:tcPr>
            <w:tcW w:w="3173" w:type="dxa"/>
            <w:tcBorders>
              <w:top w:val="single" w:sz="8" w:space="0" w:color="auto"/>
              <w:left w:val="nil"/>
              <w:bottom w:val="single" w:sz="4" w:space="0" w:color="auto"/>
              <w:right w:val="single" w:sz="4" w:space="0" w:color="auto"/>
            </w:tcBorders>
            <w:shd w:val="clear" w:color="auto" w:fill="auto"/>
            <w:vAlign w:val="center"/>
            <w:hideMark/>
          </w:tcPr>
          <w:p w14:paraId="29E682B9" w14:textId="77777777" w:rsidR="00A54546" w:rsidRPr="00A54546" w:rsidRDefault="00A54546" w:rsidP="00A54546">
            <w:pPr>
              <w:rPr>
                <w:rFonts w:cs="Arial"/>
                <w:b/>
                <w:bCs/>
                <w:color w:val="000000"/>
                <w:sz w:val="20"/>
                <w:szCs w:val="20"/>
                <w:lang w:val="en-US" w:eastAsia="en-US"/>
              </w:rPr>
            </w:pPr>
            <w:r w:rsidRPr="00A54546">
              <w:rPr>
                <w:rFonts w:cs="Arial"/>
                <w:b/>
                <w:bCs/>
                <w:color w:val="000000"/>
                <w:sz w:val="20"/>
                <w:szCs w:val="20"/>
                <w:lang w:val="en-US" w:eastAsia="en-US"/>
              </w:rPr>
              <w:t>Description</w:t>
            </w:r>
          </w:p>
        </w:tc>
        <w:tc>
          <w:tcPr>
            <w:tcW w:w="1559" w:type="dxa"/>
            <w:tcBorders>
              <w:top w:val="single" w:sz="8" w:space="0" w:color="auto"/>
              <w:left w:val="nil"/>
              <w:bottom w:val="single" w:sz="4" w:space="0" w:color="auto"/>
              <w:right w:val="single" w:sz="4" w:space="0" w:color="auto"/>
            </w:tcBorders>
            <w:shd w:val="clear" w:color="auto" w:fill="auto"/>
            <w:vAlign w:val="center"/>
            <w:hideMark/>
          </w:tcPr>
          <w:p w14:paraId="0B31AA5C" w14:textId="77777777" w:rsidR="00A54546" w:rsidRPr="00A54546" w:rsidRDefault="00A54546" w:rsidP="00A54546">
            <w:pPr>
              <w:jc w:val="center"/>
              <w:rPr>
                <w:rFonts w:cs="Arial"/>
                <w:b/>
                <w:bCs/>
                <w:color w:val="000000"/>
                <w:sz w:val="16"/>
                <w:szCs w:val="16"/>
                <w:lang w:val="en-US" w:eastAsia="en-US"/>
              </w:rPr>
            </w:pPr>
            <w:r w:rsidRPr="00A54546">
              <w:rPr>
                <w:rFonts w:cs="Arial"/>
                <w:b/>
                <w:bCs/>
                <w:color w:val="000000"/>
                <w:sz w:val="16"/>
                <w:szCs w:val="16"/>
                <w:lang w:val="en-US" w:eastAsia="en-US"/>
              </w:rPr>
              <w:t>Method</w:t>
            </w:r>
          </w:p>
        </w:tc>
        <w:tc>
          <w:tcPr>
            <w:tcW w:w="1701" w:type="dxa"/>
            <w:tcBorders>
              <w:top w:val="single" w:sz="8" w:space="0" w:color="auto"/>
              <w:left w:val="nil"/>
              <w:bottom w:val="single" w:sz="4" w:space="0" w:color="auto"/>
              <w:right w:val="single" w:sz="4" w:space="0" w:color="auto"/>
            </w:tcBorders>
            <w:shd w:val="clear" w:color="auto" w:fill="auto"/>
            <w:noWrap/>
            <w:vAlign w:val="center"/>
            <w:hideMark/>
          </w:tcPr>
          <w:p w14:paraId="0B6132EA" w14:textId="77777777" w:rsidR="00A54546" w:rsidRPr="00A54546" w:rsidRDefault="00A54546" w:rsidP="00A54546">
            <w:pPr>
              <w:jc w:val="center"/>
              <w:rPr>
                <w:rFonts w:cs="Arial"/>
                <w:b/>
                <w:bCs/>
                <w:color w:val="000000"/>
                <w:sz w:val="16"/>
                <w:szCs w:val="16"/>
                <w:lang w:val="en-US" w:eastAsia="en-US"/>
              </w:rPr>
            </w:pPr>
            <w:r w:rsidRPr="00A54546">
              <w:rPr>
                <w:rFonts w:cs="Arial"/>
                <w:b/>
                <w:bCs/>
                <w:color w:val="000000"/>
                <w:sz w:val="16"/>
                <w:szCs w:val="16"/>
                <w:lang w:val="en-US" w:eastAsia="en-US"/>
              </w:rPr>
              <w:t>current (2016)</w:t>
            </w:r>
          </w:p>
        </w:tc>
        <w:tc>
          <w:tcPr>
            <w:tcW w:w="1320" w:type="dxa"/>
            <w:tcBorders>
              <w:top w:val="single" w:sz="8" w:space="0" w:color="auto"/>
              <w:left w:val="nil"/>
              <w:bottom w:val="single" w:sz="4" w:space="0" w:color="auto"/>
              <w:right w:val="single" w:sz="4" w:space="0" w:color="auto"/>
            </w:tcBorders>
            <w:shd w:val="clear" w:color="auto" w:fill="auto"/>
            <w:noWrap/>
            <w:vAlign w:val="center"/>
            <w:hideMark/>
          </w:tcPr>
          <w:p w14:paraId="2AEAE3EC" w14:textId="77777777" w:rsidR="00A54546" w:rsidRPr="00A54546" w:rsidRDefault="00A54546" w:rsidP="00A54546">
            <w:pPr>
              <w:jc w:val="center"/>
              <w:rPr>
                <w:rFonts w:cs="Arial"/>
                <w:b/>
                <w:bCs/>
                <w:color w:val="000000"/>
                <w:sz w:val="16"/>
                <w:szCs w:val="16"/>
                <w:lang w:val="en-US" w:eastAsia="en-US"/>
              </w:rPr>
            </w:pPr>
            <w:r w:rsidRPr="00A54546">
              <w:rPr>
                <w:rFonts w:cs="Arial"/>
                <w:b/>
                <w:bCs/>
                <w:color w:val="000000"/>
                <w:sz w:val="16"/>
                <w:szCs w:val="16"/>
                <w:lang w:val="en-US" w:eastAsia="en-US"/>
              </w:rPr>
              <w:t>2017</w:t>
            </w:r>
          </w:p>
        </w:tc>
        <w:tc>
          <w:tcPr>
            <w:tcW w:w="1399" w:type="dxa"/>
            <w:tcBorders>
              <w:top w:val="single" w:sz="8" w:space="0" w:color="auto"/>
              <w:left w:val="nil"/>
              <w:bottom w:val="single" w:sz="4" w:space="0" w:color="auto"/>
              <w:right w:val="single" w:sz="4" w:space="0" w:color="auto"/>
            </w:tcBorders>
            <w:shd w:val="clear" w:color="auto" w:fill="auto"/>
            <w:noWrap/>
            <w:vAlign w:val="center"/>
            <w:hideMark/>
          </w:tcPr>
          <w:p w14:paraId="10368EF5" w14:textId="77777777" w:rsidR="00A54546" w:rsidRPr="00A54546" w:rsidRDefault="00A54546" w:rsidP="00A54546">
            <w:pPr>
              <w:jc w:val="center"/>
              <w:rPr>
                <w:rFonts w:cs="Arial"/>
                <w:b/>
                <w:bCs/>
                <w:color w:val="000000"/>
                <w:sz w:val="16"/>
                <w:szCs w:val="16"/>
                <w:lang w:val="en-US" w:eastAsia="en-US"/>
              </w:rPr>
            </w:pPr>
            <w:r w:rsidRPr="00A54546">
              <w:rPr>
                <w:rFonts w:cs="Arial"/>
                <w:b/>
                <w:bCs/>
                <w:color w:val="000000"/>
                <w:sz w:val="16"/>
                <w:szCs w:val="16"/>
                <w:lang w:val="en-US" w:eastAsia="en-US"/>
              </w:rPr>
              <w:t>2018</w:t>
            </w:r>
          </w:p>
        </w:tc>
        <w:tc>
          <w:tcPr>
            <w:tcW w:w="1399" w:type="dxa"/>
            <w:tcBorders>
              <w:top w:val="single" w:sz="8" w:space="0" w:color="auto"/>
              <w:left w:val="nil"/>
              <w:bottom w:val="single" w:sz="4" w:space="0" w:color="auto"/>
              <w:right w:val="single" w:sz="4" w:space="0" w:color="auto"/>
            </w:tcBorders>
            <w:shd w:val="clear" w:color="auto" w:fill="auto"/>
            <w:noWrap/>
            <w:vAlign w:val="center"/>
            <w:hideMark/>
          </w:tcPr>
          <w:p w14:paraId="181705A7" w14:textId="77777777" w:rsidR="00A54546" w:rsidRPr="00A54546" w:rsidRDefault="00A54546" w:rsidP="00A54546">
            <w:pPr>
              <w:jc w:val="center"/>
              <w:rPr>
                <w:rFonts w:cs="Arial"/>
                <w:b/>
                <w:bCs/>
                <w:color w:val="000000"/>
                <w:sz w:val="16"/>
                <w:szCs w:val="16"/>
                <w:lang w:val="en-US" w:eastAsia="en-US"/>
              </w:rPr>
            </w:pPr>
            <w:r w:rsidRPr="00A54546">
              <w:rPr>
                <w:rFonts w:cs="Arial"/>
                <w:b/>
                <w:bCs/>
                <w:color w:val="000000"/>
                <w:sz w:val="16"/>
                <w:szCs w:val="16"/>
                <w:lang w:val="en-US" w:eastAsia="en-US"/>
              </w:rPr>
              <w:t>2019</w:t>
            </w:r>
          </w:p>
        </w:tc>
        <w:tc>
          <w:tcPr>
            <w:tcW w:w="1399" w:type="dxa"/>
            <w:tcBorders>
              <w:top w:val="single" w:sz="8" w:space="0" w:color="auto"/>
              <w:left w:val="nil"/>
              <w:bottom w:val="single" w:sz="4" w:space="0" w:color="auto"/>
              <w:right w:val="single" w:sz="4" w:space="0" w:color="auto"/>
            </w:tcBorders>
            <w:shd w:val="clear" w:color="auto" w:fill="auto"/>
            <w:noWrap/>
            <w:vAlign w:val="center"/>
            <w:hideMark/>
          </w:tcPr>
          <w:p w14:paraId="4640976F" w14:textId="77777777" w:rsidR="00A54546" w:rsidRPr="00A54546" w:rsidRDefault="00A54546" w:rsidP="00A54546">
            <w:pPr>
              <w:jc w:val="center"/>
              <w:rPr>
                <w:rFonts w:cs="Arial"/>
                <w:b/>
                <w:bCs/>
                <w:color w:val="000000"/>
                <w:sz w:val="16"/>
                <w:szCs w:val="16"/>
                <w:lang w:val="en-US" w:eastAsia="en-US"/>
              </w:rPr>
            </w:pPr>
            <w:r w:rsidRPr="00A54546">
              <w:rPr>
                <w:rFonts w:cs="Arial"/>
                <w:b/>
                <w:bCs/>
                <w:color w:val="000000"/>
                <w:sz w:val="16"/>
                <w:szCs w:val="16"/>
                <w:lang w:val="en-US" w:eastAsia="en-US"/>
              </w:rPr>
              <w:t>2020</w:t>
            </w:r>
          </w:p>
        </w:tc>
        <w:tc>
          <w:tcPr>
            <w:tcW w:w="1399" w:type="dxa"/>
            <w:tcBorders>
              <w:top w:val="single" w:sz="8" w:space="0" w:color="auto"/>
              <w:left w:val="nil"/>
              <w:bottom w:val="single" w:sz="4" w:space="0" w:color="auto"/>
              <w:right w:val="single" w:sz="8" w:space="0" w:color="auto"/>
            </w:tcBorders>
            <w:shd w:val="clear" w:color="auto" w:fill="auto"/>
            <w:noWrap/>
            <w:vAlign w:val="center"/>
            <w:hideMark/>
          </w:tcPr>
          <w:p w14:paraId="36FE46E8" w14:textId="77777777" w:rsidR="00A54546" w:rsidRPr="00A54546" w:rsidRDefault="00A54546" w:rsidP="00A54546">
            <w:pPr>
              <w:jc w:val="center"/>
              <w:rPr>
                <w:rFonts w:cs="Arial"/>
                <w:b/>
                <w:bCs/>
                <w:color w:val="000000"/>
                <w:sz w:val="16"/>
                <w:szCs w:val="16"/>
                <w:lang w:val="en-US" w:eastAsia="en-US"/>
              </w:rPr>
            </w:pPr>
            <w:r w:rsidRPr="00A54546">
              <w:rPr>
                <w:rFonts w:cs="Arial"/>
                <w:b/>
                <w:bCs/>
                <w:color w:val="000000"/>
                <w:sz w:val="16"/>
                <w:szCs w:val="16"/>
                <w:lang w:val="en-US" w:eastAsia="en-US"/>
              </w:rPr>
              <w:t>2021</w:t>
            </w:r>
          </w:p>
        </w:tc>
      </w:tr>
      <w:tr w:rsidR="00A54546" w:rsidRPr="00A54546" w14:paraId="26F4CEEB" w14:textId="77777777" w:rsidTr="00BF0EEF">
        <w:trPr>
          <w:trHeight w:val="300"/>
          <w:jc w:val="center"/>
        </w:trPr>
        <w:tc>
          <w:tcPr>
            <w:tcW w:w="528" w:type="dxa"/>
            <w:tcBorders>
              <w:top w:val="nil"/>
              <w:left w:val="single" w:sz="8" w:space="0" w:color="auto"/>
              <w:bottom w:val="single" w:sz="4" w:space="0" w:color="auto"/>
              <w:right w:val="single" w:sz="4" w:space="0" w:color="auto"/>
            </w:tcBorders>
            <w:shd w:val="clear" w:color="auto" w:fill="auto"/>
            <w:noWrap/>
            <w:vAlign w:val="center"/>
            <w:hideMark/>
          </w:tcPr>
          <w:p w14:paraId="2A873C94" w14:textId="77777777" w:rsidR="00A54546" w:rsidRPr="00A54546" w:rsidRDefault="00A54546" w:rsidP="00A54546">
            <w:pPr>
              <w:rPr>
                <w:rFonts w:cs="Arial"/>
                <w:b/>
                <w:bCs/>
                <w:color w:val="000000"/>
                <w:sz w:val="20"/>
                <w:szCs w:val="20"/>
                <w:lang w:val="en-US" w:eastAsia="en-US"/>
              </w:rPr>
            </w:pPr>
            <w:r w:rsidRPr="00A54546">
              <w:rPr>
                <w:rFonts w:cs="Arial"/>
                <w:b/>
                <w:bCs/>
                <w:color w:val="000000"/>
                <w:sz w:val="20"/>
                <w:szCs w:val="20"/>
                <w:lang w:val="en-US" w:eastAsia="en-US"/>
              </w:rPr>
              <w:t> </w:t>
            </w:r>
          </w:p>
        </w:tc>
        <w:tc>
          <w:tcPr>
            <w:tcW w:w="13349" w:type="dxa"/>
            <w:gridSpan w:val="8"/>
            <w:tcBorders>
              <w:top w:val="single" w:sz="4" w:space="0" w:color="auto"/>
              <w:left w:val="single" w:sz="4" w:space="0" w:color="auto"/>
              <w:bottom w:val="single" w:sz="4" w:space="0" w:color="auto"/>
              <w:right w:val="single" w:sz="8" w:space="0" w:color="000000"/>
            </w:tcBorders>
            <w:shd w:val="clear" w:color="auto" w:fill="auto"/>
            <w:vAlign w:val="center"/>
            <w:hideMark/>
          </w:tcPr>
          <w:p w14:paraId="212BC36C" w14:textId="77777777" w:rsidR="00A54546" w:rsidRPr="00A54546" w:rsidRDefault="00A54546" w:rsidP="00A54546">
            <w:pPr>
              <w:rPr>
                <w:rFonts w:cs="Arial"/>
                <w:b/>
                <w:bCs/>
                <w:color w:val="000000"/>
                <w:lang w:val="en-US" w:eastAsia="en-US"/>
              </w:rPr>
            </w:pPr>
            <w:r w:rsidRPr="00A54546">
              <w:rPr>
                <w:rFonts w:cs="Arial"/>
                <w:b/>
                <w:bCs/>
                <w:color w:val="000000"/>
                <w:lang w:val="en-US" w:eastAsia="en-US"/>
              </w:rPr>
              <w:t>VSB</w:t>
            </w:r>
          </w:p>
        </w:tc>
      </w:tr>
      <w:tr w:rsidR="00A54546" w:rsidRPr="00A54546" w14:paraId="571E9D4C" w14:textId="77777777" w:rsidTr="00BF0EEF">
        <w:trPr>
          <w:trHeight w:val="525"/>
          <w:jc w:val="center"/>
        </w:trPr>
        <w:tc>
          <w:tcPr>
            <w:tcW w:w="528" w:type="dxa"/>
            <w:tcBorders>
              <w:top w:val="nil"/>
              <w:left w:val="single" w:sz="8" w:space="0" w:color="auto"/>
              <w:bottom w:val="single" w:sz="4" w:space="0" w:color="auto"/>
              <w:right w:val="single" w:sz="4" w:space="0" w:color="auto"/>
            </w:tcBorders>
            <w:shd w:val="clear" w:color="auto" w:fill="auto"/>
            <w:noWrap/>
            <w:vAlign w:val="center"/>
            <w:hideMark/>
          </w:tcPr>
          <w:p w14:paraId="18B2C831" w14:textId="77777777" w:rsidR="00A54546" w:rsidRPr="00A54546" w:rsidRDefault="00A54546" w:rsidP="00A54546">
            <w:pPr>
              <w:rPr>
                <w:rFonts w:cs="Arial"/>
                <w:b/>
                <w:bCs/>
                <w:color w:val="000000"/>
                <w:sz w:val="20"/>
                <w:szCs w:val="20"/>
                <w:lang w:val="en-US" w:eastAsia="en-US"/>
              </w:rPr>
            </w:pPr>
            <w:r w:rsidRPr="00A54546">
              <w:rPr>
                <w:rFonts w:cs="Arial"/>
                <w:b/>
                <w:bCs/>
                <w:color w:val="000000"/>
                <w:sz w:val="20"/>
                <w:szCs w:val="20"/>
                <w:lang w:val="en-US" w:eastAsia="en-US"/>
              </w:rPr>
              <w:t>AG</w:t>
            </w:r>
          </w:p>
        </w:tc>
        <w:tc>
          <w:tcPr>
            <w:tcW w:w="3173" w:type="dxa"/>
            <w:tcBorders>
              <w:top w:val="nil"/>
              <w:left w:val="nil"/>
              <w:bottom w:val="single" w:sz="4" w:space="0" w:color="auto"/>
              <w:right w:val="single" w:sz="4" w:space="0" w:color="auto"/>
            </w:tcBorders>
            <w:shd w:val="clear" w:color="auto" w:fill="auto"/>
            <w:vAlign w:val="center"/>
            <w:hideMark/>
          </w:tcPr>
          <w:p w14:paraId="1DB6C9D5" w14:textId="77777777" w:rsidR="00A54546" w:rsidRPr="00A54546" w:rsidRDefault="00A54546" w:rsidP="00A54546">
            <w:pPr>
              <w:rPr>
                <w:rFonts w:cs="Arial"/>
                <w:color w:val="000000"/>
                <w:sz w:val="20"/>
                <w:szCs w:val="20"/>
                <w:lang w:val="en-US" w:eastAsia="en-US"/>
              </w:rPr>
            </w:pPr>
            <w:r w:rsidRPr="00A54546">
              <w:rPr>
                <w:rFonts w:cs="Arial"/>
                <w:color w:val="000000"/>
                <w:sz w:val="20"/>
                <w:szCs w:val="20"/>
                <w:lang w:val="en-US" w:eastAsia="en-US"/>
              </w:rPr>
              <w:t>Cost of brain stem evoked audiometry</w:t>
            </w:r>
          </w:p>
        </w:tc>
        <w:tc>
          <w:tcPr>
            <w:tcW w:w="1559" w:type="dxa"/>
            <w:tcBorders>
              <w:top w:val="nil"/>
              <w:left w:val="nil"/>
              <w:bottom w:val="single" w:sz="4" w:space="0" w:color="auto"/>
              <w:right w:val="single" w:sz="4" w:space="0" w:color="auto"/>
            </w:tcBorders>
            <w:shd w:val="clear" w:color="auto" w:fill="auto"/>
            <w:vAlign w:val="center"/>
            <w:hideMark/>
          </w:tcPr>
          <w:p w14:paraId="0869B58B" w14:textId="77777777" w:rsidR="00A54546" w:rsidRPr="00A54546" w:rsidRDefault="00A54546" w:rsidP="00A54546">
            <w:pPr>
              <w:rPr>
                <w:rFonts w:cs="Arial"/>
                <w:color w:val="000000"/>
                <w:sz w:val="16"/>
                <w:szCs w:val="16"/>
                <w:lang w:val="en-US" w:eastAsia="en-US"/>
              </w:rPr>
            </w:pPr>
            <w:r w:rsidRPr="00A54546">
              <w:rPr>
                <w:rFonts w:cs="Arial"/>
                <w:color w:val="000000"/>
                <w:sz w:val="16"/>
                <w:szCs w:val="16"/>
                <w:lang w:val="en-US" w:eastAsia="en-US"/>
              </w:rPr>
              <w:fldChar w:fldCharType="begin"/>
            </w:r>
            <w:r w:rsidRPr="00A54546">
              <w:rPr>
                <w:rFonts w:cs="Arial"/>
                <w:color w:val="000000"/>
                <w:sz w:val="16"/>
                <w:szCs w:val="16"/>
                <w:lang w:val="en-US" w:eastAsia="en-US"/>
              </w:rPr>
              <w:instrText xml:space="preserve"> REF _Ref430941316 \h </w:instrText>
            </w:r>
            <w:r>
              <w:rPr>
                <w:rFonts w:cs="Arial"/>
                <w:color w:val="000000"/>
                <w:sz w:val="16"/>
                <w:szCs w:val="16"/>
                <w:lang w:val="en-US" w:eastAsia="en-US"/>
              </w:rPr>
              <w:instrText xml:space="preserve"> \* MERGEFORMAT </w:instrText>
            </w:r>
            <w:r w:rsidRPr="00A54546">
              <w:rPr>
                <w:rFonts w:cs="Arial"/>
                <w:color w:val="000000"/>
                <w:sz w:val="16"/>
                <w:szCs w:val="16"/>
                <w:lang w:val="en-US" w:eastAsia="en-US"/>
              </w:rPr>
            </w:r>
            <w:r w:rsidRPr="00A54546">
              <w:rPr>
                <w:rFonts w:cs="Arial"/>
                <w:color w:val="000000"/>
                <w:sz w:val="16"/>
                <w:szCs w:val="16"/>
                <w:lang w:val="en-US" w:eastAsia="en-US"/>
              </w:rPr>
              <w:fldChar w:fldCharType="separate"/>
            </w:r>
            <w:r w:rsidR="00016592" w:rsidRPr="00016592">
              <w:rPr>
                <w:rFonts w:cs="Arial"/>
                <w:sz w:val="16"/>
                <w:szCs w:val="16"/>
              </w:rPr>
              <w:t xml:space="preserve">Table </w:t>
            </w:r>
            <w:r w:rsidR="00016592" w:rsidRPr="00016592">
              <w:rPr>
                <w:rFonts w:cs="Arial"/>
                <w:noProof/>
                <w:sz w:val="16"/>
                <w:szCs w:val="16"/>
              </w:rPr>
              <w:t>61</w:t>
            </w:r>
            <w:r w:rsidRPr="00A54546">
              <w:rPr>
                <w:rFonts w:cs="Arial"/>
                <w:color w:val="000000"/>
                <w:sz w:val="16"/>
                <w:szCs w:val="16"/>
                <w:lang w:val="en-US" w:eastAsia="en-US"/>
              </w:rPr>
              <w:fldChar w:fldCharType="end"/>
            </w:r>
            <w:r w:rsidRPr="00A54546">
              <w:rPr>
                <w:rFonts w:cs="Arial"/>
                <w:color w:val="000000"/>
                <w:sz w:val="16"/>
                <w:szCs w:val="16"/>
                <w:lang w:val="en-US" w:eastAsia="en-US"/>
              </w:rPr>
              <w:t>, row K x AUD 153,95</w:t>
            </w:r>
          </w:p>
        </w:tc>
        <w:tc>
          <w:tcPr>
            <w:tcW w:w="1701" w:type="dxa"/>
            <w:tcBorders>
              <w:top w:val="nil"/>
              <w:left w:val="nil"/>
              <w:bottom w:val="single" w:sz="8" w:space="0" w:color="auto"/>
              <w:right w:val="single" w:sz="4" w:space="0" w:color="auto"/>
            </w:tcBorders>
            <w:shd w:val="clear" w:color="auto" w:fill="auto"/>
            <w:noWrap/>
            <w:vAlign w:val="center"/>
            <w:hideMark/>
          </w:tcPr>
          <w:p w14:paraId="5A663BB5" w14:textId="648AA76E" w:rsidR="00A54546" w:rsidRPr="00A54546" w:rsidRDefault="00A54546" w:rsidP="00A54546">
            <w:pPr>
              <w:rPr>
                <w:rFonts w:cs="Arial"/>
                <w:color w:val="000000"/>
                <w:sz w:val="16"/>
                <w:szCs w:val="16"/>
                <w:lang w:val="en-US" w:eastAsia="en-US"/>
              </w:rPr>
            </w:pPr>
            <w:r w:rsidRPr="00A54546">
              <w:rPr>
                <w:rFonts w:cs="Arial"/>
                <w:color w:val="000000"/>
                <w:sz w:val="16"/>
                <w:szCs w:val="16"/>
                <w:lang w:val="en-US" w:eastAsia="en-US"/>
              </w:rPr>
              <w:t xml:space="preserve"> AUD   10.930 </w:t>
            </w:r>
          </w:p>
        </w:tc>
        <w:tc>
          <w:tcPr>
            <w:tcW w:w="1320" w:type="dxa"/>
            <w:tcBorders>
              <w:top w:val="nil"/>
              <w:left w:val="nil"/>
              <w:bottom w:val="single" w:sz="8" w:space="0" w:color="auto"/>
              <w:right w:val="single" w:sz="4" w:space="0" w:color="auto"/>
            </w:tcBorders>
            <w:shd w:val="clear" w:color="auto" w:fill="auto"/>
            <w:noWrap/>
            <w:vAlign w:val="center"/>
            <w:hideMark/>
          </w:tcPr>
          <w:p w14:paraId="1F0D8106" w14:textId="38B03217" w:rsidR="00A54546" w:rsidRPr="00A54546" w:rsidRDefault="00A54546" w:rsidP="00A54546">
            <w:pPr>
              <w:rPr>
                <w:rFonts w:cs="Arial"/>
                <w:color w:val="000000"/>
                <w:sz w:val="16"/>
                <w:szCs w:val="16"/>
                <w:lang w:val="en-US" w:eastAsia="en-US"/>
              </w:rPr>
            </w:pPr>
            <w:r w:rsidRPr="00A54546">
              <w:rPr>
                <w:rFonts w:cs="Arial"/>
                <w:color w:val="000000"/>
                <w:sz w:val="16"/>
                <w:szCs w:val="16"/>
                <w:lang w:val="en-US" w:eastAsia="en-US"/>
              </w:rPr>
              <w:t xml:space="preserve"> AUD</w:t>
            </w:r>
            <w:r w:rsidR="00BE1424">
              <w:rPr>
                <w:rFonts w:cs="Arial"/>
                <w:color w:val="000000"/>
                <w:sz w:val="16"/>
                <w:szCs w:val="16"/>
                <w:lang w:val="en-US" w:eastAsia="en-US"/>
              </w:rPr>
              <w:t xml:space="preserve">  </w:t>
            </w:r>
            <w:r w:rsidRPr="00A54546">
              <w:rPr>
                <w:rFonts w:cs="Arial"/>
                <w:color w:val="000000"/>
                <w:sz w:val="16"/>
                <w:szCs w:val="16"/>
                <w:lang w:val="en-US" w:eastAsia="en-US"/>
              </w:rPr>
              <w:t xml:space="preserve"> 11.084 </w:t>
            </w:r>
          </w:p>
        </w:tc>
        <w:tc>
          <w:tcPr>
            <w:tcW w:w="1399" w:type="dxa"/>
            <w:tcBorders>
              <w:top w:val="nil"/>
              <w:left w:val="nil"/>
              <w:bottom w:val="single" w:sz="8" w:space="0" w:color="auto"/>
              <w:right w:val="single" w:sz="4" w:space="0" w:color="auto"/>
            </w:tcBorders>
            <w:shd w:val="clear" w:color="auto" w:fill="auto"/>
            <w:noWrap/>
            <w:vAlign w:val="center"/>
            <w:hideMark/>
          </w:tcPr>
          <w:p w14:paraId="641B76BA" w14:textId="5A7E767E" w:rsidR="00A54546" w:rsidRPr="00A54546" w:rsidRDefault="00A54546" w:rsidP="00A54546">
            <w:pPr>
              <w:rPr>
                <w:rFonts w:cs="Arial"/>
                <w:color w:val="000000"/>
                <w:sz w:val="16"/>
                <w:szCs w:val="16"/>
                <w:lang w:val="en-US" w:eastAsia="en-US"/>
              </w:rPr>
            </w:pPr>
            <w:r w:rsidRPr="00A54546">
              <w:rPr>
                <w:rFonts w:cs="Arial"/>
                <w:color w:val="000000"/>
                <w:sz w:val="16"/>
                <w:szCs w:val="16"/>
                <w:lang w:val="en-US" w:eastAsia="en-US"/>
              </w:rPr>
              <w:t xml:space="preserve"> AUD   11.392 </w:t>
            </w:r>
          </w:p>
        </w:tc>
        <w:tc>
          <w:tcPr>
            <w:tcW w:w="1399" w:type="dxa"/>
            <w:tcBorders>
              <w:top w:val="nil"/>
              <w:left w:val="nil"/>
              <w:bottom w:val="single" w:sz="8" w:space="0" w:color="auto"/>
              <w:right w:val="single" w:sz="4" w:space="0" w:color="auto"/>
            </w:tcBorders>
            <w:shd w:val="clear" w:color="auto" w:fill="auto"/>
            <w:noWrap/>
            <w:vAlign w:val="center"/>
            <w:hideMark/>
          </w:tcPr>
          <w:p w14:paraId="0CA6BC94" w14:textId="22C9EBB2" w:rsidR="00A54546" w:rsidRPr="00A54546" w:rsidRDefault="00A54546" w:rsidP="00A54546">
            <w:pPr>
              <w:rPr>
                <w:rFonts w:cs="Arial"/>
                <w:color w:val="000000"/>
                <w:sz w:val="16"/>
                <w:szCs w:val="16"/>
                <w:lang w:val="en-US" w:eastAsia="en-US"/>
              </w:rPr>
            </w:pPr>
            <w:r w:rsidRPr="00A54546">
              <w:rPr>
                <w:rFonts w:cs="Arial"/>
                <w:color w:val="000000"/>
                <w:sz w:val="16"/>
                <w:szCs w:val="16"/>
                <w:lang w:val="en-US" w:eastAsia="en-US"/>
              </w:rPr>
              <w:t xml:space="preserve"> AUD</w:t>
            </w:r>
            <w:r w:rsidR="00BE1424">
              <w:rPr>
                <w:rFonts w:cs="Arial"/>
                <w:color w:val="000000"/>
                <w:sz w:val="16"/>
                <w:szCs w:val="16"/>
                <w:lang w:val="en-US" w:eastAsia="en-US"/>
              </w:rPr>
              <w:t xml:space="preserve">  </w:t>
            </w:r>
            <w:r w:rsidRPr="00A54546">
              <w:rPr>
                <w:rFonts w:cs="Arial"/>
                <w:color w:val="000000"/>
                <w:sz w:val="16"/>
                <w:szCs w:val="16"/>
                <w:lang w:val="en-US" w:eastAsia="en-US"/>
              </w:rPr>
              <w:t xml:space="preserve"> 11.546 </w:t>
            </w:r>
          </w:p>
        </w:tc>
        <w:tc>
          <w:tcPr>
            <w:tcW w:w="1399" w:type="dxa"/>
            <w:tcBorders>
              <w:top w:val="nil"/>
              <w:left w:val="nil"/>
              <w:bottom w:val="single" w:sz="8" w:space="0" w:color="auto"/>
              <w:right w:val="single" w:sz="4" w:space="0" w:color="auto"/>
            </w:tcBorders>
            <w:shd w:val="clear" w:color="auto" w:fill="auto"/>
            <w:noWrap/>
            <w:vAlign w:val="center"/>
            <w:hideMark/>
          </w:tcPr>
          <w:p w14:paraId="739D28AB" w14:textId="3763DB63" w:rsidR="00A54546" w:rsidRPr="00A54546" w:rsidRDefault="00A54546" w:rsidP="00A54546">
            <w:pPr>
              <w:rPr>
                <w:rFonts w:cs="Arial"/>
                <w:color w:val="000000"/>
                <w:sz w:val="16"/>
                <w:szCs w:val="16"/>
                <w:lang w:val="en-US" w:eastAsia="en-US"/>
              </w:rPr>
            </w:pPr>
            <w:r w:rsidRPr="00A54546">
              <w:rPr>
                <w:rFonts w:cs="Arial"/>
                <w:color w:val="000000"/>
                <w:sz w:val="16"/>
                <w:szCs w:val="16"/>
                <w:lang w:val="en-US" w:eastAsia="en-US"/>
              </w:rPr>
              <w:t xml:space="preserve"> AUD   11.700 </w:t>
            </w:r>
          </w:p>
        </w:tc>
        <w:tc>
          <w:tcPr>
            <w:tcW w:w="1399" w:type="dxa"/>
            <w:tcBorders>
              <w:top w:val="nil"/>
              <w:left w:val="nil"/>
              <w:bottom w:val="single" w:sz="8" w:space="0" w:color="auto"/>
              <w:right w:val="single" w:sz="8" w:space="0" w:color="auto"/>
            </w:tcBorders>
            <w:shd w:val="clear" w:color="auto" w:fill="auto"/>
            <w:noWrap/>
            <w:vAlign w:val="center"/>
            <w:hideMark/>
          </w:tcPr>
          <w:p w14:paraId="6F2E1D15" w14:textId="2CD124EC" w:rsidR="00A54546" w:rsidRPr="00A54546" w:rsidRDefault="00A54546" w:rsidP="00A54546">
            <w:pPr>
              <w:rPr>
                <w:rFonts w:cs="Arial"/>
                <w:color w:val="000000"/>
                <w:sz w:val="16"/>
                <w:szCs w:val="16"/>
                <w:lang w:val="en-US" w:eastAsia="en-US"/>
              </w:rPr>
            </w:pPr>
            <w:r w:rsidRPr="00A54546">
              <w:rPr>
                <w:rFonts w:cs="Arial"/>
                <w:color w:val="000000"/>
                <w:sz w:val="16"/>
                <w:szCs w:val="16"/>
                <w:lang w:val="en-US" w:eastAsia="en-US"/>
              </w:rPr>
              <w:t xml:space="preserve"> AUD</w:t>
            </w:r>
            <w:r w:rsidR="00BE1424">
              <w:rPr>
                <w:rFonts w:cs="Arial"/>
                <w:color w:val="000000"/>
                <w:sz w:val="16"/>
                <w:szCs w:val="16"/>
                <w:lang w:val="en-US" w:eastAsia="en-US"/>
              </w:rPr>
              <w:t xml:space="preserve">  </w:t>
            </w:r>
            <w:r w:rsidRPr="00A54546">
              <w:rPr>
                <w:rFonts w:cs="Arial"/>
                <w:color w:val="000000"/>
                <w:sz w:val="16"/>
                <w:szCs w:val="16"/>
                <w:lang w:val="en-US" w:eastAsia="en-US"/>
              </w:rPr>
              <w:t xml:space="preserve"> 11.854 </w:t>
            </w:r>
          </w:p>
        </w:tc>
      </w:tr>
      <w:tr w:rsidR="00A54546" w:rsidRPr="00A54546" w14:paraId="6800BA73" w14:textId="77777777" w:rsidTr="00BF0EEF">
        <w:trPr>
          <w:trHeight w:val="525"/>
          <w:jc w:val="center"/>
        </w:trPr>
        <w:tc>
          <w:tcPr>
            <w:tcW w:w="528" w:type="dxa"/>
            <w:tcBorders>
              <w:top w:val="nil"/>
              <w:left w:val="single" w:sz="8" w:space="0" w:color="auto"/>
              <w:bottom w:val="single" w:sz="8" w:space="0" w:color="auto"/>
              <w:right w:val="single" w:sz="4" w:space="0" w:color="auto"/>
            </w:tcBorders>
            <w:shd w:val="clear" w:color="auto" w:fill="auto"/>
            <w:noWrap/>
            <w:vAlign w:val="center"/>
            <w:hideMark/>
          </w:tcPr>
          <w:p w14:paraId="4C855163" w14:textId="77777777" w:rsidR="00A54546" w:rsidRPr="00A54546" w:rsidRDefault="00A54546" w:rsidP="00A54546">
            <w:pPr>
              <w:rPr>
                <w:rFonts w:cs="Arial"/>
                <w:b/>
                <w:bCs/>
                <w:color w:val="000000"/>
                <w:sz w:val="20"/>
                <w:szCs w:val="20"/>
                <w:lang w:val="en-US" w:eastAsia="en-US"/>
              </w:rPr>
            </w:pPr>
            <w:r w:rsidRPr="00A54546">
              <w:rPr>
                <w:rFonts w:cs="Arial"/>
                <w:b/>
                <w:bCs/>
                <w:color w:val="000000"/>
                <w:sz w:val="20"/>
                <w:szCs w:val="20"/>
                <w:lang w:val="en-US" w:eastAsia="en-US"/>
              </w:rPr>
              <w:t>AH</w:t>
            </w:r>
          </w:p>
        </w:tc>
        <w:tc>
          <w:tcPr>
            <w:tcW w:w="3173" w:type="dxa"/>
            <w:tcBorders>
              <w:top w:val="nil"/>
              <w:left w:val="nil"/>
              <w:bottom w:val="single" w:sz="8" w:space="0" w:color="auto"/>
              <w:right w:val="single" w:sz="4" w:space="0" w:color="auto"/>
            </w:tcBorders>
            <w:shd w:val="clear" w:color="auto" w:fill="auto"/>
            <w:vAlign w:val="center"/>
            <w:hideMark/>
          </w:tcPr>
          <w:p w14:paraId="31902892" w14:textId="77777777" w:rsidR="00A54546" w:rsidRPr="00A54546" w:rsidRDefault="00A54546" w:rsidP="00A54546">
            <w:pPr>
              <w:rPr>
                <w:rFonts w:cs="Arial"/>
                <w:color w:val="000000"/>
                <w:sz w:val="20"/>
                <w:szCs w:val="20"/>
                <w:lang w:val="en-US" w:eastAsia="en-US"/>
              </w:rPr>
            </w:pPr>
            <w:r w:rsidRPr="00A54546">
              <w:rPr>
                <w:rFonts w:cs="Arial"/>
                <w:color w:val="000000"/>
                <w:sz w:val="20"/>
                <w:szCs w:val="20"/>
                <w:lang w:val="en-US" w:eastAsia="en-US"/>
              </w:rPr>
              <w:t>Cost of follow-up conultation (ENT/audiologist)</w:t>
            </w:r>
          </w:p>
        </w:tc>
        <w:tc>
          <w:tcPr>
            <w:tcW w:w="1559" w:type="dxa"/>
            <w:tcBorders>
              <w:top w:val="nil"/>
              <w:left w:val="nil"/>
              <w:bottom w:val="single" w:sz="8" w:space="0" w:color="auto"/>
              <w:right w:val="single" w:sz="4" w:space="0" w:color="auto"/>
            </w:tcBorders>
            <w:shd w:val="clear" w:color="auto" w:fill="auto"/>
            <w:vAlign w:val="center"/>
            <w:hideMark/>
          </w:tcPr>
          <w:p w14:paraId="02712835" w14:textId="77777777" w:rsidR="00A54546" w:rsidRPr="00A54546" w:rsidRDefault="00A54546" w:rsidP="00A54546">
            <w:pPr>
              <w:rPr>
                <w:rFonts w:cs="Arial"/>
                <w:color w:val="000000"/>
                <w:sz w:val="16"/>
                <w:szCs w:val="16"/>
                <w:lang w:val="en-US" w:eastAsia="en-US"/>
              </w:rPr>
            </w:pPr>
            <w:r w:rsidRPr="00A54546">
              <w:rPr>
                <w:rFonts w:cs="Arial"/>
                <w:color w:val="000000"/>
                <w:sz w:val="16"/>
                <w:szCs w:val="16"/>
                <w:lang w:val="en-US" w:eastAsia="en-US"/>
              </w:rPr>
              <w:fldChar w:fldCharType="begin"/>
            </w:r>
            <w:r w:rsidRPr="00A54546">
              <w:rPr>
                <w:rFonts w:cs="Arial"/>
                <w:color w:val="000000"/>
                <w:sz w:val="16"/>
                <w:szCs w:val="16"/>
                <w:lang w:val="en-US" w:eastAsia="en-US"/>
              </w:rPr>
              <w:instrText xml:space="preserve"> REF _Ref430941316 \h </w:instrText>
            </w:r>
            <w:r>
              <w:rPr>
                <w:rFonts w:cs="Arial"/>
                <w:color w:val="000000"/>
                <w:sz w:val="16"/>
                <w:szCs w:val="16"/>
                <w:lang w:val="en-US" w:eastAsia="en-US"/>
              </w:rPr>
              <w:instrText xml:space="preserve"> \* MERGEFORMAT </w:instrText>
            </w:r>
            <w:r w:rsidRPr="00A54546">
              <w:rPr>
                <w:rFonts w:cs="Arial"/>
                <w:color w:val="000000"/>
                <w:sz w:val="16"/>
                <w:szCs w:val="16"/>
                <w:lang w:val="en-US" w:eastAsia="en-US"/>
              </w:rPr>
            </w:r>
            <w:r w:rsidRPr="00A54546">
              <w:rPr>
                <w:rFonts w:cs="Arial"/>
                <w:color w:val="000000"/>
                <w:sz w:val="16"/>
                <w:szCs w:val="16"/>
                <w:lang w:val="en-US" w:eastAsia="en-US"/>
              </w:rPr>
              <w:fldChar w:fldCharType="separate"/>
            </w:r>
            <w:r w:rsidR="00016592" w:rsidRPr="00016592">
              <w:rPr>
                <w:rFonts w:cs="Arial"/>
                <w:sz w:val="16"/>
                <w:szCs w:val="16"/>
              </w:rPr>
              <w:t xml:space="preserve">Table </w:t>
            </w:r>
            <w:r w:rsidR="00016592" w:rsidRPr="00016592">
              <w:rPr>
                <w:rFonts w:cs="Arial"/>
                <w:noProof/>
                <w:sz w:val="16"/>
                <w:szCs w:val="16"/>
              </w:rPr>
              <w:t>61</w:t>
            </w:r>
            <w:r w:rsidRPr="00A54546">
              <w:rPr>
                <w:rFonts w:cs="Arial"/>
                <w:color w:val="000000"/>
                <w:sz w:val="16"/>
                <w:szCs w:val="16"/>
                <w:lang w:val="en-US" w:eastAsia="en-US"/>
              </w:rPr>
              <w:fldChar w:fldCharType="end"/>
            </w:r>
            <w:r w:rsidRPr="00A54546">
              <w:rPr>
                <w:rFonts w:cs="Arial"/>
                <w:color w:val="000000"/>
                <w:sz w:val="16"/>
                <w:szCs w:val="16"/>
                <w:lang w:val="en-US" w:eastAsia="en-US"/>
              </w:rPr>
              <w:t>, row K x AUD 62,25</w:t>
            </w:r>
          </w:p>
        </w:tc>
        <w:tc>
          <w:tcPr>
            <w:tcW w:w="1701" w:type="dxa"/>
            <w:tcBorders>
              <w:top w:val="single" w:sz="4" w:space="0" w:color="auto"/>
              <w:left w:val="nil"/>
              <w:bottom w:val="single" w:sz="8" w:space="0" w:color="auto"/>
              <w:right w:val="single" w:sz="4" w:space="0" w:color="auto"/>
            </w:tcBorders>
            <w:shd w:val="clear" w:color="auto" w:fill="auto"/>
            <w:noWrap/>
            <w:vAlign w:val="center"/>
            <w:hideMark/>
          </w:tcPr>
          <w:p w14:paraId="4A203173" w14:textId="4278350F" w:rsidR="00A54546" w:rsidRPr="00A54546" w:rsidRDefault="00A54546" w:rsidP="00A54546">
            <w:pPr>
              <w:rPr>
                <w:rFonts w:cs="Arial"/>
                <w:color w:val="000000"/>
                <w:sz w:val="16"/>
                <w:szCs w:val="16"/>
                <w:lang w:val="en-US" w:eastAsia="en-US"/>
              </w:rPr>
            </w:pPr>
            <w:r w:rsidRPr="00A54546">
              <w:rPr>
                <w:rFonts w:cs="Arial"/>
                <w:color w:val="000000"/>
                <w:sz w:val="16"/>
                <w:szCs w:val="16"/>
                <w:lang w:val="en-US" w:eastAsia="en-US"/>
              </w:rPr>
              <w:t xml:space="preserve"> AUD</w:t>
            </w:r>
            <w:r w:rsidR="00BE1424">
              <w:rPr>
                <w:rFonts w:cs="Arial"/>
                <w:color w:val="000000"/>
                <w:sz w:val="16"/>
                <w:szCs w:val="16"/>
                <w:lang w:val="en-US" w:eastAsia="en-US"/>
              </w:rPr>
              <w:t xml:space="preserve">  </w:t>
            </w:r>
            <w:r w:rsidRPr="00A54546">
              <w:rPr>
                <w:rFonts w:cs="Arial"/>
                <w:color w:val="000000"/>
                <w:sz w:val="16"/>
                <w:szCs w:val="16"/>
                <w:lang w:val="en-US" w:eastAsia="en-US"/>
              </w:rPr>
              <w:t xml:space="preserve"> 4.420 </w:t>
            </w:r>
          </w:p>
        </w:tc>
        <w:tc>
          <w:tcPr>
            <w:tcW w:w="1320" w:type="dxa"/>
            <w:tcBorders>
              <w:top w:val="single" w:sz="4" w:space="0" w:color="auto"/>
              <w:left w:val="nil"/>
              <w:bottom w:val="single" w:sz="8" w:space="0" w:color="auto"/>
              <w:right w:val="single" w:sz="4" w:space="0" w:color="auto"/>
            </w:tcBorders>
            <w:shd w:val="clear" w:color="auto" w:fill="auto"/>
            <w:noWrap/>
            <w:vAlign w:val="center"/>
            <w:hideMark/>
          </w:tcPr>
          <w:p w14:paraId="5015EB76" w14:textId="0E00CA07" w:rsidR="00A54546" w:rsidRPr="00A54546" w:rsidRDefault="00A54546" w:rsidP="00A54546">
            <w:pPr>
              <w:rPr>
                <w:rFonts w:cs="Arial"/>
                <w:color w:val="000000"/>
                <w:sz w:val="16"/>
                <w:szCs w:val="16"/>
                <w:lang w:val="en-US" w:eastAsia="en-US"/>
              </w:rPr>
            </w:pPr>
            <w:r w:rsidRPr="00A54546">
              <w:rPr>
                <w:rFonts w:cs="Arial"/>
                <w:color w:val="000000"/>
                <w:sz w:val="16"/>
                <w:szCs w:val="16"/>
                <w:lang w:val="en-US" w:eastAsia="en-US"/>
              </w:rPr>
              <w:t xml:space="preserve"> AUD</w:t>
            </w:r>
            <w:r w:rsidR="00BE1424">
              <w:rPr>
                <w:rFonts w:cs="Arial"/>
                <w:color w:val="000000"/>
                <w:sz w:val="16"/>
                <w:szCs w:val="16"/>
                <w:lang w:val="en-US" w:eastAsia="en-US"/>
              </w:rPr>
              <w:t xml:space="preserve">  </w:t>
            </w:r>
            <w:r w:rsidRPr="00A54546">
              <w:rPr>
                <w:rFonts w:cs="Arial"/>
                <w:color w:val="000000"/>
                <w:sz w:val="16"/>
                <w:szCs w:val="16"/>
                <w:lang w:val="en-US" w:eastAsia="en-US"/>
              </w:rPr>
              <w:t xml:space="preserve"> 4.482 </w:t>
            </w:r>
          </w:p>
        </w:tc>
        <w:tc>
          <w:tcPr>
            <w:tcW w:w="1399" w:type="dxa"/>
            <w:tcBorders>
              <w:top w:val="single" w:sz="4" w:space="0" w:color="auto"/>
              <w:left w:val="nil"/>
              <w:bottom w:val="single" w:sz="8" w:space="0" w:color="auto"/>
              <w:right w:val="single" w:sz="4" w:space="0" w:color="auto"/>
            </w:tcBorders>
            <w:shd w:val="clear" w:color="auto" w:fill="auto"/>
            <w:noWrap/>
            <w:vAlign w:val="center"/>
            <w:hideMark/>
          </w:tcPr>
          <w:p w14:paraId="73F6E0CF" w14:textId="20398682" w:rsidR="00A54546" w:rsidRPr="00A54546" w:rsidRDefault="00A54546" w:rsidP="00A54546">
            <w:pPr>
              <w:rPr>
                <w:rFonts w:cs="Arial"/>
                <w:color w:val="000000"/>
                <w:sz w:val="16"/>
                <w:szCs w:val="16"/>
                <w:lang w:val="en-US" w:eastAsia="en-US"/>
              </w:rPr>
            </w:pPr>
            <w:r w:rsidRPr="00A54546">
              <w:rPr>
                <w:rFonts w:cs="Arial"/>
                <w:color w:val="000000"/>
                <w:sz w:val="16"/>
                <w:szCs w:val="16"/>
                <w:lang w:val="en-US" w:eastAsia="en-US"/>
              </w:rPr>
              <w:t xml:space="preserve"> AUD</w:t>
            </w:r>
            <w:r w:rsidR="00BE1424">
              <w:rPr>
                <w:rFonts w:cs="Arial"/>
                <w:color w:val="000000"/>
                <w:sz w:val="16"/>
                <w:szCs w:val="16"/>
                <w:lang w:val="en-US" w:eastAsia="en-US"/>
              </w:rPr>
              <w:t xml:space="preserve">  </w:t>
            </w:r>
            <w:r w:rsidRPr="00A54546">
              <w:rPr>
                <w:rFonts w:cs="Arial"/>
                <w:color w:val="000000"/>
                <w:sz w:val="16"/>
                <w:szCs w:val="16"/>
                <w:lang w:val="en-US" w:eastAsia="en-US"/>
              </w:rPr>
              <w:t xml:space="preserve"> 4.607 </w:t>
            </w:r>
          </w:p>
        </w:tc>
        <w:tc>
          <w:tcPr>
            <w:tcW w:w="1399" w:type="dxa"/>
            <w:tcBorders>
              <w:top w:val="single" w:sz="4" w:space="0" w:color="auto"/>
              <w:left w:val="nil"/>
              <w:bottom w:val="single" w:sz="8" w:space="0" w:color="auto"/>
              <w:right w:val="single" w:sz="4" w:space="0" w:color="auto"/>
            </w:tcBorders>
            <w:shd w:val="clear" w:color="auto" w:fill="auto"/>
            <w:noWrap/>
            <w:vAlign w:val="center"/>
            <w:hideMark/>
          </w:tcPr>
          <w:p w14:paraId="611B6852" w14:textId="6C96FDC8" w:rsidR="00A54546" w:rsidRPr="00A54546" w:rsidRDefault="00A54546" w:rsidP="00A54546">
            <w:pPr>
              <w:rPr>
                <w:rFonts w:cs="Arial"/>
                <w:color w:val="000000"/>
                <w:sz w:val="16"/>
                <w:szCs w:val="16"/>
                <w:lang w:val="en-US" w:eastAsia="en-US"/>
              </w:rPr>
            </w:pPr>
            <w:r w:rsidRPr="00A54546">
              <w:rPr>
                <w:rFonts w:cs="Arial"/>
                <w:color w:val="000000"/>
                <w:sz w:val="16"/>
                <w:szCs w:val="16"/>
                <w:lang w:val="en-US" w:eastAsia="en-US"/>
              </w:rPr>
              <w:t xml:space="preserve"> AUD</w:t>
            </w:r>
            <w:r w:rsidR="00BE1424">
              <w:rPr>
                <w:rFonts w:cs="Arial"/>
                <w:color w:val="000000"/>
                <w:sz w:val="16"/>
                <w:szCs w:val="16"/>
                <w:lang w:val="en-US" w:eastAsia="en-US"/>
              </w:rPr>
              <w:t xml:space="preserve"> </w:t>
            </w:r>
            <w:r w:rsidRPr="00A54546">
              <w:rPr>
                <w:rFonts w:cs="Arial"/>
                <w:color w:val="000000"/>
                <w:sz w:val="16"/>
                <w:szCs w:val="16"/>
                <w:lang w:val="en-US" w:eastAsia="en-US"/>
              </w:rPr>
              <w:t xml:space="preserve">  4.669 </w:t>
            </w:r>
          </w:p>
        </w:tc>
        <w:tc>
          <w:tcPr>
            <w:tcW w:w="1399" w:type="dxa"/>
            <w:tcBorders>
              <w:top w:val="single" w:sz="4" w:space="0" w:color="auto"/>
              <w:left w:val="nil"/>
              <w:bottom w:val="single" w:sz="8" w:space="0" w:color="auto"/>
              <w:right w:val="single" w:sz="4" w:space="0" w:color="auto"/>
            </w:tcBorders>
            <w:shd w:val="clear" w:color="auto" w:fill="auto"/>
            <w:noWrap/>
            <w:vAlign w:val="center"/>
            <w:hideMark/>
          </w:tcPr>
          <w:p w14:paraId="737E0D31" w14:textId="5FE98E42" w:rsidR="00A54546" w:rsidRPr="00A54546" w:rsidRDefault="00A54546" w:rsidP="00A54546">
            <w:pPr>
              <w:rPr>
                <w:rFonts w:cs="Arial"/>
                <w:color w:val="000000"/>
                <w:sz w:val="16"/>
                <w:szCs w:val="16"/>
                <w:lang w:val="en-US" w:eastAsia="en-US"/>
              </w:rPr>
            </w:pPr>
            <w:r w:rsidRPr="00A54546">
              <w:rPr>
                <w:rFonts w:cs="Arial"/>
                <w:color w:val="000000"/>
                <w:sz w:val="16"/>
                <w:szCs w:val="16"/>
                <w:lang w:val="en-US" w:eastAsia="en-US"/>
              </w:rPr>
              <w:t xml:space="preserve"> AUD</w:t>
            </w:r>
            <w:r w:rsidR="00BE1424">
              <w:rPr>
                <w:rFonts w:cs="Arial"/>
                <w:color w:val="000000"/>
                <w:sz w:val="16"/>
                <w:szCs w:val="16"/>
                <w:lang w:val="en-US" w:eastAsia="en-US"/>
              </w:rPr>
              <w:t xml:space="preserve">  </w:t>
            </w:r>
            <w:r w:rsidRPr="00A54546">
              <w:rPr>
                <w:rFonts w:cs="Arial"/>
                <w:color w:val="000000"/>
                <w:sz w:val="16"/>
                <w:szCs w:val="16"/>
                <w:lang w:val="en-US" w:eastAsia="en-US"/>
              </w:rPr>
              <w:t xml:space="preserve"> 4.731 </w:t>
            </w:r>
          </w:p>
        </w:tc>
        <w:tc>
          <w:tcPr>
            <w:tcW w:w="1399" w:type="dxa"/>
            <w:tcBorders>
              <w:top w:val="single" w:sz="4" w:space="0" w:color="auto"/>
              <w:left w:val="nil"/>
              <w:bottom w:val="single" w:sz="8" w:space="0" w:color="auto"/>
              <w:right w:val="single" w:sz="8" w:space="0" w:color="auto"/>
            </w:tcBorders>
            <w:shd w:val="clear" w:color="auto" w:fill="auto"/>
            <w:noWrap/>
            <w:vAlign w:val="center"/>
            <w:hideMark/>
          </w:tcPr>
          <w:p w14:paraId="45CD1739" w14:textId="7923E866" w:rsidR="00A54546" w:rsidRPr="00A54546" w:rsidRDefault="00A54546" w:rsidP="00A54546">
            <w:pPr>
              <w:rPr>
                <w:rFonts w:cs="Arial"/>
                <w:color w:val="000000"/>
                <w:sz w:val="16"/>
                <w:szCs w:val="16"/>
                <w:lang w:val="en-US" w:eastAsia="en-US"/>
              </w:rPr>
            </w:pPr>
            <w:r w:rsidRPr="00A54546">
              <w:rPr>
                <w:rFonts w:cs="Arial"/>
                <w:color w:val="000000"/>
                <w:sz w:val="16"/>
                <w:szCs w:val="16"/>
                <w:lang w:val="en-US" w:eastAsia="en-US"/>
              </w:rPr>
              <w:t xml:space="preserve"> AUD</w:t>
            </w:r>
            <w:r w:rsidR="00BE1424">
              <w:rPr>
                <w:rFonts w:cs="Arial"/>
                <w:color w:val="000000"/>
                <w:sz w:val="16"/>
                <w:szCs w:val="16"/>
                <w:lang w:val="en-US" w:eastAsia="en-US"/>
              </w:rPr>
              <w:t xml:space="preserve">  </w:t>
            </w:r>
            <w:r w:rsidRPr="00A54546">
              <w:rPr>
                <w:rFonts w:cs="Arial"/>
                <w:color w:val="000000"/>
                <w:sz w:val="16"/>
                <w:szCs w:val="16"/>
                <w:lang w:val="en-US" w:eastAsia="en-US"/>
              </w:rPr>
              <w:t xml:space="preserve"> 4.793 </w:t>
            </w:r>
          </w:p>
        </w:tc>
      </w:tr>
      <w:tr w:rsidR="00A54546" w:rsidRPr="00A54546" w14:paraId="71F09F21" w14:textId="77777777" w:rsidTr="00BF0EEF">
        <w:trPr>
          <w:trHeight w:val="465"/>
          <w:jc w:val="center"/>
        </w:trPr>
        <w:tc>
          <w:tcPr>
            <w:tcW w:w="52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EFDB852" w14:textId="77777777" w:rsidR="00A54546" w:rsidRPr="00A54546" w:rsidRDefault="00A54546" w:rsidP="00A54546">
            <w:pPr>
              <w:rPr>
                <w:rFonts w:cs="Arial"/>
                <w:b/>
                <w:bCs/>
                <w:color w:val="000000"/>
                <w:sz w:val="20"/>
                <w:szCs w:val="20"/>
                <w:lang w:val="en-US" w:eastAsia="en-US"/>
              </w:rPr>
            </w:pPr>
            <w:r w:rsidRPr="00A54546">
              <w:rPr>
                <w:rFonts w:cs="Arial"/>
                <w:b/>
                <w:bCs/>
                <w:color w:val="000000"/>
                <w:sz w:val="20"/>
                <w:szCs w:val="20"/>
                <w:lang w:val="en-US" w:eastAsia="en-US"/>
              </w:rPr>
              <w:t>AI</w:t>
            </w:r>
          </w:p>
        </w:tc>
        <w:tc>
          <w:tcPr>
            <w:tcW w:w="3173" w:type="dxa"/>
            <w:tcBorders>
              <w:top w:val="single" w:sz="4" w:space="0" w:color="auto"/>
              <w:left w:val="nil"/>
              <w:bottom w:val="single" w:sz="4" w:space="0" w:color="auto"/>
              <w:right w:val="single" w:sz="4" w:space="0" w:color="auto"/>
            </w:tcBorders>
            <w:shd w:val="clear" w:color="auto" w:fill="auto"/>
            <w:vAlign w:val="center"/>
            <w:hideMark/>
          </w:tcPr>
          <w:p w14:paraId="66952D3B" w14:textId="77777777" w:rsidR="00A54546" w:rsidRPr="00A54546" w:rsidRDefault="00A54546" w:rsidP="00A54546">
            <w:pPr>
              <w:rPr>
                <w:rFonts w:cs="Arial"/>
                <w:color w:val="000000"/>
                <w:sz w:val="20"/>
                <w:szCs w:val="20"/>
                <w:lang w:val="en-US" w:eastAsia="en-US"/>
              </w:rPr>
            </w:pPr>
            <w:r w:rsidRPr="00A54546">
              <w:rPr>
                <w:rFonts w:cs="Arial"/>
                <w:color w:val="000000"/>
                <w:sz w:val="20"/>
                <w:szCs w:val="20"/>
                <w:lang w:val="en-US" w:eastAsia="en-US"/>
              </w:rPr>
              <w:t>Cost of ENT specialist</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3F50BA0" w14:textId="77777777" w:rsidR="00A54546" w:rsidRPr="00A54546" w:rsidRDefault="00A54546" w:rsidP="00A54546">
            <w:pPr>
              <w:rPr>
                <w:rFonts w:cs="Arial"/>
                <w:color w:val="000000"/>
                <w:sz w:val="16"/>
                <w:szCs w:val="16"/>
                <w:lang w:val="en-US" w:eastAsia="en-US"/>
              </w:rPr>
            </w:pPr>
            <w:r w:rsidRPr="00A54546">
              <w:rPr>
                <w:rFonts w:cs="Arial"/>
                <w:color w:val="000000"/>
                <w:sz w:val="16"/>
                <w:szCs w:val="16"/>
                <w:lang w:val="en-US" w:eastAsia="en-US"/>
              </w:rPr>
              <w:fldChar w:fldCharType="begin"/>
            </w:r>
            <w:r w:rsidRPr="00A54546">
              <w:rPr>
                <w:rFonts w:cs="Arial"/>
                <w:color w:val="000000"/>
                <w:sz w:val="16"/>
                <w:szCs w:val="16"/>
                <w:lang w:val="en-US" w:eastAsia="en-US"/>
              </w:rPr>
              <w:instrText xml:space="preserve"> REF _Ref430941316 \h </w:instrText>
            </w:r>
            <w:r>
              <w:rPr>
                <w:rFonts w:cs="Arial"/>
                <w:color w:val="000000"/>
                <w:sz w:val="16"/>
                <w:szCs w:val="16"/>
                <w:lang w:val="en-US" w:eastAsia="en-US"/>
              </w:rPr>
              <w:instrText xml:space="preserve"> \* MERGEFORMAT </w:instrText>
            </w:r>
            <w:r w:rsidRPr="00A54546">
              <w:rPr>
                <w:rFonts w:cs="Arial"/>
                <w:color w:val="000000"/>
                <w:sz w:val="16"/>
                <w:szCs w:val="16"/>
                <w:lang w:val="en-US" w:eastAsia="en-US"/>
              </w:rPr>
            </w:r>
            <w:r w:rsidRPr="00A54546">
              <w:rPr>
                <w:rFonts w:cs="Arial"/>
                <w:color w:val="000000"/>
                <w:sz w:val="16"/>
                <w:szCs w:val="16"/>
                <w:lang w:val="en-US" w:eastAsia="en-US"/>
              </w:rPr>
              <w:fldChar w:fldCharType="separate"/>
            </w:r>
            <w:r w:rsidR="00016592" w:rsidRPr="00016592">
              <w:rPr>
                <w:rFonts w:cs="Arial"/>
                <w:sz w:val="16"/>
                <w:szCs w:val="16"/>
              </w:rPr>
              <w:t xml:space="preserve">Table </w:t>
            </w:r>
            <w:r w:rsidR="00016592" w:rsidRPr="00016592">
              <w:rPr>
                <w:rFonts w:cs="Arial"/>
                <w:noProof/>
                <w:sz w:val="16"/>
                <w:szCs w:val="16"/>
              </w:rPr>
              <w:t>61</w:t>
            </w:r>
            <w:r w:rsidRPr="00A54546">
              <w:rPr>
                <w:rFonts w:cs="Arial"/>
                <w:color w:val="000000"/>
                <w:sz w:val="16"/>
                <w:szCs w:val="16"/>
                <w:lang w:val="en-US" w:eastAsia="en-US"/>
              </w:rPr>
              <w:fldChar w:fldCharType="end"/>
            </w:r>
            <w:r w:rsidRPr="00A54546">
              <w:rPr>
                <w:rFonts w:cs="Arial"/>
                <w:color w:val="000000"/>
                <w:sz w:val="16"/>
                <w:szCs w:val="16"/>
                <w:lang w:val="en-US" w:eastAsia="en-US"/>
              </w:rPr>
              <w:t>, row K x AUD 85,55</w:t>
            </w:r>
          </w:p>
        </w:tc>
        <w:tc>
          <w:tcPr>
            <w:tcW w:w="1701" w:type="dxa"/>
            <w:tcBorders>
              <w:top w:val="single" w:sz="4" w:space="0" w:color="auto"/>
              <w:left w:val="nil"/>
              <w:bottom w:val="single" w:sz="8" w:space="0" w:color="auto"/>
              <w:right w:val="single" w:sz="4" w:space="0" w:color="auto"/>
            </w:tcBorders>
            <w:shd w:val="clear" w:color="auto" w:fill="auto"/>
            <w:noWrap/>
            <w:vAlign w:val="center"/>
            <w:hideMark/>
          </w:tcPr>
          <w:p w14:paraId="6ACBAEC5" w14:textId="5018C823" w:rsidR="00A54546" w:rsidRPr="00A54546" w:rsidRDefault="00A54546" w:rsidP="00A54546">
            <w:pPr>
              <w:rPr>
                <w:rFonts w:cs="Arial"/>
                <w:color w:val="000000"/>
                <w:sz w:val="16"/>
                <w:szCs w:val="16"/>
                <w:lang w:val="en-US" w:eastAsia="en-US"/>
              </w:rPr>
            </w:pPr>
            <w:r w:rsidRPr="00A54546">
              <w:rPr>
                <w:rFonts w:cs="Arial"/>
                <w:color w:val="000000"/>
                <w:sz w:val="16"/>
                <w:szCs w:val="16"/>
                <w:lang w:val="en-US" w:eastAsia="en-US"/>
              </w:rPr>
              <w:t xml:space="preserve"> AUD</w:t>
            </w:r>
            <w:r w:rsidR="00BE1424">
              <w:rPr>
                <w:rFonts w:cs="Arial"/>
                <w:color w:val="000000"/>
                <w:sz w:val="16"/>
                <w:szCs w:val="16"/>
                <w:lang w:val="en-US" w:eastAsia="en-US"/>
              </w:rPr>
              <w:t xml:space="preserve">  </w:t>
            </w:r>
            <w:r w:rsidRPr="00A54546">
              <w:rPr>
                <w:rFonts w:cs="Arial"/>
                <w:color w:val="000000"/>
                <w:sz w:val="16"/>
                <w:szCs w:val="16"/>
                <w:lang w:val="en-US" w:eastAsia="en-US"/>
              </w:rPr>
              <w:t xml:space="preserve"> 6.074 </w:t>
            </w:r>
          </w:p>
        </w:tc>
        <w:tc>
          <w:tcPr>
            <w:tcW w:w="1320" w:type="dxa"/>
            <w:tcBorders>
              <w:top w:val="single" w:sz="4" w:space="0" w:color="auto"/>
              <w:left w:val="nil"/>
              <w:bottom w:val="single" w:sz="8" w:space="0" w:color="auto"/>
              <w:right w:val="single" w:sz="4" w:space="0" w:color="auto"/>
            </w:tcBorders>
            <w:shd w:val="clear" w:color="auto" w:fill="auto"/>
            <w:noWrap/>
            <w:vAlign w:val="center"/>
            <w:hideMark/>
          </w:tcPr>
          <w:p w14:paraId="22FCBDDE" w14:textId="60451DFF" w:rsidR="00A54546" w:rsidRPr="00A54546" w:rsidRDefault="00A54546" w:rsidP="00A54546">
            <w:pPr>
              <w:rPr>
                <w:rFonts w:cs="Arial"/>
                <w:color w:val="000000"/>
                <w:sz w:val="16"/>
                <w:szCs w:val="16"/>
                <w:lang w:val="en-US" w:eastAsia="en-US"/>
              </w:rPr>
            </w:pPr>
            <w:r w:rsidRPr="00A54546">
              <w:rPr>
                <w:rFonts w:cs="Arial"/>
                <w:color w:val="000000"/>
                <w:sz w:val="16"/>
                <w:szCs w:val="16"/>
                <w:lang w:val="en-US" w:eastAsia="en-US"/>
              </w:rPr>
              <w:t xml:space="preserve"> AUD</w:t>
            </w:r>
            <w:r w:rsidR="00BE1424">
              <w:rPr>
                <w:rFonts w:cs="Arial"/>
                <w:color w:val="000000"/>
                <w:sz w:val="16"/>
                <w:szCs w:val="16"/>
                <w:lang w:val="en-US" w:eastAsia="en-US"/>
              </w:rPr>
              <w:t xml:space="preserve">  </w:t>
            </w:r>
            <w:r w:rsidRPr="00A54546">
              <w:rPr>
                <w:rFonts w:cs="Arial"/>
                <w:color w:val="000000"/>
                <w:sz w:val="16"/>
                <w:szCs w:val="16"/>
                <w:lang w:val="en-US" w:eastAsia="en-US"/>
              </w:rPr>
              <w:t xml:space="preserve"> 6.160 </w:t>
            </w:r>
          </w:p>
        </w:tc>
        <w:tc>
          <w:tcPr>
            <w:tcW w:w="1399" w:type="dxa"/>
            <w:tcBorders>
              <w:top w:val="single" w:sz="4" w:space="0" w:color="auto"/>
              <w:left w:val="nil"/>
              <w:bottom w:val="single" w:sz="8" w:space="0" w:color="auto"/>
              <w:right w:val="single" w:sz="4" w:space="0" w:color="auto"/>
            </w:tcBorders>
            <w:shd w:val="clear" w:color="auto" w:fill="auto"/>
            <w:noWrap/>
            <w:vAlign w:val="center"/>
            <w:hideMark/>
          </w:tcPr>
          <w:p w14:paraId="550CC2B1" w14:textId="131EAB4B" w:rsidR="00A54546" w:rsidRPr="00A54546" w:rsidRDefault="00A54546" w:rsidP="00A54546">
            <w:pPr>
              <w:rPr>
                <w:rFonts w:cs="Arial"/>
                <w:color w:val="000000"/>
                <w:sz w:val="16"/>
                <w:szCs w:val="16"/>
                <w:lang w:val="en-US" w:eastAsia="en-US"/>
              </w:rPr>
            </w:pPr>
            <w:r w:rsidRPr="00A54546">
              <w:rPr>
                <w:rFonts w:cs="Arial"/>
                <w:color w:val="000000"/>
                <w:sz w:val="16"/>
                <w:szCs w:val="16"/>
                <w:lang w:val="en-US" w:eastAsia="en-US"/>
              </w:rPr>
              <w:t xml:space="preserve"> AUD   6.331 </w:t>
            </w:r>
          </w:p>
        </w:tc>
        <w:tc>
          <w:tcPr>
            <w:tcW w:w="1399" w:type="dxa"/>
            <w:tcBorders>
              <w:top w:val="single" w:sz="4" w:space="0" w:color="auto"/>
              <w:left w:val="nil"/>
              <w:bottom w:val="single" w:sz="8" w:space="0" w:color="auto"/>
              <w:right w:val="single" w:sz="4" w:space="0" w:color="auto"/>
            </w:tcBorders>
            <w:shd w:val="clear" w:color="auto" w:fill="auto"/>
            <w:noWrap/>
            <w:vAlign w:val="center"/>
            <w:hideMark/>
          </w:tcPr>
          <w:p w14:paraId="6595E05B" w14:textId="27F21736" w:rsidR="00A54546" w:rsidRPr="00A54546" w:rsidRDefault="00A54546" w:rsidP="00A54546">
            <w:pPr>
              <w:rPr>
                <w:rFonts w:cs="Arial"/>
                <w:color w:val="000000"/>
                <w:sz w:val="16"/>
                <w:szCs w:val="16"/>
                <w:lang w:val="en-US" w:eastAsia="en-US"/>
              </w:rPr>
            </w:pPr>
            <w:r w:rsidRPr="00A54546">
              <w:rPr>
                <w:rFonts w:cs="Arial"/>
                <w:color w:val="000000"/>
                <w:sz w:val="16"/>
                <w:szCs w:val="16"/>
                <w:lang w:val="en-US" w:eastAsia="en-US"/>
              </w:rPr>
              <w:t xml:space="preserve"> AUD   6.416 </w:t>
            </w:r>
          </w:p>
        </w:tc>
        <w:tc>
          <w:tcPr>
            <w:tcW w:w="1399" w:type="dxa"/>
            <w:tcBorders>
              <w:top w:val="single" w:sz="4" w:space="0" w:color="auto"/>
              <w:left w:val="nil"/>
              <w:bottom w:val="single" w:sz="8" w:space="0" w:color="auto"/>
              <w:right w:val="single" w:sz="4" w:space="0" w:color="auto"/>
            </w:tcBorders>
            <w:shd w:val="clear" w:color="auto" w:fill="auto"/>
            <w:noWrap/>
            <w:vAlign w:val="center"/>
            <w:hideMark/>
          </w:tcPr>
          <w:p w14:paraId="41CCFE04" w14:textId="77F42210" w:rsidR="00A54546" w:rsidRPr="00A54546" w:rsidRDefault="00A54546" w:rsidP="00A54546">
            <w:pPr>
              <w:rPr>
                <w:rFonts w:cs="Arial"/>
                <w:color w:val="000000"/>
                <w:sz w:val="16"/>
                <w:szCs w:val="16"/>
                <w:lang w:val="en-US" w:eastAsia="en-US"/>
              </w:rPr>
            </w:pPr>
            <w:r w:rsidRPr="00A54546">
              <w:rPr>
                <w:rFonts w:cs="Arial"/>
                <w:color w:val="000000"/>
                <w:sz w:val="16"/>
                <w:szCs w:val="16"/>
                <w:lang w:val="en-US" w:eastAsia="en-US"/>
              </w:rPr>
              <w:t xml:space="preserve"> AUD   6.502 </w:t>
            </w:r>
          </w:p>
        </w:tc>
        <w:tc>
          <w:tcPr>
            <w:tcW w:w="1399" w:type="dxa"/>
            <w:tcBorders>
              <w:top w:val="single" w:sz="4" w:space="0" w:color="auto"/>
              <w:left w:val="nil"/>
              <w:bottom w:val="single" w:sz="8" w:space="0" w:color="auto"/>
              <w:right w:val="single" w:sz="8" w:space="0" w:color="auto"/>
            </w:tcBorders>
            <w:shd w:val="clear" w:color="auto" w:fill="auto"/>
            <w:noWrap/>
            <w:vAlign w:val="center"/>
            <w:hideMark/>
          </w:tcPr>
          <w:p w14:paraId="7039BC10" w14:textId="14862363" w:rsidR="00A54546" w:rsidRPr="00A54546" w:rsidRDefault="00A54546" w:rsidP="00A54546">
            <w:pPr>
              <w:rPr>
                <w:rFonts w:cs="Arial"/>
                <w:color w:val="000000"/>
                <w:sz w:val="16"/>
                <w:szCs w:val="16"/>
                <w:lang w:val="en-US" w:eastAsia="en-US"/>
              </w:rPr>
            </w:pPr>
            <w:r w:rsidRPr="00A54546">
              <w:rPr>
                <w:rFonts w:cs="Arial"/>
                <w:color w:val="000000"/>
                <w:sz w:val="16"/>
                <w:szCs w:val="16"/>
                <w:lang w:val="en-US" w:eastAsia="en-US"/>
              </w:rPr>
              <w:t xml:space="preserve"> AUD</w:t>
            </w:r>
            <w:r w:rsidR="00BE1424">
              <w:rPr>
                <w:rFonts w:cs="Arial"/>
                <w:color w:val="000000"/>
                <w:sz w:val="16"/>
                <w:szCs w:val="16"/>
                <w:lang w:val="en-US" w:eastAsia="en-US"/>
              </w:rPr>
              <w:t xml:space="preserve"> </w:t>
            </w:r>
            <w:r w:rsidRPr="00A54546">
              <w:rPr>
                <w:rFonts w:cs="Arial"/>
                <w:color w:val="000000"/>
                <w:sz w:val="16"/>
                <w:szCs w:val="16"/>
                <w:lang w:val="en-US" w:eastAsia="en-US"/>
              </w:rPr>
              <w:t xml:space="preserve">  6.587 </w:t>
            </w:r>
          </w:p>
        </w:tc>
      </w:tr>
      <w:tr w:rsidR="00A54546" w:rsidRPr="00A54546" w14:paraId="45660F13" w14:textId="77777777" w:rsidTr="00BF0EEF">
        <w:trPr>
          <w:trHeight w:val="525"/>
          <w:jc w:val="center"/>
        </w:trPr>
        <w:tc>
          <w:tcPr>
            <w:tcW w:w="528" w:type="dxa"/>
            <w:tcBorders>
              <w:top w:val="nil"/>
              <w:left w:val="single" w:sz="8" w:space="0" w:color="auto"/>
              <w:bottom w:val="single" w:sz="8" w:space="0" w:color="auto"/>
              <w:right w:val="single" w:sz="4" w:space="0" w:color="auto"/>
            </w:tcBorders>
            <w:shd w:val="clear" w:color="000000" w:fill="C5D9F1"/>
            <w:noWrap/>
            <w:vAlign w:val="center"/>
            <w:hideMark/>
          </w:tcPr>
          <w:p w14:paraId="3715B5CA" w14:textId="77777777" w:rsidR="00A54546" w:rsidRPr="00A54546" w:rsidRDefault="00A54546" w:rsidP="00A54546">
            <w:pPr>
              <w:rPr>
                <w:rFonts w:cs="Arial"/>
                <w:b/>
                <w:bCs/>
                <w:color w:val="000000"/>
                <w:sz w:val="20"/>
                <w:szCs w:val="20"/>
                <w:lang w:val="en-US" w:eastAsia="en-US"/>
              </w:rPr>
            </w:pPr>
            <w:r w:rsidRPr="00A54546">
              <w:rPr>
                <w:rFonts w:cs="Arial"/>
                <w:b/>
                <w:bCs/>
                <w:color w:val="000000"/>
                <w:sz w:val="20"/>
                <w:szCs w:val="20"/>
                <w:lang w:val="en-US" w:eastAsia="en-US"/>
              </w:rPr>
              <w:t>AJ</w:t>
            </w:r>
          </w:p>
        </w:tc>
        <w:tc>
          <w:tcPr>
            <w:tcW w:w="3173" w:type="dxa"/>
            <w:tcBorders>
              <w:top w:val="nil"/>
              <w:left w:val="nil"/>
              <w:bottom w:val="single" w:sz="8" w:space="0" w:color="auto"/>
              <w:right w:val="single" w:sz="4" w:space="0" w:color="auto"/>
            </w:tcBorders>
            <w:shd w:val="clear" w:color="000000" w:fill="C5D9F1"/>
            <w:vAlign w:val="center"/>
            <w:hideMark/>
          </w:tcPr>
          <w:p w14:paraId="56EBE983" w14:textId="77777777" w:rsidR="00A54546" w:rsidRPr="00A54546" w:rsidRDefault="00A54546" w:rsidP="00A54546">
            <w:pPr>
              <w:rPr>
                <w:rFonts w:cs="Arial"/>
                <w:color w:val="000000"/>
                <w:sz w:val="20"/>
                <w:szCs w:val="20"/>
                <w:lang w:val="en-US" w:eastAsia="en-US"/>
              </w:rPr>
            </w:pPr>
            <w:r w:rsidRPr="00A54546">
              <w:rPr>
                <w:rFonts w:cs="Arial"/>
                <w:color w:val="000000"/>
                <w:sz w:val="20"/>
                <w:szCs w:val="20"/>
                <w:lang w:val="en-US" w:eastAsia="en-US"/>
              </w:rPr>
              <w:t>Total cost to MBS of associated items</w:t>
            </w:r>
          </w:p>
        </w:tc>
        <w:tc>
          <w:tcPr>
            <w:tcW w:w="1559" w:type="dxa"/>
            <w:tcBorders>
              <w:top w:val="nil"/>
              <w:left w:val="nil"/>
              <w:bottom w:val="single" w:sz="8" w:space="0" w:color="auto"/>
              <w:right w:val="single" w:sz="4" w:space="0" w:color="auto"/>
            </w:tcBorders>
            <w:shd w:val="clear" w:color="000000" w:fill="C5D9F1"/>
            <w:vAlign w:val="center"/>
            <w:hideMark/>
          </w:tcPr>
          <w:p w14:paraId="336A2C58" w14:textId="77777777" w:rsidR="00A54546" w:rsidRPr="00A54546" w:rsidRDefault="00A54546" w:rsidP="00A54546">
            <w:pPr>
              <w:rPr>
                <w:rFonts w:cs="Arial"/>
                <w:color w:val="000000"/>
                <w:sz w:val="16"/>
                <w:szCs w:val="16"/>
                <w:lang w:val="en-US" w:eastAsia="en-US"/>
              </w:rPr>
            </w:pPr>
            <w:r w:rsidRPr="00A54546">
              <w:rPr>
                <w:rFonts w:cs="Arial"/>
                <w:color w:val="000000"/>
                <w:sz w:val="16"/>
                <w:szCs w:val="16"/>
                <w:lang w:val="en-US" w:eastAsia="en-US"/>
              </w:rPr>
              <w:t>AG + AH + AI</w:t>
            </w:r>
          </w:p>
        </w:tc>
        <w:tc>
          <w:tcPr>
            <w:tcW w:w="1701" w:type="dxa"/>
            <w:tcBorders>
              <w:top w:val="single" w:sz="4" w:space="0" w:color="auto"/>
              <w:left w:val="nil"/>
              <w:bottom w:val="single" w:sz="8" w:space="0" w:color="auto"/>
              <w:right w:val="single" w:sz="4" w:space="0" w:color="auto"/>
            </w:tcBorders>
            <w:shd w:val="clear" w:color="000000" w:fill="C5D9F1"/>
            <w:noWrap/>
            <w:vAlign w:val="center"/>
            <w:hideMark/>
          </w:tcPr>
          <w:p w14:paraId="0B33F913" w14:textId="55D35A4C" w:rsidR="00A54546" w:rsidRPr="00A54546" w:rsidRDefault="00A54546" w:rsidP="00A54546">
            <w:pPr>
              <w:rPr>
                <w:rFonts w:cs="Arial"/>
                <w:color w:val="000000"/>
                <w:sz w:val="16"/>
                <w:szCs w:val="16"/>
                <w:lang w:val="en-US" w:eastAsia="en-US"/>
              </w:rPr>
            </w:pPr>
            <w:r w:rsidRPr="00A54546">
              <w:rPr>
                <w:rFonts w:cs="Arial"/>
                <w:color w:val="000000"/>
                <w:sz w:val="16"/>
                <w:szCs w:val="16"/>
                <w:lang w:val="en-US" w:eastAsia="en-US"/>
              </w:rPr>
              <w:t xml:space="preserve"> AUD   21.424 </w:t>
            </w:r>
          </w:p>
        </w:tc>
        <w:tc>
          <w:tcPr>
            <w:tcW w:w="1320" w:type="dxa"/>
            <w:tcBorders>
              <w:top w:val="single" w:sz="4" w:space="0" w:color="auto"/>
              <w:left w:val="nil"/>
              <w:bottom w:val="single" w:sz="8" w:space="0" w:color="auto"/>
              <w:right w:val="single" w:sz="4" w:space="0" w:color="auto"/>
            </w:tcBorders>
            <w:shd w:val="clear" w:color="000000" w:fill="C5D9F1"/>
            <w:noWrap/>
            <w:vAlign w:val="center"/>
            <w:hideMark/>
          </w:tcPr>
          <w:p w14:paraId="63E6FDDB" w14:textId="1EFED936" w:rsidR="00A54546" w:rsidRPr="00A54546" w:rsidRDefault="00A54546" w:rsidP="00A54546">
            <w:pPr>
              <w:rPr>
                <w:rFonts w:cs="Arial"/>
                <w:color w:val="000000"/>
                <w:sz w:val="16"/>
                <w:szCs w:val="16"/>
                <w:lang w:val="en-US" w:eastAsia="en-US"/>
              </w:rPr>
            </w:pPr>
            <w:r w:rsidRPr="00A54546">
              <w:rPr>
                <w:rFonts w:cs="Arial"/>
                <w:color w:val="000000"/>
                <w:sz w:val="16"/>
                <w:szCs w:val="16"/>
                <w:lang w:val="en-US" w:eastAsia="en-US"/>
              </w:rPr>
              <w:t xml:space="preserve"> AUD</w:t>
            </w:r>
            <w:r w:rsidR="00BE1424">
              <w:rPr>
                <w:rFonts w:cs="Arial"/>
                <w:color w:val="000000"/>
                <w:sz w:val="16"/>
                <w:szCs w:val="16"/>
                <w:lang w:val="en-US" w:eastAsia="en-US"/>
              </w:rPr>
              <w:t xml:space="preserve">  </w:t>
            </w:r>
            <w:r w:rsidRPr="00A54546">
              <w:rPr>
                <w:rFonts w:cs="Arial"/>
                <w:color w:val="000000"/>
                <w:sz w:val="16"/>
                <w:szCs w:val="16"/>
                <w:lang w:val="en-US" w:eastAsia="en-US"/>
              </w:rPr>
              <w:t xml:space="preserve"> 21.726 </w:t>
            </w:r>
          </w:p>
        </w:tc>
        <w:tc>
          <w:tcPr>
            <w:tcW w:w="1399" w:type="dxa"/>
            <w:tcBorders>
              <w:top w:val="single" w:sz="4" w:space="0" w:color="auto"/>
              <w:left w:val="nil"/>
              <w:bottom w:val="single" w:sz="8" w:space="0" w:color="auto"/>
              <w:right w:val="single" w:sz="4" w:space="0" w:color="auto"/>
            </w:tcBorders>
            <w:shd w:val="clear" w:color="000000" w:fill="C5D9F1"/>
            <w:noWrap/>
            <w:vAlign w:val="center"/>
            <w:hideMark/>
          </w:tcPr>
          <w:p w14:paraId="2FA59DFD" w14:textId="6AE54C33" w:rsidR="00A54546" w:rsidRPr="00A54546" w:rsidRDefault="00A54546" w:rsidP="00A54546">
            <w:pPr>
              <w:rPr>
                <w:rFonts w:cs="Arial"/>
                <w:color w:val="000000"/>
                <w:sz w:val="16"/>
                <w:szCs w:val="16"/>
                <w:lang w:val="en-US" w:eastAsia="en-US"/>
              </w:rPr>
            </w:pPr>
            <w:r w:rsidRPr="00A54546">
              <w:rPr>
                <w:rFonts w:cs="Arial"/>
                <w:color w:val="000000"/>
                <w:sz w:val="16"/>
                <w:szCs w:val="16"/>
                <w:lang w:val="en-US" w:eastAsia="en-US"/>
              </w:rPr>
              <w:t xml:space="preserve"> AUD</w:t>
            </w:r>
            <w:r w:rsidR="00BE1424">
              <w:rPr>
                <w:rFonts w:cs="Arial"/>
                <w:color w:val="000000"/>
                <w:sz w:val="16"/>
                <w:szCs w:val="16"/>
                <w:lang w:val="en-US" w:eastAsia="en-US"/>
              </w:rPr>
              <w:t xml:space="preserve">  </w:t>
            </w:r>
            <w:r w:rsidRPr="00A54546">
              <w:rPr>
                <w:rFonts w:cs="Arial"/>
                <w:color w:val="000000"/>
                <w:sz w:val="16"/>
                <w:szCs w:val="16"/>
                <w:lang w:val="en-US" w:eastAsia="en-US"/>
              </w:rPr>
              <w:t xml:space="preserve"> 22.330 </w:t>
            </w:r>
          </w:p>
        </w:tc>
        <w:tc>
          <w:tcPr>
            <w:tcW w:w="1399" w:type="dxa"/>
            <w:tcBorders>
              <w:top w:val="single" w:sz="4" w:space="0" w:color="auto"/>
              <w:left w:val="nil"/>
              <w:bottom w:val="single" w:sz="8" w:space="0" w:color="auto"/>
              <w:right w:val="single" w:sz="4" w:space="0" w:color="auto"/>
            </w:tcBorders>
            <w:shd w:val="clear" w:color="000000" w:fill="C5D9F1"/>
            <w:noWrap/>
            <w:vAlign w:val="center"/>
            <w:hideMark/>
          </w:tcPr>
          <w:p w14:paraId="7FAACE2B" w14:textId="79A92D3F" w:rsidR="00A54546" w:rsidRPr="00A54546" w:rsidRDefault="00A54546" w:rsidP="00A54546">
            <w:pPr>
              <w:rPr>
                <w:rFonts w:cs="Arial"/>
                <w:color w:val="000000"/>
                <w:sz w:val="16"/>
                <w:szCs w:val="16"/>
                <w:lang w:val="en-US" w:eastAsia="en-US"/>
              </w:rPr>
            </w:pPr>
            <w:r w:rsidRPr="00A54546">
              <w:rPr>
                <w:rFonts w:cs="Arial"/>
                <w:color w:val="000000"/>
                <w:sz w:val="16"/>
                <w:szCs w:val="16"/>
                <w:lang w:val="en-US" w:eastAsia="en-US"/>
              </w:rPr>
              <w:t xml:space="preserve"> AUD   22.631 </w:t>
            </w:r>
          </w:p>
        </w:tc>
        <w:tc>
          <w:tcPr>
            <w:tcW w:w="1399" w:type="dxa"/>
            <w:tcBorders>
              <w:top w:val="single" w:sz="4" w:space="0" w:color="auto"/>
              <w:left w:val="nil"/>
              <w:bottom w:val="single" w:sz="8" w:space="0" w:color="auto"/>
              <w:right w:val="single" w:sz="4" w:space="0" w:color="auto"/>
            </w:tcBorders>
            <w:shd w:val="clear" w:color="000000" w:fill="C5D9F1"/>
            <w:noWrap/>
            <w:vAlign w:val="center"/>
            <w:hideMark/>
          </w:tcPr>
          <w:p w14:paraId="56B450F7" w14:textId="4386C312" w:rsidR="00A54546" w:rsidRPr="00A54546" w:rsidRDefault="00A54546" w:rsidP="00A54546">
            <w:pPr>
              <w:rPr>
                <w:rFonts w:cs="Arial"/>
                <w:color w:val="000000"/>
                <w:sz w:val="16"/>
                <w:szCs w:val="16"/>
                <w:lang w:val="en-US" w:eastAsia="en-US"/>
              </w:rPr>
            </w:pPr>
            <w:r w:rsidRPr="00A54546">
              <w:rPr>
                <w:rFonts w:cs="Arial"/>
                <w:color w:val="000000"/>
                <w:sz w:val="16"/>
                <w:szCs w:val="16"/>
                <w:lang w:val="en-US" w:eastAsia="en-US"/>
              </w:rPr>
              <w:t xml:space="preserve"> AUD</w:t>
            </w:r>
            <w:r w:rsidR="00BE1424">
              <w:rPr>
                <w:rFonts w:cs="Arial"/>
                <w:color w:val="000000"/>
                <w:sz w:val="16"/>
                <w:szCs w:val="16"/>
                <w:lang w:val="en-US" w:eastAsia="en-US"/>
              </w:rPr>
              <w:t xml:space="preserve"> </w:t>
            </w:r>
            <w:r w:rsidRPr="00A54546">
              <w:rPr>
                <w:rFonts w:cs="Arial"/>
                <w:color w:val="000000"/>
                <w:sz w:val="16"/>
                <w:szCs w:val="16"/>
                <w:lang w:val="en-US" w:eastAsia="en-US"/>
              </w:rPr>
              <w:t xml:space="preserve">  22.933 </w:t>
            </w:r>
          </w:p>
        </w:tc>
        <w:tc>
          <w:tcPr>
            <w:tcW w:w="1399" w:type="dxa"/>
            <w:tcBorders>
              <w:top w:val="single" w:sz="4" w:space="0" w:color="auto"/>
              <w:left w:val="nil"/>
              <w:bottom w:val="single" w:sz="8" w:space="0" w:color="auto"/>
              <w:right w:val="single" w:sz="8" w:space="0" w:color="auto"/>
            </w:tcBorders>
            <w:shd w:val="clear" w:color="000000" w:fill="C5D9F1"/>
            <w:noWrap/>
            <w:vAlign w:val="center"/>
            <w:hideMark/>
          </w:tcPr>
          <w:p w14:paraId="5E92EB9F" w14:textId="23F66C4C" w:rsidR="00A54546" w:rsidRPr="00A54546" w:rsidRDefault="00A54546" w:rsidP="00A54546">
            <w:pPr>
              <w:rPr>
                <w:rFonts w:cs="Arial"/>
                <w:color w:val="000000"/>
                <w:sz w:val="16"/>
                <w:szCs w:val="16"/>
                <w:lang w:val="en-US" w:eastAsia="en-US"/>
              </w:rPr>
            </w:pPr>
            <w:r w:rsidRPr="00A54546">
              <w:rPr>
                <w:rFonts w:cs="Arial"/>
                <w:color w:val="000000"/>
                <w:sz w:val="16"/>
                <w:szCs w:val="16"/>
                <w:lang w:val="en-US" w:eastAsia="en-US"/>
              </w:rPr>
              <w:t xml:space="preserve"> AUD   23.235 </w:t>
            </w:r>
          </w:p>
        </w:tc>
      </w:tr>
      <w:tr w:rsidR="00A54546" w:rsidRPr="00A54546" w14:paraId="72C82172" w14:textId="77777777" w:rsidTr="00BF0EEF">
        <w:trPr>
          <w:trHeight w:val="300"/>
          <w:jc w:val="center"/>
        </w:trPr>
        <w:tc>
          <w:tcPr>
            <w:tcW w:w="52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75D1D59" w14:textId="77777777" w:rsidR="00A54546" w:rsidRPr="00A54546" w:rsidRDefault="00A54546" w:rsidP="00A54546">
            <w:pPr>
              <w:rPr>
                <w:rFonts w:cs="Arial"/>
                <w:b/>
                <w:bCs/>
                <w:color w:val="000000"/>
                <w:sz w:val="20"/>
                <w:szCs w:val="20"/>
                <w:lang w:val="en-US" w:eastAsia="en-US"/>
              </w:rPr>
            </w:pPr>
            <w:r w:rsidRPr="00A54546">
              <w:rPr>
                <w:rFonts w:cs="Arial"/>
                <w:b/>
                <w:bCs/>
                <w:color w:val="000000"/>
                <w:sz w:val="20"/>
                <w:szCs w:val="20"/>
                <w:lang w:val="en-US" w:eastAsia="en-US"/>
              </w:rPr>
              <w:t> </w:t>
            </w:r>
          </w:p>
        </w:tc>
        <w:tc>
          <w:tcPr>
            <w:tcW w:w="13349" w:type="dxa"/>
            <w:gridSpan w:val="8"/>
            <w:tcBorders>
              <w:top w:val="single" w:sz="4" w:space="0" w:color="auto"/>
              <w:left w:val="single" w:sz="4" w:space="0" w:color="auto"/>
              <w:bottom w:val="single" w:sz="4" w:space="0" w:color="auto"/>
              <w:right w:val="single" w:sz="8" w:space="0" w:color="000000"/>
            </w:tcBorders>
            <w:shd w:val="clear" w:color="auto" w:fill="auto"/>
            <w:vAlign w:val="center"/>
            <w:hideMark/>
          </w:tcPr>
          <w:p w14:paraId="4A3BCA2E" w14:textId="77777777" w:rsidR="00A54546" w:rsidRPr="00A54546" w:rsidRDefault="00A54546" w:rsidP="00A54546">
            <w:pPr>
              <w:rPr>
                <w:rFonts w:cs="Arial"/>
                <w:b/>
                <w:bCs/>
                <w:color w:val="000000"/>
                <w:lang w:val="en-US" w:eastAsia="en-US"/>
              </w:rPr>
            </w:pPr>
            <w:r w:rsidRPr="00A54546">
              <w:rPr>
                <w:rFonts w:cs="Arial"/>
                <w:b/>
                <w:bCs/>
                <w:color w:val="000000"/>
                <w:lang w:val="en-US" w:eastAsia="en-US"/>
              </w:rPr>
              <w:t>Maxum/Soundtec</w:t>
            </w:r>
          </w:p>
        </w:tc>
      </w:tr>
      <w:tr w:rsidR="00A54546" w:rsidRPr="00A54546" w14:paraId="2DF942FB" w14:textId="77777777" w:rsidTr="00BF0EEF">
        <w:trPr>
          <w:trHeight w:val="465"/>
          <w:jc w:val="center"/>
        </w:trPr>
        <w:tc>
          <w:tcPr>
            <w:tcW w:w="528" w:type="dxa"/>
            <w:tcBorders>
              <w:top w:val="nil"/>
              <w:left w:val="single" w:sz="8" w:space="0" w:color="auto"/>
              <w:bottom w:val="single" w:sz="8" w:space="0" w:color="auto"/>
              <w:right w:val="single" w:sz="4" w:space="0" w:color="auto"/>
            </w:tcBorders>
            <w:shd w:val="clear" w:color="auto" w:fill="auto"/>
            <w:noWrap/>
            <w:vAlign w:val="center"/>
            <w:hideMark/>
          </w:tcPr>
          <w:p w14:paraId="02B81159" w14:textId="77777777" w:rsidR="00A54546" w:rsidRPr="00A54546" w:rsidRDefault="00A54546" w:rsidP="00A54546">
            <w:pPr>
              <w:rPr>
                <w:rFonts w:cs="Arial"/>
                <w:b/>
                <w:bCs/>
                <w:color w:val="000000"/>
                <w:sz w:val="20"/>
                <w:szCs w:val="20"/>
                <w:lang w:val="en-US" w:eastAsia="en-US"/>
              </w:rPr>
            </w:pPr>
            <w:r w:rsidRPr="00A54546">
              <w:rPr>
                <w:rFonts w:cs="Arial"/>
                <w:b/>
                <w:bCs/>
                <w:color w:val="000000"/>
                <w:sz w:val="20"/>
                <w:szCs w:val="20"/>
                <w:lang w:val="en-US" w:eastAsia="en-US"/>
              </w:rPr>
              <w:t>AK</w:t>
            </w:r>
          </w:p>
        </w:tc>
        <w:tc>
          <w:tcPr>
            <w:tcW w:w="3173" w:type="dxa"/>
            <w:tcBorders>
              <w:top w:val="nil"/>
              <w:left w:val="nil"/>
              <w:bottom w:val="single" w:sz="8" w:space="0" w:color="auto"/>
              <w:right w:val="single" w:sz="4" w:space="0" w:color="auto"/>
            </w:tcBorders>
            <w:shd w:val="clear" w:color="auto" w:fill="auto"/>
            <w:vAlign w:val="center"/>
            <w:hideMark/>
          </w:tcPr>
          <w:p w14:paraId="6A7E2B6B" w14:textId="77777777" w:rsidR="00A54546" w:rsidRPr="00A54546" w:rsidRDefault="00A54546" w:rsidP="00A54546">
            <w:pPr>
              <w:rPr>
                <w:rFonts w:cs="Arial"/>
                <w:color w:val="000000"/>
                <w:sz w:val="20"/>
                <w:szCs w:val="20"/>
                <w:lang w:val="en-US" w:eastAsia="en-US"/>
              </w:rPr>
            </w:pPr>
            <w:r w:rsidRPr="00A54546">
              <w:rPr>
                <w:rFonts w:cs="Arial"/>
                <w:color w:val="000000"/>
                <w:sz w:val="20"/>
                <w:szCs w:val="20"/>
                <w:lang w:val="en-US" w:eastAsia="en-US"/>
              </w:rPr>
              <w:t>Cost of ENT specialist (6 visits)</w:t>
            </w:r>
          </w:p>
        </w:tc>
        <w:tc>
          <w:tcPr>
            <w:tcW w:w="1559" w:type="dxa"/>
            <w:tcBorders>
              <w:top w:val="nil"/>
              <w:left w:val="nil"/>
              <w:bottom w:val="single" w:sz="8" w:space="0" w:color="auto"/>
              <w:right w:val="single" w:sz="4" w:space="0" w:color="auto"/>
            </w:tcBorders>
            <w:shd w:val="clear" w:color="auto" w:fill="auto"/>
            <w:vAlign w:val="center"/>
            <w:hideMark/>
          </w:tcPr>
          <w:p w14:paraId="05548889" w14:textId="77777777" w:rsidR="00A54546" w:rsidRPr="00A54546" w:rsidRDefault="00A54546" w:rsidP="00A54546">
            <w:pPr>
              <w:rPr>
                <w:rFonts w:cs="Arial"/>
                <w:color w:val="000000"/>
                <w:sz w:val="16"/>
                <w:szCs w:val="16"/>
                <w:lang w:val="en-US" w:eastAsia="en-US"/>
              </w:rPr>
            </w:pPr>
            <w:r w:rsidRPr="00A54546">
              <w:rPr>
                <w:rFonts w:cs="Arial"/>
                <w:color w:val="000000"/>
                <w:sz w:val="16"/>
                <w:szCs w:val="16"/>
                <w:lang w:val="en-US" w:eastAsia="en-US"/>
              </w:rPr>
              <w:fldChar w:fldCharType="begin"/>
            </w:r>
            <w:r w:rsidRPr="00A54546">
              <w:rPr>
                <w:rFonts w:cs="Arial"/>
                <w:color w:val="000000"/>
                <w:sz w:val="16"/>
                <w:szCs w:val="16"/>
                <w:lang w:val="en-US" w:eastAsia="en-US"/>
              </w:rPr>
              <w:instrText xml:space="preserve"> REF _Ref430941316 \h </w:instrText>
            </w:r>
            <w:r>
              <w:rPr>
                <w:rFonts w:cs="Arial"/>
                <w:color w:val="000000"/>
                <w:sz w:val="16"/>
                <w:szCs w:val="16"/>
                <w:lang w:val="en-US" w:eastAsia="en-US"/>
              </w:rPr>
              <w:instrText xml:space="preserve"> \* MERGEFORMAT </w:instrText>
            </w:r>
            <w:r w:rsidRPr="00A54546">
              <w:rPr>
                <w:rFonts w:cs="Arial"/>
                <w:color w:val="000000"/>
                <w:sz w:val="16"/>
                <w:szCs w:val="16"/>
                <w:lang w:val="en-US" w:eastAsia="en-US"/>
              </w:rPr>
            </w:r>
            <w:r w:rsidRPr="00A54546">
              <w:rPr>
                <w:rFonts w:cs="Arial"/>
                <w:color w:val="000000"/>
                <w:sz w:val="16"/>
                <w:szCs w:val="16"/>
                <w:lang w:val="en-US" w:eastAsia="en-US"/>
              </w:rPr>
              <w:fldChar w:fldCharType="separate"/>
            </w:r>
            <w:r w:rsidR="00016592" w:rsidRPr="00016592">
              <w:rPr>
                <w:rFonts w:cs="Arial"/>
                <w:sz w:val="16"/>
                <w:szCs w:val="16"/>
              </w:rPr>
              <w:t xml:space="preserve">Table </w:t>
            </w:r>
            <w:r w:rsidR="00016592" w:rsidRPr="00016592">
              <w:rPr>
                <w:rFonts w:cs="Arial"/>
                <w:noProof/>
                <w:sz w:val="16"/>
                <w:szCs w:val="16"/>
              </w:rPr>
              <w:t>61</w:t>
            </w:r>
            <w:r w:rsidRPr="00A54546">
              <w:rPr>
                <w:rFonts w:cs="Arial"/>
                <w:color w:val="000000"/>
                <w:sz w:val="16"/>
                <w:szCs w:val="16"/>
                <w:lang w:val="en-US" w:eastAsia="en-US"/>
              </w:rPr>
              <w:fldChar w:fldCharType="end"/>
            </w:r>
            <w:r w:rsidRPr="00A54546">
              <w:rPr>
                <w:rFonts w:cs="Arial"/>
                <w:color w:val="000000"/>
                <w:sz w:val="16"/>
                <w:szCs w:val="16"/>
                <w:lang w:val="en-US" w:eastAsia="en-US"/>
              </w:rPr>
              <w:t>, row K x AUD 85,55 * 6</w:t>
            </w:r>
          </w:p>
        </w:tc>
        <w:tc>
          <w:tcPr>
            <w:tcW w:w="1701" w:type="dxa"/>
            <w:tcBorders>
              <w:top w:val="nil"/>
              <w:left w:val="nil"/>
              <w:bottom w:val="single" w:sz="8" w:space="0" w:color="auto"/>
              <w:right w:val="single" w:sz="4" w:space="0" w:color="auto"/>
            </w:tcBorders>
            <w:shd w:val="clear" w:color="auto" w:fill="auto"/>
            <w:noWrap/>
            <w:vAlign w:val="center"/>
            <w:hideMark/>
          </w:tcPr>
          <w:p w14:paraId="1706A007" w14:textId="03ABDF1A" w:rsidR="00A54546" w:rsidRPr="00A54546" w:rsidRDefault="00A54546" w:rsidP="00A54546">
            <w:pPr>
              <w:rPr>
                <w:rFonts w:cs="Arial"/>
                <w:color w:val="000000"/>
                <w:sz w:val="16"/>
                <w:szCs w:val="16"/>
                <w:lang w:val="en-US" w:eastAsia="en-US"/>
              </w:rPr>
            </w:pPr>
            <w:r w:rsidRPr="00A54546">
              <w:rPr>
                <w:rFonts w:cs="Arial"/>
                <w:color w:val="000000"/>
                <w:sz w:val="16"/>
                <w:szCs w:val="16"/>
                <w:lang w:val="en-US" w:eastAsia="en-US"/>
              </w:rPr>
              <w:t xml:space="preserve"> AUD   36.444 </w:t>
            </w:r>
          </w:p>
        </w:tc>
        <w:tc>
          <w:tcPr>
            <w:tcW w:w="1320" w:type="dxa"/>
            <w:tcBorders>
              <w:top w:val="nil"/>
              <w:left w:val="nil"/>
              <w:bottom w:val="single" w:sz="8" w:space="0" w:color="auto"/>
              <w:right w:val="single" w:sz="4" w:space="0" w:color="auto"/>
            </w:tcBorders>
            <w:shd w:val="clear" w:color="auto" w:fill="auto"/>
            <w:noWrap/>
            <w:vAlign w:val="center"/>
            <w:hideMark/>
          </w:tcPr>
          <w:p w14:paraId="7435DF1E" w14:textId="0EC0EE60" w:rsidR="00A54546" w:rsidRPr="00A54546" w:rsidRDefault="00A54546" w:rsidP="00A54546">
            <w:pPr>
              <w:rPr>
                <w:rFonts w:cs="Arial"/>
                <w:color w:val="000000"/>
                <w:sz w:val="16"/>
                <w:szCs w:val="16"/>
                <w:lang w:val="en-US" w:eastAsia="en-US"/>
              </w:rPr>
            </w:pPr>
            <w:r w:rsidRPr="00A54546">
              <w:rPr>
                <w:rFonts w:cs="Arial"/>
                <w:color w:val="000000"/>
                <w:sz w:val="16"/>
                <w:szCs w:val="16"/>
                <w:lang w:val="en-US" w:eastAsia="en-US"/>
              </w:rPr>
              <w:t xml:space="preserve"> AUD</w:t>
            </w:r>
            <w:r w:rsidR="00BE1424">
              <w:rPr>
                <w:rFonts w:cs="Arial"/>
                <w:color w:val="000000"/>
                <w:sz w:val="16"/>
                <w:szCs w:val="16"/>
                <w:lang w:val="en-US" w:eastAsia="en-US"/>
              </w:rPr>
              <w:t xml:space="preserve">  </w:t>
            </w:r>
            <w:r w:rsidRPr="00A54546">
              <w:rPr>
                <w:rFonts w:cs="Arial"/>
                <w:color w:val="000000"/>
                <w:sz w:val="16"/>
                <w:szCs w:val="16"/>
                <w:lang w:val="en-US" w:eastAsia="en-US"/>
              </w:rPr>
              <w:t xml:space="preserve"> 36.958 </w:t>
            </w:r>
          </w:p>
        </w:tc>
        <w:tc>
          <w:tcPr>
            <w:tcW w:w="1399" w:type="dxa"/>
            <w:tcBorders>
              <w:top w:val="nil"/>
              <w:left w:val="nil"/>
              <w:bottom w:val="single" w:sz="8" w:space="0" w:color="auto"/>
              <w:right w:val="single" w:sz="4" w:space="0" w:color="auto"/>
            </w:tcBorders>
            <w:shd w:val="clear" w:color="auto" w:fill="auto"/>
            <w:noWrap/>
            <w:vAlign w:val="center"/>
            <w:hideMark/>
          </w:tcPr>
          <w:p w14:paraId="51BD730A" w14:textId="0E7D805B" w:rsidR="00A54546" w:rsidRPr="00A54546" w:rsidRDefault="00A54546" w:rsidP="00A54546">
            <w:pPr>
              <w:rPr>
                <w:rFonts w:cs="Arial"/>
                <w:color w:val="000000"/>
                <w:sz w:val="16"/>
                <w:szCs w:val="16"/>
                <w:lang w:val="en-US" w:eastAsia="en-US"/>
              </w:rPr>
            </w:pPr>
            <w:r w:rsidRPr="00A54546">
              <w:rPr>
                <w:rFonts w:cs="Arial"/>
                <w:color w:val="000000"/>
                <w:sz w:val="16"/>
                <w:szCs w:val="16"/>
                <w:lang w:val="en-US" w:eastAsia="en-US"/>
              </w:rPr>
              <w:t xml:space="preserve"> AUD</w:t>
            </w:r>
            <w:r w:rsidR="00BE1424">
              <w:rPr>
                <w:rFonts w:cs="Arial"/>
                <w:color w:val="000000"/>
                <w:sz w:val="16"/>
                <w:szCs w:val="16"/>
                <w:lang w:val="en-US" w:eastAsia="en-US"/>
              </w:rPr>
              <w:t xml:space="preserve"> </w:t>
            </w:r>
            <w:r w:rsidRPr="00A54546">
              <w:rPr>
                <w:rFonts w:cs="Arial"/>
                <w:color w:val="000000"/>
                <w:sz w:val="16"/>
                <w:szCs w:val="16"/>
                <w:lang w:val="en-US" w:eastAsia="en-US"/>
              </w:rPr>
              <w:t xml:space="preserve">  37.984 </w:t>
            </w:r>
          </w:p>
        </w:tc>
        <w:tc>
          <w:tcPr>
            <w:tcW w:w="1399" w:type="dxa"/>
            <w:tcBorders>
              <w:top w:val="nil"/>
              <w:left w:val="nil"/>
              <w:bottom w:val="single" w:sz="8" w:space="0" w:color="auto"/>
              <w:right w:val="single" w:sz="4" w:space="0" w:color="auto"/>
            </w:tcBorders>
            <w:shd w:val="clear" w:color="auto" w:fill="auto"/>
            <w:noWrap/>
            <w:vAlign w:val="center"/>
            <w:hideMark/>
          </w:tcPr>
          <w:p w14:paraId="6BF32B42" w14:textId="65F006E3" w:rsidR="00A54546" w:rsidRPr="00A54546" w:rsidRDefault="00A54546" w:rsidP="00A54546">
            <w:pPr>
              <w:rPr>
                <w:rFonts w:cs="Arial"/>
                <w:color w:val="000000"/>
                <w:sz w:val="16"/>
                <w:szCs w:val="16"/>
                <w:lang w:val="en-US" w:eastAsia="en-US"/>
              </w:rPr>
            </w:pPr>
            <w:r w:rsidRPr="00A54546">
              <w:rPr>
                <w:rFonts w:cs="Arial"/>
                <w:color w:val="000000"/>
                <w:sz w:val="16"/>
                <w:szCs w:val="16"/>
                <w:lang w:val="en-US" w:eastAsia="en-US"/>
              </w:rPr>
              <w:t xml:space="preserve"> AUD</w:t>
            </w:r>
            <w:r w:rsidR="00BE1424">
              <w:rPr>
                <w:rFonts w:cs="Arial"/>
                <w:color w:val="000000"/>
                <w:sz w:val="16"/>
                <w:szCs w:val="16"/>
                <w:lang w:val="en-US" w:eastAsia="en-US"/>
              </w:rPr>
              <w:t xml:space="preserve"> </w:t>
            </w:r>
            <w:r w:rsidRPr="00A54546">
              <w:rPr>
                <w:rFonts w:cs="Arial"/>
                <w:color w:val="000000"/>
                <w:sz w:val="16"/>
                <w:szCs w:val="16"/>
                <w:lang w:val="en-US" w:eastAsia="en-US"/>
              </w:rPr>
              <w:t xml:space="preserve">  38.498 </w:t>
            </w:r>
          </w:p>
        </w:tc>
        <w:tc>
          <w:tcPr>
            <w:tcW w:w="1399" w:type="dxa"/>
            <w:tcBorders>
              <w:top w:val="nil"/>
              <w:left w:val="nil"/>
              <w:bottom w:val="single" w:sz="8" w:space="0" w:color="auto"/>
              <w:right w:val="single" w:sz="4" w:space="0" w:color="auto"/>
            </w:tcBorders>
            <w:shd w:val="clear" w:color="auto" w:fill="auto"/>
            <w:noWrap/>
            <w:vAlign w:val="center"/>
            <w:hideMark/>
          </w:tcPr>
          <w:p w14:paraId="6ACF8101" w14:textId="29548E3B" w:rsidR="00A54546" w:rsidRPr="00A54546" w:rsidRDefault="00A54546" w:rsidP="00A54546">
            <w:pPr>
              <w:rPr>
                <w:rFonts w:cs="Arial"/>
                <w:color w:val="000000"/>
                <w:sz w:val="16"/>
                <w:szCs w:val="16"/>
                <w:lang w:val="en-US" w:eastAsia="en-US"/>
              </w:rPr>
            </w:pPr>
            <w:r w:rsidRPr="00A54546">
              <w:rPr>
                <w:rFonts w:cs="Arial"/>
                <w:color w:val="000000"/>
                <w:sz w:val="16"/>
                <w:szCs w:val="16"/>
                <w:lang w:val="en-US" w:eastAsia="en-US"/>
              </w:rPr>
              <w:t xml:space="preserve"> AUD</w:t>
            </w:r>
            <w:r w:rsidR="00BE1424">
              <w:rPr>
                <w:rFonts w:cs="Arial"/>
                <w:color w:val="000000"/>
                <w:sz w:val="16"/>
                <w:szCs w:val="16"/>
                <w:lang w:val="en-US" w:eastAsia="en-US"/>
              </w:rPr>
              <w:t xml:space="preserve">  </w:t>
            </w:r>
            <w:r w:rsidRPr="00A54546">
              <w:rPr>
                <w:rFonts w:cs="Arial"/>
                <w:color w:val="000000"/>
                <w:sz w:val="16"/>
                <w:szCs w:val="16"/>
                <w:lang w:val="en-US" w:eastAsia="en-US"/>
              </w:rPr>
              <w:t xml:space="preserve"> 39.011 </w:t>
            </w:r>
          </w:p>
        </w:tc>
        <w:tc>
          <w:tcPr>
            <w:tcW w:w="1399" w:type="dxa"/>
            <w:tcBorders>
              <w:top w:val="nil"/>
              <w:left w:val="nil"/>
              <w:bottom w:val="single" w:sz="8" w:space="0" w:color="auto"/>
              <w:right w:val="single" w:sz="8" w:space="0" w:color="auto"/>
            </w:tcBorders>
            <w:shd w:val="clear" w:color="auto" w:fill="auto"/>
            <w:noWrap/>
            <w:vAlign w:val="center"/>
            <w:hideMark/>
          </w:tcPr>
          <w:p w14:paraId="3594F149" w14:textId="7BCBA1DC" w:rsidR="00A54546" w:rsidRPr="00A54546" w:rsidRDefault="00A54546" w:rsidP="00A54546">
            <w:pPr>
              <w:rPr>
                <w:rFonts w:cs="Arial"/>
                <w:color w:val="000000"/>
                <w:sz w:val="16"/>
                <w:szCs w:val="16"/>
                <w:lang w:val="en-US" w:eastAsia="en-US"/>
              </w:rPr>
            </w:pPr>
            <w:r w:rsidRPr="00A54546">
              <w:rPr>
                <w:rFonts w:cs="Arial"/>
                <w:color w:val="000000"/>
                <w:sz w:val="16"/>
                <w:szCs w:val="16"/>
                <w:lang w:val="en-US" w:eastAsia="en-US"/>
              </w:rPr>
              <w:t xml:space="preserve"> AUD</w:t>
            </w:r>
            <w:r w:rsidR="00BE1424">
              <w:rPr>
                <w:rFonts w:cs="Arial"/>
                <w:color w:val="000000"/>
                <w:sz w:val="16"/>
                <w:szCs w:val="16"/>
                <w:lang w:val="en-US" w:eastAsia="en-US"/>
              </w:rPr>
              <w:t xml:space="preserve">  </w:t>
            </w:r>
            <w:r w:rsidRPr="00A54546">
              <w:rPr>
                <w:rFonts w:cs="Arial"/>
                <w:color w:val="000000"/>
                <w:sz w:val="16"/>
                <w:szCs w:val="16"/>
                <w:lang w:val="en-US" w:eastAsia="en-US"/>
              </w:rPr>
              <w:t xml:space="preserve"> 39.524 </w:t>
            </w:r>
          </w:p>
        </w:tc>
      </w:tr>
      <w:tr w:rsidR="00A54546" w:rsidRPr="00A54546" w14:paraId="61E5E1E6" w14:textId="77777777" w:rsidTr="00BF0EEF">
        <w:trPr>
          <w:trHeight w:val="525"/>
          <w:jc w:val="center"/>
        </w:trPr>
        <w:tc>
          <w:tcPr>
            <w:tcW w:w="52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E8B5945" w14:textId="77777777" w:rsidR="00A54546" w:rsidRPr="00A54546" w:rsidRDefault="00A54546" w:rsidP="00A54546">
            <w:pPr>
              <w:rPr>
                <w:rFonts w:cs="Arial"/>
                <w:b/>
                <w:bCs/>
                <w:color w:val="000000"/>
                <w:sz w:val="20"/>
                <w:szCs w:val="20"/>
                <w:lang w:val="en-US" w:eastAsia="en-US"/>
              </w:rPr>
            </w:pPr>
            <w:r w:rsidRPr="00A54546">
              <w:rPr>
                <w:rFonts w:cs="Arial"/>
                <w:b/>
                <w:bCs/>
                <w:color w:val="000000"/>
                <w:sz w:val="20"/>
                <w:szCs w:val="20"/>
                <w:lang w:val="en-US" w:eastAsia="en-US"/>
              </w:rPr>
              <w:t>AL</w:t>
            </w:r>
          </w:p>
        </w:tc>
        <w:tc>
          <w:tcPr>
            <w:tcW w:w="3173" w:type="dxa"/>
            <w:tcBorders>
              <w:top w:val="single" w:sz="4" w:space="0" w:color="auto"/>
              <w:left w:val="nil"/>
              <w:bottom w:val="single" w:sz="4" w:space="0" w:color="auto"/>
              <w:right w:val="single" w:sz="4" w:space="0" w:color="auto"/>
            </w:tcBorders>
            <w:shd w:val="clear" w:color="auto" w:fill="auto"/>
            <w:vAlign w:val="center"/>
            <w:hideMark/>
          </w:tcPr>
          <w:p w14:paraId="52EC8DD9" w14:textId="77777777" w:rsidR="00A54546" w:rsidRPr="00A54546" w:rsidRDefault="00A54546" w:rsidP="00A54546">
            <w:pPr>
              <w:rPr>
                <w:rFonts w:cs="Arial"/>
                <w:color w:val="000000"/>
                <w:sz w:val="20"/>
                <w:szCs w:val="20"/>
                <w:lang w:val="en-US" w:eastAsia="en-US"/>
              </w:rPr>
            </w:pPr>
            <w:r w:rsidRPr="00A54546">
              <w:rPr>
                <w:rFonts w:cs="Arial"/>
                <w:color w:val="000000"/>
                <w:sz w:val="20"/>
                <w:szCs w:val="20"/>
                <w:lang w:val="en-US" w:eastAsia="en-US"/>
              </w:rPr>
              <w:t>Cost of follow-up conultation (ENT/audiologist; 3 visits)</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80A993E" w14:textId="77777777" w:rsidR="00A54546" w:rsidRPr="00A54546" w:rsidRDefault="00A54546" w:rsidP="00A54546">
            <w:pPr>
              <w:rPr>
                <w:rFonts w:cs="Arial"/>
                <w:color w:val="000000"/>
                <w:sz w:val="16"/>
                <w:szCs w:val="16"/>
                <w:lang w:val="en-US" w:eastAsia="en-US"/>
              </w:rPr>
            </w:pPr>
            <w:r w:rsidRPr="00A54546">
              <w:rPr>
                <w:rFonts w:cs="Arial"/>
                <w:color w:val="000000"/>
                <w:sz w:val="16"/>
                <w:szCs w:val="16"/>
                <w:lang w:val="en-US" w:eastAsia="en-US"/>
              </w:rPr>
              <w:fldChar w:fldCharType="begin"/>
            </w:r>
            <w:r w:rsidRPr="00A54546">
              <w:rPr>
                <w:rFonts w:cs="Arial"/>
                <w:color w:val="000000"/>
                <w:sz w:val="16"/>
                <w:szCs w:val="16"/>
                <w:lang w:val="en-US" w:eastAsia="en-US"/>
              </w:rPr>
              <w:instrText xml:space="preserve"> REF _Ref430941316 \h </w:instrText>
            </w:r>
            <w:r>
              <w:rPr>
                <w:rFonts w:cs="Arial"/>
                <w:color w:val="000000"/>
                <w:sz w:val="16"/>
                <w:szCs w:val="16"/>
                <w:lang w:val="en-US" w:eastAsia="en-US"/>
              </w:rPr>
              <w:instrText xml:space="preserve"> \* MERGEFORMAT </w:instrText>
            </w:r>
            <w:r w:rsidRPr="00A54546">
              <w:rPr>
                <w:rFonts w:cs="Arial"/>
                <w:color w:val="000000"/>
                <w:sz w:val="16"/>
                <w:szCs w:val="16"/>
                <w:lang w:val="en-US" w:eastAsia="en-US"/>
              </w:rPr>
            </w:r>
            <w:r w:rsidRPr="00A54546">
              <w:rPr>
                <w:rFonts w:cs="Arial"/>
                <w:color w:val="000000"/>
                <w:sz w:val="16"/>
                <w:szCs w:val="16"/>
                <w:lang w:val="en-US" w:eastAsia="en-US"/>
              </w:rPr>
              <w:fldChar w:fldCharType="separate"/>
            </w:r>
            <w:r w:rsidR="00016592" w:rsidRPr="00016592">
              <w:rPr>
                <w:rFonts w:cs="Arial"/>
                <w:sz w:val="16"/>
                <w:szCs w:val="16"/>
              </w:rPr>
              <w:t xml:space="preserve">Table </w:t>
            </w:r>
            <w:r w:rsidR="00016592" w:rsidRPr="00016592">
              <w:rPr>
                <w:rFonts w:cs="Arial"/>
                <w:noProof/>
                <w:sz w:val="16"/>
                <w:szCs w:val="16"/>
              </w:rPr>
              <w:t>61</w:t>
            </w:r>
            <w:r w:rsidRPr="00A54546">
              <w:rPr>
                <w:rFonts w:cs="Arial"/>
                <w:color w:val="000000"/>
                <w:sz w:val="16"/>
                <w:szCs w:val="16"/>
                <w:lang w:val="en-US" w:eastAsia="en-US"/>
              </w:rPr>
              <w:fldChar w:fldCharType="end"/>
            </w:r>
            <w:r w:rsidRPr="00A54546">
              <w:rPr>
                <w:rFonts w:cs="Arial"/>
                <w:color w:val="000000"/>
                <w:sz w:val="16"/>
                <w:szCs w:val="16"/>
                <w:lang w:val="en-US" w:eastAsia="en-US"/>
              </w:rPr>
              <w:t>, row K x AUD 62,25 * 3</w:t>
            </w:r>
          </w:p>
        </w:tc>
        <w:tc>
          <w:tcPr>
            <w:tcW w:w="1701" w:type="dxa"/>
            <w:tcBorders>
              <w:top w:val="single" w:sz="4" w:space="0" w:color="auto"/>
              <w:left w:val="nil"/>
              <w:bottom w:val="single" w:sz="8" w:space="0" w:color="auto"/>
              <w:right w:val="single" w:sz="4" w:space="0" w:color="auto"/>
            </w:tcBorders>
            <w:shd w:val="clear" w:color="auto" w:fill="auto"/>
            <w:noWrap/>
            <w:vAlign w:val="center"/>
            <w:hideMark/>
          </w:tcPr>
          <w:p w14:paraId="29A5D071" w14:textId="124D5AAD" w:rsidR="00A54546" w:rsidRPr="00A54546" w:rsidRDefault="00A54546" w:rsidP="00A54546">
            <w:pPr>
              <w:rPr>
                <w:rFonts w:cs="Arial"/>
                <w:color w:val="000000"/>
                <w:sz w:val="16"/>
                <w:szCs w:val="16"/>
                <w:lang w:val="en-US" w:eastAsia="en-US"/>
              </w:rPr>
            </w:pPr>
            <w:r w:rsidRPr="00A54546">
              <w:rPr>
                <w:rFonts w:cs="Arial"/>
                <w:color w:val="000000"/>
                <w:sz w:val="16"/>
                <w:szCs w:val="16"/>
                <w:lang w:val="en-US" w:eastAsia="en-US"/>
              </w:rPr>
              <w:t xml:space="preserve"> AUD</w:t>
            </w:r>
            <w:r w:rsidR="00BE1424">
              <w:rPr>
                <w:rFonts w:cs="Arial"/>
                <w:color w:val="000000"/>
                <w:sz w:val="16"/>
                <w:szCs w:val="16"/>
                <w:lang w:val="en-US" w:eastAsia="en-US"/>
              </w:rPr>
              <w:t xml:space="preserve">   </w:t>
            </w:r>
            <w:r w:rsidRPr="00A54546">
              <w:rPr>
                <w:rFonts w:cs="Arial"/>
                <w:color w:val="000000"/>
                <w:sz w:val="16"/>
                <w:szCs w:val="16"/>
                <w:lang w:val="en-US" w:eastAsia="en-US"/>
              </w:rPr>
              <w:t xml:space="preserve">13.259 </w:t>
            </w:r>
          </w:p>
        </w:tc>
        <w:tc>
          <w:tcPr>
            <w:tcW w:w="1320" w:type="dxa"/>
            <w:tcBorders>
              <w:top w:val="single" w:sz="4" w:space="0" w:color="auto"/>
              <w:left w:val="nil"/>
              <w:bottom w:val="single" w:sz="8" w:space="0" w:color="auto"/>
              <w:right w:val="single" w:sz="4" w:space="0" w:color="auto"/>
            </w:tcBorders>
            <w:shd w:val="clear" w:color="auto" w:fill="auto"/>
            <w:noWrap/>
            <w:vAlign w:val="center"/>
            <w:hideMark/>
          </w:tcPr>
          <w:p w14:paraId="593A4EA0" w14:textId="5CA71EE1" w:rsidR="00A54546" w:rsidRPr="00A54546" w:rsidRDefault="00A54546" w:rsidP="00A54546">
            <w:pPr>
              <w:rPr>
                <w:rFonts w:cs="Arial"/>
                <w:color w:val="000000"/>
                <w:sz w:val="16"/>
                <w:szCs w:val="16"/>
                <w:lang w:val="en-US" w:eastAsia="en-US"/>
              </w:rPr>
            </w:pPr>
            <w:r w:rsidRPr="00A54546">
              <w:rPr>
                <w:rFonts w:cs="Arial"/>
                <w:color w:val="000000"/>
                <w:sz w:val="16"/>
                <w:szCs w:val="16"/>
                <w:lang w:val="en-US" w:eastAsia="en-US"/>
              </w:rPr>
              <w:t xml:space="preserve"> AUD</w:t>
            </w:r>
            <w:r w:rsidR="00BE1424">
              <w:rPr>
                <w:rFonts w:cs="Arial"/>
                <w:color w:val="000000"/>
                <w:sz w:val="16"/>
                <w:szCs w:val="16"/>
                <w:lang w:val="en-US" w:eastAsia="en-US"/>
              </w:rPr>
              <w:t xml:space="preserve"> </w:t>
            </w:r>
            <w:r w:rsidRPr="00A54546">
              <w:rPr>
                <w:rFonts w:cs="Arial"/>
                <w:color w:val="000000"/>
                <w:sz w:val="16"/>
                <w:szCs w:val="16"/>
                <w:lang w:val="en-US" w:eastAsia="en-US"/>
              </w:rPr>
              <w:t xml:space="preserve">  13.446 </w:t>
            </w:r>
          </w:p>
        </w:tc>
        <w:tc>
          <w:tcPr>
            <w:tcW w:w="1399" w:type="dxa"/>
            <w:tcBorders>
              <w:top w:val="single" w:sz="4" w:space="0" w:color="auto"/>
              <w:left w:val="nil"/>
              <w:bottom w:val="single" w:sz="8" w:space="0" w:color="auto"/>
              <w:right w:val="single" w:sz="4" w:space="0" w:color="auto"/>
            </w:tcBorders>
            <w:shd w:val="clear" w:color="auto" w:fill="auto"/>
            <w:noWrap/>
            <w:vAlign w:val="center"/>
            <w:hideMark/>
          </w:tcPr>
          <w:p w14:paraId="2CE72638" w14:textId="692F2092" w:rsidR="00A54546" w:rsidRPr="00A54546" w:rsidRDefault="00A54546" w:rsidP="00A54546">
            <w:pPr>
              <w:rPr>
                <w:rFonts w:cs="Arial"/>
                <w:color w:val="000000"/>
                <w:sz w:val="16"/>
                <w:szCs w:val="16"/>
                <w:lang w:val="en-US" w:eastAsia="en-US"/>
              </w:rPr>
            </w:pPr>
            <w:r w:rsidRPr="00A54546">
              <w:rPr>
                <w:rFonts w:cs="Arial"/>
                <w:color w:val="000000"/>
                <w:sz w:val="16"/>
                <w:szCs w:val="16"/>
                <w:lang w:val="en-US" w:eastAsia="en-US"/>
              </w:rPr>
              <w:t xml:space="preserve"> AUD</w:t>
            </w:r>
            <w:r w:rsidR="00BE1424">
              <w:rPr>
                <w:rFonts w:cs="Arial"/>
                <w:color w:val="000000"/>
                <w:sz w:val="16"/>
                <w:szCs w:val="16"/>
                <w:lang w:val="en-US" w:eastAsia="en-US"/>
              </w:rPr>
              <w:t xml:space="preserve">  </w:t>
            </w:r>
            <w:r w:rsidRPr="00A54546">
              <w:rPr>
                <w:rFonts w:cs="Arial"/>
                <w:color w:val="000000"/>
                <w:sz w:val="16"/>
                <w:szCs w:val="16"/>
                <w:lang w:val="en-US" w:eastAsia="en-US"/>
              </w:rPr>
              <w:t xml:space="preserve"> 13.820 </w:t>
            </w:r>
          </w:p>
        </w:tc>
        <w:tc>
          <w:tcPr>
            <w:tcW w:w="1399" w:type="dxa"/>
            <w:tcBorders>
              <w:top w:val="single" w:sz="4" w:space="0" w:color="auto"/>
              <w:left w:val="nil"/>
              <w:bottom w:val="single" w:sz="8" w:space="0" w:color="auto"/>
              <w:right w:val="single" w:sz="4" w:space="0" w:color="auto"/>
            </w:tcBorders>
            <w:shd w:val="clear" w:color="auto" w:fill="auto"/>
            <w:noWrap/>
            <w:vAlign w:val="center"/>
            <w:hideMark/>
          </w:tcPr>
          <w:p w14:paraId="3AB200DF" w14:textId="61EDDA0B" w:rsidR="00A54546" w:rsidRPr="00A54546" w:rsidRDefault="00A54546" w:rsidP="00A54546">
            <w:pPr>
              <w:rPr>
                <w:rFonts w:cs="Arial"/>
                <w:color w:val="000000"/>
                <w:sz w:val="16"/>
                <w:szCs w:val="16"/>
                <w:lang w:val="en-US" w:eastAsia="en-US"/>
              </w:rPr>
            </w:pPr>
            <w:r w:rsidRPr="00A54546">
              <w:rPr>
                <w:rFonts w:cs="Arial"/>
                <w:color w:val="000000"/>
                <w:sz w:val="16"/>
                <w:szCs w:val="16"/>
                <w:lang w:val="en-US" w:eastAsia="en-US"/>
              </w:rPr>
              <w:t xml:space="preserve"> AUD</w:t>
            </w:r>
            <w:r w:rsidR="00BE1424">
              <w:rPr>
                <w:rFonts w:cs="Arial"/>
                <w:color w:val="000000"/>
                <w:sz w:val="16"/>
                <w:szCs w:val="16"/>
                <w:lang w:val="en-US" w:eastAsia="en-US"/>
              </w:rPr>
              <w:t xml:space="preserve">  </w:t>
            </w:r>
            <w:r w:rsidRPr="00A54546">
              <w:rPr>
                <w:rFonts w:cs="Arial"/>
                <w:color w:val="000000"/>
                <w:sz w:val="16"/>
                <w:szCs w:val="16"/>
                <w:lang w:val="en-US" w:eastAsia="en-US"/>
              </w:rPr>
              <w:t xml:space="preserve"> 14.006 </w:t>
            </w:r>
          </w:p>
        </w:tc>
        <w:tc>
          <w:tcPr>
            <w:tcW w:w="1399" w:type="dxa"/>
            <w:tcBorders>
              <w:top w:val="single" w:sz="4" w:space="0" w:color="auto"/>
              <w:left w:val="nil"/>
              <w:bottom w:val="single" w:sz="8" w:space="0" w:color="auto"/>
              <w:right w:val="single" w:sz="4" w:space="0" w:color="auto"/>
            </w:tcBorders>
            <w:shd w:val="clear" w:color="auto" w:fill="auto"/>
            <w:noWrap/>
            <w:vAlign w:val="center"/>
            <w:hideMark/>
          </w:tcPr>
          <w:p w14:paraId="59D82C46" w14:textId="3B8F9E4F" w:rsidR="00A54546" w:rsidRPr="00A54546" w:rsidRDefault="00A54546" w:rsidP="00A54546">
            <w:pPr>
              <w:rPr>
                <w:rFonts w:cs="Arial"/>
                <w:color w:val="000000"/>
                <w:sz w:val="16"/>
                <w:szCs w:val="16"/>
                <w:lang w:val="en-US" w:eastAsia="en-US"/>
              </w:rPr>
            </w:pPr>
            <w:r w:rsidRPr="00A54546">
              <w:rPr>
                <w:rFonts w:cs="Arial"/>
                <w:color w:val="000000"/>
                <w:sz w:val="16"/>
                <w:szCs w:val="16"/>
                <w:lang w:val="en-US" w:eastAsia="en-US"/>
              </w:rPr>
              <w:t xml:space="preserve"> AUD</w:t>
            </w:r>
            <w:r w:rsidR="00BE1424">
              <w:rPr>
                <w:rFonts w:cs="Arial"/>
                <w:color w:val="000000"/>
                <w:sz w:val="16"/>
                <w:szCs w:val="16"/>
                <w:lang w:val="en-US" w:eastAsia="en-US"/>
              </w:rPr>
              <w:t xml:space="preserve">  </w:t>
            </w:r>
            <w:r w:rsidRPr="00A54546">
              <w:rPr>
                <w:rFonts w:cs="Arial"/>
                <w:color w:val="000000"/>
                <w:sz w:val="16"/>
                <w:szCs w:val="16"/>
                <w:lang w:val="en-US" w:eastAsia="en-US"/>
              </w:rPr>
              <w:t xml:space="preserve"> 14.193 </w:t>
            </w:r>
          </w:p>
        </w:tc>
        <w:tc>
          <w:tcPr>
            <w:tcW w:w="1399" w:type="dxa"/>
            <w:tcBorders>
              <w:top w:val="single" w:sz="4" w:space="0" w:color="auto"/>
              <w:left w:val="nil"/>
              <w:bottom w:val="single" w:sz="8" w:space="0" w:color="auto"/>
              <w:right w:val="single" w:sz="8" w:space="0" w:color="auto"/>
            </w:tcBorders>
            <w:shd w:val="clear" w:color="auto" w:fill="auto"/>
            <w:noWrap/>
            <w:vAlign w:val="center"/>
            <w:hideMark/>
          </w:tcPr>
          <w:p w14:paraId="55275B49" w14:textId="4A57C12B" w:rsidR="00A54546" w:rsidRPr="00A54546" w:rsidRDefault="00A54546" w:rsidP="00A54546">
            <w:pPr>
              <w:rPr>
                <w:rFonts w:cs="Arial"/>
                <w:color w:val="000000"/>
                <w:sz w:val="16"/>
                <w:szCs w:val="16"/>
                <w:lang w:val="en-US" w:eastAsia="en-US"/>
              </w:rPr>
            </w:pPr>
            <w:r w:rsidRPr="00A54546">
              <w:rPr>
                <w:rFonts w:cs="Arial"/>
                <w:color w:val="000000"/>
                <w:sz w:val="16"/>
                <w:szCs w:val="16"/>
                <w:lang w:val="en-US" w:eastAsia="en-US"/>
              </w:rPr>
              <w:t xml:space="preserve"> AUD</w:t>
            </w:r>
            <w:r w:rsidR="00BE1424">
              <w:rPr>
                <w:rFonts w:cs="Arial"/>
                <w:color w:val="000000"/>
                <w:sz w:val="16"/>
                <w:szCs w:val="16"/>
                <w:lang w:val="en-US" w:eastAsia="en-US"/>
              </w:rPr>
              <w:t xml:space="preserve">  </w:t>
            </w:r>
            <w:r w:rsidRPr="00A54546">
              <w:rPr>
                <w:rFonts w:cs="Arial"/>
                <w:color w:val="000000"/>
                <w:sz w:val="16"/>
                <w:szCs w:val="16"/>
                <w:lang w:val="en-US" w:eastAsia="en-US"/>
              </w:rPr>
              <w:t xml:space="preserve"> 14.380 </w:t>
            </w:r>
          </w:p>
        </w:tc>
      </w:tr>
      <w:tr w:rsidR="00A54546" w:rsidRPr="00A54546" w14:paraId="7C249751" w14:textId="77777777" w:rsidTr="00BF0EEF">
        <w:trPr>
          <w:trHeight w:val="525"/>
          <w:jc w:val="center"/>
        </w:trPr>
        <w:tc>
          <w:tcPr>
            <w:tcW w:w="528" w:type="dxa"/>
            <w:tcBorders>
              <w:top w:val="nil"/>
              <w:left w:val="single" w:sz="8" w:space="0" w:color="auto"/>
              <w:bottom w:val="single" w:sz="8" w:space="0" w:color="auto"/>
              <w:right w:val="single" w:sz="4" w:space="0" w:color="auto"/>
            </w:tcBorders>
            <w:shd w:val="clear" w:color="auto" w:fill="auto"/>
            <w:noWrap/>
            <w:vAlign w:val="center"/>
            <w:hideMark/>
          </w:tcPr>
          <w:p w14:paraId="4B18215A" w14:textId="77777777" w:rsidR="00A54546" w:rsidRPr="00A54546" w:rsidRDefault="00A54546" w:rsidP="00A54546">
            <w:pPr>
              <w:rPr>
                <w:rFonts w:cs="Arial"/>
                <w:b/>
                <w:bCs/>
                <w:color w:val="000000"/>
                <w:sz w:val="20"/>
                <w:szCs w:val="20"/>
                <w:lang w:val="en-US" w:eastAsia="en-US"/>
              </w:rPr>
            </w:pPr>
            <w:r w:rsidRPr="00A54546">
              <w:rPr>
                <w:rFonts w:cs="Arial"/>
                <w:b/>
                <w:bCs/>
                <w:color w:val="000000"/>
                <w:sz w:val="20"/>
                <w:szCs w:val="20"/>
                <w:lang w:val="en-US" w:eastAsia="en-US"/>
              </w:rPr>
              <w:t>AM</w:t>
            </w:r>
          </w:p>
        </w:tc>
        <w:tc>
          <w:tcPr>
            <w:tcW w:w="3173" w:type="dxa"/>
            <w:tcBorders>
              <w:top w:val="nil"/>
              <w:left w:val="nil"/>
              <w:bottom w:val="single" w:sz="8" w:space="0" w:color="auto"/>
              <w:right w:val="single" w:sz="4" w:space="0" w:color="auto"/>
            </w:tcBorders>
            <w:shd w:val="clear" w:color="auto" w:fill="auto"/>
            <w:vAlign w:val="center"/>
            <w:hideMark/>
          </w:tcPr>
          <w:p w14:paraId="77C449A4" w14:textId="77777777" w:rsidR="00A54546" w:rsidRPr="00A54546" w:rsidRDefault="00A54546" w:rsidP="00A54546">
            <w:pPr>
              <w:rPr>
                <w:rFonts w:cs="Arial"/>
                <w:color w:val="000000"/>
                <w:sz w:val="20"/>
                <w:szCs w:val="20"/>
                <w:lang w:val="en-US" w:eastAsia="en-US"/>
              </w:rPr>
            </w:pPr>
            <w:r w:rsidRPr="00A54546">
              <w:rPr>
                <w:rFonts w:cs="Arial"/>
                <w:color w:val="000000"/>
                <w:sz w:val="20"/>
                <w:szCs w:val="20"/>
                <w:lang w:val="en-US" w:eastAsia="en-US"/>
              </w:rPr>
              <w:t>Total cost to MBS of associated items</w:t>
            </w:r>
          </w:p>
        </w:tc>
        <w:tc>
          <w:tcPr>
            <w:tcW w:w="1559" w:type="dxa"/>
            <w:tcBorders>
              <w:top w:val="nil"/>
              <w:left w:val="nil"/>
              <w:bottom w:val="single" w:sz="8" w:space="0" w:color="auto"/>
              <w:right w:val="single" w:sz="4" w:space="0" w:color="auto"/>
            </w:tcBorders>
            <w:shd w:val="clear" w:color="auto" w:fill="auto"/>
            <w:vAlign w:val="center"/>
            <w:hideMark/>
          </w:tcPr>
          <w:p w14:paraId="404A1183" w14:textId="77777777" w:rsidR="00A54546" w:rsidRPr="00A54546" w:rsidRDefault="00A54546" w:rsidP="00A54546">
            <w:pPr>
              <w:rPr>
                <w:rFonts w:cs="Arial"/>
                <w:color w:val="000000"/>
                <w:sz w:val="16"/>
                <w:szCs w:val="16"/>
                <w:lang w:val="en-US" w:eastAsia="en-US"/>
              </w:rPr>
            </w:pPr>
            <w:r w:rsidRPr="00A54546">
              <w:rPr>
                <w:rFonts w:cs="Arial"/>
                <w:color w:val="000000"/>
                <w:sz w:val="16"/>
                <w:szCs w:val="16"/>
                <w:lang w:val="en-US" w:eastAsia="en-US"/>
              </w:rPr>
              <w:t>AC + AD + AE</w:t>
            </w:r>
          </w:p>
        </w:tc>
        <w:tc>
          <w:tcPr>
            <w:tcW w:w="1701" w:type="dxa"/>
            <w:tcBorders>
              <w:top w:val="single" w:sz="4" w:space="0" w:color="auto"/>
              <w:left w:val="nil"/>
              <w:bottom w:val="single" w:sz="8" w:space="0" w:color="auto"/>
              <w:right w:val="single" w:sz="4" w:space="0" w:color="auto"/>
            </w:tcBorders>
            <w:shd w:val="clear" w:color="auto" w:fill="auto"/>
            <w:noWrap/>
            <w:vAlign w:val="center"/>
            <w:hideMark/>
          </w:tcPr>
          <w:p w14:paraId="748EAF05" w14:textId="6FC2769D" w:rsidR="00A54546" w:rsidRPr="00A54546" w:rsidRDefault="00A54546" w:rsidP="00A54546">
            <w:pPr>
              <w:rPr>
                <w:rFonts w:cs="Arial"/>
                <w:color w:val="000000"/>
                <w:sz w:val="16"/>
                <w:szCs w:val="16"/>
                <w:lang w:val="en-US" w:eastAsia="en-US"/>
              </w:rPr>
            </w:pPr>
            <w:r w:rsidRPr="00A54546">
              <w:rPr>
                <w:rFonts w:cs="Arial"/>
                <w:color w:val="000000"/>
                <w:sz w:val="16"/>
                <w:szCs w:val="16"/>
                <w:lang w:val="en-US" w:eastAsia="en-US"/>
              </w:rPr>
              <w:t xml:space="preserve"> AUD   49.704 </w:t>
            </w:r>
          </w:p>
        </w:tc>
        <w:tc>
          <w:tcPr>
            <w:tcW w:w="1320" w:type="dxa"/>
            <w:tcBorders>
              <w:top w:val="single" w:sz="4" w:space="0" w:color="auto"/>
              <w:left w:val="nil"/>
              <w:bottom w:val="single" w:sz="8" w:space="0" w:color="auto"/>
              <w:right w:val="single" w:sz="4" w:space="0" w:color="auto"/>
            </w:tcBorders>
            <w:shd w:val="clear" w:color="auto" w:fill="auto"/>
            <w:noWrap/>
            <w:vAlign w:val="center"/>
            <w:hideMark/>
          </w:tcPr>
          <w:p w14:paraId="20DD4A41" w14:textId="3C9C5911" w:rsidR="00A54546" w:rsidRPr="00A54546" w:rsidRDefault="00A54546" w:rsidP="00A54546">
            <w:pPr>
              <w:rPr>
                <w:rFonts w:cs="Arial"/>
                <w:color w:val="000000"/>
                <w:sz w:val="16"/>
                <w:szCs w:val="16"/>
                <w:lang w:val="en-US" w:eastAsia="en-US"/>
              </w:rPr>
            </w:pPr>
            <w:r w:rsidRPr="00A54546">
              <w:rPr>
                <w:rFonts w:cs="Arial"/>
                <w:color w:val="000000"/>
                <w:sz w:val="16"/>
                <w:szCs w:val="16"/>
                <w:lang w:val="en-US" w:eastAsia="en-US"/>
              </w:rPr>
              <w:t xml:space="preserve"> AUD   50.404 </w:t>
            </w:r>
          </w:p>
        </w:tc>
        <w:tc>
          <w:tcPr>
            <w:tcW w:w="1399" w:type="dxa"/>
            <w:tcBorders>
              <w:top w:val="single" w:sz="4" w:space="0" w:color="auto"/>
              <w:left w:val="nil"/>
              <w:bottom w:val="single" w:sz="8" w:space="0" w:color="auto"/>
              <w:right w:val="single" w:sz="4" w:space="0" w:color="auto"/>
            </w:tcBorders>
            <w:shd w:val="clear" w:color="auto" w:fill="auto"/>
            <w:noWrap/>
            <w:vAlign w:val="center"/>
            <w:hideMark/>
          </w:tcPr>
          <w:p w14:paraId="647667C4" w14:textId="2506B134" w:rsidR="00A54546" w:rsidRPr="00A54546" w:rsidRDefault="00A54546" w:rsidP="00A54546">
            <w:pPr>
              <w:rPr>
                <w:rFonts w:cs="Arial"/>
                <w:color w:val="000000"/>
                <w:sz w:val="16"/>
                <w:szCs w:val="16"/>
                <w:lang w:val="en-US" w:eastAsia="en-US"/>
              </w:rPr>
            </w:pPr>
            <w:r w:rsidRPr="00A54546">
              <w:rPr>
                <w:rFonts w:cs="Arial"/>
                <w:color w:val="000000"/>
                <w:sz w:val="16"/>
                <w:szCs w:val="16"/>
                <w:lang w:val="en-US" w:eastAsia="en-US"/>
              </w:rPr>
              <w:t xml:space="preserve"> AUD</w:t>
            </w:r>
            <w:r w:rsidR="00BE1424">
              <w:rPr>
                <w:rFonts w:cs="Arial"/>
                <w:color w:val="000000"/>
                <w:sz w:val="16"/>
                <w:szCs w:val="16"/>
                <w:lang w:val="en-US" w:eastAsia="en-US"/>
              </w:rPr>
              <w:t xml:space="preserve">  </w:t>
            </w:r>
            <w:r w:rsidRPr="00A54546">
              <w:rPr>
                <w:rFonts w:cs="Arial"/>
                <w:color w:val="000000"/>
                <w:sz w:val="16"/>
                <w:szCs w:val="16"/>
                <w:lang w:val="en-US" w:eastAsia="en-US"/>
              </w:rPr>
              <w:t xml:space="preserve"> 51.804 </w:t>
            </w:r>
          </w:p>
        </w:tc>
        <w:tc>
          <w:tcPr>
            <w:tcW w:w="1399" w:type="dxa"/>
            <w:tcBorders>
              <w:top w:val="single" w:sz="4" w:space="0" w:color="auto"/>
              <w:left w:val="nil"/>
              <w:bottom w:val="single" w:sz="8" w:space="0" w:color="auto"/>
              <w:right w:val="single" w:sz="4" w:space="0" w:color="auto"/>
            </w:tcBorders>
            <w:shd w:val="clear" w:color="auto" w:fill="auto"/>
            <w:noWrap/>
            <w:vAlign w:val="center"/>
            <w:hideMark/>
          </w:tcPr>
          <w:p w14:paraId="2D77C756" w14:textId="117EA0AC" w:rsidR="00A54546" w:rsidRPr="00A54546" w:rsidRDefault="00A54546" w:rsidP="00A54546">
            <w:pPr>
              <w:rPr>
                <w:rFonts w:cs="Arial"/>
                <w:color w:val="000000"/>
                <w:sz w:val="16"/>
                <w:szCs w:val="16"/>
                <w:lang w:val="en-US" w:eastAsia="en-US"/>
              </w:rPr>
            </w:pPr>
            <w:r w:rsidRPr="00A54546">
              <w:rPr>
                <w:rFonts w:cs="Arial"/>
                <w:color w:val="000000"/>
                <w:sz w:val="16"/>
                <w:szCs w:val="16"/>
                <w:lang w:val="en-US" w:eastAsia="en-US"/>
              </w:rPr>
              <w:t xml:space="preserve"> AUD</w:t>
            </w:r>
            <w:r w:rsidR="00BE1424">
              <w:rPr>
                <w:rFonts w:cs="Arial"/>
                <w:color w:val="000000"/>
                <w:sz w:val="16"/>
                <w:szCs w:val="16"/>
                <w:lang w:val="en-US" w:eastAsia="en-US"/>
              </w:rPr>
              <w:t xml:space="preserve">  </w:t>
            </w:r>
            <w:r w:rsidRPr="00A54546">
              <w:rPr>
                <w:rFonts w:cs="Arial"/>
                <w:color w:val="000000"/>
                <w:sz w:val="16"/>
                <w:szCs w:val="16"/>
                <w:lang w:val="en-US" w:eastAsia="en-US"/>
              </w:rPr>
              <w:t xml:space="preserve"> 52.504 </w:t>
            </w:r>
          </w:p>
        </w:tc>
        <w:tc>
          <w:tcPr>
            <w:tcW w:w="1399" w:type="dxa"/>
            <w:tcBorders>
              <w:top w:val="single" w:sz="4" w:space="0" w:color="auto"/>
              <w:left w:val="nil"/>
              <w:bottom w:val="single" w:sz="8" w:space="0" w:color="auto"/>
              <w:right w:val="single" w:sz="4" w:space="0" w:color="auto"/>
            </w:tcBorders>
            <w:shd w:val="clear" w:color="auto" w:fill="auto"/>
            <w:noWrap/>
            <w:vAlign w:val="center"/>
            <w:hideMark/>
          </w:tcPr>
          <w:p w14:paraId="6726EEC1" w14:textId="48651041" w:rsidR="00A54546" w:rsidRPr="00A54546" w:rsidRDefault="00A54546" w:rsidP="00A54546">
            <w:pPr>
              <w:rPr>
                <w:rFonts w:cs="Arial"/>
                <w:color w:val="000000"/>
                <w:sz w:val="16"/>
                <w:szCs w:val="16"/>
                <w:lang w:val="en-US" w:eastAsia="en-US"/>
              </w:rPr>
            </w:pPr>
            <w:r w:rsidRPr="00A54546">
              <w:rPr>
                <w:rFonts w:cs="Arial"/>
                <w:color w:val="000000"/>
                <w:sz w:val="16"/>
                <w:szCs w:val="16"/>
                <w:lang w:val="en-US" w:eastAsia="en-US"/>
              </w:rPr>
              <w:t xml:space="preserve"> AUD</w:t>
            </w:r>
            <w:r w:rsidR="00BE1424">
              <w:rPr>
                <w:rFonts w:cs="Arial"/>
                <w:color w:val="000000"/>
                <w:sz w:val="16"/>
                <w:szCs w:val="16"/>
                <w:lang w:val="en-US" w:eastAsia="en-US"/>
              </w:rPr>
              <w:t xml:space="preserve"> </w:t>
            </w:r>
            <w:r w:rsidRPr="00A54546">
              <w:rPr>
                <w:rFonts w:cs="Arial"/>
                <w:color w:val="000000"/>
                <w:sz w:val="16"/>
                <w:szCs w:val="16"/>
                <w:lang w:val="en-US" w:eastAsia="en-US"/>
              </w:rPr>
              <w:t xml:space="preserve">  53.204 </w:t>
            </w:r>
          </w:p>
        </w:tc>
        <w:tc>
          <w:tcPr>
            <w:tcW w:w="1399" w:type="dxa"/>
            <w:tcBorders>
              <w:top w:val="single" w:sz="4" w:space="0" w:color="auto"/>
              <w:left w:val="nil"/>
              <w:bottom w:val="single" w:sz="8" w:space="0" w:color="auto"/>
              <w:right w:val="single" w:sz="8" w:space="0" w:color="auto"/>
            </w:tcBorders>
            <w:shd w:val="clear" w:color="auto" w:fill="auto"/>
            <w:noWrap/>
            <w:vAlign w:val="center"/>
            <w:hideMark/>
          </w:tcPr>
          <w:p w14:paraId="5BA24B03" w14:textId="682D564B" w:rsidR="00A54546" w:rsidRPr="00A54546" w:rsidRDefault="00A54546" w:rsidP="00A54546">
            <w:pPr>
              <w:rPr>
                <w:rFonts w:cs="Arial"/>
                <w:color w:val="000000"/>
                <w:sz w:val="16"/>
                <w:szCs w:val="16"/>
                <w:lang w:val="en-US" w:eastAsia="en-US"/>
              </w:rPr>
            </w:pPr>
            <w:r w:rsidRPr="00A54546">
              <w:rPr>
                <w:rFonts w:cs="Arial"/>
                <w:color w:val="000000"/>
                <w:sz w:val="16"/>
                <w:szCs w:val="16"/>
                <w:lang w:val="en-US" w:eastAsia="en-US"/>
              </w:rPr>
              <w:t xml:space="preserve"> AUD   53.904 </w:t>
            </w:r>
          </w:p>
        </w:tc>
      </w:tr>
    </w:tbl>
    <w:p w14:paraId="22CDE77A" w14:textId="77777777" w:rsidR="003C53BB" w:rsidRDefault="003C53BB" w:rsidP="00830612">
      <w:pPr>
        <w:pStyle w:val="Textbody"/>
        <w:rPr>
          <w:highlight w:val="lightGray"/>
          <w:lang w:val="en-AU"/>
        </w:rPr>
      </w:pPr>
    </w:p>
    <w:p w14:paraId="536C79BC" w14:textId="77777777" w:rsidR="00A54546" w:rsidRDefault="00A54546" w:rsidP="00830612">
      <w:pPr>
        <w:pStyle w:val="Textbody"/>
        <w:rPr>
          <w:highlight w:val="lightGray"/>
          <w:lang w:val="en-AU"/>
        </w:rPr>
      </w:pPr>
    </w:p>
    <w:p w14:paraId="6203BC15" w14:textId="77777777" w:rsidR="00296707" w:rsidRDefault="00296707">
      <w:pPr>
        <w:rPr>
          <w:rFonts w:cs="Arial"/>
          <w:b/>
          <w:bCs/>
          <w:sz w:val="20"/>
          <w:szCs w:val="20"/>
        </w:rPr>
      </w:pPr>
      <w:bookmarkStart w:id="641" w:name="_Ref430948755"/>
      <w:bookmarkStart w:id="642" w:name="_Toc431917526"/>
      <w:r>
        <w:rPr>
          <w:rFonts w:cs="Arial"/>
        </w:rPr>
        <w:br w:type="page"/>
      </w:r>
    </w:p>
    <w:p w14:paraId="038711C5" w14:textId="523BFA72" w:rsidR="00A54546" w:rsidRPr="004D294A" w:rsidRDefault="00A54546" w:rsidP="00A54546">
      <w:pPr>
        <w:pStyle w:val="Tablecaption"/>
        <w:spacing w:line="360" w:lineRule="auto"/>
        <w:rPr>
          <w:rFonts w:ascii="Arial" w:hAnsi="Arial" w:cs="Arial"/>
          <w:lang w:val="en-AU"/>
        </w:rPr>
      </w:pPr>
      <w:r w:rsidRPr="004D294A">
        <w:rPr>
          <w:rFonts w:ascii="Arial" w:hAnsi="Arial" w:cs="Arial"/>
          <w:lang w:val="en-AU"/>
        </w:rPr>
        <w:lastRenderedPageBreak/>
        <w:t xml:space="preserve">Table </w:t>
      </w:r>
      <w:r w:rsidRPr="004D294A">
        <w:rPr>
          <w:rFonts w:ascii="Arial" w:hAnsi="Arial" w:cs="Arial"/>
          <w:lang w:val="en-AU"/>
        </w:rPr>
        <w:fldChar w:fldCharType="begin"/>
      </w:r>
      <w:r w:rsidRPr="004D294A">
        <w:rPr>
          <w:rFonts w:ascii="Arial" w:hAnsi="Arial" w:cs="Arial"/>
          <w:lang w:val="en-AU"/>
        </w:rPr>
        <w:instrText xml:space="preserve"> SEQ Table \* ARABIC </w:instrText>
      </w:r>
      <w:r w:rsidRPr="004D294A">
        <w:rPr>
          <w:rFonts w:ascii="Arial" w:hAnsi="Arial" w:cs="Arial"/>
          <w:lang w:val="en-AU"/>
        </w:rPr>
        <w:fldChar w:fldCharType="separate"/>
      </w:r>
      <w:r w:rsidR="00016592">
        <w:rPr>
          <w:rFonts w:ascii="Arial" w:hAnsi="Arial" w:cs="Arial"/>
          <w:noProof/>
          <w:lang w:val="en-AU"/>
        </w:rPr>
        <w:t>66</w:t>
      </w:r>
      <w:r w:rsidRPr="004D294A">
        <w:rPr>
          <w:rFonts w:ascii="Arial" w:hAnsi="Arial" w:cs="Arial"/>
          <w:lang w:val="en-AU"/>
        </w:rPr>
        <w:fldChar w:fldCharType="end"/>
      </w:r>
      <w:bookmarkEnd w:id="641"/>
      <w:r w:rsidRPr="004D294A">
        <w:rPr>
          <w:rFonts w:ascii="Arial" w:hAnsi="Arial" w:cs="Arial"/>
          <w:lang w:val="en-AU"/>
        </w:rPr>
        <w:t xml:space="preserve"> – Estimated cost to</w:t>
      </w:r>
      <w:r>
        <w:rPr>
          <w:rFonts w:ascii="Arial" w:hAnsi="Arial" w:cs="Arial"/>
          <w:lang w:val="en-AU"/>
        </w:rPr>
        <w:t xml:space="preserve"> t</w:t>
      </w:r>
      <w:r w:rsidRPr="004D294A">
        <w:rPr>
          <w:rFonts w:ascii="Arial" w:hAnsi="Arial" w:cs="Arial"/>
          <w:lang w:val="en-AU"/>
        </w:rPr>
        <w:t xml:space="preserve">he MBS of </w:t>
      </w:r>
      <w:r>
        <w:rPr>
          <w:rFonts w:ascii="Arial" w:hAnsi="Arial" w:cs="Arial"/>
          <w:lang w:val="en-AU"/>
        </w:rPr>
        <w:t>re-implantation</w:t>
      </w:r>
      <w:bookmarkEnd w:id="642"/>
    </w:p>
    <w:tbl>
      <w:tblPr>
        <w:tblW w:w="14063" w:type="dxa"/>
        <w:jc w:val="center"/>
        <w:tblLook w:val="04A0" w:firstRow="1" w:lastRow="0" w:firstColumn="1" w:lastColumn="0" w:noHBand="0" w:noVBand="1"/>
        <w:tblDescription w:val="Estimated cost to the MBS of re-implantation"/>
      </w:tblPr>
      <w:tblGrid>
        <w:gridCol w:w="550"/>
        <w:gridCol w:w="3090"/>
        <w:gridCol w:w="1806"/>
        <w:gridCol w:w="1622"/>
        <w:gridCol w:w="1399"/>
        <w:gridCol w:w="1399"/>
        <w:gridCol w:w="1399"/>
        <w:gridCol w:w="1399"/>
        <w:gridCol w:w="1399"/>
      </w:tblGrid>
      <w:tr w:rsidR="00A54546" w:rsidRPr="00A54546" w14:paraId="1ACD31F9" w14:textId="77777777" w:rsidTr="00BF0EEF">
        <w:trPr>
          <w:trHeight w:val="300"/>
          <w:jc w:val="center"/>
        </w:trPr>
        <w:tc>
          <w:tcPr>
            <w:tcW w:w="55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FC15854" w14:textId="77777777" w:rsidR="00A54546" w:rsidRPr="00A54546" w:rsidRDefault="00A54546" w:rsidP="00A54546">
            <w:pPr>
              <w:rPr>
                <w:rFonts w:cs="Arial"/>
                <w:b/>
                <w:bCs/>
                <w:color w:val="000000"/>
                <w:sz w:val="20"/>
                <w:szCs w:val="20"/>
                <w:lang w:val="en-US" w:eastAsia="en-US"/>
              </w:rPr>
            </w:pPr>
            <w:r w:rsidRPr="00A54546">
              <w:rPr>
                <w:rFonts w:cs="Arial"/>
                <w:b/>
                <w:bCs/>
                <w:color w:val="000000"/>
                <w:sz w:val="20"/>
                <w:szCs w:val="20"/>
                <w:lang w:val="en-US" w:eastAsia="en-US"/>
              </w:rPr>
              <w:t> </w:t>
            </w:r>
          </w:p>
        </w:tc>
        <w:tc>
          <w:tcPr>
            <w:tcW w:w="3090" w:type="dxa"/>
            <w:tcBorders>
              <w:top w:val="single" w:sz="8" w:space="0" w:color="auto"/>
              <w:left w:val="nil"/>
              <w:bottom w:val="single" w:sz="4" w:space="0" w:color="auto"/>
              <w:right w:val="single" w:sz="4" w:space="0" w:color="auto"/>
            </w:tcBorders>
            <w:shd w:val="clear" w:color="auto" w:fill="auto"/>
            <w:vAlign w:val="center"/>
            <w:hideMark/>
          </w:tcPr>
          <w:p w14:paraId="67667D55" w14:textId="77777777" w:rsidR="00A54546" w:rsidRPr="00A54546" w:rsidRDefault="00A54546" w:rsidP="00A54546">
            <w:pPr>
              <w:rPr>
                <w:rFonts w:cs="Arial"/>
                <w:b/>
                <w:bCs/>
                <w:color w:val="000000"/>
                <w:sz w:val="20"/>
                <w:szCs w:val="20"/>
                <w:lang w:val="en-US" w:eastAsia="en-US"/>
              </w:rPr>
            </w:pPr>
            <w:r w:rsidRPr="00A54546">
              <w:rPr>
                <w:rFonts w:cs="Arial"/>
                <w:b/>
                <w:bCs/>
                <w:color w:val="000000"/>
                <w:sz w:val="20"/>
                <w:szCs w:val="20"/>
                <w:lang w:val="en-US" w:eastAsia="en-US"/>
              </w:rPr>
              <w:t>Description</w:t>
            </w:r>
          </w:p>
        </w:tc>
        <w:tc>
          <w:tcPr>
            <w:tcW w:w="1806" w:type="dxa"/>
            <w:tcBorders>
              <w:top w:val="single" w:sz="8" w:space="0" w:color="auto"/>
              <w:left w:val="nil"/>
              <w:bottom w:val="single" w:sz="4" w:space="0" w:color="auto"/>
              <w:right w:val="single" w:sz="4" w:space="0" w:color="auto"/>
            </w:tcBorders>
            <w:shd w:val="clear" w:color="auto" w:fill="auto"/>
            <w:vAlign w:val="center"/>
            <w:hideMark/>
          </w:tcPr>
          <w:p w14:paraId="61E31898" w14:textId="77777777" w:rsidR="00A54546" w:rsidRPr="00A54546" w:rsidRDefault="00A54546" w:rsidP="00A54546">
            <w:pPr>
              <w:jc w:val="center"/>
              <w:rPr>
                <w:rFonts w:cs="Arial"/>
                <w:b/>
                <w:bCs/>
                <w:color w:val="000000"/>
                <w:sz w:val="16"/>
                <w:szCs w:val="16"/>
                <w:lang w:val="en-US" w:eastAsia="en-US"/>
              </w:rPr>
            </w:pPr>
            <w:r w:rsidRPr="00A54546">
              <w:rPr>
                <w:rFonts w:cs="Arial"/>
                <w:b/>
                <w:bCs/>
                <w:color w:val="000000"/>
                <w:sz w:val="16"/>
                <w:szCs w:val="16"/>
                <w:lang w:val="en-US" w:eastAsia="en-US"/>
              </w:rPr>
              <w:t>Method</w:t>
            </w:r>
          </w:p>
        </w:tc>
        <w:tc>
          <w:tcPr>
            <w:tcW w:w="1622" w:type="dxa"/>
            <w:tcBorders>
              <w:top w:val="single" w:sz="8" w:space="0" w:color="auto"/>
              <w:left w:val="nil"/>
              <w:bottom w:val="single" w:sz="4" w:space="0" w:color="auto"/>
              <w:right w:val="single" w:sz="4" w:space="0" w:color="auto"/>
            </w:tcBorders>
            <w:shd w:val="clear" w:color="auto" w:fill="auto"/>
            <w:noWrap/>
            <w:vAlign w:val="center"/>
            <w:hideMark/>
          </w:tcPr>
          <w:p w14:paraId="60335C94" w14:textId="77777777" w:rsidR="00A54546" w:rsidRPr="00A54546" w:rsidRDefault="00A54546" w:rsidP="00A54546">
            <w:pPr>
              <w:jc w:val="center"/>
              <w:rPr>
                <w:rFonts w:cs="Arial"/>
                <w:b/>
                <w:bCs/>
                <w:color w:val="000000"/>
                <w:sz w:val="16"/>
                <w:szCs w:val="16"/>
                <w:lang w:val="en-US" w:eastAsia="en-US"/>
              </w:rPr>
            </w:pPr>
            <w:r w:rsidRPr="00A54546">
              <w:rPr>
                <w:rFonts w:cs="Arial"/>
                <w:b/>
                <w:bCs/>
                <w:color w:val="000000"/>
                <w:sz w:val="16"/>
                <w:szCs w:val="16"/>
                <w:lang w:val="en-US" w:eastAsia="en-US"/>
              </w:rPr>
              <w:t>current (2016)</w:t>
            </w:r>
          </w:p>
        </w:tc>
        <w:tc>
          <w:tcPr>
            <w:tcW w:w="1399" w:type="dxa"/>
            <w:tcBorders>
              <w:top w:val="single" w:sz="8" w:space="0" w:color="auto"/>
              <w:left w:val="nil"/>
              <w:bottom w:val="single" w:sz="4" w:space="0" w:color="auto"/>
              <w:right w:val="single" w:sz="4" w:space="0" w:color="auto"/>
            </w:tcBorders>
            <w:shd w:val="clear" w:color="auto" w:fill="auto"/>
            <w:noWrap/>
            <w:vAlign w:val="center"/>
            <w:hideMark/>
          </w:tcPr>
          <w:p w14:paraId="2D73800B" w14:textId="77777777" w:rsidR="00A54546" w:rsidRPr="00A54546" w:rsidRDefault="00A54546" w:rsidP="00A54546">
            <w:pPr>
              <w:jc w:val="center"/>
              <w:rPr>
                <w:rFonts w:cs="Arial"/>
                <w:b/>
                <w:bCs/>
                <w:color w:val="000000"/>
                <w:sz w:val="16"/>
                <w:szCs w:val="16"/>
                <w:lang w:val="en-US" w:eastAsia="en-US"/>
              </w:rPr>
            </w:pPr>
            <w:r w:rsidRPr="00A54546">
              <w:rPr>
                <w:rFonts w:cs="Arial"/>
                <w:b/>
                <w:bCs/>
                <w:color w:val="000000"/>
                <w:sz w:val="16"/>
                <w:szCs w:val="16"/>
                <w:lang w:val="en-US" w:eastAsia="en-US"/>
              </w:rPr>
              <w:t>2017</w:t>
            </w:r>
          </w:p>
        </w:tc>
        <w:tc>
          <w:tcPr>
            <w:tcW w:w="1399" w:type="dxa"/>
            <w:tcBorders>
              <w:top w:val="single" w:sz="8" w:space="0" w:color="auto"/>
              <w:left w:val="nil"/>
              <w:bottom w:val="single" w:sz="4" w:space="0" w:color="auto"/>
              <w:right w:val="single" w:sz="4" w:space="0" w:color="auto"/>
            </w:tcBorders>
            <w:shd w:val="clear" w:color="auto" w:fill="auto"/>
            <w:noWrap/>
            <w:vAlign w:val="center"/>
            <w:hideMark/>
          </w:tcPr>
          <w:p w14:paraId="4303FD83" w14:textId="77777777" w:rsidR="00A54546" w:rsidRPr="00A54546" w:rsidRDefault="00A54546" w:rsidP="00A54546">
            <w:pPr>
              <w:jc w:val="center"/>
              <w:rPr>
                <w:rFonts w:cs="Arial"/>
                <w:b/>
                <w:bCs/>
                <w:color w:val="000000"/>
                <w:sz w:val="16"/>
                <w:szCs w:val="16"/>
                <w:lang w:val="en-US" w:eastAsia="en-US"/>
              </w:rPr>
            </w:pPr>
            <w:r w:rsidRPr="00A54546">
              <w:rPr>
                <w:rFonts w:cs="Arial"/>
                <w:b/>
                <w:bCs/>
                <w:color w:val="000000"/>
                <w:sz w:val="16"/>
                <w:szCs w:val="16"/>
                <w:lang w:val="en-US" w:eastAsia="en-US"/>
              </w:rPr>
              <w:t>2018</w:t>
            </w:r>
          </w:p>
        </w:tc>
        <w:tc>
          <w:tcPr>
            <w:tcW w:w="1399" w:type="dxa"/>
            <w:tcBorders>
              <w:top w:val="single" w:sz="8" w:space="0" w:color="auto"/>
              <w:left w:val="nil"/>
              <w:bottom w:val="single" w:sz="4" w:space="0" w:color="auto"/>
              <w:right w:val="single" w:sz="4" w:space="0" w:color="auto"/>
            </w:tcBorders>
            <w:shd w:val="clear" w:color="auto" w:fill="auto"/>
            <w:noWrap/>
            <w:vAlign w:val="center"/>
            <w:hideMark/>
          </w:tcPr>
          <w:p w14:paraId="0B216A6D" w14:textId="77777777" w:rsidR="00A54546" w:rsidRPr="00A54546" w:rsidRDefault="00A54546" w:rsidP="00A54546">
            <w:pPr>
              <w:jc w:val="center"/>
              <w:rPr>
                <w:rFonts w:cs="Arial"/>
                <w:b/>
                <w:bCs/>
                <w:color w:val="000000"/>
                <w:sz w:val="16"/>
                <w:szCs w:val="16"/>
                <w:lang w:val="en-US" w:eastAsia="en-US"/>
              </w:rPr>
            </w:pPr>
            <w:r w:rsidRPr="00A54546">
              <w:rPr>
                <w:rFonts w:cs="Arial"/>
                <w:b/>
                <w:bCs/>
                <w:color w:val="000000"/>
                <w:sz w:val="16"/>
                <w:szCs w:val="16"/>
                <w:lang w:val="en-US" w:eastAsia="en-US"/>
              </w:rPr>
              <w:t>2019</w:t>
            </w:r>
          </w:p>
        </w:tc>
        <w:tc>
          <w:tcPr>
            <w:tcW w:w="1399" w:type="dxa"/>
            <w:tcBorders>
              <w:top w:val="single" w:sz="8" w:space="0" w:color="auto"/>
              <w:left w:val="nil"/>
              <w:bottom w:val="single" w:sz="4" w:space="0" w:color="auto"/>
              <w:right w:val="single" w:sz="4" w:space="0" w:color="auto"/>
            </w:tcBorders>
            <w:shd w:val="clear" w:color="auto" w:fill="auto"/>
            <w:noWrap/>
            <w:vAlign w:val="center"/>
            <w:hideMark/>
          </w:tcPr>
          <w:p w14:paraId="1BFC974A" w14:textId="77777777" w:rsidR="00A54546" w:rsidRPr="00A54546" w:rsidRDefault="00A54546" w:rsidP="00A54546">
            <w:pPr>
              <w:jc w:val="center"/>
              <w:rPr>
                <w:rFonts w:cs="Arial"/>
                <w:b/>
                <w:bCs/>
                <w:color w:val="000000"/>
                <w:sz w:val="16"/>
                <w:szCs w:val="16"/>
                <w:lang w:val="en-US" w:eastAsia="en-US"/>
              </w:rPr>
            </w:pPr>
            <w:r w:rsidRPr="00A54546">
              <w:rPr>
                <w:rFonts w:cs="Arial"/>
                <w:b/>
                <w:bCs/>
                <w:color w:val="000000"/>
                <w:sz w:val="16"/>
                <w:szCs w:val="16"/>
                <w:lang w:val="en-US" w:eastAsia="en-US"/>
              </w:rPr>
              <w:t>2020</w:t>
            </w:r>
          </w:p>
        </w:tc>
        <w:tc>
          <w:tcPr>
            <w:tcW w:w="1399" w:type="dxa"/>
            <w:tcBorders>
              <w:top w:val="single" w:sz="8" w:space="0" w:color="auto"/>
              <w:left w:val="nil"/>
              <w:bottom w:val="single" w:sz="4" w:space="0" w:color="auto"/>
              <w:right w:val="single" w:sz="8" w:space="0" w:color="auto"/>
            </w:tcBorders>
            <w:shd w:val="clear" w:color="auto" w:fill="auto"/>
            <w:noWrap/>
            <w:vAlign w:val="center"/>
            <w:hideMark/>
          </w:tcPr>
          <w:p w14:paraId="4444B47E" w14:textId="77777777" w:rsidR="00A54546" w:rsidRPr="00A54546" w:rsidRDefault="00A54546" w:rsidP="00A54546">
            <w:pPr>
              <w:jc w:val="center"/>
              <w:rPr>
                <w:rFonts w:cs="Arial"/>
                <w:b/>
                <w:bCs/>
                <w:color w:val="000000"/>
                <w:sz w:val="16"/>
                <w:szCs w:val="16"/>
                <w:lang w:val="en-US" w:eastAsia="en-US"/>
              </w:rPr>
            </w:pPr>
            <w:r w:rsidRPr="00A54546">
              <w:rPr>
                <w:rFonts w:cs="Arial"/>
                <w:b/>
                <w:bCs/>
                <w:color w:val="000000"/>
                <w:sz w:val="16"/>
                <w:szCs w:val="16"/>
                <w:lang w:val="en-US" w:eastAsia="en-US"/>
              </w:rPr>
              <w:t>2021</w:t>
            </w:r>
          </w:p>
        </w:tc>
      </w:tr>
      <w:tr w:rsidR="00A54546" w:rsidRPr="00A54546" w14:paraId="2F514358" w14:textId="77777777" w:rsidTr="00BF0EEF">
        <w:trPr>
          <w:trHeight w:val="300"/>
          <w:jc w:val="center"/>
        </w:trPr>
        <w:tc>
          <w:tcPr>
            <w:tcW w:w="550" w:type="dxa"/>
            <w:tcBorders>
              <w:top w:val="nil"/>
              <w:left w:val="single" w:sz="8" w:space="0" w:color="auto"/>
              <w:bottom w:val="single" w:sz="4" w:space="0" w:color="auto"/>
              <w:right w:val="single" w:sz="4" w:space="0" w:color="auto"/>
            </w:tcBorders>
            <w:shd w:val="clear" w:color="auto" w:fill="auto"/>
            <w:noWrap/>
            <w:vAlign w:val="center"/>
            <w:hideMark/>
          </w:tcPr>
          <w:p w14:paraId="4D02DC06" w14:textId="77777777" w:rsidR="00A54546" w:rsidRPr="00A54546" w:rsidRDefault="00A54546" w:rsidP="00A54546">
            <w:pPr>
              <w:rPr>
                <w:rFonts w:cs="Arial"/>
                <w:b/>
                <w:bCs/>
                <w:color w:val="000000"/>
                <w:sz w:val="20"/>
                <w:szCs w:val="20"/>
                <w:lang w:val="en-US" w:eastAsia="en-US"/>
              </w:rPr>
            </w:pPr>
            <w:r w:rsidRPr="00A54546">
              <w:rPr>
                <w:rFonts w:cs="Arial"/>
                <w:b/>
                <w:bCs/>
                <w:color w:val="000000"/>
                <w:sz w:val="20"/>
                <w:szCs w:val="20"/>
                <w:lang w:val="en-US" w:eastAsia="en-US"/>
              </w:rPr>
              <w:t> </w:t>
            </w:r>
          </w:p>
        </w:tc>
        <w:tc>
          <w:tcPr>
            <w:tcW w:w="13513" w:type="dxa"/>
            <w:gridSpan w:val="8"/>
            <w:tcBorders>
              <w:top w:val="single" w:sz="4" w:space="0" w:color="auto"/>
              <w:left w:val="single" w:sz="4" w:space="0" w:color="auto"/>
              <w:bottom w:val="single" w:sz="4" w:space="0" w:color="auto"/>
              <w:right w:val="single" w:sz="8" w:space="0" w:color="000000"/>
            </w:tcBorders>
            <w:shd w:val="clear" w:color="auto" w:fill="auto"/>
            <w:vAlign w:val="center"/>
            <w:hideMark/>
          </w:tcPr>
          <w:p w14:paraId="01BF9F5C" w14:textId="77777777" w:rsidR="00A54546" w:rsidRPr="00A54546" w:rsidRDefault="00A54546" w:rsidP="00A54546">
            <w:pPr>
              <w:rPr>
                <w:rFonts w:cs="Arial"/>
                <w:b/>
                <w:bCs/>
                <w:color w:val="000000"/>
                <w:lang w:val="en-US" w:eastAsia="en-US"/>
              </w:rPr>
            </w:pPr>
            <w:r w:rsidRPr="00A54546">
              <w:rPr>
                <w:rFonts w:cs="Arial"/>
                <w:b/>
                <w:bCs/>
                <w:color w:val="000000"/>
                <w:lang w:val="en-US" w:eastAsia="en-US"/>
              </w:rPr>
              <w:t>VSB</w:t>
            </w:r>
          </w:p>
        </w:tc>
      </w:tr>
      <w:tr w:rsidR="00A54546" w:rsidRPr="00A54546" w14:paraId="7CE4248A" w14:textId="77777777" w:rsidTr="00BF0EEF">
        <w:trPr>
          <w:trHeight w:val="465"/>
          <w:jc w:val="center"/>
        </w:trPr>
        <w:tc>
          <w:tcPr>
            <w:tcW w:w="550" w:type="dxa"/>
            <w:tcBorders>
              <w:top w:val="nil"/>
              <w:left w:val="single" w:sz="8" w:space="0" w:color="auto"/>
              <w:bottom w:val="single" w:sz="4" w:space="0" w:color="auto"/>
              <w:right w:val="single" w:sz="4" w:space="0" w:color="auto"/>
            </w:tcBorders>
            <w:shd w:val="clear" w:color="auto" w:fill="auto"/>
            <w:noWrap/>
            <w:vAlign w:val="center"/>
            <w:hideMark/>
          </w:tcPr>
          <w:p w14:paraId="5B916647" w14:textId="77777777" w:rsidR="00A54546" w:rsidRPr="00A54546" w:rsidRDefault="00A54546" w:rsidP="00A54546">
            <w:pPr>
              <w:rPr>
                <w:rFonts w:cs="Arial"/>
                <w:b/>
                <w:bCs/>
                <w:color w:val="000000"/>
                <w:sz w:val="20"/>
                <w:szCs w:val="20"/>
                <w:lang w:val="en-US" w:eastAsia="en-US"/>
              </w:rPr>
            </w:pPr>
            <w:r w:rsidRPr="00A54546">
              <w:rPr>
                <w:rFonts w:cs="Arial"/>
                <w:b/>
                <w:bCs/>
                <w:color w:val="000000"/>
                <w:sz w:val="20"/>
                <w:szCs w:val="20"/>
                <w:lang w:val="en-US" w:eastAsia="en-US"/>
              </w:rPr>
              <w:t>AN</w:t>
            </w:r>
          </w:p>
        </w:tc>
        <w:tc>
          <w:tcPr>
            <w:tcW w:w="3090" w:type="dxa"/>
            <w:tcBorders>
              <w:top w:val="nil"/>
              <w:left w:val="nil"/>
              <w:bottom w:val="single" w:sz="4" w:space="0" w:color="auto"/>
              <w:right w:val="single" w:sz="4" w:space="0" w:color="auto"/>
            </w:tcBorders>
            <w:shd w:val="clear" w:color="auto" w:fill="auto"/>
            <w:vAlign w:val="center"/>
            <w:hideMark/>
          </w:tcPr>
          <w:p w14:paraId="740DA46E" w14:textId="77777777" w:rsidR="00A54546" w:rsidRPr="00A54546" w:rsidRDefault="00A54546" w:rsidP="00A54546">
            <w:pPr>
              <w:rPr>
                <w:rFonts w:cs="Arial"/>
                <w:color w:val="000000"/>
                <w:sz w:val="20"/>
                <w:szCs w:val="20"/>
                <w:lang w:val="en-US" w:eastAsia="en-US"/>
              </w:rPr>
            </w:pPr>
            <w:r w:rsidRPr="00A54546">
              <w:rPr>
                <w:rFonts w:cs="Arial"/>
                <w:color w:val="000000"/>
                <w:sz w:val="20"/>
                <w:szCs w:val="20"/>
                <w:lang w:val="en-US" w:eastAsia="en-US"/>
              </w:rPr>
              <w:t>Cost to MBS of re-implantation</w:t>
            </w:r>
          </w:p>
        </w:tc>
        <w:tc>
          <w:tcPr>
            <w:tcW w:w="1806" w:type="dxa"/>
            <w:tcBorders>
              <w:top w:val="nil"/>
              <w:left w:val="nil"/>
              <w:bottom w:val="single" w:sz="4" w:space="0" w:color="auto"/>
              <w:right w:val="single" w:sz="4" w:space="0" w:color="auto"/>
            </w:tcBorders>
            <w:shd w:val="clear" w:color="auto" w:fill="auto"/>
            <w:vAlign w:val="center"/>
            <w:hideMark/>
          </w:tcPr>
          <w:p w14:paraId="4A6A0CB7" w14:textId="77777777" w:rsidR="00A54546" w:rsidRPr="00A54546" w:rsidRDefault="00A54546" w:rsidP="00A54546">
            <w:pPr>
              <w:rPr>
                <w:rFonts w:cs="Arial"/>
                <w:color w:val="000000"/>
                <w:sz w:val="16"/>
                <w:szCs w:val="16"/>
                <w:lang w:val="en-US" w:eastAsia="en-US"/>
              </w:rPr>
            </w:pPr>
            <w:r w:rsidRPr="00A54546">
              <w:rPr>
                <w:rFonts w:cs="Arial"/>
                <w:color w:val="000000"/>
                <w:sz w:val="16"/>
                <w:szCs w:val="16"/>
                <w:lang w:val="en-US" w:eastAsia="en-US"/>
              </w:rPr>
              <w:fldChar w:fldCharType="begin"/>
            </w:r>
            <w:r w:rsidRPr="00A54546">
              <w:rPr>
                <w:rFonts w:cs="Arial"/>
                <w:color w:val="000000"/>
                <w:sz w:val="16"/>
                <w:szCs w:val="16"/>
                <w:lang w:val="en-US" w:eastAsia="en-US"/>
              </w:rPr>
              <w:instrText xml:space="preserve"> REF _Ref334453724 \h </w:instrText>
            </w:r>
            <w:r>
              <w:rPr>
                <w:rFonts w:cs="Arial"/>
                <w:color w:val="000000"/>
                <w:sz w:val="16"/>
                <w:szCs w:val="16"/>
                <w:lang w:val="en-US" w:eastAsia="en-US"/>
              </w:rPr>
              <w:instrText xml:space="preserve"> \* MERGEFORMAT </w:instrText>
            </w:r>
            <w:r w:rsidRPr="00A54546">
              <w:rPr>
                <w:rFonts w:cs="Arial"/>
                <w:color w:val="000000"/>
                <w:sz w:val="16"/>
                <w:szCs w:val="16"/>
                <w:lang w:val="en-US" w:eastAsia="en-US"/>
              </w:rPr>
            </w:r>
            <w:r w:rsidRPr="00A54546">
              <w:rPr>
                <w:rFonts w:cs="Arial"/>
                <w:color w:val="000000"/>
                <w:sz w:val="16"/>
                <w:szCs w:val="16"/>
                <w:lang w:val="en-US" w:eastAsia="en-US"/>
              </w:rPr>
              <w:fldChar w:fldCharType="separate"/>
            </w:r>
            <w:r w:rsidR="00016592" w:rsidRPr="00016592">
              <w:rPr>
                <w:rFonts w:cs="Arial"/>
                <w:sz w:val="16"/>
                <w:szCs w:val="16"/>
                <w:lang w:val="x-none"/>
              </w:rPr>
              <w:t>Table 62</w:t>
            </w:r>
            <w:r w:rsidRPr="00A54546">
              <w:rPr>
                <w:rFonts w:cs="Arial"/>
                <w:color w:val="000000"/>
                <w:sz w:val="16"/>
                <w:szCs w:val="16"/>
                <w:lang w:val="en-US" w:eastAsia="en-US"/>
              </w:rPr>
              <w:fldChar w:fldCharType="end"/>
            </w:r>
            <w:r w:rsidRPr="00A54546">
              <w:rPr>
                <w:rFonts w:cs="Arial"/>
                <w:color w:val="000000"/>
                <w:sz w:val="16"/>
                <w:szCs w:val="16"/>
                <w:lang w:val="en-US" w:eastAsia="en-US"/>
              </w:rPr>
              <w:t>, row M *0,0272</w:t>
            </w:r>
          </w:p>
        </w:tc>
        <w:tc>
          <w:tcPr>
            <w:tcW w:w="1622" w:type="dxa"/>
            <w:tcBorders>
              <w:top w:val="nil"/>
              <w:left w:val="nil"/>
              <w:bottom w:val="single" w:sz="8" w:space="0" w:color="auto"/>
              <w:right w:val="single" w:sz="4" w:space="0" w:color="auto"/>
            </w:tcBorders>
            <w:shd w:val="clear" w:color="auto" w:fill="auto"/>
            <w:noWrap/>
            <w:vAlign w:val="center"/>
            <w:hideMark/>
          </w:tcPr>
          <w:p w14:paraId="6176B2F4" w14:textId="3B053641" w:rsidR="00A54546" w:rsidRPr="00A54546" w:rsidRDefault="00A54546" w:rsidP="003B1DCD">
            <w:pPr>
              <w:rPr>
                <w:rFonts w:cs="Arial"/>
                <w:color w:val="000000"/>
                <w:sz w:val="16"/>
                <w:szCs w:val="16"/>
                <w:lang w:val="en-US" w:eastAsia="en-US"/>
              </w:rPr>
            </w:pPr>
            <w:r w:rsidRPr="00A54546">
              <w:rPr>
                <w:rFonts w:cs="Arial"/>
                <w:color w:val="000000"/>
                <w:sz w:val="16"/>
                <w:szCs w:val="16"/>
                <w:lang w:val="en-US" w:eastAsia="en-US"/>
              </w:rPr>
              <w:t xml:space="preserve"> AUD   3.625 </w:t>
            </w:r>
          </w:p>
        </w:tc>
        <w:tc>
          <w:tcPr>
            <w:tcW w:w="1399" w:type="dxa"/>
            <w:tcBorders>
              <w:top w:val="nil"/>
              <w:left w:val="nil"/>
              <w:bottom w:val="single" w:sz="8" w:space="0" w:color="auto"/>
              <w:right w:val="single" w:sz="4" w:space="0" w:color="auto"/>
            </w:tcBorders>
            <w:shd w:val="clear" w:color="auto" w:fill="auto"/>
            <w:noWrap/>
            <w:vAlign w:val="center"/>
            <w:hideMark/>
          </w:tcPr>
          <w:p w14:paraId="21BC18C1" w14:textId="72C359DA" w:rsidR="00A54546" w:rsidRPr="00A54546" w:rsidRDefault="00A54546" w:rsidP="003B1DCD">
            <w:pPr>
              <w:rPr>
                <w:rFonts w:cs="Arial"/>
                <w:color w:val="000000"/>
                <w:sz w:val="16"/>
                <w:szCs w:val="16"/>
                <w:lang w:val="en-US" w:eastAsia="en-US"/>
              </w:rPr>
            </w:pPr>
            <w:r w:rsidRPr="00A54546">
              <w:rPr>
                <w:rFonts w:cs="Arial"/>
                <w:color w:val="000000"/>
                <w:sz w:val="16"/>
                <w:szCs w:val="16"/>
                <w:lang w:val="en-US" w:eastAsia="en-US"/>
              </w:rPr>
              <w:t xml:space="preserve"> AUD   3.676 </w:t>
            </w:r>
          </w:p>
        </w:tc>
        <w:tc>
          <w:tcPr>
            <w:tcW w:w="1399" w:type="dxa"/>
            <w:tcBorders>
              <w:top w:val="nil"/>
              <w:left w:val="nil"/>
              <w:bottom w:val="single" w:sz="8" w:space="0" w:color="auto"/>
              <w:right w:val="single" w:sz="4" w:space="0" w:color="auto"/>
            </w:tcBorders>
            <w:shd w:val="clear" w:color="auto" w:fill="auto"/>
            <w:noWrap/>
            <w:vAlign w:val="center"/>
            <w:hideMark/>
          </w:tcPr>
          <w:p w14:paraId="480E5CFC" w14:textId="3B27563D" w:rsidR="00A54546" w:rsidRPr="00A54546" w:rsidRDefault="00A54546" w:rsidP="003B1DCD">
            <w:pPr>
              <w:rPr>
                <w:rFonts w:cs="Arial"/>
                <w:color w:val="000000"/>
                <w:sz w:val="16"/>
                <w:szCs w:val="16"/>
                <w:lang w:val="en-US" w:eastAsia="en-US"/>
              </w:rPr>
            </w:pPr>
            <w:r w:rsidRPr="00A54546">
              <w:rPr>
                <w:rFonts w:cs="Arial"/>
                <w:color w:val="000000"/>
                <w:sz w:val="16"/>
                <w:szCs w:val="16"/>
                <w:lang w:val="en-US" w:eastAsia="en-US"/>
              </w:rPr>
              <w:t xml:space="preserve"> AUD</w:t>
            </w:r>
            <w:r w:rsidR="00296707">
              <w:rPr>
                <w:rFonts w:cs="Arial"/>
                <w:color w:val="000000"/>
                <w:sz w:val="16"/>
                <w:szCs w:val="16"/>
                <w:lang w:val="en-US" w:eastAsia="en-US"/>
              </w:rPr>
              <w:t xml:space="preserve"> </w:t>
            </w:r>
            <w:r w:rsidRPr="00A54546">
              <w:rPr>
                <w:rFonts w:cs="Arial"/>
                <w:color w:val="000000"/>
                <w:sz w:val="16"/>
                <w:szCs w:val="16"/>
                <w:lang w:val="en-US" w:eastAsia="en-US"/>
              </w:rPr>
              <w:t xml:space="preserve">  3.778 </w:t>
            </w:r>
          </w:p>
        </w:tc>
        <w:tc>
          <w:tcPr>
            <w:tcW w:w="1399" w:type="dxa"/>
            <w:tcBorders>
              <w:top w:val="nil"/>
              <w:left w:val="nil"/>
              <w:bottom w:val="single" w:sz="8" w:space="0" w:color="auto"/>
              <w:right w:val="single" w:sz="4" w:space="0" w:color="auto"/>
            </w:tcBorders>
            <w:shd w:val="clear" w:color="auto" w:fill="auto"/>
            <w:noWrap/>
            <w:vAlign w:val="center"/>
            <w:hideMark/>
          </w:tcPr>
          <w:p w14:paraId="6A120437" w14:textId="60FEF451" w:rsidR="00A54546" w:rsidRPr="00A54546" w:rsidRDefault="00A54546" w:rsidP="003B1DCD">
            <w:pPr>
              <w:rPr>
                <w:rFonts w:cs="Arial"/>
                <w:color w:val="000000"/>
                <w:sz w:val="16"/>
                <w:szCs w:val="16"/>
                <w:lang w:val="en-US" w:eastAsia="en-US"/>
              </w:rPr>
            </w:pPr>
            <w:r w:rsidRPr="00A54546">
              <w:rPr>
                <w:rFonts w:cs="Arial"/>
                <w:color w:val="000000"/>
                <w:sz w:val="16"/>
                <w:szCs w:val="16"/>
                <w:lang w:val="en-US" w:eastAsia="en-US"/>
              </w:rPr>
              <w:t xml:space="preserve"> AUD</w:t>
            </w:r>
            <w:r w:rsidR="00296707">
              <w:rPr>
                <w:rFonts w:cs="Arial"/>
                <w:color w:val="000000"/>
                <w:sz w:val="16"/>
                <w:szCs w:val="16"/>
                <w:lang w:val="en-US" w:eastAsia="en-US"/>
              </w:rPr>
              <w:t xml:space="preserve">  </w:t>
            </w:r>
            <w:r w:rsidRPr="00A54546">
              <w:rPr>
                <w:rFonts w:cs="Arial"/>
                <w:color w:val="000000"/>
                <w:sz w:val="16"/>
                <w:szCs w:val="16"/>
                <w:lang w:val="en-US" w:eastAsia="en-US"/>
              </w:rPr>
              <w:t xml:space="preserve"> 3.829 </w:t>
            </w:r>
          </w:p>
        </w:tc>
        <w:tc>
          <w:tcPr>
            <w:tcW w:w="1399" w:type="dxa"/>
            <w:tcBorders>
              <w:top w:val="nil"/>
              <w:left w:val="nil"/>
              <w:bottom w:val="single" w:sz="8" w:space="0" w:color="auto"/>
              <w:right w:val="single" w:sz="4" w:space="0" w:color="auto"/>
            </w:tcBorders>
            <w:shd w:val="clear" w:color="auto" w:fill="auto"/>
            <w:noWrap/>
            <w:vAlign w:val="center"/>
            <w:hideMark/>
          </w:tcPr>
          <w:p w14:paraId="5038958F" w14:textId="44F22050" w:rsidR="00A54546" w:rsidRPr="00A54546" w:rsidRDefault="00A54546" w:rsidP="003B1DCD">
            <w:pPr>
              <w:rPr>
                <w:rFonts w:cs="Arial"/>
                <w:color w:val="000000"/>
                <w:sz w:val="16"/>
                <w:szCs w:val="16"/>
                <w:lang w:val="en-US" w:eastAsia="en-US"/>
              </w:rPr>
            </w:pPr>
            <w:r w:rsidRPr="00A54546">
              <w:rPr>
                <w:rFonts w:cs="Arial"/>
                <w:color w:val="000000"/>
                <w:sz w:val="16"/>
                <w:szCs w:val="16"/>
                <w:lang w:val="en-US" w:eastAsia="en-US"/>
              </w:rPr>
              <w:t xml:space="preserve"> AUD   3.880 </w:t>
            </w:r>
          </w:p>
        </w:tc>
        <w:tc>
          <w:tcPr>
            <w:tcW w:w="1399" w:type="dxa"/>
            <w:tcBorders>
              <w:top w:val="nil"/>
              <w:left w:val="nil"/>
              <w:bottom w:val="single" w:sz="8" w:space="0" w:color="auto"/>
              <w:right w:val="single" w:sz="8" w:space="0" w:color="auto"/>
            </w:tcBorders>
            <w:shd w:val="clear" w:color="auto" w:fill="auto"/>
            <w:noWrap/>
            <w:vAlign w:val="center"/>
            <w:hideMark/>
          </w:tcPr>
          <w:p w14:paraId="25CE7827" w14:textId="62FFFB5B" w:rsidR="00A54546" w:rsidRPr="00A54546" w:rsidRDefault="00A54546" w:rsidP="003B1DCD">
            <w:pPr>
              <w:rPr>
                <w:rFonts w:cs="Arial"/>
                <w:color w:val="000000"/>
                <w:sz w:val="16"/>
                <w:szCs w:val="16"/>
                <w:lang w:val="en-US" w:eastAsia="en-US"/>
              </w:rPr>
            </w:pPr>
            <w:r w:rsidRPr="00A54546">
              <w:rPr>
                <w:rFonts w:cs="Arial"/>
                <w:color w:val="000000"/>
                <w:sz w:val="16"/>
                <w:szCs w:val="16"/>
                <w:lang w:val="en-US" w:eastAsia="en-US"/>
              </w:rPr>
              <w:t xml:space="preserve"> AUD   3.931 </w:t>
            </w:r>
          </w:p>
        </w:tc>
      </w:tr>
      <w:tr w:rsidR="00A54546" w:rsidRPr="00A54546" w14:paraId="4825802E" w14:textId="77777777" w:rsidTr="00BF0EEF">
        <w:trPr>
          <w:trHeight w:val="465"/>
          <w:jc w:val="center"/>
        </w:trPr>
        <w:tc>
          <w:tcPr>
            <w:tcW w:w="550" w:type="dxa"/>
            <w:tcBorders>
              <w:top w:val="nil"/>
              <w:left w:val="single" w:sz="8" w:space="0" w:color="auto"/>
              <w:bottom w:val="single" w:sz="8" w:space="0" w:color="auto"/>
              <w:right w:val="single" w:sz="4" w:space="0" w:color="auto"/>
            </w:tcBorders>
            <w:shd w:val="clear" w:color="auto" w:fill="auto"/>
            <w:noWrap/>
            <w:vAlign w:val="center"/>
            <w:hideMark/>
          </w:tcPr>
          <w:p w14:paraId="575AC10F" w14:textId="77777777" w:rsidR="00A54546" w:rsidRPr="00A54546" w:rsidRDefault="00A54546" w:rsidP="00A54546">
            <w:pPr>
              <w:rPr>
                <w:rFonts w:cs="Arial"/>
                <w:b/>
                <w:bCs/>
                <w:color w:val="000000"/>
                <w:sz w:val="20"/>
                <w:szCs w:val="20"/>
                <w:lang w:val="en-US" w:eastAsia="en-US"/>
              </w:rPr>
            </w:pPr>
            <w:r w:rsidRPr="00A54546">
              <w:rPr>
                <w:rFonts w:cs="Arial"/>
                <w:b/>
                <w:bCs/>
                <w:color w:val="000000"/>
                <w:sz w:val="20"/>
                <w:szCs w:val="20"/>
                <w:lang w:val="en-US" w:eastAsia="en-US"/>
              </w:rPr>
              <w:t>AO</w:t>
            </w:r>
          </w:p>
        </w:tc>
        <w:tc>
          <w:tcPr>
            <w:tcW w:w="3090" w:type="dxa"/>
            <w:tcBorders>
              <w:top w:val="nil"/>
              <w:left w:val="nil"/>
              <w:bottom w:val="single" w:sz="8" w:space="0" w:color="auto"/>
              <w:right w:val="single" w:sz="4" w:space="0" w:color="auto"/>
            </w:tcBorders>
            <w:shd w:val="clear" w:color="auto" w:fill="auto"/>
            <w:vAlign w:val="center"/>
            <w:hideMark/>
          </w:tcPr>
          <w:p w14:paraId="4FAD5143" w14:textId="77777777" w:rsidR="00A54546" w:rsidRPr="00A54546" w:rsidRDefault="00A54546" w:rsidP="00A54546">
            <w:pPr>
              <w:rPr>
                <w:rFonts w:cs="Arial"/>
                <w:color w:val="000000"/>
                <w:sz w:val="20"/>
                <w:szCs w:val="20"/>
                <w:lang w:val="en-US" w:eastAsia="en-US"/>
              </w:rPr>
            </w:pPr>
            <w:r w:rsidRPr="00A54546">
              <w:rPr>
                <w:rFonts w:cs="Arial"/>
                <w:color w:val="000000"/>
                <w:sz w:val="20"/>
                <w:szCs w:val="20"/>
                <w:lang w:val="en-US" w:eastAsia="en-US"/>
              </w:rPr>
              <w:t>Operational</w:t>
            </w:r>
          </w:p>
        </w:tc>
        <w:tc>
          <w:tcPr>
            <w:tcW w:w="1806" w:type="dxa"/>
            <w:tcBorders>
              <w:top w:val="nil"/>
              <w:left w:val="nil"/>
              <w:bottom w:val="single" w:sz="8" w:space="0" w:color="auto"/>
              <w:right w:val="single" w:sz="4" w:space="0" w:color="auto"/>
            </w:tcBorders>
            <w:shd w:val="clear" w:color="auto" w:fill="auto"/>
            <w:vAlign w:val="center"/>
            <w:hideMark/>
          </w:tcPr>
          <w:p w14:paraId="471357FF" w14:textId="77777777" w:rsidR="00A54546" w:rsidRPr="00A54546" w:rsidRDefault="00A54546" w:rsidP="00A54546">
            <w:pPr>
              <w:rPr>
                <w:rFonts w:cs="Arial"/>
                <w:color w:val="000000"/>
                <w:sz w:val="16"/>
                <w:szCs w:val="16"/>
                <w:lang w:val="en-US" w:eastAsia="en-US"/>
              </w:rPr>
            </w:pPr>
            <w:r w:rsidRPr="00A54546">
              <w:rPr>
                <w:rFonts w:cs="Arial"/>
                <w:color w:val="000000"/>
                <w:sz w:val="16"/>
                <w:szCs w:val="16"/>
                <w:lang w:val="en-US" w:eastAsia="en-US"/>
              </w:rPr>
              <w:fldChar w:fldCharType="begin"/>
            </w:r>
            <w:r w:rsidRPr="00A54546">
              <w:rPr>
                <w:rFonts w:cs="Arial"/>
                <w:color w:val="000000"/>
                <w:sz w:val="16"/>
                <w:szCs w:val="16"/>
                <w:lang w:val="en-US" w:eastAsia="en-US"/>
              </w:rPr>
              <w:instrText xml:space="preserve"> REF _Ref431385908 \h </w:instrText>
            </w:r>
            <w:r>
              <w:rPr>
                <w:rFonts w:cs="Arial"/>
                <w:color w:val="000000"/>
                <w:sz w:val="16"/>
                <w:szCs w:val="16"/>
                <w:lang w:val="en-US" w:eastAsia="en-US"/>
              </w:rPr>
              <w:instrText xml:space="preserve"> \* MERGEFORMAT </w:instrText>
            </w:r>
            <w:r w:rsidRPr="00A54546">
              <w:rPr>
                <w:rFonts w:cs="Arial"/>
                <w:color w:val="000000"/>
                <w:sz w:val="16"/>
                <w:szCs w:val="16"/>
                <w:lang w:val="en-US" w:eastAsia="en-US"/>
              </w:rPr>
            </w:r>
            <w:r w:rsidRPr="00A54546">
              <w:rPr>
                <w:rFonts w:cs="Arial"/>
                <w:color w:val="000000"/>
                <w:sz w:val="16"/>
                <w:szCs w:val="16"/>
                <w:lang w:val="en-US" w:eastAsia="en-US"/>
              </w:rPr>
              <w:fldChar w:fldCharType="separate"/>
            </w:r>
            <w:r w:rsidR="00016592" w:rsidRPr="00016592">
              <w:rPr>
                <w:rFonts w:cs="Arial"/>
                <w:sz w:val="16"/>
                <w:szCs w:val="16"/>
                <w:lang w:val="x-none"/>
              </w:rPr>
              <w:t>Table 63</w:t>
            </w:r>
            <w:r w:rsidRPr="00A54546">
              <w:rPr>
                <w:rFonts w:cs="Arial"/>
                <w:color w:val="000000"/>
                <w:sz w:val="16"/>
                <w:szCs w:val="16"/>
                <w:lang w:val="en-US" w:eastAsia="en-US"/>
              </w:rPr>
              <w:fldChar w:fldCharType="end"/>
            </w:r>
            <w:r w:rsidRPr="00A54546">
              <w:rPr>
                <w:rFonts w:cs="Arial"/>
                <w:color w:val="000000"/>
                <w:sz w:val="16"/>
                <w:szCs w:val="16"/>
                <w:lang w:val="en-US" w:eastAsia="en-US"/>
              </w:rPr>
              <w:t>, row Q x 0,0272</w:t>
            </w:r>
          </w:p>
        </w:tc>
        <w:tc>
          <w:tcPr>
            <w:tcW w:w="1622" w:type="dxa"/>
            <w:tcBorders>
              <w:top w:val="single" w:sz="4" w:space="0" w:color="auto"/>
              <w:left w:val="nil"/>
              <w:bottom w:val="single" w:sz="8" w:space="0" w:color="auto"/>
              <w:right w:val="single" w:sz="4" w:space="0" w:color="auto"/>
            </w:tcBorders>
            <w:shd w:val="clear" w:color="auto" w:fill="auto"/>
            <w:noWrap/>
            <w:vAlign w:val="center"/>
            <w:hideMark/>
          </w:tcPr>
          <w:p w14:paraId="4C23B79D" w14:textId="3E4C18CD" w:rsidR="00A54546" w:rsidRPr="00A54546" w:rsidRDefault="00A54546" w:rsidP="003B1DCD">
            <w:pPr>
              <w:rPr>
                <w:rFonts w:cs="Arial"/>
                <w:color w:val="000000"/>
                <w:sz w:val="16"/>
                <w:szCs w:val="16"/>
                <w:lang w:val="en-US" w:eastAsia="en-US"/>
              </w:rPr>
            </w:pPr>
            <w:r w:rsidRPr="00A54546">
              <w:rPr>
                <w:rFonts w:cs="Arial"/>
                <w:color w:val="000000"/>
                <w:sz w:val="16"/>
                <w:szCs w:val="16"/>
                <w:lang w:val="en-US" w:eastAsia="en-US"/>
              </w:rPr>
              <w:t xml:space="preserve"> AUD</w:t>
            </w:r>
            <w:r w:rsidR="00296707">
              <w:rPr>
                <w:rFonts w:cs="Arial"/>
                <w:color w:val="000000"/>
                <w:sz w:val="16"/>
                <w:szCs w:val="16"/>
                <w:lang w:val="en-US" w:eastAsia="en-US"/>
              </w:rPr>
              <w:t xml:space="preserve">  </w:t>
            </w:r>
            <w:r w:rsidRPr="00A54546">
              <w:rPr>
                <w:rFonts w:cs="Arial"/>
                <w:color w:val="000000"/>
                <w:sz w:val="16"/>
                <w:szCs w:val="16"/>
                <w:lang w:val="en-US" w:eastAsia="en-US"/>
              </w:rPr>
              <w:t xml:space="preserve"> 2.126 </w:t>
            </w:r>
          </w:p>
        </w:tc>
        <w:tc>
          <w:tcPr>
            <w:tcW w:w="1399" w:type="dxa"/>
            <w:tcBorders>
              <w:top w:val="single" w:sz="4" w:space="0" w:color="auto"/>
              <w:left w:val="nil"/>
              <w:bottom w:val="single" w:sz="8" w:space="0" w:color="auto"/>
              <w:right w:val="single" w:sz="4" w:space="0" w:color="auto"/>
            </w:tcBorders>
            <w:shd w:val="clear" w:color="auto" w:fill="auto"/>
            <w:noWrap/>
            <w:vAlign w:val="center"/>
            <w:hideMark/>
          </w:tcPr>
          <w:p w14:paraId="1147E40B" w14:textId="34A849E8" w:rsidR="00A54546" w:rsidRPr="00A54546" w:rsidRDefault="00A54546" w:rsidP="003B1DCD">
            <w:pPr>
              <w:rPr>
                <w:rFonts w:cs="Arial"/>
                <w:color w:val="000000"/>
                <w:sz w:val="16"/>
                <w:szCs w:val="16"/>
                <w:lang w:val="en-US" w:eastAsia="en-US"/>
              </w:rPr>
            </w:pPr>
            <w:r w:rsidRPr="00A54546">
              <w:rPr>
                <w:rFonts w:cs="Arial"/>
                <w:color w:val="000000"/>
                <w:sz w:val="16"/>
                <w:szCs w:val="16"/>
                <w:lang w:val="en-US" w:eastAsia="en-US"/>
              </w:rPr>
              <w:t xml:space="preserve"> AUD   2.156 </w:t>
            </w:r>
          </w:p>
        </w:tc>
        <w:tc>
          <w:tcPr>
            <w:tcW w:w="1399" w:type="dxa"/>
            <w:tcBorders>
              <w:top w:val="single" w:sz="4" w:space="0" w:color="auto"/>
              <w:left w:val="nil"/>
              <w:bottom w:val="single" w:sz="8" w:space="0" w:color="auto"/>
              <w:right w:val="single" w:sz="4" w:space="0" w:color="auto"/>
            </w:tcBorders>
            <w:shd w:val="clear" w:color="auto" w:fill="auto"/>
            <w:noWrap/>
            <w:vAlign w:val="center"/>
            <w:hideMark/>
          </w:tcPr>
          <w:p w14:paraId="0E0443F4" w14:textId="1234B133" w:rsidR="00A54546" w:rsidRPr="00A54546" w:rsidRDefault="00A54546" w:rsidP="003B1DCD">
            <w:pPr>
              <w:rPr>
                <w:rFonts w:cs="Arial"/>
                <w:color w:val="000000"/>
                <w:sz w:val="16"/>
                <w:szCs w:val="16"/>
                <w:lang w:val="en-US" w:eastAsia="en-US"/>
              </w:rPr>
            </w:pPr>
            <w:r w:rsidRPr="00A54546">
              <w:rPr>
                <w:rFonts w:cs="Arial"/>
                <w:color w:val="000000"/>
                <w:sz w:val="16"/>
                <w:szCs w:val="16"/>
                <w:lang w:val="en-US" w:eastAsia="en-US"/>
              </w:rPr>
              <w:t xml:space="preserve"> AUD</w:t>
            </w:r>
            <w:r w:rsidR="00296707">
              <w:rPr>
                <w:rFonts w:cs="Arial"/>
                <w:color w:val="000000"/>
                <w:sz w:val="16"/>
                <w:szCs w:val="16"/>
                <w:lang w:val="en-US" w:eastAsia="en-US"/>
              </w:rPr>
              <w:t xml:space="preserve">  </w:t>
            </w:r>
            <w:r w:rsidRPr="00A54546">
              <w:rPr>
                <w:rFonts w:cs="Arial"/>
                <w:color w:val="000000"/>
                <w:sz w:val="16"/>
                <w:szCs w:val="16"/>
                <w:lang w:val="en-US" w:eastAsia="en-US"/>
              </w:rPr>
              <w:t xml:space="preserve"> 2.216 </w:t>
            </w:r>
          </w:p>
        </w:tc>
        <w:tc>
          <w:tcPr>
            <w:tcW w:w="1399" w:type="dxa"/>
            <w:tcBorders>
              <w:top w:val="single" w:sz="4" w:space="0" w:color="auto"/>
              <w:left w:val="nil"/>
              <w:bottom w:val="single" w:sz="8" w:space="0" w:color="auto"/>
              <w:right w:val="single" w:sz="4" w:space="0" w:color="auto"/>
            </w:tcBorders>
            <w:shd w:val="clear" w:color="auto" w:fill="auto"/>
            <w:noWrap/>
            <w:vAlign w:val="center"/>
            <w:hideMark/>
          </w:tcPr>
          <w:p w14:paraId="54AFA5D5" w14:textId="3F376F42" w:rsidR="00A54546" w:rsidRPr="00A54546" w:rsidRDefault="00A54546" w:rsidP="003B1DCD">
            <w:pPr>
              <w:rPr>
                <w:rFonts w:cs="Arial"/>
                <w:color w:val="000000"/>
                <w:sz w:val="16"/>
                <w:szCs w:val="16"/>
                <w:lang w:val="en-US" w:eastAsia="en-US"/>
              </w:rPr>
            </w:pPr>
            <w:r w:rsidRPr="00A54546">
              <w:rPr>
                <w:rFonts w:cs="Arial"/>
                <w:color w:val="000000"/>
                <w:sz w:val="16"/>
                <w:szCs w:val="16"/>
                <w:lang w:val="en-US" w:eastAsia="en-US"/>
              </w:rPr>
              <w:t xml:space="preserve"> AUD   2.246 </w:t>
            </w:r>
          </w:p>
        </w:tc>
        <w:tc>
          <w:tcPr>
            <w:tcW w:w="1399" w:type="dxa"/>
            <w:tcBorders>
              <w:top w:val="single" w:sz="4" w:space="0" w:color="auto"/>
              <w:left w:val="nil"/>
              <w:bottom w:val="single" w:sz="8" w:space="0" w:color="auto"/>
              <w:right w:val="single" w:sz="4" w:space="0" w:color="auto"/>
            </w:tcBorders>
            <w:shd w:val="clear" w:color="auto" w:fill="auto"/>
            <w:noWrap/>
            <w:vAlign w:val="center"/>
            <w:hideMark/>
          </w:tcPr>
          <w:p w14:paraId="7179AD13" w14:textId="1AF1D68D" w:rsidR="00A54546" w:rsidRPr="00A54546" w:rsidRDefault="00A54546" w:rsidP="003B1DCD">
            <w:pPr>
              <w:rPr>
                <w:rFonts w:cs="Arial"/>
                <w:color w:val="000000"/>
                <w:sz w:val="16"/>
                <w:szCs w:val="16"/>
                <w:lang w:val="en-US" w:eastAsia="en-US"/>
              </w:rPr>
            </w:pPr>
            <w:r w:rsidRPr="00A54546">
              <w:rPr>
                <w:rFonts w:cs="Arial"/>
                <w:color w:val="000000"/>
                <w:sz w:val="16"/>
                <w:szCs w:val="16"/>
                <w:lang w:val="en-US" w:eastAsia="en-US"/>
              </w:rPr>
              <w:t xml:space="preserve"> AUD   2.276 </w:t>
            </w:r>
          </w:p>
        </w:tc>
        <w:tc>
          <w:tcPr>
            <w:tcW w:w="1399" w:type="dxa"/>
            <w:tcBorders>
              <w:top w:val="single" w:sz="4" w:space="0" w:color="auto"/>
              <w:left w:val="nil"/>
              <w:bottom w:val="single" w:sz="8" w:space="0" w:color="auto"/>
              <w:right w:val="single" w:sz="8" w:space="0" w:color="auto"/>
            </w:tcBorders>
            <w:shd w:val="clear" w:color="auto" w:fill="auto"/>
            <w:noWrap/>
            <w:vAlign w:val="center"/>
            <w:hideMark/>
          </w:tcPr>
          <w:p w14:paraId="63F1A3CB" w14:textId="530E4090" w:rsidR="00A54546" w:rsidRPr="00A54546" w:rsidRDefault="00A54546" w:rsidP="003B1DCD">
            <w:pPr>
              <w:rPr>
                <w:rFonts w:cs="Arial"/>
                <w:color w:val="000000"/>
                <w:sz w:val="16"/>
                <w:szCs w:val="16"/>
                <w:lang w:val="en-US" w:eastAsia="en-US"/>
              </w:rPr>
            </w:pPr>
            <w:r w:rsidRPr="00A54546">
              <w:rPr>
                <w:rFonts w:cs="Arial"/>
                <w:color w:val="000000"/>
                <w:sz w:val="16"/>
                <w:szCs w:val="16"/>
                <w:lang w:val="en-US" w:eastAsia="en-US"/>
              </w:rPr>
              <w:t xml:space="preserve"> AUD</w:t>
            </w:r>
            <w:r w:rsidR="00296707">
              <w:rPr>
                <w:rFonts w:cs="Arial"/>
                <w:color w:val="000000"/>
                <w:sz w:val="16"/>
                <w:szCs w:val="16"/>
                <w:lang w:val="en-US" w:eastAsia="en-US"/>
              </w:rPr>
              <w:t xml:space="preserve"> </w:t>
            </w:r>
            <w:r w:rsidRPr="00A54546">
              <w:rPr>
                <w:rFonts w:cs="Arial"/>
                <w:color w:val="000000"/>
                <w:sz w:val="16"/>
                <w:szCs w:val="16"/>
                <w:lang w:val="en-US" w:eastAsia="en-US"/>
              </w:rPr>
              <w:t xml:space="preserve">  2.306 </w:t>
            </w:r>
          </w:p>
        </w:tc>
      </w:tr>
      <w:tr w:rsidR="00A54546" w:rsidRPr="00A54546" w14:paraId="1968EF08" w14:textId="77777777" w:rsidTr="00BF0EEF">
        <w:trPr>
          <w:trHeight w:val="465"/>
          <w:jc w:val="center"/>
        </w:trPr>
        <w:tc>
          <w:tcPr>
            <w:tcW w:w="55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1B351F4" w14:textId="77777777" w:rsidR="00A54546" w:rsidRPr="00A54546" w:rsidRDefault="00A54546" w:rsidP="00A54546">
            <w:pPr>
              <w:rPr>
                <w:rFonts w:cs="Arial"/>
                <w:b/>
                <w:bCs/>
                <w:color w:val="000000"/>
                <w:sz w:val="20"/>
                <w:szCs w:val="20"/>
                <w:lang w:val="en-US" w:eastAsia="en-US"/>
              </w:rPr>
            </w:pPr>
            <w:r w:rsidRPr="00A54546">
              <w:rPr>
                <w:rFonts w:cs="Arial"/>
                <w:b/>
                <w:bCs/>
                <w:color w:val="000000"/>
                <w:sz w:val="20"/>
                <w:szCs w:val="20"/>
                <w:lang w:val="en-US" w:eastAsia="en-US"/>
              </w:rPr>
              <w:t>AP</w:t>
            </w:r>
          </w:p>
        </w:tc>
        <w:tc>
          <w:tcPr>
            <w:tcW w:w="3090" w:type="dxa"/>
            <w:tcBorders>
              <w:top w:val="single" w:sz="4" w:space="0" w:color="auto"/>
              <w:left w:val="nil"/>
              <w:bottom w:val="single" w:sz="4" w:space="0" w:color="auto"/>
              <w:right w:val="single" w:sz="4" w:space="0" w:color="auto"/>
            </w:tcBorders>
            <w:shd w:val="clear" w:color="auto" w:fill="auto"/>
            <w:vAlign w:val="center"/>
            <w:hideMark/>
          </w:tcPr>
          <w:p w14:paraId="375BF766" w14:textId="77777777" w:rsidR="00A54546" w:rsidRPr="00A54546" w:rsidRDefault="00A54546" w:rsidP="00A54546">
            <w:pPr>
              <w:rPr>
                <w:rFonts w:cs="Arial"/>
                <w:color w:val="000000"/>
                <w:sz w:val="20"/>
                <w:szCs w:val="20"/>
                <w:lang w:val="en-US" w:eastAsia="en-US"/>
              </w:rPr>
            </w:pPr>
            <w:r w:rsidRPr="00A54546">
              <w:rPr>
                <w:rFonts w:cs="Arial"/>
                <w:color w:val="000000"/>
                <w:sz w:val="20"/>
                <w:szCs w:val="20"/>
                <w:lang w:val="en-US" w:eastAsia="en-US"/>
              </w:rPr>
              <w:t>Pre-operational</w:t>
            </w:r>
          </w:p>
        </w:tc>
        <w:tc>
          <w:tcPr>
            <w:tcW w:w="1806" w:type="dxa"/>
            <w:tcBorders>
              <w:top w:val="single" w:sz="4" w:space="0" w:color="auto"/>
              <w:left w:val="nil"/>
              <w:bottom w:val="single" w:sz="4" w:space="0" w:color="auto"/>
              <w:right w:val="single" w:sz="4" w:space="0" w:color="auto"/>
            </w:tcBorders>
            <w:shd w:val="clear" w:color="auto" w:fill="auto"/>
            <w:vAlign w:val="center"/>
            <w:hideMark/>
          </w:tcPr>
          <w:p w14:paraId="5E2EE443" w14:textId="77777777" w:rsidR="00A54546" w:rsidRPr="00A54546" w:rsidRDefault="00A54546" w:rsidP="00A54546">
            <w:pPr>
              <w:rPr>
                <w:rFonts w:cs="Arial"/>
                <w:color w:val="000000"/>
                <w:sz w:val="16"/>
                <w:szCs w:val="16"/>
                <w:lang w:val="en-US" w:eastAsia="en-US"/>
              </w:rPr>
            </w:pPr>
            <w:r w:rsidRPr="00A54546">
              <w:rPr>
                <w:rFonts w:cs="Arial"/>
                <w:color w:val="000000"/>
                <w:sz w:val="16"/>
                <w:szCs w:val="16"/>
                <w:lang w:val="en-US" w:eastAsia="en-US"/>
              </w:rPr>
              <w:fldChar w:fldCharType="begin"/>
            </w:r>
            <w:r w:rsidRPr="00A54546">
              <w:rPr>
                <w:rFonts w:cs="Arial"/>
                <w:color w:val="000000"/>
                <w:sz w:val="16"/>
                <w:szCs w:val="16"/>
                <w:lang w:val="en-US" w:eastAsia="en-US"/>
              </w:rPr>
              <w:instrText xml:space="preserve"> REF _Ref430945419 \h </w:instrText>
            </w:r>
            <w:r>
              <w:rPr>
                <w:rFonts w:cs="Arial"/>
                <w:color w:val="000000"/>
                <w:sz w:val="16"/>
                <w:szCs w:val="16"/>
                <w:lang w:val="en-US" w:eastAsia="en-US"/>
              </w:rPr>
              <w:instrText xml:space="preserve"> \* MERGEFORMAT </w:instrText>
            </w:r>
            <w:r w:rsidRPr="00A54546">
              <w:rPr>
                <w:rFonts w:cs="Arial"/>
                <w:color w:val="000000"/>
                <w:sz w:val="16"/>
                <w:szCs w:val="16"/>
                <w:lang w:val="en-US" w:eastAsia="en-US"/>
              </w:rPr>
            </w:r>
            <w:r w:rsidRPr="00A54546">
              <w:rPr>
                <w:rFonts w:cs="Arial"/>
                <w:color w:val="000000"/>
                <w:sz w:val="16"/>
                <w:szCs w:val="16"/>
                <w:lang w:val="en-US" w:eastAsia="en-US"/>
              </w:rPr>
              <w:fldChar w:fldCharType="separate"/>
            </w:r>
            <w:r w:rsidR="00016592" w:rsidRPr="00016592">
              <w:rPr>
                <w:rFonts w:cs="Arial"/>
                <w:sz w:val="16"/>
                <w:szCs w:val="16"/>
              </w:rPr>
              <w:t xml:space="preserve">Table </w:t>
            </w:r>
            <w:r w:rsidR="00016592" w:rsidRPr="00016592">
              <w:rPr>
                <w:rFonts w:cs="Arial"/>
                <w:noProof/>
                <w:sz w:val="16"/>
                <w:szCs w:val="16"/>
              </w:rPr>
              <w:t>64</w:t>
            </w:r>
            <w:r w:rsidRPr="00A54546">
              <w:rPr>
                <w:rFonts w:cs="Arial"/>
                <w:color w:val="000000"/>
                <w:sz w:val="16"/>
                <w:szCs w:val="16"/>
                <w:lang w:val="en-US" w:eastAsia="en-US"/>
              </w:rPr>
              <w:fldChar w:fldCharType="end"/>
            </w:r>
            <w:r w:rsidRPr="00A54546">
              <w:rPr>
                <w:rFonts w:cs="Arial"/>
                <w:color w:val="000000"/>
                <w:sz w:val="16"/>
                <w:szCs w:val="16"/>
                <w:lang w:val="en-US" w:eastAsia="en-US"/>
              </w:rPr>
              <w:t>, row AB x 0,0272</w:t>
            </w:r>
          </w:p>
        </w:tc>
        <w:tc>
          <w:tcPr>
            <w:tcW w:w="1622" w:type="dxa"/>
            <w:tcBorders>
              <w:top w:val="single" w:sz="4" w:space="0" w:color="auto"/>
              <w:left w:val="nil"/>
              <w:bottom w:val="single" w:sz="8" w:space="0" w:color="auto"/>
              <w:right w:val="single" w:sz="4" w:space="0" w:color="auto"/>
            </w:tcBorders>
            <w:shd w:val="clear" w:color="auto" w:fill="auto"/>
            <w:noWrap/>
            <w:vAlign w:val="center"/>
            <w:hideMark/>
          </w:tcPr>
          <w:p w14:paraId="47F7C0DF" w14:textId="48617D11" w:rsidR="00A54546" w:rsidRPr="00A54546" w:rsidRDefault="00A54546" w:rsidP="003B1DCD">
            <w:pPr>
              <w:rPr>
                <w:rFonts w:cs="Arial"/>
                <w:color w:val="000000"/>
                <w:sz w:val="16"/>
                <w:szCs w:val="16"/>
                <w:lang w:val="en-US" w:eastAsia="en-US"/>
              </w:rPr>
            </w:pPr>
            <w:r w:rsidRPr="00A54546">
              <w:rPr>
                <w:rFonts w:cs="Arial"/>
                <w:color w:val="000000"/>
                <w:sz w:val="16"/>
                <w:szCs w:val="16"/>
                <w:lang w:val="en-US" w:eastAsia="en-US"/>
              </w:rPr>
              <w:t xml:space="preserve"> AUD</w:t>
            </w:r>
            <w:r w:rsidR="00296707">
              <w:rPr>
                <w:rFonts w:cs="Arial"/>
                <w:color w:val="000000"/>
                <w:sz w:val="16"/>
                <w:szCs w:val="16"/>
                <w:lang w:val="en-US" w:eastAsia="en-US"/>
              </w:rPr>
              <w:t xml:space="preserve">  </w:t>
            </w:r>
            <w:r w:rsidRPr="00A54546">
              <w:rPr>
                <w:rFonts w:cs="Arial"/>
                <w:color w:val="000000"/>
                <w:sz w:val="16"/>
                <w:szCs w:val="16"/>
                <w:lang w:val="en-US" w:eastAsia="en-US"/>
              </w:rPr>
              <w:t xml:space="preserve"> 1.032 </w:t>
            </w:r>
          </w:p>
        </w:tc>
        <w:tc>
          <w:tcPr>
            <w:tcW w:w="1399" w:type="dxa"/>
            <w:tcBorders>
              <w:top w:val="single" w:sz="4" w:space="0" w:color="auto"/>
              <w:left w:val="nil"/>
              <w:bottom w:val="single" w:sz="8" w:space="0" w:color="auto"/>
              <w:right w:val="single" w:sz="4" w:space="0" w:color="auto"/>
            </w:tcBorders>
            <w:shd w:val="clear" w:color="auto" w:fill="auto"/>
            <w:noWrap/>
            <w:vAlign w:val="center"/>
            <w:hideMark/>
          </w:tcPr>
          <w:p w14:paraId="06AEFF63" w14:textId="720DE947" w:rsidR="00A54546" w:rsidRPr="00A54546" w:rsidRDefault="00A54546" w:rsidP="003B1DCD">
            <w:pPr>
              <w:rPr>
                <w:rFonts w:cs="Arial"/>
                <w:color w:val="000000"/>
                <w:sz w:val="16"/>
                <w:szCs w:val="16"/>
                <w:lang w:val="en-US" w:eastAsia="en-US"/>
              </w:rPr>
            </w:pPr>
            <w:r w:rsidRPr="00A54546">
              <w:rPr>
                <w:rFonts w:cs="Arial"/>
                <w:color w:val="000000"/>
                <w:sz w:val="16"/>
                <w:szCs w:val="16"/>
                <w:lang w:val="en-US" w:eastAsia="en-US"/>
              </w:rPr>
              <w:t xml:space="preserve"> AUD   1.046 </w:t>
            </w:r>
          </w:p>
        </w:tc>
        <w:tc>
          <w:tcPr>
            <w:tcW w:w="1399" w:type="dxa"/>
            <w:tcBorders>
              <w:top w:val="single" w:sz="4" w:space="0" w:color="auto"/>
              <w:left w:val="nil"/>
              <w:bottom w:val="single" w:sz="8" w:space="0" w:color="auto"/>
              <w:right w:val="single" w:sz="4" w:space="0" w:color="auto"/>
            </w:tcBorders>
            <w:shd w:val="clear" w:color="auto" w:fill="auto"/>
            <w:noWrap/>
            <w:vAlign w:val="center"/>
            <w:hideMark/>
          </w:tcPr>
          <w:p w14:paraId="02881A50" w14:textId="0D7D2B32" w:rsidR="00A54546" w:rsidRPr="00A54546" w:rsidRDefault="00A54546" w:rsidP="003B1DCD">
            <w:pPr>
              <w:rPr>
                <w:rFonts w:cs="Arial"/>
                <w:color w:val="000000"/>
                <w:sz w:val="16"/>
                <w:szCs w:val="16"/>
                <w:lang w:val="en-US" w:eastAsia="en-US"/>
              </w:rPr>
            </w:pPr>
            <w:r w:rsidRPr="00A54546">
              <w:rPr>
                <w:rFonts w:cs="Arial"/>
                <w:color w:val="000000"/>
                <w:sz w:val="16"/>
                <w:szCs w:val="16"/>
                <w:lang w:val="en-US" w:eastAsia="en-US"/>
              </w:rPr>
              <w:t xml:space="preserve"> AUD</w:t>
            </w:r>
            <w:r w:rsidR="00296707">
              <w:rPr>
                <w:rFonts w:cs="Arial"/>
                <w:color w:val="000000"/>
                <w:sz w:val="16"/>
                <w:szCs w:val="16"/>
                <w:lang w:val="en-US" w:eastAsia="en-US"/>
              </w:rPr>
              <w:t xml:space="preserve">  </w:t>
            </w:r>
            <w:r w:rsidRPr="00A54546">
              <w:rPr>
                <w:rFonts w:cs="Arial"/>
                <w:color w:val="000000"/>
                <w:sz w:val="16"/>
                <w:szCs w:val="16"/>
                <w:lang w:val="en-US" w:eastAsia="en-US"/>
              </w:rPr>
              <w:t xml:space="preserve"> 1.075 </w:t>
            </w:r>
          </w:p>
        </w:tc>
        <w:tc>
          <w:tcPr>
            <w:tcW w:w="1399" w:type="dxa"/>
            <w:tcBorders>
              <w:top w:val="single" w:sz="4" w:space="0" w:color="auto"/>
              <w:left w:val="nil"/>
              <w:bottom w:val="single" w:sz="8" w:space="0" w:color="auto"/>
              <w:right w:val="single" w:sz="4" w:space="0" w:color="auto"/>
            </w:tcBorders>
            <w:shd w:val="clear" w:color="auto" w:fill="auto"/>
            <w:noWrap/>
            <w:vAlign w:val="center"/>
            <w:hideMark/>
          </w:tcPr>
          <w:p w14:paraId="3A661C05" w14:textId="011F547C" w:rsidR="00A54546" w:rsidRPr="00A54546" w:rsidRDefault="00A54546" w:rsidP="003B1DCD">
            <w:pPr>
              <w:rPr>
                <w:rFonts w:cs="Arial"/>
                <w:color w:val="000000"/>
                <w:sz w:val="16"/>
                <w:szCs w:val="16"/>
                <w:lang w:val="en-US" w:eastAsia="en-US"/>
              </w:rPr>
            </w:pPr>
            <w:r w:rsidRPr="00A54546">
              <w:rPr>
                <w:rFonts w:cs="Arial"/>
                <w:color w:val="000000"/>
                <w:sz w:val="16"/>
                <w:szCs w:val="16"/>
                <w:lang w:val="en-US" w:eastAsia="en-US"/>
              </w:rPr>
              <w:t xml:space="preserve"> AUD   1.090 </w:t>
            </w:r>
          </w:p>
        </w:tc>
        <w:tc>
          <w:tcPr>
            <w:tcW w:w="1399" w:type="dxa"/>
            <w:tcBorders>
              <w:top w:val="single" w:sz="4" w:space="0" w:color="auto"/>
              <w:left w:val="nil"/>
              <w:bottom w:val="single" w:sz="8" w:space="0" w:color="auto"/>
              <w:right w:val="single" w:sz="4" w:space="0" w:color="auto"/>
            </w:tcBorders>
            <w:shd w:val="clear" w:color="auto" w:fill="auto"/>
            <w:noWrap/>
            <w:vAlign w:val="center"/>
            <w:hideMark/>
          </w:tcPr>
          <w:p w14:paraId="7A4DC50E" w14:textId="19FC14AC" w:rsidR="00A54546" w:rsidRPr="00A54546" w:rsidRDefault="00A54546" w:rsidP="003B1DCD">
            <w:pPr>
              <w:rPr>
                <w:rFonts w:cs="Arial"/>
                <w:color w:val="000000"/>
                <w:sz w:val="16"/>
                <w:szCs w:val="16"/>
                <w:lang w:val="en-US" w:eastAsia="en-US"/>
              </w:rPr>
            </w:pPr>
            <w:r w:rsidRPr="00A54546">
              <w:rPr>
                <w:rFonts w:cs="Arial"/>
                <w:color w:val="000000"/>
                <w:sz w:val="16"/>
                <w:szCs w:val="16"/>
                <w:lang w:val="en-US" w:eastAsia="en-US"/>
              </w:rPr>
              <w:t xml:space="preserve"> AUD   1.105 </w:t>
            </w:r>
          </w:p>
        </w:tc>
        <w:tc>
          <w:tcPr>
            <w:tcW w:w="1399" w:type="dxa"/>
            <w:tcBorders>
              <w:top w:val="single" w:sz="4" w:space="0" w:color="auto"/>
              <w:left w:val="nil"/>
              <w:bottom w:val="single" w:sz="8" w:space="0" w:color="auto"/>
              <w:right w:val="single" w:sz="8" w:space="0" w:color="auto"/>
            </w:tcBorders>
            <w:shd w:val="clear" w:color="auto" w:fill="auto"/>
            <w:noWrap/>
            <w:vAlign w:val="center"/>
            <w:hideMark/>
          </w:tcPr>
          <w:p w14:paraId="148DA7BE" w14:textId="389457D7" w:rsidR="00A54546" w:rsidRPr="00A54546" w:rsidRDefault="00A54546" w:rsidP="003B1DCD">
            <w:pPr>
              <w:rPr>
                <w:rFonts w:cs="Arial"/>
                <w:color w:val="000000"/>
                <w:sz w:val="16"/>
                <w:szCs w:val="16"/>
                <w:lang w:val="en-US" w:eastAsia="en-US"/>
              </w:rPr>
            </w:pPr>
            <w:r w:rsidRPr="00A54546">
              <w:rPr>
                <w:rFonts w:cs="Arial"/>
                <w:color w:val="000000"/>
                <w:sz w:val="16"/>
                <w:szCs w:val="16"/>
                <w:lang w:val="en-US" w:eastAsia="en-US"/>
              </w:rPr>
              <w:t xml:space="preserve"> AUD</w:t>
            </w:r>
            <w:r w:rsidR="00296707">
              <w:rPr>
                <w:rFonts w:cs="Arial"/>
                <w:color w:val="000000"/>
                <w:sz w:val="16"/>
                <w:szCs w:val="16"/>
                <w:lang w:val="en-US" w:eastAsia="en-US"/>
              </w:rPr>
              <w:t xml:space="preserve">  </w:t>
            </w:r>
            <w:r w:rsidRPr="00A54546">
              <w:rPr>
                <w:rFonts w:cs="Arial"/>
                <w:color w:val="000000"/>
                <w:sz w:val="16"/>
                <w:szCs w:val="16"/>
                <w:lang w:val="en-US" w:eastAsia="en-US"/>
              </w:rPr>
              <w:t xml:space="preserve"> 1.119 </w:t>
            </w:r>
          </w:p>
        </w:tc>
      </w:tr>
      <w:tr w:rsidR="00A54546" w:rsidRPr="00A54546" w14:paraId="562D5A44" w14:textId="77777777" w:rsidTr="00BF0EEF">
        <w:trPr>
          <w:trHeight w:val="465"/>
          <w:jc w:val="center"/>
        </w:trPr>
        <w:tc>
          <w:tcPr>
            <w:tcW w:w="550" w:type="dxa"/>
            <w:tcBorders>
              <w:top w:val="nil"/>
              <w:left w:val="single" w:sz="8" w:space="0" w:color="auto"/>
              <w:bottom w:val="single" w:sz="8" w:space="0" w:color="auto"/>
              <w:right w:val="single" w:sz="4" w:space="0" w:color="auto"/>
            </w:tcBorders>
            <w:shd w:val="clear" w:color="auto" w:fill="auto"/>
            <w:noWrap/>
            <w:vAlign w:val="center"/>
            <w:hideMark/>
          </w:tcPr>
          <w:p w14:paraId="69A6B290" w14:textId="77777777" w:rsidR="00A54546" w:rsidRPr="00A54546" w:rsidRDefault="00A54546" w:rsidP="00A54546">
            <w:pPr>
              <w:rPr>
                <w:rFonts w:cs="Arial"/>
                <w:b/>
                <w:bCs/>
                <w:color w:val="000000"/>
                <w:sz w:val="20"/>
                <w:szCs w:val="20"/>
                <w:lang w:val="en-US" w:eastAsia="en-US"/>
              </w:rPr>
            </w:pPr>
            <w:r w:rsidRPr="00A54546">
              <w:rPr>
                <w:rFonts w:cs="Arial"/>
                <w:b/>
                <w:bCs/>
                <w:color w:val="000000"/>
                <w:sz w:val="20"/>
                <w:szCs w:val="20"/>
                <w:lang w:val="en-US" w:eastAsia="en-US"/>
              </w:rPr>
              <w:t>AQ</w:t>
            </w:r>
          </w:p>
        </w:tc>
        <w:tc>
          <w:tcPr>
            <w:tcW w:w="3090" w:type="dxa"/>
            <w:tcBorders>
              <w:top w:val="nil"/>
              <w:left w:val="nil"/>
              <w:bottom w:val="single" w:sz="8" w:space="0" w:color="auto"/>
              <w:right w:val="single" w:sz="4" w:space="0" w:color="auto"/>
            </w:tcBorders>
            <w:shd w:val="clear" w:color="auto" w:fill="auto"/>
            <w:vAlign w:val="center"/>
            <w:hideMark/>
          </w:tcPr>
          <w:p w14:paraId="3B1D220B" w14:textId="77777777" w:rsidR="00A54546" w:rsidRPr="00A54546" w:rsidRDefault="00A54546" w:rsidP="00A54546">
            <w:pPr>
              <w:rPr>
                <w:rFonts w:cs="Arial"/>
                <w:color w:val="000000"/>
                <w:sz w:val="20"/>
                <w:szCs w:val="20"/>
                <w:lang w:val="en-US" w:eastAsia="en-US"/>
              </w:rPr>
            </w:pPr>
            <w:r w:rsidRPr="00A54546">
              <w:rPr>
                <w:rFonts w:cs="Arial"/>
                <w:color w:val="000000"/>
                <w:sz w:val="20"/>
                <w:szCs w:val="20"/>
                <w:lang w:val="en-US" w:eastAsia="en-US"/>
              </w:rPr>
              <w:t>Post-operational</w:t>
            </w:r>
          </w:p>
        </w:tc>
        <w:tc>
          <w:tcPr>
            <w:tcW w:w="1806" w:type="dxa"/>
            <w:tcBorders>
              <w:top w:val="nil"/>
              <w:left w:val="nil"/>
              <w:bottom w:val="single" w:sz="8" w:space="0" w:color="auto"/>
              <w:right w:val="single" w:sz="4" w:space="0" w:color="auto"/>
            </w:tcBorders>
            <w:shd w:val="clear" w:color="auto" w:fill="auto"/>
            <w:vAlign w:val="center"/>
            <w:hideMark/>
          </w:tcPr>
          <w:p w14:paraId="67AFD0C4" w14:textId="77777777" w:rsidR="00A54546" w:rsidRPr="00A54546" w:rsidRDefault="00A54546" w:rsidP="00A54546">
            <w:pPr>
              <w:rPr>
                <w:rFonts w:cs="Arial"/>
                <w:color w:val="000000"/>
                <w:sz w:val="16"/>
                <w:szCs w:val="16"/>
                <w:lang w:val="en-US" w:eastAsia="en-US"/>
              </w:rPr>
            </w:pPr>
            <w:r w:rsidRPr="00A54546">
              <w:rPr>
                <w:rFonts w:cs="Arial"/>
                <w:color w:val="000000"/>
                <w:sz w:val="16"/>
                <w:szCs w:val="16"/>
                <w:lang w:val="en-US" w:eastAsia="en-US"/>
              </w:rPr>
              <w:fldChar w:fldCharType="begin"/>
            </w:r>
            <w:r w:rsidRPr="00A54546">
              <w:rPr>
                <w:rFonts w:cs="Arial"/>
                <w:color w:val="000000"/>
                <w:sz w:val="16"/>
                <w:szCs w:val="16"/>
                <w:lang w:val="en-US" w:eastAsia="en-US"/>
              </w:rPr>
              <w:instrText xml:space="preserve"> REF _Ref430947292 \h </w:instrText>
            </w:r>
            <w:r>
              <w:rPr>
                <w:rFonts w:cs="Arial"/>
                <w:color w:val="000000"/>
                <w:sz w:val="16"/>
                <w:szCs w:val="16"/>
                <w:lang w:val="en-US" w:eastAsia="en-US"/>
              </w:rPr>
              <w:instrText xml:space="preserve"> \* MERGEFORMAT </w:instrText>
            </w:r>
            <w:r w:rsidRPr="00A54546">
              <w:rPr>
                <w:rFonts w:cs="Arial"/>
                <w:color w:val="000000"/>
                <w:sz w:val="16"/>
                <w:szCs w:val="16"/>
                <w:lang w:val="en-US" w:eastAsia="en-US"/>
              </w:rPr>
            </w:r>
            <w:r w:rsidRPr="00A54546">
              <w:rPr>
                <w:rFonts w:cs="Arial"/>
                <w:color w:val="000000"/>
                <w:sz w:val="16"/>
                <w:szCs w:val="16"/>
                <w:lang w:val="en-US" w:eastAsia="en-US"/>
              </w:rPr>
              <w:fldChar w:fldCharType="separate"/>
            </w:r>
            <w:r w:rsidR="00016592" w:rsidRPr="00016592">
              <w:rPr>
                <w:rFonts w:cs="Arial"/>
                <w:sz w:val="16"/>
                <w:szCs w:val="16"/>
              </w:rPr>
              <w:t xml:space="preserve">Table </w:t>
            </w:r>
            <w:r w:rsidR="00016592" w:rsidRPr="00016592">
              <w:rPr>
                <w:rFonts w:cs="Arial"/>
                <w:noProof/>
                <w:sz w:val="16"/>
                <w:szCs w:val="16"/>
              </w:rPr>
              <w:t>65</w:t>
            </w:r>
            <w:r w:rsidRPr="00A54546">
              <w:rPr>
                <w:rFonts w:cs="Arial"/>
                <w:color w:val="000000"/>
                <w:sz w:val="16"/>
                <w:szCs w:val="16"/>
                <w:lang w:val="en-US" w:eastAsia="en-US"/>
              </w:rPr>
              <w:fldChar w:fldCharType="end"/>
            </w:r>
            <w:r w:rsidRPr="00A54546">
              <w:rPr>
                <w:rFonts w:cs="Arial"/>
                <w:color w:val="000000"/>
                <w:sz w:val="16"/>
                <w:szCs w:val="16"/>
                <w:lang w:val="en-US" w:eastAsia="en-US"/>
              </w:rPr>
              <w:t>, row AJ x 0,0272</w:t>
            </w:r>
          </w:p>
        </w:tc>
        <w:tc>
          <w:tcPr>
            <w:tcW w:w="1622" w:type="dxa"/>
            <w:tcBorders>
              <w:top w:val="single" w:sz="4" w:space="0" w:color="auto"/>
              <w:left w:val="nil"/>
              <w:bottom w:val="single" w:sz="8" w:space="0" w:color="auto"/>
              <w:right w:val="single" w:sz="4" w:space="0" w:color="auto"/>
            </w:tcBorders>
            <w:shd w:val="clear" w:color="auto" w:fill="auto"/>
            <w:noWrap/>
            <w:vAlign w:val="center"/>
            <w:hideMark/>
          </w:tcPr>
          <w:p w14:paraId="5EE8E810" w14:textId="1BBA0545" w:rsidR="00A54546" w:rsidRPr="00A54546" w:rsidRDefault="00A54546" w:rsidP="003B1DCD">
            <w:pPr>
              <w:rPr>
                <w:rFonts w:cs="Arial"/>
                <w:color w:val="000000"/>
                <w:sz w:val="16"/>
                <w:szCs w:val="16"/>
                <w:lang w:val="en-US" w:eastAsia="en-US"/>
              </w:rPr>
            </w:pPr>
            <w:r w:rsidRPr="00A54546">
              <w:rPr>
                <w:rFonts w:cs="Arial"/>
                <w:color w:val="000000"/>
                <w:sz w:val="16"/>
                <w:szCs w:val="16"/>
                <w:lang w:val="en-US" w:eastAsia="en-US"/>
              </w:rPr>
              <w:t xml:space="preserve"> AUD</w:t>
            </w:r>
            <w:r w:rsidR="00296707">
              <w:rPr>
                <w:rFonts w:cs="Arial"/>
                <w:color w:val="000000"/>
                <w:sz w:val="16"/>
                <w:szCs w:val="16"/>
                <w:lang w:val="en-US" w:eastAsia="en-US"/>
              </w:rPr>
              <w:t xml:space="preserve">  </w:t>
            </w:r>
            <w:r w:rsidRPr="00A54546">
              <w:rPr>
                <w:rFonts w:cs="Arial"/>
                <w:color w:val="000000"/>
                <w:sz w:val="16"/>
                <w:szCs w:val="16"/>
                <w:lang w:val="en-US" w:eastAsia="en-US"/>
              </w:rPr>
              <w:t xml:space="preserve"> 583 </w:t>
            </w:r>
          </w:p>
        </w:tc>
        <w:tc>
          <w:tcPr>
            <w:tcW w:w="1399" w:type="dxa"/>
            <w:tcBorders>
              <w:top w:val="single" w:sz="4" w:space="0" w:color="auto"/>
              <w:left w:val="nil"/>
              <w:bottom w:val="single" w:sz="8" w:space="0" w:color="auto"/>
              <w:right w:val="single" w:sz="4" w:space="0" w:color="auto"/>
            </w:tcBorders>
            <w:shd w:val="clear" w:color="auto" w:fill="auto"/>
            <w:noWrap/>
            <w:vAlign w:val="center"/>
            <w:hideMark/>
          </w:tcPr>
          <w:p w14:paraId="281B8721" w14:textId="54B86E6C" w:rsidR="00A54546" w:rsidRPr="00A54546" w:rsidRDefault="00296707" w:rsidP="003B1DCD">
            <w:pPr>
              <w:rPr>
                <w:rFonts w:cs="Arial"/>
                <w:color w:val="000000"/>
                <w:sz w:val="16"/>
                <w:szCs w:val="16"/>
                <w:lang w:val="en-US" w:eastAsia="en-US"/>
              </w:rPr>
            </w:pPr>
            <w:r>
              <w:rPr>
                <w:rFonts w:cs="Arial"/>
                <w:color w:val="000000"/>
                <w:sz w:val="16"/>
                <w:szCs w:val="16"/>
                <w:lang w:val="en-US" w:eastAsia="en-US"/>
              </w:rPr>
              <w:t xml:space="preserve"> AUD   </w:t>
            </w:r>
            <w:r w:rsidR="00A54546" w:rsidRPr="00A54546">
              <w:rPr>
                <w:rFonts w:cs="Arial"/>
                <w:color w:val="000000"/>
                <w:sz w:val="16"/>
                <w:szCs w:val="16"/>
                <w:lang w:val="en-US" w:eastAsia="en-US"/>
              </w:rPr>
              <w:t xml:space="preserve">591 </w:t>
            </w:r>
          </w:p>
        </w:tc>
        <w:tc>
          <w:tcPr>
            <w:tcW w:w="1399" w:type="dxa"/>
            <w:tcBorders>
              <w:top w:val="single" w:sz="4" w:space="0" w:color="auto"/>
              <w:left w:val="nil"/>
              <w:bottom w:val="single" w:sz="8" w:space="0" w:color="auto"/>
              <w:right w:val="single" w:sz="4" w:space="0" w:color="auto"/>
            </w:tcBorders>
            <w:shd w:val="clear" w:color="auto" w:fill="auto"/>
            <w:noWrap/>
            <w:vAlign w:val="center"/>
            <w:hideMark/>
          </w:tcPr>
          <w:p w14:paraId="431BC43F" w14:textId="6274342F" w:rsidR="00A54546" w:rsidRPr="00A54546" w:rsidRDefault="00A54546" w:rsidP="003B1DCD">
            <w:pPr>
              <w:rPr>
                <w:rFonts w:cs="Arial"/>
                <w:color w:val="000000"/>
                <w:sz w:val="16"/>
                <w:szCs w:val="16"/>
                <w:lang w:val="en-US" w:eastAsia="en-US"/>
              </w:rPr>
            </w:pPr>
            <w:r w:rsidRPr="00A54546">
              <w:rPr>
                <w:rFonts w:cs="Arial"/>
                <w:color w:val="000000"/>
                <w:sz w:val="16"/>
                <w:szCs w:val="16"/>
                <w:lang w:val="en-US" w:eastAsia="en-US"/>
              </w:rPr>
              <w:t xml:space="preserve"> AUD</w:t>
            </w:r>
            <w:r w:rsidR="00600E9D">
              <w:rPr>
                <w:rFonts w:cs="Arial"/>
                <w:color w:val="000000"/>
                <w:sz w:val="16"/>
                <w:szCs w:val="16"/>
                <w:lang w:val="en-US" w:eastAsia="en-US"/>
              </w:rPr>
              <w:t xml:space="preserve">   </w:t>
            </w:r>
            <w:r w:rsidRPr="00A54546">
              <w:rPr>
                <w:rFonts w:cs="Arial"/>
                <w:color w:val="000000"/>
                <w:sz w:val="16"/>
                <w:szCs w:val="16"/>
                <w:lang w:val="en-US" w:eastAsia="en-US"/>
              </w:rPr>
              <w:t xml:space="preserve">607 </w:t>
            </w:r>
          </w:p>
        </w:tc>
        <w:tc>
          <w:tcPr>
            <w:tcW w:w="1399" w:type="dxa"/>
            <w:tcBorders>
              <w:top w:val="single" w:sz="4" w:space="0" w:color="auto"/>
              <w:left w:val="nil"/>
              <w:bottom w:val="single" w:sz="8" w:space="0" w:color="auto"/>
              <w:right w:val="single" w:sz="4" w:space="0" w:color="auto"/>
            </w:tcBorders>
            <w:shd w:val="clear" w:color="auto" w:fill="auto"/>
            <w:noWrap/>
            <w:vAlign w:val="center"/>
            <w:hideMark/>
          </w:tcPr>
          <w:p w14:paraId="1B4474C3" w14:textId="6E4E0785" w:rsidR="00A54546" w:rsidRPr="00A54546" w:rsidRDefault="00A54546" w:rsidP="003B1DCD">
            <w:pPr>
              <w:rPr>
                <w:rFonts w:cs="Arial"/>
                <w:color w:val="000000"/>
                <w:sz w:val="16"/>
                <w:szCs w:val="16"/>
                <w:lang w:val="en-US" w:eastAsia="en-US"/>
              </w:rPr>
            </w:pPr>
            <w:r w:rsidRPr="00A54546">
              <w:rPr>
                <w:rFonts w:cs="Arial"/>
                <w:color w:val="000000"/>
                <w:sz w:val="16"/>
                <w:szCs w:val="16"/>
                <w:lang w:val="en-US" w:eastAsia="en-US"/>
              </w:rPr>
              <w:t xml:space="preserve"> AUD</w:t>
            </w:r>
            <w:r w:rsidR="00600E9D">
              <w:rPr>
                <w:rFonts w:cs="Arial"/>
                <w:color w:val="000000"/>
                <w:sz w:val="16"/>
                <w:szCs w:val="16"/>
                <w:lang w:val="en-US" w:eastAsia="en-US"/>
              </w:rPr>
              <w:t xml:space="preserve">   </w:t>
            </w:r>
            <w:r w:rsidRPr="00A54546">
              <w:rPr>
                <w:rFonts w:cs="Arial"/>
                <w:color w:val="000000"/>
                <w:sz w:val="16"/>
                <w:szCs w:val="16"/>
                <w:lang w:val="en-US" w:eastAsia="en-US"/>
              </w:rPr>
              <w:t xml:space="preserve">616 </w:t>
            </w:r>
          </w:p>
        </w:tc>
        <w:tc>
          <w:tcPr>
            <w:tcW w:w="1399" w:type="dxa"/>
            <w:tcBorders>
              <w:top w:val="single" w:sz="4" w:space="0" w:color="auto"/>
              <w:left w:val="nil"/>
              <w:bottom w:val="single" w:sz="8" w:space="0" w:color="auto"/>
              <w:right w:val="single" w:sz="4" w:space="0" w:color="auto"/>
            </w:tcBorders>
            <w:shd w:val="clear" w:color="auto" w:fill="auto"/>
            <w:noWrap/>
            <w:vAlign w:val="center"/>
            <w:hideMark/>
          </w:tcPr>
          <w:p w14:paraId="2C402872" w14:textId="463BF345" w:rsidR="00A54546" w:rsidRPr="00A54546" w:rsidRDefault="00A54546" w:rsidP="003B1DCD">
            <w:pPr>
              <w:rPr>
                <w:rFonts w:cs="Arial"/>
                <w:color w:val="000000"/>
                <w:sz w:val="16"/>
                <w:szCs w:val="16"/>
                <w:lang w:val="en-US" w:eastAsia="en-US"/>
              </w:rPr>
            </w:pPr>
            <w:r w:rsidRPr="00A54546">
              <w:rPr>
                <w:rFonts w:cs="Arial"/>
                <w:color w:val="000000"/>
                <w:sz w:val="16"/>
                <w:szCs w:val="16"/>
                <w:lang w:val="en-US" w:eastAsia="en-US"/>
              </w:rPr>
              <w:t xml:space="preserve"> AUD</w:t>
            </w:r>
            <w:r w:rsidR="00600E9D">
              <w:rPr>
                <w:rFonts w:cs="Arial"/>
                <w:color w:val="000000"/>
                <w:sz w:val="16"/>
                <w:szCs w:val="16"/>
                <w:lang w:val="en-US" w:eastAsia="en-US"/>
              </w:rPr>
              <w:t xml:space="preserve">   </w:t>
            </w:r>
            <w:r w:rsidRPr="00A54546">
              <w:rPr>
                <w:rFonts w:cs="Arial"/>
                <w:color w:val="000000"/>
                <w:sz w:val="16"/>
                <w:szCs w:val="16"/>
                <w:lang w:val="en-US" w:eastAsia="en-US"/>
              </w:rPr>
              <w:t xml:space="preserve">624 </w:t>
            </w:r>
          </w:p>
        </w:tc>
        <w:tc>
          <w:tcPr>
            <w:tcW w:w="1399" w:type="dxa"/>
            <w:tcBorders>
              <w:top w:val="single" w:sz="4" w:space="0" w:color="auto"/>
              <w:left w:val="nil"/>
              <w:bottom w:val="single" w:sz="8" w:space="0" w:color="auto"/>
              <w:right w:val="single" w:sz="8" w:space="0" w:color="auto"/>
            </w:tcBorders>
            <w:shd w:val="clear" w:color="auto" w:fill="auto"/>
            <w:noWrap/>
            <w:vAlign w:val="center"/>
            <w:hideMark/>
          </w:tcPr>
          <w:p w14:paraId="345C5B75" w14:textId="1A6557BD" w:rsidR="00A54546" w:rsidRPr="00A54546" w:rsidRDefault="00A54546" w:rsidP="003B1DCD">
            <w:pPr>
              <w:rPr>
                <w:rFonts w:cs="Arial"/>
                <w:color w:val="000000"/>
                <w:sz w:val="16"/>
                <w:szCs w:val="16"/>
                <w:lang w:val="en-US" w:eastAsia="en-US"/>
              </w:rPr>
            </w:pPr>
            <w:r w:rsidRPr="00A54546">
              <w:rPr>
                <w:rFonts w:cs="Arial"/>
                <w:color w:val="000000"/>
                <w:sz w:val="16"/>
                <w:szCs w:val="16"/>
                <w:lang w:val="en-US" w:eastAsia="en-US"/>
              </w:rPr>
              <w:t xml:space="preserve"> AUD</w:t>
            </w:r>
            <w:r w:rsidR="00600E9D">
              <w:rPr>
                <w:rFonts w:cs="Arial"/>
                <w:color w:val="000000"/>
                <w:sz w:val="16"/>
                <w:szCs w:val="16"/>
                <w:lang w:val="en-US" w:eastAsia="en-US"/>
              </w:rPr>
              <w:t xml:space="preserve">   </w:t>
            </w:r>
            <w:r w:rsidRPr="00A54546">
              <w:rPr>
                <w:rFonts w:cs="Arial"/>
                <w:color w:val="000000"/>
                <w:sz w:val="16"/>
                <w:szCs w:val="16"/>
                <w:lang w:val="en-US" w:eastAsia="en-US"/>
              </w:rPr>
              <w:t xml:space="preserve">632 </w:t>
            </w:r>
          </w:p>
        </w:tc>
      </w:tr>
      <w:tr w:rsidR="00A54546" w:rsidRPr="00A54546" w14:paraId="62563A09" w14:textId="77777777" w:rsidTr="00BF0EEF">
        <w:trPr>
          <w:trHeight w:val="525"/>
          <w:jc w:val="center"/>
        </w:trPr>
        <w:tc>
          <w:tcPr>
            <w:tcW w:w="550" w:type="dxa"/>
            <w:tcBorders>
              <w:top w:val="single" w:sz="4" w:space="0" w:color="auto"/>
              <w:left w:val="single" w:sz="8" w:space="0" w:color="auto"/>
              <w:bottom w:val="single" w:sz="8" w:space="0" w:color="auto"/>
              <w:right w:val="single" w:sz="4" w:space="0" w:color="auto"/>
            </w:tcBorders>
            <w:shd w:val="clear" w:color="000000" w:fill="C5D9F1"/>
            <w:noWrap/>
            <w:vAlign w:val="center"/>
            <w:hideMark/>
          </w:tcPr>
          <w:p w14:paraId="24ECB67A" w14:textId="77777777" w:rsidR="00A54546" w:rsidRPr="00A54546" w:rsidRDefault="00A54546" w:rsidP="00A54546">
            <w:pPr>
              <w:rPr>
                <w:rFonts w:cs="Arial"/>
                <w:b/>
                <w:bCs/>
                <w:color w:val="000000"/>
                <w:sz w:val="20"/>
                <w:szCs w:val="20"/>
                <w:lang w:val="en-US" w:eastAsia="en-US"/>
              </w:rPr>
            </w:pPr>
            <w:r w:rsidRPr="00A54546">
              <w:rPr>
                <w:rFonts w:cs="Arial"/>
                <w:b/>
                <w:bCs/>
                <w:color w:val="000000"/>
                <w:sz w:val="20"/>
                <w:szCs w:val="20"/>
                <w:lang w:val="en-US" w:eastAsia="en-US"/>
              </w:rPr>
              <w:t>AR</w:t>
            </w:r>
          </w:p>
        </w:tc>
        <w:tc>
          <w:tcPr>
            <w:tcW w:w="3090" w:type="dxa"/>
            <w:tcBorders>
              <w:top w:val="single" w:sz="4" w:space="0" w:color="auto"/>
              <w:left w:val="nil"/>
              <w:bottom w:val="single" w:sz="8" w:space="0" w:color="auto"/>
              <w:right w:val="single" w:sz="4" w:space="0" w:color="auto"/>
            </w:tcBorders>
            <w:shd w:val="clear" w:color="000000" w:fill="C5D9F1"/>
            <w:vAlign w:val="center"/>
            <w:hideMark/>
          </w:tcPr>
          <w:p w14:paraId="28211CA5" w14:textId="77777777" w:rsidR="00A54546" w:rsidRPr="00A54546" w:rsidRDefault="00A54546" w:rsidP="00A54546">
            <w:pPr>
              <w:rPr>
                <w:rFonts w:cs="Arial"/>
                <w:color w:val="000000"/>
                <w:sz w:val="20"/>
                <w:szCs w:val="20"/>
                <w:lang w:val="en-US" w:eastAsia="en-US"/>
              </w:rPr>
            </w:pPr>
            <w:r w:rsidRPr="00A54546">
              <w:rPr>
                <w:rFonts w:cs="Arial"/>
                <w:color w:val="000000"/>
                <w:sz w:val="20"/>
                <w:szCs w:val="20"/>
                <w:lang w:val="en-US" w:eastAsia="en-US"/>
              </w:rPr>
              <w:t>Total cost to MBS of re-implantation</w:t>
            </w:r>
          </w:p>
        </w:tc>
        <w:tc>
          <w:tcPr>
            <w:tcW w:w="1806" w:type="dxa"/>
            <w:tcBorders>
              <w:top w:val="single" w:sz="4" w:space="0" w:color="auto"/>
              <w:left w:val="nil"/>
              <w:bottom w:val="single" w:sz="8" w:space="0" w:color="auto"/>
              <w:right w:val="single" w:sz="4" w:space="0" w:color="auto"/>
            </w:tcBorders>
            <w:shd w:val="clear" w:color="000000" w:fill="C5D9F1"/>
            <w:vAlign w:val="center"/>
            <w:hideMark/>
          </w:tcPr>
          <w:p w14:paraId="1954B3DF" w14:textId="77777777" w:rsidR="00A54546" w:rsidRPr="00A54546" w:rsidRDefault="00A54546" w:rsidP="00A54546">
            <w:pPr>
              <w:rPr>
                <w:rFonts w:cs="Arial"/>
                <w:color w:val="000000"/>
                <w:sz w:val="16"/>
                <w:szCs w:val="16"/>
                <w:lang w:val="en-US" w:eastAsia="en-US"/>
              </w:rPr>
            </w:pPr>
            <w:r w:rsidRPr="00A54546">
              <w:rPr>
                <w:rFonts w:cs="Arial"/>
                <w:color w:val="000000"/>
                <w:sz w:val="16"/>
                <w:szCs w:val="16"/>
                <w:lang w:val="en-US" w:eastAsia="en-US"/>
              </w:rPr>
              <w:t>AN + AO + AP + AQ</w:t>
            </w:r>
          </w:p>
        </w:tc>
        <w:tc>
          <w:tcPr>
            <w:tcW w:w="1622" w:type="dxa"/>
            <w:tcBorders>
              <w:top w:val="single" w:sz="4" w:space="0" w:color="auto"/>
              <w:left w:val="nil"/>
              <w:bottom w:val="single" w:sz="8" w:space="0" w:color="auto"/>
              <w:right w:val="single" w:sz="4" w:space="0" w:color="auto"/>
            </w:tcBorders>
            <w:shd w:val="clear" w:color="000000" w:fill="C5D9F1"/>
            <w:noWrap/>
            <w:vAlign w:val="center"/>
            <w:hideMark/>
          </w:tcPr>
          <w:p w14:paraId="618521E4" w14:textId="3FE20F42" w:rsidR="00A54546" w:rsidRPr="00A54546" w:rsidRDefault="00A54546" w:rsidP="003B1DCD">
            <w:pPr>
              <w:rPr>
                <w:rFonts w:cs="Arial"/>
                <w:color w:val="000000"/>
                <w:sz w:val="16"/>
                <w:szCs w:val="16"/>
                <w:lang w:val="en-US" w:eastAsia="en-US"/>
              </w:rPr>
            </w:pPr>
            <w:r w:rsidRPr="00A54546">
              <w:rPr>
                <w:rFonts w:cs="Arial"/>
                <w:color w:val="000000"/>
                <w:sz w:val="16"/>
                <w:szCs w:val="16"/>
                <w:lang w:val="en-US" w:eastAsia="en-US"/>
              </w:rPr>
              <w:t xml:space="preserve"> AUD</w:t>
            </w:r>
            <w:r w:rsidR="00600E9D">
              <w:rPr>
                <w:rFonts w:cs="Arial"/>
                <w:color w:val="000000"/>
                <w:sz w:val="16"/>
                <w:szCs w:val="16"/>
                <w:lang w:val="en-US" w:eastAsia="en-US"/>
              </w:rPr>
              <w:t xml:space="preserve">   </w:t>
            </w:r>
            <w:r w:rsidRPr="00A54546">
              <w:rPr>
                <w:rFonts w:cs="Arial"/>
                <w:color w:val="000000"/>
                <w:sz w:val="16"/>
                <w:szCs w:val="16"/>
                <w:lang w:val="en-US" w:eastAsia="en-US"/>
              </w:rPr>
              <w:t xml:space="preserve">7.366 </w:t>
            </w:r>
          </w:p>
        </w:tc>
        <w:tc>
          <w:tcPr>
            <w:tcW w:w="1399" w:type="dxa"/>
            <w:tcBorders>
              <w:top w:val="single" w:sz="4" w:space="0" w:color="auto"/>
              <w:left w:val="nil"/>
              <w:bottom w:val="single" w:sz="8" w:space="0" w:color="auto"/>
              <w:right w:val="single" w:sz="4" w:space="0" w:color="auto"/>
            </w:tcBorders>
            <w:shd w:val="clear" w:color="000000" w:fill="C5D9F1"/>
            <w:noWrap/>
            <w:vAlign w:val="center"/>
            <w:hideMark/>
          </w:tcPr>
          <w:p w14:paraId="4B72044A" w14:textId="44DCF7FB" w:rsidR="00A54546" w:rsidRPr="00A54546" w:rsidRDefault="00A54546" w:rsidP="003B1DCD">
            <w:pPr>
              <w:rPr>
                <w:rFonts w:cs="Arial"/>
                <w:color w:val="000000"/>
                <w:sz w:val="16"/>
                <w:szCs w:val="16"/>
                <w:lang w:val="en-US" w:eastAsia="en-US"/>
              </w:rPr>
            </w:pPr>
            <w:r w:rsidRPr="00A54546">
              <w:rPr>
                <w:rFonts w:cs="Arial"/>
                <w:color w:val="000000"/>
                <w:sz w:val="16"/>
                <w:szCs w:val="16"/>
                <w:lang w:val="en-US" w:eastAsia="en-US"/>
              </w:rPr>
              <w:t xml:space="preserve"> AUD</w:t>
            </w:r>
            <w:r w:rsidR="00600E9D">
              <w:rPr>
                <w:rFonts w:cs="Arial"/>
                <w:color w:val="000000"/>
                <w:sz w:val="16"/>
                <w:szCs w:val="16"/>
                <w:lang w:val="en-US" w:eastAsia="en-US"/>
              </w:rPr>
              <w:t xml:space="preserve">   </w:t>
            </w:r>
            <w:r w:rsidRPr="00A54546">
              <w:rPr>
                <w:rFonts w:cs="Arial"/>
                <w:color w:val="000000"/>
                <w:sz w:val="16"/>
                <w:szCs w:val="16"/>
                <w:lang w:val="en-US" w:eastAsia="en-US"/>
              </w:rPr>
              <w:t xml:space="preserve">7.469 </w:t>
            </w:r>
          </w:p>
        </w:tc>
        <w:tc>
          <w:tcPr>
            <w:tcW w:w="1399" w:type="dxa"/>
            <w:tcBorders>
              <w:top w:val="single" w:sz="4" w:space="0" w:color="auto"/>
              <w:left w:val="nil"/>
              <w:bottom w:val="single" w:sz="8" w:space="0" w:color="auto"/>
              <w:right w:val="single" w:sz="4" w:space="0" w:color="auto"/>
            </w:tcBorders>
            <w:shd w:val="clear" w:color="000000" w:fill="C5D9F1"/>
            <w:noWrap/>
            <w:vAlign w:val="center"/>
            <w:hideMark/>
          </w:tcPr>
          <w:p w14:paraId="701B6A44" w14:textId="1817804A" w:rsidR="00A54546" w:rsidRPr="00A54546" w:rsidRDefault="00A54546" w:rsidP="003B1DCD">
            <w:pPr>
              <w:rPr>
                <w:rFonts w:cs="Arial"/>
                <w:color w:val="000000"/>
                <w:sz w:val="16"/>
                <w:szCs w:val="16"/>
                <w:lang w:val="en-US" w:eastAsia="en-US"/>
              </w:rPr>
            </w:pPr>
            <w:r w:rsidRPr="00A54546">
              <w:rPr>
                <w:rFonts w:cs="Arial"/>
                <w:color w:val="000000"/>
                <w:sz w:val="16"/>
                <w:szCs w:val="16"/>
                <w:lang w:val="en-US" w:eastAsia="en-US"/>
              </w:rPr>
              <w:t xml:space="preserve"> AUD</w:t>
            </w:r>
            <w:r w:rsidR="00600E9D">
              <w:rPr>
                <w:rFonts w:cs="Arial"/>
                <w:color w:val="000000"/>
                <w:sz w:val="16"/>
                <w:szCs w:val="16"/>
                <w:lang w:val="en-US" w:eastAsia="en-US"/>
              </w:rPr>
              <w:t xml:space="preserve">   </w:t>
            </w:r>
            <w:r w:rsidRPr="00A54546">
              <w:rPr>
                <w:rFonts w:cs="Arial"/>
                <w:color w:val="000000"/>
                <w:sz w:val="16"/>
                <w:szCs w:val="16"/>
                <w:lang w:val="en-US" w:eastAsia="en-US"/>
              </w:rPr>
              <w:t xml:space="preserve">7.677 </w:t>
            </w:r>
          </w:p>
        </w:tc>
        <w:tc>
          <w:tcPr>
            <w:tcW w:w="1399" w:type="dxa"/>
            <w:tcBorders>
              <w:top w:val="single" w:sz="4" w:space="0" w:color="auto"/>
              <w:left w:val="nil"/>
              <w:bottom w:val="single" w:sz="8" w:space="0" w:color="auto"/>
              <w:right w:val="single" w:sz="4" w:space="0" w:color="auto"/>
            </w:tcBorders>
            <w:shd w:val="clear" w:color="000000" w:fill="C5D9F1"/>
            <w:noWrap/>
            <w:vAlign w:val="center"/>
            <w:hideMark/>
          </w:tcPr>
          <w:p w14:paraId="66C8954F" w14:textId="7938E714" w:rsidR="00A54546" w:rsidRPr="00A54546" w:rsidRDefault="00A54546" w:rsidP="003B1DCD">
            <w:pPr>
              <w:rPr>
                <w:rFonts w:cs="Arial"/>
                <w:color w:val="000000"/>
                <w:sz w:val="16"/>
                <w:szCs w:val="16"/>
                <w:lang w:val="en-US" w:eastAsia="en-US"/>
              </w:rPr>
            </w:pPr>
            <w:r w:rsidRPr="00A54546">
              <w:rPr>
                <w:rFonts w:cs="Arial"/>
                <w:color w:val="000000"/>
                <w:sz w:val="16"/>
                <w:szCs w:val="16"/>
                <w:lang w:val="en-US" w:eastAsia="en-US"/>
              </w:rPr>
              <w:t xml:space="preserve"> AUD</w:t>
            </w:r>
            <w:r w:rsidR="00600E9D">
              <w:rPr>
                <w:rFonts w:cs="Arial"/>
                <w:color w:val="000000"/>
                <w:sz w:val="16"/>
                <w:szCs w:val="16"/>
                <w:lang w:val="en-US" w:eastAsia="en-US"/>
              </w:rPr>
              <w:t xml:space="preserve">   </w:t>
            </w:r>
            <w:r w:rsidRPr="00A54546">
              <w:rPr>
                <w:rFonts w:cs="Arial"/>
                <w:color w:val="000000"/>
                <w:sz w:val="16"/>
                <w:szCs w:val="16"/>
                <w:lang w:val="en-US" w:eastAsia="en-US"/>
              </w:rPr>
              <w:t xml:space="preserve">7.781 </w:t>
            </w:r>
          </w:p>
        </w:tc>
        <w:tc>
          <w:tcPr>
            <w:tcW w:w="1399" w:type="dxa"/>
            <w:tcBorders>
              <w:top w:val="single" w:sz="4" w:space="0" w:color="auto"/>
              <w:left w:val="nil"/>
              <w:bottom w:val="single" w:sz="8" w:space="0" w:color="auto"/>
              <w:right w:val="single" w:sz="4" w:space="0" w:color="auto"/>
            </w:tcBorders>
            <w:shd w:val="clear" w:color="000000" w:fill="C5D9F1"/>
            <w:noWrap/>
            <w:vAlign w:val="center"/>
            <w:hideMark/>
          </w:tcPr>
          <w:p w14:paraId="3814D30A" w14:textId="0E251519" w:rsidR="00A54546" w:rsidRPr="00A54546" w:rsidRDefault="00A54546" w:rsidP="003B1DCD">
            <w:pPr>
              <w:rPr>
                <w:rFonts w:cs="Arial"/>
                <w:color w:val="000000"/>
                <w:sz w:val="16"/>
                <w:szCs w:val="16"/>
                <w:lang w:val="en-US" w:eastAsia="en-US"/>
              </w:rPr>
            </w:pPr>
            <w:r w:rsidRPr="00A54546">
              <w:rPr>
                <w:rFonts w:cs="Arial"/>
                <w:color w:val="000000"/>
                <w:sz w:val="16"/>
                <w:szCs w:val="16"/>
                <w:lang w:val="en-US" w:eastAsia="en-US"/>
              </w:rPr>
              <w:t xml:space="preserve"> AUD</w:t>
            </w:r>
            <w:r w:rsidR="00600E9D">
              <w:rPr>
                <w:rFonts w:cs="Arial"/>
                <w:color w:val="000000"/>
                <w:sz w:val="16"/>
                <w:szCs w:val="16"/>
                <w:lang w:val="en-US" w:eastAsia="en-US"/>
              </w:rPr>
              <w:t xml:space="preserve">   </w:t>
            </w:r>
            <w:r w:rsidRPr="00A54546">
              <w:rPr>
                <w:rFonts w:cs="Arial"/>
                <w:color w:val="000000"/>
                <w:sz w:val="16"/>
                <w:szCs w:val="16"/>
                <w:lang w:val="en-US" w:eastAsia="en-US"/>
              </w:rPr>
              <w:t xml:space="preserve">7.884 </w:t>
            </w:r>
          </w:p>
        </w:tc>
        <w:tc>
          <w:tcPr>
            <w:tcW w:w="1399" w:type="dxa"/>
            <w:tcBorders>
              <w:top w:val="single" w:sz="4" w:space="0" w:color="auto"/>
              <w:left w:val="nil"/>
              <w:bottom w:val="single" w:sz="8" w:space="0" w:color="auto"/>
              <w:right w:val="single" w:sz="8" w:space="0" w:color="auto"/>
            </w:tcBorders>
            <w:shd w:val="clear" w:color="000000" w:fill="C5D9F1"/>
            <w:noWrap/>
            <w:vAlign w:val="center"/>
            <w:hideMark/>
          </w:tcPr>
          <w:p w14:paraId="11F0EA39" w14:textId="57969FA2" w:rsidR="00A54546" w:rsidRPr="00A54546" w:rsidRDefault="00A54546" w:rsidP="003B1DCD">
            <w:pPr>
              <w:rPr>
                <w:rFonts w:cs="Arial"/>
                <w:color w:val="000000"/>
                <w:sz w:val="16"/>
                <w:szCs w:val="16"/>
                <w:lang w:val="en-US" w:eastAsia="en-US"/>
              </w:rPr>
            </w:pPr>
            <w:r w:rsidRPr="00A54546">
              <w:rPr>
                <w:rFonts w:cs="Arial"/>
                <w:color w:val="000000"/>
                <w:sz w:val="16"/>
                <w:szCs w:val="16"/>
                <w:lang w:val="en-US" w:eastAsia="en-US"/>
              </w:rPr>
              <w:t xml:space="preserve"> AUD</w:t>
            </w:r>
            <w:r w:rsidR="00600E9D">
              <w:rPr>
                <w:rFonts w:cs="Arial"/>
                <w:color w:val="000000"/>
                <w:sz w:val="16"/>
                <w:szCs w:val="16"/>
                <w:lang w:val="en-US" w:eastAsia="en-US"/>
              </w:rPr>
              <w:t xml:space="preserve">   </w:t>
            </w:r>
            <w:r w:rsidRPr="00A54546">
              <w:rPr>
                <w:rFonts w:cs="Arial"/>
                <w:color w:val="000000"/>
                <w:sz w:val="16"/>
                <w:szCs w:val="16"/>
                <w:lang w:val="en-US" w:eastAsia="en-US"/>
              </w:rPr>
              <w:t xml:space="preserve">7.988 </w:t>
            </w:r>
          </w:p>
        </w:tc>
      </w:tr>
      <w:tr w:rsidR="00A54546" w:rsidRPr="00A54546" w14:paraId="304C83E4" w14:textId="77777777" w:rsidTr="00BF0EEF">
        <w:trPr>
          <w:trHeight w:val="300"/>
          <w:jc w:val="center"/>
        </w:trPr>
        <w:tc>
          <w:tcPr>
            <w:tcW w:w="55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0FD675A" w14:textId="77777777" w:rsidR="00A54546" w:rsidRPr="00A54546" w:rsidRDefault="00A54546" w:rsidP="00A54546">
            <w:pPr>
              <w:rPr>
                <w:rFonts w:cs="Arial"/>
                <w:b/>
                <w:bCs/>
                <w:color w:val="000000"/>
                <w:sz w:val="20"/>
                <w:szCs w:val="20"/>
                <w:lang w:val="en-US" w:eastAsia="en-US"/>
              </w:rPr>
            </w:pPr>
            <w:r w:rsidRPr="00A54546">
              <w:rPr>
                <w:rFonts w:cs="Arial"/>
                <w:b/>
                <w:bCs/>
                <w:color w:val="000000"/>
                <w:sz w:val="20"/>
                <w:szCs w:val="20"/>
                <w:lang w:val="en-US" w:eastAsia="en-US"/>
              </w:rPr>
              <w:t> </w:t>
            </w:r>
          </w:p>
        </w:tc>
        <w:tc>
          <w:tcPr>
            <w:tcW w:w="13513" w:type="dxa"/>
            <w:gridSpan w:val="8"/>
            <w:tcBorders>
              <w:top w:val="single" w:sz="4" w:space="0" w:color="auto"/>
              <w:left w:val="single" w:sz="4" w:space="0" w:color="auto"/>
              <w:bottom w:val="single" w:sz="4" w:space="0" w:color="auto"/>
              <w:right w:val="single" w:sz="8" w:space="0" w:color="000000"/>
            </w:tcBorders>
            <w:shd w:val="clear" w:color="auto" w:fill="auto"/>
            <w:vAlign w:val="center"/>
            <w:hideMark/>
          </w:tcPr>
          <w:p w14:paraId="3472B9BE" w14:textId="77777777" w:rsidR="00A54546" w:rsidRPr="00A54546" w:rsidRDefault="00A54546" w:rsidP="003B1DCD">
            <w:pPr>
              <w:rPr>
                <w:rFonts w:cs="Arial"/>
                <w:b/>
                <w:bCs/>
                <w:color w:val="000000"/>
                <w:lang w:val="en-US" w:eastAsia="en-US"/>
              </w:rPr>
            </w:pPr>
            <w:r w:rsidRPr="00A54546">
              <w:rPr>
                <w:rFonts w:cs="Arial"/>
                <w:b/>
                <w:bCs/>
                <w:color w:val="000000"/>
                <w:lang w:val="en-US" w:eastAsia="en-US"/>
              </w:rPr>
              <w:t>Maxum/Soundtec</w:t>
            </w:r>
          </w:p>
        </w:tc>
      </w:tr>
      <w:tr w:rsidR="00A54546" w:rsidRPr="00A54546" w14:paraId="7376CD92" w14:textId="77777777" w:rsidTr="00BF0EEF">
        <w:trPr>
          <w:trHeight w:val="465"/>
          <w:jc w:val="center"/>
        </w:trPr>
        <w:tc>
          <w:tcPr>
            <w:tcW w:w="550" w:type="dxa"/>
            <w:tcBorders>
              <w:top w:val="nil"/>
              <w:left w:val="single" w:sz="8" w:space="0" w:color="auto"/>
              <w:bottom w:val="single" w:sz="8" w:space="0" w:color="auto"/>
              <w:right w:val="single" w:sz="4" w:space="0" w:color="auto"/>
            </w:tcBorders>
            <w:shd w:val="clear" w:color="auto" w:fill="auto"/>
            <w:noWrap/>
            <w:vAlign w:val="center"/>
            <w:hideMark/>
          </w:tcPr>
          <w:p w14:paraId="026CA1D1" w14:textId="77777777" w:rsidR="00A54546" w:rsidRPr="00A54546" w:rsidRDefault="00A54546" w:rsidP="00A54546">
            <w:pPr>
              <w:rPr>
                <w:rFonts w:cs="Arial"/>
                <w:b/>
                <w:bCs/>
                <w:color w:val="000000"/>
                <w:sz w:val="20"/>
                <w:szCs w:val="20"/>
                <w:lang w:val="en-US" w:eastAsia="en-US"/>
              </w:rPr>
            </w:pPr>
            <w:r w:rsidRPr="00A54546">
              <w:rPr>
                <w:rFonts w:cs="Arial"/>
                <w:b/>
                <w:bCs/>
                <w:color w:val="000000"/>
                <w:sz w:val="20"/>
                <w:szCs w:val="20"/>
                <w:lang w:val="en-US" w:eastAsia="en-US"/>
              </w:rPr>
              <w:t>AS</w:t>
            </w:r>
          </w:p>
        </w:tc>
        <w:tc>
          <w:tcPr>
            <w:tcW w:w="3090" w:type="dxa"/>
            <w:tcBorders>
              <w:top w:val="nil"/>
              <w:left w:val="nil"/>
              <w:bottom w:val="single" w:sz="4" w:space="0" w:color="auto"/>
              <w:right w:val="single" w:sz="4" w:space="0" w:color="auto"/>
            </w:tcBorders>
            <w:shd w:val="clear" w:color="auto" w:fill="auto"/>
            <w:vAlign w:val="center"/>
            <w:hideMark/>
          </w:tcPr>
          <w:p w14:paraId="1C887631" w14:textId="77777777" w:rsidR="00A54546" w:rsidRPr="00A54546" w:rsidRDefault="00A54546" w:rsidP="00A54546">
            <w:pPr>
              <w:rPr>
                <w:rFonts w:cs="Arial"/>
                <w:color w:val="000000"/>
                <w:sz w:val="20"/>
                <w:szCs w:val="20"/>
                <w:lang w:val="en-US" w:eastAsia="en-US"/>
              </w:rPr>
            </w:pPr>
            <w:r w:rsidRPr="00A54546">
              <w:rPr>
                <w:rFonts w:cs="Arial"/>
                <w:color w:val="000000"/>
                <w:sz w:val="20"/>
                <w:szCs w:val="20"/>
                <w:lang w:val="en-US" w:eastAsia="en-US"/>
              </w:rPr>
              <w:t>Cost to MBS of re-implantation</w:t>
            </w:r>
          </w:p>
        </w:tc>
        <w:tc>
          <w:tcPr>
            <w:tcW w:w="1806" w:type="dxa"/>
            <w:tcBorders>
              <w:top w:val="nil"/>
              <w:left w:val="nil"/>
              <w:bottom w:val="single" w:sz="8" w:space="0" w:color="auto"/>
              <w:right w:val="single" w:sz="4" w:space="0" w:color="auto"/>
            </w:tcBorders>
            <w:shd w:val="clear" w:color="auto" w:fill="auto"/>
            <w:vAlign w:val="center"/>
            <w:hideMark/>
          </w:tcPr>
          <w:p w14:paraId="3A2AF02C" w14:textId="77777777" w:rsidR="00A54546" w:rsidRPr="00A54546" w:rsidRDefault="00A54546" w:rsidP="00A54546">
            <w:pPr>
              <w:rPr>
                <w:rFonts w:cs="Arial"/>
                <w:color w:val="000000"/>
                <w:sz w:val="16"/>
                <w:szCs w:val="16"/>
                <w:lang w:val="en-US" w:eastAsia="en-US"/>
              </w:rPr>
            </w:pPr>
            <w:r w:rsidRPr="00A54546">
              <w:rPr>
                <w:rFonts w:cs="Arial"/>
                <w:color w:val="000000"/>
                <w:sz w:val="16"/>
                <w:szCs w:val="16"/>
                <w:lang w:val="en-US" w:eastAsia="en-US"/>
              </w:rPr>
              <w:fldChar w:fldCharType="begin"/>
            </w:r>
            <w:r w:rsidRPr="00A54546">
              <w:rPr>
                <w:rFonts w:cs="Arial"/>
                <w:color w:val="000000"/>
                <w:sz w:val="16"/>
                <w:szCs w:val="16"/>
                <w:lang w:val="en-US" w:eastAsia="en-US"/>
              </w:rPr>
              <w:instrText xml:space="preserve"> REF _Ref334453724 \h </w:instrText>
            </w:r>
            <w:r>
              <w:rPr>
                <w:rFonts w:cs="Arial"/>
                <w:color w:val="000000"/>
                <w:sz w:val="16"/>
                <w:szCs w:val="16"/>
                <w:lang w:val="en-US" w:eastAsia="en-US"/>
              </w:rPr>
              <w:instrText xml:space="preserve"> \* MERGEFORMAT </w:instrText>
            </w:r>
            <w:r w:rsidRPr="00A54546">
              <w:rPr>
                <w:rFonts w:cs="Arial"/>
                <w:color w:val="000000"/>
                <w:sz w:val="16"/>
                <w:szCs w:val="16"/>
                <w:lang w:val="en-US" w:eastAsia="en-US"/>
              </w:rPr>
            </w:r>
            <w:r w:rsidRPr="00A54546">
              <w:rPr>
                <w:rFonts w:cs="Arial"/>
                <w:color w:val="000000"/>
                <w:sz w:val="16"/>
                <w:szCs w:val="16"/>
                <w:lang w:val="en-US" w:eastAsia="en-US"/>
              </w:rPr>
              <w:fldChar w:fldCharType="separate"/>
            </w:r>
            <w:r w:rsidR="00016592" w:rsidRPr="00016592">
              <w:rPr>
                <w:rFonts w:cs="Arial"/>
                <w:sz w:val="16"/>
                <w:szCs w:val="16"/>
                <w:lang w:val="x-none"/>
              </w:rPr>
              <w:t>Table 62</w:t>
            </w:r>
            <w:r w:rsidRPr="00A54546">
              <w:rPr>
                <w:rFonts w:cs="Arial"/>
                <w:color w:val="000000"/>
                <w:sz w:val="16"/>
                <w:szCs w:val="16"/>
                <w:lang w:val="en-US" w:eastAsia="en-US"/>
              </w:rPr>
              <w:fldChar w:fldCharType="end"/>
            </w:r>
            <w:r w:rsidRPr="00A54546">
              <w:rPr>
                <w:rFonts w:cs="Arial"/>
                <w:color w:val="000000"/>
                <w:sz w:val="16"/>
                <w:szCs w:val="16"/>
                <w:lang w:val="en-US" w:eastAsia="en-US"/>
              </w:rPr>
              <w:t>, row M x 0,01</w:t>
            </w:r>
          </w:p>
        </w:tc>
        <w:tc>
          <w:tcPr>
            <w:tcW w:w="1622" w:type="dxa"/>
            <w:tcBorders>
              <w:top w:val="nil"/>
              <w:left w:val="nil"/>
              <w:bottom w:val="single" w:sz="8" w:space="0" w:color="auto"/>
              <w:right w:val="single" w:sz="4" w:space="0" w:color="auto"/>
            </w:tcBorders>
            <w:shd w:val="clear" w:color="auto" w:fill="auto"/>
            <w:noWrap/>
            <w:vAlign w:val="center"/>
            <w:hideMark/>
          </w:tcPr>
          <w:p w14:paraId="1C4CA593" w14:textId="5F404377" w:rsidR="00A54546" w:rsidRPr="00A54546" w:rsidRDefault="00A54546" w:rsidP="003B1DCD">
            <w:pPr>
              <w:rPr>
                <w:rFonts w:cs="Arial"/>
                <w:color w:val="000000"/>
                <w:sz w:val="16"/>
                <w:szCs w:val="16"/>
                <w:lang w:val="en-US" w:eastAsia="en-US"/>
              </w:rPr>
            </w:pPr>
            <w:r w:rsidRPr="00A54546">
              <w:rPr>
                <w:rFonts w:cs="Arial"/>
                <w:color w:val="000000"/>
                <w:sz w:val="16"/>
                <w:szCs w:val="16"/>
                <w:lang w:val="en-US" w:eastAsia="en-US"/>
              </w:rPr>
              <w:t xml:space="preserve"> AUD</w:t>
            </w:r>
            <w:r w:rsidR="00600E9D">
              <w:rPr>
                <w:rFonts w:cs="Arial"/>
                <w:color w:val="000000"/>
                <w:sz w:val="16"/>
                <w:szCs w:val="16"/>
                <w:lang w:val="en-US" w:eastAsia="en-US"/>
              </w:rPr>
              <w:t xml:space="preserve">   </w:t>
            </w:r>
            <w:r w:rsidRPr="00A54546">
              <w:rPr>
                <w:rFonts w:cs="Arial"/>
                <w:color w:val="000000"/>
                <w:sz w:val="16"/>
                <w:szCs w:val="16"/>
                <w:lang w:val="en-US" w:eastAsia="en-US"/>
              </w:rPr>
              <w:t xml:space="preserve">1.333 </w:t>
            </w:r>
          </w:p>
        </w:tc>
        <w:tc>
          <w:tcPr>
            <w:tcW w:w="1399" w:type="dxa"/>
            <w:tcBorders>
              <w:top w:val="nil"/>
              <w:left w:val="nil"/>
              <w:bottom w:val="single" w:sz="8" w:space="0" w:color="auto"/>
              <w:right w:val="single" w:sz="4" w:space="0" w:color="auto"/>
            </w:tcBorders>
            <w:shd w:val="clear" w:color="auto" w:fill="auto"/>
            <w:noWrap/>
            <w:vAlign w:val="center"/>
            <w:hideMark/>
          </w:tcPr>
          <w:p w14:paraId="4378A6DC" w14:textId="068F532B" w:rsidR="00A54546" w:rsidRPr="00A54546" w:rsidRDefault="00A54546" w:rsidP="003B1DCD">
            <w:pPr>
              <w:rPr>
                <w:rFonts w:cs="Arial"/>
                <w:color w:val="000000"/>
                <w:sz w:val="16"/>
                <w:szCs w:val="16"/>
                <w:lang w:val="en-US" w:eastAsia="en-US"/>
              </w:rPr>
            </w:pPr>
            <w:r w:rsidRPr="00A54546">
              <w:rPr>
                <w:rFonts w:cs="Arial"/>
                <w:color w:val="000000"/>
                <w:sz w:val="16"/>
                <w:szCs w:val="16"/>
                <w:lang w:val="en-US" w:eastAsia="en-US"/>
              </w:rPr>
              <w:t xml:space="preserve"> AUD</w:t>
            </w:r>
            <w:r w:rsidR="00600E9D">
              <w:rPr>
                <w:rFonts w:cs="Arial"/>
                <w:color w:val="000000"/>
                <w:sz w:val="16"/>
                <w:szCs w:val="16"/>
                <w:lang w:val="en-US" w:eastAsia="en-US"/>
              </w:rPr>
              <w:t xml:space="preserve">   </w:t>
            </w:r>
            <w:r w:rsidRPr="00A54546">
              <w:rPr>
                <w:rFonts w:cs="Arial"/>
                <w:color w:val="000000"/>
                <w:sz w:val="16"/>
                <w:szCs w:val="16"/>
                <w:lang w:val="en-US" w:eastAsia="en-US"/>
              </w:rPr>
              <w:t xml:space="preserve">1.351 </w:t>
            </w:r>
          </w:p>
        </w:tc>
        <w:tc>
          <w:tcPr>
            <w:tcW w:w="1399" w:type="dxa"/>
            <w:tcBorders>
              <w:top w:val="nil"/>
              <w:left w:val="nil"/>
              <w:bottom w:val="single" w:sz="8" w:space="0" w:color="auto"/>
              <w:right w:val="single" w:sz="4" w:space="0" w:color="auto"/>
            </w:tcBorders>
            <w:shd w:val="clear" w:color="auto" w:fill="auto"/>
            <w:noWrap/>
            <w:vAlign w:val="center"/>
            <w:hideMark/>
          </w:tcPr>
          <w:p w14:paraId="06A61114" w14:textId="3CB89F97" w:rsidR="00A54546" w:rsidRPr="00A54546" w:rsidRDefault="00A54546" w:rsidP="003B1DCD">
            <w:pPr>
              <w:rPr>
                <w:rFonts w:cs="Arial"/>
                <w:color w:val="000000"/>
                <w:sz w:val="16"/>
                <w:szCs w:val="16"/>
                <w:lang w:val="en-US" w:eastAsia="en-US"/>
              </w:rPr>
            </w:pPr>
            <w:r w:rsidRPr="00A54546">
              <w:rPr>
                <w:rFonts w:cs="Arial"/>
                <w:color w:val="000000"/>
                <w:sz w:val="16"/>
                <w:szCs w:val="16"/>
                <w:lang w:val="en-US" w:eastAsia="en-US"/>
              </w:rPr>
              <w:t xml:space="preserve"> AUD</w:t>
            </w:r>
            <w:r w:rsidR="00600E9D">
              <w:rPr>
                <w:rFonts w:cs="Arial"/>
                <w:color w:val="000000"/>
                <w:sz w:val="16"/>
                <w:szCs w:val="16"/>
                <w:lang w:val="en-US" w:eastAsia="en-US"/>
              </w:rPr>
              <w:t xml:space="preserve">   </w:t>
            </w:r>
            <w:r w:rsidRPr="00A54546">
              <w:rPr>
                <w:rFonts w:cs="Arial"/>
                <w:color w:val="000000"/>
                <w:sz w:val="16"/>
                <w:szCs w:val="16"/>
                <w:lang w:val="en-US" w:eastAsia="en-US"/>
              </w:rPr>
              <w:t xml:space="preserve">1.389 </w:t>
            </w:r>
          </w:p>
        </w:tc>
        <w:tc>
          <w:tcPr>
            <w:tcW w:w="1399" w:type="dxa"/>
            <w:tcBorders>
              <w:top w:val="nil"/>
              <w:left w:val="nil"/>
              <w:bottom w:val="single" w:sz="8" w:space="0" w:color="auto"/>
              <w:right w:val="single" w:sz="4" w:space="0" w:color="auto"/>
            </w:tcBorders>
            <w:shd w:val="clear" w:color="auto" w:fill="auto"/>
            <w:noWrap/>
            <w:vAlign w:val="center"/>
            <w:hideMark/>
          </w:tcPr>
          <w:p w14:paraId="2BE9E6DC" w14:textId="2EAAF1BA" w:rsidR="00A54546" w:rsidRPr="00A54546" w:rsidRDefault="00A54546" w:rsidP="003B1DCD">
            <w:pPr>
              <w:rPr>
                <w:rFonts w:cs="Arial"/>
                <w:color w:val="000000"/>
                <w:sz w:val="16"/>
                <w:szCs w:val="16"/>
                <w:lang w:val="en-US" w:eastAsia="en-US"/>
              </w:rPr>
            </w:pPr>
            <w:r w:rsidRPr="00A54546">
              <w:rPr>
                <w:rFonts w:cs="Arial"/>
                <w:color w:val="000000"/>
                <w:sz w:val="16"/>
                <w:szCs w:val="16"/>
                <w:lang w:val="en-US" w:eastAsia="en-US"/>
              </w:rPr>
              <w:t xml:space="preserve"> AUD</w:t>
            </w:r>
            <w:r w:rsidR="00600E9D">
              <w:rPr>
                <w:rFonts w:cs="Arial"/>
                <w:color w:val="000000"/>
                <w:sz w:val="16"/>
                <w:szCs w:val="16"/>
                <w:lang w:val="en-US" w:eastAsia="en-US"/>
              </w:rPr>
              <w:t xml:space="preserve">   </w:t>
            </w:r>
            <w:r w:rsidRPr="00A54546">
              <w:rPr>
                <w:rFonts w:cs="Arial"/>
                <w:color w:val="000000"/>
                <w:sz w:val="16"/>
                <w:szCs w:val="16"/>
                <w:lang w:val="en-US" w:eastAsia="en-US"/>
              </w:rPr>
              <w:t xml:space="preserve">1.408 </w:t>
            </w:r>
          </w:p>
        </w:tc>
        <w:tc>
          <w:tcPr>
            <w:tcW w:w="1399" w:type="dxa"/>
            <w:tcBorders>
              <w:top w:val="nil"/>
              <w:left w:val="nil"/>
              <w:bottom w:val="single" w:sz="8" w:space="0" w:color="auto"/>
              <w:right w:val="single" w:sz="4" w:space="0" w:color="auto"/>
            </w:tcBorders>
            <w:shd w:val="clear" w:color="auto" w:fill="auto"/>
            <w:noWrap/>
            <w:vAlign w:val="center"/>
            <w:hideMark/>
          </w:tcPr>
          <w:p w14:paraId="474A6169" w14:textId="1F69D0F1" w:rsidR="00A54546" w:rsidRPr="00A54546" w:rsidRDefault="00A54546" w:rsidP="003B1DCD">
            <w:pPr>
              <w:rPr>
                <w:rFonts w:cs="Arial"/>
                <w:color w:val="000000"/>
                <w:sz w:val="16"/>
                <w:szCs w:val="16"/>
                <w:lang w:val="en-US" w:eastAsia="en-US"/>
              </w:rPr>
            </w:pPr>
            <w:r w:rsidRPr="00A54546">
              <w:rPr>
                <w:rFonts w:cs="Arial"/>
                <w:color w:val="000000"/>
                <w:sz w:val="16"/>
                <w:szCs w:val="16"/>
                <w:lang w:val="en-US" w:eastAsia="en-US"/>
              </w:rPr>
              <w:t xml:space="preserve"> AUD</w:t>
            </w:r>
            <w:r w:rsidR="003B1DCD">
              <w:rPr>
                <w:rFonts w:cs="Arial"/>
                <w:color w:val="000000"/>
                <w:sz w:val="16"/>
                <w:szCs w:val="16"/>
                <w:lang w:val="en-US" w:eastAsia="en-US"/>
              </w:rPr>
              <w:t xml:space="preserve">   </w:t>
            </w:r>
            <w:r w:rsidRPr="00A54546">
              <w:rPr>
                <w:rFonts w:cs="Arial"/>
                <w:color w:val="000000"/>
                <w:sz w:val="16"/>
                <w:szCs w:val="16"/>
                <w:lang w:val="en-US" w:eastAsia="en-US"/>
              </w:rPr>
              <w:t xml:space="preserve">1.426 </w:t>
            </w:r>
          </w:p>
        </w:tc>
        <w:tc>
          <w:tcPr>
            <w:tcW w:w="1399" w:type="dxa"/>
            <w:tcBorders>
              <w:top w:val="nil"/>
              <w:left w:val="nil"/>
              <w:bottom w:val="single" w:sz="8" w:space="0" w:color="auto"/>
              <w:right w:val="single" w:sz="8" w:space="0" w:color="auto"/>
            </w:tcBorders>
            <w:shd w:val="clear" w:color="auto" w:fill="auto"/>
            <w:noWrap/>
            <w:vAlign w:val="center"/>
            <w:hideMark/>
          </w:tcPr>
          <w:p w14:paraId="0B87CAAC" w14:textId="28D8BA78" w:rsidR="00A54546" w:rsidRPr="00A54546" w:rsidRDefault="00A54546" w:rsidP="003B1DCD">
            <w:pPr>
              <w:rPr>
                <w:rFonts w:cs="Arial"/>
                <w:color w:val="000000"/>
                <w:sz w:val="16"/>
                <w:szCs w:val="16"/>
                <w:lang w:val="en-US" w:eastAsia="en-US"/>
              </w:rPr>
            </w:pPr>
            <w:r w:rsidRPr="00A54546">
              <w:rPr>
                <w:rFonts w:cs="Arial"/>
                <w:color w:val="000000"/>
                <w:sz w:val="16"/>
                <w:szCs w:val="16"/>
                <w:lang w:val="en-US" w:eastAsia="en-US"/>
              </w:rPr>
              <w:t xml:space="preserve"> AUD</w:t>
            </w:r>
            <w:r w:rsidR="00600E9D">
              <w:rPr>
                <w:rFonts w:cs="Arial"/>
                <w:color w:val="000000"/>
                <w:sz w:val="16"/>
                <w:szCs w:val="16"/>
                <w:lang w:val="en-US" w:eastAsia="en-US"/>
              </w:rPr>
              <w:t xml:space="preserve">   </w:t>
            </w:r>
            <w:r w:rsidRPr="00A54546">
              <w:rPr>
                <w:rFonts w:cs="Arial"/>
                <w:color w:val="000000"/>
                <w:sz w:val="16"/>
                <w:szCs w:val="16"/>
                <w:lang w:val="en-US" w:eastAsia="en-US"/>
              </w:rPr>
              <w:t xml:space="preserve">1.445 </w:t>
            </w:r>
          </w:p>
        </w:tc>
      </w:tr>
      <w:tr w:rsidR="00A54546" w:rsidRPr="00A54546" w14:paraId="3F9E8F76" w14:textId="77777777" w:rsidTr="00BF0EEF">
        <w:trPr>
          <w:trHeight w:val="465"/>
          <w:jc w:val="center"/>
        </w:trPr>
        <w:tc>
          <w:tcPr>
            <w:tcW w:w="55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FB956DF" w14:textId="77777777" w:rsidR="00A54546" w:rsidRPr="00A54546" w:rsidRDefault="00A54546" w:rsidP="00A54546">
            <w:pPr>
              <w:rPr>
                <w:rFonts w:cs="Arial"/>
                <w:b/>
                <w:bCs/>
                <w:color w:val="000000"/>
                <w:sz w:val="20"/>
                <w:szCs w:val="20"/>
                <w:lang w:val="en-US" w:eastAsia="en-US"/>
              </w:rPr>
            </w:pPr>
            <w:r w:rsidRPr="00A54546">
              <w:rPr>
                <w:rFonts w:cs="Arial"/>
                <w:b/>
                <w:bCs/>
                <w:color w:val="000000"/>
                <w:sz w:val="20"/>
                <w:szCs w:val="20"/>
                <w:lang w:val="en-US" w:eastAsia="en-US"/>
              </w:rPr>
              <w:t>AT</w:t>
            </w:r>
          </w:p>
        </w:tc>
        <w:tc>
          <w:tcPr>
            <w:tcW w:w="3090" w:type="dxa"/>
            <w:tcBorders>
              <w:top w:val="nil"/>
              <w:left w:val="nil"/>
              <w:bottom w:val="single" w:sz="8" w:space="0" w:color="auto"/>
              <w:right w:val="single" w:sz="4" w:space="0" w:color="auto"/>
            </w:tcBorders>
            <w:shd w:val="clear" w:color="auto" w:fill="auto"/>
            <w:vAlign w:val="center"/>
            <w:hideMark/>
          </w:tcPr>
          <w:p w14:paraId="74467429" w14:textId="77777777" w:rsidR="00A54546" w:rsidRPr="00A54546" w:rsidRDefault="00A54546" w:rsidP="00A54546">
            <w:pPr>
              <w:rPr>
                <w:rFonts w:cs="Arial"/>
                <w:color w:val="000000"/>
                <w:sz w:val="20"/>
                <w:szCs w:val="20"/>
                <w:lang w:val="en-US" w:eastAsia="en-US"/>
              </w:rPr>
            </w:pPr>
            <w:r w:rsidRPr="00A54546">
              <w:rPr>
                <w:rFonts w:cs="Arial"/>
                <w:color w:val="000000"/>
                <w:sz w:val="20"/>
                <w:szCs w:val="20"/>
                <w:lang w:val="en-US" w:eastAsia="en-US"/>
              </w:rPr>
              <w:t>Operational</w:t>
            </w:r>
          </w:p>
        </w:tc>
        <w:tc>
          <w:tcPr>
            <w:tcW w:w="1806" w:type="dxa"/>
            <w:tcBorders>
              <w:top w:val="single" w:sz="4" w:space="0" w:color="auto"/>
              <w:left w:val="nil"/>
              <w:bottom w:val="single" w:sz="4" w:space="0" w:color="auto"/>
              <w:right w:val="single" w:sz="4" w:space="0" w:color="auto"/>
            </w:tcBorders>
            <w:shd w:val="clear" w:color="auto" w:fill="auto"/>
            <w:vAlign w:val="center"/>
            <w:hideMark/>
          </w:tcPr>
          <w:p w14:paraId="4DE35037" w14:textId="77777777" w:rsidR="00A54546" w:rsidRPr="00A54546" w:rsidRDefault="00A54546" w:rsidP="00A54546">
            <w:pPr>
              <w:rPr>
                <w:rFonts w:cs="Arial"/>
                <w:color w:val="000000"/>
                <w:sz w:val="16"/>
                <w:szCs w:val="16"/>
                <w:lang w:val="en-US" w:eastAsia="en-US"/>
              </w:rPr>
            </w:pPr>
            <w:r w:rsidRPr="00A54546">
              <w:rPr>
                <w:rFonts w:cs="Arial"/>
                <w:color w:val="000000"/>
                <w:sz w:val="16"/>
                <w:szCs w:val="16"/>
                <w:lang w:val="en-US" w:eastAsia="en-US"/>
              </w:rPr>
              <w:fldChar w:fldCharType="begin"/>
            </w:r>
            <w:r w:rsidRPr="00A54546">
              <w:rPr>
                <w:rFonts w:cs="Arial"/>
                <w:color w:val="000000"/>
                <w:sz w:val="16"/>
                <w:szCs w:val="16"/>
                <w:lang w:val="en-US" w:eastAsia="en-US"/>
              </w:rPr>
              <w:instrText xml:space="preserve"> REF _Ref431385908 \h </w:instrText>
            </w:r>
            <w:r>
              <w:rPr>
                <w:rFonts w:cs="Arial"/>
                <w:color w:val="000000"/>
                <w:sz w:val="16"/>
                <w:szCs w:val="16"/>
                <w:lang w:val="en-US" w:eastAsia="en-US"/>
              </w:rPr>
              <w:instrText xml:space="preserve"> \* MERGEFORMAT </w:instrText>
            </w:r>
            <w:r w:rsidRPr="00A54546">
              <w:rPr>
                <w:rFonts w:cs="Arial"/>
                <w:color w:val="000000"/>
                <w:sz w:val="16"/>
                <w:szCs w:val="16"/>
                <w:lang w:val="en-US" w:eastAsia="en-US"/>
              </w:rPr>
            </w:r>
            <w:r w:rsidRPr="00A54546">
              <w:rPr>
                <w:rFonts w:cs="Arial"/>
                <w:color w:val="000000"/>
                <w:sz w:val="16"/>
                <w:szCs w:val="16"/>
                <w:lang w:val="en-US" w:eastAsia="en-US"/>
              </w:rPr>
              <w:fldChar w:fldCharType="separate"/>
            </w:r>
            <w:r w:rsidR="00016592" w:rsidRPr="00016592">
              <w:rPr>
                <w:rFonts w:cs="Arial"/>
                <w:sz w:val="16"/>
                <w:szCs w:val="16"/>
                <w:lang w:val="x-none"/>
              </w:rPr>
              <w:t>Table 63</w:t>
            </w:r>
            <w:r w:rsidRPr="00A54546">
              <w:rPr>
                <w:rFonts w:cs="Arial"/>
                <w:color w:val="000000"/>
                <w:sz w:val="16"/>
                <w:szCs w:val="16"/>
                <w:lang w:val="en-US" w:eastAsia="en-US"/>
              </w:rPr>
              <w:fldChar w:fldCharType="end"/>
            </w:r>
            <w:r w:rsidRPr="00A54546">
              <w:rPr>
                <w:rFonts w:cs="Arial"/>
                <w:color w:val="000000"/>
                <w:sz w:val="16"/>
                <w:szCs w:val="16"/>
                <w:lang w:val="en-US" w:eastAsia="en-US"/>
              </w:rPr>
              <w:t>, row T x 0,01</w:t>
            </w:r>
          </w:p>
        </w:tc>
        <w:tc>
          <w:tcPr>
            <w:tcW w:w="1622" w:type="dxa"/>
            <w:tcBorders>
              <w:top w:val="single" w:sz="4" w:space="0" w:color="auto"/>
              <w:left w:val="nil"/>
              <w:bottom w:val="single" w:sz="8" w:space="0" w:color="auto"/>
              <w:right w:val="single" w:sz="4" w:space="0" w:color="auto"/>
            </w:tcBorders>
            <w:shd w:val="clear" w:color="auto" w:fill="auto"/>
            <w:noWrap/>
            <w:vAlign w:val="center"/>
            <w:hideMark/>
          </w:tcPr>
          <w:p w14:paraId="2489299F" w14:textId="53BB8726" w:rsidR="00A54546" w:rsidRPr="00A54546" w:rsidRDefault="00A54546" w:rsidP="003B1DCD">
            <w:pPr>
              <w:rPr>
                <w:rFonts w:cs="Arial"/>
                <w:color w:val="000000"/>
                <w:sz w:val="16"/>
                <w:szCs w:val="16"/>
                <w:lang w:val="en-US" w:eastAsia="en-US"/>
              </w:rPr>
            </w:pPr>
            <w:r w:rsidRPr="00A54546">
              <w:rPr>
                <w:rFonts w:cs="Arial"/>
                <w:color w:val="000000"/>
                <w:sz w:val="16"/>
                <w:szCs w:val="16"/>
                <w:lang w:val="en-US" w:eastAsia="en-US"/>
              </w:rPr>
              <w:t xml:space="preserve"> AUD</w:t>
            </w:r>
            <w:r w:rsidR="00600E9D">
              <w:rPr>
                <w:rFonts w:cs="Arial"/>
                <w:color w:val="000000"/>
                <w:sz w:val="16"/>
                <w:szCs w:val="16"/>
                <w:lang w:val="en-US" w:eastAsia="en-US"/>
              </w:rPr>
              <w:t xml:space="preserve">   </w:t>
            </w:r>
            <w:r w:rsidRPr="00A54546">
              <w:rPr>
                <w:rFonts w:cs="Arial"/>
                <w:color w:val="000000"/>
                <w:sz w:val="16"/>
                <w:szCs w:val="16"/>
                <w:lang w:val="en-US" w:eastAsia="en-US"/>
              </w:rPr>
              <w:t xml:space="preserve">477 </w:t>
            </w:r>
          </w:p>
        </w:tc>
        <w:tc>
          <w:tcPr>
            <w:tcW w:w="1399" w:type="dxa"/>
            <w:tcBorders>
              <w:top w:val="single" w:sz="4" w:space="0" w:color="auto"/>
              <w:left w:val="nil"/>
              <w:bottom w:val="single" w:sz="8" w:space="0" w:color="auto"/>
              <w:right w:val="single" w:sz="4" w:space="0" w:color="auto"/>
            </w:tcBorders>
            <w:shd w:val="clear" w:color="auto" w:fill="auto"/>
            <w:noWrap/>
            <w:vAlign w:val="center"/>
            <w:hideMark/>
          </w:tcPr>
          <w:p w14:paraId="3D0E71DC" w14:textId="3781CC87" w:rsidR="00A54546" w:rsidRPr="00A54546" w:rsidRDefault="00A54546" w:rsidP="003B1DCD">
            <w:pPr>
              <w:rPr>
                <w:rFonts w:cs="Arial"/>
                <w:color w:val="000000"/>
                <w:sz w:val="16"/>
                <w:szCs w:val="16"/>
                <w:lang w:val="en-US" w:eastAsia="en-US"/>
              </w:rPr>
            </w:pPr>
            <w:r w:rsidRPr="00A54546">
              <w:rPr>
                <w:rFonts w:cs="Arial"/>
                <w:color w:val="000000"/>
                <w:sz w:val="16"/>
                <w:szCs w:val="16"/>
                <w:lang w:val="en-US" w:eastAsia="en-US"/>
              </w:rPr>
              <w:t xml:space="preserve"> AUD</w:t>
            </w:r>
            <w:r w:rsidR="003B1DCD">
              <w:rPr>
                <w:rFonts w:cs="Arial"/>
                <w:color w:val="000000"/>
                <w:sz w:val="16"/>
                <w:szCs w:val="16"/>
                <w:lang w:val="en-US" w:eastAsia="en-US"/>
              </w:rPr>
              <w:t xml:space="preserve">   </w:t>
            </w:r>
            <w:r w:rsidRPr="00A54546">
              <w:rPr>
                <w:rFonts w:cs="Arial"/>
                <w:color w:val="000000"/>
                <w:sz w:val="16"/>
                <w:szCs w:val="16"/>
                <w:lang w:val="en-US" w:eastAsia="en-US"/>
              </w:rPr>
              <w:t xml:space="preserve">484 </w:t>
            </w:r>
          </w:p>
        </w:tc>
        <w:tc>
          <w:tcPr>
            <w:tcW w:w="1399" w:type="dxa"/>
            <w:tcBorders>
              <w:top w:val="single" w:sz="4" w:space="0" w:color="auto"/>
              <w:left w:val="nil"/>
              <w:bottom w:val="single" w:sz="8" w:space="0" w:color="auto"/>
              <w:right w:val="single" w:sz="4" w:space="0" w:color="auto"/>
            </w:tcBorders>
            <w:shd w:val="clear" w:color="auto" w:fill="auto"/>
            <w:noWrap/>
            <w:vAlign w:val="center"/>
            <w:hideMark/>
          </w:tcPr>
          <w:p w14:paraId="6E32C821" w14:textId="7CE3B1EF" w:rsidR="00A54546" w:rsidRPr="00A54546" w:rsidRDefault="00A54546" w:rsidP="003B1DCD">
            <w:pPr>
              <w:rPr>
                <w:rFonts w:cs="Arial"/>
                <w:color w:val="000000"/>
                <w:sz w:val="16"/>
                <w:szCs w:val="16"/>
                <w:lang w:val="en-US" w:eastAsia="en-US"/>
              </w:rPr>
            </w:pPr>
            <w:r w:rsidRPr="00A54546">
              <w:rPr>
                <w:rFonts w:cs="Arial"/>
                <w:color w:val="000000"/>
                <w:sz w:val="16"/>
                <w:szCs w:val="16"/>
                <w:lang w:val="en-US" w:eastAsia="en-US"/>
              </w:rPr>
              <w:t xml:space="preserve"> AUD</w:t>
            </w:r>
            <w:r w:rsidR="003B1DCD">
              <w:rPr>
                <w:rFonts w:cs="Arial"/>
                <w:color w:val="000000"/>
                <w:sz w:val="16"/>
                <w:szCs w:val="16"/>
                <w:lang w:val="en-US" w:eastAsia="en-US"/>
              </w:rPr>
              <w:t xml:space="preserve">   </w:t>
            </w:r>
            <w:r w:rsidRPr="00A54546">
              <w:rPr>
                <w:rFonts w:cs="Arial"/>
                <w:color w:val="000000"/>
                <w:sz w:val="16"/>
                <w:szCs w:val="16"/>
                <w:lang w:val="en-US" w:eastAsia="en-US"/>
              </w:rPr>
              <w:t xml:space="preserve">498 </w:t>
            </w:r>
          </w:p>
        </w:tc>
        <w:tc>
          <w:tcPr>
            <w:tcW w:w="1399" w:type="dxa"/>
            <w:tcBorders>
              <w:top w:val="single" w:sz="4" w:space="0" w:color="auto"/>
              <w:left w:val="nil"/>
              <w:bottom w:val="single" w:sz="8" w:space="0" w:color="auto"/>
              <w:right w:val="single" w:sz="4" w:space="0" w:color="auto"/>
            </w:tcBorders>
            <w:shd w:val="clear" w:color="auto" w:fill="auto"/>
            <w:noWrap/>
            <w:vAlign w:val="center"/>
            <w:hideMark/>
          </w:tcPr>
          <w:p w14:paraId="2D349792" w14:textId="6F5A45B5" w:rsidR="00A54546" w:rsidRPr="00A54546" w:rsidRDefault="00A54546" w:rsidP="003B1DCD">
            <w:pPr>
              <w:rPr>
                <w:rFonts w:cs="Arial"/>
                <w:color w:val="000000"/>
                <w:sz w:val="16"/>
                <w:szCs w:val="16"/>
                <w:lang w:val="en-US" w:eastAsia="en-US"/>
              </w:rPr>
            </w:pPr>
            <w:r w:rsidRPr="00A54546">
              <w:rPr>
                <w:rFonts w:cs="Arial"/>
                <w:color w:val="000000"/>
                <w:sz w:val="16"/>
                <w:szCs w:val="16"/>
                <w:lang w:val="en-US" w:eastAsia="en-US"/>
              </w:rPr>
              <w:t xml:space="preserve"> AUD</w:t>
            </w:r>
            <w:r w:rsidR="003B1DCD">
              <w:rPr>
                <w:rFonts w:cs="Arial"/>
                <w:color w:val="000000"/>
                <w:sz w:val="16"/>
                <w:szCs w:val="16"/>
                <w:lang w:val="en-US" w:eastAsia="en-US"/>
              </w:rPr>
              <w:t xml:space="preserve">   </w:t>
            </w:r>
            <w:r w:rsidRPr="00A54546">
              <w:rPr>
                <w:rFonts w:cs="Arial"/>
                <w:color w:val="000000"/>
                <w:sz w:val="16"/>
                <w:szCs w:val="16"/>
                <w:lang w:val="en-US" w:eastAsia="en-US"/>
              </w:rPr>
              <w:t xml:space="preserve">504 </w:t>
            </w:r>
          </w:p>
        </w:tc>
        <w:tc>
          <w:tcPr>
            <w:tcW w:w="1399" w:type="dxa"/>
            <w:tcBorders>
              <w:top w:val="single" w:sz="4" w:space="0" w:color="auto"/>
              <w:left w:val="nil"/>
              <w:bottom w:val="single" w:sz="8" w:space="0" w:color="auto"/>
              <w:right w:val="single" w:sz="4" w:space="0" w:color="auto"/>
            </w:tcBorders>
            <w:shd w:val="clear" w:color="auto" w:fill="auto"/>
            <w:noWrap/>
            <w:vAlign w:val="center"/>
            <w:hideMark/>
          </w:tcPr>
          <w:p w14:paraId="55A77FFF" w14:textId="7A19255E" w:rsidR="00A54546" w:rsidRPr="00A54546" w:rsidRDefault="00A54546" w:rsidP="003B1DCD">
            <w:pPr>
              <w:rPr>
                <w:rFonts w:cs="Arial"/>
                <w:color w:val="000000"/>
                <w:sz w:val="16"/>
                <w:szCs w:val="16"/>
                <w:lang w:val="en-US" w:eastAsia="en-US"/>
              </w:rPr>
            </w:pPr>
            <w:r w:rsidRPr="00A54546">
              <w:rPr>
                <w:rFonts w:cs="Arial"/>
                <w:color w:val="000000"/>
                <w:sz w:val="16"/>
                <w:szCs w:val="16"/>
                <w:lang w:val="en-US" w:eastAsia="en-US"/>
              </w:rPr>
              <w:t xml:space="preserve"> AUD</w:t>
            </w:r>
            <w:r w:rsidR="003B1DCD">
              <w:rPr>
                <w:rFonts w:cs="Arial"/>
                <w:color w:val="000000"/>
                <w:sz w:val="16"/>
                <w:szCs w:val="16"/>
                <w:lang w:val="en-US" w:eastAsia="en-US"/>
              </w:rPr>
              <w:t xml:space="preserve">   </w:t>
            </w:r>
            <w:r w:rsidRPr="00A54546">
              <w:rPr>
                <w:rFonts w:cs="Arial"/>
                <w:color w:val="000000"/>
                <w:sz w:val="16"/>
                <w:szCs w:val="16"/>
                <w:lang w:val="en-US" w:eastAsia="en-US"/>
              </w:rPr>
              <w:t xml:space="preserve">511 </w:t>
            </w:r>
          </w:p>
        </w:tc>
        <w:tc>
          <w:tcPr>
            <w:tcW w:w="1399" w:type="dxa"/>
            <w:tcBorders>
              <w:top w:val="single" w:sz="4" w:space="0" w:color="auto"/>
              <w:left w:val="nil"/>
              <w:bottom w:val="single" w:sz="8" w:space="0" w:color="auto"/>
              <w:right w:val="single" w:sz="8" w:space="0" w:color="auto"/>
            </w:tcBorders>
            <w:shd w:val="clear" w:color="auto" w:fill="auto"/>
            <w:noWrap/>
            <w:vAlign w:val="center"/>
            <w:hideMark/>
          </w:tcPr>
          <w:p w14:paraId="15E6502D" w14:textId="00F6E873" w:rsidR="00A54546" w:rsidRPr="00A54546" w:rsidRDefault="00A54546" w:rsidP="003B1DCD">
            <w:pPr>
              <w:rPr>
                <w:rFonts w:cs="Arial"/>
                <w:color w:val="000000"/>
                <w:sz w:val="16"/>
                <w:szCs w:val="16"/>
                <w:lang w:val="en-US" w:eastAsia="en-US"/>
              </w:rPr>
            </w:pPr>
            <w:r w:rsidRPr="00A54546">
              <w:rPr>
                <w:rFonts w:cs="Arial"/>
                <w:color w:val="000000"/>
                <w:sz w:val="16"/>
                <w:szCs w:val="16"/>
                <w:lang w:val="en-US" w:eastAsia="en-US"/>
              </w:rPr>
              <w:t xml:space="preserve"> AUD</w:t>
            </w:r>
            <w:r w:rsidR="003B1DCD">
              <w:rPr>
                <w:rFonts w:cs="Arial"/>
                <w:color w:val="000000"/>
                <w:sz w:val="16"/>
                <w:szCs w:val="16"/>
                <w:lang w:val="en-US" w:eastAsia="en-US"/>
              </w:rPr>
              <w:t xml:space="preserve">   </w:t>
            </w:r>
            <w:r w:rsidRPr="00A54546">
              <w:rPr>
                <w:rFonts w:cs="Arial"/>
                <w:color w:val="000000"/>
                <w:sz w:val="16"/>
                <w:szCs w:val="16"/>
                <w:lang w:val="en-US" w:eastAsia="en-US"/>
              </w:rPr>
              <w:t xml:space="preserve">518 </w:t>
            </w:r>
          </w:p>
        </w:tc>
      </w:tr>
      <w:tr w:rsidR="00A54546" w:rsidRPr="00A54546" w14:paraId="35F76AB3" w14:textId="77777777" w:rsidTr="00BF0EEF">
        <w:trPr>
          <w:trHeight w:val="465"/>
          <w:jc w:val="center"/>
        </w:trPr>
        <w:tc>
          <w:tcPr>
            <w:tcW w:w="550" w:type="dxa"/>
            <w:tcBorders>
              <w:top w:val="nil"/>
              <w:left w:val="single" w:sz="8" w:space="0" w:color="auto"/>
              <w:bottom w:val="single" w:sz="8" w:space="0" w:color="auto"/>
              <w:right w:val="single" w:sz="4" w:space="0" w:color="auto"/>
            </w:tcBorders>
            <w:shd w:val="clear" w:color="auto" w:fill="auto"/>
            <w:noWrap/>
            <w:vAlign w:val="center"/>
            <w:hideMark/>
          </w:tcPr>
          <w:p w14:paraId="40F275CA" w14:textId="77777777" w:rsidR="00A54546" w:rsidRPr="00A54546" w:rsidRDefault="00A54546" w:rsidP="00A54546">
            <w:pPr>
              <w:rPr>
                <w:rFonts w:cs="Arial"/>
                <w:b/>
                <w:bCs/>
                <w:color w:val="000000"/>
                <w:sz w:val="20"/>
                <w:szCs w:val="20"/>
                <w:lang w:val="en-US" w:eastAsia="en-US"/>
              </w:rPr>
            </w:pPr>
            <w:r w:rsidRPr="00A54546">
              <w:rPr>
                <w:rFonts w:cs="Arial"/>
                <w:b/>
                <w:bCs/>
                <w:color w:val="000000"/>
                <w:sz w:val="20"/>
                <w:szCs w:val="20"/>
                <w:lang w:val="en-US" w:eastAsia="en-US"/>
              </w:rPr>
              <w:t>AU</w:t>
            </w:r>
          </w:p>
        </w:tc>
        <w:tc>
          <w:tcPr>
            <w:tcW w:w="3090" w:type="dxa"/>
            <w:tcBorders>
              <w:top w:val="single" w:sz="4" w:space="0" w:color="auto"/>
              <w:left w:val="nil"/>
              <w:bottom w:val="single" w:sz="4" w:space="0" w:color="auto"/>
              <w:right w:val="single" w:sz="4" w:space="0" w:color="auto"/>
            </w:tcBorders>
            <w:shd w:val="clear" w:color="auto" w:fill="auto"/>
            <w:vAlign w:val="center"/>
            <w:hideMark/>
          </w:tcPr>
          <w:p w14:paraId="309D8AA5" w14:textId="77777777" w:rsidR="00A54546" w:rsidRPr="00A54546" w:rsidRDefault="00A54546" w:rsidP="00A54546">
            <w:pPr>
              <w:rPr>
                <w:rFonts w:cs="Arial"/>
                <w:color w:val="000000"/>
                <w:sz w:val="20"/>
                <w:szCs w:val="20"/>
                <w:lang w:val="en-US" w:eastAsia="en-US"/>
              </w:rPr>
            </w:pPr>
            <w:r w:rsidRPr="00A54546">
              <w:rPr>
                <w:rFonts w:cs="Arial"/>
                <w:color w:val="000000"/>
                <w:sz w:val="20"/>
                <w:szCs w:val="20"/>
                <w:lang w:val="en-US" w:eastAsia="en-US"/>
              </w:rPr>
              <w:t>Pre-operational</w:t>
            </w:r>
          </w:p>
        </w:tc>
        <w:tc>
          <w:tcPr>
            <w:tcW w:w="1806" w:type="dxa"/>
            <w:tcBorders>
              <w:top w:val="nil"/>
              <w:left w:val="nil"/>
              <w:bottom w:val="single" w:sz="4" w:space="0" w:color="auto"/>
              <w:right w:val="single" w:sz="4" w:space="0" w:color="auto"/>
            </w:tcBorders>
            <w:shd w:val="clear" w:color="auto" w:fill="auto"/>
            <w:vAlign w:val="center"/>
            <w:hideMark/>
          </w:tcPr>
          <w:p w14:paraId="26DCA1A0" w14:textId="77777777" w:rsidR="00A54546" w:rsidRPr="00A54546" w:rsidRDefault="00A54546" w:rsidP="00A54546">
            <w:pPr>
              <w:rPr>
                <w:rFonts w:cs="Arial"/>
                <w:color w:val="000000"/>
                <w:sz w:val="16"/>
                <w:szCs w:val="16"/>
                <w:lang w:val="en-US" w:eastAsia="en-US"/>
              </w:rPr>
            </w:pPr>
            <w:r w:rsidRPr="00A54546">
              <w:rPr>
                <w:rFonts w:cs="Arial"/>
                <w:color w:val="000000"/>
                <w:sz w:val="16"/>
                <w:szCs w:val="16"/>
                <w:lang w:val="en-US" w:eastAsia="en-US"/>
              </w:rPr>
              <w:fldChar w:fldCharType="begin"/>
            </w:r>
            <w:r w:rsidRPr="00A54546">
              <w:rPr>
                <w:rFonts w:cs="Arial"/>
                <w:color w:val="000000"/>
                <w:sz w:val="16"/>
                <w:szCs w:val="16"/>
                <w:lang w:val="en-US" w:eastAsia="en-US"/>
              </w:rPr>
              <w:instrText xml:space="preserve"> REF _Ref430945419 \h </w:instrText>
            </w:r>
            <w:r>
              <w:rPr>
                <w:rFonts w:cs="Arial"/>
                <w:color w:val="000000"/>
                <w:sz w:val="16"/>
                <w:szCs w:val="16"/>
                <w:lang w:val="en-US" w:eastAsia="en-US"/>
              </w:rPr>
              <w:instrText xml:space="preserve"> \* MERGEFORMAT </w:instrText>
            </w:r>
            <w:r w:rsidRPr="00A54546">
              <w:rPr>
                <w:rFonts w:cs="Arial"/>
                <w:color w:val="000000"/>
                <w:sz w:val="16"/>
                <w:szCs w:val="16"/>
                <w:lang w:val="en-US" w:eastAsia="en-US"/>
              </w:rPr>
            </w:r>
            <w:r w:rsidRPr="00A54546">
              <w:rPr>
                <w:rFonts w:cs="Arial"/>
                <w:color w:val="000000"/>
                <w:sz w:val="16"/>
                <w:szCs w:val="16"/>
                <w:lang w:val="en-US" w:eastAsia="en-US"/>
              </w:rPr>
              <w:fldChar w:fldCharType="separate"/>
            </w:r>
            <w:r w:rsidR="00016592" w:rsidRPr="00016592">
              <w:rPr>
                <w:rFonts w:cs="Arial"/>
                <w:sz w:val="16"/>
                <w:szCs w:val="16"/>
              </w:rPr>
              <w:t xml:space="preserve">Table </w:t>
            </w:r>
            <w:r w:rsidR="00016592" w:rsidRPr="00016592">
              <w:rPr>
                <w:rFonts w:cs="Arial"/>
                <w:noProof/>
                <w:sz w:val="16"/>
                <w:szCs w:val="16"/>
              </w:rPr>
              <w:t>64</w:t>
            </w:r>
            <w:r w:rsidRPr="00A54546">
              <w:rPr>
                <w:rFonts w:cs="Arial"/>
                <w:color w:val="000000"/>
                <w:sz w:val="16"/>
                <w:szCs w:val="16"/>
                <w:lang w:val="en-US" w:eastAsia="en-US"/>
              </w:rPr>
              <w:fldChar w:fldCharType="end"/>
            </w:r>
            <w:r w:rsidRPr="00A54546">
              <w:rPr>
                <w:rFonts w:cs="Arial"/>
                <w:color w:val="000000"/>
                <w:sz w:val="16"/>
                <w:szCs w:val="16"/>
                <w:lang w:val="en-US" w:eastAsia="en-US"/>
              </w:rPr>
              <w:t>, row AF x 0,01</w:t>
            </w:r>
          </w:p>
        </w:tc>
        <w:tc>
          <w:tcPr>
            <w:tcW w:w="1622" w:type="dxa"/>
            <w:tcBorders>
              <w:top w:val="single" w:sz="4" w:space="0" w:color="auto"/>
              <w:left w:val="nil"/>
              <w:bottom w:val="single" w:sz="8" w:space="0" w:color="auto"/>
              <w:right w:val="single" w:sz="4" w:space="0" w:color="auto"/>
            </w:tcBorders>
            <w:shd w:val="clear" w:color="auto" w:fill="auto"/>
            <w:noWrap/>
            <w:vAlign w:val="center"/>
            <w:hideMark/>
          </w:tcPr>
          <w:p w14:paraId="79314E1D" w14:textId="077542BC" w:rsidR="00A54546" w:rsidRPr="00A54546" w:rsidRDefault="00A54546" w:rsidP="003B1DCD">
            <w:pPr>
              <w:rPr>
                <w:rFonts w:cs="Arial"/>
                <w:color w:val="000000"/>
                <w:sz w:val="16"/>
                <w:szCs w:val="16"/>
                <w:lang w:val="en-US" w:eastAsia="en-US"/>
              </w:rPr>
            </w:pPr>
            <w:r w:rsidRPr="00A54546">
              <w:rPr>
                <w:rFonts w:cs="Arial"/>
                <w:color w:val="000000"/>
                <w:sz w:val="16"/>
                <w:szCs w:val="16"/>
                <w:lang w:val="en-US" w:eastAsia="en-US"/>
              </w:rPr>
              <w:t xml:space="preserve"> AUD</w:t>
            </w:r>
            <w:r w:rsidR="003B1DCD">
              <w:rPr>
                <w:rFonts w:cs="Arial"/>
                <w:color w:val="000000"/>
                <w:sz w:val="16"/>
                <w:szCs w:val="16"/>
                <w:lang w:val="en-US" w:eastAsia="en-US"/>
              </w:rPr>
              <w:t xml:space="preserve">   </w:t>
            </w:r>
            <w:r w:rsidRPr="00A54546">
              <w:rPr>
                <w:rFonts w:cs="Arial"/>
                <w:color w:val="000000"/>
                <w:sz w:val="16"/>
                <w:szCs w:val="16"/>
                <w:lang w:val="en-US" w:eastAsia="en-US"/>
              </w:rPr>
              <w:t xml:space="preserve">156 </w:t>
            </w:r>
          </w:p>
        </w:tc>
        <w:tc>
          <w:tcPr>
            <w:tcW w:w="1399" w:type="dxa"/>
            <w:tcBorders>
              <w:top w:val="single" w:sz="4" w:space="0" w:color="auto"/>
              <w:left w:val="nil"/>
              <w:bottom w:val="single" w:sz="8" w:space="0" w:color="auto"/>
              <w:right w:val="single" w:sz="4" w:space="0" w:color="auto"/>
            </w:tcBorders>
            <w:shd w:val="clear" w:color="auto" w:fill="auto"/>
            <w:noWrap/>
            <w:vAlign w:val="center"/>
            <w:hideMark/>
          </w:tcPr>
          <w:p w14:paraId="738EAA50" w14:textId="328E1DB2" w:rsidR="00A54546" w:rsidRPr="00A54546" w:rsidRDefault="00A54546" w:rsidP="003B1DCD">
            <w:pPr>
              <w:rPr>
                <w:rFonts w:cs="Arial"/>
                <w:color w:val="000000"/>
                <w:sz w:val="16"/>
                <w:szCs w:val="16"/>
                <w:lang w:val="en-US" w:eastAsia="en-US"/>
              </w:rPr>
            </w:pPr>
            <w:r w:rsidRPr="00A54546">
              <w:rPr>
                <w:rFonts w:cs="Arial"/>
                <w:color w:val="000000"/>
                <w:sz w:val="16"/>
                <w:szCs w:val="16"/>
                <w:lang w:val="en-US" w:eastAsia="en-US"/>
              </w:rPr>
              <w:t xml:space="preserve"> AUD</w:t>
            </w:r>
            <w:r w:rsidR="003B1DCD">
              <w:rPr>
                <w:rFonts w:cs="Arial"/>
                <w:color w:val="000000"/>
                <w:sz w:val="16"/>
                <w:szCs w:val="16"/>
                <w:lang w:val="en-US" w:eastAsia="en-US"/>
              </w:rPr>
              <w:t xml:space="preserve">   </w:t>
            </w:r>
            <w:r w:rsidRPr="00A54546">
              <w:rPr>
                <w:rFonts w:cs="Arial"/>
                <w:color w:val="000000"/>
                <w:sz w:val="16"/>
                <w:szCs w:val="16"/>
                <w:lang w:val="en-US" w:eastAsia="en-US"/>
              </w:rPr>
              <w:t xml:space="preserve">159 </w:t>
            </w:r>
          </w:p>
        </w:tc>
        <w:tc>
          <w:tcPr>
            <w:tcW w:w="1399" w:type="dxa"/>
            <w:tcBorders>
              <w:top w:val="single" w:sz="4" w:space="0" w:color="auto"/>
              <w:left w:val="nil"/>
              <w:bottom w:val="single" w:sz="8" w:space="0" w:color="auto"/>
              <w:right w:val="single" w:sz="4" w:space="0" w:color="auto"/>
            </w:tcBorders>
            <w:shd w:val="clear" w:color="auto" w:fill="auto"/>
            <w:noWrap/>
            <w:vAlign w:val="center"/>
            <w:hideMark/>
          </w:tcPr>
          <w:p w14:paraId="4328C1F6" w14:textId="1654F9ED" w:rsidR="00A54546" w:rsidRPr="00A54546" w:rsidRDefault="00A54546" w:rsidP="003B1DCD">
            <w:pPr>
              <w:rPr>
                <w:rFonts w:cs="Arial"/>
                <w:color w:val="000000"/>
                <w:sz w:val="16"/>
                <w:szCs w:val="16"/>
                <w:lang w:val="en-US" w:eastAsia="en-US"/>
              </w:rPr>
            </w:pPr>
            <w:r w:rsidRPr="00A54546">
              <w:rPr>
                <w:rFonts w:cs="Arial"/>
                <w:color w:val="000000"/>
                <w:sz w:val="16"/>
                <w:szCs w:val="16"/>
                <w:lang w:val="en-US" w:eastAsia="en-US"/>
              </w:rPr>
              <w:t xml:space="preserve"> AUD</w:t>
            </w:r>
            <w:r w:rsidR="003B1DCD">
              <w:rPr>
                <w:rFonts w:cs="Arial"/>
                <w:color w:val="000000"/>
                <w:sz w:val="16"/>
                <w:szCs w:val="16"/>
                <w:lang w:val="en-US" w:eastAsia="en-US"/>
              </w:rPr>
              <w:t xml:space="preserve">   </w:t>
            </w:r>
            <w:r w:rsidRPr="00A54546">
              <w:rPr>
                <w:rFonts w:cs="Arial"/>
                <w:color w:val="000000"/>
                <w:sz w:val="16"/>
                <w:szCs w:val="16"/>
                <w:lang w:val="en-US" w:eastAsia="en-US"/>
              </w:rPr>
              <w:t xml:space="preserve">163 </w:t>
            </w:r>
          </w:p>
        </w:tc>
        <w:tc>
          <w:tcPr>
            <w:tcW w:w="1399" w:type="dxa"/>
            <w:tcBorders>
              <w:top w:val="single" w:sz="4" w:space="0" w:color="auto"/>
              <w:left w:val="nil"/>
              <w:bottom w:val="single" w:sz="8" w:space="0" w:color="auto"/>
              <w:right w:val="single" w:sz="4" w:space="0" w:color="auto"/>
            </w:tcBorders>
            <w:shd w:val="clear" w:color="auto" w:fill="auto"/>
            <w:noWrap/>
            <w:vAlign w:val="center"/>
            <w:hideMark/>
          </w:tcPr>
          <w:p w14:paraId="0DA5E0CC" w14:textId="31266083" w:rsidR="00A54546" w:rsidRPr="00A54546" w:rsidRDefault="00A54546" w:rsidP="003B1DCD">
            <w:pPr>
              <w:rPr>
                <w:rFonts w:cs="Arial"/>
                <w:color w:val="000000"/>
                <w:sz w:val="16"/>
                <w:szCs w:val="16"/>
                <w:lang w:val="en-US" w:eastAsia="en-US"/>
              </w:rPr>
            </w:pPr>
            <w:r w:rsidRPr="00A54546">
              <w:rPr>
                <w:rFonts w:cs="Arial"/>
                <w:color w:val="000000"/>
                <w:sz w:val="16"/>
                <w:szCs w:val="16"/>
                <w:lang w:val="en-US" w:eastAsia="en-US"/>
              </w:rPr>
              <w:t xml:space="preserve"> AUD</w:t>
            </w:r>
            <w:r w:rsidR="003B1DCD">
              <w:rPr>
                <w:rFonts w:cs="Arial"/>
                <w:color w:val="000000"/>
                <w:sz w:val="16"/>
                <w:szCs w:val="16"/>
                <w:lang w:val="en-US" w:eastAsia="en-US"/>
              </w:rPr>
              <w:t xml:space="preserve">   </w:t>
            </w:r>
            <w:r w:rsidRPr="00A54546">
              <w:rPr>
                <w:rFonts w:cs="Arial"/>
                <w:color w:val="000000"/>
                <w:sz w:val="16"/>
                <w:szCs w:val="16"/>
                <w:lang w:val="en-US" w:eastAsia="en-US"/>
              </w:rPr>
              <w:t xml:space="preserve">165 </w:t>
            </w:r>
          </w:p>
        </w:tc>
        <w:tc>
          <w:tcPr>
            <w:tcW w:w="1399" w:type="dxa"/>
            <w:tcBorders>
              <w:top w:val="single" w:sz="4" w:space="0" w:color="auto"/>
              <w:left w:val="nil"/>
              <w:bottom w:val="single" w:sz="8" w:space="0" w:color="auto"/>
              <w:right w:val="single" w:sz="4" w:space="0" w:color="auto"/>
            </w:tcBorders>
            <w:shd w:val="clear" w:color="auto" w:fill="auto"/>
            <w:noWrap/>
            <w:vAlign w:val="center"/>
            <w:hideMark/>
          </w:tcPr>
          <w:p w14:paraId="2FADB133" w14:textId="53A642B6" w:rsidR="00A54546" w:rsidRPr="00A54546" w:rsidRDefault="00A54546" w:rsidP="003B1DCD">
            <w:pPr>
              <w:rPr>
                <w:rFonts w:cs="Arial"/>
                <w:color w:val="000000"/>
                <w:sz w:val="16"/>
                <w:szCs w:val="16"/>
                <w:lang w:val="en-US" w:eastAsia="en-US"/>
              </w:rPr>
            </w:pPr>
            <w:r w:rsidRPr="00A54546">
              <w:rPr>
                <w:rFonts w:cs="Arial"/>
                <w:color w:val="000000"/>
                <w:sz w:val="16"/>
                <w:szCs w:val="16"/>
                <w:lang w:val="en-US" w:eastAsia="en-US"/>
              </w:rPr>
              <w:t xml:space="preserve"> AUD</w:t>
            </w:r>
            <w:r w:rsidR="003B1DCD">
              <w:rPr>
                <w:rFonts w:cs="Arial"/>
                <w:color w:val="000000"/>
                <w:sz w:val="16"/>
                <w:szCs w:val="16"/>
                <w:lang w:val="en-US" w:eastAsia="en-US"/>
              </w:rPr>
              <w:t xml:space="preserve">   </w:t>
            </w:r>
            <w:r w:rsidRPr="00A54546">
              <w:rPr>
                <w:rFonts w:cs="Arial"/>
                <w:color w:val="000000"/>
                <w:sz w:val="16"/>
                <w:szCs w:val="16"/>
                <w:lang w:val="en-US" w:eastAsia="en-US"/>
              </w:rPr>
              <w:t xml:space="preserve">167 </w:t>
            </w:r>
          </w:p>
        </w:tc>
        <w:tc>
          <w:tcPr>
            <w:tcW w:w="1399" w:type="dxa"/>
            <w:tcBorders>
              <w:top w:val="single" w:sz="4" w:space="0" w:color="auto"/>
              <w:left w:val="nil"/>
              <w:bottom w:val="single" w:sz="8" w:space="0" w:color="auto"/>
              <w:right w:val="single" w:sz="8" w:space="0" w:color="auto"/>
            </w:tcBorders>
            <w:shd w:val="clear" w:color="auto" w:fill="auto"/>
            <w:noWrap/>
            <w:vAlign w:val="center"/>
            <w:hideMark/>
          </w:tcPr>
          <w:p w14:paraId="3573C91F" w14:textId="17D93B39" w:rsidR="00A54546" w:rsidRPr="00A54546" w:rsidRDefault="00A54546" w:rsidP="003B1DCD">
            <w:pPr>
              <w:rPr>
                <w:rFonts w:cs="Arial"/>
                <w:color w:val="000000"/>
                <w:sz w:val="16"/>
                <w:szCs w:val="16"/>
                <w:lang w:val="en-US" w:eastAsia="en-US"/>
              </w:rPr>
            </w:pPr>
            <w:r w:rsidRPr="00A54546">
              <w:rPr>
                <w:rFonts w:cs="Arial"/>
                <w:color w:val="000000"/>
                <w:sz w:val="16"/>
                <w:szCs w:val="16"/>
                <w:lang w:val="en-US" w:eastAsia="en-US"/>
              </w:rPr>
              <w:t xml:space="preserve"> AUD</w:t>
            </w:r>
            <w:r w:rsidR="003B1DCD">
              <w:rPr>
                <w:rFonts w:cs="Arial"/>
                <w:color w:val="000000"/>
                <w:sz w:val="16"/>
                <w:szCs w:val="16"/>
                <w:lang w:val="en-US" w:eastAsia="en-US"/>
              </w:rPr>
              <w:t xml:space="preserve">   </w:t>
            </w:r>
            <w:r w:rsidRPr="00A54546">
              <w:rPr>
                <w:rFonts w:cs="Arial"/>
                <w:color w:val="000000"/>
                <w:sz w:val="16"/>
                <w:szCs w:val="16"/>
                <w:lang w:val="en-US" w:eastAsia="en-US"/>
              </w:rPr>
              <w:t xml:space="preserve">170 </w:t>
            </w:r>
          </w:p>
        </w:tc>
      </w:tr>
      <w:tr w:rsidR="00A54546" w:rsidRPr="00A54546" w14:paraId="718B8EA3" w14:textId="77777777" w:rsidTr="00BF0EEF">
        <w:trPr>
          <w:trHeight w:val="465"/>
          <w:jc w:val="center"/>
        </w:trPr>
        <w:tc>
          <w:tcPr>
            <w:tcW w:w="550"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6FC536F5" w14:textId="77777777" w:rsidR="00A54546" w:rsidRPr="00A54546" w:rsidRDefault="00A54546" w:rsidP="00A54546">
            <w:pPr>
              <w:rPr>
                <w:rFonts w:cs="Arial"/>
                <w:b/>
                <w:bCs/>
                <w:color w:val="000000"/>
                <w:sz w:val="20"/>
                <w:szCs w:val="20"/>
                <w:lang w:val="en-US" w:eastAsia="en-US"/>
              </w:rPr>
            </w:pPr>
            <w:r w:rsidRPr="00A54546">
              <w:rPr>
                <w:rFonts w:cs="Arial"/>
                <w:b/>
                <w:bCs/>
                <w:color w:val="000000"/>
                <w:sz w:val="20"/>
                <w:szCs w:val="20"/>
                <w:lang w:val="en-US" w:eastAsia="en-US"/>
              </w:rPr>
              <w:t>AV</w:t>
            </w:r>
          </w:p>
        </w:tc>
        <w:tc>
          <w:tcPr>
            <w:tcW w:w="3090" w:type="dxa"/>
            <w:tcBorders>
              <w:top w:val="nil"/>
              <w:left w:val="nil"/>
              <w:bottom w:val="single" w:sz="8" w:space="0" w:color="auto"/>
              <w:right w:val="single" w:sz="4" w:space="0" w:color="auto"/>
            </w:tcBorders>
            <w:shd w:val="clear" w:color="auto" w:fill="auto"/>
            <w:vAlign w:val="center"/>
            <w:hideMark/>
          </w:tcPr>
          <w:p w14:paraId="7BDA3E5A" w14:textId="77777777" w:rsidR="00A54546" w:rsidRPr="00A54546" w:rsidRDefault="00A54546" w:rsidP="00A54546">
            <w:pPr>
              <w:rPr>
                <w:rFonts w:cs="Arial"/>
                <w:color w:val="000000"/>
                <w:sz w:val="20"/>
                <w:szCs w:val="20"/>
                <w:lang w:val="en-US" w:eastAsia="en-US"/>
              </w:rPr>
            </w:pPr>
            <w:r w:rsidRPr="00A54546">
              <w:rPr>
                <w:rFonts w:cs="Arial"/>
                <w:color w:val="000000"/>
                <w:sz w:val="20"/>
                <w:szCs w:val="20"/>
                <w:lang w:val="en-US" w:eastAsia="en-US"/>
              </w:rPr>
              <w:t>Post-operational</w:t>
            </w:r>
          </w:p>
        </w:tc>
        <w:tc>
          <w:tcPr>
            <w:tcW w:w="1806" w:type="dxa"/>
            <w:tcBorders>
              <w:top w:val="nil"/>
              <w:left w:val="nil"/>
              <w:bottom w:val="single" w:sz="4" w:space="0" w:color="auto"/>
              <w:right w:val="single" w:sz="4" w:space="0" w:color="auto"/>
            </w:tcBorders>
            <w:shd w:val="clear" w:color="auto" w:fill="auto"/>
            <w:vAlign w:val="center"/>
            <w:hideMark/>
          </w:tcPr>
          <w:p w14:paraId="7E96EB84" w14:textId="77777777" w:rsidR="00A54546" w:rsidRPr="00A54546" w:rsidRDefault="00A54546" w:rsidP="00A54546">
            <w:pPr>
              <w:rPr>
                <w:rFonts w:cs="Arial"/>
                <w:color w:val="000000"/>
                <w:sz w:val="16"/>
                <w:szCs w:val="16"/>
                <w:lang w:val="en-US" w:eastAsia="en-US"/>
              </w:rPr>
            </w:pPr>
            <w:r w:rsidRPr="00A54546">
              <w:rPr>
                <w:rFonts w:cs="Arial"/>
                <w:color w:val="000000"/>
                <w:sz w:val="16"/>
                <w:szCs w:val="16"/>
                <w:lang w:val="en-US" w:eastAsia="en-US"/>
              </w:rPr>
              <w:fldChar w:fldCharType="begin"/>
            </w:r>
            <w:r w:rsidRPr="00A54546">
              <w:rPr>
                <w:rFonts w:cs="Arial"/>
                <w:color w:val="000000"/>
                <w:sz w:val="16"/>
                <w:szCs w:val="16"/>
                <w:lang w:val="en-US" w:eastAsia="en-US"/>
              </w:rPr>
              <w:instrText xml:space="preserve"> REF _Ref430947292 \h </w:instrText>
            </w:r>
            <w:r>
              <w:rPr>
                <w:rFonts w:cs="Arial"/>
                <w:color w:val="000000"/>
                <w:sz w:val="16"/>
                <w:szCs w:val="16"/>
                <w:lang w:val="en-US" w:eastAsia="en-US"/>
              </w:rPr>
              <w:instrText xml:space="preserve"> \* MERGEFORMAT </w:instrText>
            </w:r>
            <w:r w:rsidRPr="00A54546">
              <w:rPr>
                <w:rFonts w:cs="Arial"/>
                <w:color w:val="000000"/>
                <w:sz w:val="16"/>
                <w:szCs w:val="16"/>
                <w:lang w:val="en-US" w:eastAsia="en-US"/>
              </w:rPr>
            </w:r>
            <w:r w:rsidRPr="00A54546">
              <w:rPr>
                <w:rFonts w:cs="Arial"/>
                <w:color w:val="000000"/>
                <w:sz w:val="16"/>
                <w:szCs w:val="16"/>
                <w:lang w:val="en-US" w:eastAsia="en-US"/>
              </w:rPr>
              <w:fldChar w:fldCharType="separate"/>
            </w:r>
            <w:r w:rsidR="00016592" w:rsidRPr="00016592">
              <w:rPr>
                <w:rFonts w:cs="Arial"/>
                <w:sz w:val="16"/>
                <w:szCs w:val="16"/>
              </w:rPr>
              <w:t xml:space="preserve">Table </w:t>
            </w:r>
            <w:r w:rsidR="00016592" w:rsidRPr="00016592">
              <w:rPr>
                <w:rFonts w:cs="Arial"/>
                <w:noProof/>
                <w:sz w:val="16"/>
                <w:szCs w:val="16"/>
              </w:rPr>
              <w:t>65</w:t>
            </w:r>
            <w:r w:rsidRPr="00A54546">
              <w:rPr>
                <w:rFonts w:cs="Arial"/>
                <w:color w:val="000000"/>
                <w:sz w:val="16"/>
                <w:szCs w:val="16"/>
                <w:lang w:val="en-US" w:eastAsia="en-US"/>
              </w:rPr>
              <w:fldChar w:fldCharType="end"/>
            </w:r>
            <w:r w:rsidRPr="00A54546">
              <w:rPr>
                <w:rFonts w:cs="Arial"/>
                <w:color w:val="000000"/>
                <w:sz w:val="16"/>
                <w:szCs w:val="16"/>
                <w:lang w:val="en-US" w:eastAsia="en-US"/>
              </w:rPr>
              <w:t>, row AM x 0,01</w:t>
            </w:r>
          </w:p>
        </w:tc>
        <w:tc>
          <w:tcPr>
            <w:tcW w:w="1622" w:type="dxa"/>
            <w:tcBorders>
              <w:top w:val="single" w:sz="4" w:space="0" w:color="auto"/>
              <w:left w:val="nil"/>
              <w:bottom w:val="single" w:sz="8" w:space="0" w:color="auto"/>
              <w:right w:val="single" w:sz="4" w:space="0" w:color="auto"/>
            </w:tcBorders>
            <w:shd w:val="clear" w:color="auto" w:fill="auto"/>
            <w:noWrap/>
            <w:vAlign w:val="center"/>
            <w:hideMark/>
          </w:tcPr>
          <w:p w14:paraId="7ED62BA6" w14:textId="37D0193D" w:rsidR="00A54546" w:rsidRPr="00A54546" w:rsidRDefault="00A54546" w:rsidP="003B1DCD">
            <w:pPr>
              <w:rPr>
                <w:rFonts w:cs="Arial"/>
                <w:color w:val="000000"/>
                <w:sz w:val="16"/>
                <w:szCs w:val="16"/>
                <w:lang w:val="en-US" w:eastAsia="en-US"/>
              </w:rPr>
            </w:pPr>
            <w:r w:rsidRPr="00A54546">
              <w:rPr>
                <w:rFonts w:cs="Arial"/>
                <w:color w:val="000000"/>
                <w:sz w:val="16"/>
                <w:szCs w:val="16"/>
                <w:lang w:val="en-US" w:eastAsia="en-US"/>
              </w:rPr>
              <w:t xml:space="preserve"> AUD</w:t>
            </w:r>
            <w:r w:rsidR="003B1DCD">
              <w:rPr>
                <w:rFonts w:cs="Arial"/>
                <w:color w:val="000000"/>
                <w:sz w:val="16"/>
                <w:szCs w:val="16"/>
                <w:lang w:val="en-US" w:eastAsia="en-US"/>
              </w:rPr>
              <w:t xml:space="preserve">   </w:t>
            </w:r>
            <w:r w:rsidRPr="00A54546">
              <w:rPr>
                <w:rFonts w:cs="Arial"/>
                <w:color w:val="000000"/>
                <w:sz w:val="16"/>
                <w:szCs w:val="16"/>
                <w:lang w:val="en-US" w:eastAsia="en-US"/>
              </w:rPr>
              <w:t xml:space="preserve">497 </w:t>
            </w:r>
          </w:p>
        </w:tc>
        <w:tc>
          <w:tcPr>
            <w:tcW w:w="1399" w:type="dxa"/>
            <w:tcBorders>
              <w:top w:val="single" w:sz="4" w:space="0" w:color="auto"/>
              <w:left w:val="nil"/>
              <w:bottom w:val="single" w:sz="8" w:space="0" w:color="auto"/>
              <w:right w:val="single" w:sz="4" w:space="0" w:color="auto"/>
            </w:tcBorders>
            <w:shd w:val="clear" w:color="auto" w:fill="auto"/>
            <w:noWrap/>
            <w:vAlign w:val="center"/>
            <w:hideMark/>
          </w:tcPr>
          <w:p w14:paraId="79557384" w14:textId="50F2E00B" w:rsidR="00A54546" w:rsidRPr="00A54546" w:rsidRDefault="00A54546" w:rsidP="003B1DCD">
            <w:pPr>
              <w:rPr>
                <w:rFonts w:cs="Arial"/>
                <w:color w:val="000000"/>
                <w:sz w:val="16"/>
                <w:szCs w:val="16"/>
                <w:lang w:val="en-US" w:eastAsia="en-US"/>
              </w:rPr>
            </w:pPr>
            <w:r w:rsidRPr="00A54546">
              <w:rPr>
                <w:rFonts w:cs="Arial"/>
                <w:color w:val="000000"/>
                <w:sz w:val="16"/>
                <w:szCs w:val="16"/>
                <w:lang w:val="en-US" w:eastAsia="en-US"/>
              </w:rPr>
              <w:t xml:space="preserve"> AUD</w:t>
            </w:r>
            <w:r w:rsidR="003B1DCD">
              <w:rPr>
                <w:rFonts w:cs="Arial"/>
                <w:color w:val="000000"/>
                <w:sz w:val="16"/>
                <w:szCs w:val="16"/>
                <w:lang w:val="en-US" w:eastAsia="en-US"/>
              </w:rPr>
              <w:t xml:space="preserve">   </w:t>
            </w:r>
            <w:r w:rsidRPr="00A54546">
              <w:rPr>
                <w:rFonts w:cs="Arial"/>
                <w:color w:val="000000"/>
                <w:sz w:val="16"/>
                <w:szCs w:val="16"/>
                <w:lang w:val="en-US" w:eastAsia="en-US"/>
              </w:rPr>
              <w:t xml:space="preserve">504 </w:t>
            </w:r>
          </w:p>
        </w:tc>
        <w:tc>
          <w:tcPr>
            <w:tcW w:w="1399" w:type="dxa"/>
            <w:tcBorders>
              <w:top w:val="single" w:sz="4" w:space="0" w:color="auto"/>
              <w:left w:val="nil"/>
              <w:bottom w:val="single" w:sz="8" w:space="0" w:color="auto"/>
              <w:right w:val="single" w:sz="4" w:space="0" w:color="auto"/>
            </w:tcBorders>
            <w:shd w:val="clear" w:color="auto" w:fill="auto"/>
            <w:noWrap/>
            <w:vAlign w:val="center"/>
            <w:hideMark/>
          </w:tcPr>
          <w:p w14:paraId="5E3D84AA" w14:textId="1500BF0C" w:rsidR="00A54546" w:rsidRPr="00A54546" w:rsidRDefault="00A54546" w:rsidP="003B1DCD">
            <w:pPr>
              <w:rPr>
                <w:rFonts w:cs="Arial"/>
                <w:color w:val="000000"/>
                <w:sz w:val="16"/>
                <w:szCs w:val="16"/>
                <w:lang w:val="en-US" w:eastAsia="en-US"/>
              </w:rPr>
            </w:pPr>
            <w:r w:rsidRPr="00A54546">
              <w:rPr>
                <w:rFonts w:cs="Arial"/>
                <w:color w:val="000000"/>
                <w:sz w:val="16"/>
                <w:szCs w:val="16"/>
                <w:lang w:val="en-US" w:eastAsia="en-US"/>
              </w:rPr>
              <w:t xml:space="preserve"> AUD</w:t>
            </w:r>
            <w:r w:rsidR="003B1DCD">
              <w:rPr>
                <w:rFonts w:cs="Arial"/>
                <w:color w:val="000000"/>
                <w:sz w:val="16"/>
                <w:szCs w:val="16"/>
                <w:lang w:val="en-US" w:eastAsia="en-US"/>
              </w:rPr>
              <w:t xml:space="preserve">   </w:t>
            </w:r>
            <w:r w:rsidRPr="00A54546">
              <w:rPr>
                <w:rFonts w:cs="Arial"/>
                <w:color w:val="000000"/>
                <w:sz w:val="16"/>
                <w:szCs w:val="16"/>
                <w:lang w:val="en-US" w:eastAsia="en-US"/>
              </w:rPr>
              <w:t xml:space="preserve">518 </w:t>
            </w:r>
          </w:p>
        </w:tc>
        <w:tc>
          <w:tcPr>
            <w:tcW w:w="1399" w:type="dxa"/>
            <w:tcBorders>
              <w:top w:val="single" w:sz="4" w:space="0" w:color="auto"/>
              <w:left w:val="nil"/>
              <w:bottom w:val="single" w:sz="8" w:space="0" w:color="auto"/>
              <w:right w:val="single" w:sz="4" w:space="0" w:color="auto"/>
            </w:tcBorders>
            <w:shd w:val="clear" w:color="auto" w:fill="auto"/>
            <w:noWrap/>
            <w:vAlign w:val="center"/>
            <w:hideMark/>
          </w:tcPr>
          <w:p w14:paraId="79175561" w14:textId="211DA657" w:rsidR="00A54546" w:rsidRPr="00A54546" w:rsidRDefault="00A54546" w:rsidP="003B1DCD">
            <w:pPr>
              <w:rPr>
                <w:rFonts w:cs="Arial"/>
                <w:color w:val="000000"/>
                <w:sz w:val="16"/>
                <w:szCs w:val="16"/>
                <w:lang w:val="en-US" w:eastAsia="en-US"/>
              </w:rPr>
            </w:pPr>
            <w:r w:rsidRPr="00A54546">
              <w:rPr>
                <w:rFonts w:cs="Arial"/>
                <w:color w:val="000000"/>
                <w:sz w:val="16"/>
                <w:szCs w:val="16"/>
                <w:lang w:val="en-US" w:eastAsia="en-US"/>
              </w:rPr>
              <w:t xml:space="preserve"> AUD</w:t>
            </w:r>
            <w:r w:rsidR="003B1DCD">
              <w:rPr>
                <w:rFonts w:cs="Arial"/>
                <w:color w:val="000000"/>
                <w:sz w:val="16"/>
                <w:szCs w:val="16"/>
                <w:lang w:val="en-US" w:eastAsia="en-US"/>
              </w:rPr>
              <w:t xml:space="preserve">   </w:t>
            </w:r>
            <w:r w:rsidRPr="00A54546">
              <w:rPr>
                <w:rFonts w:cs="Arial"/>
                <w:color w:val="000000"/>
                <w:sz w:val="16"/>
                <w:szCs w:val="16"/>
                <w:lang w:val="en-US" w:eastAsia="en-US"/>
              </w:rPr>
              <w:t xml:space="preserve">525 </w:t>
            </w:r>
          </w:p>
        </w:tc>
        <w:tc>
          <w:tcPr>
            <w:tcW w:w="1399" w:type="dxa"/>
            <w:tcBorders>
              <w:top w:val="single" w:sz="4" w:space="0" w:color="auto"/>
              <w:left w:val="nil"/>
              <w:bottom w:val="single" w:sz="8" w:space="0" w:color="auto"/>
              <w:right w:val="single" w:sz="4" w:space="0" w:color="auto"/>
            </w:tcBorders>
            <w:shd w:val="clear" w:color="auto" w:fill="auto"/>
            <w:noWrap/>
            <w:vAlign w:val="center"/>
            <w:hideMark/>
          </w:tcPr>
          <w:p w14:paraId="0F337276" w14:textId="059A3BCB" w:rsidR="00A54546" w:rsidRPr="00A54546" w:rsidRDefault="00A54546" w:rsidP="003B1DCD">
            <w:pPr>
              <w:rPr>
                <w:rFonts w:cs="Arial"/>
                <w:color w:val="000000"/>
                <w:sz w:val="16"/>
                <w:szCs w:val="16"/>
                <w:lang w:val="en-US" w:eastAsia="en-US"/>
              </w:rPr>
            </w:pPr>
            <w:r w:rsidRPr="00A54546">
              <w:rPr>
                <w:rFonts w:cs="Arial"/>
                <w:color w:val="000000"/>
                <w:sz w:val="16"/>
                <w:szCs w:val="16"/>
                <w:lang w:val="en-US" w:eastAsia="en-US"/>
              </w:rPr>
              <w:t xml:space="preserve"> AUD</w:t>
            </w:r>
            <w:r w:rsidR="003B1DCD">
              <w:rPr>
                <w:rFonts w:cs="Arial"/>
                <w:color w:val="000000"/>
                <w:sz w:val="16"/>
                <w:szCs w:val="16"/>
                <w:lang w:val="en-US" w:eastAsia="en-US"/>
              </w:rPr>
              <w:t xml:space="preserve">   </w:t>
            </w:r>
            <w:r w:rsidRPr="00A54546">
              <w:rPr>
                <w:rFonts w:cs="Arial"/>
                <w:color w:val="000000"/>
                <w:sz w:val="16"/>
                <w:szCs w:val="16"/>
                <w:lang w:val="en-US" w:eastAsia="en-US"/>
              </w:rPr>
              <w:t xml:space="preserve">532 </w:t>
            </w:r>
          </w:p>
        </w:tc>
        <w:tc>
          <w:tcPr>
            <w:tcW w:w="1399" w:type="dxa"/>
            <w:tcBorders>
              <w:top w:val="single" w:sz="4" w:space="0" w:color="auto"/>
              <w:left w:val="nil"/>
              <w:bottom w:val="single" w:sz="8" w:space="0" w:color="auto"/>
              <w:right w:val="single" w:sz="8" w:space="0" w:color="auto"/>
            </w:tcBorders>
            <w:shd w:val="clear" w:color="auto" w:fill="auto"/>
            <w:noWrap/>
            <w:vAlign w:val="center"/>
            <w:hideMark/>
          </w:tcPr>
          <w:p w14:paraId="43BAD509" w14:textId="28D01494" w:rsidR="00A54546" w:rsidRPr="00A54546" w:rsidRDefault="00A54546" w:rsidP="003B1DCD">
            <w:pPr>
              <w:rPr>
                <w:rFonts w:cs="Arial"/>
                <w:color w:val="000000"/>
                <w:sz w:val="16"/>
                <w:szCs w:val="16"/>
                <w:lang w:val="en-US" w:eastAsia="en-US"/>
              </w:rPr>
            </w:pPr>
            <w:r w:rsidRPr="00A54546">
              <w:rPr>
                <w:rFonts w:cs="Arial"/>
                <w:color w:val="000000"/>
                <w:sz w:val="16"/>
                <w:szCs w:val="16"/>
                <w:lang w:val="en-US" w:eastAsia="en-US"/>
              </w:rPr>
              <w:t xml:space="preserve"> AUD</w:t>
            </w:r>
            <w:r w:rsidR="003B1DCD">
              <w:rPr>
                <w:rFonts w:cs="Arial"/>
                <w:color w:val="000000"/>
                <w:sz w:val="16"/>
                <w:szCs w:val="16"/>
                <w:lang w:val="en-US" w:eastAsia="en-US"/>
              </w:rPr>
              <w:t xml:space="preserve">   </w:t>
            </w:r>
            <w:r w:rsidRPr="00A54546">
              <w:rPr>
                <w:rFonts w:cs="Arial"/>
                <w:color w:val="000000"/>
                <w:sz w:val="16"/>
                <w:szCs w:val="16"/>
                <w:lang w:val="en-US" w:eastAsia="en-US"/>
              </w:rPr>
              <w:t xml:space="preserve">539 </w:t>
            </w:r>
          </w:p>
        </w:tc>
      </w:tr>
      <w:tr w:rsidR="00A54546" w:rsidRPr="00A54546" w14:paraId="4BD222AC" w14:textId="77777777" w:rsidTr="00BF0EEF">
        <w:trPr>
          <w:trHeight w:val="525"/>
          <w:jc w:val="center"/>
        </w:trPr>
        <w:tc>
          <w:tcPr>
            <w:tcW w:w="550"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11EBF14A" w14:textId="77777777" w:rsidR="00A54546" w:rsidRPr="00A54546" w:rsidRDefault="00A54546" w:rsidP="00A54546">
            <w:pPr>
              <w:rPr>
                <w:rFonts w:cs="Arial"/>
                <w:b/>
                <w:bCs/>
                <w:color w:val="000000"/>
                <w:sz w:val="20"/>
                <w:szCs w:val="20"/>
                <w:lang w:val="en-US" w:eastAsia="en-US"/>
              </w:rPr>
            </w:pPr>
            <w:r w:rsidRPr="00A54546">
              <w:rPr>
                <w:rFonts w:cs="Arial"/>
                <w:b/>
                <w:bCs/>
                <w:color w:val="000000"/>
                <w:sz w:val="20"/>
                <w:szCs w:val="20"/>
                <w:lang w:val="en-US" w:eastAsia="en-US"/>
              </w:rPr>
              <w:t>AW</w:t>
            </w:r>
          </w:p>
        </w:tc>
        <w:tc>
          <w:tcPr>
            <w:tcW w:w="3090" w:type="dxa"/>
            <w:tcBorders>
              <w:top w:val="single" w:sz="4" w:space="0" w:color="auto"/>
              <w:left w:val="nil"/>
              <w:bottom w:val="single" w:sz="8" w:space="0" w:color="auto"/>
              <w:right w:val="single" w:sz="4" w:space="0" w:color="auto"/>
            </w:tcBorders>
            <w:shd w:val="clear" w:color="auto" w:fill="auto"/>
            <w:vAlign w:val="center"/>
            <w:hideMark/>
          </w:tcPr>
          <w:p w14:paraId="239450EB" w14:textId="77777777" w:rsidR="00A54546" w:rsidRPr="00A54546" w:rsidRDefault="00A54546" w:rsidP="00A54546">
            <w:pPr>
              <w:rPr>
                <w:rFonts w:cs="Arial"/>
                <w:color w:val="000000"/>
                <w:sz w:val="20"/>
                <w:szCs w:val="20"/>
                <w:lang w:val="en-US" w:eastAsia="en-US"/>
              </w:rPr>
            </w:pPr>
            <w:r w:rsidRPr="00A54546">
              <w:rPr>
                <w:rFonts w:cs="Arial"/>
                <w:color w:val="000000"/>
                <w:sz w:val="20"/>
                <w:szCs w:val="20"/>
                <w:lang w:val="en-US" w:eastAsia="en-US"/>
              </w:rPr>
              <w:t>Total cost to MBS of re-implantation</w:t>
            </w:r>
          </w:p>
        </w:tc>
        <w:tc>
          <w:tcPr>
            <w:tcW w:w="1806" w:type="dxa"/>
            <w:tcBorders>
              <w:top w:val="nil"/>
              <w:left w:val="nil"/>
              <w:bottom w:val="single" w:sz="8" w:space="0" w:color="auto"/>
              <w:right w:val="single" w:sz="4" w:space="0" w:color="auto"/>
            </w:tcBorders>
            <w:shd w:val="clear" w:color="auto" w:fill="auto"/>
            <w:vAlign w:val="center"/>
            <w:hideMark/>
          </w:tcPr>
          <w:p w14:paraId="0BF10138" w14:textId="77777777" w:rsidR="00A54546" w:rsidRPr="00A54546" w:rsidRDefault="00A54546" w:rsidP="00A54546">
            <w:pPr>
              <w:rPr>
                <w:rFonts w:cs="Arial"/>
                <w:color w:val="000000"/>
                <w:sz w:val="16"/>
                <w:szCs w:val="16"/>
                <w:lang w:val="en-US" w:eastAsia="en-US"/>
              </w:rPr>
            </w:pPr>
            <w:r w:rsidRPr="00A54546">
              <w:rPr>
                <w:rFonts w:cs="Arial"/>
                <w:color w:val="000000"/>
                <w:sz w:val="16"/>
                <w:szCs w:val="16"/>
                <w:lang w:val="en-US" w:eastAsia="en-US"/>
              </w:rPr>
              <w:t>AS + AT + AU + AV</w:t>
            </w:r>
          </w:p>
        </w:tc>
        <w:tc>
          <w:tcPr>
            <w:tcW w:w="1622" w:type="dxa"/>
            <w:tcBorders>
              <w:top w:val="single" w:sz="4" w:space="0" w:color="auto"/>
              <w:left w:val="nil"/>
              <w:bottom w:val="single" w:sz="8" w:space="0" w:color="auto"/>
              <w:right w:val="single" w:sz="4" w:space="0" w:color="auto"/>
            </w:tcBorders>
            <w:shd w:val="clear" w:color="auto" w:fill="auto"/>
            <w:noWrap/>
            <w:vAlign w:val="center"/>
            <w:hideMark/>
          </w:tcPr>
          <w:p w14:paraId="37C87D83" w14:textId="3EFA3744" w:rsidR="00A54546" w:rsidRPr="00A54546" w:rsidRDefault="00A54546" w:rsidP="003B1DCD">
            <w:pPr>
              <w:rPr>
                <w:rFonts w:cs="Arial"/>
                <w:color w:val="000000"/>
                <w:sz w:val="16"/>
                <w:szCs w:val="16"/>
                <w:lang w:val="en-US" w:eastAsia="en-US"/>
              </w:rPr>
            </w:pPr>
            <w:r w:rsidRPr="00A54546">
              <w:rPr>
                <w:rFonts w:cs="Arial"/>
                <w:color w:val="000000"/>
                <w:sz w:val="16"/>
                <w:szCs w:val="16"/>
                <w:lang w:val="en-US" w:eastAsia="en-US"/>
              </w:rPr>
              <w:t xml:space="preserve"> AUD</w:t>
            </w:r>
            <w:r w:rsidR="003B1DCD">
              <w:rPr>
                <w:rFonts w:cs="Arial"/>
                <w:color w:val="000000"/>
                <w:sz w:val="16"/>
                <w:szCs w:val="16"/>
                <w:lang w:val="en-US" w:eastAsia="en-US"/>
              </w:rPr>
              <w:t xml:space="preserve">   </w:t>
            </w:r>
            <w:r w:rsidRPr="00A54546">
              <w:rPr>
                <w:rFonts w:cs="Arial"/>
                <w:color w:val="000000"/>
                <w:sz w:val="16"/>
                <w:szCs w:val="16"/>
                <w:lang w:val="en-US" w:eastAsia="en-US"/>
              </w:rPr>
              <w:t xml:space="preserve">2.463 </w:t>
            </w:r>
          </w:p>
        </w:tc>
        <w:tc>
          <w:tcPr>
            <w:tcW w:w="1399" w:type="dxa"/>
            <w:tcBorders>
              <w:top w:val="single" w:sz="4" w:space="0" w:color="auto"/>
              <w:left w:val="nil"/>
              <w:bottom w:val="single" w:sz="8" w:space="0" w:color="auto"/>
              <w:right w:val="single" w:sz="4" w:space="0" w:color="auto"/>
            </w:tcBorders>
            <w:shd w:val="clear" w:color="auto" w:fill="auto"/>
            <w:noWrap/>
            <w:vAlign w:val="center"/>
            <w:hideMark/>
          </w:tcPr>
          <w:p w14:paraId="2183DEF6" w14:textId="15290A5E" w:rsidR="00A54546" w:rsidRPr="00A54546" w:rsidRDefault="00A54546" w:rsidP="003B1DCD">
            <w:pPr>
              <w:rPr>
                <w:rFonts w:cs="Arial"/>
                <w:color w:val="000000"/>
                <w:sz w:val="16"/>
                <w:szCs w:val="16"/>
                <w:lang w:val="en-US" w:eastAsia="en-US"/>
              </w:rPr>
            </w:pPr>
            <w:r w:rsidRPr="00A54546">
              <w:rPr>
                <w:rFonts w:cs="Arial"/>
                <w:color w:val="000000"/>
                <w:sz w:val="16"/>
                <w:szCs w:val="16"/>
                <w:lang w:val="en-US" w:eastAsia="en-US"/>
              </w:rPr>
              <w:t xml:space="preserve"> AUD</w:t>
            </w:r>
            <w:r w:rsidR="003B1DCD">
              <w:rPr>
                <w:rFonts w:cs="Arial"/>
                <w:color w:val="000000"/>
                <w:sz w:val="16"/>
                <w:szCs w:val="16"/>
                <w:lang w:val="en-US" w:eastAsia="en-US"/>
              </w:rPr>
              <w:t xml:space="preserve">   </w:t>
            </w:r>
            <w:r w:rsidRPr="00A54546">
              <w:rPr>
                <w:rFonts w:cs="Arial"/>
                <w:color w:val="000000"/>
                <w:sz w:val="16"/>
                <w:szCs w:val="16"/>
                <w:lang w:val="en-US" w:eastAsia="en-US"/>
              </w:rPr>
              <w:t xml:space="preserve">2.498 </w:t>
            </w:r>
          </w:p>
        </w:tc>
        <w:tc>
          <w:tcPr>
            <w:tcW w:w="1399" w:type="dxa"/>
            <w:tcBorders>
              <w:top w:val="single" w:sz="4" w:space="0" w:color="auto"/>
              <w:left w:val="nil"/>
              <w:bottom w:val="single" w:sz="8" w:space="0" w:color="auto"/>
              <w:right w:val="single" w:sz="4" w:space="0" w:color="auto"/>
            </w:tcBorders>
            <w:shd w:val="clear" w:color="auto" w:fill="auto"/>
            <w:noWrap/>
            <w:vAlign w:val="center"/>
            <w:hideMark/>
          </w:tcPr>
          <w:p w14:paraId="5B0D4B12" w14:textId="4F58F363" w:rsidR="00A54546" w:rsidRPr="00A54546" w:rsidRDefault="00A54546" w:rsidP="003B1DCD">
            <w:pPr>
              <w:rPr>
                <w:rFonts w:cs="Arial"/>
                <w:color w:val="000000"/>
                <w:sz w:val="16"/>
                <w:szCs w:val="16"/>
                <w:lang w:val="en-US" w:eastAsia="en-US"/>
              </w:rPr>
            </w:pPr>
            <w:r w:rsidRPr="00A54546">
              <w:rPr>
                <w:rFonts w:cs="Arial"/>
                <w:color w:val="000000"/>
                <w:sz w:val="16"/>
                <w:szCs w:val="16"/>
                <w:lang w:val="en-US" w:eastAsia="en-US"/>
              </w:rPr>
              <w:t xml:space="preserve"> AUD</w:t>
            </w:r>
            <w:r w:rsidR="003B1DCD">
              <w:rPr>
                <w:rFonts w:cs="Arial"/>
                <w:color w:val="000000"/>
                <w:sz w:val="16"/>
                <w:szCs w:val="16"/>
                <w:lang w:val="en-US" w:eastAsia="en-US"/>
              </w:rPr>
              <w:t xml:space="preserve">   </w:t>
            </w:r>
            <w:r w:rsidRPr="00A54546">
              <w:rPr>
                <w:rFonts w:cs="Arial"/>
                <w:color w:val="000000"/>
                <w:sz w:val="16"/>
                <w:szCs w:val="16"/>
                <w:lang w:val="en-US" w:eastAsia="en-US"/>
              </w:rPr>
              <w:t xml:space="preserve">2.568 </w:t>
            </w:r>
          </w:p>
        </w:tc>
        <w:tc>
          <w:tcPr>
            <w:tcW w:w="1399" w:type="dxa"/>
            <w:tcBorders>
              <w:top w:val="single" w:sz="4" w:space="0" w:color="auto"/>
              <w:left w:val="nil"/>
              <w:bottom w:val="single" w:sz="8" w:space="0" w:color="auto"/>
              <w:right w:val="single" w:sz="4" w:space="0" w:color="auto"/>
            </w:tcBorders>
            <w:shd w:val="clear" w:color="auto" w:fill="auto"/>
            <w:noWrap/>
            <w:vAlign w:val="center"/>
            <w:hideMark/>
          </w:tcPr>
          <w:p w14:paraId="2805EB39" w14:textId="58940A6D" w:rsidR="00A54546" w:rsidRPr="00A54546" w:rsidRDefault="00A54546" w:rsidP="003B1DCD">
            <w:pPr>
              <w:rPr>
                <w:rFonts w:cs="Arial"/>
                <w:color w:val="000000"/>
                <w:sz w:val="16"/>
                <w:szCs w:val="16"/>
                <w:lang w:val="en-US" w:eastAsia="en-US"/>
              </w:rPr>
            </w:pPr>
            <w:r w:rsidRPr="00A54546">
              <w:rPr>
                <w:rFonts w:cs="Arial"/>
                <w:color w:val="000000"/>
                <w:sz w:val="16"/>
                <w:szCs w:val="16"/>
                <w:lang w:val="en-US" w:eastAsia="en-US"/>
              </w:rPr>
              <w:t xml:space="preserve"> AUD</w:t>
            </w:r>
            <w:r w:rsidR="003B1DCD">
              <w:rPr>
                <w:rFonts w:cs="Arial"/>
                <w:color w:val="000000"/>
                <w:sz w:val="16"/>
                <w:szCs w:val="16"/>
                <w:lang w:val="en-US" w:eastAsia="en-US"/>
              </w:rPr>
              <w:t xml:space="preserve">   </w:t>
            </w:r>
            <w:r w:rsidRPr="00A54546">
              <w:rPr>
                <w:rFonts w:cs="Arial"/>
                <w:color w:val="000000"/>
                <w:sz w:val="16"/>
                <w:szCs w:val="16"/>
                <w:lang w:val="en-US" w:eastAsia="en-US"/>
              </w:rPr>
              <w:t xml:space="preserve">2.602 </w:t>
            </w:r>
          </w:p>
        </w:tc>
        <w:tc>
          <w:tcPr>
            <w:tcW w:w="1399" w:type="dxa"/>
            <w:tcBorders>
              <w:top w:val="single" w:sz="4" w:space="0" w:color="auto"/>
              <w:left w:val="nil"/>
              <w:bottom w:val="single" w:sz="8" w:space="0" w:color="auto"/>
              <w:right w:val="single" w:sz="4" w:space="0" w:color="auto"/>
            </w:tcBorders>
            <w:shd w:val="clear" w:color="auto" w:fill="auto"/>
            <w:noWrap/>
            <w:vAlign w:val="center"/>
            <w:hideMark/>
          </w:tcPr>
          <w:p w14:paraId="061DC2F3" w14:textId="17696633" w:rsidR="00A54546" w:rsidRPr="00A54546" w:rsidRDefault="00A54546" w:rsidP="003B1DCD">
            <w:pPr>
              <w:rPr>
                <w:rFonts w:cs="Arial"/>
                <w:color w:val="000000"/>
                <w:sz w:val="16"/>
                <w:szCs w:val="16"/>
                <w:lang w:val="en-US" w:eastAsia="en-US"/>
              </w:rPr>
            </w:pPr>
            <w:r w:rsidRPr="00A54546">
              <w:rPr>
                <w:rFonts w:cs="Arial"/>
                <w:color w:val="000000"/>
                <w:sz w:val="16"/>
                <w:szCs w:val="16"/>
                <w:lang w:val="en-US" w:eastAsia="en-US"/>
              </w:rPr>
              <w:t xml:space="preserve"> AUD</w:t>
            </w:r>
            <w:r w:rsidR="003B1DCD">
              <w:rPr>
                <w:rFonts w:cs="Arial"/>
                <w:color w:val="000000"/>
                <w:sz w:val="16"/>
                <w:szCs w:val="16"/>
                <w:lang w:val="en-US" w:eastAsia="en-US"/>
              </w:rPr>
              <w:t xml:space="preserve">   </w:t>
            </w:r>
            <w:r w:rsidRPr="00A54546">
              <w:rPr>
                <w:rFonts w:cs="Arial"/>
                <w:color w:val="000000"/>
                <w:sz w:val="16"/>
                <w:szCs w:val="16"/>
                <w:lang w:val="en-US" w:eastAsia="en-US"/>
              </w:rPr>
              <w:t xml:space="preserve">2.637 </w:t>
            </w:r>
          </w:p>
        </w:tc>
        <w:tc>
          <w:tcPr>
            <w:tcW w:w="1399" w:type="dxa"/>
            <w:tcBorders>
              <w:top w:val="single" w:sz="4" w:space="0" w:color="auto"/>
              <w:left w:val="nil"/>
              <w:bottom w:val="single" w:sz="8" w:space="0" w:color="auto"/>
              <w:right w:val="single" w:sz="8" w:space="0" w:color="auto"/>
            </w:tcBorders>
            <w:shd w:val="clear" w:color="auto" w:fill="auto"/>
            <w:noWrap/>
            <w:vAlign w:val="center"/>
            <w:hideMark/>
          </w:tcPr>
          <w:p w14:paraId="3ECCA491" w14:textId="42AFA49D" w:rsidR="00A54546" w:rsidRPr="00A54546" w:rsidRDefault="00A54546" w:rsidP="003B1DCD">
            <w:pPr>
              <w:rPr>
                <w:rFonts w:cs="Arial"/>
                <w:color w:val="000000"/>
                <w:sz w:val="16"/>
                <w:szCs w:val="16"/>
                <w:lang w:val="en-US" w:eastAsia="en-US"/>
              </w:rPr>
            </w:pPr>
            <w:r w:rsidRPr="00A54546">
              <w:rPr>
                <w:rFonts w:cs="Arial"/>
                <w:color w:val="000000"/>
                <w:sz w:val="16"/>
                <w:szCs w:val="16"/>
                <w:lang w:val="en-US" w:eastAsia="en-US"/>
              </w:rPr>
              <w:t xml:space="preserve"> AUD</w:t>
            </w:r>
            <w:r w:rsidR="003B1DCD">
              <w:rPr>
                <w:rFonts w:cs="Arial"/>
                <w:color w:val="000000"/>
                <w:sz w:val="16"/>
                <w:szCs w:val="16"/>
                <w:lang w:val="en-US" w:eastAsia="en-US"/>
              </w:rPr>
              <w:t xml:space="preserve">   </w:t>
            </w:r>
            <w:r w:rsidRPr="00A54546">
              <w:rPr>
                <w:rFonts w:cs="Arial"/>
                <w:color w:val="000000"/>
                <w:sz w:val="16"/>
                <w:szCs w:val="16"/>
                <w:lang w:val="en-US" w:eastAsia="en-US"/>
              </w:rPr>
              <w:t xml:space="preserve">2.672 </w:t>
            </w:r>
          </w:p>
        </w:tc>
      </w:tr>
    </w:tbl>
    <w:p w14:paraId="408473DA" w14:textId="77777777" w:rsidR="003B1DCD" w:rsidRDefault="003B1DCD" w:rsidP="00A54546">
      <w:pPr>
        <w:pStyle w:val="Tablecaption"/>
        <w:spacing w:line="360" w:lineRule="auto"/>
        <w:rPr>
          <w:rFonts w:ascii="Arial" w:hAnsi="Arial" w:cs="Arial"/>
          <w:lang w:val="en-AU"/>
        </w:rPr>
      </w:pPr>
      <w:bookmarkStart w:id="643" w:name="_Ref430954244"/>
      <w:bookmarkStart w:id="644" w:name="_Toc431917527"/>
    </w:p>
    <w:p w14:paraId="780FFFE6" w14:textId="77777777" w:rsidR="003B1DCD" w:rsidRDefault="003B1DCD">
      <w:pPr>
        <w:rPr>
          <w:rFonts w:cs="Arial"/>
          <w:b/>
          <w:bCs/>
          <w:sz w:val="20"/>
          <w:szCs w:val="20"/>
        </w:rPr>
      </w:pPr>
      <w:r>
        <w:rPr>
          <w:rFonts w:cs="Arial"/>
        </w:rPr>
        <w:br w:type="page"/>
      </w:r>
    </w:p>
    <w:p w14:paraId="73E78C3B" w14:textId="345D3D93" w:rsidR="00A54546" w:rsidRPr="004D294A" w:rsidRDefault="00A54546" w:rsidP="00A54546">
      <w:pPr>
        <w:pStyle w:val="Tablecaption"/>
        <w:spacing w:line="360" w:lineRule="auto"/>
        <w:rPr>
          <w:rFonts w:ascii="Arial" w:hAnsi="Arial" w:cs="Arial"/>
          <w:lang w:val="en-AU"/>
        </w:rPr>
      </w:pPr>
      <w:r w:rsidRPr="004D294A">
        <w:rPr>
          <w:rFonts w:ascii="Arial" w:hAnsi="Arial" w:cs="Arial"/>
          <w:lang w:val="en-AU"/>
        </w:rPr>
        <w:lastRenderedPageBreak/>
        <w:t xml:space="preserve">Table </w:t>
      </w:r>
      <w:r w:rsidRPr="004D294A">
        <w:rPr>
          <w:rFonts w:ascii="Arial" w:hAnsi="Arial" w:cs="Arial"/>
          <w:lang w:val="en-AU"/>
        </w:rPr>
        <w:fldChar w:fldCharType="begin"/>
      </w:r>
      <w:r w:rsidRPr="004D294A">
        <w:rPr>
          <w:rFonts w:ascii="Arial" w:hAnsi="Arial" w:cs="Arial"/>
          <w:lang w:val="en-AU"/>
        </w:rPr>
        <w:instrText xml:space="preserve"> SEQ Table \* ARABIC </w:instrText>
      </w:r>
      <w:r w:rsidRPr="004D294A">
        <w:rPr>
          <w:rFonts w:ascii="Arial" w:hAnsi="Arial" w:cs="Arial"/>
          <w:lang w:val="en-AU"/>
        </w:rPr>
        <w:fldChar w:fldCharType="separate"/>
      </w:r>
      <w:r w:rsidR="00016592">
        <w:rPr>
          <w:rFonts w:ascii="Arial" w:hAnsi="Arial" w:cs="Arial"/>
          <w:noProof/>
          <w:lang w:val="en-AU"/>
        </w:rPr>
        <w:t>67</w:t>
      </w:r>
      <w:r w:rsidRPr="004D294A">
        <w:rPr>
          <w:rFonts w:ascii="Arial" w:hAnsi="Arial" w:cs="Arial"/>
          <w:lang w:val="en-AU"/>
        </w:rPr>
        <w:fldChar w:fldCharType="end"/>
      </w:r>
      <w:bookmarkEnd w:id="643"/>
      <w:r w:rsidRPr="004D294A">
        <w:rPr>
          <w:rFonts w:ascii="Arial" w:hAnsi="Arial" w:cs="Arial"/>
          <w:lang w:val="en-AU"/>
        </w:rPr>
        <w:t xml:space="preserve"> – Estimated </w:t>
      </w:r>
      <w:r>
        <w:rPr>
          <w:rFonts w:ascii="Arial" w:hAnsi="Arial" w:cs="Arial"/>
          <w:lang w:val="en-AU"/>
        </w:rPr>
        <w:t xml:space="preserve">total </w:t>
      </w:r>
      <w:r w:rsidRPr="004D294A">
        <w:rPr>
          <w:rFonts w:ascii="Arial" w:hAnsi="Arial" w:cs="Arial"/>
          <w:lang w:val="en-AU"/>
        </w:rPr>
        <w:t xml:space="preserve">cost </w:t>
      </w:r>
      <w:r>
        <w:rPr>
          <w:rFonts w:ascii="Arial" w:hAnsi="Arial" w:cs="Arial"/>
          <w:lang w:val="en-AU"/>
        </w:rPr>
        <w:t xml:space="preserve">of associated items </w:t>
      </w:r>
      <w:r w:rsidRPr="004D294A">
        <w:rPr>
          <w:rFonts w:ascii="Arial" w:hAnsi="Arial" w:cs="Arial"/>
          <w:lang w:val="en-AU"/>
        </w:rPr>
        <w:t>to</w:t>
      </w:r>
      <w:r>
        <w:rPr>
          <w:rFonts w:ascii="Arial" w:hAnsi="Arial" w:cs="Arial"/>
          <w:lang w:val="en-AU"/>
        </w:rPr>
        <w:t xml:space="preserve"> t</w:t>
      </w:r>
      <w:r w:rsidRPr="004D294A">
        <w:rPr>
          <w:rFonts w:ascii="Arial" w:hAnsi="Arial" w:cs="Arial"/>
          <w:lang w:val="en-AU"/>
        </w:rPr>
        <w:t xml:space="preserve">he </w:t>
      </w:r>
      <w:r>
        <w:rPr>
          <w:rFonts w:ascii="Arial" w:hAnsi="Arial" w:cs="Arial"/>
          <w:lang w:val="en-AU"/>
        </w:rPr>
        <w:t>MBS</w:t>
      </w:r>
      <w:bookmarkEnd w:id="644"/>
    </w:p>
    <w:tbl>
      <w:tblPr>
        <w:tblW w:w="14066" w:type="dxa"/>
        <w:jc w:val="center"/>
        <w:tblLook w:val="04A0" w:firstRow="1" w:lastRow="0" w:firstColumn="1" w:lastColumn="0" w:noHBand="0" w:noVBand="1"/>
        <w:tblDescription w:val="Estimated total cost of associated items to the MBS"/>
      </w:tblPr>
      <w:tblGrid>
        <w:gridCol w:w="494"/>
        <w:gridCol w:w="3133"/>
        <w:gridCol w:w="1822"/>
        <w:gridCol w:w="1622"/>
        <w:gridCol w:w="1399"/>
        <w:gridCol w:w="1399"/>
        <w:gridCol w:w="1399"/>
        <w:gridCol w:w="1399"/>
        <w:gridCol w:w="1399"/>
      </w:tblGrid>
      <w:tr w:rsidR="00A54546" w:rsidRPr="00A54546" w14:paraId="4214E2BF" w14:textId="77777777" w:rsidTr="00BF0EEF">
        <w:trPr>
          <w:trHeight w:val="515"/>
          <w:jc w:val="center"/>
        </w:trPr>
        <w:tc>
          <w:tcPr>
            <w:tcW w:w="49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4FB9B36" w14:textId="77777777" w:rsidR="00A54546" w:rsidRPr="00A54546" w:rsidRDefault="00A54546" w:rsidP="00A54546">
            <w:pPr>
              <w:rPr>
                <w:rFonts w:cs="Arial"/>
                <w:b/>
                <w:bCs/>
                <w:color w:val="000000"/>
                <w:sz w:val="20"/>
                <w:szCs w:val="20"/>
                <w:lang w:val="en-US" w:eastAsia="en-US"/>
              </w:rPr>
            </w:pPr>
            <w:r w:rsidRPr="00A54546">
              <w:rPr>
                <w:rFonts w:cs="Arial"/>
                <w:b/>
                <w:bCs/>
                <w:color w:val="000000"/>
                <w:sz w:val="20"/>
                <w:szCs w:val="20"/>
                <w:lang w:val="en-US" w:eastAsia="en-US"/>
              </w:rPr>
              <w:t> </w:t>
            </w:r>
          </w:p>
        </w:tc>
        <w:tc>
          <w:tcPr>
            <w:tcW w:w="3133" w:type="dxa"/>
            <w:tcBorders>
              <w:top w:val="single" w:sz="8" w:space="0" w:color="auto"/>
              <w:left w:val="nil"/>
              <w:bottom w:val="single" w:sz="4" w:space="0" w:color="auto"/>
              <w:right w:val="single" w:sz="4" w:space="0" w:color="auto"/>
            </w:tcBorders>
            <w:shd w:val="clear" w:color="auto" w:fill="auto"/>
            <w:vAlign w:val="center"/>
            <w:hideMark/>
          </w:tcPr>
          <w:p w14:paraId="137E3020" w14:textId="77777777" w:rsidR="00A54546" w:rsidRPr="00A54546" w:rsidRDefault="00A54546" w:rsidP="00A54546">
            <w:pPr>
              <w:rPr>
                <w:rFonts w:cs="Arial"/>
                <w:b/>
                <w:bCs/>
                <w:color w:val="000000"/>
                <w:sz w:val="20"/>
                <w:szCs w:val="20"/>
                <w:lang w:val="en-US" w:eastAsia="en-US"/>
              </w:rPr>
            </w:pPr>
            <w:r w:rsidRPr="00A54546">
              <w:rPr>
                <w:rFonts w:cs="Arial"/>
                <w:b/>
                <w:bCs/>
                <w:color w:val="000000"/>
                <w:sz w:val="20"/>
                <w:szCs w:val="20"/>
                <w:lang w:val="en-US" w:eastAsia="en-US"/>
              </w:rPr>
              <w:t>Description</w:t>
            </w:r>
          </w:p>
        </w:tc>
        <w:tc>
          <w:tcPr>
            <w:tcW w:w="1822" w:type="dxa"/>
            <w:tcBorders>
              <w:top w:val="single" w:sz="8" w:space="0" w:color="auto"/>
              <w:left w:val="nil"/>
              <w:bottom w:val="single" w:sz="4" w:space="0" w:color="auto"/>
              <w:right w:val="single" w:sz="4" w:space="0" w:color="auto"/>
            </w:tcBorders>
            <w:shd w:val="clear" w:color="auto" w:fill="auto"/>
            <w:vAlign w:val="center"/>
            <w:hideMark/>
          </w:tcPr>
          <w:p w14:paraId="6B08F65E" w14:textId="77777777" w:rsidR="00A54546" w:rsidRPr="00A54546" w:rsidRDefault="00A54546" w:rsidP="00A54546">
            <w:pPr>
              <w:jc w:val="center"/>
              <w:rPr>
                <w:rFonts w:cs="Arial"/>
                <w:b/>
                <w:bCs/>
                <w:color w:val="000000"/>
                <w:sz w:val="16"/>
                <w:szCs w:val="16"/>
                <w:lang w:val="en-US" w:eastAsia="en-US"/>
              </w:rPr>
            </w:pPr>
            <w:r w:rsidRPr="00A54546">
              <w:rPr>
                <w:rFonts w:cs="Arial"/>
                <w:b/>
                <w:bCs/>
                <w:color w:val="000000"/>
                <w:sz w:val="16"/>
                <w:szCs w:val="16"/>
                <w:lang w:val="en-US" w:eastAsia="en-US"/>
              </w:rPr>
              <w:t>Method</w:t>
            </w:r>
          </w:p>
        </w:tc>
        <w:tc>
          <w:tcPr>
            <w:tcW w:w="1622" w:type="dxa"/>
            <w:tcBorders>
              <w:top w:val="single" w:sz="8" w:space="0" w:color="auto"/>
              <w:left w:val="nil"/>
              <w:bottom w:val="single" w:sz="4" w:space="0" w:color="auto"/>
              <w:right w:val="single" w:sz="4" w:space="0" w:color="auto"/>
            </w:tcBorders>
            <w:shd w:val="clear" w:color="auto" w:fill="auto"/>
            <w:noWrap/>
            <w:vAlign w:val="center"/>
            <w:hideMark/>
          </w:tcPr>
          <w:p w14:paraId="51E05D92" w14:textId="77777777" w:rsidR="00A54546" w:rsidRPr="00A54546" w:rsidRDefault="00A54546" w:rsidP="00A54546">
            <w:pPr>
              <w:jc w:val="center"/>
              <w:rPr>
                <w:rFonts w:cs="Arial"/>
                <w:b/>
                <w:bCs/>
                <w:color w:val="000000"/>
                <w:sz w:val="16"/>
                <w:szCs w:val="16"/>
                <w:lang w:val="en-US" w:eastAsia="en-US"/>
              </w:rPr>
            </w:pPr>
            <w:r w:rsidRPr="00A54546">
              <w:rPr>
                <w:rFonts w:cs="Arial"/>
                <w:b/>
                <w:bCs/>
                <w:color w:val="000000"/>
                <w:sz w:val="16"/>
                <w:szCs w:val="16"/>
                <w:lang w:val="en-US" w:eastAsia="en-US"/>
              </w:rPr>
              <w:t>current (2016)</w:t>
            </w:r>
          </w:p>
        </w:tc>
        <w:tc>
          <w:tcPr>
            <w:tcW w:w="1399" w:type="dxa"/>
            <w:tcBorders>
              <w:top w:val="single" w:sz="8" w:space="0" w:color="auto"/>
              <w:left w:val="nil"/>
              <w:bottom w:val="single" w:sz="4" w:space="0" w:color="auto"/>
              <w:right w:val="single" w:sz="4" w:space="0" w:color="auto"/>
            </w:tcBorders>
            <w:shd w:val="clear" w:color="auto" w:fill="auto"/>
            <w:noWrap/>
            <w:vAlign w:val="center"/>
            <w:hideMark/>
          </w:tcPr>
          <w:p w14:paraId="277299C2" w14:textId="77777777" w:rsidR="00A54546" w:rsidRPr="00A54546" w:rsidRDefault="00A54546" w:rsidP="00A54546">
            <w:pPr>
              <w:jc w:val="center"/>
              <w:rPr>
                <w:rFonts w:cs="Arial"/>
                <w:b/>
                <w:bCs/>
                <w:color w:val="000000"/>
                <w:sz w:val="16"/>
                <w:szCs w:val="16"/>
                <w:lang w:val="en-US" w:eastAsia="en-US"/>
              </w:rPr>
            </w:pPr>
            <w:r w:rsidRPr="00A54546">
              <w:rPr>
                <w:rFonts w:cs="Arial"/>
                <w:b/>
                <w:bCs/>
                <w:color w:val="000000"/>
                <w:sz w:val="16"/>
                <w:szCs w:val="16"/>
                <w:lang w:val="en-US" w:eastAsia="en-US"/>
              </w:rPr>
              <w:t>2017</w:t>
            </w:r>
          </w:p>
        </w:tc>
        <w:tc>
          <w:tcPr>
            <w:tcW w:w="1399" w:type="dxa"/>
            <w:tcBorders>
              <w:top w:val="single" w:sz="8" w:space="0" w:color="auto"/>
              <w:left w:val="nil"/>
              <w:bottom w:val="single" w:sz="4" w:space="0" w:color="auto"/>
              <w:right w:val="single" w:sz="4" w:space="0" w:color="auto"/>
            </w:tcBorders>
            <w:shd w:val="clear" w:color="auto" w:fill="auto"/>
            <w:noWrap/>
            <w:vAlign w:val="center"/>
            <w:hideMark/>
          </w:tcPr>
          <w:p w14:paraId="72817AA5" w14:textId="77777777" w:rsidR="00A54546" w:rsidRPr="00A54546" w:rsidRDefault="00A54546" w:rsidP="00A54546">
            <w:pPr>
              <w:jc w:val="center"/>
              <w:rPr>
                <w:rFonts w:cs="Arial"/>
                <w:b/>
                <w:bCs/>
                <w:color w:val="000000"/>
                <w:sz w:val="16"/>
                <w:szCs w:val="16"/>
                <w:lang w:val="en-US" w:eastAsia="en-US"/>
              </w:rPr>
            </w:pPr>
            <w:r w:rsidRPr="00A54546">
              <w:rPr>
                <w:rFonts w:cs="Arial"/>
                <w:b/>
                <w:bCs/>
                <w:color w:val="000000"/>
                <w:sz w:val="16"/>
                <w:szCs w:val="16"/>
                <w:lang w:val="en-US" w:eastAsia="en-US"/>
              </w:rPr>
              <w:t>2018</w:t>
            </w:r>
          </w:p>
        </w:tc>
        <w:tc>
          <w:tcPr>
            <w:tcW w:w="1399" w:type="dxa"/>
            <w:tcBorders>
              <w:top w:val="single" w:sz="8" w:space="0" w:color="auto"/>
              <w:left w:val="nil"/>
              <w:bottom w:val="single" w:sz="4" w:space="0" w:color="auto"/>
              <w:right w:val="single" w:sz="4" w:space="0" w:color="auto"/>
            </w:tcBorders>
            <w:shd w:val="clear" w:color="auto" w:fill="auto"/>
            <w:noWrap/>
            <w:vAlign w:val="center"/>
            <w:hideMark/>
          </w:tcPr>
          <w:p w14:paraId="6C4AFD9B" w14:textId="77777777" w:rsidR="00A54546" w:rsidRPr="00A54546" w:rsidRDefault="00A54546" w:rsidP="00A54546">
            <w:pPr>
              <w:jc w:val="center"/>
              <w:rPr>
                <w:rFonts w:cs="Arial"/>
                <w:b/>
                <w:bCs/>
                <w:color w:val="000000"/>
                <w:sz w:val="16"/>
                <w:szCs w:val="16"/>
                <w:lang w:val="en-US" w:eastAsia="en-US"/>
              </w:rPr>
            </w:pPr>
            <w:r w:rsidRPr="00A54546">
              <w:rPr>
                <w:rFonts w:cs="Arial"/>
                <w:b/>
                <w:bCs/>
                <w:color w:val="000000"/>
                <w:sz w:val="16"/>
                <w:szCs w:val="16"/>
                <w:lang w:val="en-US" w:eastAsia="en-US"/>
              </w:rPr>
              <w:t>2019</w:t>
            </w:r>
          </w:p>
        </w:tc>
        <w:tc>
          <w:tcPr>
            <w:tcW w:w="1399" w:type="dxa"/>
            <w:tcBorders>
              <w:top w:val="single" w:sz="8" w:space="0" w:color="auto"/>
              <w:left w:val="nil"/>
              <w:bottom w:val="single" w:sz="4" w:space="0" w:color="auto"/>
              <w:right w:val="single" w:sz="4" w:space="0" w:color="auto"/>
            </w:tcBorders>
            <w:shd w:val="clear" w:color="auto" w:fill="auto"/>
            <w:noWrap/>
            <w:vAlign w:val="center"/>
            <w:hideMark/>
          </w:tcPr>
          <w:p w14:paraId="13F01248" w14:textId="77777777" w:rsidR="00A54546" w:rsidRPr="00A54546" w:rsidRDefault="00A54546" w:rsidP="00A54546">
            <w:pPr>
              <w:jc w:val="center"/>
              <w:rPr>
                <w:rFonts w:cs="Arial"/>
                <w:b/>
                <w:bCs/>
                <w:color w:val="000000"/>
                <w:sz w:val="16"/>
                <w:szCs w:val="16"/>
                <w:lang w:val="en-US" w:eastAsia="en-US"/>
              </w:rPr>
            </w:pPr>
            <w:r w:rsidRPr="00A54546">
              <w:rPr>
                <w:rFonts w:cs="Arial"/>
                <w:b/>
                <w:bCs/>
                <w:color w:val="000000"/>
                <w:sz w:val="16"/>
                <w:szCs w:val="16"/>
                <w:lang w:val="en-US" w:eastAsia="en-US"/>
              </w:rPr>
              <w:t>2020</w:t>
            </w:r>
          </w:p>
        </w:tc>
        <w:tc>
          <w:tcPr>
            <w:tcW w:w="1399" w:type="dxa"/>
            <w:tcBorders>
              <w:top w:val="single" w:sz="8" w:space="0" w:color="auto"/>
              <w:left w:val="nil"/>
              <w:bottom w:val="single" w:sz="4" w:space="0" w:color="auto"/>
              <w:right w:val="single" w:sz="4" w:space="0" w:color="auto"/>
            </w:tcBorders>
            <w:shd w:val="clear" w:color="auto" w:fill="auto"/>
            <w:noWrap/>
            <w:vAlign w:val="center"/>
            <w:hideMark/>
          </w:tcPr>
          <w:p w14:paraId="7BFA0814" w14:textId="77777777" w:rsidR="00A54546" w:rsidRPr="00A54546" w:rsidRDefault="00A54546" w:rsidP="00A54546">
            <w:pPr>
              <w:jc w:val="center"/>
              <w:rPr>
                <w:rFonts w:cs="Arial"/>
                <w:b/>
                <w:bCs/>
                <w:color w:val="000000"/>
                <w:sz w:val="16"/>
                <w:szCs w:val="16"/>
                <w:lang w:val="en-US" w:eastAsia="en-US"/>
              </w:rPr>
            </w:pPr>
            <w:r w:rsidRPr="00A54546">
              <w:rPr>
                <w:rFonts w:cs="Arial"/>
                <w:b/>
                <w:bCs/>
                <w:color w:val="000000"/>
                <w:sz w:val="16"/>
                <w:szCs w:val="16"/>
                <w:lang w:val="en-US" w:eastAsia="en-US"/>
              </w:rPr>
              <w:t>2021</w:t>
            </w:r>
          </w:p>
        </w:tc>
      </w:tr>
      <w:tr w:rsidR="00A54546" w:rsidRPr="00A54546" w14:paraId="0D8BC42C" w14:textId="77777777" w:rsidTr="00BF0EEF">
        <w:trPr>
          <w:trHeight w:val="405"/>
          <w:jc w:val="center"/>
        </w:trPr>
        <w:tc>
          <w:tcPr>
            <w:tcW w:w="494" w:type="dxa"/>
            <w:tcBorders>
              <w:top w:val="nil"/>
              <w:left w:val="single" w:sz="8" w:space="0" w:color="auto"/>
              <w:bottom w:val="single" w:sz="4" w:space="0" w:color="auto"/>
              <w:right w:val="single" w:sz="4" w:space="0" w:color="auto"/>
            </w:tcBorders>
            <w:shd w:val="clear" w:color="auto" w:fill="auto"/>
            <w:noWrap/>
            <w:vAlign w:val="center"/>
            <w:hideMark/>
          </w:tcPr>
          <w:p w14:paraId="364BA06A" w14:textId="77777777" w:rsidR="00A54546" w:rsidRPr="00A54546" w:rsidRDefault="00A54546" w:rsidP="00A54546">
            <w:pPr>
              <w:rPr>
                <w:rFonts w:cs="Arial"/>
                <w:b/>
                <w:bCs/>
                <w:color w:val="000000"/>
                <w:sz w:val="20"/>
                <w:szCs w:val="20"/>
                <w:lang w:val="en-US" w:eastAsia="en-US"/>
              </w:rPr>
            </w:pPr>
            <w:r w:rsidRPr="00A54546">
              <w:rPr>
                <w:rFonts w:cs="Arial"/>
                <w:b/>
                <w:bCs/>
                <w:color w:val="000000"/>
                <w:sz w:val="20"/>
                <w:szCs w:val="20"/>
                <w:lang w:val="en-US" w:eastAsia="en-US"/>
              </w:rPr>
              <w:t> </w:t>
            </w:r>
          </w:p>
        </w:tc>
        <w:tc>
          <w:tcPr>
            <w:tcW w:w="13572" w:type="dxa"/>
            <w:gridSpan w:val="8"/>
            <w:tcBorders>
              <w:top w:val="single" w:sz="4" w:space="0" w:color="auto"/>
              <w:left w:val="single" w:sz="4" w:space="0" w:color="auto"/>
              <w:bottom w:val="single" w:sz="4" w:space="0" w:color="auto"/>
              <w:right w:val="single" w:sz="8" w:space="0" w:color="000000"/>
            </w:tcBorders>
            <w:shd w:val="clear" w:color="auto" w:fill="auto"/>
            <w:vAlign w:val="center"/>
            <w:hideMark/>
          </w:tcPr>
          <w:p w14:paraId="0E55D2FC" w14:textId="77777777" w:rsidR="00A54546" w:rsidRPr="00A54546" w:rsidRDefault="00A54546" w:rsidP="00A54546">
            <w:pPr>
              <w:rPr>
                <w:rFonts w:cs="Arial"/>
                <w:b/>
                <w:bCs/>
                <w:color w:val="000000"/>
                <w:lang w:val="en-US" w:eastAsia="en-US"/>
              </w:rPr>
            </w:pPr>
            <w:r w:rsidRPr="00A54546">
              <w:rPr>
                <w:rFonts w:cs="Arial"/>
                <w:b/>
                <w:bCs/>
                <w:color w:val="000000"/>
                <w:lang w:val="en-US" w:eastAsia="en-US"/>
              </w:rPr>
              <w:t>VSB</w:t>
            </w:r>
          </w:p>
        </w:tc>
      </w:tr>
      <w:tr w:rsidR="00A54546" w:rsidRPr="00A54546" w14:paraId="672AC28E" w14:textId="77777777" w:rsidTr="00BF0EEF">
        <w:trPr>
          <w:trHeight w:val="1262"/>
          <w:jc w:val="center"/>
        </w:trPr>
        <w:tc>
          <w:tcPr>
            <w:tcW w:w="494" w:type="dxa"/>
            <w:tcBorders>
              <w:top w:val="nil"/>
              <w:left w:val="single" w:sz="8" w:space="0" w:color="auto"/>
              <w:bottom w:val="single" w:sz="8" w:space="0" w:color="auto"/>
              <w:right w:val="single" w:sz="4" w:space="0" w:color="auto"/>
            </w:tcBorders>
            <w:shd w:val="clear" w:color="000000" w:fill="C5D9F1"/>
            <w:noWrap/>
            <w:vAlign w:val="center"/>
            <w:hideMark/>
          </w:tcPr>
          <w:p w14:paraId="45F18F6B" w14:textId="77777777" w:rsidR="00A54546" w:rsidRPr="00A54546" w:rsidRDefault="00A54546" w:rsidP="00A54546">
            <w:pPr>
              <w:rPr>
                <w:rFonts w:cs="Arial"/>
                <w:b/>
                <w:bCs/>
                <w:color w:val="000000"/>
                <w:sz w:val="20"/>
                <w:szCs w:val="20"/>
                <w:lang w:val="en-US" w:eastAsia="en-US"/>
              </w:rPr>
            </w:pPr>
            <w:r w:rsidRPr="00A54546">
              <w:rPr>
                <w:rFonts w:cs="Arial"/>
                <w:b/>
                <w:bCs/>
                <w:color w:val="000000"/>
                <w:sz w:val="20"/>
                <w:szCs w:val="20"/>
                <w:lang w:val="en-US" w:eastAsia="en-US"/>
              </w:rPr>
              <w:t>AX</w:t>
            </w:r>
          </w:p>
        </w:tc>
        <w:tc>
          <w:tcPr>
            <w:tcW w:w="3133" w:type="dxa"/>
            <w:tcBorders>
              <w:top w:val="nil"/>
              <w:left w:val="nil"/>
              <w:bottom w:val="single" w:sz="8" w:space="0" w:color="auto"/>
              <w:right w:val="single" w:sz="4" w:space="0" w:color="auto"/>
            </w:tcBorders>
            <w:shd w:val="clear" w:color="000000" w:fill="C5D9F1"/>
            <w:vAlign w:val="center"/>
            <w:hideMark/>
          </w:tcPr>
          <w:p w14:paraId="5F17E7FE" w14:textId="77777777" w:rsidR="00A54546" w:rsidRPr="00A54546" w:rsidRDefault="00A54546" w:rsidP="00A54546">
            <w:pPr>
              <w:rPr>
                <w:rFonts w:cs="Arial"/>
                <w:color w:val="000000"/>
                <w:sz w:val="20"/>
                <w:szCs w:val="20"/>
                <w:lang w:val="en-US" w:eastAsia="en-US"/>
              </w:rPr>
            </w:pPr>
            <w:r w:rsidRPr="00A54546">
              <w:rPr>
                <w:rFonts w:cs="Arial"/>
                <w:color w:val="000000"/>
                <w:sz w:val="20"/>
                <w:szCs w:val="20"/>
                <w:lang w:val="en-US" w:eastAsia="en-US"/>
              </w:rPr>
              <w:t>Total cost to MBS of associated items</w:t>
            </w:r>
          </w:p>
        </w:tc>
        <w:tc>
          <w:tcPr>
            <w:tcW w:w="1822" w:type="dxa"/>
            <w:tcBorders>
              <w:top w:val="nil"/>
              <w:left w:val="nil"/>
              <w:bottom w:val="single" w:sz="8" w:space="0" w:color="auto"/>
              <w:right w:val="single" w:sz="4" w:space="0" w:color="auto"/>
            </w:tcBorders>
            <w:shd w:val="clear" w:color="000000" w:fill="C5D9F1"/>
            <w:vAlign w:val="center"/>
            <w:hideMark/>
          </w:tcPr>
          <w:p w14:paraId="332BD93C" w14:textId="77777777" w:rsidR="00A54546" w:rsidRPr="00A54546" w:rsidRDefault="00A54546" w:rsidP="00A54546">
            <w:pPr>
              <w:rPr>
                <w:rFonts w:cs="Arial"/>
                <w:color w:val="000000"/>
                <w:sz w:val="16"/>
                <w:szCs w:val="16"/>
                <w:lang w:val="en-US" w:eastAsia="en-US"/>
              </w:rPr>
            </w:pPr>
            <w:r w:rsidRPr="00A54546">
              <w:rPr>
                <w:rFonts w:cs="Arial"/>
                <w:color w:val="000000"/>
                <w:sz w:val="16"/>
                <w:szCs w:val="16"/>
                <w:lang w:val="en-US" w:eastAsia="en-US"/>
              </w:rPr>
              <w:fldChar w:fldCharType="begin"/>
            </w:r>
            <w:r w:rsidRPr="00A54546">
              <w:rPr>
                <w:rFonts w:cs="Arial"/>
                <w:color w:val="000000"/>
                <w:sz w:val="16"/>
                <w:szCs w:val="16"/>
                <w:lang w:val="en-US" w:eastAsia="en-US"/>
              </w:rPr>
              <w:instrText xml:space="preserve"> REF _Ref431385908 \h </w:instrText>
            </w:r>
            <w:r>
              <w:rPr>
                <w:rFonts w:cs="Arial"/>
                <w:color w:val="000000"/>
                <w:sz w:val="16"/>
                <w:szCs w:val="16"/>
                <w:lang w:val="en-US" w:eastAsia="en-US"/>
              </w:rPr>
              <w:instrText xml:space="preserve"> \* MERGEFORMAT </w:instrText>
            </w:r>
            <w:r w:rsidRPr="00A54546">
              <w:rPr>
                <w:rFonts w:cs="Arial"/>
                <w:color w:val="000000"/>
                <w:sz w:val="16"/>
                <w:szCs w:val="16"/>
                <w:lang w:val="en-US" w:eastAsia="en-US"/>
              </w:rPr>
            </w:r>
            <w:r w:rsidRPr="00A54546">
              <w:rPr>
                <w:rFonts w:cs="Arial"/>
                <w:color w:val="000000"/>
                <w:sz w:val="16"/>
                <w:szCs w:val="16"/>
                <w:lang w:val="en-US" w:eastAsia="en-US"/>
              </w:rPr>
              <w:fldChar w:fldCharType="separate"/>
            </w:r>
            <w:r w:rsidR="00016592" w:rsidRPr="00016592">
              <w:rPr>
                <w:rFonts w:cs="Arial"/>
                <w:sz w:val="16"/>
                <w:szCs w:val="16"/>
                <w:lang w:val="x-none"/>
              </w:rPr>
              <w:t>Table 63</w:t>
            </w:r>
            <w:r w:rsidRPr="00A54546">
              <w:rPr>
                <w:rFonts w:cs="Arial"/>
                <w:color w:val="000000"/>
                <w:sz w:val="16"/>
                <w:szCs w:val="16"/>
                <w:lang w:val="en-US" w:eastAsia="en-US"/>
              </w:rPr>
              <w:fldChar w:fldCharType="end"/>
            </w:r>
            <w:r w:rsidRPr="00A54546">
              <w:rPr>
                <w:rFonts w:cs="Arial"/>
                <w:color w:val="000000"/>
                <w:sz w:val="16"/>
                <w:szCs w:val="16"/>
                <w:lang w:val="en-US" w:eastAsia="en-US"/>
              </w:rPr>
              <w:t xml:space="preserve">, row Q + </w:t>
            </w:r>
            <w:r w:rsidRPr="00A54546">
              <w:rPr>
                <w:rFonts w:cs="Arial"/>
                <w:color w:val="000000"/>
                <w:sz w:val="16"/>
                <w:szCs w:val="16"/>
                <w:lang w:val="en-US" w:eastAsia="en-US"/>
              </w:rPr>
              <w:fldChar w:fldCharType="begin"/>
            </w:r>
            <w:r w:rsidRPr="00A54546">
              <w:rPr>
                <w:rFonts w:cs="Arial"/>
                <w:color w:val="000000"/>
                <w:sz w:val="16"/>
                <w:szCs w:val="16"/>
                <w:lang w:val="en-US" w:eastAsia="en-US"/>
              </w:rPr>
              <w:instrText xml:space="preserve"> REF _Ref430945419 \h </w:instrText>
            </w:r>
            <w:r>
              <w:rPr>
                <w:rFonts w:cs="Arial"/>
                <w:color w:val="000000"/>
                <w:sz w:val="16"/>
                <w:szCs w:val="16"/>
                <w:lang w:val="en-US" w:eastAsia="en-US"/>
              </w:rPr>
              <w:instrText xml:space="preserve"> \* MERGEFORMAT </w:instrText>
            </w:r>
            <w:r w:rsidRPr="00A54546">
              <w:rPr>
                <w:rFonts w:cs="Arial"/>
                <w:color w:val="000000"/>
                <w:sz w:val="16"/>
                <w:szCs w:val="16"/>
                <w:lang w:val="en-US" w:eastAsia="en-US"/>
              </w:rPr>
            </w:r>
            <w:r w:rsidRPr="00A54546">
              <w:rPr>
                <w:rFonts w:cs="Arial"/>
                <w:color w:val="000000"/>
                <w:sz w:val="16"/>
                <w:szCs w:val="16"/>
                <w:lang w:val="en-US" w:eastAsia="en-US"/>
              </w:rPr>
              <w:fldChar w:fldCharType="separate"/>
            </w:r>
            <w:r w:rsidR="00016592" w:rsidRPr="00016592">
              <w:rPr>
                <w:rFonts w:cs="Arial"/>
                <w:sz w:val="16"/>
                <w:szCs w:val="16"/>
              </w:rPr>
              <w:t xml:space="preserve">Table </w:t>
            </w:r>
            <w:r w:rsidR="00016592" w:rsidRPr="00016592">
              <w:rPr>
                <w:rFonts w:cs="Arial"/>
                <w:noProof/>
                <w:sz w:val="16"/>
                <w:szCs w:val="16"/>
              </w:rPr>
              <w:t>64</w:t>
            </w:r>
            <w:r w:rsidRPr="00A54546">
              <w:rPr>
                <w:rFonts w:cs="Arial"/>
                <w:color w:val="000000"/>
                <w:sz w:val="16"/>
                <w:szCs w:val="16"/>
                <w:lang w:val="en-US" w:eastAsia="en-US"/>
              </w:rPr>
              <w:fldChar w:fldCharType="end"/>
            </w:r>
            <w:r w:rsidRPr="00A54546">
              <w:rPr>
                <w:rFonts w:cs="Arial"/>
                <w:color w:val="000000"/>
                <w:sz w:val="16"/>
                <w:szCs w:val="16"/>
                <w:lang w:val="en-US" w:eastAsia="en-US"/>
              </w:rPr>
              <w:t xml:space="preserve">, row AB + </w:t>
            </w:r>
            <w:r w:rsidRPr="00A54546">
              <w:rPr>
                <w:rFonts w:cs="Arial"/>
                <w:color w:val="000000"/>
                <w:sz w:val="16"/>
                <w:szCs w:val="16"/>
                <w:lang w:val="en-US" w:eastAsia="en-US"/>
              </w:rPr>
              <w:fldChar w:fldCharType="begin"/>
            </w:r>
            <w:r w:rsidRPr="00A54546">
              <w:rPr>
                <w:rFonts w:cs="Arial"/>
                <w:color w:val="000000"/>
                <w:sz w:val="16"/>
                <w:szCs w:val="16"/>
                <w:lang w:val="en-US" w:eastAsia="en-US"/>
              </w:rPr>
              <w:instrText xml:space="preserve"> REF _Ref430947292 \h </w:instrText>
            </w:r>
            <w:r>
              <w:rPr>
                <w:rFonts w:cs="Arial"/>
                <w:color w:val="000000"/>
                <w:sz w:val="16"/>
                <w:szCs w:val="16"/>
                <w:lang w:val="en-US" w:eastAsia="en-US"/>
              </w:rPr>
              <w:instrText xml:space="preserve"> \* MERGEFORMAT </w:instrText>
            </w:r>
            <w:r w:rsidRPr="00A54546">
              <w:rPr>
                <w:rFonts w:cs="Arial"/>
                <w:color w:val="000000"/>
                <w:sz w:val="16"/>
                <w:szCs w:val="16"/>
                <w:lang w:val="en-US" w:eastAsia="en-US"/>
              </w:rPr>
            </w:r>
            <w:r w:rsidRPr="00A54546">
              <w:rPr>
                <w:rFonts w:cs="Arial"/>
                <w:color w:val="000000"/>
                <w:sz w:val="16"/>
                <w:szCs w:val="16"/>
                <w:lang w:val="en-US" w:eastAsia="en-US"/>
              </w:rPr>
              <w:fldChar w:fldCharType="separate"/>
            </w:r>
            <w:r w:rsidR="00016592" w:rsidRPr="00016592">
              <w:rPr>
                <w:rFonts w:cs="Arial"/>
                <w:sz w:val="16"/>
                <w:szCs w:val="16"/>
              </w:rPr>
              <w:t xml:space="preserve">Table </w:t>
            </w:r>
            <w:r w:rsidR="00016592" w:rsidRPr="00016592">
              <w:rPr>
                <w:rFonts w:cs="Arial"/>
                <w:noProof/>
                <w:sz w:val="16"/>
                <w:szCs w:val="16"/>
              </w:rPr>
              <w:t>65</w:t>
            </w:r>
            <w:r w:rsidRPr="00A54546">
              <w:rPr>
                <w:rFonts w:cs="Arial"/>
                <w:color w:val="000000"/>
                <w:sz w:val="16"/>
                <w:szCs w:val="16"/>
                <w:lang w:val="en-US" w:eastAsia="en-US"/>
              </w:rPr>
              <w:fldChar w:fldCharType="end"/>
            </w:r>
            <w:r w:rsidRPr="00A54546">
              <w:rPr>
                <w:rFonts w:cs="Arial"/>
                <w:color w:val="000000"/>
                <w:sz w:val="16"/>
                <w:szCs w:val="16"/>
                <w:lang w:val="en-US" w:eastAsia="en-US"/>
              </w:rPr>
              <w:t xml:space="preserve">, row AJ + </w:t>
            </w:r>
            <w:r w:rsidRPr="00A54546">
              <w:rPr>
                <w:rFonts w:cs="Arial"/>
                <w:color w:val="000000"/>
                <w:sz w:val="16"/>
                <w:szCs w:val="16"/>
                <w:lang w:val="en-US" w:eastAsia="en-US"/>
              </w:rPr>
              <w:fldChar w:fldCharType="begin"/>
            </w:r>
            <w:r w:rsidRPr="00A54546">
              <w:rPr>
                <w:rFonts w:cs="Arial"/>
                <w:color w:val="000000"/>
                <w:sz w:val="16"/>
                <w:szCs w:val="16"/>
                <w:lang w:val="en-US" w:eastAsia="en-US"/>
              </w:rPr>
              <w:instrText xml:space="preserve"> REF _Ref430948755 \h </w:instrText>
            </w:r>
            <w:r>
              <w:rPr>
                <w:rFonts w:cs="Arial"/>
                <w:color w:val="000000"/>
                <w:sz w:val="16"/>
                <w:szCs w:val="16"/>
                <w:lang w:val="en-US" w:eastAsia="en-US"/>
              </w:rPr>
              <w:instrText xml:space="preserve"> \* MERGEFORMAT </w:instrText>
            </w:r>
            <w:r w:rsidRPr="00A54546">
              <w:rPr>
                <w:rFonts w:cs="Arial"/>
                <w:color w:val="000000"/>
                <w:sz w:val="16"/>
                <w:szCs w:val="16"/>
                <w:lang w:val="en-US" w:eastAsia="en-US"/>
              </w:rPr>
            </w:r>
            <w:r w:rsidRPr="00A54546">
              <w:rPr>
                <w:rFonts w:cs="Arial"/>
                <w:color w:val="000000"/>
                <w:sz w:val="16"/>
                <w:szCs w:val="16"/>
                <w:lang w:val="en-US" w:eastAsia="en-US"/>
              </w:rPr>
              <w:fldChar w:fldCharType="separate"/>
            </w:r>
            <w:r w:rsidR="00016592" w:rsidRPr="00016592">
              <w:rPr>
                <w:rFonts w:cs="Arial"/>
                <w:sz w:val="16"/>
                <w:szCs w:val="16"/>
              </w:rPr>
              <w:t xml:space="preserve">Table </w:t>
            </w:r>
            <w:r w:rsidR="00016592" w:rsidRPr="00016592">
              <w:rPr>
                <w:rFonts w:cs="Arial"/>
                <w:noProof/>
                <w:sz w:val="16"/>
                <w:szCs w:val="16"/>
              </w:rPr>
              <w:t>66</w:t>
            </w:r>
            <w:r w:rsidRPr="00A54546">
              <w:rPr>
                <w:rFonts w:cs="Arial"/>
                <w:color w:val="000000"/>
                <w:sz w:val="16"/>
                <w:szCs w:val="16"/>
                <w:lang w:val="en-US" w:eastAsia="en-US"/>
              </w:rPr>
              <w:fldChar w:fldCharType="end"/>
            </w:r>
            <w:r w:rsidRPr="00A54546">
              <w:rPr>
                <w:rFonts w:cs="Arial"/>
                <w:color w:val="000000"/>
                <w:sz w:val="16"/>
                <w:szCs w:val="16"/>
                <w:lang w:val="en-US" w:eastAsia="en-US"/>
              </w:rPr>
              <w:t>, row AR</w:t>
            </w:r>
          </w:p>
        </w:tc>
        <w:tc>
          <w:tcPr>
            <w:tcW w:w="1622" w:type="dxa"/>
            <w:tcBorders>
              <w:top w:val="nil"/>
              <w:left w:val="nil"/>
              <w:bottom w:val="single" w:sz="8" w:space="0" w:color="auto"/>
              <w:right w:val="single" w:sz="4" w:space="0" w:color="auto"/>
            </w:tcBorders>
            <w:shd w:val="clear" w:color="000000" w:fill="C5D9F1"/>
            <w:noWrap/>
            <w:vAlign w:val="center"/>
            <w:hideMark/>
          </w:tcPr>
          <w:p w14:paraId="3439A418" w14:textId="5A4948A4" w:rsidR="00A54546" w:rsidRPr="00A54546" w:rsidRDefault="00A54546" w:rsidP="003B1DCD">
            <w:pPr>
              <w:rPr>
                <w:rFonts w:cs="Arial"/>
                <w:color w:val="000000"/>
                <w:sz w:val="16"/>
                <w:szCs w:val="16"/>
                <w:lang w:val="en-US" w:eastAsia="en-US"/>
              </w:rPr>
            </w:pPr>
            <w:r w:rsidRPr="00A54546">
              <w:rPr>
                <w:rFonts w:cs="Arial"/>
                <w:color w:val="000000"/>
                <w:sz w:val="16"/>
                <w:szCs w:val="16"/>
                <w:lang w:val="en-US" w:eastAsia="en-US"/>
              </w:rPr>
              <w:t xml:space="preserve"> AUD</w:t>
            </w:r>
            <w:r w:rsidR="003B1DCD">
              <w:rPr>
                <w:rFonts w:cs="Arial"/>
                <w:color w:val="000000"/>
                <w:sz w:val="16"/>
                <w:szCs w:val="16"/>
                <w:lang w:val="en-US" w:eastAsia="en-US"/>
              </w:rPr>
              <w:t xml:space="preserve">   </w:t>
            </w:r>
            <w:r w:rsidRPr="00A54546">
              <w:rPr>
                <w:rFonts w:cs="Arial"/>
                <w:color w:val="000000"/>
                <w:sz w:val="16"/>
                <w:szCs w:val="16"/>
                <w:lang w:val="en-US" w:eastAsia="en-US"/>
              </w:rPr>
              <w:t xml:space="preserve">144.895 </w:t>
            </w:r>
          </w:p>
        </w:tc>
        <w:tc>
          <w:tcPr>
            <w:tcW w:w="1399" w:type="dxa"/>
            <w:tcBorders>
              <w:top w:val="nil"/>
              <w:left w:val="nil"/>
              <w:bottom w:val="single" w:sz="8" w:space="0" w:color="auto"/>
              <w:right w:val="single" w:sz="4" w:space="0" w:color="auto"/>
            </w:tcBorders>
            <w:shd w:val="clear" w:color="000000" w:fill="C5D9F1"/>
            <w:noWrap/>
            <w:vAlign w:val="center"/>
            <w:hideMark/>
          </w:tcPr>
          <w:p w14:paraId="225909A2" w14:textId="77777777" w:rsidR="00A54546" w:rsidRPr="00A54546" w:rsidRDefault="00A54546" w:rsidP="00A54546">
            <w:pPr>
              <w:rPr>
                <w:rFonts w:cs="Arial"/>
                <w:color w:val="000000"/>
                <w:sz w:val="16"/>
                <w:szCs w:val="16"/>
                <w:lang w:val="en-US" w:eastAsia="en-US"/>
              </w:rPr>
            </w:pPr>
            <w:r w:rsidRPr="00A54546">
              <w:rPr>
                <w:rFonts w:cs="Arial"/>
                <w:color w:val="000000"/>
                <w:sz w:val="16"/>
                <w:szCs w:val="16"/>
                <w:lang w:val="en-US" w:eastAsia="en-US"/>
              </w:rPr>
              <w:t xml:space="preserve"> AUD  146.936 </w:t>
            </w:r>
          </w:p>
        </w:tc>
        <w:tc>
          <w:tcPr>
            <w:tcW w:w="1399" w:type="dxa"/>
            <w:tcBorders>
              <w:top w:val="nil"/>
              <w:left w:val="nil"/>
              <w:bottom w:val="single" w:sz="8" w:space="0" w:color="auto"/>
              <w:right w:val="single" w:sz="4" w:space="0" w:color="auto"/>
            </w:tcBorders>
            <w:shd w:val="clear" w:color="000000" w:fill="C5D9F1"/>
            <w:noWrap/>
            <w:vAlign w:val="center"/>
            <w:hideMark/>
          </w:tcPr>
          <w:p w14:paraId="4CD34851" w14:textId="77777777" w:rsidR="00A54546" w:rsidRPr="00A54546" w:rsidRDefault="00A54546" w:rsidP="00A54546">
            <w:pPr>
              <w:rPr>
                <w:rFonts w:cs="Arial"/>
                <w:color w:val="000000"/>
                <w:sz w:val="16"/>
                <w:szCs w:val="16"/>
                <w:lang w:val="en-US" w:eastAsia="en-US"/>
              </w:rPr>
            </w:pPr>
            <w:r w:rsidRPr="00A54546">
              <w:rPr>
                <w:rFonts w:cs="Arial"/>
                <w:color w:val="000000"/>
                <w:sz w:val="16"/>
                <w:szCs w:val="16"/>
                <w:lang w:val="en-US" w:eastAsia="en-US"/>
              </w:rPr>
              <w:t xml:space="preserve"> AUD  151.018 </w:t>
            </w:r>
          </w:p>
        </w:tc>
        <w:tc>
          <w:tcPr>
            <w:tcW w:w="1399" w:type="dxa"/>
            <w:tcBorders>
              <w:top w:val="nil"/>
              <w:left w:val="nil"/>
              <w:bottom w:val="single" w:sz="8" w:space="0" w:color="auto"/>
              <w:right w:val="single" w:sz="4" w:space="0" w:color="auto"/>
            </w:tcBorders>
            <w:shd w:val="clear" w:color="000000" w:fill="C5D9F1"/>
            <w:noWrap/>
            <w:vAlign w:val="center"/>
            <w:hideMark/>
          </w:tcPr>
          <w:p w14:paraId="608A3BAB" w14:textId="77777777" w:rsidR="00A54546" w:rsidRPr="00A54546" w:rsidRDefault="00A54546" w:rsidP="00A54546">
            <w:pPr>
              <w:rPr>
                <w:rFonts w:cs="Arial"/>
                <w:color w:val="000000"/>
                <w:sz w:val="16"/>
                <w:szCs w:val="16"/>
                <w:lang w:val="en-US" w:eastAsia="en-US"/>
              </w:rPr>
            </w:pPr>
            <w:r w:rsidRPr="00A54546">
              <w:rPr>
                <w:rFonts w:cs="Arial"/>
                <w:color w:val="000000"/>
                <w:sz w:val="16"/>
                <w:szCs w:val="16"/>
                <w:lang w:val="en-US" w:eastAsia="en-US"/>
              </w:rPr>
              <w:t xml:space="preserve"> AUD  153.059 </w:t>
            </w:r>
          </w:p>
        </w:tc>
        <w:tc>
          <w:tcPr>
            <w:tcW w:w="1399" w:type="dxa"/>
            <w:tcBorders>
              <w:top w:val="nil"/>
              <w:left w:val="nil"/>
              <w:bottom w:val="single" w:sz="8" w:space="0" w:color="auto"/>
              <w:right w:val="single" w:sz="4" w:space="0" w:color="auto"/>
            </w:tcBorders>
            <w:shd w:val="clear" w:color="000000" w:fill="C5D9F1"/>
            <w:noWrap/>
            <w:vAlign w:val="center"/>
            <w:hideMark/>
          </w:tcPr>
          <w:p w14:paraId="321FECB5" w14:textId="77777777" w:rsidR="00A54546" w:rsidRPr="00A54546" w:rsidRDefault="00A54546" w:rsidP="00A54546">
            <w:pPr>
              <w:rPr>
                <w:rFonts w:cs="Arial"/>
                <w:color w:val="000000"/>
                <w:sz w:val="16"/>
                <w:szCs w:val="16"/>
                <w:lang w:val="en-US" w:eastAsia="en-US"/>
              </w:rPr>
            </w:pPr>
            <w:r w:rsidRPr="00A54546">
              <w:rPr>
                <w:rFonts w:cs="Arial"/>
                <w:color w:val="000000"/>
                <w:sz w:val="16"/>
                <w:szCs w:val="16"/>
                <w:lang w:val="en-US" w:eastAsia="en-US"/>
              </w:rPr>
              <w:t xml:space="preserve"> AUD  155.099 </w:t>
            </w:r>
          </w:p>
        </w:tc>
        <w:tc>
          <w:tcPr>
            <w:tcW w:w="1399" w:type="dxa"/>
            <w:tcBorders>
              <w:top w:val="nil"/>
              <w:left w:val="nil"/>
              <w:bottom w:val="single" w:sz="8" w:space="0" w:color="auto"/>
              <w:right w:val="single" w:sz="8" w:space="0" w:color="auto"/>
            </w:tcBorders>
            <w:shd w:val="clear" w:color="000000" w:fill="C5D9F1"/>
            <w:noWrap/>
            <w:vAlign w:val="center"/>
            <w:hideMark/>
          </w:tcPr>
          <w:p w14:paraId="0DC8B093" w14:textId="77777777" w:rsidR="00A54546" w:rsidRPr="00A54546" w:rsidRDefault="00A54546" w:rsidP="00A54546">
            <w:pPr>
              <w:rPr>
                <w:rFonts w:cs="Arial"/>
                <w:color w:val="000000"/>
                <w:sz w:val="16"/>
                <w:szCs w:val="16"/>
                <w:lang w:val="en-US" w:eastAsia="en-US"/>
              </w:rPr>
            </w:pPr>
            <w:r w:rsidRPr="00A54546">
              <w:rPr>
                <w:rFonts w:cs="Arial"/>
                <w:color w:val="000000"/>
                <w:sz w:val="16"/>
                <w:szCs w:val="16"/>
                <w:lang w:val="en-US" w:eastAsia="en-US"/>
              </w:rPr>
              <w:t xml:space="preserve"> AUD  157.140 </w:t>
            </w:r>
          </w:p>
        </w:tc>
      </w:tr>
      <w:tr w:rsidR="00A54546" w:rsidRPr="00A54546" w14:paraId="25285A25" w14:textId="77777777" w:rsidTr="00BF0EEF">
        <w:trPr>
          <w:trHeight w:val="404"/>
          <w:jc w:val="center"/>
        </w:trPr>
        <w:tc>
          <w:tcPr>
            <w:tcW w:w="49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E76A28A" w14:textId="77777777" w:rsidR="00A54546" w:rsidRPr="00A54546" w:rsidRDefault="00A54546" w:rsidP="00A54546">
            <w:pPr>
              <w:rPr>
                <w:rFonts w:cs="Arial"/>
                <w:b/>
                <w:bCs/>
                <w:color w:val="000000"/>
                <w:sz w:val="20"/>
                <w:szCs w:val="20"/>
                <w:lang w:val="en-US" w:eastAsia="en-US"/>
              </w:rPr>
            </w:pPr>
            <w:r w:rsidRPr="00A54546">
              <w:rPr>
                <w:rFonts w:cs="Arial"/>
                <w:b/>
                <w:bCs/>
                <w:color w:val="000000"/>
                <w:sz w:val="20"/>
                <w:szCs w:val="20"/>
                <w:lang w:val="en-US" w:eastAsia="en-US"/>
              </w:rPr>
              <w:t> </w:t>
            </w:r>
          </w:p>
        </w:tc>
        <w:tc>
          <w:tcPr>
            <w:tcW w:w="13572" w:type="dxa"/>
            <w:gridSpan w:val="8"/>
            <w:tcBorders>
              <w:top w:val="single" w:sz="4" w:space="0" w:color="auto"/>
              <w:left w:val="single" w:sz="4" w:space="0" w:color="auto"/>
              <w:bottom w:val="single" w:sz="4" w:space="0" w:color="auto"/>
              <w:right w:val="single" w:sz="8" w:space="0" w:color="000000"/>
            </w:tcBorders>
            <w:shd w:val="clear" w:color="auto" w:fill="auto"/>
            <w:vAlign w:val="center"/>
            <w:hideMark/>
          </w:tcPr>
          <w:p w14:paraId="584689FB" w14:textId="77777777" w:rsidR="00A54546" w:rsidRPr="00A54546" w:rsidRDefault="00A54546" w:rsidP="00A54546">
            <w:pPr>
              <w:rPr>
                <w:rFonts w:cs="Arial"/>
                <w:b/>
                <w:bCs/>
                <w:color w:val="000000"/>
                <w:lang w:val="en-US" w:eastAsia="en-US"/>
              </w:rPr>
            </w:pPr>
            <w:r w:rsidRPr="00A54546">
              <w:rPr>
                <w:rFonts w:cs="Arial"/>
                <w:b/>
                <w:bCs/>
                <w:color w:val="000000"/>
                <w:lang w:val="en-US" w:eastAsia="en-US"/>
              </w:rPr>
              <w:t>Maxum/Soundtec</w:t>
            </w:r>
          </w:p>
        </w:tc>
      </w:tr>
      <w:tr w:rsidR="00A54546" w:rsidRPr="00A54546" w14:paraId="0FB5A2AD" w14:textId="77777777" w:rsidTr="00BF0EEF">
        <w:trPr>
          <w:trHeight w:val="1271"/>
          <w:jc w:val="center"/>
        </w:trPr>
        <w:tc>
          <w:tcPr>
            <w:tcW w:w="494" w:type="dxa"/>
            <w:tcBorders>
              <w:top w:val="nil"/>
              <w:left w:val="single" w:sz="8" w:space="0" w:color="auto"/>
              <w:bottom w:val="single" w:sz="8" w:space="0" w:color="auto"/>
              <w:right w:val="single" w:sz="4" w:space="0" w:color="auto"/>
            </w:tcBorders>
            <w:shd w:val="clear" w:color="auto" w:fill="auto"/>
            <w:noWrap/>
            <w:vAlign w:val="center"/>
            <w:hideMark/>
          </w:tcPr>
          <w:p w14:paraId="18170FDE" w14:textId="77777777" w:rsidR="00A54546" w:rsidRPr="00A54546" w:rsidRDefault="00A54546" w:rsidP="00A54546">
            <w:pPr>
              <w:rPr>
                <w:rFonts w:cs="Arial"/>
                <w:b/>
                <w:bCs/>
                <w:color w:val="000000"/>
                <w:sz w:val="20"/>
                <w:szCs w:val="20"/>
                <w:lang w:val="en-US" w:eastAsia="en-US"/>
              </w:rPr>
            </w:pPr>
            <w:r w:rsidRPr="00A54546">
              <w:rPr>
                <w:rFonts w:cs="Arial"/>
                <w:b/>
                <w:bCs/>
                <w:color w:val="000000"/>
                <w:sz w:val="20"/>
                <w:szCs w:val="20"/>
                <w:lang w:val="en-US" w:eastAsia="en-US"/>
              </w:rPr>
              <w:t>AY</w:t>
            </w:r>
          </w:p>
        </w:tc>
        <w:tc>
          <w:tcPr>
            <w:tcW w:w="3133" w:type="dxa"/>
            <w:tcBorders>
              <w:top w:val="nil"/>
              <w:left w:val="nil"/>
              <w:bottom w:val="single" w:sz="8" w:space="0" w:color="auto"/>
              <w:right w:val="single" w:sz="4" w:space="0" w:color="auto"/>
            </w:tcBorders>
            <w:shd w:val="clear" w:color="auto" w:fill="auto"/>
            <w:vAlign w:val="center"/>
            <w:hideMark/>
          </w:tcPr>
          <w:p w14:paraId="47C863A2" w14:textId="77777777" w:rsidR="00A54546" w:rsidRPr="00A54546" w:rsidRDefault="00A54546" w:rsidP="00A54546">
            <w:pPr>
              <w:rPr>
                <w:rFonts w:cs="Arial"/>
                <w:color w:val="000000"/>
                <w:sz w:val="20"/>
                <w:szCs w:val="20"/>
                <w:lang w:val="en-US" w:eastAsia="en-US"/>
              </w:rPr>
            </w:pPr>
            <w:r w:rsidRPr="00A54546">
              <w:rPr>
                <w:rFonts w:cs="Arial"/>
                <w:color w:val="000000"/>
                <w:sz w:val="20"/>
                <w:szCs w:val="20"/>
                <w:lang w:val="en-US" w:eastAsia="en-US"/>
              </w:rPr>
              <w:t>Total cost to MBS of associated items</w:t>
            </w:r>
          </w:p>
        </w:tc>
        <w:tc>
          <w:tcPr>
            <w:tcW w:w="1822" w:type="dxa"/>
            <w:tcBorders>
              <w:top w:val="nil"/>
              <w:left w:val="nil"/>
              <w:bottom w:val="single" w:sz="8" w:space="0" w:color="auto"/>
              <w:right w:val="single" w:sz="4" w:space="0" w:color="auto"/>
            </w:tcBorders>
            <w:shd w:val="clear" w:color="auto" w:fill="auto"/>
            <w:vAlign w:val="center"/>
            <w:hideMark/>
          </w:tcPr>
          <w:p w14:paraId="6DA3093A" w14:textId="77777777" w:rsidR="00A54546" w:rsidRPr="00A54546" w:rsidRDefault="00A54546" w:rsidP="00A54546">
            <w:pPr>
              <w:rPr>
                <w:rFonts w:cs="Arial"/>
                <w:color w:val="000000"/>
                <w:sz w:val="16"/>
                <w:szCs w:val="16"/>
                <w:lang w:val="en-US" w:eastAsia="en-US"/>
              </w:rPr>
            </w:pPr>
            <w:r w:rsidRPr="00A54546">
              <w:rPr>
                <w:rFonts w:cs="Arial"/>
                <w:color w:val="000000"/>
                <w:sz w:val="16"/>
                <w:szCs w:val="16"/>
                <w:lang w:val="en-US" w:eastAsia="en-US"/>
              </w:rPr>
              <w:fldChar w:fldCharType="begin"/>
            </w:r>
            <w:r w:rsidRPr="00A54546">
              <w:rPr>
                <w:rFonts w:cs="Arial"/>
                <w:color w:val="000000"/>
                <w:sz w:val="16"/>
                <w:szCs w:val="16"/>
                <w:lang w:val="en-US" w:eastAsia="en-US"/>
              </w:rPr>
              <w:instrText xml:space="preserve"> REF _Ref431385908 \h </w:instrText>
            </w:r>
            <w:r>
              <w:rPr>
                <w:rFonts w:cs="Arial"/>
                <w:color w:val="000000"/>
                <w:sz w:val="16"/>
                <w:szCs w:val="16"/>
                <w:lang w:val="en-US" w:eastAsia="en-US"/>
              </w:rPr>
              <w:instrText xml:space="preserve"> \* MERGEFORMAT </w:instrText>
            </w:r>
            <w:r w:rsidRPr="00A54546">
              <w:rPr>
                <w:rFonts w:cs="Arial"/>
                <w:color w:val="000000"/>
                <w:sz w:val="16"/>
                <w:szCs w:val="16"/>
                <w:lang w:val="en-US" w:eastAsia="en-US"/>
              </w:rPr>
            </w:r>
            <w:r w:rsidRPr="00A54546">
              <w:rPr>
                <w:rFonts w:cs="Arial"/>
                <w:color w:val="000000"/>
                <w:sz w:val="16"/>
                <w:szCs w:val="16"/>
                <w:lang w:val="en-US" w:eastAsia="en-US"/>
              </w:rPr>
              <w:fldChar w:fldCharType="separate"/>
            </w:r>
            <w:r w:rsidR="00016592" w:rsidRPr="00016592">
              <w:rPr>
                <w:rFonts w:cs="Arial"/>
                <w:sz w:val="16"/>
                <w:szCs w:val="16"/>
                <w:lang w:val="x-none"/>
              </w:rPr>
              <w:t>Table 63</w:t>
            </w:r>
            <w:r w:rsidRPr="00A54546">
              <w:rPr>
                <w:rFonts w:cs="Arial"/>
                <w:color w:val="000000"/>
                <w:sz w:val="16"/>
                <w:szCs w:val="16"/>
                <w:lang w:val="en-US" w:eastAsia="en-US"/>
              </w:rPr>
              <w:fldChar w:fldCharType="end"/>
            </w:r>
            <w:r w:rsidRPr="00A54546">
              <w:rPr>
                <w:rFonts w:cs="Arial"/>
                <w:color w:val="000000"/>
                <w:sz w:val="16"/>
                <w:szCs w:val="16"/>
                <w:lang w:val="en-US" w:eastAsia="en-US"/>
              </w:rPr>
              <w:t xml:space="preserve">, row T + </w:t>
            </w:r>
            <w:r w:rsidRPr="00A54546">
              <w:rPr>
                <w:rFonts w:cs="Arial"/>
                <w:color w:val="000000"/>
                <w:sz w:val="16"/>
                <w:szCs w:val="16"/>
                <w:lang w:val="en-US" w:eastAsia="en-US"/>
              </w:rPr>
              <w:fldChar w:fldCharType="begin"/>
            </w:r>
            <w:r w:rsidRPr="00A54546">
              <w:rPr>
                <w:rFonts w:cs="Arial"/>
                <w:color w:val="000000"/>
                <w:sz w:val="16"/>
                <w:szCs w:val="16"/>
                <w:lang w:val="en-US" w:eastAsia="en-US"/>
              </w:rPr>
              <w:instrText xml:space="preserve"> REF _Ref430945419 \h </w:instrText>
            </w:r>
            <w:r>
              <w:rPr>
                <w:rFonts w:cs="Arial"/>
                <w:color w:val="000000"/>
                <w:sz w:val="16"/>
                <w:szCs w:val="16"/>
                <w:lang w:val="en-US" w:eastAsia="en-US"/>
              </w:rPr>
              <w:instrText xml:space="preserve"> \* MERGEFORMAT </w:instrText>
            </w:r>
            <w:r w:rsidRPr="00A54546">
              <w:rPr>
                <w:rFonts w:cs="Arial"/>
                <w:color w:val="000000"/>
                <w:sz w:val="16"/>
                <w:szCs w:val="16"/>
                <w:lang w:val="en-US" w:eastAsia="en-US"/>
              </w:rPr>
            </w:r>
            <w:r w:rsidRPr="00A54546">
              <w:rPr>
                <w:rFonts w:cs="Arial"/>
                <w:color w:val="000000"/>
                <w:sz w:val="16"/>
                <w:szCs w:val="16"/>
                <w:lang w:val="en-US" w:eastAsia="en-US"/>
              </w:rPr>
              <w:fldChar w:fldCharType="separate"/>
            </w:r>
            <w:r w:rsidR="00016592" w:rsidRPr="00016592">
              <w:rPr>
                <w:rFonts w:cs="Arial"/>
                <w:sz w:val="16"/>
                <w:szCs w:val="16"/>
              </w:rPr>
              <w:t xml:space="preserve">Table </w:t>
            </w:r>
            <w:r w:rsidR="00016592" w:rsidRPr="00016592">
              <w:rPr>
                <w:rFonts w:cs="Arial"/>
                <w:noProof/>
                <w:sz w:val="16"/>
                <w:szCs w:val="16"/>
              </w:rPr>
              <w:t>64</w:t>
            </w:r>
            <w:r w:rsidRPr="00A54546">
              <w:rPr>
                <w:rFonts w:cs="Arial"/>
                <w:color w:val="000000"/>
                <w:sz w:val="16"/>
                <w:szCs w:val="16"/>
                <w:lang w:val="en-US" w:eastAsia="en-US"/>
              </w:rPr>
              <w:fldChar w:fldCharType="end"/>
            </w:r>
            <w:r w:rsidRPr="00A54546">
              <w:rPr>
                <w:rFonts w:cs="Arial"/>
                <w:color w:val="000000"/>
                <w:sz w:val="16"/>
                <w:szCs w:val="16"/>
                <w:lang w:val="en-US" w:eastAsia="en-US"/>
              </w:rPr>
              <w:t xml:space="preserve">, row AF + </w:t>
            </w:r>
            <w:r w:rsidRPr="00A54546">
              <w:rPr>
                <w:rFonts w:cs="Arial"/>
                <w:color w:val="000000"/>
                <w:sz w:val="16"/>
                <w:szCs w:val="16"/>
                <w:lang w:val="en-US" w:eastAsia="en-US"/>
              </w:rPr>
              <w:fldChar w:fldCharType="begin"/>
            </w:r>
            <w:r w:rsidRPr="00A54546">
              <w:rPr>
                <w:rFonts w:cs="Arial"/>
                <w:color w:val="000000"/>
                <w:sz w:val="16"/>
                <w:szCs w:val="16"/>
                <w:lang w:val="en-US" w:eastAsia="en-US"/>
              </w:rPr>
              <w:instrText xml:space="preserve"> REF _Ref430947292 \h </w:instrText>
            </w:r>
            <w:r>
              <w:rPr>
                <w:rFonts w:cs="Arial"/>
                <w:color w:val="000000"/>
                <w:sz w:val="16"/>
                <w:szCs w:val="16"/>
                <w:lang w:val="en-US" w:eastAsia="en-US"/>
              </w:rPr>
              <w:instrText xml:space="preserve"> \* MERGEFORMAT </w:instrText>
            </w:r>
            <w:r w:rsidRPr="00A54546">
              <w:rPr>
                <w:rFonts w:cs="Arial"/>
                <w:color w:val="000000"/>
                <w:sz w:val="16"/>
                <w:szCs w:val="16"/>
                <w:lang w:val="en-US" w:eastAsia="en-US"/>
              </w:rPr>
            </w:r>
            <w:r w:rsidRPr="00A54546">
              <w:rPr>
                <w:rFonts w:cs="Arial"/>
                <w:color w:val="000000"/>
                <w:sz w:val="16"/>
                <w:szCs w:val="16"/>
                <w:lang w:val="en-US" w:eastAsia="en-US"/>
              </w:rPr>
              <w:fldChar w:fldCharType="separate"/>
            </w:r>
            <w:r w:rsidR="00016592" w:rsidRPr="00016592">
              <w:rPr>
                <w:rFonts w:cs="Arial"/>
                <w:sz w:val="16"/>
                <w:szCs w:val="16"/>
              </w:rPr>
              <w:t xml:space="preserve">Table </w:t>
            </w:r>
            <w:r w:rsidR="00016592" w:rsidRPr="00016592">
              <w:rPr>
                <w:rFonts w:cs="Arial"/>
                <w:noProof/>
                <w:sz w:val="16"/>
                <w:szCs w:val="16"/>
              </w:rPr>
              <w:t>65</w:t>
            </w:r>
            <w:r w:rsidRPr="00A54546">
              <w:rPr>
                <w:rFonts w:cs="Arial"/>
                <w:color w:val="000000"/>
                <w:sz w:val="16"/>
                <w:szCs w:val="16"/>
                <w:lang w:val="en-US" w:eastAsia="en-US"/>
              </w:rPr>
              <w:fldChar w:fldCharType="end"/>
            </w:r>
            <w:r w:rsidRPr="00A54546">
              <w:rPr>
                <w:rFonts w:cs="Arial"/>
                <w:color w:val="000000"/>
                <w:sz w:val="16"/>
                <w:szCs w:val="16"/>
                <w:lang w:val="en-US" w:eastAsia="en-US"/>
              </w:rPr>
              <w:t xml:space="preserve">, row AM + </w:t>
            </w:r>
            <w:r w:rsidRPr="00A54546">
              <w:rPr>
                <w:rFonts w:cs="Arial"/>
                <w:color w:val="000000"/>
                <w:sz w:val="16"/>
                <w:szCs w:val="16"/>
                <w:lang w:val="en-US" w:eastAsia="en-US"/>
              </w:rPr>
              <w:fldChar w:fldCharType="begin"/>
            </w:r>
            <w:r w:rsidRPr="00A54546">
              <w:rPr>
                <w:rFonts w:cs="Arial"/>
                <w:color w:val="000000"/>
                <w:sz w:val="16"/>
                <w:szCs w:val="16"/>
                <w:lang w:val="en-US" w:eastAsia="en-US"/>
              </w:rPr>
              <w:instrText xml:space="preserve"> REF _Ref430948755 \h </w:instrText>
            </w:r>
            <w:r>
              <w:rPr>
                <w:rFonts w:cs="Arial"/>
                <w:color w:val="000000"/>
                <w:sz w:val="16"/>
                <w:szCs w:val="16"/>
                <w:lang w:val="en-US" w:eastAsia="en-US"/>
              </w:rPr>
              <w:instrText xml:space="preserve"> \* MERGEFORMAT </w:instrText>
            </w:r>
            <w:r w:rsidRPr="00A54546">
              <w:rPr>
                <w:rFonts w:cs="Arial"/>
                <w:color w:val="000000"/>
                <w:sz w:val="16"/>
                <w:szCs w:val="16"/>
                <w:lang w:val="en-US" w:eastAsia="en-US"/>
              </w:rPr>
            </w:r>
            <w:r w:rsidRPr="00A54546">
              <w:rPr>
                <w:rFonts w:cs="Arial"/>
                <w:color w:val="000000"/>
                <w:sz w:val="16"/>
                <w:szCs w:val="16"/>
                <w:lang w:val="en-US" w:eastAsia="en-US"/>
              </w:rPr>
              <w:fldChar w:fldCharType="separate"/>
            </w:r>
            <w:r w:rsidR="00016592" w:rsidRPr="00016592">
              <w:rPr>
                <w:rFonts w:cs="Arial"/>
                <w:sz w:val="16"/>
                <w:szCs w:val="16"/>
              </w:rPr>
              <w:t xml:space="preserve">Table </w:t>
            </w:r>
            <w:r w:rsidR="00016592" w:rsidRPr="00016592">
              <w:rPr>
                <w:rFonts w:cs="Arial"/>
                <w:noProof/>
                <w:sz w:val="16"/>
                <w:szCs w:val="16"/>
              </w:rPr>
              <w:t>66</w:t>
            </w:r>
            <w:r w:rsidRPr="00A54546">
              <w:rPr>
                <w:rFonts w:cs="Arial"/>
                <w:color w:val="000000"/>
                <w:sz w:val="16"/>
                <w:szCs w:val="16"/>
                <w:lang w:val="en-US" w:eastAsia="en-US"/>
              </w:rPr>
              <w:fldChar w:fldCharType="end"/>
            </w:r>
            <w:r w:rsidRPr="00A54546">
              <w:rPr>
                <w:rFonts w:cs="Arial"/>
                <w:color w:val="000000"/>
                <w:sz w:val="16"/>
                <w:szCs w:val="16"/>
                <w:lang w:val="en-US" w:eastAsia="en-US"/>
              </w:rPr>
              <w:t>, row AW</w:t>
            </w:r>
          </w:p>
        </w:tc>
        <w:tc>
          <w:tcPr>
            <w:tcW w:w="1622" w:type="dxa"/>
            <w:tcBorders>
              <w:top w:val="nil"/>
              <w:left w:val="nil"/>
              <w:bottom w:val="single" w:sz="8" w:space="0" w:color="auto"/>
              <w:right w:val="single" w:sz="4" w:space="0" w:color="auto"/>
            </w:tcBorders>
            <w:shd w:val="clear" w:color="auto" w:fill="auto"/>
            <w:noWrap/>
            <w:vAlign w:val="center"/>
            <w:hideMark/>
          </w:tcPr>
          <w:p w14:paraId="22A5EBEF" w14:textId="3D978465" w:rsidR="00A54546" w:rsidRPr="00A54546" w:rsidRDefault="00A54546" w:rsidP="003B1DCD">
            <w:pPr>
              <w:rPr>
                <w:rFonts w:cs="Arial"/>
                <w:color w:val="000000"/>
                <w:sz w:val="16"/>
                <w:szCs w:val="16"/>
                <w:lang w:val="en-US" w:eastAsia="en-US"/>
              </w:rPr>
            </w:pPr>
            <w:r w:rsidRPr="00A54546">
              <w:rPr>
                <w:rFonts w:cs="Arial"/>
                <w:color w:val="000000"/>
                <w:sz w:val="16"/>
                <w:szCs w:val="16"/>
                <w:lang w:val="en-US" w:eastAsia="en-US"/>
              </w:rPr>
              <w:t xml:space="preserve"> AUD</w:t>
            </w:r>
            <w:r w:rsidR="003B1DCD">
              <w:rPr>
                <w:rFonts w:cs="Arial"/>
                <w:color w:val="000000"/>
                <w:sz w:val="16"/>
                <w:szCs w:val="16"/>
                <w:lang w:val="en-US" w:eastAsia="en-US"/>
              </w:rPr>
              <w:t xml:space="preserve">   </w:t>
            </w:r>
            <w:r w:rsidRPr="00A54546">
              <w:rPr>
                <w:rFonts w:cs="Arial"/>
                <w:color w:val="000000"/>
                <w:sz w:val="16"/>
                <w:szCs w:val="16"/>
                <w:lang w:val="en-US" w:eastAsia="en-US"/>
              </w:rPr>
              <w:t xml:space="preserve">115.548 </w:t>
            </w:r>
          </w:p>
        </w:tc>
        <w:tc>
          <w:tcPr>
            <w:tcW w:w="1399" w:type="dxa"/>
            <w:tcBorders>
              <w:top w:val="nil"/>
              <w:left w:val="nil"/>
              <w:bottom w:val="single" w:sz="8" w:space="0" w:color="auto"/>
              <w:right w:val="single" w:sz="4" w:space="0" w:color="auto"/>
            </w:tcBorders>
            <w:shd w:val="clear" w:color="auto" w:fill="auto"/>
            <w:noWrap/>
            <w:vAlign w:val="center"/>
            <w:hideMark/>
          </w:tcPr>
          <w:p w14:paraId="5258FF06" w14:textId="77777777" w:rsidR="00A54546" w:rsidRPr="00A54546" w:rsidRDefault="00A54546" w:rsidP="00A54546">
            <w:pPr>
              <w:rPr>
                <w:rFonts w:cs="Arial"/>
                <w:color w:val="000000"/>
                <w:sz w:val="16"/>
                <w:szCs w:val="16"/>
                <w:lang w:val="en-US" w:eastAsia="en-US"/>
              </w:rPr>
            </w:pPr>
            <w:r w:rsidRPr="00A54546">
              <w:rPr>
                <w:rFonts w:cs="Arial"/>
                <w:color w:val="000000"/>
                <w:sz w:val="16"/>
                <w:szCs w:val="16"/>
                <w:lang w:val="en-US" w:eastAsia="en-US"/>
              </w:rPr>
              <w:t xml:space="preserve"> AUD  117.175 </w:t>
            </w:r>
          </w:p>
        </w:tc>
        <w:tc>
          <w:tcPr>
            <w:tcW w:w="1399" w:type="dxa"/>
            <w:tcBorders>
              <w:top w:val="nil"/>
              <w:left w:val="nil"/>
              <w:bottom w:val="single" w:sz="8" w:space="0" w:color="auto"/>
              <w:right w:val="single" w:sz="4" w:space="0" w:color="auto"/>
            </w:tcBorders>
            <w:shd w:val="clear" w:color="auto" w:fill="auto"/>
            <w:noWrap/>
            <w:vAlign w:val="center"/>
            <w:hideMark/>
          </w:tcPr>
          <w:p w14:paraId="3B3C62CB" w14:textId="77777777" w:rsidR="00A54546" w:rsidRPr="00A54546" w:rsidRDefault="00A54546" w:rsidP="00A54546">
            <w:pPr>
              <w:rPr>
                <w:rFonts w:cs="Arial"/>
                <w:color w:val="000000"/>
                <w:sz w:val="16"/>
                <w:szCs w:val="16"/>
                <w:lang w:val="en-US" w:eastAsia="en-US"/>
              </w:rPr>
            </w:pPr>
            <w:r w:rsidRPr="00A54546">
              <w:rPr>
                <w:rFonts w:cs="Arial"/>
                <w:color w:val="000000"/>
                <w:sz w:val="16"/>
                <w:szCs w:val="16"/>
                <w:lang w:val="en-US" w:eastAsia="en-US"/>
              </w:rPr>
              <w:t xml:space="preserve"> AUD  120.430 </w:t>
            </w:r>
          </w:p>
        </w:tc>
        <w:tc>
          <w:tcPr>
            <w:tcW w:w="1399" w:type="dxa"/>
            <w:tcBorders>
              <w:top w:val="nil"/>
              <w:left w:val="nil"/>
              <w:bottom w:val="single" w:sz="8" w:space="0" w:color="auto"/>
              <w:right w:val="single" w:sz="4" w:space="0" w:color="auto"/>
            </w:tcBorders>
            <w:shd w:val="clear" w:color="auto" w:fill="auto"/>
            <w:noWrap/>
            <w:vAlign w:val="center"/>
            <w:hideMark/>
          </w:tcPr>
          <w:p w14:paraId="16A6E8E1" w14:textId="77777777" w:rsidR="00A54546" w:rsidRPr="00A54546" w:rsidRDefault="00A54546" w:rsidP="00A54546">
            <w:pPr>
              <w:rPr>
                <w:rFonts w:cs="Arial"/>
                <w:color w:val="000000"/>
                <w:sz w:val="16"/>
                <w:szCs w:val="16"/>
                <w:lang w:val="en-US" w:eastAsia="en-US"/>
              </w:rPr>
            </w:pPr>
            <w:r w:rsidRPr="00A54546">
              <w:rPr>
                <w:rFonts w:cs="Arial"/>
                <w:color w:val="000000"/>
                <w:sz w:val="16"/>
                <w:szCs w:val="16"/>
                <w:lang w:val="en-US" w:eastAsia="en-US"/>
              </w:rPr>
              <w:t xml:space="preserve"> AUD  122.058 </w:t>
            </w:r>
          </w:p>
        </w:tc>
        <w:tc>
          <w:tcPr>
            <w:tcW w:w="1399" w:type="dxa"/>
            <w:tcBorders>
              <w:top w:val="nil"/>
              <w:left w:val="nil"/>
              <w:bottom w:val="single" w:sz="8" w:space="0" w:color="auto"/>
              <w:right w:val="single" w:sz="4" w:space="0" w:color="auto"/>
            </w:tcBorders>
            <w:shd w:val="clear" w:color="auto" w:fill="auto"/>
            <w:noWrap/>
            <w:vAlign w:val="center"/>
            <w:hideMark/>
          </w:tcPr>
          <w:p w14:paraId="1C40BF21" w14:textId="77777777" w:rsidR="00A54546" w:rsidRPr="00A54546" w:rsidRDefault="00A54546" w:rsidP="00A54546">
            <w:pPr>
              <w:rPr>
                <w:rFonts w:cs="Arial"/>
                <w:color w:val="000000"/>
                <w:sz w:val="16"/>
                <w:szCs w:val="16"/>
                <w:lang w:val="en-US" w:eastAsia="en-US"/>
              </w:rPr>
            </w:pPr>
            <w:r w:rsidRPr="00A54546">
              <w:rPr>
                <w:rFonts w:cs="Arial"/>
                <w:color w:val="000000"/>
                <w:sz w:val="16"/>
                <w:szCs w:val="16"/>
                <w:lang w:val="en-US" w:eastAsia="en-US"/>
              </w:rPr>
              <w:t xml:space="preserve"> AUD  123.685 </w:t>
            </w:r>
          </w:p>
        </w:tc>
        <w:tc>
          <w:tcPr>
            <w:tcW w:w="1399" w:type="dxa"/>
            <w:tcBorders>
              <w:top w:val="nil"/>
              <w:left w:val="nil"/>
              <w:bottom w:val="single" w:sz="8" w:space="0" w:color="auto"/>
              <w:right w:val="single" w:sz="8" w:space="0" w:color="auto"/>
            </w:tcBorders>
            <w:shd w:val="clear" w:color="auto" w:fill="auto"/>
            <w:noWrap/>
            <w:vAlign w:val="center"/>
            <w:hideMark/>
          </w:tcPr>
          <w:p w14:paraId="7AF12216" w14:textId="77777777" w:rsidR="00A54546" w:rsidRPr="00A54546" w:rsidRDefault="00A54546" w:rsidP="00A54546">
            <w:pPr>
              <w:rPr>
                <w:rFonts w:cs="Arial"/>
                <w:color w:val="000000"/>
                <w:sz w:val="16"/>
                <w:szCs w:val="16"/>
                <w:lang w:val="en-US" w:eastAsia="en-US"/>
              </w:rPr>
            </w:pPr>
            <w:r w:rsidRPr="00A54546">
              <w:rPr>
                <w:rFonts w:cs="Arial"/>
                <w:color w:val="000000"/>
                <w:sz w:val="16"/>
                <w:szCs w:val="16"/>
                <w:lang w:val="en-US" w:eastAsia="en-US"/>
              </w:rPr>
              <w:t xml:space="preserve"> AUD  125.313 </w:t>
            </w:r>
          </w:p>
        </w:tc>
      </w:tr>
    </w:tbl>
    <w:p w14:paraId="462E83EA" w14:textId="77777777" w:rsidR="004E3818" w:rsidRDefault="004E3818" w:rsidP="00830612">
      <w:pPr>
        <w:pStyle w:val="Textbody"/>
        <w:rPr>
          <w:highlight w:val="lightGray"/>
          <w:lang w:val="en-AU"/>
        </w:rPr>
      </w:pPr>
    </w:p>
    <w:p w14:paraId="01878346" w14:textId="77777777" w:rsidR="00A54546" w:rsidRDefault="00A54546" w:rsidP="00830612">
      <w:pPr>
        <w:pStyle w:val="Textbody"/>
        <w:rPr>
          <w:highlight w:val="lightGray"/>
          <w:lang w:val="en-AU"/>
        </w:rPr>
      </w:pPr>
    </w:p>
    <w:p w14:paraId="46C3D10C" w14:textId="77777777" w:rsidR="004E3818" w:rsidRDefault="004E3818" w:rsidP="00830612">
      <w:pPr>
        <w:pStyle w:val="Textbody"/>
        <w:rPr>
          <w:highlight w:val="lightGray"/>
          <w:lang w:val="en-AU"/>
        </w:rPr>
        <w:sectPr w:rsidR="004E3818" w:rsidSect="004E3818">
          <w:pgSz w:w="16840" w:h="11907" w:orient="landscape" w:code="9"/>
          <w:pgMar w:top="1814" w:right="1418" w:bottom="1418" w:left="1701" w:header="720" w:footer="720" w:gutter="0"/>
          <w:paperSrc w:first="7" w:other="7"/>
          <w:cols w:space="720"/>
          <w:noEndnote/>
          <w:docGrid w:linePitch="299"/>
        </w:sectPr>
      </w:pPr>
    </w:p>
    <w:p w14:paraId="6137912D" w14:textId="77777777" w:rsidR="000214FE" w:rsidRPr="009A1A2E" w:rsidRDefault="000214FE" w:rsidP="000214FE">
      <w:pPr>
        <w:pStyle w:val="Heading20"/>
        <w:spacing w:line="360" w:lineRule="auto"/>
        <w:jc w:val="both"/>
        <w:rPr>
          <w:lang w:val="en-AU"/>
        </w:rPr>
      </w:pPr>
      <w:bookmarkStart w:id="645" w:name="_Toc337546932"/>
      <w:bookmarkStart w:id="646" w:name="_Toc400549441"/>
      <w:bookmarkStart w:id="647" w:name="_Toc431917612"/>
      <w:bookmarkEnd w:id="628"/>
      <w:r w:rsidRPr="009A1A2E">
        <w:rPr>
          <w:lang w:val="en-AU"/>
        </w:rPr>
        <w:lastRenderedPageBreak/>
        <w:t>E.4</w:t>
      </w:r>
      <w:r w:rsidRPr="009A1A2E">
        <w:rPr>
          <w:lang w:val="en-AU"/>
        </w:rPr>
        <w:tab/>
        <w:t>Net financial implications to the MBS</w:t>
      </w:r>
      <w:bookmarkEnd w:id="645"/>
      <w:bookmarkEnd w:id="646"/>
      <w:bookmarkEnd w:id="647"/>
      <w:r w:rsidRPr="009A1A2E">
        <w:rPr>
          <w:lang w:val="en-AU"/>
        </w:rPr>
        <w:t xml:space="preserve"> </w:t>
      </w:r>
    </w:p>
    <w:p w14:paraId="2BC94C28" w14:textId="77777777" w:rsidR="00830612" w:rsidRDefault="00830612" w:rsidP="00830612">
      <w:pPr>
        <w:pStyle w:val="Textbody"/>
        <w:rPr>
          <w:lang w:val="en-AU"/>
        </w:rPr>
      </w:pPr>
      <w:bookmarkStart w:id="648" w:name="_Ref334455300"/>
      <w:bookmarkStart w:id="649" w:name="_Toc335666071"/>
      <w:bookmarkStart w:id="650" w:name="_Toc337547038"/>
      <w:bookmarkStart w:id="651" w:name="_Toc337546933"/>
      <w:bookmarkStart w:id="652" w:name="_Toc400549442"/>
      <w:r>
        <w:rPr>
          <w:lang w:val="en-AU"/>
        </w:rPr>
        <w:t>Total non-MBS cost associated with the proposed intervention are calculated using the costs for hospital stay, counselling, batteries as well as the implant and processor, although these may be covered by the patient itself o</w:t>
      </w:r>
      <w:r w:rsidR="00F86E54">
        <w:rPr>
          <w:lang w:val="en-AU"/>
        </w:rPr>
        <w:t>r</w:t>
      </w:r>
      <w:r>
        <w:rPr>
          <w:lang w:val="en-AU"/>
        </w:rPr>
        <w:t xml:space="preserve"> private insurances. </w:t>
      </w:r>
      <w:r>
        <w:rPr>
          <w:lang w:val="en-AU"/>
        </w:rPr>
        <w:fldChar w:fldCharType="begin"/>
      </w:r>
      <w:r>
        <w:rPr>
          <w:lang w:val="en-AU"/>
        </w:rPr>
        <w:instrText xml:space="preserve"> REF _Ref430954298 \h </w:instrText>
      </w:r>
      <w:r>
        <w:rPr>
          <w:lang w:val="en-AU"/>
        </w:rPr>
      </w:r>
      <w:r>
        <w:rPr>
          <w:lang w:val="en-AU"/>
        </w:rPr>
        <w:fldChar w:fldCharType="separate"/>
      </w:r>
      <w:r w:rsidR="00016592" w:rsidRPr="004D294A">
        <w:rPr>
          <w:lang w:val="en-AU"/>
        </w:rPr>
        <w:t xml:space="preserve">Table </w:t>
      </w:r>
      <w:r w:rsidR="00016592">
        <w:rPr>
          <w:noProof/>
          <w:lang w:val="en-AU"/>
        </w:rPr>
        <w:t>68</w:t>
      </w:r>
      <w:r>
        <w:rPr>
          <w:lang w:val="en-AU"/>
        </w:rPr>
        <w:fldChar w:fldCharType="end"/>
      </w:r>
      <w:r>
        <w:rPr>
          <w:lang w:val="en-AU"/>
        </w:rPr>
        <w:t xml:space="preserve"> gives an overview for the VSB and the Maxum/Soundtec over the first 5 years of listing.</w:t>
      </w:r>
    </w:p>
    <w:p w14:paraId="647B6815" w14:textId="77777777" w:rsidR="004B4A8E" w:rsidRDefault="004B4A8E" w:rsidP="00830612">
      <w:pPr>
        <w:pStyle w:val="Textbody"/>
        <w:rPr>
          <w:lang w:val="en-AU"/>
        </w:rPr>
      </w:pPr>
    </w:p>
    <w:p w14:paraId="6D54C764" w14:textId="77777777" w:rsidR="004B4A8E" w:rsidRDefault="004B4A8E" w:rsidP="004B4A8E">
      <w:pPr>
        <w:pStyle w:val="Textbody"/>
        <w:rPr>
          <w:lang w:val="en-AU"/>
        </w:rPr>
      </w:pPr>
      <w:r>
        <w:rPr>
          <w:lang w:val="en-AU"/>
        </w:rPr>
        <w:t xml:space="preserve">The estimated overall net financial impact to the MBS of the proposed listing, including associated items, is shown in </w:t>
      </w:r>
      <w:r>
        <w:rPr>
          <w:lang w:val="en-AU"/>
        </w:rPr>
        <w:fldChar w:fldCharType="begin"/>
      </w:r>
      <w:r>
        <w:rPr>
          <w:lang w:val="en-AU"/>
        </w:rPr>
        <w:instrText xml:space="preserve"> REF _Ref430954314 \h </w:instrText>
      </w:r>
      <w:r>
        <w:rPr>
          <w:lang w:val="en-AU"/>
        </w:rPr>
      </w:r>
      <w:r>
        <w:rPr>
          <w:lang w:val="en-AU"/>
        </w:rPr>
        <w:fldChar w:fldCharType="separate"/>
      </w:r>
      <w:r w:rsidR="00016592" w:rsidRPr="004D294A">
        <w:rPr>
          <w:lang w:val="en-AU"/>
        </w:rPr>
        <w:t xml:space="preserve">Table </w:t>
      </w:r>
      <w:r w:rsidR="00016592">
        <w:rPr>
          <w:noProof/>
          <w:lang w:val="en-AU"/>
        </w:rPr>
        <w:t>69</w:t>
      </w:r>
      <w:r>
        <w:rPr>
          <w:lang w:val="en-AU"/>
        </w:rPr>
        <w:fldChar w:fldCharType="end"/>
      </w:r>
      <w:r>
        <w:rPr>
          <w:lang w:val="en-AU"/>
        </w:rPr>
        <w:t xml:space="preserve"> for both devices.</w:t>
      </w:r>
    </w:p>
    <w:p w14:paraId="68723865" w14:textId="77777777" w:rsidR="004B4A8E" w:rsidRDefault="004B4A8E" w:rsidP="00830612">
      <w:pPr>
        <w:pStyle w:val="Textbody"/>
        <w:rPr>
          <w:lang w:val="en-AU"/>
        </w:rPr>
      </w:pPr>
    </w:p>
    <w:p w14:paraId="00EA5848" w14:textId="77777777" w:rsidR="00830612" w:rsidRDefault="00830612" w:rsidP="00830612">
      <w:pPr>
        <w:pStyle w:val="Textbody"/>
        <w:rPr>
          <w:lang w:val="en-AU"/>
        </w:rPr>
      </w:pPr>
    </w:p>
    <w:p w14:paraId="3949709D" w14:textId="77777777" w:rsidR="00333C07" w:rsidRDefault="00333C07" w:rsidP="00830612">
      <w:pPr>
        <w:pStyle w:val="Textbody"/>
        <w:rPr>
          <w:lang w:val="en-AU"/>
        </w:rPr>
        <w:sectPr w:rsidR="00333C07" w:rsidSect="00695C41">
          <w:pgSz w:w="11907" w:h="16840" w:code="9"/>
          <w:pgMar w:top="1418" w:right="1418" w:bottom="1701" w:left="1814" w:header="720" w:footer="720" w:gutter="0"/>
          <w:paperSrc w:first="7" w:other="7"/>
          <w:cols w:space="720"/>
          <w:noEndnote/>
          <w:docGrid w:linePitch="299"/>
        </w:sectPr>
      </w:pPr>
    </w:p>
    <w:p w14:paraId="51720230" w14:textId="77777777" w:rsidR="00830612" w:rsidRPr="004D294A" w:rsidRDefault="00830612" w:rsidP="00830612">
      <w:pPr>
        <w:pStyle w:val="Tablecaption"/>
        <w:spacing w:line="360" w:lineRule="auto"/>
        <w:rPr>
          <w:rFonts w:ascii="Arial" w:hAnsi="Arial" w:cs="Arial"/>
          <w:lang w:val="en-AU"/>
        </w:rPr>
      </w:pPr>
      <w:bookmarkStart w:id="653" w:name="_Ref430954298"/>
      <w:bookmarkStart w:id="654" w:name="_Toc431917528"/>
      <w:r w:rsidRPr="004D294A">
        <w:rPr>
          <w:rFonts w:ascii="Arial" w:hAnsi="Arial" w:cs="Arial"/>
          <w:lang w:val="en-AU"/>
        </w:rPr>
        <w:lastRenderedPageBreak/>
        <w:t xml:space="preserve">Table </w:t>
      </w:r>
      <w:r w:rsidRPr="004D294A">
        <w:rPr>
          <w:rFonts w:ascii="Arial" w:hAnsi="Arial" w:cs="Arial"/>
          <w:lang w:val="en-AU"/>
        </w:rPr>
        <w:fldChar w:fldCharType="begin"/>
      </w:r>
      <w:r w:rsidRPr="004D294A">
        <w:rPr>
          <w:rFonts w:ascii="Arial" w:hAnsi="Arial" w:cs="Arial"/>
          <w:lang w:val="en-AU"/>
        </w:rPr>
        <w:instrText xml:space="preserve"> SEQ Table \* ARABIC </w:instrText>
      </w:r>
      <w:r w:rsidRPr="004D294A">
        <w:rPr>
          <w:rFonts w:ascii="Arial" w:hAnsi="Arial" w:cs="Arial"/>
          <w:lang w:val="en-AU"/>
        </w:rPr>
        <w:fldChar w:fldCharType="separate"/>
      </w:r>
      <w:r w:rsidR="00016592">
        <w:rPr>
          <w:rFonts w:ascii="Arial" w:hAnsi="Arial" w:cs="Arial"/>
          <w:noProof/>
          <w:lang w:val="en-AU"/>
        </w:rPr>
        <w:t>68</w:t>
      </w:r>
      <w:r w:rsidRPr="004D294A">
        <w:rPr>
          <w:rFonts w:ascii="Arial" w:hAnsi="Arial" w:cs="Arial"/>
          <w:lang w:val="en-AU"/>
        </w:rPr>
        <w:fldChar w:fldCharType="end"/>
      </w:r>
      <w:bookmarkEnd w:id="653"/>
      <w:r w:rsidRPr="004D294A">
        <w:rPr>
          <w:rFonts w:ascii="Arial" w:hAnsi="Arial" w:cs="Arial"/>
          <w:lang w:val="en-AU"/>
        </w:rPr>
        <w:t xml:space="preserve"> – Estimated </w:t>
      </w:r>
      <w:r>
        <w:rPr>
          <w:rFonts w:ascii="Arial" w:hAnsi="Arial" w:cs="Arial"/>
          <w:lang w:val="en-AU"/>
        </w:rPr>
        <w:t>total non-</w:t>
      </w:r>
      <w:r w:rsidRPr="004D294A">
        <w:rPr>
          <w:rFonts w:ascii="Arial" w:hAnsi="Arial" w:cs="Arial"/>
          <w:lang w:val="en-AU"/>
        </w:rPr>
        <w:t xml:space="preserve"> </w:t>
      </w:r>
      <w:r>
        <w:rPr>
          <w:rFonts w:ascii="Arial" w:hAnsi="Arial" w:cs="Arial"/>
          <w:lang w:val="en-AU"/>
        </w:rPr>
        <w:t>MBS costs for both devices</w:t>
      </w:r>
      <w:bookmarkEnd w:id="654"/>
    </w:p>
    <w:tbl>
      <w:tblPr>
        <w:tblW w:w="14292" w:type="dxa"/>
        <w:jc w:val="center"/>
        <w:tblLook w:val="04A0" w:firstRow="1" w:lastRow="0" w:firstColumn="1" w:lastColumn="0" w:noHBand="0" w:noVBand="1"/>
        <w:tblDescription w:val="Estimated total non- MBS costs for both devices"/>
      </w:tblPr>
      <w:tblGrid>
        <w:gridCol w:w="628"/>
        <w:gridCol w:w="1939"/>
        <w:gridCol w:w="1417"/>
        <w:gridCol w:w="1755"/>
        <w:gridCol w:w="1755"/>
        <w:gridCol w:w="1755"/>
        <w:gridCol w:w="1755"/>
        <w:gridCol w:w="1755"/>
        <w:gridCol w:w="1533"/>
      </w:tblGrid>
      <w:tr w:rsidR="00333C07" w:rsidRPr="00333C07" w14:paraId="211EBD9E" w14:textId="77777777" w:rsidTr="0036776D">
        <w:trPr>
          <w:trHeight w:val="389"/>
          <w:tblHeader/>
          <w:jc w:val="center"/>
        </w:trPr>
        <w:tc>
          <w:tcPr>
            <w:tcW w:w="62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DCAD7DC" w14:textId="77777777" w:rsidR="00333C07" w:rsidRPr="00333C07" w:rsidRDefault="00333C07" w:rsidP="00333C07">
            <w:pPr>
              <w:rPr>
                <w:rFonts w:cs="Arial"/>
                <w:b/>
                <w:bCs/>
                <w:color w:val="000000"/>
                <w:sz w:val="20"/>
                <w:szCs w:val="20"/>
                <w:lang w:val="en-US" w:eastAsia="en-US"/>
              </w:rPr>
            </w:pPr>
            <w:r w:rsidRPr="00333C07">
              <w:rPr>
                <w:rFonts w:cs="Arial"/>
                <w:b/>
                <w:bCs/>
                <w:color w:val="000000"/>
                <w:sz w:val="20"/>
                <w:szCs w:val="20"/>
                <w:lang w:val="en-US" w:eastAsia="en-US"/>
              </w:rPr>
              <w:t> </w:t>
            </w:r>
          </w:p>
        </w:tc>
        <w:tc>
          <w:tcPr>
            <w:tcW w:w="1939" w:type="dxa"/>
            <w:tcBorders>
              <w:top w:val="single" w:sz="8" w:space="0" w:color="auto"/>
              <w:left w:val="nil"/>
              <w:bottom w:val="single" w:sz="4" w:space="0" w:color="auto"/>
              <w:right w:val="single" w:sz="4" w:space="0" w:color="auto"/>
            </w:tcBorders>
            <w:shd w:val="clear" w:color="auto" w:fill="auto"/>
            <w:vAlign w:val="center"/>
            <w:hideMark/>
          </w:tcPr>
          <w:p w14:paraId="09C7E665" w14:textId="77777777" w:rsidR="00333C07" w:rsidRPr="00333C07" w:rsidRDefault="00333C07" w:rsidP="00333C07">
            <w:pPr>
              <w:rPr>
                <w:rFonts w:cs="Arial"/>
                <w:b/>
                <w:bCs/>
                <w:color w:val="000000"/>
                <w:sz w:val="20"/>
                <w:szCs w:val="20"/>
                <w:lang w:val="en-US" w:eastAsia="en-US"/>
              </w:rPr>
            </w:pPr>
            <w:r w:rsidRPr="00333C07">
              <w:rPr>
                <w:rFonts w:cs="Arial"/>
                <w:b/>
                <w:bCs/>
                <w:color w:val="000000"/>
                <w:sz w:val="20"/>
                <w:szCs w:val="20"/>
                <w:lang w:val="en-US" w:eastAsia="en-US"/>
              </w:rPr>
              <w:t>Description</w:t>
            </w:r>
          </w:p>
        </w:tc>
        <w:tc>
          <w:tcPr>
            <w:tcW w:w="1417" w:type="dxa"/>
            <w:tcBorders>
              <w:top w:val="single" w:sz="8" w:space="0" w:color="auto"/>
              <w:left w:val="nil"/>
              <w:bottom w:val="single" w:sz="4" w:space="0" w:color="auto"/>
              <w:right w:val="single" w:sz="4" w:space="0" w:color="auto"/>
            </w:tcBorders>
            <w:shd w:val="clear" w:color="auto" w:fill="auto"/>
            <w:vAlign w:val="center"/>
            <w:hideMark/>
          </w:tcPr>
          <w:p w14:paraId="54DE7181" w14:textId="77777777" w:rsidR="00333C07" w:rsidRPr="00333C07" w:rsidRDefault="00333C07" w:rsidP="00333C07">
            <w:pPr>
              <w:jc w:val="center"/>
              <w:rPr>
                <w:rFonts w:cs="Arial"/>
                <w:b/>
                <w:bCs/>
                <w:color w:val="000000"/>
                <w:sz w:val="16"/>
                <w:szCs w:val="16"/>
                <w:lang w:val="en-US" w:eastAsia="en-US"/>
              </w:rPr>
            </w:pPr>
            <w:r w:rsidRPr="00333C07">
              <w:rPr>
                <w:rFonts w:cs="Arial"/>
                <w:b/>
                <w:bCs/>
                <w:color w:val="000000"/>
                <w:sz w:val="16"/>
                <w:szCs w:val="16"/>
                <w:lang w:val="en-US" w:eastAsia="en-US"/>
              </w:rPr>
              <w:t>Method</w:t>
            </w:r>
          </w:p>
        </w:tc>
        <w:tc>
          <w:tcPr>
            <w:tcW w:w="1755" w:type="dxa"/>
            <w:tcBorders>
              <w:top w:val="single" w:sz="8" w:space="0" w:color="auto"/>
              <w:left w:val="nil"/>
              <w:bottom w:val="single" w:sz="4" w:space="0" w:color="auto"/>
              <w:right w:val="single" w:sz="4" w:space="0" w:color="auto"/>
            </w:tcBorders>
            <w:shd w:val="clear" w:color="auto" w:fill="auto"/>
            <w:noWrap/>
            <w:vAlign w:val="center"/>
            <w:hideMark/>
          </w:tcPr>
          <w:p w14:paraId="74B54045" w14:textId="77777777" w:rsidR="00333C07" w:rsidRPr="00333C07" w:rsidRDefault="00333C07" w:rsidP="00333C07">
            <w:pPr>
              <w:jc w:val="center"/>
              <w:rPr>
                <w:rFonts w:cs="Arial"/>
                <w:b/>
                <w:bCs/>
                <w:color w:val="000000"/>
                <w:sz w:val="16"/>
                <w:szCs w:val="16"/>
                <w:lang w:val="en-US" w:eastAsia="en-US"/>
              </w:rPr>
            </w:pPr>
            <w:r w:rsidRPr="00333C07">
              <w:rPr>
                <w:rFonts w:cs="Arial"/>
                <w:b/>
                <w:bCs/>
                <w:color w:val="000000"/>
                <w:sz w:val="16"/>
                <w:szCs w:val="16"/>
                <w:lang w:val="en-US" w:eastAsia="en-US"/>
              </w:rPr>
              <w:t>current (2016)</w:t>
            </w:r>
          </w:p>
        </w:tc>
        <w:tc>
          <w:tcPr>
            <w:tcW w:w="1755" w:type="dxa"/>
            <w:tcBorders>
              <w:top w:val="single" w:sz="8" w:space="0" w:color="auto"/>
              <w:left w:val="nil"/>
              <w:bottom w:val="single" w:sz="4" w:space="0" w:color="auto"/>
              <w:right w:val="single" w:sz="4" w:space="0" w:color="auto"/>
            </w:tcBorders>
            <w:shd w:val="clear" w:color="auto" w:fill="auto"/>
            <w:noWrap/>
            <w:vAlign w:val="center"/>
            <w:hideMark/>
          </w:tcPr>
          <w:p w14:paraId="686F922C" w14:textId="77777777" w:rsidR="00333C07" w:rsidRPr="00333C07" w:rsidRDefault="00333C07" w:rsidP="00333C07">
            <w:pPr>
              <w:jc w:val="center"/>
              <w:rPr>
                <w:rFonts w:cs="Arial"/>
                <w:b/>
                <w:bCs/>
                <w:color w:val="000000"/>
                <w:sz w:val="16"/>
                <w:szCs w:val="16"/>
                <w:lang w:val="en-US" w:eastAsia="en-US"/>
              </w:rPr>
            </w:pPr>
            <w:r w:rsidRPr="00333C07">
              <w:rPr>
                <w:rFonts w:cs="Arial"/>
                <w:b/>
                <w:bCs/>
                <w:color w:val="000000"/>
                <w:sz w:val="16"/>
                <w:szCs w:val="16"/>
                <w:lang w:val="en-US" w:eastAsia="en-US"/>
              </w:rPr>
              <w:t>2017</w:t>
            </w:r>
          </w:p>
        </w:tc>
        <w:tc>
          <w:tcPr>
            <w:tcW w:w="1755" w:type="dxa"/>
            <w:tcBorders>
              <w:top w:val="single" w:sz="8" w:space="0" w:color="auto"/>
              <w:left w:val="nil"/>
              <w:bottom w:val="single" w:sz="4" w:space="0" w:color="auto"/>
              <w:right w:val="single" w:sz="4" w:space="0" w:color="auto"/>
            </w:tcBorders>
            <w:shd w:val="clear" w:color="auto" w:fill="auto"/>
            <w:noWrap/>
            <w:vAlign w:val="center"/>
            <w:hideMark/>
          </w:tcPr>
          <w:p w14:paraId="1B478C9C" w14:textId="77777777" w:rsidR="00333C07" w:rsidRPr="00333C07" w:rsidRDefault="00333C07" w:rsidP="00333C07">
            <w:pPr>
              <w:jc w:val="center"/>
              <w:rPr>
                <w:rFonts w:cs="Arial"/>
                <w:b/>
                <w:bCs/>
                <w:color w:val="000000"/>
                <w:sz w:val="16"/>
                <w:szCs w:val="16"/>
                <w:lang w:val="en-US" w:eastAsia="en-US"/>
              </w:rPr>
            </w:pPr>
            <w:r w:rsidRPr="00333C07">
              <w:rPr>
                <w:rFonts w:cs="Arial"/>
                <w:b/>
                <w:bCs/>
                <w:color w:val="000000"/>
                <w:sz w:val="16"/>
                <w:szCs w:val="16"/>
                <w:lang w:val="en-US" w:eastAsia="en-US"/>
              </w:rPr>
              <w:t>2018</w:t>
            </w:r>
          </w:p>
        </w:tc>
        <w:tc>
          <w:tcPr>
            <w:tcW w:w="1755" w:type="dxa"/>
            <w:tcBorders>
              <w:top w:val="single" w:sz="8" w:space="0" w:color="auto"/>
              <w:left w:val="nil"/>
              <w:bottom w:val="single" w:sz="4" w:space="0" w:color="auto"/>
              <w:right w:val="single" w:sz="4" w:space="0" w:color="auto"/>
            </w:tcBorders>
            <w:shd w:val="clear" w:color="auto" w:fill="auto"/>
            <w:noWrap/>
            <w:vAlign w:val="center"/>
            <w:hideMark/>
          </w:tcPr>
          <w:p w14:paraId="22EA025B" w14:textId="77777777" w:rsidR="00333C07" w:rsidRPr="00333C07" w:rsidRDefault="00333C07" w:rsidP="00333C07">
            <w:pPr>
              <w:jc w:val="center"/>
              <w:rPr>
                <w:rFonts w:cs="Arial"/>
                <w:b/>
                <w:bCs/>
                <w:color w:val="000000"/>
                <w:sz w:val="16"/>
                <w:szCs w:val="16"/>
                <w:lang w:val="en-US" w:eastAsia="en-US"/>
              </w:rPr>
            </w:pPr>
            <w:r w:rsidRPr="00333C07">
              <w:rPr>
                <w:rFonts w:cs="Arial"/>
                <w:b/>
                <w:bCs/>
                <w:color w:val="000000"/>
                <w:sz w:val="16"/>
                <w:szCs w:val="16"/>
                <w:lang w:val="en-US" w:eastAsia="en-US"/>
              </w:rPr>
              <w:t>2019</w:t>
            </w:r>
          </w:p>
        </w:tc>
        <w:tc>
          <w:tcPr>
            <w:tcW w:w="1755" w:type="dxa"/>
            <w:tcBorders>
              <w:top w:val="single" w:sz="8" w:space="0" w:color="auto"/>
              <w:left w:val="nil"/>
              <w:bottom w:val="single" w:sz="4" w:space="0" w:color="auto"/>
              <w:right w:val="single" w:sz="4" w:space="0" w:color="auto"/>
            </w:tcBorders>
            <w:shd w:val="clear" w:color="auto" w:fill="auto"/>
            <w:noWrap/>
            <w:vAlign w:val="center"/>
            <w:hideMark/>
          </w:tcPr>
          <w:p w14:paraId="0669340E" w14:textId="77777777" w:rsidR="00333C07" w:rsidRPr="00333C07" w:rsidRDefault="00333C07" w:rsidP="00333C07">
            <w:pPr>
              <w:jc w:val="center"/>
              <w:rPr>
                <w:rFonts w:cs="Arial"/>
                <w:b/>
                <w:bCs/>
                <w:color w:val="000000"/>
                <w:sz w:val="16"/>
                <w:szCs w:val="16"/>
                <w:lang w:val="en-US" w:eastAsia="en-US"/>
              </w:rPr>
            </w:pPr>
            <w:r w:rsidRPr="00333C07">
              <w:rPr>
                <w:rFonts w:cs="Arial"/>
                <w:b/>
                <w:bCs/>
                <w:color w:val="000000"/>
                <w:sz w:val="16"/>
                <w:szCs w:val="16"/>
                <w:lang w:val="en-US" w:eastAsia="en-US"/>
              </w:rPr>
              <w:t>2020</w:t>
            </w:r>
          </w:p>
        </w:tc>
        <w:tc>
          <w:tcPr>
            <w:tcW w:w="1533" w:type="dxa"/>
            <w:tcBorders>
              <w:top w:val="single" w:sz="8" w:space="0" w:color="auto"/>
              <w:left w:val="nil"/>
              <w:bottom w:val="single" w:sz="4" w:space="0" w:color="auto"/>
              <w:right w:val="single" w:sz="8" w:space="0" w:color="auto"/>
            </w:tcBorders>
            <w:shd w:val="clear" w:color="auto" w:fill="auto"/>
            <w:noWrap/>
            <w:vAlign w:val="center"/>
            <w:hideMark/>
          </w:tcPr>
          <w:p w14:paraId="0CFEAC25" w14:textId="77777777" w:rsidR="00333C07" w:rsidRPr="00333C07" w:rsidRDefault="00333C07" w:rsidP="00333C07">
            <w:pPr>
              <w:jc w:val="center"/>
              <w:rPr>
                <w:rFonts w:cs="Arial"/>
                <w:b/>
                <w:bCs/>
                <w:color w:val="000000"/>
                <w:sz w:val="16"/>
                <w:szCs w:val="16"/>
                <w:lang w:val="en-US" w:eastAsia="en-US"/>
              </w:rPr>
            </w:pPr>
            <w:r w:rsidRPr="00333C07">
              <w:rPr>
                <w:rFonts w:cs="Arial"/>
                <w:b/>
                <w:bCs/>
                <w:color w:val="000000"/>
                <w:sz w:val="16"/>
                <w:szCs w:val="16"/>
                <w:lang w:val="en-US" w:eastAsia="en-US"/>
              </w:rPr>
              <w:t>2021</w:t>
            </w:r>
          </w:p>
        </w:tc>
      </w:tr>
      <w:tr w:rsidR="00333C07" w:rsidRPr="00333C07" w14:paraId="083AC17E" w14:textId="77777777" w:rsidTr="003B1DCD">
        <w:trPr>
          <w:trHeight w:val="405"/>
          <w:jc w:val="center"/>
        </w:trPr>
        <w:tc>
          <w:tcPr>
            <w:tcW w:w="628" w:type="dxa"/>
            <w:tcBorders>
              <w:top w:val="nil"/>
              <w:left w:val="single" w:sz="8" w:space="0" w:color="auto"/>
              <w:bottom w:val="single" w:sz="4" w:space="0" w:color="auto"/>
              <w:right w:val="single" w:sz="4" w:space="0" w:color="auto"/>
            </w:tcBorders>
            <w:shd w:val="clear" w:color="auto" w:fill="auto"/>
            <w:noWrap/>
            <w:vAlign w:val="center"/>
            <w:hideMark/>
          </w:tcPr>
          <w:p w14:paraId="335D1663" w14:textId="77777777" w:rsidR="00333C07" w:rsidRPr="00333C07" w:rsidRDefault="00333C07" w:rsidP="00333C07">
            <w:pPr>
              <w:rPr>
                <w:rFonts w:cs="Arial"/>
                <w:b/>
                <w:bCs/>
                <w:color w:val="000000"/>
                <w:sz w:val="20"/>
                <w:szCs w:val="20"/>
                <w:lang w:val="en-US" w:eastAsia="en-US"/>
              </w:rPr>
            </w:pPr>
            <w:r w:rsidRPr="00333C07">
              <w:rPr>
                <w:rFonts w:cs="Arial"/>
                <w:b/>
                <w:bCs/>
                <w:color w:val="000000"/>
                <w:sz w:val="20"/>
                <w:szCs w:val="20"/>
                <w:lang w:val="en-US" w:eastAsia="en-US"/>
              </w:rPr>
              <w:t> </w:t>
            </w:r>
          </w:p>
        </w:tc>
        <w:tc>
          <w:tcPr>
            <w:tcW w:w="13664" w:type="dxa"/>
            <w:gridSpan w:val="8"/>
            <w:tcBorders>
              <w:top w:val="single" w:sz="4" w:space="0" w:color="auto"/>
              <w:left w:val="single" w:sz="4" w:space="0" w:color="auto"/>
              <w:bottom w:val="single" w:sz="4" w:space="0" w:color="auto"/>
              <w:right w:val="single" w:sz="8" w:space="0" w:color="000000"/>
            </w:tcBorders>
            <w:shd w:val="clear" w:color="auto" w:fill="auto"/>
            <w:vAlign w:val="center"/>
            <w:hideMark/>
          </w:tcPr>
          <w:p w14:paraId="1530B274" w14:textId="77777777" w:rsidR="00333C07" w:rsidRPr="00333C07" w:rsidRDefault="00333C07" w:rsidP="00333C07">
            <w:pPr>
              <w:rPr>
                <w:rFonts w:cs="Arial"/>
                <w:b/>
                <w:bCs/>
                <w:color w:val="000000"/>
                <w:lang w:val="en-US" w:eastAsia="en-US"/>
              </w:rPr>
            </w:pPr>
            <w:r w:rsidRPr="00333C07">
              <w:rPr>
                <w:rFonts w:cs="Arial"/>
                <w:b/>
                <w:bCs/>
                <w:color w:val="000000"/>
                <w:lang w:val="en-US" w:eastAsia="en-US"/>
              </w:rPr>
              <w:t>VSB</w:t>
            </w:r>
          </w:p>
        </w:tc>
      </w:tr>
      <w:tr w:rsidR="00333C07" w:rsidRPr="00333C07" w14:paraId="07874DF4" w14:textId="77777777" w:rsidTr="003B1DCD">
        <w:trPr>
          <w:trHeight w:val="465"/>
          <w:jc w:val="center"/>
        </w:trPr>
        <w:tc>
          <w:tcPr>
            <w:tcW w:w="628" w:type="dxa"/>
            <w:tcBorders>
              <w:top w:val="nil"/>
              <w:left w:val="single" w:sz="8" w:space="0" w:color="auto"/>
              <w:bottom w:val="single" w:sz="4" w:space="0" w:color="auto"/>
              <w:right w:val="single" w:sz="4" w:space="0" w:color="auto"/>
            </w:tcBorders>
            <w:shd w:val="clear" w:color="auto" w:fill="auto"/>
            <w:noWrap/>
            <w:vAlign w:val="center"/>
            <w:hideMark/>
          </w:tcPr>
          <w:p w14:paraId="511DBED6" w14:textId="77777777" w:rsidR="00333C07" w:rsidRPr="00333C07" w:rsidRDefault="00333C07" w:rsidP="00333C07">
            <w:pPr>
              <w:rPr>
                <w:rFonts w:cs="Arial"/>
                <w:b/>
                <w:bCs/>
                <w:color w:val="000000"/>
                <w:sz w:val="20"/>
                <w:szCs w:val="20"/>
                <w:lang w:val="en-US" w:eastAsia="en-US"/>
              </w:rPr>
            </w:pPr>
            <w:r w:rsidRPr="00333C07">
              <w:rPr>
                <w:rFonts w:cs="Arial"/>
                <w:b/>
                <w:bCs/>
                <w:color w:val="000000"/>
                <w:sz w:val="20"/>
                <w:szCs w:val="20"/>
                <w:lang w:val="en-US" w:eastAsia="en-US"/>
              </w:rPr>
              <w:t>AZ</w:t>
            </w:r>
          </w:p>
        </w:tc>
        <w:tc>
          <w:tcPr>
            <w:tcW w:w="1939" w:type="dxa"/>
            <w:tcBorders>
              <w:top w:val="nil"/>
              <w:left w:val="nil"/>
              <w:bottom w:val="single" w:sz="4" w:space="0" w:color="auto"/>
              <w:right w:val="single" w:sz="4" w:space="0" w:color="auto"/>
            </w:tcBorders>
            <w:shd w:val="clear" w:color="auto" w:fill="auto"/>
            <w:vAlign w:val="center"/>
            <w:hideMark/>
          </w:tcPr>
          <w:p w14:paraId="7D2EFD31" w14:textId="77777777" w:rsidR="00333C07" w:rsidRPr="00333C07" w:rsidRDefault="00333C07" w:rsidP="00333C07">
            <w:pPr>
              <w:rPr>
                <w:rFonts w:cs="Arial"/>
                <w:color w:val="000000"/>
                <w:sz w:val="20"/>
                <w:szCs w:val="20"/>
                <w:lang w:val="en-US" w:eastAsia="en-US"/>
              </w:rPr>
            </w:pPr>
            <w:r w:rsidRPr="00333C07">
              <w:rPr>
                <w:rFonts w:cs="Arial"/>
                <w:color w:val="000000"/>
                <w:sz w:val="20"/>
                <w:szCs w:val="20"/>
                <w:lang w:val="en-US" w:eastAsia="en-US"/>
              </w:rPr>
              <w:t>Cost of hospital stay</w:t>
            </w:r>
          </w:p>
        </w:tc>
        <w:tc>
          <w:tcPr>
            <w:tcW w:w="1417" w:type="dxa"/>
            <w:tcBorders>
              <w:top w:val="nil"/>
              <w:left w:val="nil"/>
              <w:bottom w:val="single" w:sz="4" w:space="0" w:color="auto"/>
              <w:right w:val="single" w:sz="4" w:space="0" w:color="auto"/>
            </w:tcBorders>
            <w:shd w:val="clear" w:color="auto" w:fill="auto"/>
            <w:vAlign w:val="center"/>
            <w:hideMark/>
          </w:tcPr>
          <w:p w14:paraId="0EB43EC2" w14:textId="77777777" w:rsidR="00333C07" w:rsidRPr="00333C07" w:rsidRDefault="004B4A8E" w:rsidP="00333C07">
            <w:pPr>
              <w:rPr>
                <w:rFonts w:cs="Arial"/>
                <w:color w:val="000000"/>
                <w:sz w:val="16"/>
                <w:szCs w:val="16"/>
                <w:lang w:val="en-US" w:eastAsia="en-US"/>
              </w:rPr>
            </w:pPr>
            <w:r w:rsidRPr="004B4A8E">
              <w:rPr>
                <w:rFonts w:cs="Arial"/>
                <w:color w:val="000000"/>
                <w:sz w:val="16"/>
                <w:szCs w:val="16"/>
                <w:lang w:val="en-US" w:eastAsia="en-US"/>
              </w:rPr>
              <w:fldChar w:fldCharType="begin"/>
            </w:r>
            <w:r w:rsidRPr="004B4A8E">
              <w:rPr>
                <w:rFonts w:cs="Arial"/>
                <w:color w:val="000000"/>
                <w:sz w:val="16"/>
                <w:szCs w:val="16"/>
                <w:lang w:val="en-US" w:eastAsia="en-US"/>
              </w:rPr>
              <w:instrText xml:space="preserve"> REF _Ref334453724 \h </w:instrText>
            </w:r>
            <w:r>
              <w:rPr>
                <w:rFonts w:cs="Arial"/>
                <w:color w:val="000000"/>
                <w:sz w:val="16"/>
                <w:szCs w:val="16"/>
                <w:lang w:val="en-US" w:eastAsia="en-US"/>
              </w:rPr>
              <w:instrText xml:space="preserve"> \* MERGEFORMAT </w:instrText>
            </w:r>
            <w:r w:rsidRPr="004B4A8E">
              <w:rPr>
                <w:rFonts w:cs="Arial"/>
                <w:color w:val="000000"/>
                <w:sz w:val="16"/>
                <w:szCs w:val="16"/>
                <w:lang w:val="en-US" w:eastAsia="en-US"/>
              </w:rPr>
            </w:r>
            <w:r w:rsidRPr="004B4A8E">
              <w:rPr>
                <w:rFonts w:cs="Arial"/>
                <w:color w:val="000000"/>
                <w:sz w:val="16"/>
                <w:szCs w:val="16"/>
                <w:lang w:val="en-US" w:eastAsia="en-US"/>
              </w:rPr>
              <w:fldChar w:fldCharType="separate"/>
            </w:r>
            <w:r w:rsidR="00016592" w:rsidRPr="00016592">
              <w:rPr>
                <w:rFonts w:cs="Arial"/>
                <w:sz w:val="16"/>
                <w:szCs w:val="16"/>
                <w:lang w:val="x-none"/>
              </w:rPr>
              <w:t>Table 62</w:t>
            </w:r>
            <w:r w:rsidRPr="004B4A8E">
              <w:rPr>
                <w:rFonts w:cs="Arial"/>
                <w:color w:val="000000"/>
                <w:sz w:val="16"/>
                <w:szCs w:val="16"/>
                <w:lang w:val="en-US" w:eastAsia="en-US"/>
              </w:rPr>
              <w:fldChar w:fldCharType="end"/>
            </w:r>
            <w:r w:rsidR="00333C07" w:rsidRPr="00333C07">
              <w:rPr>
                <w:rFonts w:cs="Arial"/>
                <w:color w:val="000000"/>
                <w:sz w:val="16"/>
                <w:szCs w:val="16"/>
                <w:lang w:val="en-US" w:eastAsia="en-US"/>
              </w:rPr>
              <w:t>, row L x AUD 591,00</w:t>
            </w:r>
          </w:p>
        </w:tc>
        <w:tc>
          <w:tcPr>
            <w:tcW w:w="1755" w:type="dxa"/>
            <w:tcBorders>
              <w:top w:val="nil"/>
              <w:left w:val="nil"/>
              <w:bottom w:val="single" w:sz="8" w:space="0" w:color="auto"/>
              <w:right w:val="single" w:sz="4" w:space="0" w:color="auto"/>
            </w:tcBorders>
            <w:shd w:val="clear" w:color="auto" w:fill="auto"/>
            <w:noWrap/>
            <w:tcFitText/>
            <w:vAlign w:val="center"/>
            <w:hideMark/>
          </w:tcPr>
          <w:p w14:paraId="33D858FE" w14:textId="77777777" w:rsidR="00333C07" w:rsidRPr="00333C07" w:rsidRDefault="00333C07" w:rsidP="00333C07">
            <w:pPr>
              <w:rPr>
                <w:rFonts w:cs="Arial"/>
                <w:color w:val="000000"/>
                <w:sz w:val="16"/>
                <w:szCs w:val="16"/>
                <w:lang w:val="en-US" w:eastAsia="en-US"/>
              </w:rPr>
            </w:pPr>
            <w:r w:rsidRPr="009A7DB9">
              <w:rPr>
                <w:rFonts w:cs="Arial"/>
                <w:color w:val="000000"/>
                <w:sz w:val="16"/>
                <w:szCs w:val="16"/>
                <w:lang w:val="en-US" w:eastAsia="en-US"/>
              </w:rPr>
              <w:t xml:space="preserve"> AUD            41.961</w:t>
            </w:r>
            <w:r w:rsidRPr="009A7DB9">
              <w:rPr>
                <w:rFonts w:cs="Arial"/>
                <w:color w:val="000000"/>
                <w:spacing w:val="45"/>
                <w:sz w:val="16"/>
                <w:szCs w:val="16"/>
                <w:lang w:val="en-US" w:eastAsia="en-US"/>
              </w:rPr>
              <w:t xml:space="preserve"> </w:t>
            </w:r>
          </w:p>
        </w:tc>
        <w:tc>
          <w:tcPr>
            <w:tcW w:w="1755" w:type="dxa"/>
            <w:tcBorders>
              <w:top w:val="nil"/>
              <w:left w:val="nil"/>
              <w:bottom w:val="single" w:sz="8" w:space="0" w:color="auto"/>
              <w:right w:val="single" w:sz="4" w:space="0" w:color="auto"/>
            </w:tcBorders>
            <w:shd w:val="clear" w:color="auto" w:fill="auto"/>
            <w:noWrap/>
            <w:vAlign w:val="center"/>
            <w:hideMark/>
          </w:tcPr>
          <w:p w14:paraId="0DDACAD0" w14:textId="77777777" w:rsidR="00333C07" w:rsidRPr="00333C07" w:rsidRDefault="00333C07" w:rsidP="00333C07">
            <w:pPr>
              <w:rPr>
                <w:rFonts w:cs="Arial"/>
                <w:color w:val="000000"/>
                <w:sz w:val="16"/>
                <w:szCs w:val="16"/>
                <w:lang w:val="en-US" w:eastAsia="en-US"/>
              </w:rPr>
            </w:pPr>
            <w:r w:rsidRPr="00333C07">
              <w:rPr>
                <w:rFonts w:cs="Arial"/>
                <w:color w:val="000000"/>
                <w:sz w:val="16"/>
                <w:szCs w:val="16"/>
                <w:lang w:val="en-US" w:eastAsia="en-US"/>
              </w:rPr>
              <w:t xml:space="preserve"> AUD            42.552 </w:t>
            </w:r>
          </w:p>
        </w:tc>
        <w:tc>
          <w:tcPr>
            <w:tcW w:w="1755" w:type="dxa"/>
            <w:tcBorders>
              <w:top w:val="nil"/>
              <w:left w:val="nil"/>
              <w:bottom w:val="single" w:sz="8" w:space="0" w:color="auto"/>
              <w:right w:val="single" w:sz="4" w:space="0" w:color="auto"/>
            </w:tcBorders>
            <w:shd w:val="clear" w:color="auto" w:fill="auto"/>
            <w:noWrap/>
            <w:vAlign w:val="center"/>
            <w:hideMark/>
          </w:tcPr>
          <w:p w14:paraId="1DA34C6E" w14:textId="77777777" w:rsidR="00333C07" w:rsidRPr="00333C07" w:rsidRDefault="00333C07" w:rsidP="00333C07">
            <w:pPr>
              <w:rPr>
                <w:rFonts w:cs="Arial"/>
                <w:color w:val="000000"/>
                <w:sz w:val="16"/>
                <w:szCs w:val="16"/>
                <w:lang w:val="en-US" w:eastAsia="en-US"/>
              </w:rPr>
            </w:pPr>
            <w:r w:rsidRPr="00333C07">
              <w:rPr>
                <w:rFonts w:cs="Arial"/>
                <w:color w:val="000000"/>
                <w:sz w:val="16"/>
                <w:szCs w:val="16"/>
                <w:lang w:val="en-US" w:eastAsia="en-US"/>
              </w:rPr>
              <w:t xml:space="preserve"> AUD            43.734 </w:t>
            </w:r>
          </w:p>
        </w:tc>
        <w:tc>
          <w:tcPr>
            <w:tcW w:w="1755" w:type="dxa"/>
            <w:tcBorders>
              <w:top w:val="nil"/>
              <w:left w:val="nil"/>
              <w:bottom w:val="single" w:sz="8" w:space="0" w:color="auto"/>
              <w:right w:val="single" w:sz="4" w:space="0" w:color="auto"/>
            </w:tcBorders>
            <w:shd w:val="clear" w:color="auto" w:fill="auto"/>
            <w:noWrap/>
            <w:vAlign w:val="center"/>
            <w:hideMark/>
          </w:tcPr>
          <w:p w14:paraId="1CB7DAA6" w14:textId="77777777" w:rsidR="00333C07" w:rsidRPr="00333C07" w:rsidRDefault="00333C07" w:rsidP="00333C07">
            <w:pPr>
              <w:rPr>
                <w:rFonts w:cs="Arial"/>
                <w:color w:val="000000"/>
                <w:sz w:val="16"/>
                <w:szCs w:val="16"/>
                <w:lang w:val="en-US" w:eastAsia="en-US"/>
              </w:rPr>
            </w:pPr>
            <w:r w:rsidRPr="00333C07">
              <w:rPr>
                <w:rFonts w:cs="Arial"/>
                <w:color w:val="000000"/>
                <w:sz w:val="16"/>
                <w:szCs w:val="16"/>
                <w:lang w:val="en-US" w:eastAsia="en-US"/>
              </w:rPr>
              <w:t xml:space="preserve"> AUD            44.325 </w:t>
            </w:r>
          </w:p>
        </w:tc>
        <w:tc>
          <w:tcPr>
            <w:tcW w:w="1755" w:type="dxa"/>
            <w:tcBorders>
              <w:top w:val="nil"/>
              <w:left w:val="nil"/>
              <w:bottom w:val="single" w:sz="8" w:space="0" w:color="auto"/>
              <w:right w:val="single" w:sz="4" w:space="0" w:color="auto"/>
            </w:tcBorders>
            <w:shd w:val="clear" w:color="auto" w:fill="auto"/>
            <w:noWrap/>
            <w:vAlign w:val="center"/>
            <w:hideMark/>
          </w:tcPr>
          <w:p w14:paraId="544BDF1B" w14:textId="77777777" w:rsidR="00333C07" w:rsidRPr="00333C07" w:rsidRDefault="00333C07" w:rsidP="00333C07">
            <w:pPr>
              <w:rPr>
                <w:rFonts w:cs="Arial"/>
                <w:color w:val="000000"/>
                <w:sz w:val="16"/>
                <w:szCs w:val="16"/>
                <w:lang w:val="en-US" w:eastAsia="en-US"/>
              </w:rPr>
            </w:pPr>
            <w:r w:rsidRPr="00333C07">
              <w:rPr>
                <w:rFonts w:cs="Arial"/>
                <w:color w:val="000000"/>
                <w:sz w:val="16"/>
                <w:szCs w:val="16"/>
                <w:lang w:val="en-US" w:eastAsia="en-US"/>
              </w:rPr>
              <w:t xml:space="preserve"> AUD            44.916 </w:t>
            </w:r>
          </w:p>
        </w:tc>
        <w:tc>
          <w:tcPr>
            <w:tcW w:w="1533" w:type="dxa"/>
            <w:tcBorders>
              <w:top w:val="nil"/>
              <w:left w:val="nil"/>
              <w:bottom w:val="single" w:sz="8" w:space="0" w:color="auto"/>
              <w:right w:val="single" w:sz="8" w:space="0" w:color="auto"/>
            </w:tcBorders>
            <w:shd w:val="clear" w:color="auto" w:fill="auto"/>
            <w:noWrap/>
            <w:vAlign w:val="center"/>
            <w:hideMark/>
          </w:tcPr>
          <w:p w14:paraId="7DBAEF9D" w14:textId="77777777" w:rsidR="00333C07" w:rsidRPr="00333C07" w:rsidRDefault="00333C07" w:rsidP="00333C07">
            <w:pPr>
              <w:rPr>
                <w:rFonts w:cs="Arial"/>
                <w:color w:val="000000"/>
                <w:sz w:val="16"/>
                <w:szCs w:val="16"/>
                <w:lang w:val="en-US" w:eastAsia="en-US"/>
              </w:rPr>
            </w:pPr>
            <w:r w:rsidRPr="00333C07">
              <w:rPr>
                <w:rFonts w:cs="Arial"/>
                <w:color w:val="000000"/>
                <w:sz w:val="16"/>
                <w:szCs w:val="16"/>
                <w:lang w:val="en-US" w:eastAsia="en-US"/>
              </w:rPr>
              <w:t xml:space="preserve"> AUD       45.507 </w:t>
            </w:r>
          </w:p>
        </w:tc>
      </w:tr>
      <w:tr w:rsidR="00333C07" w:rsidRPr="00333C07" w14:paraId="3A1D562C" w14:textId="77777777" w:rsidTr="003B1DCD">
        <w:trPr>
          <w:trHeight w:val="465"/>
          <w:jc w:val="center"/>
        </w:trPr>
        <w:tc>
          <w:tcPr>
            <w:tcW w:w="628" w:type="dxa"/>
            <w:tcBorders>
              <w:top w:val="nil"/>
              <w:left w:val="single" w:sz="8" w:space="0" w:color="auto"/>
              <w:bottom w:val="single" w:sz="8" w:space="0" w:color="auto"/>
              <w:right w:val="single" w:sz="4" w:space="0" w:color="auto"/>
            </w:tcBorders>
            <w:shd w:val="clear" w:color="auto" w:fill="auto"/>
            <w:noWrap/>
            <w:vAlign w:val="center"/>
            <w:hideMark/>
          </w:tcPr>
          <w:p w14:paraId="6CC63D1D" w14:textId="77777777" w:rsidR="00333C07" w:rsidRPr="00333C07" w:rsidRDefault="00333C07" w:rsidP="00333C07">
            <w:pPr>
              <w:rPr>
                <w:rFonts w:cs="Arial"/>
                <w:b/>
                <w:bCs/>
                <w:color w:val="000000"/>
                <w:sz w:val="20"/>
                <w:szCs w:val="20"/>
                <w:lang w:val="en-US" w:eastAsia="en-US"/>
              </w:rPr>
            </w:pPr>
            <w:r w:rsidRPr="00333C07">
              <w:rPr>
                <w:rFonts w:cs="Arial"/>
                <w:b/>
                <w:bCs/>
                <w:color w:val="000000"/>
                <w:sz w:val="20"/>
                <w:szCs w:val="20"/>
                <w:lang w:val="en-US" w:eastAsia="en-US"/>
              </w:rPr>
              <w:t>BA</w:t>
            </w:r>
          </w:p>
        </w:tc>
        <w:tc>
          <w:tcPr>
            <w:tcW w:w="1939" w:type="dxa"/>
            <w:tcBorders>
              <w:top w:val="nil"/>
              <w:left w:val="nil"/>
              <w:bottom w:val="single" w:sz="8" w:space="0" w:color="auto"/>
              <w:right w:val="single" w:sz="4" w:space="0" w:color="auto"/>
            </w:tcBorders>
            <w:shd w:val="clear" w:color="auto" w:fill="auto"/>
            <w:vAlign w:val="center"/>
            <w:hideMark/>
          </w:tcPr>
          <w:p w14:paraId="0C237993" w14:textId="77777777" w:rsidR="00333C07" w:rsidRPr="00333C07" w:rsidRDefault="00333C07" w:rsidP="00333C07">
            <w:pPr>
              <w:rPr>
                <w:rFonts w:cs="Arial"/>
                <w:color w:val="000000"/>
                <w:sz w:val="20"/>
                <w:szCs w:val="20"/>
                <w:lang w:val="en-US" w:eastAsia="en-US"/>
              </w:rPr>
            </w:pPr>
            <w:r w:rsidRPr="00333C07">
              <w:rPr>
                <w:rFonts w:cs="Arial"/>
                <w:color w:val="000000"/>
                <w:sz w:val="20"/>
                <w:szCs w:val="20"/>
                <w:lang w:val="en-US" w:eastAsia="en-US"/>
              </w:rPr>
              <w:t>Cost of counselling</w:t>
            </w:r>
          </w:p>
        </w:tc>
        <w:tc>
          <w:tcPr>
            <w:tcW w:w="1417" w:type="dxa"/>
            <w:tcBorders>
              <w:top w:val="nil"/>
              <w:left w:val="nil"/>
              <w:bottom w:val="single" w:sz="8" w:space="0" w:color="auto"/>
              <w:right w:val="single" w:sz="4" w:space="0" w:color="auto"/>
            </w:tcBorders>
            <w:shd w:val="clear" w:color="auto" w:fill="auto"/>
            <w:vAlign w:val="center"/>
            <w:hideMark/>
          </w:tcPr>
          <w:p w14:paraId="47FBAF94" w14:textId="77777777" w:rsidR="00333C07" w:rsidRPr="00333C07" w:rsidRDefault="004B4A8E" w:rsidP="00333C07">
            <w:pPr>
              <w:rPr>
                <w:rFonts w:cs="Arial"/>
                <w:color w:val="000000"/>
                <w:sz w:val="16"/>
                <w:szCs w:val="16"/>
                <w:lang w:val="en-US" w:eastAsia="en-US"/>
              </w:rPr>
            </w:pPr>
            <w:r w:rsidRPr="004B4A8E">
              <w:rPr>
                <w:rFonts w:cs="Arial"/>
                <w:color w:val="000000"/>
                <w:sz w:val="16"/>
                <w:szCs w:val="16"/>
                <w:lang w:val="en-US" w:eastAsia="en-US"/>
              </w:rPr>
              <w:fldChar w:fldCharType="begin"/>
            </w:r>
            <w:r w:rsidRPr="004B4A8E">
              <w:rPr>
                <w:rFonts w:cs="Arial"/>
                <w:color w:val="000000"/>
                <w:sz w:val="16"/>
                <w:szCs w:val="16"/>
                <w:lang w:val="en-US" w:eastAsia="en-US"/>
              </w:rPr>
              <w:instrText xml:space="preserve"> REF _Ref334453724 \h </w:instrText>
            </w:r>
            <w:r>
              <w:rPr>
                <w:rFonts w:cs="Arial"/>
                <w:color w:val="000000"/>
                <w:sz w:val="16"/>
                <w:szCs w:val="16"/>
                <w:lang w:val="en-US" w:eastAsia="en-US"/>
              </w:rPr>
              <w:instrText xml:space="preserve"> \* MERGEFORMAT </w:instrText>
            </w:r>
            <w:r w:rsidRPr="004B4A8E">
              <w:rPr>
                <w:rFonts w:cs="Arial"/>
                <w:color w:val="000000"/>
                <w:sz w:val="16"/>
                <w:szCs w:val="16"/>
                <w:lang w:val="en-US" w:eastAsia="en-US"/>
              </w:rPr>
            </w:r>
            <w:r w:rsidRPr="004B4A8E">
              <w:rPr>
                <w:rFonts w:cs="Arial"/>
                <w:color w:val="000000"/>
                <w:sz w:val="16"/>
                <w:szCs w:val="16"/>
                <w:lang w:val="en-US" w:eastAsia="en-US"/>
              </w:rPr>
              <w:fldChar w:fldCharType="separate"/>
            </w:r>
            <w:r w:rsidR="00016592" w:rsidRPr="00016592">
              <w:rPr>
                <w:rFonts w:cs="Arial"/>
                <w:sz w:val="16"/>
                <w:szCs w:val="16"/>
                <w:lang w:val="x-none"/>
              </w:rPr>
              <w:t>Table 62</w:t>
            </w:r>
            <w:r w:rsidRPr="004B4A8E">
              <w:rPr>
                <w:rFonts w:cs="Arial"/>
                <w:color w:val="000000"/>
                <w:sz w:val="16"/>
                <w:szCs w:val="16"/>
                <w:lang w:val="en-US" w:eastAsia="en-US"/>
              </w:rPr>
              <w:fldChar w:fldCharType="end"/>
            </w:r>
            <w:r w:rsidR="00333C07" w:rsidRPr="00333C07">
              <w:rPr>
                <w:rFonts w:cs="Arial"/>
                <w:color w:val="000000"/>
                <w:sz w:val="16"/>
                <w:szCs w:val="16"/>
                <w:lang w:val="en-US" w:eastAsia="en-US"/>
              </w:rPr>
              <w:t>, row L x AUD 126,75</w:t>
            </w:r>
          </w:p>
        </w:tc>
        <w:tc>
          <w:tcPr>
            <w:tcW w:w="1755" w:type="dxa"/>
            <w:tcBorders>
              <w:top w:val="single" w:sz="4" w:space="0" w:color="auto"/>
              <w:left w:val="nil"/>
              <w:bottom w:val="single" w:sz="8" w:space="0" w:color="auto"/>
              <w:right w:val="single" w:sz="4" w:space="0" w:color="auto"/>
            </w:tcBorders>
            <w:shd w:val="clear" w:color="auto" w:fill="auto"/>
            <w:noWrap/>
            <w:vAlign w:val="center"/>
            <w:hideMark/>
          </w:tcPr>
          <w:p w14:paraId="1D8B9CEE" w14:textId="77777777" w:rsidR="00333C07" w:rsidRPr="00333C07" w:rsidRDefault="00333C07" w:rsidP="00333C07">
            <w:pPr>
              <w:rPr>
                <w:rFonts w:cs="Arial"/>
                <w:color w:val="000000"/>
                <w:sz w:val="16"/>
                <w:szCs w:val="16"/>
                <w:lang w:val="en-US" w:eastAsia="en-US"/>
              </w:rPr>
            </w:pPr>
            <w:r w:rsidRPr="00333C07">
              <w:rPr>
                <w:rFonts w:cs="Arial"/>
                <w:color w:val="000000"/>
                <w:sz w:val="16"/>
                <w:szCs w:val="16"/>
                <w:lang w:val="en-US" w:eastAsia="en-US"/>
              </w:rPr>
              <w:t xml:space="preserve"> AUD              8.999 </w:t>
            </w:r>
          </w:p>
        </w:tc>
        <w:tc>
          <w:tcPr>
            <w:tcW w:w="1755" w:type="dxa"/>
            <w:tcBorders>
              <w:top w:val="single" w:sz="4" w:space="0" w:color="auto"/>
              <w:left w:val="nil"/>
              <w:bottom w:val="single" w:sz="8" w:space="0" w:color="auto"/>
              <w:right w:val="single" w:sz="4" w:space="0" w:color="auto"/>
            </w:tcBorders>
            <w:shd w:val="clear" w:color="auto" w:fill="auto"/>
            <w:noWrap/>
            <w:vAlign w:val="center"/>
            <w:hideMark/>
          </w:tcPr>
          <w:p w14:paraId="101019F9" w14:textId="77777777" w:rsidR="00333C07" w:rsidRPr="00333C07" w:rsidRDefault="00333C07" w:rsidP="00333C07">
            <w:pPr>
              <w:rPr>
                <w:rFonts w:cs="Arial"/>
                <w:color w:val="000000"/>
                <w:sz w:val="16"/>
                <w:szCs w:val="16"/>
                <w:lang w:val="en-US" w:eastAsia="en-US"/>
              </w:rPr>
            </w:pPr>
            <w:r w:rsidRPr="00333C07">
              <w:rPr>
                <w:rFonts w:cs="Arial"/>
                <w:color w:val="000000"/>
                <w:sz w:val="16"/>
                <w:szCs w:val="16"/>
                <w:lang w:val="en-US" w:eastAsia="en-US"/>
              </w:rPr>
              <w:t xml:space="preserve"> AUD              9.126 </w:t>
            </w:r>
          </w:p>
        </w:tc>
        <w:tc>
          <w:tcPr>
            <w:tcW w:w="1755" w:type="dxa"/>
            <w:tcBorders>
              <w:top w:val="single" w:sz="4" w:space="0" w:color="auto"/>
              <w:left w:val="nil"/>
              <w:bottom w:val="single" w:sz="8" w:space="0" w:color="auto"/>
              <w:right w:val="single" w:sz="4" w:space="0" w:color="auto"/>
            </w:tcBorders>
            <w:shd w:val="clear" w:color="auto" w:fill="auto"/>
            <w:noWrap/>
            <w:vAlign w:val="center"/>
            <w:hideMark/>
          </w:tcPr>
          <w:p w14:paraId="54C1322F" w14:textId="77777777" w:rsidR="00333C07" w:rsidRPr="00333C07" w:rsidRDefault="00333C07" w:rsidP="00333C07">
            <w:pPr>
              <w:rPr>
                <w:rFonts w:cs="Arial"/>
                <w:color w:val="000000"/>
                <w:sz w:val="16"/>
                <w:szCs w:val="16"/>
                <w:lang w:val="en-US" w:eastAsia="en-US"/>
              </w:rPr>
            </w:pPr>
            <w:r w:rsidRPr="00333C07">
              <w:rPr>
                <w:rFonts w:cs="Arial"/>
                <w:color w:val="000000"/>
                <w:sz w:val="16"/>
                <w:szCs w:val="16"/>
                <w:lang w:val="en-US" w:eastAsia="en-US"/>
              </w:rPr>
              <w:t xml:space="preserve"> AUD              9.380 </w:t>
            </w:r>
          </w:p>
        </w:tc>
        <w:tc>
          <w:tcPr>
            <w:tcW w:w="1755" w:type="dxa"/>
            <w:tcBorders>
              <w:top w:val="single" w:sz="4" w:space="0" w:color="auto"/>
              <w:left w:val="nil"/>
              <w:bottom w:val="single" w:sz="8" w:space="0" w:color="auto"/>
              <w:right w:val="single" w:sz="4" w:space="0" w:color="auto"/>
            </w:tcBorders>
            <w:shd w:val="clear" w:color="auto" w:fill="auto"/>
            <w:noWrap/>
            <w:vAlign w:val="center"/>
            <w:hideMark/>
          </w:tcPr>
          <w:p w14:paraId="12AF0EEB" w14:textId="77777777" w:rsidR="00333C07" w:rsidRPr="00333C07" w:rsidRDefault="00333C07" w:rsidP="00333C07">
            <w:pPr>
              <w:rPr>
                <w:rFonts w:cs="Arial"/>
                <w:color w:val="000000"/>
                <w:sz w:val="16"/>
                <w:szCs w:val="16"/>
                <w:lang w:val="en-US" w:eastAsia="en-US"/>
              </w:rPr>
            </w:pPr>
            <w:r w:rsidRPr="00333C07">
              <w:rPr>
                <w:rFonts w:cs="Arial"/>
                <w:color w:val="000000"/>
                <w:sz w:val="16"/>
                <w:szCs w:val="16"/>
                <w:lang w:val="en-US" w:eastAsia="en-US"/>
              </w:rPr>
              <w:t xml:space="preserve"> AUD              9.506 </w:t>
            </w:r>
          </w:p>
        </w:tc>
        <w:tc>
          <w:tcPr>
            <w:tcW w:w="1755" w:type="dxa"/>
            <w:tcBorders>
              <w:top w:val="single" w:sz="4" w:space="0" w:color="auto"/>
              <w:left w:val="nil"/>
              <w:bottom w:val="single" w:sz="8" w:space="0" w:color="auto"/>
              <w:right w:val="single" w:sz="4" w:space="0" w:color="auto"/>
            </w:tcBorders>
            <w:shd w:val="clear" w:color="auto" w:fill="auto"/>
            <w:noWrap/>
            <w:vAlign w:val="center"/>
            <w:hideMark/>
          </w:tcPr>
          <w:p w14:paraId="60DBF8AE" w14:textId="77777777" w:rsidR="00333C07" w:rsidRPr="00333C07" w:rsidRDefault="00333C07" w:rsidP="00333C07">
            <w:pPr>
              <w:rPr>
                <w:rFonts w:cs="Arial"/>
                <w:color w:val="000000"/>
                <w:sz w:val="16"/>
                <w:szCs w:val="16"/>
                <w:lang w:val="en-US" w:eastAsia="en-US"/>
              </w:rPr>
            </w:pPr>
            <w:r w:rsidRPr="00333C07">
              <w:rPr>
                <w:rFonts w:cs="Arial"/>
                <w:color w:val="000000"/>
                <w:sz w:val="16"/>
                <w:szCs w:val="16"/>
                <w:lang w:val="en-US" w:eastAsia="en-US"/>
              </w:rPr>
              <w:t xml:space="preserve"> AUD              9.633 </w:t>
            </w:r>
          </w:p>
        </w:tc>
        <w:tc>
          <w:tcPr>
            <w:tcW w:w="1533" w:type="dxa"/>
            <w:tcBorders>
              <w:top w:val="single" w:sz="4" w:space="0" w:color="auto"/>
              <w:left w:val="nil"/>
              <w:bottom w:val="single" w:sz="8" w:space="0" w:color="auto"/>
              <w:right w:val="single" w:sz="8" w:space="0" w:color="auto"/>
            </w:tcBorders>
            <w:shd w:val="clear" w:color="auto" w:fill="auto"/>
            <w:noWrap/>
            <w:vAlign w:val="center"/>
            <w:hideMark/>
          </w:tcPr>
          <w:p w14:paraId="71E00499" w14:textId="77777777" w:rsidR="00333C07" w:rsidRPr="00333C07" w:rsidRDefault="00333C07" w:rsidP="00333C07">
            <w:pPr>
              <w:rPr>
                <w:rFonts w:cs="Arial"/>
                <w:color w:val="000000"/>
                <w:sz w:val="16"/>
                <w:szCs w:val="16"/>
                <w:lang w:val="en-US" w:eastAsia="en-US"/>
              </w:rPr>
            </w:pPr>
            <w:r w:rsidRPr="00333C07">
              <w:rPr>
                <w:rFonts w:cs="Arial"/>
                <w:color w:val="000000"/>
                <w:sz w:val="16"/>
                <w:szCs w:val="16"/>
                <w:lang w:val="en-US" w:eastAsia="en-US"/>
              </w:rPr>
              <w:t xml:space="preserve"> AUD         9.760 </w:t>
            </w:r>
          </w:p>
        </w:tc>
      </w:tr>
      <w:tr w:rsidR="00333C07" w:rsidRPr="00333C07" w14:paraId="18C34D54" w14:textId="77777777" w:rsidTr="003B1DCD">
        <w:trPr>
          <w:trHeight w:val="465"/>
          <w:jc w:val="center"/>
        </w:trPr>
        <w:tc>
          <w:tcPr>
            <w:tcW w:w="62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27FA1BD" w14:textId="77777777" w:rsidR="00333C07" w:rsidRPr="00333C07" w:rsidRDefault="00333C07" w:rsidP="00333C07">
            <w:pPr>
              <w:rPr>
                <w:rFonts w:cs="Arial"/>
                <w:b/>
                <w:bCs/>
                <w:color w:val="000000"/>
                <w:sz w:val="20"/>
                <w:szCs w:val="20"/>
                <w:lang w:val="en-US" w:eastAsia="en-US"/>
              </w:rPr>
            </w:pPr>
            <w:r w:rsidRPr="00333C07">
              <w:rPr>
                <w:rFonts w:cs="Arial"/>
                <w:b/>
                <w:bCs/>
                <w:color w:val="000000"/>
                <w:sz w:val="20"/>
                <w:szCs w:val="20"/>
                <w:lang w:val="en-US" w:eastAsia="en-US"/>
              </w:rPr>
              <w:t>BB</w:t>
            </w:r>
          </w:p>
        </w:tc>
        <w:tc>
          <w:tcPr>
            <w:tcW w:w="1939" w:type="dxa"/>
            <w:tcBorders>
              <w:top w:val="single" w:sz="4" w:space="0" w:color="auto"/>
              <w:left w:val="nil"/>
              <w:bottom w:val="single" w:sz="4" w:space="0" w:color="auto"/>
              <w:right w:val="single" w:sz="4" w:space="0" w:color="auto"/>
            </w:tcBorders>
            <w:shd w:val="clear" w:color="auto" w:fill="auto"/>
            <w:vAlign w:val="center"/>
            <w:hideMark/>
          </w:tcPr>
          <w:p w14:paraId="456C9BA3" w14:textId="77777777" w:rsidR="00333C07" w:rsidRPr="00333C07" w:rsidRDefault="00333C07" w:rsidP="00333C07">
            <w:pPr>
              <w:rPr>
                <w:rFonts w:cs="Arial"/>
                <w:color w:val="000000"/>
                <w:sz w:val="20"/>
                <w:szCs w:val="20"/>
                <w:lang w:val="en-US" w:eastAsia="en-US"/>
              </w:rPr>
            </w:pPr>
            <w:r w:rsidRPr="00333C07">
              <w:rPr>
                <w:rFonts w:cs="Arial"/>
                <w:color w:val="000000"/>
                <w:sz w:val="20"/>
                <w:szCs w:val="20"/>
                <w:lang w:val="en-US" w:eastAsia="en-US"/>
              </w:rPr>
              <w:t>Cost of batteries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29B9D18" w14:textId="77777777" w:rsidR="00333C07" w:rsidRPr="00333C07" w:rsidRDefault="004B4A8E" w:rsidP="00333C07">
            <w:pPr>
              <w:rPr>
                <w:rFonts w:cs="Arial"/>
                <w:color w:val="000000"/>
                <w:sz w:val="16"/>
                <w:szCs w:val="16"/>
                <w:lang w:val="en-US" w:eastAsia="en-US"/>
              </w:rPr>
            </w:pPr>
            <w:r w:rsidRPr="004B4A8E">
              <w:rPr>
                <w:rFonts w:cs="Arial"/>
                <w:color w:val="000000"/>
                <w:sz w:val="16"/>
                <w:szCs w:val="16"/>
                <w:lang w:val="en-US" w:eastAsia="en-US"/>
              </w:rPr>
              <w:fldChar w:fldCharType="begin"/>
            </w:r>
            <w:r w:rsidRPr="004B4A8E">
              <w:rPr>
                <w:rFonts w:cs="Arial"/>
                <w:color w:val="000000"/>
                <w:sz w:val="16"/>
                <w:szCs w:val="16"/>
                <w:lang w:val="en-US" w:eastAsia="en-US"/>
              </w:rPr>
              <w:instrText xml:space="preserve"> REF _Ref334453724 \h </w:instrText>
            </w:r>
            <w:r>
              <w:rPr>
                <w:rFonts w:cs="Arial"/>
                <w:color w:val="000000"/>
                <w:sz w:val="16"/>
                <w:szCs w:val="16"/>
                <w:lang w:val="en-US" w:eastAsia="en-US"/>
              </w:rPr>
              <w:instrText xml:space="preserve"> \* MERGEFORMAT </w:instrText>
            </w:r>
            <w:r w:rsidRPr="004B4A8E">
              <w:rPr>
                <w:rFonts w:cs="Arial"/>
                <w:color w:val="000000"/>
                <w:sz w:val="16"/>
                <w:szCs w:val="16"/>
                <w:lang w:val="en-US" w:eastAsia="en-US"/>
              </w:rPr>
            </w:r>
            <w:r w:rsidRPr="004B4A8E">
              <w:rPr>
                <w:rFonts w:cs="Arial"/>
                <w:color w:val="000000"/>
                <w:sz w:val="16"/>
                <w:szCs w:val="16"/>
                <w:lang w:val="en-US" w:eastAsia="en-US"/>
              </w:rPr>
              <w:fldChar w:fldCharType="separate"/>
            </w:r>
            <w:r w:rsidR="00016592" w:rsidRPr="00016592">
              <w:rPr>
                <w:rFonts w:cs="Arial"/>
                <w:sz w:val="16"/>
                <w:szCs w:val="16"/>
                <w:lang w:val="x-none"/>
              </w:rPr>
              <w:t>Table 62</w:t>
            </w:r>
            <w:r w:rsidRPr="004B4A8E">
              <w:rPr>
                <w:rFonts w:cs="Arial"/>
                <w:color w:val="000000"/>
                <w:sz w:val="16"/>
                <w:szCs w:val="16"/>
                <w:lang w:val="en-US" w:eastAsia="en-US"/>
              </w:rPr>
              <w:fldChar w:fldCharType="end"/>
            </w:r>
            <w:r w:rsidR="00333C07" w:rsidRPr="00333C07">
              <w:rPr>
                <w:rFonts w:cs="Arial"/>
                <w:color w:val="000000"/>
                <w:sz w:val="16"/>
                <w:szCs w:val="16"/>
                <w:lang w:val="en-US" w:eastAsia="en-US"/>
              </w:rPr>
              <w:t>, row L x AUD 52</w:t>
            </w:r>
          </w:p>
        </w:tc>
        <w:tc>
          <w:tcPr>
            <w:tcW w:w="1755" w:type="dxa"/>
            <w:tcBorders>
              <w:top w:val="single" w:sz="4" w:space="0" w:color="auto"/>
              <w:left w:val="nil"/>
              <w:bottom w:val="single" w:sz="8" w:space="0" w:color="auto"/>
              <w:right w:val="single" w:sz="4" w:space="0" w:color="auto"/>
            </w:tcBorders>
            <w:shd w:val="clear" w:color="auto" w:fill="auto"/>
            <w:noWrap/>
            <w:vAlign w:val="center"/>
            <w:hideMark/>
          </w:tcPr>
          <w:p w14:paraId="56E69C9A" w14:textId="77777777" w:rsidR="00333C07" w:rsidRPr="00333C07" w:rsidRDefault="00333C07" w:rsidP="00333C07">
            <w:pPr>
              <w:rPr>
                <w:rFonts w:cs="Arial"/>
                <w:color w:val="000000"/>
                <w:sz w:val="16"/>
                <w:szCs w:val="16"/>
                <w:lang w:val="en-US" w:eastAsia="en-US"/>
              </w:rPr>
            </w:pPr>
            <w:r w:rsidRPr="00333C07">
              <w:rPr>
                <w:rFonts w:cs="Arial"/>
                <w:color w:val="000000"/>
                <w:sz w:val="16"/>
                <w:szCs w:val="16"/>
                <w:lang w:val="en-US" w:eastAsia="en-US"/>
              </w:rPr>
              <w:t xml:space="preserve"> AUD              3.692 </w:t>
            </w:r>
          </w:p>
        </w:tc>
        <w:tc>
          <w:tcPr>
            <w:tcW w:w="1755" w:type="dxa"/>
            <w:tcBorders>
              <w:top w:val="single" w:sz="4" w:space="0" w:color="auto"/>
              <w:left w:val="nil"/>
              <w:bottom w:val="single" w:sz="8" w:space="0" w:color="auto"/>
              <w:right w:val="single" w:sz="4" w:space="0" w:color="auto"/>
            </w:tcBorders>
            <w:shd w:val="clear" w:color="auto" w:fill="auto"/>
            <w:noWrap/>
            <w:vAlign w:val="center"/>
            <w:hideMark/>
          </w:tcPr>
          <w:p w14:paraId="68129596" w14:textId="77777777" w:rsidR="00333C07" w:rsidRPr="00333C07" w:rsidRDefault="00333C07" w:rsidP="00333C07">
            <w:pPr>
              <w:rPr>
                <w:rFonts w:cs="Arial"/>
                <w:color w:val="000000"/>
                <w:sz w:val="16"/>
                <w:szCs w:val="16"/>
                <w:lang w:val="en-US" w:eastAsia="en-US"/>
              </w:rPr>
            </w:pPr>
            <w:r w:rsidRPr="00333C07">
              <w:rPr>
                <w:rFonts w:cs="Arial"/>
                <w:color w:val="000000"/>
                <w:sz w:val="16"/>
                <w:szCs w:val="16"/>
                <w:lang w:val="en-US" w:eastAsia="en-US"/>
              </w:rPr>
              <w:t xml:space="preserve"> AUD              3.744 </w:t>
            </w:r>
          </w:p>
        </w:tc>
        <w:tc>
          <w:tcPr>
            <w:tcW w:w="1755" w:type="dxa"/>
            <w:tcBorders>
              <w:top w:val="single" w:sz="4" w:space="0" w:color="auto"/>
              <w:left w:val="nil"/>
              <w:bottom w:val="single" w:sz="8" w:space="0" w:color="auto"/>
              <w:right w:val="single" w:sz="4" w:space="0" w:color="auto"/>
            </w:tcBorders>
            <w:shd w:val="clear" w:color="auto" w:fill="auto"/>
            <w:noWrap/>
            <w:vAlign w:val="center"/>
            <w:hideMark/>
          </w:tcPr>
          <w:p w14:paraId="2C018CEF" w14:textId="77777777" w:rsidR="00333C07" w:rsidRPr="00333C07" w:rsidRDefault="00333C07" w:rsidP="00333C07">
            <w:pPr>
              <w:rPr>
                <w:rFonts w:cs="Arial"/>
                <w:color w:val="000000"/>
                <w:sz w:val="16"/>
                <w:szCs w:val="16"/>
                <w:lang w:val="en-US" w:eastAsia="en-US"/>
              </w:rPr>
            </w:pPr>
            <w:r w:rsidRPr="00333C07">
              <w:rPr>
                <w:rFonts w:cs="Arial"/>
                <w:color w:val="000000"/>
                <w:sz w:val="16"/>
                <w:szCs w:val="16"/>
                <w:lang w:val="en-US" w:eastAsia="en-US"/>
              </w:rPr>
              <w:t xml:space="preserve"> AUD              3.848 </w:t>
            </w:r>
          </w:p>
        </w:tc>
        <w:tc>
          <w:tcPr>
            <w:tcW w:w="1755" w:type="dxa"/>
            <w:tcBorders>
              <w:top w:val="single" w:sz="4" w:space="0" w:color="auto"/>
              <w:left w:val="nil"/>
              <w:bottom w:val="single" w:sz="8" w:space="0" w:color="auto"/>
              <w:right w:val="single" w:sz="4" w:space="0" w:color="auto"/>
            </w:tcBorders>
            <w:shd w:val="clear" w:color="auto" w:fill="auto"/>
            <w:noWrap/>
            <w:vAlign w:val="center"/>
            <w:hideMark/>
          </w:tcPr>
          <w:p w14:paraId="528886D0" w14:textId="77777777" w:rsidR="00333C07" w:rsidRPr="00333C07" w:rsidRDefault="00333C07" w:rsidP="00333C07">
            <w:pPr>
              <w:rPr>
                <w:rFonts w:cs="Arial"/>
                <w:color w:val="000000"/>
                <w:sz w:val="16"/>
                <w:szCs w:val="16"/>
                <w:lang w:val="en-US" w:eastAsia="en-US"/>
              </w:rPr>
            </w:pPr>
            <w:r w:rsidRPr="00333C07">
              <w:rPr>
                <w:rFonts w:cs="Arial"/>
                <w:color w:val="000000"/>
                <w:sz w:val="16"/>
                <w:szCs w:val="16"/>
                <w:lang w:val="en-US" w:eastAsia="en-US"/>
              </w:rPr>
              <w:t xml:space="preserve"> AUD              3.900 </w:t>
            </w:r>
          </w:p>
        </w:tc>
        <w:tc>
          <w:tcPr>
            <w:tcW w:w="1755" w:type="dxa"/>
            <w:tcBorders>
              <w:top w:val="single" w:sz="4" w:space="0" w:color="auto"/>
              <w:left w:val="nil"/>
              <w:bottom w:val="single" w:sz="8" w:space="0" w:color="auto"/>
              <w:right w:val="single" w:sz="4" w:space="0" w:color="auto"/>
            </w:tcBorders>
            <w:shd w:val="clear" w:color="auto" w:fill="auto"/>
            <w:noWrap/>
            <w:vAlign w:val="center"/>
            <w:hideMark/>
          </w:tcPr>
          <w:p w14:paraId="5AA8B92B" w14:textId="77777777" w:rsidR="00333C07" w:rsidRPr="00333C07" w:rsidRDefault="00333C07" w:rsidP="00333C07">
            <w:pPr>
              <w:rPr>
                <w:rFonts w:cs="Arial"/>
                <w:color w:val="000000"/>
                <w:sz w:val="16"/>
                <w:szCs w:val="16"/>
                <w:lang w:val="en-US" w:eastAsia="en-US"/>
              </w:rPr>
            </w:pPr>
            <w:r w:rsidRPr="00333C07">
              <w:rPr>
                <w:rFonts w:cs="Arial"/>
                <w:color w:val="000000"/>
                <w:sz w:val="16"/>
                <w:szCs w:val="16"/>
                <w:lang w:val="en-US" w:eastAsia="en-US"/>
              </w:rPr>
              <w:t xml:space="preserve"> AUD              3.952 </w:t>
            </w:r>
          </w:p>
        </w:tc>
        <w:tc>
          <w:tcPr>
            <w:tcW w:w="1533" w:type="dxa"/>
            <w:tcBorders>
              <w:top w:val="single" w:sz="4" w:space="0" w:color="auto"/>
              <w:left w:val="nil"/>
              <w:bottom w:val="single" w:sz="8" w:space="0" w:color="auto"/>
              <w:right w:val="single" w:sz="8" w:space="0" w:color="auto"/>
            </w:tcBorders>
            <w:shd w:val="clear" w:color="auto" w:fill="auto"/>
            <w:noWrap/>
            <w:vAlign w:val="center"/>
            <w:hideMark/>
          </w:tcPr>
          <w:p w14:paraId="15D49E22" w14:textId="77777777" w:rsidR="00333C07" w:rsidRPr="00333C07" w:rsidRDefault="00333C07" w:rsidP="00333C07">
            <w:pPr>
              <w:rPr>
                <w:rFonts w:cs="Arial"/>
                <w:color w:val="000000"/>
                <w:sz w:val="16"/>
                <w:szCs w:val="16"/>
                <w:lang w:val="en-US" w:eastAsia="en-US"/>
              </w:rPr>
            </w:pPr>
            <w:r w:rsidRPr="00333C07">
              <w:rPr>
                <w:rFonts w:cs="Arial"/>
                <w:color w:val="000000"/>
                <w:sz w:val="16"/>
                <w:szCs w:val="16"/>
                <w:lang w:val="en-US" w:eastAsia="en-US"/>
              </w:rPr>
              <w:t xml:space="preserve"> AUD         4.004 </w:t>
            </w:r>
          </w:p>
        </w:tc>
      </w:tr>
      <w:tr w:rsidR="00333C07" w:rsidRPr="00333C07" w14:paraId="0FC1F9F0" w14:textId="77777777" w:rsidTr="003B1DCD">
        <w:trPr>
          <w:trHeight w:val="525"/>
          <w:jc w:val="center"/>
        </w:trPr>
        <w:tc>
          <w:tcPr>
            <w:tcW w:w="628" w:type="dxa"/>
            <w:tcBorders>
              <w:top w:val="nil"/>
              <w:left w:val="single" w:sz="8" w:space="0" w:color="auto"/>
              <w:bottom w:val="single" w:sz="8" w:space="0" w:color="auto"/>
              <w:right w:val="single" w:sz="4" w:space="0" w:color="auto"/>
            </w:tcBorders>
            <w:shd w:val="clear" w:color="auto" w:fill="auto"/>
            <w:noWrap/>
            <w:vAlign w:val="center"/>
            <w:hideMark/>
          </w:tcPr>
          <w:p w14:paraId="177A543A" w14:textId="77777777" w:rsidR="00333C07" w:rsidRPr="00333C07" w:rsidRDefault="00333C07" w:rsidP="00333C07">
            <w:pPr>
              <w:rPr>
                <w:rFonts w:cs="Arial"/>
                <w:b/>
                <w:bCs/>
                <w:color w:val="000000"/>
                <w:sz w:val="20"/>
                <w:szCs w:val="20"/>
                <w:lang w:val="en-US" w:eastAsia="en-US"/>
              </w:rPr>
            </w:pPr>
            <w:r w:rsidRPr="00333C07">
              <w:rPr>
                <w:rFonts w:cs="Arial"/>
                <w:b/>
                <w:bCs/>
                <w:color w:val="000000"/>
                <w:sz w:val="20"/>
                <w:szCs w:val="20"/>
                <w:lang w:val="en-US" w:eastAsia="en-US"/>
              </w:rPr>
              <w:t>BC</w:t>
            </w:r>
          </w:p>
        </w:tc>
        <w:tc>
          <w:tcPr>
            <w:tcW w:w="1939" w:type="dxa"/>
            <w:tcBorders>
              <w:top w:val="nil"/>
              <w:left w:val="nil"/>
              <w:bottom w:val="single" w:sz="8" w:space="0" w:color="auto"/>
              <w:right w:val="single" w:sz="4" w:space="0" w:color="auto"/>
            </w:tcBorders>
            <w:shd w:val="clear" w:color="auto" w:fill="auto"/>
            <w:vAlign w:val="center"/>
            <w:hideMark/>
          </w:tcPr>
          <w:p w14:paraId="4AFDFE33" w14:textId="77777777" w:rsidR="00333C07" w:rsidRPr="00333C07" w:rsidRDefault="00333C07" w:rsidP="00333C07">
            <w:pPr>
              <w:rPr>
                <w:rFonts w:cs="Arial"/>
                <w:color w:val="000000"/>
                <w:sz w:val="20"/>
                <w:szCs w:val="20"/>
                <w:lang w:val="en-US" w:eastAsia="en-US"/>
              </w:rPr>
            </w:pPr>
            <w:r w:rsidRPr="00333C07">
              <w:rPr>
                <w:rFonts w:cs="Arial"/>
                <w:color w:val="000000"/>
                <w:sz w:val="20"/>
                <w:szCs w:val="20"/>
                <w:lang w:val="en-US" w:eastAsia="en-US"/>
              </w:rPr>
              <w:t xml:space="preserve">Cost of re-implantation - other services </w:t>
            </w:r>
          </w:p>
        </w:tc>
        <w:tc>
          <w:tcPr>
            <w:tcW w:w="1417" w:type="dxa"/>
            <w:tcBorders>
              <w:top w:val="nil"/>
              <w:left w:val="nil"/>
              <w:bottom w:val="single" w:sz="8" w:space="0" w:color="auto"/>
              <w:right w:val="single" w:sz="4" w:space="0" w:color="auto"/>
            </w:tcBorders>
            <w:shd w:val="clear" w:color="auto" w:fill="auto"/>
            <w:vAlign w:val="center"/>
            <w:hideMark/>
          </w:tcPr>
          <w:p w14:paraId="0D0DCF29" w14:textId="77777777" w:rsidR="00333C07" w:rsidRPr="00333C07" w:rsidRDefault="00333C07" w:rsidP="00333C07">
            <w:pPr>
              <w:rPr>
                <w:rFonts w:cs="Arial"/>
                <w:color w:val="000000"/>
                <w:sz w:val="16"/>
                <w:szCs w:val="16"/>
                <w:lang w:val="en-US" w:eastAsia="en-US"/>
              </w:rPr>
            </w:pPr>
            <w:r w:rsidRPr="00333C07">
              <w:rPr>
                <w:rFonts w:cs="Arial"/>
                <w:color w:val="000000"/>
                <w:sz w:val="16"/>
                <w:szCs w:val="16"/>
                <w:lang w:val="en-US" w:eastAsia="en-US"/>
              </w:rPr>
              <w:t>(AZ + BA + BB)*0,0272</w:t>
            </w:r>
          </w:p>
        </w:tc>
        <w:tc>
          <w:tcPr>
            <w:tcW w:w="1755" w:type="dxa"/>
            <w:tcBorders>
              <w:top w:val="single" w:sz="4" w:space="0" w:color="auto"/>
              <w:left w:val="nil"/>
              <w:bottom w:val="single" w:sz="8" w:space="0" w:color="auto"/>
              <w:right w:val="single" w:sz="4" w:space="0" w:color="auto"/>
            </w:tcBorders>
            <w:shd w:val="clear" w:color="auto" w:fill="auto"/>
            <w:noWrap/>
            <w:vAlign w:val="center"/>
            <w:hideMark/>
          </w:tcPr>
          <w:p w14:paraId="65D10932" w14:textId="77777777" w:rsidR="00333C07" w:rsidRPr="00333C07" w:rsidRDefault="00333C07" w:rsidP="00333C07">
            <w:pPr>
              <w:rPr>
                <w:rFonts w:cs="Arial"/>
                <w:color w:val="000000"/>
                <w:sz w:val="16"/>
                <w:szCs w:val="16"/>
                <w:lang w:val="en-US" w:eastAsia="en-US"/>
              </w:rPr>
            </w:pPr>
            <w:r w:rsidRPr="00333C07">
              <w:rPr>
                <w:rFonts w:cs="Arial"/>
                <w:color w:val="000000"/>
                <w:sz w:val="16"/>
                <w:szCs w:val="16"/>
                <w:lang w:val="en-US" w:eastAsia="en-US"/>
              </w:rPr>
              <w:t xml:space="preserve"> AUD              1.487 </w:t>
            </w:r>
          </w:p>
        </w:tc>
        <w:tc>
          <w:tcPr>
            <w:tcW w:w="1755" w:type="dxa"/>
            <w:tcBorders>
              <w:top w:val="single" w:sz="4" w:space="0" w:color="auto"/>
              <w:left w:val="nil"/>
              <w:bottom w:val="single" w:sz="8" w:space="0" w:color="auto"/>
              <w:right w:val="single" w:sz="4" w:space="0" w:color="auto"/>
            </w:tcBorders>
            <w:shd w:val="clear" w:color="auto" w:fill="auto"/>
            <w:noWrap/>
            <w:vAlign w:val="center"/>
            <w:hideMark/>
          </w:tcPr>
          <w:p w14:paraId="1F5AB0F0" w14:textId="77777777" w:rsidR="00333C07" w:rsidRPr="00333C07" w:rsidRDefault="00333C07" w:rsidP="00333C07">
            <w:pPr>
              <w:rPr>
                <w:rFonts w:cs="Arial"/>
                <w:color w:val="000000"/>
                <w:sz w:val="16"/>
                <w:szCs w:val="16"/>
                <w:lang w:val="en-US" w:eastAsia="en-US"/>
              </w:rPr>
            </w:pPr>
            <w:r w:rsidRPr="00333C07">
              <w:rPr>
                <w:rFonts w:cs="Arial"/>
                <w:color w:val="000000"/>
                <w:sz w:val="16"/>
                <w:szCs w:val="16"/>
                <w:lang w:val="en-US" w:eastAsia="en-US"/>
              </w:rPr>
              <w:t xml:space="preserve"> AUD              1.507 </w:t>
            </w:r>
          </w:p>
        </w:tc>
        <w:tc>
          <w:tcPr>
            <w:tcW w:w="1755" w:type="dxa"/>
            <w:tcBorders>
              <w:top w:val="single" w:sz="4" w:space="0" w:color="auto"/>
              <w:left w:val="nil"/>
              <w:bottom w:val="single" w:sz="8" w:space="0" w:color="auto"/>
              <w:right w:val="single" w:sz="4" w:space="0" w:color="auto"/>
            </w:tcBorders>
            <w:shd w:val="clear" w:color="auto" w:fill="auto"/>
            <w:noWrap/>
            <w:vAlign w:val="center"/>
            <w:hideMark/>
          </w:tcPr>
          <w:p w14:paraId="75429EA2" w14:textId="77777777" w:rsidR="00333C07" w:rsidRPr="00333C07" w:rsidRDefault="00333C07" w:rsidP="00333C07">
            <w:pPr>
              <w:rPr>
                <w:rFonts w:cs="Arial"/>
                <w:color w:val="000000"/>
                <w:sz w:val="16"/>
                <w:szCs w:val="16"/>
                <w:lang w:val="en-US" w:eastAsia="en-US"/>
              </w:rPr>
            </w:pPr>
            <w:r w:rsidRPr="00333C07">
              <w:rPr>
                <w:rFonts w:cs="Arial"/>
                <w:color w:val="000000"/>
                <w:sz w:val="16"/>
                <w:szCs w:val="16"/>
                <w:lang w:val="en-US" w:eastAsia="en-US"/>
              </w:rPr>
              <w:t xml:space="preserve"> AUD              1.549 </w:t>
            </w:r>
          </w:p>
        </w:tc>
        <w:tc>
          <w:tcPr>
            <w:tcW w:w="1755" w:type="dxa"/>
            <w:tcBorders>
              <w:top w:val="single" w:sz="4" w:space="0" w:color="auto"/>
              <w:left w:val="nil"/>
              <w:bottom w:val="single" w:sz="8" w:space="0" w:color="auto"/>
              <w:right w:val="single" w:sz="4" w:space="0" w:color="auto"/>
            </w:tcBorders>
            <w:shd w:val="clear" w:color="auto" w:fill="auto"/>
            <w:noWrap/>
            <w:vAlign w:val="center"/>
            <w:hideMark/>
          </w:tcPr>
          <w:p w14:paraId="17CC9694" w14:textId="77777777" w:rsidR="00333C07" w:rsidRPr="00333C07" w:rsidRDefault="00333C07" w:rsidP="00333C07">
            <w:pPr>
              <w:rPr>
                <w:rFonts w:cs="Arial"/>
                <w:color w:val="000000"/>
                <w:sz w:val="16"/>
                <w:szCs w:val="16"/>
                <w:lang w:val="en-US" w:eastAsia="en-US"/>
              </w:rPr>
            </w:pPr>
            <w:r w:rsidRPr="00333C07">
              <w:rPr>
                <w:rFonts w:cs="Arial"/>
                <w:color w:val="000000"/>
                <w:sz w:val="16"/>
                <w:szCs w:val="16"/>
                <w:lang w:val="en-US" w:eastAsia="en-US"/>
              </w:rPr>
              <w:t xml:space="preserve"> AUD              1.570 </w:t>
            </w:r>
          </w:p>
        </w:tc>
        <w:tc>
          <w:tcPr>
            <w:tcW w:w="1755" w:type="dxa"/>
            <w:tcBorders>
              <w:top w:val="single" w:sz="4" w:space="0" w:color="auto"/>
              <w:left w:val="nil"/>
              <w:bottom w:val="single" w:sz="8" w:space="0" w:color="auto"/>
              <w:right w:val="single" w:sz="4" w:space="0" w:color="auto"/>
            </w:tcBorders>
            <w:shd w:val="clear" w:color="auto" w:fill="auto"/>
            <w:noWrap/>
            <w:vAlign w:val="center"/>
            <w:hideMark/>
          </w:tcPr>
          <w:p w14:paraId="1EB96AA2" w14:textId="77777777" w:rsidR="00333C07" w:rsidRPr="00333C07" w:rsidRDefault="00333C07" w:rsidP="00333C07">
            <w:pPr>
              <w:rPr>
                <w:rFonts w:cs="Arial"/>
                <w:color w:val="000000"/>
                <w:sz w:val="16"/>
                <w:szCs w:val="16"/>
                <w:lang w:val="en-US" w:eastAsia="en-US"/>
              </w:rPr>
            </w:pPr>
            <w:r w:rsidRPr="00333C07">
              <w:rPr>
                <w:rFonts w:cs="Arial"/>
                <w:color w:val="000000"/>
                <w:sz w:val="16"/>
                <w:szCs w:val="16"/>
                <w:lang w:val="en-US" w:eastAsia="en-US"/>
              </w:rPr>
              <w:t xml:space="preserve"> AUD              1.591 </w:t>
            </w:r>
          </w:p>
        </w:tc>
        <w:tc>
          <w:tcPr>
            <w:tcW w:w="1533" w:type="dxa"/>
            <w:tcBorders>
              <w:top w:val="single" w:sz="4" w:space="0" w:color="auto"/>
              <w:left w:val="nil"/>
              <w:bottom w:val="single" w:sz="8" w:space="0" w:color="auto"/>
              <w:right w:val="single" w:sz="8" w:space="0" w:color="auto"/>
            </w:tcBorders>
            <w:shd w:val="clear" w:color="auto" w:fill="auto"/>
            <w:noWrap/>
            <w:vAlign w:val="center"/>
            <w:hideMark/>
          </w:tcPr>
          <w:p w14:paraId="4A3C8B8A" w14:textId="77777777" w:rsidR="00333C07" w:rsidRPr="00333C07" w:rsidRDefault="00333C07" w:rsidP="00333C07">
            <w:pPr>
              <w:rPr>
                <w:rFonts w:cs="Arial"/>
                <w:color w:val="000000"/>
                <w:sz w:val="16"/>
                <w:szCs w:val="16"/>
                <w:lang w:val="en-US" w:eastAsia="en-US"/>
              </w:rPr>
            </w:pPr>
            <w:r w:rsidRPr="00333C07">
              <w:rPr>
                <w:rFonts w:cs="Arial"/>
                <w:color w:val="000000"/>
                <w:sz w:val="16"/>
                <w:szCs w:val="16"/>
                <w:lang w:val="en-US" w:eastAsia="en-US"/>
              </w:rPr>
              <w:t xml:space="preserve"> AUD         1.612 </w:t>
            </w:r>
          </w:p>
        </w:tc>
      </w:tr>
      <w:tr w:rsidR="00333C07" w:rsidRPr="00333C07" w14:paraId="7DC802E5" w14:textId="77777777" w:rsidTr="003B1DCD">
        <w:trPr>
          <w:trHeight w:val="465"/>
          <w:jc w:val="center"/>
        </w:trPr>
        <w:tc>
          <w:tcPr>
            <w:tcW w:w="62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F9E26A2" w14:textId="77777777" w:rsidR="00333C07" w:rsidRPr="00333C07" w:rsidRDefault="00333C07" w:rsidP="00333C07">
            <w:pPr>
              <w:rPr>
                <w:rFonts w:cs="Arial"/>
                <w:b/>
                <w:bCs/>
                <w:color w:val="000000"/>
                <w:sz w:val="20"/>
                <w:szCs w:val="20"/>
                <w:lang w:val="en-US" w:eastAsia="en-US"/>
              </w:rPr>
            </w:pPr>
            <w:r w:rsidRPr="00333C07">
              <w:rPr>
                <w:rFonts w:cs="Arial"/>
                <w:b/>
                <w:bCs/>
                <w:color w:val="000000"/>
                <w:sz w:val="20"/>
                <w:szCs w:val="20"/>
                <w:lang w:val="en-US" w:eastAsia="en-US"/>
              </w:rPr>
              <w:t>BD</w:t>
            </w:r>
          </w:p>
        </w:tc>
        <w:tc>
          <w:tcPr>
            <w:tcW w:w="1939" w:type="dxa"/>
            <w:tcBorders>
              <w:top w:val="single" w:sz="4" w:space="0" w:color="auto"/>
              <w:left w:val="nil"/>
              <w:bottom w:val="single" w:sz="4" w:space="0" w:color="auto"/>
              <w:right w:val="single" w:sz="4" w:space="0" w:color="auto"/>
            </w:tcBorders>
            <w:shd w:val="clear" w:color="auto" w:fill="auto"/>
            <w:vAlign w:val="center"/>
            <w:hideMark/>
          </w:tcPr>
          <w:p w14:paraId="113CE268" w14:textId="77777777" w:rsidR="00333C07" w:rsidRPr="00333C07" w:rsidRDefault="00333C07" w:rsidP="00333C07">
            <w:pPr>
              <w:rPr>
                <w:rFonts w:cs="Arial"/>
                <w:color w:val="000000"/>
                <w:sz w:val="20"/>
                <w:szCs w:val="20"/>
                <w:lang w:val="en-US" w:eastAsia="en-US"/>
              </w:rPr>
            </w:pPr>
            <w:r w:rsidRPr="00333C07">
              <w:rPr>
                <w:rFonts w:cs="Arial"/>
                <w:color w:val="000000"/>
                <w:sz w:val="20"/>
                <w:szCs w:val="20"/>
                <w:lang w:val="en-US" w:eastAsia="en-US"/>
              </w:rPr>
              <w:t>Cost of VSB</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7C6632E" w14:textId="77777777" w:rsidR="00333C07" w:rsidRPr="00333C07" w:rsidRDefault="004B4A8E" w:rsidP="00333C07">
            <w:pPr>
              <w:rPr>
                <w:rFonts w:cs="Arial"/>
                <w:color w:val="000000"/>
                <w:sz w:val="16"/>
                <w:szCs w:val="16"/>
                <w:lang w:val="en-US" w:eastAsia="en-US"/>
              </w:rPr>
            </w:pPr>
            <w:r w:rsidRPr="004B4A8E">
              <w:rPr>
                <w:rFonts w:cs="Arial"/>
                <w:color w:val="000000"/>
                <w:sz w:val="16"/>
                <w:szCs w:val="16"/>
                <w:lang w:val="en-US" w:eastAsia="en-US"/>
              </w:rPr>
              <w:fldChar w:fldCharType="begin"/>
            </w:r>
            <w:r w:rsidRPr="004B4A8E">
              <w:rPr>
                <w:rFonts w:cs="Arial"/>
                <w:color w:val="000000"/>
                <w:sz w:val="16"/>
                <w:szCs w:val="16"/>
                <w:lang w:val="en-US" w:eastAsia="en-US"/>
              </w:rPr>
              <w:instrText xml:space="preserve"> REF _Ref334453724 \h </w:instrText>
            </w:r>
            <w:r>
              <w:rPr>
                <w:rFonts w:cs="Arial"/>
                <w:color w:val="000000"/>
                <w:sz w:val="16"/>
                <w:szCs w:val="16"/>
                <w:lang w:val="en-US" w:eastAsia="en-US"/>
              </w:rPr>
              <w:instrText xml:space="preserve"> \* MERGEFORMAT </w:instrText>
            </w:r>
            <w:r w:rsidRPr="004B4A8E">
              <w:rPr>
                <w:rFonts w:cs="Arial"/>
                <w:color w:val="000000"/>
                <w:sz w:val="16"/>
                <w:szCs w:val="16"/>
                <w:lang w:val="en-US" w:eastAsia="en-US"/>
              </w:rPr>
            </w:r>
            <w:r w:rsidRPr="004B4A8E">
              <w:rPr>
                <w:rFonts w:cs="Arial"/>
                <w:color w:val="000000"/>
                <w:sz w:val="16"/>
                <w:szCs w:val="16"/>
                <w:lang w:val="en-US" w:eastAsia="en-US"/>
              </w:rPr>
              <w:fldChar w:fldCharType="separate"/>
            </w:r>
            <w:r w:rsidR="00016592" w:rsidRPr="00016592">
              <w:rPr>
                <w:rFonts w:cs="Arial"/>
                <w:sz w:val="16"/>
                <w:szCs w:val="16"/>
                <w:lang w:val="x-none"/>
              </w:rPr>
              <w:t>Table 62</w:t>
            </w:r>
            <w:r w:rsidRPr="004B4A8E">
              <w:rPr>
                <w:rFonts w:cs="Arial"/>
                <w:color w:val="000000"/>
                <w:sz w:val="16"/>
                <w:szCs w:val="16"/>
                <w:lang w:val="en-US" w:eastAsia="en-US"/>
              </w:rPr>
              <w:fldChar w:fldCharType="end"/>
            </w:r>
            <w:r w:rsidR="00333C07" w:rsidRPr="00333C07">
              <w:rPr>
                <w:rFonts w:cs="Arial"/>
                <w:color w:val="000000"/>
                <w:sz w:val="16"/>
                <w:szCs w:val="16"/>
                <w:lang w:val="en-US" w:eastAsia="en-US"/>
              </w:rPr>
              <w:t>, row L x AUD 13970</w:t>
            </w:r>
          </w:p>
        </w:tc>
        <w:tc>
          <w:tcPr>
            <w:tcW w:w="1755" w:type="dxa"/>
            <w:tcBorders>
              <w:top w:val="single" w:sz="4" w:space="0" w:color="auto"/>
              <w:left w:val="nil"/>
              <w:bottom w:val="single" w:sz="8" w:space="0" w:color="auto"/>
              <w:right w:val="single" w:sz="4" w:space="0" w:color="auto"/>
            </w:tcBorders>
            <w:shd w:val="clear" w:color="auto" w:fill="auto"/>
            <w:noWrap/>
            <w:vAlign w:val="center"/>
            <w:hideMark/>
          </w:tcPr>
          <w:p w14:paraId="40D7CCC7" w14:textId="77777777" w:rsidR="00333C07" w:rsidRPr="00333C07" w:rsidRDefault="00333C07" w:rsidP="00333C07">
            <w:pPr>
              <w:rPr>
                <w:rFonts w:cs="Arial"/>
                <w:color w:val="000000"/>
                <w:sz w:val="16"/>
                <w:szCs w:val="16"/>
                <w:lang w:val="en-US" w:eastAsia="en-US"/>
              </w:rPr>
            </w:pPr>
            <w:r w:rsidRPr="00333C07">
              <w:rPr>
                <w:rFonts w:cs="Arial"/>
                <w:color w:val="000000"/>
                <w:sz w:val="16"/>
                <w:szCs w:val="16"/>
                <w:lang w:val="en-US" w:eastAsia="en-US"/>
              </w:rPr>
              <w:t xml:space="preserve"> AUD          991.870 </w:t>
            </w:r>
          </w:p>
        </w:tc>
        <w:tc>
          <w:tcPr>
            <w:tcW w:w="1755" w:type="dxa"/>
            <w:tcBorders>
              <w:top w:val="single" w:sz="4" w:space="0" w:color="auto"/>
              <w:left w:val="nil"/>
              <w:bottom w:val="single" w:sz="8" w:space="0" w:color="auto"/>
              <w:right w:val="single" w:sz="4" w:space="0" w:color="auto"/>
            </w:tcBorders>
            <w:shd w:val="clear" w:color="auto" w:fill="auto"/>
            <w:noWrap/>
            <w:vAlign w:val="center"/>
            <w:hideMark/>
          </w:tcPr>
          <w:p w14:paraId="31D7CBCE" w14:textId="77777777" w:rsidR="00333C07" w:rsidRPr="00333C07" w:rsidRDefault="00333C07" w:rsidP="00333C07">
            <w:pPr>
              <w:rPr>
                <w:rFonts w:cs="Arial"/>
                <w:color w:val="000000"/>
                <w:sz w:val="16"/>
                <w:szCs w:val="16"/>
                <w:lang w:val="en-US" w:eastAsia="en-US"/>
              </w:rPr>
            </w:pPr>
            <w:r w:rsidRPr="00333C07">
              <w:rPr>
                <w:rFonts w:cs="Arial"/>
                <w:color w:val="000000"/>
                <w:sz w:val="16"/>
                <w:szCs w:val="16"/>
                <w:lang w:val="en-US" w:eastAsia="en-US"/>
              </w:rPr>
              <w:t xml:space="preserve"> AUD       1.005.840 </w:t>
            </w:r>
          </w:p>
        </w:tc>
        <w:tc>
          <w:tcPr>
            <w:tcW w:w="1755" w:type="dxa"/>
            <w:tcBorders>
              <w:top w:val="single" w:sz="4" w:space="0" w:color="auto"/>
              <w:left w:val="nil"/>
              <w:bottom w:val="single" w:sz="8" w:space="0" w:color="auto"/>
              <w:right w:val="single" w:sz="4" w:space="0" w:color="auto"/>
            </w:tcBorders>
            <w:shd w:val="clear" w:color="auto" w:fill="auto"/>
            <w:noWrap/>
            <w:vAlign w:val="center"/>
            <w:hideMark/>
          </w:tcPr>
          <w:p w14:paraId="3EB26BB0" w14:textId="77777777" w:rsidR="00333C07" w:rsidRPr="00333C07" w:rsidRDefault="00333C07" w:rsidP="00333C07">
            <w:pPr>
              <w:rPr>
                <w:rFonts w:cs="Arial"/>
                <w:color w:val="000000"/>
                <w:sz w:val="16"/>
                <w:szCs w:val="16"/>
                <w:lang w:val="en-US" w:eastAsia="en-US"/>
              </w:rPr>
            </w:pPr>
            <w:r w:rsidRPr="00333C07">
              <w:rPr>
                <w:rFonts w:cs="Arial"/>
                <w:color w:val="000000"/>
                <w:sz w:val="16"/>
                <w:szCs w:val="16"/>
                <w:lang w:val="en-US" w:eastAsia="en-US"/>
              </w:rPr>
              <w:t xml:space="preserve"> AUD       1.033.780 </w:t>
            </w:r>
          </w:p>
        </w:tc>
        <w:tc>
          <w:tcPr>
            <w:tcW w:w="1755" w:type="dxa"/>
            <w:tcBorders>
              <w:top w:val="single" w:sz="4" w:space="0" w:color="auto"/>
              <w:left w:val="nil"/>
              <w:bottom w:val="single" w:sz="8" w:space="0" w:color="auto"/>
              <w:right w:val="single" w:sz="4" w:space="0" w:color="auto"/>
            </w:tcBorders>
            <w:shd w:val="clear" w:color="auto" w:fill="auto"/>
            <w:noWrap/>
            <w:vAlign w:val="center"/>
            <w:hideMark/>
          </w:tcPr>
          <w:p w14:paraId="5DDA0E36" w14:textId="77777777" w:rsidR="00333C07" w:rsidRPr="00333C07" w:rsidRDefault="00333C07" w:rsidP="00333C07">
            <w:pPr>
              <w:rPr>
                <w:rFonts w:cs="Arial"/>
                <w:color w:val="000000"/>
                <w:sz w:val="16"/>
                <w:szCs w:val="16"/>
                <w:lang w:val="en-US" w:eastAsia="en-US"/>
              </w:rPr>
            </w:pPr>
            <w:r w:rsidRPr="00333C07">
              <w:rPr>
                <w:rFonts w:cs="Arial"/>
                <w:color w:val="000000"/>
                <w:sz w:val="16"/>
                <w:szCs w:val="16"/>
                <w:lang w:val="en-US" w:eastAsia="en-US"/>
              </w:rPr>
              <w:t xml:space="preserve"> AUD       1.047.750 </w:t>
            </w:r>
          </w:p>
        </w:tc>
        <w:tc>
          <w:tcPr>
            <w:tcW w:w="1755" w:type="dxa"/>
            <w:tcBorders>
              <w:top w:val="single" w:sz="4" w:space="0" w:color="auto"/>
              <w:left w:val="nil"/>
              <w:bottom w:val="single" w:sz="8" w:space="0" w:color="auto"/>
              <w:right w:val="single" w:sz="4" w:space="0" w:color="auto"/>
            </w:tcBorders>
            <w:shd w:val="clear" w:color="auto" w:fill="auto"/>
            <w:noWrap/>
            <w:vAlign w:val="center"/>
            <w:hideMark/>
          </w:tcPr>
          <w:p w14:paraId="11600E34" w14:textId="77777777" w:rsidR="00333C07" w:rsidRPr="00333C07" w:rsidRDefault="00333C07" w:rsidP="00333C07">
            <w:pPr>
              <w:rPr>
                <w:rFonts w:cs="Arial"/>
                <w:color w:val="000000"/>
                <w:sz w:val="16"/>
                <w:szCs w:val="16"/>
                <w:lang w:val="en-US" w:eastAsia="en-US"/>
              </w:rPr>
            </w:pPr>
            <w:r w:rsidRPr="00333C07">
              <w:rPr>
                <w:rFonts w:cs="Arial"/>
                <w:color w:val="000000"/>
                <w:sz w:val="16"/>
                <w:szCs w:val="16"/>
                <w:lang w:val="en-US" w:eastAsia="en-US"/>
              </w:rPr>
              <w:t xml:space="preserve"> AUD       1.061.720 </w:t>
            </w:r>
          </w:p>
        </w:tc>
        <w:tc>
          <w:tcPr>
            <w:tcW w:w="1533" w:type="dxa"/>
            <w:tcBorders>
              <w:top w:val="single" w:sz="4" w:space="0" w:color="auto"/>
              <w:left w:val="nil"/>
              <w:bottom w:val="single" w:sz="8" w:space="0" w:color="auto"/>
              <w:right w:val="single" w:sz="8" w:space="0" w:color="auto"/>
            </w:tcBorders>
            <w:shd w:val="clear" w:color="auto" w:fill="auto"/>
            <w:noWrap/>
            <w:vAlign w:val="center"/>
            <w:hideMark/>
          </w:tcPr>
          <w:p w14:paraId="2D0D998A" w14:textId="77777777" w:rsidR="00333C07" w:rsidRPr="00333C07" w:rsidRDefault="00333C07" w:rsidP="00333C07">
            <w:pPr>
              <w:rPr>
                <w:rFonts w:cs="Arial"/>
                <w:color w:val="000000"/>
                <w:sz w:val="16"/>
                <w:szCs w:val="16"/>
                <w:lang w:val="en-US" w:eastAsia="en-US"/>
              </w:rPr>
            </w:pPr>
            <w:r w:rsidRPr="00333C07">
              <w:rPr>
                <w:rFonts w:cs="Arial"/>
                <w:color w:val="000000"/>
                <w:sz w:val="16"/>
                <w:szCs w:val="16"/>
                <w:lang w:val="en-US" w:eastAsia="en-US"/>
              </w:rPr>
              <w:t xml:space="preserve"> AUD  1.075.690 </w:t>
            </w:r>
          </w:p>
        </w:tc>
      </w:tr>
      <w:tr w:rsidR="00AA0A27" w:rsidRPr="00333C07" w14:paraId="4C0C0259" w14:textId="77777777" w:rsidTr="003B1DCD">
        <w:trPr>
          <w:trHeight w:val="525"/>
          <w:jc w:val="center"/>
        </w:trPr>
        <w:tc>
          <w:tcPr>
            <w:tcW w:w="628" w:type="dxa"/>
            <w:tcBorders>
              <w:top w:val="nil"/>
              <w:left w:val="single" w:sz="8" w:space="0" w:color="auto"/>
              <w:bottom w:val="single" w:sz="8" w:space="0" w:color="auto"/>
              <w:right w:val="single" w:sz="4" w:space="0" w:color="auto"/>
            </w:tcBorders>
            <w:shd w:val="clear" w:color="auto" w:fill="auto"/>
            <w:noWrap/>
            <w:vAlign w:val="center"/>
            <w:hideMark/>
          </w:tcPr>
          <w:p w14:paraId="7D23FB22" w14:textId="77777777" w:rsidR="00AA0A27" w:rsidRPr="00333C07" w:rsidRDefault="00AA0A27" w:rsidP="00333C07">
            <w:pPr>
              <w:rPr>
                <w:rFonts w:cs="Arial"/>
                <w:b/>
                <w:bCs/>
                <w:color w:val="000000"/>
                <w:sz w:val="20"/>
                <w:szCs w:val="20"/>
                <w:lang w:val="en-US" w:eastAsia="en-US"/>
              </w:rPr>
            </w:pPr>
            <w:r w:rsidRPr="00333C07">
              <w:rPr>
                <w:rFonts w:cs="Arial"/>
                <w:b/>
                <w:bCs/>
                <w:color w:val="000000"/>
                <w:sz w:val="20"/>
                <w:szCs w:val="20"/>
                <w:lang w:val="en-US" w:eastAsia="en-US"/>
              </w:rPr>
              <w:t>BE</w:t>
            </w:r>
          </w:p>
        </w:tc>
        <w:tc>
          <w:tcPr>
            <w:tcW w:w="1939" w:type="dxa"/>
            <w:tcBorders>
              <w:top w:val="nil"/>
              <w:left w:val="nil"/>
              <w:bottom w:val="single" w:sz="8" w:space="0" w:color="auto"/>
              <w:right w:val="single" w:sz="4" w:space="0" w:color="auto"/>
            </w:tcBorders>
            <w:shd w:val="clear" w:color="auto" w:fill="auto"/>
            <w:vAlign w:val="center"/>
            <w:hideMark/>
          </w:tcPr>
          <w:p w14:paraId="68662F93" w14:textId="6E9AF21C" w:rsidR="00AA0A27" w:rsidRPr="00333C07" w:rsidRDefault="00AA0A27" w:rsidP="00333C07">
            <w:pPr>
              <w:rPr>
                <w:rFonts w:cs="Arial"/>
                <w:color w:val="000000"/>
                <w:sz w:val="20"/>
                <w:szCs w:val="20"/>
                <w:lang w:val="en-US" w:eastAsia="en-US"/>
              </w:rPr>
            </w:pPr>
            <w:r w:rsidRPr="00333C07">
              <w:rPr>
                <w:rFonts w:cs="Arial"/>
                <w:color w:val="000000"/>
                <w:sz w:val="20"/>
                <w:szCs w:val="20"/>
                <w:lang w:val="en-US" w:eastAsia="en-US"/>
              </w:rPr>
              <w:t xml:space="preserve">Cost of VSB </w:t>
            </w:r>
            <w:r>
              <w:rPr>
                <w:rFonts w:cs="Arial"/>
                <w:color w:val="000000"/>
                <w:sz w:val="20"/>
                <w:szCs w:val="20"/>
                <w:lang w:val="en-US" w:eastAsia="en-US"/>
              </w:rPr>
              <w:t>–</w:t>
            </w:r>
            <w:r w:rsidRPr="00333C07">
              <w:rPr>
                <w:rFonts w:cs="Arial"/>
                <w:color w:val="000000"/>
                <w:sz w:val="20"/>
                <w:szCs w:val="20"/>
                <w:lang w:val="en-US" w:eastAsia="en-US"/>
              </w:rPr>
              <w:t xml:space="preserve"> reimplantation</w:t>
            </w:r>
          </w:p>
        </w:tc>
        <w:tc>
          <w:tcPr>
            <w:tcW w:w="1417" w:type="dxa"/>
            <w:tcBorders>
              <w:top w:val="nil"/>
              <w:left w:val="nil"/>
              <w:bottom w:val="single" w:sz="8" w:space="0" w:color="auto"/>
              <w:right w:val="single" w:sz="4" w:space="0" w:color="auto"/>
            </w:tcBorders>
            <w:shd w:val="clear" w:color="auto" w:fill="auto"/>
            <w:vAlign w:val="center"/>
            <w:hideMark/>
          </w:tcPr>
          <w:p w14:paraId="333C0DB8" w14:textId="78238594" w:rsidR="00AA0A27" w:rsidRPr="00AA0A27" w:rsidRDefault="00AA0A27" w:rsidP="00333C07">
            <w:pPr>
              <w:rPr>
                <w:rFonts w:cs="Arial"/>
                <w:color w:val="000000"/>
                <w:sz w:val="16"/>
                <w:szCs w:val="16"/>
              </w:rPr>
            </w:pPr>
            <w:r>
              <w:rPr>
                <w:rFonts w:cs="Arial"/>
                <w:color w:val="000000"/>
                <w:sz w:val="16"/>
                <w:szCs w:val="16"/>
              </w:rPr>
              <w:t>(BD - Table 62, row L x AP cost AUD 6500) x 0,0272</w:t>
            </w:r>
          </w:p>
        </w:tc>
        <w:tc>
          <w:tcPr>
            <w:tcW w:w="1755" w:type="dxa"/>
            <w:tcBorders>
              <w:top w:val="single" w:sz="4" w:space="0" w:color="auto"/>
              <w:left w:val="nil"/>
              <w:bottom w:val="single" w:sz="8" w:space="0" w:color="auto"/>
              <w:right w:val="single" w:sz="4" w:space="0" w:color="auto"/>
            </w:tcBorders>
            <w:shd w:val="clear" w:color="auto" w:fill="auto"/>
            <w:noWrap/>
            <w:vAlign w:val="center"/>
            <w:hideMark/>
          </w:tcPr>
          <w:p w14:paraId="21E7143A" w14:textId="7DD75B40" w:rsidR="00AA0A27" w:rsidRPr="00333C07" w:rsidRDefault="00AA0A27" w:rsidP="00333C07">
            <w:pPr>
              <w:rPr>
                <w:rFonts w:cs="Arial"/>
                <w:color w:val="000000"/>
                <w:sz w:val="16"/>
                <w:szCs w:val="16"/>
                <w:lang w:val="en-US" w:eastAsia="en-US"/>
              </w:rPr>
            </w:pPr>
            <w:r>
              <w:rPr>
                <w:rFonts w:cs="Arial"/>
                <w:color w:val="000000"/>
                <w:sz w:val="16"/>
                <w:szCs w:val="16"/>
              </w:rPr>
              <w:t xml:space="preserve"> AUD            14.426 </w:t>
            </w:r>
          </w:p>
        </w:tc>
        <w:tc>
          <w:tcPr>
            <w:tcW w:w="1755" w:type="dxa"/>
            <w:tcBorders>
              <w:top w:val="single" w:sz="4" w:space="0" w:color="auto"/>
              <w:left w:val="nil"/>
              <w:bottom w:val="single" w:sz="8" w:space="0" w:color="auto"/>
              <w:right w:val="single" w:sz="4" w:space="0" w:color="auto"/>
            </w:tcBorders>
            <w:shd w:val="clear" w:color="auto" w:fill="auto"/>
            <w:noWrap/>
            <w:vAlign w:val="center"/>
            <w:hideMark/>
          </w:tcPr>
          <w:p w14:paraId="38FFBA61" w14:textId="7CA6B175" w:rsidR="00AA0A27" w:rsidRPr="00333C07" w:rsidRDefault="00AA0A27" w:rsidP="00333C07">
            <w:pPr>
              <w:rPr>
                <w:rFonts w:cs="Arial"/>
                <w:color w:val="000000"/>
                <w:sz w:val="16"/>
                <w:szCs w:val="16"/>
                <w:lang w:val="en-US" w:eastAsia="en-US"/>
              </w:rPr>
            </w:pPr>
            <w:r>
              <w:rPr>
                <w:rFonts w:cs="Arial"/>
                <w:color w:val="000000"/>
                <w:sz w:val="16"/>
                <w:szCs w:val="16"/>
              </w:rPr>
              <w:t xml:space="preserve"> AUD            14.629 </w:t>
            </w:r>
          </w:p>
        </w:tc>
        <w:tc>
          <w:tcPr>
            <w:tcW w:w="1755" w:type="dxa"/>
            <w:tcBorders>
              <w:top w:val="single" w:sz="4" w:space="0" w:color="auto"/>
              <w:left w:val="nil"/>
              <w:bottom w:val="single" w:sz="8" w:space="0" w:color="auto"/>
              <w:right w:val="single" w:sz="4" w:space="0" w:color="auto"/>
            </w:tcBorders>
            <w:shd w:val="clear" w:color="auto" w:fill="auto"/>
            <w:noWrap/>
            <w:vAlign w:val="center"/>
            <w:hideMark/>
          </w:tcPr>
          <w:p w14:paraId="459DF5C0" w14:textId="7BE93354" w:rsidR="00AA0A27" w:rsidRPr="00333C07" w:rsidRDefault="00AA0A27" w:rsidP="00333C07">
            <w:pPr>
              <w:rPr>
                <w:rFonts w:cs="Arial"/>
                <w:color w:val="000000"/>
                <w:sz w:val="16"/>
                <w:szCs w:val="16"/>
                <w:lang w:val="en-US" w:eastAsia="en-US"/>
              </w:rPr>
            </w:pPr>
            <w:r>
              <w:rPr>
                <w:rFonts w:cs="Arial"/>
                <w:color w:val="000000"/>
                <w:sz w:val="16"/>
                <w:szCs w:val="16"/>
              </w:rPr>
              <w:t xml:space="preserve"> AUD            15.036 </w:t>
            </w:r>
          </w:p>
        </w:tc>
        <w:tc>
          <w:tcPr>
            <w:tcW w:w="1755" w:type="dxa"/>
            <w:tcBorders>
              <w:top w:val="single" w:sz="4" w:space="0" w:color="auto"/>
              <w:left w:val="nil"/>
              <w:bottom w:val="single" w:sz="8" w:space="0" w:color="auto"/>
              <w:right w:val="single" w:sz="4" w:space="0" w:color="auto"/>
            </w:tcBorders>
            <w:shd w:val="clear" w:color="auto" w:fill="auto"/>
            <w:noWrap/>
            <w:vAlign w:val="center"/>
            <w:hideMark/>
          </w:tcPr>
          <w:p w14:paraId="57E9B0C6" w14:textId="3FF99EB7" w:rsidR="00AA0A27" w:rsidRPr="00333C07" w:rsidRDefault="00AA0A27" w:rsidP="00333C07">
            <w:pPr>
              <w:rPr>
                <w:rFonts w:cs="Arial"/>
                <w:color w:val="000000"/>
                <w:sz w:val="16"/>
                <w:szCs w:val="16"/>
                <w:lang w:val="en-US" w:eastAsia="en-US"/>
              </w:rPr>
            </w:pPr>
            <w:r>
              <w:rPr>
                <w:rFonts w:cs="Arial"/>
                <w:color w:val="000000"/>
                <w:sz w:val="16"/>
                <w:szCs w:val="16"/>
              </w:rPr>
              <w:t xml:space="preserve"> AUD            15.239 </w:t>
            </w:r>
          </w:p>
        </w:tc>
        <w:tc>
          <w:tcPr>
            <w:tcW w:w="1755" w:type="dxa"/>
            <w:tcBorders>
              <w:top w:val="single" w:sz="4" w:space="0" w:color="auto"/>
              <w:left w:val="nil"/>
              <w:bottom w:val="single" w:sz="8" w:space="0" w:color="auto"/>
              <w:right w:val="single" w:sz="4" w:space="0" w:color="auto"/>
            </w:tcBorders>
            <w:shd w:val="clear" w:color="auto" w:fill="auto"/>
            <w:noWrap/>
            <w:vAlign w:val="center"/>
            <w:hideMark/>
          </w:tcPr>
          <w:p w14:paraId="3B2F7698" w14:textId="5B56E53A" w:rsidR="00AA0A27" w:rsidRPr="00333C07" w:rsidRDefault="00AA0A27" w:rsidP="00333C07">
            <w:pPr>
              <w:rPr>
                <w:rFonts w:cs="Arial"/>
                <w:color w:val="000000"/>
                <w:sz w:val="16"/>
                <w:szCs w:val="16"/>
                <w:lang w:val="en-US" w:eastAsia="en-US"/>
              </w:rPr>
            </w:pPr>
            <w:r>
              <w:rPr>
                <w:rFonts w:cs="Arial"/>
                <w:color w:val="000000"/>
                <w:sz w:val="16"/>
                <w:szCs w:val="16"/>
              </w:rPr>
              <w:t xml:space="preserve"> AUD            15.442 </w:t>
            </w:r>
          </w:p>
        </w:tc>
        <w:tc>
          <w:tcPr>
            <w:tcW w:w="1533" w:type="dxa"/>
            <w:tcBorders>
              <w:top w:val="single" w:sz="4" w:space="0" w:color="auto"/>
              <w:left w:val="nil"/>
              <w:bottom w:val="single" w:sz="8" w:space="0" w:color="auto"/>
              <w:right w:val="single" w:sz="8" w:space="0" w:color="auto"/>
            </w:tcBorders>
            <w:shd w:val="clear" w:color="auto" w:fill="auto"/>
            <w:noWrap/>
            <w:vAlign w:val="center"/>
            <w:hideMark/>
          </w:tcPr>
          <w:p w14:paraId="26E576D1" w14:textId="5CE0D5CA" w:rsidR="00AA0A27" w:rsidRPr="00333C07" w:rsidRDefault="00AA0A27" w:rsidP="00333C07">
            <w:pPr>
              <w:rPr>
                <w:rFonts w:cs="Arial"/>
                <w:color w:val="000000"/>
                <w:sz w:val="16"/>
                <w:szCs w:val="16"/>
                <w:lang w:val="en-US" w:eastAsia="en-US"/>
              </w:rPr>
            </w:pPr>
            <w:r>
              <w:rPr>
                <w:rFonts w:cs="Arial"/>
                <w:color w:val="000000"/>
                <w:sz w:val="16"/>
                <w:szCs w:val="16"/>
              </w:rPr>
              <w:t xml:space="preserve"> AUD       15.645 </w:t>
            </w:r>
          </w:p>
        </w:tc>
      </w:tr>
      <w:tr w:rsidR="00AA0A27" w:rsidRPr="00333C07" w14:paraId="40FDC3FD" w14:textId="77777777" w:rsidTr="003B1DCD">
        <w:trPr>
          <w:trHeight w:val="525"/>
          <w:jc w:val="center"/>
        </w:trPr>
        <w:tc>
          <w:tcPr>
            <w:tcW w:w="628" w:type="dxa"/>
            <w:tcBorders>
              <w:top w:val="single" w:sz="4" w:space="0" w:color="auto"/>
              <w:left w:val="single" w:sz="8" w:space="0" w:color="auto"/>
              <w:bottom w:val="single" w:sz="8" w:space="0" w:color="auto"/>
              <w:right w:val="single" w:sz="4" w:space="0" w:color="auto"/>
            </w:tcBorders>
            <w:shd w:val="clear" w:color="000000" w:fill="C5D9F1"/>
            <w:noWrap/>
            <w:vAlign w:val="center"/>
            <w:hideMark/>
          </w:tcPr>
          <w:p w14:paraId="03C2E2AF" w14:textId="77777777" w:rsidR="00AA0A27" w:rsidRPr="00333C07" w:rsidRDefault="00AA0A27" w:rsidP="00333C07">
            <w:pPr>
              <w:rPr>
                <w:rFonts w:cs="Arial"/>
                <w:b/>
                <w:bCs/>
                <w:color w:val="000000"/>
                <w:sz w:val="20"/>
                <w:szCs w:val="20"/>
                <w:lang w:val="en-US" w:eastAsia="en-US"/>
              </w:rPr>
            </w:pPr>
            <w:r w:rsidRPr="00333C07">
              <w:rPr>
                <w:rFonts w:cs="Arial"/>
                <w:b/>
                <w:bCs/>
                <w:color w:val="000000"/>
                <w:sz w:val="20"/>
                <w:szCs w:val="20"/>
                <w:lang w:val="en-US" w:eastAsia="en-US"/>
              </w:rPr>
              <w:t>BF</w:t>
            </w:r>
          </w:p>
        </w:tc>
        <w:tc>
          <w:tcPr>
            <w:tcW w:w="1939" w:type="dxa"/>
            <w:tcBorders>
              <w:top w:val="single" w:sz="4" w:space="0" w:color="auto"/>
              <w:left w:val="nil"/>
              <w:bottom w:val="single" w:sz="8" w:space="0" w:color="auto"/>
              <w:right w:val="single" w:sz="4" w:space="0" w:color="auto"/>
            </w:tcBorders>
            <w:shd w:val="clear" w:color="000000" w:fill="C5D9F1"/>
            <w:vAlign w:val="center"/>
            <w:hideMark/>
          </w:tcPr>
          <w:p w14:paraId="667EF896" w14:textId="77777777" w:rsidR="00AA0A27" w:rsidRPr="00333C07" w:rsidRDefault="00AA0A27" w:rsidP="00333C07">
            <w:pPr>
              <w:rPr>
                <w:rFonts w:cs="Arial"/>
                <w:color w:val="000000"/>
                <w:sz w:val="20"/>
                <w:szCs w:val="20"/>
                <w:lang w:val="en-US" w:eastAsia="en-US"/>
              </w:rPr>
            </w:pPr>
            <w:r w:rsidRPr="00333C07">
              <w:rPr>
                <w:rFonts w:cs="Arial"/>
                <w:color w:val="000000"/>
                <w:sz w:val="20"/>
                <w:szCs w:val="20"/>
                <w:lang w:val="en-US" w:eastAsia="en-US"/>
              </w:rPr>
              <w:t>Total cost of non-MBS services</w:t>
            </w:r>
          </w:p>
        </w:tc>
        <w:tc>
          <w:tcPr>
            <w:tcW w:w="1417" w:type="dxa"/>
            <w:tcBorders>
              <w:top w:val="single" w:sz="4" w:space="0" w:color="auto"/>
              <w:left w:val="nil"/>
              <w:bottom w:val="single" w:sz="8" w:space="0" w:color="auto"/>
              <w:right w:val="single" w:sz="4" w:space="0" w:color="auto"/>
            </w:tcBorders>
            <w:shd w:val="clear" w:color="000000" w:fill="C5D9F1"/>
            <w:vAlign w:val="center"/>
            <w:hideMark/>
          </w:tcPr>
          <w:p w14:paraId="3013885B" w14:textId="77777777" w:rsidR="00AA0A27" w:rsidRPr="00333C07" w:rsidRDefault="00AA0A27" w:rsidP="00333C07">
            <w:pPr>
              <w:rPr>
                <w:rFonts w:cs="Arial"/>
                <w:color w:val="000000"/>
                <w:sz w:val="16"/>
                <w:szCs w:val="16"/>
                <w:lang w:val="en-US" w:eastAsia="en-US"/>
              </w:rPr>
            </w:pPr>
            <w:r w:rsidRPr="00333C07">
              <w:rPr>
                <w:rFonts w:cs="Arial"/>
                <w:color w:val="000000"/>
                <w:sz w:val="16"/>
                <w:szCs w:val="16"/>
                <w:lang w:val="en-US" w:eastAsia="en-US"/>
              </w:rPr>
              <w:t>AZ + BA + BB + BC + BD + BE</w:t>
            </w:r>
          </w:p>
        </w:tc>
        <w:tc>
          <w:tcPr>
            <w:tcW w:w="1755" w:type="dxa"/>
            <w:tcBorders>
              <w:top w:val="single" w:sz="4" w:space="0" w:color="auto"/>
              <w:left w:val="nil"/>
              <w:bottom w:val="single" w:sz="8" w:space="0" w:color="auto"/>
              <w:right w:val="single" w:sz="4" w:space="0" w:color="auto"/>
            </w:tcBorders>
            <w:shd w:val="clear" w:color="000000" w:fill="C5D9F1"/>
            <w:noWrap/>
            <w:vAlign w:val="center"/>
            <w:hideMark/>
          </w:tcPr>
          <w:p w14:paraId="7862DA2E" w14:textId="40571CA5" w:rsidR="00AA0A27" w:rsidRPr="00333C07" w:rsidRDefault="00AA0A27" w:rsidP="00333C07">
            <w:pPr>
              <w:rPr>
                <w:rFonts w:cs="Arial"/>
                <w:color w:val="000000"/>
                <w:sz w:val="16"/>
                <w:szCs w:val="16"/>
                <w:lang w:val="en-US" w:eastAsia="en-US"/>
              </w:rPr>
            </w:pPr>
            <w:r>
              <w:rPr>
                <w:rFonts w:cs="Arial"/>
                <w:color w:val="000000"/>
                <w:sz w:val="16"/>
                <w:szCs w:val="16"/>
              </w:rPr>
              <w:t xml:space="preserve"> AUD       1.062.435 </w:t>
            </w:r>
          </w:p>
        </w:tc>
        <w:tc>
          <w:tcPr>
            <w:tcW w:w="1755" w:type="dxa"/>
            <w:tcBorders>
              <w:top w:val="single" w:sz="4" w:space="0" w:color="auto"/>
              <w:left w:val="nil"/>
              <w:bottom w:val="single" w:sz="8" w:space="0" w:color="auto"/>
              <w:right w:val="single" w:sz="4" w:space="0" w:color="auto"/>
            </w:tcBorders>
            <w:shd w:val="clear" w:color="000000" w:fill="C5D9F1"/>
            <w:noWrap/>
            <w:vAlign w:val="center"/>
            <w:hideMark/>
          </w:tcPr>
          <w:p w14:paraId="03590FB9" w14:textId="437D8FC9" w:rsidR="00AA0A27" w:rsidRPr="00333C07" w:rsidRDefault="00AA0A27" w:rsidP="00333C07">
            <w:pPr>
              <w:rPr>
                <w:rFonts w:cs="Arial"/>
                <w:color w:val="000000"/>
                <w:sz w:val="16"/>
                <w:szCs w:val="16"/>
                <w:lang w:val="en-US" w:eastAsia="en-US"/>
              </w:rPr>
            </w:pPr>
            <w:r>
              <w:rPr>
                <w:rFonts w:cs="Arial"/>
                <w:color w:val="000000"/>
                <w:sz w:val="16"/>
                <w:szCs w:val="16"/>
              </w:rPr>
              <w:t xml:space="preserve"> AUD       1.077.399 </w:t>
            </w:r>
          </w:p>
        </w:tc>
        <w:tc>
          <w:tcPr>
            <w:tcW w:w="1755" w:type="dxa"/>
            <w:tcBorders>
              <w:top w:val="single" w:sz="4" w:space="0" w:color="auto"/>
              <w:left w:val="nil"/>
              <w:bottom w:val="single" w:sz="8" w:space="0" w:color="auto"/>
              <w:right w:val="single" w:sz="4" w:space="0" w:color="auto"/>
            </w:tcBorders>
            <w:shd w:val="clear" w:color="000000" w:fill="C5D9F1"/>
            <w:noWrap/>
            <w:vAlign w:val="center"/>
            <w:hideMark/>
          </w:tcPr>
          <w:p w14:paraId="0ABCED2C" w14:textId="3BED46A8" w:rsidR="00AA0A27" w:rsidRPr="00333C07" w:rsidRDefault="00AA0A27" w:rsidP="00333C07">
            <w:pPr>
              <w:rPr>
                <w:rFonts w:cs="Arial"/>
                <w:color w:val="000000"/>
                <w:sz w:val="16"/>
                <w:szCs w:val="16"/>
                <w:lang w:val="en-US" w:eastAsia="en-US"/>
              </w:rPr>
            </w:pPr>
            <w:r>
              <w:rPr>
                <w:rFonts w:cs="Arial"/>
                <w:color w:val="000000"/>
                <w:sz w:val="16"/>
                <w:szCs w:val="16"/>
              </w:rPr>
              <w:t xml:space="preserve"> AUD       1.107.326 </w:t>
            </w:r>
          </w:p>
        </w:tc>
        <w:tc>
          <w:tcPr>
            <w:tcW w:w="1755" w:type="dxa"/>
            <w:tcBorders>
              <w:top w:val="single" w:sz="4" w:space="0" w:color="auto"/>
              <w:left w:val="nil"/>
              <w:bottom w:val="single" w:sz="8" w:space="0" w:color="auto"/>
              <w:right w:val="single" w:sz="4" w:space="0" w:color="auto"/>
            </w:tcBorders>
            <w:shd w:val="clear" w:color="000000" w:fill="C5D9F1"/>
            <w:noWrap/>
            <w:vAlign w:val="center"/>
            <w:hideMark/>
          </w:tcPr>
          <w:p w14:paraId="0CE376F9" w14:textId="0D4769F1" w:rsidR="00AA0A27" w:rsidRPr="00333C07" w:rsidRDefault="00AA0A27" w:rsidP="00333C07">
            <w:pPr>
              <w:rPr>
                <w:rFonts w:cs="Arial"/>
                <w:color w:val="000000"/>
                <w:sz w:val="16"/>
                <w:szCs w:val="16"/>
                <w:lang w:val="en-US" w:eastAsia="en-US"/>
              </w:rPr>
            </w:pPr>
            <w:r>
              <w:rPr>
                <w:rFonts w:cs="Arial"/>
                <w:color w:val="000000"/>
                <w:sz w:val="16"/>
                <w:szCs w:val="16"/>
              </w:rPr>
              <w:t xml:space="preserve"> AUD       1.122.290 </w:t>
            </w:r>
          </w:p>
        </w:tc>
        <w:tc>
          <w:tcPr>
            <w:tcW w:w="1755" w:type="dxa"/>
            <w:tcBorders>
              <w:top w:val="single" w:sz="4" w:space="0" w:color="auto"/>
              <w:left w:val="nil"/>
              <w:bottom w:val="single" w:sz="8" w:space="0" w:color="auto"/>
              <w:right w:val="single" w:sz="4" w:space="0" w:color="auto"/>
            </w:tcBorders>
            <w:shd w:val="clear" w:color="000000" w:fill="C5D9F1"/>
            <w:noWrap/>
            <w:vAlign w:val="center"/>
            <w:hideMark/>
          </w:tcPr>
          <w:p w14:paraId="0D57D499" w14:textId="38DECB46" w:rsidR="00AA0A27" w:rsidRPr="00333C07" w:rsidRDefault="00AA0A27" w:rsidP="00333C07">
            <w:pPr>
              <w:rPr>
                <w:rFonts w:cs="Arial"/>
                <w:color w:val="000000"/>
                <w:sz w:val="16"/>
                <w:szCs w:val="16"/>
                <w:lang w:val="en-US" w:eastAsia="en-US"/>
              </w:rPr>
            </w:pPr>
            <w:r>
              <w:rPr>
                <w:rFonts w:cs="Arial"/>
                <w:color w:val="000000"/>
                <w:sz w:val="16"/>
                <w:szCs w:val="16"/>
              </w:rPr>
              <w:t xml:space="preserve"> AUD       1.137.254 </w:t>
            </w:r>
          </w:p>
        </w:tc>
        <w:tc>
          <w:tcPr>
            <w:tcW w:w="1533" w:type="dxa"/>
            <w:tcBorders>
              <w:top w:val="single" w:sz="4" w:space="0" w:color="auto"/>
              <w:left w:val="nil"/>
              <w:bottom w:val="single" w:sz="8" w:space="0" w:color="auto"/>
              <w:right w:val="single" w:sz="8" w:space="0" w:color="auto"/>
            </w:tcBorders>
            <w:shd w:val="clear" w:color="000000" w:fill="C5D9F1"/>
            <w:noWrap/>
            <w:vAlign w:val="center"/>
            <w:hideMark/>
          </w:tcPr>
          <w:p w14:paraId="7D83B683" w14:textId="00CC8C4E" w:rsidR="00AA0A27" w:rsidRPr="00333C07" w:rsidRDefault="00AA0A27" w:rsidP="00333C07">
            <w:pPr>
              <w:rPr>
                <w:rFonts w:cs="Arial"/>
                <w:color w:val="000000"/>
                <w:sz w:val="16"/>
                <w:szCs w:val="16"/>
                <w:lang w:val="en-US" w:eastAsia="en-US"/>
              </w:rPr>
            </w:pPr>
            <w:r>
              <w:rPr>
                <w:rFonts w:cs="Arial"/>
                <w:color w:val="000000"/>
                <w:sz w:val="16"/>
                <w:szCs w:val="16"/>
              </w:rPr>
              <w:t xml:space="preserve"> AUD  1.152.218 </w:t>
            </w:r>
          </w:p>
        </w:tc>
      </w:tr>
      <w:tr w:rsidR="00333C07" w:rsidRPr="00333C07" w14:paraId="184187D0" w14:textId="77777777" w:rsidTr="003B1DCD">
        <w:trPr>
          <w:trHeight w:val="368"/>
          <w:jc w:val="center"/>
        </w:trPr>
        <w:tc>
          <w:tcPr>
            <w:tcW w:w="62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2549940" w14:textId="77777777" w:rsidR="00333C07" w:rsidRPr="00333C07" w:rsidRDefault="00333C07" w:rsidP="00333C07">
            <w:pPr>
              <w:rPr>
                <w:rFonts w:cs="Arial"/>
                <w:b/>
                <w:bCs/>
                <w:color w:val="000000"/>
                <w:sz w:val="20"/>
                <w:szCs w:val="20"/>
                <w:lang w:val="en-US" w:eastAsia="en-US"/>
              </w:rPr>
            </w:pPr>
            <w:r w:rsidRPr="00333C07">
              <w:rPr>
                <w:rFonts w:cs="Arial"/>
                <w:b/>
                <w:bCs/>
                <w:color w:val="000000"/>
                <w:sz w:val="20"/>
                <w:szCs w:val="20"/>
                <w:lang w:val="en-US" w:eastAsia="en-US"/>
              </w:rPr>
              <w:t> </w:t>
            </w:r>
          </w:p>
        </w:tc>
        <w:tc>
          <w:tcPr>
            <w:tcW w:w="13664" w:type="dxa"/>
            <w:gridSpan w:val="8"/>
            <w:tcBorders>
              <w:top w:val="single" w:sz="4" w:space="0" w:color="auto"/>
              <w:left w:val="single" w:sz="4" w:space="0" w:color="auto"/>
              <w:bottom w:val="single" w:sz="4" w:space="0" w:color="auto"/>
              <w:right w:val="single" w:sz="8" w:space="0" w:color="000000"/>
            </w:tcBorders>
            <w:shd w:val="clear" w:color="auto" w:fill="auto"/>
            <w:vAlign w:val="center"/>
            <w:hideMark/>
          </w:tcPr>
          <w:p w14:paraId="62880C02" w14:textId="77777777" w:rsidR="00333C07" w:rsidRPr="00333C07" w:rsidRDefault="00333C07" w:rsidP="00333C07">
            <w:pPr>
              <w:rPr>
                <w:rFonts w:cs="Arial"/>
                <w:b/>
                <w:bCs/>
                <w:color w:val="000000"/>
                <w:lang w:val="en-US" w:eastAsia="en-US"/>
              </w:rPr>
            </w:pPr>
            <w:r w:rsidRPr="00333C07">
              <w:rPr>
                <w:rFonts w:cs="Arial"/>
                <w:b/>
                <w:bCs/>
                <w:color w:val="000000"/>
                <w:lang w:val="en-US" w:eastAsia="en-US"/>
              </w:rPr>
              <w:t>Maxum/Soundtec</w:t>
            </w:r>
          </w:p>
        </w:tc>
      </w:tr>
      <w:tr w:rsidR="00333C07" w:rsidRPr="00333C07" w14:paraId="6393D1BD" w14:textId="77777777" w:rsidTr="003B1DCD">
        <w:trPr>
          <w:trHeight w:val="465"/>
          <w:jc w:val="center"/>
        </w:trPr>
        <w:tc>
          <w:tcPr>
            <w:tcW w:w="628" w:type="dxa"/>
            <w:tcBorders>
              <w:top w:val="nil"/>
              <w:left w:val="single" w:sz="8" w:space="0" w:color="auto"/>
              <w:bottom w:val="single" w:sz="4" w:space="0" w:color="auto"/>
              <w:right w:val="single" w:sz="4" w:space="0" w:color="auto"/>
            </w:tcBorders>
            <w:shd w:val="clear" w:color="auto" w:fill="auto"/>
            <w:noWrap/>
            <w:vAlign w:val="center"/>
            <w:hideMark/>
          </w:tcPr>
          <w:p w14:paraId="2503FD4C" w14:textId="77777777" w:rsidR="00333C07" w:rsidRPr="00333C07" w:rsidRDefault="00333C07" w:rsidP="00333C07">
            <w:pPr>
              <w:rPr>
                <w:rFonts w:cs="Arial"/>
                <w:b/>
                <w:bCs/>
                <w:color w:val="000000"/>
                <w:sz w:val="20"/>
                <w:szCs w:val="20"/>
                <w:lang w:val="en-US" w:eastAsia="en-US"/>
              </w:rPr>
            </w:pPr>
            <w:r w:rsidRPr="00333C07">
              <w:rPr>
                <w:rFonts w:cs="Arial"/>
                <w:b/>
                <w:bCs/>
                <w:color w:val="000000"/>
                <w:sz w:val="20"/>
                <w:szCs w:val="20"/>
                <w:lang w:val="en-US" w:eastAsia="en-US"/>
              </w:rPr>
              <w:t>BG</w:t>
            </w:r>
          </w:p>
        </w:tc>
        <w:tc>
          <w:tcPr>
            <w:tcW w:w="1939" w:type="dxa"/>
            <w:tcBorders>
              <w:top w:val="nil"/>
              <w:left w:val="nil"/>
              <w:bottom w:val="single" w:sz="4" w:space="0" w:color="auto"/>
              <w:right w:val="single" w:sz="4" w:space="0" w:color="auto"/>
            </w:tcBorders>
            <w:shd w:val="clear" w:color="auto" w:fill="auto"/>
            <w:vAlign w:val="center"/>
            <w:hideMark/>
          </w:tcPr>
          <w:p w14:paraId="25191212" w14:textId="77777777" w:rsidR="00333C07" w:rsidRPr="00333C07" w:rsidRDefault="00333C07" w:rsidP="00333C07">
            <w:pPr>
              <w:rPr>
                <w:rFonts w:cs="Arial"/>
                <w:color w:val="000000"/>
                <w:sz w:val="20"/>
                <w:szCs w:val="20"/>
                <w:lang w:val="en-US" w:eastAsia="en-US"/>
              </w:rPr>
            </w:pPr>
            <w:r w:rsidRPr="00333C07">
              <w:rPr>
                <w:rFonts w:cs="Arial"/>
                <w:color w:val="000000"/>
                <w:sz w:val="20"/>
                <w:szCs w:val="20"/>
                <w:lang w:val="en-US" w:eastAsia="en-US"/>
              </w:rPr>
              <w:t>Cost of batteries</w:t>
            </w:r>
          </w:p>
        </w:tc>
        <w:tc>
          <w:tcPr>
            <w:tcW w:w="1417" w:type="dxa"/>
            <w:tcBorders>
              <w:top w:val="nil"/>
              <w:left w:val="nil"/>
              <w:bottom w:val="single" w:sz="4" w:space="0" w:color="auto"/>
              <w:right w:val="single" w:sz="4" w:space="0" w:color="auto"/>
            </w:tcBorders>
            <w:shd w:val="clear" w:color="auto" w:fill="auto"/>
            <w:vAlign w:val="center"/>
            <w:hideMark/>
          </w:tcPr>
          <w:p w14:paraId="4DD6FEA0" w14:textId="77777777" w:rsidR="00333C07" w:rsidRPr="00333C07" w:rsidRDefault="004B4A8E" w:rsidP="00333C07">
            <w:pPr>
              <w:rPr>
                <w:rFonts w:cs="Arial"/>
                <w:color w:val="000000"/>
                <w:sz w:val="16"/>
                <w:szCs w:val="16"/>
                <w:lang w:val="en-US" w:eastAsia="en-US"/>
              </w:rPr>
            </w:pPr>
            <w:r w:rsidRPr="004B4A8E">
              <w:rPr>
                <w:rFonts w:cs="Arial"/>
                <w:color w:val="000000"/>
                <w:sz w:val="16"/>
                <w:szCs w:val="16"/>
                <w:lang w:val="en-US" w:eastAsia="en-US"/>
              </w:rPr>
              <w:fldChar w:fldCharType="begin"/>
            </w:r>
            <w:r w:rsidRPr="004B4A8E">
              <w:rPr>
                <w:rFonts w:cs="Arial"/>
                <w:color w:val="000000"/>
                <w:sz w:val="16"/>
                <w:szCs w:val="16"/>
                <w:lang w:val="en-US" w:eastAsia="en-US"/>
              </w:rPr>
              <w:instrText xml:space="preserve"> REF _Ref334453724 \h </w:instrText>
            </w:r>
            <w:r>
              <w:rPr>
                <w:rFonts w:cs="Arial"/>
                <w:color w:val="000000"/>
                <w:sz w:val="16"/>
                <w:szCs w:val="16"/>
                <w:lang w:val="en-US" w:eastAsia="en-US"/>
              </w:rPr>
              <w:instrText xml:space="preserve"> \* MERGEFORMAT </w:instrText>
            </w:r>
            <w:r w:rsidRPr="004B4A8E">
              <w:rPr>
                <w:rFonts w:cs="Arial"/>
                <w:color w:val="000000"/>
                <w:sz w:val="16"/>
                <w:szCs w:val="16"/>
                <w:lang w:val="en-US" w:eastAsia="en-US"/>
              </w:rPr>
            </w:r>
            <w:r w:rsidRPr="004B4A8E">
              <w:rPr>
                <w:rFonts w:cs="Arial"/>
                <w:color w:val="000000"/>
                <w:sz w:val="16"/>
                <w:szCs w:val="16"/>
                <w:lang w:val="en-US" w:eastAsia="en-US"/>
              </w:rPr>
              <w:fldChar w:fldCharType="separate"/>
            </w:r>
            <w:r w:rsidR="00016592" w:rsidRPr="00016592">
              <w:rPr>
                <w:rFonts w:cs="Arial"/>
                <w:sz w:val="16"/>
                <w:szCs w:val="16"/>
                <w:lang w:val="x-none"/>
              </w:rPr>
              <w:t>Table 62</w:t>
            </w:r>
            <w:r w:rsidRPr="004B4A8E">
              <w:rPr>
                <w:rFonts w:cs="Arial"/>
                <w:color w:val="000000"/>
                <w:sz w:val="16"/>
                <w:szCs w:val="16"/>
                <w:lang w:val="en-US" w:eastAsia="en-US"/>
              </w:rPr>
              <w:fldChar w:fldCharType="end"/>
            </w:r>
            <w:r w:rsidR="00333C07" w:rsidRPr="00333C07">
              <w:rPr>
                <w:rFonts w:cs="Arial"/>
                <w:color w:val="000000"/>
                <w:sz w:val="16"/>
                <w:szCs w:val="16"/>
                <w:lang w:val="en-US" w:eastAsia="en-US"/>
              </w:rPr>
              <w:t>, row L x AUD 43</w:t>
            </w:r>
          </w:p>
        </w:tc>
        <w:tc>
          <w:tcPr>
            <w:tcW w:w="1755" w:type="dxa"/>
            <w:tcBorders>
              <w:top w:val="nil"/>
              <w:left w:val="nil"/>
              <w:bottom w:val="single" w:sz="8" w:space="0" w:color="auto"/>
              <w:right w:val="single" w:sz="4" w:space="0" w:color="auto"/>
            </w:tcBorders>
            <w:shd w:val="clear" w:color="auto" w:fill="auto"/>
            <w:noWrap/>
            <w:vAlign w:val="center"/>
            <w:hideMark/>
          </w:tcPr>
          <w:p w14:paraId="4BF321E8" w14:textId="77777777" w:rsidR="00333C07" w:rsidRPr="00333C07" w:rsidRDefault="00333C07" w:rsidP="00333C07">
            <w:pPr>
              <w:rPr>
                <w:rFonts w:cs="Arial"/>
                <w:color w:val="000000"/>
                <w:sz w:val="16"/>
                <w:szCs w:val="16"/>
                <w:lang w:val="en-US" w:eastAsia="en-US"/>
              </w:rPr>
            </w:pPr>
            <w:r w:rsidRPr="00333C07">
              <w:rPr>
                <w:rFonts w:cs="Arial"/>
                <w:color w:val="000000"/>
                <w:sz w:val="16"/>
                <w:szCs w:val="16"/>
                <w:lang w:val="en-US" w:eastAsia="en-US"/>
              </w:rPr>
              <w:t xml:space="preserve"> AUD              3.692 </w:t>
            </w:r>
          </w:p>
        </w:tc>
        <w:tc>
          <w:tcPr>
            <w:tcW w:w="1755" w:type="dxa"/>
            <w:tcBorders>
              <w:top w:val="nil"/>
              <w:left w:val="nil"/>
              <w:bottom w:val="single" w:sz="8" w:space="0" w:color="auto"/>
              <w:right w:val="single" w:sz="4" w:space="0" w:color="auto"/>
            </w:tcBorders>
            <w:shd w:val="clear" w:color="auto" w:fill="auto"/>
            <w:noWrap/>
            <w:vAlign w:val="center"/>
            <w:hideMark/>
          </w:tcPr>
          <w:p w14:paraId="49689CB2" w14:textId="77777777" w:rsidR="00333C07" w:rsidRPr="00333C07" w:rsidRDefault="00333C07" w:rsidP="00333C07">
            <w:pPr>
              <w:rPr>
                <w:rFonts w:cs="Arial"/>
                <w:color w:val="000000"/>
                <w:sz w:val="16"/>
                <w:szCs w:val="16"/>
                <w:lang w:val="en-US" w:eastAsia="en-US"/>
              </w:rPr>
            </w:pPr>
            <w:r w:rsidRPr="00333C07">
              <w:rPr>
                <w:rFonts w:cs="Arial"/>
                <w:color w:val="000000"/>
                <w:sz w:val="16"/>
                <w:szCs w:val="16"/>
                <w:lang w:val="en-US" w:eastAsia="en-US"/>
              </w:rPr>
              <w:t xml:space="preserve"> AUD              3.744 </w:t>
            </w:r>
          </w:p>
        </w:tc>
        <w:tc>
          <w:tcPr>
            <w:tcW w:w="1755" w:type="dxa"/>
            <w:tcBorders>
              <w:top w:val="nil"/>
              <w:left w:val="nil"/>
              <w:bottom w:val="single" w:sz="8" w:space="0" w:color="auto"/>
              <w:right w:val="single" w:sz="4" w:space="0" w:color="auto"/>
            </w:tcBorders>
            <w:shd w:val="clear" w:color="auto" w:fill="auto"/>
            <w:noWrap/>
            <w:vAlign w:val="center"/>
            <w:hideMark/>
          </w:tcPr>
          <w:p w14:paraId="4D502338" w14:textId="77777777" w:rsidR="00333C07" w:rsidRPr="00333C07" w:rsidRDefault="00333C07" w:rsidP="00333C07">
            <w:pPr>
              <w:rPr>
                <w:rFonts w:cs="Arial"/>
                <w:color w:val="000000"/>
                <w:sz w:val="16"/>
                <w:szCs w:val="16"/>
                <w:lang w:val="en-US" w:eastAsia="en-US"/>
              </w:rPr>
            </w:pPr>
            <w:r w:rsidRPr="00333C07">
              <w:rPr>
                <w:rFonts w:cs="Arial"/>
                <w:color w:val="000000"/>
                <w:sz w:val="16"/>
                <w:szCs w:val="16"/>
                <w:lang w:val="en-US" w:eastAsia="en-US"/>
              </w:rPr>
              <w:t xml:space="preserve"> AUD              3.848 </w:t>
            </w:r>
          </w:p>
        </w:tc>
        <w:tc>
          <w:tcPr>
            <w:tcW w:w="1755" w:type="dxa"/>
            <w:tcBorders>
              <w:top w:val="nil"/>
              <w:left w:val="nil"/>
              <w:bottom w:val="single" w:sz="8" w:space="0" w:color="auto"/>
              <w:right w:val="single" w:sz="4" w:space="0" w:color="auto"/>
            </w:tcBorders>
            <w:shd w:val="clear" w:color="auto" w:fill="auto"/>
            <w:noWrap/>
            <w:vAlign w:val="center"/>
            <w:hideMark/>
          </w:tcPr>
          <w:p w14:paraId="1663EAEC" w14:textId="77777777" w:rsidR="00333C07" w:rsidRPr="00333C07" w:rsidRDefault="00333C07" w:rsidP="00333C07">
            <w:pPr>
              <w:rPr>
                <w:rFonts w:cs="Arial"/>
                <w:color w:val="000000"/>
                <w:sz w:val="16"/>
                <w:szCs w:val="16"/>
                <w:lang w:val="en-US" w:eastAsia="en-US"/>
              </w:rPr>
            </w:pPr>
            <w:r w:rsidRPr="00333C07">
              <w:rPr>
                <w:rFonts w:cs="Arial"/>
                <w:color w:val="000000"/>
                <w:sz w:val="16"/>
                <w:szCs w:val="16"/>
                <w:lang w:val="en-US" w:eastAsia="en-US"/>
              </w:rPr>
              <w:t xml:space="preserve"> AUD              3.900 </w:t>
            </w:r>
          </w:p>
        </w:tc>
        <w:tc>
          <w:tcPr>
            <w:tcW w:w="1755" w:type="dxa"/>
            <w:tcBorders>
              <w:top w:val="nil"/>
              <w:left w:val="nil"/>
              <w:bottom w:val="single" w:sz="8" w:space="0" w:color="auto"/>
              <w:right w:val="single" w:sz="4" w:space="0" w:color="auto"/>
            </w:tcBorders>
            <w:shd w:val="clear" w:color="auto" w:fill="auto"/>
            <w:noWrap/>
            <w:vAlign w:val="center"/>
            <w:hideMark/>
          </w:tcPr>
          <w:p w14:paraId="12380F78" w14:textId="77777777" w:rsidR="00333C07" w:rsidRPr="00333C07" w:rsidRDefault="00333C07" w:rsidP="00333C07">
            <w:pPr>
              <w:rPr>
                <w:rFonts w:cs="Arial"/>
                <w:color w:val="000000"/>
                <w:sz w:val="16"/>
                <w:szCs w:val="16"/>
                <w:lang w:val="en-US" w:eastAsia="en-US"/>
              </w:rPr>
            </w:pPr>
            <w:r w:rsidRPr="00333C07">
              <w:rPr>
                <w:rFonts w:cs="Arial"/>
                <w:color w:val="000000"/>
                <w:sz w:val="16"/>
                <w:szCs w:val="16"/>
                <w:lang w:val="en-US" w:eastAsia="en-US"/>
              </w:rPr>
              <w:t xml:space="preserve"> AUD              3.952 </w:t>
            </w:r>
          </w:p>
        </w:tc>
        <w:tc>
          <w:tcPr>
            <w:tcW w:w="1533" w:type="dxa"/>
            <w:tcBorders>
              <w:top w:val="nil"/>
              <w:left w:val="nil"/>
              <w:bottom w:val="single" w:sz="8" w:space="0" w:color="auto"/>
              <w:right w:val="single" w:sz="8" w:space="0" w:color="auto"/>
            </w:tcBorders>
            <w:shd w:val="clear" w:color="auto" w:fill="auto"/>
            <w:noWrap/>
            <w:vAlign w:val="center"/>
            <w:hideMark/>
          </w:tcPr>
          <w:p w14:paraId="0BB616C2" w14:textId="77777777" w:rsidR="00333C07" w:rsidRPr="00333C07" w:rsidRDefault="00333C07" w:rsidP="00333C07">
            <w:pPr>
              <w:rPr>
                <w:rFonts w:cs="Arial"/>
                <w:color w:val="000000"/>
                <w:sz w:val="16"/>
                <w:szCs w:val="16"/>
                <w:lang w:val="en-US" w:eastAsia="en-US"/>
              </w:rPr>
            </w:pPr>
            <w:r w:rsidRPr="00333C07">
              <w:rPr>
                <w:rFonts w:cs="Arial"/>
                <w:color w:val="000000"/>
                <w:sz w:val="16"/>
                <w:szCs w:val="16"/>
                <w:lang w:val="en-US" w:eastAsia="en-US"/>
              </w:rPr>
              <w:t xml:space="preserve"> AUD         4.004 </w:t>
            </w:r>
          </w:p>
        </w:tc>
      </w:tr>
      <w:tr w:rsidR="00333C07" w:rsidRPr="00333C07" w14:paraId="7648EDC8" w14:textId="77777777" w:rsidTr="003B1DCD">
        <w:trPr>
          <w:trHeight w:val="525"/>
          <w:jc w:val="center"/>
        </w:trPr>
        <w:tc>
          <w:tcPr>
            <w:tcW w:w="628" w:type="dxa"/>
            <w:tcBorders>
              <w:top w:val="nil"/>
              <w:left w:val="single" w:sz="8" w:space="0" w:color="auto"/>
              <w:bottom w:val="single" w:sz="8" w:space="0" w:color="auto"/>
              <w:right w:val="single" w:sz="4" w:space="0" w:color="auto"/>
            </w:tcBorders>
            <w:shd w:val="clear" w:color="auto" w:fill="auto"/>
            <w:noWrap/>
            <w:vAlign w:val="center"/>
            <w:hideMark/>
          </w:tcPr>
          <w:p w14:paraId="38E22184" w14:textId="77777777" w:rsidR="00333C07" w:rsidRPr="00333C07" w:rsidRDefault="00333C07" w:rsidP="00333C07">
            <w:pPr>
              <w:rPr>
                <w:rFonts w:cs="Arial"/>
                <w:b/>
                <w:bCs/>
                <w:color w:val="000000"/>
                <w:sz w:val="20"/>
                <w:szCs w:val="20"/>
                <w:lang w:val="en-US" w:eastAsia="en-US"/>
              </w:rPr>
            </w:pPr>
            <w:r w:rsidRPr="00333C07">
              <w:rPr>
                <w:rFonts w:cs="Arial"/>
                <w:b/>
                <w:bCs/>
                <w:color w:val="000000"/>
                <w:sz w:val="20"/>
                <w:szCs w:val="20"/>
                <w:lang w:val="en-US" w:eastAsia="en-US"/>
              </w:rPr>
              <w:t>BH</w:t>
            </w:r>
          </w:p>
        </w:tc>
        <w:tc>
          <w:tcPr>
            <w:tcW w:w="1939" w:type="dxa"/>
            <w:tcBorders>
              <w:top w:val="nil"/>
              <w:left w:val="nil"/>
              <w:bottom w:val="single" w:sz="8" w:space="0" w:color="auto"/>
              <w:right w:val="single" w:sz="4" w:space="0" w:color="auto"/>
            </w:tcBorders>
            <w:shd w:val="clear" w:color="auto" w:fill="auto"/>
            <w:vAlign w:val="center"/>
            <w:hideMark/>
          </w:tcPr>
          <w:p w14:paraId="562CA755" w14:textId="77777777" w:rsidR="00333C07" w:rsidRPr="00333C07" w:rsidRDefault="00333C07" w:rsidP="00333C07">
            <w:pPr>
              <w:rPr>
                <w:rFonts w:cs="Arial"/>
                <w:color w:val="000000"/>
                <w:sz w:val="20"/>
                <w:szCs w:val="20"/>
                <w:lang w:val="en-US" w:eastAsia="en-US"/>
              </w:rPr>
            </w:pPr>
            <w:r w:rsidRPr="00333C07">
              <w:rPr>
                <w:rFonts w:cs="Arial"/>
                <w:color w:val="000000"/>
                <w:sz w:val="20"/>
                <w:szCs w:val="20"/>
                <w:lang w:val="en-US" w:eastAsia="en-US"/>
              </w:rPr>
              <w:t xml:space="preserve">Cost of re-implantation - other services </w:t>
            </w:r>
          </w:p>
        </w:tc>
        <w:tc>
          <w:tcPr>
            <w:tcW w:w="1417" w:type="dxa"/>
            <w:tcBorders>
              <w:top w:val="nil"/>
              <w:left w:val="nil"/>
              <w:bottom w:val="single" w:sz="8" w:space="0" w:color="auto"/>
              <w:right w:val="single" w:sz="4" w:space="0" w:color="auto"/>
            </w:tcBorders>
            <w:shd w:val="clear" w:color="auto" w:fill="auto"/>
            <w:vAlign w:val="center"/>
            <w:hideMark/>
          </w:tcPr>
          <w:p w14:paraId="0A1C54AE" w14:textId="77777777" w:rsidR="00333C07" w:rsidRPr="00333C07" w:rsidRDefault="00333C07" w:rsidP="00333C07">
            <w:pPr>
              <w:rPr>
                <w:rFonts w:cs="Arial"/>
                <w:color w:val="000000"/>
                <w:sz w:val="16"/>
                <w:szCs w:val="16"/>
                <w:lang w:val="en-US" w:eastAsia="en-US"/>
              </w:rPr>
            </w:pPr>
            <w:r w:rsidRPr="00333C07">
              <w:rPr>
                <w:rFonts w:cs="Arial"/>
                <w:color w:val="000000"/>
                <w:sz w:val="16"/>
                <w:szCs w:val="16"/>
                <w:lang w:val="en-US" w:eastAsia="en-US"/>
              </w:rPr>
              <w:t>BG x 0,01</w:t>
            </w:r>
          </w:p>
        </w:tc>
        <w:tc>
          <w:tcPr>
            <w:tcW w:w="1755" w:type="dxa"/>
            <w:tcBorders>
              <w:top w:val="single" w:sz="4" w:space="0" w:color="auto"/>
              <w:left w:val="nil"/>
              <w:bottom w:val="single" w:sz="8" w:space="0" w:color="auto"/>
              <w:right w:val="single" w:sz="4" w:space="0" w:color="auto"/>
            </w:tcBorders>
            <w:shd w:val="clear" w:color="auto" w:fill="auto"/>
            <w:noWrap/>
            <w:vAlign w:val="center"/>
            <w:hideMark/>
          </w:tcPr>
          <w:p w14:paraId="7BE940CB" w14:textId="77777777" w:rsidR="00333C07" w:rsidRPr="00333C07" w:rsidRDefault="00333C07" w:rsidP="00333C07">
            <w:pPr>
              <w:rPr>
                <w:rFonts w:cs="Arial"/>
                <w:color w:val="000000"/>
                <w:sz w:val="16"/>
                <w:szCs w:val="16"/>
                <w:lang w:val="en-US" w:eastAsia="en-US"/>
              </w:rPr>
            </w:pPr>
            <w:r w:rsidRPr="00333C07">
              <w:rPr>
                <w:rFonts w:cs="Arial"/>
                <w:color w:val="000000"/>
                <w:sz w:val="16"/>
                <w:szCs w:val="16"/>
                <w:lang w:val="en-US" w:eastAsia="en-US"/>
              </w:rPr>
              <w:t xml:space="preserve"> AUD                   37 </w:t>
            </w:r>
          </w:p>
        </w:tc>
        <w:tc>
          <w:tcPr>
            <w:tcW w:w="1755" w:type="dxa"/>
            <w:tcBorders>
              <w:top w:val="single" w:sz="4" w:space="0" w:color="auto"/>
              <w:left w:val="nil"/>
              <w:bottom w:val="single" w:sz="8" w:space="0" w:color="auto"/>
              <w:right w:val="single" w:sz="4" w:space="0" w:color="auto"/>
            </w:tcBorders>
            <w:shd w:val="clear" w:color="auto" w:fill="auto"/>
            <w:noWrap/>
            <w:vAlign w:val="center"/>
            <w:hideMark/>
          </w:tcPr>
          <w:p w14:paraId="3E67A4AE" w14:textId="77777777" w:rsidR="00333C07" w:rsidRPr="00333C07" w:rsidRDefault="00333C07" w:rsidP="00333C07">
            <w:pPr>
              <w:rPr>
                <w:rFonts w:cs="Arial"/>
                <w:color w:val="000000"/>
                <w:sz w:val="16"/>
                <w:szCs w:val="16"/>
                <w:lang w:val="en-US" w:eastAsia="en-US"/>
              </w:rPr>
            </w:pPr>
            <w:r w:rsidRPr="00333C07">
              <w:rPr>
                <w:rFonts w:cs="Arial"/>
                <w:color w:val="000000"/>
                <w:sz w:val="16"/>
                <w:szCs w:val="16"/>
                <w:lang w:val="en-US" w:eastAsia="en-US"/>
              </w:rPr>
              <w:t xml:space="preserve"> AUD                   37 </w:t>
            </w:r>
          </w:p>
        </w:tc>
        <w:tc>
          <w:tcPr>
            <w:tcW w:w="1755" w:type="dxa"/>
            <w:tcBorders>
              <w:top w:val="single" w:sz="4" w:space="0" w:color="auto"/>
              <w:left w:val="nil"/>
              <w:bottom w:val="single" w:sz="8" w:space="0" w:color="auto"/>
              <w:right w:val="single" w:sz="4" w:space="0" w:color="auto"/>
            </w:tcBorders>
            <w:shd w:val="clear" w:color="auto" w:fill="auto"/>
            <w:noWrap/>
            <w:vAlign w:val="center"/>
            <w:hideMark/>
          </w:tcPr>
          <w:p w14:paraId="292587A5" w14:textId="77777777" w:rsidR="00333C07" w:rsidRPr="00333C07" w:rsidRDefault="00333C07" w:rsidP="00333C07">
            <w:pPr>
              <w:rPr>
                <w:rFonts w:cs="Arial"/>
                <w:color w:val="000000"/>
                <w:sz w:val="16"/>
                <w:szCs w:val="16"/>
                <w:lang w:val="en-US" w:eastAsia="en-US"/>
              </w:rPr>
            </w:pPr>
            <w:r w:rsidRPr="00333C07">
              <w:rPr>
                <w:rFonts w:cs="Arial"/>
                <w:color w:val="000000"/>
                <w:sz w:val="16"/>
                <w:szCs w:val="16"/>
                <w:lang w:val="en-US" w:eastAsia="en-US"/>
              </w:rPr>
              <w:t xml:space="preserve"> AUD                   38 </w:t>
            </w:r>
          </w:p>
        </w:tc>
        <w:tc>
          <w:tcPr>
            <w:tcW w:w="1755" w:type="dxa"/>
            <w:tcBorders>
              <w:top w:val="single" w:sz="4" w:space="0" w:color="auto"/>
              <w:left w:val="nil"/>
              <w:bottom w:val="single" w:sz="8" w:space="0" w:color="auto"/>
              <w:right w:val="single" w:sz="4" w:space="0" w:color="auto"/>
            </w:tcBorders>
            <w:shd w:val="clear" w:color="auto" w:fill="auto"/>
            <w:noWrap/>
            <w:vAlign w:val="center"/>
            <w:hideMark/>
          </w:tcPr>
          <w:p w14:paraId="1FD19604" w14:textId="77777777" w:rsidR="00333C07" w:rsidRPr="00333C07" w:rsidRDefault="00333C07" w:rsidP="00333C07">
            <w:pPr>
              <w:rPr>
                <w:rFonts w:cs="Arial"/>
                <w:color w:val="000000"/>
                <w:sz w:val="16"/>
                <w:szCs w:val="16"/>
                <w:lang w:val="en-US" w:eastAsia="en-US"/>
              </w:rPr>
            </w:pPr>
            <w:r w:rsidRPr="00333C07">
              <w:rPr>
                <w:rFonts w:cs="Arial"/>
                <w:color w:val="000000"/>
                <w:sz w:val="16"/>
                <w:szCs w:val="16"/>
                <w:lang w:val="en-US" w:eastAsia="en-US"/>
              </w:rPr>
              <w:t xml:space="preserve"> AUD                   39 </w:t>
            </w:r>
          </w:p>
        </w:tc>
        <w:tc>
          <w:tcPr>
            <w:tcW w:w="1755" w:type="dxa"/>
            <w:tcBorders>
              <w:top w:val="single" w:sz="4" w:space="0" w:color="auto"/>
              <w:left w:val="nil"/>
              <w:bottom w:val="single" w:sz="8" w:space="0" w:color="auto"/>
              <w:right w:val="single" w:sz="4" w:space="0" w:color="auto"/>
            </w:tcBorders>
            <w:shd w:val="clear" w:color="auto" w:fill="auto"/>
            <w:noWrap/>
            <w:vAlign w:val="center"/>
            <w:hideMark/>
          </w:tcPr>
          <w:p w14:paraId="4674DF76" w14:textId="77777777" w:rsidR="00333C07" w:rsidRPr="00333C07" w:rsidRDefault="00333C07" w:rsidP="00333C07">
            <w:pPr>
              <w:rPr>
                <w:rFonts w:cs="Arial"/>
                <w:color w:val="000000"/>
                <w:sz w:val="16"/>
                <w:szCs w:val="16"/>
                <w:lang w:val="en-US" w:eastAsia="en-US"/>
              </w:rPr>
            </w:pPr>
            <w:r w:rsidRPr="00333C07">
              <w:rPr>
                <w:rFonts w:cs="Arial"/>
                <w:color w:val="000000"/>
                <w:sz w:val="16"/>
                <w:szCs w:val="16"/>
                <w:lang w:val="en-US" w:eastAsia="en-US"/>
              </w:rPr>
              <w:t xml:space="preserve"> AUD                   40 </w:t>
            </w:r>
          </w:p>
        </w:tc>
        <w:tc>
          <w:tcPr>
            <w:tcW w:w="1533" w:type="dxa"/>
            <w:tcBorders>
              <w:top w:val="single" w:sz="4" w:space="0" w:color="auto"/>
              <w:left w:val="nil"/>
              <w:bottom w:val="single" w:sz="8" w:space="0" w:color="auto"/>
              <w:right w:val="single" w:sz="8" w:space="0" w:color="auto"/>
            </w:tcBorders>
            <w:shd w:val="clear" w:color="auto" w:fill="auto"/>
            <w:noWrap/>
            <w:vAlign w:val="center"/>
            <w:hideMark/>
          </w:tcPr>
          <w:p w14:paraId="0CAD7AB3" w14:textId="77777777" w:rsidR="00333C07" w:rsidRPr="00333C07" w:rsidRDefault="00333C07" w:rsidP="00333C07">
            <w:pPr>
              <w:rPr>
                <w:rFonts w:cs="Arial"/>
                <w:color w:val="000000"/>
                <w:sz w:val="16"/>
                <w:szCs w:val="16"/>
                <w:lang w:val="en-US" w:eastAsia="en-US"/>
              </w:rPr>
            </w:pPr>
            <w:r w:rsidRPr="00333C07">
              <w:rPr>
                <w:rFonts w:cs="Arial"/>
                <w:color w:val="000000"/>
                <w:sz w:val="16"/>
                <w:szCs w:val="16"/>
                <w:lang w:val="en-US" w:eastAsia="en-US"/>
              </w:rPr>
              <w:t xml:space="preserve"> AUD              40 </w:t>
            </w:r>
          </w:p>
        </w:tc>
      </w:tr>
      <w:tr w:rsidR="00333C07" w:rsidRPr="00333C07" w14:paraId="774F1415" w14:textId="77777777" w:rsidTr="003B1DCD">
        <w:trPr>
          <w:trHeight w:val="525"/>
          <w:jc w:val="center"/>
        </w:trPr>
        <w:tc>
          <w:tcPr>
            <w:tcW w:w="62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6D6F9CE" w14:textId="77777777" w:rsidR="00333C07" w:rsidRPr="00333C07" w:rsidRDefault="00333C07" w:rsidP="00333C07">
            <w:pPr>
              <w:rPr>
                <w:rFonts w:cs="Arial"/>
                <w:b/>
                <w:bCs/>
                <w:color w:val="000000"/>
                <w:sz w:val="20"/>
                <w:szCs w:val="20"/>
                <w:lang w:val="en-US" w:eastAsia="en-US"/>
              </w:rPr>
            </w:pPr>
            <w:r w:rsidRPr="00333C07">
              <w:rPr>
                <w:rFonts w:cs="Arial"/>
                <w:b/>
                <w:bCs/>
                <w:color w:val="000000"/>
                <w:sz w:val="20"/>
                <w:szCs w:val="20"/>
                <w:lang w:val="en-US" w:eastAsia="en-US"/>
              </w:rPr>
              <w:t>BI</w:t>
            </w:r>
          </w:p>
        </w:tc>
        <w:tc>
          <w:tcPr>
            <w:tcW w:w="1939" w:type="dxa"/>
            <w:tcBorders>
              <w:top w:val="single" w:sz="4" w:space="0" w:color="auto"/>
              <w:left w:val="nil"/>
              <w:bottom w:val="single" w:sz="4" w:space="0" w:color="auto"/>
              <w:right w:val="single" w:sz="4" w:space="0" w:color="auto"/>
            </w:tcBorders>
            <w:shd w:val="clear" w:color="auto" w:fill="auto"/>
            <w:vAlign w:val="center"/>
            <w:hideMark/>
          </w:tcPr>
          <w:p w14:paraId="603A4041" w14:textId="77777777" w:rsidR="00333C07" w:rsidRPr="00333C07" w:rsidRDefault="00333C07" w:rsidP="00333C07">
            <w:pPr>
              <w:rPr>
                <w:rFonts w:cs="Arial"/>
                <w:color w:val="000000"/>
                <w:sz w:val="20"/>
                <w:szCs w:val="20"/>
                <w:lang w:val="en-US" w:eastAsia="en-US"/>
              </w:rPr>
            </w:pPr>
            <w:r w:rsidRPr="00333C07">
              <w:rPr>
                <w:rFonts w:cs="Arial"/>
                <w:color w:val="000000"/>
                <w:sz w:val="20"/>
                <w:szCs w:val="20"/>
                <w:lang w:val="en-US" w:eastAsia="en-US"/>
              </w:rPr>
              <w:t>Cost of Maxum/Soundtec</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5BFF773" w14:textId="77777777" w:rsidR="00333C07" w:rsidRPr="00333C07" w:rsidRDefault="004B4A8E" w:rsidP="00333C07">
            <w:pPr>
              <w:rPr>
                <w:rFonts w:cs="Arial"/>
                <w:color w:val="000000"/>
                <w:sz w:val="16"/>
                <w:szCs w:val="16"/>
                <w:lang w:val="en-US" w:eastAsia="en-US"/>
              </w:rPr>
            </w:pPr>
            <w:r w:rsidRPr="004B4A8E">
              <w:rPr>
                <w:rFonts w:cs="Arial"/>
                <w:color w:val="000000"/>
                <w:sz w:val="16"/>
                <w:szCs w:val="16"/>
                <w:lang w:val="en-US" w:eastAsia="en-US"/>
              </w:rPr>
              <w:fldChar w:fldCharType="begin"/>
            </w:r>
            <w:r w:rsidRPr="004B4A8E">
              <w:rPr>
                <w:rFonts w:cs="Arial"/>
                <w:color w:val="000000"/>
                <w:sz w:val="16"/>
                <w:szCs w:val="16"/>
                <w:lang w:val="en-US" w:eastAsia="en-US"/>
              </w:rPr>
              <w:instrText xml:space="preserve"> REF _Ref334453724 \h </w:instrText>
            </w:r>
            <w:r>
              <w:rPr>
                <w:rFonts w:cs="Arial"/>
                <w:color w:val="000000"/>
                <w:sz w:val="16"/>
                <w:szCs w:val="16"/>
                <w:lang w:val="en-US" w:eastAsia="en-US"/>
              </w:rPr>
              <w:instrText xml:space="preserve"> \* MERGEFORMAT </w:instrText>
            </w:r>
            <w:r w:rsidRPr="004B4A8E">
              <w:rPr>
                <w:rFonts w:cs="Arial"/>
                <w:color w:val="000000"/>
                <w:sz w:val="16"/>
                <w:szCs w:val="16"/>
                <w:lang w:val="en-US" w:eastAsia="en-US"/>
              </w:rPr>
            </w:r>
            <w:r w:rsidRPr="004B4A8E">
              <w:rPr>
                <w:rFonts w:cs="Arial"/>
                <w:color w:val="000000"/>
                <w:sz w:val="16"/>
                <w:szCs w:val="16"/>
                <w:lang w:val="en-US" w:eastAsia="en-US"/>
              </w:rPr>
              <w:fldChar w:fldCharType="separate"/>
            </w:r>
            <w:r w:rsidR="00016592" w:rsidRPr="00016592">
              <w:rPr>
                <w:rFonts w:cs="Arial"/>
                <w:sz w:val="16"/>
                <w:szCs w:val="16"/>
                <w:lang w:val="x-none"/>
              </w:rPr>
              <w:t>Table 62</w:t>
            </w:r>
            <w:r w:rsidRPr="004B4A8E">
              <w:rPr>
                <w:rFonts w:cs="Arial"/>
                <w:color w:val="000000"/>
                <w:sz w:val="16"/>
                <w:szCs w:val="16"/>
                <w:lang w:val="en-US" w:eastAsia="en-US"/>
              </w:rPr>
              <w:fldChar w:fldCharType="end"/>
            </w:r>
            <w:r w:rsidR="00333C07" w:rsidRPr="00333C07">
              <w:rPr>
                <w:rFonts w:cs="Arial"/>
                <w:color w:val="000000"/>
                <w:sz w:val="16"/>
                <w:szCs w:val="16"/>
                <w:lang w:val="en-US" w:eastAsia="en-US"/>
              </w:rPr>
              <w:t>, row L x AUD 6848,44</w:t>
            </w:r>
          </w:p>
        </w:tc>
        <w:tc>
          <w:tcPr>
            <w:tcW w:w="1755" w:type="dxa"/>
            <w:tcBorders>
              <w:top w:val="single" w:sz="4" w:space="0" w:color="auto"/>
              <w:left w:val="nil"/>
              <w:bottom w:val="single" w:sz="8" w:space="0" w:color="auto"/>
              <w:right w:val="single" w:sz="4" w:space="0" w:color="auto"/>
            </w:tcBorders>
            <w:shd w:val="clear" w:color="auto" w:fill="auto"/>
            <w:noWrap/>
            <w:vAlign w:val="center"/>
            <w:hideMark/>
          </w:tcPr>
          <w:p w14:paraId="2084B798" w14:textId="77777777" w:rsidR="00333C07" w:rsidRPr="00333C07" w:rsidRDefault="00333C07" w:rsidP="00333C07">
            <w:pPr>
              <w:rPr>
                <w:rFonts w:cs="Arial"/>
                <w:color w:val="000000"/>
                <w:sz w:val="16"/>
                <w:szCs w:val="16"/>
                <w:lang w:val="en-US" w:eastAsia="en-US"/>
              </w:rPr>
            </w:pPr>
            <w:r w:rsidRPr="00333C07">
              <w:rPr>
                <w:rFonts w:cs="Arial"/>
                <w:color w:val="000000"/>
                <w:sz w:val="16"/>
                <w:szCs w:val="16"/>
                <w:lang w:val="en-US" w:eastAsia="en-US"/>
              </w:rPr>
              <w:t xml:space="preserve"> AUD          486.239 </w:t>
            </w:r>
          </w:p>
        </w:tc>
        <w:tc>
          <w:tcPr>
            <w:tcW w:w="1755" w:type="dxa"/>
            <w:tcBorders>
              <w:top w:val="single" w:sz="4" w:space="0" w:color="auto"/>
              <w:left w:val="nil"/>
              <w:bottom w:val="single" w:sz="8" w:space="0" w:color="auto"/>
              <w:right w:val="single" w:sz="4" w:space="0" w:color="auto"/>
            </w:tcBorders>
            <w:shd w:val="clear" w:color="auto" w:fill="auto"/>
            <w:noWrap/>
            <w:vAlign w:val="center"/>
            <w:hideMark/>
          </w:tcPr>
          <w:p w14:paraId="1E83FA44" w14:textId="77777777" w:rsidR="00333C07" w:rsidRPr="00333C07" w:rsidRDefault="00333C07" w:rsidP="00333C07">
            <w:pPr>
              <w:rPr>
                <w:rFonts w:cs="Arial"/>
                <w:color w:val="000000"/>
                <w:sz w:val="16"/>
                <w:szCs w:val="16"/>
                <w:lang w:val="en-US" w:eastAsia="en-US"/>
              </w:rPr>
            </w:pPr>
            <w:r w:rsidRPr="00333C07">
              <w:rPr>
                <w:rFonts w:cs="Arial"/>
                <w:color w:val="000000"/>
                <w:sz w:val="16"/>
                <w:szCs w:val="16"/>
                <w:lang w:val="en-US" w:eastAsia="en-US"/>
              </w:rPr>
              <w:t xml:space="preserve"> AUD          493.088 </w:t>
            </w:r>
          </w:p>
        </w:tc>
        <w:tc>
          <w:tcPr>
            <w:tcW w:w="1755" w:type="dxa"/>
            <w:tcBorders>
              <w:top w:val="single" w:sz="4" w:space="0" w:color="auto"/>
              <w:left w:val="nil"/>
              <w:bottom w:val="single" w:sz="8" w:space="0" w:color="auto"/>
              <w:right w:val="single" w:sz="4" w:space="0" w:color="auto"/>
            </w:tcBorders>
            <w:shd w:val="clear" w:color="auto" w:fill="auto"/>
            <w:noWrap/>
            <w:vAlign w:val="center"/>
            <w:hideMark/>
          </w:tcPr>
          <w:p w14:paraId="4824D772" w14:textId="77777777" w:rsidR="00333C07" w:rsidRPr="00333C07" w:rsidRDefault="00333C07" w:rsidP="00333C07">
            <w:pPr>
              <w:rPr>
                <w:rFonts w:cs="Arial"/>
                <w:color w:val="000000"/>
                <w:sz w:val="16"/>
                <w:szCs w:val="16"/>
                <w:lang w:val="en-US" w:eastAsia="en-US"/>
              </w:rPr>
            </w:pPr>
            <w:r w:rsidRPr="00333C07">
              <w:rPr>
                <w:rFonts w:cs="Arial"/>
                <w:color w:val="000000"/>
                <w:sz w:val="16"/>
                <w:szCs w:val="16"/>
                <w:lang w:val="en-US" w:eastAsia="en-US"/>
              </w:rPr>
              <w:t xml:space="preserve"> AUD          506.785 </w:t>
            </w:r>
          </w:p>
        </w:tc>
        <w:tc>
          <w:tcPr>
            <w:tcW w:w="1755" w:type="dxa"/>
            <w:tcBorders>
              <w:top w:val="single" w:sz="4" w:space="0" w:color="auto"/>
              <w:left w:val="nil"/>
              <w:bottom w:val="single" w:sz="8" w:space="0" w:color="auto"/>
              <w:right w:val="single" w:sz="4" w:space="0" w:color="auto"/>
            </w:tcBorders>
            <w:shd w:val="clear" w:color="auto" w:fill="auto"/>
            <w:noWrap/>
            <w:vAlign w:val="center"/>
            <w:hideMark/>
          </w:tcPr>
          <w:p w14:paraId="486A1AF6" w14:textId="77777777" w:rsidR="00333C07" w:rsidRPr="00333C07" w:rsidRDefault="00333C07" w:rsidP="00333C07">
            <w:pPr>
              <w:rPr>
                <w:rFonts w:cs="Arial"/>
                <w:color w:val="000000"/>
                <w:sz w:val="16"/>
                <w:szCs w:val="16"/>
                <w:lang w:val="en-US" w:eastAsia="en-US"/>
              </w:rPr>
            </w:pPr>
            <w:r w:rsidRPr="00333C07">
              <w:rPr>
                <w:rFonts w:cs="Arial"/>
                <w:color w:val="000000"/>
                <w:sz w:val="16"/>
                <w:szCs w:val="16"/>
                <w:lang w:val="en-US" w:eastAsia="en-US"/>
              </w:rPr>
              <w:t xml:space="preserve"> AUD          513.633 </w:t>
            </w:r>
          </w:p>
        </w:tc>
        <w:tc>
          <w:tcPr>
            <w:tcW w:w="1755" w:type="dxa"/>
            <w:tcBorders>
              <w:top w:val="single" w:sz="4" w:space="0" w:color="auto"/>
              <w:left w:val="nil"/>
              <w:bottom w:val="single" w:sz="8" w:space="0" w:color="auto"/>
              <w:right w:val="single" w:sz="4" w:space="0" w:color="auto"/>
            </w:tcBorders>
            <w:shd w:val="clear" w:color="auto" w:fill="auto"/>
            <w:noWrap/>
            <w:vAlign w:val="center"/>
            <w:hideMark/>
          </w:tcPr>
          <w:p w14:paraId="29993472" w14:textId="77777777" w:rsidR="00333C07" w:rsidRPr="00333C07" w:rsidRDefault="00333C07" w:rsidP="00333C07">
            <w:pPr>
              <w:rPr>
                <w:rFonts w:cs="Arial"/>
                <w:color w:val="000000"/>
                <w:sz w:val="16"/>
                <w:szCs w:val="16"/>
                <w:lang w:val="en-US" w:eastAsia="en-US"/>
              </w:rPr>
            </w:pPr>
            <w:r w:rsidRPr="00333C07">
              <w:rPr>
                <w:rFonts w:cs="Arial"/>
                <w:color w:val="000000"/>
                <w:sz w:val="16"/>
                <w:szCs w:val="16"/>
                <w:lang w:val="en-US" w:eastAsia="en-US"/>
              </w:rPr>
              <w:t xml:space="preserve"> AUD          520.481 </w:t>
            </w:r>
          </w:p>
        </w:tc>
        <w:tc>
          <w:tcPr>
            <w:tcW w:w="1533" w:type="dxa"/>
            <w:tcBorders>
              <w:top w:val="single" w:sz="4" w:space="0" w:color="auto"/>
              <w:left w:val="nil"/>
              <w:bottom w:val="single" w:sz="8" w:space="0" w:color="auto"/>
              <w:right w:val="single" w:sz="8" w:space="0" w:color="auto"/>
            </w:tcBorders>
            <w:shd w:val="clear" w:color="auto" w:fill="auto"/>
            <w:noWrap/>
            <w:vAlign w:val="center"/>
            <w:hideMark/>
          </w:tcPr>
          <w:p w14:paraId="757DD486" w14:textId="77777777" w:rsidR="00333C07" w:rsidRPr="00333C07" w:rsidRDefault="00333C07" w:rsidP="00333C07">
            <w:pPr>
              <w:rPr>
                <w:rFonts w:cs="Arial"/>
                <w:color w:val="000000"/>
                <w:sz w:val="16"/>
                <w:szCs w:val="16"/>
                <w:lang w:val="en-US" w:eastAsia="en-US"/>
              </w:rPr>
            </w:pPr>
            <w:r w:rsidRPr="00333C07">
              <w:rPr>
                <w:rFonts w:cs="Arial"/>
                <w:color w:val="000000"/>
                <w:sz w:val="16"/>
                <w:szCs w:val="16"/>
                <w:lang w:val="en-US" w:eastAsia="en-US"/>
              </w:rPr>
              <w:t xml:space="preserve"> AUD     527.330 </w:t>
            </w:r>
          </w:p>
        </w:tc>
      </w:tr>
      <w:tr w:rsidR="00333C07" w:rsidRPr="00333C07" w14:paraId="2445776A" w14:textId="77777777" w:rsidTr="003B1DCD">
        <w:trPr>
          <w:trHeight w:val="525"/>
          <w:jc w:val="center"/>
        </w:trPr>
        <w:tc>
          <w:tcPr>
            <w:tcW w:w="628" w:type="dxa"/>
            <w:tcBorders>
              <w:top w:val="nil"/>
              <w:left w:val="single" w:sz="8" w:space="0" w:color="auto"/>
              <w:bottom w:val="single" w:sz="8" w:space="0" w:color="auto"/>
              <w:right w:val="single" w:sz="4" w:space="0" w:color="auto"/>
            </w:tcBorders>
            <w:shd w:val="clear" w:color="auto" w:fill="auto"/>
            <w:noWrap/>
            <w:vAlign w:val="center"/>
            <w:hideMark/>
          </w:tcPr>
          <w:p w14:paraId="2FC27020" w14:textId="77777777" w:rsidR="00333C07" w:rsidRPr="00333C07" w:rsidRDefault="00333C07" w:rsidP="00333C07">
            <w:pPr>
              <w:rPr>
                <w:rFonts w:cs="Arial"/>
                <w:b/>
                <w:bCs/>
                <w:color w:val="000000"/>
                <w:sz w:val="20"/>
                <w:szCs w:val="20"/>
                <w:lang w:val="en-US" w:eastAsia="en-US"/>
              </w:rPr>
            </w:pPr>
            <w:r w:rsidRPr="00333C07">
              <w:rPr>
                <w:rFonts w:cs="Arial"/>
                <w:b/>
                <w:bCs/>
                <w:color w:val="000000"/>
                <w:sz w:val="20"/>
                <w:szCs w:val="20"/>
                <w:lang w:val="en-US" w:eastAsia="en-US"/>
              </w:rPr>
              <w:t>BJ</w:t>
            </w:r>
          </w:p>
        </w:tc>
        <w:tc>
          <w:tcPr>
            <w:tcW w:w="1939" w:type="dxa"/>
            <w:tcBorders>
              <w:top w:val="nil"/>
              <w:left w:val="nil"/>
              <w:bottom w:val="single" w:sz="8" w:space="0" w:color="auto"/>
              <w:right w:val="single" w:sz="4" w:space="0" w:color="auto"/>
            </w:tcBorders>
            <w:shd w:val="clear" w:color="auto" w:fill="auto"/>
            <w:vAlign w:val="center"/>
            <w:hideMark/>
          </w:tcPr>
          <w:p w14:paraId="51545743" w14:textId="79390978" w:rsidR="00333C07" w:rsidRPr="00333C07" w:rsidRDefault="00333C07" w:rsidP="00137B87">
            <w:pPr>
              <w:rPr>
                <w:rFonts w:cs="Arial"/>
                <w:color w:val="000000"/>
                <w:sz w:val="20"/>
                <w:szCs w:val="20"/>
                <w:lang w:val="en-US" w:eastAsia="en-US"/>
              </w:rPr>
            </w:pPr>
            <w:r w:rsidRPr="00333C07">
              <w:rPr>
                <w:rFonts w:cs="Arial"/>
                <w:color w:val="000000"/>
                <w:sz w:val="20"/>
                <w:szCs w:val="20"/>
                <w:lang w:val="en-US" w:eastAsia="en-US"/>
              </w:rPr>
              <w:t xml:space="preserve">Cost of </w:t>
            </w:r>
            <w:r w:rsidR="00137B87">
              <w:rPr>
                <w:rFonts w:cs="Arial"/>
                <w:color w:val="000000"/>
                <w:sz w:val="20"/>
                <w:szCs w:val="20"/>
                <w:lang w:val="en-US" w:eastAsia="en-US"/>
              </w:rPr>
              <w:t>MAXUM</w:t>
            </w:r>
            <w:r w:rsidRPr="00333C07">
              <w:rPr>
                <w:rFonts w:cs="Arial"/>
                <w:color w:val="000000"/>
                <w:sz w:val="20"/>
                <w:szCs w:val="20"/>
                <w:lang w:val="en-US" w:eastAsia="en-US"/>
              </w:rPr>
              <w:t xml:space="preserve"> </w:t>
            </w:r>
            <w:r w:rsidR="000E4BB9">
              <w:rPr>
                <w:rFonts w:cs="Arial"/>
                <w:color w:val="000000"/>
                <w:sz w:val="20"/>
                <w:szCs w:val="20"/>
                <w:lang w:val="en-US" w:eastAsia="en-US"/>
              </w:rPr>
              <w:t>–</w:t>
            </w:r>
            <w:r w:rsidRPr="00333C07">
              <w:rPr>
                <w:rFonts w:cs="Arial"/>
                <w:color w:val="000000"/>
                <w:sz w:val="20"/>
                <w:szCs w:val="20"/>
                <w:lang w:val="en-US" w:eastAsia="en-US"/>
              </w:rPr>
              <w:t xml:space="preserve"> reimplantation</w:t>
            </w:r>
          </w:p>
        </w:tc>
        <w:tc>
          <w:tcPr>
            <w:tcW w:w="1417" w:type="dxa"/>
            <w:tcBorders>
              <w:top w:val="nil"/>
              <w:left w:val="nil"/>
              <w:bottom w:val="single" w:sz="8" w:space="0" w:color="auto"/>
              <w:right w:val="single" w:sz="4" w:space="0" w:color="auto"/>
            </w:tcBorders>
            <w:shd w:val="clear" w:color="auto" w:fill="auto"/>
            <w:vAlign w:val="center"/>
            <w:hideMark/>
          </w:tcPr>
          <w:p w14:paraId="2BA484CD" w14:textId="77777777" w:rsidR="00333C07" w:rsidRPr="00333C07" w:rsidRDefault="00333C07" w:rsidP="00333C07">
            <w:pPr>
              <w:rPr>
                <w:rFonts w:cs="Arial"/>
                <w:color w:val="000000"/>
                <w:sz w:val="16"/>
                <w:szCs w:val="16"/>
                <w:lang w:val="en-US" w:eastAsia="en-US"/>
              </w:rPr>
            </w:pPr>
            <w:r w:rsidRPr="00333C07">
              <w:rPr>
                <w:rFonts w:cs="Arial"/>
                <w:color w:val="000000"/>
                <w:sz w:val="16"/>
                <w:szCs w:val="16"/>
                <w:lang w:val="en-US" w:eastAsia="en-US"/>
              </w:rPr>
              <w:t>BI x 0,01</w:t>
            </w:r>
          </w:p>
        </w:tc>
        <w:tc>
          <w:tcPr>
            <w:tcW w:w="1755" w:type="dxa"/>
            <w:tcBorders>
              <w:top w:val="single" w:sz="4" w:space="0" w:color="auto"/>
              <w:left w:val="nil"/>
              <w:bottom w:val="single" w:sz="8" w:space="0" w:color="auto"/>
              <w:right w:val="single" w:sz="4" w:space="0" w:color="auto"/>
            </w:tcBorders>
            <w:shd w:val="clear" w:color="auto" w:fill="auto"/>
            <w:noWrap/>
            <w:vAlign w:val="center"/>
            <w:hideMark/>
          </w:tcPr>
          <w:p w14:paraId="61876FAE" w14:textId="77777777" w:rsidR="00333C07" w:rsidRPr="00333C07" w:rsidRDefault="00333C07" w:rsidP="00333C07">
            <w:pPr>
              <w:rPr>
                <w:rFonts w:cs="Arial"/>
                <w:color w:val="000000"/>
                <w:sz w:val="16"/>
                <w:szCs w:val="16"/>
                <w:lang w:val="en-US" w:eastAsia="en-US"/>
              </w:rPr>
            </w:pPr>
            <w:r w:rsidRPr="00333C07">
              <w:rPr>
                <w:rFonts w:cs="Arial"/>
                <w:color w:val="000000"/>
                <w:sz w:val="16"/>
                <w:szCs w:val="16"/>
                <w:lang w:val="en-US" w:eastAsia="en-US"/>
              </w:rPr>
              <w:t xml:space="preserve"> AUD              4.862 </w:t>
            </w:r>
          </w:p>
        </w:tc>
        <w:tc>
          <w:tcPr>
            <w:tcW w:w="1755" w:type="dxa"/>
            <w:tcBorders>
              <w:top w:val="single" w:sz="4" w:space="0" w:color="auto"/>
              <w:left w:val="nil"/>
              <w:bottom w:val="single" w:sz="8" w:space="0" w:color="auto"/>
              <w:right w:val="single" w:sz="4" w:space="0" w:color="auto"/>
            </w:tcBorders>
            <w:shd w:val="clear" w:color="auto" w:fill="auto"/>
            <w:noWrap/>
            <w:vAlign w:val="center"/>
            <w:hideMark/>
          </w:tcPr>
          <w:p w14:paraId="23D463CB" w14:textId="77777777" w:rsidR="00333C07" w:rsidRPr="00333C07" w:rsidRDefault="00333C07" w:rsidP="00333C07">
            <w:pPr>
              <w:rPr>
                <w:rFonts w:cs="Arial"/>
                <w:color w:val="000000"/>
                <w:sz w:val="16"/>
                <w:szCs w:val="16"/>
                <w:lang w:val="en-US" w:eastAsia="en-US"/>
              </w:rPr>
            </w:pPr>
            <w:r w:rsidRPr="00333C07">
              <w:rPr>
                <w:rFonts w:cs="Arial"/>
                <w:color w:val="000000"/>
                <w:sz w:val="16"/>
                <w:szCs w:val="16"/>
                <w:lang w:val="en-US" w:eastAsia="en-US"/>
              </w:rPr>
              <w:t xml:space="preserve"> AUD              4.931 </w:t>
            </w:r>
          </w:p>
        </w:tc>
        <w:tc>
          <w:tcPr>
            <w:tcW w:w="1755" w:type="dxa"/>
            <w:tcBorders>
              <w:top w:val="single" w:sz="4" w:space="0" w:color="auto"/>
              <w:left w:val="nil"/>
              <w:bottom w:val="single" w:sz="8" w:space="0" w:color="auto"/>
              <w:right w:val="single" w:sz="4" w:space="0" w:color="auto"/>
            </w:tcBorders>
            <w:shd w:val="clear" w:color="auto" w:fill="auto"/>
            <w:noWrap/>
            <w:vAlign w:val="center"/>
            <w:hideMark/>
          </w:tcPr>
          <w:p w14:paraId="260526B5" w14:textId="77777777" w:rsidR="00333C07" w:rsidRPr="00333C07" w:rsidRDefault="00333C07" w:rsidP="00333C07">
            <w:pPr>
              <w:rPr>
                <w:rFonts w:cs="Arial"/>
                <w:color w:val="000000"/>
                <w:sz w:val="16"/>
                <w:szCs w:val="16"/>
                <w:lang w:val="en-US" w:eastAsia="en-US"/>
              </w:rPr>
            </w:pPr>
            <w:r w:rsidRPr="00333C07">
              <w:rPr>
                <w:rFonts w:cs="Arial"/>
                <w:color w:val="000000"/>
                <w:sz w:val="16"/>
                <w:szCs w:val="16"/>
                <w:lang w:val="en-US" w:eastAsia="en-US"/>
              </w:rPr>
              <w:t xml:space="preserve"> AUD              5.068 </w:t>
            </w:r>
          </w:p>
        </w:tc>
        <w:tc>
          <w:tcPr>
            <w:tcW w:w="1755" w:type="dxa"/>
            <w:tcBorders>
              <w:top w:val="single" w:sz="4" w:space="0" w:color="auto"/>
              <w:left w:val="nil"/>
              <w:bottom w:val="single" w:sz="8" w:space="0" w:color="auto"/>
              <w:right w:val="single" w:sz="4" w:space="0" w:color="auto"/>
            </w:tcBorders>
            <w:shd w:val="clear" w:color="auto" w:fill="auto"/>
            <w:noWrap/>
            <w:vAlign w:val="center"/>
            <w:hideMark/>
          </w:tcPr>
          <w:p w14:paraId="2EAABDEE" w14:textId="77777777" w:rsidR="00333C07" w:rsidRPr="00333C07" w:rsidRDefault="00333C07" w:rsidP="00333C07">
            <w:pPr>
              <w:rPr>
                <w:rFonts w:cs="Arial"/>
                <w:color w:val="000000"/>
                <w:sz w:val="16"/>
                <w:szCs w:val="16"/>
                <w:lang w:val="en-US" w:eastAsia="en-US"/>
              </w:rPr>
            </w:pPr>
            <w:r w:rsidRPr="00333C07">
              <w:rPr>
                <w:rFonts w:cs="Arial"/>
                <w:color w:val="000000"/>
                <w:sz w:val="16"/>
                <w:szCs w:val="16"/>
                <w:lang w:val="en-US" w:eastAsia="en-US"/>
              </w:rPr>
              <w:t xml:space="preserve"> AUD              5.136 </w:t>
            </w:r>
          </w:p>
        </w:tc>
        <w:tc>
          <w:tcPr>
            <w:tcW w:w="1755" w:type="dxa"/>
            <w:tcBorders>
              <w:top w:val="single" w:sz="4" w:space="0" w:color="auto"/>
              <w:left w:val="nil"/>
              <w:bottom w:val="single" w:sz="8" w:space="0" w:color="auto"/>
              <w:right w:val="single" w:sz="4" w:space="0" w:color="auto"/>
            </w:tcBorders>
            <w:shd w:val="clear" w:color="auto" w:fill="auto"/>
            <w:noWrap/>
            <w:vAlign w:val="center"/>
            <w:hideMark/>
          </w:tcPr>
          <w:p w14:paraId="67451492" w14:textId="77777777" w:rsidR="00333C07" w:rsidRPr="00333C07" w:rsidRDefault="00333C07" w:rsidP="00333C07">
            <w:pPr>
              <w:rPr>
                <w:rFonts w:cs="Arial"/>
                <w:color w:val="000000"/>
                <w:sz w:val="16"/>
                <w:szCs w:val="16"/>
                <w:lang w:val="en-US" w:eastAsia="en-US"/>
              </w:rPr>
            </w:pPr>
            <w:r w:rsidRPr="00333C07">
              <w:rPr>
                <w:rFonts w:cs="Arial"/>
                <w:color w:val="000000"/>
                <w:sz w:val="16"/>
                <w:szCs w:val="16"/>
                <w:lang w:val="en-US" w:eastAsia="en-US"/>
              </w:rPr>
              <w:t xml:space="preserve"> AUD              5.205 </w:t>
            </w:r>
          </w:p>
        </w:tc>
        <w:tc>
          <w:tcPr>
            <w:tcW w:w="1533" w:type="dxa"/>
            <w:tcBorders>
              <w:top w:val="single" w:sz="4" w:space="0" w:color="auto"/>
              <w:left w:val="nil"/>
              <w:bottom w:val="single" w:sz="8" w:space="0" w:color="auto"/>
              <w:right w:val="single" w:sz="8" w:space="0" w:color="auto"/>
            </w:tcBorders>
            <w:shd w:val="clear" w:color="auto" w:fill="auto"/>
            <w:noWrap/>
            <w:vAlign w:val="center"/>
            <w:hideMark/>
          </w:tcPr>
          <w:p w14:paraId="60331F52" w14:textId="77777777" w:rsidR="00333C07" w:rsidRPr="00333C07" w:rsidRDefault="00333C07" w:rsidP="00333C07">
            <w:pPr>
              <w:rPr>
                <w:rFonts w:cs="Arial"/>
                <w:color w:val="000000"/>
                <w:sz w:val="16"/>
                <w:szCs w:val="16"/>
                <w:lang w:val="en-US" w:eastAsia="en-US"/>
              </w:rPr>
            </w:pPr>
            <w:r w:rsidRPr="00333C07">
              <w:rPr>
                <w:rFonts w:cs="Arial"/>
                <w:color w:val="000000"/>
                <w:sz w:val="16"/>
                <w:szCs w:val="16"/>
                <w:lang w:val="en-US" w:eastAsia="en-US"/>
              </w:rPr>
              <w:t xml:space="preserve"> AUD         5.273 </w:t>
            </w:r>
          </w:p>
        </w:tc>
      </w:tr>
      <w:tr w:rsidR="00333C07" w:rsidRPr="00333C07" w14:paraId="710B173F" w14:textId="77777777" w:rsidTr="003B1DCD">
        <w:trPr>
          <w:trHeight w:val="525"/>
          <w:jc w:val="center"/>
        </w:trPr>
        <w:tc>
          <w:tcPr>
            <w:tcW w:w="628"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1802E332" w14:textId="77777777" w:rsidR="00333C07" w:rsidRPr="00333C07" w:rsidRDefault="00333C07" w:rsidP="00333C07">
            <w:pPr>
              <w:rPr>
                <w:rFonts w:cs="Arial"/>
                <w:b/>
                <w:bCs/>
                <w:color w:val="000000"/>
                <w:sz w:val="20"/>
                <w:szCs w:val="20"/>
                <w:lang w:val="en-US" w:eastAsia="en-US"/>
              </w:rPr>
            </w:pPr>
            <w:r w:rsidRPr="00333C07">
              <w:rPr>
                <w:rFonts w:cs="Arial"/>
                <w:b/>
                <w:bCs/>
                <w:color w:val="000000"/>
                <w:sz w:val="20"/>
                <w:szCs w:val="20"/>
                <w:lang w:val="en-US" w:eastAsia="en-US"/>
              </w:rPr>
              <w:t>BK</w:t>
            </w:r>
          </w:p>
        </w:tc>
        <w:tc>
          <w:tcPr>
            <w:tcW w:w="1939" w:type="dxa"/>
            <w:tcBorders>
              <w:top w:val="single" w:sz="4" w:space="0" w:color="auto"/>
              <w:left w:val="nil"/>
              <w:bottom w:val="single" w:sz="8" w:space="0" w:color="auto"/>
              <w:right w:val="single" w:sz="4" w:space="0" w:color="auto"/>
            </w:tcBorders>
            <w:shd w:val="clear" w:color="auto" w:fill="auto"/>
            <w:vAlign w:val="center"/>
            <w:hideMark/>
          </w:tcPr>
          <w:p w14:paraId="41D2A5CB" w14:textId="77777777" w:rsidR="00333C07" w:rsidRPr="00333C07" w:rsidRDefault="00333C07" w:rsidP="00333C07">
            <w:pPr>
              <w:rPr>
                <w:rFonts w:cs="Arial"/>
                <w:color w:val="000000"/>
                <w:sz w:val="20"/>
                <w:szCs w:val="20"/>
                <w:lang w:val="en-US" w:eastAsia="en-US"/>
              </w:rPr>
            </w:pPr>
            <w:r w:rsidRPr="00333C07">
              <w:rPr>
                <w:rFonts w:cs="Arial"/>
                <w:color w:val="000000"/>
                <w:sz w:val="20"/>
                <w:szCs w:val="20"/>
                <w:lang w:val="en-US" w:eastAsia="en-US"/>
              </w:rPr>
              <w:t>Total cost of non-MBS services</w:t>
            </w:r>
          </w:p>
        </w:tc>
        <w:tc>
          <w:tcPr>
            <w:tcW w:w="1417" w:type="dxa"/>
            <w:tcBorders>
              <w:top w:val="single" w:sz="4" w:space="0" w:color="auto"/>
              <w:left w:val="nil"/>
              <w:bottom w:val="single" w:sz="8" w:space="0" w:color="auto"/>
              <w:right w:val="single" w:sz="4" w:space="0" w:color="auto"/>
            </w:tcBorders>
            <w:shd w:val="clear" w:color="auto" w:fill="auto"/>
            <w:vAlign w:val="center"/>
            <w:hideMark/>
          </w:tcPr>
          <w:p w14:paraId="492F322A" w14:textId="77777777" w:rsidR="00333C07" w:rsidRPr="00333C07" w:rsidRDefault="00333C07" w:rsidP="00333C07">
            <w:pPr>
              <w:rPr>
                <w:rFonts w:cs="Arial"/>
                <w:color w:val="000000"/>
                <w:sz w:val="16"/>
                <w:szCs w:val="16"/>
                <w:lang w:val="en-US" w:eastAsia="en-US"/>
              </w:rPr>
            </w:pPr>
            <w:r w:rsidRPr="00333C07">
              <w:rPr>
                <w:rFonts w:cs="Arial"/>
                <w:color w:val="000000"/>
                <w:sz w:val="16"/>
                <w:szCs w:val="16"/>
                <w:lang w:val="en-US" w:eastAsia="en-US"/>
              </w:rPr>
              <w:t>BG + BH + BI + BJ</w:t>
            </w:r>
          </w:p>
        </w:tc>
        <w:tc>
          <w:tcPr>
            <w:tcW w:w="1755" w:type="dxa"/>
            <w:tcBorders>
              <w:top w:val="single" w:sz="4" w:space="0" w:color="auto"/>
              <w:left w:val="nil"/>
              <w:bottom w:val="single" w:sz="8" w:space="0" w:color="auto"/>
              <w:right w:val="single" w:sz="4" w:space="0" w:color="auto"/>
            </w:tcBorders>
            <w:shd w:val="clear" w:color="auto" w:fill="auto"/>
            <w:noWrap/>
            <w:vAlign w:val="center"/>
            <w:hideMark/>
          </w:tcPr>
          <w:p w14:paraId="32A451CC" w14:textId="77777777" w:rsidR="00333C07" w:rsidRPr="00333C07" w:rsidRDefault="00333C07" w:rsidP="00333C07">
            <w:pPr>
              <w:rPr>
                <w:rFonts w:cs="Arial"/>
                <w:color w:val="000000"/>
                <w:sz w:val="16"/>
                <w:szCs w:val="16"/>
                <w:lang w:val="en-US" w:eastAsia="en-US"/>
              </w:rPr>
            </w:pPr>
            <w:r w:rsidRPr="00333C07">
              <w:rPr>
                <w:rFonts w:cs="Arial"/>
                <w:color w:val="000000"/>
                <w:sz w:val="16"/>
                <w:szCs w:val="16"/>
                <w:lang w:val="en-US" w:eastAsia="en-US"/>
              </w:rPr>
              <w:t xml:space="preserve"> AUD          494.831 </w:t>
            </w:r>
          </w:p>
        </w:tc>
        <w:tc>
          <w:tcPr>
            <w:tcW w:w="1755" w:type="dxa"/>
            <w:tcBorders>
              <w:top w:val="single" w:sz="4" w:space="0" w:color="auto"/>
              <w:left w:val="nil"/>
              <w:bottom w:val="single" w:sz="8" w:space="0" w:color="auto"/>
              <w:right w:val="single" w:sz="4" w:space="0" w:color="auto"/>
            </w:tcBorders>
            <w:shd w:val="clear" w:color="auto" w:fill="auto"/>
            <w:noWrap/>
            <w:vAlign w:val="center"/>
            <w:hideMark/>
          </w:tcPr>
          <w:p w14:paraId="64E2BF19" w14:textId="77777777" w:rsidR="00333C07" w:rsidRPr="00333C07" w:rsidRDefault="00333C07" w:rsidP="00333C07">
            <w:pPr>
              <w:rPr>
                <w:rFonts w:cs="Arial"/>
                <w:color w:val="000000"/>
                <w:sz w:val="16"/>
                <w:szCs w:val="16"/>
                <w:lang w:val="en-US" w:eastAsia="en-US"/>
              </w:rPr>
            </w:pPr>
            <w:r w:rsidRPr="00333C07">
              <w:rPr>
                <w:rFonts w:cs="Arial"/>
                <w:color w:val="000000"/>
                <w:sz w:val="16"/>
                <w:szCs w:val="16"/>
                <w:lang w:val="en-US" w:eastAsia="en-US"/>
              </w:rPr>
              <w:t xml:space="preserve"> AUD          501.800 </w:t>
            </w:r>
          </w:p>
        </w:tc>
        <w:tc>
          <w:tcPr>
            <w:tcW w:w="1755" w:type="dxa"/>
            <w:tcBorders>
              <w:top w:val="single" w:sz="4" w:space="0" w:color="auto"/>
              <w:left w:val="nil"/>
              <w:bottom w:val="single" w:sz="8" w:space="0" w:color="auto"/>
              <w:right w:val="single" w:sz="4" w:space="0" w:color="auto"/>
            </w:tcBorders>
            <w:shd w:val="clear" w:color="auto" w:fill="auto"/>
            <w:noWrap/>
            <w:vAlign w:val="center"/>
            <w:hideMark/>
          </w:tcPr>
          <w:p w14:paraId="69CA0090" w14:textId="77777777" w:rsidR="00333C07" w:rsidRPr="00333C07" w:rsidRDefault="00333C07" w:rsidP="00333C07">
            <w:pPr>
              <w:rPr>
                <w:rFonts w:cs="Arial"/>
                <w:color w:val="000000"/>
                <w:sz w:val="16"/>
                <w:szCs w:val="16"/>
                <w:lang w:val="en-US" w:eastAsia="en-US"/>
              </w:rPr>
            </w:pPr>
            <w:r w:rsidRPr="00333C07">
              <w:rPr>
                <w:rFonts w:cs="Arial"/>
                <w:color w:val="000000"/>
                <w:sz w:val="16"/>
                <w:szCs w:val="16"/>
                <w:lang w:val="en-US" w:eastAsia="en-US"/>
              </w:rPr>
              <w:t xml:space="preserve"> AUD          515.739 </w:t>
            </w:r>
          </w:p>
        </w:tc>
        <w:tc>
          <w:tcPr>
            <w:tcW w:w="1755" w:type="dxa"/>
            <w:tcBorders>
              <w:top w:val="single" w:sz="4" w:space="0" w:color="auto"/>
              <w:left w:val="nil"/>
              <w:bottom w:val="single" w:sz="8" w:space="0" w:color="auto"/>
              <w:right w:val="single" w:sz="4" w:space="0" w:color="auto"/>
            </w:tcBorders>
            <w:shd w:val="clear" w:color="auto" w:fill="auto"/>
            <w:noWrap/>
            <w:vAlign w:val="center"/>
            <w:hideMark/>
          </w:tcPr>
          <w:p w14:paraId="05849664" w14:textId="77777777" w:rsidR="00333C07" w:rsidRPr="00333C07" w:rsidRDefault="00333C07" w:rsidP="00333C07">
            <w:pPr>
              <w:rPr>
                <w:rFonts w:cs="Arial"/>
                <w:color w:val="000000"/>
                <w:sz w:val="16"/>
                <w:szCs w:val="16"/>
                <w:lang w:val="en-US" w:eastAsia="en-US"/>
              </w:rPr>
            </w:pPr>
            <w:r w:rsidRPr="00333C07">
              <w:rPr>
                <w:rFonts w:cs="Arial"/>
                <w:color w:val="000000"/>
                <w:sz w:val="16"/>
                <w:szCs w:val="16"/>
                <w:lang w:val="en-US" w:eastAsia="en-US"/>
              </w:rPr>
              <w:t xml:space="preserve"> AUD          522.708 </w:t>
            </w:r>
          </w:p>
        </w:tc>
        <w:tc>
          <w:tcPr>
            <w:tcW w:w="1755" w:type="dxa"/>
            <w:tcBorders>
              <w:top w:val="single" w:sz="4" w:space="0" w:color="auto"/>
              <w:left w:val="nil"/>
              <w:bottom w:val="single" w:sz="8" w:space="0" w:color="auto"/>
              <w:right w:val="single" w:sz="4" w:space="0" w:color="auto"/>
            </w:tcBorders>
            <w:shd w:val="clear" w:color="auto" w:fill="auto"/>
            <w:noWrap/>
            <w:vAlign w:val="center"/>
            <w:hideMark/>
          </w:tcPr>
          <w:p w14:paraId="4A8A3A64" w14:textId="77777777" w:rsidR="00333C07" w:rsidRPr="00333C07" w:rsidRDefault="00333C07" w:rsidP="00333C07">
            <w:pPr>
              <w:rPr>
                <w:rFonts w:cs="Arial"/>
                <w:color w:val="000000"/>
                <w:sz w:val="16"/>
                <w:szCs w:val="16"/>
                <w:lang w:val="en-US" w:eastAsia="en-US"/>
              </w:rPr>
            </w:pPr>
            <w:r w:rsidRPr="00333C07">
              <w:rPr>
                <w:rFonts w:cs="Arial"/>
                <w:color w:val="000000"/>
                <w:sz w:val="16"/>
                <w:szCs w:val="16"/>
                <w:lang w:val="en-US" w:eastAsia="en-US"/>
              </w:rPr>
              <w:t xml:space="preserve"> AUD          529.678 </w:t>
            </w:r>
          </w:p>
        </w:tc>
        <w:tc>
          <w:tcPr>
            <w:tcW w:w="1533" w:type="dxa"/>
            <w:tcBorders>
              <w:top w:val="single" w:sz="4" w:space="0" w:color="auto"/>
              <w:left w:val="nil"/>
              <w:bottom w:val="single" w:sz="8" w:space="0" w:color="auto"/>
              <w:right w:val="single" w:sz="8" w:space="0" w:color="auto"/>
            </w:tcBorders>
            <w:shd w:val="clear" w:color="auto" w:fill="auto"/>
            <w:noWrap/>
            <w:vAlign w:val="center"/>
            <w:hideMark/>
          </w:tcPr>
          <w:p w14:paraId="33EEF3C8" w14:textId="77777777" w:rsidR="00333C07" w:rsidRPr="00333C07" w:rsidRDefault="00333C07" w:rsidP="00333C07">
            <w:pPr>
              <w:rPr>
                <w:rFonts w:cs="Arial"/>
                <w:color w:val="000000"/>
                <w:sz w:val="16"/>
                <w:szCs w:val="16"/>
                <w:lang w:val="en-US" w:eastAsia="en-US"/>
              </w:rPr>
            </w:pPr>
            <w:r w:rsidRPr="00333C07">
              <w:rPr>
                <w:rFonts w:cs="Arial"/>
                <w:color w:val="000000"/>
                <w:sz w:val="16"/>
                <w:szCs w:val="16"/>
                <w:lang w:val="en-US" w:eastAsia="en-US"/>
              </w:rPr>
              <w:t xml:space="preserve"> AUD     536.647 </w:t>
            </w:r>
          </w:p>
        </w:tc>
      </w:tr>
    </w:tbl>
    <w:p w14:paraId="5DDEEBDE" w14:textId="77777777" w:rsidR="004B4A8E" w:rsidRPr="004D294A" w:rsidRDefault="004B4A8E" w:rsidP="004B4A8E">
      <w:pPr>
        <w:pStyle w:val="Tablecaption"/>
        <w:spacing w:line="360" w:lineRule="auto"/>
        <w:rPr>
          <w:rFonts w:ascii="Arial" w:hAnsi="Arial" w:cs="Arial"/>
          <w:lang w:val="en-AU"/>
        </w:rPr>
      </w:pPr>
      <w:bookmarkStart w:id="655" w:name="_Ref430954314"/>
      <w:bookmarkStart w:id="656" w:name="_Toc431917529"/>
      <w:r w:rsidRPr="004D294A">
        <w:rPr>
          <w:rFonts w:ascii="Arial" w:hAnsi="Arial" w:cs="Arial"/>
          <w:lang w:val="en-AU"/>
        </w:rPr>
        <w:lastRenderedPageBreak/>
        <w:t xml:space="preserve">Table </w:t>
      </w:r>
      <w:r w:rsidRPr="004D294A">
        <w:rPr>
          <w:rFonts w:ascii="Arial" w:hAnsi="Arial" w:cs="Arial"/>
          <w:lang w:val="en-AU"/>
        </w:rPr>
        <w:fldChar w:fldCharType="begin"/>
      </w:r>
      <w:r w:rsidRPr="004D294A">
        <w:rPr>
          <w:rFonts w:ascii="Arial" w:hAnsi="Arial" w:cs="Arial"/>
          <w:lang w:val="en-AU"/>
        </w:rPr>
        <w:instrText xml:space="preserve"> SEQ Table \* ARABIC </w:instrText>
      </w:r>
      <w:r w:rsidRPr="004D294A">
        <w:rPr>
          <w:rFonts w:ascii="Arial" w:hAnsi="Arial" w:cs="Arial"/>
          <w:lang w:val="en-AU"/>
        </w:rPr>
        <w:fldChar w:fldCharType="separate"/>
      </w:r>
      <w:r w:rsidR="00016592">
        <w:rPr>
          <w:rFonts w:ascii="Arial" w:hAnsi="Arial" w:cs="Arial"/>
          <w:noProof/>
          <w:lang w:val="en-AU"/>
        </w:rPr>
        <w:t>69</w:t>
      </w:r>
      <w:r w:rsidRPr="004D294A">
        <w:rPr>
          <w:rFonts w:ascii="Arial" w:hAnsi="Arial" w:cs="Arial"/>
          <w:lang w:val="en-AU"/>
        </w:rPr>
        <w:fldChar w:fldCharType="end"/>
      </w:r>
      <w:bookmarkEnd w:id="655"/>
      <w:r w:rsidRPr="004D294A">
        <w:rPr>
          <w:rFonts w:ascii="Arial" w:hAnsi="Arial" w:cs="Arial"/>
          <w:lang w:val="en-AU"/>
        </w:rPr>
        <w:t xml:space="preserve"> – Estimated </w:t>
      </w:r>
      <w:r>
        <w:rPr>
          <w:rFonts w:ascii="Arial" w:hAnsi="Arial" w:cs="Arial"/>
          <w:lang w:val="en-AU"/>
        </w:rPr>
        <w:t>total costs for both devices to the MBS</w:t>
      </w:r>
      <w:bookmarkEnd w:id="656"/>
    </w:p>
    <w:tbl>
      <w:tblPr>
        <w:tblW w:w="14697" w:type="dxa"/>
        <w:jc w:val="center"/>
        <w:tblLook w:val="04A0" w:firstRow="1" w:lastRow="0" w:firstColumn="1" w:lastColumn="0" w:noHBand="0" w:noVBand="1"/>
        <w:tblDescription w:val="Estimated total costs for both devices to the MBS"/>
      </w:tblPr>
      <w:tblGrid>
        <w:gridCol w:w="639"/>
        <w:gridCol w:w="2425"/>
        <w:gridCol w:w="1271"/>
        <w:gridCol w:w="1764"/>
        <w:gridCol w:w="1764"/>
        <w:gridCol w:w="1764"/>
        <w:gridCol w:w="1764"/>
        <w:gridCol w:w="1764"/>
        <w:gridCol w:w="1542"/>
      </w:tblGrid>
      <w:tr w:rsidR="004B4A8E" w:rsidRPr="004B4A8E" w14:paraId="7816291E" w14:textId="77777777" w:rsidTr="00BF0EEF">
        <w:trPr>
          <w:trHeight w:val="300"/>
          <w:jc w:val="center"/>
        </w:trPr>
        <w:tc>
          <w:tcPr>
            <w:tcW w:w="639"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C0B8CFF" w14:textId="77777777" w:rsidR="004B4A8E" w:rsidRPr="004B4A8E" w:rsidRDefault="004B4A8E" w:rsidP="004B4A8E">
            <w:pPr>
              <w:rPr>
                <w:rFonts w:cs="Arial"/>
                <w:b/>
                <w:bCs/>
                <w:color w:val="000000"/>
                <w:sz w:val="20"/>
                <w:szCs w:val="20"/>
                <w:lang w:val="en-US" w:eastAsia="en-US"/>
              </w:rPr>
            </w:pPr>
            <w:r w:rsidRPr="004B4A8E">
              <w:rPr>
                <w:rFonts w:cs="Arial"/>
                <w:b/>
                <w:bCs/>
                <w:color w:val="000000"/>
                <w:sz w:val="20"/>
                <w:szCs w:val="20"/>
                <w:lang w:val="en-US" w:eastAsia="en-US"/>
              </w:rPr>
              <w:t> </w:t>
            </w:r>
          </w:p>
        </w:tc>
        <w:tc>
          <w:tcPr>
            <w:tcW w:w="2425" w:type="dxa"/>
            <w:tcBorders>
              <w:top w:val="single" w:sz="8" w:space="0" w:color="auto"/>
              <w:left w:val="nil"/>
              <w:bottom w:val="single" w:sz="4" w:space="0" w:color="auto"/>
              <w:right w:val="single" w:sz="4" w:space="0" w:color="auto"/>
            </w:tcBorders>
            <w:shd w:val="clear" w:color="auto" w:fill="auto"/>
            <w:vAlign w:val="center"/>
            <w:hideMark/>
          </w:tcPr>
          <w:p w14:paraId="722CFB4F" w14:textId="77777777" w:rsidR="004B4A8E" w:rsidRPr="004B4A8E" w:rsidRDefault="004B4A8E" w:rsidP="004B4A8E">
            <w:pPr>
              <w:rPr>
                <w:rFonts w:cs="Arial"/>
                <w:b/>
                <w:bCs/>
                <w:color w:val="000000"/>
                <w:sz w:val="20"/>
                <w:szCs w:val="20"/>
                <w:lang w:val="en-US" w:eastAsia="en-US"/>
              </w:rPr>
            </w:pPr>
            <w:r w:rsidRPr="004B4A8E">
              <w:rPr>
                <w:rFonts w:cs="Arial"/>
                <w:b/>
                <w:bCs/>
                <w:color w:val="000000"/>
                <w:sz w:val="20"/>
                <w:szCs w:val="20"/>
                <w:lang w:val="en-US" w:eastAsia="en-US"/>
              </w:rPr>
              <w:t>Description</w:t>
            </w:r>
          </w:p>
        </w:tc>
        <w:tc>
          <w:tcPr>
            <w:tcW w:w="1271" w:type="dxa"/>
            <w:tcBorders>
              <w:top w:val="single" w:sz="8" w:space="0" w:color="auto"/>
              <w:left w:val="nil"/>
              <w:bottom w:val="single" w:sz="4" w:space="0" w:color="auto"/>
              <w:right w:val="single" w:sz="4" w:space="0" w:color="auto"/>
            </w:tcBorders>
            <w:shd w:val="clear" w:color="auto" w:fill="auto"/>
            <w:vAlign w:val="center"/>
            <w:hideMark/>
          </w:tcPr>
          <w:p w14:paraId="42B1FC63" w14:textId="77777777" w:rsidR="004B4A8E" w:rsidRPr="004B4A8E" w:rsidRDefault="004B4A8E" w:rsidP="004B4A8E">
            <w:pPr>
              <w:jc w:val="center"/>
              <w:rPr>
                <w:rFonts w:cs="Arial"/>
                <w:b/>
                <w:bCs/>
                <w:color w:val="000000"/>
                <w:sz w:val="16"/>
                <w:szCs w:val="16"/>
                <w:lang w:val="en-US" w:eastAsia="en-US"/>
              </w:rPr>
            </w:pPr>
            <w:r w:rsidRPr="004B4A8E">
              <w:rPr>
                <w:rFonts w:cs="Arial"/>
                <w:b/>
                <w:bCs/>
                <w:color w:val="000000"/>
                <w:sz w:val="16"/>
                <w:szCs w:val="16"/>
                <w:lang w:val="en-US" w:eastAsia="en-US"/>
              </w:rPr>
              <w:t>Method</w:t>
            </w:r>
          </w:p>
        </w:tc>
        <w:tc>
          <w:tcPr>
            <w:tcW w:w="1764" w:type="dxa"/>
            <w:tcBorders>
              <w:top w:val="single" w:sz="8" w:space="0" w:color="auto"/>
              <w:left w:val="nil"/>
              <w:bottom w:val="single" w:sz="4" w:space="0" w:color="auto"/>
              <w:right w:val="single" w:sz="4" w:space="0" w:color="auto"/>
            </w:tcBorders>
            <w:shd w:val="clear" w:color="auto" w:fill="auto"/>
            <w:noWrap/>
            <w:vAlign w:val="center"/>
            <w:hideMark/>
          </w:tcPr>
          <w:p w14:paraId="412C3104" w14:textId="77777777" w:rsidR="004B4A8E" w:rsidRPr="004B4A8E" w:rsidRDefault="004B4A8E" w:rsidP="004B4A8E">
            <w:pPr>
              <w:jc w:val="center"/>
              <w:rPr>
                <w:rFonts w:cs="Arial"/>
                <w:b/>
                <w:bCs/>
                <w:color w:val="000000"/>
                <w:sz w:val="16"/>
                <w:szCs w:val="16"/>
                <w:lang w:val="en-US" w:eastAsia="en-US"/>
              </w:rPr>
            </w:pPr>
            <w:r w:rsidRPr="004B4A8E">
              <w:rPr>
                <w:rFonts w:cs="Arial"/>
                <w:b/>
                <w:bCs/>
                <w:color w:val="000000"/>
                <w:sz w:val="16"/>
                <w:szCs w:val="16"/>
                <w:lang w:val="en-US" w:eastAsia="en-US"/>
              </w:rPr>
              <w:t>current (2016)</w:t>
            </w:r>
          </w:p>
        </w:tc>
        <w:tc>
          <w:tcPr>
            <w:tcW w:w="1764" w:type="dxa"/>
            <w:tcBorders>
              <w:top w:val="single" w:sz="8" w:space="0" w:color="auto"/>
              <w:left w:val="nil"/>
              <w:bottom w:val="single" w:sz="4" w:space="0" w:color="auto"/>
              <w:right w:val="single" w:sz="4" w:space="0" w:color="auto"/>
            </w:tcBorders>
            <w:shd w:val="clear" w:color="auto" w:fill="auto"/>
            <w:noWrap/>
            <w:vAlign w:val="center"/>
            <w:hideMark/>
          </w:tcPr>
          <w:p w14:paraId="57613221" w14:textId="77777777" w:rsidR="004B4A8E" w:rsidRPr="004B4A8E" w:rsidRDefault="004B4A8E" w:rsidP="004B4A8E">
            <w:pPr>
              <w:jc w:val="center"/>
              <w:rPr>
                <w:rFonts w:cs="Arial"/>
                <w:b/>
                <w:bCs/>
                <w:color w:val="000000"/>
                <w:sz w:val="16"/>
                <w:szCs w:val="16"/>
                <w:lang w:val="en-US" w:eastAsia="en-US"/>
              </w:rPr>
            </w:pPr>
            <w:r w:rsidRPr="004B4A8E">
              <w:rPr>
                <w:rFonts w:cs="Arial"/>
                <w:b/>
                <w:bCs/>
                <w:color w:val="000000"/>
                <w:sz w:val="16"/>
                <w:szCs w:val="16"/>
                <w:lang w:val="en-US" w:eastAsia="en-US"/>
              </w:rPr>
              <w:t>2017</w:t>
            </w:r>
          </w:p>
        </w:tc>
        <w:tc>
          <w:tcPr>
            <w:tcW w:w="1764" w:type="dxa"/>
            <w:tcBorders>
              <w:top w:val="single" w:sz="8" w:space="0" w:color="auto"/>
              <w:left w:val="nil"/>
              <w:bottom w:val="single" w:sz="4" w:space="0" w:color="auto"/>
              <w:right w:val="single" w:sz="4" w:space="0" w:color="auto"/>
            </w:tcBorders>
            <w:shd w:val="clear" w:color="auto" w:fill="auto"/>
            <w:noWrap/>
            <w:vAlign w:val="center"/>
            <w:hideMark/>
          </w:tcPr>
          <w:p w14:paraId="46CD075C" w14:textId="77777777" w:rsidR="004B4A8E" w:rsidRPr="004B4A8E" w:rsidRDefault="004B4A8E" w:rsidP="004B4A8E">
            <w:pPr>
              <w:jc w:val="center"/>
              <w:rPr>
                <w:rFonts w:cs="Arial"/>
                <w:b/>
                <w:bCs/>
                <w:color w:val="000000"/>
                <w:sz w:val="16"/>
                <w:szCs w:val="16"/>
                <w:lang w:val="en-US" w:eastAsia="en-US"/>
              </w:rPr>
            </w:pPr>
            <w:r w:rsidRPr="004B4A8E">
              <w:rPr>
                <w:rFonts w:cs="Arial"/>
                <w:b/>
                <w:bCs/>
                <w:color w:val="000000"/>
                <w:sz w:val="16"/>
                <w:szCs w:val="16"/>
                <w:lang w:val="en-US" w:eastAsia="en-US"/>
              </w:rPr>
              <w:t>2018</w:t>
            </w:r>
          </w:p>
        </w:tc>
        <w:tc>
          <w:tcPr>
            <w:tcW w:w="1764" w:type="dxa"/>
            <w:tcBorders>
              <w:top w:val="single" w:sz="8" w:space="0" w:color="auto"/>
              <w:left w:val="nil"/>
              <w:bottom w:val="single" w:sz="4" w:space="0" w:color="auto"/>
              <w:right w:val="single" w:sz="4" w:space="0" w:color="auto"/>
            </w:tcBorders>
            <w:shd w:val="clear" w:color="auto" w:fill="auto"/>
            <w:noWrap/>
            <w:vAlign w:val="center"/>
            <w:hideMark/>
          </w:tcPr>
          <w:p w14:paraId="42A0396D" w14:textId="77777777" w:rsidR="004B4A8E" w:rsidRPr="004B4A8E" w:rsidRDefault="004B4A8E" w:rsidP="004B4A8E">
            <w:pPr>
              <w:jc w:val="center"/>
              <w:rPr>
                <w:rFonts w:cs="Arial"/>
                <w:b/>
                <w:bCs/>
                <w:color w:val="000000"/>
                <w:sz w:val="16"/>
                <w:szCs w:val="16"/>
                <w:lang w:val="en-US" w:eastAsia="en-US"/>
              </w:rPr>
            </w:pPr>
            <w:r w:rsidRPr="004B4A8E">
              <w:rPr>
                <w:rFonts w:cs="Arial"/>
                <w:b/>
                <w:bCs/>
                <w:color w:val="000000"/>
                <w:sz w:val="16"/>
                <w:szCs w:val="16"/>
                <w:lang w:val="en-US" w:eastAsia="en-US"/>
              </w:rPr>
              <w:t>2019</w:t>
            </w:r>
          </w:p>
        </w:tc>
        <w:tc>
          <w:tcPr>
            <w:tcW w:w="1764" w:type="dxa"/>
            <w:tcBorders>
              <w:top w:val="single" w:sz="8" w:space="0" w:color="auto"/>
              <w:left w:val="nil"/>
              <w:bottom w:val="single" w:sz="4" w:space="0" w:color="auto"/>
              <w:right w:val="single" w:sz="4" w:space="0" w:color="auto"/>
            </w:tcBorders>
            <w:shd w:val="clear" w:color="auto" w:fill="auto"/>
            <w:noWrap/>
            <w:vAlign w:val="center"/>
            <w:hideMark/>
          </w:tcPr>
          <w:p w14:paraId="17C7DEBF" w14:textId="77777777" w:rsidR="004B4A8E" w:rsidRPr="004B4A8E" w:rsidRDefault="004B4A8E" w:rsidP="004B4A8E">
            <w:pPr>
              <w:jc w:val="center"/>
              <w:rPr>
                <w:rFonts w:cs="Arial"/>
                <w:b/>
                <w:bCs/>
                <w:color w:val="000000"/>
                <w:sz w:val="16"/>
                <w:szCs w:val="16"/>
                <w:lang w:val="en-US" w:eastAsia="en-US"/>
              </w:rPr>
            </w:pPr>
            <w:r w:rsidRPr="004B4A8E">
              <w:rPr>
                <w:rFonts w:cs="Arial"/>
                <w:b/>
                <w:bCs/>
                <w:color w:val="000000"/>
                <w:sz w:val="16"/>
                <w:szCs w:val="16"/>
                <w:lang w:val="en-US" w:eastAsia="en-US"/>
              </w:rPr>
              <w:t>2020</w:t>
            </w:r>
          </w:p>
        </w:tc>
        <w:tc>
          <w:tcPr>
            <w:tcW w:w="1542" w:type="dxa"/>
            <w:tcBorders>
              <w:top w:val="single" w:sz="8" w:space="0" w:color="auto"/>
              <w:left w:val="nil"/>
              <w:bottom w:val="single" w:sz="4" w:space="0" w:color="auto"/>
              <w:right w:val="single" w:sz="8" w:space="0" w:color="auto"/>
            </w:tcBorders>
            <w:shd w:val="clear" w:color="auto" w:fill="auto"/>
            <w:noWrap/>
            <w:vAlign w:val="center"/>
            <w:hideMark/>
          </w:tcPr>
          <w:p w14:paraId="69B8F830" w14:textId="77777777" w:rsidR="004B4A8E" w:rsidRPr="004B4A8E" w:rsidRDefault="004B4A8E" w:rsidP="004B4A8E">
            <w:pPr>
              <w:jc w:val="center"/>
              <w:rPr>
                <w:rFonts w:cs="Arial"/>
                <w:b/>
                <w:bCs/>
                <w:color w:val="000000"/>
                <w:sz w:val="16"/>
                <w:szCs w:val="16"/>
                <w:lang w:val="en-US" w:eastAsia="en-US"/>
              </w:rPr>
            </w:pPr>
            <w:r w:rsidRPr="004B4A8E">
              <w:rPr>
                <w:rFonts w:cs="Arial"/>
                <w:b/>
                <w:bCs/>
                <w:color w:val="000000"/>
                <w:sz w:val="16"/>
                <w:szCs w:val="16"/>
                <w:lang w:val="en-US" w:eastAsia="en-US"/>
              </w:rPr>
              <w:t>2021</w:t>
            </w:r>
          </w:p>
        </w:tc>
      </w:tr>
      <w:tr w:rsidR="004B4A8E" w:rsidRPr="004B4A8E" w14:paraId="62F0D3CD" w14:textId="77777777" w:rsidTr="00BF0EEF">
        <w:trPr>
          <w:trHeight w:val="300"/>
          <w:jc w:val="center"/>
        </w:trPr>
        <w:tc>
          <w:tcPr>
            <w:tcW w:w="639" w:type="dxa"/>
            <w:tcBorders>
              <w:top w:val="nil"/>
              <w:left w:val="single" w:sz="8" w:space="0" w:color="auto"/>
              <w:bottom w:val="single" w:sz="4" w:space="0" w:color="auto"/>
              <w:right w:val="single" w:sz="4" w:space="0" w:color="auto"/>
            </w:tcBorders>
            <w:shd w:val="clear" w:color="auto" w:fill="auto"/>
            <w:noWrap/>
            <w:vAlign w:val="center"/>
            <w:hideMark/>
          </w:tcPr>
          <w:p w14:paraId="05346262" w14:textId="77777777" w:rsidR="004B4A8E" w:rsidRPr="004B4A8E" w:rsidRDefault="004B4A8E" w:rsidP="004B4A8E">
            <w:pPr>
              <w:rPr>
                <w:rFonts w:cs="Arial"/>
                <w:b/>
                <w:bCs/>
                <w:color w:val="000000"/>
                <w:sz w:val="20"/>
                <w:szCs w:val="20"/>
                <w:lang w:val="en-US" w:eastAsia="en-US"/>
              </w:rPr>
            </w:pPr>
            <w:r w:rsidRPr="004B4A8E">
              <w:rPr>
                <w:rFonts w:cs="Arial"/>
                <w:b/>
                <w:bCs/>
                <w:color w:val="000000"/>
                <w:sz w:val="20"/>
                <w:szCs w:val="20"/>
                <w:lang w:val="en-US" w:eastAsia="en-US"/>
              </w:rPr>
              <w:t> </w:t>
            </w:r>
          </w:p>
        </w:tc>
        <w:tc>
          <w:tcPr>
            <w:tcW w:w="14058" w:type="dxa"/>
            <w:gridSpan w:val="8"/>
            <w:tcBorders>
              <w:top w:val="single" w:sz="4" w:space="0" w:color="auto"/>
              <w:left w:val="single" w:sz="4" w:space="0" w:color="auto"/>
              <w:bottom w:val="single" w:sz="4" w:space="0" w:color="auto"/>
              <w:right w:val="single" w:sz="8" w:space="0" w:color="000000"/>
            </w:tcBorders>
            <w:shd w:val="clear" w:color="auto" w:fill="auto"/>
            <w:vAlign w:val="center"/>
            <w:hideMark/>
          </w:tcPr>
          <w:p w14:paraId="45AEEE17" w14:textId="77777777" w:rsidR="004B4A8E" w:rsidRPr="004B4A8E" w:rsidRDefault="004B4A8E" w:rsidP="004B4A8E">
            <w:pPr>
              <w:rPr>
                <w:rFonts w:cs="Arial"/>
                <w:b/>
                <w:bCs/>
                <w:color w:val="000000"/>
                <w:lang w:val="en-US" w:eastAsia="en-US"/>
              </w:rPr>
            </w:pPr>
            <w:r w:rsidRPr="004B4A8E">
              <w:rPr>
                <w:rFonts w:cs="Arial"/>
                <w:b/>
                <w:bCs/>
                <w:color w:val="000000"/>
                <w:lang w:val="en-US" w:eastAsia="en-US"/>
              </w:rPr>
              <w:t>VSB</w:t>
            </w:r>
          </w:p>
        </w:tc>
      </w:tr>
      <w:tr w:rsidR="004B4A8E" w:rsidRPr="004B4A8E" w14:paraId="018B1BCB" w14:textId="77777777" w:rsidTr="00BF0EEF">
        <w:trPr>
          <w:trHeight w:val="570"/>
          <w:jc w:val="center"/>
        </w:trPr>
        <w:tc>
          <w:tcPr>
            <w:tcW w:w="639" w:type="dxa"/>
            <w:tcBorders>
              <w:top w:val="nil"/>
              <w:left w:val="single" w:sz="8" w:space="0" w:color="auto"/>
              <w:bottom w:val="single" w:sz="4" w:space="0" w:color="auto"/>
              <w:right w:val="single" w:sz="4" w:space="0" w:color="auto"/>
            </w:tcBorders>
            <w:shd w:val="clear" w:color="auto" w:fill="auto"/>
            <w:noWrap/>
            <w:vAlign w:val="center"/>
            <w:hideMark/>
          </w:tcPr>
          <w:p w14:paraId="4BFA4B72" w14:textId="77777777" w:rsidR="004B4A8E" w:rsidRPr="004B4A8E" w:rsidRDefault="004B4A8E" w:rsidP="004B4A8E">
            <w:pPr>
              <w:rPr>
                <w:rFonts w:cs="Arial"/>
                <w:b/>
                <w:bCs/>
                <w:color w:val="000000"/>
                <w:sz w:val="20"/>
                <w:szCs w:val="20"/>
                <w:lang w:val="en-US" w:eastAsia="en-US"/>
              </w:rPr>
            </w:pPr>
            <w:r w:rsidRPr="004B4A8E">
              <w:rPr>
                <w:rFonts w:cs="Arial"/>
                <w:b/>
                <w:bCs/>
                <w:color w:val="000000"/>
                <w:sz w:val="20"/>
                <w:szCs w:val="20"/>
                <w:lang w:val="en-US" w:eastAsia="en-US"/>
              </w:rPr>
              <w:t>BL</w:t>
            </w:r>
          </w:p>
        </w:tc>
        <w:tc>
          <w:tcPr>
            <w:tcW w:w="2425" w:type="dxa"/>
            <w:tcBorders>
              <w:top w:val="nil"/>
              <w:left w:val="nil"/>
              <w:bottom w:val="single" w:sz="4" w:space="0" w:color="auto"/>
              <w:right w:val="single" w:sz="4" w:space="0" w:color="auto"/>
            </w:tcBorders>
            <w:shd w:val="clear" w:color="auto" w:fill="auto"/>
            <w:vAlign w:val="center"/>
            <w:hideMark/>
          </w:tcPr>
          <w:p w14:paraId="5C2D2470" w14:textId="77777777" w:rsidR="004B4A8E" w:rsidRPr="004B4A8E" w:rsidRDefault="004B4A8E" w:rsidP="004B4A8E">
            <w:pPr>
              <w:rPr>
                <w:rFonts w:cs="Arial"/>
                <w:color w:val="000000"/>
                <w:sz w:val="20"/>
                <w:szCs w:val="20"/>
                <w:lang w:val="en-US" w:eastAsia="en-US"/>
              </w:rPr>
            </w:pPr>
            <w:r w:rsidRPr="004B4A8E">
              <w:rPr>
                <w:rFonts w:cs="Arial"/>
                <w:color w:val="000000"/>
                <w:sz w:val="20"/>
                <w:szCs w:val="20"/>
                <w:lang w:val="en-US" w:eastAsia="en-US"/>
              </w:rPr>
              <w:t>Cost to MBS of the proposed item</w:t>
            </w:r>
            <w:r w:rsidR="002F2D29" w:rsidRPr="002F2D29">
              <w:rPr>
                <w:rFonts w:cs="Arial"/>
                <w:color w:val="000000"/>
                <w:sz w:val="20"/>
                <w:szCs w:val="20"/>
                <w:vertAlign w:val="superscript"/>
                <w:lang w:val="en-US" w:eastAsia="en-US"/>
              </w:rPr>
              <w:t>a</w:t>
            </w:r>
          </w:p>
        </w:tc>
        <w:tc>
          <w:tcPr>
            <w:tcW w:w="1271" w:type="dxa"/>
            <w:tcBorders>
              <w:top w:val="nil"/>
              <w:left w:val="nil"/>
              <w:bottom w:val="single" w:sz="4" w:space="0" w:color="auto"/>
              <w:right w:val="single" w:sz="4" w:space="0" w:color="auto"/>
            </w:tcBorders>
            <w:shd w:val="clear" w:color="auto" w:fill="auto"/>
            <w:vAlign w:val="center"/>
            <w:hideMark/>
          </w:tcPr>
          <w:p w14:paraId="4ADBB63A" w14:textId="77777777" w:rsidR="004B4A8E" w:rsidRPr="004B4A8E" w:rsidRDefault="004B4A8E" w:rsidP="004B4A8E">
            <w:pPr>
              <w:rPr>
                <w:rFonts w:cs="Arial"/>
                <w:color w:val="000000"/>
                <w:sz w:val="16"/>
                <w:szCs w:val="16"/>
                <w:lang w:val="en-US" w:eastAsia="en-US"/>
              </w:rPr>
            </w:pPr>
            <w:r w:rsidRPr="004B4A8E">
              <w:rPr>
                <w:rFonts w:cs="Arial"/>
                <w:color w:val="000000"/>
                <w:sz w:val="16"/>
                <w:szCs w:val="16"/>
                <w:lang w:val="en-US" w:eastAsia="en-US"/>
              </w:rPr>
              <w:fldChar w:fldCharType="begin"/>
            </w:r>
            <w:r w:rsidRPr="004B4A8E">
              <w:rPr>
                <w:rFonts w:cs="Arial"/>
                <w:color w:val="000000"/>
                <w:sz w:val="16"/>
                <w:szCs w:val="16"/>
                <w:lang w:val="en-US" w:eastAsia="en-US"/>
              </w:rPr>
              <w:instrText xml:space="preserve"> REF _Ref334453724 \h </w:instrText>
            </w:r>
            <w:r>
              <w:rPr>
                <w:rFonts w:cs="Arial"/>
                <w:color w:val="000000"/>
                <w:sz w:val="16"/>
                <w:szCs w:val="16"/>
                <w:lang w:val="en-US" w:eastAsia="en-US"/>
              </w:rPr>
              <w:instrText xml:space="preserve"> \* MERGEFORMAT </w:instrText>
            </w:r>
            <w:r w:rsidRPr="004B4A8E">
              <w:rPr>
                <w:rFonts w:cs="Arial"/>
                <w:color w:val="000000"/>
                <w:sz w:val="16"/>
                <w:szCs w:val="16"/>
                <w:lang w:val="en-US" w:eastAsia="en-US"/>
              </w:rPr>
            </w:r>
            <w:r w:rsidRPr="004B4A8E">
              <w:rPr>
                <w:rFonts w:cs="Arial"/>
                <w:color w:val="000000"/>
                <w:sz w:val="16"/>
                <w:szCs w:val="16"/>
                <w:lang w:val="en-US" w:eastAsia="en-US"/>
              </w:rPr>
              <w:fldChar w:fldCharType="separate"/>
            </w:r>
            <w:r w:rsidR="00016592" w:rsidRPr="00016592">
              <w:rPr>
                <w:rFonts w:cs="Arial"/>
                <w:sz w:val="16"/>
                <w:szCs w:val="16"/>
                <w:lang w:val="x-none"/>
              </w:rPr>
              <w:t>Table 62</w:t>
            </w:r>
            <w:r w:rsidRPr="004B4A8E">
              <w:rPr>
                <w:rFonts w:cs="Arial"/>
                <w:color w:val="000000"/>
                <w:sz w:val="16"/>
                <w:szCs w:val="16"/>
                <w:lang w:val="en-US" w:eastAsia="en-US"/>
              </w:rPr>
              <w:fldChar w:fldCharType="end"/>
            </w:r>
            <w:r w:rsidRPr="004B4A8E">
              <w:rPr>
                <w:rFonts w:cs="Arial"/>
                <w:color w:val="000000"/>
                <w:sz w:val="16"/>
                <w:szCs w:val="16"/>
                <w:lang w:val="en-US" w:eastAsia="en-US"/>
              </w:rPr>
              <w:t>, row M</w:t>
            </w:r>
          </w:p>
        </w:tc>
        <w:tc>
          <w:tcPr>
            <w:tcW w:w="1764" w:type="dxa"/>
            <w:tcBorders>
              <w:top w:val="nil"/>
              <w:left w:val="nil"/>
              <w:bottom w:val="single" w:sz="8" w:space="0" w:color="auto"/>
              <w:right w:val="single" w:sz="4" w:space="0" w:color="auto"/>
            </w:tcBorders>
            <w:shd w:val="clear" w:color="auto" w:fill="auto"/>
            <w:noWrap/>
            <w:vAlign w:val="center"/>
            <w:hideMark/>
          </w:tcPr>
          <w:p w14:paraId="69EAAB3B" w14:textId="77777777" w:rsidR="004B4A8E" w:rsidRPr="004B4A8E" w:rsidRDefault="004B4A8E" w:rsidP="004B4A8E">
            <w:pPr>
              <w:rPr>
                <w:rFonts w:cs="Arial"/>
                <w:color w:val="000000"/>
                <w:sz w:val="16"/>
                <w:szCs w:val="16"/>
                <w:lang w:val="en-US" w:eastAsia="en-US"/>
              </w:rPr>
            </w:pPr>
            <w:r w:rsidRPr="004B4A8E">
              <w:rPr>
                <w:rFonts w:cs="Arial"/>
                <w:color w:val="000000"/>
                <w:sz w:val="16"/>
                <w:szCs w:val="16"/>
                <w:lang w:val="en-US" w:eastAsia="en-US"/>
              </w:rPr>
              <w:t xml:space="preserve"> AUD          133.263 </w:t>
            </w:r>
          </w:p>
        </w:tc>
        <w:tc>
          <w:tcPr>
            <w:tcW w:w="1764" w:type="dxa"/>
            <w:tcBorders>
              <w:top w:val="nil"/>
              <w:left w:val="nil"/>
              <w:bottom w:val="single" w:sz="8" w:space="0" w:color="auto"/>
              <w:right w:val="single" w:sz="4" w:space="0" w:color="auto"/>
            </w:tcBorders>
            <w:shd w:val="clear" w:color="auto" w:fill="auto"/>
            <w:noWrap/>
            <w:vAlign w:val="center"/>
            <w:hideMark/>
          </w:tcPr>
          <w:p w14:paraId="6AB7E04E" w14:textId="77777777" w:rsidR="004B4A8E" w:rsidRPr="004B4A8E" w:rsidRDefault="004B4A8E" w:rsidP="004B4A8E">
            <w:pPr>
              <w:rPr>
                <w:rFonts w:cs="Arial"/>
                <w:color w:val="000000"/>
                <w:sz w:val="16"/>
                <w:szCs w:val="16"/>
                <w:lang w:val="en-US" w:eastAsia="en-US"/>
              </w:rPr>
            </w:pPr>
            <w:r w:rsidRPr="004B4A8E">
              <w:rPr>
                <w:rFonts w:cs="Arial"/>
                <w:color w:val="000000"/>
                <w:sz w:val="16"/>
                <w:szCs w:val="16"/>
                <w:lang w:val="en-US" w:eastAsia="en-US"/>
              </w:rPr>
              <w:t xml:space="preserve"> AUD          135.140 </w:t>
            </w:r>
          </w:p>
        </w:tc>
        <w:tc>
          <w:tcPr>
            <w:tcW w:w="1764" w:type="dxa"/>
            <w:tcBorders>
              <w:top w:val="nil"/>
              <w:left w:val="nil"/>
              <w:bottom w:val="single" w:sz="8" w:space="0" w:color="auto"/>
              <w:right w:val="single" w:sz="4" w:space="0" w:color="auto"/>
            </w:tcBorders>
            <w:shd w:val="clear" w:color="auto" w:fill="auto"/>
            <w:noWrap/>
            <w:vAlign w:val="center"/>
            <w:hideMark/>
          </w:tcPr>
          <w:p w14:paraId="2B25036D" w14:textId="77777777" w:rsidR="004B4A8E" w:rsidRPr="004B4A8E" w:rsidRDefault="004B4A8E" w:rsidP="004B4A8E">
            <w:pPr>
              <w:rPr>
                <w:rFonts w:cs="Arial"/>
                <w:color w:val="000000"/>
                <w:sz w:val="16"/>
                <w:szCs w:val="16"/>
                <w:lang w:val="en-US" w:eastAsia="en-US"/>
              </w:rPr>
            </w:pPr>
            <w:r w:rsidRPr="004B4A8E">
              <w:rPr>
                <w:rFonts w:cs="Arial"/>
                <w:color w:val="000000"/>
                <w:sz w:val="16"/>
                <w:szCs w:val="16"/>
                <w:lang w:val="en-US" w:eastAsia="en-US"/>
              </w:rPr>
              <w:t xml:space="preserve"> AUD          138.894 </w:t>
            </w:r>
          </w:p>
        </w:tc>
        <w:tc>
          <w:tcPr>
            <w:tcW w:w="1764" w:type="dxa"/>
            <w:tcBorders>
              <w:top w:val="nil"/>
              <w:left w:val="nil"/>
              <w:bottom w:val="single" w:sz="8" w:space="0" w:color="auto"/>
              <w:right w:val="single" w:sz="4" w:space="0" w:color="auto"/>
            </w:tcBorders>
            <w:shd w:val="clear" w:color="auto" w:fill="auto"/>
            <w:noWrap/>
            <w:vAlign w:val="center"/>
            <w:hideMark/>
          </w:tcPr>
          <w:p w14:paraId="46014670" w14:textId="77777777" w:rsidR="004B4A8E" w:rsidRPr="004B4A8E" w:rsidRDefault="004B4A8E" w:rsidP="004B4A8E">
            <w:pPr>
              <w:rPr>
                <w:rFonts w:cs="Arial"/>
                <w:color w:val="000000"/>
                <w:sz w:val="16"/>
                <w:szCs w:val="16"/>
                <w:lang w:val="en-US" w:eastAsia="en-US"/>
              </w:rPr>
            </w:pPr>
            <w:r w:rsidRPr="004B4A8E">
              <w:rPr>
                <w:rFonts w:cs="Arial"/>
                <w:color w:val="000000"/>
                <w:sz w:val="16"/>
                <w:szCs w:val="16"/>
                <w:lang w:val="en-US" w:eastAsia="en-US"/>
              </w:rPr>
              <w:t xml:space="preserve"> AUD          140.771 </w:t>
            </w:r>
          </w:p>
        </w:tc>
        <w:tc>
          <w:tcPr>
            <w:tcW w:w="1764" w:type="dxa"/>
            <w:tcBorders>
              <w:top w:val="nil"/>
              <w:left w:val="nil"/>
              <w:bottom w:val="single" w:sz="8" w:space="0" w:color="auto"/>
              <w:right w:val="single" w:sz="4" w:space="0" w:color="auto"/>
            </w:tcBorders>
            <w:shd w:val="clear" w:color="auto" w:fill="auto"/>
            <w:noWrap/>
            <w:vAlign w:val="center"/>
            <w:hideMark/>
          </w:tcPr>
          <w:p w14:paraId="39F8085C" w14:textId="77777777" w:rsidR="004B4A8E" w:rsidRPr="004B4A8E" w:rsidRDefault="004B4A8E" w:rsidP="004B4A8E">
            <w:pPr>
              <w:rPr>
                <w:rFonts w:cs="Arial"/>
                <w:color w:val="000000"/>
                <w:sz w:val="16"/>
                <w:szCs w:val="16"/>
                <w:lang w:val="en-US" w:eastAsia="en-US"/>
              </w:rPr>
            </w:pPr>
            <w:r w:rsidRPr="004B4A8E">
              <w:rPr>
                <w:rFonts w:cs="Arial"/>
                <w:color w:val="000000"/>
                <w:sz w:val="16"/>
                <w:szCs w:val="16"/>
                <w:lang w:val="en-US" w:eastAsia="en-US"/>
              </w:rPr>
              <w:t xml:space="preserve"> AUD          142.648 </w:t>
            </w:r>
          </w:p>
        </w:tc>
        <w:tc>
          <w:tcPr>
            <w:tcW w:w="1542" w:type="dxa"/>
            <w:tcBorders>
              <w:top w:val="nil"/>
              <w:left w:val="nil"/>
              <w:bottom w:val="single" w:sz="8" w:space="0" w:color="auto"/>
              <w:right w:val="single" w:sz="8" w:space="0" w:color="auto"/>
            </w:tcBorders>
            <w:shd w:val="clear" w:color="auto" w:fill="auto"/>
            <w:noWrap/>
            <w:vAlign w:val="center"/>
            <w:hideMark/>
          </w:tcPr>
          <w:p w14:paraId="7B658ACF" w14:textId="77777777" w:rsidR="004B4A8E" w:rsidRPr="004B4A8E" w:rsidRDefault="004B4A8E" w:rsidP="004B4A8E">
            <w:pPr>
              <w:rPr>
                <w:rFonts w:cs="Arial"/>
                <w:color w:val="000000"/>
                <w:sz w:val="16"/>
                <w:szCs w:val="16"/>
                <w:lang w:val="en-US" w:eastAsia="en-US"/>
              </w:rPr>
            </w:pPr>
            <w:r w:rsidRPr="004B4A8E">
              <w:rPr>
                <w:rFonts w:cs="Arial"/>
                <w:color w:val="000000"/>
                <w:sz w:val="16"/>
                <w:szCs w:val="16"/>
                <w:lang w:val="en-US" w:eastAsia="en-US"/>
              </w:rPr>
              <w:t xml:space="preserve"> AUD     144.525 </w:t>
            </w:r>
          </w:p>
        </w:tc>
      </w:tr>
      <w:tr w:rsidR="004B4A8E" w:rsidRPr="004B4A8E" w14:paraId="35027EE1" w14:textId="77777777" w:rsidTr="00BF0EEF">
        <w:trPr>
          <w:trHeight w:val="570"/>
          <w:jc w:val="center"/>
        </w:trPr>
        <w:tc>
          <w:tcPr>
            <w:tcW w:w="639" w:type="dxa"/>
            <w:tcBorders>
              <w:top w:val="nil"/>
              <w:left w:val="single" w:sz="8" w:space="0" w:color="auto"/>
              <w:bottom w:val="single" w:sz="8" w:space="0" w:color="auto"/>
              <w:right w:val="single" w:sz="4" w:space="0" w:color="auto"/>
            </w:tcBorders>
            <w:shd w:val="clear" w:color="auto" w:fill="auto"/>
            <w:noWrap/>
            <w:vAlign w:val="center"/>
            <w:hideMark/>
          </w:tcPr>
          <w:p w14:paraId="50B5E022" w14:textId="77777777" w:rsidR="004B4A8E" w:rsidRPr="004B4A8E" w:rsidRDefault="004B4A8E" w:rsidP="004B4A8E">
            <w:pPr>
              <w:rPr>
                <w:rFonts w:cs="Arial"/>
                <w:b/>
                <w:bCs/>
                <w:color w:val="000000"/>
                <w:sz w:val="20"/>
                <w:szCs w:val="20"/>
                <w:lang w:val="en-US" w:eastAsia="en-US"/>
              </w:rPr>
            </w:pPr>
            <w:r w:rsidRPr="004B4A8E">
              <w:rPr>
                <w:rFonts w:cs="Arial"/>
                <w:b/>
                <w:bCs/>
                <w:color w:val="000000"/>
                <w:sz w:val="20"/>
                <w:szCs w:val="20"/>
                <w:lang w:val="en-US" w:eastAsia="en-US"/>
              </w:rPr>
              <w:t>BM</w:t>
            </w:r>
          </w:p>
        </w:tc>
        <w:tc>
          <w:tcPr>
            <w:tcW w:w="2425" w:type="dxa"/>
            <w:tcBorders>
              <w:top w:val="nil"/>
              <w:left w:val="nil"/>
              <w:bottom w:val="single" w:sz="8" w:space="0" w:color="auto"/>
              <w:right w:val="single" w:sz="4" w:space="0" w:color="auto"/>
            </w:tcBorders>
            <w:shd w:val="clear" w:color="auto" w:fill="auto"/>
            <w:vAlign w:val="center"/>
            <w:hideMark/>
          </w:tcPr>
          <w:p w14:paraId="6C646AB1" w14:textId="77777777" w:rsidR="004B4A8E" w:rsidRPr="004B4A8E" w:rsidRDefault="004B4A8E" w:rsidP="004B4A8E">
            <w:pPr>
              <w:rPr>
                <w:rFonts w:cs="Arial"/>
                <w:color w:val="000000"/>
                <w:sz w:val="20"/>
                <w:szCs w:val="20"/>
                <w:lang w:val="en-US" w:eastAsia="en-US"/>
              </w:rPr>
            </w:pPr>
            <w:r w:rsidRPr="004B4A8E">
              <w:rPr>
                <w:rFonts w:cs="Arial"/>
                <w:color w:val="000000"/>
                <w:sz w:val="20"/>
                <w:szCs w:val="20"/>
                <w:lang w:val="en-US" w:eastAsia="en-US"/>
              </w:rPr>
              <w:t>Cost to the MBS of associated items</w:t>
            </w:r>
            <w:r w:rsidR="002F2D29" w:rsidRPr="002F2D29">
              <w:rPr>
                <w:rFonts w:cs="Arial"/>
                <w:color w:val="000000"/>
                <w:sz w:val="20"/>
                <w:szCs w:val="20"/>
                <w:vertAlign w:val="superscript"/>
                <w:lang w:val="en-US" w:eastAsia="en-US"/>
              </w:rPr>
              <w:t>b</w:t>
            </w:r>
          </w:p>
        </w:tc>
        <w:tc>
          <w:tcPr>
            <w:tcW w:w="1271" w:type="dxa"/>
            <w:tcBorders>
              <w:top w:val="nil"/>
              <w:left w:val="nil"/>
              <w:bottom w:val="single" w:sz="8" w:space="0" w:color="auto"/>
              <w:right w:val="single" w:sz="4" w:space="0" w:color="auto"/>
            </w:tcBorders>
            <w:shd w:val="clear" w:color="auto" w:fill="auto"/>
            <w:vAlign w:val="center"/>
            <w:hideMark/>
          </w:tcPr>
          <w:p w14:paraId="635DF4A5" w14:textId="77777777" w:rsidR="004B4A8E" w:rsidRPr="004B4A8E" w:rsidRDefault="004B4A8E" w:rsidP="004B4A8E">
            <w:pPr>
              <w:rPr>
                <w:rFonts w:cs="Arial"/>
                <w:color w:val="000000"/>
                <w:sz w:val="16"/>
                <w:szCs w:val="16"/>
                <w:lang w:val="en-US" w:eastAsia="en-US"/>
              </w:rPr>
            </w:pPr>
            <w:r w:rsidRPr="004B4A8E">
              <w:rPr>
                <w:rFonts w:cs="Arial"/>
                <w:color w:val="000000"/>
                <w:sz w:val="16"/>
                <w:szCs w:val="16"/>
                <w:lang w:val="en-US" w:eastAsia="en-US"/>
              </w:rPr>
              <w:fldChar w:fldCharType="begin"/>
            </w:r>
            <w:r w:rsidRPr="004B4A8E">
              <w:rPr>
                <w:rFonts w:cs="Arial"/>
                <w:color w:val="000000"/>
                <w:sz w:val="16"/>
                <w:szCs w:val="16"/>
                <w:lang w:val="en-US" w:eastAsia="en-US"/>
              </w:rPr>
              <w:instrText xml:space="preserve"> REF _Ref430954244 \h </w:instrText>
            </w:r>
            <w:r>
              <w:rPr>
                <w:rFonts w:cs="Arial"/>
                <w:color w:val="000000"/>
                <w:sz w:val="16"/>
                <w:szCs w:val="16"/>
                <w:lang w:val="en-US" w:eastAsia="en-US"/>
              </w:rPr>
              <w:instrText xml:space="preserve"> \* MERGEFORMAT </w:instrText>
            </w:r>
            <w:r w:rsidRPr="004B4A8E">
              <w:rPr>
                <w:rFonts w:cs="Arial"/>
                <w:color w:val="000000"/>
                <w:sz w:val="16"/>
                <w:szCs w:val="16"/>
                <w:lang w:val="en-US" w:eastAsia="en-US"/>
              </w:rPr>
            </w:r>
            <w:r w:rsidRPr="004B4A8E">
              <w:rPr>
                <w:rFonts w:cs="Arial"/>
                <w:color w:val="000000"/>
                <w:sz w:val="16"/>
                <w:szCs w:val="16"/>
                <w:lang w:val="en-US" w:eastAsia="en-US"/>
              </w:rPr>
              <w:fldChar w:fldCharType="separate"/>
            </w:r>
            <w:r w:rsidR="00016592" w:rsidRPr="00016592">
              <w:rPr>
                <w:rFonts w:cs="Arial"/>
                <w:sz w:val="16"/>
                <w:szCs w:val="16"/>
              </w:rPr>
              <w:t xml:space="preserve">Table </w:t>
            </w:r>
            <w:r w:rsidR="00016592" w:rsidRPr="00016592">
              <w:rPr>
                <w:rFonts w:cs="Arial"/>
                <w:noProof/>
                <w:sz w:val="16"/>
                <w:szCs w:val="16"/>
              </w:rPr>
              <w:t>67</w:t>
            </w:r>
            <w:r w:rsidRPr="004B4A8E">
              <w:rPr>
                <w:rFonts w:cs="Arial"/>
                <w:color w:val="000000"/>
                <w:sz w:val="16"/>
                <w:szCs w:val="16"/>
                <w:lang w:val="en-US" w:eastAsia="en-US"/>
              </w:rPr>
              <w:fldChar w:fldCharType="end"/>
            </w:r>
            <w:r w:rsidRPr="004B4A8E">
              <w:rPr>
                <w:rFonts w:cs="Arial"/>
                <w:color w:val="000000"/>
                <w:sz w:val="16"/>
                <w:szCs w:val="16"/>
                <w:lang w:val="en-US" w:eastAsia="en-US"/>
              </w:rPr>
              <w:t>, row AX</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267F50F5" w14:textId="77777777" w:rsidR="004B4A8E" w:rsidRPr="004B4A8E" w:rsidRDefault="004B4A8E" w:rsidP="004B4A8E">
            <w:pPr>
              <w:rPr>
                <w:rFonts w:cs="Arial"/>
                <w:color w:val="000000"/>
                <w:sz w:val="16"/>
                <w:szCs w:val="16"/>
                <w:lang w:val="en-US" w:eastAsia="en-US"/>
              </w:rPr>
            </w:pPr>
            <w:r w:rsidRPr="004B4A8E">
              <w:rPr>
                <w:rFonts w:cs="Arial"/>
                <w:color w:val="000000"/>
                <w:sz w:val="16"/>
                <w:szCs w:val="16"/>
                <w:lang w:val="en-US" w:eastAsia="en-US"/>
              </w:rPr>
              <w:t xml:space="preserve"> AUD          144.895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7D5199DF" w14:textId="77777777" w:rsidR="004B4A8E" w:rsidRPr="004B4A8E" w:rsidRDefault="004B4A8E" w:rsidP="004B4A8E">
            <w:pPr>
              <w:rPr>
                <w:rFonts w:cs="Arial"/>
                <w:color w:val="000000"/>
                <w:sz w:val="16"/>
                <w:szCs w:val="16"/>
                <w:lang w:val="en-US" w:eastAsia="en-US"/>
              </w:rPr>
            </w:pPr>
            <w:r w:rsidRPr="004B4A8E">
              <w:rPr>
                <w:rFonts w:cs="Arial"/>
                <w:color w:val="000000"/>
                <w:sz w:val="16"/>
                <w:szCs w:val="16"/>
                <w:lang w:val="en-US" w:eastAsia="en-US"/>
              </w:rPr>
              <w:t xml:space="preserve"> AUD          146.936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3E88FC2B" w14:textId="77777777" w:rsidR="004B4A8E" w:rsidRPr="004B4A8E" w:rsidRDefault="004B4A8E" w:rsidP="004B4A8E">
            <w:pPr>
              <w:rPr>
                <w:rFonts w:cs="Arial"/>
                <w:color w:val="000000"/>
                <w:sz w:val="16"/>
                <w:szCs w:val="16"/>
                <w:lang w:val="en-US" w:eastAsia="en-US"/>
              </w:rPr>
            </w:pPr>
            <w:r w:rsidRPr="004B4A8E">
              <w:rPr>
                <w:rFonts w:cs="Arial"/>
                <w:color w:val="000000"/>
                <w:sz w:val="16"/>
                <w:szCs w:val="16"/>
                <w:lang w:val="en-US" w:eastAsia="en-US"/>
              </w:rPr>
              <w:t xml:space="preserve"> AUD          151.018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283ED6B6" w14:textId="77777777" w:rsidR="004B4A8E" w:rsidRPr="004B4A8E" w:rsidRDefault="004B4A8E" w:rsidP="004B4A8E">
            <w:pPr>
              <w:rPr>
                <w:rFonts w:cs="Arial"/>
                <w:color w:val="000000"/>
                <w:sz w:val="16"/>
                <w:szCs w:val="16"/>
                <w:lang w:val="en-US" w:eastAsia="en-US"/>
              </w:rPr>
            </w:pPr>
            <w:r w:rsidRPr="004B4A8E">
              <w:rPr>
                <w:rFonts w:cs="Arial"/>
                <w:color w:val="000000"/>
                <w:sz w:val="16"/>
                <w:szCs w:val="16"/>
                <w:lang w:val="en-US" w:eastAsia="en-US"/>
              </w:rPr>
              <w:t xml:space="preserve"> AUD          153.059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0DBFDCD6" w14:textId="77777777" w:rsidR="004B4A8E" w:rsidRPr="004B4A8E" w:rsidRDefault="004B4A8E" w:rsidP="004B4A8E">
            <w:pPr>
              <w:rPr>
                <w:rFonts w:cs="Arial"/>
                <w:color w:val="000000"/>
                <w:sz w:val="16"/>
                <w:szCs w:val="16"/>
                <w:lang w:val="en-US" w:eastAsia="en-US"/>
              </w:rPr>
            </w:pPr>
            <w:r w:rsidRPr="004B4A8E">
              <w:rPr>
                <w:rFonts w:cs="Arial"/>
                <w:color w:val="000000"/>
                <w:sz w:val="16"/>
                <w:szCs w:val="16"/>
                <w:lang w:val="en-US" w:eastAsia="en-US"/>
              </w:rPr>
              <w:t xml:space="preserve"> AUD          155.099 </w:t>
            </w:r>
          </w:p>
        </w:tc>
        <w:tc>
          <w:tcPr>
            <w:tcW w:w="1542" w:type="dxa"/>
            <w:tcBorders>
              <w:top w:val="single" w:sz="4" w:space="0" w:color="auto"/>
              <w:left w:val="nil"/>
              <w:bottom w:val="single" w:sz="8" w:space="0" w:color="auto"/>
              <w:right w:val="single" w:sz="8" w:space="0" w:color="auto"/>
            </w:tcBorders>
            <w:shd w:val="clear" w:color="auto" w:fill="auto"/>
            <w:noWrap/>
            <w:vAlign w:val="center"/>
            <w:hideMark/>
          </w:tcPr>
          <w:p w14:paraId="1487B39E" w14:textId="77777777" w:rsidR="004B4A8E" w:rsidRPr="004B4A8E" w:rsidRDefault="004B4A8E" w:rsidP="004B4A8E">
            <w:pPr>
              <w:rPr>
                <w:rFonts w:cs="Arial"/>
                <w:color w:val="000000"/>
                <w:sz w:val="16"/>
                <w:szCs w:val="16"/>
                <w:lang w:val="en-US" w:eastAsia="en-US"/>
              </w:rPr>
            </w:pPr>
            <w:r w:rsidRPr="004B4A8E">
              <w:rPr>
                <w:rFonts w:cs="Arial"/>
                <w:color w:val="000000"/>
                <w:sz w:val="16"/>
                <w:szCs w:val="16"/>
                <w:lang w:val="en-US" w:eastAsia="en-US"/>
              </w:rPr>
              <w:t xml:space="preserve"> AUD     157.140 </w:t>
            </w:r>
          </w:p>
        </w:tc>
      </w:tr>
      <w:tr w:rsidR="004B4A8E" w:rsidRPr="004B4A8E" w14:paraId="713E3F07" w14:textId="77777777" w:rsidTr="00BF0EEF">
        <w:trPr>
          <w:trHeight w:val="539"/>
          <w:jc w:val="center"/>
        </w:trPr>
        <w:tc>
          <w:tcPr>
            <w:tcW w:w="639" w:type="dxa"/>
            <w:tcBorders>
              <w:top w:val="single" w:sz="4" w:space="0" w:color="auto"/>
              <w:left w:val="single" w:sz="8" w:space="0" w:color="auto"/>
              <w:bottom w:val="single" w:sz="8" w:space="0" w:color="auto"/>
              <w:right w:val="single" w:sz="4" w:space="0" w:color="auto"/>
            </w:tcBorders>
            <w:shd w:val="clear" w:color="000000" w:fill="C5D9F1"/>
            <w:noWrap/>
            <w:vAlign w:val="center"/>
            <w:hideMark/>
          </w:tcPr>
          <w:p w14:paraId="3BCA4658" w14:textId="77777777" w:rsidR="004B4A8E" w:rsidRPr="004B4A8E" w:rsidRDefault="004B4A8E" w:rsidP="004B4A8E">
            <w:pPr>
              <w:rPr>
                <w:rFonts w:cs="Arial"/>
                <w:b/>
                <w:bCs/>
                <w:color w:val="000000"/>
                <w:sz w:val="20"/>
                <w:szCs w:val="20"/>
                <w:lang w:val="en-US" w:eastAsia="en-US"/>
              </w:rPr>
            </w:pPr>
            <w:r w:rsidRPr="004B4A8E">
              <w:rPr>
                <w:rFonts w:cs="Arial"/>
                <w:b/>
                <w:bCs/>
                <w:color w:val="000000"/>
                <w:sz w:val="20"/>
                <w:szCs w:val="20"/>
                <w:lang w:val="en-US" w:eastAsia="en-US"/>
              </w:rPr>
              <w:t>BO</w:t>
            </w:r>
          </w:p>
        </w:tc>
        <w:tc>
          <w:tcPr>
            <w:tcW w:w="2425" w:type="dxa"/>
            <w:tcBorders>
              <w:top w:val="single" w:sz="4" w:space="0" w:color="auto"/>
              <w:left w:val="nil"/>
              <w:bottom w:val="single" w:sz="8" w:space="0" w:color="auto"/>
              <w:right w:val="single" w:sz="4" w:space="0" w:color="auto"/>
            </w:tcBorders>
            <w:shd w:val="clear" w:color="000000" w:fill="C5D9F1"/>
            <w:vAlign w:val="center"/>
            <w:hideMark/>
          </w:tcPr>
          <w:p w14:paraId="59F9782E" w14:textId="77777777" w:rsidR="004B4A8E" w:rsidRPr="004B4A8E" w:rsidRDefault="004B4A8E" w:rsidP="004B4A8E">
            <w:pPr>
              <w:rPr>
                <w:rFonts w:cs="Arial"/>
                <w:b/>
                <w:bCs/>
                <w:color w:val="000000"/>
                <w:sz w:val="20"/>
                <w:szCs w:val="20"/>
                <w:lang w:val="en-US" w:eastAsia="en-US"/>
              </w:rPr>
            </w:pPr>
            <w:r w:rsidRPr="004B4A8E">
              <w:rPr>
                <w:rFonts w:cs="Arial"/>
                <w:b/>
                <w:bCs/>
                <w:color w:val="000000"/>
                <w:sz w:val="20"/>
                <w:szCs w:val="20"/>
                <w:lang w:val="en-US" w:eastAsia="en-US"/>
              </w:rPr>
              <w:t>Total costs to the MBS</w:t>
            </w:r>
          </w:p>
        </w:tc>
        <w:tc>
          <w:tcPr>
            <w:tcW w:w="1271" w:type="dxa"/>
            <w:tcBorders>
              <w:top w:val="single" w:sz="4" w:space="0" w:color="auto"/>
              <w:left w:val="nil"/>
              <w:bottom w:val="single" w:sz="8" w:space="0" w:color="auto"/>
              <w:right w:val="single" w:sz="4" w:space="0" w:color="auto"/>
            </w:tcBorders>
            <w:shd w:val="clear" w:color="000000" w:fill="C5D9F1"/>
            <w:vAlign w:val="center"/>
            <w:hideMark/>
          </w:tcPr>
          <w:p w14:paraId="52847139" w14:textId="77777777" w:rsidR="004B4A8E" w:rsidRPr="004B4A8E" w:rsidRDefault="004B4A8E" w:rsidP="004B4A8E">
            <w:pPr>
              <w:rPr>
                <w:rFonts w:cs="Arial"/>
                <w:color w:val="000000"/>
                <w:sz w:val="16"/>
                <w:szCs w:val="16"/>
                <w:lang w:val="en-US" w:eastAsia="en-US"/>
              </w:rPr>
            </w:pPr>
            <w:r w:rsidRPr="004B4A8E">
              <w:rPr>
                <w:rFonts w:cs="Arial"/>
                <w:color w:val="000000"/>
                <w:sz w:val="16"/>
                <w:szCs w:val="16"/>
                <w:lang w:val="en-US" w:eastAsia="en-US"/>
              </w:rPr>
              <w:t>BL + BM</w:t>
            </w:r>
          </w:p>
        </w:tc>
        <w:tc>
          <w:tcPr>
            <w:tcW w:w="1764" w:type="dxa"/>
            <w:tcBorders>
              <w:top w:val="single" w:sz="4" w:space="0" w:color="auto"/>
              <w:left w:val="nil"/>
              <w:bottom w:val="single" w:sz="8" w:space="0" w:color="auto"/>
              <w:right w:val="single" w:sz="4" w:space="0" w:color="auto"/>
            </w:tcBorders>
            <w:shd w:val="clear" w:color="000000" w:fill="C5D9F1"/>
            <w:noWrap/>
            <w:vAlign w:val="center"/>
            <w:hideMark/>
          </w:tcPr>
          <w:p w14:paraId="3DF882DB" w14:textId="77777777" w:rsidR="004B4A8E" w:rsidRPr="004B4A8E" w:rsidRDefault="004B4A8E" w:rsidP="004B4A8E">
            <w:pPr>
              <w:rPr>
                <w:rFonts w:cs="Arial"/>
                <w:b/>
                <w:bCs/>
                <w:color w:val="000000"/>
                <w:sz w:val="16"/>
                <w:szCs w:val="16"/>
                <w:lang w:val="en-US" w:eastAsia="en-US"/>
              </w:rPr>
            </w:pPr>
            <w:r w:rsidRPr="004B4A8E">
              <w:rPr>
                <w:rFonts w:cs="Arial"/>
                <w:b/>
                <w:bCs/>
                <w:color w:val="000000"/>
                <w:sz w:val="16"/>
                <w:szCs w:val="16"/>
                <w:lang w:val="en-US" w:eastAsia="en-US"/>
              </w:rPr>
              <w:t xml:space="preserve"> AUD          278.159 </w:t>
            </w:r>
          </w:p>
        </w:tc>
        <w:tc>
          <w:tcPr>
            <w:tcW w:w="1764" w:type="dxa"/>
            <w:tcBorders>
              <w:top w:val="single" w:sz="4" w:space="0" w:color="auto"/>
              <w:left w:val="nil"/>
              <w:bottom w:val="single" w:sz="8" w:space="0" w:color="auto"/>
              <w:right w:val="single" w:sz="4" w:space="0" w:color="auto"/>
            </w:tcBorders>
            <w:shd w:val="clear" w:color="000000" w:fill="C5D9F1"/>
            <w:noWrap/>
            <w:vAlign w:val="center"/>
            <w:hideMark/>
          </w:tcPr>
          <w:p w14:paraId="01C0DBA9" w14:textId="77777777" w:rsidR="004B4A8E" w:rsidRPr="004B4A8E" w:rsidRDefault="004B4A8E" w:rsidP="004B4A8E">
            <w:pPr>
              <w:rPr>
                <w:rFonts w:cs="Arial"/>
                <w:b/>
                <w:bCs/>
                <w:color w:val="000000"/>
                <w:sz w:val="16"/>
                <w:szCs w:val="16"/>
                <w:lang w:val="en-US" w:eastAsia="en-US"/>
              </w:rPr>
            </w:pPr>
            <w:r w:rsidRPr="004B4A8E">
              <w:rPr>
                <w:rFonts w:cs="Arial"/>
                <w:b/>
                <w:bCs/>
                <w:color w:val="000000"/>
                <w:sz w:val="16"/>
                <w:szCs w:val="16"/>
                <w:lang w:val="en-US" w:eastAsia="en-US"/>
              </w:rPr>
              <w:t xml:space="preserve"> AUD          282.077 </w:t>
            </w:r>
          </w:p>
        </w:tc>
        <w:tc>
          <w:tcPr>
            <w:tcW w:w="1764" w:type="dxa"/>
            <w:tcBorders>
              <w:top w:val="single" w:sz="4" w:space="0" w:color="auto"/>
              <w:left w:val="nil"/>
              <w:bottom w:val="single" w:sz="8" w:space="0" w:color="auto"/>
              <w:right w:val="single" w:sz="4" w:space="0" w:color="auto"/>
            </w:tcBorders>
            <w:shd w:val="clear" w:color="000000" w:fill="C5D9F1"/>
            <w:noWrap/>
            <w:vAlign w:val="center"/>
            <w:hideMark/>
          </w:tcPr>
          <w:p w14:paraId="5EB79C8A" w14:textId="77777777" w:rsidR="004B4A8E" w:rsidRPr="004B4A8E" w:rsidRDefault="004B4A8E" w:rsidP="004B4A8E">
            <w:pPr>
              <w:rPr>
                <w:rFonts w:cs="Arial"/>
                <w:b/>
                <w:bCs/>
                <w:color w:val="000000"/>
                <w:sz w:val="16"/>
                <w:szCs w:val="16"/>
                <w:lang w:val="en-US" w:eastAsia="en-US"/>
              </w:rPr>
            </w:pPr>
            <w:r w:rsidRPr="004B4A8E">
              <w:rPr>
                <w:rFonts w:cs="Arial"/>
                <w:b/>
                <w:bCs/>
                <w:color w:val="000000"/>
                <w:sz w:val="16"/>
                <w:szCs w:val="16"/>
                <w:lang w:val="en-US" w:eastAsia="en-US"/>
              </w:rPr>
              <w:t xml:space="preserve"> AUD          289.912 </w:t>
            </w:r>
          </w:p>
        </w:tc>
        <w:tc>
          <w:tcPr>
            <w:tcW w:w="1764" w:type="dxa"/>
            <w:tcBorders>
              <w:top w:val="single" w:sz="4" w:space="0" w:color="auto"/>
              <w:left w:val="nil"/>
              <w:bottom w:val="single" w:sz="8" w:space="0" w:color="auto"/>
              <w:right w:val="single" w:sz="4" w:space="0" w:color="auto"/>
            </w:tcBorders>
            <w:shd w:val="clear" w:color="000000" w:fill="C5D9F1"/>
            <w:noWrap/>
            <w:vAlign w:val="center"/>
            <w:hideMark/>
          </w:tcPr>
          <w:p w14:paraId="44FD322D" w14:textId="77777777" w:rsidR="004B4A8E" w:rsidRPr="004B4A8E" w:rsidRDefault="004B4A8E" w:rsidP="004B4A8E">
            <w:pPr>
              <w:rPr>
                <w:rFonts w:cs="Arial"/>
                <w:b/>
                <w:bCs/>
                <w:color w:val="000000"/>
                <w:sz w:val="16"/>
                <w:szCs w:val="16"/>
                <w:lang w:val="en-US" w:eastAsia="en-US"/>
              </w:rPr>
            </w:pPr>
            <w:r w:rsidRPr="004B4A8E">
              <w:rPr>
                <w:rFonts w:cs="Arial"/>
                <w:b/>
                <w:bCs/>
                <w:color w:val="000000"/>
                <w:sz w:val="16"/>
                <w:szCs w:val="16"/>
                <w:lang w:val="en-US" w:eastAsia="en-US"/>
              </w:rPr>
              <w:t xml:space="preserve"> AUD          293.830 </w:t>
            </w:r>
          </w:p>
        </w:tc>
        <w:tc>
          <w:tcPr>
            <w:tcW w:w="1764" w:type="dxa"/>
            <w:tcBorders>
              <w:top w:val="single" w:sz="4" w:space="0" w:color="auto"/>
              <w:left w:val="nil"/>
              <w:bottom w:val="single" w:sz="8" w:space="0" w:color="auto"/>
              <w:right w:val="single" w:sz="4" w:space="0" w:color="auto"/>
            </w:tcBorders>
            <w:shd w:val="clear" w:color="000000" w:fill="C5D9F1"/>
            <w:noWrap/>
            <w:vAlign w:val="center"/>
            <w:hideMark/>
          </w:tcPr>
          <w:p w14:paraId="407AC33C" w14:textId="77777777" w:rsidR="004B4A8E" w:rsidRPr="004B4A8E" w:rsidRDefault="004B4A8E" w:rsidP="004B4A8E">
            <w:pPr>
              <w:rPr>
                <w:rFonts w:cs="Arial"/>
                <w:b/>
                <w:bCs/>
                <w:color w:val="000000"/>
                <w:sz w:val="16"/>
                <w:szCs w:val="16"/>
                <w:lang w:val="en-US" w:eastAsia="en-US"/>
              </w:rPr>
            </w:pPr>
            <w:r w:rsidRPr="004B4A8E">
              <w:rPr>
                <w:rFonts w:cs="Arial"/>
                <w:b/>
                <w:bCs/>
                <w:color w:val="000000"/>
                <w:sz w:val="16"/>
                <w:szCs w:val="16"/>
                <w:lang w:val="en-US" w:eastAsia="en-US"/>
              </w:rPr>
              <w:t xml:space="preserve"> AUD          297.748 </w:t>
            </w:r>
          </w:p>
        </w:tc>
        <w:tc>
          <w:tcPr>
            <w:tcW w:w="1542" w:type="dxa"/>
            <w:tcBorders>
              <w:top w:val="single" w:sz="4" w:space="0" w:color="auto"/>
              <w:left w:val="nil"/>
              <w:bottom w:val="single" w:sz="8" w:space="0" w:color="auto"/>
              <w:right w:val="single" w:sz="8" w:space="0" w:color="auto"/>
            </w:tcBorders>
            <w:shd w:val="clear" w:color="000000" w:fill="C5D9F1"/>
            <w:noWrap/>
            <w:vAlign w:val="center"/>
            <w:hideMark/>
          </w:tcPr>
          <w:p w14:paraId="40A0BB4D" w14:textId="77777777" w:rsidR="004B4A8E" w:rsidRPr="004B4A8E" w:rsidRDefault="004B4A8E" w:rsidP="004B4A8E">
            <w:pPr>
              <w:rPr>
                <w:rFonts w:cs="Arial"/>
                <w:b/>
                <w:bCs/>
                <w:color w:val="000000"/>
                <w:sz w:val="16"/>
                <w:szCs w:val="16"/>
                <w:lang w:val="en-US" w:eastAsia="en-US"/>
              </w:rPr>
            </w:pPr>
            <w:r w:rsidRPr="004B4A8E">
              <w:rPr>
                <w:rFonts w:cs="Arial"/>
                <w:b/>
                <w:bCs/>
                <w:color w:val="000000"/>
                <w:sz w:val="16"/>
                <w:szCs w:val="16"/>
                <w:lang w:val="en-US" w:eastAsia="en-US"/>
              </w:rPr>
              <w:t xml:space="preserve"> AUD     301.665 </w:t>
            </w:r>
          </w:p>
        </w:tc>
      </w:tr>
      <w:tr w:rsidR="00F04E30" w:rsidRPr="004B4A8E" w14:paraId="68C5386A" w14:textId="77777777" w:rsidTr="00BF0EEF">
        <w:trPr>
          <w:trHeight w:val="562"/>
          <w:jc w:val="center"/>
        </w:trPr>
        <w:tc>
          <w:tcPr>
            <w:tcW w:w="639" w:type="dxa"/>
            <w:tcBorders>
              <w:top w:val="single" w:sz="4" w:space="0" w:color="auto"/>
              <w:left w:val="single" w:sz="8" w:space="0" w:color="auto"/>
              <w:bottom w:val="nil"/>
              <w:right w:val="single" w:sz="4" w:space="0" w:color="auto"/>
            </w:tcBorders>
            <w:shd w:val="clear" w:color="auto" w:fill="auto"/>
            <w:noWrap/>
            <w:vAlign w:val="center"/>
            <w:hideMark/>
          </w:tcPr>
          <w:p w14:paraId="7C04E95F" w14:textId="77777777" w:rsidR="00F04E30" w:rsidRPr="004B4A8E" w:rsidRDefault="00F04E30" w:rsidP="004B4A8E">
            <w:pPr>
              <w:rPr>
                <w:rFonts w:cs="Arial"/>
                <w:b/>
                <w:bCs/>
                <w:color w:val="000000"/>
                <w:sz w:val="20"/>
                <w:szCs w:val="20"/>
                <w:lang w:val="en-US" w:eastAsia="en-US"/>
              </w:rPr>
            </w:pPr>
            <w:r w:rsidRPr="004B4A8E">
              <w:rPr>
                <w:rFonts w:cs="Arial"/>
                <w:b/>
                <w:bCs/>
                <w:color w:val="000000"/>
                <w:sz w:val="20"/>
                <w:szCs w:val="20"/>
                <w:lang w:val="en-US" w:eastAsia="en-US"/>
              </w:rPr>
              <w:t>BP</w:t>
            </w:r>
          </w:p>
        </w:tc>
        <w:tc>
          <w:tcPr>
            <w:tcW w:w="2425" w:type="dxa"/>
            <w:tcBorders>
              <w:top w:val="nil"/>
              <w:left w:val="nil"/>
              <w:bottom w:val="single" w:sz="4" w:space="0" w:color="auto"/>
              <w:right w:val="nil"/>
            </w:tcBorders>
            <w:shd w:val="clear" w:color="auto" w:fill="auto"/>
            <w:vAlign w:val="center"/>
            <w:hideMark/>
          </w:tcPr>
          <w:p w14:paraId="6379EF33" w14:textId="77777777" w:rsidR="00F04E30" w:rsidRPr="004B4A8E" w:rsidRDefault="00F04E30" w:rsidP="004B4A8E">
            <w:pPr>
              <w:rPr>
                <w:rFonts w:cs="Arial"/>
                <w:color w:val="000000"/>
                <w:sz w:val="20"/>
                <w:szCs w:val="20"/>
                <w:lang w:val="en-US" w:eastAsia="en-US"/>
              </w:rPr>
            </w:pPr>
            <w:r w:rsidRPr="004B4A8E">
              <w:rPr>
                <w:rFonts w:cs="Arial"/>
                <w:color w:val="000000"/>
                <w:sz w:val="20"/>
                <w:szCs w:val="20"/>
                <w:lang w:val="en-US" w:eastAsia="en-US"/>
              </w:rPr>
              <w:t>Total non-MBS costs</w:t>
            </w:r>
          </w:p>
        </w:tc>
        <w:tc>
          <w:tcPr>
            <w:tcW w:w="1271"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57DA63F3" w14:textId="77777777" w:rsidR="00F04E30" w:rsidRPr="004B4A8E" w:rsidRDefault="00F04E30" w:rsidP="004B4A8E">
            <w:pPr>
              <w:rPr>
                <w:rFonts w:cs="Arial"/>
                <w:color w:val="000000"/>
                <w:sz w:val="16"/>
                <w:szCs w:val="16"/>
                <w:lang w:val="en-US" w:eastAsia="en-US"/>
              </w:rPr>
            </w:pPr>
            <w:r w:rsidRPr="004B4A8E">
              <w:rPr>
                <w:rFonts w:cs="Arial"/>
                <w:color w:val="000000"/>
                <w:sz w:val="16"/>
                <w:szCs w:val="16"/>
                <w:lang w:val="en-US" w:eastAsia="en-US"/>
              </w:rPr>
              <w:fldChar w:fldCharType="begin"/>
            </w:r>
            <w:r w:rsidRPr="004B4A8E">
              <w:rPr>
                <w:rFonts w:cs="Arial"/>
                <w:color w:val="000000"/>
                <w:sz w:val="16"/>
                <w:szCs w:val="16"/>
                <w:lang w:val="en-US" w:eastAsia="en-US"/>
              </w:rPr>
              <w:instrText xml:space="preserve"> REF _Ref430954298 \h </w:instrText>
            </w:r>
            <w:r>
              <w:rPr>
                <w:rFonts w:cs="Arial"/>
                <w:color w:val="000000"/>
                <w:sz w:val="16"/>
                <w:szCs w:val="16"/>
                <w:lang w:val="en-US" w:eastAsia="en-US"/>
              </w:rPr>
              <w:instrText xml:space="preserve"> \* MERGEFORMAT </w:instrText>
            </w:r>
            <w:r w:rsidRPr="004B4A8E">
              <w:rPr>
                <w:rFonts w:cs="Arial"/>
                <w:color w:val="000000"/>
                <w:sz w:val="16"/>
                <w:szCs w:val="16"/>
                <w:lang w:val="en-US" w:eastAsia="en-US"/>
              </w:rPr>
            </w:r>
            <w:r w:rsidRPr="004B4A8E">
              <w:rPr>
                <w:rFonts w:cs="Arial"/>
                <w:color w:val="000000"/>
                <w:sz w:val="16"/>
                <w:szCs w:val="16"/>
                <w:lang w:val="en-US" w:eastAsia="en-US"/>
              </w:rPr>
              <w:fldChar w:fldCharType="separate"/>
            </w:r>
            <w:r w:rsidR="00016592" w:rsidRPr="00016592">
              <w:rPr>
                <w:rFonts w:cs="Arial"/>
                <w:sz w:val="16"/>
                <w:szCs w:val="16"/>
              </w:rPr>
              <w:t xml:space="preserve">Table </w:t>
            </w:r>
            <w:r w:rsidR="00016592" w:rsidRPr="00016592">
              <w:rPr>
                <w:rFonts w:cs="Arial"/>
                <w:noProof/>
                <w:sz w:val="16"/>
                <w:szCs w:val="16"/>
              </w:rPr>
              <w:t>68</w:t>
            </w:r>
            <w:r w:rsidRPr="004B4A8E">
              <w:rPr>
                <w:rFonts w:cs="Arial"/>
                <w:color w:val="000000"/>
                <w:sz w:val="16"/>
                <w:szCs w:val="16"/>
                <w:lang w:val="en-US" w:eastAsia="en-US"/>
              </w:rPr>
              <w:fldChar w:fldCharType="end"/>
            </w:r>
            <w:r w:rsidRPr="004B4A8E">
              <w:rPr>
                <w:rFonts w:cs="Arial"/>
                <w:color w:val="000000"/>
                <w:sz w:val="16"/>
                <w:szCs w:val="16"/>
                <w:lang w:val="en-US" w:eastAsia="en-US"/>
              </w:rPr>
              <w:t>, row BF</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703934BF" w14:textId="175006FA" w:rsidR="00F04E30" w:rsidRPr="004B4A8E" w:rsidRDefault="00F04E30" w:rsidP="004B4A8E">
            <w:pPr>
              <w:rPr>
                <w:rFonts w:cs="Arial"/>
                <w:color w:val="000000"/>
                <w:sz w:val="16"/>
                <w:szCs w:val="16"/>
                <w:lang w:val="en-US" w:eastAsia="en-US"/>
              </w:rPr>
            </w:pPr>
            <w:r>
              <w:rPr>
                <w:rFonts w:cs="Arial"/>
                <w:color w:val="000000"/>
                <w:sz w:val="16"/>
                <w:szCs w:val="16"/>
              </w:rPr>
              <w:t xml:space="preserve"> AUD       1.062.435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5DA96A90" w14:textId="4C629B2D" w:rsidR="00F04E30" w:rsidRPr="004B4A8E" w:rsidRDefault="00F04E30" w:rsidP="004B4A8E">
            <w:pPr>
              <w:rPr>
                <w:rFonts w:cs="Arial"/>
                <w:color w:val="000000"/>
                <w:sz w:val="16"/>
                <w:szCs w:val="16"/>
                <w:lang w:val="en-US" w:eastAsia="en-US"/>
              </w:rPr>
            </w:pPr>
            <w:r>
              <w:rPr>
                <w:rFonts w:cs="Arial"/>
                <w:color w:val="000000"/>
                <w:sz w:val="16"/>
                <w:szCs w:val="16"/>
              </w:rPr>
              <w:t xml:space="preserve"> AUD       1.077.399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4769F4CC" w14:textId="44523179" w:rsidR="00F04E30" w:rsidRPr="004B4A8E" w:rsidRDefault="00F04E30" w:rsidP="004B4A8E">
            <w:pPr>
              <w:rPr>
                <w:rFonts w:cs="Arial"/>
                <w:color w:val="000000"/>
                <w:sz w:val="16"/>
                <w:szCs w:val="16"/>
                <w:lang w:val="en-US" w:eastAsia="en-US"/>
              </w:rPr>
            </w:pPr>
            <w:r>
              <w:rPr>
                <w:rFonts w:cs="Arial"/>
                <w:color w:val="000000"/>
                <w:sz w:val="16"/>
                <w:szCs w:val="16"/>
              </w:rPr>
              <w:t xml:space="preserve"> AUD       1.107.326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46E111D2" w14:textId="6F221A43" w:rsidR="00F04E30" w:rsidRPr="004B4A8E" w:rsidRDefault="00F04E30" w:rsidP="004B4A8E">
            <w:pPr>
              <w:rPr>
                <w:rFonts w:cs="Arial"/>
                <w:color w:val="000000"/>
                <w:sz w:val="16"/>
                <w:szCs w:val="16"/>
                <w:lang w:val="en-US" w:eastAsia="en-US"/>
              </w:rPr>
            </w:pPr>
            <w:r>
              <w:rPr>
                <w:rFonts w:cs="Arial"/>
                <w:color w:val="000000"/>
                <w:sz w:val="16"/>
                <w:szCs w:val="16"/>
              </w:rPr>
              <w:t xml:space="preserve"> AUD       1.122.290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43758BB7" w14:textId="331170F3" w:rsidR="00F04E30" w:rsidRPr="004B4A8E" w:rsidRDefault="00F04E30" w:rsidP="004B4A8E">
            <w:pPr>
              <w:rPr>
                <w:rFonts w:cs="Arial"/>
                <w:color w:val="000000"/>
                <w:sz w:val="16"/>
                <w:szCs w:val="16"/>
                <w:lang w:val="en-US" w:eastAsia="en-US"/>
              </w:rPr>
            </w:pPr>
            <w:r>
              <w:rPr>
                <w:rFonts w:cs="Arial"/>
                <w:color w:val="000000"/>
                <w:sz w:val="16"/>
                <w:szCs w:val="16"/>
              </w:rPr>
              <w:t xml:space="preserve"> AUD       1.137.254 </w:t>
            </w:r>
          </w:p>
        </w:tc>
        <w:tc>
          <w:tcPr>
            <w:tcW w:w="1542" w:type="dxa"/>
            <w:tcBorders>
              <w:top w:val="single" w:sz="4" w:space="0" w:color="auto"/>
              <w:left w:val="nil"/>
              <w:bottom w:val="single" w:sz="8" w:space="0" w:color="auto"/>
              <w:right w:val="single" w:sz="8" w:space="0" w:color="auto"/>
            </w:tcBorders>
            <w:shd w:val="clear" w:color="auto" w:fill="auto"/>
            <w:noWrap/>
            <w:vAlign w:val="center"/>
            <w:hideMark/>
          </w:tcPr>
          <w:p w14:paraId="0F7DD0F0" w14:textId="54FCCE3B" w:rsidR="00F04E30" w:rsidRPr="004B4A8E" w:rsidRDefault="00F04E30" w:rsidP="004B4A8E">
            <w:pPr>
              <w:rPr>
                <w:rFonts w:cs="Arial"/>
                <w:color w:val="000000"/>
                <w:sz w:val="16"/>
                <w:szCs w:val="16"/>
                <w:lang w:val="en-US" w:eastAsia="en-US"/>
              </w:rPr>
            </w:pPr>
            <w:r>
              <w:rPr>
                <w:rFonts w:cs="Arial"/>
                <w:color w:val="000000"/>
                <w:sz w:val="16"/>
                <w:szCs w:val="16"/>
              </w:rPr>
              <w:t xml:space="preserve"> AUD  1.152.218 </w:t>
            </w:r>
          </w:p>
        </w:tc>
      </w:tr>
      <w:tr w:rsidR="00F04E30" w:rsidRPr="004B4A8E" w14:paraId="1A32F74E" w14:textId="77777777" w:rsidTr="00BF0EEF">
        <w:trPr>
          <w:trHeight w:val="885"/>
          <w:jc w:val="center"/>
        </w:trPr>
        <w:tc>
          <w:tcPr>
            <w:tcW w:w="639" w:type="dxa"/>
            <w:tcBorders>
              <w:top w:val="single" w:sz="4" w:space="0" w:color="auto"/>
              <w:left w:val="single" w:sz="8" w:space="0" w:color="auto"/>
              <w:bottom w:val="nil"/>
              <w:right w:val="single" w:sz="4" w:space="0" w:color="auto"/>
            </w:tcBorders>
            <w:shd w:val="clear" w:color="auto" w:fill="auto"/>
            <w:noWrap/>
            <w:vAlign w:val="center"/>
            <w:hideMark/>
          </w:tcPr>
          <w:p w14:paraId="7112214F" w14:textId="77777777" w:rsidR="00F04E30" w:rsidRPr="004B4A8E" w:rsidRDefault="00F04E30" w:rsidP="004B4A8E">
            <w:pPr>
              <w:rPr>
                <w:rFonts w:cs="Arial"/>
                <w:b/>
                <w:bCs/>
                <w:color w:val="000000"/>
                <w:sz w:val="20"/>
                <w:szCs w:val="20"/>
                <w:lang w:val="en-US" w:eastAsia="en-US"/>
              </w:rPr>
            </w:pPr>
            <w:r w:rsidRPr="004B4A8E">
              <w:rPr>
                <w:rFonts w:cs="Arial"/>
                <w:b/>
                <w:bCs/>
                <w:color w:val="000000"/>
                <w:sz w:val="20"/>
                <w:szCs w:val="20"/>
                <w:lang w:val="en-US" w:eastAsia="en-US"/>
              </w:rPr>
              <w:t>BQ</w:t>
            </w:r>
          </w:p>
        </w:tc>
        <w:tc>
          <w:tcPr>
            <w:tcW w:w="2425" w:type="dxa"/>
            <w:tcBorders>
              <w:top w:val="nil"/>
              <w:left w:val="nil"/>
              <w:bottom w:val="nil"/>
              <w:right w:val="nil"/>
            </w:tcBorders>
            <w:shd w:val="clear" w:color="auto" w:fill="auto"/>
            <w:vAlign w:val="center"/>
            <w:hideMark/>
          </w:tcPr>
          <w:p w14:paraId="5F94B5A1" w14:textId="77777777" w:rsidR="00F04E30" w:rsidRPr="004B4A8E" w:rsidRDefault="00F04E30" w:rsidP="004B4A8E">
            <w:pPr>
              <w:rPr>
                <w:rFonts w:cs="Arial"/>
                <w:b/>
                <w:bCs/>
                <w:color w:val="000000"/>
                <w:sz w:val="20"/>
                <w:szCs w:val="20"/>
                <w:lang w:val="en-US" w:eastAsia="en-US"/>
              </w:rPr>
            </w:pPr>
            <w:r w:rsidRPr="004B4A8E">
              <w:rPr>
                <w:rFonts w:cs="Arial"/>
                <w:b/>
                <w:bCs/>
                <w:color w:val="000000"/>
                <w:sz w:val="20"/>
                <w:szCs w:val="20"/>
                <w:lang w:val="en-US" w:eastAsia="en-US"/>
              </w:rPr>
              <w:t>Overall total costs of the proposed intervention</w:t>
            </w:r>
          </w:p>
        </w:tc>
        <w:tc>
          <w:tcPr>
            <w:tcW w:w="1271"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6708CAE9" w14:textId="77777777" w:rsidR="00F04E30" w:rsidRPr="004B4A8E" w:rsidRDefault="00F04E30" w:rsidP="004B4A8E">
            <w:pPr>
              <w:rPr>
                <w:rFonts w:cs="Arial"/>
                <w:color w:val="000000"/>
                <w:sz w:val="16"/>
                <w:szCs w:val="16"/>
                <w:lang w:val="en-US" w:eastAsia="en-US"/>
              </w:rPr>
            </w:pPr>
            <w:r w:rsidRPr="004B4A8E">
              <w:rPr>
                <w:rFonts w:cs="Arial"/>
                <w:color w:val="000000"/>
                <w:sz w:val="16"/>
                <w:szCs w:val="16"/>
                <w:lang w:val="en-US" w:eastAsia="en-US"/>
              </w:rPr>
              <w:t>BL + BM</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575D3C49" w14:textId="3EFCCA1F" w:rsidR="00F04E30" w:rsidRPr="004B4A8E" w:rsidRDefault="00F04E30" w:rsidP="004B4A8E">
            <w:pPr>
              <w:rPr>
                <w:rFonts w:cs="Arial"/>
                <w:b/>
                <w:bCs/>
                <w:color w:val="000000"/>
                <w:sz w:val="16"/>
                <w:szCs w:val="16"/>
                <w:lang w:val="en-US" w:eastAsia="en-US"/>
              </w:rPr>
            </w:pPr>
            <w:r>
              <w:rPr>
                <w:rFonts w:cs="Arial"/>
                <w:b/>
                <w:bCs/>
                <w:color w:val="000000"/>
                <w:sz w:val="16"/>
                <w:szCs w:val="16"/>
              </w:rPr>
              <w:t xml:space="preserve"> AUD       1.340.594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2EDEAF16" w14:textId="55A8D6A8" w:rsidR="00F04E30" w:rsidRPr="004B4A8E" w:rsidRDefault="00F04E30" w:rsidP="004B4A8E">
            <w:pPr>
              <w:rPr>
                <w:rFonts w:cs="Arial"/>
                <w:b/>
                <w:bCs/>
                <w:color w:val="000000"/>
                <w:sz w:val="16"/>
                <w:szCs w:val="16"/>
                <w:lang w:val="en-US" w:eastAsia="en-US"/>
              </w:rPr>
            </w:pPr>
            <w:r>
              <w:rPr>
                <w:rFonts w:cs="Arial"/>
                <w:b/>
                <w:bCs/>
                <w:color w:val="000000"/>
                <w:sz w:val="16"/>
                <w:szCs w:val="16"/>
              </w:rPr>
              <w:t xml:space="preserve"> AUD       1.359.475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2FEFAE6B" w14:textId="308CEF60" w:rsidR="00F04E30" w:rsidRPr="004B4A8E" w:rsidRDefault="00F04E30" w:rsidP="004B4A8E">
            <w:pPr>
              <w:rPr>
                <w:rFonts w:cs="Arial"/>
                <w:b/>
                <w:bCs/>
                <w:color w:val="000000"/>
                <w:sz w:val="16"/>
                <w:szCs w:val="16"/>
                <w:lang w:val="en-US" w:eastAsia="en-US"/>
              </w:rPr>
            </w:pPr>
            <w:r>
              <w:rPr>
                <w:rFonts w:cs="Arial"/>
                <w:b/>
                <w:bCs/>
                <w:color w:val="000000"/>
                <w:sz w:val="16"/>
                <w:szCs w:val="16"/>
              </w:rPr>
              <w:t xml:space="preserve"> AUD       1.397.239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19030708" w14:textId="78832E82" w:rsidR="00F04E30" w:rsidRPr="004B4A8E" w:rsidRDefault="00F04E30" w:rsidP="004B4A8E">
            <w:pPr>
              <w:rPr>
                <w:rFonts w:cs="Arial"/>
                <w:b/>
                <w:bCs/>
                <w:color w:val="000000"/>
                <w:sz w:val="16"/>
                <w:szCs w:val="16"/>
                <w:lang w:val="en-US" w:eastAsia="en-US"/>
              </w:rPr>
            </w:pPr>
            <w:r>
              <w:rPr>
                <w:rFonts w:cs="Arial"/>
                <w:b/>
                <w:bCs/>
                <w:color w:val="000000"/>
                <w:sz w:val="16"/>
                <w:szCs w:val="16"/>
              </w:rPr>
              <w:t xml:space="preserve"> AUD       1.416.120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24316E50" w14:textId="0E866426" w:rsidR="00F04E30" w:rsidRPr="004B4A8E" w:rsidRDefault="00F04E30" w:rsidP="004B4A8E">
            <w:pPr>
              <w:rPr>
                <w:rFonts w:cs="Arial"/>
                <w:b/>
                <w:bCs/>
                <w:color w:val="000000"/>
                <w:sz w:val="16"/>
                <w:szCs w:val="16"/>
                <w:lang w:val="en-US" w:eastAsia="en-US"/>
              </w:rPr>
            </w:pPr>
            <w:r>
              <w:rPr>
                <w:rFonts w:cs="Arial"/>
                <w:b/>
                <w:bCs/>
                <w:color w:val="000000"/>
                <w:sz w:val="16"/>
                <w:szCs w:val="16"/>
              </w:rPr>
              <w:t xml:space="preserve"> AUD       1.435.002 </w:t>
            </w:r>
          </w:p>
        </w:tc>
        <w:tc>
          <w:tcPr>
            <w:tcW w:w="1542" w:type="dxa"/>
            <w:tcBorders>
              <w:top w:val="single" w:sz="4" w:space="0" w:color="auto"/>
              <w:left w:val="nil"/>
              <w:bottom w:val="single" w:sz="8" w:space="0" w:color="auto"/>
              <w:right w:val="single" w:sz="8" w:space="0" w:color="auto"/>
            </w:tcBorders>
            <w:shd w:val="clear" w:color="auto" w:fill="auto"/>
            <w:noWrap/>
            <w:vAlign w:val="center"/>
            <w:hideMark/>
          </w:tcPr>
          <w:p w14:paraId="1761B394" w14:textId="69D191A9" w:rsidR="00F04E30" w:rsidRPr="004B4A8E" w:rsidRDefault="00F04E30" w:rsidP="004B4A8E">
            <w:pPr>
              <w:rPr>
                <w:rFonts w:cs="Arial"/>
                <w:b/>
                <w:bCs/>
                <w:color w:val="000000"/>
                <w:sz w:val="16"/>
                <w:szCs w:val="16"/>
                <w:lang w:val="en-US" w:eastAsia="en-US"/>
              </w:rPr>
            </w:pPr>
            <w:r>
              <w:rPr>
                <w:rFonts w:cs="Arial"/>
                <w:b/>
                <w:bCs/>
                <w:color w:val="000000"/>
                <w:sz w:val="16"/>
                <w:szCs w:val="16"/>
              </w:rPr>
              <w:t xml:space="preserve"> AUD  1.453.883 </w:t>
            </w:r>
          </w:p>
        </w:tc>
      </w:tr>
      <w:tr w:rsidR="004B4A8E" w:rsidRPr="004B4A8E" w14:paraId="08A12D92" w14:textId="77777777" w:rsidTr="00BF0EEF">
        <w:trPr>
          <w:trHeight w:val="300"/>
          <w:jc w:val="center"/>
        </w:trPr>
        <w:tc>
          <w:tcPr>
            <w:tcW w:w="63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0462A34" w14:textId="77777777" w:rsidR="004B4A8E" w:rsidRPr="004B4A8E" w:rsidRDefault="004B4A8E" w:rsidP="004B4A8E">
            <w:pPr>
              <w:rPr>
                <w:rFonts w:cs="Arial"/>
                <w:b/>
                <w:bCs/>
                <w:color w:val="000000"/>
                <w:sz w:val="20"/>
                <w:szCs w:val="20"/>
                <w:lang w:val="en-US" w:eastAsia="en-US"/>
              </w:rPr>
            </w:pPr>
            <w:r w:rsidRPr="004B4A8E">
              <w:rPr>
                <w:rFonts w:cs="Arial"/>
                <w:b/>
                <w:bCs/>
                <w:color w:val="000000"/>
                <w:sz w:val="20"/>
                <w:szCs w:val="20"/>
                <w:lang w:val="en-US" w:eastAsia="en-US"/>
              </w:rPr>
              <w:t> </w:t>
            </w:r>
          </w:p>
        </w:tc>
        <w:tc>
          <w:tcPr>
            <w:tcW w:w="14058" w:type="dxa"/>
            <w:gridSpan w:val="8"/>
            <w:tcBorders>
              <w:top w:val="single" w:sz="4" w:space="0" w:color="auto"/>
              <w:left w:val="single" w:sz="4" w:space="0" w:color="auto"/>
              <w:bottom w:val="single" w:sz="4" w:space="0" w:color="auto"/>
              <w:right w:val="single" w:sz="8" w:space="0" w:color="000000"/>
            </w:tcBorders>
            <w:shd w:val="clear" w:color="auto" w:fill="auto"/>
            <w:vAlign w:val="center"/>
            <w:hideMark/>
          </w:tcPr>
          <w:p w14:paraId="0ECDCF95" w14:textId="77777777" w:rsidR="004B4A8E" w:rsidRPr="004B4A8E" w:rsidRDefault="004B4A8E" w:rsidP="004B4A8E">
            <w:pPr>
              <w:rPr>
                <w:rFonts w:cs="Arial"/>
                <w:b/>
                <w:bCs/>
                <w:color w:val="000000"/>
                <w:lang w:val="en-US" w:eastAsia="en-US"/>
              </w:rPr>
            </w:pPr>
            <w:r w:rsidRPr="004B4A8E">
              <w:rPr>
                <w:rFonts w:cs="Arial"/>
                <w:b/>
                <w:bCs/>
                <w:color w:val="000000"/>
                <w:lang w:val="en-US" w:eastAsia="en-US"/>
              </w:rPr>
              <w:t>Maxum/Soundtec</w:t>
            </w:r>
          </w:p>
        </w:tc>
      </w:tr>
      <w:tr w:rsidR="004B4A8E" w:rsidRPr="004B4A8E" w14:paraId="5BB35685" w14:textId="77777777" w:rsidTr="00BF0EEF">
        <w:trPr>
          <w:trHeight w:val="570"/>
          <w:jc w:val="center"/>
        </w:trPr>
        <w:tc>
          <w:tcPr>
            <w:tcW w:w="639" w:type="dxa"/>
            <w:tcBorders>
              <w:top w:val="nil"/>
              <w:left w:val="single" w:sz="8" w:space="0" w:color="auto"/>
              <w:bottom w:val="single" w:sz="4" w:space="0" w:color="auto"/>
              <w:right w:val="single" w:sz="4" w:space="0" w:color="auto"/>
            </w:tcBorders>
            <w:shd w:val="clear" w:color="auto" w:fill="auto"/>
            <w:noWrap/>
            <w:vAlign w:val="center"/>
            <w:hideMark/>
          </w:tcPr>
          <w:p w14:paraId="2A5DF47C" w14:textId="77777777" w:rsidR="004B4A8E" w:rsidRPr="004B4A8E" w:rsidRDefault="004B4A8E" w:rsidP="004B4A8E">
            <w:pPr>
              <w:rPr>
                <w:rFonts w:cs="Arial"/>
                <w:b/>
                <w:bCs/>
                <w:color w:val="000000"/>
                <w:sz w:val="20"/>
                <w:szCs w:val="20"/>
                <w:lang w:val="en-US" w:eastAsia="en-US"/>
              </w:rPr>
            </w:pPr>
            <w:r w:rsidRPr="004B4A8E">
              <w:rPr>
                <w:rFonts w:cs="Arial"/>
                <w:b/>
                <w:bCs/>
                <w:color w:val="000000"/>
                <w:sz w:val="20"/>
                <w:szCs w:val="20"/>
                <w:lang w:val="en-US" w:eastAsia="en-US"/>
              </w:rPr>
              <w:t>BR</w:t>
            </w:r>
          </w:p>
        </w:tc>
        <w:tc>
          <w:tcPr>
            <w:tcW w:w="2425" w:type="dxa"/>
            <w:tcBorders>
              <w:top w:val="nil"/>
              <w:left w:val="nil"/>
              <w:bottom w:val="single" w:sz="4" w:space="0" w:color="auto"/>
              <w:right w:val="single" w:sz="4" w:space="0" w:color="auto"/>
            </w:tcBorders>
            <w:shd w:val="clear" w:color="auto" w:fill="auto"/>
            <w:vAlign w:val="center"/>
            <w:hideMark/>
          </w:tcPr>
          <w:p w14:paraId="71790698" w14:textId="77777777" w:rsidR="004B4A8E" w:rsidRPr="004B4A8E" w:rsidRDefault="004B4A8E" w:rsidP="004B4A8E">
            <w:pPr>
              <w:rPr>
                <w:rFonts w:cs="Arial"/>
                <w:color w:val="000000"/>
                <w:sz w:val="20"/>
                <w:szCs w:val="20"/>
                <w:lang w:val="en-US" w:eastAsia="en-US"/>
              </w:rPr>
            </w:pPr>
            <w:r w:rsidRPr="004B4A8E">
              <w:rPr>
                <w:rFonts w:cs="Arial"/>
                <w:color w:val="000000"/>
                <w:sz w:val="20"/>
                <w:szCs w:val="20"/>
                <w:lang w:val="en-US" w:eastAsia="en-US"/>
              </w:rPr>
              <w:t>Cost to MBS of the proposed item</w:t>
            </w:r>
          </w:p>
        </w:tc>
        <w:tc>
          <w:tcPr>
            <w:tcW w:w="1271" w:type="dxa"/>
            <w:tcBorders>
              <w:top w:val="nil"/>
              <w:left w:val="nil"/>
              <w:bottom w:val="single" w:sz="4" w:space="0" w:color="auto"/>
              <w:right w:val="single" w:sz="4" w:space="0" w:color="auto"/>
            </w:tcBorders>
            <w:shd w:val="clear" w:color="auto" w:fill="auto"/>
            <w:vAlign w:val="center"/>
            <w:hideMark/>
          </w:tcPr>
          <w:p w14:paraId="4AFEF559" w14:textId="77777777" w:rsidR="004B4A8E" w:rsidRPr="004B4A8E" w:rsidRDefault="004B4A8E" w:rsidP="004B4A8E">
            <w:pPr>
              <w:rPr>
                <w:rFonts w:cs="Arial"/>
                <w:color w:val="000000"/>
                <w:sz w:val="16"/>
                <w:szCs w:val="16"/>
                <w:lang w:val="en-US" w:eastAsia="en-US"/>
              </w:rPr>
            </w:pPr>
            <w:r w:rsidRPr="004B4A8E">
              <w:rPr>
                <w:rFonts w:cs="Arial"/>
                <w:color w:val="000000"/>
                <w:sz w:val="16"/>
                <w:szCs w:val="16"/>
                <w:lang w:val="en-US" w:eastAsia="en-US"/>
              </w:rPr>
              <w:fldChar w:fldCharType="begin"/>
            </w:r>
            <w:r w:rsidRPr="004B4A8E">
              <w:rPr>
                <w:rFonts w:cs="Arial"/>
                <w:color w:val="000000"/>
                <w:sz w:val="16"/>
                <w:szCs w:val="16"/>
                <w:lang w:val="en-US" w:eastAsia="en-US"/>
              </w:rPr>
              <w:instrText xml:space="preserve"> REF _Ref334453724 \h </w:instrText>
            </w:r>
            <w:r>
              <w:rPr>
                <w:rFonts w:cs="Arial"/>
                <w:color w:val="000000"/>
                <w:sz w:val="16"/>
                <w:szCs w:val="16"/>
                <w:lang w:val="en-US" w:eastAsia="en-US"/>
              </w:rPr>
              <w:instrText xml:space="preserve"> \* MERGEFORMAT </w:instrText>
            </w:r>
            <w:r w:rsidRPr="004B4A8E">
              <w:rPr>
                <w:rFonts w:cs="Arial"/>
                <w:color w:val="000000"/>
                <w:sz w:val="16"/>
                <w:szCs w:val="16"/>
                <w:lang w:val="en-US" w:eastAsia="en-US"/>
              </w:rPr>
            </w:r>
            <w:r w:rsidRPr="004B4A8E">
              <w:rPr>
                <w:rFonts w:cs="Arial"/>
                <w:color w:val="000000"/>
                <w:sz w:val="16"/>
                <w:szCs w:val="16"/>
                <w:lang w:val="en-US" w:eastAsia="en-US"/>
              </w:rPr>
              <w:fldChar w:fldCharType="separate"/>
            </w:r>
            <w:r w:rsidR="00016592" w:rsidRPr="00016592">
              <w:rPr>
                <w:rFonts w:cs="Arial"/>
                <w:sz w:val="16"/>
                <w:szCs w:val="16"/>
                <w:lang w:val="x-none"/>
              </w:rPr>
              <w:t>Table 62</w:t>
            </w:r>
            <w:r w:rsidRPr="004B4A8E">
              <w:rPr>
                <w:rFonts w:cs="Arial"/>
                <w:color w:val="000000"/>
                <w:sz w:val="16"/>
                <w:szCs w:val="16"/>
                <w:lang w:val="en-US" w:eastAsia="en-US"/>
              </w:rPr>
              <w:fldChar w:fldCharType="end"/>
            </w:r>
            <w:r w:rsidRPr="004B4A8E">
              <w:rPr>
                <w:rFonts w:cs="Arial"/>
                <w:color w:val="000000"/>
                <w:sz w:val="16"/>
                <w:szCs w:val="16"/>
                <w:lang w:val="en-US" w:eastAsia="en-US"/>
              </w:rPr>
              <w:t>, row M</w:t>
            </w:r>
          </w:p>
        </w:tc>
        <w:tc>
          <w:tcPr>
            <w:tcW w:w="1764" w:type="dxa"/>
            <w:tcBorders>
              <w:top w:val="nil"/>
              <w:left w:val="nil"/>
              <w:bottom w:val="single" w:sz="8" w:space="0" w:color="auto"/>
              <w:right w:val="single" w:sz="4" w:space="0" w:color="auto"/>
            </w:tcBorders>
            <w:shd w:val="clear" w:color="auto" w:fill="auto"/>
            <w:noWrap/>
            <w:vAlign w:val="center"/>
            <w:hideMark/>
          </w:tcPr>
          <w:p w14:paraId="32172230" w14:textId="77777777" w:rsidR="004B4A8E" w:rsidRPr="004B4A8E" w:rsidRDefault="004B4A8E" w:rsidP="004B4A8E">
            <w:pPr>
              <w:rPr>
                <w:rFonts w:cs="Arial"/>
                <w:color w:val="000000"/>
                <w:sz w:val="16"/>
                <w:szCs w:val="16"/>
                <w:lang w:val="en-US" w:eastAsia="en-US"/>
              </w:rPr>
            </w:pPr>
            <w:r w:rsidRPr="004B4A8E">
              <w:rPr>
                <w:rFonts w:cs="Arial"/>
                <w:color w:val="000000"/>
                <w:sz w:val="16"/>
                <w:szCs w:val="16"/>
                <w:lang w:val="en-US" w:eastAsia="en-US"/>
              </w:rPr>
              <w:t xml:space="preserve"> AUD          133.263 </w:t>
            </w:r>
          </w:p>
        </w:tc>
        <w:tc>
          <w:tcPr>
            <w:tcW w:w="1764" w:type="dxa"/>
            <w:tcBorders>
              <w:top w:val="nil"/>
              <w:left w:val="nil"/>
              <w:bottom w:val="single" w:sz="8" w:space="0" w:color="auto"/>
              <w:right w:val="single" w:sz="4" w:space="0" w:color="auto"/>
            </w:tcBorders>
            <w:shd w:val="clear" w:color="auto" w:fill="auto"/>
            <w:noWrap/>
            <w:vAlign w:val="center"/>
            <w:hideMark/>
          </w:tcPr>
          <w:p w14:paraId="3C875086" w14:textId="77777777" w:rsidR="004B4A8E" w:rsidRPr="004B4A8E" w:rsidRDefault="004B4A8E" w:rsidP="004B4A8E">
            <w:pPr>
              <w:rPr>
                <w:rFonts w:cs="Arial"/>
                <w:color w:val="000000"/>
                <w:sz w:val="16"/>
                <w:szCs w:val="16"/>
                <w:lang w:val="en-US" w:eastAsia="en-US"/>
              </w:rPr>
            </w:pPr>
            <w:r w:rsidRPr="004B4A8E">
              <w:rPr>
                <w:rFonts w:cs="Arial"/>
                <w:color w:val="000000"/>
                <w:sz w:val="16"/>
                <w:szCs w:val="16"/>
                <w:lang w:val="en-US" w:eastAsia="en-US"/>
              </w:rPr>
              <w:t xml:space="preserve"> AUD          135.140 </w:t>
            </w:r>
          </w:p>
        </w:tc>
        <w:tc>
          <w:tcPr>
            <w:tcW w:w="1764" w:type="dxa"/>
            <w:tcBorders>
              <w:top w:val="nil"/>
              <w:left w:val="nil"/>
              <w:bottom w:val="single" w:sz="8" w:space="0" w:color="auto"/>
              <w:right w:val="single" w:sz="4" w:space="0" w:color="auto"/>
            </w:tcBorders>
            <w:shd w:val="clear" w:color="auto" w:fill="auto"/>
            <w:noWrap/>
            <w:vAlign w:val="center"/>
            <w:hideMark/>
          </w:tcPr>
          <w:p w14:paraId="2E28EA4A" w14:textId="77777777" w:rsidR="004B4A8E" w:rsidRPr="004B4A8E" w:rsidRDefault="004B4A8E" w:rsidP="004B4A8E">
            <w:pPr>
              <w:rPr>
                <w:rFonts w:cs="Arial"/>
                <w:color w:val="000000"/>
                <w:sz w:val="16"/>
                <w:szCs w:val="16"/>
                <w:lang w:val="en-US" w:eastAsia="en-US"/>
              </w:rPr>
            </w:pPr>
            <w:r w:rsidRPr="004B4A8E">
              <w:rPr>
                <w:rFonts w:cs="Arial"/>
                <w:color w:val="000000"/>
                <w:sz w:val="16"/>
                <w:szCs w:val="16"/>
                <w:lang w:val="en-US" w:eastAsia="en-US"/>
              </w:rPr>
              <w:t xml:space="preserve"> AUD          138.894 </w:t>
            </w:r>
          </w:p>
        </w:tc>
        <w:tc>
          <w:tcPr>
            <w:tcW w:w="1764" w:type="dxa"/>
            <w:tcBorders>
              <w:top w:val="nil"/>
              <w:left w:val="nil"/>
              <w:bottom w:val="single" w:sz="8" w:space="0" w:color="auto"/>
              <w:right w:val="single" w:sz="4" w:space="0" w:color="auto"/>
            </w:tcBorders>
            <w:shd w:val="clear" w:color="auto" w:fill="auto"/>
            <w:noWrap/>
            <w:vAlign w:val="center"/>
            <w:hideMark/>
          </w:tcPr>
          <w:p w14:paraId="72B0E8E7" w14:textId="77777777" w:rsidR="004B4A8E" w:rsidRPr="004B4A8E" w:rsidRDefault="004B4A8E" w:rsidP="004B4A8E">
            <w:pPr>
              <w:rPr>
                <w:rFonts w:cs="Arial"/>
                <w:color w:val="000000"/>
                <w:sz w:val="16"/>
                <w:szCs w:val="16"/>
                <w:lang w:val="en-US" w:eastAsia="en-US"/>
              </w:rPr>
            </w:pPr>
            <w:r w:rsidRPr="004B4A8E">
              <w:rPr>
                <w:rFonts w:cs="Arial"/>
                <w:color w:val="000000"/>
                <w:sz w:val="16"/>
                <w:szCs w:val="16"/>
                <w:lang w:val="en-US" w:eastAsia="en-US"/>
              </w:rPr>
              <w:t xml:space="preserve"> AUD          140.771 </w:t>
            </w:r>
          </w:p>
        </w:tc>
        <w:tc>
          <w:tcPr>
            <w:tcW w:w="1764" w:type="dxa"/>
            <w:tcBorders>
              <w:top w:val="nil"/>
              <w:left w:val="nil"/>
              <w:bottom w:val="single" w:sz="8" w:space="0" w:color="auto"/>
              <w:right w:val="single" w:sz="4" w:space="0" w:color="auto"/>
            </w:tcBorders>
            <w:shd w:val="clear" w:color="auto" w:fill="auto"/>
            <w:noWrap/>
            <w:vAlign w:val="center"/>
            <w:hideMark/>
          </w:tcPr>
          <w:p w14:paraId="07E3E5D3" w14:textId="77777777" w:rsidR="004B4A8E" w:rsidRPr="004B4A8E" w:rsidRDefault="004B4A8E" w:rsidP="004B4A8E">
            <w:pPr>
              <w:rPr>
                <w:rFonts w:cs="Arial"/>
                <w:color w:val="000000"/>
                <w:sz w:val="16"/>
                <w:szCs w:val="16"/>
                <w:lang w:val="en-US" w:eastAsia="en-US"/>
              </w:rPr>
            </w:pPr>
            <w:r w:rsidRPr="004B4A8E">
              <w:rPr>
                <w:rFonts w:cs="Arial"/>
                <w:color w:val="000000"/>
                <w:sz w:val="16"/>
                <w:szCs w:val="16"/>
                <w:lang w:val="en-US" w:eastAsia="en-US"/>
              </w:rPr>
              <w:t xml:space="preserve"> AUD          142.648 </w:t>
            </w:r>
          </w:p>
        </w:tc>
        <w:tc>
          <w:tcPr>
            <w:tcW w:w="1542" w:type="dxa"/>
            <w:tcBorders>
              <w:top w:val="nil"/>
              <w:left w:val="nil"/>
              <w:bottom w:val="single" w:sz="8" w:space="0" w:color="auto"/>
              <w:right w:val="single" w:sz="8" w:space="0" w:color="auto"/>
            </w:tcBorders>
            <w:shd w:val="clear" w:color="auto" w:fill="auto"/>
            <w:noWrap/>
            <w:vAlign w:val="center"/>
            <w:hideMark/>
          </w:tcPr>
          <w:p w14:paraId="4CF48586" w14:textId="77777777" w:rsidR="004B4A8E" w:rsidRPr="004B4A8E" w:rsidRDefault="004B4A8E" w:rsidP="004B4A8E">
            <w:pPr>
              <w:rPr>
                <w:rFonts w:cs="Arial"/>
                <w:color w:val="000000"/>
                <w:sz w:val="16"/>
                <w:szCs w:val="16"/>
                <w:lang w:val="en-US" w:eastAsia="en-US"/>
              </w:rPr>
            </w:pPr>
            <w:r w:rsidRPr="004B4A8E">
              <w:rPr>
                <w:rFonts w:cs="Arial"/>
                <w:color w:val="000000"/>
                <w:sz w:val="16"/>
                <w:szCs w:val="16"/>
                <w:lang w:val="en-US" w:eastAsia="en-US"/>
              </w:rPr>
              <w:t xml:space="preserve"> AUD     144.525 </w:t>
            </w:r>
          </w:p>
        </w:tc>
      </w:tr>
      <w:tr w:rsidR="004B4A8E" w:rsidRPr="004B4A8E" w14:paraId="6AFF5445" w14:textId="77777777" w:rsidTr="00BF0EEF">
        <w:trPr>
          <w:trHeight w:val="570"/>
          <w:jc w:val="center"/>
        </w:trPr>
        <w:tc>
          <w:tcPr>
            <w:tcW w:w="639" w:type="dxa"/>
            <w:tcBorders>
              <w:top w:val="nil"/>
              <w:left w:val="single" w:sz="8" w:space="0" w:color="auto"/>
              <w:bottom w:val="single" w:sz="8" w:space="0" w:color="auto"/>
              <w:right w:val="single" w:sz="4" w:space="0" w:color="auto"/>
            </w:tcBorders>
            <w:shd w:val="clear" w:color="auto" w:fill="auto"/>
            <w:noWrap/>
            <w:vAlign w:val="center"/>
            <w:hideMark/>
          </w:tcPr>
          <w:p w14:paraId="0A0B1B4A" w14:textId="77777777" w:rsidR="004B4A8E" w:rsidRPr="004B4A8E" w:rsidRDefault="004B4A8E" w:rsidP="004B4A8E">
            <w:pPr>
              <w:rPr>
                <w:rFonts w:cs="Arial"/>
                <w:b/>
                <w:bCs/>
                <w:color w:val="000000"/>
                <w:sz w:val="20"/>
                <w:szCs w:val="20"/>
                <w:lang w:val="en-US" w:eastAsia="en-US"/>
              </w:rPr>
            </w:pPr>
            <w:r w:rsidRPr="004B4A8E">
              <w:rPr>
                <w:rFonts w:cs="Arial"/>
                <w:b/>
                <w:bCs/>
                <w:color w:val="000000"/>
                <w:sz w:val="20"/>
                <w:szCs w:val="20"/>
                <w:lang w:val="en-US" w:eastAsia="en-US"/>
              </w:rPr>
              <w:t>BS</w:t>
            </w:r>
          </w:p>
        </w:tc>
        <w:tc>
          <w:tcPr>
            <w:tcW w:w="2425" w:type="dxa"/>
            <w:tcBorders>
              <w:top w:val="nil"/>
              <w:left w:val="nil"/>
              <w:bottom w:val="single" w:sz="8" w:space="0" w:color="auto"/>
              <w:right w:val="single" w:sz="4" w:space="0" w:color="auto"/>
            </w:tcBorders>
            <w:shd w:val="clear" w:color="auto" w:fill="auto"/>
            <w:vAlign w:val="center"/>
            <w:hideMark/>
          </w:tcPr>
          <w:p w14:paraId="672299BB" w14:textId="77777777" w:rsidR="004B4A8E" w:rsidRPr="004B4A8E" w:rsidRDefault="004B4A8E" w:rsidP="004B4A8E">
            <w:pPr>
              <w:rPr>
                <w:rFonts w:cs="Arial"/>
                <w:color w:val="000000"/>
                <w:sz w:val="20"/>
                <w:szCs w:val="20"/>
                <w:lang w:val="en-US" w:eastAsia="en-US"/>
              </w:rPr>
            </w:pPr>
            <w:r w:rsidRPr="004B4A8E">
              <w:rPr>
                <w:rFonts w:cs="Arial"/>
                <w:color w:val="000000"/>
                <w:sz w:val="20"/>
                <w:szCs w:val="20"/>
                <w:lang w:val="en-US" w:eastAsia="en-US"/>
              </w:rPr>
              <w:t>Cost to the MBS of associated items</w:t>
            </w:r>
          </w:p>
        </w:tc>
        <w:tc>
          <w:tcPr>
            <w:tcW w:w="1271" w:type="dxa"/>
            <w:tcBorders>
              <w:top w:val="nil"/>
              <w:left w:val="nil"/>
              <w:bottom w:val="single" w:sz="8" w:space="0" w:color="auto"/>
              <w:right w:val="single" w:sz="4" w:space="0" w:color="auto"/>
            </w:tcBorders>
            <w:shd w:val="clear" w:color="auto" w:fill="auto"/>
            <w:vAlign w:val="center"/>
            <w:hideMark/>
          </w:tcPr>
          <w:p w14:paraId="35708F73" w14:textId="77777777" w:rsidR="004B4A8E" w:rsidRPr="004B4A8E" w:rsidRDefault="004B4A8E" w:rsidP="004B4A8E">
            <w:pPr>
              <w:rPr>
                <w:rFonts w:cs="Arial"/>
                <w:color w:val="000000"/>
                <w:sz w:val="16"/>
                <w:szCs w:val="16"/>
                <w:lang w:val="en-US" w:eastAsia="en-US"/>
              </w:rPr>
            </w:pPr>
            <w:r w:rsidRPr="004B4A8E">
              <w:rPr>
                <w:rFonts w:cs="Arial"/>
                <w:color w:val="000000"/>
                <w:sz w:val="16"/>
                <w:szCs w:val="16"/>
                <w:lang w:val="en-US" w:eastAsia="en-US"/>
              </w:rPr>
              <w:fldChar w:fldCharType="begin"/>
            </w:r>
            <w:r w:rsidRPr="004B4A8E">
              <w:rPr>
                <w:rFonts w:cs="Arial"/>
                <w:color w:val="000000"/>
                <w:sz w:val="16"/>
                <w:szCs w:val="16"/>
                <w:lang w:val="en-US" w:eastAsia="en-US"/>
              </w:rPr>
              <w:instrText xml:space="preserve"> REF _Ref430954244 \h </w:instrText>
            </w:r>
            <w:r>
              <w:rPr>
                <w:rFonts w:cs="Arial"/>
                <w:color w:val="000000"/>
                <w:sz w:val="16"/>
                <w:szCs w:val="16"/>
                <w:lang w:val="en-US" w:eastAsia="en-US"/>
              </w:rPr>
              <w:instrText xml:space="preserve"> \* MERGEFORMAT </w:instrText>
            </w:r>
            <w:r w:rsidRPr="004B4A8E">
              <w:rPr>
                <w:rFonts w:cs="Arial"/>
                <w:color w:val="000000"/>
                <w:sz w:val="16"/>
                <w:szCs w:val="16"/>
                <w:lang w:val="en-US" w:eastAsia="en-US"/>
              </w:rPr>
            </w:r>
            <w:r w:rsidRPr="004B4A8E">
              <w:rPr>
                <w:rFonts w:cs="Arial"/>
                <w:color w:val="000000"/>
                <w:sz w:val="16"/>
                <w:szCs w:val="16"/>
                <w:lang w:val="en-US" w:eastAsia="en-US"/>
              </w:rPr>
              <w:fldChar w:fldCharType="separate"/>
            </w:r>
            <w:r w:rsidR="00016592" w:rsidRPr="00016592">
              <w:rPr>
                <w:rFonts w:cs="Arial"/>
                <w:sz w:val="16"/>
                <w:szCs w:val="16"/>
              </w:rPr>
              <w:t xml:space="preserve">Table </w:t>
            </w:r>
            <w:r w:rsidR="00016592" w:rsidRPr="00016592">
              <w:rPr>
                <w:rFonts w:cs="Arial"/>
                <w:noProof/>
                <w:sz w:val="16"/>
                <w:szCs w:val="16"/>
              </w:rPr>
              <w:t>67</w:t>
            </w:r>
            <w:r w:rsidRPr="004B4A8E">
              <w:rPr>
                <w:rFonts w:cs="Arial"/>
                <w:color w:val="000000"/>
                <w:sz w:val="16"/>
                <w:szCs w:val="16"/>
                <w:lang w:val="en-US" w:eastAsia="en-US"/>
              </w:rPr>
              <w:fldChar w:fldCharType="end"/>
            </w:r>
            <w:r w:rsidRPr="004B4A8E">
              <w:rPr>
                <w:rFonts w:cs="Arial"/>
                <w:color w:val="000000"/>
                <w:sz w:val="16"/>
                <w:szCs w:val="16"/>
                <w:lang w:val="en-US" w:eastAsia="en-US"/>
              </w:rPr>
              <w:t>, row AY</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3A3BF390" w14:textId="77777777" w:rsidR="004B4A8E" w:rsidRPr="004B4A8E" w:rsidRDefault="004B4A8E" w:rsidP="004B4A8E">
            <w:pPr>
              <w:rPr>
                <w:rFonts w:cs="Arial"/>
                <w:color w:val="000000"/>
                <w:sz w:val="16"/>
                <w:szCs w:val="16"/>
                <w:lang w:val="en-US" w:eastAsia="en-US"/>
              </w:rPr>
            </w:pPr>
            <w:r w:rsidRPr="004B4A8E">
              <w:rPr>
                <w:rFonts w:cs="Arial"/>
                <w:color w:val="000000"/>
                <w:sz w:val="16"/>
                <w:szCs w:val="16"/>
                <w:lang w:val="en-US" w:eastAsia="en-US"/>
              </w:rPr>
              <w:t xml:space="preserve"> AUD          115.548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28FBAB6A" w14:textId="77777777" w:rsidR="004B4A8E" w:rsidRPr="004B4A8E" w:rsidRDefault="004B4A8E" w:rsidP="004B4A8E">
            <w:pPr>
              <w:rPr>
                <w:rFonts w:cs="Arial"/>
                <w:color w:val="000000"/>
                <w:sz w:val="16"/>
                <w:szCs w:val="16"/>
                <w:lang w:val="en-US" w:eastAsia="en-US"/>
              </w:rPr>
            </w:pPr>
            <w:r w:rsidRPr="004B4A8E">
              <w:rPr>
                <w:rFonts w:cs="Arial"/>
                <w:color w:val="000000"/>
                <w:sz w:val="16"/>
                <w:szCs w:val="16"/>
                <w:lang w:val="en-US" w:eastAsia="en-US"/>
              </w:rPr>
              <w:t xml:space="preserve"> AUD          117.175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59EBBBA7" w14:textId="77777777" w:rsidR="004B4A8E" w:rsidRPr="004B4A8E" w:rsidRDefault="004B4A8E" w:rsidP="004B4A8E">
            <w:pPr>
              <w:rPr>
                <w:rFonts w:cs="Arial"/>
                <w:color w:val="000000"/>
                <w:sz w:val="16"/>
                <w:szCs w:val="16"/>
                <w:lang w:val="en-US" w:eastAsia="en-US"/>
              </w:rPr>
            </w:pPr>
            <w:r w:rsidRPr="004B4A8E">
              <w:rPr>
                <w:rFonts w:cs="Arial"/>
                <w:color w:val="000000"/>
                <w:sz w:val="16"/>
                <w:szCs w:val="16"/>
                <w:lang w:val="en-US" w:eastAsia="en-US"/>
              </w:rPr>
              <w:t xml:space="preserve"> AUD          120.430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438ACDB5" w14:textId="77777777" w:rsidR="004B4A8E" w:rsidRPr="004B4A8E" w:rsidRDefault="004B4A8E" w:rsidP="004B4A8E">
            <w:pPr>
              <w:rPr>
                <w:rFonts w:cs="Arial"/>
                <w:color w:val="000000"/>
                <w:sz w:val="16"/>
                <w:szCs w:val="16"/>
                <w:lang w:val="en-US" w:eastAsia="en-US"/>
              </w:rPr>
            </w:pPr>
            <w:r w:rsidRPr="004B4A8E">
              <w:rPr>
                <w:rFonts w:cs="Arial"/>
                <w:color w:val="000000"/>
                <w:sz w:val="16"/>
                <w:szCs w:val="16"/>
                <w:lang w:val="en-US" w:eastAsia="en-US"/>
              </w:rPr>
              <w:t xml:space="preserve"> AUD          122.058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3F028301" w14:textId="77777777" w:rsidR="004B4A8E" w:rsidRPr="004B4A8E" w:rsidRDefault="004B4A8E" w:rsidP="004B4A8E">
            <w:pPr>
              <w:rPr>
                <w:rFonts w:cs="Arial"/>
                <w:color w:val="000000"/>
                <w:sz w:val="16"/>
                <w:szCs w:val="16"/>
                <w:lang w:val="en-US" w:eastAsia="en-US"/>
              </w:rPr>
            </w:pPr>
            <w:r w:rsidRPr="004B4A8E">
              <w:rPr>
                <w:rFonts w:cs="Arial"/>
                <w:color w:val="000000"/>
                <w:sz w:val="16"/>
                <w:szCs w:val="16"/>
                <w:lang w:val="en-US" w:eastAsia="en-US"/>
              </w:rPr>
              <w:t xml:space="preserve"> AUD          123.685 </w:t>
            </w:r>
          </w:p>
        </w:tc>
        <w:tc>
          <w:tcPr>
            <w:tcW w:w="1542" w:type="dxa"/>
            <w:tcBorders>
              <w:top w:val="single" w:sz="4" w:space="0" w:color="auto"/>
              <w:left w:val="nil"/>
              <w:bottom w:val="single" w:sz="8" w:space="0" w:color="auto"/>
              <w:right w:val="single" w:sz="8" w:space="0" w:color="auto"/>
            </w:tcBorders>
            <w:shd w:val="clear" w:color="auto" w:fill="auto"/>
            <w:noWrap/>
            <w:vAlign w:val="center"/>
            <w:hideMark/>
          </w:tcPr>
          <w:p w14:paraId="5E688691" w14:textId="77777777" w:rsidR="004B4A8E" w:rsidRPr="004B4A8E" w:rsidRDefault="004B4A8E" w:rsidP="004B4A8E">
            <w:pPr>
              <w:rPr>
                <w:rFonts w:cs="Arial"/>
                <w:color w:val="000000"/>
                <w:sz w:val="16"/>
                <w:szCs w:val="16"/>
                <w:lang w:val="en-US" w:eastAsia="en-US"/>
              </w:rPr>
            </w:pPr>
            <w:r w:rsidRPr="004B4A8E">
              <w:rPr>
                <w:rFonts w:cs="Arial"/>
                <w:color w:val="000000"/>
                <w:sz w:val="16"/>
                <w:szCs w:val="16"/>
                <w:lang w:val="en-US" w:eastAsia="en-US"/>
              </w:rPr>
              <w:t xml:space="preserve"> AUD     125.313 </w:t>
            </w:r>
          </w:p>
        </w:tc>
      </w:tr>
      <w:tr w:rsidR="004B4A8E" w:rsidRPr="004B4A8E" w14:paraId="48BF2B3B" w14:textId="77777777" w:rsidTr="00BF0EEF">
        <w:trPr>
          <w:trHeight w:val="534"/>
          <w:jc w:val="center"/>
        </w:trPr>
        <w:tc>
          <w:tcPr>
            <w:tcW w:w="639"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6050D4F9" w14:textId="77777777" w:rsidR="004B4A8E" w:rsidRPr="004B4A8E" w:rsidRDefault="004B4A8E" w:rsidP="004B4A8E">
            <w:pPr>
              <w:rPr>
                <w:rFonts w:cs="Arial"/>
                <w:b/>
                <w:bCs/>
                <w:color w:val="000000"/>
                <w:sz w:val="20"/>
                <w:szCs w:val="20"/>
                <w:lang w:val="en-US" w:eastAsia="en-US"/>
              </w:rPr>
            </w:pPr>
            <w:r w:rsidRPr="004B4A8E">
              <w:rPr>
                <w:rFonts w:cs="Arial"/>
                <w:b/>
                <w:bCs/>
                <w:color w:val="000000"/>
                <w:sz w:val="20"/>
                <w:szCs w:val="20"/>
                <w:lang w:val="en-US" w:eastAsia="en-US"/>
              </w:rPr>
              <w:t>BT</w:t>
            </w:r>
          </w:p>
        </w:tc>
        <w:tc>
          <w:tcPr>
            <w:tcW w:w="2425" w:type="dxa"/>
            <w:tcBorders>
              <w:top w:val="single" w:sz="4" w:space="0" w:color="auto"/>
              <w:left w:val="nil"/>
              <w:bottom w:val="single" w:sz="8" w:space="0" w:color="auto"/>
              <w:right w:val="single" w:sz="4" w:space="0" w:color="auto"/>
            </w:tcBorders>
            <w:shd w:val="clear" w:color="auto" w:fill="auto"/>
            <w:vAlign w:val="center"/>
            <w:hideMark/>
          </w:tcPr>
          <w:p w14:paraId="180742AE" w14:textId="77777777" w:rsidR="004B4A8E" w:rsidRPr="004B4A8E" w:rsidRDefault="004B4A8E" w:rsidP="004B4A8E">
            <w:pPr>
              <w:rPr>
                <w:rFonts w:cs="Arial"/>
                <w:b/>
                <w:bCs/>
                <w:color w:val="000000"/>
                <w:sz w:val="20"/>
                <w:szCs w:val="20"/>
                <w:lang w:val="en-US" w:eastAsia="en-US"/>
              </w:rPr>
            </w:pPr>
            <w:r w:rsidRPr="004B4A8E">
              <w:rPr>
                <w:rFonts w:cs="Arial"/>
                <w:b/>
                <w:bCs/>
                <w:color w:val="000000"/>
                <w:sz w:val="20"/>
                <w:szCs w:val="20"/>
                <w:lang w:val="en-US" w:eastAsia="en-US"/>
              </w:rPr>
              <w:t>Total costs to the MBS</w:t>
            </w:r>
          </w:p>
        </w:tc>
        <w:tc>
          <w:tcPr>
            <w:tcW w:w="1271" w:type="dxa"/>
            <w:tcBorders>
              <w:top w:val="single" w:sz="4" w:space="0" w:color="auto"/>
              <w:left w:val="nil"/>
              <w:bottom w:val="single" w:sz="8" w:space="0" w:color="auto"/>
              <w:right w:val="single" w:sz="4" w:space="0" w:color="auto"/>
            </w:tcBorders>
            <w:shd w:val="clear" w:color="auto" w:fill="auto"/>
            <w:vAlign w:val="center"/>
            <w:hideMark/>
          </w:tcPr>
          <w:p w14:paraId="6995C81A" w14:textId="77777777" w:rsidR="004B4A8E" w:rsidRPr="004B4A8E" w:rsidRDefault="004B4A8E" w:rsidP="004B4A8E">
            <w:pPr>
              <w:rPr>
                <w:rFonts w:cs="Arial"/>
                <w:color w:val="000000"/>
                <w:sz w:val="16"/>
                <w:szCs w:val="16"/>
                <w:lang w:val="en-US" w:eastAsia="en-US"/>
              </w:rPr>
            </w:pPr>
            <w:r w:rsidRPr="004B4A8E">
              <w:rPr>
                <w:rFonts w:cs="Arial"/>
                <w:color w:val="000000"/>
                <w:sz w:val="16"/>
                <w:szCs w:val="16"/>
                <w:lang w:val="en-US" w:eastAsia="en-US"/>
              </w:rPr>
              <w:t>BR + BS</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322A84CF" w14:textId="77777777" w:rsidR="004B4A8E" w:rsidRPr="004B4A8E" w:rsidRDefault="004B4A8E" w:rsidP="004B4A8E">
            <w:pPr>
              <w:rPr>
                <w:rFonts w:cs="Arial"/>
                <w:color w:val="000000"/>
                <w:sz w:val="16"/>
                <w:szCs w:val="16"/>
                <w:lang w:val="en-US" w:eastAsia="en-US"/>
              </w:rPr>
            </w:pPr>
            <w:r w:rsidRPr="004B4A8E">
              <w:rPr>
                <w:rFonts w:cs="Arial"/>
                <w:color w:val="000000"/>
                <w:sz w:val="16"/>
                <w:szCs w:val="16"/>
                <w:lang w:val="en-US" w:eastAsia="en-US"/>
              </w:rPr>
              <w:t xml:space="preserve"> AUD          248.811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2435BA3D" w14:textId="77777777" w:rsidR="004B4A8E" w:rsidRPr="004B4A8E" w:rsidRDefault="004B4A8E" w:rsidP="004B4A8E">
            <w:pPr>
              <w:rPr>
                <w:rFonts w:cs="Arial"/>
                <w:color w:val="000000"/>
                <w:sz w:val="16"/>
                <w:szCs w:val="16"/>
                <w:lang w:val="en-US" w:eastAsia="en-US"/>
              </w:rPr>
            </w:pPr>
            <w:r w:rsidRPr="004B4A8E">
              <w:rPr>
                <w:rFonts w:cs="Arial"/>
                <w:color w:val="000000"/>
                <w:sz w:val="16"/>
                <w:szCs w:val="16"/>
                <w:lang w:val="en-US" w:eastAsia="en-US"/>
              </w:rPr>
              <w:t xml:space="preserve"> AUD          252.316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3C36831D" w14:textId="77777777" w:rsidR="004B4A8E" w:rsidRPr="004B4A8E" w:rsidRDefault="004B4A8E" w:rsidP="004B4A8E">
            <w:pPr>
              <w:rPr>
                <w:rFonts w:cs="Arial"/>
                <w:color w:val="000000"/>
                <w:sz w:val="16"/>
                <w:szCs w:val="16"/>
                <w:lang w:val="en-US" w:eastAsia="en-US"/>
              </w:rPr>
            </w:pPr>
            <w:r w:rsidRPr="004B4A8E">
              <w:rPr>
                <w:rFonts w:cs="Arial"/>
                <w:color w:val="000000"/>
                <w:sz w:val="16"/>
                <w:szCs w:val="16"/>
                <w:lang w:val="en-US" w:eastAsia="en-US"/>
              </w:rPr>
              <w:t xml:space="preserve"> AUD          259.325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1250B7EB" w14:textId="77777777" w:rsidR="004B4A8E" w:rsidRPr="004B4A8E" w:rsidRDefault="004B4A8E" w:rsidP="004B4A8E">
            <w:pPr>
              <w:rPr>
                <w:rFonts w:cs="Arial"/>
                <w:color w:val="000000"/>
                <w:sz w:val="16"/>
                <w:szCs w:val="16"/>
                <w:lang w:val="en-US" w:eastAsia="en-US"/>
              </w:rPr>
            </w:pPr>
            <w:r w:rsidRPr="004B4A8E">
              <w:rPr>
                <w:rFonts w:cs="Arial"/>
                <w:color w:val="000000"/>
                <w:sz w:val="16"/>
                <w:szCs w:val="16"/>
                <w:lang w:val="en-US" w:eastAsia="en-US"/>
              </w:rPr>
              <w:t xml:space="preserve"> AUD          262.829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3DAC77AE" w14:textId="77777777" w:rsidR="004B4A8E" w:rsidRPr="004B4A8E" w:rsidRDefault="004B4A8E" w:rsidP="004B4A8E">
            <w:pPr>
              <w:rPr>
                <w:rFonts w:cs="Arial"/>
                <w:color w:val="000000"/>
                <w:sz w:val="16"/>
                <w:szCs w:val="16"/>
                <w:lang w:val="en-US" w:eastAsia="en-US"/>
              </w:rPr>
            </w:pPr>
            <w:r w:rsidRPr="004B4A8E">
              <w:rPr>
                <w:rFonts w:cs="Arial"/>
                <w:color w:val="000000"/>
                <w:sz w:val="16"/>
                <w:szCs w:val="16"/>
                <w:lang w:val="en-US" w:eastAsia="en-US"/>
              </w:rPr>
              <w:t xml:space="preserve"> AUD          266.333 </w:t>
            </w:r>
          </w:p>
        </w:tc>
        <w:tc>
          <w:tcPr>
            <w:tcW w:w="1542" w:type="dxa"/>
            <w:tcBorders>
              <w:top w:val="single" w:sz="4" w:space="0" w:color="auto"/>
              <w:left w:val="nil"/>
              <w:bottom w:val="single" w:sz="8" w:space="0" w:color="auto"/>
              <w:right w:val="single" w:sz="8" w:space="0" w:color="auto"/>
            </w:tcBorders>
            <w:shd w:val="clear" w:color="auto" w:fill="auto"/>
            <w:noWrap/>
            <w:vAlign w:val="center"/>
            <w:hideMark/>
          </w:tcPr>
          <w:p w14:paraId="1C7828BA" w14:textId="77777777" w:rsidR="004B4A8E" w:rsidRPr="004B4A8E" w:rsidRDefault="004B4A8E" w:rsidP="004B4A8E">
            <w:pPr>
              <w:rPr>
                <w:rFonts w:cs="Arial"/>
                <w:color w:val="000000"/>
                <w:sz w:val="16"/>
                <w:szCs w:val="16"/>
                <w:lang w:val="en-US" w:eastAsia="en-US"/>
              </w:rPr>
            </w:pPr>
            <w:r w:rsidRPr="004B4A8E">
              <w:rPr>
                <w:rFonts w:cs="Arial"/>
                <w:color w:val="000000"/>
                <w:sz w:val="16"/>
                <w:szCs w:val="16"/>
                <w:lang w:val="en-US" w:eastAsia="en-US"/>
              </w:rPr>
              <w:t xml:space="preserve"> AUD     269.838 </w:t>
            </w:r>
          </w:p>
        </w:tc>
      </w:tr>
      <w:tr w:rsidR="004B4A8E" w:rsidRPr="004B4A8E" w14:paraId="1CD70E20" w14:textId="77777777" w:rsidTr="00BF0EEF">
        <w:trPr>
          <w:trHeight w:val="430"/>
          <w:jc w:val="center"/>
        </w:trPr>
        <w:tc>
          <w:tcPr>
            <w:tcW w:w="639" w:type="dxa"/>
            <w:tcBorders>
              <w:top w:val="single" w:sz="4" w:space="0" w:color="auto"/>
              <w:left w:val="single" w:sz="8" w:space="0" w:color="auto"/>
              <w:bottom w:val="nil"/>
              <w:right w:val="single" w:sz="4" w:space="0" w:color="auto"/>
            </w:tcBorders>
            <w:shd w:val="clear" w:color="auto" w:fill="auto"/>
            <w:noWrap/>
            <w:vAlign w:val="center"/>
            <w:hideMark/>
          </w:tcPr>
          <w:p w14:paraId="68EA5118" w14:textId="77777777" w:rsidR="004B4A8E" w:rsidRPr="004B4A8E" w:rsidRDefault="004B4A8E" w:rsidP="004B4A8E">
            <w:pPr>
              <w:rPr>
                <w:rFonts w:cs="Arial"/>
                <w:b/>
                <w:bCs/>
                <w:color w:val="000000"/>
                <w:sz w:val="20"/>
                <w:szCs w:val="20"/>
                <w:lang w:val="en-US" w:eastAsia="en-US"/>
              </w:rPr>
            </w:pPr>
            <w:r w:rsidRPr="004B4A8E">
              <w:rPr>
                <w:rFonts w:cs="Arial"/>
                <w:b/>
                <w:bCs/>
                <w:color w:val="000000"/>
                <w:sz w:val="20"/>
                <w:szCs w:val="20"/>
                <w:lang w:val="en-US" w:eastAsia="en-US"/>
              </w:rPr>
              <w:t>BU</w:t>
            </w:r>
          </w:p>
        </w:tc>
        <w:tc>
          <w:tcPr>
            <w:tcW w:w="2425" w:type="dxa"/>
            <w:tcBorders>
              <w:top w:val="nil"/>
              <w:left w:val="nil"/>
              <w:bottom w:val="single" w:sz="4" w:space="0" w:color="auto"/>
              <w:right w:val="nil"/>
            </w:tcBorders>
            <w:shd w:val="clear" w:color="auto" w:fill="auto"/>
            <w:vAlign w:val="center"/>
            <w:hideMark/>
          </w:tcPr>
          <w:p w14:paraId="0035FDAF" w14:textId="77777777" w:rsidR="004B4A8E" w:rsidRPr="004B4A8E" w:rsidRDefault="004B4A8E" w:rsidP="004B4A8E">
            <w:pPr>
              <w:rPr>
                <w:rFonts w:cs="Arial"/>
                <w:color w:val="000000"/>
                <w:sz w:val="20"/>
                <w:szCs w:val="20"/>
                <w:lang w:val="en-US" w:eastAsia="en-US"/>
              </w:rPr>
            </w:pPr>
            <w:r w:rsidRPr="004B4A8E">
              <w:rPr>
                <w:rFonts w:cs="Arial"/>
                <w:color w:val="000000"/>
                <w:sz w:val="20"/>
                <w:szCs w:val="20"/>
                <w:lang w:val="en-US" w:eastAsia="en-US"/>
              </w:rPr>
              <w:t>Total non-MBS costs</w:t>
            </w:r>
          </w:p>
        </w:tc>
        <w:tc>
          <w:tcPr>
            <w:tcW w:w="1271"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3251CEA2" w14:textId="77777777" w:rsidR="004B4A8E" w:rsidRPr="004B4A8E" w:rsidRDefault="004B4A8E" w:rsidP="004B4A8E">
            <w:pPr>
              <w:rPr>
                <w:rFonts w:cs="Arial"/>
                <w:color w:val="000000"/>
                <w:sz w:val="16"/>
                <w:szCs w:val="16"/>
                <w:lang w:val="en-US" w:eastAsia="en-US"/>
              </w:rPr>
            </w:pPr>
            <w:r w:rsidRPr="004B4A8E">
              <w:rPr>
                <w:rFonts w:cs="Arial"/>
                <w:color w:val="000000"/>
                <w:sz w:val="16"/>
                <w:szCs w:val="16"/>
                <w:lang w:val="en-US" w:eastAsia="en-US"/>
              </w:rPr>
              <w:fldChar w:fldCharType="begin"/>
            </w:r>
            <w:r w:rsidRPr="004B4A8E">
              <w:rPr>
                <w:rFonts w:cs="Arial"/>
                <w:color w:val="000000"/>
                <w:sz w:val="16"/>
                <w:szCs w:val="16"/>
                <w:lang w:val="en-US" w:eastAsia="en-US"/>
              </w:rPr>
              <w:instrText xml:space="preserve"> REF _Ref430954298 \h </w:instrText>
            </w:r>
            <w:r>
              <w:rPr>
                <w:rFonts w:cs="Arial"/>
                <w:color w:val="000000"/>
                <w:sz w:val="16"/>
                <w:szCs w:val="16"/>
                <w:lang w:val="en-US" w:eastAsia="en-US"/>
              </w:rPr>
              <w:instrText xml:space="preserve"> \* MERGEFORMAT </w:instrText>
            </w:r>
            <w:r w:rsidRPr="004B4A8E">
              <w:rPr>
                <w:rFonts w:cs="Arial"/>
                <w:color w:val="000000"/>
                <w:sz w:val="16"/>
                <w:szCs w:val="16"/>
                <w:lang w:val="en-US" w:eastAsia="en-US"/>
              </w:rPr>
            </w:r>
            <w:r w:rsidRPr="004B4A8E">
              <w:rPr>
                <w:rFonts w:cs="Arial"/>
                <w:color w:val="000000"/>
                <w:sz w:val="16"/>
                <w:szCs w:val="16"/>
                <w:lang w:val="en-US" w:eastAsia="en-US"/>
              </w:rPr>
              <w:fldChar w:fldCharType="separate"/>
            </w:r>
            <w:r w:rsidR="00016592" w:rsidRPr="00016592">
              <w:rPr>
                <w:rFonts w:cs="Arial"/>
                <w:sz w:val="16"/>
                <w:szCs w:val="16"/>
              </w:rPr>
              <w:t xml:space="preserve">Table </w:t>
            </w:r>
            <w:r w:rsidR="00016592" w:rsidRPr="00016592">
              <w:rPr>
                <w:rFonts w:cs="Arial"/>
                <w:noProof/>
                <w:sz w:val="16"/>
                <w:szCs w:val="16"/>
              </w:rPr>
              <w:t>68</w:t>
            </w:r>
            <w:r w:rsidRPr="004B4A8E">
              <w:rPr>
                <w:rFonts w:cs="Arial"/>
                <w:color w:val="000000"/>
                <w:sz w:val="16"/>
                <w:szCs w:val="16"/>
                <w:lang w:val="en-US" w:eastAsia="en-US"/>
              </w:rPr>
              <w:fldChar w:fldCharType="end"/>
            </w:r>
            <w:r w:rsidRPr="004B4A8E">
              <w:rPr>
                <w:rFonts w:cs="Arial"/>
                <w:color w:val="000000"/>
                <w:sz w:val="16"/>
                <w:szCs w:val="16"/>
                <w:lang w:val="en-US" w:eastAsia="en-US"/>
              </w:rPr>
              <w:t>, row BK</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0770EF34" w14:textId="77777777" w:rsidR="004B4A8E" w:rsidRPr="004B4A8E" w:rsidRDefault="004B4A8E" w:rsidP="004B4A8E">
            <w:pPr>
              <w:rPr>
                <w:rFonts w:cs="Arial"/>
                <w:color w:val="000000"/>
                <w:sz w:val="16"/>
                <w:szCs w:val="16"/>
                <w:lang w:val="en-US" w:eastAsia="en-US"/>
              </w:rPr>
            </w:pPr>
            <w:r w:rsidRPr="004B4A8E">
              <w:rPr>
                <w:rFonts w:cs="Arial"/>
                <w:color w:val="000000"/>
                <w:sz w:val="16"/>
                <w:szCs w:val="16"/>
                <w:lang w:val="en-US" w:eastAsia="en-US"/>
              </w:rPr>
              <w:t xml:space="preserve"> AUD          494.831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1295514B" w14:textId="77777777" w:rsidR="004B4A8E" w:rsidRPr="004B4A8E" w:rsidRDefault="004B4A8E" w:rsidP="004B4A8E">
            <w:pPr>
              <w:rPr>
                <w:rFonts w:cs="Arial"/>
                <w:color w:val="000000"/>
                <w:sz w:val="16"/>
                <w:szCs w:val="16"/>
                <w:lang w:val="en-US" w:eastAsia="en-US"/>
              </w:rPr>
            </w:pPr>
            <w:r w:rsidRPr="004B4A8E">
              <w:rPr>
                <w:rFonts w:cs="Arial"/>
                <w:color w:val="000000"/>
                <w:sz w:val="16"/>
                <w:szCs w:val="16"/>
                <w:lang w:val="en-US" w:eastAsia="en-US"/>
              </w:rPr>
              <w:t xml:space="preserve"> AUD          501.800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055C74F4" w14:textId="77777777" w:rsidR="004B4A8E" w:rsidRPr="004B4A8E" w:rsidRDefault="004B4A8E" w:rsidP="004B4A8E">
            <w:pPr>
              <w:rPr>
                <w:rFonts w:cs="Arial"/>
                <w:color w:val="000000"/>
                <w:sz w:val="16"/>
                <w:szCs w:val="16"/>
                <w:lang w:val="en-US" w:eastAsia="en-US"/>
              </w:rPr>
            </w:pPr>
            <w:r w:rsidRPr="004B4A8E">
              <w:rPr>
                <w:rFonts w:cs="Arial"/>
                <w:color w:val="000000"/>
                <w:sz w:val="16"/>
                <w:szCs w:val="16"/>
                <w:lang w:val="en-US" w:eastAsia="en-US"/>
              </w:rPr>
              <w:t xml:space="preserve"> AUD          515.739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46FF6BCA" w14:textId="77777777" w:rsidR="004B4A8E" w:rsidRPr="004B4A8E" w:rsidRDefault="004B4A8E" w:rsidP="004B4A8E">
            <w:pPr>
              <w:rPr>
                <w:rFonts w:cs="Arial"/>
                <w:color w:val="000000"/>
                <w:sz w:val="16"/>
                <w:szCs w:val="16"/>
                <w:lang w:val="en-US" w:eastAsia="en-US"/>
              </w:rPr>
            </w:pPr>
            <w:r w:rsidRPr="004B4A8E">
              <w:rPr>
                <w:rFonts w:cs="Arial"/>
                <w:color w:val="000000"/>
                <w:sz w:val="16"/>
                <w:szCs w:val="16"/>
                <w:lang w:val="en-US" w:eastAsia="en-US"/>
              </w:rPr>
              <w:t xml:space="preserve"> AUD          522.708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4FD6F23C" w14:textId="77777777" w:rsidR="004B4A8E" w:rsidRPr="004B4A8E" w:rsidRDefault="004B4A8E" w:rsidP="004B4A8E">
            <w:pPr>
              <w:rPr>
                <w:rFonts w:cs="Arial"/>
                <w:color w:val="000000"/>
                <w:sz w:val="16"/>
                <w:szCs w:val="16"/>
                <w:lang w:val="en-US" w:eastAsia="en-US"/>
              </w:rPr>
            </w:pPr>
            <w:r w:rsidRPr="004B4A8E">
              <w:rPr>
                <w:rFonts w:cs="Arial"/>
                <w:color w:val="000000"/>
                <w:sz w:val="16"/>
                <w:szCs w:val="16"/>
                <w:lang w:val="en-US" w:eastAsia="en-US"/>
              </w:rPr>
              <w:t xml:space="preserve"> AUD          529.678 </w:t>
            </w:r>
          </w:p>
        </w:tc>
        <w:tc>
          <w:tcPr>
            <w:tcW w:w="1542" w:type="dxa"/>
            <w:tcBorders>
              <w:top w:val="single" w:sz="4" w:space="0" w:color="auto"/>
              <w:left w:val="nil"/>
              <w:bottom w:val="single" w:sz="8" w:space="0" w:color="auto"/>
              <w:right w:val="single" w:sz="8" w:space="0" w:color="auto"/>
            </w:tcBorders>
            <w:shd w:val="clear" w:color="auto" w:fill="auto"/>
            <w:noWrap/>
            <w:vAlign w:val="center"/>
            <w:hideMark/>
          </w:tcPr>
          <w:p w14:paraId="0417B713" w14:textId="77777777" w:rsidR="004B4A8E" w:rsidRPr="004B4A8E" w:rsidRDefault="004B4A8E" w:rsidP="004B4A8E">
            <w:pPr>
              <w:rPr>
                <w:rFonts w:cs="Arial"/>
                <w:color w:val="000000"/>
                <w:sz w:val="16"/>
                <w:szCs w:val="16"/>
                <w:lang w:val="en-US" w:eastAsia="en-US"/>
              </w:rPr>
            </w:pPr>
            <w:r w:rsidRPr="004B4A8E">
              <w:rPr>
                <w:rFonts w:cs="Arial"/>
                <w:color w:val="000000"/>
                <w:sz w:val="16"/>
                <w:szCs w:val="16"/>
                <w:lang w:val="en-US" w:eastAsia="en-US"/>
              </w:rPr>
              <w:t xml:space="preserve"> AUD     536.647 </w:t>
            </w:r>
          </w:p>
        </w:tc>
      </w:tr>
      <w:tr w:rsidR="004B4A8E" w:rsidRPr="004B4A8E" w14:paraId="5E9BC2FE" w14:textId="77777777" w:rsidTr="00BF0EEF">
        <w:trPr>
          <w:trHeight w:val="806"/>
          <w:jc w:val="center"/>
        </w:trPr>
        <w:tc>
          <w:tcPr>
            <w:tcW w:w="639"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01459A46" w14:textId="77777777" w:rsidR="004B4A8E" w:rsidRPr="004B4A8E" w:rsidRDefault="004B4A8E" w:rsidP="004B4A8E">
            <w:pPr>
              <w:rPr>
                <w:rFonts w:cs="Arial"/>
                <w:b/>
                <w:bCs/>
                <w:color w:val="000000"/>
                <w:sz w:val="20"/>
                <w:szCs w:val="20"/>
                <w:lang w:val="en-US" w:eastAsia="en-US"/>
              </w:rPr>
            </w:pPr>
            <w:r w:rsidRPr="004B4A8E">
              <w:rPr>
                <w:rFonts w:cs="Arial"/>
                <w:b/>
                <w:bCs/>
                <w:color w:val="000000"/>
                <w:sz w:val="20"/>
                <w:szCs w:val="20"/>
                <w:lang w:val="en-US" w:eastAsia="en-US"/>
              </w:rPr>
              <w:t>BV</w:t>
            </w:r>
          </w:p>
        </w:tc>
        <w:tc>
          <w:tcPr>
            <w:tcW w:w="2425" w:type="dxa"/>
            <w:tcBorders>
              <w:top w:val="nil"/>
              <w:left w:val="nil"/>
              <w:bottom w:val="single" w:sz="8" w:space="0" w:color="auto"/>
              <w:right w:val="nil"/>
            </w:tcBorders>
            <w:shd w:val="clear" w:color="auto" w:fill="auto"/>
            <w:vAlign w:val="center"/>
            <w:hideMark/>
          </w:tcPr>
          <w:p w14:paraId="663C2F31" w14:textId="77777777" w:rsidR="004B4A8E" w:rsidRPr="004B4A8E" w:rsidRDefault="004B4A8E" w:rsidP="004B4A8E">
            <w:pPr>
              <w:rPr>
                <w:rFonts w:cs="Arial"/>
                <w:b/>
                <w:bCs/>
                <w:color w:val="000000"/>
                <w:sz w:val="20"/>
                <w:szCs w:val="20"/>
                <w:lang w:val="en-US" w:eastAsia="en-US"/>
              </w:rPr>
            </w:pPr>
            <w:r w:rsidRPr="004B4A8E">
              <w:rPr>
                <w:rFonts w:cs="Arial"/>
                <w:b/>
                <w:bCs/>
                <w:color w:val="000000"/>
                <w:sz w:val="20"/>
                <w:szCs w:val="20"/>
                <w:lang w:val="en-US" w:eastAsia="en-US"/>
              </w:rPr>
              <w:t>Overall total costs of the proposed intervention</w:t>
            </w:r>
          </w:p>
        </w:tc>
        <w:tc>
          <w:tcPr>
            <w:tcW w:w="1271"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2DEB5ABF" w14:textId="77777777" w:rsidR="004B4A8E" w:rsidRPr="004B4A8E" w:rsidRDefault="004B4A8E" w:rsidP="004B4A8E">
            <w:pPr>
              <w:rPr>
                <w:rFonts w:cs="Arial"/>
                <w:color w:val="000000"/>
                <w:sz w:val="16"/>
                <w:szCs w:val="16"/>
                <w:lang w:val="en-US" w:eastAsia="en-US"/>
              </w:rPr>
            </w:pPr>
            <w:r w:rsidRPr="004B4A8E">
              <w:rPr>
                <w:rFonts w:cs="Arial"/>
                <w:color w:val="000000"/>
                <w:sz w:val="16"/>
                <w:szCs w:val="16"/>
                <w:lang w:val="en-US" w:eastAsia="en-US"/>
              </w:rPr>
              <w:t>BU + BT</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39051E90" w14:textId="77777777" w:rsidR="004B4A8E" w:rsidRPr="004B4A8E" w:rsidRDefault="004B4A8E" w:rsidP="004B4A8E">
            <w:pPr>
              <w:rPr>
                <w:rFonts w:cs="Arial"/>
                <w:b/>
                <w:bCs/>
                <w:color w:val="000000"/>
                <w:sz w:val="16"/>
                <w:szCs w:val="16"/>
                <w:lang w:val="en-US" w:eastAsia="en-US"/>
              </w:rPr>
            </w:pPr>
            <w:r w:rsidRPr="004B4A8E">
              <w:rPr>
                <w:rFonts w:cs="Arial"/>
                <w:b/>
                <w:bCs/>
                <w:color w:val="000000"/>
                <w:sz w:val="16"/>
                <w:szCs w:val="16"/>
                <w:lang w:val="en-US" w:eastAsia="en-US"/>
              </w:rPr>
              <w:t xml:space="preserve"> AUD          743.642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1472579A" w14:textId="77777777" w:rsidR="004B4A8E" w:rsidRPr="004B4A8E" w:rsidRDefault="004B4A8E" w:rsidP="004B4A8E">
            <w:pPr>
              <w:rPr>
                <w:rFonts w:cs="Arial"/>
                <w:b/>
                <w:bCs/>
                <w:color w:val="000000"/>
                <w:sz w:val="16"/>
                <w:szCs w:val="16"/>
                <w:lang w:val="en-US" w:eastAsia="en-US"/>
              </w:rPr>
            </w:pPr>
            <w:r w:rsidRPr="004B4A8E">
              <w:rPr>
                <w:rFonts w:cs="Arial"/>
                <w:b/>
                <w:bCs/>
                <w:color w:val="000000"/>
                <w:sz w:val="16"/>
                <w:szCs w:val="16"/>
                <w:lang w:val="en-US" w:eastAsia="en-US"/>
              </w:rPr>
              <w:t xml:space="preserve"> AUD          754.116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019767E5" w14:textId="77777777" w:rsidR="004B4A8E" w:rsidRPr="004B4A8E" w:rsidRDefault="004B4A8E" w:rsidP="004B4A8E">
            <w:pPr>
              <w:rPr>
                <w:rFonts w:cs="Arial"/>
                <w:b/>
                <w:bCs/>
                <w:color w:val="000000"/>
                <w:sz w:val="16"/>
                <w:szCs w:val="16"/>
                <w:lang w:val="en-US" w:eastAsia="en-US"/>
              </w:rPr>
            </w:pPr>
            <w:r w:rsidRPr="004B4A8E">
              <w:rPr>
                <w:rFonts w:cs="Arial"/>
                <w:b/>
                <w:bCs/>
                <w:color w:val="000000"/>
                <w:sz w:val="16"/>
                <w:szCs w:val="16"/>
                <w:lang w:val="en-US" w:eastAsia="en-US"/>
              </w:rPr>
              <w:t xml:space="preserve"> AUD          775.064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28797178" w14:textId="77777777" w:rsidR="004B4A8E" w:rsidRPr="004B4A8E" w:rsidRDefault="004B4A8E" w:rsidP="004B4A8E">
            <w:pPr>
              <w:rPr>
                <w:rFonts w:cs="Arial"/>
                <w:b/>
                <w:bCs/>
                <w:color w:val="000000"/>
                <w:sz w:val="16"/>
                <w:szCs w:val="16"/>
                <w:lang w:val="en-US" w:eastAsia="en-US"/>
              </w:rPr>
            </w:pPr>
            <w:r w:rsidRPr="004B4A8E">
              <w:rPr>
                <w:rFonts w:cs="Arial"/>
                <w:b/>
                <w:bCs/>
                <w:color w:val="000000"/>
                <w:sz w:val="16"/>
                <w:szCs w:val="16"/>
                <w:lang w:val="en-US" w:eastAsia="en-US"/>
              </w:rPr>
              <w:t xml:space="preserve"> AUD          785.537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5602C1B0" w14:textId="77777777" w:rsidR="004B4A8E" w:rsidRPr="004B4A8E" w:rsidRDefault="004B4A8E" w:rsidP="004B4A8E">
            <w:pPr>
              <w:rPr>
                <w:rFonts w:cs="Arial"/>
                <w:b/>
                <w:bCs/>
                <w:color w:val="000000"/>
                <w:sz w:val="16"/>
                <w:szCs w:val="16"/>
                <w:lang w:val="en-US" w:eastAsia="en-US"/>
              </w:rPr>
            </w:pPr>
            <w:r w:rsidRPr="004B4A8E">
              <w:rPr>
                <w:rFonts w:cs="Arial"/>
                <w:b/>
                <w:bCs/>
                <w:color w:val="000000"/>
                <w:sz w:val="16"/>
                <w:szCs w:val="16"/>
                <w:lang w:val="en-US" w:eastAsia="en-US"/>
              </w:rPr>
              <w:t xml:space="preserve"> AUD          796.011 </w:t>
            </w:r>
          </w:p>
        </w:tc>
        <w:tc>
          <w:tcPr>
            <w:tcW w:w="1542" w:type="dxa"/>
            <w:tcBorders>
              <w:top w:val="single" w:sz="4" w:space="0" w:color="auto"/>
              <w:left w:val="nil"/>
              <w:bottom w:val="single" w:sz="8" w:space="0" w:color="auto"/>
              <w:right w:val="single" w:sz="8" w:space="0" w:color="auto"/>
            </w:tcBorders>
            <w:shd w:val="clear" w:color="auto" w:fill="auto"/>
            <w:noWrap/>
            <w:vAlign w:val="center"/>
            <w:hideMark/>
          </w:tcPr>
          <w:p w14:paraId="42CD7203" w14:textId="77777777" w:rsidR="004B4A8E" w:rsidRPr="004B4A8E" w:rsidRDefault="004B4A8E" w:rsidP="004B4A8E">
            <w:pPr>
              <w:rPr>
                <w:rFonts w:cs="Arial"/>
                <w:b/>
                <w:bCs/>
                <w:color w:val="000000"/>
                <w:sz w:val="16"/>
                <w:szCs w:val="16"/>
                <w:lang w:val="en-US" w:eastAsia="en-US"/>
              </w:rPr>
            </w:pPr>
            <w:r w:rsidRPr="004B4A8E">
              <w:rPr>
                <w:rFonts w:cs="Arial"/>
                <w:b/>
                <w:bCs/>
                <w:color w:val="000000"/>
                <w:sz w:val="16"/>
                <w:szCs w:val="16"/>
                <w:lang w:val="en-US" w:eastAsia="en-US"/>
              </w:rPr>
              <w:t xml:space="preserve"> AUD     806.485 </w:t>
            </w:r>
          </w:p>
        </w:tc>
      </w:tr>
    </w:tbl>
    <w:p w14:paraId="18946550" w14:textId="77777777" w:rsidR="002F2D29" w:rsidRDefault="002F2D29" w:rsidP="002F2D29">
      <w:pPr>
        <w:rPr>
          <w:sz w:val="16"/>
          <w:szCs w:val="16"/>
          <w:lang w:val="en-US"/>
        </w:rPr>
      </w:pPr>
      <w:r w:rsidRPr="002F2D29">
        <w:rPr>
          <w:sz w:val="16"/>
          <w:szCs w:val="16"/>
          <w:lang w:val="en-US"/>
        </w:rPr>
        <w:t xml:space="preserve">Source: Calculated </w:t>
      </w:r>
      <w:r>
        <w:rPr>
          <w:sz w:val="16"/>
          <w:szCs w:val="16"/>
          <w:lang w:val="en-US"/>
        </w:rPr>
        <w:t xml:space="preserve">by MSAC </w:t>
      </w:r>
      <w:r w:rsidRPr="002F2D29">
        <w:rPr>
          <w:sz w:val="16"/>
          <w:szCs w:val="16"/>
          <w:lang w:val="en-US"/>
        </w:rPr>
        <w:t>during the Critique based largely on the approach used in the Assessmen</w:t>
      </w:r>
      <w:r>
        <w:rPr>
          <w:sz w:val="16"/>
          <w:szCs w:val="16"/>
          <w:lang w:val="en-US"/>
        </w:rPr>
        <w:t>t Report, including corrections.</w:t>
      </w:r>
    </w:p>
    <w:p w14:paraId="0FFF7C24" w14:textId="77777777" w:rsidR="002F2D29" w:rsidRDefault="002F2D29" w:rsidP="002F2D29">
      <w:pPr>
        <w:rPr>
          <w:sz w:val="16"/>
          <w:szCs w:val="16"/>
          <w:lang w:val="en-US"/>
        </w:rPr>
      </w:pPr>
      <w:r>
        <w:rPr>
          <w:sz w:val="16"/>
          <w:szCs w:val="16"/>
          <w:lang w:val="en-US"/>
        </w:rPr>
        <w:t xml:space="preserve">a: </w:t>
      </w:r>
      <w:r w:rsidRPr="002F2D29">
        <w:rPr>
          <w:position w:val="8"/>
          <w:sz w:val="16"/>
          <w:szCs w:val="16"/>
          <w:vertAlign w:val="superscript"/>
          <w:lang w:val="en-US"/>
        </w:rPr>
        <w:t xml:space="preserve"> </w:t>
      </w:r>
      <w:r w:rsidRPr="002F2D29">
        <w:rPr>
          <w:sz w:val="16"/>
          <w:szCs w:val="16"/>
          <w:lang w:val="en-US"/>
        </w:rPr>
        <w:t xml:space="preserve">Includes co-administered services, pre-operational services, post-operational services, and MBS costs associated with re-implantation (assuming that 2.72% of implants will require re-implantation). </w:t>
      </w:r>
    </w:p>
    <w:p w14:paraId="574A2EE5" w14:textId="77777777" w:rsidR="00333C07" w:rsidRPr="002F2D29" w:rsidRDefault="002F2D29" w:rsidP="002F2D29">
      <w:pPr>
        <w:rPr>
          <w:sz w:val="16"/>
          <w:szCs w:val="16"/>
        </w:rPr>
      </w:pPr>
      <w:r>
        <w:rPr>
          <w:sz w:val="16"/>
          <w:szCs w:val="16"/>
          <w:lang w:val="en-US"/>
        </w:rPr>
        <w:t xml:space="preserve">b: </w:t>
      </w:r>
      <w:r w:rsidRPr="002F2D29">
        <w:rPr>
          <w:sz w:val="16"/>
          <w:szCs w:val="16"/>
        </w:rPr>
        <w:t>Includes cost of the VSB implant, processor, batteries, counselling, hospital stay, and non-MBS costs associated with re-implantation, which are met by hospital budgets, private health funds and patient self-pay.</w:t>
      </w:r>
    </w:p>
    <w:p w14:paraId="53F5DB69" w14:textId="77777777" w:rsidR="00333C07" w:rsidRDefault="00333C07" w:rsidP="00830612">
      <w:pPr>
        <w:pStyle w:val="Textbody"/>
        <w:rPr>
          <w:lang w:val="en-AU"/>
        </w:rPr>
        <w:sectPr w:rsidR="00333C07" w:rsidSect="00333C07">
          <w:pgSz w:w="16840" w:h="11907" w:orient="landscape" w:code="9"/>
          <w:pgMar w:top="1814" w:right="1418" w:bottom="1418" w:left="1701" w:header="720" w:footer="720" w:gutter="0"/>
          <w:paperSrc w:first="7" w:other="7"/>
          <w:cols w:space="720"/>
          <w:noEndnote/>
          <w:docGrid w:linePitch="299"/>
        </w:sectPr>
      </w:pPr>
    </w:p>
    <w:p w14:paraId="19EF2B48" w14:textId="77777777" w:rsidR="000214FE" w:rsidRPr="009A1A2E" w:rsidRDefault="000214FE" w:rsidP="00334FF1">
      <w:pPr>
        <w:pStyle w:val="Heading20"/>
        <w:rPr>
          <w:lang w:val="en-AU"/>
        </w:rPr>
      </w:pPr>
      <w:bookmarkStart w:id="657" w:name="_Toc337546934"/>
      <w:bookmarkStart w:id="658" w:name="_Toc400549443"/>
      <w:bookmarkStart w:id="659" w:name="_Toc431917613"/>
      <w:bookmarkEnd w:id="648"/>
      <w:bookmarkEnd w:id="649"/>
      <w:bookmarkEnd w:id="650"/>
      <w:bookmarkEnd w:id="651"/>
      <w:bookmarkEnd w:id="652"/>
      <w:r w:rsidRPr="009A1A2E">
        <w:rPr>
          <w:lang w:val="en-AU"/>
        </w:rPr>
        <w:lastRenderedPageBreak/>
        <w:t>E.</w:t>
      </w:r>
      <w:r w:rsidR="002E36BA">
        <w:rPr>
          <w:lang w:val="en-AU"/>
        </w:rPr>
        <w:t>5</w:t>
      </w:r>
      <w:r w:rsidRPr="009A1A2E">
        <w:rPr>
          <w:lang w:val="en-AU"/>
        </w:rPr>
        <w:tab/>
        <w:t>Identification, estimation and reduction of uncertainty</w:t>
      </w:r>
      <w:bookmarkEnd w:id="657"/>
      <w:bookmarkEnd w:id="658"/>
      <w:bookmarkEnd w:id="659"/>
    </w:p>
    <w:p w14:paraId="075C1E5C" w14:textId="77777777" w:rsidR="000214FE" w:rsidRPr="009A1A2E" w:rsidRDefault="000214FE" w:rsidP="00BF4FBB">
      <w:pPr>
        <w:pStyle w:val="Textbody"/>
        <w:rPr>
          <w:lang w:val="en-AU"/>
        </w:rPr>
      </w:pPr>
      <w:r w:rsidRPr="009A1A2E">
        <w:rPr>
          <w:lang w:val="en-AU"/>
        </w:rPr>
        <w:t xml:space="preserve">As demonstrated in Section D and E.2, the proposed listing of insertion of a partially implantable Middle Ear Implant can only be achieved with additional costs to the MBS. </w:t>
      </w:r>
    </w:p>
    <w:p w14:paraId="7405618C" w14:textId="77777777" w:rsidR="000214FE" w:rsidRDefault="006D425C" w:rsidP="00BF4FBB">
      <w:pPr>
        <w:pStyle w:val="Textbody"/>
        <w:rPr>
          <w:lang w:val="en-AU"/>
        </w:rPr>
      </w:pPr>
      <w:r w:rsidRPr="006D425C">
        <w:rPr>
          <w:lang w:val="en-AU"/>
        </w:rPr>
        <w:t>The current analysis conservatively assumed a mean number of procedures based on epidemiological data from Australia</w:t>
      </w:r>
      <w:r>
        <w:rPr>
          <w:lang w:val="en-AU"/>
        </w:rPr>
        <w:t>, best available evidence research on outer ear pathologies</w:t>
      </w:r>
      <w:r w:rsidRPr="006D425C">
        <w:rPr>
          <w:lang w:val="en-AU"/>
        </w:rPr>
        <w:t xml:space="preserve"> and comparable, highly developed health care markets like Germany. As </w:t>
      </w:r>
      <w:r>
        <w:rPr>
          <w:lang w:val="en-AU"/>
        </w:rPr>
        <w:t xml:space="preserve">a form of </w:t>
      </w:r>
      <w:r w:rsidRPr="006D425C">
        <w:rPr>
          <w:lang w:val="en-AU"/>
        </w:rPr>
        <w:t>sensitivity analysis, alternative scenarios (minimum and maximum numbers of procedures) were also explored.</w:t>
      </w:r>
    </w:p>
    <w:p w14:paraId="0D7C258F" w14:textId="060A6B78" w:rsidR="006D425C" w:rsidRDefault="00356F15" w:rsidP="00BF4FBB">
      <w:pPr>
        <w:pStyle w:val="Textbody"/>
        <w:rPr>
          <w:lang w:val="en-AU"/>
        </w:rPr>
      </w:pPr>
      <w:r>
        <w:rPr>
          <w:lang w:val="en-AU"/>
        </w:rPr>
        <w:t>As stated before, the estimated number of individuals affected by an outer ear pathology in the Australian population is conservative. The calculations do not account for an overlap of the medical conditions and hence may represent an underestimate of the real number of affected individuals. It is expected that the occurrence of overlapping medical conditions is rare and the impact on BIA would be minimal.</w:t>
      </w:r>
    </w:p>
    <w:p w14:paraId="6EB98F6D" w14:textId="77777777" w:rsidR="00356F15" w:rsidRDefault="00356F15" w:rsidP="00BF4FBB">
      <w:pPr>
        <w:pStyle w:val="Textbody"/>
        <w:rPr>
          <w:lang w:val="en-AU"/>
        </w:rPr>
      </w:pPr>
      <w:r>
        <w:rPr>
          <w:lang w:val="en-AU"/>
        </w:rPr>
        <w:t>Another uncertainty is whether the</w:t>
      </w:r>
      <w:r w:rsidRPr="00356F15">
        <w:rPr>
          <w:lang w:val="en-AU"/>
        </w:rPr>
        <w:t xml:space="preserve"> recent observations regarding the German market reflect the fundamental changes to the utilisation of the MBS items. The maximum expected usage may differ from expectations but experience from countries where the service is started shows that especially during the first years the maximum number of procedures done is far beyond the estimations (overestimation of usage). The reasons for that are market development (surgeons and audiologists that have to be trained, clinics have to be convinced of the procedure, awareness has to be intensified) and especially patient awareness and knowledge has to be built up.</w:t>
      </w:r>
    </w:p>
    <w:p w14:paraId="5FC03671" w14:textId="77777777" w:rsidR="00356F15" w:rsidRDefault="00D05032" w:rsidP="00BF4FBB">
      <w:pPr>
        <w:pStyle w:val="Textbody"/>
        <w:rPr>
          <w:lang w:val="en-AU"/>
        </w:rPr>
      </w:pPr>
      <w:r>
        <w:rPr>
          <w:lang w:val="en-AU"/>
        </w:rPr>
        <w:t>In general, t</w:t>
      </w:r>
      <w:r w:rsidR="00356F15">
        <w:rPr>
          <w:lang w:val="en-AU"/>
        </w:rPr>
        <w:t xml:space="preserve">he extent of </w:t>
      </w:r>
      <w:r>
        <w:rPr>
          <w:lang w:val="en-AU"/>
        </w:rPr>
        <w:t>partially implantable middle ear implant use</w:t>
      </w:r>
      <w:r w:rsidR="00356F15">
        <w:rPr>
          <w:lang w:val="en-AU"/>
        </w:rPr>
        <w:t xml:space="preserve"> </w:t>
      </w:r>
      <w:r>
        <w:rPr>
          <w:lang w:val="en-AU"/>
        </w:rPr>
        <w:t>in</w:t>
      </w:r>
      <w:r w:rsidR="00356F15">
        <w:rPr>
          <w:lang w:val="en-AU"/>
        </w:rPr>
        <w:t xml:space="preserve"> the target population </w:t>
      </w:r>
      <w:r>
        <w:rPr>
          <w:lang w:val="en-AU"/>
        </w:rPr>
        <w:t xml:space="preserve">is expected to be a good estimate. The uptake of such devices is controlled by health care practitioners and individuals need to match the candidacy criteria to receive a middle ear implant. </w:t>
      </w:r>
      <w:r w:rsidR="00541456">
        <w:rPr>
          <w:lang w:val="en-AU"/>
        </w:rPr>
        <w:t xml:space="preserve">It might happen that indiviauls diagnosed with mild to severe SNHL but without an outer ear medical condition are interested in receiving </w:t>
      </w:r>
      <w:r w:rsidR="006578AC">
        <w:rPr>
          <w:lang w:val="en-AU"/>
        </w:rPr>
        <w:t>the proposed medical service</w:t>
      </w:r>
      <w:r w:rsidR="00541456">
        <w:rPr>
          <w:lang w:val="en-AU"/>
        </w:rPr>
        <w:t xml:space="preserve">. </w:t>
      </w:r>
      <w:r w:rsidR="006578AC">
        <w:rPr>
          <w:lang w:val="en-AU"/>
        </w:rPr>
        <w:t>The provision of the service would depend on clin</w:t>
      </w:r>
      <w:r w:rsidR="00442087">
        <w:rPr>
          <w:lang w:val="en-AU"/>
        </w:rPr>
        <w:t xml:space="preserve">ical opinion and individuals’ willingness to fund theirselves. Taking this into consideration, the derived estimates of VSB implantation may be an underestimate however the potential impact on the MBS is anticipated to be minimal. </w:t>
      </w:r>
    </w:p>
    <w:p w14:paraId="012A1F72" w14:textId="0E7B865F" w:rsidR="00C91A9F" w:rsidRDefault="00C91A9F" w:rsidP="00BF4FBB">
      <w:pPr>
        <w:pStyle w:val="Textbody"/>
        <w:rPr>
          <w:lang w:val="en-AU"/>
        </w:rPr>
      </w:pPr>
      <w:r>
        <w:rPr>
          <w:lang w:val="en-AU"/>
        </w:rPr>
        <w:t xml:space="preserve">To assess whether the above specified factors affect the budget impact analysis outcomes, deterministic sensitivity analysis was carried out. The number of candidates determined by Junker (2002) for the German market was varied from its base-case value </w:t>
      </w:r>
      <w:r w:rsidR="00D554BA">
        <w:rPr>
          <w:lang w:val="en-AU"/>
        </w:rPr>
        <w:lastRenderedPageBreak/>
        <w:t>between its</w:t>
      </w:r>
      <w:r>
        <w:rPr>
          <w:lang w:val="en-AU"/>
        </w:rPr>
        <w:t xml:space="preserve"> </w:t>
      </w:r>
      <w:r w:rsidR="00D554BA">
        <w:rPr>
          <w:lang w:val="en-AU"/>
        </w:rPr>
        <w:t xml:space="preserve">95% </w:t>
      </w:r>
      <w:r>
        <w:rPr>
          <w:lang w:val="en-AU"/>
        </w:rPr>
        <w:t xml:space="preserve">lower and upper confidence intervals. </w:t>
      </w:r>
      <w:r w:rsidR="00D554BA">
        <w:rPr>
          <w:lang w:val="en-AU"/>
        </w:rPr>
        <w:t>Secondly, the probability of overlapping outer ear pathologies was identified from the literature and added on to the previous estimate. Based on the estimated number of affected people, the 95% lower and upper confidence intrevals were calculated. All confidence intervals</w:t>
      </w:r>
      <w:r>
        <w:rPr>
          <w:lang w:val="en-AU"/>
        </w:rPr>
        <w:t xml:space="preserve"> were calculated by applying exact binomial confidence intervals.</w:t>
      </w:r>
      <w:r w:rsidR="00D554BA">
        <w:rPr>
          <w:lang w:val="en-AU"/>
        </w:rPr>
        <w:t xml:space="preserve">The procedure taken is summarized in </w:t>
      </w:r>
      <w:r w:rsidR="00D554BA">
        <w:rPr>
          <w:lang w:val="en-AU"/>
        </w:rPr>
        <w:fldChar w:fldCharType="begin"/>
      </w:r>
      <w:r w:rsidR="00D554BA">
        <w:rPr>
          <w:lang w:val="en-AU"/>
        </w:rPr>
        <w:instrText xml:space="preserve"> REF _Ref431894117 \h </w:instrText>
      </w:r>
      <w:r w:rsidR="00D554BA">
        <w:rPr>
          <w:lang w:val="en-AU"/>
        </w:rPr>
      </w:r>
      <w:r w:rsidR="00D554BA">
        <w:rPr>
          <w:lang w:val="en-AU"/>
        </w:rPr>
        <w:fldChar w:fldCharType="separate"/>
      </w:r>
      <w:r w:rsidR="00D554BA" w:rsidRPr="00A83F80">
        <w:t xml:space="preserve">Table </w:t>
      </w:r>
      <w:r w:rsidR="00D554BA">
        <w:rPr>
          <w:noProof/>
        </w:rPr>
        <w:t>70</w:t>
      </w:r>
      <w:r w:rsidR="00D554BA">
        <w:rPr>
          <w:lang w:val="en-AU"/>
        </w:rPr>
        <w:fldChar w:fldCharType="end"/>
      </w:r>
      <w:r w:rsidR="00D554BA">
        <w:rPr>
          <w:lang w:val="en-AU"/>
        </w:rPr>
        <w:t>.</w:t>
      </w:r>
    </w:p>
    <w:p w14:paraId="30A1A42C" w14:textId="77777777" w:rsidR="00F62A4A" w:rsidRDefault="00F62A4A" w:rsidP="00BF4FBB">
      <w:pPr>
        <w:pStyle w:val="Textbody"/>
        <w:rPr>
          <w:lang w:val="en-AU"/>
        </w:rPr>
      </w:pPr>
    </w:p>
    <w:p w14:paraId="420DF2E8" w14:textId="41C00112" w:rsidR="00F62A4A" w:rsidRPr="00E0477C" w:rsidRDefault="00F62A4A" w:rsidP="00F62A4A">
      <w:pPr>
        <w:pStyle w:val="Caption"/>
        <w:rPr>
          <w:rFonts w:ascii="Arial" w:hAnsi="Arial" w:cs="Arial"/>
          <w:lang w:val="en-AU"/>
        </w:rPr>
      </w:pPr>
      <w:bookmarkStart w:id="660" w:name="_Ref431894117"/>
      <w:bookmarkStart w:id="661" w:name="_Toc431917530"/>
      <w:r w:rsidRPr="00A83F80">
        <w:rPr>
          <w:rFonts w:ascii="Arial" w:hAnsi="Arial" w:cs="Arial"/>
        </w:rPr>
        <w:t xml:space="preserve">Table </w:t>
      </w:r>
      <w:r w:rsidRPr="00A83F80">
        <w:rPr>
          <w:rFonts w:ascii="Arial" w:hAnsi="Arial" w:cs="Arial"/>
        </w:rPr>
        <w:fldChar w:fldCharType="begin"/>
      </w:r>
      <w:r w:rsidRPr="00A83F80">
        <w:rPr>
          <w:rFonts w:ascii="Arial" w:hAnsi="Arial" w:cs="Arial"/>
        </w:rPr>
        <w:instrText xml:space="preserve"> SEQ Table \* ARABIC </w:instrText>
      </w:r>
      <w:r w:rsidRPr="00A83F80">
        <w:rPr>
          <w:rFonts w:ascii="Arial" w:hAnsi="Arial" w:cs="Arial"/>
        </w:rPr>
        <w:fldChar w:fldCharType="separate"/>
      </w:r>
      <w:r>
        <w:rPr>
          <w:rFonts w:ascii="Arial" w:hAnsi="Arial" w:cs="Arial"/>
          <w:noProof/>
        </w:rPr>
        <w:t>70</w:t>
      </w:r>
      <w:r w:rsidRPr="00A83F80">
        <w:rPr>
          <w:rFonts w:ascii="Arial" w:hAnsi="Arial" w:cs="Arial"/>
          <w:noProof/>
        </w:rPr>
        <w:fldChar w:fldCharType="end"/>
      </w:r>
      <w:bookmarkEnd w:id="660"/>
      <w:r w:rsidRPr="00A83F80">
        <w:rPr>
          <w:rFonts w:ascii="Arial" w:hAnsi="Arial" w:cs="Arial"/>
          <w:lang w:val="en-US"/>
        </w:rPr>
        <w:t>.-</w:t>
      </w:r>
      <w:r w:rsidRPr="00E0477C">
        <w:rPr>
          <w:rFonts w:ascii="Arial" w:hAnsi="Arial" w:cs="Arial"/>
          <w:lang w:val="en-AU"/>
        </w:rPr>
        <w:t xml:space="preserve"> </w:t>
      </w:r>
      <w:r>
        <w:rPr>
          <w:rFonts w:ascii="Arial" w:hAnsi="Arial" w:cs="Arial"/>
          <w:lang w:val="en-AU"/>
        </w:rPr>
        <w:t>Calculated confidence intervals for the deterministic sensitivity analysis</w:t>
      </w:r>
      <w:bookmarkEnd w:id="661"/>
    </w:p>
    <w:tbl>
      <w:tblPr>
        <w:tblW w:w="10429" w:type="dxa"/>
        <w:jc w:val="center"/>
        <w:tblLook w:val="04A0" w:firstRow="1" w:lastRow="0" w:firstColumn="1" w:lastColumn="0" w:noHBand="0" w:noVBand="1"/>
        <w:tblDescription w:val="Calculated confidence intervals for the deterministic sensitivity analysis"/>
      </w:tblPr>
      <w:tblGrid>
        <w:gridCol w:w="928"/>
        <w:gridCol w:w="460"/>
        <w:gridCol w:w="1250"/>
        <w:gridCol w:w="920"/>
        <w:gridCol w:w="920"/>
        <w:gridCol w:w="3613"/>
        <w:gridCol w:w="2338"/>
      </w:tblGrid>
      <w:tr w:rsidR="0034364A" w:rsidRPr="0034364A" w14:paraId="4AB95644" w14:textId="77777777" w:rsidTr="00BF0EEF">
        <w:trPr>
          <w:trHeight w:val="525"/>
          <w:jc w:val="center"/>
        </w:trPr>
        <w:tc>
          <w:tcPr>
            <w:tcW w:w="92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F578E1E" w14:textId="77777777" w:rsidR="0034364A" w:rsidRPr="0034364A" w:rsidRDefault="0034364A" w:rsidP="0034364A">
            <w:pPr>
              <w:rPr>
                <w:rFonts w:cs="Arial"/>
                <w:b/>
                <w:bCs/>
                <w:sz w:val="20"/>
                <w:szCs w:val="20"/>
                <w:lang w:val="en-US" w:eastAsia="en-US"/>
              </w:rPr>
            </w:pPr>
            <w:r w:rsidRPr="0034364A">
              <w:rPr>
                <w:rFonts w:cs="Arial"/>
                <w:b/>
                <w:bCs/>
                <w:sz w:val="20"/>
                <w:szCs w:val="20"/>
                <w:lang w:val="en-US" w:eastAsia="en-US"/>
              </w:rPr>
              <w:t> </w:t>
            </w:r>
          </w:p>
        </w:tc>
        <w:tc>
          <w:tcPr>
            <w:tcW w:w="460" w:type="dxa"/>
            <w:tcBorders>
              <w:top w:val="single" w:sz="8" w:space="0" w:color="auto"/>
              <w:left w:val="nil"/>
              <w:bottom w:val="single" w:sz="4" w:space="0" w:color="auto"/>
              <w:right w:val="single" w:sz="4" w:space="0" w:color="auto"/>
            </w:tcBorders>
            <w:shd w:val="clear" w:color="auto" w:fill="auto"/>
            <w:noWrap/>
            <w:vAlign w:val="center"/>
            <w:hideMark/>
          </w:tcPr>
          <w:p w14:paraId="3CF404D8" w14:textId="77777777" w:rsidR="0034364A" w:rsidRPr="0034364A" w:rsidRDefault="0034364A" w:rsidP="0034364A">
            <w:pPr>
              <w:rPr>
                <w:rFonts w:cs="Arial"/>
                <w:b/>
                <w:bCs/>
                <w:sz w:val="20"/>
                <w:szCs w:val="20"/>
                <w:lang w:val="en-US" w:eastAsia="en-US"/>
              </w:rPr>
            </w:pPr>
            <w:r w:rsidRPr="0034364A">
              <w:rPr>
                <w:rFonts w:cs="Arial"/>
                <w:b/>
                <w:bCs/>
                <w:sz w:val="20"/>
                <w:szCs w:val="20"/>
                <w:lang w:val="en-US" w:eastAsia="en-US"/>
              </w:rPr>
              <w:t> </w:t>
            </w:r>
          </w:p>
        </w:tc>
        <w:tc>
          <w:tcPr>
            <w:tcW w:w="1250" w:type="dxa"/>
            <w:tcBorders>
              <w:top w:val="single" w:sz="8" w:space="0" w:color="auto"/>
              <w:left w:val="nil"/>
              <w:bottom w:val="single" w:sz="4" w:space="0" w:color="auto"/>
              <w:right w:val="single" w:sz="4" w:space="0" w:color="auto"/>
            </w:tcBorders>
            <w:shd w:val="clear" w:color="auto" w:fill="auto"/>
            <w:noWrap/>
            <w:vAlign w:val="center"/>
            <w:hideMark/>
          </w:tcPr>
          <w:p w14:paraId="786A942E" w14:textId="77777777" w:rsidR="0034364A" w:rsidRPr="0034364A" w:rsidRDefault="0034364A" w:rsidP="0034364A">
            <w:pPr>
              <w:jc w:val="center"/>
              <w:rPr>
                <w:rFonts w:cs="Arial"/>
                <w:b/>
                <w:bCs/>
                <w:sz w:val="20"/>
                <w:szCs w:val="20"/>
                <w:lang w:val="en-US" w:eastAsia="en-US"/>
              </w:rPr>
            </w:pPr>
            <w:r w:rsidRPr="0034364A">
              <w:rPr>
                <w:rFonts w:cs="Arial"/>
                <w:b/>
                <w:bCs/>
                <w:sz w:val="20"/>
                <w:szCs w:val="20"/>
                <w:lang w:val="en-US" w:eastAsia="en-US"/>
              </w:rPr>
              <w:t>Probability</w:t>
            </w:r>
          </w:p>
        </w:tc>
        <w:tc>
          <w:tcPr>
            <w:tcW w:w="920" w:type="dxa"/>
            <w:tcBorders>
              <w:top w:val="single" w:sz="8" w:space="0" w:color="auto"/>
              <w:left w:val="nil"/>
              <w:bottom w:val="single" w:sz="4" w:space="0" w:color="auto"/>
              <w:right w:val="single" w:sz="4" w:space="0" w:color="auto"/>
            </w:tcBorders>
            <w:shd w:val="clear" w:color="auto" w:fill="auto"/>
            <w:noWrap/>
            <w:vAlign w:val="center"/>
            <w:hideMark/>
          </w:tcPr>
          <w:p w14:paraId="2BC38E04" w14:textId="38D5728B" w:rsidR="0034364A" w:rsidRPr="0034364A" w:rsidRDefault="0034364A" w:rsidP="0034364A">
            <w:pPr>
              <w:jc w:val="center"/>
              <w:rPr>
                <w:rFonts w:cs="Arial"/>
                <w:b/>
                <w:bCs/>
                <w:sz w:val="20"/>
                <w:szCs w:val="20"/>
                <w:lang w:val="en-US" w:eastAsia="en-US"/>
              </w:rPr>
            </w:pPr>
            <w:r w:rsidRPr="0034364A">
              <w:rPr>
                <w:rFonts w:cs="Arial"/>
                <w:b/>
                <w:bCs/>
                <w:sz w:val="20"/>
                <w:szCs w:val="20"/>
                <w:lang w:val="en-US" w:eastAsia="en-US"/>
              </w:rPr>
              <w:t>CI</w:t>
            </w:r>
            <w:r w:rsidR="00297AE6">
              <w:rPr>
                <w:rFonts w:cs="Arial"/>
                <w:b/>
                <w:bCs/>
                <w:sz w:val="20"/>
                <w:szCs w:val="20"/>
                <w:lang w:val="en-US" w:eastAsia="en-US"/>
              </w:rPr>
              <w:t>*</w:t>
            </w:r>
            <w:r w:rsidRPr="0034364A">
              <w:rPr>
                <w:rFonts w:cs="Arial"/>
                <w:b/>
                <w:bCs/>
                <w:sz w:val="20"/>
                <w:szCs w:val="20"/>
                <w:lang w:val="en-US" w:eastAsia="en-US"/>
              </w:rPr>
              <w:t xml:space="preserve"> lower</w:t>
            </w:r>
          </w:p>
        </w:tc>
        <w:tc>
          <w:tcPr>
            <w:tcW w:w="920" w:type="dxa"/>
            <w:tcBorders>
              <w:top w:val="single" w:sz="8" w:space="0" w:color="auto"/>
              <w:left w:val="nil"/>
              <w:bottom w:val="single" w:sz="4" w:space="0" w:color="auto"/>
              <w:right w:val="single" w:sz="4" w:space="0" w:color="auto"/>
            </w:tcBorders>
            <w:shd w:val="clear" w:color="auto" w:fill="auto"/>
            <w:noWrap/>
            <w:vAlign w:val="center"/>
            <w:hideMark/>
          </w:tcPr>
          <w:p w14:paraId="082BF91D" w14:textId="77777777" w:rsidR="0034364A" w:rsidRPr="0034364A" w:rsidRDefault="0034364A" w:rsidP="0034364A">
            <w:pPr>
              <w:jc w:val="center"/>
              <w:rPr>
                <w:rFonts w:cs="Arial"/>
                <w:b/>
                <w:bCs/>
                <w:sz w:val="20"/>
                <w:szCs w:val="20"/>
                <w:lang w:val="en-US" w:eastAsia="en-US"/>
              </w:rPr>
            </w:pPr>
            <w:r w:rsidRPr="0034364A">
              <w:rPr>
                <w:rFonts w:cs="Arial"/>
                <w:b/>
                <w:bCs/>
                <w:sz w:val="20"/>
                <w:szCs w:val="20"/>
                <w:lang w:val="en-US" w:eastAsia="en-US"/>
              </w:rPr>
              <w:t>CI upper</w:t>
            </w:r>
          </w:p>
        </w:tc>
        <w:tc>
          <w:tcPr>
            <w:tcW w:w="3613" w:type="dxa"/>
            <w:tcBorders>
              <w:top w:val="single" w:sz="8" w:space="0" w:color="auto"/>
              <w:left w:val="nil"/>
              <w:bottom w:val="single" w:sz="4" w:space="0" w:color="auto"/>
              <w:right w:val="single" w:sz="4" w:space="0" w:color="auto"/>
            </w:tcBorders>
            <w:shd w:val="clear" w:color="auto" w:fill="auto"/>
            <w:vAlign w:val="center"/>
            <w:hideMark/>
          </w:tcPr>
          <w:p w14:paraId="1A006FDB" w14:textId="77777777" w:rsidR="0034364A" w:rsidRPr="0034364A" w:rsidRDefault="0034364A" w:rsidP="0034364A">
            <w:pPr>
              <w:jc w:val="center"/>
              <w:rPr>
                <w:rFonts w:cs="Arial"/>
                <w:b/>
                <w:bCs/>
                <w:sz w:val="20"/>
                <w:szCs w:val="20"/>
                <w:lang w:val="en-US" w:eastAsia="en-US"/>
              </w:rPr>
            </w:pPr>
            <w:r w:rsidRPr="0034364A">
              <w:rPr>
                <w:rFonts w:cs="Arial"/>
                <w:b/>
                <w:bCs/>
                <w:sz w:val="20"/>
                <w:szCs w:val="20"/>
                <w:lang w:val="en-US" w:eastAsia="en-US"/>
              </w:rPr>
              <w:t>Description</w:t>
            </w:r>
          </w:p>
        </w:tc>
        <w:tc>
          <w:tcPr>
            <w:tcW w:w="2338" w:type="dxa"/>
            <w:tcBorders>
              <w:top w:val="single" w:sz="8" w:space="0" w:color="auto"/>
              <w:left w:val="nil"/>
              <w:bottom w:val="single" w:sz="4" w:space="0" w:color="auto"/>
              <w:right w:val="single" w:sz="8" w:space="0" w:color="auto"/>
            </w:tcBorders>
            <w:shd w:val="clear" w:color="auto" w:fill="auto"/>
            <w:noWrap/>
            <w:vAlign w:val="center"/>
            <w:hideMark/>
          </w:tcPr>
          <w:p w14:paraId="1DCFDF61" w14:textId="77777777" w:rsidR="0034364A" w:rsidRPr="0034364A" w:rsidRDefault="0034364A" w:rsidP="0034364A">
            <w:pPr>
              <w:jc w:val="center"/>
              <w:rPr>
                <w:rFonts w:cs="Arial"/>
                <w:b/>
                <w:bCs/>
                <w:sz w:val="20"/>
                <w:szCs w:val="20"/>
                <w:lang w:val="en-US" w:eastAsia="en-US"/>
              </w:rPr>
            </w:pPr>
            <w:r w:rsidRPr="0034364A">
              <w:rPr>
                <w:rFonts w:cs="Arial"/>
                <w:b/>
                <w:bCs/>
                <w:sz w:val="20"/>
                <w:szCs w:val="20"/>
                <w:lang w:val="en-US" w:eastAsia="en-US"/>
              </w:rPr>
              <w:t>Source/Method</w:t>
            </w:r>
          </w:p>
        </w:tc>
      </w:tr>
      <w:tr w:rsidR="0034364A" w:rsidRPr="0034364A" w14:paraId="1D70B96D" w14:textId="77777777" w:rsidTr="00BF0EEF">
        <w:trPr>
          <w:trHeight w:val="495"/>
          <w:jc w:val="center"/>
        </w:trPr>
        <w:tc>
          <w:tcPr>
            <w:tcW w:w="928" w:type="dxa"/>
            <w:tcBorders>
              <w:top w:val="nil"/>
              <w:left w:val="single" w:sz="8" w:space="0" w:color="auto"/>
              <w:bottom w:val="single" w:sz="4" w:space="0" w:color="auto"/>
              <w:right w:val="single" w:sz="4" w:space="0" w:color="auto"/>
            </w:tcBorders>
            <w:shd w:val="clear" w:color="auto" w:fill="auto"/>
            <w:noWrap/>
            <w:vAlign w:val="center"/>
            <w:hideMark/>
          </w:tcPr>
          <w:p w14:paraId="432F5A3A" w14:textId="77777777" w:rsidR="0034364A" w:rsidRPr="0034364A" w:rsidRDefault="0034364A" w:rsidP="0034364A">
            <w:pPr>
              <w:jc w:val="center"/>
              <w:rPr>
                <w:rFonts w:cs="Arial"/>
                <w:b/>
                <w:bCs/>
                <w:color w:val="000000"/>
                <w:sz w:val="20"/>
                <w:szCs w:val="20"/>
                <w:lang w:val="en-US" w:eastAsia="en-US"/>
              </w:rPr>
            </w:pPr>
            <w:r w:rsidRPr="0034364A">
              <w:rPr>
                <w:rFonts w:cs="Arial"/>
                <w:b/>
                <w:bCs/>
                <w:color w:val="000000"/>
                <w:sz w:val="20"/>
                <w:szCs w:val="20"/>
                <w:lang w:val="en-US" w:eastAsia="en-US"/>
              </w:rPr>
              <w:t>Step 1</w:t>
            </w:r>
          </w:p>
        </w:tc>
        <w:tc>
          <w:tcPr>
            <w:tcW w:w="460" w:type="dxa"/>
            <w:tcBorders>
              <w:top w:val="nil"/>
              <w:left w:val="nil"/>
              <w:bottom w:val="single" w:sz="4" w:space="0" w:color="auto"/>
              <w:right w:val="single" w:sz="4" w:space="0" w:color="auto"/>
            </w:tcBorders>
            <w:shd w:val="clear" w:color="auto" w:fill="auto"/>
            <w:noWrap/>
            <w:vAlign w:val="center"/>
            <w:hideMark/>
          </w:tcPr>
          <w:p w14:paraId="0AA52FA7" w14:textId="77777777" w:rsidR="0034364A" w:rsidRPr="0034364A" w:rsidRDefault="0034364A" w:rsidP="0034364A">
            <w:pPr>
              <w:jc w:val="center"/>
              <w:rPr>
                <w:rFonts w:cs="Arial"/>
                <w:b/>
                <w:bCs/>
                <w:color w:val="000000"/>
                <w:sz w:val="20"/>
                <w:szCs w:val="20"/>
                <w:lang w:val="en-US" w:eastAsia="en-US"/>
              </w:rPr>
            </w:pPr>
            <w:r w:rsidRPr="0034364A">
              <w:rPr>
                <w:rFonts w:cs="Arial"/>
                <w:b/>
                <w:bCs/>
                <w:color w:val="000000"/>
                <w:sz w:val="20"/>
                <w:szCs w:val="20"/>
                <w:lang w:val="en-US" w:eastAsia="en-US"/>
              </w:rPr>
              <w:t>a</w:t>
            </w:r>
          </w:p>
        </w:tc>
        <w:tc>
          <w:tcPr>
            <w:tcW w:w="1250" w:type="dxa"/>
            <w:tcBorders>
              <w:top w:val="nil"/>
              <w:left w:val="nil"/>
              <w:bottom w:val="single" w:sz="4" w:space="0" w:color="auto"/>
              <w:right w:val="single" w:sz="4" w:space="0" w:color="auto"/>
            </w:tcBorders>
            <w:shd w:val="clear" w:color="auto" w:fill="auto"/>
            <w:noWrap/>
            <w:vAlign w:val="center"/>
            <w:hideMark/>
          </w:tcPr>
          <w:p w14:paraId="7E21BF34" w14:textId="77777777" w:rsidR="0034364A" w:rsidRPr="0034364A" w:rsidRDefault="0034364A" w:rsidP="0034364A">
            <w:pPr>
              <w:jc w:val="center"/>
              <w:rPr>
                <w:rFonts w:cs="Arial"/>
                <w:sz w:val="18"/>
                <w:szCs w:val="18"/>
                <w:lang w:val="en-US" w:eastAsia="en-US"/>
              </w:rPr>
            </w:pPr>
            <w:r w:rsidRPr="0034364A">
              <w:rPr>
                <w:rFonts w:cs="Arial"/>
                <w:sz w:val="18"/>
                <w:szCs w:val="18"/>
                <w:lang w:val="en-US" w:eastAsia="en-US"/>
              </w:rPr>
              <w:t>0,0076</w:t>
            </w:r>
          </w:p>
        </w:tc>
        <w:tc>
          <w:tcPr>
            <w:tcW w:w="920" w:type="dxa"/>
            <w:tcBorders>
              <w:top w:val="nil"/>
              <w:left w:val="nil"/>
              <w:bottom w:val="single" w:sz="4" w:space="0" w:color="auto"/>
              <w:right w:val="single" w:sz="4" w:space="0" w:color="auto"/>
            </w:tcBorders>
            <w:shd w:val="clear" w:color="auto" w:fill="auto"/>
            <w:noWrap/>
            <w:vAlign w:val="center"/>
            <w:hideMark/>
          </w:tcPr>
          <w:p w14:paraId="6FB12E2A" w14:textId="77777777" w:rsidR="0034364A" w:rsidRPr="0034364A" w:rsidRDefault="0034364A" w:rsidP="0034364A">
            <w:pPr>
              <w:jc w:val="center"/>
              <w:rPr>
                <w:rFonts w:cs="Arial"/>
                <w:sz w:val="18"/>
                <w:szCs w:val="18"/>
                <w:lang w:val="en-US" w:eastAsia="en-US"/>
              </w:rPr>
            </w:pPr>
            <w:r w:rsidRPr="0034364A">
              <w:rPr>
                <w:rFonts w:cs="Arial"/>
                <w:sz w:val="18"/>
                <w:szCs w:val="18"/>
                <w:lang w:val="en-US" w:eastAsia="en-US"/>
              </w:rPr>
              <w:t>0,0069</w:t>
            </w:r>
          </w:p>
        </w:tc>
        <w:tc>
          <w:tcPr>
            <w:tcW w:w="920" w:type="dxa"/>
            <w:tcBorders>
              <w:top w:val="nil"/>
              <w:left w:val="nil"/>
              <w:bottom w:val="single" w:sz="4" w:space="0" w:color="auto"/>
              <w:right w:val="single" w:sz="4" w:space="0" w:color="auto"/>
            </w:tcBorders>
            <w:shd w:val="clear" w:color="auto" w:fill="auto"/>
            <w:noWrap/>
            <w:vAlign w:val="center"/>
            <w:hideMark/>
          </w:tcPr>
          <w:p w14:paraId="7B450042" w14:textId="77777777" w:rsidR="0034364A" w:rsidRPr="0034364A" w:rsidRDefault="0034364A" w:rsidP="0034364A">
            <w:pPr>
              <w:jc w:val="center"/>
              <w:rPr>
                <w:rFonts w:cs="Arial"/>
                <w:sz w:val="18"/>
                <w:szCs w:val="18"/>
                <w:lang w:val="en-US" w:eastAsia="en-US"/>
              </w:rPr>
            </w:pPr>
            <w:r w:rsidRPr="0034364A">
              <w:rPr>
                <w:rFonts w:cs="Arial"/>
                <w:sz w:val="18"/>
                <w:szCs w:val="18"/>
                <w:lang w:val="en-US" w:eastAsia="en-US"/>
              </w:rPr>
              <w:t>0,0085</w:t>
            </w:r>
          </w:p>
        </w:tc>
        <w:tc>
          <w:tcPr>
            <w:tcW w:w="3613" w:type="dxa"/>
            <w:tcBorders>
              <w:top w:val="nil"/>
              <w:left w:val="nil"/>
              <w:bottom w:val="single" w:sz="4" w:space="0" w:color="auto"/>
              <w:right w:val="single" w:sz="4" w:space="0" w:color="auto"/>
            </w:tcBorders>
            <w:shd w:val="clear" w:color="auto" w:fill="auto"/>
            <w:vAlign w:val="center"/>
            <w:hideMark/>
          </w:tcPr>
          <w:p w14:paraId="2127DFAF" w14:textId="77777777" w:rsidR="0034364A" w:rsidRPr="0034364A" w:rsidRDefault="0034364A" w:rsidP="0034364A">
            <w:pPr>
              <w:jc w:val="center"/>
              <w:rPr>
                <w:rFonts w:cs="Arial"/>
                <w:color w:val="000000"/>
                <w:sz w:val="18"/>
                <w:szCs w:val="18"/>
                <w:lang w:val="en-US" w:eastAsia="en-US"/>
              </w:rPr>
            </w:pPr>
            <w:r w:rsidRPr="0034364A">
              <w:rPr>
                <w:rFonts w:cs="Arial"/>
                <w:color w:val="000000"/>
                <w:sz w:val="18"/>
                <w:szCs w:val="18"/>
                <w:lang w:val="en-US" w:eastAsia="en-US"/>
              </w:rPr>
              <w:t>VSB candidates depending on their audiogram</w:t>
            </w:r>
          </w:p>
        </w:tc>
        <w:tc>
          <w:tcPr>
            <w:tcW w:w="2338" w:type="dxa"/>
            <w:tcBorders>
              <w:top w:val="nil"/>
              <w:left w:val="nil"/>
              <w:bottom w:val="single" w:sz="4" w:space="0" w:color="auto"/>
              <w:right w:val="single" w:sz="8" w:space="0" w:color="auto"/>
            </w:tcBorders>
            <w:shd w:val="clear" w:color="auto" w:fill="auto"/>
            <w:vAlign w:val="center"/>
            <w:hideMark/>
          </w:tcPr>
          <w:p w14:paraId="11BD1238" w14:textId="77777777" w:rsidR="0034364A" w:rsidRPr="0034364A" w:rsidRDefault="0034364A" w:rsidP="0034364A">
            <w:pPr>
              <w:jc w:val="center"/>
              <w:rPr>
                <w:rFonts w:cs="Arial"/>
                <w:color w:val="000000"/>
                <w:sz w:val="18"/>
                <w:szCs w:val="18"/>
                <w:lang w:val="en-US" w:eastAsia="en-US"/>
              </w:rPr>
            </w:pPr>
            <w:r w:rsidRPr="0034364A">
              <w:rPr>
                <w:rFonts w:cs="Arial"/>
                <w:color w:val="000000"/>
                <w:sz w:val="18"/>
                <w:szCs w:val="18"/>
                <w:lang w:val="en-US" w:eastAsia="en-US"/>
              </w:rPr>
              <w:t>Junker 2002</w:t>
            </w:r>
          </w:p>
        </w:tc>
      </w:tr>
      <w:tr w:rsidR="0034364A" w:rsidRPr="0034364A" w14:paraId="1300E5B4" w14:textId="77777777" w:rsidTr="00BF0EEF">
        <w:trPr>
          <w:trHeight w:val="750"/>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8863E3A" w14:textId="77777777" w:rsidR="0034364A" w:rsidRPr="0034364A" w:rsidRDefault="0034364A" w:rsidP="0034364A">
            <w:pPr>
              <w:jc w:val="center"/>
              <w:rPr>
                <w:rFonts w:cs="Arial"/>
                <w:b/>
                <w:bCs/>
                <w:color w:val="000000"/>
                <w:sz w:val="20"/>
                <w:szCs w:val="20"/>
                <w:lang w:val="en-US" w:eastAsia="en-US"/>
              </w:rPr>
            </w:pPr>
            <w:r w:rsidRPr="0034364A">
              <w:rPr>
                <w:rFonts w:cs="Arial"/>
                <w:b/>
                <w:bCs/>
                <w:color w:val="000000"/>
                <w:sz w:val="20"/>
                <w:szCs w:val="20"/>
                <w:lang w:val="en-US" w:eastAsia="en-US"/>
              </w:rPr>
              <w:t>Step 2</w:t>
            </w:r>
          </w:p>
        </w:tc>
        <w:tc>
          <w:tcPr>
            <w:tcW w:w="460" w:type="dxa"/>
            <w:tcBorders>
              <w:top w:val="nil"/>
              <w:left w:val="nil"/>
              <w:bottom w:val="single" w:sz="4" w:space="0" w:color="auto"/>
              <w:right w:val="single" w:sz="4" w:space="0" w:color="auto"/>
            </w:tcBorders>
            <w:shd w:val="clear" w:color="auto" w:fill="auto"/>
            <w:noWrap/>
            <w:vAlign w:val="center"/>
            <w:hideMark/>
          </w:tcPr>
          <w:p w14:paraId="210DF051" w14:textId="77777777" w:rsidR="0034364A" w:rsidRPr="0034364A" w:rsidRDefault="0034364A" w:rsidP="0034364A">
            <w:pPr>
              <w:jc w:val="center"/>
              <w:rPr>
                <w:rFonts w:cs="Arial"/>
                <w:b/>
                <w:bCs/>
                <w:color w:val="000000"/>
                <w:sz w:val="20"/>
                <w:szCs w:val="20"/>
                <w:lang w:val="en-US" w:eastAsia="en-US"/>
              </w:rPr>
            </w:pPr>
            <w:r w:rsidRPr="0034364A">
              <w:rPr>
                <w:rFonts w:cs="Arial"/>
                <w:b/>
                <w:bCs/>
                <w:color w:val="000000"/>
                <w:sz w:val="20"/>
                <w:szCs w:val="20"/>
                <w:lang w:val="en-US" w:eastAsia="en-US"/>
              </w:rPr>
              <w:t>b</w:t>
            </w:r>
          </w:p>
        </w:tc>
        <w:tc>
          <w:tcPr>
            <w:tcW w:w="1250" w:type="dxa"/>
            <w:tcBorders>
              <w:top w:val="nil"/>
              <w:left w:val="nil"/>
              <w:bottom w:val="single" w:sz="4" w:space="0" w:color="auto"/>
              <w:right w:val="single" w:sz="4" w:space="0" w:color="auto"/>
            </w:tcBorders>
            <w:shd w:val="clear" w:color="auto" w:fill="auto"/>
            <w:noWrap/>
            <w:vAlign w:val="center"/>
            <w:hideMark/>
          </w:tcPr>
          <w:p w14:paraId="2EC92493" w14:textId="77777777" w:rsidR="0034364A" w:rsidRPr="0034364A" w:rsidRDefault="0034364A" w:rsidP="0034364A">
            <w:pPr>
              <w:jc w:val="center"/>
              <w:rPr>
                <w:rFonts w:cs="Arial"/>
                <w:color w:val="000000"/>
                <w:sz w:val="18"/>
                <w:szCs w:val="18"/>
                <w:lang w:val="en-US" w:eastAsia="en-US"/>
              </w:rPr>
            </w:pPr>
            <w:r w:rsidRPr="0034364A">
              <w:rPr>
                <w:rFonts w:cs="Arial"/>
                <w:color w:val="000000"/>
                <w:sz w:val="18"/>
                <w:szCs w:val="18"/>
                <w:lang w:val="en-US" w:eastAsia="en-US"/>
              </w:rPr>
              <w:t>0,0060</w:t>
            </w:r>
          </w:p>
        </w:tc>
        <w:tc>
          <w:tcPr>
            <w:tcW w:w="920" w:type="dxa"/>
            <w:tcBorders>
              <w:top w:val="nil"/>
              <w:left w:val="nil"/>
              <w:bottom w:val="single" w:sz="4" w:space="0" w:color="auto"/>
              <w:right w:val="single" w:sz="4" w:space="0" w:color="auto"/>
            </w:tcBorders>
            <w:shd w:val="clear" w:color="auto" w:fill="auto"/>
            <w:noWrap/>
            <w:vAlign w:val="center"/>
            <w:hideMark/>
          </w:tcPr>
          <w:p w14:paraId="758CEA60" w14:textId="77777777" w:rsidR="0034364A" w:rsidRPr="0034364A" w:rsidRDefault="0034364A" w:rsidP="0034364A">
            <w:pPr>
              <w:jc w:val="center"/>
              <w:rPr>
                <w:rFonts w:cs="Arial"/>
                <w:color w:val="000000"/>
                <w:sz w:val="18"/>
                <w:szCs w:val="18"/>
                <w:lang w:val="en-US" w:eastAsia="en-US"/>
              </w:rPr>
            </w:pPr>
            <w:r w:rsidRPr="0034364A">
              <w:rPr>
                <w:rFonts w:cs="Arial"/>
                <w:color w:val="000000"/>
                <w:sz w:val="18"/>
                <w:szCs w:val="18"/>
                <w:lang w:val="en-US" w:eastAsia="en-US"/>
              </w:rPr>
              <w:t>0,0050</w:t>
            </w:r>
          </w:p>
        </w:tc>
        <w:tc>
          <w:tcPr>
            <w:tcW w:w="920" w:type="dxa"/>
            <w:tcBorders>
              <w:top w:val="nil"/>
              <w:left w:val="nil"/>
              <w:bottom w:val="single" w:sz="4" w:space="0" w:color="auto"/>
              <w:right w:val="single" w:sz="4" w:space="0" w:color="auto"/>
            </w:tcBorders>
            <w:shd w:val="clear" w:color="auto" w:fill="auto"/>
            <w:noWrap/>
            <w:vAlign w:val="center"/>
            <w:hideMark/>
          </w:tcPr>
          <w:p w14:paraId="3A084FF3" w14:textId="77777777" w:rsidR="0034364A" w:rsidRPr="0034364A" w:rsidRDefault="0034364A" w:rsidP="0034364A">
            <w:pPr>
              <w:jc w:val="center"/>
              <w:rPr>
                <w:rFonts w:cs="Arial"/>
                <w:color w:val="000000"/>
                <w:sz w:val="18"/>
                <w:szCs w:val="18"/>
                <w:lang w:val="en-US" w:eastAsia="en-US"/>
              </w:rPr>
            </w:pPr>
            <w:r w:rsidRPr="0034364A">
              <w:rPr>
                <w:rFonts w:cs="Arial"/>
                <w:color w:val="000000"/>
                <w:sz w:val="18"/>
                <w:szCs w:val="18"/>
                <w:lang w:val="en-US" w:eastAsia="en-US"/>
              </w:rPr>
              <w:t>0,0080</w:t>
            </w:r>
          </w:p>
        </w:tc>
        <w:tc>
          <w:tcPr>
            <w:tcW w:w="3613" w:type="dxa"/>
            <w:tcBorders>
              <w:top w:val="nil"/>
              <w:left w:val="nil"/>
              <w:bottom w:val="single" w:sz="4" w:space="0" w:color="auto"/>
              <w:right w:val="single" w:sz="4" w:space="0" w:color="auto"/>
            </w:tcBorders>
            <w:shd w:val="clear" w:color="auto" w:fill="auto"/>
            <w:vAlign w:val="center"/>
            <w:hideMark/>
          </w:tcPr>
          <w:p w14:paraId="6BEFE67B" w14:textId="7D882E47" w:rsidR="0034364A" w:rsidRPr="0034364A" w:rsidRDefault="00D554BA" w:rsidP="0034364A">
            <w:pPr>
              <w:jc w:val="center"/>
              <w:rPr>
                <w:rFonts w:cs="Arial"/>
                <w:color w:val="000000"/>
                <w:sz w:val="18"/>
                <w:szCs w:val="18"/>
                <w:lang w:val="en-US" w:eastAsia="en-US"/>
              </w:rPr>
            </w:pPr>
            <w:r>
              <w:rPr>
                <w:rFonts w:cs="Arial"/>
                <w:color w:val="000000"/>
                <w:sz w:val="18"/>
                <w:szCs w:val="18"/>
                <w:lang w:val="en-US" w:eastAsia="en-US"/>
              </w:rPr>
              <w:t>I</w:t>
            </w:r>
            <w:r w:rsidR="0034364A" w:rsidRPr="0034364A">
              <w:rPr>
                <w:rFonts w:cs="Arial"/>
                <w:color w:val="000000"/>
                <w:sz w:val="18"/>
                <w:szCs w:val="18"/>
                <w:lang w:val="en-US" w:eastAsia="en-US"/>
              </w:rPr>
              <w:t>ndividuals in the general population who have exostosis</w:t>
            </w:r>
          </w:p>
        </w:tc>
        <w:tc>
          <w:tcPr>
            <w:tcW w:w="2338" w:type="dxa"/>
            <w:tcBorders>
              <w:top w:val="nil"/>
              <w:left w:val="nil"/>
              <w:bottom w:val="single" w:sz="4" w:space="0" w:color="auto"/>
              <w:right w:val="single" w:sz="8" w:space="0" w:color="auto"/>
            </w:tcBorders>
            <w:shd w:val="clear" w:color="auto" w:fill="auto"/>
            <w:vAlign w:val="center"/>
            <w:hideMark/>
          </w:tcPr>
          <w:p w14:paraId="6D69E847" w14:textId="77777777" w:rsidR="0034364A" w:rsidRPr="0034364A" w:rsidRDefault="0034364A" w:rsidP="0034364A">
            <w:pPr>
              <w:jc w:val="center"/>
              <w:rPr>
                <w:rFonts w:cs="Arial"/>
                <w:color w:val="000000"/>
                <w:sz w:val="18"/>
                <w:szCs w:val="18"/>
                <w:lang w:val="en-US" w:eastAsia="en-US"/>
              </w:rPr>
            </w:pPr>
            <w:r w:rsidRPr="0034364A">
              <w:rPr>
                <w:rFonts w:cs="Arial"/>
                <w:color w:val="000000"/>
                <w:sz w:val="18"/>
                <w:szCs w:val="18"/>
                <w:lang w:val="en-US" w:eastAsia="en-US"/>
              </w:rPr>
              <w:t>DiBartolomeo 1979</w:t>
            </w:r>
          </w:p>
        </w:tc>
      </w:tr>
      <w:tr w:rsidR="0034364A" w:rsidRPr="0034364A" w14:paraId="61F99DC6" w14:textId="77777777" w:rsidTr="00BF0EEF">
        <w:trPr>
          <w:trHeight w:val="570"/>
          <w:jc w:val="center"/>
        </w:trPr>
        <w:tc>
          <w:tcPr>
            <w:tcW w:w="928" w:type="dxa"/>
            <w:vMerge/>
            <w:tcBorders>
              <w:top w:val="nil"/>
              <w:left w:val="single" w:sz="8" w:space="0" w:color="auto"/>
              <w:bottom w:val="single" w:sz="8" w:space="0" w:color="000000"/>
              <w:right w:val="single" w:sz="4" w:space="0" w:color="auto"/>
            </w:tcBorders>
            <w:vAlign w:val="center"/>
            <w:hideMark/>
          </w:tcPr>
          <w:p w14:paraId="2478F240" w14:textId="77777777" w:rsidR="0034364A" w:rsidRPr="0034364A" w:rsidRDefault="0034364A" w:rsidP="0034364A">
            <w:pPr>
              <w:rPr>
                <w:rFonts w:cs="Arial"/>
                <w:b/>
                <w:bCs/>
                <w:color w:val="000000"/>
                <w:sz w:val="20"/>
                <w:szCs w:val="20"/>
                <w:lang w:val="en-US" w:eastAsia="en-US"/>
              </w:rPr>
            </w:pPr>
          </w:p>
        </w:tc>
        <w:tc>
          <w:tcPr>
            <w:tcW w:w="460" w:type="dxa"/>
            <w:tcBorders>
              <w:top w:val="nil"/>
              <w:left w:val="nil"/>
              <w:bottom w:val="single" w:sz="4" w:space="0" w:color="auto"/>
              <w:right w:val="single" w:sz="4" w:space="0" w:color="auto"/>
            </w:tcBorders>
            <w:shd w:val="clear" w:color="auto" w:fill="auto"/>
            <w:noWrap/>
            <w:vAlign w:val="center"/>
            <w:hideMark/>
          </w:tcPr>
          <w:p w14:paraId="4EF23C25" w14:textId="77777777" w:rsidR="0034364A" w:rsidRPr="0034364A" w:rsidRDefault="0034364A" w:rsidP="0034364A">
            <w:pPr>
              <w:jc w:val="center"/>
              <w:rPr>
                <w:rFonts w:cs="Arial"/>
                <w:b/>
                <w:bCs/>
                <w:color w:val="000000"/>
                <w:sz w:val="20"/>
                <w:szCs w:val="20"/>
                <w:lang w:val="en-US" w:eastAsia="en-US"/>
              </w:rPr>
            </w:pPr>
            <w:r w:rsidRPr="0034364A">
              <w:rPr>
                <w:rFonts w:cs="Arial"/>
                <w:b/>
                <w:bCs/>
                <w:color w:val="000000"/>
                <w:sz w:val="20"/>
                <w:szCs w:val="20"/>
                <w:lang w:val="en-US" w:eastAsia="en-US"/>
              </w:rPr>
              <w:t>c</w:t>
            </w:r>
          </w:p>
        </w:tc>
        <w:tc>
          <w:tcPr>
            <w:tcW w:w="1250" w:type="dxa"/>
            <w:tcBorders>
              <w:top w:val="nil"/>
              <w:left w:val="nil"/>
              <w:bottom w:val="single" w:sz="4" w:space="0" w:color="auto"/>
              <w:right w:val="single" w:sz="4" w:space="0" w:color="auto"/>
            </w:tcBorders>
            <w:shd w:val="clear" w:color="auto" w:fill="auto"/>
            <w:noWrap/>
            <w:vAlign w:val="center"/>
            <w:hideMark/>
          </w:tcPr>
          <w:p w14:paraId="3DFA2870" w14:textId="77777777" w:rsidR="0034364A" w:rsidRPr="0034364A" w:rsidRDefault="0034364A" w:rsidP="0034364A">
            <w:pPr>
              <w:jc w:val="center"/>
              <w:rPr>
                <w:rFonts w:cs="Arial"/>
                <w:color w:val="000000"/>
                <w:sz w:val="18"/>
                <w:szCs w:val="18"/>
                <w:lang w:val="en-US" w:eastAsia="en-US"/>
              </w:rPr>
            </w:pPr>
            <w:r w:rsidRPr="0034364A">
              <w:rPr>
                <w:rFonts w:cs="Arial"/>
                <w:color w:val="000000"/>
                <w:sz w:val="18"/>
                <w:szCs w:val="18"/>
                <w:lang w:val="en-US" w:eastAsia="en-US"/>
              </w:rPr>
              <w:t>0,4190</w:t>
            </w:r>
          </w:p>
        </w:tc>
        <w:tc>
          <w:tcPr>
            <w:tcW w:w="920" w:type="dxa"/>
            <w:tcBorders>
              <w:top w:val="nil"/>
              <w:left w:val="nil"/>
              <w:bottom w:val="single" w:sz="4" w:space="0" w:color="auto"/>
              <w:right w:val="single" w:sz="4" w:space="0" w:color="auto"/>
            </w:tcBorders>
            <w:shd w:val="clear" w:color="auto" w:fill="auto"/>
            <w:noWrap/>
            <w:vAlign w:val="center"/>
            <w:hideMark/>
          </w:tcPr>
          <w:p w14:paraId="40EE3817" w14:textId="77777777" w:rsidR="0034364A" w:rsidRPr="0034364A" w:rsidRDefault="0034364A" w:rsidP="0034364A">
            <w:pPr>
              <w:jc w:val="center"/>
              <w:rPr>
                <w:rFonts w:cs="Arial"/>
                <w:color w:val="000000"/>
                <w:sz w:val="18"/>
                <w:szCs w:val="18"/>
                <w:lang w:val="en-US" w:eastAsia="en-US"/>
              </w:rPr>
            </w:pPr>
            <w:r w:rsidRPr="0034364A">
              <w:rPr>
                <w:rFonts w:cs="Arial"/>
                <w:color w:val="000000"/>
                <w:sz w:val="18"/>
                <w:szCs w:val="18"/>
                <w:lang w:val="en-US" w:eastAsia="en-US"/>
              </w:rPr>
              <w:t>0,3649</w:t>
            </w:r>
          </w:p>
        </w:tc>
        <w:tc>
          <w:tcPr>
            <w:tcW w:w="920" w:type="dxa"/>
            <w:tcBorders>
              <w:top w:val="nil"/>
              <w:left w:val="nil"/>
              <w:bottom w:val="single" w:sz="4" w:space="0" w:color="auto"/>
              <w:right w:val="single" w:sz="4" w:space="0" w:color="auto"/>
            </w:tcBorders>
            <w:shd w:val="clear" w:color="auto" w:fill="auto"/>
            <w:noWrap/>
            <w:vAlign w:val="center"/>
            <w:hideMark/>
          </w:tcPr>
          <w:p w14:paraId="0DEA974F" w14:textId="77777777" w:rsidR="0034364A" w:rsidRPr="0034364A" w:rsidRDefault="0034364A" w:rsidP="0034364A">
            <w:pPr>
              <w:jc w:val="center"/>
              <w:rPr>
                <w:rFonts w:cs="Arial"/>
                <w:color w:val="000000"/>
                <w:sz w:val="18"/>
                <w:szCs w:val="18"/>
                <w:lang w:val="en-US" w:eastAsia="en-US"/>
              </w:rPr>
            </w:pPr>
            <w:r w:rsidRPr="0034364A">
              <w:rPr>
                <w:rFonts w:cs="Arial"/>
                <w:color w:val="000000"/>
                <w:sz w:val="18"/>
                <w:szCs w:val="18"/>
                <w:lang w:val="en-US" w:eastAsia="en-US"/>
              </w:rPr>
              <w:t>0,4745</w:t>
            </w:r>
          </w:p>
        </w:tc>
        <w:tc>
          <w:tcPr>
            <w:tcW w:w="3613" w:type="dxa"/>
            <w:tcBorders>
              <w:top w:val="nil"/>
              <w:left w:val="nil"/>
              <w:bottom w:val="single" w:sz="4" w:space="0" w:color="auto"/>
              <w:right w:val="single" w:sz="4" w:space="0" w:color="auto"/>
            </w:tcBorders>
            <w:shd w:val="clear" w:color="auto" w:fill="auto"/>
            <w:vAlign w:val="center"/>
            <w:hideMark/>
          </w:tcPr>
          <w:p w14:paraId="7BBB7A14" w14:textId="611F7A55" w:rsidR="0034364A" w:rsidRPr="0034364A" w:rsidRDefault="00D554BA" w:rsidP="0034364A">
            <w:pPr>
              <w:jc w:val="center"/>
              <w:rPr>
                <w:rFonts w:cs="Arial"/>
                <w:color w:val="000000"/>
                <w:sz w:val="18"/>
                <w:szCs w:val="18"/>
                <w:lang w:val="en-US" w:eastAsia="en-US"/>
              </w:rPr>
            </w:pPr>
            <w:r>
              <w:rPr>
                <w:rFonts w:cs="Arial"/>
                <w:color w:val="000000"/>
                <w:sz w:val="18"/>
                <w:szCs w:val="18"/>
                <w:lang w:val="en-US" w:eastAsia="en-US"/>
              </w:rPr>
              <w:t>I</w:t>
            </w:r>
            <w:r w:rsidR="0034364A" w:rsidRPr="0034364A">
              <w:rPr>
                <w:rFonts w:cs="Arial"/>
                <w:color w:val="000000"/>
                <w:sz w:val="18"/>
                <w:szCs w:val="18"/>
                <w:lang w:val="en-US" w:eastAsia="en-US"/>
              </w:rPr>
              <w:t>ndividuals with exostosis who also have otorrhea</w:t>
            </w:r>
          </w:p>
        </w:tc>
        <w:tc>
          <w:tcPr>
            <w:tcW w:w="2338" w:type="dxa"/>
            <w:tcBorders>
              <w:top w:val="nil"/>
              <w:left w:val="nil"/>
              <w:bottom w:val="single" w:sz="4" w:space="0" w:color="auto"/>
              <w:right w:val="single" w:sz="8" w:space="0" w:color="auto"/>
            </w:tcBorders>
            <w:shd w:val="clear" w:color="auto" w:fill="auto"/>
            <w:vAlign w:val="center"/>
            <w:hideMark/>
          </w:tcPr>
          <w:p w14:paraId="62473CF0" w14:textId="77777777" w:rsidR="0034364A" w:rsidRPr="0034364A" w:rsidRDefault="0034364A" w:rsidP="0034364A">
            <w:pPr>
              <w:jc w:val="center"/>
              <w:rPr>
                <w:rFonts w:cs="Arial"/>
                <w:color w:val="000000"/>
                <w:sz w:val="18"/>
                <w:szCs w:val="18"/>
                <w:lang w:val="en-US" w:eastAsia="en-US"/>
              </w:rPr>
            </w:pPr>
            <w:r w:rsidRPr="0034364A">
              <w:rPr>
                <w:rFonts w:cs="Arial"/>
                <w:color w:val="000000"/>
                <w:sz w:val="18"/>
                <w:szCs w:val="18"/>
                <w:lang w:val="en-US" w:eastAsia="en-US"/>
              </w:rPr>
              <w:t>House 2008</w:t>
            </w:r>
          </w:p>
        </w:tc>
      </w:tr>
      <w:tr w:rsidR="0034364A" w:rsidRPr="0034364A" w14:paraId="0C9467CF" w14:textId="77777777" w:rsidTr="00BF0EEF">
        <w:trPr>
          <w:trHeight w:val="300"/>
          <w:jc w:val="center"/>
        </w:trPr>
        <w:tc>
          <w:tcPr>
            <w:tcW w:w="928" w:type="dxa"/>
            <w:vMerge/>
            <w:tcBorders>
              <w:top w:val="nil"/>
              <w:left w:val="single" w:sz="8" w:space="0" w:color="auto"/>
              <w:bottom w:val="single" w:sz="8" w:space="0" w:color="000000"/>
              <w:right w:val="single" w:sz="4" w:space="0" w:color="auto"/>
            </w:tcBorders>
            <w:vAlign w:val="center"/>
            <w:hideMark/>
          </w:tcPr>
          <w:p w14:paraId="4026A5EC" w14:textId="77777777" w:rsidR="0034364A" w:rsidRPr="0034364A" w:rsidRDefault="0034364A" w:rsidP="0034364A">
            <w:pPr>
              <w:rPr>
                <w:rFonts w:cs="Arial"/>
                <w:b/>
                <w:bCs/>
                <w:color w:val="000000"/>
                <w:sz w:val="20"/>
                <w:szCs w:val="20"/>
                <w:lang w:val="en-US" w:eastAsia="en-US"/>
              </w:rPr>
            </w:pPr>
          </w:p>
        </w:tc>
        <w:tc>
          <w:tcPr>
            <w:tcW w:w="4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5B82547" w14:textId="77777777" w:rsidR="0034364A" w:rsidRPr="0034364A" w:rsidRDefault="0034364A" w:rsidP="0034364A">
            <w:pPr>
              <w:jc w:val="center"/>
              <w:rPr>
                <w:rFonts w:cs="Arial"/>
                <w:b/>
                <w:bCs/>
                <w:color w:val="000000"/>
                <w:sz w:val="20"/>
                <w:szCs w:val="20"/>
                <w:lang w:val="en-US" w:eastAsia="en-US"/>
              </w:rPr>
            </w:pPr>
            <w:r w:rsidRPr="0034364A">
              <w:rPr>
                <w:rFonts w:cs="Arial"/>
                <w:b/>
                <w:bCs/>
                <w:color w:val="000000"/>
                <w:sz w:val="20"/>
                <w:szCs w:val="20"/>
                <w:lang w:val="en-US" w:eastAsia="en-US"/>
              </w:rPr>
              <w:t>d</w:t>
            </w:r>
          </w:p>
        </w:tc>
        <w:tc>
          <w:tcPr>
            <w:tcW w:w="12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47AE6C4" w14:textId="77777777" w:rsidR="0034364A" w:rsidRPr="0034364A" w:rsidRDefault="0034364A" w:rsidP="0034364A">
            <w:pPr>
              <w:jc w:val="center"/>
              <w:rPr>
                <w:rFonts w:cs="Arial"/>
                <w:color w:val="000000"/>
                <w:sz w:val="18"/>
                <w:szCs w:val="18"/>
                <w:lang w:val="en-US" w:eastAsia="en-US"/>
              </w:rPr>
            </w:pPr>
            <w:r w:rsidRPr="0034364A">
              <w:rPr>
                <w:rFonts w:cs="Arial"/>
                <w:color w:val="000000"/>
                <w:sz w:val="18"/>
                <w:szCs w:val="18"/>
                <w:lang w:val="en-US" w:eastAsia="en-US"/>
              </w:rPr>
              <w:t>0,0025</w:t>
            </w:r>
          </w:p>
        </w:tc>
        <w:tc>
          <w:tcPr>
            <w:tcW w:w="9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9F3BC1B" w14:textId="77777777" w:rsidR="0034364A" w:rsidRPr="0034364A" w:rsidRDefault="0034364A" w:rsidP="0034364A">
            <w:pPr>
              <w:jc w:val="center"/>
              <w:rPr>
                <w:rFonts w:cs="Arial"/>
                <w:color w:val="000000"/>
                <w:sz w:val="18"/>
                <w:szCs w:val="18"/>
                <w:lang w:val="en-US" w:eastAsia="en-US"/>
              </w:rPr>
            </w:pPr>
            <w:r w:rsidRPr="0034364A">
              <w:rPr>
                <w:rFonts w:cs="Arial"/>
                <w:color w:val="000000"/>
                <w:sz w:val="18"/>
                <w:szCs w:val="18"/>
                <w:lang w:val="en-US" w:eastAsia="en-US"/>
              </w:rPr>
              <w:t>0,0018</w:t>
            </w:r>
          </w:p>
        </w:tc>
        <w:tc>
          <w:tcPr>
            <w:tcW w:w="9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684158D" w14:textId="77777777" w:rsidR="0034364A" w:rsidRPr="0034364A" w:rsidRDefault="0034364A" w:rsidP="0034364A">
            <w:pPr>
              <w:jc w:val="center"/>
              <w:rPr>
                <w:rFonts w:cs="Arial"/>
                <w:color w:val="000000"/>
                <w:sz w:val="18"/>
                <w:szCs w:val="18"/>
                <w:lang w:val="en-US" w:eastAsia="en-US"/>
              </w:rPr>
            </w:pPr>
            <w:r w:rsidRPr="0034364A">
              <w:rPr>
                <w:rFonts w:cs="Arial"/>
                <w:color w:val="000000"/>
                <w:sz w:val="18"/>
                <w:szCs w:val="18"/>
                <w:lang w:val="en-US" w:eastAsia="en-US"/>
              </w:rPr>
              <w:t>0,0038</w:t>
            </w:r>
          </w:p>
        </w:tc>
        <w:tc>
          <w:tcPr>
            <w:tcW w:w="3613" w:type="dxa"/>
            <w:vMerge w:val="restart"/>
            <w:tcBorders>
              <w:top w:val="nil"/>
              <w:left w:val="single" w:sz="4" w:space="0" w:color="auto"/>
              <w:bottom w:val="single" w:sz="4" w:space="0" w:color="auto"/>
              <w:right w:val="single" w:sz="4" w:space="0" w:color="auto"/>
            </w:tcBorders>
            <w:shd w:val="clear" w:color="auto" w:fill="auto"/>
            <w:vAlign w:val="center"/>
            <w:hideMark/>
          </w:tcPr>
          <w:p w14:paraId="043B8F7A" w14:textId="477D4A1D" w:rsidR="0034364A" w:rsidRPr="0034364A" w:rsidRDefault="00D554BA" w:rsidP="0034364A">
            <w:pPr>
              <w:jc w:val="center"/>
              <w:rPr>
                <w:rFonts w:cs="Arial"/>
                <w:color w:val="000000"/>
                <w:sz w:val="18"/>
                <w:szCs w:val="18"/>
                <w:lang w:val="en-US" w:eastAsia="en-US"/>
              </w:rPr>
            </w:pPr>
            <w:r>
              <w:rPr>
                <w:rFonts w:cs="Arial"/>
                <w:color w:val="000000"/>
                <w:sz w:val="18"/>
                <w:szCs w:val="18"/>
                <w:lang w:val="en-US" w:eastAsia="en-US"/>
              </w:rPr>
              <w:t>I</w:t>
            </w:r>
            <w:r w:rsidR="0034364A" w:rsidRPr="0034364A">
              <w:rPr>
                <w:rFonts w:cs="Arial"/>
                <w:color w:val="000000"/>
                <w:sz w:val="18"/>
                <w:szCs w:val="18"/>
                <w:lang w:val="en-US" w:eastAsia="en-US"/>
              </w:rPr>
              <w:t>ndividuals in the general population who have exostoses and otorrhea</w:t>
            </w:r>
          </w:p>
        </w:tc>
        <w:tc>
          <w:tcPr>
            <w:tcW w:w="2338" w:type="dxa"/>
            <w:vMerge w:val="restart"/>
            <w:tcBorders>
              <w:top w:val="nil"/>
              <w:left w:val="single" w:sz="4" w:space="0" w:color="auto"/>
              <w:bottom w:val="single" w:sz="4" w:space="0" w:color="auto"/>
              <w:right w:val="single" w:sz="8" w:space="0" w:color="auto"/>
            </w:tcBorders>
            <w:shd w:val="clear" w:color="auto" w:fill="auto"/>
            <w:vAlign w:val="center"/>
            <w:hideMark/>
          </w:tcPr>
          <w:p w14:paraId="7BFBF935" w14:textId="77777777" w:rsidR="0034364A" w:rsidRPr="0034364A" w:rsidRDefault="0034364A" w:rsidP="0034364A">
            <w:pPr>
              <w:jc w:val="center"/>
              <w:rPr>
                <w:rFonts w:cs="Arial"/>
                <w:color w:val="000000"/>
                <w:sz w:val="18"/>
                <w:szCs w:val="18"/>
                <w:lang w:val="en-US" w:eastAsia="en-US"/>
              </w:rPr>
            </w:pPr>
            <w:r w:rsidRPr="0034364A">
              <w:rPr>
                <w:rFonts w:cs="Arial"/>
                <w:color w:val="000000"/>
                <w:sz w:val="18"/>
                <w:szCs w:val="18"/>
                <w:lang w:val="en-US" w:eastAsia="en-US"/>
              </w:rPr>
              <w:t>Step 2 b x Step 2 c</w:t>
            </w:r>
          </w:p>
        </w:tc>
      </w:tr>
      <w:tr w:rsidR="0034364A" w:rsidRPr="0034364A" w14:paraId="5916C14A" w14:textId="77777777" w:rsidTr="00BF0EEF">
        <w:trPr>
          <w:trHeight w:val="600"/>
          <w:jc w:val="center"/>
        </w:trPr>
        <w:tc>
          <w:tcPr>
            <w:tcW w:w="928" w:type="dxa"/>
            <w:vMerge/>
            <w:tcBorders>
              <w:top w:val="nil"/>
              <w:left w:val="single" w:sz="8" w:space="0" w:color="auto"/>
              <w:bottom w:val="single" w:sz="8" w:space="0" w:color="000000"/>
              <w:right w:val="single" w:sz="4" w:space="0" w:color="auto"/>
            </w:tcBorders>
            <w:vAlign w:val="center"/>
            <w:hideMark/>
          </w:tcPr>
          <w:p w14:paraId="345F25ED" w14:textId="77777777" w:rsidR="0034364A" w:rsidRPr="0034364A" w:rsidRDefault="0034364A" w:rsidP="0034364A">
            <w:pPr>
              <w:rPr>
                <w:rFonts w:cs="Arial"/>
                <w:b/>
                <w:bCs/>
                <w:color w:val="000000"/>
                <w:sz w:val="20"/>
                <w:szCs w:val="20"/>
                <w:lang w:val="en-US" w:eastAsia="en-US"/>
              </w:rPr>
            </w:pPr>
          </w:p>
        </w:tc>
        <w:tc>
          <w:tcPr>
            <w:tcW w:w="460" w:type="dxa"/>
            <w:vMerge/>
            <w:tcBorders>
              <w:top w:val="nil"/>
              <w:left w:val="single" w:sz="4" w:space="0" w:color="auto"/>
              <w:bottom w:val="single" w:sz="4" w:space="0" w:color="000000"/>
              <w:right w:val="single" w:sz="4" w:space="0" w:color="auto"/>
            </w:tcBorders>
            <w:vAlign w:val="center"/>
            <w:hideMark/>
          </w:tcPr>
          <w:p w14:paraId="413EB1A4" w14:textId="77777777" w:rsidR="0034364A" w:rsidRPr="0034364A" w:rsidRDefault="0034364A" w:rsidP="0034364A">
            <w:pPr>
              <w:rPr>
                <w:rFonts w:cs="Arial"/>
                <w:b/>
                <w:bCs/>
                <w:color w:val="000000"/>
                <w:sz w:val="20"/>
                <w:szCs w:val="20"/>
                <w:lang w:val="en-US" w:eastAsia="en-US"/>
              </w:rPr>
            </w:pPr>
          </w:p>
        </w:tc>
        <w:tc>
          <w:tcPr>
            <w:tcW w:w="1250" w:type="dxa"/>
            <w:vMerge/>
            <w:tcBorders>
              <w:top w:val="nil"/>
              <w:left w:val="single" w:sz="4" w:space="0" w:color="auto"/>
              <w:bottom w:val="single" w:sz="4" w:space="0" w:color="auto"/>
              <w:right w:val="single" w:sz="4" w:space="0" w:color="auto"/>
            </w:tcBorders>
            <w:vAlign w:val="center"/>
            <w:hideMark/>
          </w:tcPr>
          <w:p w14:paraId="1D31B16E" w14:textId="77777777" w:rsidR="0034364A" w:rsidRPr="0034364A" w:rsidRDefault="0034364A" w:rsidP="0034364A">
            <w:pPr>
              <w:rPr>
                <w:rFonts w:cs="Arial"/>
                <w:color w:val="000000"/>
                <w:sz w:val="18"/>
                <w:szCs w:val="18"/>
                <w:lang w:val="en-US" w:eastAsia="en-US"/>
              </w:rPr>
            </w:pPr>
          </w:p>
        </w:tc>
        <w:tc>
          <w:tcPr>
            <w:tcW w:w="920" w:type="dxa"/>
            <w:vMerge/>
            <w:tcBorders>
              <w:top w:val="nil"/>
              <w:left w:val="single" w:sz="4" w:space="0" w:color="auto"/>
              <w:bottom w:val="single" w:sz="4" w:space="0" w:color="auto"/>
              <w:right w:val="single" w:sz="4" w:space="0" w:color="auto"/>
            </w:tcBorders>
            <w:vAlign w:val="center"/>
            <w:hideMark/>
          </w:tcPr>
          <w:p w14:paraId="16707C11" w14:textId="77777777" w:rsidR="0034364A" w:rsidRPr="0034364A" w:rsidRDefault="0034364A" w:rsidP="0034364A">
            <w:pPr>
              <w:rPr>
                <w:rFonts w:cs="Arial"/>
                <w:color w:val="000000"/>
                <w:sz w:val="18"/>
                <w:szCs w:val="18"/>
                <w:lang w:val="en-US" w:eastAsia="en-US"/>
              </w:rPr>
            </w:pPr>
          </w:p>
        </w:tc>
        <w:tc>
          <w:tcPr>
            <w:tcW w:w="920" w:type="dxa"/>
            <w:vMerge/>
            <w:tcBorders>
              <w:top w:val="nil"/>
              <w:left w:val="single" w:sz="4" w:space="0" w:color="auto"/>
              <w:bottom w:val="single" w:sz="4" w:space="0" w:color="auto"/>
              <w:right w:val="single" w:sz="4" w:space="0" w:color="auto"/>
            </w:tcBorders>
            <w:vAlign w:val="center"/>
            <w:hideMark/>
          </w:tcPr>
          <w:p w14:paraId="74544701" w14:textId="77777777" w:rsidR="0034364A" w:rsidRPr="0034364A" w:rsidRDefault="0034364A" w:rsidP="0034364A">
            <w:pPr>
              <w:rPr>
                <w:rFonts w:cs="Arial"/>
                <w:color w:val="000000"/>
                <w:sz w:val="18"/>
                <w:szCs w:val="18"/>
                <w:lang w:val="en-US" w:eastAsia="en-US"/>
              </w:rPr>
            </w:pPr>
          </w:p>
        </w:tc>
        <w:tc>
          <w:tcPr>
            <w:tcW w:w="3613" w:type="dxa"/>
            <w:vMerge/>
            <w:tcBorders>
              <w:top w:val="nil"/>
              <w:left w:val="single" w:sz="4" w:space="0" w:color="auto"/>
              <w:bottom w:val="single" w:sz="4" w:space="0" w:color="auto"/>
              <w:right w:val="single" w:sz="4" w:space="0" w:color="auto"/>
            </w:tcBorders>
            <w:vAlign w:val="center"/>
            <w:hideMark/>
          </w:tcPr>
          <w:p w14:paraId="6034DF5B" w14:textId="77777777" w:rsidR="0034364A" w:rsidRPr="0034364A" w:rsidRDefault="0034364A" w:rsidP="0034364A">
            <w:pPr>
              <w:rPr>
                <w:rFonts w:cs="Arial"/>
                <w:color w:val="000000"/>
                <w:sz w:val="18"/>
                <w:szCs w:val="18"/>
                <w:lang w:val="en-US" w:eastAsia="en-US"/>
              </w:rPr>
            </w:pPr>
          </w:p>
        </w:tc>
        <w:tc>
          <w:tcPr>
            <w:tcW w:w="2338" w:type="dxa"/>
            <w:vMerge/>
            <w:tcBorders>
              <w:top w:val="nil"/>
              <w:left w:val="single" w:sz="4" w:space="0" w:color="auto"/>
              <w:bottom w:val="single" w:sz="4" w:space="0" w:color="auto"/>
              <w:right w:val="single" w:sz="8" w:space="0" w:color="auto"/>
            </w:tcBorders>
            <w:vAlign w:val="center"/>
            <w:hideMark/>
          </w:tcPr>
          <w:p w14:paraId="676998C6" w14:textId="77777777" w:rsidR="0034364A" w:rsidRPr="0034364A" w:rsidRDefault="0034364A" w:rsidP="0034364A">
            <w:pPr>
              <w:rPr>
                <w:rFonts w:cs="Arial"/>
                <w:color w:val="000000"/>
                <w:sz w:val="18"/>
                <w:szCs w:val="18"/>
                <w:lang w:val="en-US" w:eastAsia="en-US"/>
              </w:rPr>
            </w:pPr>
          </w:p>
        </w:tc>
      </w:tr>
      <w:tr w:rsidR="0034364A" w:rsidRPr="0034364A" w14:paraId="730185D0" w14:textId="77777777" w:rsidTr="00BF0EEF">
        <w:trPr>
          <w:trHeight w:val="300"/>
          <w:jc w:val="center"/>
        </w:trPr>
        <w:tc>
          <w:tcPr>
            <w:tcW w:w="928" w:type="dxa"/>
            <w:vMerge/>
            <w:tcBorders>
              <w:top w:val="nil"/>
              <w:left w:val="single" w:sz="8" w:space="0" w:color="auto"/>
              <w:bottom w:val="single" w:sz="8" w:space="0" w:color="000000"/>
              <w:right w:val="single" w:sz="4" w:space="0" w:color="auto"/>
            </w:tcBorders>
            <w:vAlign w:val="center"/>
            <w:hideMark/>
          </w:tcPr>
          <w:p w14:paraId="59021A29" w14:textId="77777777" w:rsidR="0034364A" w:rsidRPr="0034364A" w:rsidRDefault="0034364A" w:rsidP="0034364A">
            <w:pPr>
              <w:rPr>
                <w:rFonts w:cs="Arial"/>
                <w:b/>
                <w:bCs/>
                <w:color w:val="000000"/>
                <w:sz w:val="20"/>
                <w:szCs w:val="20"/>
                <w:lang w:val="en-US" w:eastAsia="en-US"/>
              </w:rPr>
            </w:pPr>
          </w:p>
        </w:tc>
        <w:tc>
          <w:tcPr>
            <w:tcW w:w="46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40B26E69" w14:textId="77777777" w:rsidR="0034364A" w:rsidRPr="0034364A" w:rsidRDefault="0034364A" w:rsidP="0034364A">
            <w:pPr>
              <w:jc w:val="center"/>
              <w:rPr>
                <w:rFonts w:cs="Arial"/>
                <w:b/>
                <w:bCs/>
                <w:color w:val="000000"/>
                <w:sz w:val="20"/>
                <w:szCs w:val="20"/>
                <w:lang w:val="en-US" w:eastAsia="en-US"/>
              </w:rPr>
            </w:pPr>
            <w:r w:rsidRPr="0034364A">
              <w:rPr>
                <w:rFonts w:cs="Arial"/>
                <w:b/>
                <w:bCs/>
                <w:color w:val="000000"/>
                <w:sz w:val="20"/>
                <w:szCs w:val="20"/>
                <w:lang w:val="en-US" w:eastAsia="en-US"/>
              </w:rPr>
              <w:t>e</w:t>
            </w:r>
          </w:p>
        </w:tc>
        <w:tc>
          <w:tcPr>
            <w:tcW w:w="12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84291FB" w14:textId="77777777" w:rsidR="0034364A" w:rsidRPr="0034364A" w:rsidRDefault="0034364A" w:rsidP="0034364A">
            <w:pPr>
              <w:jc w:val="center"/>
              <w:rPr>
                <w:rFonts w:cs="Arial"/>
                <w:color w:val="000000"/>
                <w:sz w:val="18"/>
                <w:szCs w:val="18"/>
                <w:lang w:val="en-US" w:eastAsia="en-US"/>
              </w:rPr>
            </w:pPr>
            <w:r w:rsidRPr="0034364A">
              <w:rPr>
                <w:rFonts w:cs="Arial"/>
                <w:color w:val="000000"/>
                <w:sz w:val="18"/>
                <w:szCs w:val="18"/>
                <w:lang w:val="en-US" w:eastAsia="en-US"/>
              </w:rPr>
              <w:t>0,0320</w:t>
            </w:r>
          </w:p>
        </w:tc>
        <w:tc>
          <w:tcPr>
            <w:tcW w:w="92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4CE709DF" w14:textId="77777777" w:rsidR="0034364A" w:rsidRPr="0034364A" w:rsidRDefault="0034364A" w:rsidP="0034364A">
            <w:pPr>
              <w:jc w:val="center"/>
              <w:rPr>
                <w:rFonts w:cs="Arial"/>
                <w:color w:val="000000"/>
                <w:sz w:val="18"/>
                <w:szCs w:val="18"/>
                <w:lang w:val="en-US" w:eastAsia="en-US"/>
              </w:rPr>
            </w:pPr>
            <w:r w:rsidRPr="0034364A">
              <w:rPr>
                <w:rFonts w:cs="Arial"/>
                <w:color w:val="000000"/>
                <w:sz w:val="18"/>
                <w:szCs w:val="18"/>
                <w:lang w:val="en-US" w:eastAsia="en-US"/>
              </w:rPr>
              <w:t>0,0300</w:t>
            </w:r>
          </w:p>
        </w:tc>
        <w:tc>
          <w:tcPr>
            <w:tcW w:w="92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567298FC" w14:textId="77777777" w:rsidR="0034364A" w:rsidRPr="0034364A" w:rsidRDefault="0034364A" w:rsidP="0034364A">
            <w:pPr>
              <w:jc w:val="center"/>
              <w:rPr>
                <w:rFonts w:cs="Arial"/>
                <w:color w:val="000000"/>
                <w:sz w:val="18"/>
                <w:szCs w:val="18"/>
                <w:lang w:val="en-US" w:eastAsia="en-US"/>
              </w:rPr>
            </w:pPr>
            <w:r w:rsidRPr="0034364A">
              <w:rPr>
                <w:rFonts w:cs="Arial"/>
                <w:color w:val="000000"/>
                <w:sz w:val="18"/>
                <w:szCs w:val="18"/>
                <w:lang w:val="en-US" w:eastAsia="en-US"/>
              </w:rPr>
              <w:t>0,0341</w:t>
            </w:r>
          </w:p>
        </w:tc>
        <w:tc>
          <w:tcPr>
            <w:tcW w:w="3613" w:type="dxa"/>
            <w:vMerge w:val="restart"/>
            <w:tcBorders>
              <w:top w:val="nil"/>
              <w:left w:val="single" w:sz="4" w:space="0" w:color="auto"/>
              <w:bottom w:val="single" w:sz="8" w:space="0" w:color="000000"/>
              <w:right w:val="single" w:sz="4" w:space="0" w:color="auto"/>
            </w:tcBorders>
            <w:shd w:val="clear" w:color="auto" w:fill="auto"/>
            <w:vAlign w:val="center"/>
            <w:hideMark/>
          </w:tcPr>
          <w:p w14:paraId="0563E7BF" w14:textId="1033C929" w:rsidR="0034364A" w:rsidRPr="0034364A" w:rsidRDefault="00D554BA" w:rsidP="0034364A">
            <w:pPr>
              <w:jc w:val="center"/>
              <w:rPr>
                <w:rFonts w:cs="Arial"/>
                <w:color w:val="000000"/>
                <w:sz w:val="18"/>
                <w:szCs w:val="18"/>
                <w:lang w:val="en-US" w:eastAsia="en-US"/>
              </w:rPr>
            </w:pPr>
            <w:r>
              <w:rPr>
                <w:rFonts w:cs="Arial"/>
                <w:color w:val="000000"/>
                <w:sz w:val="18"/>
                <w:szCs w:val="18"/>
                <w:lang w:val="en-US" w:eastAsia="en-US"/>
              </w:rPr>
              <w:t>I</w:t>
            </w:r>
            <w:r w:rsidR="0034364A" w:rsidRPr="0034364A">
              <w:rPr>
                <w:rFonts w:cs="Arial"/>
                <w:color w:val="000000"/>
                <w:sz w:val="18"/>
                <w:szCs w:val="18"/>
                <w:lang w:val="en-US" w:eastAsia="en-US"/>
              </w:rPr>
              <w:t>ndividuals with an outer ear pathology in the general population (including overlap in conditions)</w:t>
            </w:r>
          </w:p>
        </w:tc>
        <w:tc>
          <w:tcPr>
            <w:tcW w:w="2338" w:type="dxa"/>
            <w:vMerge w:val="restart"/>
            <w:tcBorders>
              <w:top w:val="nil"/>
              <w:left w:val="single" w:sz="4" w:space="0" w:color="auto"/>
              <w:bottom w:val="single" w:sz="8" w:space="0" w:color="000000"/>
              <w:right w:val="single" w:sz="8" w:space="0" w:color="auto"/>
            </w:tcBorders>
            <w:shd w:val="clear" w:color="auto" w:fill="auto"/>
            <w:vAlign w:val="center"/>
            <w:hideMark/>
          </w:tcPr>
          <w:p w14:paraId="64BE48F3" w14:textId="77777777" w:rsidR="0034364A" w:rsidRPr="0034364A" w:rsidRDefault="0034364A" w:rsidP="0034364A">
            <w:pPr>
              <w:jc w:val="center"/>
              <w:rPr>
                <w:rFonts w:cs="Arial"/>
                <w:color w:val="000000"/>
                <w:sz w:val="18"/>
                <w:szCs w:val="18"/>
                <w:lang w:val="en-US" w:eastAsia="en-US"/>
              </w:rPr>
            </w:pPr>
            <w:r w:rsidRPr="0034364A">
              <w:rPr>
                <w:rFonts w:cs="Arial"/>
                <w:color w:val="000000"/>
                <w:sz w:val="18"/>
                <w:szCs w:val="18"/>
                <w:lang w:val="en-US" w:eastAsia="en-US"/>
              </w:rPr>
              <w:t>CI levels calculated depending on the estimated number of affected people in Australia</w:t>
            </w:r>
          </w:p>
        </w:tc>
      </w:tr>
      <w:tr w:rsidR="0034364A" w:rsidRPr="0034364A" w14:paraId="4D2697F9" w14:textId="77777777" w:rsidTr="00BF0EEF">
        <w:trPr>
          <w:trHeight w:val="1230"/>
          <w:jc w:val="center"/>
        </w:trPr>
        <w:tc>
          <w:tcPr>
            <w:tcW w:w="928" w:type="dxa"/>
            <w:vMerge/>
            <w:tcBorders>
              <w:top w:val="nil"/>
              <w:left w:val="single" w:sz="8" w:space="0" w:color="auto"/>
              <w:bottom w:val="single" w:sz="8" w:space="0" w:color="000000"/>
              <w:right w:val="single" w:sz="4" w:space="0" w:color="auto"/>
            </w:tcBorders>
            <w:vAlign w:val="center"/>
            <w:hideMark/>
          </w:tcPr>
          <w:p w14:paraId="1C778037" w14:textId="77777777" w:rsidR="0034364A" w:rsidRPr="0034364A" w:rsidRDefault="0034364A" w:rsidP="0034364A">
            <w:pPr>
              <w:rPr>
                <w:rFonts w:cs="Arial"/>
                <w:b/>
                <w:bCs/>
                <w:color w:val="000000"/>
                <w:sz w:val="20"/>
                <w:szCs w:val="20"/>
                <w:lang w:val="en-US" w:eastAsia="en-US"/>
              </w:rPr>
            </w:pPr>
          </w:p>
        </w:tc>
        <w:tc>
          <w:tcPr>
            <w:tcW w:w="460" w:type="dxa"/>
            <w:vMerge/>
            <w:tcBorders>
              <w:top w:val="nil"/>
              <w:left w:val="single" w:sz="4" w:space="0" w:color="auto"/>
              <w:bottom w:val="single" w:sz="8" w:space="0" w:color="000000"/>
              <w:right w:val="single" w:sz="4" w:space="0" w:color="auto"/>
            </w:tcBorders>
            <w:vAlign w:val="center"/>
            <w:hideMark/>
          </w:tcPr>
          <w:p w14:paraId="2F7E7701" w14:textId="77777777" w:rsidR="0034364A" w:rsidRPr="0034364A" w:rsidRDefault="0034364A" w:rsidP="0034364A">
            <w:pPr>
              <w:rPr>
                <w:rFonts w:cs="Arial"/>
                <w:b/>
                <w:bCs/>
                <w:color w:val="000000"/>
                <w:sz w:val="20"/>
                <w:szCs w:val="20"/>
                <w:lang w:val="en-US" w:eastAsia="en-US"/>
              </w:rPr>
            </w:pPr>
          </w:p>
        </w:tc>
        <w:tc>
          <w:tcPr>
            <w:tcW w:w="1250" w:type="dxa"/>
            <w:vMerge/>
            <w:tcBorders>
              <w:top w:val="nil"/>
              <w:left w:val="single" w:sz="4" w:space="0" w:color="auto"/>
              <w:bottom w:val="single" w:sz="8" w:space="0" w:color="000000"/>
              <w:right w:val="single" w:sz="4" w:space="0" w:color="auto"/>
            </w:tcBorders>
            <w:vAlign w:val="center"/>
            <w:hideMark/>
          </w:tcPr>
          <w:p w14:paraId="21A81D9C" w14:textId="77777777" w:rsidR="0034364A" w:rsidRPr="0034364A" w:rsidRDefault="0034364A" w:rsidP="0034364A">
            <w:pPr>
              <w:rPr>
                <w:rFonts w:cs="Arial"/>
                <w:color w:val="000000"/>
                <w:sz w:val="18"/>
                <w:szCs w:val="18"/>
                <w:lang w:val="en-US" w:eastAsia="en-US"/>
              </w:rPr>
            </w:pPr>
          </w:p>
        </w:tc>
        <w:tc>
          <w:tcPr>
            <w:tcW w:w="920" w:type="dxa"/>
            <w:vMerge/>
            <w:tcBorders>
              <w:top w:val="nil"/>
              <w:left w:val="single" w:sz="4" w:space="0" w:color="auto"/>
              <w:bottom w:val="single" w:sz="8" w:space="0" w:color="000000"/>
              <w:right w:val="single" w:sz="4" w:space="0" w:color="auto"/>
            </w:tcBorders>
            <w:vAlign w:val="center"/>
            <w:hideMark/>
          </w:tcPr>
          <w:p w14:paraId="49849EA5" w14:textId="77777777" w:rsidR="0034364A" w:rsidRPr="0034364A" w:rsidRDefault="0034364A" w:rsidP="0034364A">
            <w:pPr>
              <w:rPr>
                <w:rFonts w:cs="Arial"/>
                <w:color w:val="000000"/>
                <w:sz w:val="18"/>
                <w:szCs w:val="18"/>
                <w:lang w:val="en-US" w:eastAsia="en-US"/>
              </w:rPr>
            </w:pPr>
          </w:p>
        </w:tc>
        <w:tc>
          <w:tcPr>
            <w:tcW w:w="920" w:type="dxa"/>
            <w:vMerge/>
            <w:tcBorders>
              <w:top w:val="nil"/>
              <w:left w:val="single" w:sz="4" w:space="0" w:color="auto"/>
              <w:bottom w:val="single" w:sz="8" w:space="0" w:color="000000"/>
              <w:right w:val="single" w:sz="4" w:space="0" w:color="auto"/>
            </w:tcBorders>
            <w:vAlign w:val="center"/>
            <w:hideMark/>
          </w:tcPr>
          <w:p w14:paraId="7FC709E3" w14:textId="77777777" w:rsidR="0034364A" w:rsidRPr="0034364A" w:rsidRDefault="0034364A" w:rsidP="0034364A">
            <w:pPr>
              <w:rPr>
                <w:rFonts w:cs="Arial"/>
                <w:color w:val="000000"/>
                <w:sz w:val="18"/>
                <w:szCs w:val="18"/>
                <w:lang w:val="en-US" w:eastAsia="en-US"/>
              </w:rPr>
            </w:pPr>
          </w:p>
        </w:tc>
        <w:tc>
          <w:tcPr>
            <w:tcW w:w="3613" w:type="dxa"/>
            <w:vMerge/>
            <w:tcBorders>
              <w:top w:val="nil"/>
              <w:left w:val="single" w:sz="4" w:space="0" w:color="auto"/>
              <w:bottom w:val="single" w:sz="8" w:space="0" w:color="000000"/>
              <w:right w:val="single" w:sz="4" w:space="0" w:color="auto"/>
            </w:tcBorders>
            <w:vAlign w:val="center"/>
            <w:hideMark/>
          </w:tcPr>
          <w:p w14:paraId="11D34387" w14:textId="77777777" w:rsidR="0034364A" w:rsidRPr="0034364A" w:rsidRDefault="0034364A" w:rsidP="0034364A">
            <w:pPr>
              <w:rPr>
                <w:rFonts w:cs="Arial"/>
                <w:color w:val="000000"/>
                <w:sz w:val="18"/>
                <w:szCs w:val="18"/>
                <w:lang w:val="en-US" w:eastAsia="en-US"/>
              </w:rPr>
            </w:pPr>
          </w:p>
        </w:tc>
        <w:tc>
          <w:tcPr>
            <w:tcW w:w="2338" w:type="dxa"/>
            <w:vMerge/>
            <w:tcBorders>
              <w:top w:val="nil"/>
              <w:left w:val="single" w:sz="4" w:space="0" w:color="auto"/>
              <w:bottom w:val="single" w:sz="8" w:space="0" w:color="000000"/>
              <w:right w:val="single" w:sz="8" w:space="0" w:color="auto"/>
            </w:tcBorders>
            <w:vAlign w:val="center"/>
            <w:hideMark/>
          </w:tcPr>
          <w:p w14:paraId="70D24178" w14:textId="77777777" w:rsidR="0034364A" w:rsidRPr="0034364A" w:rsidRDefault="0034364A" w:rsidP="0034364A">
            <w:pPr>
              <w:rPr>
                <w:rFonts w:cs="Arial"/>
                <w:color w:val="000000"/>
                <w:sz w:val="18"/>
                <w:szCs w:val="18"/>
                <w:lang w:val="en-US" w:eastAsia="en-US"/>
              </w:rPr>
            </w:pPr>
          </w:p>
        </w:tc>
      </w:tr>
    </w:tbl>
    <w:p w14:paraId="3AF6D1A6" w14:textId="534E9755" w:rsidR="00F62A4A" w:rsidRPr="00297AE6" w:rsidRDefault="00297AE6" w:rsidP="00BF4FBB">
      <w:pPr>
        <w:pStyle w:val="Textbody"/>
        <w:rPr>
          <w:sz w:val="16"/>
          <w:szCs w:val="16"/>
          <w:lang w:val="en-AU"/>
        </w:rPr>
      </w:pPr>
      <w:r w:rsidRPr="00297AE6">
        <w:rPr>
          <w:sz w:val="16"/>
          <w:szCs w:val="16"/>
          <w:lang w:val="en-AU"/>
        </w:rPr>
        <w:t>*CIs calculated as exact binomial CI</w:t>
      </w:r>
    </w:p>
    <w:p w14:paraId="2C9059E5" w14:textId="77777777" w:rsidR="00297AE6" w:rsidRDefault="00297AE6" w:rsidP="00BF4FBB">
      <w:pPr>
        <w:pStyle w:val="Textbody"/>
        <w:rPr>
          <w:lang w:val="en-AU"/>
        </w:rPr>
      </w:pPr>
    </w:p>
    <w:p w14:paraId="4B7CA0E1" w14:textId="11996418" w:rsidR="007B1699" w:rsidRPr="009A1A2E" w:rsidRDefault="007B1699" w:rsidP="007B1699">
      <w:pPr>
        <w:pStyle w:val="Heading30"/>
        <w:spacing w:line="360" w:lineRule="auto"/>
        <w:jc w:val="both"/>
        <w:rPr>
          <w:lang w:val="en-AU"/>
        </w:rPr>
      </w:pPr>
      <w:bookmarkStart w:id="662" w:name="_Toc431917614"/>
      <w:r w:rsidRPr="009A1A2E">
        <w:rPr>
          <w:lang w:val="en-AU"/>
        </w:rPr>
        <w:t>E.</w:t>
      </w:r>
      <w:r>
        <w:rPr>
          <w:lang w:val="en-AU"/>
        </w:rPr>
        <w:t>5</w:t>
      </w:r>
      <w:r w:rsidRPr="009A1A2E">
        <w:rPr>
          <w:lang w:val="en-AU"/>
        </w:rPr>
        <w:t>.1</w:t>
      </w:r>
      <w:r w:rsidRPr="009A1A2E">
        <w:rPr>
          <w:lang w:val="en-AU"/>
        </w:rPr>
        <w:tab/>
      </w:r>
      <w:r>
        <w:rPr>
          <w:lang w:val="en-AU"/>
        </w:rPr>
        <w:t xml:space="preserve">Deterministic Sensitivity Analysis </w:t>
      </w:r>
      <w:r w:rsidR="001F4976">
        <w:rPr>
          <w:lang w:val="en-AU"/>
        </w:rPr>
        <w:t>on</w:t>
      </w:r>
      <w:r>
        <w:rPr>
          <w:lang w:val="en-AU"/>
        </w:rPr>
        <w:t xml:space="preserve"> the proportion of candidates</w:t>
      </w:r>
      <w:bookmarkEnd w:id="662"/>
    </w:p>
    <w:p w14:paraId="0734ACDC" w14:textId="107AD3AD" w:rsidR="007B1699" w:rsidRPr="009A1A2E" w:rsidRDefault="007B1699" w:rsidP="007B1699">
      <w:pPr>
        <w:pStyle w:val="Textbody"/>
        <w:rPr>
          <w:lang w:val="en-AU"/>
        </w:rPr>
      </w:pPr>
      <w:r w:rsidRPr="009A1A2E">
        <w:rPr>
          <w:lang w:val="en-AU"/>
        </w:rPr>
        <w:t>As the proposed service is new to the MBS listing no historical data can be presented.</w:t>
      </w:r>
      <w:r w:rsidR="00C033C3">
        <w:rPr>
          <w:lang w:val="en-AU"/>
        </w:rPr>
        <w:t xml:space="preserve"> Instead, epidemiological data from Germany was used to calculate the estimated use of the porposed medical service in Australia.</w:t>
      </w:r>
    </w:p>
    <w:p w14:paraId="23662EF8" w14:textId="13E83ED4" w:rsidR="007B1699" w:rsidRPr="00F62A4A" w:rsidRDefault="007B1699" w:rsidP="00F62A4A">
      <w:pPr>
        <w:pStyle w:val="Textbody"/>
        <w:rPr>
          <w:lang w:val="en-AU"/>
        </w:rPr>
      </w:pPr>
      <w:r w:rsidRPr="009A1A2E">
        <w:rPr>
          <w:lang w:val="en-AU"/>
        </w:rPr>
        <w:t>Based on the prevalence data provided in Section E.1</w:t>
      </w:r>
      <w:r w:rsidR="00F62A4A">
        <w:rPr>
          <w:lang w:val="en-AU"/>
        </w:rPr>
        <w:t xml:space="preserve"> and </w:t>
      </w:r>
      <w:r w:rsidR="00F62A4A">
        <w:rPr>
          <w:lang w:val="en-AU"/>
        </w:rPr>
        <w:fldChar w:fldCharType="begin"/>
      </w:r>
      <w:r w:rsidR="00F62A4A">
        <w:rPr>
          <w:lang w:val="en-AU"/>
        </w:rPr>
        <w:instrText xml:space="preserve"> REF _Ref431894117 \h </w:instrText>
      </w:r>
      <w:r w:rsidR="00F62A4A">
        <w:rPr>
          <w:lang w:val="en-AU"/>
        </w:rPr>
      </w:r>
      <w:r w:rsidR="00F62A4A">
        <w:rPr>
          <w:lang w:val="en-AU"/>
        </w:rPr>
        <w:fldChar w:fldCharType="separate"/>
      </w:r>
      <w:r w:rsidR="00F62A4A" w:rsidRPr="00A83F80">
        <w:t xml:space="preserve">Table </w:t>
      </w:r>
      <w:r w:rsidR="00F62A4A">
        <w:rPr>
          <w:noProof/>
        </w:rPr>
        <w:t>70</w:t>
      </w:r>
      <w:r w:rsidR="00F62A4A">
        <w:rPr>
          <w:lang w:val="en-AU"/>
        </w:rPr>
        <w:fldChar w:fldCharType="end"/>
      </w:r>
      <w:r w:rsidRPr="009A1A2E">
        <w:rPr>
          <w:lang w:val="en-AU"/>
        </w:rPr>
        <w:t xml:space="preserve">, </w:t>
      </w:r>
      <w:r w:rsidR="00F62A4A">
        <w:rPr>
          <w:highlight w:val="yellow"/>
          <w:lang w:val="en-AU"/>
        </w:rPr>
        <w:fldChar w:fldCharType="begin"/>
      </w:r>
      <w:r w:rsidR="00F62A4A">
        <w:rPr>
          <w:lang w:val="en-AU"/>
        </w:rPr>
        <w:instrText xml:space="preserve"> REF _Ref431894103 \h </w:instrText>
      </w:r>
      <w:r w:rsidR="00F62A4A">
        <w:rPr>
          <w:highlight w:val="yellow"/>
          <w:lang w:val="en-AU"/>
        </w:rPr>
      </w:r>
      <w:r w:rsidR="00F62A4A">
        <w:rPr>
          <w:highlight w:val="yellow"/>
          <w:lang w:val="en-AU"/>
        </w:rPr>
        <w:fldChar w:fldCharType="separate"/>
      </w:r>
      <w:r w:rsidR="00F62A4A" w:rsidRPr="00A83F80">
        <w:t xml:space="preserve">Table </w:t>
      </w:r>
      <w:r w:rsidR="00F62A4A">
        <w:rPr>
          <w:noProof/>
        </w:rPr>
        <w:t>71</w:t>
      </w:r>
      <w:r w:rsidR="00F62A4A">
        <w:rPr>
          <w:highlight w:val="yellow"/>
          <w:lang w:val="en-AU"/>
        </w:rPr>
        <w:fldChar w:fldCharType="end"/>
      </w:r>
      <w:r>
        <w:rPr>
          <w:lang w:val="en-AU"/>
        </w:rPr>
        <w:t xml:space="preserve"> </w:t>
      </w:r>
      <w:r w:rsidR="00330241">
        <w:rPr>
          <w:lang w:val="en-AU"/>
        </w:rPr>
        <w:t xml:space="preserve">to </w:t>
      </w:r>
      <w:r w:rsidR="00635426">
        <w:rPr>
          <w:lang w:val="en-AU"/>
        </w:rPr>
        <w:fldChar w:fldCharType="begin"/>
      </w:r>
      <w:r w:rsidR="00635426">
        <w:rPr>
          <w:lang w:val="en-AU"/>
        </w:rPr>
        <w:instrText xml:space="preserve"> REF _Ref431911408 \h </w:instrText>
      </w:r>
      <w:r w:rsidR="00635426">
        <w:rPr>
          <w:lang w:val="en-AU"/>
        </w:rPr>
      </w:r>
      <w:r w:rsidR="00635426">
        <w:rPr>
          <w:lang w:val="en-AU"/>
        </w:rPr>
        <w:fldChar w:fldCharType="separate"/>
      </w:r>
      <w:r w:rsidR="00635426" w:rsidRPr="00A83F80">
        <w:t xml:space="preserve">Table </w:t>
      </w:r>
      <w:r w:rsidR="00635426">
        <w:rPr>
          <w:noProof/>
        </w:rPr>
        <w:t>74</w:t>
      </w:r>
      <w:r w:rsidR="00635426">
        <w:rPr>
          <w:lang w:val="en-AU"/>
        </w:rPr>
        <w:fldChar w:fldCharType="end"/>
      </w:r>
      <w:r w:rsidR="00635426">
        <w:rPr>
          <w:lang w:val="en-AU"/>
        </w:rPr>
        <w:t xml:space="preserve"> </w:t>
      </w:r>
      <w:r w:rsidR="00330241">
        <w:rPr>
          <w:lang w:val="en-AU"/>
        </w:rPr>
        <w:t>present</w:t>
      </w:r>
      <w:r w:rsidRPr="003A18E9">
        <w:rPr>
          <w:lang w:val="en-AU"/>
        </w:rPr>
        <w:t xml:space="preserve"> the </w:t>
      </w:r>
      <w:r>
        <w:rPr>
          <w:lang w:val="en-AU"/>
        </w:rPr>
        <w:t>th</w:t>
      </w:r>
      <w:r w:rsidR="00C033C3">
        <w:rPr>
          <w:lang w:val="en-AU"/>
        </w:rPr>
        <w:t xml:space="preserve">e patient population eligible for receiving </w:t>
      </w:r>
      <w:r>
        <w:rPr>
          <w:lang w:val="en-AU"/>
        </w:rPr>
        <w:t xml:space="preserve"> the proposed intervention over the first five years of </w:t>
      </w:r>
      <w:r w:rsidR="00F62A4A">
        <w:rPr>
          <w:lang w:val="en-AU"/>
        </w:rPr>
        <w:t xml:space="preserve">an MBS listing and the </w:t>
      </w:r>
      <w:r w:rsidR="00330241">
        <w:rPr>
          <w:lang w:val="en-AU"/>
        </w:rPr>
        <w:t xml:space="preserve">minimum and </w:t>
      </w:r>
      <w:r w:rsidR="00F62A4A">
        <w:rPr>
          <w:lang w:val="en-AU"/>
        </w:rPr>
        <w:t xml:space="preserve">maximum </w:t>
      </w:r>
      <w:r>
        <w:rPr>
          <w:lang w:val="en-AU"/>
        </w:rPr>
        <w:t>number of procedures to be expected in each year</w:t>
      </w:r>
      <w:r w:rsidRPr="003A18E9">
        <w:rPr>
          <w:lang w:val="en-AU"/>
        </w:rPr>
        <w:t>.</w:t>
      </w:r>
      <w:r w:rsidR="00F62A4A">
        <w:rPr>
          <w:lang w:val="en-AU"/>
        </w:rPr>
        <w:t xml:space="preserve"> As described in the previous sections, the population gro</w:t>
      </w:r>
      <w:r w:rsidR="00C033C3">
        <w:rPr>
          <w:lang w:val="en-AU"/>
        </w:rPr>
        <w:t>w</w:t>
      </w:r>
      <w:r w:rsidR="00F62A4A">
        <w:rPr>
          <w:lang w:val="en-AU"/>
        </w:rPr>
        <w:t>th is held constant at</w:t>
      </w:r>
      <w:r>
        <w:rPr>
          <w:lang w:val="en-AU"/>
        </w:rPr>
        <w:t xml:space="preserve"> </w:t>
      </w:r>
      <w:r w:rsidR="00C033C3">
        <w:rPr>
          <w:lang w:val="en-AU"/>
        </w:rPr>
        <w:t>1.7 % starting from</w:t>
      </w:r>
      <w:r>
        <w:rPr>
          <w:lang w:val="en-AU"/>
        </w:rPr>
        <w:t xml:space="preserve"> </w:t>
      </w:r>
      <w:r w:rsidR="00C033C3">
        <w:rPr>
          <w:lang w:val="en-AU"/>
        </w:rPr>
        <w:t xml:space="preserve">the base year of 2016. </w:t>
      </w:r>
      <w:r>
        <w:t>No increase in the rate of SNHL over time is taken into account.</w:t>
      </w:r>
    </w:p>
    <w:p w14:paraId="222496B8" w14:textId="77777777" w:rsidR="007B1699" w:rsidRDefault="007B1699" w:rsidP="007B1699">
      <w:pPr>
        <w:autoSpaceDE w:val="0"/>
        <w:autoSpaceDN w:val="0"/>
        <w:adjustRightInd w:val="0"/>
        <w:spacing w:line="360" w:lineRule="auto"/>
        <w:jc w:val="both"/>
      </w:pPr>
    </w:p>
    <w:p w14:paraId="70B6D447" w14:textId="14771DB4" w:rsidR="007B1699" w:rsidRPr="00E0477C" w:rsidRDefault="007B1699" w:rsidP="007B1699">
      <w:pPr>
        <w:pStyle w:val="Caption"/>
        <w:rPr>
          <w:rFonts w:ascii="Arial" w:hAnsi="Arial" w:cs="Arial"/>
          <w:lang w:val="en-AU"/>
        </w:rPr>
      </w:pPr>
      <w:bookmarkStart w:id="663" w:name="_Ref431894103"/>
      <w:bookmarkStart w:id="664" w:name="_Toc431917531"/>
      <w:r w:rsidRPr="00A83F80">
        <w:rPr>
          <w:rFonts w:ascii="Arial" w:hAnsi="Arial" w:cs="Arial"/>
        </w:rPr>
        <w:t xml:space="preserve">Table </w:t>
      </w:r>
      <w:r w:rsidRPr="00A83F80">
        <w:rPr>
          <w:rFonts w:ascii="Arial" w:hAnsi="Arial" w:cs="Arial"/>
        </w:rPr>
        <w:fldChar w:fldCharType="begin"/>
      </w:r>
      <w:r w:rsidRPr="00A83F80">
        <w:rPr>
          <w:rFonts w:ascii="Arial" w:hAnsi="Arial" w:cs="Arial"/>
        </w:rPr>
        <w:instrText xml:space="preserve"> SEQ Table \* ARABIC </w:instrText>
      </w:r>
      <w:r w:rsidRPr="00A83F80">
        <w:rPr>
          <w:rFonts w:ascii="Arial" w:hAnsi="Arial" w:cs="Arial"/>
        </w:rPr>
        <w:fldChar w:fldCharType="separate"/>
      </w:r>
      <w:r w:rsidR="00F62A4A">
        <w:rPr>
          <w:rFonts w:ascii="Arial" w:hAnsi="Arial" w:cs="Arial"/>
          <w:noProof/>
        </w:rPr>
        <w:t>71</w:t>
      </w:r>
      <w:r w:rsidRPr="00A83F80">
        <w:rPr>
          <w:rFonts w:ascii="Arial" w:hAnsi="Arial" w:cs="Arial"/>
          <w:noProof/>
        </w:rPr>
        <w:fldChar w:fldCharType="end"/>
      </w:r>
      <w:bookmarkEnd w:id="663"/>
      <w:r w:rsidRPr="00A83F80">
        <w:rPr>
          <w:rFonts w:ascii="Arial" w:hAnsi="Arial" w:cs="Arial"/>
          <w:lang w:val="en-US"/>
        </w:rPr>
        <w:t>.-</w:t>
      </w:r>
      <w:r w:rsidRPr="00E0477C">
        <w:rPr>
          <w:rFonts w:ascii="Arial" w:hAnsi="Arial" w:cs="Arial"/>
          <w:lang w:val="en-AU"/>
        </w:rPr>
        <w:t xml:space="preserve"> Estimated </w:t>
      </w:r>
      <w:r w:rsidR="00CA53C8">
        <w:rPr>
          <w:rFonts w:ascii="Arial" w:hAnsi="Arial" w:cs="Arial"/>
          <w:lang w:val="en-AU"/>
        </w:rPr>
        <w:t>minimum number of</w:t>
      </w:r>
      <w:r w:rsidR="00F62A4A">
        <w:rPr>
          <w:rFonts w:ascii="Arial" w:hAnsi="Arial" w:cs="Arial"/>
          <w:lang w:val="en-AU"/>
        </w:rPr>
        <w:t xml:space="preserve"> MEI candidates</w:t>
      </w:r>
      <w:r w:rsidR="00CA53C8">
        <w:rPr>
          <w:rFonts w:ascii="Arial" w:hAnsi="Arial" w:cs="Arial"/>
          <w:lang w:val="en-AU"/>
        </w:rPr>
        <w:t xml:space="preserve"> based on </w:t>
      </w:r>
      <w:r w:rsidR="00137B87">
        <w:rPr>
          <w:rFonts w:ascii="Arial" w:hAnsi="Arial" w:cs="Arial"/>
          <w:lang w:val="en-AU"/>
        </w:rPr>
        <w:t xml:space="preserve">lower </w:t>
      </w:r>
      <w:r w:rsidR="00CA53C8">
        <w:rPr>
          <w:rFonts w:ascii="Arial" w:hAnsi="Arial" w:cs="Arial"/>
          <w:lang w:val="en-AU"/>
        </w:rPr>
        <w:t>CI of proportion of candidates according to Junker et al, 2002</w:t>
      </w:r>
      <w:bookmarkEnd w:id="664"/>
    </w:p>
    <w:tbl>
      <w:tblPr>
        <w:tblW w:w="10591" w:type="dxa"/>
        <w:jc w:val="center"/>
        <w:tblLook w:val="04A0" w:firstRow="1" w:lastRow="0" w:firstColumn="1" w:lastColumn="0" w:noHBand="0" w:noVBand="1"/>
        <w:tblDescription w:val="Estimated minimum number of MEI candidates based on lower CI of proportion of candidates according to Junker et al, 2002"/>
      </w:tblPr>
      <w:tblGrid>
        <w:gridCol w:w="3135"/>
        <w:gridCol w:w="1020"/>
        <w:gridCol w:w="1160"/>
        <w:gridCol w:w="1066"/>
        <w:gridCol w:w="1017"/>
        <w:gridCol w:w="1159"/>
        <w:gridCol w:w="1017"/>
        <w:gridCol w:w="1017"/>
      </w:tblGrid>
      <w:tr w:rsidR="00CA53C8" w:rsidRPr="00CA53C8" w14:paraId="25B05A20" w14:textId="77777777" w:rsidTr="00BF0EEF">
        <w:trPr>
          <w:trHeight w:val="618"/>
          <w:jc w:val="center"/>
        </w:trPr>
        <w:tc>
          <w:tcPr>
            <w:tcW w:w="3146"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65A97196" w14:textId="77777777" w:rsidR="00CA53C8" w:rsidRPr="00CA53C8" w:rsidRDefault="00CA53C8" w:rsidP="00CA53C8">
            <w:pPr>
              <w:rPr>
                <w:rFonts w:cs="Arial"/>
                <w:b/>
                <w:bCs/>
                <w:color w:val="000000"/>
                <w:sz w:val="20"/>
                <w:szCs w:val="20"/>
                <w:lang w:val="en-US" w:eastAsia="en-US"/>
              </w:rPr>
            </w:pPr>
            <w:r w:rsidRPr="00CA53C8">
              <w:rPr>
                <w:rFonts w:cs="Arial"/>
                <w:b/>
                <w:bCs/>
                <w:color w:val="000000"/>
                <w:sz w:val="20"/>
                <w:szCs w:val="20"/>
                <w:lang w:val="en-US" w:eastAsia="en-US"/>
              </w:rPr>
              <w:t>Description</w:t>
            </w:r>
          </w:p>
        </w:tc>
        <w:tc>
          <w:tcPr>
            <w:tcW w:w="1020" w:type="dxa"/>
            <w:tcBorders>
              <w:top w:val="single" w:sz="8" w:space="0" w:color="auto"/>
              <w:left w:val="nil"/>
              <w:bottom w:val="single" w:sz="4" w:space="0" w:color="auto"/>
              <w:right w:val="single" w:sz="4" w:space="0" w:color="auto"/>
            </w:tcBorders>
            <w:shd w:val="clear" w:color="auto" w:fill="auto"/>
            <w:noWrap/>
            <w:vAlign w:val="center"/>
            <w:hideMark/>
          </w:tcPr>
          <w:p w14:paraId="30776C7F" w14:textId="77777777" w:rsidR="00CA53C8" w:rsidRPr="00CA53C8" w:rsidRDefault="00CA53C8" w:rsidP="00CA53C8">
            <w:pPr>
              <w:jc w:val="center"/>
              <w:rPr>
                <w:rFonts w:cs="Arial"/>
                <w:b/>
                <w:bCs/>
                <w:color w:val="000000"/>
                <w:sz w:val="20"/>
                <w:szCs w:val="20"/>
                <w:lang w:val="en-US" w:eastAsia="en-US"/>
              </w:rPr>
            </w:pPr>
            <w:r w:rsidRPr="00CA53C8">
              <w:rPr>
                <w:rFonts w:cs="Arial"/>
                <w:b/>
                <w:bCs/>
                <w:color w:val="000000"/>
                <w:sz w:val="20"/>
                <w:szCs w:val="20"/>
                <w:lang w:val="en-US" w:eastAsia="en-US"/>
              </w:rPr>
              <w:t>Method</w:t>
            </w:r>
          </w:p>
        </w:tc>
        <w:tc>
          <w:tcPr>
            <w:tcW w:w="1160" w:type="dxa"/>
            <w:tcBorders>
              <w:top w:val="single" w:sz="8" w:space="0" w:color="auto"/>
              <w:left w:val="nil"/>
              <w:bottom w:val="single" w:sz="4" w:space="0" w:color="auto"/>
              <w:right w:val="single" w:sz="4" w:space="0" w:color="auto"/>
            </w:tcBorders>
            <w:shd w:val="clear" w:color="auto" w:fill="auto"/>
            <w:vAlign w:val="center"/>
            <w:hideMark/>
          </w:tcPr>
          <w:p w14:paraId="708A1847" w14:textId="77777777" w:rsidR="00CA53C8" w:rsidRPr="00CA53C8" w:rsidRDefault="00CA53C8" w:rsidP="00CA53C8">
            <w:pPr>
              <w:jc w:val="center"/>
              <w:rPr>
                <w:rFonts w:cs="Arial"/>
                <w:b/>
                <w:bCs/>
                <w:color w:val="000000"/>
                <w:sz w:val="20"/>
                <w:szCs w:val="20"/>
                <w:lang w:val="en-US" w:eastAsia="en-US"/>
              </w:rPr>
            </w:pPr>
            <w:r w:rsidRPr="00CA53C8">
              <w:rPr>
                <w:rFonts w:cs="Arial"/>
                <w:b/>
                <w:bCs/>
                <w:color w:val="000000"/>
                <w:sz w:val="20"/>
                <w:szCs w:val="20"/>
                <w:lang w:val="en-US" w:eastAsia="en-US"/>
              </w:rPr>
              <w:t>current (2016)</w:t>
            </w:r>
          </w:p>
        </w:tc>
        <w:tc>
          <w:tcPr>
            <w:tcW w:w="1066" w:type="dxa"/>
            <w:tcBorders>
              <w:top w:val="single" w:sz="8" w:space="0" w:color="auto"/>
              <w:left w:val="nil"/>
              <w:bottom w:val="single" w:sz="4" w:space="0" w:color="auto"/>
              <w:right w:val="single" w:sz="4" w:space="0" w:color="auto"/>
            </w:tcBorders>
            <w:shd w:val="clear" w:color="auto" w:fill="auto"/>
            <w:vAlign w:val="center"/>
            <w:hideMark/>
          </w:tcPr>
          <w:p w14:paraId="7CD25B51" w14:textId="77777777" w:rsidR="00CA53C8" w:rsidRPr="00CA53C8" w:rsidRDefault="00CA53C8" w:rsidP="00CA53C8">
            <w:pPr>
              <w:jc w:val="center"/>
              <w:rPr>
                <w:rFonts w:cs="Arial"/>
                <w:b/>
                <w:bCs/>
                <w:color w:val="000000"/>
                <w:sz w:val="20"/>
                <w:szCs w:val="20"/>
                <w:lang w:val="en-US" w:eastAsia="en-US"/>
              </w:rPr>
            </w:pPr>
            <w:r w:rsidRPr="00CA53C8">
              <w:rPr>
                <w:rFonts w:cs="Arial"/>
                <w:b/>
                <w:bCs/>
                <w:color w:val="000000"/>
                <w:sz w:val="20"/>
                <w:szCs w:val="20"/>
                <w:lang w:val="en-US" w:eastAsia="en-US"/>
              </w:rPr>
              <w:t>2017</w:t>
            </w:r>
          </w:p>
        </w:tc>
        <w:tc>
          <w:tcPr>
            <w:tcW w:w="1017" w:type="dxa"/>
            <w:tcBorders>
              <w:top w:val="single" w:sz="8" w:space="0" w:color="auto"/>
              <w:left w:val="nil"/>
              <w:bottom w:val="single" w:sz="4" w:space="0" w:color="auto"/>
              <w:right w:val="single" w:sz="4" w:space="0" w:color="auto"/>
            </w:tcBorders>
            <w:shd w:val="clear" w:color="auto" w:fill="auto"/>
            <w:vAlign w:val="center"/>
            <w:hideMark/>
          </w:tcPr>
          <w:p w14:paraId="2D063879" w14:textId="77777777" w:rsidR="00CA53C8" w:rsidRPr="00CA53C8" w:rsidRDefault="00CA53C8" w:rsidP="00CA53C8">
            <w:pPr>
              <w:jc w:val="center"/>
              <w:rPr>
                <w:rFonts w:cs="Arial"/>
                <w:b/>
                <w:bCs/>
                <w:color w:val="000000"/>
                <w:sz w:val="20"/>
                <w:szCs w:val="20"/>
                <w:lang w:val="en-US" w:eastAsia="en-US"/>
              </w:rPr>
            </w:pPr>
            <w:r w:rsidRPr="00CA53C8">
              <w:rPr>
                <w:rFonts w:cs="Arial"/>
                <w:b/>
                <w:bCs/>
                <w:color w:val="000000"/>
                <w:sz w:val="20"/>
                <w:szCs w:val="20"/>
                <w:lang w:val="en-US" w:eastAsia="en-US"/>
              </w:rPr>
              <w:t>2018</w:t>
            </w:r>
          </w:p>
        </w:tc>
        <w:tc>
          <w:tcPr>
            <w:tcW w:w="1159" w:type="dxa"/>
            <w:tcBorders>
              <w:top w:val="single" w:sz="8" w:space="0" w:color="auto"/>
              <w:left w:val="nil"/>
              <w:bottom w:val="single" w:sz="4" w:space="0" w:color="auto"/>
              <w:right w:val="single" w:sz="4" w:space="0" w:color="auto"/>
            </w:tcBorders>
            <w:shd w:val="clear" w:color="auto" w:fill="auto"/>
            <w:vAlign w:val="center"/>
            <w:hideMark/>
          </w:tcPr>
          <w:p w14:paraId="62B15225" w14:textId="77777777" w:rsidR="00CA53C8" w:rsidRPr="00CA53C8" w:rsidRDefault="00CA53C8" w:rsidP="00CA53C8">
            <w:pPr>
              <w:jc w:val="center"/>
              <w:rPr>
                <w:rFonts w:cs="Arial"/>
                <w:b/>
                <w:bCs/>
                <w:color w:val="000000"/>
                <w:sz w:val="20"/>
                <w:szCs w:val="20"/>
                <w:lang w:val="en-US" w:eastAsia="en-US"/>
              </w:rPr>
            </w:pPr>
            <w:r w:rsidRPr="00CA53C8">
              <w:rPr>
                <w:rFonts w:cs="Arial"/>
                <w:b/>
                <w:bCs/>
                <w:color w:val="000000"/>
                <w:sz w:val="20"/>
                <w:szCs w:val="20"/>
                <w:lang w:val="en-US" w:eastAsia="en-US"/>
              </w:rPr>
              <w:t>2019</w:t>
            </w:r>
          </w:p>
        </w:tc>
        <w:tc>
          <w:tcPr>
            <w:tcW w:w="1017" w:type="dxa"/>
            <w:tcBorders>
              <w:top w:val="single" w:sz="8" w:space="0" w:color="auto"/>
              <w:left w:val="nil"/>
              <w:bottom w:val="single" w:sz="4" w:space="0" w:color="auto"/>
              <w:right w:val="single" w:sz="4" w:space="0" w:color="auto"/>
            </w:tcBorders>
            <w:shd w:val="clear" w:color="auto" w:fill="auto"/>
            <w:vAlign w:val="center"/>
            <w:hideMark/>
          </w:tcPr>
          <w:p w14:paraId="47A94DA0" w14:textId="77777777" w:rsidR="00CA53C8" w:rsidRPr="00CA53C8" w:rsidRDefault="00CA53C8" w:rsidP="00CA53C8">
            <w:pPr>
              <w:jc w:val="center"/>
              <w:rPr>
                <w:rFonts w:cs="Arial"/>
                <w:b/>
                <w:bCs/>
                <w:color w:val="000000"/>
                <w:sz w:val="20"/>
                <w:szCs w:val="20"/>
                <w:lang w:val="en-US" w:eastAsia="en-US"/>
              </w:rPr>
            </w:pPr>
            <w:r w:rsidRPr="00CA53C8">
              <w:rPr>
                <w:rFonts w:cs="Arial"/>
                <w:b/>
                <w:bCs/>
                <w:color w:val="000000"/>
                <w:sz w:val="20"/>
                <w:szCs w:val="20"/>
                <w:lang w:val="en-US" w:eastAsia="en-US"/>
              </w:rPr>
              <w:t>2020</w:t>
            </w:r>
          </w:p>
        </w:tc>
        <w:tc>
          <w:tcPr>
            <w:tcW w:w="1006" w:type="dxa"/>
            <w:tcBorders>
              <w:top w:val="single" w:sz="8" w:space="0" w:color="auto"/>
              <w:left w:val="nil"/>
              <w:bottom w:val="single" w:sz="4" w:space="0" w:color="auto"/>
              <w:right w:val="single" w:sz="8" w:space="0" w:color="auto"/>
            </w:tcBorders>
            <w:shd w:val="clear" w:color="auto" w:fill="auto"/>
            <w:vAlign w:val="center"/>
            <w:hideMark/>
          </w:tcPr>
          <w:p w14:paraId="4513DA73" w14:textId="77777777" w:rsidR="00CA53C8" w:rsidRPr="00CA53C8" w:rsidRDefault="00CA53C8" w:rsidP="00CA53C8">
            <w:pPr>
              <w:jc w:val="center"/>
              <w:rPr>
                <w:rFonts w:cs="Arial"/>
                <w:b/>
                <w:bCs/>
                <w:color w:val="000000"/>
                <w:sz w:val="20"/>
                <w:szCs w:val="20"/>
                <w:lang w:val="en-US" w:eastAsia="en-US"/>
              </w:rPr>
            </w:pPr>
            <w:r w:rsidRPr="00CA53C8">
              <w:rPr>
                <w:rFonts w:cs="Arial"/>
                <w:b/>
                <w:bCs/>
                <w:color w:val="000000"/>
                <w:sz w:val="20"/>
                <w:szCs w:val="20"/>
                <w:lang w:val="en-US" w:eastAsia="en-US"/>
              </w:rPr>
              <w:t>2021</w:t>
            </w:r>
          </w:p>
        </w:tc>
      </w:tr>
      <w:tr w:rsidR="00CA53C8" w:rsidRPr="00CA53C8" w14:paraId="1979A929" w14:textId="77777777" w:rsidTr="00BF0EEF">
        <w:trPr>
          <w:trHeight w:val="465"/>
          <w:jc w:val="center"/>
        </w:trPr>
        <w:tc>
          <w:tcPr>
            <w:tcW w:w="3146" w:type="dxa"/>
            <w:tcBorders>
              <w:top w:val="nil"/>
              <w:left w:val="single" w:sz="4" w:space="0" w:color="auto"/>
              <w:bottom w:val="single" w:sz="4" w:space="0" w:color="auto"/>
              <w:right w:val="single" w:sz="4" w:space="0" w:color="auto"/>
            </w:tcBorders>
            <w:shd w:val="clear" w:color="auto" w:fill="auto"/>
            <w:vAlign w:val="center"/>
            <w:hideMark/>
          </w:tcPr>
          <w:p w14:paraId="797E4A20" w14:textId="77777777" w:rsidR="00CA53C8" w:rsidRPr="00CA53C8" w:rsidRDefault="00CA53C8" w:rsidP="00CA53C8">
            <w:pPr>
              <w:rPr>
                <w:rFonts w:cs="Arial"/>
                <w:color w:val="000000"/>
                <w:sz w:val="18"/>
                <w:szCs w:val="18"/>
                <w:lang w:val="en-US" w:eastAsia="en-US"/>
              </w:rPr>
            </w:pPr>
            <w:r w:rsidRPr="00CA53C8">
              <w:rPr>
                <w:rFonts w:cs="Arial"/>
                <w:color w:val="000000"/>
                <w:sz w:val="18"/>
                <w:szCs w:val="18"/>
                <w:lang w:val="en-US" w:eastAsia="en-US"/>
              </w:rPr>
              <w:t>Australian population</w:t>
            </w:r>
          </w:p>
        </w:tc>
        <w:tc>
          <w:tcPr>
            <w:tcW w:w="1020" w:type="dxa"/>
            <w:tcBorders>
              <w:top w:val="nil"/>
              <w:left w:val="nil"/>
              <w:bottom w:val="single" w:sz="4" w:space="0" w:color="auto"/>
              <w:right w:val="single" w:sz="4" w:space="0" w:color="auto"/>
            </w:tcBorders>
            <w:shd w:val="clear" w:color="auto" w:fill="auto"/>
            <w:noWrap/>
            <w:vAlign w:val="center"/>
            <w:hideMark/>
          </w:tcPr>
          <w:p w14:paraId="7CEE98EB" w14:textId="77777777" w:rsidR="00CA53C8" w:rsidRPr="00CA53C8" w:rsidRDefault="00CA53C8" w:rsidP="00CA53C8">
            <w:pPr>
              <w:jc w:val="center"/>
              <w:rPr>
                <w:rFonts w:cs="Arial"/>
                <w:color w:val="000000"/>
                <w:sz w:val="18"/>
                <w:szCs w:val="18"/>
                <w:lang w:val="en-US" w:eastAsia="en-US"/>
              </w:rPr>
            </w:pPr>
            <w:r w:rsidRPr="00CA53C8">
              <w:rPr>
                <w:rFonts w:cs="Arial"/>
                <w:color w:val="000000"/>
                <w:sz w:val="18"/>
                <w:szCs w:val="18"/>
                <w:lang w:val="en-US" w:eastAsia="en-US"/>
              </w:rPr>
              <w:t>ABS</w:t>
            </w:r>
          </w:p>
        </w:tc>
        <w:tc>
          <w:tcPr>
            <w:tcW w:w="1160" w:type="dxa"/>
            <w:tcBorders>
              <w:top w:val="nil"/>
              <w:left w:val="nil"/>
              <w:bottom w:val="single" w:sz="4" w:space="0" w:color="auto"/>
              <w:right w:val="single" w:sz="4" w:space="0" w:color="auto"/>
            </w:tcBorders>
            <w:shd w:val="clear" w:color="auto" w:fill="auto"/>
            <w:noWrap/>
            <w:vAlign w:val="center"/>
            <w:hideMark/>
          </w:tcPr>
          <w:p w14:paraId="686D73C4" w14:textId="77777777" w:rsidR="00CA53C8" w:rsidRPr="00CA53C8" w:rsidRDefault="00CA53C8" w:rsidP="00CA53C8">
            <w:pPr>
              <w:jc w:val="center"/>
              <w:rPr>
                <w:rFonts w:cs="Arial"/>
                <w:color w:val="000000"/>
                <w:sz w:val="18"/>
                <w:szCs w:val="18"/>
                <w:lang w:val="en-US" w:eastAsia="en-US"/>
              </w:rPr>
            </w:pPr>
            <w:r w:rsidRPr="00CA53C8">
              <w:rPr>
                <w:rFonts w:cs="Arial"/>
                <w:color w:val="000000"/>
                <w:sz w:val="18"/>
                <w:szCs w:val="18"/>
                <w:lang w:val="en-US" w:eastAsia="en-US"/>
              </w:rPr>
              <w:t>24359761</w:t>
            </w:r>
          </w:p>
        </w:tc>
        <w:tc>
          <w:tcPr>
            <w:tcW w:w="1066" w:type="dxa"/>
            <w:tcBorders>
              <w:top w:val="nil"/>
              <w:left w:val="nil"/>
              <w:bottom w:val="single" w:sz="4" w:space="0" w:color="auto"/>
              <w:right w:val="single" w:sz="4" w:space="0" w:color="auto"/>
            </w:tcBorders>
            <w:shd w:val="clear" w:color="auto" w:fill="auto"/>
            <w:noWrap/>
            <w:vAlign w:val="center"/>
            <w:hideMark/>
          </w:tcPr>
          <w:p w14:paraId="49FF24E8" w14:textId="77777777" w:rsidR="00CA53C8" w:rsidRPr="00CA53C8" w:rsidRDefault="00CA53C8" w:rsidP="00CA53C8">
            <w:pPr>
              <w:jc w:val="center"/>
              <w:rPr>
                <w:rFonts w:cs="Arial"/>
                <w:color w:val="000000"/>
                <w:sz w:val="18"/>
                <w:szCs w:val="18"/>
                <w:lang w:val="en-US" w:eastAsia="en-US"/>
              </w:rPr>
            </w:pPr>
            <w:r w:rsidRPr="00CA53C8">
              <w:rPr>
                <w:rFonts w:cs="Arial"/>
                <w:color w:val="000000"/>
                <w:sz w:val="18"/>
                <w:szCs w:val="18"/>
                <w:lang w:val="en-US" w:eastAsia="en-US"/>
              </w:rPr>
              <w:t>24781121</w:t>
            </w:r>
          </w:p>
        </w:tc>
        <w:tc>
          <w:tcPr>
            <w:tcW w:w="1017" w:type="dxa"/>
            <w:tcBorders>
              <w:top w:val="nil"/>
              <w:left w:val="nil"/>
              <w:bottom w:val="single" w:sz="4" w:space="0" w:color="auto"/>
              <w:right w:val="single" w:sz="4" w:space="0" w:color="auto"/>
            </w:tcBorders>
            <w:shd w:val="clear" w:color="auto" w:fill="auto"/>
            <w:noWrap/>
            <w:vAlign w:val="center"/>
            <w:hideMark/>
          </w:tcPr>
          <w:p w14:paraId="5C37B80A" w14:textId="77777777" w:rsidR="00CA53C8" w:rsidRPr="00CA53C8" w:rsidRDefault="00CA53C8" w:rsidP="00CA53C8">
            <w:pPr>
              <w:jc w:val="center"/>
              <w:rPr>
                <w:rFonts w:cs="Arial"/>
                <w:color w:val="000000"/>
                <w:sz w:val="18"/>
                <w:szCs w:val="18"/>
                <w:lang w:val="en-US" w:eastAsia="en-US"/>
              </w:rPr>
            </w:pPr>
            <w:r w:rsidRPr="00CA53C8">
              <w:rPr>
                <w:rFonts w:cs="Arial"/>
                <w:color w:val="000000"/>
                <w:sz w:val="18"/>
                <w:szCs w:val="18"/>
                <w:lang w:val="en-US" w:eastAsia="en-US"/>
              </w:rPr>
              <w:t>25201317</w:t>
            </w:r>
          </w:p>
        </w:tc>
        <w:tc>
          <w:tcPr>
            <w:tcW w:w="1159" w:type="dxa"/>
            <w:tcBorders>
              <w:top w:val="nil"/>
              <w:left w:val="nil"/>
              <w:bottom w:val="single" w:sz="4" w:space="0" w:color="auto"/>
              <w:right w:val="single" w:sz="4" w:space="0" w:color="auto"/>
            </w:tcBorders>
            <w:shd w:val="clear" w:color="auto" w:fill="auto"/>
            <w:noWrap/>
            <w:vAlign w:val="center"/>
            <w:hideMark/>
          </w:tcPr>
          <w:p w14:paraId="609C36B7" w14:textId="77777777" w:rsidR="00CA53C8" w:rsidRPr="00CA53C8" w:rsidRDefault="00CA53C8" w:rsidP="00CA53C8">
            <w:pPr>
              <w:jc w:val="center"/>
              <w:rPr>
                <w:rFonts w:cs="Arial"/>
                <w:color w:val="000000"/>
                <w:sz w:val="18"/>
                <w:szCs w:val="18"/>
                <w:lang w:val="en-US" w:eastAsia="en-US"/>
              </w:rPr>
            </w:pPr>
            <w:r w:rsidRPr="00CA53C8">
              <w:rPr>
                <w:rFonts w:cs="Arial"/>
                <w:color w:val="000000"/>
                <w:sz w:val="18"/>
                <w:szCs w:val="18"/>
                <w:lang w:val="en-US" w:eastAsia="en-US"/>
              </w:rPr>
              <w:t>25619895</w:t>
            </w:r>
          </w:p>
        </w:tc>
        <w:tc>
          <w:tcPr>
            <w:tcW w:w="1017" w:type="dxa"/>
            <w:tcBorders>
              <w:top w:val="nil"/>
              <w:left w:val="nil"/>
              <w:bottom w:val="single" w:sz="4" w:space="0" w:color="auto"/>
              <w:right w:val="single" w:sz="4" w:space="0" w:color="auto"/>
            </w:tcBorders>
            <w:shd w:val="clear" w:color="auto" w:fill="auto"/>
            <w:noWrap/>
            <w:vAlign w:val="center"/>
            <w:hideMark/>
          </w:tcPr>
          <w:p w14:paraId="63EBF793" w14:textId="77777777" w:rsidR="00CA53C8" w:rsidRPr="00CA53C8" w:rsidRDefault="00CA53C8" w:rsidP="00CA53C8">
            <w:pPr>
              <w:jc w:val="center"/>
              <w:rPr>
                <w:rFonts w:cs="Arial"/>
                <w:color w:val="000000"/>
                <w:sz w:val="18"/>
                <w:szCs w:val="18"/>
                <w:lang w:val="en-US" w:eastAsia="en-US"/>
              </w:rPr>
            </w:pPr>
            <w:r w:rsidRPr="00CA53C8">
              <w:rPr>
                <w:rFonts w:cs="Arial"/>
                <w:color w:val="000000"/>
                <w:sz w:val="18"/>
                <w:szCs w:val="18"/>
                <w:lang w:val="en-US" w:eastAsia="en-US"/>
              </w:rPr>
              <w:t>26037356</w:t>
            </w:r>
          </w:p>
        </w:tc>
        <w:tc>
          <w:tcPr>
            <w:tcW w:w="1006" w:type="dxa"/>
            <w:tcBorders>
              <w:top w:val="nil"/>
              <w:left w:val="nil"/>
              <w:bottom w:val="single" w:sz="4" w:space="0" w:color="auto"/>
              <w:right w:val="single" w:sz="8" w:space="0" w:color="auto"/>
            </w:tcBorders>
            <w:shd w:val="clear" w:color="auto" w:fill="auto"/>
            <w:noWrap/>
            <w:vAlign w:val="center"/>
            <w:hideMark/>
          </w:tcPr>
          <w:p w14:paraId="6E85AE39" w14:textId="77777777" w:rsidR="00CA53C8" w:rsidRPr="00CA53C8" w:rsidRDefault="00CA53C8" w:rsidP="00CA53C8">
            <w:pPr>
              <w:jc w:val="center"/>
              <w:rPr>
                <w:rFonts w:cs="Arial"/>
                <w:color w:val="000000"/>
                <w:sz w:val="18"/>
                <w:szCs w:val="18"/>
                <w:lang w:val="en-US" w:eastAsia="en-US"/>
              </w:rPr>
            </w:pPr>
            <w:r w:rsidRPr="00CA53C8">
              <w:rPr>
                <w:rFonts w:cs="Arial"/>
                <w:color w:val="000000"/>
                <w:sz w:val="18"/>
                <w:szCs w:val="18"/>
                <w:lang w:val="en-US" w:eastAsia="en-US"/>
              </w:rPr>
              <w:t>26479991</w:t>
            </w:r>
          </w:p>
        </w:tc>
      </w:tr>
      <w:tr w:rsidR="00CA53C8" w:rsidRPr="00CA53C8" w14:paraId="5BB2ABBD" w14:textId="77777777" w:rsidTr="00BF0EEF">
        <w:trPr>
          <w:trHeight w:val="405"/>
          <w:jc w:val="center"/>
        </w:trPr>
        <w:tc>
          <w:tcPr>
            <w:tcW w:w="3146" w:type="dxa"/>
            <w:tcBorders>
              <w:top w:val="nil"/>
              <w:left w:val="single" w:sz="4" w:space="0" w:color="auto"/>
              <w:bottom w:val="single" w:sz="4" w:space="0" w:color="auto"/>
              <w:right w:val="single" w:sz="4" w:space="0" w:color="auto"/>
            </w:tcBorders>
            <w:shd w:val="clear" w:color="auto" w:fill="auto"/>
            <w:vAlign w:val="center"/>
            <w:hideMark/>
          </w:tcPr>
          <w:p w14:paraId="6B5B454F" w14:textId="77777777" w:rsidR="00CA53C8" w:rsidRPr="00CA53C8" w:rsidRDefault="00CA53C8" w:rsidP="00CA53C8">
            <w:pPr>
              <w:rPr>
                <w:rFonts w:cs="Arial"/>
                <w:color w:val="000000"/>
                <w:sz w:val="18"/>
                <w:szCs w:val="18"/>
                <w:lang w:val="en-US" w:eastAsia="en-US"/>
              </w:rPr>
            </w:pPr>
            <w:r w:rsidRPr="00CA53C8">
              <w:rPr>
                <w:rFonts w:cs="Arial"/>
                <w:color w:val="000000"/>
                <w:sz w:val="18"/>
                <w:szCs w:val="18"/>
                <w:lang w:val="en-US" w:eastAsia="en-US"/>
              </w:rPr>
              <w:t>Number of Australian adults</w:t>
            </w:r>
          </w:p>
        </w:tc>
        <w:tc>
          <w:tcPr>
            <w:tcW w:w="1020" w:type="dxa"/>
            <w:tcBorders>
              <w:top w:val="nil"/>
              <w:left w:val="nil"/>
              <w:bottom w:val="single" w:sz="4" w:space="0" w:color="auto"/>
              <w:right w:val="single" w:sz="4" w:space="0" w:color="auto"/>
            </w:tcBorders>
            <w:shd w:val="clear" w:color="auto" w:fill="auto"/>
            <w:noWrap/>
            <w:vAlign w:val="center"/>
            <w:hideMark/>
          </w:tcPr>
          <w:p w14:paraId="277EE97A" w14:textId="77777777" w:rsidR="00CA53C8" w:rsidRPr="00CA53C8" w:rsidRDefault="00CA53C8" w:rsidP="00CA53C8">
            <w:pPr>
              <w:jc w:val="center"/>
              <w:rPr>
                <w:rFonts w:cs="Arial"/>
                <w:color w:val="000000"/>
                <w:sz w:val="18"/>
                <w:szCs w:val="18"/>
                <w:lang w:val="en-US" w:eastAsia="en-US"/>
              </w:rPr>
            </w:pPr>
            <w:r w:rsidRPr="00CA53C8">
              <w:rPr>
                <w:rFonts w:cs="Arial"/>
                <w:color w:val="000000"/>
                <w:sz w:val="18"/>
                <w:szCs w:val="18"/>
                <w:lang w:val="en-US" w:eastAsia="en-US"/>
              </w:rPr>
              <w:t>ABS</w:t>
            </w:r>
          </w:p>
        </w:tc>
        <w:tc>
          <w:tcPr>
            <w:tcW w:w="1160" w:type="dxa"/>
            <w:tcBorders>
              <w:top w:val="nil"/>
              <w:left w:val="nil"/>
              <w:bottom w:val="single" w:sz="4" w:space="0" w:color="auto"/>
              <w:right w:val="single" w:sz="4" w:space="0" w:color="auto"/>
            </w:tcBorders>
            <w:shd w:val="clear" w:color="auto" w:fill="auto"/>
            <w:noWrap/>
            <w:vAlign w:val="center"/>
            <w:hideMark/>
          </w:tcPr>
          <w:p w14:paraId="4ACFB7E0" w14:textId="77777777" w:rsidR="00CA53C8" w:rsidRPr="00CA53C8" w:rsidRDefault="00CA53C8" w:rsidP="00CA53C8">
            <w:pPr>
              <w:jc w:val="center"/>
              <w:rPr>
                <w:rFonts w:cs="Arial"/>
                <w:color w:val="000000"/>
                <w:sz w:val="18"/>
                <w:szCs w:val="18"/>
                <w:lang w:val="en-US" w:eastAsia="en-US"/>
              </w:rPr>
            </w:pPr>
            <w:r w:rsidRPr="00CA53C8">
              <w:rPr>
                <w:rFonts w:cs="Arial"/>
                <w:color w:val="000000"/>
                <w:sz w:val="18"/>
                <w:szCs w:val="18"/>
                <w:lang w:val="en-US" w:eastAsia="en-US"/>
              </w:rPr>
              <w:t>18871777</w:t>
            </w:r>
          </w:p>
        </w:tc>
        <w:tc>
          <w:tcPr>
            <w:tcW w:w="1066" w:type="dxa"/>
            <w:tcBorders>
              <w:top w:val="nil"/>
              <w:left w:val="nil"/>
              <w:bottom w:val="single" w:sz="4" w:space="0" w:color="auto"/>
              <w:right w:val="single" w:sz="4" w:space="0" w:color="auto"/>
            </w:tcBorders>
            <w:shd w:val="clear" w:color="auto" w:fill="auto"/>
            <w:noWrap/>
            <w:vAlign w:val="center"/>
            <w:hideMark/>
          </w:tcPr>
          <w:p w14:paraId="1DCDDBF4" w14:textId="77777777" w:rsidR="00CA53C8" w:rsidRPr="00CA53C8" w:rsidRDefault="00CA53C8" w:rsidP="00CA53C8">
            <w:pPr>
              <w:jc w:val="center"/>
              <w:rPr>
                <w:rFonts w:cs="Arial"/>
                <w:color w:val="000000"/>
                <w:sz w:val="18"/>
                <w:szCs w:val="18"/>
                <w:lang w:val="en-US" w:eastAsia="en-US"/>
              </w:rPr>
            </w:pPr>
            <w:r w:rsidRPr="00CA53C8">
              <w:rPr>
                <w:rFonts w:cs="Arial"/>
                <w:color w:val="000000"/>
                <w:sz w:val="18"/>
                <w:szCs w:val="18"/>
                <w:lang w:val="en-US" w:eastAsia="en-US"/>
              </w:rPr>
              <w:t>19201809</w:t>
            </w:r>
          </w:p>
        </w:tc>
        <w:tc>
          <w:tcPr>
            <w:tcW w:w="1017" w:type="dxa"/>
            <w:tcBorders>
              <w:top w:val="nil"/>
              <w:left w:val="nil"/>
              <w:bottom w:val="single" w:sz="4" w:space="0" w:color="auto"/>
              <w:right w:val="single" w:sz="4" w:space="0" w:color="auto"/>
            </w:tcBorders>
            <w:shd w:val="clear" w:color="auto" w:fill="auto"/>
            <w:noWrap/>
            <w:vAlign w:val="center"/>
            <w:hideMark/>
          </w:tcPr>
          <w:p w14:paraId="7D7BCF5E" w14:textId="77777777" w:rsidR="00CA53C8" w:rsidRPr="00CA53C8" w:rsidRDefault="00CA53C8" w:rsidP="00CA53C8">
            <w:pPr>
              <w:jc w:val="center"/>
              <w:rPr>
                <w:rFonts w:cs="Arial"/>
                <w:color w:val="000000"/>
                <w:sz w:val="18"/>
                <w:szCs w:val="18"/>
                <w:lang w:val="en-US" w:eastAsia="en-US"/>
              </w:rPr>
            </w:pPr>
            <w:r w:rsidRPr="00CA53C8">
              <w:rPr>
                <w:rFonts w:cs="Arial"/>
                <w:color w:val="000000"/>
                <w:sz w:val="18"/>
                <w:szCs w:val="18"/>
                <w:lang w:val="en-US" w:eastAsia="en-US"/>
              </w:rPr>
              <w:t>19529153</w:t>
            </w:r>
          </w:p>
        </w:tc>
        <w:tc>
          <w:tcPr>
            <w:tcW w:w="1159" w:type="dxa"/>
            <w:tcBorders>
              <w:top w:val="nil"/>
              <w:left w:val="nil"/>
              <w:bottom w:val="single" w:sz="4" w:space="0" w:color="auto"/>
              <w:right w:val="single" w:sz="4" w:space="0" w:color="auto"/>
            </w:tcBorders>
            <w:shd w:val="clear" w:color="auto" w:fill="auto"/>
            <w:noWrap/>
            <w:vAlign w:val="center"/>
            <w:hideMark/>
          </w:tcPr>
          <w:p w14:paraId="11CF3E0A" w14:textId="77777777" w:rsidR="00CA53C8" w:rsidRPr="00CA53C8" w:rsidRDefault="00CA53C8" w:rsidP="00CA53C8">
            <w:pPr>
              <w:jc w:val="center"/>
              <w:rPr>
                <w:rFonts w:cs="Arial"/>
                <w:color w:val="000000"/>
                <w:sz w:val="18"/>
                <w:szCs w:val="18"/>
                <w:lang w:val="en-US" w:eastAsia="en-US"/>
              </w:rPr>
            </w:pPr>
            <w:r w:rsidRPr="00CA53C8">
              <w:rPr>
                <w:rFonts w:cs="Arial"/>
                <w:color w:val="000000"/>
                <w:sz w:val="18"/>
                <w:szCs w:val="18"/>
                <w:lang w:val="en-US" w:eastAsia="en-US"/>
              </w:rPr>
              <w:t>19853831</w:t>
            </w:r>
          </w:p>
        </w:tc>
        <w:tc>
          <w:tcPr>
            <w:tcW w:w="1017" w:type="dxa"/>
            <w:tcBorders>
              <w:top w:val="nil"/>
              <w:left w:val="nil"/>
              <w:bottom w:val="single" w:sz="4" w:space="0" w:color="auto"/>
              <w:right w:val="single" w:sz="4" w:space="0" w:color="auto"/>
            </w:tcBorders>
            <w:shd w:val="clear" w:color="auto" w:fill="auto"/>
            <w:noWrap/>
            <w:vAlign w:val="center"/>
            <w:hideMark/>
          </w:tcPr>
          <w:p w14:paraId="568BC6E5" w14:textId="77777777" w:rsidR="00CA53C8" w:rsidRPr="00CA53C8" w:rsidRDefault="00CA53C8" w:rsidP="00CA53C8">
            <w:pPr>
              <w:jc w:val="center"/>
              <w:rPr>
                <w:rFonts w:cs="Arial"/>
                <w:color w:val="000000"/>
                <w:sz w:val="18"/>
                <w:szCs w:val="18"/>
                <w:lang w:val="en-US" w:eastAsia="en-US"/>
              </w:rPr>
            </w:pPr>
            <w:r w:rsidRPr="00CA53C8">
              <w:rPr>
                <w:rFonts w:cs="Arial"/>
                <w:color w:val="000000"/>
                <w:sz w:val="18"/>
                <w:szCs w:val="18"/>
                <w:lang w:val="en-US" w:eastAsia="en-US"/>
              </w:rPr>
              <w:t>20173593</w:t>
            </w:r>
          </w:p>
        </w:tc>
        <w:tc>
          <w:tcPr>
            <w:tcW w:w="1006" w:type="dxa"/>
            <w:tcBorders>
              <w:top w:val="nil"/>
              <w:left w:val="nil"/>
              <w:bottom w:val="single" w:sz="4" w:space="0" w:color="auto"/>
              <w:right w:val="single" w:sz="8" w:space="0" w:color="auto"/>
            </w:tcBorders>
            <w:shd w:val="clear" w:color="auto" w:fill="auto"/>
            <w:noWrap/>
            <w:vAlign w:val="center"/>
            <w:hideMark/>
          </w:tcPr>
          <w:p w14:paraId="4B5A210C" w14:textId="77777777" w:rsidR="00CA53C8" w:rsidRPr="00CA53C8" w:rsidRDefault="00CA53C8" w:rsidP="00CA53C8">
            <w:pPr>
              <w:jc w:val="center"/>
              <w:rPr>
                <w:rFonts w:cs="Arial"/>
                <w:color w:val="000000"/>
                <w:sz w:val="18"/>
                <w:szCs w:val="18"/>
                <w:lang w:val="en-US" w:eastAsia="en-US"/>
              </w:rPr>
            </w:pPr>
            <w:r w:rsidRPr="00CA53C8">
              <w:rPr>
                <w:rFonts w:cs="Arial"/>
                <w:color w:val="000000"/>
                <w:sz w:val="18"/>
                <w:szCs w:val="18"/>
                <w:lang w:val="en-US" w:eastAsia="en-US"/>
              </w:rPr>
              <w:t>20516544</w:t>
            </w:r>
          </w:p>
        </w:tc>
      </w:tr>
      <w:tr w:rsidR="00CA53C8" w:rsidRPr="00CA53C8" w14:paraId="3CA51AEE" w14:textId="77777777" w:rsidTr="00BF0EEF">
        <w:trPr>
          <w:trHeight w:val="825"/>
          <w:jc w:val="center"/>
        </w:trPr>
        <w:tc>
          <w:tcPr>
            <w:tcW w:w="3146" w:type="dxa"/>
            <w:tcBorders>
              <w:top w:val="nil"/>
              <w:left w:val="single" w:sz="4" w:space="0" w:color="auto"/>
              <w:bottom w:val="single" w:sz="4" w:space="0" w:color="auto"/>
              <w:right w:val="single" w:sz="4" w:space="0" w:color="auto"/>
            </w:tcBorders>
            <w:shd w:val="clear" w:color="auto" w:fill="auto"/>
            <w:vAlign w:val="center"/>
            <w:hideMark/>
          </w:tcPr>
          <w:p w14:paraId="70735E74" w14:textId="77777777" w:rsidR="00CA53C8" w:rsidRPr="00CA53C8" w:rsidRDefault="00CA53C8" w:rsidP="00CA53C8">
            <w:pPr>
              <w:rPr>
                <w:rFonts w:cs="Arial"/>
                <w:color w:val="000000"/>
                <w:sz w:val="18"/>
                <w:szCs w:val="18"/>
                <w:lang w:val="en-US" w:eastAsia="en-US"/>
              </w:rPr>
            </w:pPr>
            <w:r w:rsidRPr="00CA53C8">
              <w:rPr>
                <w:rFonts w:cs="Arial"/>
                <w:color w:val="000000"/>
                <w:sz w:val="18"/>
                <w:szCs w:val="18"/>
                <w:lang w:val="en-US" w:eastAsia="en-US"/>
              </w:rPr>
              <w:t>Prevalence of SNHL in the adult population (%)</w:t>
            </w:r>
          </w:p>
        </w:tc>
        <w:tc>
          <w:tcPr>
            <w:tcW w:w="1020" w:type="dxa"/>
            <w:tcBorders>
              <w:top w:val="nil"/>
              <w:left w:val="nil"/>
              <w:bottom w:val="single" w:sz="4" w:space="0" w:color="auto"/>
              <w:right w:val="single" w:sz="4" w:space="0" w:color="auto"/>
            </w:tcBorders>
            <w:shd w:val="clear" w:color="auto" w:fill="auto"/>
            <w:vAlign w:val="center"/>
            <w:hideMark/>
          </w:tcPr>
          <w:p w14:paraId="14FB7E75" w14:textId="77777777" w:rsidR="00CA53C8" w:rsidRPr="00CA53C8" w:rsidRDefault="00CA53C8" w:rsidP="00CA53C8">
            <w:pPr>
              <w:jc w:val="center"/>
              <w:rPr>
                <w:rFonts w:cs="Arial"/>
                <w:color w:val="000000"/>
                <w:sz w:val="18"/>
                <w:szCs w:val="18"/>
                <w:lang w:val="en-US" w:eastAsia="en-US"/>
              </w:rPr>
            </w:pPr>
            <w:r w:rsidRPr="00CA53C8">
              <w:rPr>
                <w:rFonts w:cs="Arial"/>
                <w:color w:val="000000"/>
                <w:sz w:val="18"/>
                <w:szCs w:val="18"/>
                <w:lang w:val="en-US" w:eastAsia="en-US"/>
              </w:rPr>
              <w:t>Wilson et al., (1999)</w:t>
            </w:r>
          </w:p>
        </w:tc>
        <w:tc>
          <w:tcPr>
            <w:tcW w:w="1160" w:type="dxa"/>
            <w:tcBorders>
              <w:top w:val="nil"/>
              <w:left w:val="nil"/>
              <w:bottom w:val="single" w:sz="4" w:space="0" w:color="auto"/>
              <w:right w:val="single" w:sz="4" w:space="0" w:color="auto"/>
            </w:tcBorders>
            <w:shd w:val="clear" w:color="auto" w:fill="auto"/>
            <w:vAlign w:val="center"/>
            <w:hideMark/>
          </w:tcPr>
          <w:p w14:paraId="0F2EFACA" w14:textId="77777777" w:rsidR="00CA53C8" w:rsidRPr="00CA53C8" w:rsidRDefault="00CA53C8" w:rsidP="00CA53C8">
            <w:pPr>
              <w:jc w:val="center"/>
              <w:rPr>
                <w:rFonts w:cs="Arial"/>
                <w:color w:val="000000"/>
                <w:sz w:val="18"/>
                <w:szCs w:val="18"/>
                <w:lang w:val="en-US" w:eastAsia="en-US"/>
              </w:rPr>
            </w:pPr>
            <w:r w:rsidRPr="00CA53C8">
              <w:rPr>
                <w:rFonts w:cs="Arial"/>
                <w:color w:val="000000"/>
                <w:sz w:val="18"/>
                <w:szCs w:val="18"/>
                <w:lang w:val="en-US" w:eastAsia="en-US"/>
              </w:rPr>
              <w:t>20,20%</w:t>
            </w:r>
          </w:p>
        </w:tc>
        <w:tc>
          <w:tcPr>
            <w:tcW w:w="1066" w:type="dxa"/>
            <w:tcBorders>
              <w:top w:val="nil"/>
              <w:left w:val="nil"/>
              <w:bottom w:val="single" w:sz="4" w:space="0" w:color="auto"/>
              <w:right w:val="single" w:sz="4" w:space="0" w:color="auto"/>
            </w:tcBorders>
            <w:shd w:val="clear" w:color="auto" w:fill="auto"/>
            <w:vAlign w:val="center"/>
            <w:hideMark/>
          </w:tcPr>
          <w:p w14:paraId="1857D846" w14:textId="77777777" w:rsidR="00CA53C8" w:rsidRPr="00CA53C8" w:rsidRDefault="00CA53C8" w:rsidP="00CA53C8">
            <w:pPr>
              <w:jc w:val="center"/>
              <w:rPr>
                <w:rFonts w:cs="Arial"/>
                <w:color w:val="000000"/>
                <w:sz w:val="18"/>
                <w:szCs w:val="18"/>
                <w:lang w:val="en-US" w:eastAsia="en-US"/>
              </w:rPr>
            </w:pPr>
            <w:r w:rsidRPr="00CA53C8">
              <w:rPr>
                <w:rFonts w:cs="Arial"/>
                <w:color w:val="000000"/>
                <w:sz w:val="18"/>
                <w:szCs w:val="18"/>
                <w:lang w:val="en-US" w:eastAsia="en-US"/>
              </w:rPr>
              <w:t>20,20%</w:t>
            </w:r>
          </w:p>
        </w:tc>
        <w:tc>
          <w:tcPr>
            <w:tcW w:w="1017" w:type="dxa"/>
            <w:tcBorders>
              <w:top w:val="nil"/>
              <w:left w:val="nil"/>
              <w:bottom w:val="single" w:sz="4" w:space="0" w:color="auto"/>
              <w:right w:val="single" w:sz="4" w:space="0" w:color="auto"/>
            </w:tcBorders>
            <w:shd w:val="clear" w:color="auto" w:fill="auto"/>
            <w:vAlign w:val="center"/>
            <w:hideMark/>
          </w:tcPr>
          <w:p w14:paraId="7D10B471" w14:textId="77777777" w:rsidR="00CA53C8" w:rsidRPr="00CA53C8" w:rsidRDefault="00CA53C8" w:rsidP="00CA53C8">
            <w:pPr>
              <w:jc w:val="center"/>
              <w:rPr>
                <w:rFonts w:cs="Arial"/>
                <w:color w:val="000000"/>
                <w:sz w:val="18"/>
                <w:szCs w:val="18"/>
                <w:lang w:val="en-US" w:eastAsia="en-US"/>
              </w:rPr>
            </w:pPr>
            <w:r w:rsidRPr="00CA53C8">
              <w:rPr>
                <w:rFonts w:cs="Arial"/>
                <w:color w:val="000000"/>
                <w:sz w:val="18"/>
                <w:szCs w:val="18"/>
                <w:lang w:val="en-US" w:eastAsia="en-US"/>
              </w:rPr>
              <w:t>20,20%</w:t>
            </w:r>
          </w:p>
        </w:tc>
        <w:tc>
          <w:tcPr>
            <w:tcW w:w="1159" w:type="dxa"/>
            <w:tcBorders>
              <w:top w:val="nil"/>
              <w:left w:val="nil"/>
              <w:bottom w:val="single" w:sz="4" w:space="0" w:color="auto"/>
              <w:right w:val="single" w:sz="4" w:space="0" w:color="auto"/>
            </w:tcBorders>
            <w:shd w:val="clear" w:color="auto" w:fill="auto"/>
            <w:vAlign w:val="center"/>
            <w:hideMark/>
          </w:tcPr>
          <w:p w14:paraId="04E74A0A" w14:textId="77777777" w:rsidR="00CA53C8" w:rsidRPr="00CA53C8" w:rsidRDefault="00CA53C8" w:rsidP="00CA53C8">
            <w:pPr>
              <w:jc w:val="center"/>
              <w:rPr>
                <w:rFonts w:cs="Arial"/>
                <w:color w:val="000000"/>
                <w:sz w:val="18"/>
                <w:szCs w:val="18"/>
                <w:lang w:val="en-US" w:eastAsia="en-US"/>
              </w:rPr>
            </w:pPr>
            <w:r w:rsidRPr="00CA53C8">
              <w:rPr>
                <w:rFonts w:cs="Arial"/>
                <w:color w:val="000000"/>
                <w:sz w:val="18"/>
                <w:szCs w:val="18"/>
                <w:lang w:val="en-US" w:eastAsia="en-US"/>
              </w:rPr>
              <w:t>20,20%</w:t>
            </w:r>
          </w:p>
        </w:tc>
        <w:tc>
          <w:tcPr>
            <w:tcW w:w="1017" w:type="dxa"/>
            <w:tcBorders>
              <w:top w:val="nil"/>
              <w:left w:val="nil"/>
              <w:bottom w:val="single" w:sz="4" w:space="0" w:color="auto"/>
              <w:right w:val="single" w:sz="4" w:space="0" w:color="auto"/>
            </w:tcBorders>
            <w:shd w:val="clear" w:color="auto" w:fill="auto"/>
            <w:vAlign w:val="center"/>
            <w:hideMark/>
          </w:tcPr>
          <w:p w14:paraId="38102631" w14:textId="77777777" w:rsidR="00CA53C8" w:rsidRPr="00CA53C8" w:rsidRDefault="00CA53C8" w:rsidP="00CA53C8">
            <w:pPr>
              <w:jc w:val="center"/>
              <w:rPr>
                <w:rFonts w:cs="Arial"/>
                <w:color w:val="000000"/>
                <w:sz w:val="18"/>
                <w:szCs w:val="18"/>
                <w:lang w:val="en-US" w:eastAsia="en-US"/>
              </w:rPr>
            </w:pPr>
            <w:r w:rsidRPr="00CA53C8">
              <w:rPr>
                <w:rFonts w:cs="Arial"/>
                <w:color w:val="000000"/>
                <w:sz w:val="18"/>
                <w:szCs w:val="18"/>
                <w:lang w:val="en-US" w:eastAsia="en-US"/>
              </w:rPr>
              <w:t>20,20%</w:t>
            </w:r>
          </w:p>
        </w:tc>
        <w:tc>
          <w:tcPr>
            <w:tcW w:w="1006" w:type="dxa"/>
            <w:tcBorders>
              <w:top w:val="nil"/>
              <w:left w:val="nil"/>
              <w:bottom w:val="single" w:sz="4" w:space="0" w:color="auto"/>
              <w:right w:val="single" w:sz="8" w:space="0" w:color="auto"/>
            </w:tcBorders>
            <w:shd w:val="clear" w:color="auto" w:fill="auto"/>
            <w:vAlign w:val="center"/>
            <w:hideMark/>
          </w:tcPr>
          <w:p w14:paraId="5E96075B" w14:textId="77777777" w:rsidR="00CA53C8" w:rsidRPr="00CA53C8" w:rsidRDefault="00CA53C8" w:rsidP="00CA53C8">
            <w:pPr>
              <w:jc w:val="center"/>
              <w:rPr>
                <w:rFonts w:cs="Arial"/>
                <w:color w:val="000000"/>
                <w:sz w:val="18"/>
                <w:szCs w:val="18"/>
                <w:lang w:val="en-US" w:eastAsia="en-US"/>
              </w:rPr>
            </w:pPr>
            <w:r w:rsidRPr="00CA53C8">
              <w:rPr>
                <w:rFonts w:cs="Arial"/>
                <w:color w:val="000000"/>
                <w:sz w:val="18"/>
                <w:szCs w:val="18"/>
                <w:lang w:val="en-US" w:eastAsia="en-US"/>
              </w:rPr>
              <w:t>20,20%</w:t>
            </w:r>
          </w:p>
        </w:tc>
      </w:tr>
      <w:tr w:rsidR="00CA53C8" w:rsidRPr="00CA53C8" w14:paraId="54DAA0BC" w14:textId="77777777" w:rsidTr="00BF0EEF">
        <w:trPr>
          <w:trHeight w:val="795"/>
          <w:jc w:val="center"/>
        </w:trPr>
        <w:tc>
          <w:tcPr>
            <w:tcW w:w="3146" w:type="dxa"/>
            <w:tcBorders>
              <w:top w:val="nil"/>
              <w:left w:val="single" w:sz="4" w:space="0" w:color="auto"/>
              <w:bottom w:val="single" w:sz="4" w:space="0" w:color="auto"/>
              <w:right w:val="single" w:sz="4" w:space="0" w:color="auto"/>
            </w:tcBorders>
            <w:shd w:val="clear" w:color="auto" w:fill="auto"/>
            <w:vAlign w:val="center"/>
            <w:hideMark/>
          </w:tcPr>
          <w:p w14:paraId="2506F361" w14:textId="77777777" w:rsidR="00CA53C8" w:rsidRPr="00CA53C8" w:rsidRDefault="00CA53C8" w:rsidP="00CA53C8">
            <w:pPr>
              <w:rPr>
                <w:rFonts w:cs="Arial"/>
                <w:color w:val="000000"/>
                <w:sz w:val="18"/>
                <w:szCs w:val="18"/>
                <w:lang w:val="en-US" w:eastAsia="en-US"/>
              </w:rPr>
            </w:pPr>
            <w:r w:rsidRPr="00CA53C8">
              <w:rPr>
                <w:rFonts w:cs="Arial"/>
                <w:color w:val="000000"/>
                <w:sz w:val="18"/>
                <w:szCs w:val="18"/>
                <w:lang w:val="en-US" w:eastAsia="en-US"/>
              </w:rPr>
              <w:t>Estimated number of Australian adults with SNHL</w:t>
            </w:r>
          </w:p>
        </w:tc>
        <w:tc>
          <w:tcPr>
            <w:tcW w:w="1020" w:type="dxa"/>
            <w:tcBorders>
              <w:top w:val="nil"/>
              <w:left w:val="nil"/>
              <w:bottom w:val="single" w:sz="4" w:space="0" w:color="auto"/>
              <w:right w:val="single" w:sz="4" w:space="0" w:color="auto"/>
            </w:tcBorders>
            <w:shd w:val="clear" w:color="auto" w:fill="auto"/>
            <w:vAlign w:val="center"/>
            <w:hideMark/>
          </w:tcPr>
          <w:p w14:paraId="16B39EB1" w14:textId="77777777" w:rsidR="00CA53C8" w:rsidRPr="00CA53C8" w:rsidRDefault="00CA53C8" w:rsidP="00CA53C8">
            <w:pPr>
              <w:jc w:val="center"/>
              <w:rPr>
                <w:rFonts w:cs="Arial"/>
                <w:color w:val="000000"/>
                <w:sz w:val="18"/>
                <w:szCs w:val="18"/>
                <w:lang w:val="en-US" w:eastAsia="en-US"/>
              </w:rPr>
            </w:pPr>
            <w:r w:rsidRPr="00CA53C8">
              <w:rPr>
                <w:rFonts w:cs="Arial"/>
                <w:color w:val="000000"/>
                <w:sz w:val="18"/>
                <w:szCs w:val="18"/>
                <w:lang w:val="en-US" w:eastAsia="en-US"/>
              </w:rPr>
              <w:t>B x C</w:t>
            </w:r>
          </w:p>
        </w:tc>
        <w:tc>
          <w:tcPr>
            <w:tcW w:w="1160" w:type="dxa"/>
            <w:tcBorders>
              <w:top w:val="nil"/>
              <w:left w:val="nil"/>
              <w:bottom w:val="single" w:sz="4" w:space="0" w:color="auto"/>
              <w:right w:val="single" w:sz="4" w:space="0" w:color="auto"/>
            </w:tcBorders>
            <w:shd w:val="clear" w:color="auto" w:fill="auto"/>
            <w:vAlign w:val="center"/>
            <w:hideMark/>
          </w:tcPr>
          <w:p w14:paraId="03DBA699" w14:textId="77777777" w:rsidR="00CA53C8" w:rsidRPr="00CA53C8" w:rsidRDefault="00CA53C8" w:rsidP="00CA53C8">
            <w:pPr>
              <w:jc w:val="center"/>
              <w:rPr>
                <w:rFonts w:cs="Arial"/>
                <w:color w:val="000000"/>
                <w:sz w:val="18"/>
                <w:szCs w:val="18"/>
                <w:lang w:val="en-US" w:eastAsia="en-US"/>
              </w:rPr>
            </w:pPr>
            <w:r w:rsidRPr="00CA53C8">
              <w:rPr>
                <w:rFonts w:cs="Arial"/>
                <w:color w:val="000000"/>
                <w:sz w:val="18"/>
                <w:szCs w:val="18"/>
                <w:lang w:val="en-US" w:eastAsia="en-US"/>
              </w:rPr>
              <w:t>3812099</w:t>
            </w:r>
          </w:p>
        </w:tc>
        <w:tc>
          <w:tcPr>
            <w:tcW w:w="1066" w:type="dxa"/>
            <w:tcBorders>
              <w:top w:val="nil"/>
              <w:left w:val="nil"/>
              <w:bottom w:val="single" w:sz="4" w:space="0" w:color="auto"/>
              <w:right w:val="single" w:sz="4" w:space="0" w:color="auto"/>
            </w:tcBorders>
            <w:shd w:val="clear" w:color="auto" w:fill="auto"/>
            <w:vAlign w:val="center"/>
            <w:hideMark/>
          </w:tcPr>
          <w:p w14:paraId="1C92FB33" w14:textId="77777777" w:rsidR="00CA53C8" w:rsidRPr="00CA53C8" w:rsidRDefault="00CA53C8" w:rsidP="00CA53C8">
            <w:pPr>
              <w:jc w:val="center"/>
              <w:rPr>
                <w:rFonts w:cs="Arial"/>
                <w:color w:val="000000"/>
                <w:sz w:val="18"/>
                <w:szCs w:val="18"/>
                <w:lang w:val="en-US" w:eastAsia="en-US"/>
              </w:rPr>
            </w:pPr>
            <w:r w:rsidRPr="00CA53C8">
              <w:rPr>
                <w:rFonts w:cs="Arial"/>
                <w:color w:val="000000"/>
                <w:sz w:val="18"/>
                <w:szCs w:val="18"/>
                <w:lang w:val="en-US" w:eastAsia="en-US"/>
              </w:rPr>
              <w:t>3878765</w:t>
            </w:r>
          </w:p>
        </w:tc>
        <w:tc>
          <w:tcPr>
            <w:tcW w:w="1017" w:type="dxa"/>
            <w:tcBorders>
              <w:top w:val="nil"/>
              <w:left w:val="nil"/>
              <w:bottom w:val="single" w:sz="4" w:space="0" w:color="auto"/>
              <w:right w:val="single" w:sz="4" w:space="0" w:color="auto"/>
            </w:tcBorders>
            <w:shd w:val="clear" w:color="auto" w:fill="auto"/>
            <w:vAlign w:val="center"/>
            <w:hideMark/>
          </w:tcPr>
          <w:p w14:paraId="4DBB8F2B" w14:textId="77777777" w:rsidR="00CA53C8" w:rsidRPr="00CA53C8" w:rsidRDefault="00CA53C8" w:rsidP="00CA53C8">
            <w:pPr>
              <w:jc w:val="center"/>
              <w:rPr>
                <w:rFonts w:cs="Arial"/>
                <w:color w:val="000000"/>
                <w:sz w:val="18"/>
                <w:szCs w:val="18"/>
                <w:lang w:val="en-US" w:eastAsia="en-US"/>
              </w:rPr>
            </w:pPr>
            <w:r w:rsidRPr="00CA53C8">
              <w:rPr>
                <w:rFonts w:cs="Arial"/>
                <w:color w:val="000000"/>
                <w:sz w:val="18"/>
                <w:szCs w:val="18"/>
                <w:lang w:val="en-US" w:eastAsia="en-US"/>
              </w:rPr>
              <w:t>3944889</w:t>
            </w:r>
          </w:p>
        </w:tc>
        <w:tc>
          <w:tcPr>
            <w:tcW w:w="1159" w:type="dxa"/>
            <w:tcBorders>
              <w:top w:val="nil"/>
              <w:left w:val="nil"/>
              <w:bottom w:val="single" w:sz="4" w:space="0" w:color="auto"/>
              <w:right w:val="single" w:sz="4" w:space="0" w:color="auto"/>
            </w:tcBorders>
            <w:shd w:val="clear" w:color="auto" w:fill="auto"/>
            <w:vAlign w:val="center"/>
            <w:hideMark/>
          </w:tcPr>
          <w:p w14:paraId="2F7054F1" w14:textId="77777777" w:rsidR="00CA53C8" w:rsidRPr="00CA53C8" w:rsidRDefault="00CA53C8" w:rsidP="00CA53C8">
            <w:pPr>
              <w:jc w:val="center"/>
              <w:rPr>
                <w:rFonts w:cs="Arial"/>
                <w:color w:val="000000"/>
                <w:sz w:val="18"/>
                <w:szCs w:val="18"/>
                <w:lang w:val="en-US" w:eastAsia="en-US"/>
              </w:rPr>
            </w:pPr>
            <w:r w:rsidRPr="00CA53C8">
              <w:rPr>
                <w:rFonts w:cs="Arial"/>
                <w:color w:val="000000"/>
                <w:sz w:val="18"/>
                <w:szCs w:val="18"/>
                <w:lang w:val="en-US" w:eastAsia="en-US"/>
              </w:rPr>
              <w:t>4010474</w:t>
            </w:r>
          </w:p>
        </w:tc>
        <w:tc>
          <w:tcPr>
            <w:tcW w:w="1017" w:type="dxa"/>
            <w:tcBorders>
              <w:top w:val="nil"/>
              <w:left w:val="nil"/>
              <w:bottom w:val="single" w:sz="4" w:space="0" w:color="auto"/>
              <w:right w:val="single" w:sz="4" w:space="0" w:color="auto"/>
            </w:tcBorders>
            <w:shd w:val="clear" w:color="auto" w:fill="auto"/>
            <w:vAlign w:val="center"/>
            <w:hideMark/>
          </w:tcPr>
          <w:p w14:paraId="03775FBF" w14:textId="77777777" w:rsidR="00CA53C8" w:rsidRPr="00CA53C8" w:rsidRDefault="00CA53C8" w:rsidP="00CA53C8">
            <w:pPr>
              <w:jc w:val="center"/>
              <w:rPr>
                <w:rFonts w:cs="Arial"/>
                <w:color w:val="000000"/>
                <w:sz w:val="18"/>
                <w:szCs w:val="18"/>
                <w:lang w:val="en-US" w:eastAsia="en-US"/>
              </w:rPr>
            </w:pPr>
            <w:r w:rsidRPr="00CA53C8">
              <w:rPr>
                <w:rFonts w:cs="Arial"/>
                <w:color w:val="000000"/>
                <w:sz w:val="18"/>
                <w:szCs w:val="18"/>
                <w:lang w:val="en-US" w:eastAsia="en-US"/>
              </w:rPr>
              <w:t>4075066</w:t>
            </w:r>
          </w:p>
        </w:tc>
        <w:tc>
          <w:tcPr>
            <w:tcW w:w="1006" w:type="dxa"/>
            <w:tcBorders>
              <w:top w:val="nil"/>
              <w:left w:val="nil"/>
              <w:bottom w:val="single" w:sz="4" w:space="0" w:color="auto"/>
              <w:right w:val="single" w:sz="8" w:space="0" w:color="auto"/>
            </w:tcBorders>
            <w:shd w:val="clear" w:color="auto" w:fill="auto"/>
            <w:vAlign w:val="center"/>
            <w:hideMark/>
          </w:tcPr>
          <w:p w14:paraId="15A0CCB9" w14:textId="77777777" w:rsidR="00CA53C8" w:rsidRPr="00CA53C8" w:rsidRDefault="00CA53C8" w:rsidP="00CA53C8">
            <w:pPr>
              <w:jc w:val="center"/>
              <w:rPr>
                <w:rFonts w:cs="Arial"/>
                <w:color w:val="000000"/>
                <w:sz w:val="18"/>
                <w:szCs w:val="18"/>
                <w:lang w:val="en-US" w:eastAsia="en-US"/>
              </w:rPr>
            </w:pPr>
            <w:r w:rsidRPr="00CA53C8">
              <w:rPr>
                <w:rFonts w:cs="Arial"/>
                <w:color w:val="000000"/>
                <w:sz w:val="18"/>
                <w:szCs w:val="18"/>
                <w:lang w:val="en-US" w:eastAsia="en-US"/>
              </w:rPr>
              <w:t>4144342</w:t>
            </w:r>
          </w:p>
        </w:tc>
      </w:tr>
      <w:tr w:rsidR="00CA53C8" w:rsidRPr="00CA53C8" w14:paraId="76C1A1A3" w14:textId="77777777" w:rsidTr="00BF0EEF">
        <w:trPr>
          <w:trHeight w:val="780"/>
          <w:jc w:val="center"/>
        </w:trPr>
        <w:tc>
          <w:tcPr>
            <w:tcW w:w="3146" w:type="dxa"/>
            <w:tcBorders>
              <w:top w:val="nil"/>
              <w:left w:val="single" w:sz="4" w:space="0" w:color="auto"/>
              <w:bottom w:val="single" w:sz="4" w:space="0" w:color="auto"/>
              <w:right w:val="single" w:sz="4" w:space="0" w:color="auto"/>
            </w:tcBorders>
            <w:shd w:val="clear" w:color="000000" w:fill="DCE6F1"/>
            <w:vAlign w:val="center"/>
            <w:hideMark/>
          </w:tcPr>
          <w:p w14:paraId="625529BB" w14:textId="77777777" w:rsidR="00CA53C8" w:rsidRPr="00CA53C8" w:rsidRDefault="00CA53C8" w:rsidP="00CA53C8">
            <w:pPr>
              <w:rPr>
                <w:rFonts w:cs="Arial"/>
                <w:color w:val="000000"/>
                <w:sz w:val="18"/>
                <w:szCs w:val="18"/>
                <w:lang w:val="en-US" w:eastAsia="en-US"/>
              </w:rPr>
            </w:pPr>
            <w:r w:rsidRPr="00CA53C8">
              <w:rPr>
                <w:rFonts w:cs="Arial"/>
                <w:color w:val="000000"/>
                <w:sz w:val="18"/>
                <w:szCs w:val="18"/>
                <w:lang w:val="en-US" w:eastAsia="en-US"/>
              </w:rPr>
              <w:t>Minimum Proportion of patients as possible candidate for a MEI</w:t>
            </w:r>
          </w:p>
        </w:tc>
        <w:tc>
          <w:tcPr>
            <w:tcW w:w="1020" w:type="dxa"/>
            <w:tcBorders>
              <w:top w:val="nil"/>
              <w:left w:val="nil"/>
              <w:bottom w:val="single" w:sz="4" w:space="0" w:color="auto"/>
              <w:right w:val="single" w:sz="4" w:space="0" w:color="auto"/>
            </w:tcBorders>
            <w:shd w:val="clear" w:color="auto" w:fill="auto"/>
            <w:vAlign w:val="center"/>
            <w:hideMark/>
          </w:tcPr>
          <w:p w14:paraId="782ED82D" w14:textId="77777777" w:rsidR="00CA53C8" w:rsidRPr="00CA53C8" w:rsidRDefault="00CA53C8" w:rsidP="00CA53C8">
            <w:pPr>
              <w:jc w:val="center"/>
              <w:rPr>
                <w:rFonts w:cs="Arial"/>
                <w:color w:val="000000"/>
                <w:sz w:val="18"/>
                <w:szCs w:val="18"/>
                <w:lang w:val="en-US" w:eastAsia="en-US"/>
              </w:rPr>
            </w:pPr>
            <w:r w:rsidRPr="00CA53C8">
              <w:rPr>
                <w:rFonts w:cs="Arial"/>
                <w:color w:val="000000"/>
                <w:sz w:val="18"/>
                <w:szCs w:val="18"/>
                <w:lang w:val="en-US" w:eastAsia="en-US"/>
              </w:rPr>
              <w:t>Junker et al., (2002)</w:t>
            </w:r>
          </w:p>
        </w:tc>
        <w:tc>
          <w:tcPr>
            <w:tcW w:w="1160" w:type="dxa"/>
            <w:tcBorders>
              <w:top w:val="nil"/>
              <w:left w:val="nil"/>
              <w:bottom w:val="single" w:sz="4" w:space="0" w:color="auto"/>
              <w:right w:val="single" w:sz="4" w:space="0" w:color="auto"/>
            </w:tcBorders>
            <w:shd w:val="clear" w:color="auto" w:fill="auto"/>
            <w:vAlign w:val="center"/>
            <w:hideMark/>
          </w:tcPr>
          <w:p w14:paraId="3828301B" w14:textId="77777777" w:rsidR="00CA53C8" w:rsidRPr="00CA53C8" w:rsidRDefault="00CA53C8" w:rsidP="00CA53C8">
            <w:pPr>
              <w:jc w:val="center"/>
              <w:rPr>
                <w:rFonts w:cs="Arial"/>
                <w:color w:val="000000"/>
                <w:sz w:val="18"/>
                <w:szCs w:val="18"/>
                <w:lang w:val="en-US" w:eastAsia="en-US"/>
              </w:rPr>
            </w:pPr>
            <w:r w:rsidRPr="00CA53C8">
              <w:rPr>
                <w:rFonts w:cs="Arial"/>
                <w:color w:val="000000"/>
                <w:sz w:val="18"/>
                <w:szCs w:val="18"/>
                <w:lang w:val="en-US" w:eastAsia="en-US"/>
              </w:rPr>
              <w:t>0,69%</w:t>
            </w:r>
          </w:p>
        </w:tc>
        <w:tc>
          <w:tcPr>
            <w:tcW w:w="1066" w:type="dxa"/>
            <w:tcBorders>
              <w:top w:val="nil"/>
              <w:left w:val="nil"/>
              <w:bottom w:val="single" w:sz="4" w:space="0" w:color="auto"/>
              <w:right w:val="single" w:sz="4" w:space="0" w:color="auto"/>
            </w:tcBorders>
            <w:shd w:val="clear" w:color="auto" w:fill="auto"/>
            <w:vAlign w:val="center"/>
            <w:hideMark/>
          </w:tcPr>
          <w:p w14:paraId="78CA5C17" w14:textId="77777777" w:rsidR="00CA53C8" w:rsidRPr="00CA53C8" w:rsidRDefault="00CA53C8" w:rsidP="00CA53C8">
            <w:pPr>
              <w:jc w:val="center"/>
              <w:rPr>
                <w:rFonts w:cs="Arial"/>
                <w:color w:val="000000"/>
                <w:sz w:val="18"/>
                <w:szCs w:val="18"/>
                <w:lang w:val="en-US" w:eastAsia="en-US"/>
              </w:rPr>
            </w:pPr>
            <w:r w:rsidRPr="00CA53C8">
              <w:rPr>
                <w:rFonts w:cs="Arial"/>
                <w:color w:val="000000"/>
                <w:sz w:val="18"/>
                <w:szCs w:val="18"/>
                <w:lang w:val="en-US" w:eastAsia="en-US"/>
              </w:rPr>
              <w:t>0,69%</w:t>
            </w:r>
          </w:p>
        </w:tc>
        <w:tc>
          <w:tcPr>
            <w:tcW w:w="1017" w:type="dxa"/>
            <w:tcBorders>
              <w:top w:val="nil"/>
              <w:left w:val="nil"/>
              <w:bottom w:val="single" w:sz="4" w:space="0" w:color="auto"/>
              <w:right w:val="single" w:sz="4" w:space="0" w:color="auto"/>
            </w:tcBorders>
            <w:shd w:val="clear" w:color="auto" w:fill="auto"/>
            <w:vAlign w:val="center"/>
            <w:hideMark/>
          </w:tcPr>
          <w:p w14:paraId="063BC7DC" w14:textId="77777777" w:rsidR="00CA53C8" w:rsidRPr="00CA53C8" w:rsidRDefault="00CA53C8" w:rsidP="00CA53C8">
            <w:pPr>
              <w:jc w:val="center"/>
              <w:rPr>
                <w:rFonts w:cs="Arial"/>
                <w:color w:val="000000"/>
                <w:sz w:val="18"/>
                <w:szCs w:val="18"/>
                <w:lang w:val="en-US" w:eastAsia="en-US"/>
              </w:rPr>
            </w:pPr>
            <w:r w:rsidRPr="00CA53C8">
              <w:rPr>
                <w:rFonts w:cs="Arial"/>
                <w:color w:val="000000"/>
                <w:sz w:val="18"/>
                <w:szCs w:val="18"/>
                <w:lang w:val="en-US" w:eastAsia="en-US"/>
              </w:rPr>
              <w:t>0,69%</w:t>
            </w:r>
          </w:p>
        </w:tc>
        <w:tc>
          <w:tcPr>
            <w:tcW w:w="1159" w:type="dxa"/>
            <w:tcBorders>
              <w:top w:val="nil"/>
              <w:left w:val="nil"/>
              <w:bottom w:val="single" w:sz="4" w:space="0" w:color="auto"/>
              <w:right w:val="single" w:sz="4" w:space="0" w:color="auto"/>
            </w:tcBorders>
            <w:shd w:val="clear" w:color="auto" w:fill="auto"/>
            <w:vAlign w:val="center"/>
            <w:hideMark/>
          </w:tcPr>
          <w:p w14:paraId="3E6EECCF" w14:textId="77777777" w:rsidR="00CA53C8" w:rsidRPr="00CA53C8" w:rsidRDefault="00CA53C8" w:rsidP="00CA53C8">
            <w:pPr>
              <w:jc w:val="center"/>
              <w:rPr>
                <w:rFonts w:cs="Arial"/>
                <w:color w:val="000000"/>
                <w:sz w:val="18"/>
                <w:szCs w:val="18"/>
                <w:lang w:val="en-US" w:eastAsia="en-US"/>
              </w:rPr>
            </w:pPr>
            <w:r w:rsidRPr="00CA53C8">
              <w:rPr>
                <w:rFonts w:cs="Arial"/>
                <w:color w:val="000000"/>
                <w:sz w:val="18"/>
                <w:szCs w:val="18"/>
                <w:lang w:val="en-US" w:eastAsia="en-US"/>
              </w:rPr>
              <w:t>0,69%</w:t>
            </w:r>
          </w:p>
        </w:tc>
        <w:tc>
          <w:tcPr>
            <w:tcW w:w="1017" w:type="dxa"/>
            <w:tcBorders>
              <w:top w:val="nil"/>
              <w:left w:val="nil"/>
              <w:bottom w:val="single" w:sz="4" w:space="0" w:color="auto"/>
              <w:right w:val="single" w:sz="4" w:space="0" w:color="auto"/>
            </w:tcBorders>
            <w:shd w:val="clear" w:color="auto" w:fill="auto"/>
            <w:vAlign w:val="center"/>
            <w:hideMark/>
          </w:tcPr>
          <w:p w14:paraId="407F8948" w14:textId="77777777" w:rsidR="00CA53C8" w:rsidRPr="00CA53C8" w:rsidRDefault="00CA53C8" w:rsidP="00CA53C8">
            <w:pPr>
              <w:jc w:val="center"/>
              <w:rPr>
                <w:rFonts w:cs="Arial"/>
                <w:color w:val="000000"/>
                <w:sz w:val="18"/>
                <w:szCs w:val="18"/>
                <w:lang w:val="en-US" w:eastAsia="en-US"/>
              </w:rPr>
            </w:pPr>
            <w:r w:rsidRPr="00CA53C8">
              <w:rPr>
                <w:rFonts w:cs="Arial"/>
                <w:color w:val="000000"/>
                <w:sz w:val="18"/>
                <w:szCs w:val="18"/>
                <w:lang w:val="en-US" w:eastAsia="en-US"/>
              </w:rPr>
              <w:t>0,69%</w:t>
            </w:r>
          </w:p>
        </w:tc>
        <w:tc>
          <w:tcPr>
            <w:tcW w:w="1006" w:type="dxa"/>
            <w:tcBorders>
              <w:top w:val="nil"/>
              <w:left w:val="nil"/>
              <w:bottom w:val="single" w:sz="4" w:space="0" w:color="auto"/>
              <w:right w:val="single" w:sz="4" w:space="0" w:color="auto"/>
            </w:tcBorders>
            <w:shd w:val="clear" w:color="auto" w:fill="auto"/>
            <w:vAlign w:val="center"/>
            <w:hideMark/>
          </w:tcPr>
          <w:p w14:paraId="77C25EF4" w14:textId="77777777" w:rsidR="00CA53C8" w:rsidRPr="00CA53C8" w:rsidRDefault="00CA53C8" w:rsidP="00CA53C8">
            <w:pPr>
              <w:jc w:val="center"/>
              <w:rPr>
                <w:rFonts w:cs="Arial"/>
                <w:color w:val="000000"/>
                <w:sz w:val="18"/>
                <w:szCs w:val="18"/>
                <w:lang w:val="en-US" w:eastAsia="en-US"/>
              </w:rPr>
            </w:pPr>
            <w:r w:rsidRPr="00CA53C8">
              <w:rPr>
                <w:rFonts w:cs="Arial"/>
                <w:color w:val="000000"/>
                <w:sz w:val="18"/>
                <w:szCs w:val="18"/>
                <w:lang w:val="en-US" w:eastAsia="en-US"/>
              </w:rPr>
              <w:t>0,69%</w:t>
            </w:r>
          </w:p>
        </w:tc>
      </w:tr>
      <w:tr w:rsidR="00CA53C8" w:rsidRPr="00CA53C8" w14:paraId="66B63EAE" w14:textId="77777777" w:rsidTr="00BF0EEF">
        <w:trPr>
          <w:trHeight w:val="750"/>
          <w:jc w:val="center"/>
        </w:trPr>
        <w:tc>
          <w:tcPr>
            <w:tcW w:w="3146" w:type="dxa"/>
            <w:tcBorders>
              <w:top w:val="nil"/>
              <w:left w:val="single" w:sz="4" w:space="0" w:color="auto"/>
              <w:bottom w:val="single" w:sz="4" w:space="0" w:color="auto"/>
              <w:right w:val="single" w:sz="4" w:space="0" w:color="auto"/>
            </w:tcBorders>
            <w:shd w:val="clear" w:color="auto" w:fill="auto"/>
            <w:vAlign w:val="center"/>
            <w:hideMark/>
          </w:tcPr>
          <w:p w14:paraId="7D62D2BD" w14:textId="77777777" w:rsidR="00CA53C8" w:rsidRPr="00CA53C8" w:rsidRDefault="00CA53C8" w:rsidP="00CA53C8">
            <w:pPr>
              <w:rPr>
                <w:rFonts w:cs="Arial"/>
                <w:color w:val="000000"/>
                <w:sz w:val="18"/>
                <w:szCs w:val="18"/>
                <w:lang w:val="en-US" w:eastAsia="en-US"/>
              </w:rPr>
            </w:pPr>
            <w:r w:rsidRPr="00CA53C8">
              <w:rPr>
                <w:rFonts w:cs="Arial"/>
                <w:color w:val="000000"/>
                <w:sz w:val="18"/>
                <w:szCs w:val="18"/>
                <w:lang w:val="en-US" w:eastAsia="en-US"/>
              </w:rPr>
              <w:t>Number of Australian adults with SNHL and candidates of a MEI</w:t>
            </w:r>
          </w:p>
        </w:tc>
        <w:tc>
          <w:tcPr>
            <w:tcW w:w="1020" w:type="dxa"/>
            <w:tcBorders>
              <w:top w:val="nil"/>
              <w:left w:val="nil"/>
              <w:bottom w:val="single" w:sz="4" w:space="0" w:color="auto"/>
              <w:right w:val="single" w:sz="4" w:space="0" w:color="auto"/>
            </w:tcBorders>
            <w:shd w:val="clear" w:color="auto" w:fill="auto"/>
            <w:vAlign w:val="center"/>
            <w:hideMark/>
          </w:tcPr>
          <w:p w14:paraId="533B857C" w14:textId="77777777" w:rsidR="00CA53C8" w:rsidRPr="00CA53C8" w:rsidRDefault="00CA53C8" w:rsidP="00CA53C8">
            <w:pPr>
              <w:jc w:val="center"/>
              <w:rPr>
                <w:rFonts w:cs="Arial"/>
                <w:color w:val="000000"/>
                <w:sz w:val="18"/>
                <w:szCs w:val="18"/>
                <w:lang w:val="en-US" w:eastAsia="en-US"/>
              </w:rPr>
            </w:pPr>
            <w:r w:rsidRPr="00CA53C8">
              <w:rPr>
                <w:rFonts w:cs="Arial"/>
                <w:color w:val="000000"/>
                <w:sz w:val="18"/>
                <w:szCs w:val="18"/>
                <w:lang w:val="en-US" w:eastAsia="en-US"/>
              </w:rPr>
              <w:t>D x E</w:t>
            </w:r>
          </w:p>
        </w:tc>
        <w:tc>
          <w:tcPr>
            <w:tcW w:w="1160" w:type="dxa"/>
            <w:tcBorders>
              <w:top w:val="nil"/>
              <w:left w:val="nil"/>
              <w:bottom w:val="single" w:sz="4" w:space="0" w:color="auto"/>
              <w:right w:val="single" w:sz="4" w:space="0" w:color="auto"/>
            </w:tcBorders>
            <w:shd w:val="clear" w:color="auto" w:fill="auto"/>
            <w:vAlign w:val="center"/>
            <w:hideMark/>
          </w:tcPr>
          <w:p w14:paraId="2D7CC462" w14:textId="77777777" w:rsidR="00CA53C8" w:rsidRPr="00CA53C8" w:rsidRDefault="00CA53C8" w:rsidP="00CA53C8">
            <w:pPr>
              <w:jc w:val="center"/>
              <w:rPr>
                <w:rFonts w:cs="Arial"/>
                <w:color w:val="000000"/>
                <w:sz w:val="18"/>
                <w:szCs w:val="18"/>
                <w:lang w:val="en-US" w:eastAsia="en-US"/>
              </w:rPr>
            </w:pPr>
            <w:r w:rsidRPr="00CA53C8">
              <w:rPr>
                <w:rFonts w:cs="Arial"/>
                <w:color w:val="000000"/>
                <w:sz w:val="18"/>
                <w:szCs w:val="18"/>
                <w:lang w:val="en-US" w:eastAsia="en-US"/>
              </w:rPr>
              <w:t>26303</w:t>
            </w:r>
          </w:p>
        </w:tc>
        <w:tc>
          <w:tcPr>
            <w:tcW w:w="1066" w:type="dxa"/>
            <w:tcBorders>
              <w:top w:val="nil"/>
              <w:left w:val="nil"/>
              <w:bottom w:val="single" w:sz="4" w:space="0" w:color="auto"/>
              <w:right w:val="single" w:sz="4" w:space="0" w:color="auto"/>
            </w:tcBorders>
            <w:shd w:val="clear" w:color="auto" w:fill="auto"/>
            <w:vAlign w:val="center"/>
            <w:hideMark/>
          </w:tcPr>
          <w:p w14:paraId="2686B161" w14:textId="77777777" w:rsidR="00CA53C8" w:rsidRPr="00CA53C8" w:rsidRDefault="00CA53C8" w:rsidP="00CA53C8">
            <w:pPr>
              <w:jc w:val="center"/>
              <w:rPr>
                <w:rFonts w:cs="Arial"/>
                <w:color w:val="000000"/>
                <w:sz w:val="18"/>
                <w:szCs w:val="18"/>
                <w:lang w:val="en-US" w:eastAsia="en-US"/>
              </w:rPr>
            </w:pPr>
            <w:r w:rsidRPr="00CA53C8">
              <w:rPr>
                <w:rFonts w:cs="Arial"/>
                <w:color w:val="000000"/>
                <w:sz w:val="18"/>
                <w:szCs w:val="18"/>
                <w:lang w:val="en-US" w:eastAsia="en-US"/>
              </w:rPr>
              <w:t>26763</w:t>
            </w:r>
          </w:p>
        </w:tc>
        <w:tc>
          <w:tcPr>
            <w:tcW w:w="1017" w:type="dxa"/>
            <w:tcBorders>
              <w:top w:val="nil"/>
              <w:left w:val="nil"/>
              <w:bottom w:val="single" w:sz="4" w:space="0" w:color="auto"/>
              <w:right w:val="single" w:sz="4" w:space="0" w:color="auto"/>
            </w:tcBorders>
            <w:shd w:val="clear" w:color="auto" w:fill="auto"/>
            <w:vAlign w:val="center"/>
            <w:hideMark/>
          </w:tcPr>
          <w:p w14:paraId="184F9E8C" w14:textId="77777777" w:rsidR="00CA53C8" w:rsidRPr="00CA53C8" w:rsidRDefault="00CA53C8" w:rsidP="00CA53C8">
            <w:pPr>
              <w:jc w:val="center"/>
              <w:rPr>
                <w:rFonts w:cs="Arial"/>
                <w:color w:val="000000"/>
                <w:sz w:val="18"/>
                <w:szCs w:val="18"/>
                <w:lang w:val="en-US" w:eastAsia="en-US"/>
              </w:rPr>
            </w:pPr>
            <w:r w:rsidRPr="00CA53C8">
              <w:rPr>
                <w:rFonts w:cs="Arial"/>
                <w:color w:val="000000"/>
                <w:sz w:val="18"/>
                <w:szCs w:val="18"/>
                <w:lang w:val="en-US" w:eastAsia="en-US"/>
              </w:rPr>
              <w:t>27220</w:t>
            </w:r>
          </w:p>
        </w:tc>
        <w:tc>
          <w:tcPr>
            <w:tcW w:w="1159" w:type="dxa"/>
            <w:tcBorders>
              <w:top w:val="nil"/>
              <w:left w:val="nil"/>
              <w:bottom w:val="single" w:sz="4" w:space="0" w:color="auto"/>
              <w:right w:val="single" w:sz="4" w:space="0" w:color="auto"/>
            </w:tcBorders>
            <w:shd w:val="clear" w:color="auto" w:fill="auto"/>
            <w:vAlign w:val="center"/>
            <w:hideMark/>
          </w:tcPr>
          <w:p w14:paraId="41821F33" w14:textId="77777777" w:rsidR="00CA53C8" w:rsidRPr="00CA53C8" w:rsidRDefault="00CA53C8" w:rsidP="00CA53C8">
            <w:pPr>
              <w:jc w:val="center"/>
              <w:rPr>
                <w:rFonts w:cs="Arial"/>
                <w:color w:val="000000"/>
                <w:sz w:val="18"/>
                <w:szCs w:val="18"/>
                <w:lang w:val="en-US" w:eastAsia="en-US"/>
              </w:rPr>
            </w:pPr>
            <w:r w:rsidRPr="00CA53C8">
              <w:rPr>
                <w:rFonts w:cs="Arial"/>
                <w:color w:val="000000"/>
                <w:sz w:val="18"/>
                <w:szCs w:val="18"/>
                <w:lang w:val="en-US" w:eastAsia="en-US"/>
              </w:rPr>
              <w:t>27672</w:t>
            </w:r>
          </w:p>
        </w:tc>
        <w:tc>
          <w:tcPr>
            <w:tcW w:w="1017" w:type="dxa"/>
            <w:tcBorders>
              <w:top w:val="nil"/>
              <w:left w:val="nil"/>
              <w:bottom w:val="single" w:sz="4" w:space="0" w:color="auto"/>
              <w:right w:val="single" w:sz="4" w:space="0" w:color="auto"/>
            </w:tcBorders>
            <w:shd w:val="clear" w:color="auto" w:fill="auto"/>
            <w:vAlign w:val="center"/>
            <w:hideMark/>
          </w:tcPr>
          <w:p w14:paraId="37F3C62A" w14:textId="77777777" w:rsidR="00CA53C8" w:rsidRPr="00CA53C8" w:rsidRDefault="00CA53C8" w:rsidP="00CA53C8">
            <w:pPr>
              <w:jc w:val="center"/>
              <w:rPr>
                <w:rFonts w:cs="Arial"/>
                <w:color w:val="000000"/>
                <w:sz w:val="18"/>
                <w:szCs w:val="18"/>
                <w:lang w:val="en-US" w:eastAsia="en-US"/>
              </w:rPr>
            </w:pPr>
            <w:r w:rsidRPr="00CA53C8">
              <w:rPr>
                <w:rFonts w:cs="Arial"/>
                <w:color w:val="000000"/>
                <w:sz w:val="18"/>
                <w:szCs w:val="18"/>
                <w:lang w:val="en-US" w:eastAsia="en-US"/>
              </w:rPr>
              <w:t>28118</w:t>
            </w:r>
          </w:p>
        </w:tc>
        <w:tc>
          <w:tcPr>
            <w:tcW w:w="1006" w:type="dxa"/>
            <w:tcBorders>
              <w:top w:val="nil"/>
              <w:left w:val="nil"/>
              <w:bottom w:val="single" w:sz="4" w:space="0" w:color="auto"/>
              <w:right w:val="single" w:sz="8" w:space="0" w:color="auto"/>
            </w:tcBorders>
            <w:shd w:val="clear" w:color="auto" w:fill="auto"/>
            <w:vAlign w:val="center"/>
            <w:hideMark/>
          </w:tcPr>
          <w:p w14:paraId="1E05FC8C" w14:textId="77777777" w:rsidR="00CA53C8" w:rsidRPr="00CA53C8" w:rsidRDefault="00CA53C8" w:rsidP="00CA53C8">
            <w:pPr>
              <w:jc w:val="center"/>
              <w:rPr>
                <w:rFonts w:cs="Arial"/>
                <w:color w:val="000000"/>
                <w:sz w:val="18"/>
                <w:szCs w:val="18"/>
                <w:lang w:val="en-US" w:eastAsia="en-US"/>
              </w:rPr>
            </w:pPr>
            <w:r w:rsidRPr="00CA53C8">
              <w:rPr>
                <w:rFonts w:cs="Arial"/>
                <w:color w:val="000000"/>
                <w:sz w:val="18"/>
                <w:szCs w:val="18"/>
                <w:lang w:val="en-US" w:eastAsia="en-US"/>
              </w:rPr>
              <w:t>28596</w:t>
            </w:r>
          </w:p>
        </w:tc>
      </w:tr>
      <w:tr w:rsidR="00CA53C8" w:rsidRPr="00CA53C8" w14:paraId="0AD1D458" w14:textId="77777777" w:rsidTr="00BF0EEF">
        <w:trPr>
          <w:trHeight w:val="1020"/>
          <w:jc w:val="center"/>
        </w:trPr>
        <w:tc>
          <w:tcPr>
            <w:tcW w:w="3146" w:type="dxa"/>
            <w:tcBorders>
              <w:top w:val="nil"/>
              <w:left w:val="single" w:sz="4" w:space="0" w:color="auto"/>
              <w:bottom w:val="single" w:sz="4" w:space="0" w:color="auto"/>
              <w:right w:val="single" w:sz="4" w:space="0" w:color="auto"/>
            </w:tcBorders>
            <w:shd w:val="clear" w:color="auto" w:fill="auto"/>
            <w:vAlign w:val="center"/>
            <w:hideMark/>
          </w:tcPr>
          <w:p w14:paraId="788F7F69" w14:textId="77777777" w:rsidR="00CA53C8" w:rsidRPr="00CA53C8" w:rsidRDefault="00CA53C8" w:rsidP="00CA53C8">
            <w:pPr>
              <w:rPr>
                <w:rFonts w:cs="Arial"/>
                <w:color w:val="000000"/>
                <w:sz w:val="18"/>
                <w:szCs w:val="18"/>
                <w:lang w:val="en-US" w:eastAsia="en-US"/>
              </w:rPr>
            </w:pPr>
            <w:r w:rsidRPr="00CA53C8">
              <w:rPr>
                <w:rFonts w:cs="Arial"/>
                <w:color w:val="000000"/>
                <w:sz w:val="18"/>
                <w:szCs w:val="18"/>
                <w:lang w:val="en-US" w:eastAsia="en-US"/>
              </w:rPr>
              <w:t>Prevalence of external ear pathology in the Australian population (%)</w:t>
            </w:r>
          </w:p>
        </w:tc>
        <w:tc>
          <w:tcPr>
            <w:tcW w:w="1020" w:type="dxa"/>
            <w:tcBorders>
              <w:top w:val="nil"/>
              <w:left w:val="nil"/>
              <w:bottom w:val="single" w:sz="4" w:space="0" w:color="auto"/>
              <w:right w:val="single" w:sz="4" w:space="0" w:color="auto"/>
            </w:tcBorders>
            <w:shd w:val="clear" w:color="auto" w:fill="auto"/>
            <w:vAlign w:val="center"/>
            <w:hideMark/>
          </w:tcPr>
          <w:p w14:paraId="3417D60F" w14:textId="77777777" w:rsidR="00CA53C8" w:rsidRPr="00CA53C8" w:rsidRDefault="00CA53C8" w:rsidP="00CA53C8">
            <w:pPr>
              <w:jc w:val="center"/>
              <w:rPr>
                <w:rFonts w:cs="Arial"/>
                <w:color w:val="000000"/>
                <w:sz w:val="18"/>
                <w:szCs w:val="18"/>
                <w:lang w:val="en-US" w:eastAsia="en-US"/>
              </w:rPr>
            </w:pPr>
            <w:r w:rsidRPr="00CA53C8">
              <w:rPr>
                <w:rFonts w:cs="Arial"/>
                <w:color w:val="000000"/>
                <w:sz w:val="18"/>
                <w:szCs w:val="18"/>
                <w:lang w:val="en-US" w:eastAsia="en-US"/>
              </w:rPr>
              <w:t>see Table 34</w:t>
            </w:r>
          </w:p>
        </w:tc>
        <w:tc>
          <w:tcPr>
            <w:tcW w:w="1160" w:type="dxa"/>
            <w:tcBorders>
              <w:top w:val="nil"/>
              <w:left w:val="nil"/>
              <w:bottom w:val="single" w:sz="4" w:space="0" w:color="auto"/>
              <w:right w:val="single" w:sz="4" w:space="0" w:color="auto"/>
            </w:tcBorders>
            <w:shd w:val="clear" w:color="auto" w:fill="auto"/>
            <w:vAlign w:val="center"/>
            <w:hideMark/>
          </w:tcPr>
          <w:p w14:paraId="117BBB1E" w14:textId="77777777" w:rsidR="00CA53C8" w:rsidRPr="00CA53C8" w:rsidRDefault="00CA53C8" w:rsidP="00CA53C8">
            <w:pPr>
              <w:jc w:val="center"/>
              <w:rPr>
                <w:rFonts w:cs="Arial"/>
                <w:color w:val="000000"/>
                <w:sz w:val="18"/>
                <w:szCs w:val="18"/>
                <w:lang w:val="en-US" w:eastAsia="en-US"/>
              </w:rPr>
            </w:pPr>
            <w:r w:rsidRPr="00CA53C8">
              <w:rPr>
                <w:rFonts w:cs="Arial"/>
                <w:color w:val="000000"/>
                <w:sz w:val="18"/>
                <w:szCs w:val="18"/>
                <w:lang w:val="en-US" w:eastAsia="en-US"/>
              </w:rPr>
              <w:t>2,95%</w:t>
            </w:r>
          </w:p>
        </w:tc>
        <w:tc>
          <w:tcPr>
            <w:tcW w:w="1066" w:type="dxa"/>
            <w:tcBorders>
              <w:top w:val="nil"/>
              <w:left w:val="nil"/>
              <w:bottom w:val="single" w:sz="4" w:space="0" w:color="auto"/>
              <w:right w:val="single" w:sz="4" w:space="0" w:color="auto"/>
            </w:tcBorders>
            <w:shd w:val="clear" w:color="auto" w:fill="auto"/>
            <w:vAlign w:val="center"/>
            <w:hideMark/>
          </w:tcPr>
          <w:p w14:paraId="52C6342E" w14:textId="77777777" w:rsidR="00CA53C8" w:rsidRPr="00CA53C8" w:rsidRDefault="00CA53C8" w:rsidP="00CA53C8">
            <w:pPr>
              <w:jc w:val="center"/>
              <w:rPr>
                <w:rFonts w:cs="Arial"/>
                <w:color w:val="000000"/>
                <w:sz w:val="18"/>
                <w:szCs w:val="18"/>
                <w:lang w:val="en-US" w:eastAsia="en-US"/>
              </w:rPr>
            </w:pPr>
            <w:r w:rsidRPr="00CA53C8">
              <w:rPr>
                <w:rFonts w:cs="Arial"/>
                <w:color w:val="000000"/>
                <w:sz w:val="18"/>
                <w:szCs w:val="18"/>
                <w:lang w:val="en-US" w:eastAsia="en-US"/>
              </w:rPr>
              <w:t>2,95%</w:t>
            </w:r>
          </w:p>
        </w:tc>
        <w:tc>
          <w:tcPr>
            <w:tcW w:w="1017" w:type="dxa"/>
            <w:tcBorders>
              <w:top w:val="nil"/>
              <w:left w:val="nil"/>
              <w:bottom w:val="single" w:sz="4" w:space="0" w:color="auto"/>
              <w:right w:val="single" w:sz="4" w:space="0" w:color="auto"/>
            </w:tcBorders>
            <w:shd w:val="clear" w:color="auto" w:fill="auto"/>
            <w:vAlign w:val="center"/>
            <w:hideMark/>
          </w:tcPr>
          <w:p w14:paraId="18CCB117" w14:textId="77777777" w:rsidR="00CA53C8" w:rsidRPr="00CA53C8" w:rsidRDefault="00CA53C8" w:rsidP="00CA53C8">
            <w:pPr>
              <w:jc w:val="center"/>
              <w:rPr>
                <w:rFonts w:cs="Arial"/>
                <w:color w:val="000000"/>
                <w:sz w:val="18"/>
                <w:szCs w:val="18"/>
                <w:lang w:val="en-US" w:eastAsia="en-US"/>
              </w:rPr>
            </w:pPr>
            <w:r w:rsidRPr="00CA53C8">
              <w:rPr>
                <w:rFonts w:cs="Arial"/>
                <w:color w:val="000000"/>
                <w:sz w:val="18"/>
                <w:szCs w:val="18"/>
                <w:lang w:val="en-US" w:eastAsia="en-US"/>
              </w:rPr>
              <w:t>2,95%</w:t>
            </w:r>
          </w:p>
        </w:tc>
        <w:tc>
          <w:tcPr>
            <w:tcW w:w="1159" w:type="dxa"/>
            <w:tcBorders>
              <w:top w:val="nil"/>
              <w:left w:val="nil"/>
              <w:bottom w:val="single" w:sz="4" w:space="0" w:color="auto"/>
              <w:right w:val="single" w:sz="4" w:space="0" w:color="auto"/>
            </w:tcBorders>
            <w:shd w:val="clear" w:color="auto" w:fill="auto"/>
            <w:vAlign w:val="center"/>
            <w:hideMark/>
          </w:tcPr>
          <w:p w14:paraId="7FB273CD" w14:textId="77777777" w:rsidR="00CA53C8" w:rsidRPr="00CA53C8" w:rsidRDefault="00CA53C8" w:rsidP="00CA53C8">
            <w:pPr>
              <w:jc w:val="center"/>
              <w:rPr>
                <w:rFonts w:cs="Arial"/>
                <w:color w:val="000000"/>
                <w:sz w:val="18"/>
                <w:szCs w:val="18"/>
                <w:lang w:val="en-US" w:eastAsia="en-US"/>
              </w:rPr>
            </w:pPr>
            <w:r w:rsidRPr="00CA53C8">
              <w:rPr>
                <w:rFonts w:cs="Arial"/>
                <w:color w:val="000000"/>
                <w:sz w:val="18"/>
                <w:szCs w:val="18"/>
                <w:lang w:val="en-US" w:eastAsia="en-US"/>
              </w:rPr>
              <w:t>2,95%</w:t>
            </w:r>
          </w:p>
        </w:tc>
        <w:tc>
          <w:tcPr>
            <w:tcW w:w="1017" w:type="dxa"/>
            <w:tcBorders>
              <w:top w:val="nil"/>
              <w:left w:val="nil"/>
              <w:bottom w:val="single" w:sz="4" w:space="0" w:color="auto"/>
              <w:right w:val="single" w:sz="4" w:space="0" w:color="auto"/>
            </w:tcBorders>
            <w:shd w:val="clear" w:color="auto" w:fill="auto"/>
            <w:vAlign w:val="center"/>
            <w:hideMark/>
          </w:tcPr>
          <w:p w14:paraId="7C11855E" w14:textId="77777777" w:rsidR="00CA53C8" w:rsidRPr="00CA53C8" w:rsidRDefault="00CA53C8" w:rsidP="00CA53C8">
            <w:pPr>
              <w:jc w:val="center"/>
              <w:rPr>
                <w:rFonts w:cs="Arial"/>
                <w:color w:val="000000"/>
                <w:sz w:val="18"/>
                <w:szCs w:val="18"/>
                <w:lang w:val="en-US" w:eastAsia="en-US"/>
              </w:rPr>
            </w:pPr>
            <w:r w:rsidRPr="00CA53C8">
              <w:rPr>
                <w:rFonts w:cs="Arial"/>
                <w:color w:val="000000"/>
                <w:sz w:val="18"/>
                <w:szCs w:val="18"/>
                <w:lang w:val="en-US" w:eastAsia="en-US"/>
              </w:rPr>
              <w:t>2,95%</w:t>
            </w:r>
          </w:p>
        </w:tc>
        <w:tc>
          <w:tcPr>
            <w:tcW w:w="1006" w:type="dxa"/>
            <w:tcBorders>
              <w:top w:val="nil"/>
              <w:left w:val="nil"/>
              <w:bottom w:val="single" w:sz="4" w:space="0" w:color="auto"/>
              <w:right w:val="single" w:sz="8" w:space="0" w:color="auto"/>
            </w:tcBorders>
            <w:shd w:val="clear" w:color="auto" w:fill="auto"/>
            <w:vAlign w:val="center"/>
            <w:hideMark/>
          </w:tcPr>
          <w:p w14:paraId="473657C4" w14:textId="77777777" w:rsidR="00CA53C8" w:rsidRPr="00CA53C8" w:rsidRDefault="00CA53C8" w:rsidP="00CA53C8">
            <w:pPr>
              <w:jc w:val="center"/>
              <w:rPr>
                <w:rFonts w:cs="Arial"/>
                <w:color w:val="000000"/>
                <w:sz w:val="18"/>
                <w:szCs w:val="18"/>
                <w:lang w:val="en-US" w:eastAsia="en-US"/>
              </w:rPr>
            </w:pPr>
            <w:r w:rsidRPr="00CA53C8">
              <w:rPr>
                <w:rFonts w:cs="Arial"/>
                <w:color w:val="000000"/>
                <w:sz w:val="18"/>
                <w:szCs w:val="18"/>
                <w:lang w:val="en-US" w:eastAsia="en-US"/>
              </w:rPr>
              <w:t>2,95%</w:t>
            </w:r>
          </w:p>
        </w:tc>
      </w:tr>
      <w:tr w:rsidR="00CA53C8" w:rsidRPr="00CA53C8" w14:paraId="33A19806" w14:textId="77777777" w:rsidTr="00BF0EEF">
        <w:trPr>
          <w:trHeight w:val="900"/>
          <w:jc w:val="center"/>
        </w:trPr>
        <w:tc>
          <w:tcPr>
            <w:tcW w:w="3146" w:type="dxa"/>
            <w:tcBorders>
              <w:top w:val="nil"/>
              <w:left w:val="single" w:sz="4" w:space="0" w:color="auto"/>
              <w:bottom w:val="single" w:sz="4" w:space="0" w:color="auto"/>
              <w:right w:val="single" w:sz="4" w:space="0" w:color="auto"/>
            </w:tcBorders>
            <w:shd w:val="clear" w:color="auto" w:fill="auto"/>
            <w:vAlign w:val="center"/>
            <w:hideMark/>
          </w:tcPr>
          <w:p w14:paraId="2ECBFB27" w14:textId="77777777" w:rsidR="00CA53C8" w:rsidRPr="00CA53C8" w:rsidRDefault="00CA53C8" w:rsidP="00CA53C8">
            <w:pPr>
              <w:rPr>
                <w:rFonts w:cs="Arial"/>
                <w:color w:val="000000"/>
                <w:sz w:val="18"/>
                <w:szCs w:val="18"/>
                <w:lang w:val="en-US" w:eastAsia="en-US"/>
              </w:rPr>
            </w:pPr>
            <w:r w:rsidRPr="00CA53C8">
              <w:rPr>
                <w:rFonts w:cs="Arial"/>
                <w:color w:val="000000"/>
                <w:sz w:val="18"/>
                <w:szCs w:val="18"/>
                <w:lang w:val="en-US" w:eastAsia="en-US"/>
              </w:rPr>
              <w:t>Estimated number of Australian adults eligible for implantation</w:t>
            </w:r>
          </w:p>
        </w:tc>
        <w:tc>
          <w:tcPr>
            <w:tcW w:w="1020" w:type="dxa"/>
            <w:tcBorders>
              <w:top w:val="nil"/>
              <w:left w:val="nil"/>
              <w:bottom w:val="single" w:sz="4" w:space="0" w:color="auto"/>
              <w:right w:val="single" w:sz="4" w:space="0" w:color="auto"/>
            </w:tcBorders>
            <w:shd w:val="clear" w:color="auto" w:fill="auto"/>
            <w:vAlign w:val="center"/>
            <w:hideMark/>
          </w:tcPr>
          <w:p w14:paraId="626ED012" w14:textId="77777777" w:rsidR="00CA53C8" w:rsidRPr="00CA53C8" w:rsidRDefault="00CA53C8" w:rsidP="00CA53C8">
            <w:pPr>
              <w:jc w:val="center"/>
              <w:rPr>
                <w:rFonts w:cs="Arial"/>
                <w:color w:val="000000"/>
                <w:sz w:val="18"/>
                <w:szCs w:val="18"/>
                <w:lang w:val="en-US" w:eastAsia="en-US"/>
              </w:rPr>
            </w:pPr>
            <w:r w:rsidRPr="00CA53C8">
              <w:rPr>
                <w:rFonts w:cs="Arial"/>
                <w:color w:val="000000"/>
                <w:sz w:val="18"/>
                <w:szCs w:val="18"/>
                <w:lang w:val="en-US" w:eastAsia="en-US"/>
              </w:rPr>
              <w:t>F x G</w:t>
            </w:r>
          </w:p>
        </w:tc>
        <w:tc>
          <w:tcPr>
            <w:tcW w:w="1160" w:type="dxa"/>
            <w:tcBorders>
              <w:top w:val="nil"/>
              <w:left w:val="nil"/>
              <w:bottom w:val="single" w:sz="4" w:space="0" w:color="auto"/>
              <w:right w:val="single" w:sz="4" w:space="0" w:color="auto"/>
            </w:tcBorders>
            <w:shd w:val="clear" w:color="auto" w:fill="auto"/>
            <w:vAlign w:val="center"/>
            <w:hideMark/>
          </w:tcPr>
          <w:p w14:paraId="503138A0" w14:textId="77777777" w:rsidR="00CA53C8" w:rsidRPr="00CA53C8" w:rsidRDefault="00CA53C8" w:rsidP="00CA53C8">
            <w:pPr>
              <w:jc w:val="center"/>
              <w:rPr>
                <w:rFonts w:cs="Arial"/>
                <w:color w:val="000000"/>
                <w:sz w:val="18"/>
                <w:szCs w:val="18"/>
                <w:lang w:val="en-US" w:eastAsia="en-US"/>
              </w:rPr>
            </w:pPr>
            <w:r w:rsidRPr="00CA53C8">
              <w:rPr>
                <w:rFonts w:cs="Arial"/>
                <w:color w:val="000000"/>
                <w:sz w:val="18"/>
                <w:szCs w:val="18"/>
                <w:lang w:val="en-US" w:eastAsia="en-US"/>
              </w:rPr>
              <w:t>776</w:t>
            </w:r>
          </w:p>
        </w:tc>
        <w:tc>
          <w:tcPr>
            <w:tcW w:w="1066" w:type="dxa"/>
            <w:tcBorders>
              <w:top w:val="nil"/>
              <w:left w:val="nil"/>
              <w:bottom w:val="single" w:sz="4" w:space="0" w:color="auto"/>
              <w:right w:val="single" w:sz="4" w:space="0" w:color="auto"/>
            </w:tcBorders>
            <w:shd w:val="clear" w:color="auto" w:fill="auto"/>
            <w:vAlign w:val="center"/>
            <w:hideMark/>
          </w:tcPr>
          <w:p w14:paraId="0B563628" w14:textId="77777777" w:rsidR="00CA53C8" w:rsidRPr="00CA53C8" w:rsidRDefault="00CA53C8" w:rsidP="00CA53C8">
            <w:pPr>
              <w:jc w:val="center"/>
              <w:rPr>
                <w:rFonts w:cs="Arial"/>
                <w:color w:val="000000"/>
                <w:sz w:val="18"/>
                <w:szCs w:val="18"/>
                <w:lang w:val="en-US" w:eastAsia="en-US"/>
              </w:rPr>
            </w:pPr>
            <w:r w:rsidRPr="00CA53C8">
              <w:rPr>
                <w:rFonts w:cs="Arial"/>
                <w:color w:val="000000"/>
                <w:sz w:val="18"/>
                <w:szCs w:val="18"/>
                <w:lang w:val="en-US" w:eastAsia="en-US"/>
              </w:rPr>
              <w:t>790</w:t>
            </w:r>
          </w:p>
        </w:tc>
        <w:tc>
          <w:tcPr>
            <w:tcW w:w="1017" w:type="dxa"/>
            <w:tcBorders>
              <w:top w:val="nil"/>
              <w:left w:val="nil"/>
              <w:bottom w:val="single" w:sz="4" w:space="0" w:color="auto"/>
              <w:right w:val="single" w:sz="4" w:space="0" w:color="auto"/>
            </w:tcBorders>
            <w:shd w:val="clear" w:color="auto" w:fill="auto"/>
            <w:vAlign w:val="center"/>
            <w:hideMark/>
          </w:tcPr>
          <w:p w14:paraId="056862D1" w14:textId="77777777" w:rsidR="00CA53C8" w:rsidRPr="00CA53C8" w:rsidRDefault="00CA53C8" w:rsidP="00CA53C8">
            <w:pPr>
              <w:jc w:val="center"/>
              <w:rPr>
                <w:rFonts w:cs="Arial"/>
                <w:color w:val="000000"/>
                <w:sz w:val="18"/>
                <w:szCs w:val="18"/>
                <w:lang w:val="en-US" w:eastAsia="en-US"/>
              </w:rPr>
            </w:pPr>
            <w:r w:rsidRPr="00CA53C8">
              <w:rPr>
                <w:rFonts w:cs="Arial"/>
                <w:color w:val="000000"/>
                <w:sz w:val="18"/>
                <w:szCs w:val="18"/>
                <w:lang w:val="en-US" w:eastAsia="en-US"/>
              </w:rPr>
              <w:t>803</w:t>
            </w:r>
          </w:p>
        </w:tc>
        <w:tc>
          <w:tcPr>
            <w:tcW w:w="1159" w:type="dxa"/>
            <w:tcBorders>
              <w:top w:val="nil"/>
              <w:left w:val="nil"/>
              <w:bottom w:val="single" w:sz="4" w:space="0" w:color="auto"/>
              <w:right w:val="single" w:sz="4" w:space="0" w:color="auto"/>
            </w:tcBorders>
            <w:shd w:val="clear" w:color="auto" w:fill="auto"/>
            <w:vAlign w:val="center"/>
            <w:hideMark/>
          </w:tcPr>
          <w:p w14:paraId="10A3ADF1" w14:textId="77777777" w:rsidR="00CA53C8" w:rsidRPr="00CA53C8" w:rsidRDefault="00CA53C8" w:rsidP="00CA53C8">
            <w:pPr>
              <w:jc w:val="center"/>
              <w:rPr>
                <w:rFonts w:cs="Arial"/>
                <w:color w:val="000000"/>
                <w:sz w:val="18"/>
                <w:szCs w:val="18"/>
                <w:lang w:val="en-US" w:eastAsia="en-US"/>
              </w:rPr>
            </w:pPr>
            <w:r w:rsidRPr="00CA53C8">
              <w:rPr>
                <w:rFonts w:cs="Arial"/>
                <w:color w:val="000000"/>
                <w:sz w:val="18"/>
                <w:szCs w:val="18"/>
                <w:lang w:val="en-US" w:eastAsia="en-US"/>
              </w:rPr>
              <w:t>816</w:t>
            </w:r>
          </w:p>
        </w:tc>
        <w:tc>
          <w:tcPr>
            <w:tcW w:w="1017" w:type="dxa"/>
            <w:tcBorders>
              <w:top w:val="nil"/>
              <w:left w:val="nil"/>
              <w:bottom w:val="single" w:sz="4" w:space="0" w:color="auto"/>
              <w:right w:val="single" w:sz="4" w:space="0" w:color="auto"/>
            </w:tcBorders>
            <w:shd w:val="clear" w:color="auto" w:fill="auto"/>
            <w:vAlign w:val="center"/>
            <w:hideMark/>
          </w:tcPr>
          <w:p w14:paraId="7254AAFF" w14:textId="77777777" w:rsidR="00CA53C8" w:rsidRPr="00CA53C8" w:rsidRDefault="00CA53C8" w:rsidP="00CA53C8">
            <w:pPr>
              <w:jc w:val="center"/>
              <w:rPr>
                <w:rFonts w:cs="Arial"/>
                <w:color w:val="000000"/>
                <w:sz w:val="18"/>
                <w:szCs w:val="18"/>
                <w:lang w:val="en-US" w:eastAsia="en-US"/>
              </w:rPr>
            </w:pPr>
            <w:r w:rsidRPr="00CA53C8">
              <w:rPr>
                <w:rFonts w:cs="Arial"/>
                <w:color w:val="000000"/>
                <w:sz w:val="18"/>
                <w:szCs w:val="18"/>
                <w:lang w:val="en-US" w:eastAsia="en-US"/>
              </w:rPr>
              <w:t>829</w:t>
            </w:r>
          </w:p>
        </w:tc>
        <w:tc>
          <w:tcPr>
            <w:tcW w:w="1006" w:type="dxa"/>
            <w:tcBorders>
              <w:top w:val="nil"/>
              <w:left w:val="nil"/>
              <w:bottom w:val="single" w:sz="4" w:space="0" w:color="auto"/>
              <w:right w:val="single" w:sz="8" w:space="0" w:color="auto"/>
            </w:tcBorders>
            <w:shd w:val="clear" w:color="auto" w:fill="auto"/>
            <w:vAlign w:val="center"/>
            <w:hideMark/>
          </w:tcPr>
          <w:p w14:paraId="3530FE89" w14:textId="77777777" w:rsidR="00CA53C8" w:rsidRPr="00CA53C8" w:rsidRDefault="00CA53C8" w:rsidP="00CA53C8">
            <w:pPr>
              <w:jc w:val="center"/>
              <w:rPr>
                <w:rFonts w:cs="Arial"/>
                <w:color w:val="000000"/>
                <w:sz w:val="18"/>
                <w:szCs w:val="18"/>
                <w:lang w:val="en-US" w:eastAsia="en-US"/>
              </w:rPr>
            </w:pPr>
            <w:r w:rsidRPr="00CA53C8">
              <w:rPr>
                <w:rFonts w:cs="Arial"/>
                <w:color w:val="000000"/>
                <w:sz w:val="18"/>
                <w:szCs w:val="18"/>
                <w:lang w:val="en-US" w:eastAsia="en-US"/>
              </w:rPr>
              <w:t>844</w:t>
            </w:r>
          </w:p>
        </w:tc>
      </w:tr>
      <w:tr w:rsidR="00CA53C8" w:rsidRPr="00CA53C8" w14:paraId="68536033" w14:textId="77777777" w:rsidTr="00BF0EEF">
        <w:trPr>
          <w:trHeight w:val="660"/>
          <w:jc w:val="center"/>
        </w:trPr>
        <w:tc>
          <w:tcPr>
            <w:tcW w:w="3146" w:type="dxa"/>
            <w:tcBorders>
              <w:top w:val="nil"/>
              <w:left w:val="single" w:sz="4" w:space="0" w:color="auto"/>
              <w:bottom w:val="single" w:sz="4" w:space="0" w:color="auto"/>
              <w:right w:val="single" w:sz="4" w:space="0" w:color="auto"/>
            </w:tcBorders>
            <w:shd w:val="clear" w:color="auto" w:fill="auto"/>
            <w:vAlign w:val="center"/>
            <w:hideMark/>
          </w:tcPr>
          <w:p w14:paraId="5951F83E" w14:textId="77777777" w:rsidR="00CA53C8" w:rsidRPr="00CA53C8" w:rsidRDefault="00CA53C8" w:rsidP="00CA53C8">
            <w:pPr>
              <w:rPr>
                <w:rFonts w:cs="Arial"/>
                <w:color w:val="000000"/>
                <w:sz w:val="18"/>
                <w:szCs w:val="18"/>
                <w:lang w:val="en-US" w:eastAsia="en-US"/>
              </w:rPr>
            </w:pPr>
            <w:r w:rsidRPr="00CA53C8">
              <w:rPr>
                <w:rFonts w:cs="Arial"/>
                <w:color w:val="000000"/>
                <w:sz w:val="18"/>
                <w:szCs w:val="18"/>
                <w:lang w:val="en-US" w:eastAsia="en-US"/>
              </w:rPr>
              <w:t>Minimum number of services per year</w:t>
            </w:r>
          </w:p>
        </w:tc>
        <w:tc>
          <w:tcPr>
            <w:tcW w:w="1020" w:type="dxa"/>
            <w:tcBorders>
              <w:top w:val="nil"/>
              <w:left w:val="nil"/>
              <w:bottom w:val="single" w:sz="4" w:space="0" w:color="auto"/>
              <w:right w:val="single" w:sz="4" w:space="0" w:color="auto"/>
            </w:tcBorders>
            <w:shd w:val="clear" w:color="auto" w:fill="auto"/>
            <w:noWrap/>
            <w:vAlign w:val="center"/>
            <w:hideMark/>
          </w:tcPr>
          <w:p w14:paraId="38AD491A" w14:textId="77777777" w:rsidR="00CA53C8" w:rsidRPr="00CA53C8" w:rsidRDefault="00CA53C8" w:rsidP="00CA53C8">
            <w:pPr>
              <w:jc w:val="center"/>
              <w:rPr>
                <w:rFonts w:cs="Arial"/>
                <w:color w:val="000000"/>
                <w:sz w:val="18"/>
                <w:szCs w:val="18"/>
                <w:lang w:val="en-US" w:eastAsia="en-US"/>
              </w:rPr>
            </w:pPr>
            <w:r w:rsidRPr="00CA53C8">
              <w:rPr>
                <w:rFonts w:cs="Arial"/>
                <w:color w:val="000000"/>
                <w:sz w:val="18"/>
                <w:szCs w:val="18"/>
                <w:lang w:val="en-US" w:eastAsia="en-US"/>
              </w:rPr>
              <w:t>H / 15</w:t>
            </w:r>
          </w:p>
        </w:tc>
        <w:tc>
          <w:tcPr>
            <w:tcW w:w="1160" w:type="dxa"/>
            <w:tcBorders>
              <w:top w:val="nil"/>
              <w:left w:val="nil"/>
              <w:bottom w:val="single" w:sz="4" w:space="0" w:color="auto"/>
              <w:right w:val="single" w:sz="4" w:space="0" w:color="auto"/>
            </w:tcBorders>
            <w:shd w:val="clear" w:color="auto" w:fill="auto"/>
            <w:noWrap/>
            <w:vAlign w:val="center"/>
            <w:hideMark/>
          </w:tcPr>
          <w:p w14:paraId="6ADA3778" w14:textId="77777777" w:rsidR="00CA53C8" w:rsidRPr="00CA53C8" w:rsidRDefault="00CA53C8" w:rsidP="00CA53C8">
            <w:pPr>
              <w:jc w:val="center"/>
              <w:rPr>
                <w:rFonts w:cs="Arial"/>
                <w:color w:val="000000"/>
                <w:sz w:val="18"/>
                <w:szCs w:val="18"/>
                <w:lang w:val="en-US" w:eastAsia="en-US"/>
              </w:rPr>
            </w:pPr>
            <w:r w:rsidRPr="00CA53C8">
              <w:rPr>
                <w:rFonts w:cs="Arial"/>
                <w:color w:val="000000"/>
                <w:sz w:val="18"/>
                <w:szCs w:val="18"/>
                <w:lang w:val="en-US" w:eastAsia="en-US"/>
              </w:rPr>
              <w:t>52</w:t>
            </w:r>
          </w:p>
        </w:tc>
        <w:tc>
          <w:tcPr>
            <w:tcW w:w="1066" w:type="dxa"/>
            <w:tcBorders>
              <w:top w:val="nil"/>
              <w:left w:val="nil"/>
              <w:bottom w:val="single" w:sz="4" w:space="0" w:color="auto"/>
              <w:right w:val="single" w:sz="4" w:space="0" w:color="auto"/>
            </w:tcBorders>
            <w:shd w:val="clear" w:color="auto" w:fill="auto"/>
            <w:noWrap/>
            <w:vAlign w:val="center"/>
            <w:hideMark/>
          </w:tcPr>
          <w:p w14:paraId="508EEC4E" w14:textId="77777777" w:rsidR="00CA53C8" w:rsidRPr="00CA53C8" w:rsidRDefault="00CA53C8" w:rsidP="00CA53C8">
            <w:pPr>
              <w:jc w:val="center"/>
              <w:rPr>
                <w:rFonts w:cs="Arial"/>
                <w:color w:val="000000"/>
                <w:sz w:val="18"/>
                <w:szCs w:val="18"/>
                <w:lang w:val="en-US" w:eastAsia="en-US"/>
              </w:rPr>
            </w:pPr>
            <w:r w:rsidRPr="00CA53C8">
              <w:rPr>
                <w:rFonts w:cs="Arial"/>
                <w:color w:val="000000"/>
                <w:sz w:val="18"/>
                <w:szCs w:val="18"/>
                <w:lang w:val="en-US" w:eastAsia="en-US"/>
              </w:rPr>
              <w:t>53</w:t>
            </w:r>
          </w:p>
        </w:tc>
        <w:tc>
          <w:tcPr>
            <w:tcW w:w="1017" w:type="dxa"/>
            <w:tcBorders>
              <w:top w:val="nil"/>
              <w:left w:val="nil"/>
              <w:bottom w:val="single" w:sz="4" w:space="0" w:color="auto"/>
              <w:right w:val="single" w:sz="4" w:space="0" w:color="auto"/>
            </w:tcBorders>
            <w:shd w:val="clear" w:color="auto" w:fill="auto"/>
            <w:noWrap/>
            <w:vAlign w:val="center"/>
            <w:hideMark/>
          </w:tcPr>
          <w:p w14:paraId="160C53F7" w14:textId="77777777" w:rsidR="00CA53C8" w:rsidRPr="00CA53C8" w:rsidRDefault="00CA53C8" w:rsidP="00CA53C8">
            <w:pPr>
              <w:jc w:val="center"/>
              <w:rPr>
                <w:rFonts w:cs="Arial"/>
                <w:color w:val="000000"/>
                <w:sz w:val="18"/>
                <w:szCs w:val="18"/>
                <w:lang w:val="en-US" w:eastAsia="en-US"/>
              </w:rPr>
            </w:pPr>
            <w:r w:rsidRPr="00CA53C8">
              <w:rPr>
                <w:rFonts w:cs="Arial"/>
                <w:color w:val="000000"/>
                <w:sz w:val="18"/>
                <w:szCs w:val="18"/>
                <w:lang w:val="en-US" w:eastAsia="en-US"/>
              </w:rPr>
              <w:t>54</w:t>
            </w:r>
          </w:p>
        </w:tc>
        <w:tc>
          <w:tcPr>
            <w:tcW w:w="1159" w:type="dxa"/>
            <w:tcBorders>
              <w:top w:val="nil"/>
              <w:left w:val="nil"/>
              <w:bottom w:val="single" w:sz="4" w:space="0" w:color="auto"/>
              <w:right w:val="single" w:sz="4" w:space="0" w:color="auto"/>
            </w:tcBorders>
            <w:shd w:val="clear" w:color="auto" w:fill="auto"/>
            <w:noWrap/>
            <w:vAlign w:val="center"/>
            <w:hideMark/>
          </w:tcPr>
          <w:p w14:paraId="71FDE639" w14:textId="77777777" w:rsidR="00CA53C8" w:rsidRPr="00CA53C8" w:rsidRDefault="00CA53C8" w:rsidP="00CA53C8">
            <w:pPr>
              <w:jc w:val="center"/>
              <w:rPr>
                <w:rFonts w:cs="Arial"/>
                <w:color w:val="000000"/>
                <w:sz w:val="18"/>
                <w:szCs w:val="18"/>
                <w:lang w:val="en-US" w:eastAsia="en-US"/>
              </w:rPr>
            </w:pPr>
            <w:r w:rsidRPr="00CA53C8">
              <w:rPr>
                <w:rFonts w:cs="Arial"/>
                <w:color w:val="000000"/>
                <w:sz w:val="18"/>
                <w:szCs w:val="18"/>
                <w:lang w:val="en-US" w:eastAsia="en-US"/>
              </w:rPr>
              <w:t>54</w:t>
            </w:r>
          </w:p>
        </w:tc>
        <w:tc>
          <w:tcPr>
            <w:tcW w:w="1017" w:type="dxa"/>
            <w:tcBorders>
              <w:top w:val="nil"/>
              <w:left w:val="nil"/>
              <w:bottom w:val="single" w:sz="4" w:space="0" w:color="auto"/>
              <w:right w:val="single" w:sz="4" w:space="0" w:color="auto"/>
            </w:tcBorders>
            <w:shd w:val="clear" w:color="auto" w:fill="auto"/>
            <w:noWrap/>
            <w:vAlign w:val="center"/>
            <w:hideMark/>
          </w:tcPr>
          <w:p w14:paraId="3475FB17" w14:textId="77777777" w:rsidR="00CA53C8" w:rsidRPr="00CA53C8" w:rsidRDefault="00CA53C8" w:rsidP="00CA53C8">
            <w:pPr>
              <w:jc w:val="center"/>
              <w:rPr>
                <w:rFonts w:cs="Arial"/>
                <w:color w:val="000000"/>
                <w:sz w:val="18"/>
                <w:szCs w:val="18"/>
                <w:lang w:val="en-US" w:eastAsia="en-US"/>
              </w:rPr>
            </w:pPr>
            <w:r w:rsidRPr="00CA53C8">
              <w:rPr>
                <w:rFonts w:cs="Arial"/>
                <w:color w:val="000000"/>
                <w:sz w:val="18"/>
                <w:szCs w:val="18"/>
                <w:lang w:val="en-US" w:eastAsia="en-US"/>
              </w:rPr>
              <w:t>55</w:t>
            </w:r>
          </w:p>
        </w:tc>
        <w:tc>
          <w:tcPr>
            <w:tcW w:w="1006" w:type="dxa"/>
            <w:tcBorders>
              <w:top w:val="nil"/>
              <w:left w:val="nil"/>
              <w:bottom w:val="single" w:sz="4" w:space="0" w:color="auto"/>
              <w:right w:val="single" w:sz="8" w:space="0" w:color="auto"/>
            </w:tcBorders>
            <w:shd w:val="clear" w:color="auto" w:fill="auto"/>
            <w:noWrap/>
            <w:vAlign w:val="center"/>
            <w:hideMark/>
          </w:tcPr>
          <w:p w14:paraId="2D2E67DD" w14:textId="77777777" w:rsidR="00CA53C8" w:rsidRPr="00CA53C8" w:rsidRDefault="00CA53C8" w:rsidP="00CA53C8">
            <w:pPr>
              <w:jc w:val="center"/>
              <w:rPr>
                <w:rFonts w:cs="Arial"/>
                <w:color w:val="000000"/>
                <w:sz w:val="18"/>
                <w:szCs w:val="18"/>
                <w:lang w:val="en-US" w:eastAsia="en-US"/>
              </w:rPr>
            </w:pPr>
            <w:r w:rsidRPr="00CA53C8">
              <w:rPr>
                <w:rFonts w:cs="Arial"/>
                <w:color w:val="000000"/>
                <w:sz w:val="18"/>
                <w:szCs w:val="18"/>
                <w:lang w:val="en-US" w:eastAsia="en-US"/>
              </w:rPr>
              <w:t>56</w:t>
            </w:r>
          </w:p>
        </w:tc>
      </w:tr>
      <w:tr w:rsidR="00CA53C8" w:rsidRPr="00CA53C8" w14:paraId="659494C2" w14:textId="77777777" w:rsidTr="00BF0EEF">
        <w:trPr>
          <w:trHeight w:val="615"/>
          <w:jc w:val="center"/>
        </w:trPr>
        <w:tc>
          <w:tcPr>
            <w:tcW w:w="3146" w:type="dxa"/>
            <w:tcBorders>
              <w:top w:val="nil"/>
              <w:left w:val="single" w:sz="4" w:space="0" w:color="auto"/>
              <w:bottom w:val="single" w:sz="4" w:space="0" w:color="auto"/>
              <w:right w:val="single" w:sz="4" w:space="0" w:color="auto"/>
            </w:tcBorders>
            <w:shd w:val="clear" w:color="auto" w:fill="auto"/>
            <w:vAlign w:val="center"/>
            <w:hideMark/>
          </w:tcPr>
          <w:p w14:paraId="619E7957" w14:textId="77777777" w:rsidR="00CA53C8" w:rsidRPr="00CA53C8" w:rsidRDefault="00CA53C8" w:rsidP="00CA53C8">
            <w:pPr>
              <w:rPr>
                <w:rFonts w:cs="Arial"/>
                <w:color w:val="000000"/>
                <w:sz w:val="18"/>
                <w:szCs w:val="18"/>
                <w:lang w:val="en-US" w:eastAsia="en-US"/>
              </w:rPr>
            </w:pPr>
            <w:r w:rsidRPr="00CA53C8">
              <w:rPr>
                <w:rFonts w:cs="Arial"/>
                <w:color w:val="000000"/>
                <w:sz w:val="18"/>
                <w:szCs w:val="18"/>
                <w:lang w:val="en-US" w:eastAsia="en-US"/>
              </w:rPr>
              <w:t>Maximum number of services per year</w:t>
            </w:r>
          </w:p>
        </w:tc>
        <w:tc>
          <w:tcPr>
            <w:tcW w:w="1020" w:type="dxa"/>
            <w:tcBorders>
              <w:top w:val="nil"/>
              <w:left w:val="nil"/>
              <w:bottom w:val="single" w:sz="4" w:space="0" w:color="auto"/>
              <w:right w:val="single" w:sz="4" w:space="0" w:color="auto"/>
            </w:tcBorders>
            <w:shd w:val="clear" w:color="auto" w:fill="auto"/>
            <w:noWrap/>
            <w:vAlign w:val="center"/>
            <w:hideMark/>
          </w:tcPr>
          <w:p w14:paraId="17A1DF44" w14:textId="77777777" w:rsidR="00CA53C8" w:rsidRPr="00CA53C8" w:rsidRDefault="00CA53C8" w:rsidP="00CA53C8">
            <w:pPr>
              <w:jc w:val="center"/>
              <w:rPr>
                <w:rFonts w:cs="Arial"/>
                <w:color w:val="000000"/>
                <w:sz w:val="18"/>
                <w:szCs w:val="18"/>
                <w:lang w:val="en-US" w:eastAsia="en-US"/>
              </w:rPr>
            </w:pPr>
            <w:r w:rsidRPr="00CA53C8">
              <w:rPr>
                <w:rFonts w:cs="Arial"/>
                <w:color w:val="000000"/>
                <w:sz w:val="18"/>
                <w:szCs w:val="18"/>
                <w:lang w:val="en-US" w:eastAsia="en-US"/>
              </w:rPr>
              <w:t>H / 10</w:t>
            </w:r>
          </w:p>
        </w:tc>
        <w:tc>
          <w:tcPr>
            <w:tcW w:w="1160" w:type="dxa"/>
            <w:tcBorders>
              <w:top w:val="nil"/>
              <w:left w:val="nil"/>
              <w:bottom w:val="single" w:sz="4" w:space="0" w:color="auto"/>
              <w:right w:val="single" w:sz="4" w:space="0" w:color="auto"/>
            </w:tcBorders>
            <w:shd w:val="clear" w:color="auto" w:fill="auto"/>
            <w:noWrap/>
            <w:vAlign w:val="center"/>
            <w:hideMark/>
          </w:tcPr>
          <w:p w14:paraId="37FEF351" w14:textId="77777777" w:rsidR="00CA53C8" w:rsidRPr="00CA53C8" w:rsidRDefault="00CA53C8" w:rsidP="00CA53C8">
            <w:pPr>
              <w:jc w:val="center"/>
              <w:rPr>
                <w:rFonts w:cs="Arial"/>
                <w:color w:val="000000"/>
                <w:sz w:val="18"/>
                <w:szCs w:val="18"/>
                <w:lang w:val="en-US" w:eastAsia="en-US"/>
              </w:rPr>
            </w:pPr>
            <w:r w:rsidRPr="00CA53C8">
              <w:rPr>
                <w:rFonts w:cs="Arial"/>
                <w:color w:val="000000"/>
                <w:sz w:val="18"/>
                <w:szCs w:val="18"/>
                <w:lang w:val="en-US" w:eastAsia="en-US"/>
              </w:rPr>
              <w:t>78</w:t>
            </w:r>
          </w:p>
        </w:tc>
        <w:tc>
          <w:tcPr>
            <w:tcW w:w="1066" w:type="dxa"/>
            <w:tcBorders>
              <w:top w:val="nil"/>
              <w:left w:val="nil"/>
              <w:bottom w:val="single" w:sz="4" w:space="0" w:color="auto"/>
              <w:right w:val="single" w:sz="4" w:space="0" w:color="auto"/>
            </w:tcBorders>
            <w:shd w:val="clear" w:color="auto" w:fill="auto"/>
            <w:noWrap/>
            <w:vAlign w:val="center"/>
            <w:hideMark/>
          </w:tcPr>
          <w:p w14:paraId="4AC94C6F" w14:textId="77777777" w:rsidR="00CA53C8" w:rsidRPr="00CA53C8" w:rsidRDefault="00CA53C8" w:rsidP="00CA53C8">
            <w:pPr>
              <w:jc w:val="center"/>
              <w:rPr>
                <w:rFonts w:cs="Arial"/>
                <w:color w:val="000000"/>
                <w:sz w:val="18"/>
                <w:szCs w:val="18"/>
                <w:lang w:val="en-US" w:eastAsia="en-US"/>
              </w:rPr>
            </w:pPr>
            <w:r w:rsidRPr="00CA53C8">
              <w:rPr>
                <w:rFonts w:cs="Arial"/>
                <w:color w:val="000000"/>
                <w:sz w:val="18"/>
                <w:szCs w:val="18"/>
                <w:lang w:val="en-US" w:eastAsia="en-US"/>
              </w:rPr>
              <w:t>79</w:t>
            </w:r>
          </w:p>
        </w:tc>
        <w:tc>
          <w:tcPr>
            <w:tcW w:w="1017" w:type="dxa"/>
            <w:tcBorders>
              <w:top w:val="nil"/>
              <w:left w:val="nil"/>
              <w:bottom w:val="single" w:sz="4" w:space="0" w:color="auto"/>
              <w:right w:val="single" w:sz="4" w:space="0" w:color="auto"/>
            </w:tcBorders>
            <w:shd w:val="clear" w:color="auto" w:fill="auto"/>
            <w:noWrap/>
            <w:vAlign w:val="center"/>
            <w:hideMark/>
          </w:tcPr>
          <w:p w14:paraId="27860848" w14:textId="77777777" w:rsidR="00CA53C8" w:rsidRPr="00CA53C8" w:rsidRDefault="00CA53C8" w:rsidP="00CA53C8">
            <w:pPr>
              <w:jc w:val="center"/>
              <w:rPr>
                <w:rFonts w:cs="Arial"/>
                <w:color w:val="000000"/>
                <w:sz w:val="18"/>
                <w:szCs w:val="18"/>
                <w:lang w:val="en-US" w:eastAsia="en-US"/>
              </w:rPr>
            </w:pPr>
            <w:r w:rsidRPr="00CA53C8">
              <w:rPr>
                <w:rFonts w:cs="Arial"/>
                <w:color w:val="000000"/>
                <w:sz w:val="18"/>
                <w:szCs w:val="18"/>
                <w:lang w:val="en-US" w:eastAsia="en-US"/>
              </w:rPr>
              <w:t>80</w:t>
            </w:r>
          </w:p>
        </w:tc>
        <w:tc>
          <w:tcPr>
            <w:tcW w:w="1159" w:type="dxa"/>
            <w:tcBorders>
              <w:top w:val="nil"/>
              <w:left w:val="nil"/>
              <w:bottom w:val="single" w:sz="4" w:space="0" w:color="auto"/>
              <w:right w:val="single" w:sz="4" w:space="0" w:color="auto"/>
            </w:tcBorders>
            <w:shd w:val="clear" w:color="auto" w:fill="auto"/>
            <w:noWrap/>
            <w:vAlign w:val="center"/>
            <w:hideMark/>
          </w:tcPr>
          <w:p w14:paraId="5BF87058" w14:textId="77777777" w:rsidR="00CA53C8" w:rsidRPr="00CA53C8" w:rsidRDefault="00CA53C8" w:rsidP="00CA53C8">
            <w:pPr>
              <w:jc w:val="center"/>
              <w:rPr>
                <w:rFonts w:cs="Arial"/>
                <w:color w:val="000000"/>
                <w:sz w:val="18"/>
                <w:szCs w:val="18"/>
                <w:lang w:val="en-US" w:eastAsia="en-US"/>
              </w:rPr>
            </w:pPr>
            <w:r w:rsidRPr="00CA53C8">
              <w:rPr>
                <w:rFonts w:cs="Arial"/>
                <w:color w:val="000000"/>
                <w:sz w:val="18"/>
                <w:szCs w:val="18"/>
                <w:lang w:val="en-US" w:eastAsia="en-US"/>
              </w:rPr>
              <w:t>82</w:t>
            </w:r>
          </w:p>
        </w:tc>
        <w:tc>
          <w:tcPr>
            <w:tcW w:w="1017" w:type="dxa"/>
            <w:tcBorders>
              <w:top w:val="nil"/>
              <w:left w:val="nil"/>
              <w:bottom w:val="single" w:sz="4" w:space="0" w:color="auto"/>
              <w:right w:val="single" w:sz="4" w:space="0" w:color="auto"/>
            </w:tcBorders>
            <w:shd w:val="clear" w:color="auto" w:fill="auto"/>
            <w:noWrap/>
            <w:vAlign w:val="center"/>
            <w:hideMark/>
          </w:tcPr>
          <w:p w14:paraId="64FAD707" w14:textId="77777777" w:rsidR="00CA53C8" w:rsidRPr="00CA53C8" w:rsidRDefault="00CA53C8" w:rsidP="00CA53C8">
            <w:pPr>
              <w:jc w:val="center"/>
              <w:rPr>
                <w:rFonts w:cs="Arial"/>
                <w:color w:val="000000"/>
                <w:sz w:val="18"/>
                <w:szCs w:val="18"/>
                <w:lang w:val="en-US" w:eastAsia="en-US"/>
              </w:rPr>
            </w:pPr>
            <w:r w:rsidRPr="00CA53C8">
              <w:rPr>
                <w:rFonts w:cs="Arial"/>
                <w:color w:val="000000"/>
                <w:sz w:val="18"/>
                <w:szCs w:val="18"/>
                <w:lang w:val="en-US" w:eastAsia="en-US"/>
              </w:rPr>
              <w:t>83</w:t>
            </w:r>
          </w:p>
        </w:tc>
        <w:tc>
          <w:tcPr>
            <w:tcW w:w="1006" w:type="dxa"/>
            <w:tcBorders>
              <w:top w:val="nil"/>
              <w:left w:val="nil"/>
              <w:bottom w:val="single" w:sz="4" w:space="0" w:color="auto"/>
              <w:right w:val="single" w:sz="8" w:space="0" w:color="auto"/>
            </w:tcBorders>
            <w:shd w:val="clear" w:color="auto" w:fill="auto"/>
            <w:noWrap/>
            <w:vAlign w:val="center"/>
            <w:hideMark/>
          </w:tcPr>
          <w:p w14:paraId="06181970" w14:textId="77777777" w:rsidR="00CA53C8" w:rsidRPr="00CA53C8" w:rsidRDefault="00CA53C8" w:rsidP="00CA53C8">
            <w:pPr>
              <w:jc w:val="center"/>
              <w:rPr>
                <w:rFonts w:cs="Arial"/>
                <w:color w:val="000000"/>
                <w:sz w:val="18"/>
                <w:szCs w:val="18"/>
                <w:lang w:val="en-US" w:eastAsia="en-US"/>
              </w:rPr>
            </w:pPr>
            <w:r w:rsidRPr="00CA53C8">
              <w:rPr>
                <w:rFonts w:cs="Arial"/>
                <w:color w:val="000000"/>
                <w:sz w:val="18"/>
                <w:szCs w:val="18"/>
                <w:lang w:val="en-US" w:eastAsia="en-US"/>
              </w:rPr>
              <w:t>84</w:t>
            </w:r>
          </w:p>
        </w:tc>
      </w:tr>
      <w:tr w:rsidR="00CA53C8" w:rsidRPr="00CA53C8" w14:paraId="2D5E7D01" w14:textId="77777777" w:rsidTr="00BF0EEF">
        <w:trPr>
          <w:trHeight w:val="720"/>
          <w:jc w:val="center"/>
        </w:trPr>
        <w:tc>
          <w:tcPr>
            <w:tcW w:w="3146" w:type="dxa"/>
            <w:tcBorders>
              <w:top w:val="nil"/>
              <w:left w:val="single" w:sz="4" w:space="0" w:color="auto"/>
              <w:bottom w:val="single" w:sz="8" w:space="0" w:color="auto"/>
              <w:right w:val="single" w:sz="4" w:space="0" w:color="auto"/>
            </w:tcBorders>
            <w:shd w:val="clear" w:color="auto" w:fill="auto"/>
            <w:vAlign w:val="center"/>
            <w:hideMark/>
          </w:tcPr>
          <w:p w14:paraId="101BC3BA" w14:textId="77777777" w:rsidR="00CA53C8" w:rsidRPr="00CA53C8" w:rsidRDefault="00CA53C8" w:rsidP="00CA53C8">
            <w:pPr>
              <w:rPr>
                <w:rFonts w:cs="Arial"/>
                <w:color w:val="000000"/>
                <w:sz w:val="18"/>
                <w:szCs w:val="18"/>
                <w:lang w:val="en-US" w:eastAsia="en-US"/>
              </w:rPr>
            </w:pPr>
            <w:r w:rsidRPr="00CA53C8">
              <w:rPr>
                <w:rFonts w:cs="Arial"/>
                <w:color w:val="000000"/>
                <w:sz w:val="18"/>
                <w:szCs w:val="18"/>
                <w:lang w:val="en-US" w:eastAsia="en-US"/>
              </w:rPr>
              <w:t>Mean number of services per year</w:t>
            </w:r>
          </w:p>
        </w:tc>
        <w:tc>
          <w:tcPr>
            <w:tcW w:w="1020" w:type="dxa"/>
            <w:tcBorders>
              <w:top w:val="nil"/>
              <w:left w:val="nil"/>
              <w:bottom w:val="single" w:sz="8" w:space="0" w:color="auto"/>
              <w:right w:val="single" w:sz="4" w:space="0" w:color="auto"/>
            </w:tcBorders>
            <w:shd w:val="clear" w:color="auto" w:fill="auto"/>
            <w:vAlign w:val="center"/>
            <w:hideMark/>
          </w:tcPr>
          <w:p w14:paraId="1430639B" w14:textId="77777777" w:rsidR="00CA53C8" w:rsidRPr="00CA53C8" w:rsidRDefault="00CA53C8" w:rsidP="00CA53C8">
            <w:pPr>
              <w:jc w:val="center"/>
              <w:rPr>
                <w:rFonts w:cs="Arial"/>
                <w:color w:val="000000"/>
                <w:sz w:val="18"/>
                <w:szCs w:val="18"/>
                <w:lang w:val="en-US" w:eastAsia="en-US"/>
              </w:rPr>
            </w:pPr>
            <w:r w:rsidRPr="00CA53C8">
              <w:rPr>
                <w:rFonts w:cs="Arial"/>
                <w:color w:val="000000"/>
                <w:sz w:val="18"/>
                <w:szCs w:val="18"/>
                <w:lang w:val="en-US" w:eastAsia="en-US"/>
              </w:rPr>
              <w:t>Average of I &amp; J</w:t>
            </w:r>
          </w:p>
        </w:tc>
        <w:tc>
          <w:tcPr>
            <w:tcW w:w="1160" w:type="dxa"/>
            <w:tcBorders>
              <w:top w:val="nil"/>
              <w:left w:val="nil"/>
              <w:bottom w:val="single" w:sz="8" w:space="0" w:color="auto"/>
              <w:right w:val="single" w:sz="4" w:space="0" w:color="auto"/>
            </w:tcBorders>
            <w:shd w:val="clear" w:color="auto" w:fill="auto"/>
            <w:vAlign w:val="center"/>
            <w:hideMark/>
          </w:tcPr>
          <w:p w14:paraId="1F69EB28" w14:textId="77777777" w:rsidR="00CA53C8" w:rsidRPr="00CA53C8" w:rsidRDefault="00CA53C8" w:rsidP="00CA53C8">
            <w:pPr>
              <w:jc w:val="center"/>
              <w:rPr>
                <w:rFonts w:cs="Arial"/>
                <w:b/>
                <w:bCs/>
                <w:color w:val="000000"/>
                <w:sz w:val="18"/>
                <w:szCs w:val="18"/>
                <w:lang w:val="en-US" w:eastAsia="en-US"/>
              </w:rPr>
            </w:pPr>
            <w:r w:rsidRPr="00CA53C8">
              <w:rPr>
                <w:rFonts w:cs="Arial"/>
                <w:b/>
                <w:bCs/>
                <w:color w:val="000000"/>
                <w:sz w:val="18"/>
                <w:szCs w:val="18"/>
                <w:lang w:val="en-US" w:eastAsia="en-US"/>
              </w:rPr>
              <w:t>65</w:t>
            </w:r>
          </w:p>
        </w:tc>
        <w:tc>
          <w:tcPr>
            <w:tcW w:w="1066" w:type="dxa"/>
            <w:tcBorders>
              <w:top w:val="nil"/>
              <w:left w:val="nil"/>
              <w:bottom w:val="single" w:sz="8" w:space="0" w:color="auto"/>
              <w:right w:val="single" w:sz="4" w:space="0" w:color="auto"/>
            </w:tcBorders>
            <w:shd w:val="clear" w:color="auto" w:fill="auto"/>
            <w:vAlign w:val="center"/>
            <w:hideMark/>
          </w:tcPr>
          <w:p w14:paraId="3D6F19B3" w14:textId="77777777" w:rsidR="00CA53C8" w:rsidRPr="00CA53C8" w:rsidRDefault="00CA53C8" w:rsidP="00CA53C8">
            <w:pPr>
              <w:jc w:val="center"/>
              <w:rPr>
                <w:rFonts w:cs="Arial"/>
                <w:b/>
                <w:bCs/>
                <w:color w:val="000000"/>
                <w:sz w:val="18"/>
                <w:szCs w:val="18"/>
                <w:lang w:val="en-US" w:eastAsia="en-US"/>
              </w:rPr>
            </w:pPr>
            <w:r w:rsidRPr="00CA53C8">
              <w:rPr>
                <w:rFonts w:cs="Arial"/>
                <w:b/>
                <w:bCs/>
                <w:color w:val="000000"/>
                <w:sz w:val="18"/>
                <w:szCs w:val="18"/>
                <w:lang w:val="en-US" w:eastAsia="en-US"/>
              </w:rPr>
              <w:t>66</w:t>
            </w:r>
          </w:p>
        </w:tc>
        <w:tc>
          <w:tcPr>
            <w:tcW w:w="1017" w:type="dxa"/>
            <w:tcBorders>
              <w:top w:val="nil"/>
              <w:left w:val="nil"/>
              <w:bottom w:val="single" w:sz="8" w:space="0" w:color="auto"/>
              <w:right w:val="single" w:sz="4" w:space="0" w:color="auto"/>
            </w:tcBorders>
            <w:shd w:val="clear" w:color="auto" w:fill="auto"/>
            <w:vAlign w:val="center"/>
            <w:hideMark/>
          </w:tcPr>
          <w:p w14:paraId="6A39BC65" w14:textId="77777777" w:rsidR="00CA53C8" w:rsidRPr="00CA53C8" w:rsidRDefault="00CA53C8" w:rsidP="00CA53C8">
            <w:pPr>
              <w:jc w:val="center"/>
              <w:rPr>
                <w:rFonts w:cs="Arial"/>
                <w:b/>
                <w:bCs/>
                <w:color w:val="000000"/>
                <w:sz w:val="18"/>
                <w:szCs w:val="18"/>
                <w:lang w:val="en-US" w:eastAsia="en-US"/>
              </w:rPr>
            </w:pPr>
            <w:r w:rsidRPr="00CA53C8">
              <w:rPr>
                <w:rFonts w:cs="Arial"/>
                <w:b/>
                <w:bCs/>
                <w:color w:val="000000"/>
                <w:sz w:val="18"/>
                <w:szCs w:val="18"/>
                <w:lang w:val="en-US" w:eastAsia="en-US"/>
              </w:rPr>
              <w:t>67</w:t>
            </w:r>
          </w:p>
        </w:tc>
        <w:tc>
          <w:tcPr>
            <w:tcW w:w="1159" w:type="dxa"/>
            <w:tcBorders>
              <w:top w:val="nil"/>
              <w:left w:val="nil"/>
              <w:bottom w:val="single" w:sz="8" w:space="0" w:color="auto"/>
              <w:right w:val="single" w:sz="4" w:space="0" w:color="auto"/>
            </w:tcBorders>
            <w:shd w:val="clear" w:color="auto" w:fill="auto"/>
            <w:vAlign w:val="center"/>
            <w:hideMark/>
          </w:tcPr>
          <w:p w14:paraId="43FD5CC3" w14:textId="77777777" w:rsidR="00CA53C8" w:rsidRPr="00CA53C8" w:rsidRDefault="00CA53C8" w:rsidP="00CA53C8">
            <w:pPr>
              <w:jc w:val="center"/>
              <w:rPr>
                <w:rFonts w:cs="Arial"/>
                <w:b/>
                <w:bCs/>
                <w:color w:val="000000"/>
                <w:sz w:val="18"/>
                <w:szCs w:val="18"/>
                <w:lang w:val="en-US" w:eastAsia="en-US"/>
              </w:rPr>
            </w:pPr>
            <w:r w:rsidRPr="00CA53C8">
              <w:rPr>
                <w:rFonts w:cs="Arial"/>
                <w:b/>
                <w:bCs/>
                <w:color w:val="000000"/>
                <w:sz w:val="18"/>
                <w:szCs w:val="18"/>
                <w:lang w:val="en-US" w:eastAsia="en-US"/>
              </w:rPr>
              <w:t>68</w:t>
            </w:r>
          </w:p>
        </w:tc>
        <w:tc>
          <w:tcPr>
            <w:tcW w:w="1017" w:type="dxa"/>
            <w:tcBorders>
              <w:top w:val="nil"/>
              <w:left w:val="nil"/>
              <w:bottom w:val="single" w:sz="8" w:space="0" w:color="auto"/>
              <w:right w:val="single" w:sz="4" w:space="0" w:color="auto"/>
            </w:tcBorders>
            <w:shd w:val="clear" w:color="auto" w:fill="auto"/>
            <w:vAlign w:val="center"/>
            <w:hideMark/>
          </w:tcPr>
          <w:p w14:paraId="69DC7828" w14:textId="77777777" w:rsidR="00CA53C8" w:rsidRPr="00CA53C8" w:rsidRDefault="00CA53C8" w:rsidP="00CA53C8">
            <w:pPr>
              <w:jc w:val="center"/>
              <w:rPr>
                <w:rFonts w:cs="Arial"/>
                <w:b/>
                <w:bCs/>
                <w:color w:val="000000"/>
                <w:sz w:val="18"/>
                <w:szCs w:val="18"/>
                <w:lang w:val="en-US" w:eastAsia="en-US"/>
              </w:rPr>
            </w:pPr>
            <w:r w:rsidRPr="00CA53C8">
              <w:rPr>
                <w:rFonts w:cs="Arial"/>
                <w:b/>
                <w:bCs/>
                <w:color w:val="000000"/>
                <w:sz w:val="18"/>
                <w:szCs w:val="18"/>
                <w:lang w:val="en-US" w:eastAsia="en-US"/>
              </w:rPr>
              <w:t>69</w:t>
            </w:r>
          </w:p>
        </w:tc>
        <w:tc>
          <w:tcPr>
            <w:tcW w:w="1006" w:type="dxa"/>
            <w:tcBorders>
              <w:top w:val="nil"/>
              <w:left w:val="nil"/>
              <w:bottom w:val="single" w:sz="8" w:space="0" w:color="auto"/>
              <w:right w:val="single" w:sz="8" w:space="0" w:color="auto"/>
            </w:tcBorders>
            <w:shd w:val="clear" w:color="auto" w:fill="auto"/>
            <w:vAlign w:val="center"/>
            <w:hideMark/>
          </w:tcPr>
          <w:p w14:paraId="49FA9622" w14:textId="77777777" w:rsidR="00CA53C8" w:rsidRPr="00CA53C8" w:rsidRDefault="00CA53C8" w:rsidP="00CA53C8">
            <w:pPr>
              <w:jc w:val="center"/>
              <w:rPr>
                <w:rFonts w:cs="Arial"/>
                <w:b/>
                <w:bCs/>
                <w:color w:val="000000"/>
                <w:sz w:val="18"/>
                <w:szCs w:val="18"/>
                <w:lang w:val="en-US" w:eastAsia="en-US"/>
              </w:rPr>
            </w:pPr>
            <w:r w:rsidRPr="00CA53C8">
              <w:rPr>
                <w:rFonts w:cs="Arial"/>
                <w:b/>
                <w:bCs/>
                <w:color w:val="000000"/>
                <w:sz w:val="18"/>
                <w:szCs w:val="18"/>
                <w:lang w:val="en-US" w:eastAsia="en-US"/>
              </w:rPr>
              <w:t>70</w:t>
            </w:r>
          </w:p>
        </w:tc>
      </w:tr>
    </w:tbl>
    <w:p w14:paraId="1809560C" w14:textId="050D15A8" w:rsidR="007B1699" w:rsidRDefault="007B1699" w:rsidP="00137B87">
      <w:pPr>
        <w:spacing w:line="360" w:lineRule="auto"/>
        <w:jc w:val="both"/>
        <w:rPr>
          <w:rFonts w:cs="Arial"/>
          <w:highlight w:val="lightGray"/>
        </w:rPr>
      </w:pPr>
    </w:p>
    <w:p w14:paraId="46B84A8B" w14:textId="5F1BDFC0" w:rsidR="00137B87" w:rsidRPr="00137B87" w:rsidRDefault="00C033C3" w:rsidP="00137B87">
      <w:pPr>
        <w:spacing w:line="360" w:lineRule="auto"/>
        <w:jc w:val="both"/>
        <w:rPr>
          <w:rFonts w:cs="Arial"/>
        </w:rPr>
      </w:pPr>
      <w:r>
        <w:rPr>
          <w:rFonts w:cs="Arial"/>
        </w:rPr>
        <w:t xml:space="preserve">The estimated difference in the mean number of services per year </w:t>
      </w:r>
      <w:r w:rsidR="00137B87" w:rsidRPr="00137B87">
        <w:rPr>
          <w:rFonts w:cs="Arial"/>
        </w:rPr>
        <w:t xml:space="preserve">will </w:t>
      </w:r>
      <w:r w:rsidR="00137B87">
        <w:rPr>
          <w:rFonts w:cs="Arial"/>
        </w:rPr>
        <w:t xml:space="preserve">affect the overall costs for the proposed intervention as can be seen from the calculations in Appendix G, and </w:t>
      </w:r>
      <w:r w:rsidR="00137B87">
        <w:rPr>
          <w:rFonts w:cs="Arial"/>
        </w:rPr>
        <w:fldChar w:fldCharType="begin"/>
      </w:r>
      <w:r w:rsidR="00137B87">
        <w:rPr>
          <w:rFonts w:cs="Arial"/>
        </w:rPr>
        <w:instrText xml:space="preserve"> REF _Ref431909964 \h </w:instrText>
      </w:r>
      <w:r w:rsidR="00137B87">
        <w:rPr>
          <w:rFonts w:cs="Arial"/>
        </w:rPr>
      </w:r>
      <w:r w:rsidR="00137B87">
        <w:rPr>
          <w:rFonts w:cs="Arial"/>
        </w:rPr>
        <w:fldChar w:fldCharType="separate"/>
      </w:r>
      <w:r w:rsidR="00137B87" w:rsidRPr="00A83F80">
        <w:rPr>
          <w:rFonts w:cs="Arial"/>
        </w:rPr>
        <w:t xml:space="preserve">Table </w:t>
      </w:r>
      <w:r w:rsidR="00137B87">
        <w:rPr>
          <w:rFonts w:cs="Arial"/>
          <w:noProof/>
        </w:rPr>
        <w:t>72</w:t>
      </w:r>
      <w:r w:rsidR="00137B87">
        <w:rPr>
          <w:rFonts w:cs="Arial"/>
        </w:rPr>
        <w:fldChar w:fldCharType="end"/>
      </w:r>
      <w:r w:rsidR="00137B87">
        <w:rPr>
          <w:rFonts w:cs="Arial"/>
        </w:rPr>
        <w:t>.</w:t>
      </w:r>
    </w:p>
    <w:p w14:paraId="3936BC43" w14:textId="77777777" w:rsidR="007B1699" w:rsidRPr="00137B87" w:rsidRDefault="007B1699" w:rsidP="00137B87">
      <w:pPr>
        <w:spacing w:line="360" w:lineRule="auto"/>
        <w:jc w:val="both"/>
        <w:rPr>
          <w:rFonts w:cs="Arial"/>
        </w:rPr>
      </w:pPr>
    </w:p>
    <w:p w14:paraId="7E994607" w14:textId="77777777" w:rsidR="007B1699" w:rsidRDefault="007B1699" w:rsidP="00BF4FBB">
      <w:pPr>
        <w:pStyle w:val="Textbody"/>
        <w:rPr>
          <w:lang w:val="en-AU"/>
        </w:rPr>
      </w:pPr>
    </w:p>
    <w:p w14:paraId="4BF79FE8" w14:textId="77777777" w:rsidR="00137B87" w:rsidRDefault="00137B87" w:rsidP="00BF4FBB">
      <w:pPr>
        <w:pStyle w:val="Textbody"/>
        <w:rPr>
          <w:lang w:val="en-AU"/>
        </w:rPr>
      </w:pPr>
    </w:p>
    <w:p w14:paraId="60E69C0B" w14:textId="77777777" w:rsidR="00137B87" w:rsidRDefault="00137B87" w:rsidP="00BF4FBB">
      <w:pPr>
        <w:pStyle w:val="Textbody"/>
        <w:rPr>
          <w:lang w:val="en-AU"/>
        </w:rPr>
        <w:sectPr w:rsidR="00137B87" w:rsidSect="00695C41">
          <w:pgSz w:w="11907" w:h="16840" w:code="9"/>
          <w:pgMar w:top="1418" w:right="1418" w:bottom="1701" w:left="1814" w:header="720" w:footer="720" w:gutter="0"/>
          <w:paperSrc w:first="7" w:other="7"/>
          <w:cols w:space="720"/>
          <w:noEndnote/>
          <w:docGrid w:linePitch="299"/>
        </w:sectPr>
      </w:pPr>
    </w:p>
    <w:p w14:paraId="5025C6CF" w14:textId="31EFD59A" w:rsidR="00137B87" w:rsidRPr="00E0477C" w:rsidRDefault="00137B87" w:rsidP="00137B87">
      <w:pPr>
        <w:pStyle w:val="Caption"/>
        <w:rPr>
          <w:rFonts w:ascii="Arial" w:hAnsi="Arial" w:cs="Arial"/>
          <w:lang w:val="en-AU"/>
        </w:rPr>
      </w:pPr>
      <w:bookmarkStart w:id="665" w:name="_Ref431909964"/>
      <w:bookmarkStart w:id="666" w:name="_Toc431917532"/>
      <w:r w:rsidRPr="00A83F80">
        <w:rPr>
          <w:rFonts w:ascii="Arial" w:hAnsi="Arial" w:cs="Arial"/>
        </w:rPr>
        <w:lastRenderedPageBreak/>
        <w:t xml:space="preserve">Table </w:t>
      </w:r>
      <w:r w:rsidRPr="00A83F80">
        <w:rPr>
          <w:rFonts w:ascii="Arial" w:hAnsi="Arial" w:cs="Arial"/>
        </w:rPr>
        <w:fldChar w:fldCharType="begin"/>
      </w:r>
      <w:r w:rsidRPr="00A83F80">
        <w:rPr>
          <w:rFonts w:ascii="Arial" w:hAnsi="Arial" w:cs="Arial"/>
        </w:rPr>
        <w:instrText xml:space="preserve"> SEQ Table \* ARABIC </w:instrText>
      </w:r>
      <w:r w:rsidRPr="00A83F80">
        <w:rPr>
          <w:rFonts w:ascii="Arial" w:hAnsi="Arial" w:cs="Arial"/>
        </w:rPr>
        <w:fldChar w:fldCharType="separate"/>
      </w:r>
      <w:r>
        <w:rPr>
          <w:rFonts w:ascii="Arial" w:hAnsi="Arial" w:cs="Arial"/>
          <w:noProof/>
        </w:rPr>
        <w:t>72</w:t>
      </w:r>
      <w:r w:rsidRPr="00A83F80">
        <w:rPr>
          <w:rFonts w:ascii="Arial" w:hAnsi="Arial" w:cs="Arial"/>
          <w:noProof/>
        </w:rPr>
        <w:fldChar w:fldCharType="end"/>
      </w:r>
      <w:bookmarkEnd w:id="665"/>
      <w:r w:rsidRPr="00A83F80">
        <w:rPr>
          <w:rFonts w:ascii="Arial" w:hAnsi="Arial" w:cs="Arial"/>
          <w:lang w:val="en-US"/>
        </w:rPr>
        <w:t>.-</w:t>
      </w:r>
      <w:r w:rsidRPr="00E0477C">
        <w:rPr>
          <w:rFonts w:ascii="Arial" w:hAnsi="Arial" w:cs="Arial"/>
          <w:lang w:val="en-AU"/>
        </w:rPr>
        <w:t xml:space="preserve"> </w:t>
      </w:r>
      <w:r>
        <w:rPr>
          <w:rFonts w:ascii="Arial" w:hAnsi="Arial" w:cs="Arial"/>
          <w:lang w:val="en-AU"/>
        </w:rPr>
        <w:t>Overall total costs of the intervention based on e</w:t>
      </w:r>
      <w:r w:rsidRPr="00E0477C">
        <w:rPr>
          <w:rFonts w:ascii="Arial" w:hAnsi="Arial" w:cs="Arial"/>
          <w:lang w:val="en-AU"/>
        </w:rPr>
        <w:t xml:space="preserve">stimated </w:t>
      </w:r>
      <w:r>
        <w:rPr>
          <w:rFonts w:ascii="Arial" w:hAnsi="Arial" w:cs="Arial"/>
          <w:lang w:val="en-AU"/>
        </w:rPr>
        <w:t>minimum number of MEI candidates (lower CI of possible candidates)</w:t>
      </w:r>
      <w:bookmarkEnd w:id="666"/>
    </w:p>
    <w:tbl>
      <w:tblPr>
        <w:tblW w:w="14189" w:type="dxa"/>
        <w:jc w:val="center"/>
        <w:tblLook w:val="04A0" w:firstRow="1" w:lastRow="0" w:firstColumn="1" w:lastColumn="0" w:noHBand="0" w:noVBand="1"/>
        <w:tblDescription w:val="Overall total costs of the intervention based on estimated minimum number of MEI candidates (lower CI of possible candidates)"/>
      </w:tblPr>
      <w:tblGrid>
        <w:gridCol w:w="639"/>
        <w:gridCol w:w="2353"/>
        <w:gridCol w:w="1107"/>
        <w:gridCol w:w="1592"/>
        <w:gridCol w:w="1664"/>
        <w:gridCol w:w="1764"/>
        <w:gridCol w:w="1764"/>
        <w:gridCol w:w="1764"/>
        <w:gridCol w:w="1542"/>
      </w:tblGrid>
      <w:tr w:rsidR="00D01F4D" w:rsidRPr="00D01F4D" w14:paraId="5A2DEA80" w14:textId="77777777" w:rsidTr="00BF0EEF">
        <w:trPr>
          <w:trHeight w:val="480"/>
          <w:jc w:val="center"/>
        </w:trPr>
        <w:tc>
          <w:tcPr>
            <w:tcW w:w="639"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90FB0E4" w14:textId="77777777" w:rsidR="00D01F4D" w:rsidRPr="00D01F4D" w:rsidRDefault="00D01F4D" w:rsidP="00D01F4D">
            <w:pPr>
              <w:rPr>
                <w:rFonts w:cs="Arial"/>
                <w:b/>
                <w:bCs/>
                <w:color w:val="000000"/>
                <w:sz w:val="20"/>
                <w:szCs w:val="20"/>
                <w:lang w:val="en-US" w:eastAsia="en-US"/>
              </w:rPr>
            </w:pPr>
            <w:r w:rsidRPr="00D01F4D">
              <w:rPr>
                <w:rFonts w:cs="Arial"/>
                <w:b/>
                <w:bCs/>
                <w:color w:val="000000"/>
                <w:sz w:val="20"/>
                <w:szCs w:val="20"/>
                <w:lang w:val="en-US" w:eastAsia="en-US"/>
              </w:rPr>
              <w:t> </w:t>
            </w:r>
          </w:p>
        </w:tc>
        <w:tc>
          <w:tcPr>
            <w:tcW w:w="2353" w:type="dxa"/>
            <w:tcBorders>
              <w:top w:val="single" w:sz="8" w:space="0" w:color="auto"/>
              <w:left w:val="nil"/>
              <w:bottom w:val="single" w:sz="4" w:space="0" w:color="auto"/>
              <w:right w:val="single" w:sz="4" w:space="0" w:color="auto"/>
            </w:tcBorders>
            <w:shd w:val="clear" w:color="auto" w:fill="auto"/>
            <w:vAlign w:val="center"/>
            <w:hideMark/>
          </w:tcPr>
          <w:p w14:paraId="4A0204C7" w14:textId="77777777" w:rsidR="00D01F4D" w:rsidRPr="00D01F4D" w:rsidRDefault="00D01F4D" w:rsidP="00D01F4D">
            <w:pPr>
              <w:rPr>
                <w:rFonts w:cs="Arial"/>
                <w:b/>
                <w:bCs/>
                <w:color w:val="000000"/>
                <w:sz w:val="20"/>
                <w:szCs w:val="20"/>
                <w:lang w:val="en-US" w:eastAsia="en-US"/>
              </w:rPr>
            </w:pPr>
            <w:r w:rsidRPr="00D01F4D">
              <w:rPr>
                <w:rFonts w:cs="Arial"/>
                <w:b/>
                <w:bCs/>
                <w:color w:val="000000"/>
                <w:sz w:val="20"/>
                <w:szCs w:val="20"/>
                <w:lang w:val="en-US" w:eastAsia="en-US"/>
              </w:rPr>
              <w:t>Description</w:t>
            </w:r>
          </w:p>
        </w:tc>
        <w:tc>
          <w:tcPr>
            <w:tcW w:w="1107" w:type="dxa"/>
            <w:tcBorders>
              <w:top w:val="single" w:sz="8" w:space="0" w:color="auto"/>
              <w:left w:val="nil"/>
              <w:bottom w:val="single" w:sz="4" w:space="0" w:color="auto"/>
              <w:right w:val="single" w:sz="4" w:space="0" w:color="auto"/>
            </w:tcBorders>
            <w:shd w:val="clear" w:color="auto" w:fill="auto"/>
            <w:vAlign w:val="center"/>
            <w:hideMark/>
          </w:tcPr>
          <w:p w14:paraId="4A7E19FD" w14:textId="77777777" w:rsidR="00D01F4D" w:rsidRPr="00D01F4D" w:rsidRDefault="00D01F4D" w:rsidP="00D01F4D">
            <w:pPr>
              <w:jc w:val="center"/>
              <w:rPr>
                <w:rFonts w:cs="Arial"/>
                <w:b/>
                <w:bCs/>
                <w:color w:val="000000"/>
                <w:sz w:val="16"/>
                <w:szCs w:val="16"/>
                <w:lang w:val="en-US" w:eastAsia="en-US"/>
              </w:rPr>
            </w:pPr>
            <w:r w:rsidRPr="00D01F4D">
              <w:rPr>
                <w:rFonts w:cs="Arial"/>
                <w:b/>
                <w:bCs/>
                <w:color w:val="000000"/>
                <w:sz w:val="16"/>
                <w:szCs w:val="16"/>
                <w:lang w:val="en-US" w:eastAsia="en-US"/>
              </w:rPr>
              <w:t>Method</w:t>
            </w:r>
          </w:p>
        </w:tc>
        <w:tc>
          <w:tcPr>
            <w:tcW w:w="1592" w:type="dxa"/>
            <w:tcBorders>
              <w:top w:val="single" w:sz="8" w:space="0" w:color="auto"/>
              <w:left w:val="nil"/>
              <w:bottom w:val="single" w:sz="4" w:space="0" w:color="auto"/>
              <w:right w:val="single" w:sz="4" w:space="0" w:color="auto"/>
            </w:tcBorders>
            <w:shd w:val="clear" w:color="auto" w:fill="auto"/>
            <w:vAlign w:val="center"/>
            <w:hideMark/>
          </w:tcPr>
          <w:p w14:paraId="62B7D4A0" w14:textId="77777777" w:rsidR="00D01F4D" w:rsidRPr="00D01F4D" w:rsidRDefault="00D01F4D" w:rsidP="00D01F4D">
            <w:pPr>
              <w:jc w:val="center"/>
              <w:rPr>
                <w:rFonts w:cs="Arial"/>
                <w:b/>
                <w:bCs/>
                <w:color w:val="000000"/>
                <w:sz w:val="16"/>
                <w:szCs w:val="16"/>
                <w:lang w:val="en-US" w:eastAsia="en-US"/>
              </w:rPr>
            </w:pPr>
            <w:r w:rsidRPr="00D01F4D">
              <w:rPr>
                <w:rFonts w:cs="Arial"/>
                <w:b/>
                <w:bCs/>
                <w:color w:val="000000"/>
                <w:sz w:val="16"/>
                <w:szCs w:val="16"/>
                <w:lang w:val="en-US" w:eastAsia="en-US"/>
              </w:rPr>
              <w:t>current (2016)</w:t>
            </w:r>
          </w:p>
        </w:tc>
        <w:tc>
          <w:tcPr>
            <w:tcW w:w="1664" w:type="dxa"/>
            <w:tcBorders>
              <w:top w:val="single" w:sz="8" w:space="0" w:color="auto"/>
              <w:left w:val="nil"/>
              <w:bottom w:val="single" w:sz="4" w:space="0" w:color="auto"/>
              <w:right w:val="single" w:sz="4" w:space="0" w:color="auto"/>
            </w:tcBorders>
            <w:shd w:val="clear" w:color="auto" w:fill="auto"/>
            <w:vAlign w:val="center"/>
            <w:hideMark/>
          </w:tcPr>
          <w:p w14:paraId="4164F689" w14:textId="77777777" w:rsidR="00D01F4D" w:rsidRPr="00D01F4D" w:rsidRDefault="00D01F4D" w:rsidP="00D01F4D">
            <w:pPr>
              <w:jc w:val="center"/>
              <w:rPr>
                <w:rFonts w:cs="Arial"/>
                <w:b/>
                <w:bCs/>
                <w:color w:val="000000"/>
                <w:sz w:val="16"/>
                <w:szCs w:val="16"/>
                <w:lang w:val="en-US" w:eastAsia="en-US"/>
              </w:rPr>
            </w:pPr>
            <w:r w:rsidRPr="00D01F4D">
              <w:rPr>
                <w:rFonts w:cs="Arial"/>
                <w:b/>
                <w:bCs/>
                <w:color w:val="000000"/>
                <w:sz w:val="16"/>
                <w:szCs w:val="16"/>
                <w:lang w:val="en-US" w:eastAsia="en-US"/>
              </w:rPr>
              <w:t>2017</w:t>
            </w:r>
          </w:p>
        </w:tc>
        <w:tc>
          <w:tcPr>
            <w:tcW w:w="1764" w:type="dxa"/>
            <w:tcBorders>
              <w:top w:val="single" w:sz="8" w:space="0" w:color="auto"/>
              <w:left w:val="nil"/>
              <w:bottom w:val="single" w:sz="4" w:space="0" w:color="auto"/>
              <w:right w:val="single" w:sz="4" w:space="0" w:color="auto"/>
            </w:tcBorders>
            <w:shd w:val="clear" w:color="auto" w:fill="auto"/>
            <w:vAlign w:val="center"/>
            <w:hideMark/>
          </w:tcPr>
          <w:p w14:paraId="5952BBA3" w14:textId="77777777" w:rsidR="00D01F4D" w:rsidRPr="00D01F4D" w:rsidRDefault="00D01F4D" w:rsidP="00D01F4D">
            <w:pPr>
              <w:jc w:val="center"/>
              <w:rPr>
                <w:rFonts w:cs="Arial"/>
                <w:b/>
                <w:bCs/>
                <w:color w:val="000000"/>
                <w:sz w:val="16"/>
                <w:szCs w:val="16"/>
                <w:lang w:val="en-US" w:eastAsia="en-US"/>
              </w:rPr>
            </w:pPr>
            <w:r w:rsidRPr="00D01F4D">
              <w:rPr>
                <w:rFonts w:cs="Arial"/>
                <w:b/>
                <w:bCs/>
                <w:color w:val="000000"/>
                <w:sz w:val="16"/>
                <w:szCs w:val="16"/>
                <w:lang w:val="en-US" w:eastAsia="en-US"/>
              </w:rPr>
              <w:t>2018</w:t>
            </w:r>
          </w:p>
        </w:tc>
        <w:tc>
          <w:tcPr>
            <w:tcW w:w="1764" w:type="dxa"/>
            <w:tcBorders>
              <w:top w:val="single" w:sz="8" w:space="0" w:color="auto"/>
              <w:left w:val="nil"/>
              <w:bottom w:val="single" w:sz="4" w:space="0" w:color="auto"/>
              <w:right w:val="single" w:sz="4" w:space="0" w:color="auto"/>
            </w:tcBorders>
            <w:shd w:val="clear" w:color="auto" w:fill="auto"/>
            <w:vAlign w:val="center"/>
            <w:hideMark/>
          </w:tcPr>
          <w:p w14:paraId="55F53C32" w14:textId="77777777" w:rsidR="00D01F4D" w:rsidRPr="00D01F4D" w:rsidRDefault="00D01F4D" w:rsidP="00D01F4D">
            <w:pPr>
              <w:jc w:val="center"/>
              <w:rPr>
                <w:rFonts w:cs="Arial"/>
                <w:b/>
                <w:bCs/>
                <w:color w:val="000000"/>
                <w:sz w:val="16"/>
                <w:szCs w:val="16"/>
                <w:lang w:val="en-US" w:eastAsia="en-US"/>
              </w:rPr>
            </w:pPr>
            <w:r w:rsidRPr="00D01F4D">
              <w:rPr>
                <w:rFonts w:cs="Arial"/>
                <w:b/>
                <w:bCs/>
                <w:color w:val="000000"/>
                <w:sz w:val="16"/>
                <w:szCs w:val="16"/>
                <w:lang w:val="en-US" w:eastAsia="en-US"/>
              </w:rPr>
              <w:t>2019</w:t>
            </w:r>
          </w:p>
        </w:tc>
        <w:tc>
          <w:tcPr>
            <w:tcW w:w="1764" w:type="dxa"/>
            <w:tcBorders>
              <w:top w:val="single" w:sz="8" w:space="0" w:color="auto"/>
              <w:left w:val="nil"/>
              <w:bottom w:val="single" w:sz="4" w:space="0" w:color="auto"/>
              <w:right w:val="single" w:sz="4" w:space="0" w:color="auto"/>
            </w:tcBorders>
            <w:shd w:val="clear" w:color="auto" w:fill="auto"/>
            <w:vAlign w:val="center"/>
            <w:hideMark/>
          </w:tcPr>
          <w:p w14:paraId="3C133E27" w14:textId="77777777" w:rsidR="00D01F4D" w:rsidRPr="00D01F4D" w:rsidRDefault="00D01F4D" w:rsidP="00D01F4D">
            <w:pPr>
              <w:jc w:val="center"/>
              <w:rPr>
                <w:rFonts w:cs="Arial"/>
                <w:b/>
                <w:bCs/>
                <w:color w:val="000000"/>
                <w:sz w:val="16"/>
                <w:szCs w:val="16"/>
                <w:lang w:val="en-US" w:eastAsia="en-US"/>
              </w:rPr>
            </w:pPr>
            <w:r w:rsidRPr="00D01F4D">
              <w:rPr>
                <w:rFonts w:cs="Arial"/>
                <w:b/>
                <w:bCs/>
                <w:color w:val="000000"/>
                <w:sz w:val="16"/>
                <w:szCs w:val="16"/>
                <w:lang w:val="en-US" w:eastAsia="en-US"/>
              </w:rPr>
              <w:t>2020</w:t>
            </w:r>
          </w:p>
        </w:tc>
        <w:tc>
          <w:tcPr>
            <w:tcW w:w="1542" w:type="dxa"/>
            <w:tcBorders>
              <w:top w:val="single" w:sz="8" w:space="0" w:color="auto"/>
              <w:left w:val="nil"/>
              <w:bottom w:val="single" w:sz="4" w:space="0" w:color="auto"/>
              <w:right w:val="single" w:sz="8" w:space="0" w:color="auto"/>
            </w:tcBorders>
            <w:shd w:val="clear" w:color="auto" w:fill="auto"/>
            <w:vAlign w:val="center"/>
            <w:hideMark/>
          </w:tcPr>
          <w:p w14:paraId="49443EE6" w14:textId="77777777" w:rsidR="00D01F4D" w:rsidRPr="00D01F4D" w:rsidRDefault="00D01F4D" w:rsidP="00D01F4D">
            <w:pPr>
              <w:jc w:val="center"/>
              <w:rPr>
                <w:rFonts w:cs="Arial"/>
                <w:b/>
                <w:bCs/>
                <w:color w:val="000000"/>
                <w:sz w:val="16"/>
                <w:szCs w:val="16"/>
                <w:lang w:val="en-US" w:eastAsia="en-US"/>
              </w:rPr>
            </w:pPr>
            <w:r w:rsidRPr="00D01F4D">
              <w:rPr>
                <w:rFonts w:cs="Arial"/>
                <w:b/>
                <w:bCs/>
                <w:color w:val="000000"/>
                <w:sz w:val="16"/>
                <w:szCs w:val="16"/>
                <w:lang w:val="en-US" w:eastAsia="en-US"/>
              </w:rPr>
              <w:t>2021</w:t>
            </w:r>
          </w:p>
        </w:tc>
      </w:tr>
      <w:tr w:rsidR="00D01F4D" w:rsidRPr="00D01F4D" w14:paraId="769C3C46" w14:textId="77777777" w:rsidTr="00BF0EEF">
        <w:trPr>
          <w:trHeight w:val="300"/>
          <w:jc w:val="center"/>
        </w:trPr>
        <w:tc>
          <w:tcPr>
            <w:tcW w:w="639" w:type="dxa"/>
            <w:tcBorders>
              <w:top w:val="nil"/>
              <w:left w:val="single" w:sz="8" w:space="0" w:color="auto"/>
              <w:bottom w:val="single" w:sz="4" w:space="0" w:color="auto"/>
              <w:right w:val="single" w:sz="4" w:space="0" w:color="auto"/>
            </w:tcBorders>
            <w:shd w:val="clear" w:color="auto" w:fill="auto"/>
            <w:noWrap/>
            <w:vAlign w:val="center"/>
            <w:hideMark/>
          </w:tcPr>
          <w:p w14:paraId="2E8A0E63" w14:textId="77777777" w:rsidR="00D01F4D" w:rsidRPr="00D01F4D" w:rsidRDefault="00D01F4D" w:rsidP="00D01F4D">
            <w:pPr>
              <w:rPr>
                <w:rFonts w:cs="Arial"/>
                <w:b/>
                <w:bCs/>
                <w:color w:val="000000"/>
                <w:sz w:val="20"/>
                <w:szCs w:val="20"/>
                <w:lang w:val="en-US" w:eastAsia="en-US"/>
              </w:rPr>
            </w:pPr>
            <w:r w:rsidRPr="00D01F4D">
              <w:rPr>
                <w:rFonts w:cs="Arial"/>
                <w:b/>
                <w:bCs/>
                <w:color w:val="000000"/>
                <w:sz w:val="20"/>
                <w:szCs w:val="20"/>
                <w:lang w:val="en-US" w:eastAsia="en-US"/>
              </w:rPr>
              <w:t> </w:t>
            </w:r>
          </w:p>
        </w:tc>
        <w:tc>
          <w:tcPr>
            <w:tcW w:w="13550" w:type="dxa"/>
            <w:gridSpan w:val="8"/>
            <w:tcBorders>
              <w:top w:val="single" w:sz="4" w:space="0" w:color="auto"/>
              <w:left w:val="single" w:sz="4" w:space="0" w:color="auto"/>
              <w:bottom w:val="single" w:sz="4" w:space="0" w:color="auto"/>
              <w:right w:val="single" w:sz="8" w:space="0" w:color="000000"/>
            </w:tcBorders>
            <w:shd w:val="clear" w:color="auto" w:fill="auto"/>
            <w:vAlign w:val="center"/>
            <w:hideMark/>
          </w:tcPr>
          <w:p w14:paraId="0156B64C" w14:textId="77777777" w:rsidR="00D01F4D" w:rsidRPr="00D01F4D" w:rsidRDefault="00D01F4D" w:rsidP="00D01F4D">
            <w:pPr>
              <w:rPr>
                <w:rFonts w:cs="Arial"/>
                <w:b/>
                <w:bCs/>
                <w:color w:val="000000"/>
                <w:sz w:val="20"/>
                <w:szCs w:val="20"/>
                <w:lang w:val="en-US" w:eastAsia="en-US"/>
              </w:rPr>
            </w:pPr>
            <w:r w:rsidRPr="00D01F4D">
              <w:rPr>
                <w:rFonts w:cs="Arial"/>
                <w:b/>
                <w:bCs/>
                <w:color w:val="000000"/>
                <w:sz w:val="20"/>
                <w:szCs w:val="20"/>
                <w:lang w:val="en-US" w:eastAsia="en-US"/>
              </w:rPr>
              <w:t>VSB</w:t>
            </w:r>
          </w:p>
        </w:tc>
      </w:tr>
      <w:tr w:rsidR="002B5117" w:rsidRPr="00D01F4D" w14:paraId="634C9050" w14:textId="77777777" w:rsidTr="00BF0EEF">
        <w:trPr>
          <w:trHeight w:val="570"/>
          <w:jc w:val="center"/>
        </w:trPr>
        <w:tc>
          <w:tcPr>
            <w:tcW w:w="639" w:type="dxa"/>
            <w:tcBorders>
              <w:top w:val="nil"/>
              <w:left w:val="single" w:sz="8" w:space="0" w:color="auto"/>
              <w:bottom w:val="single" w:sz="4" w:space="0" w:color="auto"/>
              <w:right w:val="single" w:sz="4" w:space="0" w:color="auto"/>
            </w:tcBorders>
            <w:shd w:val="clear" w:color="auto" w:fill="auto"/>
            <w:noWrap/>
            <w:vAlign w:val="center"/>
            <w:hideMark/>
          </w:tcPr>
          <w:p w14:paraId="62C15240" w14:textId="77777777" w:rsidR="002B5117" w:rsidRPr="00D01F4D" w:rsidRDefault="002B5117" w:rsidP="00D01F4D">
            <w:pPr>
              <w:rPr>
                <w:rFonts w:cs="Arial"/>
                <w:b/>
                <w:bCs/>
                <w:color w:val="000000"/>
                <w:sz w:val="20"/>
                <w:szCs w:val="20"/>
                <w:lang w:val="en-US" w:eastAsia="en-US"/>
              </w:rPr>
            </w:pPr>
            <w:r w:rsidRPr="00D01F4D">
              <w:rPr>
                <w:rFonts w:cs="Arial"/>
                <w:b/>
                <w:bCs/>
                <w:color w:val="000000"/>
                <w:sz w:val="20"/>
                <w:szCs w:val="20"/>
                <w:lang w:val="en-US" w:eastAsia="en-US"/>
              </w:rPr>
              <w:t>BL</w:t>
            </w:r>
          </w:p>
        </w:tc>
        <w:tc>
          <w:tcPr>
            <w:tcW w:w="2353" w:type="dxa"/>
            <w:tcBorders>
              <w:top w:val="nil"/>
              <w:left w:val="nil"/>
              <w:bottom w:val="single" w:sz="4" w:space="0" w:color="auto"/>
              <w:right w:val="single" w:sz="4" w:space="0" w:color="auto"/>
            </w:tcBorders>
            <w:shd w:val="clear" w:color="auto" w:fill="auto"/>
            <w:vAlign w:val="center"/>
            <w:hideMark/>
          </w:tcPr>
          <w:p w14:paraId="2D7D3A31" w14:textId="77777777" w:rsidR="002B5117" w:rsidRPr="00D01F4D" w:rsidRDefault="002B5117" w:rsidP="00D01F4D">
            <w:pPr>
              <w:rPr>
                <w:rFonts w:cs="Arial"/>
                <w:color w:val="000000"/>
                <w:sz w:val="20"/>
                <w:szCs w:val="20"/>
                <w:lang w:val="en-US" w:eastAsia="en-US"/>
              </w:rPr>
            </w:pPr>
            <w:r w:rsidRPr="00D01F4D">
              <w:rPr>
                <w:rFonts w:cs="Arial"/>
                <w:color w:val="000000"/>
                <w:sz w:val="20"/>
                <w:szCs w:val="20"/>
                <w:lang w:val="en-US" w:eastAsia="en-US"/>
              </w:rPr>
              <w:t>Cost to MBS of the proposed item</w:t>
            </w:r>
          </w:p>
        </w:tc>
        <w:tc>
          <w:tcPr>
            <w:tcW w:w="1107" w:type="dxa"/>
            <w:tcBorders>
              <w:top w:val="nil"/>
              <w:left w:val="nil"/>
              <w:bottom w:val="single" w:sz="4" w:space="0" w:color="auto"/>
              <w:right w:val="single" w:sz="4" w:space="0" w:color="auto"/>
            </w:tcBorders>
            <w:shd w:val="clear" w:color="auto" w:fill="auto"/>
            <w:vAlign w:val="center"/>
            <w:hideMark/>
          </w:tcPr>
          <w:p w14:paraId="382E3494" w14:textId="3D9EE247" w:rsidR="002B5117" w:rsidRPr="00D01F4D" w:rsidRDefault="002B5117" w:rsidP="00D01F4D">
            <w:pPr>
              <w:rPr>
                <w:rFonts w:cs="Arial"/>
                <w:color w:val="000000"/>
                <w:sz w:val="16"/>
                <w:szCs w:val="16"/>
                <w:lang w:val="en-US" w:eastAsia="en-US"/>
              </w:rPr>
            </w:pPr>
            <w:r>
              <w:rPr>
                <w:rFonts w:cs="Arial"/>
                <w:color w:val="000000"/>
                <w:sz w:val="16"/>
                <w:szCs w:val="16"/>
              </w:rPr>
              <w:t>Row M</w:t>
            </w:r>
          </w:p>
        </w:tc>
        <w:tc>
          <w:tcPr>
            <w:tcW w:w="1592" w:type="dxa"/>
            <w:tcBorders>
              <w:top w:val="nil"/>
              <w:left w:val="nil"/>
              <w:bottom w:val="single" w:sz="8" w:space="0" w:color="auto"/>
              <w:right w:val="single" w:sz="4" w:space="0" w:color="auto"/>
            </w:tcBorders>
            <w:shd w:val="clear" w:color="auto" w:fill="auto"/>
            <w:noWrap/>
            <w:vAlign w:val="center"/>
            <w:hideMark/>
          </w:tcPr>
          <w:p w14:paraId="5FA3F63E" w14:textId="77777777" w:rsidR="002B5117" w:rsidRPr="00D01F4D" w:rsidRDefault="002B5117" w:rsidP="00D01F4D">
            <w:pPr>
              <w:rPr>
                <w:rFonts w:cs="Arial"/>
                <w:color w:val="000000"/>
                <w:sz w:val="16"/>
                <w:szCs w:val="16"/>
                <w:lang w:val="en-US" w:eastAsia="en-US"/>
              </w:rPr>
            </w:pPr>
            <w:r w:rsidRPr="00D01F4D">
              <w:rPr>
                <w:rFonts w:cs="Arial"/>
                <w:color w:val="000000"/>
                <w:sz w:val="16"/>
                <w:szCs w:val="16"/>
                <w:lang w:val="en-US" w:eastAsia="en-US"/>
              </w:rPr>
              <w:t xml:space="preserve"> AUD        121.369 </w:t>
            </w:r>
          </w:p>
        </w:tc>
        <w:tc>
          <w:tcPr>
            <w:tcW w:w="1664" w:type="dxa"/>
            <w:tcBorders>
              <w:top w:val="nil"/>
              <w:left w:val="nil"/>
              <w:bottom w:val="single" w:sz="8" w:space="0" w:color="auto"/>
              <w:right w:val="single" w:sz="4" w:space="0" w:color="auto"/>
            </w:tcBorders>
            <w:shd w:val="clear" w:color="auto" w:fill="auto"/>
            <w:noWrap/>
            <w:vAlign w:val="center"/>
            <w:hideMark/>
          </w:tcPr>
          <w:p w14:paraId="302A989E" w14:textId="77777777" w:rsidR="002B5117" w:rsidRPr="00D01F4D" w:rsidRDefault="002B5117" w:rsidP="00D01F4D">
            <w:pPr>
              <w:rPr>
                <w:rFonts w:cs="Arial"/>
                <w:color w:val="000000"/>
                <w:sz w:val="16"/>
                <w:szCs w:val="16"/>
                <w:lang w:val="en-US" w:eastAsia="en-US"/>
              </w:rPr>
            </w:pPr>
            <w:r w:rsidRPr="00D01F4D">
              <w:rPr>
                <w:rFonts w:cs="Arial"/>
                <w:color w:val="000000"/>
                <w:sz w:val="16"/>
                <w:szCs w:val="16"/>
                <w:lang w:val="en-US" w:eastAsia="en-US"/>
              </w:rPr>
              <w:t xml:space="preserve"> AUD          123.491 </w:t>
            </w:r>
          </w:p>
        </w:tc>
        <w:tc>
          <w:tcPr>
            <w:tcW w:w="1764" w:type="dxa"/>
            <w:tcBorders>
              <w:top w:val="nil"/>
              <w:left w:val="nil"/>
              <w:bottom w:val="single" w:sz="8" w:space="0" w:color="auto"/>
              <w:right w:val="single" w:sz="4" w:space="0" w:color="auto"/>
            </w:tcBorders>
            <w:shd w:val="clear" w:color="auto" w:fill="auto"/>
            <w:noWrap/>
            <w:vAlign w:val="center"/>
            <w:hideMark/>
          </w:tcPr>
          <w:p w14:paraId="6D2DB50B" w14:textId="77777777" w:rsidR="002B5117" w:rsidRPr="00D01F4D" w:rsidRDefault="002B5117" w:rsidP="00D01F4D">
            <w:pPr>
              <w:rPr>
                <w:rFonts w:cs="Arial"/>
                <w:color w:val="000000"/>
                <w:sz w:val="16"/>
                <w:szCs w:val="16"/>
                <w:lang w:val="en-US" w:eastAsia="en-US"/>
              </w:rPr>
            </w:pPr>
            <w:r w:rsidRPr="00D01F4D">
              <w:rPr>
                <w:rFonts w:cs="Arial"/>
                <w:color w:val="000000"/>
                <w:sz w:val="16"/>
                <w:szCs w:val="16"/>
                <w:lang w:val="en-US" w:eastAsia="en-US"/>
              </w:rPr>
              <w:t xml:space="preserve"> AUD          125.596 </w:t>
            </w:r>
          </w:p>
        </w:tc>
        <w:tc>
          <w:tcPr>
            <w:tcW w:w="1764" w:type="dxa"/>
            <w:tcBorders>
              <w:top w:val="nil"/>
              <w:left w:val="nil"/>
              <w:bottom w:val="single" w:sz="8" w:space="0" w:color="auto"/>
              <w:right w:val="single" w:sz="4" w:space="0" w:color="auto"/>
            </w:tcBorders>
            <w:shd w:val="clear" w:color="auto" w:fill="auto"/>
            <w:noWrap/>
            <w:vAlign w:val="center"/>
            <w:hideMark/>
          </w:tcPr>
          <w:p w14:paraId="0D876A6C" w14:textId="77777777" w:rsidR="002B5117" w:rsidRPr="00D01F4D" w:rsidRDefault="002B5117" w:rsidP="00D01F4D">
            <w:pPr>
              <w:rPr>
                <w:rFonts w:cs="Arial"/>
                <w:color w:val="000000"/>
                <w:sz w:val="16"/>
                <w:szCs w:val="16"/>
                <w:lang w:val="en-US" w:eastAsia="en-US"/>
              </w:rPr>
            </w:pPr>
            <w:r w:rsidRPr="00D01F4D">
              <w:rPr>
                <w:rFonts w:cs="Arial"/>
                <w:color w:val="000000"/>
                <w:sz w:val="16"/>
                <w:szCs w:val="16"/>
                <w:lang w:val="en-US" w:eastAsia="en-US"/>
              </w:rPr>
              <w:t xml:space="preserve"> AUD          127.685 </w:t>
            </w:r>
          </w:p>
        </w:tc>
        <w:tc>
          <w:tcPr>
            <w:tcW w:w="1764" w:type="dxa"/>
            <w:tcBorders>
              <w:top w:val="nil"/>
              <w:left w:val="nil"/>
              <w:bottom w:val="single" w:sz="8" w:space="0" w:color="auto"/>
              <w:right w:val="single" w:sz="4" w:space="0" w:color="auto"/>
            </w:tcBorders>
            <w:shd w:val="clear" w:color="auto" w:fill="auto"/>
            <w:noWrap/>
            <w:vAlign w:val="center"/>
            <w:hideMark/>
          </w:tcPr>
          <w:p w14:paraId="1F0A7BA4" w14:textId="77777777" w:rsidR="002B5117" w:rsidRPr="00D01F4D" w:rsidRDefault="002B5117" w:rsidP="00D01F4D">
            <w:pPr>
              <w:rPr>
                <w:rFonts w:cs="Arial"/>
                <w:color w:val="000000"/>
                <w:sz w:val="16"/>
                <w:szCs w:val="16"/>
                <w:lang w:val="en-US" w:eastAsia="en-US"/>
              </w:rPr>
            </w:pPr>
            <w:r w:rsidRPr="00D01F4D">
              <w:rPr>
                <w:rFonts w:cs="Arial"/>
                <w:color w:val="000000"/>
                <w:sz w:val="16"/>
                <w:szCs w:val="16"/>
                <w:lang w:val="en-US" w:eastAsia="en-US"/>
              </w:rPr>
              <w:t xml:space="preserve"> AUD          129.741 </w:t>
            </w:r>
          </w:p>
        </w:tc>
        <w:tc>
          <w:tcPr>
            <w:tcW w:w="1542" w:type="dxa"/>
            <w:tcBorders>
              <w:top w:val="nil"/>
              <w:left w:val="nil"/>
              <w:bottom w:val="single" w:sz="8" w:space="0" w:color="auto"/>
              <w:right w:val="single" w:sz="8" w:space="0" w:color="auto"/>
            </w:tcBorders>
            <w:shd w:val="clear" w:color="auto" w:fill="auto"/>
            <w:noWrap/>
            <w:vAlign w:val="center"/>
            <w:hideMark/>
          </w:tcPr>
          <w:p w14:paraId="70360436" w14:textId="77777777" w:rsidR="002B5117" w:rsidRPr="00D01F4D" w:rsidRDefault="002B5117" w:rsidP="00D01F4D">
            <w:pPr>
              <w:rPr>
                <w:rFonts w:cs="Arial"/>
                <w:color w:val="000000"/>
                <w:sz w:val="16"/>
                <w:szCs w:val="16"/>
                <w:lang w:val="en-US" w:eastAsia="en-US"/>
              </w:rPr>
            </w:pPr>
            <w:r w:rsidRPr="00D01F4D">
              <w:rPr>
                <w:rFonts w:cs="Arial"/>
                <w:color w:val="000000"/>
                <w:sz w:val="16"/>
                <w:szCs w:val="16"/>
                <w:lang w:val="en-US" w:eastAsia="en-US"/>
              </w:rPr>
              <w:t xml:space="preserve"> AUD     131.947 </w:t>
            </w:r>
          </w:p>
        </w:tc>
      </w:tr>
      <w:tr w:rsidR="002B5117" w:rsidRPr="00D01F4D" w14:paraId="3655A2D1" w14:textId="77777777" w:rsidTr="00BF0EEF">
        <w:trPr>
          <w:trHeight w:val="570"/>
          <w:jc w:val="center"/>
        </w:trPr>
        <w:tc>
          <w:tcPr>
            <w:tcW w:w="639" w:type="dxa"/>
            <w:tcBorders>
              <w:top w:val="nil"/>
              <w:left w:val="single" w:sz="8" w:space="0" w:color="auto"/>
              <w:bottom w:val="single" w:sz="8" w:space="0" w:color="auto"/>
              <w:right w:val="single" w:sz="4" w:space="0" w:color="auto"/>
            </w:tcBorders>
            <w:shd w:val="clear" w:color="auto" w:fill="auto"/>
            <w:noWrap/>
            <w:vAlign w:val="center"/>
            <w:hideMark/>
          </w:tcPr>
          <w:p w14:paraId="0B494148" w14:textId="77777777" w:rsidR="002B5117" w:rsidRPr="00D01F4D" w:rsidRDefault="002B5117" w:rsidP="00D01F4D">
            <w:pPr>
              <w:rPr>
                <w:rFonts w:cs="Arial"/>
                <w:b/>
                <w:bCs/>
                <w:color w:val="000000"/>
                <w:sz w:val="20"/>
                <w:szCs w:val="20"/>
                <w:lang w:val="en-US" w:eastAsia="en-US"/>
              </w:rPr>
            </w:pPr>
            <w:r w:rsidRPr="00D01F4D">
              <w:rPr>
                <w:rFonts w:cs="Arial"/>
                <w:b/>
                <w:bCs/>
                <w:color w:val="000000"/>
                <w:sz w:val="20"/>
                <w:szCs w:val="20"/>
                <w:lang w:val="en-US" w:eastAsia="en-US"/>
              </w:rPr>
              <w:t>BM</w:t>
            </w:r>
          </w:p>
        </w:tc>
        <w:tc>
          <w:tcPr>
            <w:tcW w:w="2353" w:type="dxa"/>
            <w:tcBorders>
              <w:top w:val="nil"/>
              <w:left w:val="nil"/>
              <w:bottom w:val="single" w:sz="8" w:space="0" w:color="auto"/>
              <w:right w:val="single" w:sz="4" w:space="0" w:color="auto"/>
            </w:tcBorders>
            <w:shd w:val="clear" w:color="auto" w:fill="auto"/>
            <w:vAlign w:val="center"/>
            <w:hideMark/>
          </w:tcPr>
          <w:p w14:paraId="145A1012" w14:textId="77777777" w:rsidR="002B5117" w:rsidRPr="00D01F4D" w:rsidRDefault="002B5117" w:rsidP="00D01F4D">
            <w:pPr>
              <w:rPr>
                <w:rFonts w:cs="Arial"/>
                <w:color w:val="000000"/>
                <w:sz w:val="20"/>
                <w:szCs w:val="20"/>
                <w:lang w:val="en-US" w:eastAsia="en-US"/>
              </w:rPr>
            </w:pPr>
            <w:r w:rsidRPr="00D01F4D">
              <w:rPr>
                <w:rFonts w:cs="Arial"/>
                <w:color w:val="000000"/>
                <w:sz w:val="20"/>
                <w:szCs w:val="20"/>
                <w:lang w:val="en-US" w:eastAsia="en-US"/>
              </w:rPr>
              <w:t>Cost to the MBS of associated items</w:t>
            </w:r>
          </w:p>
        </w:tc>
        <w:tc>
          <w:tcPr>
            <w:tcW w:w="1107" w:type="dxa"/>
            <w:tcBorders>
              <w:top w:val="nil"/>
              <w:left w:val="nil"/>
              <w:bottom w:val="single" w:sz="8" w:space="0" w:color="auto"/>
              <w:right w:val="single" w:sz="4" w:space="0" w:color="auto"/>
            </w:tcBorders>
            <w:shd w:val="clear" w:color="auto" w:fill="auto"/>
            <w:vAlign w:val="center"/>
            <w:hideMark/>
          </w:tcPr>
          <w:p w14:paraId="5E273CC2" w14:textId="387F39EF" w:rsidR="002B5117" w:rsidRPr="00D01F4D" w:rsidRDefault="002B5117" w:rsidP="00D01F4D">
            <w:pPr>
              <w:rPr>
                <w:rFonts w:cs="Arial"/>
                <w:color w:val="000000"/>
                <w:sz w:val="16"/>
                <w:szCs w:val="16"/>
                <w:lang w:val="en-US" w:eastAsia="en-US"/>
              </w:rPr>
            </w:pPr>
            <w:r>
              <w:rPr>
                <w:rFonts w:cs="Arial"/>
                <w:color w:val="000000"/>
                <w:sz w:val="16"/>
                <w:szCs w:val="16"/>
              </w:rPr>
              <w:t>Row AX</w:t>
            </w:r>
          </w:p>
        </w:tc>
        <w:tc>
          <w:tcPr>
            <w:tcW w:w="1592" w:type="dxa"/>
            <w:tcBorders>
              <w:top w:val="single" w:sz="4" w:space="0" w:color="auto"/>
              <w:left w:val="nil"/>
              <w:bottom w:val="single" w:sz="8" w:space="0" w:color="auto"/>
              <w:right w:val="single" w:sz="4" w:space="0" w:color="auto"/>
            </w:tcBorders>
            <w:shd w:val="clear" w:color="auto" w:fill="auto"/>
            <w:noWrap/>
            <w:vAlign w:val="center"/>
            <w:hideMark/>
          </w:tcPr>
          <w:p w14:paraId="2252BD7D" w14:textId="77777777" w:rsidR="002B5117" w:rsidRPr="00D01F4D" w:rsidRDefault="002B5117" w:rsidP="00D01F4D">
            <w:pPr>
              <w:rPr>
                <w:rFonts w:cs="Arial"/>
                <w:color w:val="000000"/>
                <w:sz w:val="16"/>
                <w:szCs w:val="16"/>
                <w:lang w:val="en-US" w:eastAsia="en-US"/>
              </w:rPr>
            </w:pPr>
            <w:r w:rsidRPr="00D01F4D">
              <w:rPr>
                <w:rFonts w:cs="Arial"/>
                <w:color w:val="000000"/>
                <w:sz w:val="16"/>
                <w:szCs w:val="16"/>
                <w:lang w:val="en-US" w:eastAsia="en-US"/>
              </w:rPr>
              <w:t xml:space="preserve"> AUD        131.962 </w:t>
            </w:r>
          </w:p>
        </w:tc>
        <w:tc>
          <w:tcPr>
            <w:tcW w:w="1664" w:type="dxa"/>
            <w:tcBorders>
              <w:top w:val="single" w:sz="4" w:space="0" w:color="auto"/>
              <w:left w:val="nil"/>
              <w:bottom w:val="single" w:sz="8" w:space="0" w:color="auto"/>
              <w:right w:val="single" w:sz="4" w:space="0" w:color="auto"/>
            </w:tcBorders>
            <w:shd w:val="clear" w:color="auto" w:fill="auto"/>
            <w:noWrap/>
            <w:vAlign w:val="center"/>
            <w:hideMark/>
          </w:tcPr>
          <w:p w14:paraId="5B3C242C" w14:textId="77777777" w:rsidR="002B5117" w:rsidRPr="00D01F4D" w:rsidRDefault="002B5117" w:rsidP="00D01F4D">
            <w:pPr>
              <w:rPr>
                <w:rFonts w:cs="Arial"/>
                <w:color w:val="000000"/>
                <w:sz w:val="16"/>
                <w:szCs w:val="16"/>
                <w:lang w:val="en-US" w:eastAsia="en-US"/>
              </w:rPr>
            </w:pPr>
            <w:r w:rsidRPr="00D01F4D">
              <w:rPr>
                <w:rFonts w:cs="Arial"/>
                <w:color w:val="000000"/>
                <w:sz w:val="16"/>
                <w:szCs w:val="16"/>
                <w:lang w:val="en-US" w:eastAsia="en-US"/>
              </w:rPr>
              <w:t xml:space="preserve"> AUD          134.270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2D449BEE" w14:textId="77777777" w:rsidR="002B5117" w:rsidRPr="00D01F4D" w:rsidRDefault="002B5117" w:rsidP="00D01F4D">
            <w:pPr>
              <w:rPr>
                <w:rFonts w:cs="Arial"/>
                <w:color w:val="000000"/>
                <w:sz w:val="16"/>
                <w:szCs w:val="16"/>
                <w:lang w:val="en-US" w:eastAsia="en-US"/>
              </w:rPr>
            </w:pPr>
            <w:r w:rsidRPr="00D01F4D">
              <w:rPr>
                <w:rFonts w:cs="Arial"/>
                <w:color w:val="000000"/>
                <w:sz w:val="16"/>
                <w:szCs w:val="16"/>
                <w:lang w:val="en-US" w:eastAsia="en-US"/>
              </w:rPr>
              <w:t xml:space="preserve"> AUD          136.559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3C1EBB2C" w14:textId="77777777" w:rsidR="002B5117" w:rsidRPr="00D01F4D" w:rsidRDefault="002B5117" w:rsidP="00D01F4D">
            <w:pPr>
              <w:rPr>
                <w:rFonts w:cs="Arial"/>
                <w:color w:val="000000"/>
                <w:sz w:val="16"/>
                <w:szCs w:val="16"/>
                <w:lang w:val="en-US" w:eastAsia="en-US"/>
              </w:rPr>
            </w:pPr>
            <w:r w:rsidRPr="00D01F4D">
              <w:rPr>
                <w:rFonts w:cs="Arial"/>
                <w:color w:val="000000"/>
                <w:sz w:val="16"/>
                <w:szCs w:val="16"/>
                <w:lang w:val="en-US" w:eastAsia="en-US"/>
              </w:rPr>
              <w:t xml:space="preserve"> AUD          138.830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01FF6C4B" w14:textId="77777777" w:rsidR="002B5117" w:rsidRPr="00D01F4D" w:rsidRDefault="002B5117" w:rsidP="00D01F4D">
            <w:pPr>
              <w:rPr>
                <w:rFonts w:cs="Arial"/>
                <w:color w:val="000000"/>
                <w:sz w:val="16"/>
                <w:szCs w:val="16"/>
                <w:lang w:val="en-US" w:eastAsia="en-US"/>
              </w:rPr>
            </w:pPr>
            <w:r w:rsidRPr="00D01F4D">
              <w:rPr>
                <w:rFonts w:cs="Arial"/>
                <w:color w:val="000000"/>
                <w:sz w:val="16"/>
                <w:szCs w:val="16"/>
                <w:lang w:val="en-US" w:eastAsia="en-US"/>
              </w:rPr>
              <w:t xml:space="preserve"> AUD          141.065 </w:t>
            </w:r>
          </w:p>
        </w:tc>
        <w:tc>
          <w:tcPr>
            <w:tcW w:w="1542" w:type="dxa"/>
            <w:tcBorders>
              <w:top w:val="single" w:sz="4" w:space="0" w:color="auto"/>
              <w:left w:val="nil"/>
              <w:bottom w:val="single" w:sz="8" w:space="0" w:color="auto"/>
              <w:right w:val="single" w:sz="8" w:space="0" w:color="auto"/>
            </w:tcBorders>
            <w:shd w:val="clear" w:color="auto" w:fill="auto"/>
            <w:noWrap/>
            <w:vAlign w:val="center"/>
            <w:hideMark/>
          </w:tcPr>
          <w:p w14:paraId="3EEA1C8A" w14:textId="77777777" w:rsidR="002B5117" w:rsidRPr="00D01F4D" w:rsidRDefault="002B5117" w:rsidP="00D01F4D">
            <w:pPr>
              <w:rPr>
                <w:rFonts w:cs="Arial"/>
                <w:color w:val="000000"/>
                <w:sz w:val="16"/>
                <w:szCs w:val="16"/>
                <w:lang w:val="en-US" w:eastAsia="en-US"/>
              </w:rPr>
            </w:pPr>
            <w:r w:rsidRPr="00D01F4D">
              <w:rPr>
                <w:rFonts w:cs="Arial"/>
                <w:color w:val="000000"/>
                <w:sz w:val="16"/>
                <w:szCs w:val="16"/>
                <w:lang w:val="en-US" w:eastAsia="en-US"/>
              </w:rPr>
              <w:t xml:space="preserve"> AUD     143.464 </w:t>
            </w:r>
          </w:p>
        </w:tc>
      </w:tr>
      <w:tr w:rsidR="002B5117" w:rsidRPr="00D01F4D" w14:paraId="4A1F0E82" w14:textId="77777777" w:rsidTr="00BF0EEF">
        <w:trPr>
          <w:trHeight w:val="500"/>
          <w:jc w:val="center"/>
        </w:trPr>
        <w:tc>
          <w:tcPr>
            <w:tcW w:w="639" w:type="dxa"/>
            <w:tcBorders>
              <w:top w:val="single" w:sz="8" w:space="0" w:color="auto"/>
              <w:left w:val="single" w:sz="8" w:space="0" w:color="auto"/>
              <w:bottom w:val="single" w:sz="8" w:space="0" w:color="auto"/>
              <w:right w:val="single" w:sz="4" w:space="0" w:color="auto"/>
            </w:tcBorders>
            <w:shd w:val="clear" w:color="000000" w:fill="auto"/>
            <w:noWrap/>
            <w:vAlign w:val="center"/>
            <w:hideMark/>
          </w:tcPr>
          <w:p w14:paraId="0E53FDC0" w14:textId="77777777" w:rsidR="002B5117" w:rsidRPr="00D01F4D" w:rsidRDefault="002B5117" w:rsidP="00D01F4D">
            <w:pPr>
              <w:rPr>
                <w:rFonts w:cs="Arial"/>
                <w:b/>
                <w:bCs/>
                <w:color w:val="000000"/>
                <w:sz w:val="20"/>
                <w:szCs w:val="20"/>
                <w:lang w:val="en-US" w:eastAsia="en-US"/>
              </w:rPr>
            </w:pPr>
            <w:r w:rsidRPr="00D01F4D">
              <w:rPr>
                <w:rFonts w:cs="Arial"/>
                <w:b/>
                <w:bCs/>
                <w:color w:val="000000"/>
                <w:sz w:val="20"/>
                <w:szCs w:val="20"/>
                <w:lang w:val="en-US" w:eastAsia="en-US"/>
              </w:rPr>
              <w:t>BO</w:t>
            </w:r>
          </w:p>
        </w:tc>
        <w:tc>
          <w:tcPr>
            <w:tcW w:w="2353" w:type="dxa"/>
            <w:tcBorders>
              <w:top w:val="single" w:sz="8" w:space="0" w:color="auto"/>
              <w:left w:val="nil"/>
              <w:bottom w:val="single" w:sz="8" w:space="0" w:color="auto"/>
              <w:right w:val="single" w:sz="4" w:space="0" w:color="auto"/>
            </w:tcBorders>
            <w:shd w:val="clear" w:color="000000" w:fill="auto"/>
            <w:vAlign w:val="center"/>
            <w:hideMark/>
          </w:tcPr>
          <w:p w14:paraId="473A6FB6" w14:textId="77777777" w:rsidR="002B5117" w:rsidRPr="00D01F4D" w:rsidRDefault="002B5117" w:rsidP="00D01F4D">
            <w:pPr>
              <w:rPr>
                <w:rFonts w:cs="Arial"/>
                <w:b/>
                <w:bCs/>
                <w:color w:val="000000"/>
                <w:sz w:val="20"/>
                <w:szCs w:val="20"/>
                <w:lang w:val="en-US" w:eastAsia="en-US"/>
              </w:rPr>
            </w:pPr>
            <w:r w:rsidRPr="00D01F4D">
              <w:rPr>
                <w:rFonts w:cs="Arial"/>
                <w:b/>
                <w:bCs/>
                <w:color w:val="000000"/>
                <w:sz w:val="20"/>
                <w:szCs w:val="20"/>
                <w:lang w:val="en-US" w:eastAsia="en-US"/>
              </w:rPr>
              <w:t>Total costs to the MBS</w:t>
            </w:r>
          </w:p>
        </w:tc>
        <w:tc>
          <w:tcPr>
            <w:tcW w:w="1107" w:type="dxa"/>
            <w:tcBorders>
              <w:top w:val="single" w:sz="8" w:space="0" w:color="auto"/>
              <w:left w:val="nil"/>
              <w:bottom w:val="single" w:sz="8" w:space="0" w:color="auto"/>
              <w:right w:val="single" w:sz="4" w:space="0" w:color="auto"/>
            </w:tcBorders>
            <w:shd w:val="clear" w:color="000000" w:fill="auto"/>
            <w:vAlign w:val="center"/>
            <w:hideMark/>
          </w:tcPr>
          <w:p w14:paraId="27DC8577" w14:textId="046AB58C" w:rsidR="002B5117" w:rsidRPr="00D01F4D" w:rsidRDefault="002B5117" w:rsidP="00D01F4D">
            <w:pPr>
              <w:rPr>
                <w:rFonts w:cs="Arial"/>
                <w:color w:val="000000"/>
                <w:sz w:val="16"/>
                <w:szCs w:val="16"/>
                <w:lang w:val="en-US" w:eastAsia="en-US"/>
              </w:rPr>
            </w:pPr>
            <w:r>
              <w:rPr>
                <w:rFonts w:cs="Arial"/>
                <w:color w:val="000000"/>
                <w:sz w:val="16"/>
                <w:szCs w:val="16"/>
              </w:rPr>
              <w:t>BL + BM</w:t>
            </w:r>
          </w:p>
        </w:tc>
        <w:tc>
          <w:tcPr>
            <w:tcW w:w="1592" w:type="dxa"/>
            <w:tcBorders>
              <w:top w:val="single" w:sz="8" w:space="0" w:color="auto"/>
              <w:left w:val="nil"/>
              <w:bottom w:val="single" w:sz="8" w:space="0" w:color="auto"/>
              <w:right w:val="single" w:sz="4" w:space="0" w:color="auto"/>
            </w:tcBorders>
            <w:shd w:val="clear" w:color="000000" w:fill="auto"/>
            <w:noWrap/>
            <w:vAlign w:val="center"/>
            <w:hideMark/>
          </w:tcPr>
          <w:p w14:paraId="51F8F2BB" w14:textId="77777777" w:rsidR="002B5117" w:rsidRPr="00D01F4D" w:rsidRDefault="002B5117" w:rsidP="00D01F4D">
            <w:pPr>
              <w:rPr>
                <w:rFonts w:cs="Arial"/>
                <w:b/>
                <w:bCs/>
                <w:color w:val="000000"/>
                <w:sz w:val="16"/>
                <w:szCs w:val="16"/>
                <w:lang w:val="en-US" w:eastAsia="en-US"/>
              </w:rPr>
            </w:pPr>
            <w:r w:rsidRPr="00D01F4D">
              <w:rPr>
                <w:rFonts w:cs="Arial"/>
                <w:b/>
                <w:bCs/>
                <w:color w:val="000000"/>
                <w:sz w:val="16"/>
                <w:szCs w:val="16"/>
                <w:lang w:val="en-US" w:eastAsia="en-US"/>
              </w:rPr>
              <w:t xml:space="preserve"> AUD        253.331 </w:t>
            </w:r>
          </w:p>
        </w:tc>
        <w:tc>
          <w:tcPr>
            <w:tcW w:w="1664" w:type="dxa"/>
            <w:tcBorders>
              <w:top w:val="single" w:sz="8" w:space="0" w:color="auto"/>
              <w:left w:val="nil"/>
              <w:bottom w:val="single" w:sz="8" w:space="0" w:color="auto"/>
              <w:right w:val="single" w:sz="4" w:space="0" w:color="auto"/>
            </w:tcBorders>
            <w:shd w:val="clear" w:color="000000" w:fill="auto"/>
            <w:noWrap/>
            <w:vAlign w:val="center"/>
            <w:hideMark/>
          </w:tcPr>
          <w:p w14:paraId="5684DB3B" w14:textId="77777777" w:rsidR="002B5117" w:rsidRPr="00D01F4D" w:rsidRDefault="002B5117" w:rsidP="00D01F4D">
            <w:pPr>
              <w:rPr>
                <w:rFonts w:cs="Arial"/>
                <w:b/>
                <w:bCs/>
                <w:color w:val="000000"/>
                <w:sz w:val="16"/>
                <w:szCs w:val="16"/>
                <w:lang w:val="en-US" w:eastAsia="en-US"/>
              </w:rPr>
            </w:pPr>
            <w:r w:rsidRPr="00D01F4D">
              <w:rPr>
                <w:rFonts w:cs="Arial"/>
                <w:b/>
                <w:bCs/>
                <w:color w:val="000000"/>
                <w:sz w:val="16"/>
                <w:szCs w:val="16"/>
                <w:lang w:val="en-US" w:eastAsia="en-US"/>
              </w:rPr>
              <w:t xml:space="preserve"> AUD          257.761 </w:t>
            </w:r>
          </w:p>
        </w:tc>
        <w:tc>
          <w:tcPr>
            <w:tcW w:w="1764" w:type="dxa"/>
            <w:tcBorders>
              <w:top w:val="single" w:sz="8" w:space="0" w:color="auto"/>
              <w:left w:val="nil"/>
              <w:bottom w:val="single" w:sz="8" w:space="0" w:color="auto"/>
              <w:right w:val="single" w:sz="4" w:space="0" w:color="auto"/>
            </w:tcBorders>
            <w:shd w:val="clear" w:color="000000" w:fill="auto"/>
            <w:noWrap/>
            <w:vAlign w:val="center"/>
            <w:hideMark/>
          </w:tcPr>
          <w:p w14:paraId="41DB4478" w14:textId="77777777" w:rsidR="002B5117" w:rsidRPr="00D01F4D" w:rsidRDefault="002B5117" w:rsidP="00D01F4D">
            <w:pPr>
              <w:rPr>
                <w:rFonts w:cs="Arial"/>
                <w:b/>
                <w:bCs/>
                <w:color w:val="000000"/>
                <w:sz w:val="16"/>
                <w:szCs w:val="16"/>
                <w:lang w:val="en-US" w:eastAsia="en-US"/>
              </w:rPr>
            </w:pPr>
            <w:r w:rsidRPr="00D01F4D">
              <w:rPr>
                <w:rFonts w:cs="Arial"/>
                <w:b/>
                <w:bCs/>
                <w:color w:val="000000"/>
                <w:sz w:val="16"/>
                <w:szCs w:val="16"/>
                <w:lang w:val="en-US" w:eastAsia="en-US"/>
              </w:rPr>
              <w:t xml:space="preserve"> AUD          262.156 </w:t>
            </w:r>
          </w:p>
        </w:tc>
        <w:tc>
          <w:tcPr>
            <w:tcW w:w="1764" w:type="dxa"/>
            <w:tcBorders>
              <w:top w:val="single" w:sz="8" w:space="0" w:color="auto"/>
              <w:left w:val="nil"/>
              <w:bottom w:val="single" w:sz="8" w:space="0" w:color="auto"/>
              <w:right w:val="single" w:sz="4" w:space="0" w:color="auto"/>
            </w:tcBorders>
            <w:shd w:val="clear" w:color="000000" w:fill="auto"/>
            <w:noWrap/>
            <w:vAlign w:val="center"/>
            <w:hideMark/>
          </w:tcPr>
          <w:p w14:paraId="13DE87DD" w14:textId="77777777" w:rsidR="002B5117" w:rsidRPr="00D01F4D" w:rsidRDefault="002B5117" w:rsidP="00D01F4D">
            <w:pPr>
              <w:rPr>
                <w:rFonts w:cs="Arial"/>
                <w:b/>
                <w:bCs/>
                <w:color w:val="000000"/>
                <w:sz w:val="16"/>
                <w:szCs w:val="16"/>
                <w:lang w:val="en-US" w:eastAsia="en-US"/>
              </w:rPr>
            </w:pPr>
            <w:r w:rsidRPr="00D01F4D">
              <w:rPr>
                <w:rFonts w:cs="Arial"/>
                <w:b/>
                <w:bCs/>
                <w:color w:val="000000"/>
                <w:sz w:val="16"/>
                <w:szCs w:val="16"/>
                <w:lang w:val="en-US" w:eastAsia="en-US"/>
              </w:rPr>
              <w:t xml:space="preserve"> AUD          266.514 </w:t>
            </w:r>
          </w:p>
        </w:tc>
        <w:tc>
          <w:tcPr>
            <w:tcW w:w="1764" w:type="dxa"/>
            <w:tcBorders>
              <w:top w:val="single" w:sz="8" w:space="0" w:color="auto"/>
              <w:left w:val="nil"/>
              <w:bottom w:val="single" w:sz="8" w:space="0" w:color="auto"/>
              <w:right w:val="single" w:sz="4" w:space="0" w:color="auto"/>
            </w:tcBorders>
            <w:shd w:val="clear" w:color="000000" w:fill="auto"/>
            <w:noWrap/>
            <w:vAlign w:val="center"/>
            <w:hideMark/>
          </w:tcPr>
          <w:p w14:paraId="5B0EDBB6" w14:textId="77777777" w:rsidR="002B5117" w:rsidRPr="00D01F4D" w:rsidRDefault="002B5117" w:rsidP="00D01F4D">
            <w:pPr>
              <w:rPr>
                <w:rFonts w:cs="Arial"/>
                <w:b/>
                <w:bCs/>
                <w:color w:val="000000"/>
                <w:sz w:val="16"/>
                <w:szCs w:val="16"/>
                <w:lang w:val="en-US" w:eastAsia="en-US"/>
              </w:rPr>
            </w:pPr>
            <w:r w:rsidRPr="00D01F4D">
              <w:rPr>
                <w:rFonts w:cs="Arial"/>
                <w:b/>
                <w:bCs/>
                <w:color w:val="000000"/>
                <w:sz w:val="16"/>
                <w:szCs w:val="16"/>
                <w:lang w:val="en-US" w:eastAsia="en-US"/>
              </w:rPr>
              <w:t xml:space="preserve"> AUD          270.806 </w:t>
            </w:r>
          </w:p>
        </w:tc>
        <w:tc>
          <w:tcPr>
            <w:tcW w:w="1542" w:type="dxa"/>
            <w:tcBorders>
              <w:top w:val="single" w:sz="8" w:space="0" w:color="auto"/>
              <w:left w:val="nil"/>
              <w:bottom w:val="single" w:sz="8" w:space="0" w:color="auto"/>
              <w:right w:val="single" w:sz="8" w:space="0" w:color="auto"/>
            </w:tcBorders>
            <w:shd w:val="clear" w:color="000000" w:fill="auto"/>
            <w:noWrap/>
            <w:vAlign w:val="center"/>
            <w:hideMark/>
          </w:tcPr>
          <w:p w14:paraId="640FB852" w14:textId="77777777" w:rsidR="002B5117" w:rsidRPr="00D01F4D" w:rsidRDefault="002B5117" w:rsidP="00D01F4D">
            <w:pPr>
              <w:rPr>
                <w:rFonts w:cs="Arial"/>
                <w:b/>
                <w:bCs/>
                <w:color w:val="000000"/>
                <w:sz w:val="16"/>
                <w:szCs w:val="16"/>
                <w:lang w:val="en-US" w:eastAsia="en-US"/>
              </w:rPr>
            </w:pPr>
            <w:r w:rsidRPr="00D01F4D">
              <w:rPr>
                <w:rFonts w:cs="Arial"/>
                <w:b/>
                <w:bCs/>
                <w:color w:val="000000"/>
                <w:sz w:val="16"/>
                <w:szCs w:val="16"/>
                <w:lang w:val="en-US" w:eastAsia="en-US"/>
              </w:rPr>
              <w:t xml:space="preserve"> AUD     275.410 </w:t>
            </w:r>
          </w:p>
        </w:tc>
      </w:tr>
      <w:tr w:rsidR="002B5117" w:rsidRPr="00D01F4D" w14:paraId="4158D04A" w14:textId="77777777" w:rsidTr="00BF0EEF">
        <w:trPr>
          <w:trHeight w:val="538"/>
          <w:jc w:val="center"/>
        </w:trPr>
        <w:tc>
          <w:tcPr>
            <w:tcW w:w="639" w:type="dxa"/>
            <w:tcBorders>
              <w:top w:val="single" w:sz="4" w:space="0" w:color="auto"/>
              <w:left w:val="single" w:sz="8" w:space="0" w:color="auto"/>
              <w:bottom w:val="nil"/>
              <w:right w:val="single" w:sz="4" w:space="0" w:color="auto"/>
            </w:tcBorders>
            <w:shd w:val="clear" w:color="auto" w:fill="auto"/>
            <w:noWrap/>
            <w:vAlign w:val="center"/>
            <w:hideMark/>
          </w:tcPr>
          <w:p w14:paraId="247C8092" w14:textId="77777777" w:rsidR="002B5117" w:rsidRPr="00D01F4D" w:rsidRDefault="002B5117" w:rsidP="00D01F4D">
            <w:pPr>
              <w:rPr>
                <w:rFonts w:cs="Arial"/>
                <w:b/>
                <w:bCs/>
                <w:color w:val="000000"/>
                <w:sz w:val="20"/>
                <w:szCs w:val="20"/>
                <w:lang w:val="en-US" w:eastAsia="en-US"/>
              </w:rPr>
            </w:pPr>
            <w:r w:rsidRPr="00D01F4D">
              <w:rPr>
                <w:rFonts w:cs="Arial"/>
                <w:b/>
                <w:bCs/>
                <w:color w:val="000000"/>
                <w:sz w:val="20"/>
                <w:szCs w:val="20"/>
                <w:lang w:val="en-US" w:eastAsia="en-US"/>
              </w:rPr>
              <w:t>BP</w:t>
            </w:r>
          </w:p>
        </w:tc>
        <w:tc>
          <w:tcPr>
            <w:tcW w:w="2353" w:type="dxa"/>
            <w:tcBorders>
              <w:top w:val="nil"/>
              <w:left w:val="nil"/>
              <w:bottom w:val="single" w:sz="4" w:space="0" w:color="auto"/>
              <w:right w:val="nil"/>
            </w:tcBorders>
            <w:shd w:val="clear" w:color="auto" w:fill="auto"/>
            <w:vAlign w:val="center"/>
            <w:hideMark/>
          </w:tcPr>
          <w:p w14:paraId="575D37BB" w14:textId="77777777" w:rsidR="002B5117" w:rsidRPr="00D01F4D" w:rsidRDefault="002B5117" w:rsidP="00D01F4D">
            <w:pPr>
              <w:rPr>
                <w:rFonts w:cs="Arial"/>
                <w:color w:val="000000"/>
                <w:sz w:val="20"/>
                <w:szCs w:val="20"/>
                <w:lang w:val="en-US" w:eastAsia="en-US"/>
              </w:rPr>
            </w:pPr>
            <w:r w:rsidRPr="00D01F4D">
              <w:rPr>
                <w:rFonts w:cs="Arial"/>
                <w:color w:val="000000"/>
                <w:sz w:val="20"/>
                <w:szCs w:val="20"/>
                <w:lang w:val="en-US" w:eastAsia="en-US"/>
              </w:rPr>
              <w:t>Total non-MBS costs</w:t>
            </w:r>
          </w:p>
        </w:tc>
        <w:tc>
          <w:tcPr>
            <w:tcW w:w="1107"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2E2FE0D8" w14:textId="3FFAAEC5" w:rsidR="002B5117" w:rsidRPr="00D01F4D" w:rsidRDefault="002B5117" w:rsidP="00D01F4D">
            <w:pPr>
              <w:rPr>
                <w:rFonts w:cs="Arial"/>
                <w:color w:val="000000"/>
                <w:sz w:val="16"/>
                <w:szCs w:val="16"/>
                <w:lang w:val="en-US" w:eastAsia="en-US"/>
              </w:rPr>
            </w:pPr>
            <w:r>
              <w:rPr>
                <w:rFonts w:cs="Arial"/>
                <w:color w:val="000000"/>
                <w:sz w:val="16"/>
                <w:szCs w:val="16"/>
              </w:rPr>
              <w:t>Row BF</w:t>
            </w:r>
          </w:p>
        </w:tc>
        <w:tc>
          <w:tcPr>
            <w:tcW w:w="1592" w:type="dxa"/>
            <w:tcBorders>
              <w:top w:val="single" w:sz="4" w:space="0" w:color="auto"/>
              <w:left w:val="nil"/>
              <w:bottom w:val="single" w:sz="8" w:space="0" w:color="auto"/>
              <w:right w:val="single" w:sz="4" w:space="0" w:color="auto"/>
            </w:tcBorders>
            <w:shd w:val="clear" w:color="auto" w:fill="auto"/>
            <w:noWrap/>
            <w:vAlign w:val="center"/>
            <w:hideMark/>
          </w:tcPr>
          <w:p w14:paraId="7DD1851F" w14:textId="77777777" w:rsidR="002B5117" w:rsidRPr="00D01F4D" w:rsidRDefault="002B5117" w:rsidP="00D01F4D">
            <w:pPr>
              <w:rPr>
                <w:rFonts w:cs="Arial"/>
                <w:color w:val="000000"/>
                <w:sz w:val="16"/>
                <w:szCs w:val="16"/>
                <w:lang w:val="en-US" w:eastAsia="en-US"/>
              </w:rPr>
            </w:pPr>
            <w:r w:rsidRPr="00D01F4D">
              <w:rPr>
                <w:rFonts w:cs="Arial"/>
                <w:color w:val="000000"/>
                <w:sz w:val="16"/>
                <w:szCs w:val="16"/>
                <w:lang w:val="en-US" w:eastAsia="en-US"/>
              </w:rPr>
              <w:t xml:space="preserve"> AUD        967.605 </w:t>
            </w:r>
          </w:p>
        </w:tc>
        <w:tc>
          <w:tcPr>
            <w:tcW w:w="1664" w:type="dxa"/>
            <w:tcBorders>
              <w:top w:val="single" w:sz="4" w:space="0" w:color="auto"/>
              <w:left w:val="nil"/>
              <w:bottom w:val="single" w:sz="8" w:space="0" w:color="auto"/>
              <w:right w:val="single" w:sz="4" w:space="0" w:color="auto"/>
            </w:tcBorders>
            <w:shd w:val="clear" w:color="auto" w:fill="auto"/>
            <w:noWrap/>
            <w:vAlign w:val="center"/>
            <w:hideMark/>
          </w:tcPr>
          <w:p w14:paraId="69ED017A" w14:textId="77777777" w:rsidR="002B5117" w:rsidRPr="00D01F4D" w:rsidRDefault="002B5117" w:rsidP="00D01F4D">
            <w:pPr>
              <w:rPr>
                <w:rFonts w:cs="Arial"/>
                <w:color w:val="000000"/>
                <w:sz w:val="16"/>
                <w:szCs w:val="16"/>
                <w:lang w:val="en-US" w:eastAsia="en-US"/>
              </w:rPr>
            </w:pPr>
            <w:r w:rsidRPr="00D01F4D">
              <w:rPr>
                <w:rFonts w:cs="Arial"/>
                <w:color w:val="000000"/>
                <w:sz w:val="16"/>
                <w:szCs w:val="16"/>
                <w:lang w:val="en-US" w:eastAsia="en-US"/>
              </w:rPr>
              <w:t xml:space="preserve"> AUD          984.526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445E91E4" w14:textId="77777777" w:rsidR="002B5117" w:rsidRPr="00D01F4D" w:rsidRDefault="002B5117" w:rsidP="00D01F4D">
            <w:pPr>
              <w:rPr>
                <w:rFonts w:cs="Arial"/>
                <w:color w:val="000000"/>
                <w:sz w:val="16"/>
                <w:szCs w:val="16"/>
                <w:lang w:val="en-US" w:eastAsia="en-US"/>
              </w:rPr>
            </w:pPr>
            <w:r w:rsidRPr="00D01F4D">
              <w:rPr>
                <w:rFonts w:cs="Arial"/>
                <w:color w:val="000000"/>
                <w:sz w:val="16"/>
                <w:szCs w:val="16"/>
                <w:lang w:val="en-US" w:eastAsia="en-US"/>
              </w:rPr>
              <w:t xml:space="preserve"> AUD       1.001.310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7B0FB93B" w14:textId="77777777" w:rsidR="002B5117" w:rsidRPr="00D01F4D" w:rsidRDefault="002B5117" w:rsidP="00D01F4D">
            <w:pPr>
              <w:rPr>
                <w:rFonts w:cs="Arial"/>
                <w:color w:val="000000"/>
                <w:sz w:val="16"/>
                <w:szCs w:val="16"/>
                <w:lang w:val="en-US" w:eastAsia="en-US"/>
              </w:rPr>
            </w:pPr>
            <w:r w:rsidRPr="00D01F4D">
              <w:rPr>
                <w:rFonts w:cs="Arial"/>
                <w:color w:val="000000"/>
                <w:sz w:val="16"/>
                <w:szCs w:val="16"/>
                <w:lang w:val="en-US" w:eastAsia="en-US"/>
              </w:rPr>
              <w:t xml:space="preserve"> AUD       1.017.957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254211BC" w14:textId="77777777" w:rsidR="002B5117" w:rsidRPr="00D01F4D" w:rsidRDefault="002B5117" w:rsidP="00D01F4D">
            <w:pPr>
              <w:rPr>
                <w:rFonts w:cs="Arial"/>
                <w:color w:val="000000"/>
                <w:sz w:val="16"/>
                <w:szCs w:val="16"/>
                <w:lang w:val="en-US" w:eastAsia="en-US"/>
              </w:rPr>
            </w:pPr>
            <w:r w:rsidRPr="00D01F4D">
              <w:rPr>
                <w:rFonts w:cs="Arial"/>
                <w:color w:val="000000"/>
                <w:sz w:val="16"/>
                <w:szCs w:val="16"/>
                <w:lang w:val="en-US" w:eastAsia="en-US"/>
              </w:rPr>
              <w:t xml:space="preserve"> AUD       1.034.352 </w:t>
            </w:r>
          </w:p>
        </w:tc>
        <w:tc>
          <w:tcPr>
            <w:tcW w:w="1542" w:type="dxa"/>
            <w:tcBorders>
              <w:top w:val="single" w:sz="4" w:space="0" w:color="auto"/>
              <w:left w:val="nil"/>
              <w:bottom w:val="single" w:sz="8" w:space="0" w:color="auto"/>
              <w:right w:val="single" w:sz="8" w:space="0" w:color="auto"/>
            </w:tcBorders>
            <w:shd w:val="clear" w:color="auto" w:fill="auto"/>
            <w:noWrap/>
            <w:vAlign w:val="center"/>
            <w:hideMark/>
          </w:tcPr>
          <w:p w14:paraId="72AF122A" w14:textId="77777777" w:rsidR="002B5117" w:rsidRPr="00D01F4D" w:rsidRDefault="002B5117" w:rsidP="00D01F4D">
            <w:pPr>
              <w:rPr>
                <w:rFonts w:cs="Arial"/>
                <w:color w:val="000000"/>
                <w:sz w:val="16"/>
                <w:szCs w:val="16"/>
                <w:lang w:val="en-US" w:eastAsia="en-US"/>
              </w:rPr>
            </w:pPr>
            <w:r w:rsidRPr="00D01F4D">
              <w:rPr>
                <w:rFonts w:cs="Arial"/>
                <w:color w:val="000000"/>
                <w:sz w:val="16"/>
                <w:szCs w:val="16"/>
                <w:lang w:val="en-US" w:eastAsia="en-US"/>
              </w:rPr>
              <w:t xml:space="preserve"> AUD  1.051.936 </w:t>
            </w:r>
          </w:p>
        </w:tc>
      </w:tr>
      <w:tr w:rsidR="002B5117" w:rsidRPr="00D01F4D" w14:paraId="723146B3" w14:textId="77777777" w:rsidTr="00BF0EEF">
        <w:trPr>
          <w:trHeight w:val="987"/>
          <w:jc w:val="center"/>
        </w:trPr>
        <w:tc>
          <w:tcPr>
            <w:tcW w:w="639" w:type="dxa"/>
            <w:tcBorders>
              <w:top w:val="single" w:sz="4" w:space="0" w:color="auto"/>
              <w:left w:val="single" w:sz="8" w:space="0" w:color="auto"/>
              <w:bottom w:val="nil"/>
              <w:right w:val="single" w:sz="4" w:space="0" w:color="auto"/>
            </w:tcBorders>
            <w:shd w:val="clear" w:color="auto" w:fill="auto"/>
            <w:noWrap/>
            <w:vAlign w:val="center"/>
            <w:hideMark/>
          </w:tcPr>
          <w:p w14:paraId="073B8A77" w14:textId="77777777" w:rsidR="002B5117" w:rsidRPr="00D01F4D" w:rsidRDefault="002B5117" w:rsidP="00D01F4D">
            <w:pPr>
              <w:rPr>
                <w:rFonts w:cs="Arial"/>
                <w:b/>
                <w:bCs/>
                <w:color w:val="000000"/>
                <w:sz w:val="20"/>
                <w:szCs w:val="20"/>
                <w:lang w:val="en-US" w:eastAsia="en-US"/>
              </w:rPr>
            </w:pPr>
            <w:r w:rsidRPr="00D01F4D">
              <w:rPr>
                <w:rFonts w:cs="Arial"/>
                <w:b/>
                <w:bCs/>
                <w:color w:val="000000"/>
                <w:sz w:val="20"/>
                <w:szCs w:val="20"/>
                <w:lang w:val="en-US" w:eastAsia="en-US"/>
              </w:rPr>
              <w:t>BQ</w:t>
            </w:r>
          </w:p>
        </w:tc>
        <w:tc>
          <w:tcPr>
            <w:tcW w:w="2353" w:type="dxa"/>
            <w:tcBorders>
              <w:top w:val="nil"/>
              <w:left w:val="nil"/>
              <w:bottom w:val="nil"/>
              <w:right w:val="nil"/>
            </w:tcBorders>
            <w:shd w:val="clear" w:color="auto" w:fill="auto"/>
            <w:vAlign w:val="center"/>
            <w:hideMark/>
          </w:tcPr>
          <w:p w14:paraId="123BBA12" w14:textId="77777777" w:rsidR="002B5117" w:rsidRPr="00D01F4D" w:rsidRDefault="002B5117" w:rsidP="00D01F4D">
            <w:pPr>
              <w:rPr>
                <w:rFonts w:cs="Arial"/>
                <w:b/>
                <w:bCs/>
                <w:color w:val="000000"/>
                <w:sz w:val="20"/>
                <w:szCs w:val="20"/>
                <w:lang w:val="en-US" w:eastAsia="en-US"/>
              </w:rPr>
            </w:pPr>
            <w:r w:rsidRPr="00D01F4D">
              <w:rPr>
                <w:rFonts w:cs="Arial"/>
                <w:b/>
                <w:bCs/>
                <w:color w:val="000000"/>
                <w:sz w:val="20"/>
                <w:szCs w:val="20"/>
                <w:lang w:val="en-US" w:eastAsia="en-US"/>
              </w:rPr>
              <w:t>Overall total costs of the proposed intervention</w:t>
            </w:r>
          </w:p>
        </w:tc>
        <w:tc>
          <w:tcPr>
            <w:tcW w:w="1107"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185DF8EB" w14:textId="620EFD88" w:rsidR="002B5117" w:rsidRPr="00D01F4D" w:rsidRDefault="002B5117" w:rsidP="00D01F4D">
            <w:pPr>
              <w:rPr>
                <w:rFonts w:cs="Arial"/>
                <w:color w:val="000000"/>
                <w:sz w:val="16"/>
                <w:szCs w:val="16"/>
                <w:lang w:val="en-US" w:eastAsia="en-US"/>
              </w:rPr>
            </w:pPr>
            <w:r>
              <w:rPr>
                <w:rFonts w:cs="Arial"/>
                <w:color w:val="000000"/>
                <w:sz w:val="16"/>
                <w:szCs w:val="16"/>
              </w:rPr>
              <w:t>BL + BM</w:t>
            </w:r>
          </w:p>
        </w:tc>
        <w:tc>
          <w:tcPr>
            <w:tcW w:w="1592" w:type="dxa"/>
            <w:tcBorders>
              <w:top w:val="single" w:sz="4" w:space="0" w:color="auto"/>
              <w:left w:val="nil"/>
              <w:bottom w:val="single" w:sz="8" w:space="0" w:color="auto"/>
              <w:right w:val="single" w:sz="4" w:space="0" w:color="auto"/>
            </w:tcBorders>
            <w:shd w:val="clear" w:color="auto" w:fill="auto"/>
            <w:noWrap/>
            <w:vAlign w:val="center"/>
            <w:hideMark/>
          </w:tcPr>
          <w:p w14:paraId="68230192" w14:textId="77777777" w:rsidR="002B5117" w:rsidRPr="00D01F4D" w:rsidRDefault="002B5117" w:rsidP="00D01F4D">
            <w:pPr>
              <w:rPr>
                <w:rFonts w:cs="Arial"/>
                <w:b/>
                <w:bCs/>
                <w:color w:val="000000"/>
                <w:sz w:val="16"/>
                <w:szCs w:val="16"/>
                <w:lang w:val="en-US" w:eastAsia="en-US"/>
              </w:rPr>
            </w:pPr>
            <w:r w:rsidRPr="00D01F4D">
              <w:rPr>
                <w:rFonts w:cs="Arial"/>
                <w:b/>
                <w:bCs/>
                <w:color w:val="000000"/>
                <w:sz w:val="16"/>
                <w:szCs w:val="16"/>
                <w:lang w:val="en-US" w:eastAsia="en-US"/>
              </w:rPr>
              <w:t xml:space="preserve"> AUD     1.220.936 </w:t>
            </w:r>
          </w:p>
        </w:tc>
        <w:tc>
          <w:tcPr>
            <w:tcW w:w="1664" w:type="dxa"/>
            <w:tcBorders>
              <w:top w:val="single" w:sz="4" w:space="0" w:color="auto"/>
              <w:left w:val="nil"/>
              <w:bottom w:val="single" w:sz="8" w:space="0" w:color="auto"/>
              <w:right w:val="single" w:sz="4" w:space="0" w:color="auto"/>
            </w:tcBorders>
            <w:shd w:val="clear" w:color="auto" w:fill="auto"/>
            <w:noWrap/>
            <w:vAlign w:val="center"/>
            <w:hideMark/>
          </w:tcPr>
          <w:p w14:paraId="220032B4" w14:textId="77777777" w:rsidR="002B5117" w:rsidRPr="00D01F4D" w:rsidRDefault="002B5117" w:rsidP="00D01F4D">
            <w:pPr>
              <w:rPr>
                <w:rFonts w:cs="Arial"/>
                <w:b/>
                <w:bCs/>
                <w:color w:val="000000"/>
                <w:sz w:val="16"/>
                <w:szCs w:val="16"/>
                <w:lang w:val="en-US" w:eastAsia="en-US"/>
              </w:rPr>
            </w:pPr>
            <w:r w:rsidRPr="00D01F4D">
              <w:rPr>
                <w:rFonts w:cs="Arial"/>
                <w:b/>
                <w:bCs/>
                <w:color w:val="000000"/>
                <w:sz w:val="16"/>
                <w:szCs w:val="16"/>
                <w:lang w:val="en-US" w:eastAsia="en-US"/>
              </w:rPr>
              <w:t xml:space="preserve"> AUD       1.242.288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7CA5F61C" w14:textId="77777777" w:rsidR="002B5117" w:rsidRPr="00D01F4D" w:rsidRDefault="002B5117" w:rsidP="00D01F4D">
            <w:pPr>
              <w:rPr>
                <w:rFonts w:cs="Arial"/>
                <w:b/>
                <w:bCs/>
                <w:color w:val="000000"/>
                <w:sz w:val="16"/>
                <w:szCs w:val="16"/>
                <w:lang w:val="en-US" w:eastAsia="en-US"/>
              </w:rPr>
            </w:pPr>
            <w:r w:rsidRPr="00D01F4D">
              <w:rPr>
                <w:rFonts w:cs="Arial"/>
                <w:b/>
                <w:bCs/>
                <w:color w:val="000000"/>
                <w:sz w:val="16"/>
                <w:szCs w:val="16"/>
                <w:lang w:val="en-US" w:eastAsia="en-US"/>
              </w:rPr>
              <w:t xml:space="preserve"> AUD       1.263.466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05DF7E65" w14:textId="77777777" w:rsidR="002B5117" w:rsidRPr="00D01F4D" w:rsidRDefault="002B5117" w:rsidP="00D01F4D">
            <w:pPr>
              <w:rPr>
                <w:rFonts w:cs="Arial"/>
                <w:b/>
                <w:bCs/>
                <w:color w:val="000000"/>
                <w:sz w:val="16"/>
                <w:szCs w:val="16"/>
                <w:lang w:val="en-US" w:eastAsia="en-US"/>
              </w:rPr>
            </w:pPr>
            <w:r w:rsidRPr="00D01F4D">
              <w:rPr>
                <w:rFonts w:cs="Arial"/>
                <w:b/>
                <w:bCs/>
                <w:color w:val="000000"/>
                <w:sz w:val="16"/>
                <w:szCs w:val="16"/>
                <w:lang w:val="en-US" w:eastAsia="en-US"/>
              </w:rPr>
              <w:t xml:space="preserve"> AUD       1.284.471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6A00A3A8" w14:textId="77777777" w:rsidR="002B5117" w:rsidRPr="00D01F4D" w:rsidRDefault="002B5117" w:rsidP="00D01F4D">
            <w:pPr>
              <w:rPr>
                <w:rFonts w:cs="Arial"/>
                <w:b/>
                <w:bCs/>
                <w:color w:val="000000"/>
                <w:sz w:val="16"/>
                <w:szCs w:val="16"/>
                <w:lang w:val="en-US" w:eastAsia="en-US"/>
              </w:rPr>
            </w:pPr>
            <w:r w:rsidRPr="00D01F4D">
              <w:rPr>
                <w:rFonts w:cs="Arial"/>
                <w:b/>
                <w:bCs/>
                <w:color w:val="000000"/>
                <w:sz w:val="16"/>
                <w:szCs w:val="16"/>
                <w:lang w:val="en-US" w:eastAsia="en-US"/>
              </w:rPr>
              <w:t xml:space="preserve"> AUD       1.305.159 </w:t>
            </w:r>
          </w:p>
        </w:tc>
        <w:tc>
          <w:tcPr>
            <w:tcW w:w="1542" w:type="dxa"/>
            <w:tcBorders>
              <w:top w:val="single" w:sz="4" w:space="0" w:color="auto"/>
              <w:left w:val="nil"/>
              <w:bottom w:val="single" w:sz="8" w:space="0" w:color="auto"/>
              <w:right w:val="single" w:sz="8" w:space="0" w:color="auto"/>
            </w:tcBorders>
            <w:shd w:val="clear" w:color="auto" w:fill="auto"/>
            <w:noWrap/>
            <w:vAlign w:val="center"/>
            <w:hideMark/>
          </w:tcPr>
          <w:p w14:paraId="3593625C" w14:textId="77777777" w:rsidR="002B5117" w:rsidRPr="00D01F4D" w:rsidRDefault="002B5117" w:rsidP="00D01F4D">
            <w:pPr>
              <w:rPr>
                <w:rFonts w:cs="Arial"/>
                <w:b/>
                <w:bCs/>
                <w:color w:val="000000"/>
                <w:sz w:val="16"/>
                <w:szCs w:val="16"/>
                <w:lang w:val="en-US" w:eastAsia="en-US"/>
              </w:rPr>
            </w:pPr>
            <w:r w:rsidRPr="00D01F4D">
              <w:rPr>
                <w:rFonts w:cs="Arial"/>
                <w:b/>
                <w:bCs/>
                <w:color w:val="000000"/>
                <w:sz w:val="16"/>
                <w:szCs w:val="16"/>
                <w:lang w:val="en-US" w:eastAsia="en-US"/>
              </w:rPr>
              <w:t xml:space="preserve"> AUD  1.327.346 </w:t>
            </w:r>
          </w:p>
        </w:tc>
      </w:tr>
      <w:tr w:rsidR="00D01F4D" w:rsidRPr="00D01F4D" w14:paraId="4AC83F75" w14:textId="77777777" w:rsidTr="00BF0EEF">
        <w:trPr>
          <w:trHeight w:val="300"/>
          <w:jc w:val="center"/>
        </w:trPr>
        <w:tc>
          <w:tcPr>
            <w:tcW w:w="63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77234B7" w14:textId="77777777" w:rsidR="00D01F4D" w:rsidRPr="00D01F4D" w:rsidRDefault="00D01F4D" w:rsidP="00D01F4D">
            <w:pPr>
              <w:rPr>
                <w:rFonts w:cs="Arial"/>
                <w:b/>
                <w:bCs/>
                <w:color w:val="000000"/>
                <w:sz w:val="20"/>
                <w:szCs w:val="20"/>
                <w:lang w:val="en-US" w:eastAsia="en-US"/>
              </w:rPr>
            </w:pPr>
            <w:r w:rsidRPr="00D01F4D">
              <w:rPr>
                <w:rFonts w:cs="Arial"/>
                <w:b/>
                <w:bCs/>
                <w:color w:val="000000"/>
                <w:sz w:val="20"/>
                <w:szCs w:val="20"/>
                <w:lang w:val="en-US" w:eastAsia="en-US"/>
              </w:rPr>
              <w:t> </w:t>
            </w:r>
          </w:p>
        </w:tc>
        <w:tc>
          <w:tcPr>
            <w:tcW w:w="13550" w:type="dxa"/>
            <w:gridSpan w:val="8"/>
            <w:tcBorders>
              <w:top w:val="single" w:sz="4" w:space="0" w:color="auto"/>
              <w:left w:val="single" w:sz="4" w:space="0" w:color="auto"/>
              <w:bottom w:val="single" w:sz="4" w:space="0" w:color="auto"/>
              <w:right w:val="single" w:sz="8" w:space="0" w:color="000000"/>
            </w:tcBorders>
            <w:shd w:val="clear" w:color="auto" w:fill="auto"/>
            <w:vAlign w:val="center"/>
            <w:hideMark/>
          </w:tcPr>
          <w:p w14:paraId="235D3BB4" w14:textId="77777777" w:rsidR="00D01F4D" w:rsidRPr="00D01F4D" w:rsidRDefault="00D01F4D" w:rsidP="00D01F4D">
            <w:pPr>
              <w:rPr>
                <w:rFonts w:cs="Arial"/>
                <w:b/>
                <w:bCs/>
                <w:color w:val="000000"/>
                <w:sz w:val="20"/>
                <w:szCs w:val="20"/>
                <w:lang w:val="en-US" w:eastAsia="en-US"/>
              </w:rPr>
            </w:pPr>
            <w:r w:rsidRPr="00D01F4D">
              <w:rPr>
                <w:rFonts w:cs="Arial"/>
                <w:b/>
                <w:bCs/>
                <w:color w:val="000000"/>
                <w:sz w:val="20"/>
                <w:szCs w:val="20"/>
                <w:lang w:val="en-US" w:eastAsia="en-US"/>
              </w:rPr>
              <w:t>Maxum/Soundtec</w:t>
            </w:r>
          </w:p>
        </w:tc>
      </w:tr>
      <w:tr w:rsidR="002B5117" w:rsidRPr="00D01F4D" w14:paraId="7540A676" w14:textId="77777777" w:rsidTr="00BF0EEF">
        <w:trPr>
          <w:trHeight w:val="570"/>
          <w:jc w:val="center"/>
        </w:trPr>
        <w:tc>
          <w:tcPr>
            <w:tcW w:w="639" w:type="dxa"/>
            <w:tcBorders>
              <w:top w:val="nil"/>
              <w:left w:val="single" w:sz="8" w:space="0" w:color="auto"/>
              <w:bottom w:val="single" w:sz="4" w:space="0" w:color="auto"/>
              <w:right w:val="single" w:sz="4" w:space="0" w:color="auto"/>
            </w:tcBorders>
            <w:shd w:val="clear" w:color="auto" w:fill="auto"/>
            <w:noWrap/>
            <w:vAlign w:val="center"/>
            <w:hideMark/>
          </w:tcPr>
          <w:p w14:paraId="7F3747E3" w14:textId="77777777" w:rsidR="002B5117" w:rsidRPr="00D01F4D" w:rsidRDefault="002B5117" w:rsidP="00D01F4D">
            <w:pPr>
              <w:rPr>
                <w:rFonts w:cs="Arial"/>
                <w:b/>
                <w:bCs/>
                <w:color w:val="000000"/>
                <w:sz w:val="20"/>
                <w:szCs w:val="20"/>
                <w:lang w:val="en-US" w:eastAsia="en-US"/>
              </w:rPr>
            </w:pPr>
            <w:r w:rsidRPr="00D01F4D">
              <w:rPr>
                <w:rFonts w:cs="Arial"/>
                <w:b/>
                <w:bCs/>
                <w:color w:val="000000"/>
                <w:sz w:val="20"/>
                <w:szCs w:val="20"/>
                <w:lang w:val="en-US" w:eastAsia="en-US"/>
              </w:rPr>
              <w:t>BR</w:t>
            </w:r>
          </w:p>
        </w:tc>
        <w:tc>
          <w:tcPr>
            <w:tcW w:w="2353" w:type="dxa"/>
            <w:tcBorders>
              <w:top w:val="nil"/>
              <w:left w:val="nil"/>
              <w:bottom w:val="single" w:sz="4" w:space="0" w:color="auto"/>
              <w:right w:val="single" w:sz="4" w:space="0" w:color="auto"/>
            </w:tcBorders>
            <w:shd w:val="clear" w:color="auto" w:fill="auto"/>
            <w:vAlign w:val="center"/>
            <w:hideMark/>
          </w:tcPr>
          <w:p w14:paraId="06CDCE3F" w14:textId="77777777" w:rsidR="002B5117" w:rsidRPr="00D01F4D" w:rsidRDefault="002B5117" w:rsidP="00D01F4D">
            <w:pPr>
              <w:rPr>
                <w:rFonts w:cs="Arial"/>
                <w:color w:val="000000"/>
                <w:sz w:val="20"/>
                <w:szCs w:val="20"/>
                <w:lang w:val="en-US" w:eastAsia="en-US"/>
              </w:rPr>
            </w:pPr>
            <w:r w:rsidRPr="00D01F4D">
              <w:rPr>
                <w:rFonts w:cs="Arial"/>
                <w:color w:val="000000"/>
                <w:sz w:val="20"/>
                <w:szCs w:val="20"/>
                <w:lang w:val="en-US" w:eastAsia="en-US"/>
              </w:rPr>
              <w:t>Cost to MBS of the proposed item</w:t>
            </w:r>
          </w:p>
        </w:tc>
        <w:tc>
          <w:tcPr>
            <w:tcW w:w="1107" w:type="dxa"/>
            <w:tcBorders>
              <w:top w:val="nil"/>
              <w:left w:val="nil"/>
              <w:bottom w:val="single" w:sz="4" w:space="0" w:color="auto"/>
              <w:right w:val="single" w:sz="4" w:space="0" w:color="auto"/>
            </w:tcBorders>
            <w:shd w:val="clear" w:color="auto" w:fill="auto"/>
            <w:vAlign w:val="center"/>
            <w:hideMark/>
          </w:tcPr>
          <w:p w14:paraId="206E0741" w14:textId="4DECA526" w:rsidR="002B5117" w:rsidRPr="00D01F4D" w:rsidRDefault="002B5117" w:rsidP="00D01F4D">
            <w:pPr>
              <w:rPr>
                <w:rFonts w:cs="Arial"/>
                <w:color w:val="000000"/>
                <w:sz w:val="16"/>
                <w:szCs w:val="16"/>
                <w:lang w:val="en-US" w:eastAsia="en-US"/>
              </w:rPr>
            </w:pPr>
            <w:r>
              <w:rPr>
                <w:rFonts w:cs="Arial"/>
                <w:color w:val="000000"/>
                <w:sz w:val="16"/>
                <w:szCs w:val="16"/>
              </w:rPr>
              <w:t>Row M</w:t>
            </w:r>
          </w:p>
        </w:tc>
        <w:tc>
          <w:tcPr>
            <w:tcW w:w="1592" w:type="dxa"/>
            <w:tcBorders>
              <w:top w:val="nil"/>
              <w:left w:val="nil"/>
              <w:bottom w:val="single" w:sz="8" w:space="0" w:color="auto"/>
              <w:right w:val="single" w:sz="4" w:space="0" w:color="auto"/>
            </w:tcBorders>
            <w:shd w:val="clear" w:color="auto" w:fill="auto"/>
            <w:noWrap/>
            <w:vAlign w:val="center"/>
            <w:hideMark/>
          </w:tcPr>
          <w:p w14:paraId="3818FD37" w14:textId="77777777" w:rsidR="002B5117" w:rsidRPr="00D01F4D" w:rsidRDefault="002B5117" w:rsidP="00D01F4D">
            <w:pPr>
              <w:rPr>
                <w:rFonts w:cs="Arial"/>
                <w:color w:val="000000"/>
                <w:sz w:val="16"/>
                <w:szCs w:val="16"/>
                <w:lang w:val="en-US" w:eastAsia="en-US"/>
              </w:rPr>
            </w:pPr>
            <w:r w:rsidRPr="00D01F4D">
              <w:rPr>
                <w:rFonts w:cs="Arial"/>
                <w:color w:val="000000"/>
                <w:sz w:val="16"/>
                <w:szCs w:val="16"/>
                <w:lang w:val="en-US" w:eastAsia="en-US"/>
              </w:rPr>
              <w:t xml:space="preserve"> AUD        121.369 </w:t>
            </w:r>
          </w:p>
        </w:tc>
        <w:tc>
          <w:tcPr>
            <w:tcW w:w="1664" w:type="dxa"/>
            <w:tcBorders>
              <w:top w:val="nil"/>
              <w:left w:val="nil"/>
              <w:bottom w:val="single" w:sz="8" w:space="0" w:color="auto"/>
              <w:right w:val="single" w:sz="4" w:space="0" w:color="auto"/>
            </w:tcBorders>
            <w:shd w:val="clear" w:color="auto" w:fill="auto"/>
            <w:noWrap/>
            <w:vAlign w:val="center"/>
            <w:hideMark/>
          </w:tcPr>
          <w:p w14:paraId="31B6EE17" w14:textId="77777777" w:rsidR="002B5117" w:rsidRPr="00D01F4D" w:rsidRDefault="002B5117" w:rsidP="00D01F4D">
            <w:pPr>
              <w:rPr>
                <w:rFonts w:cs="Arial"/>
                <w:color w:val="000000"/>
                <w:sz w:val="16"/>
                <w:szCs w:val="16"/>
                <w:lang w:val="en-US" w:eastAsia="en-US"/>
              </w:rPr>
            </w:pPr>
            <w:r w:rsidRPr="00D01F4D">
              <w:rPr>
                <w:rFonts w:cs="Arial"/>
                <w:color w:val="000000"/>
                <w:sz w:val="16"/>
                <w:szCs w:val="16"/>
                <w:lang w:val="en-US" w:eastAsia="en-US"/>
              </w:rPr>
              <w:t xml:space="preserve"> AUD          123.491 </w:t>
            </w:r>
          </w:p>
        </w:tc>
        <w:tc>
          <w:tcPr>
            <w:tcW w:w="1764" w:type="dxa"/>
            <w:tcBorders>
              <w:top w:val="nil"/>
              <w:left w:val="nil"/>
              <w:bottom w:val="single" w:sz="8" w:space="0" w:color="auto"/>
              <w:right w:val="single" w:sz="4" w:space="0" w:color="auto"/>
            </w:tcBorders>
            <w:shd w:val="clear" w:color="auto" w:fill="auto"/>
            <w:noWrap/>
            <w:vAlign w:val="center"/>
            <w:hideMark/>
          </w:tcPr>
          <w:p w14:paraId="51D8AA4B" w14:textId="77777777" w:rsidR="002B5117" w:rsidRPr="00D01F4D" w:rsidRDefault="002B5117" w:rsidP="00D01F4D">
            <w:pPr>
              <w:rPr>
                <w:rFonts w:cs="Arial"/>
                <w:color w:val="000000"/>
                <w:sz w:val="16"/>
                <w:szCs w:val="16"/>
                <w:lang w:val="en-US" w:eastAsia="en-US"/>
              </w:rPr>
            </w:pPr>
            <w:r w:rsidRPr="00D01F4D">
              <w:rPr>
                <w:rFonts w:cs="Arial"/>
                <w:color w:val="000000"/>
                <w:sz w:val="16"/>
                <w:szCs w:val="16"/>
                <w:lang w:val="en-US" w:eastAsia="en-US"/>
              </w:rPr>
              <w:t xml:space="preserve"> AUD          125.596 </w:t>
            </w:r>
          </w:p>
        </w:tc>
        <w:tc>
          <w:tcPr>
            <w:tcW w:w="1764" w:type="dxa"/>
            <w:tcBorders>
              <w:top w:val="nil"/>
              <w:left w:val="nil"/>
              <w:bottom w:val="single" w:sz="8" w:space="0" w:color="auto"/>
              <w:right w:val="single" w:sz="4" w:space="0" w:color="auto"/>
            </w:tcBorders>
            <w:shd w:val="clear" w:color="auto" w:fill="auto"/>
            <w:noWrap/>
            <w:vAlign w:val="center"/>
            <w:hideMark/>
          </w:tcPr>
          <w:p w14:paraId="0009D318" w14:textId="77777777" w:rsidR="002B5117" w:rsidRPr="00D01F4D" w:rsidRDefault="002B5117" w:rsidP="00D01F4D">
            <w:pPr>
              <w:rPr>
                <w:rFonts w:cs="Arial"/>
                <w:color w:val="000000"/>
                <w:sz w:val="16"/>
                <w:szCs w:val="16"/>
                <w:lang w:val="en-US" w:eastAsia="en-US"/>
              </w:rPr>
            </w:pPr>
            <w:r w:rsidRPr="00D01F4D">
              <w:rPr>
                <w:rFonts w:cs="Arial"/>
                <w:color w:val="000000"/>
                <w:sz w:val="16"/>
                <w:szCs w:val="16"/>
                <w:lang w:val="en-US" w:eastAsia="en-US"/>
              </w:rPr>
              <w:t xml:space="preserve"> AUD          127.685 </w:t>
            </w:r>
          </w:p>
        </w:tc>
        <w:tc>
          <w:tcPr>
            <w:tcW w:w="1764" w:type="dxa"/>
            <w:tcBorders>
              <w:top w:val="nil"/>
              <w:left w:val="nil"/>
              <w:bottom w:val="single" w:sz="8" w:space="0" w:color="auto"/>
              <w:right w:val="single" w:sz="4" w:space="0" w:color="auto"/>
            </w:tcBorders>
            <w:shd w:val="clear" w:color="auto" w:fill="auto"/>
            <w:noWrap/>
            <w:vAlign w:val="center"/>
            <w:hideMark/>
          </w:tcPr>
          <w:p w14:paraId="13F3FD03" w14:textId="77777777" w:rsidR="002B5117" w:rsidRPr="00D01F4D" w:rsidRDefault="002B5117" w:rsidP="00D01F4D">
            <w:pPr>
              <w:rPr>
                <w:rFonts w:cs="Arial"/>
                <w:color w:val="000000"/>
                <w:sz w:val="16"/>
                <w:szCs w:val="16"/>
                <w:lang w:val="en-US" w:eastAsia="en-US"/>
              </w:rPr>
            </w:pPr>
            <w:r w:rsidRPr="00D01F4D">
              <w:rPr>
                <w:rFonts w:cs="Arial"/>
                <w:color w:val="000000"/>
                <w:sz w:val="16"/>
                <w:szCs w:val="16"/>
                <w:lang w:val="en-US" w:eastAsia="en-US"/>
              </w:rPr>
              <w:t xml:space="preserve"> AUD          129.741 </w:t>
            </w:r>
          </w:p>
        </w:tc>
        <w:tc>
          <w:tcPr>
            <w:tcW w:w="1542" w:type="dxa"/>
            <w:tcBorders>
              <w:top w:val="nil"/>
              <w:left w:val="nil"/>
              <w:bottom w:val="single" w:sz="8" w:space="0" w:color="auto"/>
              <w:right w:val="single" w:sz="8" w:space="0" w:color="auto"/>
            </w:tcBorders>
            <w:shd w:val="clear" w:color="auto" w:fill="auto"/>
            <w:noWrap/>
            <w:vAlign w:val="center"/>
            <w:hideMark/>
          </w:tcPr>
          <w:p w14:paraId="123E25E6" w14:textId="77777777" w:rsidR="002B5117" w:rsidRPr="00D01F4D" w:rsidRDefault="002B5117" w:rsidP="00D01F4D">
            <w:pPr>
              <w:rPr>
                <w:rFonts w:cs="Arial"/>
                <w:color w:val="000000"/>
                <w:sz w:val="16"/>
                <w:szCs w:val="16"/>
                <w:lang w:val="en-US" w:eastAsia="en-US"/>
              </w:rPr>
            </w:pPr>
            <w:r w:rsidRPr="00D01F4D">
              <w:rPr>
                <w:rFonts w:cs="Arial"/>
                <w:color w:val="000000"/>
                <w:sz w:val="16"/>
                <w:szCs w:val="16"/>
                <w:lang w:val="en-US" w:eastAsia="en-US"/>
              </w:rPr>
              <w:t xml:space="preserve"> AUD     131.947 </w:t>
            </w:r>
          </w:p>
        </w:tc>
      </w:tr>
      <w:tr w:rsidR="002B5117" w:rsidRPr="00D01F4D" w14:paraId="05E08FB3" w14:textId="77777777" w:rsidTr="00BF0EEF">
        <w:trPr>
          <w:trHeight w:val="570"/>
          <w:jc w:val="center"/>
        </w:trPr>
        <w:tc>
          <w:tcPr>
            <w:tcW w:w="639" w:type="dxa"/>
            <w:tcBorders>
              <w:top w:val="nil"/>
              <w:left w:val="single" w:sz="8" w:space="0" w:color="auto"/>
              <w:bottom w:val="single" w:sz="8" w:space="0" w:color="auto"/>
              <w:right w:val="single" w:sz="4" w:space="0" w:color="auto"/>
            </w:tcBorders>
            <w:shd w:val="clear" w:color="auto" w:fill="auto"/>
            <w:noWrap/>
            <w:vAlign w:val="center"/>
            <w:hideMark/>
          </w:tcPr>
          <w:p w14:paraId="4C3EF692" w14:textId="77777777" w:rsidR="002B5117" w:rsidRPr="00D01F4D" w:rsidRDefault="002B5117" w:rsidP="00D01F4D">
            <w:pPr>
              <w:rPr>
                <w:rFonts w:cs="Arial"/>
                <w:b/>
                <w:bCs/>
                <w:color w:val="000000"/>
                <w:sz w:val="20"/>
                <w:szCs w:val="20"/>
                <w:lang w:val="en-US" w:eastAsia="en-US"/>
              </w:rPr>
            </w:pPr>
            <w:r w:rsidRPr="00D01F4D">
              <w:rPr>
                <w:rFonts w:cs="Arial"/>
                <w:b/>
                <w:bCs/>
                <w:color w:val="000000"/>
                <w:sz w:val="20"/>
                <w:szCs w:val="20"/>
                <w:lang w:val="en-US" w:eastAsia="en-US"/>
              </w:rPr>
              <w:t>BS</w:t>
            </w:r>
          </w:p>
        </w:tc>
        <w:tc>
          <w:tcPr>
            <w:tcW w:w="2353" w:type="dxa"/>
            <w:tcBorders>
              <w:top w:val="nil"/>
              <w:left w:val="nil"/>
              <w:bottom w:val="single" w:sz="8" w:space="0" w:color="auto"/>
              <w:right w:val="single" w:sz="4" w:space="0" w:color="auto"/>
            </w:tcBorders>
            <w:shd w:val="clear" w:color="auto" w:fill="auto"/>
            <w:vAlign w:val="center"/>
            <w:hideMark/>
          </w:tcPr>
          <w:p w14:paraId="2686107D" w14:textId="77777777" w:rsidR="002B5117" w:rsidRPr="00D01F4D" w:rsidRDefault="002B5117" w:rsidP="00D01F4D">
            <w:pPr>
              <w:rPr>
                <w:rFonts w:cs="Arial"/>
                <w:color w:val="000000"/>
                <w:sz w:val="20"/>
                <w:szCs w:val="20"/>
                <w:lang w:val="en-US" w:eastAsia="en-US"/>
              </w:rPr>
            </w:pPr>
            <w:r w:rsidRPr="00D01F4D">
              <w:rPr>
                <w:rFonts w:cs="Arial"/>
                <w:color w:val="000000"/>
                <w:sz w:val="20"/>
                <w:szCs w:val="20"/>
                <w:lang w:val="en-US" w:eastAsia="en-US"/>
              </w:rPr>
              <w:t>Cost to the MBS of associated items</w:t>
            </w:r>
          </w:p>
        </w:tc>
        <w:tc>
          <w:tcPr>
            <w:tcW w:w="1107" w:type="dxa"/>
            <w:tcBorders>
              <w:top w:val="nil"/>
              <w:left w:val="nil"/>
              <w:bottom w:val="single" w:sz="8" w:space="0" w:color="auto"/>
              <w:right w:val="single" w:sz="4" w:space="0" w:color="auto"/>
            </w:tcBorders>
            <w:shd w:val="clear" w:color="auto" w:fill="auto"/>
            <w:vAlign w:val="center"/>
            <w:hideMark/>
          </w:tcPr>
          <w:p w14:paraId="00334FE6" w14:textId="31AF7147" w:rsidR="002B5117" w:rsidRPr="00D01F4D" w:rsidRDefault="002B5117" w:rsidP="00D01F4D">
            <w:pPr>
              <w:rPr>
                <w:rFonts w:cs="Arial"/>
                <w:color w:val="000000"/>
                <w:sz w:val="16"/>
                <w:szCs w:val="16"/>
                <w:lang w:val="en-US" w:eastAsia="en-US"/>
              </w:rPr>
            </w:pPr>
            <w:r>
              <w:rPr>
                <w:rFonts w:cs="Arial"/>
                <w:color w:val="000000"/>
                <w:sz w:val="16"/>
                <w:szCs w:val="16"/>
              </w:rPr>
              <w:t>Row AY</w:t>
            </w:r>
          </w:p>
        </w:tc>
        <w:tc>
          <w:tcPr>
            <w:tcW w:w="1592" w:type="dxa"/>
            <w:tcBorders>
              <w:top w:val="single" w:sz="4" w:space="0" w:color="auto"/>
              <w:left w:val="nil"/>
              <w:bottom w:val="single" w:sz="8" w:space="0" w:color="auto"/>
              <w:right w:val="single" w:sz="4" w:space="0" w:color="auto"/>
            </w:tcBorders>
            <w:shd w:val="clear" w:color="auto" w:fill="auto"/>
            <w:noWrap/>
            <w:vAlign w:val="center"/>
            <w:hideMark/>
          </w:tcPr>
          <w:p w14:paraId="4B8CDEC8" w14:textId="77777777" w:rsidR="002B5117" w:rsidRPr="00D01F4D" w:rsidRDefault="002B5117" w:rsidP="00D01F4D">
            <w:pPr>
              <w:rPr>
                <w:rFonts w:cs="Arial"/>
                <w:color w:val="000000"/>
                <w:sz w:val="16"/>
                <w:szCs w:val="16"/>
                <w:lang w:val="en-US" w:eastAsia="en-US"/>
              </w:rPr>
            </w:pPr>
            <w:r w:rsidRPr="00D01F4D">
              <w:rPr>
                <w:rFonts w:cs="Arial"/>
                <w:color w:val="000000"/>
                <w:sz w:val="16"/>
                <w:szCs w:val="16"/>
                <w:lang w:val="en-US" w:eastAsia="en-US"/>
              </w:rPr>
              <w:t xml:space="preserve"> AUD        105.235 </w:t>
            </w:r>
          </w:p>
        </w:tc>
        <w:tc>
          <w:tcPr>
            <w:tcW w:w="1664" w:type="dxa"/>
            <w:tcBorders>
              <w:top w:val="single" w:sz="4" w:space="0" w:color="auto"/>
              <w:left w:val="nil"/>
              <w:bottom w:val="single" w:sz="8" w:space="0" w:color="auto"/>
              <w:right w:val="single" w:sz="4" w:space="0" w:color="auto"/>
            </w:tcBorders>
            <w:shd w:val="clear" w:color="auto" w:fill="auto"/>
            <w:noWrap/>
            <w:vAlign w:val="center"/>
            <w:hideMark/>
          </w:tcPr>
          <w:p w14:paraId="764B6949" w14:textId="77777777" w:rsidR="002B5117" w:rsidRPr="00D01F4D" w:rsidRDefault="002B5117" w:rsidP="00D01F4D">
            <w:pPr>
              <w:rPr>
                <w:rFonts w:cs="Arial"/>
                <w:color w:val="000000"/>
                <w:sz w:val="16"/>
                <w:szCs w:val="16"/>
                <w:lang w:val="en-US" w:eastAsia="en-US"/>
              </w:rPr>
            </w:pPr>
            <w:r w:rsidRPr="00D01F4D">
              <w:rPr>
                <w:rFonts w:cs="Arial"/>
                <w:color w:val="000000"/>
                <w:sz w:val="16"/>
                <w:szCs w:val="16"/>
                <w:lang w:val="en-US" w:eastAsia="en-US"/>
              </w:rPr>
              <w:t xml:space="preserve"> AUD          107.075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4612FA73" w14:textId="77777777" w:rsidR="002B5117" w:rsidRPr="00D01F4D" w:rsidRDefault="002B5117" w:rsidP="00D01F4D">
            <w:pPr>
              <w:rPr>
                <w:rFonts w:cs="Arial"/>
                <w:color w:val="000000"/>
                <w:sz w:val="16"/>
                <w:szCs w:val="16"/>
                <w:lang w:val="en-US" w:eastAsia="en-US"/>
              </w:rPr>
            </w:pPr>
            <w:r w:rsidRPr="00D01F4D">
              <w:rPr>
                <w:rFonts w:cs="Arial"/>
                <w:color w:val="000000"/>
                <w:sz w:val="16"/>
                <w:szCs w:val="16"/>
                <w:lang w:val="en-US" w:eastAsia="en-US"/>
              </w:rPr>
              <w:t xml:space="preserve"> AUD          108.900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611EDB07" w14:textId="77777777" w:rsidR="002B5117" w:rsidRPr="00D01F4D" w:rsidRDefault="002B5117" w:rsidP="00D01F4D">
            <w:pPr>
              <w:rPr>
                <w:rFonts w:cs="Arial"/>
                <w:color w:val="000000"/>
                <w:sz w:val="16"/>
                <w:szCs w:val="16"/>
                <w:lang w:val="en-US" w:eastAsia="en-US"/>
              </w:rPr>
            </w:pPr>
            <w:r w:rsidRPr="00D01F4D">
              <w:rPr>
                <w:rFonts w:cs="Arial"/>
                <w:color w:val="000000"/>
                <w:sz w:val="16"/>
                <w:szCs w:val="16"/>
                <w:lang w:val="en-US" w:eastAsia="en-US"/>
              </w:rPr>
              <w:t xml:space="preserve"> AUD          110.711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77C57FCB" w14:textId="77777777" w:rsidR="002B5117" w:rsidRPr="00D01F4D" w:rsidRDefault="002B5117" w:rsidP="00D01F4D">
            <w:pPr>
              <w:rPr>
                <w:rFonts w:cs="Arial"/>
                <w:color w:val="000000"/>
                <w:sz w:val="16"/>
                <w:szCs w:val="16"/>
                <w:lang w:val="en-US" w:eastAsia="en-US"/>
              </w:rPr>
            </w:pPr>
            <w:r w:rsidRPr="00D01F4D">
              <w:rPr>
                <w:rFonts w:cs="Arial"/>
                <w:color w:val="000000"/>
                <w:sz w:val="16"/>
                <w:szCs w:val="16"/>
                <w:lang w:val="en-US" w:eastAsia="en-US"/>
              </w:rPr>
              <w:t xml:space="preserve"> AUD          112.494 </w:t>
            </w:r>
          </w:p>
        </w:tc>
        <w:tc>
          <w:tcPr>
            <w:tcW w:w="1542" w:type="dxa"/>
            <w:tcBorders>
              <w:top w:val="single" w:sz="4" w:space="0" w:color="auto"/>
              <w:left w:val="nil"/>
              <w:bottom w:val="single" w:sz="8" w:space="0" w:color="auto"/>
              <w:right w:val="single" w:sz="8" w:space="0" w:color="auto"/>
            </w:tcBorders>
            <w:shd w:val="clear" w:color="auto" w:fill="auto"/>
            <w:noWrap/>
            <w:vAlign w:val="center"/>
            <w:hideMark/>
          </w:tcPr>
          <w:p w14:paraId="6EC4904B" w14:textId="77777777" w:rsidR="002B5117" w:rsidRPr="00D01F4D" w:rsidRDefault="002B5117" w:rsidP="00D01F4D">
            <w:pPr>
              <w:rPr>
                <w:rFonts w:cs="Arial"/>
                <w:color w:val="000000"/>
                <w:sz w:val="16"/>
                <w:szCs w:val="16"/>
                <w:lang w:val="en-US" w:eastAsia="en-US"/>
              </w:rPr>
            </w:pPr>
            <w:r w:rsidRPr="00D01F4D">
              <w:rPr>
                <w:rFonts w:cs="Arial"/>
                <w:color w:val="000000"/>
                <w:sz w:val="16"/>
                <w:szCs w:val="16"/>
                <w:lang w:val="en-US" w:eastAsia="en-US"/>
              </w:rPr>
              <w:t xml:space="preserve"> AUD     114.406 </w:t>
            </w:r>
          </w:p>
        </w:tc>
      </w:tr>
      <w:tr w:rsidR="002B5117" w:rsidRPr="00D01F4D" w14:paraId="543E72D1" w14:textId="77777777" w:rsidTr="00BF0EEF">
        <w:trPr>
          <w:trHeight w:val="660"/>
          <w:jc w:val="center"/>
        </w:trPr>
        <w:tc>
          <w:tcPr>
            <w:tcW w:w="639"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12F582A6" w14:textId="77777777" w:rsidR="002B5117" w:rsidRPr="00D01F4D" w:rsidRDefault="002B5117" w:rsidP="00D01F4D">
            <w:pPr>
              <w:rPr>
                <w:rFonts w:cs="Arial"/>
                <w:b/>
                <w:bCs/>
                <w:color w:val="000000"/>
                <w:sz w:val="20"/>
                <w:szCs w:val="20"/>
                <w:lang w:val="en-US" w:eastAsia="en-US"/>
              </w:rPr>
            </w:pPr>
            <w:r w:rsidRPr="00D01F4D">
              <w:rPr>
                <w:rFonts w:cs="Arial"/>
                <w:b/>
                <w:bCs/>
                <w:color w:val="000000"/>
                <w:sz w:val="20"/>
                <w:szCs w:val="20"/>
                <w:lang w:val="en-US" w:eastAsia="en-US"/>
              </w:rPr>
              <w:t>BT</w:t>
            </w:r>
          </w:p>
        </w:tc>
        <w:tc>
          <w:tcPr>
            <w:tcW w:w="2353" w:type="dxa"/>
            <w:tcBorders>
              <w:top w:val="single" w:sz="4" w:space="0" w:color="auto"/>
              <w:left w:val="nil"/>
              <w:bottom w:val="single" w:sz="8" w:space="0" w:color="auto"/>
              <w:right w:val="single" w:sz="4" w:space="0" w:color="auto"/>
            </w:tcBorders>
            <w:shd w:val="clear" w:color="auto" w:fill="auto"/>
            <w:vAlign w:val="center"/>
            <w:hideMark/>
          </w:tcPr>
          <w:p w14:paraId="6FA1CBC1" w14:textId="77777777" w:rsidR="002B5117" w:rsidRPr="00D01F4D" w:rsidRDefault="002B5117" w:rsidP="00D01F4D">
            <w:pPr>
              <w:rPr>
                <w:rFonts w:cs="Arial"/>
                <w:b/>
                <w:bCs/>
                <w:color w:val="000000"/>
                <w:sz w:val="20"/>
                <w:szCs w:val="20"/>
                <w:lang w:val="en-US" w:eastAsia="en-US"/>
              </w:rPr>
            </w:pPr>
            <w:r w:rsidRPr="00D01F4D">
              <w:rPr>
                <w:rFonts w:cs="Arial"/>
                <w:b/>
                <w:bCs/>
                <w:color w:val="000000"/>
                <w:sz w:val="20"/>
                <w:szCs w:val="20"/>
                <w:lang w:val="en-US" w:eastAsia="en-US"/>
              </w:rPr>
              <w:t>Total costs to the MBS</w:t>
            </w:r>
          </w:p>
        </w:tc>
        <w:tc>
          <w:tcPr>
            <w:tcW w:w="1107" w:type="dxa"/>
            <w:tcBorders>
              <w:top w:val="single" w:sz="4" w:space="0" w:color="auto"/>
              <w:left w:val="nil"/>
              <w:bottom w:val="single" w:sz="8" w:space="0" w:color="auto"/>
              <w:right w:val="single" w:sz="4" w:space="0" w:color="auto"/>
            </w:tcBorders>
            <w:shd w:val="clear" w:color="auto" w:fill="auto"/>
            <w:vAlign w:val="center"/>
            <w:hideMark/>
          </w:tcPr>
          <w:p w14:paraId="2D12A6D2" w14:textId="45D2ECC2" w:rsidR="002B5117" w:rsidRPr="00D01F4D" w:rsidRDefault="002B5117" w:rsidP="00D01F4D">
            <w:pPr>
              <w:rPr>
                <w:rFonts w:cs="Arial"/>
                <w:color w:val="000000"/>
                <w:sz w:val="16"/>
                <w:szCs w:val="16"/>
                <w:lang w:val="en-US" w:eastAsia="en-US"/>
              </w:rPr>
            </w:pPr>
            <w:r>
              <w:rPr>
                <w:rFonts w:cs="Arial"/>
                <w:color w:val="000000"/>
                <w:sz w:val="16"/>
                <w:szCs w:val="16"/>
              </w:rPr>
              <w:t>BR + BS</w:t>
            </w:r>
          </w:p>
        </w:tc>
        <w:tc>
          <w:tcPr>
            <w:tcW w:w="1592" w:type="dxa"/>
            <w:tcBorders>
              <w:top w:val="single" w:sz="4" w:space="0" w:color="auto"/>
              <w:left w:val="nil"/>
              <w:bottom w:val="single" w:sz="8" w:space="0" w:color="auto"/>
              <w:right w:val="single" w:sz="4" w:space="0" w:color="auto"/>
            </w:tcBorders>
            <w:shd w:val="clear" w:color="auto" w:fill="auto"/>
            <w:noWrap/>
            <w:vAlign w:val="center"/>
            <w:hideMark/>
          </w:tcPr>
          <w:p w14:paraId="3F969BEF" w14:textId="77777777" w:rsidR="002B5117" w:rsidRPr="00D01F4D" w:rsidRDefault="002B5117" w:rsidP="00D01F4D">
            <w:pPr>
              <w:rPr>
                <w:rFonts w:cs="Arial"/>
                <w:color w:val="000000"/>
                <w:sz w:val="16"/>
                <w:szCs w:val="16"/>
                <w:lang w:val="en-US" w:eastAsia="en-US"/>
              </w:rPr>
            </w:pPr>
            <w:r w:rsidRPr="00D01F4D">
              <w:rPr>
                <w:rFonts w:cs="Arial"/>
                <w:color w:val="000000"/>
                <w:sz w:val="16"/>
                <w:szCs w:val="16"/>
                <w:lang w:val="en-US" w:eastAsia="en-US"/>
              </w:rPr>
              <w:t xml:space="preserve"> AUD        226.603 </w:t>
            </w:r>
          </w:p>
        </w:tc>
        <w:tc>
          <w:tcPr>
            <w:tcW w:w="1664" w:type="dxa"/>
            <w:tcBorders>
              <w:top w:val="single" w:sz="4" w:space="0" w:color="auto"/>
              <w:left w:val="nil"/>
              <w:bottom w:val="single" w:sz="8" w:space="0" w:color="auto"/>
              <w:right w:val="single" w:sz="4" w:space="0" w:color="auto"/>
            </w:tcBorders>
            <w:shd w:val="clear" w:color="auto" w:fill="auto"/>
            <w:noWrap/>
            <w:vAlign w:val="center"/>
            <w:hideMark/>
          </w:tcPr>
          <w:p w14:paraId="0FE8EAE8" w14:textId="77777777" w:rsidR="002B5117" w:rsidRPr="00D01F4D" w:rsidRDefault="002B5117" w:rsidP="00D01F4D">
            <w:pPr>
              <w:rPr>
                <w:rFonts w:cs="Arial"/>
                <w:color w:val="000000"/>
                <w:sz w:val="16"/>
                <w:szCs w:val="16"/>
                <w:lang w:val="en-US" w:eastAsia="en-US"/>
              </w:rPr>
            </w:pPr>
            <w:r w:rsidRPr="00D01F4D">
              <w:rPr>
                <w:rFonts w:cs="Arial"/>
                <w:color w:val="000000"/>
                <w:sz w:val="16"/>
                <w:szCs w:val="16"/>
                <w:lang w:val="en-US" w:eastAsia="en-US"/>
              </w:rPr>
              <w:t xml:space="preserve"> AUD          230.566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758879E7" w14:textId="77777777" w:rsidR="002B5117" w:rsidRPr="00D01F4D" w:rsidRDefault="002B5117" w:rsidP="00D01F4D">
            <w:pPr>
              <w:rPr>
                <w:rFonts w:cs="Arial"/>
                <w:color w:val="000000"/>
                <w:sz w:val="16"/>
                <w:szCs w:val="16"/>
                <w:lang w:val="en-US" w:eastAsia="en-US"/>
              </w:rPr>
            </w:pPr>
            <w:r w:rsidRPr="00D01F4D">
              <w:rPr>
                <w:rFonts w:cs="Arial"/>
                <w:color w:val="000000"/>
                <w:sz w:val="16"/>
                <w:szCs w:val="16"/>
                <w:lang w:val="en-US" w:eastAsia="en-US"/>
              </w:rPr>
              <w:t xml:space="preserve"> AUD          234.497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0FB998E5" w14:textId="77777777" w:rsidR="002B5117" w:rsidRPr="00D01F4D" w:rsidRDefault="002B5117" w:rsidP="00D01F4D">
            <w:pPr>
              <w:rPr>
                <w:rFonts w:cs="Arial"/>
                <w:color w:val="000000"/>
                <w:sz w:val="16"/>
                <w:szCs w:val="16"/>
                <w:lang w:val="en-US" w:eastAsia="en-US"/>
              </w:rPr>
            </w:pPr>
            <w:r w:rsidRPr="00D01F4D">
              <w:rPr>
                <w:rFonts w:cs="Arial"/>
                <w:color w:val="000000"/>
                <w:sz w:val="16"/>
                <w:szCs w:val="16"/>
                <w:lang w:val="en-US" w:eastAsia="en-US"/>
              </w:rPr>
              <w:t xml:space="preserve"> AUD          238.395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5E2B33F9" w14:textId="77777777" w:rsidR="002B5117" w:rsidRPr="00D01F4D" w:rsidRDefault="002B5117" w:rsidP="00D01F4D">
            <w:pPr>
              <w:rPr>
                <w:rFonts w:cs="Arial"/>
                <w:color w:val="000000"/>
                <w:sz w:val="16"/>
                <w:szCs w:val="16"/>
                <w:lang w:val="en-US" w:eastAsia="en-US"/>
              </w:rPr>
            </w:pPr>
            <w:r w:rsidRPr="00D01F4D">
              <w:rPr>
                <w:rFonts w:cs="Arial"/>
                <w:color w:val="000000"/>
                <w:sz w:val="16"/>
                <w:szCs w:val="16"/>
                <w:lang w:val="en-US" w:eastAsia="en-US"/>
              </w:rPr>
              <w:t xml:space="preserve"> AUD          242.235 </w:t>
            </w:r>
          </w:p>
        </w:tc>
        <w:tc>
          <w:tcPr>
            <w:tcW w:w="1542" w:type="dxa"/>
            <w:tcBorders>
              <w:top w:val="single" w:sz="4" w:space="0" w:color="auto"/>
              <w:left w:val="nil"/>
              <w:bottom w:val="single" w:sz="8" w:space="0" w:color="auto"/>
              <w:right w:val="single" w:sz="8" w:space="0" w:color="auto"/>
            </w:tcBorders>
            <w:shd w:val="clear" w:color="auto" w:fill="auto"/>
            <w:noWrap/>
            <w:vAlign w:val="center"/>
            <w:hideMark/>
          </w:tcPr>
          <w:p w14:paraId="3A75CCCC" w14:textId="77777777" w:rsidR="002B5117" w:rsidRPr="00D01F4D" w:rsidRDefault="002B5117" w:rsidP="00D01F4D">
            <w:pPr>
              <w:rPr>
                <w:rFonts w:cs="Arial"/>
                <w:color w:val="000000"/>
                <w:sz w:val="16"/>
                <w:szCs w:val="16"/>
                <w:lang w:val="en-US" w:eastAsia="en-US"/>
              </w:rPr>
            </w:pPr>
            <w:r w:rsidRPr="00D01F4D">
              <w:rPr>
                <w:rFonts w:cs="Arial"/>
                <w:color w:val="000000"/>
                <w:sz w:val="16"/>
                <w:szCs w:val="16"/>
                <w:lang w:val="en-US" w:eastAsia="en-US"/>
              </w:rPr>
              <w:t xml:space="preserve"> AUD     246.353 </w:t>
            </w:r>
          </w:p>
        </w:tc>
      </w:tr>
      <w:tr w:rsidR="002B5117" w:rsidRPr="00D01F4D" w14:paraId="43A085F2" w14:textId="77777777" w:rsidTr="00BF0EEF">
        <w:trPr>
          <w:trHeight w:val="465"/>
          <w:jc w:val="center"/>
        </w:trPr>
        <w:tc>
          <w:tcPr>
            <w:tcW w:w="639" w:type="dxa"/>
            <w:tcBorders>
              <w:top w:val="single" w:sz="4" w:space="0" w:color="auto"/>
              <w:left w:val="single" w:sz="8" w:space="0" w:color="auto"/>
              <w:bottom w:val="nil"/>
              <w:right w:val="single" w:sz="4" w:space="0" w:color="auto"/>
            </w:tcBorders>
            <w:shd w:val="clear" w:color="auto" w:fill="auto"/>
            <w:noWrap/>
            <w:vAlign w:val="center"/>
            <w:hideMark/>
          </w:tcPr>
          <w:p w14:paraId="7AC7AB6A" w14:textId="77777777" w:rsidR="002B5117" w:rsidRPr="00D01F4D" w:rsidRDefault="002B5117" w:rsidP="00D01F4D">
            <w:pPr>
              <w:rPr>
                <w:rFonts w:cs="Arial"/>
                <w:b/>
                <w:bCs/>
                <w:color w:val="000000"/>
                <w:sz w:val="20"/>
                <w:szCs w:val="20"/>
                <w:lang w:val="en-US" w:eastAsia="en-US"/>
              </w:rPr>
            </w:pPr>
            <w:r w:rsidRPr="00D01F4D">
              <w:rPr>
                <w:rFonts w:cs="Arial"/>
                <w:b/>
                <w:bCs/>
                <w:color w:val="000000"/>
                <w:sz w:val="20"/>
                <w:szCs w:val="20"/>
                <w:lang w:val="en-US" w:eastAsia="en-US"/>
              </w:rPr>
              <w:t>BU</w:t>
            </w:r>
          </w:p>
        </w:tc>
        <w:tc>
          <w:tcPr>
            <w:tcW w:w="2353" w:type="dxa"/>
            <w:tcBorders>
              <w:top w:val="nil"/>
              <w:left w:val="nil"/>
              <w:bottom w:val="single" w:sz="4" w:space="0" w:color="auto"/>
              <w:right w:val="nil"/>
            </w:tcBorders>
            <w:shd w:val="clear" w:color="auto" w:fill="auto"/>
            <w:vAlign w:val="center"/>
            <w:hideMark/>
          </w:tcPr>
          <w:p w14:paraId="59080C80" w14:textId="77777777" w:rsidR="002B5117" w:rsidRPr="00D01F4D" w:rsidRDefault="002B5117" w:rsidP="00D01F4D">
            <w:pPr>
              <w:rPr>
                <w:rFonts w:cs="Arial"/>
                <w:color w:val="000000"/>
                <w:sz w:val="20"/>
                <w:szCs w:val="20"/>
                <w:lang w:val="en-US" w:eastAsia="en-US"/>
              </w:rPr>
            </w:pPr>
            <w:r w:rsidRPr="00D01F4D">
              <w:rPr>
                <w:rFonts w:cs="Arial"/>
                <w:color w:val="000000"/>
                <w:sz w:val="20"/>
                <w:szCs w:val="20"/>
                <w:lang w:val="en-US" w:eastAsia="en-US"/>
              </w:rPr>
              <w:t>Total non-MBS costs</w:t>
            </w:r>
          </w:p>
        </w:tc>
        <w:tc>
          <w:tcPr>
            <w:tcW w:w="1107"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24D4623E" w14:textId="51F9542C" w:rsidR="002B5117" w:rsidRPr="00D01F4D" w:rsidRDefault="002B5117" w:rsidP="00D01F4D">
            <w:pPr>
              <w:rPr>
                <w:rFonts w:cs="Arial"/>
                <w:color w:val="000000"/>
                <w:sz w:val="16"/>
                <w:szCs w:val="16"/>
                <w:lang w:val="en-US" w:eastAsia="en-US"/>
              </w:rPr>
            </w:pPr>
            <w:r>
              <w:rPr>
                <w:rFonts w:cs="Arial"/>
                <w:color w:val="000000"/>
                <w:sz w:val="16"/>
                <w:szCs w:val="16"/>
              </w:rPr>
              <w:t>Row BK</w:t>
            </w:r>
          </w:p>
        </w:tc>
        <w:tc>
          <w:tcPr>
            <w:tcW w:w="1592" w:type="dxa"/>
            <w:tcBorders>
              <w:top w:val="single" w:sz="4" w:space="0" w:color="auto"/>
              <w:left w:val="nil"/>
              <w:bottom w:val="single" w:sz="8" w:space="0" w:color="auto"/>
              <w:right w:val="single" w:sz="4" w:space="0" w:color="auto"/>
            </w:tcBorders>
            <w:shd w:val="clear" w:color="auto" w:fill="auto"/>
            <w:noWrap/>
            <w:vAlign w:val="center"/>
            <w:hideMark/>
          </w:tcPr>
          <w:p w14:paraId="02C9B2E7" w14:textId="77777777" w:rsidR="002B5117" w:rsidRPr="00D01F4D" w:rsidRDefault="002B5117" w:rsidP="00D01F4D">
            <w:pPr>
              <w:rPr>
                <w:rFonts w:cs="Arial"/>
                <w:color w:val="000000"/>
                <w:sz w:val="16"/>
                <w:szCs w:val="16"/>
                <w:lang w:val="en-US" w:eastAsia="en-US"/>
              </w:rPr>
            </w:pPr>
            <w:r w:rsidRPr="00D01F4D">
              <w:rPr>
                <w:rFonts w:cs="Arial"/>
                <w:color w:val="000000"/>
                <w:sz w:val="16"/>
                <w:szCs w:val="16"/>
                <w:lang w:val="en-US" w:eastAsia="en-US"/>
              </w:rPr>
              <w:t xml:space="preserve"> AUD        450.663 </w:t>
            </w:r>
          </w:p>
        </w:tc>
        <w:tc>
          <w:tcPr>
            <w:tcW w:w="1664" w:type="dxa"/>
            <w:tcBorders>
              <w:top w:val="single" w:sz="4" w:space="0" w:color="auto"/>
              <w:left w:val="nil"/>
              <w:bottom w:val="single" w:sz="8" w:space="0" w:color="auto"/>
              <w:right w:val="single" w:sz="4" w:space="0" w:color="auto"/>
            </w:tcBorders>
            <w:shd w:val="clear" w:color="auto" w:fill="auto"/>
            <w:noWrap/>
            <w:vAlign w:val="center"/>
            <w:hideMark/>
          </w:tcPr>
          <w:p w14:paraId="0EE0FB3F" w14:textId="77777777" w:rsidR="002B5117" w:rsidRPr="00D01F4D" w:rsidRDefault="002B5117" w:rsidP="00D01F4D">
            <w:pPr>
              <w:rPr>
                <w:rFonts w:cs="Arial"/>
                <w:color w:val="000000"/>
                <w:sz w:val="16"/>
                <w:szCs w:val="16"/>
                <w:lang w:val="en-US" w:eastAsia="en-US"/>
              </w:rPr>
            </w:pPr>
            <w:r w:rsidRPr="00D01F4D">
              <w:rPr>
                <w:rFonts w:cs="Arial"/>
                <w:color w:val="000000"/>
                <w:sz w:val="16"/>
                <w:szCs w:val="16"/>
                <w:lang w:val="en-US" w:eastAsia="en-US"/>
              </w:rPr>
              <w:t xml:space="preserve"> AUD          458.545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6813639F" w14:textId="77777777" w:rsidR="002B5117" w:rsidRPr="00D01F4D" w:rsidRDefault="002B5117" w:rsidP="00D01F4D">
            <w:pPr>
              <w:rPr>
                <w:rFonts w:cs="Arial"/>
                <w:color w:val="000000"/>
                <w:sz w:val="16"/>
                <w:szCs w:val="16"/>
                <w:lang w:val="en-US" w:eastAsia="en-US"/>
              </w:rPr>
            </w:pPr>
            <w:r w:rsidRPr="00D01F4D">
              <w:rPr>
                <w:rFonts w:cs="Arial"/>
                <w:color w:val="000000"/>
                <w:sz w:val="16"/>
                <w:szCs w:val="16"/>
                <w:lang w:val="en-US" w:eastAsia="en-US"/>
              </w:rPr>
              <w:t xml:space="preserve"> AUD          466.362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4AE1C365" w14:textId="77777777" w:rsidR="002B5117" w:rsidRPr="00D01F4D" w:rsidRDefault="002B5117" w:rsidP="00D01F4D">
            <w:pPr>
              <w:rPr>
                <w:rFonts w:cs="Arial"/>
                <w:color w:val="000000"/>
                <w:sz w:val="16"/>
                <w:szCs w:val="16"/>
                <w:lang w:val="en-US" w:eastAsia="en-US"/>
              </w:rPr>
            </w:pPr>
            <w:r w:rsidRPr="00D01F4D">
              <w:rPr>
                <w:rFonts w:cs="Arial"/>
                <w:color w:val="000000"/>
                <w:sz w:val="16"/>
                <w:szCs w:val="16"/>
                <w:lang w:val="en-US" w:eastAsia="en-US"/>
              </w:rPr>
              <w:t xml:space="preserve"> AUD          474.115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5211E477" w14:textId="77777777" w:rsidR="002B5117" w:rsidRPr="00D01F4D" w:rsidRDefault="002B5117" w:rsidP="00D01F4D">
            <w:pPr>
              <w:rPr>
                <w:rFonts w:cs="Arial"/>
                <w:color w:val="000000"/>
                <w:sz w:val="16"/>
                <w:szCs w:val="16"/>
                <w:lang w:val="en-US" w:eastAsia="en-US"/>
              </w:rPr>
            </w:pPr>
            <w:r w:rsidRPr="00D01F4D">
              <w:rPr>
                <w:rFonts w:cs="Arial"/>
                <w:color w:val="000000"/>
                <w:sz w:val="16"/>
                <w:szCs w:val="16"/>
                <w:lang w:val="en-US" w:eastAsia="en-US"/>
              </w:rPr>
              <w:t xml:space="preserve"> AUD          481.751 </w:t>
            </w:r>
          </w:p>
        </w:tc>
        <w:tc>
          <w:tcPr>
            <w:tcW w:w="1542" w:type="dxa"/>
            <w:tcBorders>
              <w:top w:val="single" w:sz="4" w:space="0" w:color="auto"/>
              <w:left w:val="nil"/>
              <w:bottom w:val="single" w:sz="8" w:space="0" w:color="auto"/>
              <w:right w:val="single" w:sz="8" w:space="0" w:color="auto"/>
            </w:tcBorders>
            <w:shd w:val="clear" w:color="auto" w:fill="auto"/>
            <w:noWrap/>
            <w:vAlign w:val="center"/>
            <w:hideMark/>
          </w:tcPr>
          <w:p w14:paraId="13767CDA" w14:textId="77777777" w:rsidR="002B5117" w:rsidRPr="00D01F4D" w:rsidRDefault="002B5117" w:rsidP="00D01F4D">
            <w:pPr>
              <w:rPr>
                <w:rFonts w:cs="Arial"/>
                <w:color w:val="000000"/>
                <w:sz w:val="16"/>
                <w:szCs w:val="16"/>
                <w:lang w:val="en-US" w:eastAsia="en-US"/>
              </w:rPr>
            </w:pPr>
            <w:r w:rsidRPr="00D01F4D">
              <w:rPr>
                <w:rFonts w:cs="Arial"/>
                <w:color w:val="000000"/>
                <w:sz w:val="16"/>
                <w:szCs w:val="16"/>
                <w:lang w:val="en-US" w:eastAsia="en-US"/>
              </w:rPr>
              <w:t xml:space="preserve"> AUD     489.941 </w:t>
            </w:r>
          </w:p>
        </w:tc>
      </w:tr>
      <w:tr w:rsidR="002B5117" w:rsidRPr="00D01F4D" w14:paraId="3565DB25" w14:textId="77777777" w:rsidTr="00BF0EEF">
        <w:trPr>
          <w:trHeight w:val="865"/>
          <w:jc w:val="center"/>
        </w:trPr>
        <w:tc>
          <w:tcPr>
            <w:tcW w:w="639"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003F6B16" w14:textId="77777777" w:rsidR="002B5117" w:rsidRPr="00D01F4D" w:rsidRDefault="002B5117" w:rsidP="00D01F4D">
            <w:pPr>
              <w:rPr>
                <w:rFonts w:cs="Arial"/>
                <w:b/>
                <w:bCs/>
                <w:color w:val="000000"/>
                <w:sz w:val="20"/>
                <w:szCs w:val="20"/>
                <w:lang w:val="en-US" w:eastAsia="en-US"/>
              </w:rPr>
            </w:pPr>
            <w:r w:rsidRPr="00D01F4D">
              <w:rPr>
                <w:rFonts w:cs="Arial"/>
                <w:b/>
                <w:bCs/>
                <w:color w:val="000000"/>
                <w:sz w:val="20"/>
                <w:szCs w:val="20"/>
                <w:lang w:val="en-US" w:eastAsia="en-US"/>
              </w:rPr>
              <w:t>BV</w:t>
            </w:r>
          </w:p>
        </w:tc>
        <w:tc>
          <w:tcPr>
            <w:tcW w:w="2353" w:type="dxa"/>
            <w:tcBorders>
              <w:top w:val="nil"/>
              <w:left w:val="nil"/>
              <w:bottom w:val="single" w:sz="8" w:space="0" w:color="auto"/>
              <w:right w:val="nil"/>
            </w:tcBorders>
            <w:shd w:val="clear" w:color="auto" w:fill="auto"/>
            <w:vAlign w:val="center"/>
            <w:hideMark/>
          </w:tcPr>
          <w:p w14:paraId="1BFBDA20" w14:textId="77777777" w:rsidR="002B5117" w:rsidRPr="00D01F4D" w:rsidRDefault="002B5117" w:rsidP="00D01F4D">
            <w:pPr>
              <w:rPr>
                <w:rFonts w:cs="Arial"/>
                <w:b/>
                <w:bCs/>
                <w:color w:val="000000"/>
                <w:sz w:val="20"/>
                <w:szCs w:val="20"/>
                <w:lang w:val="en-US" w:eastAsia="en-US"/>
              </w:rPr>
            </w:pPr>
            <w:r w:rsidRPr="00D01F4D">
              <w:rPr>
                <w:rFonts w:cs="Arial"/>
                <w:b/>
                <w:bCs/>
                <w:color w:val="000000"/>
                <w:sz w:val="20"/>
                <w:szCs w:val="20"/>
                <w:lang w:val="en-US" w:eastAsia="en-US"/>
              </w:rPr>
              <w:t>Overall total costs of the proposed intervention</w:t>
            </w:r>
          </w:p>
        </w:tc>
        <w:tc>
          <w:tcPr>
            <w:tcW w:w="1107"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27EBBAC5" w14:textId="73196B2C" w:rsidR="002B5117" w:rsidRPr="00D01F4D" w:rsidRDefault="002B5117" w:rsidP="00D01F4D">
            <w:pPr>
              <w:rPr>
                <w:rFonts w:cs="Arial"/>
                <w:color w:val="000000"/>
                <w:sz w:val="16"/>
                <w:szCs w:val="16"/>
                <w:lang w:val="en-US" w:eastAsia="en-US"/>
              </w:rPr>
            </w:pPr>
            <w:r>
              <w:rPr>
                <w:rFonts w:cs="Arial"/>
                <w:color w:val="000000"/>
                <w:sz w:val="16"/>
                <w:szCs w:val="16"/>
              </w:rPr>
              <w:t>BU + BT</w:t>
            </w:r>
          </w:p>
        </w:tc>
        <w:tc>
          <w:tcPr>
            <w:tcW w:w="1592" w:type="dxa"/>
            <w:tcBorders>
              <w:top w:val="single" w:sz="4" w:space="0" w:color="auto"/>
              <w:left w:val="nil"/>
              <w:bottom w:val="single" w:sz="8" w:space="0" w:color="auto"/>
              <w:right w:val="single" w:sz="4" w:space="0" w:color="auto"/>
            </w:tcBorders>
            <w:shd w:val="clear" w:color="auto" w:fill="auto"/>
            <w:noWrap/>
            <w:vAlign w:val="center"/>
            <w:hideMark/>
          </w:tcPr>
          <w:p w14:paraId="1968E1D3" w14:textId="77777777" w:rsidR="002B5117" w:rsidRPr="00D01F4D" w:rsidRDefault="002B5117" w:rsidP="00D01F4D">
            <w:pPr>
              <w:rPr>
                <w:rFonts w:cs="Arial"/>
                <w:b/>
                <w:bCs/>
                <w:color w:val="000000"/>
                <w:sz w:val="16"/>
                <w:szCs w:val="16"/>
                <w:lang w:val="en-US" w:eastAsia="en-US"/>
              </w:rPr>
            </w:pPr>
            <w:r w:rsidRPr="00D01F4D">
              <w:rPr>
                <w:rFonts w:cs="Arial"/>
                <w:b/>
                <w:bCs/>
                <w:color w:val="000000"/>
                <w:sz w:val="16"/>
                <w:szCs w:val="16"/>
                <w:lang w:val="en-US" w:eastAsia="en-US"/>
              </w:rPr>
              <w:t xml:space="preserve"> AUD        677.267 </w:t>
            </w:r>
          </w:p>
        </w:tc>
        <w:tc>
          <w:tcPr>
            <w:tcW w:w="1664" w:type="dxa"/>
            <w:tcBorders>
              <w:top w:val="single" w:sz="4" w:space="0" w:color="auto"/>
              <w:left w:val="nil"/>
              <w:bottom w:val="single" w:sz="8" w:space="0" w:color="auto"/>
              <w:right w:val="single" w:sz="4" w:space="0" w:color="auto"/>
            </w:tcBorders>
            <w:shd w:val="clear" w:color="auto" w:fill="auto"/>
            <w:noWrap/>
            <w:vAlign w:val="center"/>
            <w:hideMark/>
          </w:tcPr>
          <w:p w14:paraId="67AC0F5A" w14:textId="77777777" w:rsidR="002B5117" w:rsidRPr="00D01F4D" w:rsidRDefault="002B5117" w:rsidP="00D01F4D">
            <w:pPr>
              <w:rPr>
                <w:rFonts w:cs="Arial"/>
                <w:b/>
                <w:bCs/>
                <w:color w:val="000000"/>
                <w:sz w:val="16"/>
                <w:szCs w:val="16"/>
                <w:lang w:val="en-US" w:eastAsia="en-US"/>
              </w:rPr>
            </w:pPr>
            <w:r w:rsidRPr="00D01F4D">
              <w:rPr>
                <w:rFonts w:cs="Arial"/>
                <w:b/>
                <w:bCs/>
                <w:color w:val="000000"/>
                <w:sz w:val="16"/>
                <w:szCs w:val="16"/>
                <w:lang w:val="en-US" w:eastAsia="en-US"/>
              </w:rPr>
              <w:t xml:space="preserve"> AUD          689.111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4ED5D646" w14:textId="77777777" w:rsidR="002B5117" w:rsidRPr="00D01F4D" w:rsidRDefault="002B5117" w:rsidP="00D01F4D">
            <w:pPr>
              <w:rPr>
                <w:rFonts w:cs="Arial"/>
                <w:b/>
                <w:bCs/>
                <w:color w:val="000000"/>
                <w:sz w:val="16"/>
                <w:szCs w:val="16"/>
                <w:lang w:val="en-US" w:eastAsia="en-US"/>
              </w:rPr>
            </w:pPr>
            <w:r w:rsidRPr="00D01F4D">
              <w:rPr>
                <w:rFonts w:cs="Arial"/>
                <w:b/>
                <w:bCs/>
                <w:color w:val="000000"/>
                <w:sz w:val="16"/>
                <w:szCs w:val="16"/>
                <w:lang w:val="en-US" w:eastAsia="en-US"/>
              </w:rPr>
              <w:t xml:space="preserve"> AUD          700.858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7C8A0874" w14:textId="77777777" w:rsidR="002B5117" w:rsidRPr="00D01F4D" w:rsidRDefault="002B5117" w:rsidP="00D01F4D">
            <w:pPr>
              <w:rPr>
                <w:rFonts w:cs="Arial"/>
                <w:b/>
                <w:bCs/>
                <w:color w:val="000000"/>
                <w:sz w:val="16"/>
                <w:szCs w:val="16"/>
                <w:lang w:val="en-US" w:eastAsia="en-US"/>
              </w:rPr>
            </w:pPr>
            <w:r w:rsidRPr="00D01F4D">
              <w:rPr>
                <w:rFonts w:cs="Arial"/>
                <w:b/>
                <w:bCs/>
                <w:color w:val="000000"/>
                <w:sz w:val="16"/>
                <w:szCs w:val="16"/>
                <w:lang w:val="en-US" w:eastAsia="en-US"/>
              </w:rPr>
              <w:t xml:space="preserve"> AUD          712.510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56733FDA" w14:textId="77777777" w:rsidR="002B5117" w:rsidRPr="00D01F4D" w:rsidRDefault="002B5117" w:rsidP="00D01F4D">
            <w:pPr>
              <w:rPr>
                <w:rFonts w:cs="Arial"/>
                <w:b/>
                <w:bCs/>
                <w:color w:val="000000"/>
                <w:sz w:val="16"/>
                <w:szCs w:val="16"/>
                <w:lang w:val="en-US" w:eastAsia="en-US"/>
              </w:rPr>
            </w:pPr>
            <w:r w:rsidRPr="00D01F4D">
              <w:rPr>
                <w:rFonts w:cs="Arial"/>
                <w:b/>
                <w:bCs/>
                <w:color w:val="000000"/>
                <w:sz w:val="16"/>
                <w:szCs w:val="16"/>
                <w:lang w:val="en-US" w:eastAsia="en-US"/>
              </w:rPr>
              <w:t xml:space="preserve"> AUD          723.986 </w:t>
            </w:r>
          </w:p>
        </w:tc>
        <w:tc>
          <w:tcPr>
            <w:tcW w:w="1542" w:type="dxa"/>
            <w:tcBorders>
              <w:top w:val="single" w:sz="4" w:space="0" w:color="auto"/>
              <w:left w:val="nil"/>
              <w:bottom w:val="single" w:sz="8" w:space="0" w:color="auto"/>
              <w:right w:val="single" w:sz="8" w:space="0" w:color="auto"/>
            </w:tcBorders>
            <w:shd w:val="clear" w:color="auto" w:fill="auto"/>
            <w:noWrap/>
            <w:vAlign w:val="center"/>
            <w:hideMark/>
          </w:tcPr>
          <w:p w14:paraId="1E6575D3" w14:textId="77777777" w:rsidR="002B5117" w:rsidRPr="00D01F4D" w:rsidRDefault="002B5117" w:rsidP="00D01F4D">
            <w:pPr>
              <w:rPr>
                <w:rFonts w:cs="Arial"/>
                <w:b/>
                <w:bCs/>
                <w:color w:val="000000"/>
                <w:sz w:val="16"/>
                <w:szCs w:val="16"/>
                <w:lang w:val="en-US" w:eastAsia="en-US"/>
              </w:rPr>
            </w:pPr>
            <w:r w:rsidRPr="00D01F4D">
              <w:rPr>
                <w:rFonts w:cs="Arial"/>
                <w:b/>
                <w:bCs/>
                <w:color w:val="000000"/>
                <w:sz w:val="16"/>
                <w:szCs w:val="16"/>
                <w:lang w:val="en-US" w:eastAsia="en-US"/>
              </w:rPr>
              <w:t xml:space="preserve"> AUD     736.294 </w:t>
            </w:r>
          </w:p>
        </w:tc>
      </w:tr>
    </w:tbl>
    <w:p w14:paraId="12F4F887" w14:textId="77777777" w:rsidR="00330241" w:rsidRDefault="00330241" w:rsidP="00BF4FBB">
      <w:pPr>
        <w:pStyle w:val="Textbody"/>
        <w:rPr>
          <w:lang w:val="en-AU"/>
        </w:rPr>
        <w:sectPr w:rsidR="00330241" w:rsidSect="00137B87">
          <w:pgSz w:w="16840" w:h="11907" w:orient="landscape" w:code="9"/>
          <w:pgMar w:top="1814" w:right="1418" w:bottom="1418" w:left="1701" w:header="720" w:footer="720" w:gutter="0"/>
          <w:paperSrc w:first="7" w:other="7"/>
          <w:cols w:space="720"/>
          <w:noEndnote/>
          <w:docGrid w:linePitch="299"/>
        </w:sectPr>
      </w:pPr>
    </w:p>
    <w:p w14:paraId="75BE6EE7" w14:textId="030EA720" w:rsidR="00137B87" w:rsidRDefault="00330241" w:rsidP="00BF4FBB">
      <w:pPr>
        <w:pStyle w:val="Textbody"/>
        <w:rPr>
          <w:lang w:val="en-AU"/>
        </w:rPr>
      </w:pPr>
      <w:r>
        <w:rPr>
          <w:lang w:val="en-AU"/>
        </w:rPr>
        <w:lastRenderedPageBreak/>
        <w:t xml:space="preserve">Table 73 desribes the changes to the number of procedures </w:t>
      </w:r>
      <w:r w:rsidR="00C033C3">
        <w:rPr>
          <w:lang w:val="en-AU"/>
        </w:rPr>
        <w:t xml:space="preserve">per year </w:t>
      </w:r>
      <w:r>
        <w:rPr>
          <w:lang w:val="en-AU"/>
        </w:rPr>
        <w:t xml:space="preserve">taking into account the higher CI </w:t>
      </w:r>
      <w:r w:rsidR="00C033C3">
        <w:rPr>
          <w:lang w:val="en-AU"/>
        </w:rPr>
        <w:t xml:space="preserve">calculated </w:t>
      </w:r>
      <w:r>
        <w:rPr>
          <w:lang w:val="en-AU"/>
        </w:rPr>
        <w:t>for Junker et al, 20</w:t>
      </w:r>
      <w:r w:rsidR="00137E5E">
        <w:rPr>
          <w:lang w:val="en-AU"/>
        </w:rPr>
        <w:t>0</w:t>
      </w:r>
      <w:r>
        <w:rPr>
          <w:lang w:val="en-AU"/>
        </w:rPr>
        <w:t>2.</w:t>
      </w:r>
    </w:p>
    <w:p w14:paraId="50B5CBC6" w14:textId="77777777" w:rsidR="00330241" w:rsidRDefault="00330241" w:rsidP="00BF4FBB">
      <w:pPr>
        <w:pStyle w:val="Textbody"/>
        <w:rPr>
          <w:lang w:val="en-AU"/>
        </w:rPr>
      </w:pPr>
    </w:p>
    <w:p w14:paraId="61C753DC" w14:textId="2B62E8CD" w:rsidR="00330241" w:rsidRPr="00E0477C" w:rsidRDefault="00330241" w:rsidP="00330241">
      <w:pPr>
        <w:pStyle w:val="Caption"/>
        <w:rPr>
          <w:rFonts w:ascii="Arial" w:hAnsi="Arial" w:cs="Arial"/>
          <w:lang w:val="en-AU"/>
        </w:rPr>
      </w:pPr>
      <w:bookmarkStart w:id="667" w:name="_Toc431917533"/>
      <w:r w:rsidRPr="00A83F80">
        <w:rPr>
          <w:rFonts w:ascii="Arial" w:hAnsi="Arial" w:cs="Arial"/>
        </w:rPr>
        <w:t xml:space="preserve">Table </w:t>
      </w:r>
      <w:r w:rsidRPr="00A83F80">
        <w:rPr>
          <w:rFonts w:ascii="Arial" w:hAnsi="Arial" w:cs="Arial"/>
        </w:rPr>
        <w:fldChar w:fldCharType="begin"/>
      </w:r>
      <w:r w:rsidRPr="00A83F80">
        <w:rPr>
          <w:rFonts w:ascii="Arial" w:hAnsi="Arial" w:cs="Arial"/>
        </w:rPr>
        <w:instrText xml:space="preserve"> SEQ Table \* ARABIC </w:instrText>
      </w:r>
      <w:r w:rsidRPr="00A83F80">
        <w:rPr>
          <w:rFonts w:ascii="Arial" w:hAnsi="Arial" w:cs="Arial"/>
        </w:rPr>
        <w:fldChar w:fldCharType="separate"/>
      </w:r>
      <w:r>
        <w:rPr>
          <w:rFonts w:ascii="Arial" w:hAnsi="Arial" w:cs="Arial"/>
          <w:noProof/>
        </w:rPr>
        <w:t>73</w:t>
      </w:r>
      <w:r w:rsidRPr="00A83F80">
        <w:rPr>
          <w:rFonts w:ascii="Arial" w:hAnsi="Arial" w:cs="Arial"/>
          <w:noProof/>
        </w:rPr>
        <w:fldChar w:fldCharType="end"/>
      </w:r>
      <w:r w:rsidRPr="00A83F80">
        <w:rPr>
          <w:rFonts w:ascii="Arial" w:hAnsi="Arial" w:cs="Arial"/>
          <w:lang w:val="en-US"/>
        </w:rPr>
        <w:t>.-</w:t>
      </w:r>
      <w:r w:rsidRPr="00E0477C">
        <w:rPr>
          <w:rFonts w:ascii="Arial" w:hAnsi="Arial" w:cs="Arial"/>
          <w:lang w:val="en-AU"/>
        </w:rPr>
        <w:t xml:space="preserve"> Estimated </w:t>
      </w:r>
      <w:r>
        <w:rPr>
          <w:rFonts w:ascii="Arial" w:hAnsi="Arial" w:cs="Arial"/>
          <w:lang w:val="en-AU"/>
        </w:rPr>
        <w:t>maximum number of MEI candidates based on lower CI of proportion of candidates according to Junker et al, 2002</w:t>
      </w:r>
      <w:bookmarkEnd w:id="667"/>
    </w:p>
    <w:tbl>
      <w:tblPr>
        <w:tblW w:w="10591" w:type="dxa"/>
        <w:jc w:val="center"/>
        <w:tblLook w:val="04A0" w:firstRow="1" w:lastRow="0" w:firstColumn="1" w:lastColumn="0" w:noHBand="0" w:noVBand="1"/>
        <w:tblDescription w:val="Estimated maximum number of MEI candidates based on lower CI of proportion of candidates according to Junker et al, 2002"/>
      </w:tblPr>
      <w:tblGrid>
        <w:gridCol w:w="3135"/>
        <w:gridCol w:w="1020"/>
        <w:gridCol w:w="1160"/>
        <w:gridCol w:w="1066"/>
        <w:gridCol w:w="1017"/>
        <w:gridCol w:w="1159"/>
        <w:gridCol w:w="1017"/>
        <w:gridCol w:w="1017"/>
      </w:tblGrid>
      <w:tr w:rsidR="00330241" w:rsidRPr="00CA53C8" w14:paraId="7F6DFD32" w14:textId="77777777" w:rsidTr="00BF0EEF">
        <w:trPr>
          <w:trHeight w:val="618"/>
          <w:jc w:val="center"/>
        </w:trPr>
        <w:tc>
          <w:tcPr>
            <w:tcW w:w="3135"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36E8FB02" w14:textId="77777777" w:rsidR="00330241" w:rsidRPr="00CA53C8" w:rsidRDefault="00330241" w:rsidP="00422161">
            <w:pPr>
              <w:rPr>
                <w:rFonts w:cs="Arial"/>
                <w:b/>
                <w:bCs/>
                <w:color w:val="000000"/>
                <w:sz w:val="20"/>
                <w:szCs w:val="20"/>
                <w:lang w:val="en-US" w:eastAsia="en-US"/>
              </w:rPr>
            </w:pPr>
            <w:r w:rsidRPr="00CA53C8">
              <w:rPr>
                <w:rFonts w:cs="Arial"/>
                <w:b/>
                <w:bCs/>
                <w:color w:val="000000"/>
                <w:sz w:val="20"/>
                <w:szCs w:val="20"/>
                <w:lang w:val="en-US" w:eastAsia="en-US"/>
              </w:rPr>
              <w:t>Description</w:t>
            </w:r>
          </w:p>
        </w:tc>
        <w:tc>
          <w:tcPr>
            <w:tcW w:w="1020" w:type="dxa"/>
            <w:tcBorders>
              <w:top w:val="single" w:sz="8" w:space="0" w:color="auto"/>
              <w:left w:val="nil"/>
              <w:bottom w:val="single" w:sz="4" w:space="0" w:color="auto"/>
              <w:right w:val="single" w:sz="4" w:space="0" w:color="auto"/>
            </w:tcBorders>
            <w:shd w:val="clear" w:color="auto" w:fill="auto"/>
            <w:noWrap/>
            <w:vAlign w:val="center"/>
            <w:hideMark/>
          </w:tcPr>
          <w:p w14:paraId="22F25EA2" w14:textId="77777777" w:rsidR="00330241" w:rsidRPr="00CA53C8" w:rsidRDefault="00330241" w:rsidP="00422161">
            <w:pPr>
              <w:jc w:val="center"/>
              <w:rPr>
                <w:rFonts w:cs="Arial"/>
                <w:b/>
                <w:bCs/>
                <w:color w:val="000000"/>
                <w:sz w:val="20"/>
                <w:szCs w:val="20"/>
                <w:lang w:val="en-US" w:eastAsia="en-US"/>
              </w:rPr>
            </w:pPr>
            <w:r w:rsidRPr="00CA53C8">
              <w:rPr>
                <w:rFonts w:cs="Arial"/>
                <w:b/>
                <w:bCs/>
                <w:color w:val="000000"/>
                <w:sz w:val="20"/>
                <w:szCs w:val="20"/>
                <w:lang w:val="en-US" w:eastAsia="en-US"/>
              </w:rPr>
              <w:t>Method</w:t>
            </w:r>
          </w:p>
        </w:tc>
        <w:tc>
          <w:tcPr>
            <w:tcW w:w="1160" w:type="dxa"/>
            <w:tcBorders>
              <w:top w:val="single" w:sz="8" w:space="0" w:color="auto"/>
              <w:left w:val="nil"/>
              <w:bottom w:val="single" w:sz="4" w:space="0" w:color="auto"/>
              <w:right w:val="single" w:sz="4" w:space="0" w:color="auto"/>
            </w:tcBorders>
            <w:shd w:val="clear" w:color="auto" w:fill="auto"/>
            <w:vAlign w:val="center"/>
            <w:hideMark/>
          </w:tcPr>
          <w:p w14:paraId="47253DB3" w14:textId="77777777" w:rsidR="00330241" w:rsidRPr="00CA53C8" w:rsidRDefault="00330241" w:rsidP="00422161">
            <w:pPr>
              <w:jc w:val="center"/>
              <w:rPr>
                <w:rFonts w:cs="Arial"/>
                <w:b/>
                <w:bCs/>
                <w:color w:val="000000"/>
                <w:sz w:val="20"/>
                <w:szCs w:val="20"/>
                <w:lang w:val="en-US" w:eastAsia="en-US"/>
              </w:rPr>
            </w:pPr>
            <w:r w:rsidRPr="00CA53C8">
              <w:rPr>
                <w:rFonts w:cs="Arial"/>
                <w:b/>
                <w:bCs/>
                <w:color w:val="000000"/>
                <w:sz w:val="20"/>
                <w:szCs w:val="20"/>
                <w:lang w:val="en-US" w:eastAsia="en-US"/>
              </w:rPr>
              <w:t>current (2016)</w:t>
            </w:r>
          </w:p>
        </w:tc>
        <w:tc>
          <w:tcPr>
            <w:tcW w:w="1066" w:type="dxa"/>
            <w:tcBorders>
              <w:top w:val="single" w:sz="8" w:space="0" w:color="auto"/>
              <w:left w:val="nil"/>
              <w:bottom w:val="single" w:sz="4" w:space="0" w:color="auto"/>
              <w:right w:val="single" w:sz="4" w:space="0" w:color="auto"/>
            </w:tcBorders>
            <w:shd w:val="clear" w:color="auto" w:fill="auto"/>
            <w:vAlign w:val="center"/>
            <w:hideMark/>
          </w:tcPr>
          <w:p w14:paraId="7ABCD57D" w14:textId="77777777" w:rsidR="00330241" w:rsidRPr="00CA53C8" w:rsidRDefault="00330241" w:rsidP="00422161">
            <w:pPr>
              <w:jc w:val="center"/>
              <w:rPr>
                <w:rFonts w:cs="Arial"/>
                <w:b/>
                <w:bCs/>
                <w:color w:val="000000"/>
                <w:sz w:val="20"/>
                <w:szCs w:val="20"/>
                <w:lang w:val="en-US" w:eastAsia="en-US"/>
              </w:rPr>
            </w:pPr>
            <w:r w:rsidRPr="00CA53C8">
              <w:rPr>
                <w:rFonts w:cs="Arial"/>
                <w:b/>
                <w:bCs/>
                <w:color w:val="000000"/>
                <w:sz w:val="20"/>
                <w:szCs w:val="20"/>
                <w:lang w:val="en-US" w:eastAsia="en-US"/>
              </w:rPr>
              <w:t>2017</w:t>
            </w:r>
          </w:p>
        </w:tc>
        <w:tc>
          <w:tcPr>
            <w:tcW w:w="1017" w:type="dxa"/>
            <w:tcBorders>
              <w:top w:val="single" w:sz="8" w:space="0" w:color="auto"/>
              <w:left w:val="nil"/>
              <w:bottom w:val="single" w:sz="4" w:space="0" w:color="auto"/>
              <w:right w:val="single" w:sz="4" w:space="0" w:color="auto"/>
            </w:tcBorders>
            <w:shd w:val="clear" w:color="auto" w:fill="auto"/>
            <w:vAlign w:val="center"/>
            <w:hideMark/>
          </w:tcPr>
          <w:p w14:paraId="395717F8" w14:textId="77777777" w:rsidR="00330241" w:rsidRPr="00CA53C8" w:rsidRDefault="00330241" w:rsidP="00422161">
            <w:pPr>
              <w:jc w:val="center"/>
              <w:rPr>
                <w:rFonts w:cs="Arial"/>
                <w:b/>
                <w:bCs/>
                <w:color w:val="000000"/>
                <w:sz w:val="20"/>
                <w:szCs w:val="20"/>
                <w:lang w:val="en-US" w:eastAsia="en-US"/>
              </w:rPr>
            </w:pPr>
            <w:r w:rsidRPr="00CA53C8">
              <w:rPr>
                <w:rFonts w:cs="Arial"/>
                <w:b/>
                <w:bCs/>
                <w:color w:val="000000"/>
                <w:sz w:val="20"/>
                <w:szCs w:val="20"/>
                <w:lang w:val="en-US" w:eastAsia="en-US"/>
              </w:rPr>
              <w:t>2018</w:t>
            </w:r>
          </w:p>
        </w:tc>
        <w:tc>
          <w:tcPr>
            <w:tcW w:w="1159" w:type="dxa"/>
            <w:tcBorders>
              <w:top w:val="single" w:sz="8" w:space="0" w:color="auto"/>
              <w:left w:val="nil"/>
              <w:bottom w:val="single" w:sz="4" w:space="0" w:color="auto"/>
              <w:right w:val="single" w:sz="4" w:space="0" w:color="auto"/>
            </w:tcBorders>
            <w:shd w:val="clear" w:color="auto" w:fill="auto"/>
            <w:vAlign w:val="center"/>
            <w:hideMark/>
          </w:tcPr>
          <w:p w14:paraId="5D3F4CCC" w14:textId="77777777" w:rsidR="00330241" w:rsidRPr="00CA53C8" w:rsidRDefault="00330241" w:rsidP="00422161">
            <w:pPr>
              <w:jc w:val="center"/>
              <w:rPr>
                <w:rFonts w:cs="Arial"/>
                <w:b/>
                <w:bCs/>
                <w:color w:val="000000"/>
                <w:sz w:val="20"/>
                <w:szCs w:val="20"/>
                <w:lang w:val="en-US" w:eastAsia="en-US"/>
              </w:rPr>
            </w:pPr>
            <w:r w:rsidRPr="00CA53C8">
              <w:rPr>
                <w:rFonts w:cs="Arial"/>
                <w:b/>
                <w:bCs/>
                <w:color w:val="000000"/>
                <w:sz w:val="20"/>
                <w:szCs w:val="20"/>
                <w:lang w:val="en-US" w:eastAsia="en-US"/>
              </w:rPr>
              <w:t>2019</w:t>
            </w:r>
          </w:p>
        </w:tc>
        <w:tc>
          <w:tcPr>
            <w:tcW w:w="1017" w:type="dxa"/>
            <w:tcBorders>
              <w:top w:val="single" w:sz="8" w:space="0" w:color="auto"/>
              <w:left w:val="nil"/>
              <w:bottom w:val="single" w:sz="4" w:space="0" w:color="auto"/>
              <w:right w:val="single" w:sz="4" w:space="0" w:color="auto"/>
            </w:tcBorders>
            <w:shd w:val="clear" w:color="auto" w:fill="auto"/>
            <w:vAlign w:val="center"/>
            <w:hideMark/>
          </w:tcPr>
          <w:p w14:paraId="607227CB" w14:textId="77777777" w:rsidR="00330241" w:rsidRPr="00CA53C8" w:rsidRDefault="00330241" w:rsidP="00422161">
            <w:pPr>
              <w:jc w:val="center"/>
              <w:rPr>
                <w:rFonts w:cs="Arial"/>
                <w:b/>
                <w:bCs/>
                <w:color w:val="000000"/>
                <w:sz w:val="20"/>
                <w:szCs w:val="20"/>
                <w:lang w:val="en-US" w:eastAsia="en-US"/>
              </w:rPr>
            </w:pPr>
            <w:r w:rsidRPr="00CA53C8">
              <w:rPr>
                <w:rFonts w:cs="Arial"/>
                <w:b/>
                <w:bCs/>
                <w:color w:val="000000"/>
                <w:sz w:val="20"/>
                <w:szCs w:val="20"/>
                <w:lang w:val="en-US" w:eastAsia="en-US"/>
              </w:rPr>
              <w:t>2020</w:t>
            </w:r>
          </w:p>
        </w:tc>
        <w:tc>
          <w:tcPr>
            <w:tcW w:w="1017" w:type="dxa"/>
            <w:tcBorders>
              <w:top w:val="single" w:sz="8" w:space="0" w:color="auto"/>
              <w:left w:val="nil"/>
              <w:bottom w:val="single" w:sz="4" w:space="0" w:color="auto"/>
              <w:right w:val="single" w:sz="8" w:space="0" w:color="auto"/>
            </w:tcBorders>
            <w:shd w:val="clear" w:color="auto" w:fill="auto"/>
            <w:vAlign w:val="center"/>
            <w:hideMark/>
          </w:tcPr>
          <w:p w14:paraId="166D6FFD" w14:textId="77777777" w:rsidR="00330241" w:rsidRPr="00CA53C8" w:rsidRDefault="00330241" w:rsidP="00422161">
            <w:pPr>
              <w:jc w:val="center"/>
              <w:rPr>
                <w:rFonts w:cs="Arial"/>
                <w:b/>
                <w:bCs/>
                <w:color w:val="000000"/>
                <w:sz w:val="20"/>
                <w:szCs w:val="20"/>
                <w:lang w:val="en-US" w:eastAsia="en-US"/>
              </w:rPr>
            </w:pPr>
            <w:r w:rsidRPr="00CA53C8">
              <w:rPr>
                <w:rFonts w:cs="Arial"/>
                <w:b/>
                <w:bCs/>
                <w:color w:val="000000"/>
                <w:sz w:val="20"/>
                <w:szCs w:val="20"/>
                <w:lang w:val="en-US" w:eastAsia="en-US"/>
              </w:rPr>
              <w:t>2021</w:t>
            </w:r>
          </w:p>
        </w:tc>
      </w:tr>
      <w:tr w:rsidR="00330241" w:rsidRPr="00CA53C8" w14:paraId="04330900" w14:textId="77777777" w:rsidTr="00BF0EEF">
        <w:trPr>
          <w:trHeight w:val="465"/>
          <w:jc w:val="center"/>
        </w:trPr>
        <w:tc>
          <w:tcPr>
            <w:tcW w:w="3135" w:type="dxa"/>
            <w:tcBorders>
              <w:top w:val="nil"/>
              <w:left w:val="single" w:sz="4" w:space="0" w:color="auto"/>
              <w:bottom w:val="single" w:sz="4" w:space="0" w:color="auto"/>
              <w:right w:val="single" w:sz="4" w:space="0" w:color="auto"/>
            </w:tcBorders>
            <w:shd w:val="clear" w:color="auto" w:fill="auto"/>
            <w:vAlign w:val="center"/>
            <w:hideMark/>
          </w:tcPr>
          <w:p w14:paraId="39976186" w14:textId="77777777" w:rsidR="00330241" w:rsidRPr="00CA53C8" w:rsidRDefault="00330241" w:rsidP="00422161">
            <w:pPr>
              <w:rPr>
                <w:rFonts w:cs="Arial"/>
                <w:color w:val="000000"/>
                <w:sz w:val="18"/>
                <w:szCs w:val="18"/>
                <w:lang w:val="en-US" w:eastAsia="en-US"/>
              </w:rPr>
            </w:pPr>
            <w:r w:rsidRPr="00CA53C8">
              <w:rPr>
                <w:rFonts w:cs="Arial"/>
                <w:color w:val="000000"/>
                <w:sz w:val="18"/>
                <w:szCs w:val="18"/>
                <w:lang w:val="en-US" w:eastAsia="en-US"/>
              </w:rPr>
              <w:t>Australian population</w:t>
            </w:r>
          </w:p>
        </w:tc>
        <w:tc>
          <w:tcPr>
            <w:tcW w:w="1020" w:type="dxa"/>
            <w:tcBorders>
              <w:top w:val="nil"/>
              <w:left w:val="nil"/>
              <w:bottom w:val="single" w:sz="4" w:space="0" w:color="auto"/>
              <w:right w:val="single" w:sz="4" w:space="0" w:color="auto"/>
            </w:tcBorders>
            <w:shd w:val="clear" w:color="auto" w:fill="auto"/>
            <w:noWrap/>
            <w:vAlign w:val="center"/>
            <w:hideMark/>
          </w:tcPr>
          <w:p w14:paraId="7F851CFB" w14:textId="77777777" w:rsidR="00330241" w:rsidRPr="00CA53C8" w:rsidRDefault="00330241" w:rsidP="00422161">
            <w:pPr>
              <w:jc w:val="center"/>
              <w:rPr>
                <w:rFonts w:cs="Arial"/>
                <w:color w:val="000000"/>
                <w:sz w:val="18"/>
                <w:szCs w:val="18"/>
                <w:lang w:val="en-US" w:eastAsia="en-US"/>
              </w:rPr>
            </w:pPr>
            <w:r w:rsidRPr="00CA53C8">
              <w:rPr>
                <w:rFonts w:cs="Arial"/>
                <w:color w:val="000000"/>
                <w:sz w:val="18"/>
                <w:szCs w:val="18"/>
                <w:lang w:val="en-US" w:eastAsia="en-US"/>
              </w:rPr>
              <w:t>ABS</w:t>
            </w:r>
          </w:p>
        </w:tc>
        <w:tc>
          <w:tcPr>
            <w:tcW w:w="1160" w:type="dxa"/>
            <w:tcBorders>
              <w:top w:val="nil"/>
              <w:left w:val="nil"/>
              <w:bottom w:val="single" w:sz="4" w:space="0" w:color="auto"/>
              <w:right w:val="single" w:sz="4" w:space="0" w:color="auto"/>
            </w:tcBorders>
            <w:shd w:val="clear" w:color="auto" w:fill="auto"/>
            <w:noWrap/>
            <w:vAlign w:val="center"/>
            <w:hideMark/>
          </w:tcPr>
          <w:p w14:paraId="30B5B814" w14:textId="77777777" w:rsidR="00330241" w:rsidRPr="00CA53C8" w:rsidRDefault="00330241" w:rsidP="00422161">
            <w:pPr>
              <w:jc w:val="center"/>
              <w:rPr>
                <w:rFonts w:cs="Arial"/>
                <w:color w:val="000000"/>
                <w:sz w:val="18"/>
                <w:szCs w:val="18"/>
                <w:lang w:val="en-US" w:eastAsia="en-US"/>
              </w:rPr>
            </w:pPr>
            <w:r w:rsidRPr="00CA53C8">
              <w:rPr>
                <w:rFonts w:cs="Arial"/>
                <w:color w:val="000000"/>
                <w:sz w:val="18"/>
                <w:szCs w:val="18"/>
                <w:lang w:val="en-US" w:eastAsia="en-US"/>
              </w:rPr>
              <w:t>24359761</w:t>
            </w:r>
          </w:p>
        </w:tc>
        <w:tc>
          <w:tcPr>
            <w:tcW w:w="1066" w:type="dxa"/>
            <w:tcBorders>
              <w:top w:val="nil"/>
              <w:left w:val="nil"/>
              <w:bottom w:val="single" w:sz="4" w:space="0" w:color="auto"/>
              <w:right w:val="single" w:sz="4" w:space="0" w:color="auto"/>
            </w:tcBorders>
            <w:shd w:val="clear" w:color="auto" w:fill="auto"/>
            <w:noWrap/>
            <w:vAlign w:val="center"/>
            <w:hideMark/>
          </w:tcPr>
          <w:p w14:paraId="4663AA83" w14:textId="77777777" w:rsidR="00330241" w:rsidRPr="00CA53C8" w:rsidRDefault="00330241" w:rsidP="00422161">
            <w:pPr>
              <w:jc w:val="center"/>
              <w:rPr>
                <w:rFonts w:cs="Arial"/>
                <w:color w:val="000000"/>
                <w:sz w:val="18"/>
                <w:szCs w:val="18"/>
                <w:lang w:val="en-US" w:eastAsia="en-US"/>
              </w:rPr>
            </w:pPr>
            <w:r w:rsidRPr="00CA53C8">
              <w:rPr>
                <w:rFonts w:cs="Arial"/>
                <w:color w:val="000000"/>
                <w:sz w:val="18"/>
                <w:szCs w:val="18"/>
                <w:lang w:val="en-US" w:eastAsia="en-US"/>
              </w:rPr>
              <w:t>24781121</w:t>
            </w:r>
          </w:p>
        </w:tc>
        <w:tc>
          <w:tcPr>
            <w:tcW w:w="1017" w:type="dxa"/>
            <w:tcBorders>
              <w:top w:val="nil"/>
              <w:left w:val="nil"/>
              <w:bottom w:val="single" w:sz="4" w:space="0" w:color="auto"/>
              <w:right w:val="single" w:sz="4" w:space="0" w:color="auto"/>
            </w:tcBorders>
            <w:shd w:val="clear" w:color="auto" w:fill="auto"/>
            <w:noWrap/>
            <w:vAlign w:val="center"/>
            <w:hideMark/>
          </w:tcPr>
          <w:p w14:paraId="789135DC" w14:textId="77777777" w:rsidR="00330241" w:rsidRPr="00CA53C8" w:rsidRDefault="00330241" w:rsidP="00422161">
            <w:pPr>
              <w:jc w:val="center"/>
              <w:rPr>
                <w:rFonts w:cs="Arial"/>
                <w:color w:val="000000"/>
                <w:sz w:val="18"/>
                <w:szCs w:val="18"/>
                <w:lang w:val="en-US" w:eastAsia="en-US"/>
              </w:rPr>
            </w:pPr>
            <w:r w:rsidRPr="00CA53C8">
              <w:rPr>
                <w:rFonts w:cs="Arial"/>
                <w:color w:val="000000"/>
                <w:sz w:val="18"/>
                <w:szCs w:val="18"/>
                <w:lang w:val="en-US" w:eastAsia="en-US"/>
              </w:rPr>
              <w:t>25201317</w:t>
            </w:r>
          </w:p>
        </w:tc>
        <w:tc>
          <w:tcPr>
            <w:tcW w:w="1159" w:type="dxa"/>
            <w:tcBorders>
              <w:top w:val="nil"/>
              <w:left w:val="nil"/>
              <w:bottom w:val="single" w:sz="4" w:space="0" w:color="auto"/>
              <w:right w:val="single" w:sz="4" w:space="0" w:color="auto"/>
            </w:tcBorders>
            <w:shd w:val="clear" w:color="auto" w:fill="auto"/>
            <w:noWrap/>
            <w:vAlign w:val="center"/>
            <w:hideMark/>
          </w:tcPr>
          <w:p w14:paraId="75CC23B1" w14:textId="77777777" w:rsidR="00330241" w:rsidRPr="00CA53C8" w:rsidRDefault="00330241" w:rsidP="00422161">
            <w:pPr>
              <w:jc w:val="center"/>
              <w:rPr>
                <w:rFonts w:cs="Arial"/>
                <w:color w:val="000000"/>
                <w:sz w:val="18"/>
                <w:szCs w:val="18"/>
                <w:lang w:val="en-US" w:eastAsia="en-US"/>
              </w:rPr>
            </w:pPr>
            <w:r w:rsidRPr="00CA53C8">
              <w:rPr>
                <w:rFonts w:cs="Arial"/>
                <w:color w:val="000000"/>
                <w:sz w:val="18"/>
                <w:szCs w:val="18"/>
                <w:lang w:val="en-US" w:eastAsia="en-US"/>
              </w:rPr>
              <w:t>25619895</w:t>
            </w:r>
          </w:p>
        </w:tc>
        <w:tc>
          <w:tcPr>
            <w:tcW w:w="1017" w:type="dxa"/>
            <w:tcBorders>
              <w:top w:val="nil"/>
              <w:left w:val="nil"/>
              <w:bottom w:val="single" w:sz="4" w:space="0" w:color="auto"/>
              <w:right w:val="single" w:sz="4" w:space="0" w:color="auto"/>
            </w:tcBorders>
            <w:shd w:val="clear" w:color="auto" w:fill="auto"/>
            <w:noWrap/>
            <w:vAlign w:val="center"/>
            <w:hideMark/>
          </w:tcPr>
          <w:p w14:paraId="3382375C" w14:textId="77777777" w:rsidR="00330241" w:rsidRPr="00CA53C8" w:rsidRDefault="00330241" w:rsidP="00422161">
            <w:pPr>
              <w:jc w:val="center"/>
              <w:rPr>
                <w:rFonts w:cs="Arial"/>
                <w:color w:val="000000"/>
                <w:sz w:val="18"/>
                <w:szCs w:val="18"/>
                <w:lang w:val="en-US" w:eastAsia="en-US"/>
              </w:rPr>
            </w:pPr>
            <w:r w:rsidRPr="00CA53C8">
              <w:rPr>
                <w:rFonts w:cs="Arial"/>
                <w:color w:val="000000"/>
                <w:sz w:val="18"/>
                <w:szCs w:val="18"/>
                <w:lang w:val="en-US" w:eastAsia="en-US"/>
              </w:rPr>
              <w:t>26037356</w:t>
            </w:r>
          </w:p>
        </w:tc>
        <w:tc>
          <w:tcPr>
            <w:tcW w:w="1017" w:type="dxa"/>
            <w:tcBorders>
              <w:top w:val="nil"/>
              <w:left w:val="nil"/>
              <w:bottom w:val="single" w:sz="4" w:space="0" w:color="auto"/>
              <w:right w:val="single" w:sz="8" w:space="0" w:color="auto"/>
            </w:tcBorders>
            <w:shd w:val="clear" w:color="auto" w:fill="auto"/>
            <w:noWrap/>
            <w:vAlign w:val="center"/>
            <w:hideMark/>
          </w:tcPr>
          <w:p w14:paraId="25929A37" w14:textId="77777777" w:rsidR="00330241" w:rsidRPr="00CA53C8" w:rsidRDefault="00330241" w:rsidP="00422161">
            <w:pPr>
              <w:jc w:val="center"/>
              <w:rPr>
                <w:rFonts w:cs="Arial"/>
                <w:color w:val="000000"/>
                <w:sz w:val="18"/>
                <w:szCs w:val="18"/>
                <w:lang w:val="en-US" w:eastAsia="en-US"/>
              </w:rPr>
            </w:pPr>
            <w:r w:rsidRPr="00CA53C8">
              <w:rPr>
                <w:rFonts w:cs="Arial"/>
                <w:color w:val="000000"/>
                <w:sz w:val="18"/>
                <w:szCs w:val="18"/>
                <w:lang w:val="en-US" w:eastAsia="en-US"/>
              </w:rPr>
              <w:t>26479991</w:t>
            </w:r>
          </w:p>
        </w:tc>
      </w:tr>
      <w:tr w:rsidR="00330241" w:rsidRPr="00CA53C8" w14:paraId="03659A11" w14:textId="77777777" w:rsidTr="00BF0EEF">
        <w:trPr>
          <w:trHeight w:val="405"/>
          <w:jc w:val="center"/>
        </w:trPr>
        <w:tc>
          <w:tcPr>
            <w:tcW w:w="3135" w:type="dxa"/>
            <w:tcBorders>
              <w:top w:val="nil"/>
              <w:left w:val="single" w:sz="4" w:space="0" w:color="auto"/>
              <w:bottom w:val="single" w:sz="4" w:space="0" w:color="auto"/>
              <w:right w:val="single" w:sz="4" w:space="0" w:color="auto"/>
            </w:tcBorders>
            <w:shd w:val="clear" w:color="auto" w:fill="auto"/>
            <w:vAlign w:val="center"/>
            <w:hideMark/>
          </w:tcPr>
          <w:p w14:paraId="34ECF062" w14:textId="77777777" w:rsidR="00330241" w:rsidRPr="00CA53C8" w:rsidRDefault="00330241" w:rsidP="00422161">
            <w:pPr>
              <w:rPr>
                <w:rFonts w:cs="Arial"/>
                <w:color w:val="000000"/>
                <w:sz w:val="18"/>
                <w:szCs w:val="18"/>
                <w:lang w:val="en-US" w:eastAsia="en-US"/>
              </w:rPr>
            </w:pPr>
            <w:r w:rsidRPr="00CA53C8">
              <w:rPr>
                <w:rFonts w:cs="Arial"/>
                <w:color w:val="000000"/>
                <w:sz w:val="18"/>
                <w:szCs w:val="18"/>
                <w:lang w:val="en-US" w:eastAsia="en-US"/>
              </w:rPr>
              <w:t>Number of Australian adults</w:t>
            </w:r>
          </w:p>
        </w:tc>
        <w:tc>
          <w:tcPr>
            <w:tcW w:w="1020" w:type="dxa"/>
            <w:tcBorders>
              <w:top w:val="nil"/>
              <w:left w:val="nil"/>
              <w:bottom w:val="single" w:sz="4" w:space="0" w:color="auto"/>
              <w:right w:val="single" w:sz="4" w:space="0" w:color="auto"/>
            </w:tcBorders>
            <w:shd w:val="clear" w:color="auto" w:fill="auto"/>
            <w:noWrap/>
            <w:vAlign w:val="center"/>
            <w:hideMark/>
          </w:tcPr>
          <w:p w14:paraId="00CEBFF7" w14:textId="77777777" w:rsidR="00330241" w:rsidRPr="00CA53C8" w:rsidRDefault="00330241" w:rsidP="00422161">
            <w:pPr>
              <w:jc w:val="center"/>
              <w:rPr>
                <w:rFonts w:cs="Arial"/>
                <w:color w:val="000000"/>
                <w:sz w:val="18"/>
                <w:szCs w:val="18"/>
                <w:lang w:val="en-US" w:eastAsia="en-US"/>
              </w:rPr>
            </w:pPr>
            <w:r w:rsidRPr="00CA53C8">
              <w:rPr>
                <w:rFonts w:cs="Arial"/>
                <w:color w:val="000000"/>
                <w:sz w:val="18"/>
                <w:szCs w:val="18"/>
                <w:lang w:val="en-US" w:eastAsia="en-US"/>
              </w:rPr>
              <w:t>ABS</w:t>
            </w:r>
          </w:p>
        </w:tc>
        <w:tc>
          <w:tcPr>
            <w:tcW w:w="1160" w:type="dxa"/>
            <w:tcBorders>
              <w:top w:val="nil"/>
              <w:left w:val="nil"/>
              <w:bottom w:val="single" w:sz="4" w:space="0" w:color="auto"/>
              <w:right w:val="single" w:sz="4" w:space="0" w:color="auto"/>
            </w:tcBorders>
            <w:shd w:val="clear" w:color="auto" w:fill="auto"/>
            <w:noWrap/>
            <w:vAlign w:val="center"/>
            <w:hideMark/>
          </w:tcPr>
          <w:p w14:paraId="16A70A79" w14:textId="77777777" w:rsidR="00330241" w:rsidRPr="00CA53C8" w:rsidRDefault="00330241" w:rsidP="00422161">
            <w:pPr>
              <w:jc w:val="center"/>
              <w:rPr>
                <w:rFonts w:cs="Arial"/>
                <w:color w:val="000000"/>
                <w:sz w:val="18"/>
                <w:szCs w:val="18"/>
                <w:lang w:val="en-US" w:eastAsia="en-US"/>
              </w:rPr>
            </w:pPr>
            <w:r w:rsidRPr="00CA53C8">
              <w:rPr>
                <w:rFonts w:cs="Arial"/>
                <w:color w:val="000000"/>
                <w:sz w:val="18"/>
                <w:szCs w:val="18"/>
                <w:lang w:val="en-US" w:eastAsia="en-US"/>
              </w:rPr>
              <w:t>18871777</w:t>
            </w:r>
          </w:p>
        </w:tc>
        <w:tc>
          <w:tcPr>
            <w:tcW w:w="1066" w:type="dxa"/>
            <w:tcBorders>
              <w:top w:val="nil"/>
              <w:left w:val="nil"/>
              <w:bottom w:val="single" w:sz="4" w:space="0" w:color="auto"/>
              <w:right w:val="single" w:sz="4" w:space="0" w:color="auto"/>
            </w:tcBorders>
            <w:shd w:val="clear" w:color="auto" w:fill="auto"/>
            <w:noWrap/>
            <w:vAlign w:val="center"/>
            <w:hideMark/>
          </w:tcPr>
          <w:p w14:paraId="21499016" w14:textId="77777777" w:rsidR="00330241" w:rsidRPr="00CA53C8" w:rsidRDefault="00330241" w:rsidP="00422161">
            <w:pPr>
              <w:jc w:val="center"/>
              <w:rPr>
                <w:rFonts w:cs="Arial"/>
                <w:color w:val="000000"/>
                <w:sz w:val="18"/>
                <w:szCs w:val="18"/>
                <w:lang w:val="en-US" w:eastAsia="en-US"/>
              </w:rPr>
            </w:pPr>
            <w:r w:rsidRPr="00CA53C8">
              <w:rPr>
                <w:rFonts w:cs="Arial"/>
                <w:color w:val="000000"/>
                <w:sz w:val="18"/>
                <w:szCs w:val="18"/>
                <w:lang w:val="en-US" w:eastAsia="en-US"/>
              </w:rPr>
              <w:t>19201809</w:t>
            </w:r>
          </w:p>
        </w:tc>
        <w:tc>
          <w:tcPr>
            <w:tcW w:w="1017" w:type="dxa"/>
            <w:tcBorders>
              <w:top w:val="nil"/>
              <w:left w:val="nil"/>
              <w:bottom w:val="single" w:sz="4" w:space="0" w:color="auto"/>
              <w:right w:val="single" w:sz="4" w:space="0" w:color="auto"/>
            </w:tcBorders>
            <w:shd w:val="clear" w:color="auto" w:fill="auto"/>
            <w:noWrap/>
            <w:vAlign w:val="center"/>
            <w:hideMark/>
          </w:tcPr>
          <w:p w14:paraId="1E296FF4" w14:textId="77777777" w:rsidR="00330241" w:rsidRPr="00CA53C8" w:rsidRDefault="00330241" w:rsidP="00422161">
            <w:pPr>
              <w:jc w:val="center"/>
              <w:rPr>
                <w:rFonts w:cs="Arial"/>
                <w:color w:val="000000"/>
                <w:sz w:val="18"/>
                <w:szCs w:val="18"/>
                <w:lang w:val="en-US" w:eastAsia="en-US"/>
              </w:rPr>
            </w:pPr>
            <w:r w:rsidRPr="00CA53C8">
              <w:rPr>
                <w:rFonts w:cs="Arial"/>
                <w:color w:val="000000"/>
                <w:sz w:val="18"/>
                <w:szCs w:val="18"/>
                <w:lang w:val="en-US" w:eastAsia="en-US"/>
              </w:rPr>
              <w:t>19529153</w:t>
            </w:r>
          </w:p>
        </w:tc>
        <w:tc>
          <w:tcPr>
            <w:tcW w:w="1159" w:type="dxa"/>
            <w:tcBorders>
              <w:top w:val="nil"/>
              <w:left w:val="nil"/>
              <w:bottom w:val="single" w:sz="4" w:space="0" w:color="auto"/>
              <w:right w:val="single" w:sz="4" w:space="0" w:color="auto"/>
            </w:tcBorders>
            <w:shd w:val="clear" w:color="auto" w:fill="auto"/>
            <w:noWrap/>
            <w:vAlign w:val="center"/>
            <w:hideMark/>
          </w:tcPr>
          <w:p w14:paraId="36B89834" w14:textId="77777777" w:rsidR="00330241" w:rsidRPr="00CA53C8" w:rsidRDefault="00330241" w:rsidP="00422161">
            <w:pPr>
              <w:jc w:val="center"/>
              <w:rPr>
                <w:rFonts w:cs="Arial"/>
                <w:color w:val="000000"/>
                <w:sz w:val="18"/>
                <w:szCs w:val="18"/>
                <w:lang w:val="en-US" w:eastAsia="en-US"/>
              </w:rPr>
            </w:pPr>
            <w:r w:rsidRPr="00CA53C8">
              <w:rPr>
                <w:rFonts w:cs="Arial"/>
                <w:color w:val="000000"/>
                <w:sz w:val="18"/>
                <w:szCs w:val="18"/>
                <w:lang w:val="en-US" w:eastAsia="en-US"/>
              </w:rPr>
              <w:t>19853831</w:t>
            </w:r>
          </w:p>
        </w:tc>
        <w:tc>
          <w:tcPr>
            <w:tcW w:w="1017" w:type="dxa"/>
            <w:tcBorders>
              <w:top w:val="nil"/>
              <w:left w:val="nil"/>
              <w:bottom w:val="single" w:sz="4" w:space="0" w:color="auto"/>
              <w:right w:val="single" w:sz="4" w:space="0" w:color="auto"/>
            </w:tcBorders>
            <w:shd w:val="clear" w:color="auto" w:fill="auto"/>
            <w:noWrap/>
            <w:vAlign w:val="center"/>
            <w:hideMark/>
          </w:tcPr>
          <w:p w14:paraId="62B3D9B1" w14:textId="77777777" w:rsidR="00330241" w:rsidRPr="00CA53C8" w:rsidRDefault="00330241" w:rsidP="00422161">
            <w:pPr>
              <w:jc w:val="center"/>
              <w:rPr>
                <w:rFonts w:cs="Arial"/>
                <w:color w:val="000000"/>
                <w:sz w:val="18"/>
                <w:szCs w:val="18"/>
                <w:lang w:val="en-US" w:eastAsia="en-US"/>
              </w:rPr>
            </w:pPr>
            <w:r w:rsidRPr="00CA53C8">
              <w:rPr>
                <w:rFonts w:cs="Arial"/>
                <w:color w:val="000000"/>
                <w:sz w:val="18"/>
                <w:szCs w:val="18"/>
                <w:lang w:val="en-US" w:eastAsia="en-US"/>
              </w:rPr>
              <w:t>20173593</w:t>
            </w:r>
          </w:p>
        </w:tc>
        <w:tc>
          <w:tcPr>
            <w:tcW w:w="1017" w:type="dxa"/>
            <w:tcBorders>
              <w:top w:val="nil"/>
              <w:left w:val="nil"/>
              <w:bottom w:val="single" w:sz="4" w:space="0" w:color="auto"/>
              <w:right w:val="single" w:sz="8" w:space="0" w:color="auto"/>
            </w:tcBorders>
            <w:shd w:val="clear" w:color="auto" w:fill="auto"/>
            <w:noWrap/>
            <w:vAlign w:val="center"/>
            <w:hideMark/>
          </w:tcPr>
          <w:p w14:paraId="28B358E2" w14:textId="77777777" w:rsidR="00330241" w:rsidRPr="00CA53C8" w:rsidRDefault="00330241" w:rsidP="00422161">
            <w:pPr>
              <w:jc w:val="center"/>
              <w:rPr>
                <w:rFonts w:cs="Arial"/>
                <w:color w:val="000000"/>
                <w:sz w:val="18"/>
                <w:szCs w:val="18"/>
                <w:lang w:val="en-US" w:eastAsia="en-US"/>
              </w:rPr>
            </w:pPr>
            <w:r w:rsidRPr="00CA53C8">
              <w:rPr>
                <w:rFonts w:cs="Arial"/>
                <w:color w:val="000000"/>
                <w:sz w:val="18"/>
                <w:szCs w:val="18"/>
                <w:lang w:val="en-US" w:eastAsia="en-US"/>
              </w:rPr>
              <w:t>20516544</w:t>
            </w:r>
          </w:p>
        </w:tc>
      </w:tr>
      <w:tr w:rsidR="00330241" w:rsidRPr="00CA53C8" w14:paraId="78B6DAAF" w14:textId="77777777" w:rsidTr="00BF0EEF">
        <w:trPr>
          <w:trHeight w:val="825"/>
          <w:jc w:val="center"/>
        </w:trPr>
        <w:tc>
          <w:tcPr>
            <w:tcW w:w="3135" w:type="dxa"/>
            <w:tcBorders>
              <w:top w:val="nil"/>
              <w:left w:val="single" w:sz="4" w:space="0" w:color="auto"/>
              <w:bottom w:val="single" w:sz="4" w:space="0" w:color="auto"/>
              <w:right w:val="single" w:sz="4" w:space="0" w:color="auto"/>
            </w:tcBorders>
            <w:shd w:val="clear" w:color="auto" w:fill="auto"/>
            <w:vAlign w:val="center"/>
            <w:hideMark/>
          </w:tcPr>
          <w:p w14:paraId="6BD427FC" w14:textId="77777777" w:rsidR="00330241" w:rsidRPr="00CA53C8" w:rsidRDefault="00330241" w:rsidP="00422161">
            <w:pPr>
              <w:rPr>
                <w:rFonts w:cs="Arial"/>
                <w:color w:val="000000"/>
                <w:sz w:val="18"/>
                <w:szCs w:val="18"/>
                <w:lang w:val="en-US" w:eastAsia="en-US"/>
              </w:rPr>
            </w:pPr>
            <w:r w:rsidRPr="00CA53C8">
              <w:rPr>
                <w:rFonts w:cs="Arial"/>
                <w:color w:val="000000"/>
                <w:sz w:val="18"/>
                <w:szCs w:val="18"/>
                <w:lang w:val="en-US" w:eastAsia="en-US"/>
              </w:rPr>
              <w:t>Prevalence of SNHL in the adult population (%)</w:t>
            </w:r>
          </w:p>
        </w:tc>
        <w:tc>
          <w:tcPr>
            <w:tcW w:w="1020" w:type="dxa"/>
            <w:tcBorders>
              <w:top w:val="nil"/>
              <w:left w:val="nil"/>
              <w:bottom w:val="single" w:sz="4" w:space="0" w:color="auto"/>
              <w:right w:val="single" w:sz="4" w:space="0" w:color="auto"/>
            </w:tcBorders>
            <w:shd w:val="clear" w:color="auto" w:fill="auto"/>
            <w:vAlign w:val="center"/>
            <w:hideMark/>
          </w:tcPr>
          <w:p w14:paraId="450ED606" w14:textId="77777777" w:rsidR="00330241" w:rsidRPr="00CA53C8" w:rsidRDefault="00330241" w:rsidP="00422161">
            <w:pPr>
              <w:jc w:val="center"/>
              <w:rPr>
                <w:rFonts w:cs="Arial"/>
                <w:color w:val="000000"/>
                <w:sz w:val="18"/>
                <w:szCs w:val="18"/>
                <w:lang w:val="en-US" w:eastAsia="en-US"/>
              </w:rPr>
            </w:pPr>
            <w:r w:rsidRPr="00CA53C8">
              <w:rPr>
                <w:rFonts w:cs="Arial"/>
                <w:color w:val="000000"/>
                <w:sz w:val="18"/>
                <w:szCs w:val="18"/>
                <w:lang w:val="en-US" w:eastAsia="en-US"/>
              </w:rPr>
              <w:t>Wilson et al., (1999)</w:t>
            </w:r>
          </w:p>
        </w:tc>
        <w:tc>
          <w:tcPr>
            <w:tcW w:w="1160" w:type="dxa"/>
            <w:tcBorders>
              <w:top w:val="nil"/>
              <w:left w:val="nil"/>
              <w:bottom w:val="single" w:sz="4" w:space="0" w:color="auto"/>
              <w:right w:val="single" w:sz="4" w:space="0" w:color="auto"/>
            </w:tcBorders>
            <w:shd w:val="clear" w:color="auto" w:fill="auto"/>
            <w:vAlign w:val="center"/>
            <w:hideMark/>
          </w:tcPr>
          <w:p w14:paraId="6535782C" w14:textId="77777777" w:rsidR="00330241" w:rsidRPr="00CA53C8" w:rsidRDefault="00330241" w:rsidP="00422161">
            <w:pPr>
              <w:jc w:val="center"/>
              <w:rPr>
                <w:rFonts w:cs="Arial"/>
                <w:color w:val="000000"/>
                <w:sz w:val="18"/>
                <w:szCs w:val="18"/>
                <w:lang w:val="en-US" w:eastAsia="en-US"/>
              </w:rPr>
            </w:pPr>
            <w:r w:rsidRPr="00CA53C8">
              <w:rPr>
                <w:rFonts w:cs="Arial"/>
                <w:color w:val="000000"/>
                <w:sz w:val="18"/>
                <w:szCs w:val="18"/>
                <w:lang w:val="en-US" w:eastAsia="en-US"/>
              </w:rPr>
              <w:t>20,20%</w:t>
            </w:r>
          </w:p>
        </w:tc>
        <w:tc>
          <w:tcPr>
            <w:tcW w:w="1066" w:type="dxa"/>
            <w:tcBorders>
              <w:top w:val="nil"/>
              <w:left w:val="nil"/>
              <w:bottom w:val="single" w:sz="4" w:space="0" w:color="auto"/>
              <w:right w:val="single" w:sz="4" w:space="0" w:color="auto"/>
            </w:tcBorders>
            <w:shd w:val="clear" w:color="auto" w:fill="auto"/>
            <w:vAlign w:val="center"/>
            <w:hideMark/>
          </w:tcPr>
          <w:p w14:paraId="4F502193" w14:textId="77777777" w:rsidR="00330241" w:rsidRPr="00CA53C8" w:rsidRDefault="00330241" w:rsidP="00422161">
            <w:pPr>
              <w:jc w:val="center"/>
              <w:rPr>
                <w:rFonts w:cs="Arial"/>
                <w:color w:val="000000"/>
                <w:sz w:val="18"/>
                <w:szCs w:val="18"/>
                <w:lang w:val="en-US" w:eastAsia="en-US"/>
              </w:rPr>
            </w:pPr>
            <w:r w:rsidRPr="00CA53C8">
              <w:rPr>
                <w:rFonts w:cs="Arial"/>
                <w:color w:val="000000"/>
                <w:sz w:val="18"/>
                <w:szCs w:val="18"/>
                <w:lang w:val="en-US" w:eastAsia="en-US"/>
              </w:rPr>
              <w:t>20,20%</w:t>
            </w:r>
          </w:p>
        </w:tc>
        <w:tc>
          <w:tcPr>
            <w:tcW w:w="1017" w:type="dxa"/>
            <w:tcBorders>
              <w:top w:val="nil"/>
              <w:left w:val="nil"/>
              <w:bottom w:val="single" w:sz="4" w:space="0" w:color="auto"/>
              <w:right w:val="single" w:sz="4" w:space="0" w:color="auto"/>
            </w:tcBorders>
            <w:shd w:val="clear" w:color="auto" w:fill="auto"/>
            <w:vAlign w:val="center"/>
            <w:hideMark/>
          </w:tcPr>
          <w:p w14:paraId="5024EC54" w14:textId="77777777" w:rsidR="00330241" w:rsidRPr="00CA53C8" w:rsidRDefault="00330241" w:rsidP="00422161">
            <w:pPr>
              <w:jc w:val="center"/>
              <w:rPr>
                <w:rFonts w:cs="Arial"/>
                <w:color w:val="000000"/>
                <w:sz w:val="18"/>
                <w:szCs w:val="18"/>
                <w:lang w:val="en-US" w:eastAsia="en-US"/>
              </w:rPr>
            </w:pPr>
            <w:r w:rsidRPr="00CA53C8">
              <w:rPr>
                <w:rFonts w:cs="Arial"/>
                <w:color w:val="000000"/>
                <w:sz w:val="18"/>
                <w:szCs w:val="18"/>
                <w:lang w:val="en-US" w:eastAsia="en-US"/>
              </w:rPr>
              <w:t>20,20%</w:t>
            </w:r>
          </w:p>
        </w:tc>
        <w:tc>
          <w:tcPr>
            <w:tcW w:w="1159" w:type="dxa"/>
            <w:tcBorders>
              <w:top w:val="nil"/>
              <w:left w:val="nil"/>
              <w:bottom w:val="single" w:sz="4" w:space="0" w:color="auto"/>
              <w:right w:val="single" w:sz="4" w:space="0" w:color="auto"/>
            </w:tcBorders>
            <w:shd w:val="clear" w:color="auto" w:fill="auto"/>
            <w:vAlign w:val="center"/>
            <w:hideMark/>
          </w:tcPr>
          <w:p w14:paraId="338B29E2" w14:textId="77777777" w:rsidR="00330241" w:rsidRPr="00CA53C8" w:rsidRDefault="00330241" w:rsidP="00422161">
            <w:pPr>
              <w:jc w:val="center"/>
              <w:rPr>
                <w:rFonts w:cs="Arial"/>
                <w:color w:val="000000"/>
                <w:sz w:val="18"/>
                <w:szCs w:val="18"/>
                <w:lang w:val="en-US" w:eastAsia="en-US"/>
              </w:rPr>
            </w:pPr>
            <w:r w:rsidRPr="00CA53C8">
              <w:rPr>
                <w:rFonts w:cs="Arial"/>
                <w:color w:val="000000"/>
                <w:sz w:val="18"/>
                <w:szCs w:val="18"/>
                <w:lang w:val="en-US" w:eastAsia="en-US"/>
              </w:rPr>
              <w:t>20,20%</w:t>
            </w:r>
          </w:p>
        </w:tc>
        <w:tc>
          <w:tcPr>
            <w:tcW w:w="1017" w:type="dxa"/>
            <w:tcBorders>
              <w:top w:val="nil"/>
              <w:left w:val="nil"/>
              <w:bottom w:val="single" w:sz="4" w:space="0" w:color="auto"/>
              <w:right w:val="single" w:sz="4" w:space="0" w:color="auto"/>
            </w:tcBorders>
            <w:shd w:val="clear" w:color="auto" w:fill="auto"/>
            <w:vAlign w:val="center"/>
            <w:hideMark/>
          </w:tcPr>
          <w:p w14:paraId="7CD294FF" w14:textId="77777777" w:rsidR="00330241" w:rsidRPr="00CA53C8" w:rsidRDefault="00330241" w:rsidP="00422161">
            <w:pPr>
              <w:jc w:val="center"/>
              <w:rPr>
                <w:rFonts w:cs="Arial"/>
                <w:color w:val="000000"/>
                <w:sz w:val="18"/>
                <w:szCs w:val="18"/>
                <w:lang w:val="en-US" w:eastAsia="en-US"/>
              </w:rPr>
            </w:pPr>
            <w:r w:rsidRPr="00CA53C8">
              <w:rPr>
                <w:rFonts w:cs="Arial"/>
                <w:color w:val="000000"/>
                <w:sz w:val="18"/>
                <w:szCs w:val="18"/>
                <w:lang w:val="en-US" w:eastAsia="en-US"/>
              </w:rPr>
              <w:t>20,20%</w:t>
            </w:r>
          </w:p>
        </w:tc>
        <w:tc>
          <w:tcPr>
            <w:tcW w:w="1017" w:type="dxa"/>
            <w:tcBorders>
              <w:top w:val="nil"/>
              <w:left w:val="nil"/>
              <w:bottom w:val="single" w:sz="4" w:space="0" w:color="auto"/>
              <w:right w:val="single" w:sz="8" w:space="0" w:color="auto"/>
            </w:tcBorders>
            <w:shd w:val="clear" w:color="auto" w:fill="auto"/>
            <w:vAlign w:val="center"/>
            <w:hideMark/>
          </w:tcPr>
          <w:p w14:paraId="35AAE8EF" w14:textId="77777777" w:rsidR="00330241" w:rsidRPr="00CA53C8" w:rsidRDefault="00330241" w:rsidP="00422161">
            <w:pPr>
              <w:jc w:val="center"/>
              <w:rPr>
                <w:rFonts w:cs="Arial"/>
                <w:color w:val="000000"/>
                <w:sz w:val="18"/>
                <w:szCs w:val="18"/>
                <w:lang w:val="en-US" w:eastAsia="en-US"/>
              </w:rPr>
            </w:pPr>
            <w:r w:rsidRPr="00CA53C8">
              <w:rPr>
                <w:rFonts w:cs="Arial"/>
                <w:color w:val="000000"/>
                <w:sz w:val="18"/>
                <w:szCs w:val="18"/>
                <w:lang w:val="en-US" w:eastAsia="en-US"/>
              </w:rPr>
              <w:t>20,20%</w:t>
            </w:r>
          </w:p>
        </w:tc>
      </w:tr>
      <w:tr w:rsidR="00330241" w:rsidRPr="00CA53C8" w14:paraId="3A3700EC" w14:textId="77777777" w:rsidTr="00BF0EEF">
        <w:trPr>
          <w:trHeight w:val="795"/>
          <w:jc w:val="center"/>
        </w:trPr>
        <w:tc>
          <w:tcPr>
            <w:tcW w:w="3135" w:type="dxa"/>
            <w:tcBorders>
              <w:top w:val="nil"/>
              <w:left w:val="single" w:sz="4" w:space="0" w:color="auto"/>
              <w:bottom w:val="single" w:sz="4" w:space="0" w:color="auto"/>
              <w:right w:val="single" w:sz="4" w:space="0" w:color="auto"/>
            </w:tcBorders>
            <w:shd w:val="clear" w:color="auto" w:fill="auto"/>
            <w:vAlign w:val="center"/>
            <w:hideMark/>
          </w:tcPr>
          <w:p w14:paraId="19F05ED1" w14:textId="77777777" w:rsidR="00330241" w:rsidRPr="00CA53C8" w:rsidRDefault="00330241" w:rsidP="00422161">
            <w:pPr>
              <w:rPr>
                <w:rFonts w:cs="Arial"/>
                <w:color w:val="000000"/>
                <w:sz w:val="18"/>
                <w:szCs w:val="18"/>
                <w:lang w:val="en-US" w:eastAsia="en-US"/>
              </w:rPr>
            </w:pPr>
            <w:r w:rsidRPr="00CA53C8">
              <w:rPr>
                <w:rFonts w:cs="Arial"/>
                <w:color w:val="000000"/>
                <w:sz w:val="18"/>
                <w:szCs w:val="18"/>
                <w:lang w:val="en-US" w:eastAsia="en-US"/>
              </w:rPr>
              <w:t>Estimated number of Australian adults with SNHL</w:t>
            </w:r>
          </w:p>
        </w:tc>
        <w:tc>
          <w:tcPr>
            <w:tcW w:w="1020" w:type="dxa"/>
            <w:tcBorders>
              <w:top w:val="nil"/>
              <w:left w:val="nil"/>
              <w:bottom w:val="single" w:sz="4" w:space="0" w:color="auto"/>
              <w:right w:val="single" w:sz="4" w:space="0" w:color="auto"/>
            </w:tcBorders>
            <w:shd w:val="clear" w:color="auto" w:fill="auto"/>
            <w:vAlign w:val="center"/>
            <w:hideMark/>
          </w:tcPr>
          <w:p w14:paraId="35723957" w14:textId="77777777" w:rsidR="00330241" w:rsidRPr="00CA53C8" w:rsidRDefault="00330241" w:rsidP="00422161">
            <w:pPr>
              <w:jc w:val="center"/>
              <w:rPr>
                <w:rFonts w:cs="Arial"/>
                <w:color w:val="000000"/>
                <w:sz w:val="18"/>
                <w:szCs w:val="18"/>
                <w:lang w:val="en-US" w:eastAsia="en-US"/>
              </w:rPr>
            </w:pPr>
            <w:r w:rsidRPr="00CA53C8">
              <w:rPr>
                <w:rFonts w:cs="Arial"/>
                <w:color w:val="000000"/>
                <w:sz w:val="18"/>
                <w:szCs w:val="18"/>
                <w:lang w:val="en-US" w:eastAsia="en-US"/>
              </w:rPr>
              <w:t>B x C</w:t>
            </w:r>
          </w:p>
        </w:tc>
        <w:tc>
          <w:tcPr>
            <w:tcW w:w="1160" w:type="dxa"/>
            <w:tcBorders>
              <w:top w:val="nil"/>
              <w:left w:val="nil"/>
              <w:bottom w:val="single" w:sz="4" w:space="0" w:color="auto"/>
              <w:right w:val="single" w:sz="4" w:space="0" w:color="auto"/>
            </w:tcBorders>
            <w:shd w:val="clear" w:color="auto" w:fill="auto"/>
            <w:vAlign w:val="center"/>
            <w:hideMark/>
          </w:tcPr>
          <w:p w14:paraId="7A0E8808" w14:textId="77777777" w:rsidR="00330241" w:rsidRPr="00CA53C8" w:rsidRDefault="00330241" w:rsidP="00422161">
            <w:pPr>
              <w:jc w:val="center"/>
              <w:rPr>
                <w:rFonts w:cs="Arial"/>
                <w:color w:val="000000"/>
                <w:sz w:val="18"/>
                <w:szCs w:val="18"/>
                <w:lang w:val="en-US" w:eastAsia="en-US"/>
              </w:rPr>
            </w:pPr>
            <w:r w:rsidRPr="00CA53C8">
              <w:rPr>
                <w:rFonts w:cs="Arial"/>
                <w:color w:val="000000"/>
                <w:sz w:val="18"/>
                <w:szCs w:val="18"/>
                <w:lang w:val="en-US" w:eastAsia="en-US"/>
              </w:rPr>
              <w:t>3812099</w:t>
            </w:r>
          </w:p>
        </w:tc>
        <w:tc>
          <w:tcPr>
            <w:tcW w:w="1066" w:type="dxa"/>
            <w:tcBorders>
              <w:top w:val="nil"/>
              <w:left w:val="nil"/>
              <w:bottom w:val="single" w:sz="4" w:space="0" w:color="auto"/>
              <w:right w:val="single" w:sz="4" w:space="0" w:color="auto"/>
            </w:tcBorders>
            <w:shd w:val="clear" w:color="auto" w:fill="auto"/>
            <w:vAlign w:val="center"/>
            <w:hideMark/>
          </w:tcPr>
          <w:p w14:paraId="1A859B69" w14:textId="77777777" w:rsidR="00330241" w:rsidRPr="00CA53C8" w:rsidRDefault="00330241" w:rsidP="00422161">
            <w:pPr>
              <w:jc w:val="center"/>
              <w:rPr>
                <w:rFonts w:cs="Arial"/>
                <w:color w:val="000000"/>
                <w:sz w:val="18"/>
                <w:szCs w:val="18"/>
                <w:lang w:val="en-US" w:eastAsia="en-US"/>
              </w:rPr>
            </w:pPr>
            <w:r w:rsidRPr="00CA53C8">
              <w:rPr>
                <w:rFonts w:cs="Arial"/>
                <w:color w:val="000000"/>
                <w:sz w:val="18"/>
                <w:szCs w:val="18"/>
                <w:lang w:val="en-US" w:eastAsia="en-US"/>
              </w:rPr>
              <w:t>3878765</w:t>
            </w:r>
          </w:p>
        </w:tc>
        <w:tc>
          <w:tcPr>
            <w:tcW w:w="1017" w:type="dxa"/>
            <w:tcBorders>
              <w:top w:val="nil"/>
              <w:left w:val="nil"/>
              <w:bottom w:val="single" w:sz="4" w:space="0" w:color="auto"/>
              <w:right w:val="single" w:sz="4" w:space="0" w:color="auto"/>
            </w:tcBorders>
            <w:shd w:val="clear" w:color="auto" w:fill="auto"/>
            <w:vAlign w:val="center"/>
            <w:hideMark/>
          </w:tcPr>
          <w:p w14:paraId="12A7D268" w14:textId="77777777" w:rsidR="00330241" w:rsidRPr="00CA53C8" w:rsidRDefault="00330241" w:rsidP="00422161">
            <w:pPr>
              <w:jc w:val="center"/>
              <w:rPr>
                <w:rFonts w:cs="Arial"/>
                <w:color w:val="000000"/>
                <w:sz w:val="18"/>
                <w:szCs w:val="18"/>
                <w:lang w:val="en-US" w:eastAsia="en-US"/>
              </w:rPr>
            </w:pPr>
            <w:r w:rsidRPr="00CA53C8">
              <w:rPr>
                <w:rFonts w:cs="Arial"/>
                <w:color w:val="000000"/>
                <w:sz w:val="18"/>
                <w:szCs w:val="18"/>
                <w:lang w:val="en-US" w:eastAsia="en-US"/>
              </w:rPr>
              <w:t>3944889</w:t>
            </w:r>
          </w:p>
        </w:tc>
        <w:tc>
          <w:tcPr>
            <w:tcW w:w="1159" w:type="dxa"/>
            <w:tcBorders>
              <w:top w:val="nil"/>
              <w:left w:val="nil"/>
              <w:bottom w:val="single" w:sz="4" w:space="0" w:color="auto"/>
              <w:right w:val="single" w:sz="4" w:space="0" w:color="auto"/>
            </w:tcBorders>
            <w:shd w:val="clear" w:color="auto" w:fill="auto"/>
            <w:vAlign w:val="center"/>
            <w:hideMark/>
          </w:tcPr>
          <w:p w14:paraId="4B3F894B" w14:textId="77777777" w:rsidR="00330241" w:rsidRPr="00CA53C8" w:rsidRDefault="00330241" w:rsidP="00422161">
            <w:pPr>
              <w:jc w:val="center"/>
              <w:rPr>
                <w:rFonts w:cs="Arial"/>
                <w:color w:val="000000"/>
                <w:sz w:val="18"/>
                <w:szCs w:val="18"/>
                <w:lang w:val="en-US" w:eastAsia="en-US"/>
              </w:rPr>
            </w:pPr>
            <w:r w:rsidRPr="00CA53C8">
              <w:rPr>
                <w:rFonts w:cs="Arial"/>
                <w:color w:val="000000"/>
                <w:sz w:val="18"/>
                <w:szCs w:val="18"/>
                <w:lang w:val="en-US" w:eastAsia="en-US"/>
              </w:rPr>
              <w:t>4010474</w:t>
            </w:r>
          </w:p>
        </w:tc>
        <w:tc>
          <w:tcPr>
            <w:tcW w:w="1017" w:type="dxa"/>
            <w:tcBorders>
              <w:top w:val="nil"/>
              <w:left w:val="nil"/>
              <w:bottom w:val="single" w:sz="4" w:space="0" w:color="auto"/>
              <w:right w:val="single" w:sz="4" w:space="0" w:color="auto"/>
            </w:tcBorders>
            <w:shd w:val="clear" w:color="auto" w:fill="auto"/>
            <w:vAlign w:val="center"/>
            <w:hideMark/>
          </w:tcPr>
          <w:p w14:paraId="5F82CDD9" w14:textId="77777777" w:rsidR="00330241" w:rsidRPr="00CA53C8" w:rsidRDefault="00330241" w:rsidP="00422161">
            <w:pPr>
              <w:jc w:val="center"/>
              <w:rPr>
                <w:rFonts w:cs="Arial"/>
                <w:color w:val="000000"/>
                <w:sz w:val="18"/>
                <w:szCs w:val="18"/>
                <w:lang w:val="en-US" w:eastAsia="en-US"/>
              </w:rPr>
            </w:pPr>
            <w:r w:rsidRPr="00CA53C8">
              <w:rPr>
                <w:rFonts w:cs="Arial"/>
                <w:color w:val="000000"/>
                <w:sz w:val="18"/>
                <w:szCs w:val="18"/>
                <w:lang w:val="en-US" w:eastAsia="en-US"/>
              </w:rPr>
              <w:t>4075066</w:t>
            </w:r>
          </w:p>
        </w:tc>
        <w:tc>
          <w:tcPr>
            <w:tcW w:w="1017" w:type="dxa"/>
            <w:tcBorders>
              <w:top w:val="nil"/>
              <w:left w:val="nil"/>
              <w:bottom w:val="single" w:sz="4" w:space="0" w:color="auto"/>
              <w:right w:val="single" w:sz="8" w:space="0" w:color="auto"/>
            </w:tcBorders>
            <w:shd w:val="clear" w:color="auto" w:fill="auto"/>
            <w:vAlign w:val="center"/>
            <w:hideMark/>
          </w:tcPr>
          <w:p w14:paraId="381FE23D" w14:textId="77777777" w:rsidR="00330241" w:rsidRPr="00CA53C8" w:rsidRDefault="00330241" w:rsidP="00422161">
            <w:pPr>
              <w:jc w:val="center"/>
              <w:rPr>
                <w:rFonts w:cs="Arial"/>
                <w:color w:val="000000"/>
                <w:sz w:val="18"/>
                <w:szCs w:val="18"/>
                <w:lang w:val="en-US" w:eastAsia="en-US"/>
              </w:rPr>
            </w:pPr>
            <w:r w:rsidRPr="00CA53C8">
              <w:rPr>
                <w:rFonts w:cs="Arial"/>
                <w:color w:val="000000"/>
                <w:sz w:val="18"/>
                <w:szCs w:val="18"/>
                <w:lang w:val="en-US" w:eastAsia="en-US"/>
              </w:rPr>
              <w:t>4144342</w:t>
            </w:r>
          </w:p>
        </w:tc>
      </w:tr>
      <w:tr w:rsidR="00330241" w:rsidRPr="00CA53C8" w14:paraId="784E0D4F" w14:textId="77777777" w:rsidTr="00BF0EEF">
        <w:trPr>
          <w:trHeight w:val="780"/>
          <w:jc w:val="center"/>
        </w:trPr>
        <w:tc>
          <w:tcPr>
            <w:tcW w:w="3135" w:type="dxa"/>
            <w:tcBorders>
              <w:top w:val="nil"/>
              <w:left w:val="single" w:sz="4" w:space="0" w:color="auto"/>
              <w:bottom w:val="single" w:sz="4" w:space="0" w:color="auto"/>
              <w:right w:val="single" w:sz="4" w:space="0" w:color="auto"/>
            </w:tcBorders>
            <w:shd w:val="clear" w:color="000000" w:fill="DCE6F1"/>
            <w:vAlign w:val="center"/>
            <w:hideMark/>
          </w:tcPr>
          <w:p w14:paraId="6B2B3180" w14:textId="6381BB7D" w:rsidR="00330241" w:rsidRPr="00CA53C8" w:rsidRDefault="00330241" w:rsidP="00422161">
            <w:pPr>
              <w:rPr>
                <w:rFonts w:cs="Arial"/>
                <w:color w:val="000000"/>
                <w:sz w:val="18"/>
                <w:szCs w:val="18"/>
                <w:lang w:val="en-US" w:eastAsia="en-US"/>
              </w:rPr>
            </w:pPr>
            <w:r>
              <w:rPr>
                <w:rFonts w:cs="Arial"/>
                <w:color w:val="000000"/>
                <w:sz w:val="18"/>
                <w:szCs w:val="18"/>
              </w:rPr>
              <w:t>Maximum Proportion of patients as possible candidate for a MEI</w:t>
            </w:r>
          </w:p>
        </w:tc>
        <w:tc>
          <w:tcPr>
            <w:tcW w:w="1020" w:type="dxa"/>
            <w:tcBorders>
              <w:top w:val="nil"/>
              <w:left w:val="nil"/>
              <w:bottom w:val="single" w:sz="4" w:space="0" w:color="auto"/>
              <w:right w:val="single" w:sz="4" w:space="0" w:color="auto"/>
            </w:tcBorders>
            <w:shd w:val="clear" w:color="auto" w:fill="auto"/>
            <w:vAlign w:val="center"/>
            <w:hideMark/>
          </w:tcPr>
          <w:p w14:paraId="7316FE8C" w14:textId="1386F231" w:rsidR="00330241" w:rsidRPr="00CA53C8" w:rsidRDefault="00330241" w:rsidP="00422161">
            <w:pPr>
              <w:jc w:val="center"/>
              <w:rPr>
                <w:rFonts w:cs="Arial"/>
                <w:color w:val="000000"/>
                <w:sz w:val="18"/>
                <w:szCs w:val="18"/>
                <w:lang w:val="en-US" w:eastAsia="en-US"/>
              </w:rPr>
            </w:pPr>
            <w:r>
              <w:rPr>
                <w:rFonts w:cs="Arial"/>
                <w:color w:val="000000"/>
                <w:sz w:val="18"/>
                <w:szCs w:val="18"/>
              </w:rPr>
              <w:t>Junker et al., (2002)</w:t>
            </w:r>
          </w:p>
        </w:tc>
        <w:tc>
          <w:tcPr>
            <w:tcW w:w="1160" w:type="dxa"/>
            <w:tcBorders>
              <w:top w:val="nil"/>
              <w:left w:val="nil"/>
              <w:bottom w:val="single" w:sz="4" w:space="0" w:color="auto"/>
              <w:right w:val="single" w:sz="4" w:space="0" w:color="auto"/>
            </w:tcBorders>
            <w:shd w:val="clear" w:color="auto" w:fill="auto"/>
            <w:vAlign w:val="center"/>
            <w:hideMark/>
          </w:tcPr>
          <w:p w14:paraId="54303539" w14:textId="6F09E8AE" w:rsidR="00330241" w:rsidRPr="00CA53C8" w:rsidRDefault="00330241" w:rsidP="00422161">
            <w:pPr>
              <w:jc w:val="center"/>
              <w:rPr>
                <w:rFonts w:cs="Arial"/>
                <w:color w:val="000000"/>
                <w:sz w:val="18"/>
                <w:szCs w:val="18"/>
                <w:lang w:val="en-US" w:eastAsia="en-US"/>
              </w:rPr>
            </w:pPr>
            <w:r>
              <w:rPr>
                <w:rFonts w:cs="Arial"/>
                <w:color w:val="000000"/>
                <w:sz w:val="18"/>
                <w:szCs w:val="18"/>
              </w:rPr>
              <w:t>0,85%</w:t>
            </w:r>
          </w:p>
        </w:tc>
        <w:tc>
          <w:tcPr>
            <w:tcW w:w="1066" w:type="dxa"/>
            <w:tcBorders>
              <w:top w:val="nil"/>
              <w:left w:val="nil"/>
              <w:bottom w:val="single" w:sz="4" w:space="0" w:color="auto"/>
              <w:right w:val="single" w:sz="4" w:space="0" w:color="auto"/>
            </w:tcBorders>
            <w:shd w:val="clear" w:color="auto" w:fill="auto"/>
            <w:vAlign w:val="center"/>
            <w:hideMark/>
          </w:tcPr>
          <w:p w14:paraId="5876A8FE" w14:textId="5AE811FF" w:rsidR="00330241" w:rsidRPr="00CA53C8" w:rsidRDefault="00330241" w:rsidP="00422161">
            <w:pPr>
              <w:jc w:val="center"/>
              <w:rPr>
                <w:rFonts w:cs="Arial"/>
                <w:color w:val="000000"/>
                <w:sz w:val="18"/>
                <w:szCs w:val="18"/>
                <w:lang w:val="en-US" w:eastAsia="en-US"/>
              </w:rPr>
            </w:pPr>
            <w:r>
              <w:rPr>
                <w:rFonts w:cs="Arial"/>
                <w:color w:val="000000"/>
                <w:sz w:val="18"/>
                <w:szCs w:val="18"/>
              </w:rPr>
              <w:t>0,85%</w:t>
            </w:r>
          </w:p>
        </w:tc>
        <w:tc>
          <w:tcPr>
            <w:tcW w:w="1017" w:type="dxa"/>
            <w:tcBorders>
              <w:top w:val="nil"/>
              <w:left w:val="nil"/>
              <w:bottom w:val="single" w:sz="4" w:space="0" w:color="auto"/>
              <w:right w:val="single" w:sz="4" w:space="0" w:color="auto"/>
            </w:tcBorders>
            <w:shd w:val="clear" w:color="auto" w:fill="auto"/>
            <w:vAlign w:val="center"/>
            <w:hideMark/>
          </w:tcPr>
          <w:p w14:paraId="5B3DF795" w14:textId="77328771" w:rsidR="00330241" w:rsidRPr="00CA53C8" w:rsidRDefault="00330241" w:rsidP="00422161">
            <w:pPr>
              <w:jc w:val="center"/>
              <w:rPr>
                <w:rFonts w:cs="Arial"/>
                <w:color w:val="000000"/>
                <w:sz w:val="18"/>
                <w:szCs w:val="18"/>
                <w:lang w:val="en-US" w:eastAsia="en-US"/>
              </w:rPr>
            </w:pPr>
            <w:r>
              <w:rPr>
                <w:rFonts w:cs="Arial"/>
                <w:color w:val="000000"/>
                <w:sz w:val="18"/>
                <w:szCs w:val="18"/>
              </w:rPr>
              <w:t>0,85%</w:t>
            </w:r>
          </w:p>
        </w:tc>
        <w:tc>
          <w:tcPr>
            <w:tcW w:w="1159" w:type="dxa"/>
            <w:tcBorders>
              <w:top w:val="nil"/>
              <w:left w:val="nil"/>
              <w:bottom w:val="single" w:sz="4" w:space="0" w:color="auto"/>
              <w:right w:val="single" w:sz="4" w:space="0" w:color="auto"/>
            </w:tcBorders>
            <w:shd w:val="clear" w:color="auto" w:fill="auto"/>
            <w:vAlign w:val="center"/>
            <w:hideMark/>
          </w:tcPr>
          <w:p w14:paraId="734FEAC3" w14:textId="04657A2D" w:rsidR="00330241" w:rsidRPr="00CA53C8" w:rsidRDefault="00330241" w:rsidP="00422161">
            <w:pPr>
              <w:jc w:val="center"/>
              <w:rPr>
                <w:rFonts w:cs="Arial"/>
                <w:color w:val="000000"/>
                <w:sz w:val="18"/>
                <w:szCs w:val="18"/>
                <w:lang w:val="en-US" w:eastAsia="en-US"/>
              </w:rPr>
            </w:pPr>
            <w:r>
              <w:rPr>
                <w:rFonts w:cs="Arial"/>
                <w:color w:val="000000"/>
                <w:sz w:val="18"/>
                <w:szCs w:val="18"/>
              </w:rPr>
              <w:t>0,85%</w:t>
            </w:r>
          </w:p>
        </w:tc>
        <w:tc>
          <w:tcPr>
            <w:tcW w:w="1017" w:type="dxa"/>
            <w:tcBorders>
              <w:top w:val="nil"/>
              <w:left w:val="nil"/>
              <w:bottom w:val="single" w:sz="4" w:space="0" w:color="auto"/>
              <w:right w:val="single" w:sz="4" w:space="0" w:color="auto"/>
            </w:tcBorders>
            <w:shd w:val="clear" w:color="auto" w:fill="auto"/>
            <w:vAlign w:val="center"/>
            <w:hideMark/>
          </w:tcPr>
          <w:p w14:paraId="5BEE40A9" w14:textId="39372206" w:rsidR="00330241" w:rsidRPr="00CA53C8" w:rsidRDefault="00330241" w:rsidP="00422161">
            <w:pPr>
              <w:jc w:val="center"/>
              <w:rPr>
                <w:rFonts w:cs="Arial"/>
                <w:color w:val="000000"/>
                <w:sz w:val="18"/>
                <w:szCs w:val="18"/>
                <w:lang w:val="en-US" w:eastAsia="en-US"/>
              </w:rPr>
            </w:pPr>
            <w:r>
              <w:rPr>
                <w:rFonts w:cs="Arial"/>
                <w:color w:val="000000"/>
                <w:sz w:val="18"/>
                <w:szCs w:val="18"/>
              </w:rPr>
              <w:t>0,85%</w:t>
            </w:r>
          </w:p>
        </w:tc>
        <w:tc>
          <w:tcPr>
            <w:tcW w:w="1017" w:type="dxa"/>
            <w:tcBorders>
              <w:top w:val="nil"/>
              <w:left w:val="nil"/>
              <w:bottom w:val="single" w:sz="4" w:space="0" w:color="auto"/>
              <w:right w:val="single" w:sz="4" w:space="0" w:color="auto"/>
            </w:tcBorders>
            <w:shd w:val="clear" w:color="auto" w:fill="auto"/>
            <w:vAlign w:val="center"/>
            <w:hideMark/>
          </w:tcPr>
          <w:p w14:paraId="5E337CF8" w14:textId="758BBF08" w:rsidR="00330241" w:rsidRPr="00CA53C8" w:rsidRDefault="00330241" w:rsidP="00422161">
            <w:pPr>
              <w:jc w:val="center"/>
              <w:rPr>
                <w:rFonts w:cs="Arial"/>
                <w:color w:val="000000"/>
                <w:sz w:val="18"/>
                <w:szCs w:val="18"/>
                <w:lang w:val="en-US" w:eastAsia="en-US"/>
              </w:rPr>
            </w:pPr>
            <w:r>
              <w:rPr>
                <w:rFonts w:cs="Arial"/>
                <w:color w:val="000000"/>
                <w:sz w:val="18"/>
                <w:szCs w:val="18"/>
              </w:rPr>
              <w:t>0,85%</w:t>
            </w:r>
          </w:p>
        </w:tc>
      </w:tr>
      <w:tr w:rsidR="00330241" w:rsidRPr="00CA53C8" w14:paraId="0339BCAA" w14:textId="77777777" w:rsidTr="00BF0EEF">
        <w:trPr>
          <w:trHeight w:val="750"/>
          <w:jc w:val="center"/>
        </w:trPr>
        <w:tc>
          <w:tcPr>
            <w:tcW w:w="3135" w:type="dxa"/>
            <w:tcBorders>
              <w:top w:val="nil"/>
              <w:left w:val="single" w:sz="4" w:space="0" w:color="auto"/>
              <w:bottom w:val="single" w:sz="4" w:space="0" w:color="auto"/>
              <w:right w:val="single" w:sz="4" w:space="0" w:color="auto"/>
            </w:tcBorders>
            <w:shd w:val="clear" w:color="auto" w:fill="auto"/>
            <w:vAlign w:val="center"/>
            <w:hideMark/>
          </w:tcPr>
          <w:p w14:paraId="65617A05" w14:textId="01C6EA83" w:rsidR="00330241" w:rsidRPr="00CA53C8" w:rsidRDefault="00330241" w:rsidP="00422161">
            <w:pPr>
              <w:rPr>
                <w:rFonts w:cs="Arial"/>
                <w:color w:val="000000"/>
                <w:sz w:val="18"/>
                <w:szCs w:val="18"/>
                <w:lang w:val="en-US" w:eastAsia="en-US"/>
              </w:rPr>
            </w:pPr>
            <w:r>
              <w:rPr>
                <w:rFonts w:cs="Arial"/>
                <w:color w:val="000000"/>
                <w:sz w:val="18"/>
                <w:szCs w:val="18"/>
              </w:rPr>
              <w:t>Number of Australian adults with SNHL and candidates of a MEI</w:t>
            </w:r>
          </w:p>
        </w:tc>
        <w:tc>
          <w:tcPr>
            <w:tcW w:w="1020" w:type="dxa"/>
            <w:tcBorders>
              <w:top w:val="nil"/>
              <w:left w:val="nil"/>
              <w:bottom w:val="single" w:sz="4" w:space="0" w:color="auto"/>
              <w:right w:val="single" w:sz="4" w:space="0" w:color="auto"/>
            </w:tcBorders>
            <w:shd w:val="clear" w:color="auto" w:fill="auto"/>
            <w:vAlign w:val="center"/>
            <w:hideMark/>
          </w:tcPr>
          <w:p w14:paraId="6793086D" w14:textId="196D0C91" w:rsidR="00330241" w:rsidRPr="00CA53C8" w:rsidRDefault="00330241" w:rsidP="00422161">
            <w:pPr>
              <w:jc w:val="center"/>
              <w:rPr>
                <w:rFonts w:cs="Arial"/>
                <w:color w:val="000000"/>
                <w:sz w:val="18"/>
                <w:szCs w:val="18"/>
                <w:lang w:val="en-US" w:eastAsia="en-US"/>
              </w:rPr>
            </w:pPr>
            <w:r>
              <w:rPr>
                <w:rFonts w:cs="Arial"/>
                <w:color w:val="000000"/>
                <w:sz w:val="18"/>
                <w:szCs w:val="18"/>
              </w:rPr>
              <w:t>D x E</w:t>
            </w:r>
          </w:p>
        </w:tc>
        <w:tc>
          <w:tcPr>
            <w:tcW w:w="1160" w:type="dxa"/>
            <w:tcBorders>
              <w:top w:val="nil"/>
              <w:left w:val="nil"/>
              <w:bottom w:val="single" w:sz="4" w:space="0" w:color="auto"/>
              <w:right w:val="single" w:sz="4" w:space="0" w:color="auto"/>
            </w:tcBorders>
            <w:shd w:val="clear" w:color="auto" w:fill="auto"/>
            <w:vAlign w:val="center"/>
            <w:hideMark/>
          </w:tcPr>
          <w:p w14:paraId="0EB72C0C" w14:textId="0196727F" w:rsidR="00330241" w:rsidRPr="00CA53C8" w:rsidRDefault="00330241" w:rsidP="00422161">
            <w:pPr>
              <w:jc w:val="center"/>
              <w:rPr>
                <w:rFonts w:cs="Arial"/>
                <w:color w:val="000000"/>
                <w:sz w:val="18"/>
                <w:szCs w:val="18"/>
                <w:lang w:val="en-US" w:eastAsia="en-US"/>
              </w:rPr>
            </w:pPr>
            <w:r>
              <w:rPr>
                <w:rFonts w:cs="Arial"/>
                <w:color w:val="000000"/>
                <w:sz w:val="18"/>
                <w:szCs w:val="18"/>
              </w:rPr>
              <w:t>32403</w:t>
            </w:r>
          </w:p>
        </w:tc>
        <w:tc>
          <w:tcPr>
            <w:tcW w:w="1066" w:type="dxa"/>
            <w:tcBorders>
              <w:top w:val="nil"/>
              <w:left w:val="nil"/>
              <w:bottom w:val="single" w:sz="4" w:space="0" w:color="auto"/>
              <w:right w:val="single" w:sz="4" w:space="0" w:color="auto"/>
            </w:tcBorders>
            <w:shd w:val="clear" w:color="auto" w:fill="auto"/>
            <w:vAlign w:val="center"/>
            <w:hideMark/>
          </w:tcPr>
          <w:p w14:paraId="242171CC" w14:textId="0A550E1C" w:rsidR="00330241" w:rsidRPr="00CA53C8" w:rsidRDefault="00330241" w:rsidP="00422161">
            <w:pPr>
              <w:jc w:val="center"/>
              <w:rPr>
                <w:rFonts w:cs="Arial"/>
                <w:color w:val="000000"/>
                <w:sz w:val="18"/>
                <w:szCs w:val="18"/>
                <w:lang w:val="en-US" w:eastAsia="en-US"/>
              </w:rPr>
            </w:pPr>
            <w:r>
              <w:rPr>
                <w:rFonts w:cs="Arial"/>
                <w:color w:val="000000"/>
                <w:sz w:val="18"/>
                <w:szCs w:val="18"/>
              </w:rPr>
              <w:t>32970</w:t>
            </w:r>
          </w:p>
        </w:tc>
        <w:tc>
          <w:tcPr>
            <w:tcW w:w="1017" w:type="dxa"/>
            <w:tcBorders>
              <w:top w:val="nil"/>
              <w:left w:val="nil"/>
              <w:bottom w:val="single" w:sz="4" w:space="0" w:color="auto"/>
              <w:right w:val="single" w:sz="4" w:space="0" w:color="auto"/>
            </w:tcBorders>
            <w:shd w:val="clear" w:color="auto" w:fill="auto"/>
            <w:vAlign w:val="center"/>
            <w:hideMark/>
          </w:tcPr>
          <w:p w14:paraId="321763BF" w14:textId="4C0D34EC" w:rsidR="00330241" w:rsidRPr="00CA53C8" w:rsidRDefault="00330241" w:rsidP="00422161">
            <w:pPr>
              <w:jc w:val="center"/>
              <w:rPr>
                <w:rFonts w:cs="Arial"/>
                <w:color w:val="000000"/>
                <w:sz w:val="18"/>
                <w:szCs w:val="18"/>
                <w:lang w:val="en-US" w:eastAsia="en-US"/>
              </w:rPr>
            </w:pPr>
            <w:r>
              <w:rPr>
                <w:rFonts w:cs="Arial"/>
                <w:color w:val="000000"/>
                <w:sz w:val="18"/>
                <w:szCs w:val="18"/>
              </w:rPr>
              <w:t>33532</w:t>
            </w:r>
          </w:p>
        </w:tc>
        <w:tc>
          <w:tcPr>
            <w:tcW w:w="1159" w:type="dxa"/>
            <w:tcBorders>
              <w:top w:val="nil"/>
              <w:left w:val="nil"/>
              <w:bottom w:val="single" w:sz="4" w:space="0" w:color="auto"/>
              <w:right w:val="single" w:sz="4" w:space="0" w:color="auto"/>
            </w:tcBorders>
            <w:shd w:val="clear" w:color="auto" w:fill="auto"/>
            <w:vAlign w:val="center"/>
            <w:hideMark/>
          </w:tcPr>
          <w:p w14:paraId="465A588C" w14:textId="6439B797" w:rsidR="00330241" w:rsidRPr="00CA53C8" w:rsidRDefault="00330241" w:rsidP="00422161">
            <w:pPr>
              <w:jc w:val="center"/>
              <w:rPr>
                <w:rFonts w:cs="Arial"/>
                <w:color w:val="000000"/>
                <w:sz w:val="18"/>
                <w:szCs w:val="18"/>
                <w:lang w:val="en-US" w:eastAsia="en-US"/>
              </w:rPr>
            </w:pPr>
            <w:r>
              <w:rPr>
                <w:rFonts w:cs="Arial"/>
                <w:color w:val="000000"/>
                <w:sz w:val="18"/>
                <w:szCs w:val="18"/>
              </w:rPr>
              <w:t>34089</w:t>
            </w:r>
          </w:p>
        </w:tc>
        <w:tc>
          <w:tcPr>
            <w:tcW w:w="1017" w:type="dxa"/>
            <w:tcBorders>
              <w:top w:val="nil"/>
              <w:left w:val="nil"/>
              <w:bottom w:val="single" w:sz="4" w:space="0" w:color="auto"/>
              <w:right w:val="single" w:sz="4" w:space="0" w:color="auto"/>
            </w:tcBorders>
            <w:shd w:val="clear" w:color="auto" w:fill="auto"/>
            <w:vAlign w:val="center"/>
            <w:hideMark/>
          </w:tcPr>
          <w:p w14:paraId="1303DB9D" w14:textId="16A00524" w:rsidR="00330241" w:rsidRPr="00CA53C8" w:rsidRDefault="00330241" w:rsidP="00422161">
            <w:pPr>
              <w:jc w:val="center"/>
              <w:rPr>
                <w:rFonts w:cs="Arial"/>
                <w:color w:val="000000"/>
                <w:sz w:val="18"/>
                <w:szCs w:val="18"/>
                <w:lang w:val="en-US" w:eastAsia="en-US"/>
              </w:rPr>
            </w:pPr>
            <w:r>
              <w:rPr>
                <w:rFonts w:cs="Arial"/>
                <w:color w:val="000000"/>
                <w:sz w:val="18"/>
                <w:szCs w:val="18"/>
              </w:rPr>
              <w:t>34638</w:t>
            </w:r>
          </w:p>
        </w:tc>
        <w:tc>
          <w:tcPr>
            <w:tcW w:w="1017" w:type="dxa"/>
            <w:tcBorders>
              <w:top w:val="nil"/>
              <w:left w:val="nil"/>
              <w:bottom w:val="single" w:sz="4" w:space="0" w:color="auto"/>
              <w:right w:val="single" w:sz="8" w:space="0" w:color="auto"/>
            </w:tcBorders>
            <w:shd w:val="clear" w:color="auto" w:fill="auto"/>
            <w:vAlign w:val="center"/>
            <w:hideMark/>
          </w:tcPr>
          <w:p w14:paraId="160CC6F7" w14:textId="46541352" w:rsidR="00330241" w:rsidRPr="00CA53C8" w:rsidRDefault="00330241" w:rsidP="00422161">
            <w:pPr>
              <w:jc w:val="center"/>
              <w:rPr>
                <w:rFonts w:cs="Arial"/>
                <w:color w:val="000000"/>
                <w:sz w:val="18"/>
                <w:szCs w:val="18"/>
                <w:lang w:val="en-US" w:eastAsia="en-US"/>
              </w:rPr>
            </w:pPr>
            <w:r>
              <w:rPr>
                <w:rFonts w:cs="Arial"/>
                <w:color w:val="000000"/>
                <w:sz w:val="18"/>
                <w:szCs w:val="18"/>
              </w:rPr>
              <w:t>35227</w:t>
            </w:r>
          </w:p>
        </w:tc>
      </w:tr>
      <w:tr w:rsidR="00330241" w:rsidRPr="00CA53C8" w14:paraId="3B01E7C7" w14:textId="77777777" w:rsidTr="00BF0EEF">
        <w:trPr>
          <w:trHeight w:val="1020"/>
          <w:jc w:val="center"/>
        </w:trPr>
        <w:tc>
          <w:tcPr>
            <w:tcW w:w="3135" w:type="dxa"/>
            <w:tcBorders>
              <w:top w:val="nil"/>
              <w:left w:val="single" w:sz="4" w:space="0" w:color="auto"/>
              <w:bottom w:val="single" w:sz="4" w:space="0" w:color="auto"/>
              <w:right w:val="single" w:sz="4" w:space="0" w:color="auto"/>
            </w:tcBorders>
            <w:shd w:val="clear" w:color="auto" w:fill="auto"/>
            <w:vAlign w:val="center"/>
            <w:hideMark/>
          </w:tcPr>
          <w:p w14:paraId="59076B72" w14:textId="275FBEB2" w:rsidR="00330241" w:rsidRPr="00CA53C8" w:rsidRDefault="00330241" w:rsidP="00422161">
            <w:pPr>
              <w:rPr>
                <w:rFonts w:cs="Arial"/>
                <w:color w:val="000000"/>
                <w:sz w:val="18"/>
                <w:szCs w:val="18"/>
                <w:lang w:val="en-US" w:eastAsia="en-US"/>
              </w:rPr>
            </w:pPr>
            <w:r>
              <w:rPr>
                <w:rFonts w:cs="Arial"/>
                <w:color w:val="000000"/>
                <w:sz w:val="18"/>
                <w:szCs w:val="18"/>
              </w:rPr>
              <w:t>Prevalence of external ear pathology in the Australian population (%)</w:t>
            </w:r>
          </w:p>
        </w:tc>
        <w:tc>
          <w:tcPr>
            <w:tcW w:w="1020" w:type="dxa"/>
            <w:tcBorders>
              <w:top w:val="nil"/>
              <w:left w:val="nil"/>
              <w:bottom w:val="single" w:sz="4" w:space="0" w:color="auto"/>
              <w:right w:val="single" w:sz="4" w:space="0" w:color="auto"/>
            </w:tcBorders>
            <w:shd w:val="clear" w:color="auto" w:fill="auto"/>
            <w:vAlign w:val="center"/>
            <w:hideMark/>
          </w:tcPr>
          <w:p w14:paraId="0CB1DC45" w14:textId="2CF83A68" w:rsidR="00330241" w:rsidRPr="00CA53C8" w:rsidRDefault="00330241" w:rsidP="00422161">
            <w:pPr>
              <w:jc w:val="center"/>
              <w:rPr>
                <w:rFonts w:cs="Arial"/>
                <w:color w:val="000000"/>
                <w:sz w:val="18"/>
                <w:szCs w:val="18"/>
                <w:lang w:val="en-US" w:eastAsia="en-US"/>
              </w:rPr>
            </w:pPr>
            <w:r>
              <w:rPr>
                <w:rFonts w:cs="Arial"/>
                <w:color w:val="000000"/>
                <w:sz w:val="18"/>
                <w:szCs w:val="18"/>
              </w:rPr>
              <w:t>see Table 34</w:t>
            </w:r>
          </w:p>
        </w:tc>
        <w:tc>
          <w:tcPr>
            <w:tcW w:w="1160" w:type="dxa"/>
            <w:tcBorders>
              <w:top w:val="nil"/>
              <w:left w:val="nil"/>
              <w:bottom w:val="single" w:sz="4" w:space="0" w:color="auto"/>
              <w:right w:val="single" w:sz="4" w:space="0" w:color="auto"/>
            </w:tcBorders>
            <w:shd w:val="clear" w:color="auto" w:fill="auto"/>
            <w:vAlign w:val="center"/>
            <w:hideMark/>
          </w:tcPr>
          <w:p w14:paraId="1E5C041B" w14:textId="012F6A87" w:rsidR="00330241" w:rsidRPr="00CA53C8" w:rsidRDefault="00330241" w:rsidP="00422161">
            <w:pPr>
              <w:jc w:val="center"/>
              <w:rPr>
                <w:rFonts w:cs="Arial"/>
                <w:color w:val="000000"/>
                <w:sz w:val="18"/>
                <w:szCs w:val="18"/>
                <w:lang w:val="en-US" w:eastAsia="en-US"/>
              </w:rPr>
            </w:pPr>
            <w:r>
              <w:rPr>
                <w:rFonts w:cs="Arial"/>
                <w:color w:val="000000"/>
                <w:sz w:val="18"/>
                <w:szCs w:val="18"/>
              </w:rPr>
              <w:t>2,95%</w:t>
            </w:r>
          </w:p>
        </w:tc>
        <w:tc>
          <w:tcPr>
            <w:tcW w:w="1066" w:type="dxa"/>
            <w:tcBorders>
              <w:top w:val="nil"/>
              <w:left w:val="nil"/>
              <w:bottom w:val="single" w:sz="4" w:space="0" w:color="auto"/>
              <w:right w:val="single" w:sz="4" w:space="0" w:color="auto"/>
            </w:tcBorders>
            <w:shd w:val="clear" w:color="auto" w:fill="auto"/>
            <w:vAlign w:val="center"/>
            <w:hideMark/>
          </w:tcPr>
          <w:p w14:paraId="4B164CC2" w14:textId="6090DCD9" w:rsidR="00330241" w:rsidRPr="00CA53C8" w:rsidRDefault="00330241" w:rsidP="00422161">
            <w:pPr>
              <w:jc w:val="center"/>
              <w:rPr>
                <w:rFonts w:cs="Arial"/>
                <w:color w:val="000000"/>
                <w:sz w:val="18"/>
                <w:szCs w:val="18"/>
                <w:lang w:val="en-US" w:eastAsia="en-US"/>
              </w:rPr>
            </w:pPr>
            <w:r>
              <w:rPr>
                <w:rFonts w:cs="Arial"/>
                <w:color w:val="000000"/>
                <w:sz w:val="18"/>
                <w:szCs w:val="18"/>
              </w:rPr>
              <w:t>2,95%</w:t>
            </w:r>
          </w:p>
        </w:tc>
        <w:tc>
          <w:tcPr>
            <w:tcW w:w="1017" w:type="dxa"/>
            <w:tcBorders>
              <w:top w:val="nil"/>
              <w:left w:val="nil"/>
              <w:bottom w:val="single" w:sz="4" w:space="0" w:color="auto"/>
              <w:right w:val="single" w:sz="4" w:space="0" w:color="auto"/>
            </w:tcBorders>
            <w:shd w:val="clear" w:color="auto" w:fill="auto"/>
            <w:vAlign w:val="center"/>
            <w:hideMark/>
          </w:tcPr>
          <w:p w14:paraId="318B9D39" w14:textId="20FBF065" w:rsidR="00330241" w:rsidRPr="00CA53C8" w:rsidRDefault="00330241" w:rsidP="00422161">
            <w:pPr>
              <w:jc w:val="center"/>
              <w:rPr>
                <w:rFonts w:cs="Arial"/>
                <w:color w:val="000000"/>
                <w:sz w:val="18"/>
                <w:szCs w:val="18"/>
                <w:lang w:val="en-US" w:eastAsia="en-US"/>
              </w:rPr>
            </w:pPr>
            <w:r>
              <w:rPr>
                <w:rFonts w:cs="Arial"/>
                <w:color w:val="000000"/>
                <w:sz w:val="18"/>
                <w:szCs w:val="18"/>
              </w:rPr>
              <w:t>2,95%</w:t>
            </w:r>
          </w:p>
        </w:tc>
        <w:tc>
          <w:tcPr>
            <w:tcW w:w="1159" w:type="dxa"/>
            <w:tcBorders>
              <w:top w:val="nil"/>
              <w:left w:val="nil"/>
              <w:bottom w:val="single" w:sz="4" w:space="0" w:color="auto"/>
              <w:right w:val="single" w:sz="4" w:space="0" w:color="auto"/>
            </w:tcBorders>
            <w:shd w:val="clear" w:color="auto" w:fill="auto"/>
            <w:vAlign w:val="center"/>
            <w:hideMark/>
          </w:tcPr>
          <w:p w14:paraId="541B5904" w14:textId="0FADC65C" w:rsidR="00330241" w:rsidRPr="00CA53C8" w:rsidRDefault="00330241" w:rsidP="00422161">
            <w:pPr>
              <w:jc w:val="center"/>
              <w:rPr>
                <w:rFonts w:cs="Arial"/>
                <w:color w:val="000000"/>
                <w:sz w:val="18"/>
                <w:szCs w:val="18"/>
                <w:lang w:val="en-US" w:eastAsia="en-US"/>
              </w:rPr>
            </w:pPr>
            <w:r>
              <w:rPr>
                <w:rFonts w:cs="Arial"/>
                <w:color w:val="000000"/>
                <w:sz w:val="18"/>
                <w:szCs w:val="18"/>
              </w:rPr>
              <w:t>2,95%</w:t>
            </w:r>
          </w:p>
        </w:tc>
        <w:tc>
          <w:tcPr>
            <w:tcW w:w="1017" w:type="dxa"/>
            <w:tcBorders>
              <w:top w:val="nil"/>
              <w:left w:val="nil"/>
              <w:bottom w:val="single" w:sz="4" w:space="0" w:color="auto"/>
              <w:right w:val="single" w:sz="4" w:space="0" w:color="auto"/>
            </w:tcBorders>
            <w:shd w:val="clear" w:color="auto" w:fill="auto"/>
            <w:vAlign w:val="center"/>
            <w:hideMark/>
          </w:tcPr>
          <w:p w14:paraId="3832C8F8" w14:textId="38B1F5C2" w:rsidR="00330241" w:rsidRPr="00CA53C8" w:rsidRDefault="00330241" w:rsidP="00422161">
            <w:pPr>
              <w:jc w:val="center"/>
              <w:rPr>
                <w:rFonts w:cs="Arial"/>
                <w:color w:val="000000"/>
                <w:sz w:val="18"/>
                <w:szCs w:val="18"/>
                <w:lang w:val="en-US" w:eastAsia="en-US"/>
              </w:rPr>
            </w:pPr>
            <w:r>
              <w:rPr>
                <w:rFonts w:cs="Arial"/>
                <w:color w:val="000000"/>
                <w:sz w:val="18"/>
                <w:szCs w:val="18"/>
              </w:rPr>
              <w:t>2,95%</w:t>
            </w:r>
          </w:p>
        </w:tc>
        <w:tc>
          <w:tcPr>
            <w:tcW w:w="1017" w:type="dxa"/>
            <w:tcBorders>
              <w:top w:val="nil"/>
              <w:left w:val="nil"/>
              <w:bottom w:val="single" w:sz="4" w:space="0" w:color="auto"/>
              <w:right w:val="single" w:sz="8" w:space="0" w:color="auto"/>
            </w:tcBorders>
            <w:shd w:val="clear" w:color="auto" w:fill="auto"/>
            <w:vAlign w:val="center"/>
            <w:hideMark/>
          </w:tcPr>
          <w:p w14:paraId="0F5495C2" w14:textId="63DC03C0" w:rsidR="00330241" w:rsidRPr="00CA53C8" w:rsidRDefault="00330241" w:rsidP="00422161">
            <w:pPr>
              <w:jc w:val="center"/>
              <w:rPr>
                <w:rFonts w:cs="Arial"/>
                <w:color w:val="000000"/>
                <w:sz w:val="18"/>
                <w:szCs w:val="18"/>
                <w:lang w:val="en-US" w:eastAsia="en-US"/>
              </w:rPr>
            </w:pPr>
            <w:r>
              <w:rPr>
                <w:rFonts w:cs="Arial"/>
                <w:color w:val="000000"/>
                <w:sz w:val="18"/>
                <w:szCs w:val="18"/>
              </w:rPr>
              <w:t>2,95%</w:t>
            </w:r>
          </w:p>
        </w:tc>
      </w:tr>
      <w:tr w:rsidR="00330241" w:rsidRPr="00CA53C8" w14:paraId="211AC30C" w14:textId="77777777" w:rsidTr="00BF0EEF">
        <w:trPr>
          <w:trHeight w:val="900"/>
          <w:jc w:val="center"/>
        </w:trPr>
        <w:tc>
          <w:tcPr>
            <w:tcW w:w="3135" w:type="dxa"/>
            <w:tcBorders>
              <w:top w:val="nil"/>
              <w:left w:val="single" w:sz="4" w:space="0" w:color="auto"/>
              <w:bottom w:val="single" w:sz="4" w:space="0" w:color="auto"/>
              <w:right w:val="single" w:sz="4" w:space="0" w:color="auto"/>
            </w:tcBorders>
            <w:shd w:val="clear" w:color="auto" w:fill="auto"/>
            <w:vAlign w:val="center"/>
            <w:hideMark/>
          </w:tcPr>
          <w:p w14:paraId="53258EE4" w14:textId="3C163667" w:rsidR="00330241" w:rsidRPr="00CA53C8" w:rsidRDefault="00330241" w:rsidP="00422161">
            <w:pPr>
              <w:rPr>
                <w:rFonts w:cs="Arial"/>
                <w:color w:val="000000"/>
                <w:sz w:val="18"/>
                <w:szCs w:val="18"/>
                <w:lang w:val="en-US" w:eastAsia="en-US"/>
              </w:rPr>
            </w:pPr>
            <w:r>
              <w:rPr>
                <w:rFonts w:cs="Arial"/>
                <w:color w:val="000000"/>
                <w:sz w:val="18"/>
                <w:szCs w:val="18"/>
              </w:rPr>
              <w:t>Estimated number of Australian adults eligible for implantation</w:t>
            </w:r>
          </w:p>
        </w:tc>
        <w:tc>
          <w:tcPr>
            <w:tcW w:w="1020" w:type="dxa"/>
            <w:tcBorders>
              <w:top w:val="nil"/>
              <w:left w:val="nil"/>
              <w:bottom w:val="single" w:sz="4" w:space="0" w:color="auto"/>
              <w:right w:val="single" w:sz="4" w:space="0" w:color="auto"/>
            </w:tcBorders>
            <w:shd w:val="clear" w:color="auto" w:fill="auto"/>
            <w:vAlign w:val="center"/>
            <w:hideMark/>
          </w:tcPr>
          <w:p w14:paraId="62E7933F" w14:textId="062B0D83" w:rsidR="00330241" w:rsidRPr="00CA53C8" w:rsidRDefault="00330241" w:rsidP="00422161">
            <w:pPr>
              <w:jc w:val="center"/>
              <w:rPr>
                <w:rFonts w:cs="Arial"/>
                <w:color w:val="000000"/>
                <w:sz w:val="18"/>
                <w:szCs w:val="18"/>
                <w:lang w:val="en-US" w:eastAsia="en-US"/>
              </w:rPr>
            </w:pPr>
            <w:r>
              <w:rPr>
                <w:rFonts w:cs="Arial"/>
                <w:color w:val="000000"/>
                <w:sz w:val="18"/>
                <w:szCs w:val="18"/>
              </w:rPr>
              <w:t>F x G</w:t>
            </w:r>
          </w:p>
        </w:tc>
        <w:tc>
          <w:tcPr>
            <w:tcW w:w="1160" w:type="dxa"/>
            <w:tcBorders>
              <w:top w:val="nil"/>
              <w:left w:val="nil"/>
              <w:bottom w:val="single" w:sz="4" w:space="0" w:color="auto"/>
              <w:right w:val="single" w:sz="4" w:space="0" w:color="auto"/>
            </w:tcBorders>
            <w:shd w:val="clear" w:color="auto" w:fill="auto"/>
            <w:vAlign w:val="center"/>
            <w:hideMark/>
          </w:tcPr>
          <w:p w14:paraId="6908D098" w14:textId="1656ADE7" w:rsidR="00330241" w:rsidRPr="00CA53C8" w:rsidRDefault="00330241" w:rsidP="00422161">
            <w:pPr>
              <w:jc w:val="center"/>
              <w:rPr>
                <w:rFonts w:cs="Arial"/>
                <w:color w:val="000000"/>
                <w:sz w:val="18"/>
                <w:szCs w:val="18"/>
                <w:lang w:val="en-US" w:eastAsia="en-US"/>
              </w:rPr>
            </w:pPr>
            <w:r>
              <w:rPr>
                <w:rFonts w:cs="Arial"/>
                <w:color w:val="000000"/>
                <w:sz w:val="18"/>
                <w:szCs w:val="18"/>
              </w:rPr>
              <w:t>956</w:t>
            </w:r>
          </w:p>
        </w:tc>
        <w:tc>
          <w:tcPr>
            <w:tcW w:w="1066" w:type="dxa"/>
            <w:tcBorders>
              <w:top w:val="nil"/>
              <w:left w:val="nil"/>
              <w:bottom w:val="single" w:sz="4" w:space="0" w:color="auto"/>
              <w:right w:val="single" w:sz="4" w:space="0" w:color="auto"/>
            </w:tcBorders>
            <w:shd w:val="clear" w:color="auto" w:fill="auto"/>
            <w:vAlign w:val="center"/>
            <w:hideMark/>
          </w:tcPr>
          <w:p w14:paraId="123748F7" w14:textId="1C5E3343" w:rsidR="00330241" w:rsidRPr="00CA53C8" w:rsidRDefault="00330241" w:rsidP="00422161">
            <w:pPr>
              <w:jc w:val="center"/>
              <w:rPr>
                <w:rFonts w:cs="Arial"/>
                <w:color w:val="000000"/>
                <w:sz w:val="18"/>
                <w:szCs w:val="18"/>
                <w:lang w:val="en-US" w:eastAsia="en-US"/>
              </w:rPr>
            </w:pPr>
            <w:r>
              <w:rPr>
                <w:rFonts w:cs="Arial"/>
                <w:color w:val="000000"/>
                <w:sz w:val="18"/>
                <w:szCs w:val="18"/>
              </w:rPr>
              <w:t>973</w:t>
            </w:r>
          </w:p>
        </w:tc>
        <w:tc>
          <w:tcPr>
            <w:tcW w:w="1017" w:type="dxa"/>
            <w:tcBorders>
              <w:top w:val="nil"/>
              <w:left w:val="nil"/>
              <w:bottom w:val="single" w:sz="4" w:space="0" w:color="auto"/>
              <w:right w:val="single" w:sz="4" w:space="0" w:color="auto"/>
            </w:tcBorders>
            <w:shd w:val="clear" w:color="auto" w:fill="auto"/>
            <w:vAlign w:val="center"/>
            <w:hideMark/>
          </w:tcPr>
          <w:p w14:paraId="6DF6D4DD" w14:textId="33757C71" w:rsidR="00330241" w:rsidRPr="00CA53C8" w:rsidRDefault="00330241" w:rsidP="00422161">
            <w:pPr>
              <w:jc w:val="center"/>
              <w:rPr>
                <w:rFonts w:cs="Arial"/>
                <w:color w:val="000000"/>
                <w:sz w:val="18"/>
                <w:szCs w:val="18"/>
                <w:lang w:val="en-US" w:eastAsia="en-US"/>
              </w:rPr>
            </w:pPr>
            <w:r>
              <w:rPr>
                <w:rFonts w:cs="Arial"/>
                <w:color w:val="000000"/>
                <w:sz w:val="18"/>
                <w:szCs w:val="18"/>
              </w:rPr>
              <w:t>989</w:t>
            </w:r>
          </w:p>
        </w:tc>
        <w:tc>
          <w:tcPr>
            <w:tcW w:w="1159" w:type="dxa"/>
            <w:tcBorders>
              <w:top w:val="nil"/>
              <w:left w:val="nil"/>
              <w:bottom w:val="single" w:sz="4" w:space="0" w:color="auto"/>
              <w:right w:val="single" w:sz="4" w:space="0" w:color="auto"/>
            </w:tcBorders>
            <w:shd w:val="clear" w:color="auto" w:fill="auto"/>
            <w:vAlign w:val="center"/>
            <w:hideMark/>
          </w:tcPr>
          <w:p w14:paraId="315117C6" w14:textId="0533A644" w:rsidR="00330241" w:rsidRPr="00CA53C8" w:rsidRDefault="00330241" w:rsidP="00422161">
            <w:pPr>
              <w:jc w:val="center"/>
              <w:rPr>
                <w:rFonts w:cs="Arial"/>
                <w:color w:val="000000"/>
                <w:sz w:val="18"/>
                <w:szCs w:val="18"/>
                <w:lang w:val="en-US" w:eastAsia="en-US"/>
              </w:rPr>
            </w:pPr>
            <w:r>
              <w:rPr>
                <w:rFonts w:cs="Arial"/>
                <w:color w:val="000000"/>
                <w:sz w:val="18"/>
                <w:szCs w:val="18"/>
              </w:rPr>
              <w:t>1006</w:t>
            </w:r>
          </w:p>
        </w:tc>
        <w:tc>
          <w:tcPr>
            <w:tcW w:w="1017" w:type="dxa"/>
            <w:tcBorders>
              <w:top w:val="nil"/>
              <w:left w:val="nil"/>
              <w:bottom w:val="single" w:sz="4" w:space="0" w:color="auto"/>
              <w:right w:val="single" w:sz="4" w:space="0" w:color="auto"/>
            </w:tcBorders>
            <w:shd w:val="clear" w:color="auto" w:fill="auto"/>
            <w:vAlign w:val="center"/>
            <w:hideMark/>
          </w:tcPr>
          <w:p w14:paraId="0F09D994" w14:textId="6B6308D8" w:rsidR="00330241" w:rsidRPr="00CA53C8" w:rsidRDefault="00330241" w:rsidP="00422161">
            <w:pPr>
              <w:jc w:val="center"/>
              <w:rPr>
                <w:rFonts w:cs="Arial"/>
                <w:color w:val="000000"/>
                <w:sz w:val="18"/>
                <w:szCs w:val="18"/>
                <w:lang w:val="en-US" w:eastAsia="en-US"/>
              </w:rPr>
            </w:pPr>
            <w:r>
              <w:rPr>
                <w:rFonts w:cs="Arial"/>
                <w:color w:val="000000"/>
                <w:sz w:val="18"/>
                <w:szCs w:val="18"/>
              </w:rPr>
              <w:t>1022</w:t>
            </w:r>
          </w:p>
        </w:tc>
        <w:tc>
          <w:tcPr>
            <w:tcW w:w="1017" w:type="dxa"/>
            <w:tcBorders>
              <w:top w:val="nil"/>
              <w:left w:val="nil"/>
              <w:bottom w:val="single" w:sz="4" w:space="0" w:color="auto"/>
              <w:right w:val="single" w:sz="8" w:space="0" w:color="auto"/>
            </w:tcBorders>
            <w:shd w:val="clear" w:color="auto" w:fill="auto"/>
            <w:vAlign w:val="center"/>
            <w:hideMark/>
          </w:tcPr>
          <w:p w14:paraId="07ECC3A8" w14:textId="19032B7B" w:rsidR="00330241" w:rsidRPr="00CA53C8" w:rsidRDefault="00330241" w:rsidP="00422161">
            <w:pPr>
              <w:jc w:val="center"/>
              <w:rPr>
                <w:rFonts w:cs="Arial"/>
                <w:color w:val="000000"/>
                <w:sz w:val="18"/>
                <w:szCs w:val="18"/>
                <w:lang w:val="en-US" w:eastAsia="en-US"/>
              </w:rPr>
            </w:pPr>
            <w:r>
              <w:rPr>
                <w:rFonts w:cs="Arial"/>
                <w:color w:val="000000"/>
                <w:sz w:val="18"/>
                <w:szCs w:val="18"/>
              </w:rPr>
              <w:t>1039</w:t>
            </w:r>
          </w:p>
        </w:tc>
      </w:tr>
      <w:tr w:rsidR="00330241" w:rsidRPr="00CA53C8" w14:paraId="2BB48A42" w14:textId="77777777" w:rsidTr="00BF0EEF">
        <w:trPr>
          <w:trHeight w:val="660"/>
          <w:jc w:val="center"/>
        </w:trPr>
        <w:tc>
          <w:tcPr>
            <w:tcW w:w="3135" w:type="dxa"/>
            <w:tcBorders>
              <w:top w:val="nil"/>
              <w:left w:val="single" w:sz="4" w:space="0" w:color="auto"/>
              <w:bottom w:val="single" w:sz="4" w:space="0" w:color="auto"/>
              <w:right w:val="single" w:sz="4" w:space="0" w:color="auto"/>
            </w:tcBorders>
            <w:shd w:val="clear" w:color="auto" w:fill="auto"/>
            <w:vAlign w:val="center"/>
            <w:hideMark/>
          </w:tcPr>
          <w:p w14:paraId="1AB973FC" w14:textId="24482C75" w:rsidR="00330241" w:rsidRPr="00CA53C8" w:rsidRDefault="00330241" w:rsidP="00422161">
            <w:pPr>
              <w:rPr>
                <w:rFonts w:cs="Arial"/>
                <w:color w:val="000000"/>
                <w:sz w:val="18"/>
                <w:szCs w:val="18"/>
                <w:lang w:val="en-US" w:eastAsia="en-US"/>
              </w:rPr>
            </w:pPr>
            <w:r>
              <w:rPr>
                <w:rFonts w:cs="Arial"/>
                <w:color w:val="000000"/>
                <w:sz w:val="18"/>
                <w:szCs w:val="18"/>
              </w:rPr>
              <w:t>Minimum number of services per year</w:t>
            </w:r>
          </w:p>
        </w:tc>
        <w:tc>
          <w:tcPr>
            <w:tcW w:w="1020" w:type="dxa"/>
            <w:tcBorders>
              <w:top w:val="nil"/>
              <w:left w:val="nil"/>
              <w:bottom w:val="single" w:sz="4" w:space="0" w:color="auto"/>
              <w:right w:val="single" w:sz="4" w:space="0" w:color="auto"/>
            </w:tcBorders>
            <w:shd w:val="clear" w:color="auto" w:fill="auto"/>
            <w:noWrap/>
            <w:vAlign w:val="center"/>
            <w:hideMark/>
          </w:tcPr>
          <w:p w14:paraId="57A34F1B" w14:textId="0B8C448E" w:rsidR="00330241" w:rsidRPr="00CA53C8" w:rsidRDefault="00330241" w:rsidP="00422161">
            <w:pPr>
              <w:jc w:val="center"/>
              <w:rPr>
                <w:rFonts w:cs="Arial"/>
                <w:color w:val="000000"/>
                <w:sz w:val="18"/>
                <w:szCs w:val="18"/>
                <w:lang w:val="en-US" w:eastAsia="en-US"/>
              </w:rPr>
            </w:pPr>
            <w:r>
              <w:rPr>
                <w:rFonts w:cs="Arial"/>
                <w:color w:val="000000"/>
                <w:sz w:val="18"/>
                <w:szCs w:val="18"/>
              </w:rPr>
              <w:t>H / 15</w:t>
            </w:r>
          </w:p>
        </w:tc>
        <w:tc>
          <w:tcPr>
            <w:tcW w:w="1160" w:type="dxa"/>
            <w:tcBorders>
              <w:top w:val="nil"/>
              <w:left w:val="nil"/>
              <w:bottom w:val="single" w:sz="4" w:space="0" w:color="auto"/>
              <w:right w:val="single" w:sz="4" w:space="0" w:color="auto"/>
            </w:tcBorders>
            <w:shd w:val="clear" w:color="auto" w:fill="auto"/>
            <w:noWrap/>
            <w:vAlign w:val="center"/>
            <w:hideMark/>
          </w:tcPr>
          <w:p w14:paraId="2F1EA05E" w14:textId="605D23AF" w:rsidR="00330241" w:rsidRPr="00CA53C8" w:rsidRDefault="00330241" w:rsidP="00422161">
            <w:pPr>
              <w:jc w:val="center"/>
              <w:rPr>
                <w:rFonts w:cs="Arial"/>
                <w:color w:val="000000"/>
                <w:sz w:val="18"/>
                <w:szCs w:val="18"/>
                <w:lang w:val="en-US" w:eastAsia="en-US"/>
              </w:rPr>
            </w:pPr>
            <w:r>
              <w:rPr>
                <w:rFonts w:cs="Arial"/>
                <w:color w:val="000000"/>
                <w:sz w:val="18"/>
                <w:szCs w:val="18"/>
              </w:rPr>
              <w:t>64</w:t>
            </w:r>
          </w:p>
        </w:tc>
        <w:tc>
          <w:tcPr>
            <w:tcW w:w="1066" w:type="dxa"/>
            <w:tcBorders>
              <w:top w:val="nil"/>
              <w:left w:val="nil"/>
              <w:bottom w:val="single" w:sz="4" w:space="0" w:color="auto"/>
              <w:right w:val="single" w:sz="4" w:space="0" w:color="auto"/>
            </w:tcBorders>
            <w:shd w:val="clear" w:color="auto" w:fill="auto"/>
            <w:noWrap/>
            <w:vAlign w:val="center"/>
            <w:hideMark/>
          </w:tcPr>
          <w:p w14:paraId="44FAFCA8" w14:textId="527923BE" w:rsidR="00330241" w:rsidRPr="00CA53C8" w:rsidRDefault="00330241" w:rsidP="00422161">
            <w:pPr>
              <w:jc w:val="center"/>
              <w:rPr>
                <w:rFonts w:cs="Arial"/>
                <w:color w:val="000000"/>
                <w:sz w:val="18"/>
                <w:szCs w:val="18"/>
                <w:lang w:val="en-US" w:eastAsia="en-US"/>
              </w:rPr>
            </w:pPr>
            <w:r>
              <w:rPr>
                <w:rFonts w:cs="Arial"/>
                <w:color w:val="000000"/>
                <w:sz w:val="18"/>
                <w:szCs w:val="18"/>
              </w:rPr>
              <w:t>65</w:t>
            </w:r>
          </w:p>
        </w:tc>
        <w:tc>
          <w:tcPr>
            <w:tcW w:w="1017" w:type="dxa"/>
            <w:tcBorders>
              <w:top w:val="nil"/>
              <w:left w:val="nil"/>
              <w:bottom w:val="single" w:sz="4" w:space="0" w:color="auto"/>
              <w:right w:val="single" w:sz="4" w:space="0" w:color="auto"/>
            </w:tcBorders>
            <w:shd w:val="clear" w:color="auto" w:fill="auto"/>
            <w:noWrap/>
            <w:vAlign w:val="center"/>
            <w:hideMark/>
          </w:tcPr>
          <w:p w14:paraId="6BBB8FF2" w14:textId="68DA2EBF" w:rsidR="00330241" w:rsidRPr="00CA53C8" w:rsidRDefault="00330241" w:rsidP="00422161">
            <w:pPr>
              <w:jc w:val="center"/>
              <w:rPr>
                <w:rFonts w:cs="Arial"/>
                <w:color w:val="000000"/>
                <w:sz w:val="18"/>
                <w:szCs w:val="18"/>
                <w:lang w:val="en-US" w:eastAsia="en-US"/>
              </w:rPr>
            </w:pPr>
            <w:r>
              <w:rPr>
                <w:rFonts w:cs="Arial"/>
                <w:color w:val="000000"/>
                <w:sz w:val="18"/>
                <w:szCs w:val="18"/>
              </w:rPr>
              <w:t>66</w:t>
            </w:r>
          </w:p>
        </w:tc>
        <w:tc>
          <w:tcPr>
            <w:tcW w:w="1159" w:type="dxa"/>
            <w:tcBorders>
              <w:top w:val="nil"/>
              <w:left w:val="nil"/>
              <w:bottom w:val="single" w:sz="4" w:space="0" w:color="auto"/>
              <w:right w:val="single" w:sz="4" w:space="0" w:color="auto"/>
            </w:tcBorders>
            <w:shd w:val="clear" w:color="auto" w:fill="auto"/>
            <w:noWrap/>
            <w:vAlign w:val="center"/>
            <w:hideMark/>
          </w:tcPr>
          <w:p w14:paraId="158E2BBB" w14:textId="5F291EA6" w:rsidR="00330241" w:rsidRPr="00CA53C8" w:rsidRDefault="00330241" w:rsidP="00422161">
            <w:pPr>
              <w:jc w:val="center"/>
              <w:rPr>
                <w:rFonts w:cs="Arial"/>
                <w:color w:val="000000"/>
                <w:sz w:val="18"/>
                <w:szCs w:val="18"/>
                <w:lang w:val="en-US" w:eastAsia="en-US"/>
              </w:rPr>
            </w:pPr>
            <w:r>
              <w:rPr>
                <w:rFonts w:cs="Arial"/>
                <w:color w:val="000000"/>
                <w:sz w:val="18"/>
                <w:szCs w:val="18"/>
              </w:rPr>
              <w:t>67</w:t>
            </w:r>
          </w:p>
        </w:tc>
        <w:tc>
          <w:tcPr>
            <w:tcW w:w="1017" w:type="dxa"/>
            <w:tcBorders>
              <w:top w:val="nil"/>
              <w:left w:val="nil"/>
              <w:bottom w:val="single" w:sz="4" w:space="0" w:color="auto"/>
              <w:right w:val="single" w:sz="4" w:space="0" w:color="auto"/>
            </w:tcBorders>
            <w:shd w:val="clear" w:color="auto" w:fill="auto"/>
            <w:noWrap/>
            <w:vAlign w:val="center"/>
            <w:hideMark/>
          </w:tcPr>
          <w:p w14:paraId="0A305F4E" w14:textId="071EEE1E" w:rsidR="00330241" w:rsidRPr="00CA53C8" w:rsidRDefault="00330241" w:rsidP="00422161">
            <w:pPr>
              <w:jc w:val="center"/>
              <w:rPr>
                <w:rFonts w:cs="Arial"/>
                <w:color w:val="000000"/>
                <w:sz w:val="18"/>
                <w:szCs w:val="18"/>
                <w:lang w:val="en-US" w:eastAsia="en-US"/>
              </w:rPr>
            </w:pPr>
            <w:r>
              <w:rPr>
                <w:rFonts w:cs="Arial"/>
                <w:color w:val="000000"/>
                <w:sz w:val="18"/>
                <w:szCs w:val="18"/>
              </w:rPr>
              <w:t>68</w:t>
            </w:r>
          </w:p>
        </w:tc>
        <w:tc>
          <w:tcPr>
            <w:tcW w:w="1017" w:type="dxa"/>
            <w:tcBorders>
              <w:top w:val="nil"/>
              <w:left w:val="nil"/>
              <w:bottom w:val="single" w:sz="4" w:space="0" w:color="auto"/>
              <w:right w:val="single" w:sz="8" w:space="0" w:color="auto"/>
            </w:tcBorders>
            <w:shd w:val="clear" w:color="auto" w:fill="auto"/>
            <w:noWrap/>
            <w:vAlign w:val="center"/>
            <w:hideMark/>
          </w:tcPr>
          <w:p w14:paraId="7CC4F9EA" w14:textId="7A0D9BD7" w:rsidR="00330241" w:rsidRPr="00CA53C8" w:rsidRDefault="00330241" w:rsidP="00422161">
            <w:pPr>
              <w:jc w:val="center"/>
              <w:rPr>
                <w:rFonts w:cs="Arial"/>
                <w:color w:val="000000"/>
                <w:sz w:val="18"/>
                <w:szCs w:val="18"/>
                <w:lang w:val="en-US" w:eastAsia="en-US"/>
              </w:rPr>
            </w:pPr>
            <w:r>
              <w:rPr>
                <w:rFonts w:cs="Arial"/>
                <w:color w:val="000000"/>
                <w:sz w:val="18"/>
                <w:szCs w:val="18"/>
              </w:rPr>
              <w:t>69</w:t>
            </w:r>
          </w:p>
        </w:tc>
      </w:tr>
      <w:tr w:rsidR="00330241" w:rsidRPr="00CA53C8" w14:paraId="491BE389" w14:textId="77777777" w:rsidTr="00BF0EEF">
        <w:trPr>
          <w:trHeight w:val="615"/>
          <w:jc w:val="center"/>
        </w:trPr>
        <w:tc>
          <w:tcPr>
            <w:tcW w:w="3135" w:type="dxa"/>
            <w:tcBorders>
              <w:top w:val="nil"/>
              <w:left w:val="single" w:sz="4" w:space="0" w:color="auto"/>
              <w:bottom w:val="single" w:sz="4" w:space="0" w:color="auto"/>
              <w:right w:val="single" w:sz="4" w:space="0" w:color="auto"/>
            </w:tcBorders>
            <w:shd w:val="clear" w:color="auto" w:fill="auto"/>
            <w:vAlign w:val="center"/>
            <w:hideMark/>
          </w:tcPr>
          <w:p w14:paraId="4828D061" w14:textId="35DCB47B" w:rsidR="00330241" w:rsidRPr="00CA53C8" w:rsidRDefault="00330241" w:rsidP="00422161">
            <w:pPr>
              <w:rPr>
                <w:rFonts w:cs="Arial"/>
                <w:color w:val="000000"/>
                <w:sz w:val="18"/>
                <w:szCs w:val="18"/>
                <w:lang w:val="en-US" w:eastAsia="en-US"/>
              </w:rPr>
            </w:pPr>
            <w:r>
              <w:rPr>
                <w:rFonts w:cs="Arial"/>
                <w:color w:val="000000"/>
                <w:sz w:val="18"/>
                <w:szCs w:val="18"/>
              </w:rPr>
              <w:t>Maximum number of services per year</w:t>
            </w:r>
          </w:p>
        </w:tc>
        <w:tc>
          <w:tcPr>
            <w:tcW w:w="1020" w:type="dxa"/>
            <w:tcBorders>
              <w:top w:val="nil"/>
              <w:left w:val="nil"/>
              <w:bottom w:val="single" w:sz="4" w:space="0" w:color="auto"/>
              <w:right w:val="single" w:sz="4" w:space="0" w:color="auto"/>
            </w:tcBorders>
            <w:shd w:val="clear" w:color="auto" w:fill="auto"/>
            <w:noWrap/>
            <w:vAlign w:val="center"/>
            <w:hideMark/>
          </w:tcPr>
          <w:p w14:paraId="60CF013D" w14:textId="21896049" w:rsidR="00330241" w:rsidRPr="00CA53C8" w:rsidRDefault="00330241" w:rsidP="00422161">
            <w:pPr>
              <w:jc w:val="center"/>
              <w:rPr>
                <w:rFonts w:cs="Arial"/>
                <w:color w:val="000000"/>
                <w:sz w:val="18"/>
                <w:szCs w:val="18"/>
                <w:lang w:val="en-US" w:eastAsia="en-US"/>
              </w:rPr>
            </w:pPr>
            <w:r>
              <w:rPr>
                <w:rFonts w:cs="Arial"/>
                <w:color w:val="000000"/>
                <w:sz w:val="18"/>
                <w:szCs w:val="18"/>
              </w:rPr>
              <w:t>H / 10</w:t>
            </w:r>
          </w:p>
        </w:tc>
        <w:tc>
          <w:tcPr>
            <w:tcW w:w="1160" w:type="dxa"/>
            <w:tcBorders>
              <w:top w:val="nil"/>
              <w:left w:val="nil"/>
              <w:bottom w:val="single" w:sz="4" w:space="0" w:color="auto"/>
              <w:right w:val="single" w:sz="4" w:space="0" w:color="auto"/>
            </w:tcBorders>
            <w:shd w:val="clear" w:color="auto" w:fill="auto"/>
            <w:noWrap/>
            <w:vAlign w:val="center"/>
            <w:hideMark/>
          </w:tcPr>
          <w:p w14:paraId="006F5F80" w14:textId="57444D76" w:rsidR="00330241" w:rsidRPr="00CA53C8" w:rsidRDefault="00330241" w:rsidP="00422161">
            <w:pPr>
              <w:jc w:val="center"/>
              <w:rPr>
                <w:rFonts w:cs="Arial"/>
                <w:color w:val="000000"/>
                <w:sz w:val="18"/>
                <w:szCs w:val="18"/>
                <w:lang w:val="en-US" w:eastAsia="en-US"/>
              </w:rPr>
            </w:pPr>
            <w:r>
              <w:rPr>
                <w:rFonts w:cs="Arial"/>
                <w:color w:val="000000"/>
                <w:sz w:val="18"/>
                <w:szCs w:val="18"/>
              </w:rPr>
              <w:t>96</w:t>
            </w:r>
          </w:p>
        </w:tc>
        <w:tc>
          <w:tcPr>
            <w:tcW w:w="1066" w:type="dxa"/>
            <w:tcBorders>
              <w:top w:val="nil"/>
              <w:left w:val="nil"/>
              <w:bottom w:val="single" w:sz="4" w:space="0" w:color="auto"/>
              <w:right w:val="single" w:sz="4" w:space="0" w:color="auto"/>
            </w:tcBorders>
            <w:shd w:val="clear" w:color="auto" w:fill="auto"/>
            <w:noWrap/>
            <w:vAlign w:val="center"/>
            <w:hideMark/>
          </w:tcPr>
          <w:p w14:paraId="4BAF58E9" w14:textId="62DA4390" w:rsidR="00330241" w:rsidRPr="00CA53C8" w:rsidRDefault="00330241" w:rsidP="00422161">
            <w:pPr>
              <w:jc w:val="center"/>
              <w:rPr>
                <w:rFonts w:cs="Arial"/>
                <w:color w:val="000000"/>
                <w:sz w:val="18"/>
                <w:szCs w:val="18"/>
                <w:lang w:val="en-US" w:eastAsia="en-US"/>
              </w:rPr>
            </w:pPr>
            <w:r>
              <w:rPr>
                <w:rFonts w:cs="Arial"/>
                <w:color w:val="000000"/>
                <w:sz w:val="18"/>
                <w:szCs w:val="18"/>
              </w:rPr>
              <w:t>97</w:t>
            </w:r>
          </w:p>
        </w:tc>
        <w:tc>
          <w:tcPr>
            <w:tcW w:w="1017" w:type="dxa"/>
            <w:tcBorders>
              <w:top w:val="nil"/>
              <w:left w:val="nil"/>
              <w:bottom w:val="single" w:sz="4" w:space="0" w:color="auto"/>
              <w:right w:val="single" w:sz="4" w:space="0" w:color="auto"/>
            </w:tcBorders>
            <w:shd w:val="clear" w:color="auto" w:fill="auto"/>
            <w:noWrap/>
            <w:vAlign w:val="center"/>
            <w:hideMark/>
          </w:tcPr>
          <w:p w14:paraId="20F2D151" w14:textId="508A7D2B" w:rsidR="00330241" w:rsidRPr="00CA53C8" w:rsidRDefault="00330241" w:rsidP="00422161">
            <w:pPr>
              <w:jc w:val="center"/>
              <w:rPr>
                <w:rFonts w:cs="Arial"/>
                <w:color w:val="000000"/>
                <w:sz w:val="18"/>
                <w:szCs w:val="18"/>
                <w:lang w:val="en-US" w:eastAsia="en-US"/>
              </w:rPr>
            </w:pPr>
            <w:r>
              <w:rPr>
                <w:rFonts w:cs="Arial"/>
                <w:color w:val="000000"/>
                <w:sz w:val="18"/>
                <w:szCs w:val="18"/>
              </w:rPr>
              <w:t>99</w:t>
            </w:r>
          </w:p>
        </w:tc>
        <w:tc>
          <w:tcPr>
            <w:tcW w:w="1159" w:type="dxa"/>
            <w:tcBorders>
              <w:top w:val="nil"/>
              <w:left w:val="nil"/>
              <w:bottom w:val="single" w:sz="4" w:space="0" w:color="auto"/>
              <w:right w:val="single" w:sz="4" w:space="0" w:color="auto"/>
            </w:tcBorders>
            <w:shd w:val="clear" w:color="auto" w:fill="auto"/>
            <w:noWrap/>
            <w:vAlign w:val="center"/>
            <w:hideMark/>
          </w:tcPr>
          <w:p w14:paraId="1E54DA3C" w14:textId="0BD4E9B7" w:rsidR="00330241" w:rsidRPr="00CA53C8" w:rsidRDefault="00330241" w:rsidP="00422161">
            <w:pPr>
              <w:jc w:val="center"/>
              <w:rPr>
                <w:rFonts w:cs="Arial"/>
                <w:color w:val="000000"/>
                <w:sz w:val="18"/>
                <w:szCs w:val="18"/>
                <w:lang w:val="en-US" w:eastAsia="en-US"/>
              </w:rPr>
            </w:pPr>
            <w:r>
              <w:rPr>
                <w:rFonts w:cs="Arial"/>
                <w:color w:val="000000"/>
                <w:sz w:val="18"/>
                <w:szCs w:val="18"/>
              </w:rPr>
              <w:t>101</w:t>
            </w:r>
          </w:p>
        </w:tc>
        <w:tc>
          <w:tcPr>
            <w:tcW w:w="1017" w:type="dxa"/>
            <w:tcBorders>
              <w:top w:val="nil"/>
              <w:left w:val="nil"/>
              <w:bottom w:val="single" w:sz="4" w:space="0" w:color="auto"/>
              <w:right w:val="single" w:sz="4" w:space="0" w:color="auto"/>
            </w:tcBorders>
            <w:shd w:val="clear" w:color="auto" w:fill="auto"/>
            <w:noWrap/>
            <w:vAlign w:val="center"/>
            <w:hideMark/>
          </w:tcPr>
          <w:p w14:paraId="3844E00D" w14:textId="403269CB" w:rsidR="00330241" w:rsidRPr="00CA53C8" w:rsidRDefault="00330241" w:rsidP="00422161">
            <w:pPr>
              <w:jc w:val="center"/>
              <w:rPr>
                <w:rFonts w:cs="Arial"/>
                <w:color w:val="000000"/>
                <w:sz w:val="18"/>
                <w:szCs w:val="18"/>
                <w:lang w:val="en-US" w:eastAsia="en-US"/>
              </w:rPr>
            </w:pPr>
            <w:r>
              <w:rPr>
                <w:rFonts w:cs="Arial"/>
                <w:color w:val="000000"/>
                <w:sz w:val="18"/>
                <w:szCs w:val="18"/>
              </w:rPr>
              <w:t>102</w:t>
            </w:r>
          </w:p>
        </w:tc>
        <w:tc>
          <w:tcPr>
            <w:tcW w:w="1017" w:type="dxa"/>
            <w:tcBorders>
              <w:top w:val="nil"/>
              <w:left w:val="nil"/>
              <w:bottom w:val="single" w:sz="4" w:space="0" w:color="auto"/>
              <w:right w:val="single" w:sz="8" w:space="0" w:color="auto"/>
            </w:tcBorders>
            <w:shd w:val="clear" w:color="auto" w:fill="auto"/>
            <w:noWrap/>
            <w:vAlign w:val="center"/>
            <w:hideMark/>
          </w:tcPr>
          <w:p w14:paraId="45542BAA" w14:textId="5DF350FE" w:rsidR="00330241" w:rsidRPr="00CA53C8" w:rsidRDefault="00330241" w:rsidP="00422161">
            <w:pPr>
              <w:jc w:val="center"/>
              <w:rPr>
                <w:rFonts w:cs="Arial"/>
                <w:color w:val="000000"/>
                <w:sz w:val="18"/>
                <w:szCs w:val="18"/>
                <w:lang w:val="en-US" w:eastAsia="en-US"/>
              </w:rPr>
            </w:pPr>
            <w:r>
              <w:rPr>
                <w:rFonts w:cs="Arial"/>
                <w:color w:val="000000"/>
                <w:sz w:val="18"/>
                <w:szCs w:val="18"/>
              </w:rPr>
              <w:t>104</w:t>
            </w:r>
          </w:p>
        </w:tc>
      </w:tr>
      <w:tr w:rsidR="00330241" w:rsidRPr="00CA53C8" w14:paraId="418E15D3" w14:textId="77777777" w:rsidTr="00BF0EEF">
        <w:trPr>
          <w:trHeight w:val="720"/>
          <w:jc w:val="center"/>
        </w:trPr>
        <w:tc>
          <w:tcPr>
            <w:tcW w:w="3135" w:type="dxa"/>
            <w:tcBorders>
              <w:top w:val="nil"/>
              <w:left w:val="single" w:sz="4" w:space="0" w:color="auto"/>
              <w:bottom w:val="single" w:sz="8" w:space="0" w:color="auto"/>
              <w:right w:val="single" w:sz="4" w:space="0" w:color="auto"/>
            </w:tcBorders>
            <w:shd w:val="clear" w:color="auto" w:fill="auto"/>
            <w:vAlign w:val="center"/>
            <w:hideMark/>
          </w:tcPr>
          <w:p w14:paraId="4DF4E33F" w14:textId="215D5C99" w:rsidR="00330241" w:rsidRPr="00CA53C8" w:rsidRDefault="00330241" w:rsidP="00422161">
            <w:pPr>
              <w:rPr>
                <w:rFonts w:cs="Arial"/>
                <w:color w:val="000000"/>
                <w:sz w:val="18"/>
                <w:szCs w:val="18"/>
                <w:lang w:val="en-US" w:eastAsia="en-US"/>
              </w:rPr>
            </w:pPr>
            <w:r>
              <w:rPr>
                <w:rFonts w:cs="Arial"/>
                <w:color w:val="000000"/>
                <w:sz w:val="18"/>
                <w:szCs w:val="18"/>
              </w:rPr>
              <w:t>Mean number of services per year</w:t>
            </w:r>
          </w:p>
        </w:tc>
        <w:tc>
          <w:tcPr>
            <w:tcW w:w="1020" w:type="dxa"/>
            <w:tcBorders>
              <w:top w:val="nil"/>
              <w:left w:val="nil"/>
              <w:bottom w:val="single" w:sz="8" w:space="0" w:color="auto"/>
              <w:right w:val="single" w:sz="4" w:space="0" w:color="auto"/>
            </w:tcBorders>
            <w:shd w:val="clear" w:color="auto" w:fill="auto"/>
            <w:vAlign w:val="center"/>
            <w:hideMark/>
          </w:tcPr>
          <w:p w14:paraId="46BED7FB" w14:textId="05E8D590" w:rsidR="00330241" w:rsidRPr="00CA53C8" w:rsidRDefault="00330241" w:rsidP="00422161">
            <w:pPr>
              <w:jc w:val="center"/>
              <w:rPr>
                <w:rFonts w:cs="Arial"/>
                <w:color w:val="000000"/>
                <w:sz w:val="18"/>
                <w:szCs w:val="18"/>
                <w:lang w:val="en-US" w:eastAsia="en-US"/>
              </w:rPr>
            </w:pPr>
            <w:r>
              <w:rPr>
                <w:rFonts w:cs="Arial"/>
                <w:color w:val="000000"/>
                <w:sz w:val="18"/>
                <w:szCs w:val="18"/>
              </w:rPr>
              <w:t>Average of I &amp; J</w:t>
            </w:r>
          </w:p>
        </w:tc>
        <w:tc>
          <w:tcPr>
            <w:tcW w:w="1160" w:type="dxa"/>
            <w:tcBorders>
              <w:top w:val="nil"/>
              <w:left w:val="nil"/>
              <w:bottom w:val="single" w:sz="8" w:space="0" w:color="auto"/>
              <w:right w:val="single" w:sz="4" w:space="0" w:color="auto"/>
            </w:tcBorders>
            <w:shd w:val="clear" w:color="auto" w:fill="auto"/>
            <w:vAlign w:val="center"/>
            <w:hideMark/>
          </w:tcPr>
          <w:p w14:paraId="227087D6" w14:textId="00B20523" w:rsidR="00330241" w:rsidRPr="00CA53C8" w:rsidRDefault="00330241" w:rsidP="00422161">
            <w:pPr>
              <w:jc w:val="center"/>
              <w:rPr>
                <w:rFonts w:cs="Arial"/>
                <w:b/>
                <w:bCs/>
                <w:color w:val="000000"/>
                <w:sz w:val="18"/>
                <w:szCs w:val="18"/>
                <w:lang w:val="en-US" w:eastAsia="en-US"/>
              </w:rPr>
            </w:pPr>
            <w:r>
              <w:rPr>
                <w:rFonts w:cs="Arial"/>
                <w:b/>
                <w:bCs/>
                <w:color w:val="000000"/>
                <w:sz w:val="18"/>
                <w:szCs w:val="18"/>
              </w:rPr>
              <w:t>80</w:t>
            </w:r>
          </w:p>
        </w:tc>
        <w:tc>
          <w:tcPr>
            <w:tcW w:w="1066" w:type="dxa"/>
            <w:tcBorders>
              <w:top w:val="nil"/>
              <w:left w:val="nil"/>
              <w:bottom w:val="single" w:sz="8" w:space="0" w:color="auto"/>
              <w:right w:val="single" w:sz="4" w:space="0" w:color="auto"/>
            </w:tcBorders>
            <w:shd w:val="clear" w:color="auto" w:fill="auto"/>
            <w:vAlign w:val="center"/>
            <w:hideMark/>
          </w:tcPr>
          <w:p w14:paraId="5217D370" w14:textId="4F329E04" w:rsidR="00330241" w:rsidRPr="00CA53C8" w:rsidRDefault="00330241" w:rsidP="00422161">
            <w:pPr>
              <w:jc w:val="center"/>
              <w:rPr>
                <w:rFonts w:cs="Arial"/>
                <w:b/>
                <w:bCs/>
                <w:color w:val="000000"/>
                <w:sz w:val="18"/>
                <w:szCs w:val="18"/>
                <w:lang w:val="en-US" w:eastAsia="en-US"/>
              </w:rPr>
            </w:pPr>
            <w:r>
              <w:rPr>
                <w:rFonts w:cs="Arial"/>
                <w:b/>
                <w:bCs/>
                <w:color w:val="000000"/>
                <w:sz w:val="18"/>
                <w:szCs w:val="18"/>
              </w:rPr>
              <w:t>81</w:t>
            </w:r>
          </w:p>
        </w:tc>
        <w:tc>
          <w:tcPr>
            <w:tcW w:w="1017" w:type="dxa"/>
            <w:tcBorders>
              <w:top w:val="nil"/>
              <w:left w:val="nil"/>
              <w:bottom w:val="single" w:sz="8" w:space="0" w:color="auto"/>
              <w:right w:val="single" w:sz="4" w:space="0" w:color="auto"/>
            </w:tcBorders>
            <w:shd w:val="clear" w:color="auto" w:fill="auto"/>
            <w:vAlign w:val="center"/>
            <w:hideMark/>
          </w:tcPr>
          <w:p w14:paraId="77176074" w14:textId="5EDB139F" w:rsidR="00330241" w:rsidRPr="00CA53C8" w:rsidRDefault="00330241" w:rsidP="00422161">
            <w:pPr>
              <w:jc w:val="center"/>
              <w:rPr>
                <w:rFonts w:cs="Arial"/>
                <w:b/>
                <w:bCs/>
                <w:color w:val="000000"/>
                <w:sz w:val="18"/>
                <w:szCs w:val="18"/>
                <w:lang w:val="en-US" w:eastAsia="en-US"/>
              </w:rPr>
            </w:pPr>
            <w:r>
              <w:rPr>
                <w:rFonts w:cs="Arial"/>
                <w:b/>
                <w:bCs/>
                <w:color w:val="000000"/>
                <w:sz w:val="18"/>
                <w:szCs w:val="18"/>
              </w:rPr>
              <w:t>82</w:t>
            </w:r>
          </w:p>
        </w:tc>
        <w:tc>
          <w:tcPr>
            <w:tcW w:w="1159" w:type="dxa"/>
            <w:tcBorders>
              <w:top w:val="nil"/>
              <w:left w:val="nil"/>
              <w:bottom w:val="single" w:sz="8" w:space="0" w:color="auto"/>
              <w:right w:val="single" w:sz="4" w:space="0" w:color="auto"/>
            </w:tcBorders>
            <w:shd w:val="clear" w:color="auto" w:fill="auto"/>
            <w:vAlign w:val="center"/>
            <w:hideMark/>
          </w:tcPr>
          <w:p w14:paraId="56DC2A24" w14:textId="4FC88B9D" w:rsidR="00330241" w:rsidRPr="00CA53C8" w:rsidRDefault="00330241" w:rsidP="00422161">
            <w:pPr>
              <w:jc w:val="center"/>
              <w:rPr>
                <w:rFonts w:cs="Arial"/>
                <w:b/>
                <w:bCs/>
                <w:color w:val="000000"/>
                <w:sz w:val="18"/>
                <w:szCs w:val="18"/>
                <w:lang w:val="en-US" w:eastAsia="en-US"/>
              </w:rPr>
            </w:pPr>
            <w:r>
              <w:rPr>
                <w:rFonts w:cs="Arial"/>
                <w:b/>
                <w:bCs/>
                <w:color w:val="000000"/>
                <w:sz w:val="18"/>
                <w:szCs w:val="18"/>
              </w:rPr>
              <w:t>84</w:t>
            </w:r>
          </w:p>
        </w:tc>
        <w:tc>
          <w:tcPr>
            <w:tcW w:w="1017" w:type="dxa"/>
            <w:tcBorders>
              <w:top w:val="nil"/>
              <w:left w:val="nil"/>
              <w:bottom w:val="single" w:sz="8" w:space="0" w:color="auto"/>
              <w:right w:val="single" w:sz="4" w:space="0" w:color="auto"/>
            </w:tcBorders>
            <w:shd w:val="clear" w:color="auto" w:fill="auto"/>
            <w:vAlign w:val="center"/>
            <w:hideMark/>
          </w:tcPr>
          <w:p w14:paraId="57498569" w14:textId="461B21A6" w:rsidR="00330241" w:rsidRPr="00CA53C8" w:rsidRDefault="00330241" w:rsidP="00422161">
            <w:pPr>
              <w:jc w:val="center"/>
              <w:rPr>
                <w:rFonts w:cs="Arial"/>
                <w:b/>
                <w:bCs/>
                <w:color w:val="000000"/>
                <w:sz w:val="18"/>
                <w:szCs w:val="18"/>
                <w:lang w:val="en-US" w:eastAsia="en-US"/>
              </w:rPr>
            </w:pPr>
            <w:r>
              <w:rPr>
                <w:rFonts w:cs="Arial"/>
                <w:b/>
                <w:bCs/>
                <w:color w:val="000000"/>
                <w:sz w:val="18"/>
                <w:szCs w:val="18"/>
              </w:rPr>
              <w:t>85</w:t>
            </w:r>
          </w:p>
        </w:tc>
        <w:tc>
          <w:tcPr>
            <w:tcW w:w="1017" w:type="dxa"/>
            <w:tcBorders>
              <w:top w:val="nil"/>
              <w:left w:val="nil"/>
              <w:bottom w:val="single" w:sz="8" w:space="0" w:color="auto"/>
              <w:right w:val="single" w:sz="8" w:space="0" w:color="auto"/>
            </w:tcBorders>
            <w:shd w:val="clear" w:color="auto" w:fill="auto"/>
            <w:vAlign w:val="center"/>
            <w:hideMark/>
          </w:tcPr>
          <w:p w14:paraId="3A900149" w14:textId="44FB41DF" w:rsidR="00330241" w:rsidRPr="00CA53C8" w:rsidRDefault="00330241" w:rsidP="00422161">
            <w:pPr>
              <w:jc w:val="center"/>
              <w:rPr>
                <w:rFonts w:cs="Arial"/>
                <w:b/>
                <w:bCs/>
                <w:color w:val="000000"/>
                <w:sz w:val="18"/>
                <w:szCs w:val="18"/>
                <w:lang w:val="en-US" w:eastAsia="en-US"/>
              </w:rPr>
            </w:pPr>
            <w:r>
              <w:rPr>
                <w:rFonts w:cs="Arial"/>
                <w:b/>
                <w:bCs/>
                <w:color w:val="000000"/>
                <w:sz w:val="18"/>
                <w:szCs w:val="18"/>
              </w:rPr>
              <w:t>87</w:t>
            </w:r>
          </w:p>
        </w:tc>
      </w:tr>
    </w:tbl>
    <w:p w14:paraId="02E8245C" w14:textId="77777777" w:rsidR="00330241" w:rsidRDefault="00330241" w:rsidP="00330241">
      <w:pPr>
        <w:spacing w:line="360" w:lineRule="auto"/>
        <w:jc w:val="both"/>
        <w:rPr>
          <w:rFonts w:cs="Arial"/>
          <w:highlight w:val="lightGray"/>
        </w:rPr>
      </w:pPr>
    </w:p>
    <w:p w14:paraId="1EC795B2" w14:textId="5A466412" w:rsidR="00330241" w:rsidRPr="00137B87" w:rsidRDefault="00C033C3" w:rsidP="00330241">
      <w:pPr>
        <w:spacing w:line="360" w:lineRule="auto"/>
        <w:jc w:val="both"/>
        <w:rPr>
          <w:rFonts w:cs="Arial"/>
        </w:rPr>
      </w:pPr>
      <w:r w:rsidRPr="00C033C3">
        <w:rPr>
          <w:rFonts w:cs="Arial"/>
        </w:rPr>
        <w:t>The estimated difference in the m</w:t>
      </w:r>
      <w:r>
        <w:rPr>
          <w:rFonts w:cs="Arial"/>
        </w:rPr>
        <w:t>ean number of services per year</w:t>
      </w:r>
      <w:r w:rsidR="00330241" w:rsidRPr="00137B87">
        <w:rPr>
          <w:rFonts w:cs="Arial"/>
        </w:rPr>
        <w:t xml:space="preserve"> will </w:t>
      </w:r>
      <w:r w:rsidR="00330241">
        <w:rPr>
          <w:rFonts w:cs="Arial"/>
        </w:rPr>
        <w:t>affect the overall costs for the proposed intervention as can be seen from the calculations in Appendix G, and</w:t>
      </w:r>
      <w:r w:rsidR="0014277A">
        <w:rPr>
          <w:rFonts w:cs="Arial"/>
        </w:rPr>
        <w:t xml:space="preserve"> </w:t>
      </w:r>
      <w:r w:rsidR="0014277A">
        <w:rPr>
          <w:rFonts w:cs="Arial"/>
        </w:rPr>
        <w:fldChar w:fldCharType="begin"/>
      </w:r>
      <w:r w:rsidR="0014277A">
        <w:rPr>
          <w:rFonts w:cs="Arial"/>
        </w:rPr>
        <w:instrText xml:space="preserve"> REF _Ref431911408 \h </w:instrText>
      </w:r>
      <w:r w:rsidR="0014277A">
        <w:rPr>
          <w:rFonts w:cs="Arial"/>
        </w:rPr>
      </w:r>
      <w:r w:rsidR="0014277A">
        <w:rPr>
          <w:rFonts w:cs="Arial"/>
        </w:rPr>
        <w:fldChar w:fldCharType="separate"/>
      </w:r>
      <w:r w:rsidR="0014277A" w:rsidRPr="00A83F80">
        <w:rPr>
          <w:rFonts w:cs="Arial"/>
        </w:rPr>
        <w:t xml:space="preserve">Table </w:t>
      </w:r>
      <w:r w:rsidR="0014277A">
        <w:rPr>
          <w:rFonts w:cs="Arial"/>
          <w:noProof/>
        </w:rPr>
        <w:t>74</w:t>
      </w:r>
      <w:r w:rsidR="0014277A">
        <w:rPr>
          <w:rFonts w:cs="Arial"/>
        </w:rPr>
        <w:fldChar w:fldCharType="end"/>
      </w:r>
      <w:r w:rsidR="00330241">
        <w:rPr>
          <w:rFonts w:cs="Arial"/>
        </w:rPr>
        <w:t>.</w:t>
      </w:r>
    </w:p>
    <w:p w14:paraId="69C690F3" w14:textId="77777777" w:rsidR="00330241" w:rsidRPr="00137B87" w:rsidRDefault="00330241" w:rsidP="00330241">
      <w:pPr>
        <w:spacing w:line="360" w:lineRule="auto"/>
        <w:jc w:val="both"/>
        <w:rPr>
          <w:rFonts w:cs="Arial"/>
        </w:rPr>
      </w:pPr>
    </w:p>
    <w:p w14:paraId="09B4AE53" w14:textId="77777777" w:rsidR="009159A8" w:rsidRDefault="009159A8" w:rsidP="009159A8">
      <w:pPr>
        <w:pStyle w:val="Textbody"/>
        <w:rPr>
          <w:lang w:val="en-AU"/>
        </w:rPr>
      </w:pPr>
    </w:p>
    <w:p w14:paraId="73906A56" w14:textId="77777777" w:rsidR="009159A8" w:rsidRDefault="009159A8" w:rsidP="009159A8">
      <w:pPr>
        <w:pStyle w:val="Textbody"/>
        <w:rPr>
          <w:lang w:val="en-AU"/>
        </w:rPr>
      </w:pPr>
    </w:p>
    <w:p w14:paraId="064C4A53" w14:textId="77777777" w:rsidR="009159A8" w:rsidRDefault="009159A8" w:rsidP="009159A8">
      <w:pPr>
        <w:pStyle w:val="Textbody"/>
        <w:rPr>
          <w:lang w:val="en-AU"/>
        </w:rPr>
        <w:sectPr w:rsidR="009159A8" w:rsidSect="00695C41">
          <w:pgSz w:w="11907" w:h="16840" w:code="9"/>
          <w:pgMar w:top="1418" w:right="1418" w:bottom="1701" w:left="1814" w:header="720" w:footer="720" w:gutter="0"/>
          <w:paperSrc w:first="7" w:other="7"/>
          <w:cols w:space="720"/>
          <w:noEndnote/>
          <w:docGrid w:linePitch="299"/>
        </w:sectPr>
      </w:pPr>
    </w:p>
    <w:p w14:paraId="37CC06FA" w14:textId="4ADD4560" w:rsidR="009159A8" w:rsidRPr="00E0477C" w:rsidRDefault="009159A8" w:rsidP="009159A8">
      <w:pPr>
        <w:pStyle w:val="Caption"/>
        <w:rPr>
          <w:rFonts w:ascii="Arial" w:hAnsi="Arial" w:cs="Arial"/>
          <w:lang w:val="en-AU"/>
        </w:rPr>
      </w:pPr>
      <w:bookmarkStart w:id="668" w:name="_Ref431911408"/>
      <w:bookmarkStart w:id="669" w:name="_Toc431917534"/>
      <w:r w:rsidRPr="00A83F80">
        <w:rPr>
          <w:rFonts w:ascii="Arial" w:hAnsi="Arial" w:cs="Arial"/>
        </w:rPr>
        <w:lastRenderedPageBreak/>
        <w:t xml:space="preserve">Table </w:t>
      </w:r>
      <w:r w:rsidRPr="00A83F80">
        <w:rPr>
          <w:rFonts w:ascii="Arial" w:hAnsi="Arial" w:cs="Arial"/>
        </w:rPr>
        <w:fldChar w:fldCharType="begin"/>
      </w:r>
      <w:r w:rsidRPr="00A83F80">
        <w:rPr>
          <w:rFonts w:ascii="Arial" w:hAnsi="Arial" w:cs="Arial"/>
        </w:rPr>
        <w:instrText xml:space="preserve"> SEQ Table \* ARABIC </w:instrText>
      </w:r>
      <w:r w:rsidRPr="00A83F80">
        <w:rPr>
          <w:rFonts w:ascii="Arial" w:hAnsi="Arial" w:cs="Arial"/>
        </w:rPr>
        <w:fldChar w:fldCharType="separate"/>
      </w:r>
      <w:r>
        <w:rPr>
          <w:rFonts w:ascii="Arial" w:hAnsi="Arial" w:cs="Arial"/>
          <w:noProof/>
        </w:rPr>
        <w:t>74</w:t>
      </w:r>
      <w:r w:rsidRPr="00A83F80">
        <w:rPr>
          <w:rFonts w:ascii="Arial" w:hAnsi="Arial" w:cs="Arial"/>
          <w:noProof/>
        </w:rPr>
        <w:fldChar w:fldCharType="end"/>
      </w:r>
      <w:bookmarkEnd w:id="668"/>
      <w:r w:rsidRPr="00A83F80">
        <w:rPr>
          <w:rFonts w:ascii="Arial" w:hAnsi="Arial" w:cs="Arial"/>
          <w:lang w:val="en-US"/>
        </w:rPr>
        <w:t>.-</w:t>
      </w:r>
      <w:r w:rsidRPr="00E0477C">
        <w:rPr>
          <w:rFonts w:ascii="Arial" w:hAnsi="Arial" w:cs="Arial"/>
          <w:lang w:val="en-AU"/>
        </w:rPr>
        <w:t xml:space="preserve"> </w:t>
      </w:r>
      <w:r>
        <w:rPr>
          <w:rFonts w:ascii="Arial" w:hAnsi="Arial" w:cs="Arial"/>
          <w:lang w:val="en-AU"/>
        </w:rPr>
        <w:t>Overall total costs of the intervention based on e</w:t>
      </w:r>
      <w:r w:rsidRPr="00E0477C">
        <w:rPr>
          <w:rFonts w:ascii="Arial" w:hAnsi="Arial" w:cs="Arial"/>
          <w:lang w:val="en-AU"/>
        </w:rPr>
        <w:t xml:space="preserve">stimated </w:t>
      </w:r>
      <w:r w:rsidR="004B0476">
        <w:rPr>
          <w:rFonts w:ascii="Arial" w:hAnsi="Arial" w:cs="Arial"/>
          <w:lang w:val="en-AU"/>
        </w:rPr>
        <w:t>maximum</w:t>
      </w:r>
      <w:r>
        <w:rPr>
          <w:rFonts w:ascii="Arial" w:hAnsi="Arial" w:cs="Arial"/>
          <w:lang w:val="en-AU"/>
        </w:rPr>
        <w:t xml:space="preserve"> number of MEI candidates</w:t>
      </w:r>
      <w:r w:rsidR="004B0476">
        <w:rPr>
          <w:rFonts w:ascii="Arial" w:hAnsi="Arial" w:cs="Arial"/>
          <w:lang w:val="en-AU"/>
        </w:rPr>
        <w:t xml:space="preserve"> (higher</w:t>
      </w:r>
      <w:r>
        <w:rPr>
          <w:rFonts w:ascii="Arial" w:hAnsi="Arial" w:cs="Arial"/>
          <w:lang w:val="en-AU"/>
        </w:rPr>
        <w:t xml:space="preserve"> CI of possible candidates)</w:t>
      </w:r>
      <w:bookmarkEnd w:id="669"/>
    </w:p>
    <w:tbl>
      <w:tblPr>
        <w:tblW w:w="14361" w:type="dxa"/>
        <w:jc w:val="center"/>
        <w:tblLook w:val="04A0" w:firstRow="1" w:lastRow="0" w:firstColumn="1" w:lastColumn="0" w:noHBand="0" w:noVBand="1"/>
        <w:tblDescription w:val="Overall total costs of the intervention based on estimated maximum number of MEI candidates (higher CI of possible candidates)"/>
      </w:tblPr>
      <w:tblGrid>
        <w:gridCol w:w="639"/>
        <w:gridCol w:w="2353"/>
        <w:gridCol w:w="1107"/>
        <w:gridCol w:w="1764"/>
        <w:gridCol w:w="1664"/>
        <w:gridCol w:w="1764"/>
        <w:gridCol w:w="1764"/>
        <w:gridCol w:w="1764"/>
        <w:gridCol w:w="1542"/>
      </w:tblGrid>
      <w:tr w:rsidR="009159A8" w:rsidRPr="00D01F4D" w14:paraId="18DDAEFC" w14:textId="77777777" w:rsidTr="00BF0EEF">
        <w:trPr>
          <w:trHeight w:val="480"/>
          <w:jc w:val="center"/>
        </w:trPr>
        <w:tc>
          <w:tcPr>
            <w:tcW w:w="639"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93480D5" w14:textId="77777777" w:rsidR="009159A8" w:rsidRPr="00D01F4D" w:rsidRDefault="009159A8" w:rsidP="00422161">
            <w:pPr>
              <w:rPr>
                <w:rFonts w:cs="Arial"/>
                <w:b/>
                <w:bCs/>
                <w:color w:val="000000"/>
                <w:sz w:val="20"/>
                <w:szCs w:val="20"/>
                <w:lang w:val="en-US" w:eastAsia="en-US"/>
              </w:rPr>
            </w:pPr>
            <w:r w:rsidRPr="00D01F4D">
              <w:rPr>
                <w:rFonts w:cs="Arial"/>
                <w:b/>
                <w:bCs/>
                <w:color w:val="000000"/>
                <w:sz w:val="20"/>
                <w:szCs w:val="20"/>
                <w:lang w:val="en-US" w:eastAsia="en-US"/>
              </w:rPr>
              <w:t> </w:t>
            </w:r>
          </w:p>
        </w:tc>
        <w:tc>
          <w:tcPr>
            <w:tcW w:w="2353" w:type="dxa"/>
            <w:tcBorders>
              <w:top w:val="single" w:sz="8" w:space="0" w:color="auto"/>
              <w:left w:val="nil"/>
              <w:bottom w:val="single" w:sz="4" w:space="0" w:color="auto"/>
              <w:right w:val="single" w:sz="4" w:space="0" w:color="auto"/>
            </w:tcBorders>
            <w:shd w:val="clear" w:color="auto" w:fill="auto"/>
            <w:vAlign w:val="center"/>
            <w:hideMark/>
          </w:tcPr>
          <w:p w14:paraId="5E3F4750" w14:textId="77777777" w:rsidR="009159A8" w:rsidRPr="00D01F4D" w:rsidRDefault="009159A8" w:rsidP="00422161">
            <w:pPr>
              <w:rPr>
                <w:rFonts w:cs="Arial"/>
                <w:b/>
                <w:bCs/>
                <w:color w:val="000000"/>
                <w:sz w:val="20"/>
                <w:szCs w:val="20"/>
                <w:lang w:val="en-US" w:eastAsia="en-US"/>
              </w:rPr>
            </w:pPr>
            <w:r w:rsidRPr="00D01F4D">
              <w:rPr>
                <w:rFonts w:cs="Arial"/>
                <w:b/>
                <w:bCs/>
                <w:color w:val="000000"/>
                <w:sz w:val="20"/>
                <w:szCs w:val="20"/>
                <w:lang w:val="en-US" w:eastAsia="en-US"/>
              </w:rPr>
              <w:t>Description</w:t>
            </w:r>
          </w:p>
        </w:tc>
        <w:tc>
          <w:tcPr>
            <w:tcW w:w="1107" w:type="dxa"/>
            <w:tcBorders>
              <w:top w:val="single" w:sz="8" w:space="0" w:color="auto"/>
              <w:left w:val="nil"/>
              <w:bottom w:val="single" w:sz="4" w:space="0" w:color="auto"/>
              <w:right w:val="single" w:sz="4" w:space="0" w:color="auto"/>
            </w:tcBorders>
            <w:shd w:val="clear" w:color="auto" w:fill="auto"/>
            <w:vAlign w:val="center"/>
            <w:hideMark/>
          </w:tcPr>
          <w:p w14:paraId="3C9FC365" w14:textId="77777777" w:rsidR="009159A8" w:rsidRPr="00D01F4D" w:rsidRDefault="009159A8" w:rsidP="00422161">
            <w:pPr>
              <w:jc w:val="center"/>
              <w:rPr>
                <w:rFonts w:cs="Arial"/>
                <w:b/>
                <w:bCs/>
                <w:color w:val="000000"/>
                <w:sz w:val="16"/>
                <w:szCs w:val="16"/>
                <w:lang w:val="en-US" w:eastAsia="en-US"/>
              </w:rPr>
            </w:pPr>
            <w:r w:rsidRPr="00D01F4D">
              <w:rPr>
                <w:rFonts w:cs="Arial"/>
                <w:b/>
                <w:bCs/>
                <w:color w:val="000000"/>
                <w:sz w:val="16"/>
                <w:szCs w:val="16"/>
                <w:lang w:val="en-US" w:eastAsia="en-US"/>
              </w:rPr>
              <w:t>Method</w:t>
            </w:r>
          </w:p>
        </w:tc>
        <w:tc>
          <w:tcPr>
            <w:tcW w:w="1764" w:type="dxa"/>
            <w:tcBorders>
              <w:top w:val="single" w:sz="8" w:space="0" w:color="auto"/>
              <w:left w:val="nil"/>
              <w:bottom w:val="single" w:sz="4" w:space="0" w:color="auto"/>
              <w:right w:val="single" w:sz="4" w:space="0" w:color="auto"/>
            </w:tcBorders>
            <w:shd w:val="clear" w:color="auto" w:fill="auto"/>
            <w:vAlign w:val="center"/>
            <w:hideMark/>
          </w:tcPr>
          <w:p w14:paraId="5817D2C8" w14:textId="77777777" w:rsidR="009159A8" w:rsidRPr="00D01F4D" w:rsidRDefault="009159A8" w:rsidP="00422161">
            <w:pPr>
              <w:jc w:val="center"/>
              <w:rPr>
                <w:rFonts w:cs="Arial"/>
                <w:b/>
                <w:bCs/>
                <w:color w:val="000000"/>
                <w:sz w:val="16"/>
                <w:szCs w:val="16"/>
                <w:lang w:val="en-US" w:eastAsia="en-US"/>
              </w:rPr>
            </w:pPr>
            <w:r w:rsidRPr="00D01F4D">
              <w:rPr>
                <w:rFonts w:cs="Arial"/>
                <w:b/>
                <w:bCs/>
                <w:color w:val="000000"/>
                <w:sz w:val="16"/>
                <w:szCs w:val="16"/>
                <w:lang w:val="en-US" w:eastAsia="en-US"/>
              </w:rPr>
              <w:t>current (2016)</w:t>
            </w:r>
          </w:p>
        </w:tc>
        <w:tc>
          <w:tcPr>
            <w:tcW w:w="1664" w:type="dxa"/>
            <w:tcBorders>
              <w:top w:val="single" w:sz="8" w:space="0" w:color="auto"/>
              <w:left w:val="nil"/>
              <w:bottom w:val="single" w:sz="4" w:space="0" w:color="auto"/>
              <w:right w:val="single" w:sz="4" w:space="0" w:color="auto"/>
            </w:tcBorders>
            <w:shd w:val="clear" w:color="auto" w:fill="auto"/>
            <w:vAlign w:val="center"/>
            <w:hideMark/>
          </w:tcPr>
          <w:p w14:paraId="24FE1B60" w14:textId="77777777" w:rsidR="009159A8" w:rsidRPr="00D01F4D" w:rsidRDefault="009159A8" w:rsidP="00422161">
            <w:pPr>
              <w:jc w:val="center"/>
              <w:rPr>
                <w:rFonts w:cs="Arial"/>
                <w:b/>
                <w:bCs/>
                <w:color w:val="000000"/>
                <w:sz w:val="16"/>
                <w:szCs w:val="16"/>
                <w:lang w:val="en-US" w:eastAsia="en-US"/>
              </w:rPr>
            </w:pPr>
            <w:r w:rsidRPr="00D01F4D">
              <w:rPr>
                <w:rFonts w:cs="Arial"/>
                <w:b/>
                <w:bCs/>
                <w:color w:val="000000"/>
                <w:sz w:val="16"/>
                <w:szCs w:val="16"/>
                <w:lang w:val="en-US" w:eastAsia="en-US"/>
              </w:rPr>
              <w:t>2017</w:t>
            </w:r>
          </w:p>
        </w:tc>
        <w:tc>
          <w:tcPr>
            <w:tcW w:w="1764" w:type="dxa"/>
            <w:tcBorders>
              <w:top w:val="single" w:sz="8" w:space="0" w:color="auto"/>
              <w:left w:val="nil"/>
              <w:bottom w:val="single" w:sz="4" w:space="0" w:color="auto"/>
              <w:right w:val="single" w:sz="4" w:space="0" w:color="auto"/>
            </w:tcBorders>
            <w:shd w:val="clear" w:color="auto" w:fill="auto"/>
            <w:vAlign w:val="center"/>
            <w:hideMark/>
          </w:tcPr>
          <w:p w14:paraId="436CE7C0" w14:textId="77777777" w:rsidR="009159A8" w:rsidRPr="00D01F4D" w:rsidRDefault="009159A8" w:rsidP="00422161">
            <w:pPr>
              <w:jc w:val="center"/>
              <w:rPr>
                <w:rFonts w:cs="Arial"/>
                <w:b/>
                <w:bCs/>
                <w:color w:val="000000"/>
                <w:sz w:val="16"/>
                <w:szCs w:val="16"/>
                <w:lang w:val="en-US" w:eastAsia="en-US"/>
              </w:rPr>
            </w:pPr>
            <w:r w:rsidRPr="00D01F4D">
              <w:rPr>
                <w:rFonts w:cs="Arial"/>
                <w:b/>
                <w:bCs/>
                <w:color w:val="000000"/>
                <w:sz w:val="16"/>
                <w:szCs w:val="16"/>
                <w:lang w:val="en-US" w:eastAsia="en-US"/>
              </w:rPr>
              <w:t>2018</w:t>
            </w:r>
          </w:p>
        </w:tc>
        <w:tc>
          <w:tcPr>
            <w:tcW w:w="1764" w:type="dxa"/>
            <w:tcBorders>
              <w:top w:val="single" w:sz="8" w:space="0" w:color="auto"/>
              <w:left w:val="nil"/>
              <w:bottom w:val="single" w:sz="4" w:space="0" w:color="auto"/>
              <w:right w:val="single" w:sz="4" w:space="0" w:color="auto"/>
            </w:tcBorders>
            <w:shd w:val="clear" w:color="auto" w:fill="auto"/>
            <w:vAlign w:val="center"/>
            <w:hideMark/>
          </w:tcPr>
          <w:p w14:paraId="44037B3B" w14:textId="77777777" w:rsidR="009159A8" w:rsidRPr="00D01F4D" w:rsidRDefault="009159A8" w:rsidP="00422161">
            <w:pPr>
              <w:jc w:val="center"/>
              <w:rPr>
                <w:rFonts w:cs="Arial"/>
                <w:b/>
                <w:bCs/>
                <w:color w:val="000000"/>
                <w:sz w:val="16"/>
                <w:szCs w:val="16"/>
                <w:lang w:val="en-US" w:eastAsia="en-US"/>
              </w:rPr>
            </w:pPr>
            <w:r w:rsidRPr="00D01F4D">
              <w:rPr>
                <w:rFonts w:cs="Arial"/>
                <w:b/>
                <w:bCs/>
                <w:color w:val="000000"/>
                <w:sz w:val="16"/>
                <w:szCs w:val="16"/>
                <w:lang w:val="en-US" w:eastAsia="en-US"/>
              </w:rPr>
              <w:t>2019</w:t>
            </w:r>
          </w:p>
        </w:tc>
        <w:tc>
          <w:tcPr>
            <w:tcW w:w="1764" w:type="dxa"/>
            <w:tcBorders>
              <w:top w:val="single" w:sz="8" w:space="0" w:color="auto"/>
              <w:left w:val="nil"/>
              <w:bottom w:val="single" w:sz="4" w:space="0" w:color="auto"/>
              <w:right w:val="single" w:sz="4" w:space="0" w:color="auto"/>
            </w:tcBorders>
            <w:shd w:val="clear" w:color="auto" w:fill="auto"/>
            <w:vAlign w:val="center"/>
            <w:hideMark/>
          </w:tcPr>
          <w:p w14:paraId="549B4F0A" w14:textId="77777777" w:rsidR="009159A8" w:rsidRPr="00D01F4D" w:rsidRDefault="009159A8" w:rsidP="00422161">
            <w:pPr>
              <w:jc w:val="center"/>
              <w:rPr>
                <w:rFonts w:cs="Arial"/>
                <w:b/>
                <w:bCs/>
                <w:color w:val="000000"/>
                <w:sz w:val="16"/>
                <w:szCs w:val="16"/>
                <w:lang w:val="en-US" w:eastAsia="en-US"/>
              </w:rPr>
            </w:pPr>
            <w:r w:rsidRPr="00D01F4D">
              <w:rPr>
                <w:rFonts w:cs="Arial"/>
                <w:b/>
                <w:bCs/>
                <w:color w:val="000000"/>
                <w:sz w:val="16"/>
                <w:szCs w:val="16"/>
                <w:lang w:val="en-US" w:eastAsia="en-US"/>
              </w:rPr>
              <w:t>2020</w:t>
            </w:r>
          </w:p>
        </w:tc>
        <w:tc>
          <w:tcPr>
            <w:tcW w:w="1542" w:type="dxa"/>
            <w:tcBorders>
              <w:top w:val="single" w:sz="8" w:space="0" w:color="auto"/>
              <w:left w:val="nil"/>
              <w:bottom w:val="single" w:sz="4" w:space="0" w:color="auto"/>
              <w:right w:val="single" w:sz="8" w:space="0" w:color="auto"/>
            </w:tcBorders>
            <w:shd w:val="clear" w:color="auto" w:fill="auto"/>
            <w:vAlign w:val="center"/>
            <w:hideMark/>
          </w:tcPr>
          <w:p w14:paraId="65340CD8" w14:textId="77777777" w:rsidR="009159A8" w:rsidRPr="00D01F4D" w:rsidRDefault="009159A8" w:rsidP="00422161">
            <w:pPr>
              <w:jc w:val="center"/>
              <w:rPr>
                <w:rFonts w:cs="Arial"/>
                <w:b/>
                <w:bCs/>
                <w:color w:val="000000"/>
                <w:sz w:val="16"/>
                <w:szCs w:val="16"/>
                <w:lang w:val="en-US" w:eastAsia="en-US"/>
              </w:rPr>
            </w:pPr>
            <w:r w:rsidRPr="00D01F4D">
              <w:rPr>
                <w:rFonts w:cs="Arial"/>
                <w:b/>
                <w:bCs/>
                <w:color w:val="000000"/>
                <w:sz w:val="16"/>
                <w:szCs w:val="16"/>
                <w:lang w:val="en-US" w:eastAsia="en-US"/>
              </w:rPr>
              <w:t>2021</w:t>
            </w:r>
          </w:p>
        </w:tc>
      </w:tr>
      <w:tr w:rsidR="009159A8" w:rsidRPr="00D01F4D" w14:paraId="759B6153" w14:textId="77777777" w:rsidTr="00BF0EEF">
        <w:trPr>
          <w:trHeight w:val="300"/>
          <w:jc w:val="center"/>
        </w:trPr>
        <w:tc>
          <w:tcPr>
            <w:tcW w:w="639" w:type="dxa"/>
            <w:tcBorders>
              <w:top w:val="nil"/>
              <w:left w:val="single" w:sz="8" w:space="0" w:color="auto"/>
              <w:bottom w:val="single" w:sz="4" w:space="0" w:color="auto"/>
              <w:right w:val="single" w:sz="4" w:space="0" w:color="auto"/>
            </w:tcBorders>
            <w:shd w:val="clear" w:color="auto" w:fill="auto"/>
            <w:noWrap/>
            <w:vAlign w:val="center"/>
            <w:hideMark/>
          </w:tcPr>
          <w:p w14:paraId="0B8EBE56" w14:textId="77777777" w:rsidR="009159A8" w:rsidRPr="00D01F4D" w:rsidRDefault="009159A8" w:rsidP="00422161">
            <w:pPr>
              <w:rPr>
                <w:rFonts w:cs="Arial"/>
                <w:b/>
                <w:bCs/>
                <w:color w:val="000000"/>
                <w:sz w:val="20"/>
                <w:szCs w:val="20"/>
                <w:lang w:val="en-US" w:eastAsia="en-US"/>
              </w:rPr>
            </w:pPr>
            <w:r w:rsidRPr="00D01F4D">
              <w:rPr>
                <w:rFonts w:cs="Arial"/>
                <w:b/>
                <w:bCs/>
                <w:color w:val="000000"/>
                <w:sz w:val="20"/>
                <w:szCs w:val="20"/>
                <w:lang w:val="en-US" w:eastAsia="en-US"/>
              </w:rPr>
              <w:t> </w:t>
            </w:r>
          </w:p>
        </w:tc>
        <w:tc>
          <w:tcPr>
            <w:tcW w:w="13722" w:type="dxa"/>
            <w:gridSpan w:val="8"/>
            <w:tcBorders>
              <w:top w:val="single" w:sz="4" w:space="0" w:color="auto"/>
              <w:left w:val="single" w:sz="4" w:space="0" w:color="auto"/>
              <w:bottom w:val="single" w:sz="4" w:space="0" w:color="auto"/>
              <w:right w:val="single" w:sz="8" w:space="0" w:color="000000"/>
            </w:tcBorders>
            <w:shd w:val="clear" w:color="auto" w:fill="auto"/>
            <w:vAlign w:val="center"/>
            <w:hideMark/>
          </w:tcPr>
          <w:p w14:paraId="7E2892F9" w14:textId="77777777" w:rsidR="009159A8" w:rsidRPr="00D01F4D" w:rsidRDefault="009159A8" w:rsidP="00422161">
            <w:pPr>
              <w:rPr>
                <w:rFonts w:cs="Arial"/>
                <w:b/>
                <w:bCs/>
                <w:color w:val="000000"/>
                <w:sz w:val="20"/>
                <w:szCs w:val="20"/>
                <w:lang w:val="en-US" w:eastAsia="en-US"/>
              </w:rPr>
            </w:pPr>
            <w:r w:rsidRPr="00D01F4D">
              <w:rPr>
                <w:rFonts w:cs="Arial"/>
                <w:b/>
                <w:bCs/>
                <w:color w:val="000000"/>
                <w:sz w:val="20"/>
                <w:szCs w:val="20"/>
                <w:lang w:val="en-US" w:eastAsia="en-US"/>
              </w:rPr>
              <w:t>VSB</w:t>
            </w:r>
          </w:p>
        </w:tc>
      </w:tr>
      <w:tr w:rsidR="00BA4DCC" w:rsidRPr="00D01F4D" w14:paraId="6CF8BC7F" w14:textId="77777777" w:rsidTr="00BF0EEF">
        <w:trPr>
          <w:trHeight w:val="570"/>
          <w:jc w:val="center"/>
        </w:trPr>
        <w:tc>
          <w:tcPr>
            <w:tcW w:w="639" w:type="dxa"/>
            <w:tcBorders>
              <w:top w:val="nil"/>
              <w:left w:val="single" w:sz="8" w:space="0" w:color="auto"/>
              <w:bottom w:val="single" w:sz="4" w:space="0" w:color="auto"/>
              <w:right w:val="single" w:sz="4" w:space="0" w:color="auto"/>
            </w:tcBorders>
            <w:shd w:val="clear" w:color="auto" w:fill="auto"/>
            <w:noWrap/>
            <w:vAlign w:val="center"/>
            <w:hideMark/>
          </w:tcPr>
          <w:p w14:paraId="64F1AB8E" w14:textId="77777777" w:rsidR="00BA4DCC" w:rsidRPr="00D01F4D" w:rsidRDefault="00BA4DCC" w:rsidP="00422161">
            <w:pPr>
              <w:rPr>
                <w:rFonts w:cs="Arial"/>
                <w:b/>
                <w:bCs/>
                <w:color w:val="000000"/>
                <w:sz w:val="20"/>
                <w:szCs w:val="20"/>
                <w:lang w:val="en-US" w:eastAsia="en-US"/>
              </w:rPr>
            </w:pPr>
            <w:r w:rsidRPr="00D01F4D">
              <w:rPr>
                <w:rFonts w:cs="Arial"/>
                <w:b/>
                <w:bCs/>
                <w:color w:val="000000"/>
                <w:sz w:val="20"/>
                <w:szCs w:val="20"/>
                <w:lang w:val="en-US" w:eastAsia="en-US"/>
              </w:rPr>
              <w:t>BL</w:t>
            </w:r>
          </w:p>
        </w:tc>
        <w:tc>
          <w:tcPr>
            <w:tcW w:w="2353" w:type="dxa"/>
            <w:tcBorders>
              <w:top w:val="nil"/>
              <w:left w:val="nil"/>
              <w:bottom w:val="single" w:sz="4" w:space="0" w:color="auto"/>
              <w:right w:val="single" w:sz="4" w:space="0" w:color="auto"/>
            </w:tcBorders>
            <w:shd w:val="clear" w:color="auto" w:fill="auto"/>
            <w:vAlign w:val="center"/>
            <w:hideMark/>
          </w:tcPr>
          <w:p w14:paraId="264F50E9" w14:textId="77777777" w:rsidR="00BA4DCC" w:rsidRPr="00D01F4D" w:rsidRDefault="00BA4DCC" w:rsidP="00422161">
            <w:pPr>
              <w:rPr>
                <w:rFonts w:cs="Arial"/>
                <w:color w:val="000000"/>
                <w:sz w:val="20"/>
                <w:szCs w:val="20"/>
                <w:lang w:val="en-US" w:eastAsia="en-US"/>
              </w:rPr>
            </w:pPr>
            <w:r w:rsidRPr="00D01F4D">
              <w:rPr>
                <w:rFonts w:cs="Arial"/>
                <w:color w:val="000000"/>
                <w:sz w:val="20"/>
                <w:szCs w:val="20"/>
                <w:lang w:val="en-US" w:eastAsia="en-US"/>
              </w:rPr>
              <w:t>Cost to MBS of the proposed item</w:t>
            </w:r>
          </w:p>
        </w:tc>
        <w:tc>
          <w:tcPr>
            <w:tcW w:w="1107" w:type="dxa"/>
            <w:tcBorders>
              <w:top w:val="nil"/>
              <w:left w:val="nil"/>
              <w:bottom w:val="single" w:sz="4" w:space="0" w:color="auto"/>
              <w:right w:val="single" w:sz="4" w:space="0" w:color="auto"/>
            </w:tcBorders>
            <w:shd w:val="clear" w:color="auto" w:fill="auto"/>
            <w:vAlign w:val="center"/>
            <w:hideMark/>
          </w:tcPr>
          <w:p w14:paraId="4BDFCAD1" w14:textId="3B81D071" w:rsidR="00BA4DCC" w:rsidRPr="00D01F4D" w:rsidRDefault="00BA4DCC" w:rsidP="00422161">
            <w:pPr>
              <w:rPr>
                <w:rFonts w:cs="Arial"/>
                <w:b/>
                <w:color w:val="000000"/>
                <w:sz w:val="16"/>
                <w:szCs w:val="16"/>
                <w:lang w:val="en-US" w:eastAsia="en-US"/>
              </w:rPr>
            </w:pPr>
            <w:r>
              <w:rPr>
                <w:rFonts w:cs="Arial"/>
                <w:color w:val="000000"/>
                <w:sz w:val="16"/>
                <w:szCs w:val="16"/>
              </w:rPr>
              <w:t>Row M</w:t>
            </w:r>
          </w:p>
        </w:tc>
        <w:tc>
          <w:tcPr>
            <w:tcW w:w="1764" w:type="dxa"/>
            <w:tcBorders>
              <w:top w:val="nil"/>
              <w:left w:val="nil"/>
              <w:bottom w:val="single" w:sz="8" w:space="0" w:color="auto"/>
              <w:right w:val="single" w:sz="4" w:space="0" w:color="auto"/>
            </w:tcBorders>
            <w:shd w:val="clear" w:color="auto" w:fill="auto"/>
            <w:noWrap/>
            <w:vAlign w:val="center"/>
            <w:hideMark/>
          </w:tcPr>
          <w:p w14:paraId="63749B66" w14:textId="5B3585DC" w:rsidR="00BA4DCC" w:rsidRPr="00D01F4D" w:rsidRDefault="00BA4DCC" w:rsidP="00422161">
            <w:pPr>
              <w:rPr>
                <w:rFonts w:cs="Arial"/>
                <w:b/>
                <w:color w:val="000000"/>
                <w:sz w:val="16"/>
                <w:szCs w:val="16"/>
                <w:lang w:val="en-US" w:eastAsia="en-US"/>
              </w:rPr>
            </w:pPr>
            <w:r>
              <w:rPr>
                <w:rFonts w:cs="Arial"/>
                <w:color w:val="000000"/>
                <w:sz w:val="16"/>
                <w:szCs w:val="16"/>
              </w:rPr>
              <w:t xml:space="preserve"> AUD          149.512 </w:t>
            </w:r>
          </w:p>
        </w:tc>
        <w:tc>
          <w:tcPr>
            <w:tcW w:w="1664" w:type="dxa"/>
            <w:tcBorders>
              <w:top w:val="nil"/>
              <w:left w:val="nil"/>
              <w:bottom w:val="single" w:sz="8" w:space="0" w:color="auto"/>
              <w:right w:val="single" w:sz="4" w:space="0" w:color="auto"/>
            </w:tcBorders>
            <w:shd w:val="clear" w:color="auto" w:fill="auto"/>
            <w:noWrap/>
            <w:vAlign w:val="center"/>
            <w:hideMark/>
          </w:tcPr>
          <w:p w14:paraId="0B7A9257" w14:textId="2541AB09" w:rsidR="00BA4DCC" w:rsidRPr="00D01F4D" w:rsidRDefault="00BA4DCC" w:rsidP="00422161">
            <w:pPr>
              <w:rPr>
                <w:rFonts w:cs="Arial"/>
                <w:b/>
                <w:color w:val="000000"/>
                <w:sz w:val="16"/>
                <w:szCs w:val="16"/>
                <w:lang w:val="en-US" w:eastAsia="en-US"/>
              </w:rPr>
            </w:pPr>
            <w:r>
              <w:rPr>
                <w:rFonts w:cs="Arial"/>
                <w:color w:val="000000"/>
                <w:sz w:val="16"/>
                <w:szCs w:val="16"/>
              </w:rPr>
              <w:t xml:space="preserve"> AUD          152.127 </w:t>
            </w:r>
          </w:p>
        </w:tc>
        <w:tc>
          <w:tcPr>
            <w:tcW w:w="1764" w:type="dxa"/>
            <w:tcBorders>
              <w:top w:val="nil"/>
              <w:left w:val="nil"/>
              <w:bottom w:val="single" w:sz="8" w:space="0" w:color="auto"/>
              <w:right w:val="single" w:sz="4" w:space="0" w:color="auto"/>
            </w:tcBorders>
            <w:shd w:val="clear" w:color="auto" w:fill="auto"/>
            <w:noWrap/>
            <w:vAlign w:val="center"/>
            <w:hideMark/>
          </w:tcPr>
          <w:p w14:paraId="784CD7DD" w14:textId="5A99F95A" w:rsidR="00BA4DCC" w:rsidRPr="00D01F4D" w:rsidRDefault="00BA4DCC" w:rsidP="00422161">
            <w:pPr>
              <w:rPr>
                <w:rFonts w:cs="Arial"/>
                <w:b/>
                <w:color w:val="000000"/>
                <w:sz w:val="16"/>
                <w:szCs w:val="16"/>
                <w:lang w:val="en-US" w:eastAsia="en-US"/>
              </w:rPr>
            </w:pPr>
            <w:r>
              <w:rPr>
                <w:rFonts w:cs="Arial"/>
                <w:color w:val="000000"/>
                <w:sz w:val="16"/>
                <w:szCs w:val="16"/>
              </w:rPr>
              <w:t xml:space="preserve"> AUD          154.720 </w:t>
            </w:r>
          </w:p>
        </w:tc>
        <w:tc>
          <w:tcPr>
            <w:tcW w:w="1764" w:type="dxa"/>
            <w:tcBorders>
              <w:top w:val="nil"/>
              <w:left w:val="nil"/>
              <w:bottom w:val="single" w:sz="8" w:space="0" w:color="auto"/>
              <w:right w:val="single" w:sz="4" w:space="0" w:color="auto"/>
            </w:tcBorders>
            <w:shd w:val="clear" w:color="auto" w:fill="auto"/>
            <w:noWrap/>
            <w:vAlign w:val="center"/>
            <w:hideMark/>
          </w:tcPr>
          <w:p w14:paraId="37022555" w14:textId="7657D419" w:rsidR="00BA4DCC" w:rsidRPr="00D01F4D" w:rsidRDefault="00BA4DCC" w:rsidP="00422161">
            <w:pPr>
              <w:rPr>
                <w:rFonts w:cs="Arial"/>
                <w:b/>
                <w:color w:val="000000"/>
                <w:sz w:val="16"/>
                <w:szCs w:val="16"/>
                <w:lang w:val="en-US" w:eastAsia="en-US"/>
              </w:rPr>
            </w:pPr>
            <w:r>
              <w:rPr>
                <w:rFonts w:cs="Arial"/>
                <w:color w:val="000000"/>
                <w:sz w:val="16"/>
                <w:szCs w:val="16"/>
              </w:rPr>
              <w:t xml:space="preserve"> AUD          157.293 </w:t>
            </w:r>
          </w:p>
        </w:tc>
        <w:tc>
          <w:tcPr>
            <w:tcW w:w="1764" w:type="dxa"/>
            <w:tcBorders>
              <w:top w:val="nil"/>
              <w:left w:val="nil"/>
              <w:bottom w:val="single" w:sz="8" w:space="0" w:color="auto"/>
              <w:right w:val="single" w:sz="4" w:space="0" w:color="auto"/>
            </w:tcBorders>
            <w:shd w:val="clear" w:color="auto" w:fill="auto"/>
            <w:noWrap/>
            <w:vAlign w:val="center"/>
            <w:hideMark/>
          </w:tcPr>
          <w:p w14:paraId="685F04DE" w14:textId="59DE4641" w:rsidR="00BA4DCC" w:rsidRPr="00D01F4D" w:rsidRDefault="00BA4DCC" w:rsidP="00422161">
            <w:pPr>
              <w:rPr>
                <w:rFonts w:cs="Arial"/>
                <w:b/>
                <w:color w:val="000000"/>
                <w:sz w:val="16"/>
                <w:szCs w:val="16"/>
                <w:lang w:val="en-US" w:eastAsia="en-US"/>
              </w:rPr>
            </w:pPr>
            <w:r>
              <w:rPr>
                <w:rFonts w:cs="Arial"/>
                <w:color w:val="000000"/>
                <w:sz w:val="16"/>
                <w:szCs w:val="16"/>
              </w:rPr>
              <w:t xml:space="preserve"> AUD          159.826 </w:t>
            </w:r>
          </w:p>
        </w:tc>
        <w:tc>
          <w:tcPr>
            <w:tcW w:w="1542" w:type="dxa"/>
            <w:tcBorders>
              <w:top w:val="nil"/>
              <w:left w:val="nil"/>
              <w:bottom w:val="single" w:sz="8" w:space="0" w:color="auto"/>
              <w:right w:val="single" w:sz="8" w:space="0" w:color="auto"/>
            </w:tcBorders>
            <w:shd w:val="clear" w:color="auto" w:fill="auto"/>
            <w:noWrap/>
            <w:vAlign w:val="center"/>
            <w:hideMark/>
          </w:tcPr>
          <w:p w14:paraId="204AB46F" w14:textId="2F016F8C" w:rsidR="00BA4DCC" w:rsidRPr="00D01F4D" w:rsidRDefault="00BA4DCC" w:rsidP="00422161">
            <w:pPr>
              <w:rPr>
                <w:rFonts w:cs="Arial"/>
                <w:b/>
                <w:color w:val="000000"/>
                <w:sz w:val="16"/>
                <w:szCs w:val="16"/>
                <w:lang w:val="en-US" w:eastAsia="en-US"/>
              </w:rPr>
            </w:pPr>
            <w:r>
              <w:rPr>
                <w:rFonts w:cs="Arial"/>
                <w:color w:val="000000"/>
                <w:sz w:val="16"/>
                <w:szCs w:val="16"/>
              </w:rPr>
              <w:t xml:space="preserve"> AUD     162.543 </w:t>
            </w:r>
          </w:p>
        </w:tc>
      </w:tr>
      <w:tr w:rsidR="00BA4DCC" w:rsidRPr="00D01F4D" w14:paraId="5949059E" w14:textId="77777777" w:rsidTr="00BF0EEF">
        <w:trPr>
          <w:trHeight w:val="570"/>
          <w:jc w:val="center"/>
        </w:trPr>
        <w:tc>
          <w:tcPr>
            <w:tcW w:w="639" w:type="dxa"/>
            <w:tcBorders>
              <w:top w:val="nil"/>
              <w:left w:val="single" w:sz="8" w:space="0" w:color="auto"/>
              <w:bottom w:val="single" w:sz="8" w:space="0" w:color="auto"/>
              <w:right w:val="single" w:sz="4" w:space="0" w:color="auto"/>
            </w:tcBorders>
            <w:shd w:val="clear" w:color="auto" w:fill="auto"/>
            <w:noWrap/>
            <w:vAlign w:val="center"/>
            <w:hideMark/>
          </w:tcPr>
          <w:p w14:paraId="1D643A7E" w14:textId="77777777" w:rsidR="00BA4DCC" w:rsidRPr="00D01F4D" w:rsidRDefault="00BA4DCC" w:rsidP="00422161">
            <w:pPr>
              <w:rPr>
                <w:rFonts w:cs="Arial"/>
                <w:b/>
                <w:bCs/>
                <w:color w:val="000000"/>
                <w:sz w:val="20"/>
                <w:szCs w:val="20"/>
                <w:lang w:val="en-US" w:eastAsia="en-US"/>
              </w:rPr>
            </w:pPr>
            <w:r w:rsidRPr="00D01F4D">
              <w:rPr>
                <w:rFonts w:cs="Arial"/>
                <w:b/>
                <w:bCs/>
                <w:color w:val="000000"/>
                <w:sz w:val="20"/>
                <w:szCs w:val="20"/>
                <w:lang w:val="en-US" w:eastAsia="en-US"/>
              </w:rPr>
              <w:t>BM</w:t>
            </w:r>
          </w:p>
        </w:tc>
        <w:tc>
          <w:tcPr>
            <w:tcW w:w="2353" w:type="dxa"/>
            <w:tcBorders>
              <w:top w:val="nil"/>
              <w:left w:val="nil"/>
              <w:bottom w:val="single" w:sz="8" w:space="0" w:color="auto"/>
              <w:right w:val="single" w:sz="4" w:space="0" w:color="auto"/>
            </w:tcBorders>
            <w:shd w:val="clear" w:color="auto" w:fill="auto"/>
            <w:vAlign w:val="center"/>
            <w:hideMark/>
          </w:tcPr>
          <w:p w14:paraId="2924ABE5" w14:textId="77777777" w:rsidR="00BA4DCC" w:rsidRPr="00D01F4D" w:rsidRDefault="00BA4DCC" w:rsidP="00422161">
            <w:pPr>
              <w:rPr>
                <w:rFonts w:cs="Arial"/>
                <w:color w:val="000000"/>
                <w:sz w:val="20"/>
                <w:szCs w:val="20"/>
                <w:lang w:val="en-US" w:eastAsia="en-US"/>
              </w:rPr>
            </w:pPr>
            <w:r w:rsidRPr="00D01F4D">
              <w:rPr>
                <w:rFonts w:cs="Arial"/>
                <w:color w:val="000000"/>
                <w:sz w:val="20"/>
                <w:szCs w:val="20"/>
                <w:lang w:val="en-US" w:eastAsia="en-US"/>
              </w:rPr>
              <w:t>Cost to the MBS of associated items</w:t>
            </w:r>
          </w:p>
        </w:tc>
        <w:tc>
          <w:tcPr>
            <w:tcW w:w="1107" w:type="dxa"/>
            <w:tcBorders>
              <w:top w:val="nil"/>
              <w:left w:val="nil"/>
              <w:bottom w:val="single" w:sz="8" w:space="0" w:color="auto"/>
              <w:right w:val="single" w:sz="4" w:space="0" w:color="auto"/>
            </w:tcBorders>
            <w:shd w:val="clear" w:color="auto" w:fill="auto"/>
            <w:vAlign w:val="center"/>
            <w:hideMark/>
          </w:tcPr>
          <w:p w14:paraId="7EE34BE6" w14:textId="1D1C37CF" w:rsidR="00BA4DCC" w:rsidRPr="00D01F4D" w:rsidRDefault="00BA4DCC" w:rsidP="00422161">
            <w:pPr>
              <w:rPr>
                <w:rFonts w:cs="Arial"/>
                <w:b/>
                <w:color w:val="000000"/>
                <w:sz w:val="16"/>
                <w:szCs w:val="16"/>
                <w:lang w:val="en-US" w:eastAsia="en-US"/>
              </w:rPr>
            </w:pPr>
            <w:r>
              <w:rPr>
                <w:rFonts w:cs="Arial"/>
                <w:color w:val="000000"/>
                <w:sz w:val="16"/>
                <w:szCs w:val="16"/>
              </w:rPr>
              <w:t>Row AX</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70E3C358" w14:textId="31C48029" w:rsidR="00BA4DCC" w:rsidRPr="00D01F4D" w:rsidRDefault="00BA4DCC" w:rsidP="00422161">
            <w:pPr>
              <w:rPr>
                <w:rFonts w:cs="Arial"/>
                <w:b/>
                <w:color w:val="000000"/>
                <w:sz w:val="16"/>
                <w:szCs w:val="16"/>
                <w:lang w:val="en-US" w:eastAsia="en-US"/>
              </w:rPr>
            </w:pPr>
            <w:r>
              <w:rPr>
                <w:rFonts w:cs="Arial"/>
                <w:color w:val="000000"/>
                <w:sz w:val="16"/>
                <w:szCs w:val="16"/>
              </w:rPr>
              <w:t xml:space="preserve"> AUD          162.562 </w:t>
            </w:r>
          </w:p>
        </w:tc>
        <w:tc>
          <w:tcPr>
            <w:tcW w:w="1664" w:type="dxa"/>
            <w:tcBorders>
              <w:top w:val="single" w:sz="4" w:space="0" w:color="auto"/>
              <w:left w:val="nil"/>
              <w:bottom w:val="single" w:sz="8" w:space="0" w:color="auto"/>
              <w:right w:val="single" w:sz="4" w:space="0" w:color="auto"/>
            </w:tcBorders>
            <w:shd w:val="clear" w:color="auto" w:fill="auto"/>
            <w:noWrap/>
            <w:vAlign w:val="center"/>
            <w:hideMark/>
          </w:tcPr>
          <w:p w14:paraId="6CC9EC7F" w14:textId="694C5B4D" w:rsidR="00BA4DCC" w:rsidRPr="00D01F4D" w:rsidRDefault="00BA4DCC" w:rsidP="00422161">
            <w:pPr>
              <w:rPr>
                <w:rFonts w:cs="Arial"/>
                <w:b/>
                <w:color w:val="000000"/>
                <w:sz w:val="16"/>
                <w:szCs w:val="16"/>
                <w:lang w:val="en-US" w:eastAsia="en-US"/>
              </w:rPr>
            </w:pPr>
            <w:r>
              <w:rPr>
                <w:rFonts w:cs="Arial"/>
                <w:color w:val="000000"/>
                <w:sz w:val="16"/>
                <w:szCs w:val="16"/>
              </w:rPr>
              <w:t xml:space="preserve"> AUD          165.405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1982A2C6" w14:textId="076892DC" w:rsidR="00BA4DCC" w:rsidRPr="00D01F4D" w:rsidRDefault="00BA4DCC" w:rsidP="00422161">
            <w:pPr>
              <w:rPr>
                <w:rFonts w:cs="Arial"/>
                <w:b/>
                <w:color w:val="000000"/>
                <w:sz w:val="16"/>
                <w:szCs w:val="16"/>
                <w:lang w:val="en-US" w:eastAsia="en-US"/>
              </w:rPr>
            </w:pPr>
            <w:r>
              <w:rPr>
                <w:rFonts w:cs="Arial"/>
                <w:color w:val="000000"/>
                <w:sz w:val="16"/>
                <w:szCs w:val="16"/>
              </w:rPr>
              <w:t xml:space="preserve"> AUD          168.225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43AB494A" w14:textId="37BFDBC9" w:rsidR="00BA4DCC" w:rsidRPr="00D01F4D" w:rsidRDefault="00BA4DCC" w:rsidP="00422161">
            <w:pPr>
              <w:rPr>
                <w:rFonts w:cs="Arial"/>
                <w:b/>
                <w:color w:val="000000"/>
                <w:sz w:val="16"/>
                <w:szCs w:val="16"/>
                <w:lang w:val="en-US" w:eastAsia="en-US"/>
              </w:rPr>
            </w:pPr>
            <w:r>
              <w:rPr>
                <w:rFonts w:cs="Arial"/>
                <w:color w:val="000000"/>
                <w:sz w:val="16"/>
                <w:szCs w:val="16"/>
              </w:rPr>
              <w:t xml:space="preserve"> AUD          171.022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1D27810A" w14:textId="26C9D8AD" w:rsidR="00BA4DCC" w:rsidRPr="00D01F4D" w:rsidRDefault="00BA4DCC" w:rsidP="00422161">
            <w:pPr>
              <w:rPr>
                <w:rFonts w:cs="Arial"/>
                <w:b/>
                <w:color w:val="000000"/>
                <w:sz w:val="16"/>
                <w:szCs w:val="16"/>
                <w:lang w:val="en-US" w:eastAsia="en-US"/>
              </w:rPr>
            </w:pPr>
            <w:r>
              <w:rPr>
                <w:rFonts w:cs="Arial"/>
                <w:color w:val="000000"/>
                <w:sz w:val="16"/>
                <w:szCs w:val="16"/>
              </w:rPr>
              <w:t xml:space="preserve"> AUD          173.776 </w:t>
            </w:r>
          </w:p>
        </w:tc>
        <w:tc>
          <w:tcPr>
            <w:tcW w:w="1542" w:type="dxa"/>
            <w:tcBorders>
              <w:top w:val="single" w:sz="4" w:space="0" w:color="auto"/>
              <w:left w:val="nil"/>
              <w:bottom w:val="single" w:sz="8" w:space="0" w:color="auto"/>
              <w:right w:val="single" w:sz="8" w:space="0" w:color="auto"/>
            </w:tcBorders>
            <w:shd w:val="clear" w:color="auto" w:fill="auto"/>
            <w:noWrap/>
            <w:vAlign w:val="center"/>
            <w:hideMark/>
          </w:tcPr>
          <w:p w14:paraId="0F8E185B" w14:textId="5A575A53" w:rsidR="00BA4DCC" w:rsidRPr="00D01F4D" w:rsidRDefault="00BA4DCC" w:rsidP="00422161">
            <w:pPr>
              <w:rPr>
                <w:rFonts w:cs="Arial"/>
                <w:b/>
                <w:color w:val="000000"/>
                <w:sz w:val="16"/>
                <w:szCs w:val="16"/>
                <w:lang w:val="en-US" w:eastAsia="en-US"/>
              </w:rPr>
            </w:pPr>
            <w:r>
              <w:rPr>
                <w:rFonts w:cs="Arial"/>
                <w:color w:val="000000"/>
                <w:sz w:val="16"/>
                <w:szCs w:val="16"/>
              </w:rPr>
              <w:t xml:space="preserve"> AUD     176.731 </w:t>
            </w:r>
          </w:p>
        </w:tc>
      </w:tr>
      <w:tr w:rsidR="00BA4DCC" w:rsidRPr="00D01F4D" w14:paraId="2BDFEC4C" w14:textId="77777777" w:rsidTr="00BF0EEF">
        <w:trPr>
          <w:trHeight w:val="500"/>
          <w:jc w:val="center"/>
        </w:trPr>
        <w:tc>
          <w:tcPr>
            <w:tcW w:w="639" w:type="dxa"/>
            <w:tcBorders>
              <w:top w:val="single" w:sz="8" w:space="0" w:color="auto"/>
              <w:left w:val="single" w:sz="8" w:space="0" w:color="auto"/>
              <w:bottom w:val="single" w:sz="8" w:space="0" w:color="auto"/>
              <w:right w:val="single" w:sz="4" w:space="0" w:color="auto"/>
            </w:tcBorders>
            <w:shd w:val="clear" w:color="000000" w:fill="auto"/>
            <w:noWrap/>
            <w:vAlign w:val="center"/>
            <w:hideMark/>
          </w:tcPr>
          <w:p w14:paraId="61695ED4" w14:textId="77777777" w:rsidR="00BA4DCC" w:rsidRPr="00D01F4D" w:rsidRDefault="00BA4DCC" w:rsidP="00422161">
            <w:pPr>
              <w:rPr>
                <w:rFonts w:cs="Arial"/>
                <w:b/>
                <w:bCs/>
                <w:color w:val="000000"/>
                <w:sz w:val="20"/>
                <w:szCs w:val="20"/>
                <w:lang w:val="en-US" w:eastAsia="en-US"/>
              </w:rPr>
            </w:pPr>
            <w:r w:rsidRPr="00D01F4D">
              <w:rPr>
                <w:rFonts w:cs="Arial"/>
                <w:b/>
                <w:bCs/>
                <w:color w:val="000000"/>
                <w:sz w:val="20"/>
                <w:szCs w:val="20"/>
                <w:lang w:val="en-US" w:eastAsia="en-US"/>
              </w:rPr>
              <w:t>BO</w:t>
            </w:r>
          </w:p>
        </w:tc>
        <w:tc>
          <w:tcPr>
            <w:tcW w:w="2353" w:type="dxa"/>
            <w:tcBorders>
              <w:top w:val="single" w:sz="8" w:space="0" w:color="auto"/>
              <w:left w:val="nil"/>
              <w:bottom w:val="single" w:sz="8" w:space="0" w:color="auto"/>
              <w:right w:val="single" w:sz="4" w:space="0" w:color="auto"/>
            </w:tcBorders>
            <w:shd w:val="clear" w:color="000000" w:fill="auto"/>
            <w:vAlign w:val="center"/>
            <w:hideMark/>
          </w:tcPr>
          <w:p w14:paraId="2267E274" w14:textId="77777777" w:rsidR="00BA4DCC" w:rsidRPr="00D01F4D" w:rsidRDefault="00BA4DCC" w:rsidP="00422161">
            <w:pPr>
              <w:rPr>
                <w:rFonts w:cs="Arial"/>
                <w:b/>
                <w:bCs/>
                <w:color w:val="000000"/>
                <w:sz w:val="20"/>
                <w:szCs w:val="20"/>
                <w:lang w:val="en-US" w:eastAsia="en-US"/>
              </w:rPr>
            </w:pPr>
            <w:r w:rsidRPr="00D01F4D">
              <w:rPr>
                <w:rFonts w:cs="Arial"/>
                <w:b/>
                <w:bCs/>
                <w:color w:val="000000"/>
                <w:sz w:val="20"/>
                <w:szCs w:val="20"/>
                <w:lang w:val="en-US" w:eastAsia="en-US"/>
              </w:rPr>
              <w:t>Total costs to the MBS</w:t>
            </w:r>
          </w:p>
        </w:tc>
        <w:tc>
          <w:tcPr>
            <w:tcW w:w="1107" w:type="dxa"/>
            <w:tcBorders>
              <w:top w:val="single" w:sz="8" w:space="0" w:color="auto"/>
              <w:left w:val="nil"/>
              <w:bottom w:val="single" w:sz="8" w:space="0" w:color="auto"/>
              <w:right w:val="single" w:sz="4" w:space="0" w:color="auto"/>
            </w:tcBorders>
            <w:shd w:val="clear" w:color="000000" w:fill="auto"/>
            <w:vAlign w:val="center"/>
            <w:hideMark/>
          </w:tcPr>
          <w:p w14:paraId="06674427" w14:textId="31EC7092" w:rsidR="00BA4DCC" w:rsidRPr="00D01F4D" w:rsidRDefault="00BA4DCC" w:rsidP="00422161">
            <w:pPr>
              <w:rPr>
                <w:rFonts w:cs="Arial"/>
                <w:b/>
                <w:color w:val="000000"/>
                <w:sz w:val="16"/>
                <w:szCs w:val="16"/>
                <w:lang w:val="en-US" w:eastAsia="en-US"/>
              </w:rPr>
            </w:pPr>
            <w:r>
              <w:rPr>
                <w:rFonts w:cs="Arial"/>
                <w:color w:val="000000"/>
                <w:sz w:val="16"/>
                <w:szCs w:val="16"/>
              </w:rPr>
              <w:t>BL + BM</w:t>
            </w:r>
          </w:p>
        </w:tc>
        <w:tc>
          <w:tcPr>
            <w:tcW w:w="1764" w:type="dxa"/>
            <w:tcBorders>
              <w:top w:val="single" w:sz="8" w:space="0" w:color="auto"/>
              <w:left w:val="nil"/>
              <w:bottom w:val="single" w:sz="8" w:space="0" w:color="auto"/>
              <w:right w:val="single" w:sz="4" w:space="0" w:color="auto"/>
            </w:tcBorders>
            <w:shd w:val="clear" w:color="000000" w:fill="auto"/>
            <w:noWrap/>
            <w:vAlign w:val="center"/>
            <w:hideMark/>
          </w:tcPr>
          <w:p w14:paraId="42AE2EA3" w14:textId="469DC0E8" w:rsidR="00BA4DCC" w:rsidRPr="00D01F4D" w:rsidRDefault="00BA4DCC" w:rsidP="00422161">
            <w:pPr>
              <w:rPr>
                <w:rFonts w:cs="Arial"/>
                <w:b/>
                <w:bCs/>
                <w:color w:val="000000"/>
                <w:sz w:val="16"/>
                <w:szCs w:val="16"/>
                <w:lang w:val="en-US" w:eastAsia="en-US"/>
              </w:rPr>
            </w:pPr>
            <w:r>
              <w:rPr>
                <w:rFonts w:cs="Arial"/>
                <w:b/>
                <w:bCs/>
                <w:color w:val="000000"/>
                <w:sz w:val="16"/>
                <w:szCs w:val="16"/>
              </w:rPr>
              <w:t xml:space="preserve"> AUD          312.075 </w:t>
            </w:r>
          </w:p>
        </w:tc>
        <w:tc>
          <w:tcPr>
            <w:tcW w:w="1664" w:type="dxa"/>
            <w:tcBorders>
              <w:top w:val="single" w:sz="8" w:space="0" w:color="auto"/>
              <w:left w:val="nil"/>
              <w:bottom w:val="single" w:sz="8" w:space="0" w:color="auto"/>
              <w:right w:val="single" w:sz="4" w:space="0" w:color="auto"/>
            </w:tcBorders>
            <w:shd w:val="clear" w:color="000000" w:fill="auto"/>
            <w:noWrap/>
            <w:vAlign w:val="center"/>
            <w:hideMark/>
          </w:tcPr>
          <w:p w14:paraId="2F3FEBF9" w14:textId="36595254" w:rsidR="00BA4DCC" w:rsidRPr="00D01F4D" w:rsidRDefault="00BA4DCC" w:rsidP="00422161">
            <w:pPr>
              <w:rPr>
                <w:rFonts w:cs="Arial"/>
                <w:b/>
                <w:bCs/>
                <w:color w:val="000000"/>
                <w:sz w:val="16"/>
                <w:szCs w:val="16"/>
                <w:lang w:val="en-US" w:eastAsia="en-US"/>
              </w:rPr>
            </w:pPr>
            <w:r>
              <w:rPr>
                <w:rFonts w:cs="Arial"/>
                <w:b/>
                <w:bCs/>
                <w:color w:val="000000"/>
                <w:sz w:val="16"/>
                <w:szCs w:val="16"/>
              </w:rPr>
              <w:t xml:space="preserve"> AUD          317.532 </w:t>
            </w:r>
          </w:p>
        </w:tc>
        <w:tc>
          <w:tcPr>
            <w:tcW w:w="1764" w:type="dxa"/>
            <w:tcBorders>
              <w:top w:val="single" w:sz="8" w:space="0" w:color="auto"/>
              <w:left w:val="nil"/>
              <w:bottom w:val="single" w:sz="8" w:space="0" w:color="auto"/>
              <w:right w:val="single" w:sz="4" w:space="0" w:color="auto"/>
            </w:tcBorders>
            <w:shd w:val="clear" w:color="000000" w:fill="auto"/>
            <w:noWrap/>
            <w:vAlign w:val="center"/>
            <w:hideMark/>
          </w:tcPr>
          <w:p w14:paraId="424C713F" w14:textId="06ABFAD6" w:rsidR="00BA4DCC" w:rsidRPr="00D01F4D" w:rsidRDefault="00BA4DCC" w:rsidP="00422161">
            <w:pPr>
              <w:rPr>
                <w:rFonts w:cs="Arial"/>
                <w:b/>
                <w:bCs/>
                <w:color w:val="000000"/>
                <w:sz w:val="16"/>
                <w:szCs w:val="16"/>
                <w:lang w:val="en-US" w:eastAsia="en-US"/>
              </w:rPr>
            </w:pPr>
            <w:r>
              <w:rPr>
                <w:rFonts w:cs="Arial"/>
                <w:b/>
                <w:bCs/>
                <w:color w:val="000000"/>
                <w:sz w:val="16"/>
                <w:szCs w:val="16"/>
              </w:rPr>
              <w:t xml:space="preserve"> AUD          322.945 </w:t>
            </w:r>
          </w:p>
        </w:tc>
        <w:tc>
          <w:tcPr>
            <w:tcW w:w="1764" w:type="dxa"/>
            <w:tcBorders>
              <w:top w:val="single" w:sz="8" w:space="0" w:color="auto"/>
              <w:left w:val="nil"/>
              <w:bottom w:val="single" w:sz="8" w:space="0" w:color="auto"/>
              <w:right w:val="single" w:sz="4" w:space="0" w:color="auto"/>
            </w:tcBorders>
            <w:shd w:val="clear" w:color="000000" w:fill="auto"/>
            <w:noWrap/>
            <w:vAlign w:val="center"/>
            <w:hideMark/>
          </w:tcPr>
          <w:p w14:paraId="09A143CC" w14:textId="5ACB4A08" w:rsidR="00BA4DCC" w:rsidRPr="00D01F4D" w:rsidRDefault="00BA4DCC" w:rsidP="00422161">
            <w:pPr>
              <w:rPr>
                <w:rFonts w:cs="Arial"/>
                <w:b/>
                <w:bCs/>
                <w:color w:val="000000"/>
                <w:sz w:val="16"/>
                <w:szCs w:val="16"/>
                <w:lang w:val="en-US" w:eastAsia="en-US"/>
              </w:rPr>
            </w:pPr>
            <w:r>
              <w:rPr>
                <w:rFonts w:cs="Arial"/>
                <w:b/>
                <w:bCs/>
                <w:color w:val="000000"/>
                <w:sz w:val="16"/>
                <w:szCs w:val="16"/>
              </w:rPr>
              <w:t xml:space="preserve"> AUD          328.314 </w:t>
            </w:r>
          </w:p>
        </w:tc>
        <w:tc>
          <w:tcPr>
            <w:tcW w:w="1764" w:type="dxa"/>
            <w:tcBorders>
              <w:top w:val="single" w:sz="8" w:space="0" w:color="auto"/>
              <w:left w:val="nil"/>
              <w:bottom w:val="single" w:sz="8" w:space="0" w:color="auto"/>
              <w:right w:val="single" w:sz="4" w:space="0" w:color="auto"/>
            </w:tcBorders>
            <w:shd w:val="clear" w:color="000000" w:fill="auto"/>
            <w:noWrap/>
            <w:vAlign w:val="center"/>
            <w:hideMark/>
          </w:tcPr>
          <w:p w14:paraId="0AB2AEA5" w14:textId="1B5EDAA5" w:rsidR="00BA4DCC" w:rsidRPr="00D01F4D" w:rsidRDefault="00BA4DCC" w:rsidP="00422161">
            <w:pPr>
              <w:rPr>
                <w:rFonts w:cs="Arial"/>
                <w:b/>
                <w:bCs/>
                <w:color w:val="000000"/>
                <w:sz w:val="16"/>
                <w:szCs w:val="16"/>
                <w:lang w:val="en-US" w:eastAsia="en-US"/>
              </w:rPr>
            </w:pPr>
            <w:r>
              <w:rPr>
                <w:rFonts w:cs="Arial"/>
                <w:b/>
                <w:bCs/>
                <w:color w:val="000000"/>
                <w:sz w:val="16"/>
                <w:szCs w:val="16"/>
              </w:rPr>
              <w:t xml:space="preserve"> AUD          333.602 </w:t>
            </w:r>
          </w:p>
        </w:tc>
        <w:tc>
          <w:tcPr>
            <w:tcW w:w="1542" w:type="dxa"/>
            <w:tcBorders>
              <w:top w:val="single" w:sz="8" w:space="0" w:color="auto"/>
              <w:left w:val="nil"/>
              <w:bottom w:val="single" w:sz="8" w:space="0" w:color="auto"/>
              <w:right w:val="single" w:sz="8" w:space="0" w:color="auto"/>
            </w:tcBorders>
            <w:shd w:val="clear" w:color="000000" w:fill="auto"/>
            <w:noWrap/>
            <w:vAlign w:val="center"/>
            <w:hideMark/>
          </w:tcPr>
          <w:p w14:paraId="03E2B900" w14:textId="343130CC" w:rsidR="00BA4DCC" w:rsidRPr="00D01F4D" w:rsidRDefault="00BA4DCC" w:rsidP="00422161">
            <w:pPr>
              <w:rPr>
                <w:rFonts w:cs="Arial"/>
                <w:b/>
                <w:bCs/>
                <w:color w:val="000000"/>
                <w:sz w:val="16"/>
                <w:szCs w:val="16"/>
                <w:lang w:val="en-US" w:eastAsia="en-US"/>
              </w:rPr>
            </w:pPr>
            <w:r>
              <w:rPr>
                <w:rFonts w:cs="Arial"/>
                <w:b/>
                <w:bCs/>
                <w:color w:val="000000"/>
                <w:sz w:val="16"/>
                <w:szCs w:val="16"/>
              </w:rPr>
              <w:t xml:space="preserve"> AUD     339.273 </w:t>
            </w:r>
          </w:p>
        </w:tc>
      </w:tr>
      <w:tr w:rsidR="00BA4DCC" w:rsidRPr="00D01F4D" w14:paraId="72D02E30" w14:textId="77777777" w:rsidTr="00BF0EEF">
        <w:trPr>
          <w:trHeight w:val="538"/>
          <w:jc w:val="center"/>
        </w:trPr>
        <w:tc>
          <w:tcPr>
            <w:tcW w:w="639" w:type="dxa"/>
            <w:tcBorders>
              <w:top w:val="single" w:sz="4" w:space="0" w:color="auto"/>
              <w:left w:val="single" w:sz="8" w:space="0" w:color="auto"/>
              <w:bottom w:val="nil"/>
              <w:right w:val="single" w:sz="4" w:space="0" w:color="auto"/>
            </w:tcBorders>
            <w:shd w:val="clear" w:color="auto" w:fill="auto"/>
            <w:noWrap/>
            <w:vAlign w:val="center"/>
            <w:hideMark/>
          </w:tcPr>
          <w:p w14:paraId="4878FB65" w14:textId="77777777" w:rsidR="00BA4DCC" w:rsidRPr="00D01F4D" w:rsidRDefault="00BA4DCC" w:rsidP="00422161">
            <w:pPr>
              <w:rPr>
                <w:rFonts w:cs="Arial"/>
                <w:b/>
                <w:bCs/>
                <w:color w:val="000000"/>
                <w:sz w:val="20"/>
                <w:szCs w:val="20"/>
                <w:lang w:val="en-US" w:eastAsia="en-US"/>
              </w:rPr>
            </w:pPr>
            <w:r w:rsidRPr="00D01F4D">
              <w:rPr>
                <w:rFonts w:cs="Arial"/>
                <w:b/>
                <w:bCs/>
                <w:color w:val="000000"/>
                <w:sz w:val="20"/>
                <w:szCs w:val="20"/>
                <w:lang w:val="en-US" w:eastAsia="en-US"/>
              </w:rPr>
              <w:t>BP</w:t>
            </w:r>
          </w:p>
        </w:tc>
        <w:tc>
          <w:tcPr>
            <w:tcW w:w="2353" w:type="dxa"/>
            <w:tcBorders>
              <w:top w:val="nil"/>
              <w:left w:val="nil"/>
              <w:bottom w:val="single" w:sz="4" w:space="0" w:color="auto"/>
              <w:right w:val="nil"/>
            </w:tcBorders>
            <w:shd w:val="clear" w:color="auto" w:fill="auto"/>
            <w:vAlign w:val="center"/>
            <w:hideMark/>
          </w:tcPr>
          <w:p w14:paraId="64513F16" w14:textId="77777777" w:rsidR="00BA4DCC" w:rsidRPr="00D01F4D" w:rsidRDefault="00BA4DCC" w:rsidP="00422161">
            <w:pPr>
              <w:rPr>
                <w:rFonts w:cs="Arial"/>
                <w:color w:val="000000"/>
                <w:sz w:val="20"/>
                <w:szCs w:val="20"/>
                <w:lang w:val="en-US" w:eastAsia="en-US"/>
              </w:rPr>
            </w:pPr>
            <w:r w:rsidRPr="00D01F4D">
              <w:rPr>
                <w:rFonts w:cs="Arial"/>
                <w:color w:val="000000"/>
                <w:sz w:val="20"/>
                <w:szCs w:val="20"/>
                <w:lang w:val="en-US" w:eastAsia="en-US"/>
              </w:rPr>
              <w:t>Total non-MBS costs</w:t>
            </w:r>
          </w:p>
        </w:tc>
        <w:tc>
          <w:tcPr>
            <w:tcW w:w="1107"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1BEE1054" w14:textId="6D5AA6D3" w:rsidR="00BA4DCC" w:rsidRPr="00D01F4D" w:rsidRDefault="00BA4DCC" w:rsidP="00422161">
            <w:pPr>
              <w:rPr>
                <w:rFonts w:cs="Arial"/>
                <w:b/>
                <w:color w:val="000000"/>
                <w:sz w:val="16"/>
                <w:szCs w:val="16"/>
                <w:lang w:val="en-US" w:eastAsia="en-US"/>
              </w:rPr>
            </w:pPr>
            <w:r>
              <w:rPr>
                <w:rFonts w:cs="Arial"/>
                <w:color w:val="000000"/>
                <w:sz w:val="16"/>
                <w:szCs w:val="16"/>
              </w:rPr>
              <w:t>Row BF</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16F5181F" w14:textId="5EB08CB1" w:rsidR="00BA4DCC" w:rsidRPr="00D01F4D" w:rsidRDefault="00BA4DCC" w:rsidP="00422161">
            <w:pPr>
              <w:rPr>
                <w:rFonts w:cs="Arial"/>
                <w:b/>
                <w:color w:val="000000"/>
                <w:sz w:val="16"/>
                <w:szCs w:val="16"/>
                <w:lang w:val="en-US" w:eastAsia="en-US"/>
              </w:rPr>
            </w:pPr>
            <w:r>
              <w:rPr>
                <w:rFonts w:cs="Arial"/>
                <w:color w:val="000000"/>
                <w:sz w:val="16"/>
                <w:szCs w:val="16"/>
              </w:rPr>
              <w:t xml:space="preserve"> AUD       1.191.977 </w:t>
            </w:r>
          </w:p>
        </w:tc>
        <w:tc>
          <w:tcPr>
            <w:tcW w:w="1664" w:type="dxa"/>
            <w:tcBorders>
              <w:top w:val="single" w:sz="4" w:space="0" w:color="auto"/>
              <w:left w:val="nil"/>
              <w:bottom w:val="single" w:sz="8" w:space="0" w:color="auto"/>
              <w:right w:val="single" w:sz="4" w:space="0" w:color="auto"/>
            </w:tcBorders>
            <w:shd w:val="clear" w:color="auto" w:fill="auto"/>
            <w:noWrap/>
            <w:vAlign w:val="center"/>
            <w:hideMark/>
          </w:tcPr>
          <w:p w14:paraId="53AB1A2D" w14:textId="750CFD93" w:rsidR="00BA4DCC" w:rsidRPr="00D01F4D" w:rsidRDefault="00BA4DCC" w:rsidP="00422161">
            <w:pPr>
              <w:rPr>
                <w:rFonts w:cs="Arial"/>
                <w:b/>
                <w:color w:val="000000"/>
                <w:sz w:val="16"/>
                <w:szCs w:val="16"/>
                <w:lang w:val="en-US" w:eastAsia="en-US"/>
              </w:rPr>
            </w:pPr>
            <w:r>
              <w:rPr>
                <w:rFonts w:cs="Arial"/>
                <w:color w:val="000000"/>
                <w:sz w:val="16"/>
                <w:szCs w:val="16"/>
              </w:rPr>
              <w:t xml:space="preserve"> AUD       1.212.822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66182409" w14:textId="691D107D" w:rsidR="00BA4DCC" w:rsidRPr="00D01F4D" w:rsidRDefault="00BA4DCC" w:rsidP="00422161">
            <w:pPr>
              <w:rPr>
                <w:rFonts w:cs="Arial"/>
                <w:b/>
                <w:color w:val="000000"/>
                <w:sz w:val="16"/>
                <w:szCs w:val="16"/>
                <w:lang w:val="en-US" w:eastAsia="en-US"/>
              </w:rPr>
            </w:pPr>
            <w:r>
              <w:rPr>
                <w:rFonts w:cs="Arial"/>
                <w:color w:val="000000"/>
                <w:sz w:val="16"/>
                <w:szCs w:val="16"/>
              </w:rPr>
              <w:t xml:space="preserve"> AUD       1.233.498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472B587E" w14:textId="1320F07C" w:rsidR="00BA4DCC" w:rsidRPr="00D01F4D" w:rsidRDefault="00BA4DCC" w:rsidP="00422161">
            <w:pPr>
              <w:rPr>
                <w:rFonts w:cs="Arial"/>
                <w:b/>
                <w:color w:val="000000"/>
                <w:sz w:val="16"/>
                <w:szCs w:val="16"/>
                <w:lang w:val="en-US" w:eastAsia="en-US"/>
              </w:rPr>
            </w:pPr>
            <w:r>
              <w:rPr>
                <w:rFonts w:cs="Arial"/>
                <w:color w:val="000000"/>
                <w:sz w:val="16"/>
                <w:szCs w:val="16"/>
              </w:rPr>
              <w:t xml:space="preserve"> AUD       1.254.005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64EEB0D7" w14:textId="011214A8" w:rsidR="00BA4DCC" w:rsidRPr="00D01F4D" w:rsidRDefault="00BA4DCC" w:rsidP="00422161">
            <w:pPr>
              <w:rPr>
                <w:rFonts w:cs="Arial"/>
                <w:b/>
                <w:color w:val="000000"/>
                <w:sz w:val="16"/>
                <w:szCs w:val="16"/>
                <w:lang w:val="en-US" w:eastAsia="en-US"/>
              </w:rPr>
            </w:pPr>
            <w:r>
              <w:rPr>
                <w:rFonts w:cs="Arial"/>
                <w:color w:val="000000"/>
                <w:sz w:val="16"/>
                <w:szCs w:val="16"/>
              </w:rPr>
              <w:t xml:space="preserve"> AUD       1.274.202 </w:t>
            </w:r>
          </w:p>
        </w:tc>
        <w:tc>
          <w:tcPr>
            <w:tcW w:w="1542" w:type="dxa"/>
            <w:tcBorders>
              <w:top w:val="single" w:sz="4" w:space="0" w:color="auto"/>
              <w:left w:val="nil"/>
              <w:bottom w:val="single" w:sz="8" w:space="0" w:color="auto"/>
              <w:right w:val="single" w:sz="8" w:space="0" w:color="auto"/>
            </w:tcBorders>
            <w:shd w:val="clear" w:color="auto" w:fill="auto"/>
            <w:noWrap/>
            <w:vAlign w:val="center"/>
            <w:hideMark/>
          </w:tcPr>
          <w:p w14:paraId="3403047E" w14:textId="32B6A54C" w:rsidR="00BA4DCC" w:rsidRPr="00D01F4D" w:rsidRDefault="00BA4DCC" w:rsidP="00422161">
            <w:pPr>
              <w:rPr>
                <w:rFonts w:cs="Arial"/>
                <w:b/>
                <w:color w:val="000000"/>
                <w:sz w:val="16"/>
                <w:szCs w:val="16"/>
                <w:lang w:val="en-US" w:eastAsia="en-US"/>
              </w:rPr>
            </w:pPr>
            <w:r>
              <w:rPr>
                <w:rFonts w:cs="Arial"/>
                <w:color w:val="000000"/>
                <w:sz w:val="16"/>
                <w:szCs w:val="16"/>
              </w:rPr>
              <w:t xml:space="preserve"> AUD  1.295.863 </w:t>
            </w:r>
          </w:p>
        </w:tc>
      </w:tr>
      <w:tr w:rsidR="00BA4DCC" w:rsidRPr="00D01F4D" w14:paraId="40FE23EA" w14:textId="77777777" w:rsidTr="00BF0EEF">
        <w:trPr>
          <w:trHeight w:val="987"/>
          <w:jc w:val="center"/>
        </w:trPr>
        <w:tc>
          <w:tcPr>
            <w:tcW w:w="639" w:type="dxa"/>
            <w:tcBorders>
              <w:top w:val="single" w:sz="4" w:space="0" w:color="auto"/>
              <w:left w:val="single" w:sz="8" w:space="0" w:color="auto"/>
              <w:bottom w:val="nil"/>
              <w:right w:val="single" w:sz="4" w:space="0" w:color="auto"/>
            </w:tcBorders>
            <w:shd w:val="clear" w:color="auto" w:fill="auto"/>
            <w:noWrap/>
            <w:vAlign w:val="center"/>
            <w:hideMark/>
          </w:tcPr>
          <w:p w14:paraId="3788CE2A" w14:textId="77777777" w:rsidR="00BA4DCC" w:rsidRPr="00D01F4D" w:rsidRDefault="00BA4DCC" w:rsidP="00422161">
            <w:pPr>
              <w:rPr>
                <w:rFonts w:cs="Arial"/>
                <w:b/>
                <w:bCs/>
                <w:color w:val="000000"/>
                <w:sz w:val="20"/>
                <w:szCs w:val="20"/>
                <w:lang w:val="en-US" w:eastAsia="en-US"/>
              </w:rPr>
            </w:pPr>
            <w:r w:rsidRPr="00D01F4D">
              <w:rPr>
                <w:rFonts w:cs="Arial"/>
                <w:b/>
                <w:bCs/>
                <w:color w:val="000000"/>
                <w:sz w:val="20"/>
                <w:szCs w:val="20"/>
                <w:lang w:val="en-US" w:eastAsia="en-US"/>
              </w:rPr>
              <w:t>BQ</w:t>
            </w:r>
          </w:p>
        </w:tc>
        <w:tc>
          <w:tcPr>
            <w:tcW w:w="2353" w:type="dxa"/>
            <w:tcBorders>
              <w:top w:val="nil"/>
              <w:left w:val="nil"/>
              <w:bottom w:val="nil"/>
              <w:right w:val="nil"/>
            </w:tcBorders>
            <w:shd w:val="clear" w:color="auto" w:fill="auto"/>
            <w:vAlign w:val="center"/>
            <w:hideMark/>
          </w:tcPr>
          <w:p w14:paraId="1659FC4C" w14:textId="77777777" w:rsidR="00BA4DCC" w:rsidRPr="00D01F4D" w:rsidRDefault="00BA4DCC" w:rsidP="00422161">
            <w:pPr>
              <w:rPr>
                <w:rFonts w:cs="Arial"/>
                <w:b/>
                <w:bCs/>
                <w:color w:val="000000"/>
                <w:sz w:val="20"/>
                <w:szCs w:val="20"/>
                <w:lang w:val="en-US" w:eastAsia="en-US"/>
              </w:rPr>
            </w:pPr>
            <w:r w:rsidRPr="00D01F4D">
              <w:rPr>
                <w:rFonts w:cs="Arial"/>
                <w:b/>
                <w:bCs/>
                <w:color w:val="000000"/>
                <w:sz w:val="20"/>
                <w:szCs w:val="20"/>
                <w:lang w:val="en-US" w:eastAsia="en-US"/>
              </w:rPr>
              <w:t>Overall total costs of the proposed intervention</w:t>
            </w:r>
          </w:p>
        </w:tc>
        <w:tc>
          <w:tcPr>
            <w:tcW w:w="1107"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1530BDB0" w14:textId="3B32AF15" w:rsidR="00BA4DCC" w:rsidRPr="00D01F4D" w:rsidRDefault="00BA4DCC" w:rsidP="00422161">
            <w:pPr>
              <w:rPr>
                <w:rFonts w:cs="Arial"/>
                <w:b/>
                <w:color w:val="000000"/>
                <w:sz w:val="16"/>
                <w:szCs w:val="16"/>
                <w:lang w:val="en-US" w:eastAsia="en-US"/>
              </w:rPr>
            </w:pPr>
            <w:r>
              <w:rPr>
                <w:rFonts w:cs="Arial"/>
                <w:color w:val="000000"/>
                <w:sz w:val="16"/>
                <w:szCs w:val="16"/>
              </w:rPr>
              <w:t>BL + BM</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09E9C6C2" w14:textId="40F4E75D" w:rsidR="00BA4DCC" w:rsidRPr="00D01F4D" w:rsidRDefault="00BA4DCC" w:rsidP="00422161">
            <w:pPr>
              <w:rPr>
                <w:rFonts w:cs="Arial"/>
                <w:b/>
                <w:bCs/>
                <w:color w:val="000000"/>
                <w:sz w:val="16"/>
                <w:szCs w:val="16"/>
                <w:lang w:val="en-US" w:eastAsia="en-US"/>
              </w:rPr>
            </w:pPr>
            <w:r>
              <w:rPr>
                <w:rFonts w:cs="Arial"/>
                <w:b/>
                <w:bCs/>
                <w:color w:val="000000"/>
                <w:sz w:val="16"/>
                <w:szCs w:val="16"/>
              </w:rPr>
              <w:t xml:space="preserve"> AUD       1.504.051 </w:t>
            </w:r>
          </w:p>
        </w:tc>
        <w:tc>
          <w:tcPr>
            <w:tcW w:w="1664" w:type="dxa"/>
            <w:tcBorders>
              <w:top w:val="single" w:sz="4" w:space="0" w:color="auto"/>
              <w:left w:val="nil"/>
              <w:bottom w:val="single" w:sz="8" w:space="0" w:color="auto"/>
              <w:right w:val="single" w:sz="4" w:space="0" w:color="auto"/>
            </w:tcBorders>
            <w:shd w:val="clear" w:color="auto" w:fill="auto"/>
            <w:noWrap/>
            <w:vAlign w:val="center"/>
            <w:hideMark/>
          </w:tcPr>
          <w:p w14:paraId="687AAE55" w14:textId="154DD284" w:rsidR="00BA4DCC" w:rsidRPr="00D01F4D" w:rsidRDefault="00BA4DCC" w:rsidP="00422161">
            <w:pPr>
              <w:rPr>
                <w:rFonts w:cs="Arial"/>
                <w:b/>
                <w:bCs/>
                <w:color w:val="000000"/>
                <w:sz w:val="16"/>
                <w:szCs w:val="16"/>
                <w:lang w:val="en-US" w:eastAsia="en-US"/>
              </w:rPr>
            </w:pPr>
            <w:r>
              <w:rPr>
                <w:rFonts w:cs="Arial"/>
                <w:b/>
                <w:bCs/>
                <w:color w:val="000000"/>
                <w:sz w:val="16"/>
                <w:szCs w:val="16"/>
              </w:rPr>
              <w:t xml:space="preserve"> AUD       1.530.354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457ED303" w14:textId="25B72E78" w:rsidR="00BA4DCC" w:rsidRPr="00D01F4D" w:rsidRDefault="00BA4DCC" w:rsidP="00422161">
            <w:pPr>
              <w:rPr>
                <w:rFonts w:cs="Arial"/>
                <w:b/>
                <w:bCs/>
                <w:color w:val="000000"/>
                <w:sz w:val="16"/>
                <w:szCs w:val="16"/>
                <w:lang w:val="en-US" w:eastAsia="en-US"/>
              </w:rPr>
            </w:pPr>
            <w:r>
              <w:rPr>
                <w:rFonts w:cs="Arial"/>
                <w:b/>
                <w:bCs/>
                <w:color w:val="000000"/>
                <w:sz w:val="16"/>
                <w:szCs w:val="16"/>
              </w:rPr>
              <w:t xml:space="preserve"> AUD       1.556.443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2D71F5A7" w14:textId="32313018" w:rsidR="00BA4DCC" w:rsidRPr="00D01F4D" w:rsidRDefault="00BA4DCC" w:rsidP="00422161">
            <w:pPr>
              <w:rPr>
                <w:rFonts w:cs="Arial"/>
                <w:b/>
                <w:bCs/>
                <w:color w:val="000000"/>
                <w:sz w:val="16"/>
                <w:szCs w:val="16"/>
                <w:lang w:val="en-US" w:eastAsia="en-US"/>
              </w:rPr>
            </w:pPr>
            <w:r>
              <w:rPr>
                <w:rFonts w:cs="Arial"/>
                <w:b/>
                <w:bCs/>
                <w:color w:val="000000"/>
                <w:sz w:val="16"/>
                <w:szCs w:val="16"/>
              </w:rPr>
              <w:t xml:space="preserve"> AUD       1.582.320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07E9E029" w14:textId="6B020F04" w:rsidR="00BA4DCC" w:rsidRPr="00D01F4D" w:rsidRDefault="00BA4DCC" w:rsidP="00422161">
            <w:pPr>
              <w:rPr>
                <w:rFonts w:cs="Arial"/>
                <w:b/>
                <w:bCs/>
                <w:color w:val="000000"/>
                <w:sz w:val="16"/>
                <w:szCs w:val="16"/>
                <w:lang w:val="en-US" w:eastAsia="en-US"/>
              </w:rPr>
            </w:pPr>
            <w:r>
              <w:rPr>
                <w:rFonts w:cs="Arial"/>
                <w:b/>
                <w:bCs/>
                <w:color w:val="000000"/>
                <w:sz w:val="16"/>
                <w:szCs w:val="16"/>
              </w:rPr>
              <w:t xml:space="preserve"> AUD       1.607.804 </w:t>
            </w:r>
          </w:p>
        </w:tc>
        <w:tc>
          <w:tcPr>
            <w:tcW w:w="1542" w:type="dxa"/>
            <w:tcBorders>
              <w:top w:val="single" w:sz="4" w:space="0" w:color="auto"/>
              <w:left w:val="nil"/>
              <w:bottom w:val="single" w:sz="8" w:space="0" w:color="auto"/>
              <w:right w:val="single" w:sz="8" w:space="0" w:color="auto"/>
            </w:tcBorders>
            <w:shd w:val="clear" w:color="auto" w:fill="auto"/>
            <w:noWrap/>
            <w:vAlign w:val="center"/>
            <w:hideMark/>
          </w:tcPr>
          <w:p w14:paraId="32494C3A" w14:textId="29C61119" w:rsidR="00BA4DCC" w:rsidRPr="00D01F4D" w:rsidRDefault="00BA4DCC" w:rsidP="00422161">
            <w:pPr>
              <w:rPr>
                <w:rFonts w:cs="Arial"/>
                <w:b/>
                <w:bCs/>
                <w:color w:val="000000"/>
                <w:sz w:val="16"/>
                <w:szCs w:val="16"/>
                <w:lang w:val="en-US" w:eastAsia="en-US"/>
              </w:rPr>
            </w:pPr>
            <w:r>
              <w:rPr>
                <w:rFonts w:cs="Arial"/>
                <w:b/>
                <w:bCs/>
                <w:color w:val="000000"/>
                <w:sz w:val="16"/>
                <w:szCs w:val="16"/>
              </w:rPr>
              <w:t xml:space="preserve"> AUD  1.635.137 </w:t>
            </w:r>
          </w:p>
        </w:tc>
      </w:tr>
      <w:tr w:rsidR="009159A8" w:rsidRPr="00D01F4D" w14:paraId="23A87E1E" w14:textId="77777777" w:rsidTr="00BF0EEF">
        <w:trPr>
          <w:trHeight w:val="300"/>
          <w:jc w:val="center"/>
        </w:trPr>
        <w:tc>
          <w:tcPr>
            <w:tcW w:w="63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0B48F7D" w14:textId="77777777" w:rsidR="009159A8" w:rsidRPr="00D01F4D" w:rsidRDefault="009159A8" w:rsidP="00422161">
            <w:pPr>
              <w:rPr>
                <w:rFonts w:cs="Arial"/>
                <w:b/>
                <w:bCs/>
                <w:color w:val="000000"/>
                <w:sz w:val="20"/>
                <w:szCs w:val="20"/>
                <w:lang w:val="en-US" w:eastAsia="en-US"/>
              </w:rPr>
            </w:pPr>
            <w:r w:rsidRPr="00D01F4D">
              <w:rPr>
                <w:rFonts w:cs="Arial"/>
                <w:b/>
                <w:bCs/>
                <w:color w:val="000000"/>
                <w:sz w:val="20"/>
                <w:szCs w:val="20"/>
                <w:lang w:val="en-US" w:eastAsia="en-US"/>
              </w:rPr>
              <w:t> </w:t>
            </w:r>
          </w:p>
        </w:tc>
        <w:tc>
          <w:tcPr>
            <w:tcW w:w="13722" w:type="dxa"/>
            <w:gridSpan w:val="8"/>
            <w:tcBorders>
              <w:top w:val="single" w:sz="4" w:space="0" w:color="auto"/>
              <w:left w:val="single" w:sz="4" w:space="0" w:color="auto"/>
              <w:bottom w:val="single" w:sz="4" w:space="0" w:color="auto"/>
              <w:right w:val="single" w:sz="8" w:space="0" w:color="000000"/>
            </w:tcBorders>
            <w:shd w:val="clear" w:color="auto" w:fill="auto"/>
            <w:vAlign w:val="center"/>
            <w:hideMark/>
          </w:tcPr>
          <w:p w14:paraId="59F19330" w14:textId="77777777" w:rsidR="009159A8" w:rsidRPr="00D01F4D" w:rsidRDefault="009159A8" w:rsidP="00422161">
            <w:pPr>
              <w:rPr>
                <w:rFonts w:cs="Arial"/>
                <w:b/>
                <w:bCs/>
                <w:color w:val="000000"/>
                <w:sz w:val="20"/>
                <w:szCs w:val="20"/>
                <w:lang w:val="en-US" w:eastAsia="en-US"/>
              </w:rPr>
            </w:pPr>
            <w:r w:rsidRPr="00D01F4D">
              <w:rPr>
                <w:rFonts w:cs="Arial"/>
                <w:b/>
                <w:bCs/>
                <w:color w:val="000000"/>
                <w:sz w:val="20"/>
                <w:szCs w:val="20"/>
                <w:lang w:val="en-US" w:eastAsia="en-US"/>
              </w:rPr>
              <w:t>Maxum/Soundtec</w:t>
            </w:r>
          </w:p>
        </w:tc>
      </w:tr>
      <w:tr w:rsidR="00BA4DCC" w:rsidRPr="00D01F4D" w14:paraId="1F9F3806" w14:textId="77777777" w:rsidTr="00BF0EEF">
        <w:trPr>
          <w:trHeight w:val="570"/>
          <w:jc w:val="center"/>
        </w:trPr>
        <w:tc>
          <w:tcPr>
            <w:tcW w:w="639" w:type="dxa"/>
            <w:tcBorders>
              <w:top w:val="nil"/>
              <w:left w:val="single" w:sz="8" w:space="0" w:color="auto"/>
              <w:bottom w:val="single" w:sz="4" w:space="0" w:color="auto"/>
              <w:right w:val="single" w:sz="4" w:space="0" w:color="auto"/>
            </w:tcBorders>
            <w:shd w:val="clear" w:color="auto" w:fill="auto"/>
            <w:noWrap/>
            <w:vAlign w:val="center"/>
            <w:hideMark/>
          </w:tcPr>
          <w:p w14:paraId="11FB0B09" w14:textId="77777777" w:rsidR="00BA4DCC" w:rsidRPr="00D01F4D" w:rsidRDefault="00BA4DCC" w:rsidP="00422161">
            <w:pPr>
              <w:rPr>
                <w:rFonts w:cs="Arial"/>
                <w:b/>
                <w:bCs/>
                <w:color w:val="000000"/>
                <w:sz w:val="20"/>
                <w:szCs w:val="20"/>
                <w:lang w:val="en-US" w:eastAsia="en-US"/>
              </w:rPr>
            </w:pPr>
            <w:r w:rsidRPr="00D01F4D">
              <w:rPr>
                <w:rFonts w:cs="Arial"/>
                <w:b/>
                <w:bCs/>
                <w:color w:val="000000"/>
                <w:sz w:val="20"/>
                <w:szCs w:val="20"/>
                <w:lang w:val="en-US" w:eastAsia="en-US"/>
              </w:rPr>
              <w:t>BR</w:t>
            </w:r>
          </w:p>
        </w:tc>
        <w:tc>
          <w:tcPr>
            <w:tcW w:w="2353" w:type="dxa"/>
            <w:tcBorders>
              <w:top w:val="nil"/>
              <w:left w:val="nil"/>
              <w:bottom w:val="single" w:sz="4" w:space="0" w:color="auto"/>
              <w:right w:val="single" w:sz="4" w:space="0" w:color="auto"/>
            </w:tcBorders>
            <w:shd w:val="clear" w:color="auto" w:fill="auto"/>
            <w:vAlign w:val="center"/>
            <w:hideMark/>
          </w:tcPr>
          <w:p w14:paraId="66E30C58" w14:textId="77777777" w:rsidR="00BA4DCC" w:rsidRPr="00D01F4D" w:rsidRDefault="00BA4DCC" w:rsidP="00422161">
            <w:pPr>
              <w:rPr>
                <w:rFonts w:cs="Arial"/>
                <w:color w:val="000000"/>
                <w:sz w:val="20"/>
                <w:szCs w:val="20"/>
                <w:lang w:val="en-US" w:eastAsia="en-US"/>
              </w:rPr>
            </w:pPr>
            <w:r w:rsidRPr="00D01F4D">
              <w:rPr>
                <w:rFonts w:cs="Arial"/>
                <w:color w:val="000000"/>
                <w:sz w:val="20"/>
                <w:szCs w:val="20"/>
                <w:lang w:val="en-US" w:eastAsia="en-US"/>
              </w:rPr>
              <w:t>Cost to MBS of the proposed item</w:t>
            </w:r>
          </w:p>
        </w:tc>
        <w:tc>
          <w:tcPr>
            <w:tcW w:w="1107" w:type="dxa"/>
            <w:tcBorders>
              <w:top w:val="nil"/>
              <w:left w:val="nil"/>
              <w:bottom w:val="single" w:sz="4" w:space="0" w:color="auto"/>
              <w:right w:val="single" w:sz="4" w:space="0" w:color="auto"/>
            </w:tcBorders>
            <w:shd w:val="clear" w:color="auto" w:fill="auto"/>
            <w:vAlign w:val="center"/>
            <w:hideMark/>
          </w:tcPr>
          <w:p w14:paraId="2F5D6F06" w14:textId="7FC8C56B" w:rsidR="00BA4DCC" w:rsidRPr="00D01F4D" w:rsidRDefault="00BA4DCC" w:rsidP="00422161">
            <w:pPr>
              <w:rPr>
                <w:rFonts w:cs="Arial"/>
                <w:b/>
                <w:color w:val="000000"/>
                <w:sz w:val="16"/>
                <w:szCs w:val="16"/>
                <w:lang w:val="en-US" w:eastAsia="en-US"/>
              </w:rPr>
            </w:pPr>
            <w:r>
              <w:rPr>
                <w:rFonts w:cs="Arial"/>
                <w:color w:val="000000"/>
                <w:sz w:val="16"/>
                <w:szCs w:val="16"/>
              </w:rPr>
              <w:t>Row M</w:t>
            </w:r>
          </w:p>
        </w:tc>
        <w:tc>
          <w:tcPr>
            <w:tcW w:w="1764" w:type="dxa"/>
            <w:tcBorders>
              <w:top w:val="nil"/>
              <w:left w:val="nil"/>
              <w:bottom w:val="single" w:sz="8" w:space="0" w:color="auto"/>
              <w:right w:val="single" w:sz="4" w:space="0" w:color="auto"/>
            </w:tcBorders>
            <w:shd w:val="clear" w:color="auto" w:fill="auto"/>
            <w:noWrap/>
            <w:vAlign w:val="center"/>
            <w:hideMark/>
          </w:tcPr>
          <w:p w14:paraId="2E7917F7" w14:textId="747C8C31" w:rsidR="00BA4DCC" w:rsidRPr="00D01F4D" w:rsidRDefault="00BA4DCC" w:rsidP="00422161">
            <w:pPr>
              <w:rPr>
                <w:rFonts w:cs="Arial"/>
                <w:b/>
                <w:color w:val="000000"/>
                <w:sz w:val="16"/>
                <w:szCs w:val="16"/>
                <w:lang w:val="en-US" w:eastAsia="en-US"/>
              </w:rPr>
            </w:pPr>
            <w:r>
              <w:rPr>
                <w:rFonts w:cs="Arial"/>
                <w:color w:val="000000"/>
                <w:sz w:val="16"/>
                <w:szCs w:val="16"/>
              </w:rPr>
              <w:t xml:space="preserve"> AUD          149.512 </w:t>
            </w:r>
          </w:p>
        </w:tc>
        <w:tc>
          <w:tcPr>
            <w:tcW w:w="1664" w:type="dxa"/>
            <w:tcBorders>
              <w:top w:val="nil"/>
              <w:left w:val="nil"/>
              <w:bottom w:val="single" w:sz="8" w:space="0" w:color="auto"/>
              <w:right w:val="single" w:sz="4" w:space="0" w:color="auto"/>
            </w:tcBorders>
            <w:shd w:val="clear" w:color="auto" w:fill="auto"/>
            <w:noWrap/>
            <w:vAlign w:val="center"/>
            <w:hideMark/>
          </w:tcPr>
          <w:p w14:paraId="76992FF3" w14:textId="53452082" w:rsidR="00BA4DCC" w:rsidRPr="00D01F4D" w:rsidRDefault="00BA4DCC" w:rsidP="00422161">
            <w:pPr>
              <w:rPr>
                <w:rFonts w:cs="Arial"/>
                <w:b/>
                <w:color w:val="000000"/>
                <w:sz w:val="16"/>
                <w:szCs w:val="16"/>
                <w:lang w:val="en-US" w:eastAsia="en-US"/>
              </w:rPr>
            </w:pPr>
            <w:r>
              <w:rPr>
                <w:rFonts w:cs="Arial"/>
                <w:color w:val="000000"/>
                <w:sz w:val="16"/>
                <w:szCs w:val="16"/>
              </w:rPr>
              <w:t xml:space="preserve"> AUD          152.127 </w:t>
            </w:r>
          </w:p>
        </w:tc>
        <w:tc>
          <w:tcPr>
            <w:tcW w:w="1764" w:type="dxa"/>
            <w:tcBorders>
              <w:top w:val="nil"/>
              <w:left w:val="nil"/>
              <w:bottom w:val="single" w:sz="8" w:space="0" w:color="auto"/>
              <w:right w:val="single" w:sz="4" w:space="0" w:color="auto"/>
            </w:tcBorders>
            <w:shd w:val="clear" w:color="auto" w:fill="auto"/>
            <w:noWrap/>
            <w:vAlign w:val="center"/>
            <w:hideMark/>
          </w:tcPr>
          <w:p w14:paraId="6DD17995" w14:textId="0B4CCA9F" w:rsidR="00BA4DCC" w:rsidRPr="00D01F4D" w:rsidRDefault="00BA4DCC" w:rsidP="00422161">
            <w:pPr>
              <w:rPr>
                <w:rFonts w:cs="Arial"/>
                <w:b/>
                <w:color w:val="000000"/>
                <w:sz w:val="16"/>
                <w:szCs w:val="16"/>
                <w:lang w:val="en-US" w:eastAsia="en-US"/>
              </w:rPr>
            </w:pPr>
            <w:r>
              <w:rPr>
                <w:rFonts w:cs="Arial"/>
                <w:color w:val="000000"/>
                <w:sz w:val="16"/>
                <w:szCs w:val="16"/>
              </w:rPr>
              <w:t xml:space="preserve"> AUD          154.720 </w:t>
            </w:r>
          </w:p>
        </w:tc>
        <w:tc>
          <w:tcPr>
            <w:tcW w:w="1764" w:type="dxa"/>
            <w:tcBorders>
              <w:top w:val="nil"/>
              <w:left w:val="nil"/>
              <w:bottom w:val="single" w:sz="8" w:space="0" w:color="auto"/>
              <w:right w:val="single" w:sz="4" w:space="0" w:color="auto"/>
            </w:tcBorders>
            <w:shd w:val="clear" w:color="auto" w:fill="auto"/>
            <w:noWrap/>
            <w:vAlign w:val="center"/>
            <w:hideMark/>
          </w:tcPr>
          <w:p w14:paraId="18323028" w14:textId="2875CA7B" w:rsidR="00BA4DCC" w:rsidRPr="00D01F4D" w:rsidRDefault="00BA4DCC" w:rsidP="00422161">
            <w:pPr>
              <w:rPr>
                <w:rFonts w:cs="Arial"/>
                <w:b/>
                <w:color w:val="000000"/>
                <w:sz w:val="16"/>
                <w:szCs w:val="16"/>
                <w:lang w:val="en-US" w:eastAsia="en-US"/>
              </w:rPr>
            </w:pPr>
            <w:r>
              <w:rPr>
                <w:rFonts w:cs="Arial"/>
                <w:color w:val="000000"/>
                <w:sz w:val="16"/>
                <w:szCs w:val="16"/>
              </w:rPr>
              <w:t xml:space="preserve"> AUD          157.293 </w:t>
            </w:r>
          </w:p>
        </w:tc>
        <w:tc>
          <w:tcPr>
            <w:tcW w:w="1764" w:type="dxa"/>
            <w:tcBorders>
              <w:top w:val="nil"/>
              <w:left w:val="nil"/>
              <w:bottom w:val="single" w:sz="8" w:space="0" w:color="auto"/>
              <w:right w:val="single" w:sz="4" w:space="0" w:color="auto"/>
            </w:tcBorders>
            <w:shd w:val="clear" w:color="auto" w:fill="auto"/>
            <w:noWrap/>
            <w:vAlign w:val="center"/>
            <w:hideMark/>
          </w:tcPr>
          <w:p w14:paraId="586E3F14" w14:textId="0AB78943" w:rsidR="00BA4DCC" w:rsidRPr="00D01F4D" w:rsidRDefault="00BA4DCC" w:rsidP="00422161">
            <w:pPr>
              <w:rPr>
                <w:rFonts w:cs="Arial"/>
                <w:b/>
                <w:color w:val="000000"/>
                <w:sz w:val="16"/>
                <w:szCs w:val="16"/>
                <w:lang w:val="en-US" w:eastAsia="en-US"/>
              </w:rPr>
            </w:pPr>
            <w:r>
              <w:rPr>
                <w:rFonts w:cs="Arial"/>
                <w:color w:val="000000"/>
                <w:sz w:val="16"/>
                <w:szCs w:val="16"/>
              </w:rPr>
              <w:t xml:space="preserve"> AUD          159.826 </w:t>
            </w:r>
          </w:p>
        </w:tc>
        <w:tc>
          <w:tcPr>
            <w:tcW w:w="1542" w:type="dxa"/>
            <w:tcBorders>
              <w:top w:val="nil"/>
              <w:left w:val="nil"/>
              <w:bottom w:val="single" w:sz="8" w:space="0" w:color="auto"/>
              <w:right w:val="single" w:sz="8" w:space="0" w:color="auto"/>
            </w:tcBorders>
            <w:shd w:val="clear" w:color="auto" w:fill="auto"/>
            <w:noWrap/>
            <w:vAlign w:val="center"/>
            <w:hideMark/>
          </w:tcPr>
          <w:p w14:paraId="1876C639" w14:textId="723E0ECC" w:rsidR="00BA4DCC" w:rsidRPr="00D01F4D" w:rsidRDefault="00BA4DCC" w:rsidP="00422161">
            <w:pPr>
              <w:rPr>
                <w:rFonts w:cs="Arial"/>
                <w:b/>
                <w:color w:val="000000"/>
                <w:sz w:val="16"/>
                <w:szCs w:val="16"/>
                <w:lang w:val="en-US" w:eastAsia="en-US"/>
              </w:rPr>
            </w:pPr>
            <w:r>
              <w:rPr>
                <w:rFonts w:cs="Arial"/>
                <w:color w:val="000000"/>
                <w:sz w:val="16"/>
                <w:szCs w:val="16"/>
              </w:rPr>
              <w:t xml:space="preserve"> AUD     162.543 </w:t>
            </w:r>
          </w:p>
        </w:tc>
      </w:tr>
      <w:tr w:rsidR="00BA4DCC" w:rsidRPr="00D01F4D" w14:paraId="292582C1" w14:textId="77777777" w:rsidTr="00BF0EEF">
        <w:trPr>
          <w:trHeight w:val="570"/>
          <w:jc w:val="center"/>
        </w:trPr>
        <w:tc>
          <w:tcPr>
            <w:tcW w:w="639" w:type="dxa"/>
            <w:tcBorders>
              <w:top w:val="nil"/>
              <w:left w:val="single" w:sz="8" w:space="0" w:color="auto"/>
              <w:bottom w:val="single" w:sz="8" w:space="0" w:color="auto"/>
              <w:right w:val="single" w:sz="4" w:space="0" w:color="auto"/>
            </w:tcBorders>
            <w:shd w:val="clear" w:color="auto" w:fill="auto"/>
            <w:noWrap/>
            <w:vAlign w:val="center"/>
            <w:hideMark/>
          </w:tcPr>
          <w:p w14:paraId="3A350450" w14:textId="77777777" w:rsidR="00BA4DCC" w:rsidRPr="00D01F4D" w:rsidRDefault="00BA4DCC" w:rsidP="00422161">
            <w:pPr>
              <w:rPr>
                <w:rFonts w:cs="Arial"/>
                <w:b/>
                <w:bCs/>
                <w:color w:val="000000"/>
                <w:sz w:val="20"/>
                <w:szCs w:val="20"/>
                <w:lang w:val="en-US" w:eastAsia="en-US"/>
              </w:rPr>
            </w:pPr>
            <w:r w:rsidRPr="00D01F4D">
              <w:rPr>
                <w:rFonts w:cs="Arial"/>
                <w:b/>
                <w:bCs/>
                <w:color w:val="000000"/>
                <w:sz w:val="20"/>
                <w:szCs w:val="20"/>
                <w:lang w:val="en-US" w:eastAsia="en-US"/>
              </w:rPr>
              <w:t>BS</w:t>
            </w:r>
          </w:p>
        </w:tc>
        <w:tc>
          <w:tcPr>
            <w:tcW w:w="2353" w:type="dxa"/>
            <w:tcBorders>
              <w:top w:val="nil"/>
              <w:left w:val="nil"/>
              <w:bottom w:val="single" w:sz="8" w:space="0" w:color="auto"/>
              <w:right w:val="single" w:sz="4" w:space="0" w:color="auto"/>
            </w:tcBorders>
            <w:shd w:val="clear" w:color="auto" w:fill="auto"/>
            <w:vAlign w:val="center"/>
            <w:hideMark/>
          </w:tcPr>
          <w:p w14:paraId="1EF34B81" w14:textId="77777777" w:rsidR="00BA4DCC" w:rsidRPr="00D01F4D" w:rsidRDefault="00BA4DCC" w:rsidP="00422161">
            <w:pPr>
              <w:rPr>
                <w:rFonts w:cs="Arial"/>
                <w:color w:val="000000"/>
                <w:sz w:val="20"/>
                <w:szCs w:val="20"/>
                <w:lang w:val="en-US" w:eastAsia="en-US"/>
              </w:rPr>
            </w:pPr>
            <w:r w:rsidRPr="00D01F4D">
              <w:rPr>
                <w:rFonts w:cs="Arial"/>
                <w:color w:val="000000"/>
                <w:sz w:val="20"/>
                <w:szCs w:val="20"/>
                <w:lang w:val="en-US" w:eastAsia="en-US"/>
              </w:rPr>
              <w:t>Cost to the MBS of associated items</w:t>
            </w:r>
          </w:p>
        </w:tc>
        <w:tc>
          <w:tcPr>
            <w:tcW w:w="1107" w:type="dxa"/>
            <w:tcBorders>
              <w:top w:val="nil"/>
              <w:left w:val="nil"/>
              <w:bottom w:val="single" w:sz="8" w:space="0" w:color="auto"/>
              <w:right w:val="single" w:sz="4" w:space="0" w:color="auto"/>
            </w:tcBorders>
            <w:shd w:val="clear" w:color="auto" w:fill="auto"/>
            <w:vAlign w:val="center"/>
            <w:hideMark/>
          </w:tcPr>
          <w:p w14:paraId="76A4508D" w14:textId="4A313D3D" w:rsidR="00BA4DCC" w:rsidRPr="00D01F4D" w:rsidRDefault="00BA4DCC" w:rsidP="00422161">
            <w:pPr>
              <w:rPr>
                <w:rFonts w:cs="Arial"/>
                <w:b/>
                <w:color w:val="000000"/>
                <w:sz w:val="16"/>
                <w:szCs w:val="16"/>
                <w:lang w:val="en-US" w:eastAsia="en-US"/>
              </w:rPr>
            </w:pPr>
            <w:r>
              <w:rPr>
                <w:rFonts w:cs="Arial"/>
                <w:color w:val="000000"/>
                <w:sz w:val="16"/>
                <w:szCs w:val="16"/>
              </w:rPr>
              <w:t>Row AY</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18B3365F" w14:textId="627D66B6" w:rsidR="00BA4DCC" w:rsidRPr="00D01F4D" w:rsidRDefault="00BA4DCC" w:rsidP="00422161">
            <w:pPr>
              <w:rPr>
                <w:rFonts w:cs="Arial"/>
                <w:b/>
                <w:color w:val="000000"/>
                <w:sz w:val="16"/>
                <w:szCs w:val="16"/>
                <w:lang w:val="en-US" w:eastAsia="en-US"/>
              </w:rPr>
            </w:pPr>
            <w:r>
              <w:rPr>
                <w:rFonts w:cs="Arial"/>
                <w:color w:val="000000"/>
                <w:sz w:val="16"/>
                <w:szCs w:val="16"/>
              </w:rPr>
              <w:t xml:space="preserve"> AUD          129.637 </w:t>
            </w:r>
          </w:p>
        </w:tc>
        <w:tc>
          <w:tcPr>
            <w:tcW w:w="1664" w:type="dxa"/>
            <w:tcBorders>
              <w:top w:val="single" w:sz="4" w:space="0" w:color="auto"/>
              <w:left w:val="nil"/>
              <w:bottom w:val="single" w:sz="8" w:space="0" w:color="auto"/>
              <w:right w:val="single" w:sz="4" w:space="0" w:color="auto"/>
            </w:tcBorders>
            <w:shd w:val="clear" w:color="auto" w:fill="auto"/>
            <w:noWrap/>
            <w:vAlign w:val="center"/>
            <w:hideMark/>
          </w:tcPr>
          <w:p w14:paraId="2E39ABCF" w14:textId="74F8C9EF" w:rsidR="00BA4DCC" w:rsidRPr="00D01F4D" w:rsidRDefault="00BA4DCC" w:rsidP="00422161">
            <w:pPr>
              <w:rPr>
                <w:rFonts w:cs="Arial"/>
                <w:b/>
                <w:color w:val="000000"/>
                <w:sz w:val="16"/>
                <w:szCs w:val="16"/>
                <w:lang w:val="en-US" w:eastAsia="en-US"/>
              </w:rPr>
            </w:pPr>
            <w:r>
              <w:rPr>
                <w:rFonts w:cs="Arial"/>
                <w:color w:val="000000"/>
                <w:sz w:val="16"/>
                <w:szCs w:val="16"/>
              </w:rPr>
              <w:t xml:space="preserve"> AUD          131.904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7581011B" w14:textId="33C470B9" w:rsidR="00BA4DCC" w:rsidRPr="00D01F4D" w:rsidRDefault="00BA4DCC" w:rsidP="00422161">
            <w:pPr>
              <w:rPr>
                <w:rFonts w:cs="Arial"/>
                <w:b/>
                <w:color w:val="000000"/>
                <w:sz w:val="16"/>
                <w:szCs w:val="16"/>
                <w:lang w:val="en-US" w:eastAsia="en-US"/>
              </w:rPr>
            </w:pPr>
            <w:r>
              <w:rPr>
                <w:rFonts w:cs="Arial"/>
                <w:color w:val="000000"/>
                <w:sz w:val="16"/>
                <w:szCs w:val="16"/>
              </w:rPr>
              <w:t xml:space="preserve"> AUD          134.152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71147200" w14:textId="3B5BCB97" w:rsidR="00BA4DCC" w:rsidRPr="00D01F4D" w:rsidRDefault="00BA4DCC" w:rsidP="00422161">
            <w:pPr>
              <w:rPr>
                <w:rFonts w:cs="Arial"/>
                <w:b/>
                <w:color w:val="000000"/>
                <w:sz w:val="16"/>
                <w:szCs w:val="16"/>
                <w:lang w:val="en-US" w:eastAsia="en-US"/>
              </w:rPr>
            </w:pPr>
            <w:r>
              <w:rPr>
                <w:rFonts w:cs="Arial"/>
                <w:color w:val="000000"/>
                <w:sz w:val="16"/>
                <w:szCs w:val="16"/>
              </w:rPr>
              <w:t xml:space="preserve"> AUD          136.383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38665A51" w14:textId="10EFC9A4" w:rsidR="00BA4DCC" w:rsidRPr="00D01F4D" w:rsidRDefault="00BA4DCC" w:rsidP="00422161">
            <w:pPr>
              <w:rPr>
                <w:rFonts w:cs="Arial"/>
                <w:b/>
                <w:color w:val="000000"/>
                <w:sz w:val="16"/>
                <w:szCs w:val="16"/>
                <w:lang w:val="en-US" w:eastAsia="en-US"/>
              </w:rPr>
            </w:pPr>
            <w:r>
              <w:rPr>
                <w:rFonts w:cs="Arial"/>
                <w:color w:val="000000"/>
                <w:sz w:val="16"/>
                <w:szCs w:val="16"/>
              </w:rPr>
              <w:t xml:space="preserve"> AUD          138.579 </w:t>
            </w:r>
          </w:p>
        </w:tc>
        <w:tc>
          <w:tcPr>
            <w:tcW w:w="1542" w:type="dxa"/>
            <w:tcBorders>
              <w:top w:val="single" w:sz="4" w:space="0" w:color="auto"/>
              <w:left w:val="nil"/>
              <w:bottom w:val="single" w:sz="8" w:space="0" w:color="auto"/>
              <w:right w:val="single" w:sz="8" w:space="0" w:color="auto"/>
            </w:tcBorders>
            <w:shd w:val="clear" w:color="auto" w:fill="auto"/>
            <w:noWrap/>
            <w:vAlign w:val="center"/>
            <w:hideMark/>
          </w:tcPr>
          <w:p w14:paraId="49A3BA0E" w14:textId="4A68EB49" w:rsidR="00BA4DCC" w:rsidRPr="00D01F4D" w:rsidRDefault="00BA4DCC" w:rsidP="00422161">
            <w:pPr>
              <w:rPr>
                <w:rFonts w:cs="Arial"/>
                <w:b/>
                <w:color w:val="000000"/>
                <w:sz w:val="16"/>
                <w:szCs w:val="16"/>
                <w:lang w:val="en-US" w:eastAsia="en-US"/>
              </w:rPr>
            </w:pPr>
            <w:r>
              <w:rPr>
                <w:rFonts w:cs="Arial"/>
                <w:color w:val="000000"/>
                <w:sz w:val="16"/>
                <w:szCs w:val="16"/>
              </w:rPr>
              <w:t xml:space="preserve"> AUD     140.935 </w:t>
            </w:r>
          </w:p>
        </w:tc>
      </w:tr>
      <w:tr w:rsidR="00BA4DCC" w:rsidRPr="00D01F4D" w14:paraId="411AB1DE" w14:textId="77777777" w:rsidTr="00BF0EEF">
        <w:trPr>
          <w:trHeight w:val="660"/>
          <w:jc w:val="center"/>
        </w:trPr>
        <w:tc>
          <w:tcPr>
            <w:tcW w:w="639"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1F15ED86" w14:textId="77777777" w:rsidR="00BA4DCC" w:rsidRPr="00D01F4D" w:rsidRDefault="00BA4DCC" w:rsidP="00422161">
            <w:pPr>
              <w:rPr>
                <w:rFonts w:cs="Arial"/>
                <w:b/>
                <w:bCs/>
                <w:color w:val="000000"/>
                <w:sz w:val="20"/>
                <w:szCs w:val="20"/>
                <w:lang w:val="en-US" w:eastAsia="en-US"/>
              </w:rPr>
            </w:pPr>
            <w:r w:rsidRPr="00D01F4D">
              <w:rPr>
                <w:rFonts w:cs="Arial"/>
                <w:b/>
                <w:bCs/>
                <w:color w:val="000000"/>
                <w:sz w:val="20"/>
                <w:szCs w:val="20"/>
                <w:lang w:val="en-US" w:eastAsia="en-US"/>
              </w:rPr>
              <w:t>BT</w:t>
            </w:r>
          </w:p>
        </w:tc>
        <w:tc>
          <w:tcPr>
            <w:tcW w:w="2353" w:type="dxa"/>
            <w:tcBorders>
              <w:top w:val="single" w:sz="4" w:space="0" w:color="auto"/>
              <w:left w:val="nil"/>
              <w:bottom w:val="single" w:sz="8" w:space="0" w:color="auto"/>
              <w:right w:val="single" w:sz="4" w:space="0" w:color="auto"/>
            </w:tcBorders>
            <w:shd w:val="clear" w:color="auto" w:fill="auto"/>
            <w:vAlign w:val="center"/>
            <w:hideMark/>
          </w:tcPr>
          <w:p w14:paraId="2745E521" w14:textId="77777777" w:rsidR="00BA4DCC" w:rsidRPr="00D01F4D" w:rsidRDefault="00BA4DCC" w:rsidP="00422161">
            <w:pPr>
              <w:rPr>
                <w:rFonts w:cs="Arial"/>
                <w:b/>
                <w:bCs/>
                <w:color w:val="000000"/>
                <w:sz w:val="20"/>
                <w:szCs w:val="20"/>
                <w:lang w:val="en-US" w:eastAsia="en-US"/>
              </w:rPr>
            </w:pPr>
            <w:r w:rsidRPr="00D01F4D">
              <w:rPr>
                <w:rFonts w:cs="Arial"/>
                <w:b/>
                <w:bCs/>
                <w:color w:val="000000"/>
                <w:sz w:val="20"/>
                <w:szCs w:val="20"/>
                <w:lang w:val="en-US" w:eastAsia="en-US"/>
              </w:rPr>
              <w:t>Total costs to the MBS</w:t>
            </w:r>
          </w:p>
        </w:tc>
        <w:tc>
          <w:tcPr>
            <w:tcW w:w="1107" w:type="dxa"/>
            <w:tcBorders>
              <w:top w:val="single" w:sz="4" w:space="0" w:color="auto"/>
              <w:left w:val="nil"/>
              <w:bottom w:val="single" w:sz="8" w:space="0" w:color="auto"/>
              <w:right w:val="single" w:sz="4" w:space="0" w:color="auto"/>
            </w:tcBorders>
            <w:shd w:val="clear" w:color="auto" w:fill="auto"/>
            <w:vAlign w:val="center"/>
            <w:hideMark/>
          </w:tcPr>
          <w:p w14:paraId="3F73E659" w14:textId="54D18CC4" w:rsidR="00BA4DCC" w:rsidRPr="00D01F4D" w:rsidRDefault="00BA4DCC" w:rsidP="00422161">
            <w:pPr>
              <w:rPr>
                <w:rFonts w:cs="Arial"/>
                <w:b/>
                <w:color w:val="000000"/>
                <w:sz w:val="16"/>
                <w:szCs w:val="16"/>
                <w:lang w:val="en-US" w:eastAsia="en-US"/>
              </w:rPr>
            </w:pPr>
            <w:r>
              <w:rPr>
                <w:rFonts w:cs="Arial"/>
                <w:color w:val="000000"/>
                <w:sz w:val="16"/>
                <w:szCs w:val="16"/>
              </w:rPr>
              <w:t>BR + BS</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5C58C97C" w14:textId="3027B0C7" w:rsidR="00BA4DCC" w:rsidRPr="00D01F4D" w:rsidRDefault="00BA4DCC" w:rsidP="00422161">
            <w:pPr>
              <w:rPr>
                <w:rFonts w:cs="Arial"/>
                <w:b/>
                <w:color w:val="000000"/>
                <w:sz w:val="16"/>
                <w:szCs w:val="16"/>
                <w:lang w:val="en-US" w:eastAsia="en-US"/>
              </w:rPr>
            </w:pPr>
            <w:r>
              <w:rPr>
                <w:rFonts w:cs="Arial"/>
                <w:color w:val="000000"/>
                <w:sz w:val="16"/>
                <w:szCs w:val="16"/>
              </w:rPr>
              <w:t xml:space="preserve"> AUD          279.149 </w:t>
            </w:r>
          </w:p>
        </w:tc>
        <w:tc>
          <w:tcPr>
            <w:tcW w:w="1664" w:type="dxa"/>
            <w:tcBorders>
              <w:top w:val="single" w:sz="4" w:space="0" w:color="auto"/>
              <w:left w:val="nil"/>
              <w:bottom w:val="single" w:sz="8" w:space="0" w:color="auto"/>
              <w:right w:val="single" w:sz="4" w:space="0" w:color="auto"/>
            </w:tcBorders>
            <w:shd w:val="clear" w:color="auto" w:fill="auto"/>
            <w:noWrap/>
            <w:vAlign w:val="center"/>
            <w:hideMark/>
          </w:tcPr>
          <w:p w14:paraId="55367C21" w14:textId="3A50803E" w:rsidR="00BA4DCC" w:rsidRPr="00D01F4D" w:rsidRDefault="00BA4DCC" w:rsidP="00422161">
            <w:pPr>
              <w:rPr>
                <w:rFonts w:cs="Arial"/>
                <w:b/>
                <w:color w:val="000000"/>
                <w:sz w:val="16"/>
                <w:szCs w:val="16"/>
                <w:lang w:val="en-US" w:eastAsia="en-US"/>
              </w:rPr>
            </w:pPr>
            <w:r>
              <w:rPr>
                <w:rFonts w:cs="Arial"/>
                <w:color w:val="000000"/>
                <w:sz w:val="16"/>
                <w:szCs w:val="16"/>
              </w:rPr>
              <w:t xml:space="preserve"> AUD          284.031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2644CEEA" w14:textId="702FF81D" w:rsidR="00BA4DCC" w:rsidRPr="00D01F4D" w:rsidRDefault="00BA4DCC" w:rsidP="00422161">
            <w:pPr>
              <w:rPr>
                <w:rFonts w:cs="Arial"/>
                <w:b/>
                <w:color w:val="000000"/>
                <w:sz w:val="16"/>
                <w:szCs w:val="16"/>
                <w:lang w:val="en-US" w:eastAsia="en-US"/>
              </w:rPr>
            </w:pPr>
            <w:r>
              <w:rPr>
                <w:rFonts w:cs="Arial"/>
                <w:color w:val="000000"/>
                <w:sz w:val="16"/>
                <w:szCs w:val="16"/>
              </w:rPr>
              <w:t xml:space="preserve"> AUD          288.873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38C2A114" w14:textId="0A002327" w:rsidR="00BA4DCC" w:rsidRPr="00D01F4D" w:rsidRDefault="00BA4DCC" w:rsidP="00422161">
            <w:pPr>
              <w:rPr>
                <w:rFonts w:cs="Arial"/>
                <w:b/>
                <w:color w:val="000000"/>
                <w:sz w:val="16"/>
                <w:szCs w:val="16"/>
                <w:lang w:val="en-US" w:eastAsia="en-US"/>
              </w:rPr>
            </w:pPr>
            <w:r>
              <w:rPr>
                <w:rFonts w:cs="Arial"/>
                <w:color w:val="000000"/>
                <w:sz w:val="16"/>
                <w:szCs w:val="16"/>
              </w:rPr>
              <w:t xml:space="preserve"> AUD          293.675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1DAA4D57" w14:textId="44DDA9F0" w:rsidR="00BA4DCC" w:rsidRPr="00D01F4D" w:rsidRDefault="00BA4DCC" w:rsidP="00422161">
            <w:pPr>
              <w:rPr>
                <w:rFonts w:cs="Arial"/>
                <w:b/>
                <w:color w:val="000000"/>
                <w:sz w:val="16"/>
                <w:szCs w:val="16"/>
                <w:lang w:val="en-US" w:eastAsia="en-US"/>
              </w:rPr>
            </w:pPr>
            <w:r>
              <w:rPr>
                <w:rFonts w:cs="Arial"/>
                <w:color w:val="000000"/>
                <w:sz w:val="16"/>
                <w:szCs w:val="16"/>
              </w:rPr>
              <w:t xml:space="preserve"> AUD          298.405 </w:t>
            </w:r>
          </w:p>
        </w:tc>
        <w:tc>
          <w:tcPr>
            <w:tcW w:w="1542" w:type="dxa"/>
            <w:tcBorders>
              <w:top w:val="single" w:sz="4" w:space="0" w:color="auto"/>
              <w:left w:val="nil"/>
              <w:bottom w:val="single" w:sz="8" w:space="0" w:color="auto"/>
              <w:right w:val="single" w:sz="8" w:space="0" w:color="auto"/>
            </w:tcBorders>
            <w:shd w:val="clear" w:color="auto" w:fill="auto"/>
            <w:noWrap/>
            <w:vAlign w:val="center"/>
            <w:hideMark/>
          </w:tcPr>
          <w:p w14:paraId="2965CA9D" w14:textId="099E7C38" w:rsidR="00BA4DCC" w:rsidRPr="00D01F4D" w:rsidRDefault="00BA4DCC" w:rsidP="00422161">
            <w:pPr>
              <w:rPr>
                <w:rFonts w:cs="Arial"/>
                <w:b/>
                <w:color w:val="000000"/>
                <w:sz w:val="16"/>
                <w:szCs w:val="16"/>
                <w:lang w:val="en-US" w:eastAsia="en-US"/>
              </w:rPr>
            </w:pPr>
            <w:r>
              <w:rPr>
                <w:rFonts w:cs="Arial"/>
                <w:color w:val="000000"/>
                <w:sz w:val="16"/>
                <w:szCs w:val="16"/>
              </w:rPr>
              <w:t xml:space="preserve"> AUD     303.478 </w:t>
            </w:r>
          </w:p>
        </w:tc>
      </w:tr>
      <w:tr w:rsidR="00BA4DCC" w:rsidRPr="00D01F4D" w14:paraId="13FD13E4" w14:textId="77777777" w:rsidTr="00BF0EEF">
        <w:trPr>
          <w:trHeight w:val="465"/>
          <w:jc w:val="center"/>
        </w:trPr>
        <w:tc>
          <w:tcPr>
            <w:tcW w:w="639" w:type="dxa"/>
            <w:tcBorders>
              <w:top w:val="single" w:sz="4" w:space="0" w:color="auto"/>
              <w:left w:val="single" w:sz="8" w:space="0" w:color="auto"/>
              <w:bottom w:val="nil"/>
              <w:right w:val="single" w:sz="4" w:space="0" w:color="auto"/>
            </w:tcBorders>
            <w:shd w:val="clear" w:color="auto" w:fill="auto"/>
            <w:noWrap/>
            <w:vAlign w:val="center"/>
            <w:hideMark/>
          </w:tcPr>
          <w:p w14:paraId="38265A68" w14:textId="77777777" w:rsidR="00BA4DCC" w:rsidRPr="00D01F4D" w:rsidRDefault="00BA4DCC" w:rsidP="00422161">
            <w:pPr>
              <w:rPr>
                <w:rFonts w:cs="Arial"/>
                <w:b/>
                <w:bCs/>
                <w:color w:val="000000"/>
                <w:sz w:val="20"/>
                <w:szCs w:val="20"/>
                <w:lang w:val="en-US" w:eastAsia="en-US"/>
              </w:rPr>
            </w:pPr>
            <w:r w:rsidRPr="00D01F4D">
              <w:rPr>
                <w:rFonts w:cs="Arial"/>
                <w:b/>
                <w:bCs/>
                <w:color w:val="000000"/>
                <w:sz w:val="20"/>
                <w:szCs w:val="20"/>
                <w:lang w:val="en-US" w:eastAsia="en-US"/>
              </w:rPr>
              <w:t>BU</w:t>
            </w:r>
          </w:p>
        </w:tc>
        <w:tc>
          <w:tcPr>
            <w:tcW w:w="2353" w:type="dxa"/>
            <w:tcBorders>
              <w:top w:val="nil"/>
              <w:left w:val="nil"/>
              <w:bottom w:val="single" w:sz="4" w:space="0" w:color="auto"/>
              <w:right w:val="nil"/>
            </w:tcBorders>
            <w:shd w:val="clear" w:color="auto" w:fill="auto"/>
            <w:vAlign w:val="center"/>
            <w:hideMark/>
          </w:tcPr>
          <w:p w14:paraId="32670992" w14:textId="77777777" w:rsidR="00BA4DCC" w:rsidRPr="00D01F4D" w:rsidRDefault="00BA4DCC" w:rsidP="00422161">
            <w:pPr>
              <w:rPr>
                <w:rFonts w:cs="Arial"/>
                <w:color w:val="000000"/>
                <w:sz w:val="20"/>
                <w:szCs w:val="20"/>
                <w:lang w:val="en-US" w:eastAsia="en-US"/>
              </w:rPr>
            </w:pPr>
            <w:r w:rsidRPr="00D01F4D">
              <w:rPr>
                <w:rFonts w:cs="Arial"/>
                <w:color w:val="000000"/>
                <w:sz w:val="20"/>
                <w:szCs w:val="20"/>
                <w:lang w:val="en-US" w:eastAsia="en-US"/>
              </w:rPr>
              <w:t>Total non-MBS costs</w:t>
            </w:r>
          </w:p>
        </w:tc>
        <w:tc>
          <w:tcPr>
            <w:tcW w:w="1107"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35E6EBF3" w14:textId="7D738789" w:rsidR="00BA4DCC" w:rsidRPr="00D01F4D" w:rsidRDefault="00BA4DCC" w:rsidP="00422161">
            <w:pPr>
              <w:rPr>
                <w:rFonts w:cs="Arial"/>
                <w:b/>
                <w:color w:val="000000"/>
                <w:sz w:val="16"/>
                <w:szCs w:val="16"/>
                <w:lang w:val="en-US" w:eastAsia="en-US"/>
              </w:rPr>
            </w:pPr>
            <w:r>
              <w:rPr>
                <w:rFonts w:cs="Arial"/>
                <w:color w:val="000000"/>
                <w:sz w:val="16"/>
                <w:szCs w:val="16"/>
              </w:rPr>
              <w:t>Row BK</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76F68ECF" w14:textId="2629C1BD" w:rsidR="00BA4DCC" w:rsidRPr="00D01F4D" w:rsidRDefault="00BA4DCC" w:rsidP="00422161">
            <w:pPr>
              <w:rPr>
                <w:rFonts w:cs="Arial"/>
                <w:b/>
                <w:color w:val="000000"/>
                <w:sz w:val="16"/>
                <w:szCs w:val="16"/>
                <w:lang w:val="en-US" w:eastAsia="en-US"/>
              </w:rPr>
            </w:pPr>
            <w:r>
              <w:rPr>
                <w:rFonts w:cs="Arial"/>
                <w:color w:val="000000"/>
                <w:sz w:val="16"/>
                <w:szCs w:val="16"/>
              </w:rPr>
              <w:t xml:space="preserve"> AUD          555.165 </w:t>
            </w:r>
          </w:p>
        </w:tc>
        <w:tc>
          <w:tcPr>
            <w:tcW w:w="1664" w:type="dxa"/>
            <w:tcBorders>
              <w:top w:val="single" w:sz="4" w:space="0" w:color="auto"/>
              <w:left w:val="nil"/>
              <w:bottom w:val="single" w:sz="8" w:space="0" w:color="auto"/>
              <w:right w:val="single" w:sz="4" w:space="0" w:color="auto"/>
            </w:tcBorders>
            <w:shd w:val="clear" w:color="auto" w:fill="auto"/>
            <w:noWrap/>
            <w:vAlign w:val="center"/>
            <w:hideMark/>
          </w:tcPr>
          <w:p w14:paraId="6BD18A9E" w14:textId="5CC61D7C" w:rsidR="00BA4DCC" w:rsidRPr="00D01F4D" w:rsidRDefault="00BA4DCC" w:rsidP="00422161">
            <w:pPr>
              <w:rPr>
                <w:rFonts w:cs="Arial"/>
                <w:b/>
                <w:color w:val="000000"/>
                <w:sz w:val="16"/>
                <w:szCs w:val="16"/>
                <w:lang w:val="en-US" w:eastAsia="en-US"/>
              </w:rPr>
            </w:pPr>
            <w:r>
              <w:rPr>
                <w:rFonts w:cs="Arial"/>
                <w:color w:val="000000"/>
                <w:sz w:val="16"/>
                <w:szCs w:val="16"/>
              </w:rPr>
              <w:t xml:space="preserve"> AUD          564.874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60BFAD22" w14:textId="5EF1C4FA" w:rsidR="00BA4DCC" w:rsidRPr="00D01F4D" w:rsidRDefault="00BA4DCC" w:rsidP="00422161">
            <w:pPr>
              <w:rPr>
                <w:rFonts w:cs="Arial"/>
                <w:b/>
                <w:color w:val="000000"/>
                <w:sz w:val="16"/>
                <w:szCs w:val="16"/>
                <w:lang w:val="en-US" w:eastAsia="en-US"/>
              </w:rPr>
            </w:pPr>
            <w:r>
              <w:rPr>
                <w:rFonts w:cs="Arial"/>
                <w:color w:val="000000"/>
                <w:sz w:val="16"/>
                <w:szCs w:val="16"/>
              </w:rPr>
              <w:t xml:space="preserve"> AUD          574.503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3461D42F" w14:textId="3EF2DE18" w:rsidR="00BA4DCC" w:rsidRPr="00D01F4D" w:rsidRDefault="00BA4DCC" w:rsidP="00422161">
            <w:pPr>
              <w:rPr>
                <w:rFonts w:cs="Arial"/>
                <w:b/>
                <w:color w:val="000000"/>
                <w:sz w:val="16"/>
                <w:szCs w:val="16"/>
                <w:lang w:val="en-US" w:eastAsia="en-US"/>
              </w:rPr>
            </w:pPr>
            <w:r>
              <w:rPr>
                <w:rFonts w:cs="Arial"/>
                <w:color w:val="000000"/>
                <w:sz w:val="16"/>
                <w:szCs w:val="16"/>
              </w:rPr>
              <w:t xml:space="preserve"> AUD          584.055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2815D8F5" w14:textId="3DA3B75D" w:rsidR="00BA4DCC" w:rsidRPr="00D01F4D" w:rsidRDefault="00BA4DCC" w:rsidP="00422161">
            <w:pPr>
              <w:rPr>
                <w:rFonts w:cs="Arial"/>
                <w:b/>
                <w:color w:val="000000"/>
                <w:sz w:val="16"/>
                <w:szCs w:val="16"/>
                <w:lang w:val="en-US" w:eastAsia="en-US"/>
              </w:rPr>
            </w:pPr>
            <w:r>
              <w:rPr>
                <w:rFonts w:cs="Arial"/>
                <w:color w:val="000000"/>
                <w:sz w:val="16"/>
                <w:szCs w:val="16"/>
              </w:rPr>
              <w:t xml:space="preserve"> AUD          593.461 </w:t>
            </w:r>
          </w:p>
        </w:tc>
        <w:tc>
          <w:tcPr>
            <w:tcW w:w="1542" w:type="dxa"/>
            <w:tcBorders>
              <w:top w:val="single" w:sz="4" w:space="0" w:color="auto"/>
              <w:left w:val="nil"/>
              <w:bottom w:val="single" w:sz="8" w:space="0" w:color="auto"/>
              <w:right w:val="single" w:sz="8" w:space="0" w:color="auto"/>
            </w:tcBorders>
            <w:shd w:val="clear" w:color="auto" w:fill="auto"/>
            <w:noWrap/>
            <w:vAlign w:val="center"/>
            <w:hideMark/>
          </w:tcPr>
          <w:p w14:paraId="6930E639" w14:textId="390E0ECD" w:rsidR="00BA4DCC" w:rsidRPr="00D01F4D" w:rsidRDefault="00BA4DCC" w:rsidP="00422161">
            <w:pPr>
              <w:rPr>
                <w:rFonts w:cs="Arial"/>
                <w:b/>
                <w:color w:val="000000"/>
                <w:sz w:val="16"/>
                <w:szCs w:val="16"/>
                <w:lang w:val="en-US" w:eastAsia="en-US"/>
              </w:rPr>
            </w:pPr>
            <w:r>
              <w:rPr>
                <w:rFonts w:cs="Arial"/>
                <w:color w:val="000000"/>
                <w:sz w:val="16"/>
                <w:szCs w:val="16"/>
              </w:rPr>
              <w:t xml:space="preserve"> AUD     603.550 </w:t>
            </w:r>
          </w:p>
        </w:tc>
      </w:tr>
      <w:tr w:rsidR="00BA4DCC" w:rsidRPr="00D01F4D" w14:paraId="6BA0395C" w14:textId="77777777" w:rsidTr="00BF0EEF">
        <w:trPr>
          <w:trHeight w:val="865"/>
          <w:jc w:val="center"/>
        </w:trPr>
        <w:tc>
          <w:tcPr>
            <w:tcW w:w="639"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6EF0DCFB" w14:textId="77777777" w:rsidR="00BA4DCC" w:rsidRPr="00D01F4D" w:rsidRDefault="00BA4DCC" w:rsidP="00422161">
            <w:pPr>
              <w:rPr>
                <w:rFonts w:cs="Arial"/>
                <w:b/>
                <w:bCs/>
                <w:color w:val="000000"/>
                <w:sz w:val="20"/>
                <w:szCs w:val="20"/>
                <w:lang w:val="en-US" w:eastAsia="en-US"/>
              </w:rPr>
            </w:pPr>
            <w:r w:rsidRPr="00D01F4D">
              <w:rPr>
                <w:rFonts w:cs="Arial"/>
                <w:b/>
                <w:bCs/>
                <w:color w:val="000000"/>
                <w:sz w:val="20"/>
                <w:szCs w:val="20"/>
                <w:lang w:val="en-US" w:eastAsia="en-US"/>
              </w:rPr>
              <w:t>BV</w:t>
            </w:r>
          </w:p>
        </w:tc>
        <w:tc>
          <w:tcPr>
            <w:tcW w:w="2353" w:type="dxa"/>
            <w:tcBorders>
              <w:top w:val="nil"/>
              <w:left w:val="nil"/>
              <w:bottom w:val="single" w:sz="8" w:space="0" w:color="auto"/>
              <w:right w:val="nil"/>
            </w:tcBorders>
            <w:shd w:val="clear" w:color="auto" w:fill="auto"/>
            <w:vAlign w:val="center"/>
            <w:hideMark/>
          </w:tcPr>
          <w:p w14:paraId="295A6A24" w14:textId="77777777" w:rsidR="00BA4DCC" w:rsidRPr="00D01F4D" w:rsidRDefault="00BA4DCC" w:rsidP="00422161">
            <w:pPr>
              <w:rPr>
                <w:rFonts w:cs="Arial"/>
                <w:b/>
                <w:bCs/>
                <w:color w:val="000000"/>
                <w:sz w:val="20"/>
                <w:szCs w:val="20"/>
                <w:lang w:val="en-US" w:eastAsia="en-US"/>
              </w:rPr>
            </w:pPr>
            <w:r w:rsidRPr="00D01F4D">
              <w:rPr>
                <w:rFonts w:cs="Arial"/>
                <w:b/>
                <w:bCs/>
                <w:color w:val="000000"/>
                <w:sz w:val="20"/>
                <w:szCs w:val="20"/>
                <w:lang w:val="en-US" w:eastAsia="en-US"/>
              </w:rPr>
              <w:t>Overall total costs of the proposed intervention</w:t>
            </w:r>
          </w:p>
        </w:tc>
        <w:tc>
          <w:tcPr>
            <w:tcW w:w="1107"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0CA6C292" w14:textId="75C1357E" w:rsidR="00BA4DCC" w:rsidRPr="00D01F4D" w:rsidRDefault="00BA4DCC" w:rsidP="00422161">
            <w:pPr>
              <w:rPr>
                <w:rFonts w:cs="Arial"/>
                <w:b/>
                <w:color w:val="000000"/>
                <w:sz w:val="16"/>
                <w:szCs w:val="16"/>
                <w:lang w:val="en-US" w:eastAsia="en-US"/>
              </w:rPr>
            </w:pPr>
            <w:r>
              <w:rPr>
                <w:rFonts w:cs="Arial"/>
                <w:color w:val="000000"/>
                <w:sz w:val="16"/>
                <w:szCs w:val="16"/>
              </w:rPr>
              <w:t>BU + BT</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74830632" w14:textId="0CCD3B35" w:rsidR="00BA4DCC" w:rsidRPr="00D01F4D" w:rsidRDefault="00BA4DCC" w:rsidP="00422161">
            <w:pPr>
              <w:rPr>
                <w:rFonts w:cs="Arial"/>
                <w:b/>
                <w:bCs/>
                <w:color w:val="000000"/>
                <w:sz w:val="16"/>
                <w:szCs w:val="16"/>
                <w:lang w:val="en-US" w:eastAsia="en-US"/>
              </w:rPr>
            </w:pPr>
            <w:r>
              <w:rPr>
                <w:rFonts w:cs="Arial"/>
                <w:b/>
                <w:bCs/>
                <w:color w:val="000000"/>
                <w:sz w:val="16"/>
                <w:szCs w:val="16"/>
              </w:rPr>
              <w:t xml:space="preserve"> AUD          834.314 </w:t>
            </w:r>
          </w:p>
        </w:tc>
        <w:tc>
          <w:tcPr>
            <w:tcW w:w="1664" w:type="dxa"/>
            <w:tcBorders>
              <w:top w:val="single" w:sz="4" w:space="0" w:color="auto"/>
              <w:left w:val="nil"/>
              <w:bottom w:val="single" w:sz="8" w:space="0" w:color="auto"/>
              <w:right w:val="single" w:sz="4" w:space="0" w:color="auto"/>
            </w:tcBorders>
            <w:shd w:val="clear" w:color="auto" w:fill="auto"/>
            <w:noWrap/>
            <w:vAlign w:val="center"/>
            <w:hideMark/>
          </w:tcPr>
          <w:p w14:paraId="61919DFA" w14:textId="1A50ABFC" w:rsidR="00BA4DCC" w:rsidRPr="00D01F4D" w:rsidRDefault="00BA4DCC" w:rsidP="00422161">
            <w:pPr>
              <w:rPr>
                <w:rFonts w:cs="Arial"/>
                <w:b/>
                <w:bCs/>
                <w:color w:val="000000"/>
                <w:sz w:val="16"/>
                <w:szCs w:val="16"/>
                <w:lang w:val="en-US" w:eastAsia="en-US"/>
              </w:rPr>
            </w:pPr>
            <w:r>
              <w:rPr>
                <w:rFonts w:cs="Arial"/>
                <w:b/>
                <w:bCs/>
                <w:color w:val="000000"/>
                <w:sz w:val="16"/>
                <w:szCs w:val="16"/>
              </w:rPr>
              <w:t xml:space="preserve"> AUD          848.904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2A667CBA" w14:textId="499ED373" w:rsidR="00BA4DCC" w:rsidRPr="00D01F4D" w:rsidRDefault="00BA4DCC" w:rsidP="00422161">
            <w:pPr>
              <w:rPr>
                <w:rFonts w:cs="Arial"/>
                <w:b/>
                <w:bCs/>
                <w:color w:val="000000"/>
                <w:sz w:val="16"/>
                <w:szCs w:val="16"/>
                <w:lang w:val="en-US" w:eastAsia="en-US"/>
              </w:rPr>
            </w:pPr>
            <w:r>
              <w:rPr>
                <w:rFonts w:cs="Arial"/>
                <w:b/>
                <w:bCs/>
                <w:color w:val="000000"/>
                <w:sz w:val="16"/>
                <w:szCs w:val="16"/>
              </w:rPr>
              <w:t xml:space="preserve"> AUD          863.376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38CBBD8B" w14:textId="6B0C2FA7" w:rsidR="00BA4DCC" w:rsidRPr="00D01F4D" w:rsidRDefault="00BA4DCC" w:rsidP="00422161">
            <w:pPr>
              <w:rPr>
                <w:rFonts w:cs="Arial"/>
                <w:b/>
                <w:bCs/>
                <w:color w:val="000000"/>
                <w:sz w:val="16"/>
                <w:szCs w:val="16"/>
                <w:lang w:val="en-US" w:eastAsia="en-US"/>
              </w:rPr>
            </w:pPr>
            <w:r>
              <w:rPr>
                <w:rFonts w:cs="Arial"/>
                <w:b/>
                <w:bCs/>
                <w:color w:val="000000"/>
                <w:sz w:val="16"/>
                <w:szCs w:val="16"/>
              </w:rPr>
              <w:t xml:space="preserve"> AUD          877.730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7B334C64" w14:textId="34A2C5C0" w:rsidR="00BA4DCC" w:rsidRPr="00D01F4D" w:rsidRDefault="00BA4DCC" w:rsidP="00422161">
            <w:pPr>
              <w:rPr>
                <w:rFonts w:cs="Arial"/>
                <w:b/>
                <w:bCs/>
                <w:color w:val="000000"/>
                <w:sz w:val="16"/>
                <w:szCs w:val="16"/>
                <w:lang w:val="en-US" w:eastAsia="en-US"/>
              </w:rPr>
            </w:pPr>
            <w:r>
              <w:rPr>
                <w:rFonts w:cs="Arial"/>
                <w:b/>
                <w:bCs/>
                <w:color w:val="000000"/>
                <w:sz w:val="16"/>
                <w:szCs w:val="16"/>
              </w:rPr>
              <w:t xml:space="preserve"> AUD          891.867 </w:t>
            </w:r>
          </w:p>
        </w:tc>
        <w:tc>
          <w:tcPr>
            <w:tcW w:w="1542" w:type="dxa"/>
            <w:tcBorders>
              <w:top w:val="single" w:sz="4" w:space="0" w:color="auto"/>
              <w:left w:val="nil"/>
              <w:bottom w:val="single" w:sz="8" w:space="0" w:color="auto"/>
              <w:right w:val="single" w:sz="8" w:space="0" w:color="auto"/>
            </w:tcBorders>
            <w:shd w:val="clear" w:color="auto" w:fill="auto"/>
            <w:noWrap/>
            <w:vAlign w:val="center"/>
            <w:hideMark/>
          </w:tcPr>
          <w:p w14:paraId="7A06A2CB" w14:textId="1D626D56" w:rsidR="00BA4DCC" w:rsidRPr="00D01F4D" w:rsidRDefault="00BA4DCC" w:rsidP="00422161">
            <w:pPr>
              <w:rPr>
                <w:rFonts w:cs="Arial"/>
                <w:b/>
                <w:bCs/>
                <w:color w:val="000000"/>
                <w:sz w:val="16"/>
                <w:szCs w:val="16"/>
                <w:lang w:val="en-US" w:eastAsia="en-US"/>
              </w:rPr>
            </w:pPr>
            <w:r>
              <w:rPr>
                <w:rFonts w:cs="Arial"/>
                <w:b/>
                <w:bCs/>
                <w:color w:val="000000"/>
                <w:sz w:val="16"/>
                <w:szCs w:val="16"/>
              </w:rPr>
              <w:t xml:space="preserve"> AUD     907.028 </w:t>
            </w:r>
          </w:p>
        </w:tc>
      </w:tr>
    </w:tbl>
    <w:p w14:paraId="7CC562BF" w14:textId="77777777" w:rsidR="009159A8" w:rsidRDefault="009159A8" w:rsidP="009159A8">
      <w:pPr>
        <w:pStyle w:val="Textbody"/>
        <w:rPr>
          <w:lang w:val="en-AU"/>
        </w:rPr>
        <w:sectPr w:rsidR="009159A8" w:rsidSect="00137B87">
          <w:pgSz w:w="16840" w:h="11907" w:orient="landscape" w:code="9"/>
          <w:pgMar w:top="1814" w:right="1418" w:bottom="1418" w:left="1701" w:header="720" w:footer="720" w:gutter="0"/>
          <w:paperSrc w:first="7" w:other="7"/>
          <w:cols w:space="720"/>
          <w:noEndnote/>
          <w:docGrid w:linePitch="299"/>
        </w:sectPr>
      </w:pPr>
    </w:p>
    <w:p w14:paraId="3377F180" w14:textId="30F5346C" w:rsidR="001F4976" w:rsidRPr="009A1A2E" w:rsidRDefault="001F4976" w:rsidP="001F4976">
      <w:pPr>
        <w:pStyle w:val="Heading30"/>
        <w:spacing w:line="360" w:lineRule="auto"/>
        <w:jc w:val="both"/>
        <w:rPr>
          <w:lang w:val="en-AU"/>
        </w:rPr>
      </w:pPr>
      <w:bookmarkStart w:id="670" w:name="_Toc431917615"/>
      <w:r w:rsidRPr="009A1A2E">
        <w:rPr>
          <w:lang w:val="en-AU"/>
        </w:rPr>
        <w:lastRenderedPageBreak/>
        <w:t>E.</w:t>
      </w:r>
      <w:r>
        <w:rPr>
          <w:lang w:val="en-AU"/>
        </w:rPr>
        <w:t>5</w:t>
      </w:r>
      <w:r w:rsidRPr="009A1A2E">
        <w:rPr>
          <w:lang w:val="en-AU"/>
        </w:rPr>
        <w:t>.</w:t>
      </w:r>
      <w:r>
        <w:rPr>
          <w:lang w:val="en-AU"/>
        </w:rPr>
        <w:t>2</w:t>
      </w:r>
      <w:r w:rsidRPr="009A1A2E">
        <w:rPr>
          <w:lang w:val="en-AU"/>
        </w:rPr>
        <w:tab/>
      </w:r>
      <w:r>
        <w:rPr>
          <w:lang w:val="en-AU"/>
        </w:rPr>
        <w:t>Deterministic Sensitivity Analysis on external ear pathologies</w:t>
      </w:r>
      <w:bookmarkEnd w:id="670"/>
    </w:p>
    <w:p w14:paraId="01B3AF78" w14:textId="306EEC75" w:rsidR="00330241" w:rsidRDefault="00422161" w:rsidP="00330241">
      <w:pPr>
        <w:pStyle w:val="Textbody"/>
        <w:rPr>
          <w:lang w:val="en-AU"/>
        </w:rPr>
      </w:pPr>
      <w:r>
        <w:rPr>
          <w:lang w:val="en-AU"/>
        </w:rPr>
        <w:t xml:space="preserve">A second deterministic analysis was calculated </w:t>
      </w:r>
      <w:r w:rsidR="00C033C3">
        <w:rPr>
          <w:lang w:val="en-AU"/>
        </w:rPr>
        <w:t xml:space="preserve">by varying </w:t>
      </w:r>
      <w:r>
        <w:rPr>
          <w:lang w:val="en-AU"/>
        </w:rPr>
        <w:t>the prevalence of external ear pathologies (EEP) in the Australian population</w:t>
      </w:r>
      <w:r w:rsidR="004C1D9C">
        <w:rPr>
          <w:lang w:val="en-AU"/>
        </w:rPr>
        <w:t xml:space="preserve">. An estimate of the overlap between the medical conditions was included in </w:t>
      </w:r>
      <w:r w:rsidR="00285665">
        <w:rPr>
          <w:lang w:val="en-AU"/>
        </w:rPr>
        <w:t xml:space="preserve">the </w:t>
      </w:r>
      <w:r w:rsidR="004C1D9C">
        <w:rPr>
          <w:lang w:val="en-AU"/>
        </w:rPr>
        <w:t>analysis and confidence intervals were applied to this estimate</w:t>
      </w:r>
      <w:r w:rsidR="00137E5E">
        <w:rPr>
          <w:lang w:val="en-AU"/>
        </w:rPr>
        <w:t xml:space="preserve"> (see </w:t>
      </w:r>
      <w:r w:rsidR="00137E5E">
        <w:rPr>
          <w:lang w:val="en-AU"/>
        </w:rPr>
        <w:fldChar w:fldCharType="begin"/>
      </w:r>
      <w:r w:rsidR="00137E5E">
        <w:rPr>
          <w:lang w:val="en-AU"/>
        </w:rPr>
        <w:instrText xml:space="preserve"> REF _Ref431894117 \h </w:instrText>
      </w:r>
      <w:r w:rsidR="00137E5E">
        <w:rPr>
          <w:lang w:val="en-AU"/>
        </w:rPr>
      </w:r>
      <w:r w:rsidR="00137E5E">
        <w:rPr>
          <w:lang w:val="en-AU"/>
        </w:rPr>
        <w:fldChar w:fldCharType="separate"/>
      </w:r>
      <w:r w:rsidR="00137E5E" w:rsidRPr="00A83F80">
        <w:t xml:space="preserve">Table </w:t>
      </w:r>
      <w:r w:rsidR="00137E5E">
        <w:rPr>
          <w:noProof/>
        </w:rPr>
        <w:t>70</w:t>
      </w:r>
      <w:r w:rsidR="00137E5E">
        <w:rPr>
          <w:lang w:val="en-AU"/>
        </w:rPr>
        <w:fldChar w:fldCharType="end"/>
      </w:r>
      <w:r w:rsidR="00137E5E">
        <w:rPr>
          <w:lang w:val="en-AU"/>
        </w:rPr>
        <w:t xml:space="preserve"> for details)</w:t>
      </w:r>
      <w:r>
        <w:rPr>
          <w:lang w:val="en-AU"/>
        </w:rPr>
        <w:t>.</w:t>
      </w:r>
      <w:r w:rsidR="004C1D9C">
        <w:rPr>
          <w:lang w:val="en-AU"/>
        </w:rPr>
        <w:t xml:space="preserve"> </w:t>
      </w:r>
      <w:r w:rsidR="004C1D9C">
        <w:rPr>
          <w:lang w:val="en-AU"/>
        </w:rPr>
        <w:fldChar w:fldCharType="begin"/>
      </w:r>
      <w:r w:rsidR="004C1D9C">
        <w:rPr>
          <w:lang w:val="en-AU"/>
        </w:rPr>
        <w:instrText xml:space="preserve"> REF _Ref431923179 \h </w:instrText>
      </w:r>
      <w:r w:rsidR="004C1D9C">
        <w:rPr>
          <w:lang w:val="en-AU"/>
        </w:rPr>
      </w:r>
      <w:r w:rsidR="004C1D9C">
        <w:rPr>
          <w:lang w:val="en-AU"/>
        </w:rPr>
        <w:fldChar w:fldCharType="separate"/>
      </w:r>
      <w:r w:rsidR="004C1D9C" w:rsidRPr="00A83F80">
        <w:t xml:space="preserve">Table </w:t>
      </w:r>
      <w:r w:rsidR="004C1D9C">
        <w:rPr>
          <w:noProof/>
        </w:rPr>
        <w:t>75</w:t>
      </w:r>
      <w:r w:rsidR="004C1D9C">
        <w:rPr>
          <w:lang w:val="en-AU"/>
        </w:rPr>
        <w:fldChar w:fldCharType="end"/>
      </w:r>
      <w:r w:rsidR="004C1D9C">
        <w:rPr>
          <w:lang w:val="en-AU"/>
        </w:rPr>
        <w:t xml:space="preserve"> and </w:t>
      </w:r>
      <w:r w:rsidR="004C1D9C">
        <w:rPr>
          <w:lang w:val="en-AU"/>
        </w:rPr>
        <w:fldChar w:fldCharType="begin"/>
      </w:r>
      <w:r w:rsidR="004C1D9C">
        <w:rPr>
          <w:lang w:val="en-AU"/>
        </w:rPr>
        <w:instrText xml:space="preserve"> REF _Ref431911905 \h </w:instrText>
      </w:r>
      <w:r w:rsidR="004C1D9C">
        <w:rPr>
          <w:lang w:val="en-AU"/>
        </w:rPr>
      </w:r>
      <w:r w:rsidR="004C1D9C">
        <w:rPr>
          <w:lang w:val="en-AU"/>
        </w:rPr>
        <w:fldChar w:fldCharType="separate"/>
      </w:r>
      <w:r w:rsidR="004C1D9C" w:rsidRPr="00A83F80">
        <w:t xml:space="preserve">Table </w:t>
      </w:r>
      <w:r w:rsidR="004C1D9C">
        <w:rPr>
          <w:noProof/>
        </w:rPr>
        <w:t>76</w:t>
      </w:r>
      <w:r w:rsidR="004C1D9C">
        <w:rPr>
          <w:lang w:val="en-AU"/>
        </w:rPr>
        <w:fldChar w:fldCharType="end"/>
      </w:r>
      <w:r w:rsidR="004C1D9C">
        <w:rPr>
          <w:lang w:val="en-AU"/>
        </w:rPr>
        <w:t xml:space="preserve"> report the results appyling the lower CI; and </w:t>
      </w:r>
      <w:r w:rsidR="004C1D9C">
        <w:rPr>
          <w:lang w:val="en-AU"/>
        </w:rPr>
        <w:fldChar w:fldCharType="begin"/>
      </w:r>
      <w:r w:rsidR="004C1D9C">
        <w:rPr>
          <w:lang w:val="en-AU"/>
        </w:rPr>
        <w:instrText xml:space="preserve"> REF _Ref431914842 \h </w:instrText>
      </w:r>
      <w:r w:rsidR="004C1D9C">
        <w:rPr>
          <w:lang w:val="en-AU"/>
        </w:rPr>
      </w:r>
      <w:r w:rsidR="004C1D9C">
        <w:rPr>
          <w:lang w:val="en-AU"/>
        </w:rPr>
        <w:fldChar w:fldCharType="separate"/>
      </w:r>
      <w:r w:rsidR="004C1D9C" w:rsidRPr="00A83F80">
        <w:t xml:space="preserve">Table </w:t>
      </w:r>
      <w:r w:rsidR="004C1D9C">
        <w:rPr>
          <w:noProof/>
        </w:rPr>
        <w:t>77</w:t>
      </w:r>
      <w:r w:rsidR="004C1D9C">
        <w:rPr>
          <w:lang w:val="en-AU"/>
        </w:rPr>
        <w:fldChar w:fldCharType="end"/>
      </w:r>
      <w:r w:rsidR="004C1D9C">
        <w:rPr>
          <w:lang w:val="en-AU"/>
        </w:rPr>
        <w:t xml:space="preserve"> and </w:t>
      </w:r>
      <w:r w:rsidR="004C1D9C">
        <w:rPr>
          <w:lang w:val="en-AU"/>
        </w:rPr>
        <w:fldChar w:fldCharType="begin"/>
      </w:r>
      <w:r w:rsidR="004C1D9C">
        <w:rPr>
          <w:lang w:val="en-AU"/>
        </w:rPr>
        <w:instrText xml:space="preserve"> REF _Ref431917238 \h </w:instrText>
      </w:r>
      <w:r w:rsidR="004C1D9C">
        <w:rPr>
          <w:lang w:val="en-AU"/>
        </w:rPr>
      </w:r>
      <w:r w:rsidR="004C1D9C">
        <w:rPr>
          <w:lang w:val="en-AU"/>
        </w:rPr>
        <w:fldChar w:fldCharType="separate"/>
      </w:r>
      <w:r w:rsidR="004C1D9C" w:rsidRPr="00A83F80">
        <w:t xml:space="preserve">Table </w:t>
      </w:r>
      <w:r w:rsidR="004C1D9C">
        <w:rPr>
          <w:noProof/>
        </w:rPr>
        <w:t>78</w:t>
      </w:r>
      <w:r w:rsidR="004C1D9C">
        <w:rPr>
          <w:lang w:val="en-AU"/>
        </w:rPr>
        <w:fldChar w:fldCharType="end"/>
      </w:r>
      <w:r w:rsidR="004C1D9C">
        <w:rPr>
          <w:lang w:val="en-AU"/>
        </w:rPr>
        <w:t xml:space="preserve"> report the results applying the upper CI.</w:t>
      </w:r>
    </w:p>
    <w:p w14:paraId="4A1EA85B" w14:textId="77777777" w:rsidR="009335A4" w:rsidRDefault="009335A4" w:rsidP="00BF4FBB">
      <w:pPr>
        <w:pStyle w:val="Textbody"/>
        <w:rPr>
          <w:lang w:val="en-AU"/>
        </w:rPr>
      </w:pPr>
    </w:p>
    <w:p w14:paraId="13EEFC37" w14:textId="4AC937E8" w:rsidR="00C275DC" w:rsidRPr="00E0477C" w:rsidRDefault="00C275DC" w:rsidP="00C275DC">
      <w:pPr>
        <w:pStyle w:val="Caption"/>
        <w:rPr>
          <w:rFonts w:ascii="Arial" w:hAnsi="Arial" w:cs="Arial"/>
          <w:lang w:val="en-AU"/>
        </w:rPr>
      </w:pPr>
      <w:bookmarkStart w:id="671" w:name="_Ref431923179"/>
      <w:bookmarkStart w:id="672" w:name="_Toc431917535"/>
      <w:r w:rsidRPr="00A83F80">
        <w:rPr>
          <w:rFonts w:ascii="Arial" w:hAnsi="Arial" w:cs="Arial"/>
        </w:rPr>
        <w:t xml:space="preserve">Table </w:t>
      </w:r>
      <w:r w:rsidRPr="00A83F80">
        <w:rPr>
          <w:rFonts w:ascii="Arial" w:hAnsi="Arial" w:cs="Arial"/>
        </w:rPr>
        <w:fldChar w:fldCharType="begin"/>
      </w:r>
      <w:r w:rsidRPr="00A83F80">
        <w:rPr>
          <w:rFonts w:ascii="Arial" w:hAnsi="Arial" w:cs="Arial"/>
        </w:rPr>
        <w:instrText xml:space="preserve"> SEQ Table \* ARABIC </w:instrText>
      </w:r>
      <w:r w:rsidRPr="00A83F80">
        <w:rPr>
          <w:rFonts w:ascii="Arial" w:hAnsi="Arial" w:cs="Arial"/>
        </w:rPr>
        <w:fldChar w:fldCharType="separate"/>
      </w:r>
      <w:r w:rsidR="009335A4">
        <w:rPr>
          <w:rFonts w:ascii="Arial" w:hAnsi="Arial" w:cs="Arial"/>
          <w:noProof/>
        </w:rPr>
        <w:t>75</w:t>
      </w:r>
      <w:r w:rsidRPr="00A83F80">
        <w:rPr>
          <w:rFonts w:ascii="Arial" w:hAnsi="Arial" w:cs="Arial"/>
          <w:noProof/>
        </w:rPr>
        <w:fldChar w:fldCharType="end"/>
      </w:r>
      <w:bookmarkEnd w:id="671"/>
      <w:r w:rsidRPr="00A83F80">
        <w:rPr>
          <w:rFonts w:ascii="Arial" w:hAnsi="Arial" w:cs="Arial"/>
          <w:lang w:val="en-US"/>
        </w:rPr>
        <w:t>.-</w:t>
      </w:r>
      <w:r w:rsidRPr="00E0477C">
        <w:rPr>
          <w:rFonts w:ascii="Arial" w:hAnsi="Arial" w:cs="Arial"/>
          <w:lang w:val="en-AU"/>
        </w:rPr>
        <w:t xml:space="preserve"> Estimated </w:t>
      </w:r>
      <w:r>
        <w:rPr>
          <w:rFonts w:ascii="Arial" w:hAnsi="Arial" w:cs="Arial"/>
          <w:lang w:val="en-AU"/>
        </w:rPr>
        <w:t xml:space="preserve">minimum number of MEI candidates based on lower CI of </w:t>
      </w:r>
      <w:r w:rsidR="00137E5E">
        <w:rPr>
          <w:rFonts w:ascii="Arial" w:hAnsi="Arial" w:cs="Arial"/>
          <w:lang w:val="en-AU"/>
        </w:rPr>
        <w:t>external ear pathologies</w:t>
      </w:r>
      <w:bookmarkEnd w:id="672"/>
    </w:p>
    <w:tbl>
      <w:tblPr>
        <w:tblW w:w="10591" w:type="dxa"/>
        <w:jc w:val="center"/>
        <w:tblLook w:val="04A0" w:firstRow="1" w:lastRow="0" w:firstColumn="1" w:lastColumn="0" w:noHBand="0" w:noVBand="1"/>
        <w:tblDescription w:val="Estimated minimum number of MEI candidates based on lower CI of external ear pathologies"/>
      </w:tblPr>
      <w:tblGrid>
        <w:gridCol w:w="3088"/>
        <w:gridCol w:w="1067"/>
        <w:gridCol w:w="1160"/>
        <w:gridCol w:w="1066"/>
        <w:gridCol w:w="1017"/>
        <w:gridCol w:w="1159"/>
        <w:gridCol w:w="1017"/>
        <w:gridCol w:w="1017"/>
      </w:tblGrid>
      <w:tr w:rsidR="00C275DC" w:rsidRPr="00CA53C8" w14:paraId="4F7299D9" w14:textId="77777777" w:rsidTr="00BF0EEF">
        <w:trPr>
          <w:trHeight w:val="618"/>
          <w:jc w:val="center"/>
        </w:trPr>
        <w:tc>
          <w:tcPr>
            <w:tcW w:w="3135"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524E89BE" w14:textId="77777777" w:rsidR="00C275DC" w:rsidRPr="00CA53C8" w:rsidRDefault="00C275DC" w:rsidP="00422161">
            <w:pPr>
              <w:rPr>
                <w:rFonts w:cs="Arial"/>
                <w:b/>
                <w:bCs/>
                <w:color w:val="000000"/>
                <w:sz w:val="20"/>
                <w:szCs w:val="20"/>
                <w:lang w:val="en-US" w:eastAsia="en-US"/>
              </w:rPr>
            </w:pPr>
            <w:r w:rsidRPr="00CA53C8">
              <w:rPr>
                <w:rFonts w:cs="Arial"/>
                <w:b/>
                <w:bCs/>
                <w:color w:val="000000"/>
                <w:sz w:val="20"/>
                <w:szCs w:val="20"/>
                <w:lang w:val="en-US" w:eastAsia="en-US"/>
              </w:rPr>
              <w:t>Description</w:t>
            </w:r>
          </w:p>
        </w:tc>
        <w:tc>
          <w:tcPr>
            <w:tcW w:w="1020" w:type="dxa"/>
            <w:tcBorders>
              <w:top w:val="single" w:sz="8" w:space="0" w:color="auto"/>
              <w:left w:val="nil"/>
              <w:bottom w:val="single" w:sz="4" w:space="0" w:color="auto"/>
              <w:right w:val="single" w:sz="4" w:space="0" w:color="auto"/>
            </w:tcBorders>
            <w:shd w:val="clear" w:color="auto" w:fill="auto"/>
            <w:noWrap/>
            <w:vAlign w:val="center"/>
            <w:hideMark/>
          </w:tcPr>
          <w:p w14:paraId="2A072DF8" w14:textId="77777777" w:rsidR="00C275DC" w:rsidRPr="00CA53C8" w:rsidRDefault="00C275DC" w:rsidP="00422161">
            <w:pPr>
              <w:jc w:val="center"/>
              <w:rPr>
                <w:rFonts w:cs="Arial"/>
                <w:b/>
                <w:bCs/>
                <w:color w:val="000000"/>
                <w:sz w:val="20"/>
                <w:szCs w:val="20"/>
                <w:lang w:val="en-US" w:eastAsia="en-US"/>
              </w:rPr>
            </w:pPr>
            <w:r w:rsidRPr="00CA53C8">
              <w:rPr>
                <w:rFonts w:cs="Arial"/>
                <w:b/>
                <w:bCs/>
                <w:color w:val="000000"/>
                <w:sz w:val="20"/>
                <w:szCs w:val="20"/>
                <w:lang w:val="en-US" w:eastAsia="en-US"/>
              </w:rPr>
              <w:t>Method</w:t>
            </w:r>
          </w:p>
        </w:tc>
        <w:tc>
          <w:tcPr>
            <w:tcW w:w="1160" w:type="dxa"/>
            <w:tcBorders>
              <w:top w:val="single" w:sz="8" w:space="0" w:color="auto"/>
              <w:left w:val="nil"/>
              <w:bottom w:val="single" w:sz="4" w:space="0" w:color="auto"/>
              <w:right w:val="single" w:sz="4" w:space="0" w:color="auto"/>
            </w:tcBorders>
            <w:shd w:val="clear" w:color="auto" w:fill="auto"/>
            <w:vAlign w:val="center"/>
            <w:hideMark/>
          </w:tcPr>
          <w:p w14:paraId="707B44CE" w14:textId="77777777" w:rsidR="00C275DC" w:rsidRPr="00CA53C8" w:rsidRDefault="00C275DC" w:rsidP="00422161">
            <w:pPr>
              <w:jc w:val="center"/>
              <w:rPr>
                <w:rFonts w:cs="Arial"/>
                <w:b/>
                <w:bCs/>
                <w:color w:val="000000"/>
                <w:sz w:val="20"/>
                <w:szCs w:val="20"/>
                <w:lang w:val="en-US" w:eastAsia="en-US"/>
              </w:rPr>
            </w:pPr>
            <w:r w:rsidRPr="00CA53C8">
              <w:rPr>
                <w:rFonts w:cs="Arial"/>
                <w:b/>
                <w:bCs/>
                <w:color w:val="000000"/>
                <w:sz w:val="20"/>
                <w:szCs w:val="20"/>
                <w:lang w:val="en-US" w:eastAsia="en-US"/>
              </w:rPr>
              <w:t>current (2016)</w:t>
            </w:r>
          </w:p>
        </w:tc>
        <w:tc>
          <w:tcPr>
            <w:tcW w:w="1066" w:type="dxa"/>
            <w:tcBorders>
              <w:top w:val="single" w:sz="8" w:space="0" w:color="auto"/>
              <w:left w:val="nil"/>
              <w:bottom w:val="single" w:sz="4" w:space="0" w:color="auto"/>
              <w:right w:val="single" w:sz="4" w:space="0" w:color="auto"/>
            </w:tcBorders>
            <w:shd w:val="clear" w:color="auto" w:fill="auto"/>
            <w:vAlign w:val="center"/>
            <w:hideMark/>
          </w:tcPr>
          <w:p w14:paraId="440B7824" w14:textId="77777777" w:rsidR="00C275DC" w:rsidRPr="00CA53C8" w:rsidRDefault="00C275DC" w:rsidP="00422161">
            <w:pPr>
              <w:jc w:val="center"/>
              <w:rPr>
                <w:rFonts w:cs="Arial"/>
                <w:b/>
                <w:bCs/>
                <w:color w:val="000000"/>
                <w:sz w:val="20"/>
                <w:szCs w:val="20"/>
                <w:lang w:val="en-US" w:eastAsia="en-US"/>
              </w:rPr>
            </w:pPr>
            <w:r w:rsidRPr="00CA53C8">
              <w:rPr>
                <w:rFonts w:cs="Arial"/>
                <w:b/>
                <w:bCs/>
                <w:color w:val="000000"/>
                <w:sz w:val="20"/>
                <w:szCs w:val="20"/>
                <w:lang w:val="en-US" w:eastAsia="en-US"/>
              </w:rPr>
              <w:t>2017</w:t>
            </w:r>
          </w:p>
        </w:tc>
        <w:tc>
          <w:tcPr>
            <w:tcW w:w="1017" w:type="dxa"/>
            <w:tcBorders>
              <w:top w:val="single" w:sz="8" w:space="0" w:color="auto"/>
              <w:left w:val="nil"/>
              <w:bottom w:val="single" w:sz="4" w:space="0" w:color="auto"/>
              <w:right w:val="single" w:sz="4" w:space="0" w:color="auto"/>
            </w:tcBorders>
            <w:shd w:val="clear" w:color="auto" w:fill="auto"/>
            <w:vAlign w:val="center"/>
            <w:hideMark/>
          </w:tcPr>
          <w:p w14:paraId="070CC6BD" w14:textId="77777777" w:rsidR="00C275DC" w:rsidRPr="00CA53C8" w:rsidRDefault="00C275DC" w:rsidP="00422161">
            <w:pPr>
              <w:jc w:val="center"/>
              <w:rPr>
                <w:rFonts w:cs="Arial"/>
                <w:b/>
                <w:bCs/>
                <w:color w:val="000000"/>
                <w:sz w:val="20"/>
                <w:szCs w:val="20"/>
                <w:lang w:val="en-US" w:eastAsia="en-US"/>
              </w:rPr>
            </w:pPr>
            <w:r w:rsidRPr="00CA53C8">
              <w:rPr>
                <w:rFonts w:cs="Arial"/>
                <w:b/>
                <w:bCs/>
                <w:color w:val="000000"/>
                <w:sz w:val="20"/>
                <w:szCs w:val="20"/>
                <w:lang w:val="en-US" w:eastAsia="en-US"/>
              </w:rPr>
              <w:t>2018</w:t>
            </w:r>
          </w:p>
        </w:tc>
        <w:tc>
          <w:tcPr>
            <w:tcW w:w="1159" w:type="dxa"/>
            <w:tcBorders>
              <w:top w:val="single" w:sz="8" w:space="0" w:color="auto"/>
              <w:left w:val="nil"/>
              <w:bottom w:val="single" w:sz="4" w:space="0" w:color="auto"/>
              <w:right w:val="single" w:sz="4" w:space="0" w:color="auto"/>
            </w:tcBorders>
            <w:shd w:val="clear" w:color="auto" w:fill="auto"/>
            <w:vAlign w:val="center"/>
            <w:hideMark/>
          </w:tcPr>
          <w:p w14:paraId="1030E2FB" w14:textId="77777777" w:rsidR="00C275DC" w:rsidRPr="00CA53C8" w:rsidRDefault="00C275DC" w:rsidP="00422161">
            <w:pPr>
              <w:jc w:val="center"/>
              <w:rPr>
                <w:rFonts w:cs="Arial"/>
                <w:b/>
                <w:bCs/>
                <w:color w:val="000000"/>
                <w:sz w:val="20"/>
                <w:szCs w:val="20"/>
                <w:lang w:val="en-US" w:eastAsia="en-US"/>
              </w:rPr>
            </w:pPr>
            <w:r w:rsidRPr="00CA53C8">
              <w:rPr>
                <w:rFonts w:cs="Arial"/>
                <w:b/>
                <w:bCs/>
                <w:color w:val="000000"/>
                <w:sz w:val="20"/>
                <w:szCs w:val="20"/>
                <w:lang w:val="en-US" w:eastAsia="en-US"/>
              </w:rPr>
              <w:t>2019</w:t>
            </w:r>
          </w:p>
        </w:tc>
        <w:tc>
          <w:tcPr>
            <w:tcW w:w="1017" w:type="dxa"/>
            <w:tcBorders>
              <w:top w:val="single" w:sz="8" w:space="0" w:color="auto"/>
              <w:left w:val="nil"/>
              <w:bottom w:val="single" w:sz="4" w:space="0" w:color="auto"/>
              <w:right w:val="single" w:sz="4" w:space="0" w:color="auto"/>
            </w:tcBorders>
            <w:shd w:val="clear" w:color="auto" w:fill="auto"/>
            <w:vAlign w:val="center"/>
            <w:hideMark/>
          </w:tcPr>
          <w:p w14:paraId="3E807201" w14:textId="77777777" w:rsidR="00C275DC" w:rsidRPr="00CA53C8" w:rsidRDefault="00C275DC" w:rsidP="00422161">
            <w:pPr>
              <w:jc w:val="center"/>
              <w:rPr>
                <w:rFonts w:cs="Arial"/>
                <w:b/>
                <w:bCs/>
                <w:color w:val="000000"/>
                <w:sz w:val="20"/>
                <w:szCs w:val="20"/>
                <w:lang w:val="en-US" w:eastAsia="en-US"/>
              </w:rPr>
            </w:pPr>
            <w:r w:rsidRPr="00CA53C8">
              <w:rPr>
                <w:rFonts w:cs="Arial"/>
                <w:b/>
                <w:bCs/>
                <w:color w:val="000000"/>
                <w:sz w:val="20"/>
                <w:szCs w:val="20"/>
                <w:lang w:val="en-US" w:eastAsia="en-US"/>
              </w:rPr>
              <w:t>2020</w:t>
            </w:r>
          </w:p>
        </w:tc>
        <w:tc>
          <w:tcPr>
            <w:tcW w:w="1017" w:type="dxa"/>
            <w:tcBorders>
              <w:top w:val="single" w:sz="8" w:space="0" w:color="auto"/>
              <w:left w:val="nil"/>
              <w:bottom w:val="single" w:sz="4" w:space="0" w:color="auto"/>
              <w:right w:val="single" w:sz="8" w:space="0" w:color="auto"/>
            </w:tcBorders>
            <w:shd w:val="clear" w:color="auto" w:fill="auto"/>
            <w:vAlign w:val="center"/>
            <w:hideMark/>
          </w:tcPr>
          <w:p w14:paraId="60A25A64" w14:textId="77777777" w:rsidR="00C275DC" w:rsidRPr="00CA53C8" w:rsidRDefault="00C275DC" w:rsidP="00422161">
            <w:pPr>
              <w:jc w:val="center"/>
              <w:rPr>
                <w:rFonts w:cs="Arial"/>
                <w:b/>
                <w:bCs/>
                <w:color w:val="000000"/>
                <w:sz w:val="20"/>
                <w:szCs w:val="20"/>
                <w:lang w:val="en-US" w:eastAsia="en-US"/>
              </w:rPr>
            </w:pPr>
            <w:r w:rsidRPr="00CA53C8">
              <w:rPr>
                <w:rFonts w:cs="Arial"/>
                <w:b/>
                <w:bCs/>
                <w:color w:val="000000"/>
                <w:sz w:val="20"/>
                <w:szCs w:val="20"/>
                <w:lang w:val="en-US" w:eastAsia="en-US"/>
              </w:rPr>
              <w:t>2021</w:t>
            </w:r>
          </w:p>
        </w:tc>
      </w:tr>
      <w:tr w:rsidR="00C275DC" w:rsidRPr="00CA53C8" w14:paraId="10B579E6" w14:textId="77777777" w:rsidTr="00BF0EEF">
        <w:trPr>
          <w:trHeight w:val="465"/>
          <w:jc w:val="center"/>
        </w:trPr>
        <w:tc>
          <w:tcPr>
            <w:tcW w:w="3135" w:type="dxa"/>
            <w:tcBorders>
              <w:top w:val="nil"/>
              <w:left w:val="single" w:sz="4" w:space="0" w:color="auto"/>
              <w:bottom w:val="single" w:sz="4" w:space="0" w:color="auto"/>
              <w:right w:val="single" w:sz="4" w:space="0" w:color="auto"/>
            </w:tcBorders>
            <w:shd w:val="clear" w:color="auto" w:fill="auto"/>
            <w:vAlign w:val="center"/>
            <w:hideMark/>
          </w:tcPr>
          <w:p w14:paraId="7A850CC5" w14:textId="77777777" w:rsidR="00C275DC" w:rsidRPr="00CA53C8" w:rsidRDefault="00C275DC" w:rsidP="00422161">
            <w:pPr>
              <w:rPr>
                <w:rFonts w:cs="Arial"/>
                <w:color w:val="000000"/>
                <w:sz w:val="18"/>
                <w:szCs w:val="18"/>
                <w:lang w:val="en-US" w:eastAsia="en-US"/>
              </w:rPr>
            </w:pPr>
            <w:r w:rsidRPr="00CA53C8">
              <w:rPr>
                <w:rFonts w:cs="Arial"/>
                <w:color w:val="000000"/>
                <w:sz w:val="18"/>
                <w:szCs w:val="18"/>
                <w:lang w:val="en-US" w:eastAsia="en-US"/>
              </w:rPr>
              <w:t>Australian population</w:t>
            </w:r>
          </w:p>
        </w:tc>
        <w:tc>
          <w:tcPr>
            <w:tcW w:w="1020" w:type="dxa"/>
            <w:tcBorders>
              <w:top w:val="nil"/>
              <w:left w:val="nil"/>
              <w:bottom w:val="single" w:sz="4" w:space="0" w:color="auto"/>
              <w:right w:val="single" w:sz="4" w:space="0" w:color="auto"/>
            </w:tcBorders>
            <w:shd w:val="clear" w:color="auto" w:fill="auto"/>
            <w:noWrap/>
            <w:vAlign w:val="center"/>
            <w:hideMark/>
          </w:tcPr>
          <w:p w14:paraId="5D47D3D5" w14:textId="77777777" w:rsidR="00C275DC" w:rsidRPr="00CA53C8" w:rsidRDefault="00C275DC" w:rsidP="00422161">
            <w:pPr>
              <w:jc w:val="center"/>
              <w:rPr>
                <w:rFonts w:cs="Arial"/>
                <w:color w:val="000000"/>
                <w:sz w:val="18"/>
                <w:szCs w:val="18"/>
                <w:lang w:val="en-US" w:eastAsia="en-US"/>
              </w:rPr>
            </w:pPr>
            <w:r w:rsidRPr="00CA53C8">
              <w:rPr>
                <w:rFonts w:cs="Arial"/>
                <w:color w:val="000000"/>
                <w:sz w:val="18"/>
                <w:szCs w:val="18"/>
                <w:lang w:val="en-US" w:eastAsia="en-US"/>
              </w:rPr>
              <w:t>ABS</w:t>
            </w:r>
          </w:p>
        </w:tc>
        <w:tc>
          <w:tcPr>
            <w:tcW w:w="1160" w:type="dxa"/>
            <w:tcBorders>
              <w:top w:val="nil"/>
              <w:left w:val="nil"/>
              <w:bottom w:val="single" w:sz="4" w:space="0" w:color="auto"/>
              <w:right w:val="single" w:sz="4" w:space="0" w:color="auto"/>
            </w:tcBorders>
            <w:shd w:val="clear" w:color="auto" w:fill="auto"/>
            <w:noWrap/>
            <w:vAlign w:val="center"/>
            <w:hideMark/>
          </w:tcPr>
          <w:p w14:paraId="27966C5F" w14:textId="77777777" w:rsidR="00C275DC" w:rsidRPr="00CA53C8" w:rsidRDefault="00C275DC" w:rsidP="00630055">
            <w:pPr>
              <w:jc w:val="center"/>
              <w:rPr>
                <w:rFonts w:cs="Arial"/>
                <w:color w:val="000000"/>
                <w:sz w:val="18"/>
                <w:szCs w:val="18"/>
                <w:lang w:val="en-US" w:eastAsia="en-US"/>
              </w:rPr>
            </w:pPr>
            <w:r w:rsidRPr="00CA53C8">
              <w:rPr>
                <w:rFonts w:cs="Arial"/>
                <w:color w:val="000000"/>
                <w:sz w:val="18"/>
                <w:szCs w:val="18"/>
                <w:lang w:val="en-US" w:eastAsia="en-US"/>
              </w:rPr>
              <w:t>24359761</w:t>
            </w:r>
          </w:p>
        </w:tc>
        <w:tc>
          <w:tcPr>
            <w:tcW w:w="1066" w:type="dxa"/>
            <w:tcBorders>
              <w:top w:val="nil"/>
              <w:left w:val="nil"/>
              <w:bottom w:val="single" w:sz="4" w:space="0" w:color="auto"/>
              <w:right w:val="single" w:sz="4" w:space="0" w:color="auto"/>
            </w:tcBorders>
            <w:shd w:val="clear" w:color="auto" w:fill="auto"/>
            <w:noWrap/>
            <w:vAlign w:val="center"/>
            <w:hideMark/>
          </w:tcPr>
          <w:p w14:paraId="50C831C2" w14:textId="77777777" w:rsidR="00C275DC" w:rsidRPr="00CA53C8" w:rsidRDefault="00C275DC" w:rsidP="00630055">
            <w:pPr>
              <w:jc w:val="center"/>
              <w:rPr>
                <w:rFonts w:cs="Arial"/>
                <w:color w:val="000000"/>
                <w:sz w:val="18"/>
                <w:szCs w:val="18"/>
                <w:lang w:val="en-US" w:eastAsia="en-US"/>
              </w:rPr>
            </w:pPr>
            <w:r w:rsidRPr="00CA53C8">
              <w:rPr>
                <w:rFonts w:cs="Arial"/>
                <w:color w:val="000000"/>
                <w:sz w:val="18"/>
                <w:szCs w:val="18"/>
                <w:lang w:val="en-US" w:eastAsia="en-US"/>
              </w:rPr>
              <w:t>24781121</w:t>
            </w:r>
          </w:p>
        </w:tc>
        <w:tc>
          <w:tcPr>
            <w:tcW w:w="1017" w:type="dxa"/>
            <w:tcBorders>
              <w:top w:val="nil"/>
              <w:left w:val="nil"/>
              <w:bottom w:val="single" w:sz="4" w:space="0" w:color="auto"/>
              <w:right w:val="single" w:sz="4" w:space="0" w:color="auto"/>
            </w:tcBorders>
            <w:shd w:val="clear" w:color="auto" w:fill="auto"/>
            <w:noWrap/>
            <w:vAlign w:val="center"/>
            <w:hideMark/>
          </w:tcPr>
          <w:p w14:paraId="2B29B0A0" w14:textId="77777777" w:rsidR="00C275DC" w:rsidRPr="00CA53C8" w:rsidRDefault="00C275DC" w:rsidP="00630055">
            <w:pPr>
              <w:jc w:val="center"/>
              <w:rPr>
                <w:rFonts w:cs="Arial"/>
                <w:color w:val="000000"/>
                <w:sz w:val="18"/>
                <w:szCs w:val="18"/>
                <w:lang w:val="en-US" w:eastAsia="en-US"/>
              </w:rPr>
            </w:pPr>
            <w:r w:rsidRPr="00CA53C8">
              <w:rPr>
                <w:rFonts w:cs="Arial"/>
                <w:color w:val="000000"/>
                <w:sz w:val="18"/>
                <w:szCs w:val="18"/>
                <w:lang w:val="en-US" w:eastAsia="en-US"/>
              </w:rPr>
              <w:t>25201317</w:t>
            </w:r>
          </w:p>
        </w:tc>
        <w:tc>
          <w:tcPr>
            <w:tcW w:w="1159" w:type="dxa"/>
            <w:tcBorders>
              <w:top w:val="nil"/>
              <w:left w:val="nil"/>
              <w:bottom w:val="single" w:sz="4" w:space="0" w:color="auto"/>
              <w:right w:val="single" w:sz="4" w:space="0" w:color="auto"/>
            </w:tcBorders>
            <w:shd w:val="clear" w:color="auto" w:fill="auto"/>
            <w:noWrap/>
            <w:vAlign w:val="center"/>
            <w:hideMark/>
          </w:tcPr>
          <w:p w14:paraId="7969B919" w14:textId="77777777" w:rsidR="00C275DC" w:rsidRPr="00CA53C8" w:rsidRDefault="00C275DC" w:rsidP="00630055">
            <w:pPr>
              <w:jc w:val="center"/>
              <w:rPr>
                <w:rFonts w:cs="Arial"/>
                <w:color w:val="000000"/>
                <w:sz w:val="18"/>
                <w:szCs w:val="18"/>
                <w:lang w:val="en-US" w:eastAsia="en-US"/>
              </w:rPr>
            </w:pPr>
            <w:r w:rsidRPr="00CA53C8">
              <w:rPr>
                <w:rFonts w:cs="Arial"/>
                <w:color w:val="000000"/>
                <w:sz w:val="18"/>
                <w:szCs w:val="18"/>
                <w:lang w:val="en-US" w:eastAsia="en-US"/>
              </w:rPr>
              <w:t>25619895</w:t>
            </w:r>
          </w:p>
        </w:tc>
        <w:tc>
          <w:tcPr>
            <w:tcW w:w="1017" w:type="dxa"/>
            <w:tcBorders>
              <w:top w:val="nil"/>
              <w:left w:val="nil"/>
              <w:bottom w:val="single" w:sz="4" w:space="0" w:color="auto"/>
              <w:right w:val="single" w:sz="4" w:space="0" w:color="auto"/>
            </w:tcBorders>
            <w:shd w:val="clear" w:color="auto" w:fill="auto"/>
            <w:noWrap/>
            <w:vAlign w:val="center"/>
            <w:hideMark/>
          </w:tcPr>
          <w:p w14:paraId="67EEDF27" w14:textId="77777777" w:rsidR="00C275DC" w:rsidRPr="00CA53C8" w:rsidRDefault="00C275DC" w:rsidP="00630055">
            <w:pPr>
              <w:jc w:val="center"/>
              <w:rPr>
                <w:rFonts w:cs="Arial"/>
                <w:color w:val="000000"/>
                <w:sz w:val="18"/>
                <w:szCs w:val="18"/>
                <w:lang w:val="en-US" w:eastAsia="en-US"/>
              </w:rPr>
            </w:pPr>
            <w:r w:rsidRPr="00CA53C8">
              <w:rPr>
                <w:rFonts w:cs="Arial"/>
                <w:color w:val="000000"/>
                <w:sz w:val="18"/>
                <w:szCs w:val="18"/>
                <w:lang w:val="en-US" w:eastAsia="en-US"/>
              </w:rPr>
              <w:t>26037356</w:t>
            </w:r>
          </w:p>
        </w:tc>
        <w:tc>
          <w:tcPr>
            <w:tcW w:w="1017" w:type="dxa"/>
            <w:tcBorders>
              <w:top w:val="nil"/>
              <w:left w:val="nil"/>
              <w:bottom w:val="single" w:sz="4" w:space="0" w:color="auto"/>
              <w:right w:val="single" w:sz="8" w:space="0" w:color="auto"/>
            </w:tcBorders>
            <w:shd w:val="clear" w:color="auto" w:fill="auto"/>
            <w:noWrap/>
            <w:vAlign w:val="center"/>
            <w:hideMark/>
          </w:tcPr>
          <w:p w14:paraId="51F3CABC" w14:textId="77777777" w:rsidR="00C275DC" w:rsidRPr="00CA53C8" w:rsidRDefault="00C275DC" w:rsidP="00630055">
            <w:pPr>
              <w:jc w:val="center"/>
              <w:rPr>
                <w:rFonts w:cs="Arial"/>
                <w:color w:val="000000"/>
                <w:sz w:val="18"/>
                <w:szCs w:val="18"/>
                <w:lang w:val="en-US" w:eastAsia="en-US"/>
              </w:rPr>
            </w:pPr>
            <w:r w:rsidRPr="00CA53C8">
              <w:rPr>
                <w:rFonts w:cs="Arial"/>
                <w:color w:val="000000"/>
                <w:sz w:val="18"/>
                <w:szCs w:val="18"/>
                <w:lang w:val="en-US" w:eastAsia="en-US"/>
              </w:rPr>
              <w:t>26479991</w:t>
            </w:r>
          </w:p>
        </w:tc>
      </w:tr>
      <w:tr w:rsidR="00C275DC" w:rsidRPr="00CA53C8" w14:paraId="1DC44271" w14:textId="77777777" w:rsidTr="00BF0EEF">
        <w:trPr>
          <w:trHeight w:val="405"/>
          <w:jc w:val="center"/>
        </w:trPr>
        <w:tc>
          <w:tcPr>
            <w:tcW w:w="3135" w:type="dxa"/>
            <w:tcBorders>
              <w:top w:val="nil"/>
              <w:left w:val="single" w:sz="4" w:space="0" w:color="auto"/>
              <w:bottom w:val="single" w:sz="4" w:space="0" w:color="auto"/>
              <w:right w:val="single" w:sz="4" w:space="0" w:color="auto"/>
            </w:tcBorders>
            <w:shd w:val="clear" w:color="auto" w:fill="auto"/>
            <w:vAlign w:val="center"/>
            <w:hideMark/>
          </w:tcPr>
          <w:p w14:paraId="1D1219BD" w14:textId="77777777" w:rsidR="00C275DC" w:rsidRPr="00CA53C8" w:rsidRDefault="00C275DC" w:rsidP="00422161">
            <w:pPr>
              <w:rPr>
                <w:rFonts w:cs="Arial"/>
                <w:color w:val="000000"/>
                <w:sz w:val="18"/>
                <w:szCs w:val="18"/>
                <w:lang w:val="en-US" w:eastAsia="en-US"/>
              </w:rPr>
            </w:pPr>
            <w:r w:rsidRPr="00CA53C8">
              <w:rPr>
                <w:rFonts w:cs="Arial"/>
                <w:color w:val="000000"/>
                <w:sz w:val="18"/>
                <w:szCs w:val="18"/>
                <w:lang w:val="en-US" w:eastAsia="en-US"/>
              </w:rPr>
              <w:t>Number of Australian adults</w:t>
            </w:r>
          </w:p>
        </w:tc>
        <w:tc>
          <w:tcPr>
            <w:tcW w:w="1020" w:type="dxa"/>
            <w:tcBorders>
              <w:top w:val="nil"/>
              <w:left w:val="nil"/>
              <w:bottom w:val="single" w:sz="4" w:space="0" w:color="auto"/>
              <w:right w:val="single" w:sz="4" w:space="0" w:color="auto"/>
            </w:tcBorders>
            <w:shd w:val="clear" w:color="auto" w:fill="auto"/>
            <w:noWrap/>
            <w:vAlign w:val="center"/>
            <w:hideMark/>
          </w:tcPr>
          <w:p w14:paraId="5A722F71" w14:textId="77777777" w:rsidR="00C275DC" w:rsidRPr="00CA53C8" w:rsidRDefault="00C275DC" w:rsidP="00422161">
            <w:pPr>
              <w:jc w:val="center"/>
              <w:rPr>
                <w:rFonts w:cs="Arial"/>
                <w:color w:val="000000"/>
                <w:sz w:val="18"/>
                <w:szCs w:val="18"/>
                <w:lang w:val="en-US" w:eastAsia="en-US"/>
              </w:rPr>
            </w:pPr>
            <w:r w:rsidRPr="00CA53C8">
              <w:rPr>
                <w:rFonts w:cs="Arial"/>
                <w:color w:val="000000"/>
                <w:sz w:val="18"/>
                <w:szCs w:val="18"/>
                <w:lang w:val="en-US" w:eastAsia="en-US"/>
              </w:rPr>
              <w:t>ABS</w:t>
            </w:r>
          </w:p>
        </w:tc>
        <w:tc>
          <w:tcPr>
            <w:tcW w:w="1160" w:type="dxa"/>
            <w:tcBorders>
              <w:top w:val="nil"/>
              <w:left w:val="nil"/>
              <w:bottom w:val="single" w:sz="4" w:space="0" w:color="auto"/>
              <w:right w:val="single" w:sz="4" w:space="0" w:color="auto"/>
            </w:tcBorders>
            <w:shd w:val="clear" w:color="auto" w:fill="auto"/>
            <w:noWrap/>
            <w:vAlign w:val="center"/>
            <w:hideMark/>
          </w:tcPr>
          <w:p w14:paraId="6992DC56" w14:textId="77777777" w:rsidR="00C275DC" w:rsidRPr="00CA53C8" w:rsidRDefault="00C275DC" w:rsidP="00630055">
            <w:pPr>
              <w:jc w:val="center"/>
              <w:rPr>
                <w:rFonts w:cs="Arial"/>
                <w:color w:val="000000"/>
                <w:sz w:val="18"/>
                <w:szCs w:val="18"/>
                <w:lang w:val="en-US" w:eastAsia="en-US"/>
              </w:rPr>
            </w:pPr>
            <w:r w:rsidRPr="00CA53C8">
              <w:rPr>
                <w:rFonts w:cs="Arial"/>
                <w:color w:val="000000"/>
                <w:sz w:val="18"/>
                <w:szCs w:val="18"/>
                <w:lang w:val="en-US" w:eastAsia="en-US"/>
              </w:rPr>
              <w:t>18871777</w:t>
            </w:r>
          </w:p>
        </w:tc>
        <w:tc>
          <w:tcPr>
            <w:tcW w:w="1066" w:type="dxa"/>
            <w:tcBorders>
              <w:top w:val="nil"/>
              <w:left w:val="nil"/>
              <w:bottom w:val="single" w:sz="4" w:space="0" w:color="auto"/>
              <w:right w:val="single" w:sz="4" w:space="0" w:color="auto"/>
            </w:tcBorders>
            <w:shd w:val="clear" w:color="auto" w:fill="auto"/>
            <w:noWrap/>
            <w:vAlign w:val="center"/>
            <w:hideMark/>
          </w:tcPr>
          <w:p w14:paraId="421BCAB9" w14:textId="77777777" w:rsidR="00C275DC" w:rsidRPr="00CA53C8" w:rsidRDefault="00C275DC" w:rsidP="00630055">
            <w:pPr>
              <w:jc w:val="center"/>
              <w:rPr>
                <w:rFonts w:cs="Arial"/>
                <w:color w:val="000000"/>
                <w:sz w:val="18"/>
                <w:szCs w:val="18"/>
                <w:lang w:val="en-US" w:eastAsia="en-US"/>
              </w:rPr>
            </w:pPr>
            <w:r w:rsidRPr="00CA53C8">
              <w:rPr>
                <w:rFonts w:cs="Arial"/>
                <w:color w:val="000000"/>
                <w:sz w:val="18"/>
                <w:szCs w:val="18"/>
                <w:lang w:val="en-US" w:eastAsia="en-US"/>
              </w:rPr>
              <w:t>19201809</w:t>
            </w:r>
          </w:p>
        </w:tc>
        <w:tc>
          <w:tcPr>
            <w:tcW w:w="1017" w:type="dxa"/>
            <w:tcBorders>
              <w:top w:val="nil"/>
              <w:left w:val="nil"/>
              <w:bottom w:val="single" w:sz="4" w:space="0" w:color="auto"/>
              <w:right w:val="single" w:sz="4" w:space="0" w:color="auto"/>
            </w:tcBorders>
            <w:shd w:val="clear" w:color="auto" w:fill="auto"/>
            <w:noWrap/>
            <w:vAlign w:val="center"/>
            <w:hideMark/>
          </w:tcPr>
          <w:p w14:paraId="3F3D023C" w14:textId="77777777" w:rsidR="00C275DC" w:rsidRPr="00CA53C8" w:rsidRDefault="00C275DC" w:rsidP="00630055">
            <w:pPr>
              <w:jc w:val="center"/>
              <w:rPr>
                <w:rFonts w:cs="Arial"/>
                <w:color w:val="000000"/>
                <w:sz w:val="18"/>
                <w:szCs w:val="18"/>
                <w:lang w:val="en-US" w:eastAsia="en-US"/>
              </w:rPr>
            </w:pPr>
            <w:r w:rsidRPr="00CA53C8">
              <w:rPr>
                <w:rFonts w:cs="Arial"/>
                <w:color w:val="000000"/>
                <w:sz w:val="18"/>
                <w:szCs w:val="18"/>
                <w:lang w:val="en-US" w:eastAsia="en-US"/>
              </w:rPr>
              <w:t>19529153</w:t>
            </w:r>
          </w:p>
        </w:tc>
        <w:tc>
          <w:tcPr>
            <w:tcW w:w="1159" w:type="dxa"/>
            <w:tcBorders>
              <w:top w:val="nil"/>
              <w:left w:val="nil"/>
              <w:bottom w:val="single" w:sz="4" w:space="0" w:color="auto"/>
              <w:right w:val="single" w:sz="4" w:space="0" w:color="auto"/>
            </w:tcBorders>
            <w:shd w:val="clear" w:color="auto" w:fill="auto"/>
            <w:noWrap/>
            <w:vAlign w:val="center"/>
            <w:hideMark/>
          </w:tcPr>
          <w:p w14:paraId="228B8846" w14:textId="77777777" w:rsidR="00C275DC" w:rsidRPr="00CA53C8" w:rsidRDefault="00C275DC" w:rsidP="00630055">
            <w:pPr>
              <w:jc w:val="center"/>
              <w:rPr>
                <w:rFonts w:cs="Arial"/>
                <w:color w:val="000000"/>
                <w:sz w:val="18"/>
                <w:szCs w:val="18"/>
                <w:lang w:val="en-US" w:eastAsia="en-US"/>
              </w:rPr>
            </w:pPr>
            <w:r w:rsidRPr="00CA53C8">
              <w:rPr>
                <w:rFonts w:cs="Arial"/>
                <w:color w:val="000000"/>
                <w:sz w:val="18"/>
                <w:szCs w:val="18"/>
                <w:lang w:val="en-US" w:eastAsia="en-US"/>
              </w:rPr>
              <w:t>19853831</w:t>
            </w:r>
          </w:p>
        </w:tc>
        <w:tc>
          <w:tcPr>
            <w:tcW w:w="1017" w:type="dxa"/>
            <w:tcBorders>
              <w:top w:val="nil"/>
              <w:left w:val="nil"/>
              <w:bottom w:val="single" w:sz="4" w:space="0" w:color="auto"/>
              <w:right w:val="single" w:sz="4" w:space="0" w:color="auto"/>
            </w:tcBorders>
            <w:shd w:val="clear" w:color="auto" w:fill="auto"/>
            <w:noWrap/>
            <w:vAlign w:val="center"/>
            <w:hideMark/>
          </w:tcPr>
          <w:p w14:paraId="5DF79C0D" w14:textId="77777777" w:rsidR="00C275DC" w:rsidRPr="00CA53C8" w:rsidRDefault="00C275DC" w:rsidP="00630055">
            <w:pPr>
              <w:jc w:val="center"/>
              <w:rPr>
                <w:rFonts w:cs="Arial"/>
                <w:color w:val="000000"/>
                <w:sz w:val="18"/>
                <w:szCs w:val="18"/>
                <w:lang w:val="en-US" w:eastAsia="en-US"/>
              </w:rPr>
            </w:pPr>
            <w:r w:rsidRPr="00CA53C8">
              <w:rPr>
                <w:rFonts w:cs="Arial"/>
                <w:color w:val="000000"/>
                <w:sz w:val="18"/>
                <w:szCs w:val="18"/>
                <w:lang w:val="en-US" w:eastAsia="en-US"/>
              </w:rPr>
              <w:t>20173593</w:t>
            </w:r>
          </w:p>
        </w:tc>
        <w:tc>
          <w:tcPr>
            <w:tcW w:w="1017" w:type="dxa"/>
            <w:tcBorders>
              <w:top w:val="nil"/>
              <w:left w:val="nil"/>
              <w:bottom w:val="single" w:sz="4" w:space="0" w:color="auto"/>
              <w:right w:val="single" w:sz="8" w:space="0" w:color="auto"/>
            </w:tcBorders>
            <w:shd w:val="clear" w:color="auto" w:fill="auto"/>
            <w:noWrap/>
            <w:vAlign w:val="center"/>
            <w:hideMark/>
          </w:tcPr>
          <w:p w14:paraId="7F2A8885" w14:textId="77777777" w:rsidR="00C275DC" w:rsidRPr="00CA53C8" w:rsidRDefault="00C275DC" w:rsidP="00630055">
            <w:pPr>
              <w:jc w:val="center"/>
              <w:rPr>
                <w:rFonts w:cs="Arial"/>
                <w:color w:val="000000"/>
                <w:sz w:val="18"/>
                <w:szCs w:val="18"/>
                <w:lang w:val="en-US" w:eastAsia="en-US"/>
              </w:rPr>
            </w:pPr>
            <w:r w:rsidRPr="00CA53C8">
              <w:rPr>
                <w:rFonts w:cs="Arial"/>
                <w:color w:val="000000"/>
                <w:sz w:val="18"/>
                <w:szCs w:val="18"/>
                <w:lang w:val="en-US" w:eastAsia="en-US"/>
              </w:rPr>
              <w:t>20516544</w:t>
            </w:r>
          </w:p>
        </w:tc>
      </w:tr>
      <w:tr w:rsidR="00C275DC" w:rsidRPr="00CA53C8" w14:paraId="111841E1" w14:textId="77777777" w:rsidTr="00BF0EEF">
        <w:trPr>
          <w:trHeight w:val="825"/>
          <w:jc w:val="center"/>
        </w:trPr>
        <w:tc>
          <w:tcPr>
            <w:tcW w:w="3135" w:type="dxa"/>
            <w:tcBorders>
              <w:top w:val="nil"/>
              <w:left w:val="single" w:sz="4" w:space="0" w:color="auto"/>
              <w:bottom w:val="single" w:sz="4" w:space="0" w:color="auto"/>
              <w:right w:val="single" w:sz="4" w:space="0" w:color="auto"/>
            </w:tcBorders>
            <w:shd w:val="clear" w:color="auto" w:fill="auto"/>
            <w:vAlign w:val="center"/>
            <w:hideMark/>
          </w:tcPr>
          <w:p w14:paraId="0D35A0BA" w14:textId="77777777" w:rsidR="00C275DC" w:rsidRPr="00CA53C8" w:rsidRDefault="00C275DC" w:rsidP="00422161">
            <w:pPr>
              <w:rPr>
                <w:rFonts w:cs="Arial"/>
                <w:color w:val="000000"/>
                <w:sz w:val="18"/>
                <w:szCs w:val="18"/>
                <w:lang w:val="en-US" w:eastAsia="en-US"/>
              </w:rPr>
            </w:pPr>
            <w:r w:rsidRPr="00CA53C8">
              <w:rPr>
                <w:rFonts w:cs="Arial"/>
                <w:color w:val="000000"/>
                <w:sz w:val="18"/>
                <w:szCs w:val="18"/>
                <w:lang w:val="en-US" w:eastAsia="en-US"/>
              </w:rPr>
              <w:t>Prevalence of SNHL in the adult population (%)</w:t>
            </w:r>
          </w:p>
        </w:tc>
        <w:tc>
          <w:tcPr>
            <w:tcW w:w="1020" w:type="dxa"/>
            <w:tcBorders>
              <w:top w:val="nil"/>
              <w:left w:val="nil"/>
              <w:bottom w:val="single" w:sz="4" w:space="0" w:color="auto"/>
              <w:right w:val="single" w:sz="4" w:space="0" w:color="auto"/>
            </w:tcBorders>
            <w:shd w:val="clear" w:color="auto" w:fill="auto"/>
            <w:vAlign w:val="center"/>
            <w:hideMark/>
          </w:tcPr>
          <w:p w14:paraId="5D63B179" w14:textId="77777777" w:rsidR="00C275DC" w:rsidRPr="00CA53C8" w:rsidRDefault="00C275DC" w:rsidP="00422161">
            <w:pPr>
              <w:jc w:val="center"/>
              <w:rPr>
                <w:rFonts w:cs="Arial"/>
                <w:color w:val="000000"/>
                <w:sz w:val="18"/>
                <w:szCs w:val="18"/>
                <w:lang w:val="en-US" w:eastAsia="en-US"/>
              </w:rPr>
            </w:pPr>
            <w:r w:rsidRPr="00CA53C8">
              <w:rPr>
                <w:rFonts w:cs="Arial"/>
                <w:color w:val="000000"/>
                <w:sz w:val="18"/>
                <w:szCs w:val="18"/>
                <w:lang w:val="en-US" w:eastAsia="en-US"/>
              </w:rPr>
              <w:t>Wilson et al., (1999)</w:t>
            </w:r>
          </w:p>
        </w:tc>
        <w:tc>
          <w:tcPr>
            <w:tcW w:w="1160" w:type="dxa"/>
            <w:tcBorders>
              <w:top w:val="nil"/>
              <w:left w:val="nil"/>
              <w:bottom w:val="single" w:sz="4" w:space="0" w:color="auto"/>
              <w:right w:val="single" w:sz="4" w:space="0" w:color="auto"/>
            </w:tcBorders>
            <w:shd w:val="clear" w:color="auto" w:fill="auto"/>
            <w:vAlign w:val="center"/>
            <w:hideMark/>
          </w:tcPr>
          <w:p w14:paraId="549C47BF" w14:textId="77777777" w:rsidR="00C275DC" w:rsidRPr="00CA53C8" w:rsidRDefault="00C275DC" w:rsidP="00422161">
            <w:pPr>
              <w:jc w:val="center"/>
              <w:rPr>
                <w:rFonts w:cs="Arial"/>
                <w:color w:val="000000"/>
                <w:sz w:val="18"/>
                <w:szCs w:val="18"/>
                <w:lang w:val="en-US" w:eastAsia="en-US"/>
              </w:rPr>
            </w:pPr>
            <w:r w:rsidRPr="00CA53C8">
              <w:rPr>
                <w:rFonts w:cs="Arial"/>
                <w:color w:val="000000"/>
                <w:sz w:val="18"/>
                <w:szCs w:val="18"/>
                <w:lang w:val="en-US" w:eastAsia="en-US"/>
              </w:rPr>
              <w:t>20,20%</w:t>
            </w:r>
          </w:p>
        </w:tc>
        <w:tc>
          <w:tcPr>
            <w:tcW w:w="1066" w:type="dxa"/>
            <w:tcBorders>
              <w:top w:val="nil"/>
              <w:left w:val="nil"/>
              <w:bottom w:val="single" w:sz="4" w:space="0" w:color="auto"/>
              <w:right w:val="single" w:sz="4" w:space="0" w:color="auto"/>
            </w:tcBorders>
            <w:shd w:val="clear" w:color="auto" w:fill="auto"/>
            <w:vAlign w:val="center"/>
            <w:hideMark/>
          </w:tcPr>
          <w:p w14:paraId="0A794D98" w14:textId="77777777" w:rsidR="00C275DC" w:rsidRPr="00CA53C8" w:rsidRDefault="00C275DC" w:rsidP="00422161">
            <w:pPr>
              <w:jc w:val="center"/>
              <w:rPr>
                <w:rFonts w:cs="Arial"/>
                <w:color w:val="000000"/>
                <w:sz w:val="18"/>
                <w:szCs w:val="18"/>
                <w:lang w:val="en-US" w:eastAsia="en-US"/>
              </w:rPr>
            </w:pPr>
            <w:r w:rsidRPr="00CA53C8">
              <w:rPr>
                <w:rFonts w:cs="Arial"/>
                <w:color w:val="000000"/>
                <w:sz w:val="18"/>
                <w:szCs w:val="18"/>
                <w:lang w:val="en-US" w:eastAsia="en-US"/>
              </w:rPr>
              <w:t>20,20%</w:t>
            </w:r>
          </w:p>
        </w:tc>
        <w:tc>
          <w:tcPr>
            <w:tcW w:w="1017" w:type="dxa"/>
            <w:tcBorders>
              <w:top w:val="nil"/>
              <w:left w:val="nil"/>
              <w:bottom w:val="single" w:sz="4" w:space="0" w:color="auto"/>
              <w:right w:val="single" w:sz="4" w:space="0" w:color="auto"/>
            </w:tcBorders>
            <w:shd w:val="clear" w:color="auto" w:fill="auto"/>
            <w:vAlign w:val="center"/>
            <w:hideMark/>
          </w:tcPr>
          <w:p w14:paraId="6AA28693" w14:textId="77777777" w:rsidR="00C275DC" w:rsidRPr="00CA53C8" w:rsidRDefault="00C275DC" w:rsidP="00422161">
            <w:pPr>
              <w:jc w:val="center"/>
              <w:rPr>
                <w:rFonts w:cs="Arial"/>
                <w:color w:val="000000"/>
                <w:sz w:val="18"/>
                <w:szCs w:val="18"/>
                <w:lang w:val="en-US" w:eastAsia="en-US"/>
              </w:rPr>
            </w:pPr>
            <w:r w:rsidRPr="00CA53C8">
              <w:rPr>
                <w:rFonts w:cs="Arial"/>
                <w:color w:val="000000"/>
                <w:sz w:val="18"/>
                <w:szCs w:val="18"/>
                <w:lang w:val="en-US" w:eastAsia="en-US"/>
              </w:rPr>
              <w:t>20,20%</w:t>
            </w:r>
          </w:p>
        </w:tc>
        <w:tc>
          <w:tcPr>
            <w:tcW w:w="1159" w:type="dxa"/>
            <w:tcBorders>
              <w:top w:val="nil"/>
              <w:left w:val="nil"/>
              <w:bottom w:val="single" w:sz="4" w:space="0" w:color="auto"/>
              <w:right w:val="single" w:sz="4" w:space="0" w:color="auto"/>
            </w:tcBorders>
            <w:shd w:val="clear" w:color="auto" w:fill="auto"/>
            <w:vAlign w:val="center"/>
            <w:hideMark/>
          </w:tcPr>
          <w:p w14:paraId="7811A4BE" w14:textId="77777777" w:rsidR="00C275DC" w:rsidRPr="00CA53C8" w:rsidRDefault="00C275DC" w:rsidP="00422161">
            <w:pPr>
              <w:jc w:val="center"/>
              <w:rPr>
                <w:rFonts w:cs="Arial"/>
                <w:color w:val="000000"/>
                <w:sz w:val="18"/>
                <w:szCs w:val="18"/>
                <w:lang w:val="en-US" w:eastAsia="en-US"/>
              </w:rPr>
            </w:pPr>
            <w:r w:rsidRPr="00CA53C8">
              <w:rPr>
                <w:rFonts w:cs="Arial"/>
                <w:color w:val="000000"/>
                <w:sz w:val="18"/>
                <w:szCs w:val="18"/>
                <w:lang w:val="en-US" w:eastAsia="en-US"/>
              </w:rPr>
              <w:t>20,20%</w:t>
            </w:r>
          </w:p>
        </w:tc>
        <w:tc>
          <w:tcPr>
            <w:tcW w:w="1017" w:type="dxa"/>
            <w:tcBorders>
              <w:top w:val="nil"/>
              <w:left w:val="nil"/>
              <w:bottom w:val="single" w:sz="4" w:space="0" w:color="auto"/>
              <w:right w:val="single" w:sz="4" w:space="0" w:color="auto"/>
            </w:tcBorders>
            <w:shd w:val="clear" w:color="auto" w:fill="auto"/>
            <w:vAlign w:val="center"/>
            <w:hideMark/>
          </w:tcPr>
          <w:p w14:paraId="57EA0A14" w14:textId="77777777" w:rsidR="00C275DC" w:rsidRPr="00CA53C8" w:rsidRDefault="00C275DC" w:rsidP="00422161">
            <w:pPr>
              <w:jc w:val="center"/>
              <w:rPr>
                <w:rFonts w:cs="Arial"/>
                <w:color w:val="000000"/>
                <w:sz w:val="18"/>
                <w:szCs w:val="18"/>
                <w:lang w:val="en-US" w:eastAsia="en-US"/>
              </w:rPr>
            </w:pPr>
            <w:r w:rsidRPr="00CA53C8">
              <w:rPr>
                <w:rFonts w:cs="Arial"/>
                <w:color w:val="000000"/>
                <w:sz w:val="18"/>
                <w:szCs w:val="18"/>
                <w:lang w:val="en-US" w:eastAsia="en-US"/>
              </w:rPr>
              <w:t>20,20%</w:t>
            </w:r>
          </w:p>
        </w:tc>
        <w:tc>
          <w:tcPr>
            <w:tcW w:w="1017" w:type="dxa"/>
            <w:tcBorders>
              <w:top w:val="nil"/>
              <w:left w:val="nil"/>
              <w:bottom w:val="single" w:sz="4" w:space="0" w:color="auto"/>
              <w:right w:val="single" w:sz="8" w:space="0" w:color="auto"/>
            </w:tcBorders>
            <w:shd w:val="clear" w:color="auto" w:fill="auto"/>
            <w:vAlign w:val="center"/>
            <w:hideMark/>
          </w:tcPr>
          <w:p w14:paraId="48918140" w14:textId="77777777" w:rsidR="00C275DC" w:rsidRPr="00CA53C8" w:rsidRDefault="00C275DC" w:rsidP="00422161">
            <w:pPr>
              <w:jc w:val="center"/>
              <w:rPr>
                <w:rFonts w:cs="Arial"/>
                <w:color w:val="000000"/>
                <w:sz w:val="18"/>
                <w:szCs w:val="18"/>
                <w:lang w:val="en-US" w:eastAsia="en-US"/>
              </w:rPr>
            </w:pPr>
            <w:r w:rsidRPr="00CA53C8">
              <w:rPr>
                <w:rFonts w:cs="Arial"/>
                <w:color w:val="000000"/>
                <w:sz w:val="18"/>
                <w:szCs w:val="18"/>
                <w:lang w:val="en-US" w:eastAsia="en-US"/>
              </w:rPr>
              <w:t>20,20%</w:t>
            </w:r>
          </w:p>
        </w:tc>
      </w:tr>
      <w:tr w:rsidR="00C275DC" w:rsidRPr="00CA53C8" w14:paraId="09266AE6" w14:textId="77777777" w:rsidTr="00BF0EEF">
        <w:trPr>
          <w:trHeight w:val="795"/>
          <w:jc w:val="center"/>
        </w:trPr>
        <w:tc>
          <w:tcPr>
            <w:tcW w:w="3135" w:type="dxa"/>
            <w:tcBorders>
              <w:top w:val="nil"/>
              <w:left w:val="single" w:sz="4" w:space="0" w:color="auto"/>
              <w:bottom w:val="single" w:sz="4" w:space="0" w:color="auto"/>
              <w:right w:val="single" w:sz="4" w:space="0" w:color="auto"/>
            </w:tcBorders>
            <w:shd w:val="clear" w:color="auto" w:fill="auto"/>
            <w:vAlign w:val="center"/>
            <w:hideMark/>
          </w:tcPr>
          <w:p w14:paraId="6AA40F1B" w14:textId="77777777" w:rsidR="00C275DC" w:rsidRPr="00CA53C8" w:rsidRDefault="00C275DC" w:rsidP="00422161">
            <w:pPr>
              <w:rPr>
                <w:rFonts w:cs="Arial"/>
                <w:color w:val="000000"/>
                <w:sz w:val="18"/>
                <w:szCs w:val="18"/>
                <w:lang w:val="en-US" w:eastAsia="en-US"/>
              </w:rPr>
            </w:pPr>
            <w:r w:rsidRPr="00CA53C8">
              <w:rPr>
                <w:rFonts w:cs="Arial"/>
                <w:color w:val="000000"/>
                <w:sz w:val="18"/>
                <w:szCs w:val="18"/>
                <w:lang w:val="en-US" w:eastAsia="en-US"/>
              </w:rPr>
              <w:t>Estimated number of Australian adults with SNHL</w:t>
            </w:r>
          </w:p>
        </w:tc>
        <w:tc>
          <w:tcPr>
            <w:tcW w:w="1020" w:type="dxa"/>
            <w:tcBorders>
              <w:top w:val="nil"/>
              <w:left w:val="nil"/>
              <w:bottom w:val="single" w:sz="4" w:space="0" w:color="auto"/>
              <w:right w:val="single" w:sz="4" w:space="0" w:color="auto"/>
            </w:tcBorders>
            <w:shd w:val="clear" w:color="auto" w:fill="auto"/>
            <w:vAlign w:val="center"/>
            <w:hideMark/>
          </w:tcPr>
          <w:p w14:paraId="32E46BC1" w14:textId="77777777" w:rsidR="00C275DC" w:rsidRPr="00CA53C8" w:rsidRDefault="00C275DC" w:rsidP="00422161">
            <w:pPr>
              <w:jc w:val="center"/>
              <w:rPr>
                <w:rFonts w:cs="Arial"/>
                <w:color w:val="000000"/>
                <w:sz w:val="18"/>
                <w:szCs w:val="18"/>
                <w:lang w:val="en-US" w:eastAsia="en-US"/>
              </w:rPr>
            </w:pPr>
            <w:r w:rsidRPr="00CA53C8">
              <w:rPr>
                <w:rFonts w:cs="Arial"/>
                <w:color w:val="000000"/>
                <w:sz w:val="18"/>
                <w:szCs w:val="18"/>
                <w:lang w:val="en-US" w:eastAsia="en-US"/>
              </w:rPr>
              <w:t>B x C</w:t>
            </w:r>
          </w:p>
        </w:tc>
        <w:tc>
          <w:tcPr>
            <w:tcW w:w="1160" w:type="dxa"/>
            <w:tcBorders>
              <w:top w:val="nil"/>
              <w:left w:val="nil"/>
              <w:bottom w:val="single" w:sz="4" w:space="0" w:color="auto"/>
              <w:right w:val="single" w:sz="4" w:space="0" w:color="auto"/>
            </w:tcBorders>
            <w:shd w:val="clear" w:color="auto" w:fill="auto"/>
            <w:vAlign w:val="center"/>
            <w:hideMark/>
          </w:tcPr>
          <w:p w14:paraId="0006A901" w14:textId="77777777" w:rsidR="00C275DC" w:rsidRPr="00CA53C8" w:rsidRDefault="00C275DC" w:rsidP="00422161">
            <w:pPr>
              <w:jc w:val="center"/>
              <w:rPr>
                <w:rFonts w:cs="Arial"/>
                <w:color w:val="000000"/>
                <w:sz w:val="18"/>
                <w:szCs w:val="18"/>
                <w:lang w:val="en-US" w:eastAsia="en-US"/>
              </w:rPr>
            </w:pPr>
            <w:r w:rsidRPr="00CA53C8">
              <w:rPr>
                <w:rFonts w:cs="Arial"/>
                <w:color w:val="000000"/>
                <w:sz w:val="18"/>
                <w:szCs w:val="18"/>
                <w:lang w:val="en-US" w:eastAsia="en-US"/>
              </w:rPr>
              <w:t>3812099</w:t>
            </w:r>
          </w:p>
        </w:tc>
        <w:tc>
          <w:tcPr>
            <w:tcW w:w="1066" w:type="dxa"/>
            <w:tcBorders>
              <w:top w:val="nil"/>
              <w:left w:val="nil"/>
              <w:bottom w:val="single" w:sz="4" w:space="0" w:color="auto"/>
              <w:right w:val="single" w:sz="4" w:space="0" w:color="auto"/>
            </w:tcBorders>
            <w:shd w:val="clear" w:color="auto" w:fill="auto"/>
            <w:vAlign w:val="center"/>
            <w:hideMark/>
          </w:tcPr>
          <w:p w14:paraId="1A8E2F55" w14:textId="77777777" w:rsidR="00C275DC" w:rsidRPr="00CA53C8" w:rsidRDefault="00C275DC" w:rsidP="00422161">
            <w:pPr>
              <w:jc w:val="center"/>
              <w:rPr>
                <w:rFonts w:cs="Arial"/>
                <w:color w:val="000000"/>
                <w:sz w:val="18"/>
                <w:szCs w:val="18"/>
                <w:lang w:val="en-US" w:eastAsia="en-US"/>
              </w:rPr>
            </w:pPr>
            <w:r w:rsidRPr="00CA53C8">
              <w:rPr>
                <w:rFonts w:cs="Arial"/>
                <w:color w:val="000000"/>
                <w:sz w:val="18"/>
                <w:szCs w:val="18"/>
                <w:lang w:val="en-US" w:eastAsia="en-US"/>
              </w:rPr>
              <w:t>3878765</w:t>
            </w:r>
          </w:p>
        </w:tc>
        <w:tc>
          <w:tcPr>
            <w:tcW w:w="1017" w:type="dxa"/>
            <w:tcBorders>
              <w:top w:val="nil"/>
              <w:left w:val="nil"/>
              <w:bottom w:val="single" w:sz="4" w:space="0" w:color="auto"/>
              <w:right w:val="single" w:sz="4" w:space="0" w:color="auto"/>
            </w:tcBorders>
            <w:shd w:val="clear" w:color="auto" w:fill="auto"/>
            <w:vAlign w:val="center"/>
            <w:hideMark/>
          </w:tcPr>
          <w:p w14:paraId="5BBA8A8C" w14:textId="77777777" w:rsidR="00C275DC" w:rsidRPr="00CA53C8" w:rsidRDefault="00C275DC" w:rsidP="00422161">
            <w:pPr>
              <w:jc w:val="center"/>
              <w:rPr>
                <w:rFonts w:cs="Arial"/>
                <w:color w:val="000000"/>
                <w:sz w:val="18"/>
                <w:szCs w:val="18"/>
                <w:lang w:val="en-US" w:eastAsia="en-US"/>
              </w:rPr>
            </w:pPr>
            <w:r w:rsidRPr="00CA53C8">
              <w:rPr>
                <w:rFonts w:cs="Arial"/>
                <w:color w:val="000000"/>
                <w:sz w:val="18"/>
                <w:szCs w:val="18"/>
                <w:lang w:val="en-US" w:eastAsia="en-US"/>
              </w:rPr>
              <w:t>3944889</w:t>
            </w:r>
          </w:p>
        </w:tc>
        <w:tc>
          <w:tcPr>
            <w:tcW w:w="1159" w:type="dxa"/>
            <w:tcBorders>
              <w:top w:val="nil"/>
              <w:left w:val="nil"/>
              <w:bottom w:val="single" w:sz="4" w:space="0" w:color="auto"/>
              <w:right w:val="single" w:sz="4" w:space="0" w:color="auto"/>
            </w:tcBorders>
            <w:shd w:val="clear" w:color="auto" w:fill="auto"/>
            <w:vAlign w:val="center"/>
            <w:hideMark/>
          </w:tcPr>
          <w:p w14:paraId="1E620CF9" w14:textId="77777777" w:rsidR="00C275DC" w:rsidRPr="00CA53C8" w:rsidRDefault="00C275DC" w:rsidP="00422161">
            <w:pPr>
              <w:jc w:val="center"/>
              <w:rPr>
                <w:rFonts w:cs="Arial"/>
                <w:color w:val="000000"/>
                <w:sz w:val="18"/>
                <w:szCs w:val="18"/>
                <w:lang w:val="en-US" w:eastAsia="en-US"/>
              </w:rPr>
            </w:pPr>
            <w:r w:rsidRPr="00CA53C8">
              <w:rPr>
                <w:rFonts w:cs="Arial"/>
                <w:color w:val="000000"/>
                <w:sz w:val="18"/>
                <w:szCs w:val="18"/>
                <w:lang w:val="en-US" w:eastAsia="en-US"/>
              </w:rPr>
              <w:t>4010474</w:t>
            </w:r>
          </w:p>
        </w:tc>
        <w:tc>
          <w:tcPr>
            <w:tcW w:w="1017" w:type="dxa"/>
            <w:tcBorders>
              <w:top w:val="nil"/>
              <w:left w:val="nil"/>
              <w:bottom w:val="single" w:sz="4" w:space="0" w:color="auto"/>
              <w:right w:val="single" w:sz="4" w:space="0" w:color="auto"/>
            </w:tcBorders>
            <w:shd w:val="clear" w:color="auto" w:fill="auto"/>
            <w:vAlign w:val="center"/>
            <w:hideMark/>
          </w:tcPr>
          <w:p w14:paraId="3298743D" w14:textId="77777777" w:rsidR="00C275DC" w:rsidRPr="00CA53C8" w:rsidRDefault="00C275DC" w:rsidP="00422161">
            <w:pPr>
              <w:jc w:val="center"/>
              <w:rPr>
                <w:rFonts w:cs="Arial"/>
                <w:color w:val="000000"/>
                <w:sz w:val="18"/>
                <w:szCs w:val="18"/>
                <w:lang w:val="en-US" w:eastAsia="en-US"/>
              </w:rPr>
            </w:pPr>
            <w:r w:rsidRPr="00CA53C8">
              <w:rPr>
                <w:rFonts w:cs="Arial"/>
                <w:color w:val="000000"/>
                <w:sz w:val="18"/>
                <w:szCs w:val="18"/>
                <w:lang w:val="en-US" w:eastAsia="en-US"/>
              </w:rPr>
              <w:t>4075066</w:t>
            </w:r>
          </w:p>
        </w:tc>
        <w:tc>
          <w:tcPr>
            <w:tcW w:w="1017" w:type="dxa"/>
            <w:tcBorders>
              <w:top w:val="nil"/>
              <w:left w:val="nil"/>
              <w:bottom w:val="single" w:sz="4" w:space="0" w:color="auto"/>
              <w:right w:val="single" w:sz="8" w:space="0" w:color="auto"/>
            </w:tcBorders>
            <w:shd w:val="clear" w:color="auto" w:fill="auto"/>
            <w:vAlign w:val="center"/>
            <w:hideMark/>
          </w:tcPr>
          <w:p w14:paraId="1DB02273" w14:textId="77777777" w:rsidR="00C275DC" w:rsidRPr="00CA53C8" w:rsidRDefault="00C275DC" w:rsidP="00422161">
            <w:pPr>
              <w:jc w:val="center"/>
              <w:rPr>
                <w:rFonts w:cs="Arial"/>
                <w:color w:val="000000"/>
                <w:sz w:val="18"/>
                <w:szCs w:val="18"/>
                <w:lang w:val="en-US" w:eastAsia="en-US"/>
              </w:rPr>
            </w:pPr>
            <w:r w:rsidRPr="00CA53C8">
              <w:rPr>
                <w:rFonts w:cs="Arial"/>
                <w:color w:val="000000"/>
                <w:sz w:val="18"/>
                <w:szCs w:val="18"/>
                <w:lang w:val="en-US" w:eastAsia="en-US"/>
              </w:rPr>
              <w:t>4144342</w:t>
            </w:r>
          </w:p>
        </w:tc>
      </w:tr>
      <w:tr w:rsidR="009335A4" w:rsidRPr="00CA53C8" w14:paraId="3D709C25" w14:textId="77777777" w:rsidTr="00BF0EEF">
        <w:trPr>
          <w:trHeight w:val="780"/>
          <w:jc w:val="center"/>
        </w:trPr>
        <w:tc>
          <w:tcPr>
            <w:tcW w:w="3135"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21DFBA38" w14:textId="77777777" w:rsidR="009335A4" w:rsidRPr="00CA53C8" w:rsidRDefault="009335A4" w:rsidP="00422161">
            <w:pPr>
              <w:rPr>
                <w:rFonts w:cs="Arial"/>
                <w:color w:val="000000"/>
                <w:sz w:val="18"/>
                <w:szCs w:val="18"/>
                <w:lang w:val="en-US" w:eastAsia="en-US"/>
              </w:rPr>
            </w:pPr>
            <w:r w:rsidRPr="00CA53C8">
              <w:rPr>
                <w:rFonts w:cs="Arial"/>
                <w:color w:val="000000"/>
                <w:sz w:val="18"/>
                <w:szCs w:val="18"/>
                <w:lang w:val="en-US" w:eastAsia="en-US"/>
              </w:rPr>
              <w:t>Minimum Proportion of patients as possible candidate for a MEI</w:t>
            </w:r>
          </w:p>
        </w:tc>
        <w:tc>
          <w:tcPr>
            <w:tcW w:w="1020" w:type="dxa"/>
            <w:tcBorders>
              <w:top w:val="nil"/>
              <w:left w:val="nil"/>
              <w:bottom w:val="single" w:sz="4" w:space="0" w:color="auto"/>
              <w:right w:val="single" w:sz="4" w:space="0" w:color="auto"/>
            </w:tcBorders>
            <w:shd w:val="clear" w:color="auto" w:fill="auto"/>
            <w:vAlign w:val="center"/>
            <w:hideMark/>
          </w:tcPr>
          <w:p w14:paraId="1EF7C6D2" w14:textId="321D0EAE" w:rsidR="009335A4" w:rsidRPr="009335A4" w:rsidRDefault="009335A4" w:rsidP="00422161">
            <w:pPr>
              <w:jc w:val="center"/>
              <w:rPr>
                <w:rFonts w:cs="Arial"/>
                <w:color w:val="000000"/>
                <w:sz w:val="18"/>
                <w:szCs w:val="18"/>
                <w:lang w:val="en-US" w:eastAsia="en-US"/>
              </w:rPr>
            </w:pPr>
            <w:r w:rsidRPr="009335A4">
              <w:rPr>
                <w:rFonts w:cs="Arial"/>
                <w:color w:val="000000"/>
                <w:sz w:val="18"/>
                <w:szCs w:val="18"/>
              </w:rPr>
              <w:t>Junker et al., (2002)</w:t>
            </w:r>
          </w:p>
        </w:tc>
        <w:tc>
          <w:tcPr>
            <w:tcW w:w="1160" w:type="dxa"/>
            <w:tcBorders>
              <w:top w:val="nil"/>
              <w:left w:val="nil"/>
              <w:bottom w:val="single" w:sz="4" w:space="0" w:color="auto"/>
              <w:right w:val="single" w:sz="4" w:space="0" w:color="auto"/>
            </w:tcBorders>
            <w:shd w:val="clear" w:color="auto" w:fill="auto"/>
            <w:vAlign w:val="center"/>
            <w:hideMark/>
          </w:tcPr>
          <w:p w14:paraId="22931CEA" w14:textId="7C3F2A22" w:rsidR="009335A4" w:rsidRPr="009335A4" w:rsidRDefault="009335A4" w:rsidP="00422161">
            <w:pPr>
              <w:jc w:val="center"/>
              <w:rPr>
                <w:rFonts w:cs="Arial"/>
                <w:color w:val="000000"/>
                <w:sz w:val="18"/>
                <w:szCs w:val="18"/>
                <w:lang w:val="en-US" w:eastAsia="en-US"/>
              </w:rPr>
            </w:pPr>
            <w:r w:rsidRPr="009335A4">
              <w:rPr>
                <w:rFonts w:cs="Arial"/>
                <w:color w:val="000000"/>
                <w:sz w:val="18"/>
                <w:szCs w:val="18"/>
              </w:rPr>
              <w:t>0,76%</w:t>
            </w:r>
          </w:p>
        </w:tc>
        <w:tc>
          <w:tcPr>
            <w:tcW w:w="1066" w:type="dxa"/>
            <w:tcBorders>
              <w:top w:val="nil"/>
              <w:left w:val="nil"/>
              <w:bottom w:val="single" w:sz="4" w:space="0" w:color="auto"/>
              <w:right w:val="single" w:sz="4" w:space="0" w:color="auto"/>
            </w:tcBorders>
            <w:shd w:val="clear" w:color="auto" w:fill="auto"/>
            <w:vAlign w:val="center"/>
            <w:hideMark/>
          </w:tcPr>
          <w:p w14:paraId="00C90073" w14:textId="2737BBD1" w:rsidR="009335A4" w:rsidRPr="009335A4" w:rsidRDefault="009335A4" w:rsidP="00422161">
            <w:pPr>
              <w:jc w:val="center"/>
              <w:rPr>
                <w:rFonts w:cs="Arial"/>
                <w:color w:val="000000"/>
                <w:sz w:val="18"/>
                <w:szCs w:val="18"/>
                <w:lang w:val="en-US" w:eastAsia="en-US"/>
              </w:rPr>
            </w:pPr>
            <w:r w:rsidRPr="009335A4">
              <w:rPr>
                <w:rFonts w:cs="Arial"/>
                <w:color w:val="000000"/>
                <w:sz w:val="18"/>
                <w:szCs w:val="18"/>
              </w:rPr>
              <w:t>0,76%</w:t>
            </w:r>
          </w:p>
        </w:tc>
        <w:tc>
          <w:tcPr>
            <w:tcW w:w="1017" w:type="dxa"/>
            <w:tcBorders>
              <w:top w:val="nil"/>
              <w:left w:val="nil"/>
              <w:bottom w:val="single" w:sz="4" w:space="0" w:color="auto"/>
              <w:right w:val="single" w:sz="4" w:space="0" w:color="auto"/>
            </w:tcBorders>
            <w:shd w:val="clear" w:color="auto" w:fill="auto"/>
            <w:vAlign w:val="center"/>
            <w:hideMark/>
          </w:tcPr>
          <w:p w14:paraId="3A22DB2C" w14:textId="7943F298" w:rsidR="009335A4" w:rsidRPr="009335A4" w:rsidRDefault="009335A4" w:rsidP="00422161">
            <w:pPr>
              <w:jc w:val="center"/>
              <w:rPr>
                <w:rFonts w:cs="Arial"/>
                <w:color w:val="000000"/>
                <w:sz w:val="18"/>
                <w:szCs w:val="18"/>
                <w:lang w:val="en-US" w:eastAsia="en-US"/>
              </w:rPr>
            </w:pPr>
            <w:r w:rsidRPr="009335A4">
              <w:rPr>
                <w:rFonts w:cs="Arial"/>
                <w:color w:val="000000"/>
                <w:sz w:val="18"/>
                <w:szCs w:val="18"/>
              </w:rPr>
              <w:t>0,76%</w:t>
            </w:r>
          </w:p>
        </w:tc>
        <w:tc>
          <w:tcPr>
            <w:tcW w:w="1159" w:type="dxa"/>
            <w:tcBorders>
              <w:top w:val="nil"/>
              <w:left w:val="nil"/>
              <w:bottom w:val="single" w:sz="4" w:space="0" w:color="auto"/>
              <w:right w:val="single" w:sz="4" w:space="0" w:color="auto"/>
            </w:tcBorders>
            <w:shd w:val="clear" w:color="auto" w:fill="auto"/>
            <w:vAlign w:val="center"/>
            <w:hideMark/>
          </w:tcPr>
          <w:p w14:paraId="663F04F2" w14:textId="3284469C" w:rsidR="009335A4" w:rsidRPr="009335A4" w:rsidRDefault="009335A4" w:rsidP="00422161">
            <w:pPr>
              <w:jc w:val="center"/>
              <w:rPr>
                <w:rFonts w:cs="Arial"/>
                <w:color w:val="000000"/>
                <w:sz w:val="18"/>
                <w:szCs w:val="18"/>
                <w:lang w:val="en-US" w:eastAsia="en-US"/>
              </w:rPr>
            </w:pPr>
            <w:r w:rsidRPr="009335A4">
              <w:rPr>
                <w:rFonts w:cs="Arial"/>
                <w:color w:val="000000"/>
                <w:sz w:val="18"/>
                <w:szCs w:val="18"/>
              </w:rPr>
              <w:t>0,76%</w:t>
            </w:r>
          </w:p>
        </w:tc>
        <w:tc>
          <w:tcPr>
            <w:tcW w:w="1017" w:type="dxa"/>
            <w:tcBorders>
              <w:top w:val="nil"/>
              <w:left w:val="nil"/>
              <w:bottom w:val="single" w:sz="4" w:space="0" w:color="auto"/>
              <w:right w:val="single" w:sz="4" w:space="0" w:color="auto"/>
            </w:tcBorders>
            <w:shd w:val="clear" w:color="auto" w:fill="auto"/>
            <w:vAlign w:val="center"/>
            <w:hideMark/>
          </w:tcPr>
          <w:p w14:paraId="1AAD94AE" w14:textId="60973BFB" w:rsidR="009335A4" w:rsidRPr="009335A4" w:rsidRDefault="009335A4" w:rsidP="00422161">
            <w:pPr>
              <w:jc w:val="center"/>
              <w:rPr>
                <w:rFonts w:cs="Arial"/>
                <w:color w:val="000000"/>
                <w:sz w:val="18"/>
                <w:szCs w:val="18"/>
                <w:lang w:val="en-US" w:eastAsia="en-US"/>
              </w:rPr>
            </w:pPr>
            <w:r w:rsidRPr="009335A4">
              <w:rPr>
                <w:rFonts w:cs="Arial"/>
                <w:color w:val="000000"/>
                <w:sz w:val="18"/>
                <w:szCs w:val="18"/>
              </w:rPr>
              <w:t>0,76%</w:t>
            </w:r>
          </w:p>
        </w:tc>
        <w:tc>
          <w:tcPr>
            <w:tcW w:w="1017" w:type="dxa"/>
            <w:tcBorders>
              <w:top w:val="nil"/>
              <w:left w:val="nil"/>
              <w:bottom w:val="single" w:sz="4" w:space="0" w:color="auto"/>
              <w:right w:val="single" w:sz="4" w:space="0" w:color="auto"/>
            </w:tcBorders>
            <w:shd w:val="clear" w:color="auto" w:fill="auto"/>
            <w:vAlign w:val="center"/>
            <w:hideMark/>
          </w:tcPr>
          <w:p w14:paraId="102D85BF" w14:textId="7D4D9ADB" w:rsidR="009335A4" w:rsidRPr="009335A4" w:rsidRDefault="009335A4" w:rsidP="00422161">
            <w:pPr>
              <w:jc w:val="center"/>
              <w:rPr>
                <w:rFonts w:cs="Arial"/>
                <w:color w:val="000000"/>
                <w:sz w:val="18"/>
                <w:szCs w:val="18"/>
                <w:lang w:val="en-US" w:eastAsia="en-US"/>
              </w:rPr>
            </w:pPr>
            <w:r w:rsidRPr="009335A4">
              <w:rPr>
                <w:rFonts w:cs="Arial"/>
                <w:color w:val="000000"/>
                <w:sz w:val="18"/>
                <w:szCs w:val="18"/>
              </w:rPr>
              <w:t>0,76%</w:t>
            </w:r>
          </w:p>
        </w:tc>
      </w:tr>
      <w:tr w:rsidR="009335A4" w:rsidRPr="00CA53C8" w14:paraId="0F9F8D87" w14:textId="77777777" w:rsidTr="00BF0EEF">
        <w:trPr>
          <w:trHeight w:val="750"/>
          <w:jc w:val="center"/>
        </w:trPr>
        <w:tc>
          <w:tcPr>
            <w:tcW w:w="3135" w:type="dxa"/>
            <w:tcBorders>
              <w:top w:val="nil"/>
              <w:left w:val="single" w:sz="4" w:space="0" w:color="auto"/>
              <w:bottom w:val="single" w:sz="4" w:space="0" w:color="auto"/>
              <w:right w:val="single" w:sz="4" w:space="0" w:color="auto"/>
            </w:tcBorders>
            <w:shd w:val="clear" w:color="auto" w:fill="auto"/>
            <w:vAlign w:val="center"/>
            <w:hideMark/>
          </w:tcPr>
          <w:p w14:paraId="24231448" w14:textId="77777777" w:rsidR="009335A4" w:rsidRPr="00CA53C8" w:rsidRDefault="009335A4" w:rsidP="00422161">
            <w:pPr>
              <w:rPr>
                <w:rFonts w:cs="Arial"/>
                <w:color w:val="000000"/>
                <w:sz w:val="18"/>
                <w:szCs w:val="18"/>
                <w:lang w:val="en-US" w:eastAsia="en-US"/>
              </w:rPr>
            </w:pPr>
            <w:r w:rsidRPr="00CA53C8">
              <w:rPr>
                <w:rFonts w:cs="Arial"/>
                <w:color w:val="000000"/>
                <w:sz w:val="18"/>
                <w:szCs w:val="18"/>
                <w:lang w:val="en-US" w:eastAsia="en-US"/>
              </w:rPr>
              <w:t>Number of Australian adults with SNHL and candidates of a MEI</w:t>
            </w:r>
          </w:p>
        </w:tc>
        <w:tc>
          <w:tcPr>
            <w:tcW w:w="1020" w:type="dxa"/>
            <w:tcBorders>
              <w:top w:val="nil"/>
              <w:left w:val="nil"/>
              <w:bottom w:val="single" w:sz="4" w:space="0" w:color="auto"/>
              <w:right w:val="single" w:sz="4" w:space="0" w:color="auto"/>
            </w:tcBorders>
            <w:shd w:val="clear" w:color="auto" w:fill="auto"/>
            <w:vAlign w:val="center"/>
            <w:hideMark/>
          </w:tcPr>
          <w:p w14:paraId="70CDC3A7" w14:textId="59A30AF4" w:rsidR="009335A4" w:rsidRPr="009335A4" w:rsidRDefault="009335A4" w:rsidP="00422161">
            <w:pPr>
              <w:jc w:val="center"/>
              <w:rPr>
                <w:rFonts w:cs="Arial"/>
                <w:color w:val="000000"/>
                <w:sz w:val="18"/>
                <w:szCs w:val="18"/>
                <w:lang w:val="en-US" w:eastAsia="en-US"/>
              </w:rPr>
            </w:pPr>
            <w:r w:rsidRPr="009335A4">
              <w:rPr>
                <w:rFonts w:cs="Arial"/>
                <w:color w:val="000000"/>
                <w:sz w:val="18"/>
                <w:szCs w:val="18"/>
              </w:rPr>
              <w:t>D x E</w:t>
            </w:r>
          </w:p>
        </w:tc>
        <w:tc>
          <w:tcPr>
            <w:tcW w:w="1160" w:type="dxa"/>
            <w:tcBorders>
              <w:top w:val="nil"/>
              <w:left w:val="nil"/>
              <w:bottom w:val="single" w:sz="4" w:space="0" w:color="auto"/>
              <w:right w:val="single" w:sz="4" w:space="0" w:color="auto"/>
            </w:tcBorders>
            <w:shd w:val="clear" w:color="auto" w:fill="auto"/>
            <w:vAlign w:val="center"/>
            <w:hideMark/>
          </w:tcPr>
          <w:p w14:paraId="20D7D209" w14:textId="0639879C" w:rsidR="009335A4" w:rsidRPr="009335A4" w:rsidRDefault="009335A4" w:rsidP="00422161">
            <w:pPr>
              <w:jc w:val="center"/>
              <w:rPr>
                <w:rFonts w:cs="Arial"/>
                <w:color w:val="000000"/>
                <w:sz w:val="18"/>
                <w:szCs w:val="18"/>
                <w:lang w:val="en-US" w:eastAsia="en-US"/>
              </w:rPr>
            </w:pPr>
            <w:r w:rsidRPr="009335A4">
              <w:rPr>
                <w:rFonts w:cs="Arial"/>
                <w:color w:val="000000"/>
                <w:sz w:val="18"/>
                <w:szCs w:val="18"/>
              </w:rPr>
              <w:t>28972</w:t>
            </w:r>
          </w:p>
        </w:tc>
        <w:tc>
          <w:tcPr>
            <w:tcW w:w="1066" w:type="dxa"/>
            <w:tcBorders>
              <w:top w:val="nil"/>
              <w:left w:val="nil"/>
              <w:bottom w:val="single" w:sz="4" w:space="0" w:color="auto"/>
              <w:right w:val="single" w:sz="4" w:space="0" w:color="auto"/>
            </w:tcBorders>
            <w:shd w:val="clear" w:color="auto" w:fill="auto"/>
            <w:vAlign w:val="center"/>
            <w:hideMark/>
          </w:tcPr>
          <w:p w14:paraId="12A15A32" w14:textId="68E7505C" w:rsidR="009335A4" w:rsidRPr="009335A4" w:rsidRDefault="009335A4" w:rsidP="00422161">
            <w:pPr>
              <w:jc w:val="center"/>
              <w:rPr>
                <w:rFonts w:cs="Arial"/>
                <w:color w:val="000000"/>
                <w:sz w:val="18"/>
                <w:szCs w:val="18"/>
                <w:lang w:val="en-US" w:eastAsia="en-US"/>
              </w:rPr>
            </w:pPr>
            <w:r w:rsidRPr="009335A4">
              <w:rPr>
                <w:rFonts w:cs="Arial"/>
                <w:color w:val="000000"/>
                <w:sz w:val="18"/>
                <w:szCs w:val="18"/>
              </w:rPr>
              <w:t>29479</w:t>
            </w:r>
          </w:p>
        </w:tc>
        <w:tc>
          <w:tcPr>
            <w:tcW w:w="1017" w:type="dxa"/>
            <w:tcBorders>
              <w:top w:val="nil"/>
              <w:left w:val="nil"/>
              <w:bottom w:val="single" w:sz="4" w:space="0" w:color="auto"/>
              <w:right w:val="single" w:sz="4" w:space="0" w:color="auto"/>
            </w:tcBorders>
            <w:shd w:val="clear" w:color="auto" w:fill="auto"/>
            <w:vAlign w:val="center"/>
            <w:hideMark/>
          </w:tcPr>
          <w:p w14:paraId="530DE91C" w14:textId="3F331A04" w:rsidR="009335A4" w:rsidRPr="009335A4" w:rsidRDefault="009335A4" w:rsidP="00422161">
            <w:pPr>
              <w:jc w:val="center"/>
              <w:rPr>
                <w:rFonts w:cs="Arial"/>
                <w:color w:val="000000"/>
                <w:sz w:val="18"/>
                <w:szCs w:val="18"/>
                <w:lang w:val="en-US" w:eastAsia="en-US"/>
              </w:rPr>
            </w:pPr>
            <w:r w:rsidRPr="009335A4">
              <w:rPr>
                <w:rFonts w:cs="Arial"/>
                <w:color w:val="000000"/>
                <w:sz w:val="18"/>
                <w:szCs w:val="18"/>
              </w:rPr>
              <w:t>29981</w:t>
            </w:r>
          </w:p>
        </w:tc>
        <w:tc>
          <w:tcPr>
            <w:tcW w:w="1159" w:type="dxa"/>
            <w:tcBorders>
              <w:top w:val="nil"/>
              <w:left w:val="nil"/>
              <w:bottom w:val="single" w:sz="4" w:space="0" w:color="auto"/>
              <w:right w:val="single" w:sz="4" w:space="0" w:color="auto"/>
            </w:tcBorders>
            <w:shd w:val="clear" w:color="auto" w:fill="auto"/>
            <w:vAlign w:val="center"/>
            <w:hideMark/>
          </w:tcPr>
          <w:p w14:paraId="57B4B2CF" w14:textId="2CFF6430" w:rsidR="009335A4" w:rsidRPr="009335A4" w:rsidRDefault="009335A4" w:rsidP="00422161">
            <w:pPr>
              <w:jc w:val="center"/>
              <w:rPr>
                <w:rFonts w:cs="Arial"/>
                <w:color w:val="000000"/>
                <w:sz w:val="18"/>
                <w:szCs w:val="18"/>
                <w:lang w:val="en-US" w:eastAsia="en-US"/>
              </w:rPr>
            </w:pPr>
            <w:r w:rsidRPr="009335A4">
              <w:rPr>
                <w:rFonts w:cs="Arial"/>
                <w:color w:val="000000"/>
                <w:sz w:val="18"/>
                <w:szCs w:val="18"/>
              </w:rPr>
              <w:t>30480</w:t>
            </w:r>
          </w:p>
        </w:tc>
        <w:tc>
          <w:tcPr>
            <w:tcW w:w="1017" w:type="dxa"/>
            <w:tcBorders>
              <w:top w:val="nil"/>
              <w:left w:val="nil"/>
              <w:bottom w:val="single" w:sz="4" w:space="0" w:color="auto"/>
              <w:right w:val="single" w:sz="4" w:space="0" w:color="auto"/>
            </w:tcBorders>
            <w:shd w:val="clear" w:color="auto" w:fill="auto"/>
            <w:vAlign w:val="center"/>
            <w:hideMark/>
          </w:tcPr>
          <w:p w14:paraId="4A3C8EA8" w14:textId="65ABF75F" w:rsidR="009335A4" w:rsidRPr="009335A4" w:rsidRDefault="009335A4" w:rsidP="00422161">
            <w:pPr>
              <w:jc w:val="center"/>
              <w:rPr>
                <w:rFonts w:cs="Arial"/>
                <w:color w:val="000000"/>
                <w:sz w:val="18"/>
                <w:szCs w:val="18"/>
                <w:lang w:val="en-US" w:eastAsia="en-US"/>
              </w:rPr>
            </w:pPr>
            <w:r w:rsidRPr="009335A4">
              <w:rPr>
                <w:rFonts w:cs="Arial"/>
                <w:color w:val="000000"/>
                <w:sz w:val="18"/>
                <w:szCs w:val="18"/>
              </w:rPr>
              <w:t>30970</w:t>
            </w:r>
          </w:p>
        </w:tc>
        <w:tc>
          <w:tcPr>
            <w:tcW w:w="1017" w:type="dxa"/>
            <w:tcBorders>
              <w:top w:val="nil"/>
              <w:left w:val="nil"/>
              <w:bottom w:val="single" w:sz="4" w:space="0" w:color="auto"/>
              <w:right w:val="single" w:sz="8" w:space="0" w:color="auto"/>
            </w:tcBorders>
            <w:shd w:val="clear" w:color="auto" w:fill="auto"/>
            <w:vAlign w:val="center"/>
            <w:hideMark/>
          </w:tcPr>
          <w:p w14:paraId="1039AC9C" w14:textId="0F63AF87" w:rsidR="009335A4" w:rsidRPr="009335A4" w:rsidRDefault="009335A4" w:rsidP="00422161">
            <w:pPr>
              <w:jc w:val="center"/>
              <w:rPr>
                <w:rFonts w:cs="Arial"/>
                <w:color w:val="000000"/>
                <w:sz w:val="18"/>
                <w:szCs w:val="18"/>
                <w:lang w:val="en-US" w:eastAsia="en-US"/>
              </w:rPr>
            </w:pPr>
            <w:r w:rsidRPr="009335A4">
              <w:rPr>
                <w:rFonts w:cs="Arial"/>
                <w:color w:val="000000"/>
                <w:sz w:val="18"/>
                <w:szCs w:val="18"/>
              </w:rPr>
              <w:t>31497</w:t>
            </w:r>
          </w:p>
        </w:tc>
      </w:tr>
      <w:tr w:rsidR="009335A4" w:rsidRPr="00CA53C8" w14:paraId="69B35297" w14:textId="77777777" w:rsidTr="00BF0EEF">
        <w:trPr>
          <w:trHeight w:val="1020"/>
          <w:jc w:val="center"/>
        </w:trPr>
        <w:tc>
          <w:tcPr>
            <w:tcW w:w="31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7053800" w14:textId="77777777" w:rsidR="009335A4" w:rsidRPr="00CA53C8" w:rsidRDefault="009335A4" w:rsidP="00422161">
            <w:pPr>
              <w:rPr>
                <w:rFonts w:cs="Arial"/>
                <w:color w:val="000000"/>
                <w:sz w:val="18"/>
                <w:szCs w:val="18"/>
                <w:lang w:val="en-US" w:eastAsia="en-US"/>
              </w:rPr>
            </w:pPr>
            <w:r w:rsidRPr="00CA53C8">
              <w:rPr>
                <w:rFonts w:cs="Arial"/>
                <w:color w:val="000000"/>
                <w:sz w:val="18"/>
                <w:szCs w:val="18"/>
                <w:lang w:val="en-US" w:eastAsia="en-US"/>
              </w:rPr>
              <w:t>Prevalence of external ear pathology in the Australian population (%)</w:t>
            </w:r>
          </w:p>
        </w:tc>
        <w:tc>
          <w:tcPr>
            <w:tcW w:w="1020" w:type="dxa"/>
            <w:tcBorders>
              <w:top w:val="nil"/>
              <w:left w:val="nil"/>
              <w:bottom w:val="single" w:sz="4" w:space="0" w:color="auto"/>
              <w:right w:val="single" w:sz="4" w:space="0" w:color="auto"/>
            </w:tcBorders>
            <w:shd w:val="clear" w:color="auto" w:fill="auto"/>
            <w:vAlign w:val="center"/>
            <w:hideMark/>
          </w:tcPr>
          <w:p w14:paraId="1E424E8A" w14:textId="3BA52AEB" w:rsidR="009335A4" w:rsidRPr="009335A4" w:rsidRDefault="00422161" w:rsidP="00422161">
            <w:pPr>
              <w:jc w:val="center"/>
              <w:rPr>
                <w:rFonts w:cs="Arial"/>
                <w:color w:val="000000"/>
                <w:sz w:val="18"/>
                <w:szCs w:val="18"/>
                <w:lang w:val="en-US" w:eastAsia="en-US"/>
              </w:rPr>
            </w:pPr>
            <w:r w:rsidRPr="009335A4">
              <w:rPr>
                <w:rFonts w:cs="Arial"/>
                <w:color w:val="000000"/>
                <w:sz w:val="18"/>
                <w:szCs w:val="18"/>
              </w:rPr>
              <w:t>C</w:t>
            </w:r>
            <w:r w:rsidR="009335A4" w:rsidRPr="009335A4">
              <w:rPr>
                <w:rFonts w:cs="Arial"/>
                <w:color w:val="000000"/>
                <w:sz w:val="18"/>
                <w:szCs w:val="18"/>
              </w:rPr>
              <w:t>alculated</w:t>
            </w:r>
            <w:r>
              <w:rPr>
                <w:rFonts w:cs="Arial"/>
                <w:color w:val="000000"/>
                <w:sz w:val="18"/>
                <w:szCs w:val="18"/>
              </w:rPr>
              <w:t xml:space="preserve"> Minimum</w:t>
            </w:r>
          </w:p>
        </w:tc>
        <w:tc>
          <w:tcPr>
            <w:tcW w:w="1160" w:type="dxa"/>
            <w:tcBorders>
              <w:top w:val="nil"/>
              <w:left w:val="nil"/>
              <w:bottom w:val="single" w:sz="4" w:space="0" w:color="auto"/>
              <w:right w:val="single" w:sz="4" w:space="0" w:color="auto"/>
            </w:tcBorders>
            <w:shd w:val="clear" w:color="auto" w:fill="auto"/>
            <w:vAlign w:val="center"/>
            <w:hideMark/>
          </w:tcPr>
          <w:p w14:paraId="70CBC53E" w14:textId="3DEE567B" w:rsidR="009335A4" w:rsidRPr="009335A4" w:rsidRDefault="009335A4" w:rsidP="00422161">
            <w:pPr>
              <w:jc w:val="center"/>
              <w:rPr>
                <w:rFonts w:cs="Arial"/>
                <w:color w:val="000000"/>
                <w:sz w:val="18"/>
                <w:szCs w:val="18"/>
                <w:lang w:val="en-US" w:eastAsia="en-US"/>
              </w:rPr>
            </w:pPr>
            <w:r w:rsidRPr="009335A4">
              <w:rPr>
                <w:rFonts w:cs="Arial"/>
                <w:color w:val="000000"/>
                <w:sz w:val="18"/>
                <w:szCs w:val="18"/>
              </w:rPr>
              <w:t>3,00%</w:t>
            </w:r>
          </w:p>
        </w:tc>
        <w:tc>
          <w:tcPr>
            <w:tcW w:w="1066" w:type="dxa"/>
            <w:tcBorders>
              <w:top w:val="nil"/>
              <w:left w:val="nil"/>
              <w:bottom w:val="single" w:sz="4" w:space="0" w:color="auto"/>
              <w:right w:val="single" w:sz="4" w:space="0" w:color="auto"/>
            </w:tcBorders>
            <w:shd w:val="clear" w:color="auto" w:fill="auto"/>
            <w:vAlign w:val="center"/>
            <w:hideMark/>
          </w:tcPr>
          <w:p w14:paraId="545AD5CE" w14:textId="57AB6CEC" w:rsidR="009335A4" w:rsidRPr="009335A4" w:rsidRDefault="009335A4" w:rsidP="00422161">
            <w:pPr>
              <w:jc w:val="center"/>
              <w:rPr>
                <w:rFonts w:cs="Arial"/>
                <w:color w:val="000000"/>
                <w:sz w:val="18"/>
                <w:szCs w:val="18"/>
                <w:lang w:val="en-US" w:eastAsia="en-US"/>
              </w:rPr>
            </w:pPr>
            <w:r w:rsidRPr="009335A4">
              <w:rPr>
                <w:rFonts w:cs="Arial"/>
                <w:color w:val="000000"/>
                <w:sz w:val="18"/>
                <w:szCs w:val="18"/>
              </w:rPr>
              <w:t>3,00%</w:t>
            </w:r>
          </w:p>
        </w:tc>
        <w:tc>
          <w:tcPr>
            <w:tcW w:w="1017" w:type="dxa"/>
            <w:tcBorders>
              <w:top w:val="nil"/>
              <w:left w:val="nil"/>
              <w:bottom w:val="single" w:sz="4" w:space="0" w:color="auto"/>
              <w:right w:val="single" w:sz="4" w:space="0" w:color="auto"/>
            </w:tcBorders>
            <w:shd w:val="clear" w:color="auto" w:fill="auto"/>
            <w:vAlign w:val="center"/>
            <w:hideMark/>
          </w:tcPr>
          <w:p w14:paraId="3BC92A76" w14:textId="1E6F05B2" w:rsidR="009335A4" w:rsidRPr="009335A4" w:rsidRDefault="009335A4" w:rsidP="00422161">
            <w:pPr>
              <w:jc w:val="center"/>
              <w:rPr>
                <w:rFonts w:cs="Arial"/>
                <w:color w:val="000000"/>
                <w:sz w:val="18"/>
                <w:szCs w:val="18"/>
                <w:lang w:val="en-US" w:eastAsia="en-US"/>
              </w:rPr>
            </w:pPr>
            <w:r w:rsidRPr="009335A4">
              <w:rPr>
                <w:rFonts w:cs="Arial"/>
                <w:color w:val="000000"/>
                <w:sz w:val="18"/>
                <w:szCs w:val="18"/>
              </w:rPr>
              <w:t>3,00%</w:t>
            </w:r>
          </w:p>
        </w:tc>
        <w:tc>
          <w:tcPr>
            <w:tcW w:w="1159" w:type="dxa"/>
            <w:tcBorders>
              <w:top w:val="nil"/>
              <w:left w:val="nil"/>
              <w:bottom w:val="single" w:sz="4" w:space="0" w:color="auto"/>
              <w:right w:val="single" w:sz="4" w:space="0" w:color="auto"/>
            </w:tcBorders>
            <w:shd w:val="clear" w:color="auto" w:fill="auto"/>
            <w:vAlign w:val="center"/>
            <w:hideMark/>
          </w:tcPr>
          <w:p w14:paraId="2F6EB68D" w14:textId="67E93ED5" w:rsidR="009335A4" w:rsidRPr="009335A4" w:rsidRDefault="009335A4" w:rsidP="00422161">
            <w:pPr>
              <w:jc w:val="center"/>
              <w:rPr>
                <w:rFonts w:cs="Arial"/>
                <w:color w:val="000000"/>
                <w:sz w:val="18"/>
                <w:szCs w:val="18"/>
                <w:lang w:val="en-US" w:eastAsia="en-US"/>
              </w:rPr>
            </w:pPr>
            <w:r w:rsidRPr="009335A4">
              <w:rPr>
                <w:rFonts w:cs="Arial"/>
                <w:color w:val="000000"/>
                <w:sz w:val="18"/>
                <w:szCs w:val="18"/>
              </w:rPr>
              <w:t>3,00%</w:t>
            </w:r>
          </w:p>
        </w:tc>
        <w:tc>
          <w:tcPr>
            <w:tcW w:w="1017" w:type="dxa"/>
            <w:tcBorders>
              <w:top w:val="nil"/>
              <w:left w:val="nil"/>
              <w:bottom w:val="single" w:sz="4" w:space="0" w:color="auto"/>
              <w:right w:val="single" w:sz="4" w:space="0" w:color="auto"/>
            </w:tcBorders>
            <w:shd w:val="clear" w:color="auto" w:fill="auto"/>
            <w:vAlign w:val="center"/>
            <w:hideMark/>
          </w:tcPr>
          <w:p w14:paraId="455E1637" w14:textId="2FB43902" w:rsidR="009335A4" w:rsidRPr="009335A4" w:rsidRDefault="009335A4" w:rsidP="00422161">
            <w:pPr>
              <w:jc w:val="center"/>
              <w:rPr>
                <w:rFonts w:cs="Arial"/>
                <w:color w:val="000000"/>
                <w:sz w:val="18"/>
                <w:szCs w:val="18"/>
                <w:lang w:val="en-US" w:eastAsia="en-US"/>
              </w:rPr>
            </w:pPr>
            <w:r w:rsidRPr="009335A4">
              <w:rPr>
                <w:rFonts w:cs="Arial"/>
                <w:color w:val="000000"/>
                <w:sz w:val="18"/>
                <w:szCs w:val="18"/>
              </w:rPr>
              <w:t>3,00%</w:t>
            </w:r>
          </w:p>
        </w:tc>
        <w:tc>
          <w:tcPr>
            <w:tcW w:w="1017" w:type="dxa"/>
            <w:tcBorders>
              <w:top w:val="nil"/>
              <w:left w:val="nil"/>
              <w:bottom w:val="single" w:sz="4" w:space="0" w:color="auto"/>
              <w:right w:val="single" w:sz="8" w:space="0" w:color="auto"/>
            </w:tcBorders>
            <w:shd w:val="clear" w:color="auto" w:fill="auto"/>
            <w:vAlign w:val="center"/>
            <w:hideMark/>
          </w:tcPr>
          <w:p w14:paraId="45871166" w14:textId="6CF7D1C6" w:rsidR="009335A4" w:rsidRPr="009335A4" w:rsidRDefault="009335A4" w:rsidP="00422161">
            <w:pPr>
              <w:jc w:val="center"/>
              <w:rPr>
                <w:rFonts w:cs="Arial"/>
                <w:color w:val="000000"/>
                <w:sz w:val="18"/>
                <w:szCs w:val="18"/>
                <w:lang w:val="en-US" w:eastAsia="en-US"/>
              </w:rPr>
            </w:pPr>
            <w:r w:rsidRPr="009335A4">
              <w:rPr>
                <w:rFonts w:cs="Arial"/>
                <w:color w:val="000000"/>
                <w:sz w:val="18"/>
                <w:szCs w:val="18"/>
              </w:rPr>
              <w:t>3,00%</w:t>
            </w:r>
          </w:p>
        </w:tc>
      </w:tr>
      <w:tr w:rsidR="009335A4" w:rsidRPr="00CA53C8" w14:paraId="249C109C" w14:textId="77777777" w:rsidTr="00BF0EEF">
        <w:trPr>
          <w:trHeight w:val="900"/>
          <w:jc w:val="center"/>
        </w:trPr>
        <w:tc>
          <w:tcPr>
            <w:tcW w:w="3135" w:type="dxa"/>
            <w:tcBorders>
              <w:top w:val="nil"/>
              <w:left w:val="single" w:sz="4" w:space="0" w:color="auto"/>
              <w:bottom w:val="single" w:sz="4" w:space="0" w:color="auto"/>
              <w:right w:val="single" w:sz="4" w:space="0" w:color="auto"/>
            </w:tcBorders>
            <w:shd w:val="clear" w:color="auto" w:fill="auto"/>
            <w:vAlign w:val="center"/>
            <w:hideMark/>
          </w:tcPr>
          <w:p w14:paraId="1F745136" w14:textId="77777777" w:rsidR="009335A4" w:rsidRPr="00CA53C8" w:rsidRDefault="009335A4" w:rsidP="00422161">
            <w:pPr>
              <w:rPr>
                <w:rFonts w:cs="Arial"/>
                <w:color w:val="000000"/>
                <w:sz w:val="18"/>
                <w:szCs w:val="18"/>
                <w:lang w:val="en-US" w:eastAsia="en-US"/>
              </w:rPr>
            </w:pPr>
            <w:r w:rsidRPr="00CA53C8">
              <w:rPr>
                <w:rFonts w:cs="Arial"/>
                <w:color w:val="000000"/>
                <w:sz w:val="18"/>
                <w:szCs w:val="18"/>
                <w:lang w:val="en-US" w:eastAsia="en-US"/>
              </w:rPr>
              <w:t>Estimated number of Australian adults eligible for implantation</w:t>
            </w:r>
          </w:p>
        </w:tc>
        <w:tc>
          <w:tcPr>
            <w:tcW w:w="1020" w:type="dxa"/>
            <w:tcBorders>
              <w:top w:val="nil"/>
              <w:left w:val="nil"/>
              <w:bottom w:val="single" w:sz="4" w:space="0" w:color="auto"/>
              <w:right w:val="single" w:sz="4" w:space="0" w:color="auto"/>
            </w:tcBorders>
            <w:shd w:val="clear" w:color="auto" w:fill="auto"/>
            <w:vAlign w:val="center"/>
            <w:hideMark/>
          </w:tcPr>
          <w:p w14:paraId="4C5C3CBD" w14:textId="4233FC83" w:rsidR="009335A4" w:rsidRPr="009335A4" w:rsidRDefault="009335A4" w:rsidP="00422161">
            <w:pPr>
              <w:jc w:val="center"/>
              <w:rPr>
                <w:rFonts w:cs="Arial"/>
                <w:color w:val="000000"/>
                <w:sz w:val="18"/>
                <w:szCs w:val="18"/>
                <w:lang w:val="en-US" w:eastAsia="en-US"/>
              </w:rPr>
            </w:pPr>
            <w:r w:rsidRPr="009335A4">
              <w:rPr>
                <w:rFonts w:cs="Arial"/>
                <w:color w:val="000000"/>
                <w:sz w:val="18"/>
                <w:szCs w:val="18"/>
              </w:rPr>
              <w:t>F x G</w:t>
            </w:r>
          </w:p>
        </w:tc>
        <w:tc>
          <w:tcPr>
            <w:tcW w:w="1160" w:type="dxa"/>
            <w:tcBorders>
              <w:top w:val="nil"/>
              <w:left w:val="nil"/>
              <w:bottom w:val="single" w:sz="4" w:space="0" w:color="auto"/>
              <w:right w:val="single" w:sz="4" w:space="0" w:color="auto"/>
            </w:tcBorders>
            <w:shd w:val="clear" w:color="auto" w:fill="auto"/>
            <w:vAlign w:val="center"/>
            <w:hideMark/>
          </w:tcPr>
          <w:p w14:paraId="0992FA60" w14:textId="282B5715" w:rsidR="009335A4" w:rsidRPr="009335A4" w:rsidRDefault="009335A4" w:rsidP="00422161">
            <w:pPr>
              <w:jc w:val="center"/>
              <w:rPr>
                <w:rFonts w:cs="Arial"/>
                <w:color w:val="000000"/>
                <w:sz w:val="18"/>
                <w:szCs w:val="18"/>
                <w:lang w:val="en-US" w:eastAsia="en-US"/>
              </w:rPr>
            </w:pPr>
            <w:r w:rsidRPr="009335A4">
              <w:rPr>
                <w:rFonts w:cs="Arial"/>
                <w:color w:val="000000"/>
                <w:sz w:val="18"/>
                <w:szCs w:val="18"/>
              </w:rPr>
              <w:t>869</w:t>
            </w:r>
          </w:p>
        </w:tc>
        <w:tc>
          <w:tcPr>
            <w:tcW w:w="1066" w:type="dxa"/>
            <w:tcBorders>
              <w:top w:val="nil"/>
              <w:left w:val="nil"/>
              <w:bottom w:val="single" w:sz="4" w:space="0" w:color="auto"/>
              <w:right w:val="single" w:sz="4" w:space="0" w:color="auto"/>
            </w:tcBorders>
            <w:shd w:val="clear" w:color="auto" w:fill="auto"/>
            <w:vAlign w:val="center"/>
            <w:hideMark/>
          </w:tcPr>
          <w:p w14:paraId="669BF4F0" w14:textId="4050132F" w:rsidR="009335A4" w:rsidRPr="009335A4" w:rsidRDefault="009335A4" w:rsidP="00422161">
            <w:pPr>
              <w:jc w:val="center"/>
              <w:rPr>
                <w:rFonts w:cs="Arial"/>
                <w:color w:val="000000"/>
                <w:sz w:val="18"/>
                <w:szCs w:val="18"/>
                <w:lang w:val="en-US" w:eastAsia="en-US"/>
              </w:rPr>
            </w:pPr>
            <w:r w:rsidRPr="009335A4">
              <w:rPr>
                <w:rFonts w:cs="Arial"/>
                <w:color w:val="000000"/>
                <w:sz w:val="18"/>
                <w:szCs w:val="18"/>
              </w:rPr>
              <w:t>884</w:t>
            </w:r>
          </w:p>
        </w:tc>
        <w:tc>
          <w:tcPr>
            <w:tcW w:w="1017" w:type="dxa"/>
            <w:tcBorders>
              <w:top w:val="nil"/>
              <w:left w:val="nil"/>
              <w:bottom w:val="single" w:sz="4" w:space="0" w:color="auto"/>
              <w:right w:val="single" w:sz="4" w:space="0" w:color="auto"/>
            </w:tcBorders>
            <w:shd w:val="clear" w:color="auto" w:fill="auto"/>
            <w:vAlign w:val="center"/>
            <w:hideMark/>
          </w:tcPr>
          <w:p w14:paraId="081080A5" w14:textId="2C75C0B8" w:rsidR="009335A4" w:rsidRPr="009335A4" w:rsidRDefault="009335A4" w:rsidP="00422161">
            <w:pPr>
              <w:jc w:val="center"/>
              <w:rPr>
                <w:rFonts w:cs="Arial"/>
                <w:color w:val="000000"/>
                <w:sz w:val="18"/>
                <w:szCs w:val="18"/>
                <w:lang w:val="en-US" w:eastAsia="en-US"/>
              </w:rPr>
            </w:pPr>
            <w:r w:rsidRPr="009335A4">
              <w:rPr>
                <w:rFonts w:cs="Arial"/>
                <w:color w:val="000000"/>
                <w:sz w:val="18"/>
                <w:szCs w:val="18"/>
              </w:rPr>
              <w:t>899</w:t>
            </w:r>
          </w:p>
        </w:tc>
        <w:tc>
          <w:tcPr>
            <w:tcW w:w="1159" w:type="dxa"/>
            <w:tcBorders>
              <w:top w:val="nil"/>
              <w:left w:val="nil"/>
              <w:bottom w:val="single" w:sz="4" w:space="0" w:color="auto"/>
              <w:right w:val="single" w:sz="4" w:space="0" w:color="auto"/>
            </w:tcBorders>
            <w:shd w:val="clear" w:color="auto" w:fill="auto"/>
            <w:vAlign w:val="center"/>
            <w:hideMark/>
          </w:tcPr>
          <w:p w14:paraId="7C23EB2A" w14:textId="0EBED683" w:rsidR="009335A4" w:rsidRPr="009335A4" w:rsidRDefault="009335A4" w:rsidP="00422161">
            <w:pPr>
              <w:jc w:val="center"/>
              <w:rPr>
                <w:rFonts w:cs="Arial"/>
                <w:color w:val="000000"/>
                <w:sz w:val="18"/>
                <w:szCs w:val="18"/>
                <w:lang w:val="en-US" w:eastAsia="en-US"/>
              </w:rPr>
            </w:pPr>
            <w:r w:rsidRPr="009335A4">
              <w:rPr>
                <w:rFonts w:cs="Arial"/>
                <w:color w:val="000000"/>
                <w:sz w:val="18"/>
                <w:szCs w:val="18"/>
              </w:rPr>
              <w:t>914</w:t>
            </w:r>
          </w:p>
        </w:tc>
        <w:tc>
          <w:tcPr>
            <w:tcW w:w="1017" w:type="dxa"/>
            <w:tcBorders>
              <w:top w:val="nil"/>
              <w:left w:val="nil"/>
              <w:bottom w:val="single" w:sz="4" w:space="0" w:color="auto"/>
              <w:right w:val="single" w:sz="4" w:space="0" w:color="auto"/>
            </w:tcBorders>
            <w:shd w:val="clear" w:color="auto" w:fill="auto"/>
            <w:vAlign w:val="center"/>
            <w:hideMark/>
          </w:tcPr>
          <w:p w14:paraId="0901B76D" w14:textId="6251DB17" w:rsidR="009335A4" w:rsidRPr="009335A4" w:rsidRDefault="009335A4" w:rsidP="00422161">
            <w:pPr>
              <w:jc w:val="center"/>
              <w:rPr>
                <w:rFonts w:cs="Arial"/>
                <w:color w:val="000000"/>
                <w:sz w:val="18"/>
                <w:szCs w:val="18"/>
                <w:lang w:val="en-US" w:eastAsia="en-US"/>
              </w:rPr>
            </w:pPr>
            <w:r w:rsidRPr="009335A4">
              <w:rPr>
                <w:rFonts w:cs="Arial"/>
                <w:color w:val="000000"/>
                <w:sz w:val="18"/>
                <w:szCs w:val="18"/>
              </w:rPr>
              <w:t>929</w:t>
            </w:r>
          </w:p>
        </w:tc>
        <w:tc>
          <w:tcPr>
            <w:tcW w:w="1017" w:type="dxa"/>
            <w:tcBorders>
              <w:top w:val="nil"/>
              <w:left w:val="nil"/>
              <w:bottom w:val="single" w:sz="4" w:space="0" w:color="auto"/>
              <w:right w:val="single" w:sz="8" w:space="0" w:color="auto"/>
            </w:tcBorders>
            <w:shd w:val="clear" w:color="auto" w:fill="auto"/>
            <w:vAlign w:val="center"/>
            <w:hideMark/>
          </w:tcPr>
          <w:p w14:paraId="21E68C2B" w14:textId="63E8000E" w:rsidR="009335A4" w:rsidRPr="009335A4" w:rsidRDefault="009335A4" w:rsidP="00422161">
            <w:pPr>
              <w:jc w:val="center"/>
              <w:rPr>
                <w:rFonts w:cs="Arial"/>
                <w:color w:val="000000"/>
                <w:sz w:val="18"/>
                <w:szCs w:val="18"/>
                <w:lang w:val="en-US" w:eastAsia="en-US"/>
              </w:rPr>
            </w:pPr>
            <w:r w:rsidRPr="009335A4">
              <w:rPr>
                <w:rFonts w:cs="Arial"/>
                <w:color w:val="000000"/>
                <w:sz w:val="18"/>
                <w:szCs w:val="18"/>
              </w:rPr>
              <w:t>945</w:t>
            </w:r>
          </w:p>
        </w:tc>
      </w:tr>
      <w:tr w:rsidR="009335A4" w:rsidRPr="00CA53C8" w14:paraId="1D7F0C4C" w14:textId="77777777" w:rsidTr="00BF0EEF">
        <w:trPr>
          <w:trHeight w:val="660"/>
          <w:jc w:val="center"/>
        </w:trPr>
        <w:tc>
          <w:tcPr>
            <w:tcW w:w="3135" w:type="dxa"/>
            <w:tcBorders>
              <w:top w:val="nil"/>
              <w:left w:val="single" w:sz="4" w:space="0" w:color="auto"/>
              <w:bottom w:val="single" w:sz="4" w:space="0" w:color="auto"/>
              <w:right w:val="single" w:sz="4" w:space="0" w:color="auto"/>
            </w:tcBorders>
            <w:shd w:val="clear" w:color="auto" w:fill="auto"/>
            <w:vAlign w:val="center"/>
            <w:hideMark/>
          </w:tcPr>
          <w:p w14:paraId="1235F2FD" w14:textId="77777777" w:rsidR="009335A4" w:rsidRPr="00CA53C8" w:rsidRDefault="009335A4" w:rsidP="00422161">
            <w:pPr>
              <w:rPr>
                <w:rFonts w:cs="Arial"/>
                <w:color w:val="000000"/>
                <w:sz w:val="18"/>
                <w:szCs w:val="18"/>
                <w:lang w:val="en-US" w:eastAsia="en-US"/>
              </w:rPr>
            </w:pPr>
            <w:r w:rsidRPr="00CA53C8">
              <w:rPr>
                <w:rFonts w:cs="Arial"/>
                <w:color w:val="000000"/>
                <w:sz w:val="18"/>
                <w:szCs w:val="18"/>
                <w:lang w:val="en-US" w:eastAsia="en-US"/>
              </w:rPr>
              <w:t>Minimum number of services per year</w:t>
            </w:r>
          </w:p>
        </w:tc>
        <w:tc>
          <w:tcPr>
            <w:tcW w:w="1020" w:type="dxa"/>
            <w:tcBorders>
              <w:top w:val="nil"/>
              <w:left w:val="nil"/>
              <w:bottom w:val="single" w:sz="4" w:space="0" w:color="auto"/>
              <w:right w:val="single" w:sz="4" w:space="0" w:color="auto"/>
            </w:tcBorders>
            <w:shd w:val="clear" w:color="auto" w:fill="auto"/>
            <w:noWrap/>
            <w:vAlign w:val="center"/>
            <w:hideMark/>
          </w:tcPr>
          <w:p w14:paraId="3AB77DDF" w14:textId="631F23D5" w:rsidR="009335A4" w:rsidRPr="009335A4" w:rsidRDefault="009335A4" w:rsidP="00422161">
            <w:pPr>
              <w:jc w:val="center"/>
              <w:rPr>
                <w:rFonts w:cs="Arial"/>
                <w:color w:val="000000"/>
                <w:sz w:val="18"/>
                <w:szCs w:val="18"/>
                <w:lang w:val="en-US" w:eastAsia="en-US"/>
              </w:rPr>
            </w:pPr>
            <w:r w:rsidRPr="009335A4">
              <w:rPr>
                <w:rFonts w:cs="Arial"/>
                <w:color w:val="000000"/>
                <w:sz w:val="18"/>
                <w:szCs w:val="18"/>
              </w:rPr>
              <w:t>H / 15</w:t>
            </w:r>
          </w:p>
        </w:tc>
        <w:tc>
          <w:tcPr>
            <w:tcW w:w="1160" w:type="dxa"/>
            <w:tcBorders>
              <w:top w:val="nil"/>
              <w:left w:val="nil"/>
              <w:bottom w:val="single" w:sz="4" w:space="0" w:color="auto"/>
              <w:right w:val="single" w:sz="4" w:space="0" w:color="auto"/>
            </w:tcBorders>
            <w:shd w:val="clear" w:color="auto" w:fill="auto"/>
            <w:noWrap/>
            <w:vAlign w:val="center"/>
            <w:hideMark/>
          </w:tcPr>
          <w:p w14:paraId="2C64A310" w14:textId="1163CE08" w:rsidR="009335A4" w:rsidRPr="009335A4" w:rsidRDefault="009335A4" w:rsidP="00422161">
            <w:pPr>
              <w:jc w:val="center"/>
              <w:rPr>
                <w:rFonts w:cs="Arial"/>
                <w:color w:val="000000"/>
                <w:sz w:val="18"/>
                <w:szCs w:val="18"/>
                <w:lang w:val="en-US" w:eastAsia="en-US"/>
              </w:rPr>
            </w:pPr>
            <w:r w:rsidRPr="009335A4">
              <w:rPr>
                <w:rFonts w:cs="Arial"/>
                <w:color w:val="000000"/>
                <w:sz w:val="18"/>
                <w:szCs w:val="18"/>
              </w:rPr>
              <w:t>58</w:t>
            </w:r>
          </w:p>
        </w:tc>
        <w:tc>
          <w:tcPr>
            <w:tcW w:w="1066" w:type="dxa"/>
            <w:tcBorders>
              <w:top w:val="nil"/>
              <w:left w:val="nil"/>
              <w:bottom w:val="single" w:sz="4" w:space="0" w:color="auto"/>
              <w:right w:val="single" w:sz="4" w:space="0" w:color="auto"/>
            </w:tcBorders>
            <w:shd w:val="clear" w:color="auto" w:fill="auto"/>
            <w:noWrap/>
            <w:vAlign w:val="center"/>
            <w:hideMark/>
          </w:tcPr>
          <w:p w14:paraId="2BD0687E" w14:textId="069F5A36" w:rsidR="009335A4" w:rsidRPr="009335A4" w:rsidRDefault="009335A4" w:rsidP="00422161">
            <w:pPr>
              <w:jc w:val="center"/>
              <w:rPr>
                <w:rFonts w:cs="Arial"/>
                <w:color w:val="000000"/>
                <w:sz w:val="18"/>
                <w:szCs w:val="18"/>
                <w:lang w:val="en-US" w:eastAsia="en-US"/>
              </w:rPr>
            </w:pPr>
            <w:r w:rsidRPr="009335A4">
              <w:rPr>
                <w:rFonts w:cs="Arial"/>
                <w:color w:val="000000"/>
                <w:sz w:val="18"/>
                <w:szCs w:val="18"/>
              </w:rPr>
              <w:t>59</w:t>
            </w:r>
          </w:p>
        </w:tc>
        <w:tc>
          <w:tcPr>
            <w:tcW w:w="1017" w:type="dxa"/>
            <w:tcBorders>
              <w:top w:val="nil"/>
              <w:left w:val="nil"/>
              <w:bottom w:val="single" w:sz="4" w:space="0" w:color="auto"/>
              <w:right w:val="single" w:sz="4" w:space="0" w:color="auto"/>
            </w:tcBorders>
            <w:shd w:val="clear" w:color="auto" w:fill="auto"/>
            <w:noWrap/>
            <w:vAlign w:val="center"/>
            <w:hideMark/>
          </w:tcPr>
          <w:p w14:paraId="75456EC8" w14:textId="04C3253E" w:rsidR="009335A4" w:rsidRPr="009335A4" w:rsidRDefault="009335A4" w:rsidP="00422161">
            <w:pPr>
              <w:jc w:val="center"/>
              <w:rPr>
                <w:rFonts w:cs="Arial"/>
                <w:color w:val="000000"/>
                <w:sz w:val="18"/>
                <w:szCs w:val="18"/>
                <w:lang w:val="en-US" w:eastAsia="en-US"/>
              </w:rPr>
            </w:pPr>
            <w:r w:rsidRPr="009335A4">
              <w:rPr>
                <w:rFonts w:cs="Arial"/>
                <w:color w:val="000000"/>
                <w:sz w:val="18"/>
                <w:szCs w:val="18"/>
              </w:rPr>
              <w:t>60</w:t>
            </w:r>
          </w:p>
        </w:tc>
        <w:tc>
          <w:tcPr>
            <w:tcW w:w="1159" w:type="dxa"/>
            <w:tcBorders>
              <w:top w:val="nil"/>
              <w:left w:val="nil"/>
              <w:bottom w:val="single" w:sz="4" w:space="0" w:color="auto"/>
              <w:right w:val="single" w:sz="4" w:space="0" w:color="auto"/>
            </w:tcBorders>
            <w:shd w:val="clear" w:color="auto" w:fill="auto"/>
            <w:noWrap/>
            <w:vAlign w:val="center"/>
            <w:hideMark/>
          </w:tcPr>
          <w:p w14:paraId="03B7D3AA" w14:textId="1F333117" w:rsidR="009335A4" w:rsidRPr="009335A4" w:rsidRDefault="009335A4" w:rsidP="00422161">
            <w:pPr>
              <w:jc w:val="center"/>
              <w:rPr>
                <w:rFonts w:cs="Arial"/>
                <w:color w:val="000000"/>
                <w:sz w:val="18"/>
                <w:szCs w:val="18"/>
                <w:lang w:val="en-US" w:eastAsia="en-US"/>
              </w:rPr>
            </w:pPr>
            <w:r w:rsidRPr="009335A4">
              <w:rPr>
                <w:rFonts w:cs="Arial"/>
                <w:color w:val="000000"/>
                <w:sz w:val="18"/>
                <w:szCs w:val="18"/>
              </w:rPr>
              <w:t>61</w:t>
            </w:r>
          </w:p>
        </w:tc>
        <w:tc>
          <w:tcPr>
            <w:tcW w:w="1017" w:type="dxa"/>
            <w:tcBorders>
              <w:top w:val="nil"/>
              <w:left w:val="nil"/>
              <w:bottom w:val="single" w:sz="4" w:space="0" w:color="auto"/>
              <w:right w:val="single" w:sz="4" w:space="0" w:color="auto"/>
            </w:tcBorders>
            <w:shd w:val="clear" w:color="auto" w:fill="auto"/>
            <w:noWrap/>
            <w:vAlign w:val="center"/>
            <w:hideMark/>
          </w:tcPr>
          <w:p w14:paraId="3E3FCE8A" w14:textId="30A15323" w:rsidR="009335A4" w:rsidRPr="009335A4" w:rsidRDefault="009335A4" w:rsidP="00422161">
            <w:pPr>
              <w:jc w:val="center"/>
              <w:rPr>
                <w:rFonts w:cs="Arial"/>
                <w:color w:val="000000"/>
                <w:sz w:val="18"/>
                <w:szCs w:val="18"/>
                <w:lang w:val="en-US" w:eastAsia="en-US"/>
              </w:rPr>
            </w:pPr>
            <w:r w:rsidRPr="009335A4">
              <w:rPr>
                <w:rFonts w:cs="Arial"/>
                <w:color w:val="000000"/>
                <w:sz w:val="18"/>
                <w:szCs w:val="18"/>
              </w:rPr>
              <w:t>62</w:t>
            </w:r>
          </w:p>
        </w:tc>
        <w:tc>
          <w:tcPr>
            <w:tcW w:w="1017" w:type="dxa"/>
            <w:tcBorders>
              <w:top w:val="nil"/>
              <w:left w:val="nil"/>
              <w:bottom w:val="single" w:sz="4" w:space="0" w:color="auto"/>
              <w:right w:val="single" w:sz="8" w:space="0" w:color="auto"/>
            </w:tcBorders>
            <w:shd w:val="clear" w:color="auto" w:fill="auto"/>
            <w:noWrap/>
            <w:vAlign w:val="center"/>
            <w:hideMark/>
          </w:tcPr>
          <w:p w14:paraId="30E35D4C" w14:textId="5305A0FC" w:rsidR="009335A4" w:rsidRPr="009335A4" w:rsidRDefault="009335A4" w:rsidP="00422161">
            <w:pPr>
              <w:jc w:val="center"/>
              <w:rPr>
                <w:rFonts w:cs="Arial"/>
                <w:color w:val="000000"/>
                <w:sz w:val="18"/>
                <w:szCs w:val="18"/>
                <w:lang w:val="en-US" w:eastAsia="en-US"/>
              </w:rPr>
            </w:pPr>
            <w:r w:rsidRPr="009335A4">
              <w:rPr>
                <w:rFonts w:cs="Arial"/>
                <w:color w:val="000000"/>
                <w:sz w:val="18"/>
                <w:szCs w:val="18"/>
              </w:rPr>
              <w:t>63</w:t>
            </w:r>
          </w:p>
        </w:tc>
      </w:tr>
      <w:tr w:rsidR="009335A4" w:rsidRPr="00CA53C8" w14:paraId="26220FFD" w14:textId="77777777" w:rsidTr="00BF0EEF">
        <w:trPr>
          <w:trHeight w:val="615"/>
          <w:jc w:val="center"/>
        </w:trPr>
        <w:tc>
          <w:tcPr>
            <w:tcW w:w="3135" w:type="dxa"/>
            <w:tcBorders>
              <w:top w:val="nil"/>
              <w:left w:val="single" w:sz="4" w:space="0" w:color="auto"/>
              <w:bottom w:val="single" w:sz="4" w:space="0" w:color="auto"/>
              <w:right w:val="single" w:sz="4" w:space="0" w:color="auto"/>
            </w:tcBorders>
            <w:shd w:val="clear" w:color="auto" w:fill="auto"/>
            <w:vAlign w:val="center"/>
            <w:hideMark/>
          </w:tcPr>
          <w:p w14:paraId="2E07715D" w14:textId="77777777" w:rsidR="009335A4" w:rsidRPr="00CA53C8" w:rsidRDefault="009335A4" w:rsidP="00422161">
            <w:pPr>
              <w:rPr>
                <w:rFonts w:cs="Arial"/>
                <w:color w:val="000000"/>
                <w:sz w:val="18"/>
                <w:szCs w:val="18"/>
                <w:lang w:val="en-US" w:eastAsia="en-US"/>
              </w:rPr>
            </w:pPr>
            <w:r w:rsidRPr="00CA53C8">
              <w:rPr>
                <w:rFonts w:cs="Arial"/>
                <w:color w:val="000000"/>
                <w:sz w:val="18"/>
                <w:szCs w:val="18"/>
                <w:lang w:val="en-US" w:eastAsia="en-US"/>
              </w:rPr>
              <w:t>Maximum number of services per year</w:t>
            </w:r>
          </w:p>
        </w:tc>
        <w:tc>
          <w:tcPr>
            <w:tcW w:w="1020" w:type="dxa"/>
            <w:tcBorders>
              <w:top w:val="nil"/>
              <w:left w:val="nil"/>
              <w:bottom w:val="single" w:sz="4" w:space="0" w:color="auto"/>
              <w:right w:val="single" w:sz="4" w:space="0" w:color="auto"/>
            </w:tcBorders>
            <w:shd w:val="clear" w:color="auto" w:fill="auto"/>
            <w:noWrap/>
            <w:vAlign w:val="center"/>
            <w:hideMark/>
          </w:tcPr>
          <w:p w14:paraId="6E94C7A3" w14:textId="39316FCA" w:rsidR="009335A4" w:rsidRPr="009335A4" w:rsidRDefault="009335A4" w:rsidP="00422161">
            <w:pPr>
              <w:jc w:val="center"/>
              <w:rPr>
                <w:rFonts w:cs="Arial"/>
                <w:color w:val="000000"/>
                <w:sz w:val="18"/>
                <w:szCs w:val="18"/>
                <w:lang w:val="en-US" w:eastAsia="en-US"/>
              </w:rPr>
            </w:pPr>
            <w:r w:rsidRPr="009335A4">
              <w:rPr>
                <w:rFonts w:cs="Arial"/>
                <w:color w:val="000000"/>
                <w:sz w:val="18"/>
                <w:szCs w:val="18"/>
              </w:rPr>
              <w:t>H / 10</w:t>
            </w:r>
          </w:p>
        </w:tc>
        <w:tc>
          <w:tcPr>
            <w:tcW w:w="1160" w:type="dxa"/>
            <w:tcBorders>
              <w:top w:val="nil"/>
              <w:left w:val="nil"/>
              <w:bottom w:val="single" w:sz="4" w:space="0" w:color="auto"/>
              <w:right w:val="single" w:sz="4" w:space="0" w:color="auto"/>
            </w:tcBorders>
            <w:shd w:val="clear" w:color="auto" w:fill="auto"/>
            <w:noWrap/>
            <w:vAlign w:val="center"/>
            <w:hideMark/>
          </w:tcPr>
          <w:p w14:paraId="5CBBA3A9" w14:textId="1667DA0A" w:rsidR="009335A4" w:rsidRPr="009335A4" w:rsidRDefault="009335A4" w:rsidP="00422161">
            <w:pPr>
              <w:jc w:val="center"/>
              <w:rPr>
                <w:rFonts w:cs="Arial"/>
                <w:color w:val="000000"/>
                <w:sz w:val="18"/>
                <w:szCs w:val="18"/>
                <w:lang w:val="en-US" w:eastAsia="en-US"/>
              </w:rPr>
            </w:pPr>
            <w:r w:rsidRPr="009335A4">
              <w:rPr>
                <w:rFonts w:cs="Arial"/>
                <w:color w:val="000000"/>
                <w:sz w:val="18"/>
                <w:szCs w:val="18"/>
              </w:rPr>
              <w:t>87</w:t>
            </w:r>
          </w:p>
        </w:tc>
        <w:tc>
          <w:tcPr>
            <w:tcW w:w="1066" w:type="dxa"/>
            <w:tcBorders>
              <w:top w:val="nil"/>
              <w:left w:val="nil"/>
              <w:bottom w:val="single" w:sz="4" w:space="0" w:color="auto"/>
              <w:right w:val="single" w:sz="4" w:space="0" w:color="auto"/>
            </w:tcBorders>
            <w:shd w:val="clear" w:color="auto" w:fill="auto"/>
            <w:noWrap/>
            <w:vAlign w:val="center"/>
            <w:hideMark/>
          </w:tcPr>
          <w:p w14:paraId="2582765E" w14:textId="76195FE4" w:rsidR="009335A4" w:rsidRPr="009335A4" w:rsidRDefault="009335A4" w:rsidP="00422161">
            <w:pPr>
              <w:jc w:val="center"/>
              <w:rPr>
                <w:rFonts w:cs="Arial"/>
                <w:color w:val="000000"/>
                <w:sz w:val="18"/>
                <w:szCs w:val="18"/>
                <w:lang w:val="en-US" w:eastAsia="en-US"/>
              </w:rPr>
            </w:pPr>
            <w:r w:rsidRPr="009335A4">
              <w:rPr>
                <w:rFonts w:cs="Arial"/>
                <w:color w:val="000000"/>
                <w:sz w:val="18"/>
                <w:szCs w:val="18"/>
              </w:rPr>
              <w:t>88</w:t>
            </w:r>
          </w:p>
        </w:tc>
        <w:tc>
          <w:tcPr>
            <w:tcW w:w="1017" w:type="dxa"/>
            <w:tcBorders>
              <w:top w:val="nil"/>
              <w:left w:val="nil"/>
              <w:bottom w:val="single" w:sz="4" w:space="0" w:color="auto"/>
              <w:right w:val="single" w:sz="4" w:space="0" w:color="auto"/>
            </w:tcBorders>
            <w:shd w:val="clear" w:color="auto" w:fill="auto"/>
            <w:noWrap/>
            <w:vAlign w:val="center"/>
            <w:hideMark/>
          </w:tcPr>
          <w:p w14:paraId="1903C42D" w14:textId="4F3FD612" w:rsidR="009335A4" w:rsidRPr="009335A4" w:rsidRDefault="009335A4" w:rsidP="00422161">
            <w:pPr>
              <w:jc w:val="center"/>
              <w:rPr>
                <w:rFonts w:cs="Arial"/>
                <w:color w:val="000000"/>
                <w:sz w:val="18"/>
                <w:szCs w:val="18"/>
                <w:lang w:val="en-US" w:eastAsia="en-US"/>
              </w:rPr>
            </w:pPr>
            <w:r w:rsidRPr="009335A4">
              <w:rPr>
                <w:rFonts w:cs="Arial"/>
                <w:color w:val="000000"/>
                <w:sz w:val="18"/>
                <w:szCs w:val="18"/>
              </w:rPr>
              <w:t>90</w:t>
            </w:r>
          </w:p>
        </w:tc>
        <w:tc>
          <w:tcPr>
            <w:tcW w:w="1159" w:type="dxa"/>
            <w:tcBorders>
              <w:top w:val="nil"/>
              <w:left w:val="nil"/>
              <w:bottom w:val="single" w:sz="4" w:space="0" w:color="auto"/>
              <w:right w:val="single" w:sz="4" w:space="0" w:color="auto"/>
            </w:tcBorders>
            <w:shd w:val="clear" w:color="auto" w:fill="auto"/>
            <w:noWrap/>
            <w:vAlign w:val="center"/>
            <w:hideMark/>
          </w:tcPr>
          <w:p w14:paraId="4089A586" w14:textId="4252E0A9" w:rsidR="009335A4" w:rsidRPr="009335A4" w:rsidRDefault="009335A4" w:rsidP="00422161">
            <w:pPr>
              <w:jc w:val="center"/>
              <w:rPr>
                <w:rFonts w:cs="Arial"/>
                <w:color w:val="000000"/>
                <w:sz w:val="18"/>
                <w:szCs w:val="18"/>
                <w:lang w:val="en-US" w:eastAsia="en-US"/>
              </w:rPr>
            </w:pPr>
            <w:r w:rsidRPr="009335A4">
              <w:rPr>
                <w:rFonts w:cs="Arial"/>
                <w:color w:val="000000"/>
                <w:sz w:val="18"/>
                <w:szCs w:val="18"/>
              </w:rPr>
              <w:t>91</w:t>
            </w:r>
          </w:p>
        </w:tc>
        <w:tc>
          <w:tcPr>
            <w:tcW w:w="1017" w:type="dxa"/>
            <w:tcBorders>
              <w:top w:val="nil"/>
              <w:left w:val="nil"/>
              <w:bottom w:val="single" w:sz="4" w:space="0" w:color="auto"/>
              <w:right w:val="single" w:sz="4" w:space="0" w:color="auto"/>
            </w:tcBorders>
            <w:shd w:val="clear" w:color="auto" w:fill="auto"/>
            <w:noWrap/>
            <w:vAlign w:val="center"/>
            <w:hideMark/>
          </w:tcPr>
          <w:p w14:paraId="7B9FE1D7" w14:textId="05AC619E" w:rsidR="009335A4" w:rsidRPr="009335A4" w:rsidRDefault="009335A4" w:rsidP="00422161">
            <w:pPr>
              <w:jc w:val="center"/>
              <w:rPr>
                <w:rFonts w:cs="Arial"/>
                <w:color w:val="000000"/>
                <w:sz w:val="18"/>
                <w:szCs w:val="18"/>
                <w:lang w:val="en-US" w:eastAsia="en-US"/>
              </w:rPr>
            </w:pPr>
            <w:r w:rsidRPr="009335A4">
              <w:rPr>
                <w:rFonts w:cs="Arial"/>
                <w:color w:val="000000"/>
                <w:sz w:val="18"/>
                <w:szCs w:val="18"/>
              </w:rPr>
              <w:t>93</w:t>
            </w:r>
          </w:p>
        </w:tc>
        <w:tc>
          <w:tcPr>
            <w:tcW w:w="1017" w:type="dxa"/>
            <w:tcBorders>
              <w:top w:val="nil"/>
              <w:left w:val="nil"/>
              <w:bottom w:val="single" w:sz="4" w:space="0" w:color="auto"/>
              <w:right w:val="single" w:sz="8" w:space="0" w:color="auto"/>
            </w:tcBorders>
            <w:shd w:val="clear" w:color="auto" w:fill="auto"/>
            <w:noWrap/>
            <w:vAlign w:val="center"/>
            <w:hideMark/>
          </w:tcPr>
          <w:p w14:paraId="3FA7DEFB" w14:textId="764C8404" w:rsidR="009335A4" w:rsidRPr="009335A4" w:rsidRDefault="009335A4" w:rsidP="00422161">
            <w:pPr>
              <w:jc w:val="center"/>
              <w:rPr>
                <w:rFonts w:cs="Arial"/>
                <w:color w:val="000000"/>
                <w:sz w:val="18"/>
                <w:szCs w:val="18"/>
                <w:lang w:val="en-US" w:eastAsia="en-US"/>
              </w:rPr>
            </w:pPr>
            <w:r w:rsidRPr="009335A4">
              <w:rPr>
                <w:rFonts w:cs="Arial"/>
                <w:color w:val="000000"/>
                <w:sz w:val="18"/>
                <w:szCs w:val="18"/>
              </w:rPr>
              <w:t>94</w:t>
            </w:r>
          </w:p>
        </w:tc>
      </w:tr>
      <w:tr w:rsidR="009335A4" w:rsidRPr="00CA53C8" w14:paraId="085F15F6" w14:textId="77777777" w:rsidTr="00BF0EEF">
        <w:trPr>
          <w:trHeight w:val="720"/>
          <w:jc w:val="center"/>
        </w:trPr>
        <w:tc>
          <w:tcPr>
            <w:tcW w:w="3135" w:type="dxa"/>
            <w:tcBorders>
              <w:top w:val="nil"/>
              <w:left w:val="single" w:sz="4" w:space="0" w:color="auto"/>
              <w:bottom w:val="single" w:sz="8" w:space="0" w:color="auto"/>
              <w:right w:val="single" w:sz="4" w:space="0" w:color="auto"/>
            </w:tcBorders>
            <w:shd w:val="clear" w:color="auto" w:fill="auto"/>
            <w:vAlign w:val="center"/>
            <w:hideMark/>
          </w:tcPr>
          <w:p w14:paraId="03CC175C" w14:textId="77777777" w:rsidR="009335A4" w:rsidRPr="00CA53C8" w:rsidRDefault="009335A4" w:rsidP="00422161">
            <w:pPr>
              <w:rPr>
                <w:rFonts w:cs="Arial"/>
                <w:color w:val="000000"/>
                <w:sz w:val="18"/>
                <w:szCs w:val="18"/>
                <w:lang w:val="en-US" w:eastAsia="en-US"/>
              </w:rPr>
            </w:pPr>
            <w:r w:rsidRPr="00CA53C8">
              <w:rPr>
                <w:rFonts w:cs="Arial"/>
                <w:color w:val="000000"/>
                <w:sz w:val="18"/>
                <w:szCs w:val="18"/>
                <w:lang w:val="en-US" w:eastAsia="en-US"/>
              </w:rPr>
              <w:t>Mean number of services per year</w:t>
            </w:r>
          </w:p>
        </w:tc>
        <w:tc>
          <w:tcPr>
            <w:tcW w:w="1020" w:type="dxa"/>
            <w:tcBorders>
              <w:top w:val="nil"/>
              <w:left w:val="nil"/>
              <w:bottom w:val="single" w:sz="8" w:space="0" w:color="auto"/>
              <w:right w:val="single" w:sz="4" w:space="0" w:color="auto"/>
            </w:tcBorders>
            <w:shd w:val="clear" w:color="auto" w:fill="auto"/>
            <w:vAlign w:val="center"/>
            <w:hideMark/>
          </w:tcPr>
          <w:p w14:paraId="47A8CB9C" w14:textId="50318DBF" w:rsidR="009335A4" w:rsidRPr="009335A4" w:rsidRDefault="009335A4" w:rsidP="00422161">
            <w:pPr>
              <w:jc w:val="center"/>
              <w:rPr>
                <w:rFonts w:cs="Arial"/>
                <w:color w:val="000000"/>
                <w:sz w:val="18"/>
                <w:szCs w:val="18"/>
                <w:lang w:val="en-US" w:eastAsia="en-US"/>
              </w:rPr>
            </w:pPr>
            <w:r w:rsidRPr="009335A4">
              <w:rPr>
                <w:rFonts w:cs="Arial"/>
                <w:color w:val="000000"/>
                <w:sz w:val="18"/>
                <w:szCs w:val="18"/>
              </w:rPr>
              <w:t>Average of I &amp; J</w:t>
            </w:r>
          </w:p>
        </w:tc>
        <w:tc>
          <w:tcPr>
            <w:tcW w:w="1160" w:type="dxa"/>
            <w:tcBorders>
              <w:top w:val="nil"/>
              <w:left w:val="nil"/>
              <w:bottom w:val="single" w:sz="8" w:space="0" w:color="auto"/>
              <w:right w:val="single" w:sz="4" w:space="0" w:color="auto"/>
            </w:tcBorders>
            <w:shd w:val="clear" w:color="auto" w:fill="auto"/>
            <w:vAlign w:val="center"/>
            <w:hideMark/>
          </w:tcPr>
          <w:p w14:paraId="3197F970" w14:textId="5E7F3F5D" w:rsidR="009335A4" w:rsidRPr="009335A4" w:rsidRDefault="009335A4" w:rsidP="00422161">
            <w:pPr>
              <w:jc w:val="center"/>
              <w:rPr>
                <w:rFonts w:cs="Arial"/>
                <w:b/>
                <w:bCs/>
                <w:color w:val="000000"/>
                <w:sz w:val="18"/>
                <w:szCs w:val="18"/>
                <w:lang w:val="en-US" w:eastAsia="en-US"/>
              </w:rPr>
            </w:pPr>
            <w:r w:rsidRPr="009335A4">
              <w:rPr>
                <w:rFonts w:cs="Arial"/>
                <w:b/>
                <w:bCs/>
                <w:color w:val="000000"/>
                <w:sz w:val="18"/>
                <w:szCs w:val="18"/>
              </w:rPr>
              <w:t>72</w:t>
            </w:r>
          </w:p>
        </w:tc>
        <w:tc>
          <w:tcPr>
            <w:tcW w:w="1066" w:type="dxa"/>
            <w:tcBorders>
              <w:top w:val="nil"/>
              <w:left w:val="nil"/>
              <w:bottom w:val="single" w:sz="8" w:space="0" w:color="auto"/>
              <w:right w:val="single" w:sz="4" w:space="0" w:color="auto"/>
            </w:tcBorders>
            <w:shd w:val="clear" w:color="auto" w:fill="auto"/>
            <w:vAlign w:val="center"/>
            <w:hideMark/>
          </w:tcPr>
          <w:p w14:paraId="2E490864" w14:textId="14C1E98A" w:rsidR="009335A4" w:rsidRPr="009335A4" w:rsidRDefault="009335A4" w:rsidP="00422161">
            <w:pPr>
              <w:jc w:val="center"/>
              <w:rPr>
                <w:rFonts w:cs="Arial"/>
                <w:b/>
                <w:bCs/>
                <w:color w:val="000000"/>
                <w:sz w:val="18"/>
                <w:szCs w:val="18"/>
                <w:lang w:val="en-US" w:eastAsia="en-US"/>
              </w:rPr>
            </w:pPr>
            <w:r w:rsidRPr="009335A4">
              <w:rPr>
                <w:rFonts w:cs="Arial"/>
                <w:b/>
                <w:bCs/>
                <w:color w:val="000000"/>
                <w:sz w:val="18"/>
                <w:szCs w:val="18"/>
              </w:rPr>
              <w:t>74</w:t>
            </w:r>
          </w:p>
        </w:tc>
        <w:tc>
          <w:tcPr>
            <w:tcW w:w="1017" w:type="dxa"/>
            <w:tcBorders>
              <w:top w:val="nil"/>
              <w:left w:val="nil"/>
              <w:bottom w:val="single" w:sz="8" w:space="0" w:color="auto"/>
              <w:right w:val="single" w:sz="4" w:space="0" w:color="auto"/>
            </w:tcBorders>
            <w:shd w:val="clear" w:color="auto" w:fill="auto"/>
            <w:vAlign w:val="center"/>
            <w:hideMark/>
          </w:tcPr>
          <w:p w14:paraId="42D3C1D7" w14:textId="3614EA2C" w:rsidR="009335A4" w:rsidRPr="009335A4" w:rsidRDefault="009335A4" w:rsidP="00422161">
            <w:pPr>
              <w:jc w:val="center"/>
              <w:rPr>
                <w:rFonts w:cs="Arial"/>
                <w:b/>
                <w:bCs/>
                <w:color w:val="000000"/>
                <w:sz w:val="18"/>
                <w:szCs w:val="18"/>
                <w:lang w:val="en-US" w:eastAsia="en-US"/>
              </w:rPr>
            </w:pPr>
            <w:r w:rsidRPr="009335A4">
              <w:rPr>
                <w:rFonts w:cs="Arial"/>
                <w:b/>
                <w:bCs/>
                <w:color w:val="000000"/>
                <w:sz w:val="18"/>
                <w:szCs w:val="18"/>
              </w:rPr>
              <w:t>75</w:t>
            </w:r>
          </w:p>
        </w:tc>
        <w:tc>
          <w:tcPr>
            <w:tcW w:w="1159" w:type="dxa"/>
            <w:tcBorders>
              <w:top w:val="nil"/>
              <w:left w:val="nil"/>
              <w:bottom w:val="single" w:sz="8" w:space="0" w:color="auto"/>
              <w:right w:val="single" w:sz="4" w:space="0" w:color="auto"/>
            </w:tcBorders>
            <w:shd w:val="clear" w:color="auto" w:fill="auto"/>
            <w:vAlign w:val="center"/>
            <w:hideMark/>
          </w:tcPr>
          <w:p w14:paraId="50C022F5" w14:textId="52106D3C" w:rsidR="009335A4" w:rsidRPr="009335A4" w:rsidRDefault="009335A4" w:rsidP="00422161">
            <w:pPr>
              <w:jc w:val="center"/>
              <w:rPr>
                <w:rFonts w:cs="Arial"/>
                <w:b/>
                <w:bCs/>
                <w:color w:val="000000"/>
                <w:sz w:val="18"/>
                <w:szCs w:val="18"/>
                <w:lang w:val="en-US" w:eastAsia="en-US"/>
              </w:rPr>
            </w:pPr>
            <w:r w:rsidRPr="009335A4">
              <w:rPr>
                <w:rFonts w:cs="Arial"/>
                <w:b/>
                <w:bCs/>
                <w:color w:val="000000"/>
                <w:sz w:val="18"/>
                <w:szCs w:val="18"/>
              </w:rPr>
              <w:t>76</w:t>
            </w:r>
          </w:p>
        </w:tc>
        <w:tc>
          <w:tcPr>
            <w:tcW w:w="1017" w:type="dxa"/>
            <w:tcBorders>
              <w:top w:val="nil"/>
              <w:left w:val="nil"/>
              <w:bottom w:val="single" w:sz="8" w:space="0" w:color="auto"/>
              <w:right w:val="single" w:sz="4" w:space="0" w:color="auto"/>
            </w:tcBorders>
            <w:shd w:val="clear" w:color="auto" w:fill="auto"/>
            <w:vAlign w:val="center"/>
            <w:hideMark/>
          </w:tcPr>
          <w:p w14:paraId="7609E046" w14:textId="15DDC68A" w:rsidR="009335A4" w:rsidRPr="009335A4" w:rsidRDefault="009335A4" w:rsidP="00422161">
            <w:pPr>
              <w:jc w:val="center"/>
              <w:rPr>
                <w:rFonts w:cs="Arial"/>
                <w:b/>
                <w:bCs/>
                <w:color w:val="000000"/>
                <w:sz w:val="18"/>
                <w:szCs w:val="18"/>
                <w:lang w:val="en-US" w:eastAsia="en-US"/>
              </w:rPr>
            </w:pPr>
            <w:r w:rsidRPr="009335A4">
              <w:rPr>
                <w:rFonts w:cs="Arial"/>
                <w:b/>
                <w:bCs/>
                <w:color w:val="000000"/>
                <w:sz w:val="18"/>
                <w:szCs w:val="18"/>
              </w:rPr>
              <w:t>77</w:t>
            </w:r>
          </w:p>
        </w:tc>
        <w:tc>
          <w:tcPr>
            <w:tcW w:w="1017" w:type="dxa"/>
            <w:tcBorders>
              <w:top w:val="nil"/>
              <w:left w:val="nil"/>
              <w:bottom w:val="single" w:sz="8" w:space="0" w:color="auto"/>
              <w:right w:val="single" w:sz="8" w:space="0" w:color="auto"/>
            </w:tcBorders>
            <w:shd w:val="clear" w:color="auto" w:fill="auto"/>
            <w:vAlign w:val="center"/>
            <w:hideMark/>
          </w:tcPr>
          <w:p w14:paraId="73EDE45F" w14:textId="0DB0860D" w:rsidR="009335A4" w:rsidRPr="009335A4" w:rsidRDefault="009335A4" w:rsidP="00422161">
            <w:pPr>
              <w:jc w:val="center"/>
              <w:rPr>
                <w:rFonts w:cs="Arial"/>
                <w:b/>
                <w:bCs/>
                <w:color w:val="000000"/>
                <w:sz w:val="18"/>
                <w:szCs w:val="18"/>
                <w:lang w:val="en-US" w:eastAsia="en-US"/>
              </w:rPr>
            </w:pPr>
            <w:r w:rsidRPr="009335A4">
              <w:rPr>
                <w:rFonts w:cs="Arial"/>
                <w:b/>
                <w:bCs/>
                <w:color w:val="000000"/>
                <w:sz w:val="18"/>
                <w:szCs w:val="18"/>
              </w:rPr>
              <w:t>79</w:t>
            </w:r>
          </w:p>
        </w:tc>
      </w:tr>
    </w:tbl>
    <w:p w14:paraId="42DA452D" w14:textId="77777777" w:rsidR="00C275DC" w:rsidRDefault="00C275DC" w:rsidP="00C275DC">
      <w:pPr>
        <w:spacing w:line="360" w:lineRule="auto"/>
        <w:jc w:val="both"/>
        <w:rPr>
          <w:rFonts w:cs="Arial"/>
          <w:highlight w:val="lightGray"/>
        </w:rPr>
      </w:pPr>
    </w:p>
    <w:p w14:paraId="139DF53F" w14:textId="320147F1" w:rsidR="00C275DC" w:rsidRDefault="004C1D9C" w:rsidP="00422161">
      <w:pPr>
        <w:spacing w:line="360" w:lineRule="auto"/>
        <w:jc w:val="both"/>
      </w:pPr>
      <w:r w:rsidRPr="004C1D9C">
        <w:rPr>
          <w:rFonts w:cs="Arial"/>
        </w:rPr>
        <w:lastRenderedPageBreak/>
        <w:t xml:space="preserve">The estimated difference in the mean number of services per year </w:t>
      </w:r>
      <w:r w:rsidR="00C275DC" w:rsidRPr="00137B87">
        <w:rPr>
          <w:rFonts w:cs="Arial"/>
        </w:rPr>
        <w:t xml:space="preserve">will </w:t>
      </w:r>
      <w:r w:rsidR="00C275DC">
        <w:rPr>
          <w:rFonts w:cs="Arial"/>
        </w:rPr>
        <w:t xml:space="preserve">affect the overall costs for the proposed intervention as can be seen from the calculations in Appendix G, and </w:t>
      </w:r>
      <w:r w:rsidR="00C275DC">
        <w:rPr>
          <w:rFonts w:cs="Arial"/>
        </w:rPr>
        <w:fldChar w:fldCharType="begin"/>
      </w:r>
      <w:r w:rsidR="00C275DC">
        <w:rPr>
          <w:rFonts w:cs="Arial"/>
        </w:rPr>
        <w:instrText xml:space="preserve"> REF _Ref431909964 \h </w:instrText>
      </w:r>
      <w:r w:rsidR="00C275DC">
        <w:rPr>
          <w:rFonts w:cs="Arial"/>
        </w:rPr>
      </w:r>
      <w:r w:rsidR="00C275DC">
        <w:rPr>
          <w:rFonts w:cs="Arial"/>
        </w:rPr>
        <w:fldChar w:fldCharType="separate"/>
      </w:r>
      <w:r w:rsidR="00422161">
        <w:rPr>
          <w:rFonts w:cs="Arial"/>
          <w:noProof/>
        </w:rPr>
        <w:fldChar w:fldCharType="begin"/>
      </w:r>
      <w:r w:rsidR="00422161">
        <w:rPr>
          <w:rFonts w:cs="Arial"/>
          <w:noProof/>
        </w:rPr>
        <w:instrText xml:space="preserve"> REF _Ref431911905 \h </w:instrText>
      </w:r>
      <w:r w:rsidR="00422161">
        <w:rPr>
          <w:rFonts w:cs="Arial"/>
          <w:noProof/>
        </w:rPr>
      </w:r>
      <w:r w:rsidR="00422161">
        <w:rPr>
          <w:rFonts w:cs="Arial"/>
          <w:noProof/>
        </w:rPr>
        <w:fldChar w:fldCharType="separate"/>
      </w:r>
      <w:r w:rsidR="00422161" w:rsidRPr="00A83F80">
        <w:rPr>
          <w:rFonts w:cs="Arial"/>
        </w:rPr>
        <w:t xml:space="preserve">Table </w:t>
      </w:r>
      <w:r w:rsidR="00422161">
        <w:rPr>
          <w:rFonts w:cs="Arial"/>
          <w:noProof/>
        </w:rPr>
        <w:t>76</w:t>
      </w:r>
      <w:r w:rsidR="00422161">
        <w:rPr>
          <w:rFonts w:cs="Arial"/>
          <w:noProof/>
        </w:rPr>
        <w:fldChar w:fldCharType="end"/>
      </w:r>
      <w:r w:rsidR="00C275DC">
        <w:rPr>
          <w:rFonts w:cs="Arial"/>
        </w:rPr>
        <w:fldChar w:fldCharType="end"/>
      </w:r>
      <w:r w:rsidR="00C275DC">
        <w:rPr>
          <w:rFonts w:cs="Arial"/>
        </w:rPr>
        <w:t>.</w:t>
      </w:r>
    </w:p>
    <w:p w14:paraId="2DD627D6" w14:textId="77777777" w:rsidR="00C275DC" w:rsidRDefault="00C275DC" w:rsidP="00C275DC">
      <w:pPr>
        <w:pStyle w:val="Textbody"/>
        <w:rPr>
          <w:lang w:val="en-AU"/>
        </w:rPr>
        <w:sectPr w:rsidR="00C275DC" w:rsidSect="00695C41">
          <w:pgSz w:w="11907" w:h="16840" w:code="9"/>
          <w:pgMar w:top="1418" w:right="1418" w:bottom="1701" w:left="1814" w:header="720" w:footer="720" w:gutter="0"/>
          <w:paperSrc w:first="7" w:other="7"/>
          <w:cols w:space="720"/>
          <w:noEndnote/>
          <w:docGrid w:linePitch="299"/>
        </w:sectPr>
      </w:pPr>
    </w:p>
    <w:p w14:paraId="0BC30E31" w14:textId="363635F9" w:rsidR="00C275DC" w:rsidRPr="00E0477C" w:rsidRDefault="00C275DC" w:rsidP="00C275DC">
      <w:pPr>
        <w:pStyle w:val="Caption"/>
        <w:rPr>
          <w:rFonts w:ascii="Arial" w:hAnsi="Arial" w:cs="Arial"/>
          <w:lang w:val="en-AU"/>
        </w:rPr>
      </w:pPr>
      <w:bookmarkStart w:id="673" w:name="_Ref431911905"/>
      <w:bookmarkStart w:id="674" w:name="_Toc431917536"/>
      <w:r w:rsidRPr="00A83F80">
        <w:rPr>
          <w:rFonts w:ascii="Arial" w:hAnsi="Arial" w:cs="Arial"/>
        </w:rPr>
        <w:lastRenderedPageBreak/>
        <w:t xml:space="preserve">Table </w:t>
      </w:r>
      <w:r w:rsidRPr="00A83F80">
        <w:rPr>
          <w:rFonts w:ascii="Arial" w:hAnsi="Arial" w:cs="Arial"/>
        </w:rPr>
        <w:fldChar w:fldCharType="begin"/>
      </w:r>
      <w:r w:rsidRPr="00A83F80">
        <w:rPr>
          <w:rFonts w:ascii="Arial" w:hAnsi="Arial" w:cs="Arial"/>
        </w:rPr>
        <w:instrText xml:space="preserve"> SEQ Table \* ARABIC </w:instrText>
      </w:r>
      <w:r w:rsidRPr="00A83F80">
        <w:rPr>
          <w:rFonts w:ascii="Arial" w:hAnsi="Arial" w:cs="Arial"/>
        </w:rPr>
        <w:fldChar w:fldCharType="separate"/>
      </w:r>
      <w:r w:rsidR="00422161">
        <w:rPr>
          <w:rFonts w:ascii="Arial" w:hAnsi="Arial" w:cs="Arial"/>
          <w:noProof/>
        </w:rPr>
        <w:t>76</w:t>
      </w:r>
      <w:r w:rsidRPr="00A83F80">
        <w:rPr>
          <w:rFonts w:ascii="Arial" w:hAnsi="Arial" w:cs="Arial"/>
          <w:noProof/>
        </w:rPr>
        <w:fldChar w:fldCharType="end"/>
      </w:r>
      <w:bookmarkEnd w:id="673"/>
      <w:r w:rsidRPr="00A83F80">
        <w:rPr>
          <w:rFonts w:ascii="Arial" w:hAnsi="Arial" w:cs="Arial"/>
          <w:lang w:val="en-US"/>
        </w:rPr>
        <w:t>.-</w:t>
      </w:r>
      <w:r w:rsidRPr="00E0477C">
        <w:rPr>
          <w:rFonts w:ascii="Arial" w:hAnsi="Arial" w:cs="Arial"/>
          <w:lang w:val="en-AU"/>
        </w:rPr>
        <w:t xml:space="preserve"> </w:t>
      </w:r>
      <w:r>
        <w:rPr>
          <w:rFonts w:ascii="Arial" w:hAnsi="Arial" w:cs="Arial"/>
          <w:lang w:val="en-AU"/>
        </w:rPr>
        <w:t>Overall total costs of the intervention based on e</w:t>
      </w:r>
      <w:r w:rsidRPr="00E0477C">
        <w:rPr>
          <w:rFonts w:ascii="Arial" w:hAnsi="Arial" w:cs="Arial"/>
          <w:lang w:val="en-AU"/>
        </w:rPr>
        <w:t xml:space="preserve">stimated </w:t>
      </w:r>
      <w:r>
        <w:rPr>
          <w:rFonts w:ascii="Arial" w:hAnsi="Arial" w:cs="Arial"/>
          <w:lang w:val="en-AU"/>
        </w:rPr>
        <w:t xml:space="preserve">minimum </w:t>
      </w:r>
      <w:r w:rsidR="00422161">
        <w:rPr>
          <w:rFonts w:ascii="Arial" w:hAnsi="Arial" w:cs="Arial"/>
          <w:lang w:val="en-AU"/>
        </w:rPr>
        <w:t>prevalence</w:t>
      </w:r>
      <w:r>
        <w:rPr>
          <w:rFonts w:ascii="Arial" w:hAnsi="Arial" w:cs="Arial"/>
          <w:lang w:val="en-AU"/>
        </w:rPr>
        <w:t xml:space="preserve"> (lower CI of </w:t>
      </w:r>
      <w:r w:rsidR="00422161">
        <w:rPr>
          <w:rFonts w:ascii="Arial" w:hAnsi="Arial" w:cs="Arial"/>
          <w:lang w:val="en-AU"/>
        </w:rPr>
        <w:t>EEP</w:t>
      </w:r>
      <w:r>
        <w:rPr>
          <w:rFonts w:ascii="Arial" w:hAnsi="Arial" w:cs="Arial"/>
          <w:lang w:val="en-AU"/>
        </w:rPr>
        <w:t>)</w:t>
      </w:r>
      <w:bookmarkEnd w:id="674"/>
    </w:p>
    <w:tbl>
      <w:tblPr>
        <w:tblW w:w="14583" w:type="dxa"/>
        <w:jc w:val="center"/>
        <w:tblLook w:val="04A0" w:firstRow="1" w:lastRow="0" w:firstColumn="1" w:lastColumn="0" w:noHBand="0" w:noVBand="1"/>
        <w:tblDescription w:val="Overall total costs of the intervention based on estimated minimum prevalence (lower CI of EEP)"/>
      </w:tblPr>
      <w:tblGrid>
        <w:gridCol w:w="639"/>
        <w:gridCol w:w="2353"/>
        <w:gridCol w:w="1107"/>
        <w:gridCol w:w="1764"/>
        <w:gridCol w:w="1664"/>
        <w:gridCol w:w="1764"/>
        <w:gridCol w:w="1764"/>
        <w:gridCol w:w="1764"/>
        <w:gridCol w:w="1764"/>
      </w:tblGrid>
      <w:tr w:rsidR="00422161" w:rsidRPr="00D01F4D" w14:paraId="23180C44" w14:textId="77777777" w:rsidTr="00BF0EEF">
        <w:trPr>
          <w:trHeight w:val="480"/>
          <w:jc w:val="center"/>
        </w:trPr>
        <w:tc>
          <w:tcPr>
            <w:tcW w:w="639"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5043249" w14:textId="77777777" w:rsidR="00C275DC" w:rsidRPr="00D01F4D" w:rsidRDefault="00C275DC" w:rsidP="00422161">
            <w:pPr>
              <w:rPr>
                <w:rFonts w:cs="Arial"/>
                <w:b/>
                <w:bCs/>
                <w:color w:val="000000"/>
                <w:sz w:val="20"/>
                <w:szCs w:val="20"/>
                <w:lang w:val="en-US" w:eastAsia="en-US"/>
              </w:rPr>
            </w:pPr>
            <w:r w:rsidRPr="00D01F4D">
              <w:rPr>
                <w:rFonts w:cs="Arial"/>
                <w:b/>
                <w:bCs/>
                <w:color w:val="000000"/>
                <w:sz w:val="20"/>
                <w:szCs w:val="20"/>
                <w:lang w:val="en-US" w:eastAsia="en-US"/>
              </w:rPr>
              <w:t> </w:t>
            </w:r>
          </w:p>
        </w:tc>
        <w:tc>
          <w:tcPr>
            <w:tcW w:w="2353" w:type="dxa"/>
            <w:tcBorders>
              <w:top w:val="single" w:sz="8" w:space="0" w:color="auto"/>
              <w:left w:val="nil"/>
              <w:bottom w:val="single" w:sz="4" w:space="0" w:color="auto"/>
              <w:right w:val="single" w:sz="4" w:space="0" w:color="auto"/>
            </w:tcBorders>
            <w:shd w:val="clear" w:color="auto" w:fill="auto"/>
            <w:vAlign w:val="center"/>
            <w:hideMark/>
          </w:tcPr>
          <w:p w14:paraId="1D09F51C" w14:textId="77777777" w:rsidR="00C275DC" w:rsidRPr="00D01F4D" w:rsidRDefault="00C275DC" w:rsidP="00422161">
            <w:pPr>
              <w:rPr>
                <w:rFonts w:cs="Arial"/>
                <w:b/>
                <w:bCs/>
                <w:color w:val="000000"/>
                <w:sz w:val="20"/>
                <w:szCs w:val="20"/>
                <w:lang w:val="en-US" w:eastAsia="en-US"/>
              </w:rPr>
            </w:pPr>
            <w:r w:rsidRPr="00D01F4D">
              <w:rPr>
                <w:rFonts w:cs="Arial"/>
                <w:b/>
                <w:bCs/>
                <w:color w:val="000000"/>
                <w:sz w:val="20"/>
                <w:szCs w:val="20"/>
                <w:lang w:val="en-US" w:eastAsia="en-US"/>
              </w:rPr>
              <w:t>Description</w:t>
            </w:r>
          </w:p>
        </w:tc>
        <w:tc>
          <w:tcPr>
            <w:tcW w:w="1107" w:type="dxa"/>
            <w:tcBorders>
              <w:top w:val="single" w:sz="8" w:space="0" w:color="auto"/>
              <w:left w:val="nil"/>
              <w:bottom w:val="single" w:sz="4" w:space="0" w:color="auto"/>
              <w:right w:val="single" w:sz="4" w:space="0" w:color="auto"/>
            </w:tcBorders>
            <w:shd w:val="clear" w:color="auto" w:fill="auto"/>
            <w:vAlign w:val="center"/>
            <w:hideMark/>
          </w:tcPr>
          <w:p w14:paraId="220CFDCD" w14:textId="77777777" w:rsidR="00C275DC" w:rsidRPr="00D01F4D" w:rsidRDefault="00C275DC" w:rsidP="00422161">
            <w:pPr>
              <w:jc w:val="center"/>
              <w:rPr>
                <w:rFonts w:cs="Arial"/>
                <w:b/>
                <w:bCs/>
                <w:color w:val="000000"/>
                <w:sz w:val="16"/>
                <w:szCs w:val="16"/>
                <w:lang w:val="en-US" w:eastAsia="en-US"/>
              </w:rPr>
            </w:pPr>
            <w:r w:rsidRPr="00D01F4D">
              <w:rPr>
                <w:rFonts w:cs="Arial"/>
                <w:b/>
                <w:bCs/>
                <w:color w:val="000000"/>
                <w:sz w:val="16"/>
                <w:szCs w:val="16"/>
                <w:lang w:val="en-US" w:eastAsia="en-US"/>
              </w:rPr>
              <w:t>Method</w:t>
            </w:r>
          </w:p>
        </w:tc>
        <w:tc>
          <w:tcPr>
            <w:tcW w:w="1764" w:type="dxa"/>
            <w:tcBorders>
              <w:top w:val="single" w:sz="8" w:space="0" w:color="auto"/>
              <w:left w:val="nil"/>
              <w:bottom w:val="single" w:sz="4" w:space="0" w:color="auto"/>
              <w:right w:val="single" w:sz="4" w:space="0" w:color="auto"/>
            </w:tcBorders>
            <w:shd w:val="clear" w:color="auto" w:fill="auto"/>
            <w:vAlign w:val="center"/>
            <w:hideMark/>
          </w:tcPr>
          <w:p w14:paraId="67717803" w14:textId="77777777" w:rsidR="00C275DC" w:rsidRPr="00D01F4D" w:rsidRDefault="00C275DC" w:rsidP="00422161">
            <w:pPr>
              <w:jc w:val="center"/>
              <w:rPr>
                <w:rFonts w:cs="Arial"/>
                <w:b/>
                <w:bCs/>
                <w:color w:val="000000"/>
                <w:sz w:val="16"/>
                <w:szCs w:val="16"/>
                <w:lang w:val="en-US" w:eastAsia="en-US"/>
              </w:rPr>
            </w:pPr>
            <w:r w:rsidRPr="00D01F4D">
              <w:rPr>
                <w:rFonts w:cs="Arial"/>
                <w:b/>
                <w:bCs/>
                <w:color w:val="000000"/>
                <w:sz w:val="16"/>
                <w:szCs w:val="16"/>
                <w:lang w:val="en-US" w:eastAsia="en-US"/>
              </w:rPr>
              <w:t>current (2016)</w:t>
            </w:r>
          </w:p>
        </w:tc>
        <w:tc>
          <w:tcPr>
            <w:tcW w:w="1664" w:type="dxa"/>
            <w:tcBorders>
              <w:top w:val="single" w:sz="8" w:space="0" w:color="auto"/>
              <w:left w:val="nil"/>
              <w:bottom w:val="single" w:sz="4" w:space="0" w:color="auto"/>
              <w:right w:val="single" w:sz="4" w:space="0" w:color="auto"/>
            </w:tcBorders>
            <w:shd w:val="clear" w:color="auto" w:fill="auto"/>
            <w:vAlign w:val="center"/>
            <w:hideMark/>
          </w:tcPr>
          <w:p w14:paraId="0716036E" w14:textId="77777777" w:rsidR="00C275DC" w:rsidRPr="00D01F4D" w:rsidRDefault="00C275DC" w:rsidP="00422161">
            <w:pPr>
              <w:jc w:val="center"/>
              <w:rPr>
                <w:rFonts w:cs="Arial"/>
                <w:b/>
                <w:bCs/>
                <w:color w:val="000000"/>
                <w:sz w:val="16"/>
                <w:szCs w:val="16"/>
                <w:lang w:val="en-US" w:eastAsia="en-US"/>
              </w:rPr>
            </w:pPr>
            <w:r w:rsidRPr="00D01F4D">
              <w:rPr>
                <w:rFonts w:cs="Arial"/>
                <w:b/>
                <w:bCs/>
                <w:color w:val="000000"/>
                <w:sz w:val="16"/>
                <w:szCs w:val="16"/>
                <w:lang w:val="en-US" w:eastAsia="en-US"/>
              </w:rPr>
              <w:t>2017</w:t>
            </w:r>
          </w:p>
        </w:tc>
        <w:tc>
          <w:tcPr>
            <w:tcW w:w="1764" w:type="dxa"/>
            <w:tcBorders>
              <w:top w:val="single" w:sz="8" w:space="0" w:color="auto"/>
              <w:left w:val="nil"/>
              <w:bottom w:val="single" w:sz="4" w:space="0" w:color="auto"/>
              <w:right w:val="single" w:sz="4" w:space="0" w:color="auto"/>
            </w:tcBorders>
            <w:shd w:val="clear" w:color="auto" w:fill="auto"/>
            <w:vAlign w:val="center"/>
            <w:hideMark/>
          </w:tcPr>
          <w:p w14:paraId="728E3B7F" w14:textId="77777777" w:rsidR="00C275DC" w:rsidRPr="00D01F4D" w:rsidRDefault="00C275DC" w:rsidP="00422161">
            <w:pPr>
              <w:jc w:val="center"/>
              <w:rPr>
                <w:rFonts w:cs="Arial"/>
                <w:b/>
                <w:bCs/>
                <w:color w:val="000000"/>
                <w:sz w:val="16"/>
                <w:szCs w:val="16"/>
                <w:lang w:val="en-US" w:eastAsia="en-US"/>
              </w:rPr>
            </w:pPr>
            <w:r w:rsidRPr="00D01F4D">
              <w:rPr>
                <w:rFonts w:cs="Arial"/>
                <w:b/>
                <w:bCs/>
                <w:color w:val="000000"/>
                <w:sz w:val="16"/>
                <w:szCs w:val="16"/>
                <w:lang w:val="en-US" w:eastAsia="en-US"/>
              </w:rPr>
              <w:t>2018</w:t>
            </w:r>
          </w:p>
        </w:tc>
        <w:tc>
          <w:tcPr>
            <w:tcW w:w="1764" w:type="dxa"/>
            <w:tcBorders>
              <w:top w:val="single" w:sz="8" w:space="0" w:color="auto"/>
              <w:left w:val="nil"/>
              <w:bottom w:val="single" w:sz="4" w:space="0" w:color="auto"/>
              <w:right w:val="single" w:sz="4" w:space="0" w:color="auto"/>
            </w:tcBorders>
            <w:shd w:val="clear" w:color="auto" w:fill="auto"/>
            <w:vAlign w:val="center"/>
            <w:hideMark/>
          </w:tcPr>
          <w:p w14:paraId="558D5B3D" w14:textId="77777777" w:rsidR="00C275DC" w:rsidRPr="00D01F4D" w:rsidRDefault="00C275DC" w:rsidP="00422161">
            <w:pPr>
              <w:jc w:val="center"/>
              <w:rPr>
                <w:rFonts w:cs="Arial"/>
                <w:b/>
                <w:bCs/>
                <w:color w:val="000000"/>
                <w:sz w:val="16"/>
                <w:szCs w:val="16"/>
                <w:lang w:val="en-US" w:eastAsia="en-US"/>
              </w:rPr>
            </w:pPr>
            <w:r w:rsidRPr="00D01F4D">
              <w:rPr>
                <w:rFonts w:cs="Arial"/>
                <w:b/>
                <w:bCs/>
                <w:color w:val="000000"/>
                <w:sz w:val="16"/>
                <w:szCs w:val="16"/>
                <w:lang w:val="en-US" w:eastAsia="en-US"/>
              </w:rPr>
              <w:t>2019</w:t>
            </w:r>
          </w:p>
        </w:tc>
        <w:tc>
          <w:tcPr>
            <w:tcW w:w="1764" w:type="dxa"/>
            <w:tcBorders>
              <w:top w:val="single" w:sz="8" w:space="0" w:color="auto"/>
              <w:left w:val="nil"/>
              <w:bottom w:val="single" w:sz="4" w:space="0" w:color="auto"/>
              <w:right w:val="single" w:sz="4" w:space="0" w:color="auto"/>
            </w:tcBorders>
            <w:shd w:val="clear" w:color="auto" w:fill="auto"/>
            <w:vAlign w:val="center"/>
            <w:hideMark/>
          </w:tcPr>
          <w:p w14:paraId="2AF226C7" w14:textId="77777777" w:rsidR="00C275DC" w:rsidRPr="00D01F4D" w:rsidRDefault="00C275DC" w:rsidP="00422161">
            <w:pPr>
              <w:jc w:val="center"/>
              <w:rPr>
                <w:rFonts w:cs="Arial"/>
                <w:b/>
                <w:bCs/>
                <w:color w:val="000000"/>
                <w:sz w:val="16"/>
                <w:szCs w:val="16"/>
                <w:lang w:val="en-US" w:eastAsia="en-US"/>
              </w:rPr>
            </w:pPr>
            <w:r w:rsidRPr="00D01F4D">
              <w:rPr>
                <w:rFonts w:cs="Arial"/>
                <w:b/>
                <w:bCs/>
                <w:color w:val="000000"/>
                <w:sz w:val="16"/>
                <w:szCs w:val="16"/>
                <w:lang w:val="en-US" w:eastAsia="en-US"/>
              </w:rPr>
              <w:t>2020</w:t>
            </w:r>
          </w:p>
        </w:tc>
        <w:tc>
          <w:tcPr>
            <w:tcW w:w="1764" w:type="dxa"/>
            <w:tcBorders>
              <w:top w:val="single" w:sz="8" w:space="0" w:color="auto"/>
              <w:left w:val="nil"/>
              <w:bottom w:val="single" w:sz="4" w:space="0" w:color="auto"/>
              <w:right w:val="single" w:sz="8" w:space="0" w:color="auto"/>
            </w:tcBorders>
            <w:shd w:val="clear" w:color="auto" w:fill="auto"/>
            <w:vAlign w:val="center"/>
            <w:hideMark/>
          </w:tcPr>
          <w:p w14:paraId="26C65E30" w14:textId="77777777" w:rsidR="00C275DC" w:rsidRPr="00D01F4D" w:rsidRDefault="00C275DC" w:rsidP="00422161">
            <w:pPr>
              <w:jc w:val="center"/>
              <w:rPr>
                <w:rFonts w:cs="Arial"/>
                <w:b/>
                <w:bCs/>
                <w:color w:val="000000"/>
                <w:sz w:val="16"/>
                <w:szCs w:val="16"/>
                <w:lang w:val="en-US" w:eastAsia="en-US"/>
              </w:rPr>
            </w:pPr>
            <w:r w:rsidRPr="00D01F4D">
              <w:rPr>
                <w:rFonts w:cs="Arial"/>
                <w:b/>
                <w:bCs/>
                <w:color w:val="000000"/>
                <w:sz w:val="16"/>
                <w:szCs w:val="16"/>
                <w:lang w:val="en-US" w:eastAsia="en-US"/>
              </w:rPr>
              <w:t>2021</w:t>
            </w:r>
          </w:p>
        </w:tc>
      </w:tr>
      <w:tr w:rsidR="00C275DC" w:rsidRPr="00D01F4D" w14:paraId="0067E5E6" w14:textId="77777777" w:rsidTr="00BF0EEF">
        <w:trPr>
          <w:trHeight w:val="300"/>
          <w:jc w:val="center"/>
        </w:trPr>
        <w:tc>
          <w:tcPr>
            <w:tcW w:w="639" w:type="dxa"/>
            <w:tcBorders>
              <w:top w:val="nil"/>
              <w:left w:val="single" w:sz="8" w:space="0" w:color="auto"/>
              <w:bottom w:val="single" w:sz="4" w:space="0" w:color="auto"/>
              <w:right w:val="single" w:sz="4" w:space="0" w:color="auto"/>
            </w:tcBorders>
            <w:shd w:val="clear" w:color="auto" w:fill="auto"/>
            <w:noWrap/>
            <w:vAlign w:val="center"/>
            <w:hideMark/>
          </w:tcPr>
          <w:p w14:paraId="6C9B4259" w14:textId="77777777" w:rsidR="00C275DC" w:rsidRPr="00D01F4D" w:rsidRDefault="00C275DC" w:rsidP="00422161">
            <w:pPr>
              <w:rPr>
                <w:rFonts w:cs="Arial"/>
                <w:b/>
                <w:bCs/>
                <w:color w:val="000000"/>
                <w:sz w:val="20"/>
                <w:szCs w:val="20"/>
                <w:lang w:val="en-US" w:eastAsia="en-US"/>
              </w:rPr>
            </w:pPr>
            <w:r w:rsidRPr="00D01F4D">
              <w:rPr>
                <w:rFonts w:cs="Arial"/>
                <w:b/>
                <w:bCs/>
                <w:color w:val="000000"/>
                <w:sz w:val="20"/>
                <w:szCs w:val="20"/>
                <w:lang w:val="en-US" w:eastAsia="en-US"/>
              </w:rPr>
              <w:t> </w:t>
            </w:r>
          </w:p>
        </w:tc>
        <w:tc>
          <w:tcPr>
            <w:tcW w:w="13944" w:type="dxa"/>
            <w:gridSpan w:val="8"/>
            <w:tcBorders>
              <w:top w:val="single" w:sz="4" w:space="0" w:color="auto"/>
              <w:left w:val="single" w:sz="4" w:space="0" w:color="auto"/>
              <w:bottom w:val="single" w:sz="4" w:space="0" w:color="auto"/>
              <w:right w:val="single" w:sz="8" w:space="0" w:color="000000"/>
            </w:tcBorders>
            <w:shd w:val="clear" w:color="auto" w:fill="auto"/>
            <w:vAlign w:val="center"/>
            <w:hideMark/>
          </w:tcPr>
          <w:p w14:paraId="1B4D52A3" w14:textId="77777777" w:rsidR="00C275DC" w:rsidRPr="00D01F4D" w:rsidRDefault="00C275DC" w:rsidP="00422161">
            <w:pPr>
              <w:rPr>
                <w:rFonts w:cs="Arial"/>
                <w:b/>
                <w:bCs/>
                <w:color w:val="000000"/>
                <w:sz w:val="20"/>
                <w:szCs w:val="20"/>
                <w:lang w:val="en-US" w:eastAsia="en-US"/>
              </w:rPr>
            </w:pPr>
            <w:r w:rsidRPr="00D01F4D">
              <w:rPr>
                <w:rFonts w:cs="Arial"/>
                <w:b/>
                <w:bCs/>
                <w:color w:val="000000"/>
                <w:sz w:val="20"/>
                <w:szCs w:val="20"/>
                <w:lang w:val="en-US" w:eastAsia="en-US"/>
              </w:rPr>
              <w:t>VSB</w:t>
            </w:r>
          </w:p>
        </w:tc>
      </w:tr>
      <w:tr w:rsidR="00137E5E" w:rsidRPr="00D01F4D" w14:paraId="5272442F" w14:textId="77777777" w:rsidTr="00BF0EEF">
        <w:trPr>
          <w:trHeight w:val="570"/>
          <w:jc w:val="center"/>
        </w:trPr>
        <w:tc>
          <w:tcPr>
            <w:tcW w:w="639" w:type="dxa"/>
            <w:tcBorders>
              <w:top w:val="nil"/>
              <w:left w:val="single" w:sz="8" w:space="0" w:color="auto"/>
              <w:bottom w:val="single" w:sz="4" w:space="0" w:color="auto"/>
              <w:right w:val="single" w:sz="4" w:space="0" w:color="auto"/>
            </w:tcBorders>
            <w:shd w:val="clear" w:color="auto" w:fill="auto"/>
            <w:noWrap/>
            <w:vAlign w:val="center"/>
            <w:hideMark/>
          </w:tcPr>
          <w:p w14:paraId="2CEB6240" w14:textId="77777777" w:rsidR="00137E5E" w:rsidRPr="00D01F4D" w:rsidRDefault="00137E5E" w:rsidP="00422161">
            <w:pPr>
              <w:rPr>
                <w:rFonts w:cs="Arial"/>
                <w:b/>
                <w:bCs/>
                <w:color w:val="000000"/>
                <w:sz w:val="20"/>
                <w:szCs w:val="20"/>
                <w:lang w:val="en-US" w:eastAsia="en-US"/>
              </w:rPr>
            </w:pPr>
            <w:r w:rsidRPr="00D01F4D">
              <w:rPr>
                <w:rFonts w:cs="Arial"/>
                <w:b/>
                <w:bCs/>
                <w:color w:val="000000"/>
                <w:sz w:val="20"/>
                <w:szCs w:val="20"/>
                <w:lang w:val="en-US" w:eastAsia="en-US"/>
              </w:rPr>
              <w:t>BL</w:t>
            </w:r>
          </w:p>
        </w:tc>
        <w:tc>
          <w:tcPr>
            <w:tcW w:w="2353" w:type="dxa"/>
            <w:tcBorders>
              <w:top w:val="nil"/>
              <w:left w:val="nil"/>
              <w:bottom w:val="single" w:sz="4" w:space="0" w:color="auto"/>
              <w:right w:val="single" w:sz="4" w:space="0" w:color="auto"/>
            </w:tcBorders>
            <w:shd w:val="clear" w:color="auto" w:fill="auto"/>
            <w:vAlign w:val="center"/>
            <w:hideMark/>
          </w:tcPr>
          <w:p w14:paraId="5D2505D8" w14:textId="77777777" w:rsidR="00137E5E" w:rsidRPr="00D01F4D" w:rsidRDefault="00137E5E" w:rsidP="00422161">
            <w:pPr>
              <w:rPr>
                <w:rFonts w:cs="Arial"/>
                <w:color w:val="000000"/>
                <w:sz w:val="20"/>
                <w:szCs w:val="20"/>
                <w:lang w:val="en-US" w:eastAsia="en-US"/>
              </w:rPr>
            </w:pPr>
            <w:r w:rsidRPr="00D01F4D">
              <w:rPr>
                <w:rFonts w:cs="Arial"/>
                <w:color w:val="000000"/>
                <w:sz w:val="20"/>
                <w:szCs w:val="20"/>
                <w:lang w:val="en-US" w:eastAsia="en-US"/>
              </w:rPr>
              <w:t>Cost to MBS of the proposed item</w:t>
            </w:r>
          </w:p>
        </w:tc>
        <w:tc>
          <w:tcPr>
            <w:tcW w:w="1107" w:type="dxa"/>
            <w:tcBorders>
              <w:top w:val="nil"/>
              <w:left w:val="nil"/>
              <w:bottom w:val="single" w:sz="4" w:space="0" w:color="auto"/>
              <w:right w:val="single" w:sz="4" w:space="0" w:color="auto"/>
            </w:tcBorders>
            <w:shd w:val="clear" w:color="auto" w:fill="auto"/>
            <w:vAlign w:val="center"/>
            <w:hideMark/>
          </w:tcPr>
          <w:p w14:paraId="705E1A77" w14:textId="504C717E" w:rsidR="00137E5E" w:rsidRPr="00D01F4D" w:rsidRDefault="00137E5E" w:rsidP="00422161">
            <w:pPr>
              <w:rPr>
                <w:rFonts w:cs="Arial"/>
                <w:color w:val="000000"/>
                <w:sz w:val="16"/>
                <w:szCs w:val="16"/>
                <w:lang w:val="en-US" w:eastAsia="en-US"/>
              </w:rPr>
            </w:pPr>
            <w:r>
              <w:rPr>
                <w:rFonts w:cs="Arial"/>
                <w:color w:val="000000"/>
                <w:sz w:val="16"/>
                <w:szCs w:val="16"/>
              </w:rPr>
              <w:t>Row M</w:t>
            </w:r>
          </w:p>
        </w:tc>
        <w:tc>
          <w:tcPr>
            <w:tcW w:w="1764" w:type="dxa"/>
            <w:tcBorders>
              <w:top w:val="nil"/>
              <w:left w:val="nil"/>
              <w:bottom w:val="single" w:sz="8" w:space="0" w:color="auto"/>
              <w:right w:val="single" w:sz="4" w:space="0" w:color="auto"/>
            </w:tcBorders>
            <w:shd w:val="clear" w:color="auto" w:fill="auto"/>
            <w:noWrap/>
            <w:vAlign w:val="center"/>
            <w:hideMark/>
          </w:tcPr>
          <w:p w14:paraId="652A2FC1" w14:textId="7CB6C3D3" w:rsidR="00137E5E" w:rsidRPr="00D01F4D" w:rsidRDefault="00137E5E" w:rsidP="00422161">
            <w:pPr>
              <w:rPr>
                <w:rFonts w:cs="Arial"/>
                <w:color w:val="000000"/>
                <w:sz w:val="16"/>
                <w:szCs w:val="16"/>
                <w:lang w:val="en-US" w:eastAsia="en-US"/>
              </w:rPr>
            </w:pPr>
            <w:r>
              <w:rPr>
                <w:rFonts w:cs="Arial"/>
                <w:color w:val="000000"/>
                <w:sz w:val="16"/>
                <w:szCs w:val="16"/>
              </w:rPr>
              <w:t xml:space="preserve"> AUD          135.947 </w:t>
            </w:r>
          </w:p>
        </w:tc>
        <w:tc>
          <w:tcPr>
            <w:tcW w:w="1664" w:type="dxa"/>
            <w:tcBorders>
              <w:top w:val="nil"/>
              <w:left w:val="nil"/>
              <w:bottom w:val="single" w:sz="8" w:space="0" w:color="auto"/>
              <w:right w:val="single" w:sz="4" w:space="0" w:color="auto"/>
            </w:tcBorders>
            <w:shd w:val="clear" w:color="auto" w:fill="auto"/>
            <w:noWrap/>
            <w:vAlign w:val="center"/>
            <w:hideMark/>
          </w:tcPr>
          <w:p w14:paraId="1E76E7F1" w14:textId="71F6912A" w:rsidR="00137E5E" w:rsidRPr="00D01F4D" w:rsidRDefault="00137E5E" w:rsidP="00422161">
            <w:pPr>
              <w:rPr>
                <w:rFonts w:cs="Arial"/>
                <w:color w:val="000000"/>
                <w:sz w:val="16"/>
                <w:szCs w:val="16"/>
                <w:lang w:val="en-US" w:eastAsia="en-US"/>
              </w:rPr>
            </w:pPr>
            <w:r>
              <w:rPr>
                <w:rFonts w:cs="Arial"/>
                <w:color w:val="000000"/>
                <w:sz w:val="16"/>
                <w:szCs w:val="16"/>
              </w:rPr>
              <w:t xml:space="preserve"> AUD          138.325 </w:t>
            </w:r>
          </w:p>
        </w:tc>
        <w:tc>
          <w:tcPr>
            <w:tcW w:w="1764" w:type="dxa"/>
            <w:tcBorders>
              <w:top w:val="nil"/>
              <w:left w:val="nil"/>
              <w:bottom w:val="single" w:sz="8" w:space="0" w:color="auto"/>
              <w:right w:val="single" w:sz="4" w:space="0" w:color="auto"/>
            </w:tcBorders>
            <w:shd w:val="clear" w:color="auto" w:fill="auto"/>
            <w:noWrap/>
            <w:vAlign w:val="center"/>
            <w:hideMark/>
          </w:tcPr>
          <w:p w14:paraId="52ACC072" w14:textId="7CB768C6" w:rsidR="00137E5E" w:rsidRPr="00D01F4D" w:rsidRDefault="00137E5E" w:rsidP="00422161">
            <w:pPr>
              <w:rPr>
                <w:rFonts w:cs="Arial"/>
                <w:color w:val="000000"/>
                <w:sz w:val="16"/>
                <w:szCs w:val="16"/>
                <w:lang w:val="en-US" w:eastAsia="en-US"/>
              </w:rPr>
            </w:pPr>
            <w:r>
              <w:rPr>
                <w:rFonts w:cs="Arial"/>
                <w:color w:val="000000"/>
                <w:sz w:val="16"/>
                <w:szCs w:val="16"/>
              </w:rPr>
              <w:t xml:space="preserve"> AUD          140.683 </w:t>
            </w:r>
          </w:p>
        </w:tc>
        <w:tc>
          <w:tcPr>
            <w:tcW w:w="1764" w:type="dxa"/>
            <w:tcBorders>
              <w:top w:val="nil"/>
              <w:left w:val="nil"/>
              <w:bottom w:val="single" w:sz="8" w:space="0" w:color="auto"/>
              <w:right w:val="single" w:sz="4" w:space="0" w:color="auto"/>
            </w:tcBorders>
            <w:shd w:val="clear" w:color="auto" w:fill="auto"/>
            <w:noWrap/>
            <w:vAlign w:val="center"/>
            <w:hideMark/>
          </w:tcPr>
          <w:p w14:paraId="485FC296" w14:textId="3B366A46" w:rsidR="00137E5E" w:rsidRPr="00D01F4D" w:rsidRDefault="00137E5E" w:rsidP="00422161">
            <w:pPr>
              <w:rPr>
                <w:rFonts w:cs="Arial"/>
                <w:color w:val="000000"/>
                <w:sz w:val="16"/>
                <w:szCs w:val="16"/>
                <w:lang w:val="en-US" w:eastAsia="en-US"/>
              </w:rPr>
            </w:pPr>
            <w:r>
              <w:rPr>
                <w:rFonts w:cs="Arial"/>
                <w:color w:val="000000"/>
                <w:sz w:val="16"/>
                <w:szCs w:val="16"/>
              </w:rPr>
              <w:t xml:space="preserve"> AUD          143.022 </w:t>
            </w:r>
          </w:p>
        </w:tc>
        <w:tc>
          <w:tcPr>
            <w:tcW w:w="1764" w:type="dxa"/>
            <w:tcBorders>
              <w:top w:val="nil"/>
              <w:left w:val="nil"/>
              <w:bottom w:val="single" w:sz="8" w:space="0" w:color="auto"/>
              <w:right w:val="single" w:sz="4" w:space="0" w:color="auto"/>
            </w:tcBorders>
            <w:shd w:val="clear" w:color="auto" w:fill="auto"/>
            <w:noWrap/>
            <w:vAlign w:val="center"/>
            <w:hideMark/>
          </w:tcPr>
          <w:p w14:paraId="1CB8C0EC" w14:textId="28BC2625" w:rsidR="00137E5E" w:rsidRPr="00D01F4D" w:rsidRDefault="00137E5E" w:rsidP="00422161">
            <w:pPr>
              <w:rPr>
                <w:rFonts w:cs="Arial"/>
                <w:color w:val="000000"/>
                <w:sz w:val="16"/>
                <w:szCs w:val="16"/>
                <w:lang w:val="en-US" w:eastAsia="en-US"/>
              </w:rPr>
            </w:pPr>
            <w:r>
              <w:rPr>
                <w:rFonts w:cs="Arial"/>
                <w:color w:val="000000"/>
                <w:sz w:val="16"/>
                <w:szCs w:val="16"/>
              </w:rPr>
              <w:t xml:space="preserve"> AUD          145.325 </w:t>
            </w:r>
          </w:p>
        </w:tc>
        <w:tc>
          <w:tcPr>
            <w:tcW w:w="1764" w:type="dxa"/>
            <w:tcBorders>
              <w:top w:val="nil"/>
              <w:left w:val="nil"/>
              <w:bottom w:val="single" w:sz="8" w:space="0" w:color="auto"/>
              <w:right w:val="single" w:sz="8" w:space="0" w:color="auto"/>
            </w:tcBorders>
            <w:shd w:val="clear" w:color="auto" w:fill="auto"/>
            <w:noWrap/>
            <w:vAlign w:val="center"/>
            <w:hideMark/>
          </w:tcPr>
          <w:p w14:paraId="76CDDBB2" w14:textId="696104C4" w:rsidR="00137E5E" w:rsidRPr="00D01F4D" w:rsidRDefault="00137E5E" w:rsidP="00422161">
            <w:pPr>
              <w:rPr>
                <w:rFonts w:cs="Arial"/>
                <w:color w:val="000000"/>
                <w:sz w:val="16"/>
                <w:szCs w:val="16"/>
                <w:lang w:val="en-US" w:eastAsia="en-US"/>
              </w:rPr>
            </w:pPr>
            <w:r>
              <w:rPr>
                <w:rFonts w:cs="Arial"/>
                <w:color w:val="000000"/>
                <w:sz w:val="16"/>
                <w:szCs w:val="16"/>
              </w:rPr>
              <w:t xml:space="preserve"> AUD     147.796 </w:t>
            </w:r>
          </w:p>
        </w:tc>
      </w:tr>
      <w:tr w:rsidR="00137E5E" w:rsidRPr="00D01F4D" w14:paraId="58DD5FD8" w14:textId="77777777" w:rsidTr="00BF0EEF">
        <w:trPr>
          <w:trHeight w:val="570"/>
          <w:jc w:val="center"/>
        </w:trPr>
        <w:tc>
          <w:tcPr>
            <w:tcW w:w="639" w:type="dxa"/>
            <w:tcBorders>
              <w:top w:val="nil"/>
              <w:left w:val="single" w:sz="8" w:space="0" w:color="auto"/>
              <w:bottom w:val="single" w:sz="8" w:space="0" w:color="auto"/>
              <w:right w:val="single" w:sz="4" w:space="0" w:color="auto"/>
            </w:tcBorders>
            <w:shd w:val="clear" w:color="auto" w:fill="auto"/>
            <w:noWrap/>
            <w:vAlign w:val="center"/>
            <w:hideMark/>
          </w:tcPr>
          <w:p w14:paraId="04AE96F8" w14:textId="77777777" w:rsidR="00137E5E" w:rsidRPr="00D01F4D" w:rsidRDefault="00137E5E" w:rsidP="00422161">
            <w:pPr>
              <w:rPr>
                <w:rFonts w:cs="Arial"/>
                <w:b/>
                <w:bCs/>
                <w:color w:val="000000"/>
                <w:sz w:val="20"/>
                <w:szCs w:val="20"/>
                <w:lang w:val="en-US" w:eastAsia="en-US"/>
              </w:rPr>
            </w:pPr>
            <w:r w:rsidRPr="00D01F4D">
              <w:rPr>
                <w:rFonts w:cs="Arial"/>
                <w:b/>
                <w:bCs/>
                <w:color w:val="000000"/>
                <w:sz w:val="20"/>
                <w:szCs w:val="20"/>
                <w:lang w:val="en-US" w:eastAsia="en-US"/>
              </w:rPr>
              <w:t>BM</w:t>
            </w:r>
          </w:p>
        </w:tc>
        <w:tc>
          <w:tcPr>
            <w:tcW w:w="2353" w:type="dxa"/>
            <w:tcBorders>
              <w:top w:val="nil"/>
              <w:left w:val="nil"/>
              <w:bottom w:val="single" w:sz="8" w:space="0" w:color="auto"/>
              <w:right w:val="single" w:sz="4" w:space="0" w:color="auto"/>
            </w:tcBorders>
            <w:shd w:val="clear" w:color="auto" w:fill="auto"/>
            <w:vAlign w:val="center"/>
            <w:hideMark/>
          </w:tcPr>
          <w:p w14:paraId="38E25E0B" w14:textId="77777777" w:rsidR="00137E5E" w:rsidRPr="00D01F4D" w:rsidRDefault="00137E5E" w:rsidP="00422161">
            <w:pPr>
              <w:rPr>
                <w:rFonts w:cs="Arial"/>
                <w:color w:val="000000"/>
                <w:sz w:val="20"/>
                <w:szCs w:val="20"/>
                <w:lang w:val="en-US" w:eastAsia="en-US"/>
              </w:rPr>
            </w:pPr>
            <w:r w:rsidRPr="00D01F4D">
              <w:rPr>
                <w:rFonts w:cs="Arial"/>
                <w:color w:val="000000"/>
                <w:sz w:val="20"/>
                <w:szCs w:val="20"/>
                <w:lang w:val="en-US" w:eastAsia="en-US"/>
              </w:rPr>
              <w:t>Cost to the MBS of associated items</w:t>
            </w:r>
          </w:p>
        </w:tc>
        <w:tc>
          <w:tcPr>
            <w:tcW w:w="1107" w:type="dxa"/>
            <w:tcBorders>
              <w:top w:val="nil"/>
              <w:left w:val="nil"/>
              <w:bottom w:val="single" w:sz="8" w:space="0" w:color="auto"/>
              <w:right w:val="single" w:sz="4" w:space="0" w:color="auto"/>
            </w:tcBorders>
            <w:shd w:val="clear" w:color="auto" w:fill="auto"/>
            <w:vAlign w:val="center"/>
            <w:hideMark/>
          </w:tcPr>
          <w:p w14:paraId="5F3E9D71" w14:textId="7885622F" w:rsidR="00137E5E" w:rsidRPr="00D01F4D" w:rsidRDefault="00137E5E" w:rsidP="00422161">
            <w:pPr>
              <w:rPr>
                <w:rFonts w:cs="Arial"/>
                <w:color w:val="000000"/>
                <w:sz w:val="16"/>
                <w:szCs w:val="16"/>
                <w:lang w:val="en-US" w:eastAsia="en-US"/>
              </w:rPr>
            </w:pPr>
            <w:r>
              <w:rPr>
                <w:rFonts w:cs="Arial"/>
                <w:color w:val="000000"/>
                <w:sz w:val="16"/>
                <w:szCs w:val="16"/>
              </w:rPr>
              <w:t>Row AX</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002AE2E7" w14:textId="67F66310" w:rsidR="00137E5E" w:rsidRPr="00D01F4D" w:rsidRDefault="00137E5E" w:rsidP="00422161">
            <w:pPr>
              <w:rPr>
                <w:rFonts w:cs="Arial"/>
                <w:color w:val="000000"/>
                <w:sz w:val="16"/>
                <w:szCs w:val="16"/>
                <w:lang w:val="en-US" w:eastAsia="en-US"/>
              </w:rPr>
            </w:pPr>
            <w:r>
              <w:rPr>
                <w:rFonts w:cs="Arial"/>
                <w:color w:val="000000"/>
                <w:sz w:val="16"/>
                <w:szCs w:val="16"/>
              </w:rPr>
              <w:t xml:space="preserve"> AUD          147.813 </w:t>
            </w:r>
          </w:p>
        </w:tc>
        <w:tc>
          <w:tcPr>
            <w:tcW w:w="1664" w:type="dxa"/>
            <w:tcBorders>
              <w:top w:val="single" w:sz="4" w:space="0" w:color="auto"/>
              <w:left w:val="nil"/>
              <w:bottom w:val="single" w:sz="8" w:space="0" w:color="auto"/>
              <w:right w:val="single" w:sz="4" w:space="0" w:color="auto"/>
            </w:tcBorders>
            <w:shd w:val="clear" w:color="auto" w:fill="auto"/>
            <w:noWrap/>
            <w:vAlign w:val="center"/>
            <w:hideMark/>
          </w:tcPr>
          <w:p w14:paraId="084F6C26" w14:textId="1A2C83EF" w:rsidR="00137E5E" w:rsidRPr="00D01F4D" w:rsidRDefault="00137E5E" w:rsidP="00422161">
            <w:pPr>
              <w:rPr>
                <w:rFonts w:cs="Arial"/>
                <w:color w:val="000000"/>
                <w:sz w:val="16"/>
                <w:szCs w:val="16"/>
                <w:lang w:val="en-US" w:eastAsia="en-US"/>
              </w:rPr>
            </w:pPr>
            <w:r>
              <w:rPr>
                <w:rFonts w:cs="Arial"/>
                <w:color w:val="000000"/>
                <w:sz w:val="16"/>
                <w:szCs w:val="16"/>
              </w:rPr>
              <w:t xml:space="preserve"> AUD          150.398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69F49212" w14:textId="55C66CF9" w:rsidR="00137E5E" w:rsidRPr="00D01F4D" w:rsidRDefault="00137E5E" w:rsidP="00422161">
            <w:pPr>
              <w:rPr>
                <w:rFonts w:cs="Arial"/>
                <w:color w:val="000000"/>
                <w:sz w:val="16"/>
                <w:szCs w:val="16"/>
                <w:lang w:val="en-US" w:eastAsia="en-US"/>
              </w:rPr>
            </w:pPr>
            <w:r>
              <w:rPr>
                <w:rFonts w:cs="Arial"/>
                <w:color w:val="000000"/>
                <w:sz w:val="16"/>
                <w:szCs w:val="16"/>
              </w:rPr>
              <w:t xml:space="preserve"> AUD          152.962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6694A175" w14:textId="58A14874" w:rsidR="00137E5E" w:rsidRPr="00D01F4D" w:rsidRDefault="00137E5E" w:rsidP="00422161">
            <w:pPr>
              <w:rPr>
                <w:rFonts w:cs="Arial"/>
                <w:color w:val="000000"/>
                <w:sz w:val="16"/>
                <w:szCs w:val="16"/>
                <w:lang w:val="en-US" w:eastAsia="en-US"/>
              </w:rPr>
            </w:pPr>
            <w:r>
              <w:rPr>
                <w:rFonts w:cs="Arial"/>
                <w:color w:val="000000"/>
                <w:sz w:val="16"/>
                <w:szCs w:val="16"/>
              </w:rPr>
              <w:t xml:space="preserve"> AUD          155.505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6F02E9C1" w14:textId="545D12F9" w:rsidR="00137E5E" w:rsidRPr="00D01F4D" w:rsidRDefault="00137E5E" w:rsidP="00422161">
            <w:pPr>
              <w:rPr>
                <w:rFonts w:cs="Arial"/>
                <w:color w:val="000000"/>
                <w:sz w:val="16"/>
                <w:szCs w:val="16"/>
                <w:lang w:val="en-US" w:eastAsia="en-US"/>
              </w:rPr>
            </w:pPr>
            <w:r>
              <w:rPr>
                <w:rFonts w:cs="Arial"/>
                <w:color w:val="000000"/>
                <w:sz w:val="16"/>
                <w:szCs w:val="16"/>
              </w:rPr>
              <w:t xml:space="preserve"> AUD          158.010 </w:t>
            </w:r>
          </w:p>
        </w:tc>
        <w:tc>
          <w:tcPr>
            <w:tcW w:w="1764" w:type="dxa"/>
            <w:tcBorders>
              <w:top w:val="single" w:sz="4" w:space="0" w:color="auto"/>
              <w:left w:val="nil"/>
              <w:bottom w:val="single" w:sz="8" w:space="0" w:color="auto"/>
              <w:right w:val="single" w:sz="8" w:space="0" w:color="auto"/>
            </w:tcBorders>
            <w:shd w:val="clear" w:color="auto" w:fill="auto"/>
            <w:noWrap/>
            <w:vAlign w:val="center"/>
            <w:hideMark/>
          </w:tcPr>
          <w:p w14:paraId="5DCE92AA" w14:textId="51AB051B" w:rsidR="00137E5E" w:rsidRPr="00D01F4D" w:rsidRDefault="00137E5E" w:rsidP="00422161">
            <w:pPr>
              <w:rPr>
                <w:rFonts w:cs="Arial"/>
                <w:color w:val="000000"/>
                <w:sz w:val="16"/>
                <w:szCs w:val="16"/>
                <w:lang w:val="en-US" w:eastAsia="en-US"/>
              </w:rPr>
            </w:pPr>
            <w:r>
              <w:rPr>
                <w:rFonts w:cs="Arial"/>
                <w:color w:val="000000"/>
                <w:sz w:val="16"/>
                <w:szCs w:val="16"/>
              </w:rPr>
              <w:t xml:space="preserve"> AUD     160.696 </w:t>
            </w:r>
          </w:p>
        </w:tc>
      </w:tr>
      <w:tr w:rsidR="00137E5E" w:rsidRPr="00D01F4D" w14:paraId="792357C6" w14:textId="77777777" w:rsidTr="00BF0EEF">
        <w:trPr>
          <w:trHeight w:val="500"/>
          <w:jc w:val="center"/>
        </w:trPr>
        <w:tc>
          <w:tcPr>
            <w:tcW w:w="639" w:type="dxa"/>
            <w:tcBorders>
              <w:top w:val="single" w:sz="8" w:space="0" w:color="auto"/>
              <w:left w:val="single" w:sz="8" w:space="0" w:color="auto"/>
              <w:bottom w:val="single" w:sz="8" w:space="0" w:color="auto"/>
              <w:right w:val="single" w:sz="4" w:space="0" w:color="auto"/>
            </w:tcBorders>
            <w:shd w:val="clear" w:color="000000" w:fill="auto"/>
            <w:noWrap/>
            <w:vAlign w:val="center"/>
            <w:hideMark/>
          </w:tcPr>
          <w:p w14:paraId="3FB2C460" w14:textId="77777777" w:rsidR="00137E5E" w:rsidRPr="00D01F4D" w:rsidRDefault="00137E5E" w:rsidP="00422161">
            <w:pPr>
              <w:rPr>
                <w:rFonts w:cs="Arial"/>
                <w:b/>
                <w:bCs/>
                <w:color w:val="000000"/>
                <w:sz w:val="20"/>
                <w:szCs w:val="20"/>
                <w:lang w:val="en-US" w:eastAsia="en-US"/>
              </w:rPr>
            </w:pPr>
            <w:r w:rsidRPr="00D01F4D">
              <w:rPr>
                <w:rFonts w:cs="Arial"/>
                <w:b/>
                <w:bCs/>
                <w:color w:val="000000"/>
                <w:sz w:val="20"/>
                <w:szCs w:val="20"/>
                <w:lang w:val="en-US" w:eastAsia="en-US"/>
              </w:rPr>
              <w:t>BO</w:t>
            </w:r>
          </w:p>
        </w:tc>
        <w:tc>
          <w:tcPr>
            <w:tcW w:w="2353" w:type="dxa"/>
            <w:tcBorders>
              <w:top w:val="single" w:sz="8" w:space="0" w:color="auto"/>
              <w:left w:val="nil"/>
              <w:bottom w:val="single" w:sz="8" w:space="0" w:color="auto"/>
              <w:right w:val="single" w:sz="4" w:space="0" w:color="auto"/>
            </w:tcBorders>
            <w:shd w:val="clear" w:color="000000" w:fill="auto"/>
            <w:vAlign w:val="center"/>
            <w:hideMark/>
          </w:tcPr>
          <w:p w14:paraId="482467B9" w14:textId="77777777" w:rsidR="00137E5E" w:rsidRPr="00D01F4D" w:rsidRDefault="00137E5E" w:rsidP="00422161">
            <w:pPr>
              <w:rPr>
                <w:rFonts w:cs="Arial"/>
                <w:b/>
                <w:bCs/>
                <w:color w:val="000000"/>
                <w:sz w:val="20"/>
                <w:szCs w:val="20"/>
                <w:lang w:val="en-US" w:eastAsia="en-US"/>
              </w:rPr>
            </w:pPr>
            <w:r w:rsidRPr="00D01F4D">
              <w:rPr>
                <w:rFonts w:cs="Arial"/>
                <w:b/>
                <w:bCs/>
                <w:color w:val="000000"/>
                <w:sz w:val="20"/>
                <w:szCs w:val="20"/>
                <w:lang w:val="en-US" w:eastAsia="en-US"/>
              </w:rPr>
              <w:t>Total costs to the MBS</w:t>
            </w:r>
          </w:p>
        </w:tc>
        <w:tc>
          <w:tcPr>
            <w:tcW w:w="1107" w:type="dxa"/>
            <w:tcBorders>
              <w:top w:val="single" w:sz="8" w:space="0" w:color="auto"/>
              <w:left w:val="nil"/>
              <w:bottom w:val="single" w:sz="8" w:space="0" w:color="auto"/>
              <w:right w:val="single" w:sz="4" w:space="0" w:color="auto"/>
            </w:tcBorders>
            <w:shd w:val="clear" w:color="000000" w:fill="auto"/>
            <w:vAlign w:val="center"/>
            <w:hideMark/>
          </w:tcPr>
          <w:p w14:paraId="37ABFDAC" w14:textId="20FEBE99" w:rsidR="00137E5E" w:rsidRPr="00D01F4D" w:rsidRDefault="00137E5E" w:rsidP="00422161">
            <w:pPr>
              <w:rPr>
                <w:rFonts w:cs="Arial"/>
                <w:color w:val="000000"/>
                <w:sz w:val="16"/>
                <w:szCs w:val="16"/>
                <w:lang w:val="en-US" w:eastAsia="en-US"/>
              </w:rPr>
            </w:pPr>
            <w:r>
              <w:rPr>
                <w:rFonts w:cs="Arial"/>
                <w:color w:val="000000"/>
                <w:sz w:val="16"/>
                <w:szCs w:val="16"/>
              </w:rPr>
              <w:t>BL + BM</w:t>
            </w:r>
          </w:p>
        </w:tc>
        <w:tc>
          <w:tcPr>
            <w:tcW w:w="1764" w:type="dxa"/>
            <w:tcBorders>
              <w:top w:val="single" w:sz="8" w:space="0" w:color="auto"/>
              <w:left w:val="nil"/>
              <w:bottom w:val="single" w:sz="8" w:space="0" w:color="auto"/>
              <w:right w:val="single" w:sz="4" w:space="0" w:color="auto"/>
            </w:tcBorders>
            <w:shd w:val="clear" w:color="000000" w:fill="auto"/>
            <w:noWrap/>
            <w:vAlign w:val="center"/>
            <w:hideMark/>
          </w:tcPr>
          <w:p w14:paraId="5C2F84AD" w14:textId="418C74C5" w:rsidR="00137E5E" w:rsidRPr="00D01F4D" w:rsidRDefault="00137E5E" w:rsidP="00422161">
            <w:pPr>
              <w:rPr>
                <w:rFonts w:cs="Arial"/>
                <w:b/>
                <w:bCs/>
                <w:color w:val="000000"/>
                <w:sz w:val="16"/>
                <w:szCs w:val="16"/>
                <w:lang w:val="en-US" w:eastAsia="en-US"/>
              </w:rPr>
            </w:pPr>
            <w:r>
              <w:rPr>
                <w:rFonts w:cs="Arial"/>
                <w:b/>
                <w:bCs/>
                <w:color w:val="000000"/>
                <w:sz w:val="16"/>
                <w:szCs w:val="16"/>
              </w:rPr>
              <w:t xml:space="preserve"> AUD          283.761 </w:t>
            </w:r>
          </w:p>
        </w:tc>
        <w:tc>
          <w:tcPr>
            <w:tcW w:w="1664" w:type="dxa"/>
            <w:tcBorders>
              <w:top w:val="single" w:sz="8" w:space="0" w:color="auto"/>
              <w:left w:val="nil"/>
              <w:bottom w:val="single" w:sz="8" w:space="0" w:color="auto"/>
              <w:right w:val="single" w:sz="4" w:space="0" w:color="auto"/>
            </w:tcBorders>
            <w:shd w:val="clear" w:color="000000" w:fill="auto"/>
            <w:noWrap/>
            <w:vAlign w:val="center"/>
            <w:hideMark/>
          </w:tcPr>
          <w:p w14:paraId="2601CED8" w14:textId="7760CBA4" w:rsidR="00137E5E" w:rsidRPr="00D01F4D" w:rsidRDefault="00137E5E" w:rsidP="00422161">
            <w:pPr>
              <w:rPr>
                <w:rFonts w:cs="Arial"/>
                <w:b/>
                <w:bCs/>
                <w:color w:val="000000"/>
                <w:sz w:val="16"/>
                <w:szCs w:val="16"/>
                <w:lang w:val="en-US" w:eastAsia="en-US"/>
              </w:rPr>
            </w:pPr>
            <w:r>
              <w:rPr>
                <w:rFonts w:cs="Arial"/>
                <w:b/>
                <w:bCs/>
                <w:color w:val="000000"/>
                <w:sz w:val="16"/>
                <w:szCs w:val="16"/>
              </w:rPr>
              <w:t xml:space="preserve"> AUD          288.723 </w:t>
            </w:r>
          </w:p>
        </w:tc>
        <w:tc>
          <w:tcPr>
            <w:tcW w:w="1764" w:type="dxa"/>
            <w:tcBorders>
              <w:top w:val="single" w:sz="8" w:space="0" w:color="auto"/>
              <w:left w:val="nil"/>
              <w:bottom w:val="single" w:sz="8" w:space="0" w:color="auto"/>
              <w:right w:val="single" w:sz="4" w:space="0" w:color="auto"/>
            </w:tcBorders>
            <w:shd w:val="clear" w:color="000000" w:fill="auto"/>
            <w:noWrap/>
            <w:vAlign w:val="center"/>
            <w:hideMark/>
          </w:tcPr>
          <w:p w14:paraId="2E6900D2" w14:textId="31311806" w:rsidR="00137E5E" w:rsidRPr="00D01F4D" w:rsidRDefault="00137E5E" w:rsidP="00422161">
            <w:pPr>
              <w:rPr>
                <w:rFonts w:cs="Arial"/>
                <w:b/>
                <w:bCs/>
                <w:color w:val="000000"/>
                <w:sz w:val="16"/>
                <w:szCs w:val="16"/>
                <w:lang w:val="en-US" w:eastAsia="en-US"/>
              </w:rPr>
            </w:pPr>
            <w:r>
              <w:rPr>
                <w:rFonts w:cs="Arial"/>
                <w:b/>
                <w:bCs/>
                <w:color w:val="000000"/>
                <w:sz w:val="16"/>
                <w:szCs w:val="16"/>
              </w:rPr>
              <w:t xml:space="preserve"> AUD          293.645 </w:t>
            </w:r>
          </w:p>
        </w:tc>
        <w:tc>
          <w:tcPr>
            <w:tcW w:w="1764" w:type="dxa"/>
            <w:tcBorders>
              <w:top w:val="single" w:sz="8" w:space="0" w:color="auto"/>
              <w:left w:val="nil"/>
              <w:bottom w:val="single" w:sz="8" w:space="0" w:color="auto"/>
              <w:right w:val="single" w:sz="4" w:space="0" w:color="auto"/>
            </w:tcBorders>
            <w:shd w:val="clear" w:color="000000" w:fill="auto"/>
            <w:noWrap/>
            <w:vAlign w:val="center"/>
            <w:hideMark/>
          </w:tcPr>
          <w:p w14:paraId="0D5155A7" w14:textId="40D5BDB8" w:rsidR="00137E5E" w:rsidRPr="00D01F4D" w:rsidRDefault="00137E5E" w:rsidP="00422161">
            <w:pPr>
              <w:rPr>
                <w:rFonts w:cs="Arial"/>
                <w:b/>
                <w:bCs/>
                <w:color w:val="000000"/>
                <w:sz w:val="16"/>
                <w:szCs w:val="16"/>
                <w:lang w:val="en-US" w:eastAsia="en-US"/>
              </w:rPr>
            </w:pPr>
            <w:r>
              <w:rPr>
                <w:rFonts w:cs="Arial"/>
                <w:b/>
                <w:bCs/>
                <w:color w:val="000000"/>
                <w:sz w:val="16"/>
                <w:szCs w:val="16"/>
              </w:rPr>
              <w:t xml:space="preserve"> AUD          298.527 </w:t>
            </w:r>
          </w:p>
        </w:tc>
        <w:tc>
          <w:tcPr>
            <w:tcW w:w="1764" w:type="dxa"/>
            <w:tcBorders>
              <w:top w:val="single" w:sz="8" w:space="0" w:color="auto"/>
              <w:left w:val="nil"/>
              <w:bottom w:val="single" w:sz="8" w:space="0" w:color="auto"/>
              <w:right w:val="single" w:sz="4" w:space="0" w:color="auto"/>
            </w:tcBorders>
            <w:shd w:val="clear" w:color="000000" w:fill="auto"/>
            <w:noWrap/>
            <w:vAlign w:val="center"/>
            <w:hideMark/>
          </w:tcPr>
          <w:p w14:paraId="044FA796" w14:textId="3171FE27" w:rsidR="00137E5E" w:rsidRPr="00D01F4D" w:rsidRDefault="00137E5E" w:rsidP="00422161">
            <w:pPr>
              <w:rPr>
                <w:rFonts w:cs="Arial"/>
                <w:b/>
                <w:bCs/>
                <w:color w:val="000000"/>
                <w:sz w:val="16"/>
                <w:szCs w:val="16"/>
                <w:lang w:val="en-US" w:eastAsia="en-US"/>
              </w:rPr>
            </w:pPr>
            <w:r>
              <w:rPr>
                <w:rFonts w:cs="Arial"/>
                <w:b/>
                <w:bCs/>
                <w:color w:val="000000"/>
                <w:sz w:val="16"/>
                <w:szCs w:val="16"/>
              </w:rPr>
              <w:t xml:space="preserve"> AUD          303.335 </w:t>
            </w:r>
          </w:p>
        </w:tc>
        <w:tc>
          <w:tcPr>
            <w:tcW w:w="1764" w:type="dxa"/>
            <w:tcBorders>
              <w:top w:val="single" w:sz="8" w:space="0" w:color="auto"/>
              <w:left w:val="nil"/>
              <w:bottom w:val="single" w:sz="8" w:space="0" w:color="auto"/>
              <w:right w:val="single" w:sz="8" w:space="0" w:color="auto"/>
            </w:tcBorders>
            <w:shd w:val="clear" w:color="000000" w:fill="auto"/>
            <w:noWrap/>
            <w:vAlign w:val="center"/>
            <w:hideMark/>
          </w:tcPr>
          <w:p w14:paraId="7EDCD6A4" w14:textId="3025861F" w:rsidR="00137E5E" w:rsidRPr="00D01F4D" w:rsidRDefault="00137E5E" w:rsidP="00422161">
            <w:pPr>
              <w:rPr>
                <w:rFonts w:cs="Arial"/>
                <w:b/>
                <w:bCs/>
                <w:color w:val="000000"/>
                <w:sz w:val="16"/>
                <w:szCs w:val="16"/>
                <w:lang w:val="en-US" w:eastAsia="en-US"/>
              </w:rPr>
            </w:pPr>
            <w:r>
              <w:rPr>
                <w:rFonts w:cs="Arial"/>
                <w:b/>
                <w:bCs/>
                <w:color w:val="000000"/>
                <w:sz w:val="16"/>
                <w:szCs w:val="16"/>
              </w:rPr>
              <w:t xml:space="preserve"> AUD     308.492 </w:t>
            </w:r>
          </w:p>
        </w:tc>
      </w:tr>
      <w:tr w:rsidR="00137E5E" w:rsidRPr="00D01F4D" w14:paraId="191180EA" w14:textId="77777777" w:rsidTr="00BF0EEF">
        <w:trPr>
          <w:trHeight w:val="538"/>
          <w:jc w:val="center"/>
        </w:trPr>
        <w:tc>
          <w:tcPr>
            <w:tcW w:w="639" w:type="dxa"/>
            <w:tcBorders>
              <w:top w:val="single" w:sz="4" w:space="0" w:color="auto"/>
              <w:left w:val="single" w:sz="8" w:space="0" w:color="auto"/>
              <w:bottom w:val="nil"/>
              <w:right w:val="single" w:sz="4" w:space="0" w:color="auto"/>
            </w:tcBorders>
            <w:shd w:val="clear" w:color="auto" w:fill="auto"/>
            <w:noWrap/>
            <w:vAlign w:val="center"/>
            <w:hideMark/>
          </w:tcPr>
          <w:p w14:paraId="5BEB2D0E" w14:textId="77777777" w:rsidR="00137E5E" w:rsidRPr="00D01F4D" w:rsidRDefault="00137E5E" w:rsidP="00422161">
            <w:pPr>
              <w:rPr>
                <w:rFonts w:cs="Arial"/>
                <w:b/>
                <w:bCs/>
                <w:color w:val="000000"/>
                <w:sz w:val="20"/>
                <w:szCs w:val="20"/>
                <w:lang w:val="en-US" w:eastAsia="en-US"/>
              </w:rPr>
            </w:pPr>
            <w:r w:rsidRPr="00D01F4D">
              <w:rPr>
                <w:rFonts w:cs="Arial"/>
                <w:b/>
                <w:bCs/>
                <w:color w:val="000000"/>
                <w:sz w:val="20"/>
                <w:szCs w:val="20"/>
                <w:lang w:val="en-US" w:eastAsia="en-US"/>
              </w:rPr>
              <w:t>BP</w:t>
            </w:r>
          </w:p>
        </w:tc>
        <w:tc>
          <w:tcPr>
            <w:tcW w:w="2353" w:type="dxa"/>
            <w:tcBorders>
              <w:top w:val="nil"/>
              <w:left w:val="nil"/>
              <w:bottom w:val="single" w:sz="4" w:space="0" w:color="auto"/>
              <w:right w:val="nil"/>
            </w:tcBorders>
            <w:shd w:val="clear" w:color="auto" w:fill="auto"/>
            <w:vAlign w:val="center"/>
            <w:hideMark/>
          </w:tcPr>
          <w:p w14:paraId="682C621A" w14:textId="77777777" w:rsidR="00137E5E" w:rsidRPr="00D01F4D" w:rsidRDefault="00137E5E" w:rsidP="00422161">
            <w:pPr>
              <w:rPr>
                <w:rFonts w:cs="Arial"/>
                <w:color w:val="000000"/>
                <w:sz w:val="20"/>
                <w:szCs w:val="20"/>
                <w:lang w:val="en-US" w:eastAsia="en-US"/>
              </w:rPr>
            </w:pPr>
            <w:r w:rsidRPr="00D01F4D">
              <w:rPr>
                <w:rFonts w:cs="Arial"/>
                <w:color w:val="000000"/>
                <w:sz w:val="20"/>
                <w:szCs w:val="20"/>
                <w:lang w:val="en-US" w:eastAsia="en-US"/>
              </w:rPr>
              <w:t>Total non-MBS costs</w:t>
            </w:r>
          </w:p>
        </w:tc>
        <w:tc>
          <w:tcPr>
            <w:tcW w:w="1107"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09BC6E7E" w14:textId="7E0D1229" w:rsidR="00137E5E" w:rsidRPr="00D01F4D" w:rsidRDefault="00137E5E" w:rsidP="00422161">
            <w:pPr>
              <w:rPr>
                <w:rFonts w:cs="Arial"/>
                <w:color w:val="000000"/>
                <w:sz w:val="16"/>
                <w:szCs w:val="16"/>
                <w:lang w:val="en-US" w:eastAsia="en-US"/>
              </w:rPr>
            </w:pPr>
            <w:r>
              <w:rPr>
                <w:rFonts w:cs="Arial"/>
                <w:color w:val="000000"/>
                <w:sz w:val="16"/>
                <w:szCs w:val="16"/>
              </w:rPr>
              <w:t>Row BF</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1CE79298" w14:textId="3827E696" w:rsidR="00137E5E" w:rsidRPr="00D01F4D" w:rsidRDefault="00137E5E" w:rsidP="00422161">
            <w:pPr>
              <w:rPr>
                <w:rFonts w:cs="Arial"/>
                <w:color w:val="000000"/>
                <w:sz w:val="16"/>
                <w:szCs w:val="16"/>
                <w:lang w:val="en-US" w:eastAsia="en-US"/>
              </w:rPr>
            </w:pPr>
            <w:r>
              <w:rPr>
                <w:rFonts w:cs="Arial"/>
                <w:color w:val="000000"/>
                <w:sz w:val="16"/>
                <w:szCs w:val="16"/>
              </w:rPr>
              <w:t xml:space="preserve"> AUD       1.083.831 </w:t>
            </w:r>
          </w:p>
        </w:tc>
        <w:tc>
          <w:tcPr>
            <w:tcW w:w="1664" w:type="dxa"/>
            <w:tcBorders>
              <w:top w:val="single" w:sz="4" w:space="0" w:color="auto"/>
              <w:left w:val="nil"/>
              <w:bottom w:val="single" w:sz="8" w:space="0" w:color="auto"/>
              <w:right w:val="single" w:sz="4" w:space="0" w:color="auto"/>
            </w:tcBorders>
            <w:shd w:val="clear" w:color="auto" w:fill="auto"/>
            <w:noWrap/>
            <w:vAlign w:val="center"/>
            <w:hideMark/>
          </w:tcPr>
          <w:p w14:paraId="7AEF9B3F" w14:textId="59A89E26" w:rsidR="00137E5E" w:rsidRPr="00D01F4D" w:rsidRDefault="00137E5E" w:rsidP="00422161">
            <w:pPr>
              <w:rPr>
                <w:rFonts w:cs="Arial"/>
                <w:color w:val="000000"/>
                <w:sz w:val="16"/>
                <w:szCs w:val="16"/>
                <w:lang w:val="en-US" w:eastAsia="en-US"/>
              </w:rPr>
            </w:pPr>
            <w:r>
              <w:rPr>
                <w:rFonts w:cs="Arial"/>
                <w:color w:val="000000"/>
                <w:sz w:val="16"/>
                <w:szCs w:val="16"/>
              </w:rPr>
              <w:t xml:space="preserve"> AUD       1.102.786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5523AB68" w14:textId="75269D44" w:rsidR="00137E5E" w:rsidRPr="00D01F4D" w:rsidRDefault="00137E5E" w:rsidP="00422161">
            <w:pPr>
              <w:rPr>
                <w:rFonts w:cs="Arial"/>
                <w:color w:val="000000"/>
                <w:sz w:val="16"/>
                <w:szCs w:val="16"/>
                <w:lang w:val="en-US" w:eastAsia="en-US"/>
              </w:rPr>
            </w:pPr>
            <w:r>
              <w:rPr>
                <w:rFonts w:cs="Arial"/>
                <w:color w:val="000000"/>
                <w:sz w:val="16"/>
                <w:szCs w:val="16"/>
              </w:rPr>
              <w:t xml:space="preserve"> AUD       1.121.585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5473A7CC" w14:textId="0321949A" w:rsidR="00137E5E" w:rsidRPr="00D01F4D" w:rsidRDefault="00137E5E" w:rsidP="00422161">
            <w:pPr>
              <w:rPr>
                <w:rFonts w:cs="Arial"/>
                <w:color w:val="000000"/>
                <w:sz w:val="16"/>
                <w:szCs w:val="16"/>
                <w:lang w:val="en-US" w:eastAsia="en-US"/>
              </w:rPr>
            </w:pPr>
            <w:r>
              <w:rPr>
                <w:rFonts w:cs="Arial"/>
                <w:color w:val="000000"/>
                <w:sz w:val="16"/>
                <w:szCs w:val="16"/>
              </w:rPr>
              <w:t xml:space="preserve"> AUD       1.140.232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73F90FFA" w14:textId="72F6D804" w:rsidR="00137E5E" w:rsidRPr="00D01F4D" w:rsidRDefault="00137E5E" w:rsidP="00422161">
            <w:pPr>
              <w:rPr>
                <w:rFonts w:cs="Arial"/>
                <w:color w:val="000000"/>
                <w:sz w:val="16"/>
                <w:szCs w:val="16"/>
                <w:lang w:val="en-US" w:eastAsia="en-US"/>
              </w:rPr>
            </w:pPr>
            <w:r>
              <w:rPr>
                <w:rFonts w:cs="Arial"/>
                <w:color w:val="000000"/>
                <w:sz w:val="16"/>
                <w:szCs w:val="16"/>
              </w:rPr>
              <w:t xml:space="preserve"> AUD       1.158.596 </w:t>
            </w:r>
          </w:p>
        </w:tc>
        <w:tc>
          <w:tcPr>
            <w:tcW w:w="1764" w:type="dxa"/>
            <w:tcBorders>
              <w:top w:val="single" w:sz="4" w:space="0" w:color="auto"/>
              <w:left w:val="nil"/>
              <w:bottom w:val="single" w:sz="8" w:space="0" w:color="auto"/>
              <w:right w:val="single" w:sz="8" w:space="0" w:color="auto"/>
            </w:tcBorders>
            <w:shd w:val="clear" w:color="auto" w:fill="auto"/>
            <w:noWrap/>
            <w:vAlign w:val="center"/>
            <w:hideMark/>
          </w:tcPr>
          <w:p w14:paraId="34E6E5FA" w14:textId="1D47E974" w:rsidR="00137E5E" w:rsidRPr="00D01F4D" w:rsidRDefault="00137E5E" w:rsidP="00422161">
            <w:pPr>
              <w:rPr>
                <w:rFonts w:cs="Arial"/>
                <w:color w:val="000000"/>
                <w:sz w:val="16"/>
                <w:szCs w:val="16"/>
                <w:lang w:val="en-US" w:eastAsia="en-US"/>
              </w:rPr>
            </w:pPr>
            <w:r>
              <w:rPr>
                <w:rFonts w:cs="Arial"/>
                <w:color w:val="000000"/>
                <w:sz w:val="16"/>
                <w:szCs w:val="16"/>
              </w:rPr>
              <w:t xml:space="preserve"> AUD  1.178.293 </w:t>
            </w:r>
          </w:p>
        </w:tc>
      </w:tr>
      <w:tr w:rsidR="00137E5E" w:rsidRPr="00D01F4D" w14:paraId="063B6A18" w14:textId="77777777" w:rsidTr="00BF0EEF">
        <w:trPr>
          <w:trHeight w:val="987"/>
          <w:jc w:val="center"/>
        </w:trPr>
        <w:tc>
          <w:tcPr>
            <w:tcW w:w="639" w:type="dxa"/>
            <w:tcBorders>
              <w:top w:val="single" w:sz="4" w:space="0" w:color="auto"/>
              <w:left w:val="single" w:sz="8" w:space="0" w:color="auto"/>
              <w:bottom w:val="nil"/>
              <w:right w:val="single" w:sz="4" w:space="0" w:color="auto"/>
            </w:tcBorders>
            <w:shd w:val="clear" w:color="auto" w:fill="auto"/>
            <w:noWrap/>
            <w:vAlign w:val="center"/>
            <w:hideMark/>
          </w:tcPr>
          <w:p w14:paraId="4F8B435C" w14:textId="77777777" w:rsidR="00137E5E" w:rsidRPr="00D01F4D" w:rsidRDefault="00137E5E" w:rsidP="00422161">
            <w:pPr>
              <w:rPr>
                <w:rFonts w:cs="Arial"/>
                <w:b/>
                <w:bCs/>
                <w:color w:val="000000"/>
                <w:sz w:val="20"/>
                <w:szCs w:val="20"/>
                <w:lang w:val="en-US" w:eastAsia="en-US"/>
              </w:rPr>
            </w:pPr>
            <w:r w:rsidRPr="00D01F4D">
              <w:rPr>
                <w:rFonts w:cs="Arial"/>
                <w:b/>
                <w:bCs/>
                <w:color w:val="000000"/>
                <w:sz w:val="20"/>
                <w:szCs w:val="20"/>
                <w:lang w:val="en-US" w:eastAsia="en-US"/>
              </w:rPr>
              <w:t>BQ</w:t>
            </w:r>
          </w:p>
        </w:tc>
        <w:tc>
          <w:tcPr>
            <w:tcW w:w="2353" w:type="dxa"/>
            <w:tcBorders>
              <w:top w:val="nil"/>
              <w:left w:val="nil"/>
              <w:bottom w:val="nil"/>
              <w:right w:val="nil"/>
            </w:tcBorders>
            <w:shd w:val="clear" w:color="auto" w:fill="auto"/>
            <w:vAlign w:val="center"/>
            <w:hideMark/>
          </w:tcPr>
          <w:p w14:paraId="2CA3FCA9" w14:textId="77777777" w:rsidR="00137E5E" w:rsidRPr="00D01F4D" w:rsidRDefault="00137E5E" w:rsidP="00422161">
            <w:pPr>
              <w:rPr>
                <w:rFonts w:cs="Arial"/>
                <w:b/>
                <w:bCs/>
                <w:color w:val="000000"/>
                <w:sz w:val="20"/>
                <w:szCs w:val="20"/>
                <w:lang w:val="en-US" w:eastAsia="en-US"/>
              </w:rPr>
            </w:pPr>
            <w:r w:rsidRPr="00D01F4D">
              <w:rPr>
                <w:rFonts w:cs="Arial"/>
                <w:b/>
                <w:bCs/>
                <w:color w:val="000000"/>
                <w:sz w:val="20"/>
                <w:szCs w:val="20"/>
                <w:lang w:val="en-US" w:eastAsia="en-US"/>
              </w:rPr>
              <w:t>Overall total costs of the proposed intervention</w:t>
            </w:r>
          </w:p>
        </w:tc>
        <w:tc>
          <w:tcPr>
            <w:tcW w:w="1107"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2A20A9E0" w14:textId="536F5681" w:rsidR="00137E5E" w:rsidRPr="00D01F4D" w:rsidRDefault="00137E5E" w:rsidP="00422161">
            <w:pPr>
              <w:rPr>
                <w:rFonts w:cs="Arial"/>
                <w:color w:val="000000"/>
                <w:sz w:val="16"/>
                <w:szCs w:val="16"/>
                <w:lang w:val="en-US" w:eastAsia="en-US"/>
              </w:rPr>
            </w:pPr>
            <w:r>
              <w:rPr>
                <w:rFonts w:cs="Arial"/>
                <w:color w:val="000000"/>
                <w:sz w:val="16"/>
                <w:szCs w:val="16"/>
              </w:rPr>
              <w:t>BL + BM</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4221BEFB" w14:textId="5BD835A7" w:rsidR="00137E5E" w:rsidRPr="00D01F4D" w:rsidRDefault="00137E5E" w:rsidP="00422161">
            <w:pPr>
              <w:rPr>
                <w:rFonts w:cs="Arial"/>
                <w:b/>
                <w:bCs/>
                <w:color w:val="000000"/>
                <w:sz w:val="16"/>
                <w:szCs w:val="16"/>
                <w:lang w:val="en-US" w:eastAsia="en-US"/>
              </w:rPr>
            </w:pPr>
            <w:r>
              <w:rPr>
                <w:rFonts w:cs="Arial"/>
                <w:b/>
                <w:bCs/>
                <w:color w:val="000000"/>
                <w:sz w:val="16"/>
                <w:szCs w:val="16"/>
              </w:rPr>
              <w:t xml:space="preserve"> AUD       1.367.592 </w:t>
            </w:r>
          </w:p>
        </w:tc>
        <w:tc>
          <w:tcPr>
            <w:tcW w:w="1664" w:type="dxa"/>
            <w:tcBorders>
              <w:top w:val="single" w:sz="4" w:space="0" w:color="auto"/>
              <w:left w:val="nil"/>
              <w:bottom w:val="single" w:sz="8" w:space="0" w:color="auto"/>
              <w:right w:val="single" w:sz="4" w:space="0" w:color="auto"/>
            </w:tcBorders>
            <w:shd w:val="clear" w:color="auto" w:fill="auto"/>
            <w:noWrap/>
            <w:vAlign w:val="center"/>
            <w:hideMark/>
          </w:tcPr>
          <w:p w14:paraId="23A87D66" w14:textId="6107A73D" w:rsidR="00137E5E" w:rsidRPr="00D01F4D" w:rsidRDefault="00137E5E" w:rsidP="00422161">
            <w:pPr>
              <w:rPr>
                <w:rFonts w:cs="Arial"/>
                <w:b/>
                <w:bCs/>
                <w:color w:val="000000"/>
                <w:sz w:val="16"/>
                <w:szCs w:val="16"/>
                <w:lang w:val="en-US" w:eastAsia="en-US"/>
              </w:rPr>
            </w:pPr>
            <w:r>
              <w:rPr>
                <w:rFonts w:cs="Arial"/>
                <w:b/>
                <w:bCs/>
                <w:color w:val="000000"/>
                <w:sz w:val="16"/>
                <w:szCs w:val="16"/>
              </w:rPr>
              <w:t xml:space="preserve"> AUD       1.391.509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11DF8035" w14:textId="2530697C" w:rsidR="00137E5E" w:rsidRPr="00D01F4D" w:rsidRDefault="00137E5E" w:rsidP="00422161">
            <w:pPr>
              <w:rPr>
                <w:rFonts w:cs="Arial"/>
                <w:b/>
                <w:bCs/>
                <w:color w:val="000000"/>
                <w:sz w:val="16"/>
                <w:szCs w:val="16"/>
                <w:lang w:val="en-US" w:eastAsia="en-US"/>
              </w:rPr>
            </w:pPr>
            <w:r>
              <w:rPr>
                <w:rFonts w:cs="Arial"/>
                <w:b/>
                <w:bCs/>
                <w:color w:val="000000"/>
                <w:sz w:val="16"/>
                <w:szCs w:val="16"/>
              </w:rPr>
              <w:t xml:space="preserve"> AUD       1.415.231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4646360A" w14:textId="61E37D48" w:rsidR="00137E5E" w:rsidRPr="00D01F4D" w:rsidRDefault="00137E5E" w:rsidP="00422161">
            <w:pPr>
              <w:rPr>
                <w:rFonts w:cs="Arial"/>
                <w:b/>
                <w:bCs/>
                <w:color w:val="000000"/>
                <w:sz w:val="16"/>
                <w:szCs w:val="16"/>
                <w:lang w:val="en-US" w:eastAsia="en-US"/>
              </w:rPr>
            </w:pPr>
            <w:r>
              <w:rPr>
                <w:rFonts w:cs="Arial"/>
                <w:b/>
                <w:bCs/>
                <w:color w:val="000000"/>
                <w:sz w:val="16"/>
                <w:szCs w:val="16"/>
              </w:rPr>
              <w:t xml:space="preserve"> AUD       1.438.759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0E93EDBC" w14:textId="086E1277" w:rsidR="00137E5E" w:rsidRPr="00D01F4D" w:rsidRDefault="00137E5E" w:rsidP="00422161">
            <w:pPr>
              <w:rPr>
                <w:rFonts w:cs="Arial"/>
                <w:b/>
                <w:bCs/>
                <w:color w:val="000000"/>
                <w:sz w:val="16"/>
                <w:szCs w:val="16"/>
                <w:lang w:val="en-US" w:eastAsia="en-US"/>
              </w:rPr>
            </w:pPr>
            <w:r>
              <w:rPr>
                <w:rFonts w:cs="Arial"/>
                <w:b/>
                <w:bCs/>
                <w:color w:val="000000"/>
                <w:sz w:val="16"/>
                <w:szCs w:val="16"/>
              </w:rPr>
              <w:t xml:space="preserve"> AUD       1.461.932 </w:t>
            </w:r>
          </w:p>
        </w:tc>
        <w:tc>
          <w:tcPr>
            <w:tcW w:w="1764" w:type="dxa"/>
            <w:tcBorders>
              <w:top w:val="single" w:sz="4" w:space="0" w:color="auto"/>
              <w:left w:val="nil"/>
              <w:bottom w:val="single" w:sz="8" w:space="0" w:color="auto"/>
              <w:right w:val="single" w:sz="8" w:space="0" w:color="auto"/>
            </w:tcBorders>
            <w:shd w:val="clear" w:color="auto" w:fill="auto"/>
            <w:noWrap/>
            <w:vAlign w:val="center"/>
            <w:hideMark/>
          </w:tcPr>
          <w:p w14:paraId="5C13FF71" w14:textId="4E16F090" w:rsidR="00137E5E" w:rsidRPr="00D01F4D" w:rsidRDefault="00137E5E" w:rsidP="00422161">
            <w:pPr>
              <w:rPr>
                <w:rFonts w:cs="Arial"/>
                <w:b/>
                <w:bCs/>
                <w:color w:val="000000"/>
                <w:sz w:val="16"/>
                <w:szCs w:val="16"/>
                <w:lang w:val="en-US" w:eastAsia="en-US"/>
              </w:rPr>
            </w:pPr>
            <w:r>
              <w:rPr>
                <w:rFonts w:cs="Arial"/>
                <w:b/>
                <w:bCs/>
                <w:color w:val="000000"/>
                <w:sz w:val="16"/>
                <w:szCs w:val="16"/>
              </w:rPr>
              <w:t xml:space="preserve"> AUD  1.486.784 </w:t>
            </w:r>
          </w:p>
        </w:tc>
      </w:tr>
      <w:tr w:rsidR="00C275DC" w:rsidRPr="00D01F4D" w14:paraId="2F64F230" w14:textId="77777777" w:rsidTr="00BF0EEF">
        <w:trPr>
          <w:trHeight w:val="300"/>
          <w:jc w:val="center"/>
        </w:trPr>
        <w:tc>
          <w:tcPr>
            <w:tcW w:w="63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061DE9B" w14:textId="77777777" w:rsidR="00C275DC" w:rsidRPr="00D01F4D" w:rsidRDefault="00C275DC" w:rsidP="00422161">
            <w:pPr>
              <w:rPr>
                <w:rFonts w:cs="Arial"/>
                <w:b/>
                <w:bCs/>
                <w:color w:val="000000"/>
                <w:sz w:val="20"/>
                <w:szCs w:val="20"/>
                <w:lang w:val="en-US" w:eastAsia="en-US"/>
              </w:rPr>
            </w:pPr>
            <w:r w:rsidRPr="00D01F4D">
              <w:rPr>
                <w:rFonts w:cs="Arial"/>
                <w:b/>
                <w:bCs/>
                <w:color w:val="000000"/>
                <w:sz w:val="20"/>
                <w:szCs w:val="20"/>
                <w:lang w:val="en-US" w:eastAsia="en-US"/>
              </w:rPr>
              <w:t> </w:t>
            </w:r>
          </w:p>
        </w:tc>
        <w:tc>
          <w:tcPr>
            <w:tcW w:w="13944" w:type="dxa"/>
            <w:gridSpan w:val="8"/>
            <w:tcBorders>
              <w:top w:val="single" w:sz="4" w:space="0" w:color="auto"/>
              <w:left w:val="single" w:sz="4" w:space="0" w:color="auto"/>
              <w:bottom w:val="single" w:sz="4" w:space="0" w:color="auto"/>
              <w:right w:val="single" w:sz="8" w:space="0" w:color="000000"/>
            </w:tcBorders>
            <w:shd w:val="clear" w:color="auto" w:fill="auto"/>
            <w:vAlign w:val="center"/>
            <w:hideMark/>
          </w:tcPr>
          <w:p w14:paraId="35A5A984" w14:textId="77777777" w:rsidR="00C275DC" w:rsidRPr="00D01F4D" w:rsidRDefault="00C275DC" w:rsidP="00422161">
            <w:pPr>
              <w:rPr>
                <w:rFonts w:cs="Arial"/>
                <w:b/>
                <w:bCs/>
                <w:color w:val="000000"/>
                <w:sz w:val="20"/>
                <w:szCs w:val="20"/>
                <w:lang w:val="en-US" w:eastAsia="en-US"/>
              </w:rPr>
            </w:pPr>
            <w:r w:rsidRPr="00D01F4D">
              <w:rPr>
                <w:rFonts w:cs="Arial"/>
                <w:b/>
                <w:bCs/>
                <w:color w:val="000000"/>
                <w:sz w:val="20"/>
                <w:szCs w:val="20"/>
                <w:lang w:val="en-US" w:eastAsia="en-US"/>
              </w:rPr>
              <w:t>Maxum/Soundtec</w:t>
            </w:r>
          </w:p>
        </w:tc>
      </w:tr>
      <w:tr w:rsidR="00630055" w:rsidRPr="00D01F4D" w14:paraId="2A2B924D" w14:textId="77777777" w:rsidTr="00BF0EEF">
        <w:trPr>
          <w:trHeight w:val="570"/>
          <w:jc w:val="center"/>
        </w:trPr>
        <w:tc>
          <w:tcPr>
            <w:tcW w:w="639" w:type="dxa"/>
            <w:tcBorders>
              <w:top w:val="nil"/>
              <w:left w:val="single" w:sz="8" w:space="0" w:color="auto"/>
              <w:bottom w:val="single" w:sz="4" w:space="0" w:color="auto"/>
              <w:right w:val="single" w:sz="4" w:space="0" w:color="auto"/>
            </w:tcBorders>
            <w:shd w:val="clear" w:color="auto" w:fill="auto"/>
            <w:noWrap/>
            <w:vAlign w:val="center"/>
            <w:hideMark/>
          </w:tcPr>
          <w:p w14:paraId="4EABEEFB" w14:textId="77777777" w:rsidR="00630055" w:rsidRPr="00D01F4D" w:rsidRDefault="00630055" w:rsidP="00422161">
            <w:pPr>
              <w:rPr>
                <w:rFonts w:cs="Arial"/>
                <w:b/>
                <w:bCs/>
                <w:color w:val="000000"/>
                <w:sz w:val="20"/>
                <w:szCs w:val="20"/>
                <w:lang w:val="en-US" w:eastAsia="en-US"/>
              </w:rPr>
            </w:pPr>
            <w:r w:rsidRPr="00D01F4D">
              <w:rPr>
                <w:rFonts w:cs="Arial"/>
                <w:b/>
                <w:bCs/>
                <w:color w:val="000000"/>
                <w:sz w:val="20"/>
                <w:szCs w:val="20"/>
                <w:lang w:val="en-US" w:eastAsia="en-US"/>
              </w:rPr>
              <w:t>BR</w:t>
            </w:r>
          </w:p>
        </w:tc>
        <w:tc>
          <w:tcPr>
            <w:tcW w:w="2353" w:type="dxa"/>
            <w:tcBorders>
              <w:top w:val="nil"/>
              <w:left w:val="nil"/>
              <w:bottom w:val="single" w:sz="4" w:space="0" w:color="auto"/>
              <w:right w:val="single" w:sz="4" w:space="0" w:color="auto"/>
            </w:tcBorders>
            <w:shd w:val="clear" w:color="auto" w:fill="auto"/>
            <w:vAlign w:val="center"/>
            <w:hideMark/>
          </w:tcPr>
          <w:p w14:paraId="34FC0154" w14:textId="77777777" w:rsidR="00630055" w:rsidRPr="00D01F4D" w:rsidRDefault="00630055" w:rsidP="00422161">
            <w:pPr>
              <w:rPr>
                <w:rFonts w:cs="Arial"/>
                <w:color w:val="000000"/>
                <w:sz w:val="20"/>
                <w:szCs w:val="20"/>
                <w:lang w:val="en-US" w:eastAsia="en-US"/>
              </w:rPr>
            </w:pPr>
            <w:r w:rsidRPr="00D01F4D">
              <w:rPr>
                <w:rFonts w:cs="Arial"/>
                <w:color w:val="000000"/>
                <w:sz w:val="20"/>
                <w:szCs w:val="20"/>
                <w:lang w:val="en-US" w:eastAsia="en-US"/>
              </w:rPr>
              <w:t>Cost to MBS of the proposed item</w:t>
            </w:r>
          </w:p>
        </w:tc>
        <w:tc>
          <w:tcPr>
            <w:tcW w:w="1107" w:type="dxa"/>
            <w:tcBorders>
              <w:top w:val="nil"/>
              <w:left w:val="nil"/>
              <w:bottom w:val="single" w:sz="4" w:space="0" w:color="auto"/>
              <w:right w:val="single" w:sz="4" w:space="0" w:color="auto"/>
            </w:tcBorders>
            <w:shd w:val="clear" w:color="auto" w:fill="auto"/>
            <w:vAlign w:val="center"/>
            <w:hideMark/>
          </w:tcPr>
          <w:p w14:paraId="42CBCDCE" w14:textId="5A6562EC" w:rsidR="00630055" w:rsidRPr="00D01F4D" w:rsidRDefault="00630055" w:rsidP="00422161">
            <w:pPr>
              <w:rPr>
                <w:rFonts w:cs="Arial"/>
                <w:color w:val="000000"/>
                <w:sz w:val="16"/>
                <w:szCs w:val="16"/>
                <w:lang w:val="en-US" w:eastAsia="en-US"/>
              </w:rPr>
            </w:pPr>
            <w:r>
              <w:rPr>
                <w:rFonts w:cs="Arial"/>
                <w:color w:val="000000"/>
                <w:sz w:val="16"/>
                <w:szCs w:val="16"/>
              </w:rPr>
              <w:t>Row M</w:t>
            </w:r>
          </w:p>
        </w:tc>
        <w:tc>
          <w:tcPr>
            <w:tcW w:w="1764" w:type="dxa"/>
            <w:tcBorders>
              <w:top w:val="nil"/>
              <w:left w:val="nil"/>
              <w:bottom w:val="single" w:sz="8" w:space="0" w:color="auto"/>
              <w:right w:val="single" w:sz="4" w:space="0" w:color="auto"/>
            </w:tcBorders>
            <w:shd w:val="clear" w:color="auto" w:fill="auto"/>
            <w:noWrap/>
            <w:vAlign w:val="center"/>
            <w:hideMark/>
          </w:tcPr>
          <w:p w14:paraId="1FA32CF5" w14:textId="5B683674" w:rsidR="00630055" w:rsidRPr="00D01F4D" w:rsidRDefault="00630055" w:rsidP="00422161">
            <w:pPr>
              <w:rPr>
                <w:rFonts w:cs="Arial"/>
                <w:color w:val="000000"/>
                <w:sz w:val="16"/>
                <w:szCs w:val="16"/>
                <w:lang w:val="en-US" w:eastAsia="en-US"/>
              </w:rPr>
            </w:pPr>
            <w:r>
              <w:rPr>
                <w:rFonts w:cs="Arial"/>
                <w:color w:val="000000"/>
                <w:sz w:val="16"/>
                <w:szCs w:val="16"/>
              </w:rPr>
              <w:t xml:space="preserve"> AUD          135.947 </w:t>
            </w:r>
          </w:p>
        </w:tc>
        <w:tc>
          <w:tcPr>
            <w:tcW w:w="1664" w:type="dxa"/>
            <w:tcBorders>
              <w:top w:val="nil"/>
              <w:left w:val="nil"/>
              <w:bottom w:val="single" w:sz="8" w:space="0" w:color="auto"/>
              <w:right w:val="single" w:sz="4" w:space="0" w:color="auto"/>
            </w:tcBorders>
            <w:shd w:val="clear" w:color="auto" w:fill="auto"/>
            <w:noWrap/>
            <w:vAlign w:val="center"/>
            <w:hideMark/>
          </w:tcPr>
          <w:p w14:paraId="520073AB" w14:textId="72B40BED" w:rsidR="00630055" w:rsidRPr="00D01F4D" w:rsidRDefault="00630055" w:rsidP="00422161">
            <w:pPr>
              <w:rPr>
                <w:rFonts w:cs="Arial"/>
                <w:color w:val="000000"/>
                <w:sz w:val="16"/>
                <w:szCs w:val="16"/>
                <w:lang w:val="en-US" w:eastAsia="en-US"/>
              </w:rPr>
            </w:pPr>
            <w:r>
              <w:rPr>
                <w:rFonts w:cs="Arial"/>
                <w:color w:val="000000"/>
                <w:sz w:val="16"/>
                <w:szCs w:val="16"/>
              </w:rPr>
              <w:t xml:space="preserve"> AUD          138.325 </w:t>
            </w:r>
          </w:p>
        </w:tc>
        <w:tc>
          <w:tcPr>
            <w:tcW w:w="1764" w:type="dxa"/>
            <w:tcBorders>
              <w:top w:val="nil"/>
              <w:left w:val="nil"/>
              <w:bottom w:val="single" w:sz="8" w:space="0" w:color="auto"/>
              <w:right w:val="single" w:sz="4" w:space="0" w:color="auto"/>
            </w:tcBorders>
            <w:shd w:val="clear" w:color="auto" w:fill="auto"/>
            <w:noWrap/>
            <w:vAlign w:val="center"/>
            <w:hideMark/>
          </w:tcPr>
          <w:p w14:paraId="76623797" w14:textId="60758B03" w:rsidR="00630055" w:rsidRPr="00D01F4D" w:rsidRDefault="00630055" w:rsidP="00422161">
            <w:pPr>
              <w:rPr>
                <w:rFonts w:cs="Arial"/>
                <w:color w:val="000000"/>
                <w:sz w:val="16"/>
                <w:szCs w:val="16"/>
                <w:lang w:val="en-US" w:eastAsia="en-US"/>
              </w:rPr>
            </w:pPr>
            <w:r>
              <w:rPr>
                <w:rFonts w:cs="Arial"/>
                <w:color w:val="000000"/>
                <w:sz w:val="16"/>
                <w:szCs w:val="16"/>
              </w:rPr>
              <w:t xml:space="preserve"> AUD          140.683 </w:t>
            </w:r>
          </w:p>
        </w:tc>
        <w:tc>
          <w:tcPr>
            <w:tcW w:w="1764" w:type="dxa"/>
            <w:tcBorders>
              <w:top w:val="nil"/>
              <w:left w:val="nil"/>
              <w:bottom w:val="single" w:sz="8" w:space="0" w:color="auto"/>
              <w:right w:val="single" w:sz="4" w:space="0" w:color="auto"/>
            </w:tcBorders>
            <w:shd w:val="clear" w:color="auto" w:fill="auto"/>
            <w:noWrap/>
            <w:vAlign w:val="center"/>
            <w:hideMark/>
          </w:tcPr>
          <w:p w14:paraId="30FB9F35" w14:textId="24F37E75" w:rsidR="00630055" w:rsidRPr="00D01F4D" w:rsidRDefault="00630055" w:rsidP="00422161">
            <w:pPr>
              <w:rPr>
                <w:rFonts w:cs="Arial"/>
                <w:color w:val="000000"/>
                <w:sz w:val="16"/>
                <w:szCs w:val="16"/>
                <w:lang w:val="en-US" w:eastAsia="en-US"/>
              </w:rPr>
            </w:pPr>
            <w:r>
              <w:rPr>
                <w:rFonts w:cs="Arial"/>
                <w:color w:val="000000"/>
                <w:sz w:val="16"/>
                <w:szCs w:val="16"/>
              </w:rPr>
              <w:t xml:space="preserve"> AUD          143.022 </w:t>
            </w:r>
          </w:p>
        </w:tc>
        <w:tc>
          <w:tcPr>
            <w:tcW w:w="1764" w:type="dxa"/>
            <w:tcBorders>
              <w:top w:val="nil"/>
              <w:left w:val="nil"/>
              <w:bottom w:val="single" w:sz="8" w:space="0" w:color="auto"/>
              <w:right w:val="single" w:sz="4" w:space="0" w:color="auto"/>
            </w:tcBorders>
            <w:shd w:val="clear" w:color="auto" w:fill="auto"/>
            <w:noWrap/>
            <w:vAlign w:val="center"/>
            <w:hideMark/>
          </w:tcPr>
          <w:p w14:paraId="401777C4" w14:textId="3BAAE5C7" w:rsidR="00630055" w:rsidRPr="00D01F4D" w:rsidRDefault="00630055" w:rsidP="00422161">
            <w:pPr>
              <w:rPr>
                <w:rFonts w:cs="Arial"/>
                <w:color w:val="000000"/>
                <w:sz w:val="16"/>
                <w:szCs w:val="16"/>
                <w:lang w:val="en-US" w:eastAsia="en-US"/>
              </w:rPr>
            </w:pPr>
            <w:r>
              <w:rPr>
                <w:rFonts w:cs="Arial"/>
                <w:color w:val="000000"/>
                <w:sz w:val="16"/>
                <w:szCs w:val="16"/>
              </w:rPr>
              <w:t xml:space="preserve"> AUD          145.325 </w:t>
            </w:r>
          </w:p>
        </w:tc>
        <w:tc>
          <w:tcPr>
            <w:tcW w:w="1764" w:type="dxa"/>
            <w:tcBorders>
              <w:top w:val="nil"/>
              <w:left w:val="nil"/>
              <w:bottom w:val="single" w:sz="8" w:space="0" w:color="auto"/>
              <w:right w:val="single" w:sz="8" w:space="0" w:color="auto"/>
            </w:tcBorders>
            <w:shd w:val="clear" w:color="auto" w:fill="auto"/>
            <w:noWrap/>
            <w:vAlign w:val="center"/>
            <w:hideMark/>
          </w:tcPr>
          <w:p w14:paraId="5F5A66EE" w14:textId="2E001709" w:rsidR="00630055" w:rsidRPr="00D01F4D" w:rsidRDefault="00630055" w:rsidP="00422161">
            <w:pPr>
              <w:rPr>
                <w:rFonts w:cs="Arial"/>
                <w:color w:val="000000"/>
                <w:sz w:val="16"/>
                <w:szCs w:val="16"/>
                <w:lang w:val="en-US" w:eastAsia="en-US"/>
              </w:rPr>
            </w:pPr>
            <w:r>
              <w:rPr>
                <w:rFonts w:cs="Arial"/>
                <w:color w:val="000000"/>
                <w:sz w:val="16"/>
                <w:szCs w:val="16"/>
              </w:rPr>
              <w:t xml:space="preserve"> AUD     147.796 </w:t>
            </w:r>
          </w:p>
        </w:tc>
      </w:tr>
      <w:tr w:rsidR="00630055" w:rsidRPr="00D01F4D" w14:paraId="6D19636B" w14:textId="77777777" w:rsidTr="00BF0EEF">
        <w:trPr>
          <w:trHeight w:val="570"/>
          <w:jc w:val="center"/>
        </w:trPr>
        <w:tc>
          <w:tcPr>
            <w:tcW w:w="639" w:type="dxa"/>
            <w:tcBorders>
              <w:top w:val="nil"/>
              <w:left w:val="single" w:sz="8" w:space="0" w:color="auto"/>
              <w:bottom w:val="single" w:sz="8" w:space="0" w:color="auto"/>
              <w:right w:val="single" w:sz="4" w:space="0" w:color="auto"/>
            </w:tcBorders>
            <w:shd w:val="clear" w:color="auto" w:fill="auto"/>
            <w:noWrap/>
            <w:vAlign w:val="center"/>
            <w:hideMark/>
          </w:tcPr>
          <w:p w14:paraId="649865A5" w14:textId="77777777" w:rsidR="00630055" w:rsidRPr="00D01F4D" w:rsidRDefault="00630055" w:rsidP="00422161">
            <w:pPr>
              <w:rPr>
                <w:rFonts w:cs="Arial"/>
                <w:b/>
                <w:bCs/>
                <w:color w:val="000000"/>
                <w:sz w:val="20"/>
                <w:szCs w:val="20"/>
                <w:lang w:val="en-US" w:eastAsia="en-US"/>
              </w:rPr>
            </w:pPr>
            <w:r w:rsidRPr="00D01F4D">
              <w:rPr>
                <w:rFonts w:cs="Arial"/>
                <w:b/>
                <w:bCs/>
                <w:color w:val="000000"/>
                <w:sz w:val="20"/>
                <w:szCs w:val="20"/>
                <w:lang w:val="en-US" w:eastAsia="en-US"/>
              </w:rPr>
              <w:t>BS</w:t>
            </w:r>
          </w:p>
        </w:tc>
        <w:tc>
          <w:tcPr>
            <w:tcW w:w="2353" w:type="dxa"/>
            <w:tcBorders>
              <w:top w:val="nil"/>
              <w:left w:val="nil"/>
              <w:bottom w:val="single" w:sz="8" w:space="0" w:color="auto"/>
              <w:right w:val="single" w:sz="4" w:space="0" w:color="auto"/>
            </w:tcBorders>
            <w:shd w:val="clear" w:color="auto" w:fill="auto"/>
            <w:vAlign w:val="center"/>
            <w:hideMark/>
          </w:tcPr>
          <w:p w14:paraId="45804455" w14:textId="77777777" w:rsidR="00630055" w:rsidRPr="00D01F4D" w:rsidRDefault="00630055" w:rsidP="00422161">
            <w:pPr>
              <w:rPr>
                <w:rFonts w:cs="Arial"/>
                <w:color w:val="000000"/>
                <w:sz w:val="20"/>
                <w:szCs w:val="20"/>
                <w:lang w:val="en-US" w:eastAsia="en-US"/>
              </w:rPr>
            </w:pPr>
            <w:r w:rsidRPr="00D01F4D">
              <w:rPr>
                <w:rFonts w:cs="Arial"/>
                <w:color w:val="000000"/>
                <w:sz w:val="20"/>
                <w:szCs w:val="20"/>
                <w:lang w:val="en-US" w:eastAsia="en-US"/>
              </w:rPr>
              <w:t>Cost to the MBS of associated items</w:t>
            </w:r>
          </w:p>
        </w:tc>
        <w:tc>
          <w:tcPr>
            <w:tcW w:w="1107" w:type="dxa"/>
            <w:tcBorders>
              <w:top w:val="nil"/>
              <w:left w:val="nil"/>
              <w:bottom w:val="single" w:sz="8" w:space="0" w:color="auto"/>
              <w:right w:val="single" w:sz="4" w:space="0" w:color="auto"/>
            </w:tcBorders>
            <w:shd w:val="clear" w:color="auto" w:fill="auto"/>
            <w:vAlign w:val="center"/>
            <w:hideMark/>
          </w:tcPr>
          <w:p w14:paraId="64CA3F1A" w14:textId="169C30DE" w:rsidR="00630055" w:rsidRPr="00D01F4D" w:rsidRDefault="00630055" w:rsidP="00422161">
            <w:pPr>
              <w:rPr>
                <w:rFonts w:cs="Arial"/>
                <w:color w:val="000000"/>
                <w:sz w:val="16"/>
                <w:szCs w:val="16"/>
                <w:lang w:val="en-US" w:eastAsia="en-US"/>
              </w:rPr>
            </w:pPr>
            <w:r>
              <w:rPr>
                <w:rFonts w:cs="Arial"/>
                <w:color w:val="000000"/>
                <w:sz w:val="16"/>
                <w:szCs w:val="16"/>
              </w:rPr>
              <w:t>Row AY</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3DE3BA90" w14:textId="5EED66FA" w:rsidR="00630055" w:rsidRPr="00D01F4D" w:rsidRDefault="00630055" w:rsidP="00422161">
            <w:pPr>
              <w:rPr>
                <w:rFonts w:cs="Arial"/>
                <w:color w:val="000000"/>
                <w:sz w:val="16"/>
                <w:szCs w:val="16"/>
                <w:lang w:val="en-US" w:eastAsia="en-US"/>
              </w:rPr>
            </w:pPr>
            <w:r>
              <w:rPr>
                <w:rFonts w:cs="Arial"/>
                <w:color w:val="000000"/>
                <w:sz w:val="16"/>
                <w:szCs w:val="16"/>
              </w:rPr>
              <w:t xml:space="preserve"> AUD          117.875 </w:t>
            </w:r>
          </w:p>
        </w:tc>
        <w:tc>
          <w:tcPr>
            <w:tcW w:w="1664" w:type="dxa"/>
            <w:tcBorders>
              <w:top w:val="single" w:sz="4" w:space="0" w:color="auto"/>
              <w:left w:val="nil"/>
              <w:bottom w:val="single" w:sz="8" w:space="0" w:color="auto"/>
              <w:right w:val="single" w:sz="4" w:space="0" w:color="auto"/>
            </w:tcBorders>
            <w:shd w:val="clear" w:color="auto" w:fill="auto"/>
            <w:noWrap/>
            <w:vAlign w:val="center"/>
            <w:hideMark/>
          </w:tcPr>
          <w:p w14:paraId="6478F24A" w14:textId="5DC08B61" w:rsidR="00630055" w:rsidRPr="00D01F4D" w:rsidRDefault="00630055" w:rsidP="00422161">
            <w:pPr>
              <w:rPr>
                <w:rFonts w:cs="Arial"/>
                <w:color w:val="000000"/>
                <w:sz w:val="16"/>
                <w:szCs w:val="16"/>
                <w:lang w:val="en-US" w:eastAsia="en-US"/>
              </w:rPr>
            </w:pPr>
            <w:r>
              <w:rPr>
                <w:rFonts w:cs="Arial"/>
                <w:color w:val="000000"/>
                <w:sz w:val="16"/>
                <w:szCs w:val="16"/>
              </w:rPr>
              <w:t xml:space="preserve"> AUD          119.936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0EF3E1C5" w14:textId="005ADE95" w:rsidR="00630055" w:rsidRPr="00D01F4D" w:rsidRDefault="00630055" w:rsidP="00422161">
            <w:pPr>
              <w:rPr>
                <w:rFonts w:cs="Arial"/>
                <w:color w:val="000000"/>
                <w:sz w:val="16"/>
                <w:szCs w:val="16"/>
                <w:lang w:val="en-US" w:eastAsia="en-US"/>
              </w:rPr>
            </w:pPr>
            <w:r>
              <w:rPr>
                <w:rFonts w:cs="Arial"/>
                <w:color w:val="000000"/>
                <w:sz w:val="16"/>
                <w:szCs w:val="16"/>
              </w:rPr>
              <w:t xml:space="preserve"> AUD          121.981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3D28F0B9" w14:textId="29F7BB8B" w:rsidR="00630055" w:rsidRPr="00D01F4D" w:rsidRDefault="00630055" w:rsidP="00422161">
            <w:pPr>
              <w:rPr>
                <w:rFonts w:cs="Arial"/>
                <w:color w:val="000000"/>
                <w:sz w:val="16"/>
                <w:szCs w:val="16"/>
                <w:lang w:val="en-US" w:eastAsia="en-US"/>
              </w:rPr>
            </w:pPr>
            <w:r>
              <w:rPr>
                <w:rFonts w:cs="Arial"/>
                <w:color w:val="000000"/>
                <w:sz w:val="16"/>
                <w:szCs w:val="16"/>
              </w:rPr>
              <w:t xml:space="preserve"> AUD          124.009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66A7BED9" w14:textId="50FA7D99" w:rsidR="00630055" w:rsidRPr="00D01F4D" w:rsidRDefault="00630055" w:rsidP="00422161">
            <w:pPr>
              <w:rPr>
                <w:rFonts w:cs="Arial"/>
                <w:color w:val="000000"/>
                <w:sz w:val="16"/>
                <w:szCs w:val="16"/>
                <w:lang w:val="en-US" w:eastAsia="en-US"/>
              </w:rPr>
            </w:pPr>
            <w:r>
              <w:rPr>
                <w:rFonts w:cs="Arial"/>
                <w:color w:val="000000"/>
                <w:sz w:val="16"/>
                <w:szCs w:val="16"/>
              </w:rPr>
              <w:t xml:space="preserve"> AUD          126.006 </w:t>
            </w:r>
          </w:p>
        </w:tc>
        <w:tc>
          <w:tcPr>
            <w:tcW w:w="1764" w:type="dxa"/>
            <w:tcBorders>
              <w:top w:val="single" w:sz="4" w:space="0" w:color="auto"/>
              <w:left w:val="nil"/>
              <w:bottom w:val="single" w:sz="8" w:space="0" w:color="auto"/>
              <w:right w:val="single" w:sz="8" w:space="0" w:color="auto"/>
            </w:tcBorders>
            <w:shd w:val="clear" w:color="auto" w:fill="auto"/>
            <w:noWrap/>
            <w:vAlign w:val="center"/>
            <w:hideMark/>
          </w:tcPr>
          <w:p w14:paraId="4C517C46" w14:textId="0E5EBC9B" w:rsidR="00630055" w:rsidRPr="00D01F4D" w:rsidRDefault="00630055" w:rsidP="00422161">
            <w:pPr>
              <w:rPr>
                <w:rFonts w:cs="Arial"/>
                <w:color w:val="000000"/>
                <w:sz w:val="16"/>
                <w:szCs w:val="16"/>
                <w:lang w:val="en-US" w:eastAsia="en-US"/>
              </w:rPr>
            </w:pPr>
            <w:r>
              <w:rPr>
                <w:rFonts w:cs="Arial"/>
                <w:color w:val="000000"/>
                <w:sz w:val="16"/>
                <w:szCs w:val="16"/>
              </w:rPr>
              <w:t xml:space="preserve"> AUD     128.148 </w:t>
            </w:r>
          </w:p>
        </w:tc>
      </w:tr>
      <w:tr w:rsidR="00630055" w:rsidRPr="00D01F4D" w14:paraId="42E50162" w14:textId="77777777" w:rsidTr="00BF0EEF">
        <w:trPr>
          <w:trHeight w:val="660"/>
          <w:jc w:val="center"/>
        </w:trPr>
        <w:tc>
          <w:tcPr>
            <w:tcW w:w="639"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0207DF7C" w14:textId="77777777" w:rsidR="00630055" w:rsidRPr="00D01F4D" w:rsidRDefault="00630055" w:rsidP="00422161">
            <w:pPr>
              <w:rPr>
                <w:rFonts w:cs="Arial"/>
                <w:b/>
                <w:bCs/>
                <w:color w:val="000000"/>
                <w:sz w:val="20"/>
                <w:szCs w:val="20"/>
                <w:lang w:val="en-US" w:eastAsia="en-US"/>
              </w:rPr>
            </w:pPr>
            <w:r w:rsidRPr="00D01F4D">
              <w:rPr>
                <w:rFonts w:cs="Arial"/>
                <w:b/>
                <w:bCs/>
                <w:color w:val="000000"/>
                <w:sz w:val="20"/>
                <w:szCs w:val="20"/>
                <w:lang w:val="en-US" w:eastAsia="en-US"/>
              </w:rPr>
              <w:t>BT</w:t>
            </w:r>
          </w:p>
        </w:tc>
        <w:tc>
          <w:tcPr>
            <w:tcW w:w="2353" w:type="dxa"/>
            <w:tcBorders>
              <w:top w:val="single" w:sz="4" w:space="0" w:color="auto"/>
              <w:left w:val="nil"/>
              <w:bottom w:val="single" w:sz="8" w:space="0" w:color="auto"/>
              <w:right w:val="single" w:sz="4" w:space="0" w:color="auto"/>
            </w:tcBorders>
            <w:shd w:val="clear" w:color="auto" w:fill="auto"/>
            <w:vAlign w:val="center"/>
            <w:hideMark/>
          </w:tcPr>
          <w:p w14:paraId="031542D6" w14:textId="77777777" w:rsidR="00630055" w:rsidRPr="00D01F4D" w:rsidRDefault="00630055" w:rsidP="00422161">
            <w:pPr>
              <w:rPr>
                <w:rFonts w:cs="Arial"/>
                <w:b/>
                <w:bCs/>
                <w:color w:val="000000"/>
                <w:sz w:val="20"/>
                <w:szCs w:val="20"/>
                <w:lang w:val="en-US" w:eastAsia="en-US"/>
              </w:rPr>
            </w:pPr>
            <w:r w:rsidRPr="00D01F4D">
              <w:rPr>
                <w:rFonts w:cs="Arial"/>
                <w:b/>
                <w:bCs/>
                <w:color w:val="000000"/>
                <w:sz w:val="20"/>
                <w:szCs w:val="20"/>
                <w:lang w:val="en-US" w:eastAsia="en-US"/>
              </w:rPr>
              <w:t>Total costs to the MBS</w:t>
            </w:r>
          </w:p>
        </w:tc>
        <w:tc>
          <w:tcPr>
            <w:tcW w:w="1107" w:type="dxa"/>
            <w:tcBorders>
              <w:top w:val="single" w:sz="4" w:space="0" w:color="auto"/>
              <w:left w:val="nil"/>
              <w:bottom w:val="single" w:sz="8" w:space="0" w:color="auto"/>
              <w:right w:val="single" w:sz="4" w:space="0" w:color="auto"/>
            </w:tcBorders>
            <w:shd w:val="clear" w:color="auto" w:fill="auto"/>
            <w:vAlign w:val="center"/>
            <w:hideMark/>
          </w:tcPr>
          <w:p w14:paraId="61B1B45B" w14:textId="2FC88CBA" w:rsidR="00630055" w:rsidRPr="00D01F4D" w:rsidRDefault="00630055" w:rsidP="00422161">
            <w:pPr>
              <w:rPr>
                <w:rFonts w:cs="Arial"/>
                <w:color w:val="000000"/>
                <w:sz w:val="16"/>
                <w:szCs w:val="16"/>
                <w:lang w:val="en-US" w:eastAsia="en-US"/>
              </w:rPr>
            </w:pPr>
            <w:r>
              <w:rPr>
                <w:rFonts w:cs="Arial"/>
                <w:color w:val="000000"/>
                <w:sz w:val="16"/>
                <w:szCs w:val="16"/>
              </w:rPr>
              <w:t>BR + BS</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7960E2C3" w14:textId="4A48BD8B" w:rsidR="00630055" w:rsidRPr="00D01F4D" w:rsidRDefault="00630055" w:rsidP="00422161">
            <w:pPr>
              <w:rPr>
                <w:rFonts w:cs="Arial"/>
                <w:color w:val="000000"/>
                <w:sz w:val="16"/>
                <w:szCs w:val="16"/>
                <w:lang w:val="en-US" w:eastAsia="en-US"/>
              </w:rPr>
            </w:pPr>
            <w:r>
              <w:rPr>
                <w:rFonts w:cs="Arial"/>
                <w:color w:val="000000"/>
                <w:sz w:val="16"/>
                <w:szCs w:val="16"/>
              </w:rPr>
              <w:t xml:space="preserve"> AUD          253.822 </w:t>
            </w:r>
          </w:p>
        </w:tc>
        <w:tc>
          <w:tcPr>
            <w:tcW w:w="1664" w:type="dxa"/>
            <w:tcBorders>
              <w:top w:val="single" w:sz="4" w:space="0" w:color="auto"/>
              <w:left w:val="nil"/>
              <w:bottom w:val="single" w:sz="8" w:space="0" w:color="auto"/>
              <w:right w:val="single" w:sz="4" w:space="0" w:color="auto"/>
            </w:tcBorders>
            <w:shd w:val="clear" w:color="auto" w:fill="auto"/>
            <w:noWrap/>
            <w:vAlign w:val="center"/>
            <w:hideMark/>
          </w:tcPr>
          <w:p w14:paraId="14E857FE" w14:textId="0114214E" w:rsidR="00630055" w:rsidRPr="00D01F4D" w:rsidRDefault="00630055" w:rsidP="00422161">
            <w:pPr>
              <w:rPr>
                <w:rFonts w:cs="Arial"/>
                <w:color w:val="000000"/>
                <w:sz w:val="16"/>
                <w:szCs w:val="16"/>
                <w:lang w:val="en-US" w:eastAsia="en-US"/>
              </w:rPr>
            </w:pPr>
            <w:r>
              <w:rPr>
                <w:rFonts w:cs="Arial"/>
                <w:color w:val="000000"/>
                <w:sz w:val="16"/>
                <w:szCs w:val="16"/>
              </w:rPr>
              <w:t xml:space="preserve"> AUD          258.261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30845635" w14:textId="65078731" w:rsidR="00630055" w:rsidRPr="00D01F4D" w:rsidRDefault="00630055" w:rsidP="00422161">
            <w:pPr>
              <w:rPr>
                <w:rFonts w:cs="Arial"/>
                <w:color w:val="000000"/>
                <w:sz w:val="16"/>
                <w:szCs w:val="16"/>
                <w:lang w:val="en-US" w:eastAsia="en-US"/>
              </w:rPr>
            </w:pPr>
            <w:r>
              <w:rPr>
                <w:rFonts w:cs="Arial"/>
                <w:color w:val="000000"/>
                <w:sz w:val="16"/>
                <w:szCs w:val="16"/>
              </w:rPr>
              <w:t xml:space="preserve"> AUD          262.664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5FEC0C2A" w14:textId="0E8B4C44" w:rsidR="00630055" w:rsidRPr="00D01F4D" w:rsidRDefault="00630055" w:rsidP="00422161">
            <w:pPr>
              <w:rPr>
                <w:rFonts w:cs="Arial"/>
                <w:color w:val="000000"/>
                <w:sz w:val="16"/>
                <w:szCs w:val="16"/>
                <w:lang w:val="en-US" w:eastAsia="en-US"/>
              </w:rPr>
            </w:pPr>
            <w:r>
              <w:rPr>
                <w:rFonts w:cs="Arial"/>
                <w:color w:val="000000"/>
                <w:sz w:val="16"/>
                <w:szCs w:val="16"/>
              </w:rPr>
              <w:t xml:space="preserve"> AUD          267.031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7D9B8A16" w14:textId="503E24CB" w:rsidR="00630055" w:rsidRPr="00D01F4D" w:rsidRDefault="00630055" w:rsidP="00422161">
            <w:pPr>
              <w:rPr>
                <w:rFonts w:cs="Arial"/>
                <w:color w:val="000000"/>
                <w:sz w:val="16"/>
                <w:szCs w:val="16"/>
                <w:lang w:val="en-US" w:eastAsia="en-US"/>
              </w:rPr>
            </w:pPr>
            <w:r>
              <w:rPr>
                <w:rFonts w:cs="Arial"/>
                <w:color w:val="000000"/>
                <w:sz w:val="16"/>
                <w:szCs w:val="16"/>
              </w:rPr>
              <w:t xml:space="preserve"> AUD          271.332 </w:t>
            </w:r>
          </w:p>
        </w:tc>
        <w:tc>
          <w:tcPr>
            <w:tcW w:w="1764" w:type="dxa"/>
            <w:tcBorders>
              <w:top w:val="single" w:sz="4" w:space="0" w:color="auto"/>
              <w:left w:val="nil"/>
              <w:bottom w:val="single" w:sz="8" w:space="0" w:color="auto"/>
              <w:right w:val="single" w:sz="8" w:space="0" w:color="auto"/>
            </w:tcBorders>
            <w:shd w:val="clear" w:color="auto" w:fill="auto"/>
            <w:noWrap/>
            <w:vAlign w:val="center"/>
            <w:hideMark/>
          </w:tcPr>
          <w:p w14:paraId="530D5E3C" w14:textId="25A54814" w:rsidR="00630055" w:rsidRPr="00D01F4D" w:rsidRDefault="00630055" w:rsidP="00422161">
            <w:pPr>
              <w:rPr>
                <w:rFonts w:cs="Arial"/>
                <w:color w:val="000000"/>
                <w:sz w:val="16"/>
                <w:szCs w:val="16"/>
                <w:lang w:val="en-US" w:eastAsia="en-US"/>
              </w:rPr>
            </w:pPr>
            <w:r>
              <w:rPr>
                <w:rFonts w:cs="Arial"/>
                <w:color w:val="000000"/>
                <w:sz w:val="16"/>
                <w:szCs w:val="16"/>
              </w:rPr>
              <w:t xml:space="preserve"> AUD     275.944 </w:t>
            </w:r>
          </w:p>
        </w:tc>
      </w:tr>
      <w:tr w:rsidR="00630055" w:rsidRPr="00D01F4D" w14:paraId="6F206DFF" w14:textId="77777777" w:rsidTr="00BF0EEF">
        <w:trPr>
          <w:trHeight w:val="465"/>
          <w:jc w:val="center"/>
        </w:trPr>
        <w:tc>
          <w:tcPr>
            <w:tcW w:w="639" w:type="dxa"/>
            <w:tcBorders>
              <w:top w:val="single" w:sz="4" w:space="0" w:color="auto"/>
              <w:left w:val="single" w:sz="8" w:space="0" w:color="auto"/>
              <w:bottom w:val="nil"/>
              <w:right w:val="single" w:sz="4" w:space="0" w:color="auto"/>
            </w:tcBorders>
            <w:shd w:val="clear" w:color="auto" w:fill="auto"/>
            <w:noWrap/>
            <w:vAlign w:val="center"/>
            <w:hideMark/>
          </w:tcPr>
          <w:p w14:paraId="6672E16B" w14:textId="77777777" w:rsidR="00630055" w:rsidRPr="00D01F4D" w:rsidRDefault="00630055" w:rsidP="00422161">
            <w:pPr>
              <w:rPr>
                <w:rFonts w:cs="Arial"/>
                <w:b/>
                <w:bCs/>
                <w:color w:val="000000"/>
                <w:sz w:val="20"/>
                <w:szCs w:val="20"/>
                <w:lang w:val="en-US" w:eastAsia="en-US"/>
              </w:rPr>
            </w:pPr>
            <w:r w:rsidRPr="00D01F4D">
              <w:rPr>
                <w:rFonts w:cs="Arial"/>
                <w:b/>
                <w:bCs/>
                <w:color w:val="000000"/>
                <w:sz w:val="20"/>
                <w:szCs w:val="20"/>
                <w:lang w:val="en-US" w:eastAsia="en-US"/>
              </w:rPr>
              <w:t>BU</w:t>
            </w:r>
          </w:p>
        </w:tc>
        <w:tc>
          <w:tcPr>
            <w:tcW w:w="2353" w:type="dxa"/>
            <w:tcBorders>
              <w:top w:val="nil"/>
              <w:left w:val="nil"/>
              <w:bottom w:val="single" w:sz="4" w:space="0" w:color="auto"/>
              <w:right w:val="nil"/>
            </w:tcBorders>
            <w:shd w:val="clear" w:color="auto" w:fill="auto"/>
            <w:vAlign w:val="center"/>
            <w:hideMark/>
          </w:tcPr>
          <w:p w14:paraId="603EB763" w14:textId="77777777" w:rsidR="00630055" w:rsidRPr="00D01F4D" w:rsidRDefault="00630055" w:rsidP="00422161">
            <w:pPr>
              <w:rPr>
                <w:rFonts w:cs="Arial"/>
                <w:color w:val="000000"/>
                <w:sz w:val="20"/>
                <w:szCs w:val="20"/>
                <w:lang w:val="en-US" w:eastAsia="en-US"/>
              </w:rPr>
            </w:pPr>
            <w:r w:rsidRPr="00D01F4D">
              <w:rPr>
                <w:rFonts w:cs="Arial"/>
                <w:color w:val="000000"/>
                <w:sz w:val="20"/>
                <w:szCs w:val="20"/>
                <w:lang w:val="en-US" w:eastAsia="en-US"/>
              </w:rPr>
              <w:t>Total non-MBS costs</w:t>
            </w:r>
          </w:p>
        </w:tc>
        <w:tc>
          <w:tcPr>
            <w:tcW w:w="1107"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610E31EC" w14:textId="09C2D642" w:rsidR="00630055" w:rsidRPr="00D01F4D" w:rsidRDefault="00630055" w:rsidP="00422161">
            <w:pPr>
              <w:rPr>
                <w:rFonts w:cs="Arial"/>
                <w:color w:val="000000"/>
                <w:sz w:val="16"/>
                <w:szCs w:val="16"/>
                <w:lang w:val="en-US" w:eastAsia="en-US"/>
              </w:rPr>
            </w:pPr>
            <w:r>
              <w:rPr>
                <w:rFonts w:cs="Arial"/>
                <w:color w:val="000000"/>
                <w:sz w:val="16"/>
                <w:szCs w:val="16"/>
              </w:rPr>
              <w:t>Row BK</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789E0638" w14:textId="1210F2DF" w:rsidR="00630055" w:rsidRPr="00D01F4D" w:rsidRDefault="00630055" w:rsidP="00422161">
            <w:pPr>
              <w:rPr>
                <w:rFonts w:cs="Arial"/>
                <w:color w:val="000000"/>
                <w:sz w:val="16"/>
                <w:szCs w:val="16"/>
                <w:lang w:val="en-US" w:eastAsia="en-US"/>
              </w:rPr>
            </w:pPr>
            <w:r>
              <w:rPr>
                <w:rFonts w:cs="Arial"/>
                <w:color w:val="000000"/>
                <w:sz w:val="16"/>
                <w:szCs w:val="16"/>
              </w:rPr>
              <w:t xml:space="preserve"> AUD          504.796 </w:t>
            </w:r>
          </w:p>
        </w:tc>
        <w:tc>
          <w:tcPr>
            <w:tcW w:w="1664" w:type="dxa"/>
            <w:tcBorders>
              <w:top w:val="single" w:sz="4" w:space="0" w:color="auto"/>
              <w:left w:val="nil"/>
              <w:bottom w:val="single" w:sz="8" w:space="0" w:color="auto"/>
              <w:right w:val="single" w:sz="4" w:space="0" w:color="auto"/>
            </w:tcBorders>
            <w:shd w:val="clear" w:color="auto" w:fill="auto"/>
            <w:noWrap/>
            <w:vAlign w:val="center"/>
            <w:hideMark/>
          </w:tcPr>
          <w:p w14:paraId="61618A3A" w14:textId="1249C0B9" w:rsidR="00630055" w:rsidRPr="00D01F4D" w:rsidRDefault="00630055" w:rsidP="00422161">
            <w:pPr>
              <w:rPr>
                <w:rFonts w:cs="Arial"/>
                <w:color w:val="000000"/>
                <w:sz w:val="16"/>
                <w:szCs w:val="16"/>
                <w:lang w:val="en-US" w:eastAsia="en-US"/>
              </w:rPr>
            </w:pPr>
            <w:r>
              <w:rPr>
                <w:rFonts w:cs="Arial"/>
                <w:color w:val="000000"/>
                <w:sz w:val="16"/>
                <w:szCs w:val="16"/>
              </w:rPr>
              <w:t xml:space="preserve"> AUD          513.624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7600C4E2" w14:textId="0B4BDBCC" w:rsidR="00630055" w:rsidRPr="00D01F4D" w:rsidRDefault="00630055" w:rsidP="00422161">
            <w:pPr>
              <w:rPr>
                <w:rFonts w:cs="Arial"/>
                <w:color w:val="000000"/>
                <w:sz w:val="16"/>
                <w:szCs w:val="16"/>
                <w:lang w:val="en-US" w:eastAsia="en-US"/>
              </w:rPr>
            </w:pPr>
            <w:r>
              <w:rPr>
                <w:rFonts w:cs="Arial"/>
                <w:color w:val="000000"/>
                <w:sz w:val="16"/>
                <w:szCs w:val="16"/>
              </w:rPr>
              <w:t xml:space="preserve"> AUD          522.380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168E0EEF" w14:textId="29BC1726" w:rsidR="00630055" w:rsidRPr="00D01F4D" w:rsidRDefault="00630055" w:rsidP="00422161">
            <w:pPr>
              <w:rPr>
                <w:rFonts w:cs="Arial"/>
                <w:color w:val="000000"/>
                <w:sz w:val="16"/>
                <w:szCs w:val="16"/>
                <w:lang w:val="en-US" w:eastAsia="en-US"/>
              </w:rPr>
            </w:pPr>
            <w:r>
              <w:rPr>
                <w:rFonts w:cs="Arial"/>
                <w:color w:val="000000"/>
                <w:sz w:val="16"/>
                <w:szCs w:val="16"/>
              </w:rPr>
              <w:t xml:space="preserve"> AUD          531.065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62DFB1D3" w14:textId="7AF6A794" w:rsidR="00630055" w:rsidRPr="00D01F4D" w:rsidRDefault="00630055" w:rsidP="00422161">
            <w:pPr>
              <w:rPr>
                <w:rFonts w:cs="Arial"/>
                <w:color w:val="000000"/>
                <w:sz w:val="16"/>
                <w:szCs w:val="16"/>
                <w:lang w:val="en-US" w:eastAsia="en-US"/>
              </w:rPr>
            </w:pPr>
            <w:r>
              <w:rPr>
                <w:rFonts w:cs="Arial"/>
                <w:color w:val="000000"/>
                <w:sz w:val="16"/>
                <w:szCs w:val="16"/>
              </w:rPr>
              <w:t xml:space="preserve"> AUD          539.618 </w:t>
            </w:r>
          </w:p>
        </w:tc>
        <w:tc>
          <w:tcPr>
            <w:tcW w:w="1764" w:type="dxa"/>
            <w:tcBorders>
              <w:top w:val="single" w:sz="4" w:space="0" w:color="auto"/>
              <w:left w:val="nil"/>
              <w:bottom w:val="single" w:sz="8" w:space="0" w:color="auto"/>
              <w:right w:val="single" w:sz="8" w:space="0" w:color="auto"/>
            </w:tcBorders>
            <w:shd w:val="clear" w:color="auto" w:fill="auto"/>
            <w:noWrap/>
            <w:vAlign w:val="center"/>
            <w:hideMark/>
          </w:tcPr>
          <w:p w14:paraId="3AB5E509" w14:textId="6B3FCEFF" w:rsidR="00630055" w:rsidRPr="00D01F4D" w:rsidRDefault="00630055" w:rsidP="00422161">
            <w:pPr>
              <w:rPr>
                <w:rFonts w:cs="Arial"/>
                <w:color w:val="000000"/>
                <w:sz w:val="16"/>
                <w:szCs w:val="16"/>
                <w:lang w:val="en-US" w:eastAsia="en-US"/>
              </w:rPr>
            </w:pPr>
            <w:r>
              <w:rPr>
                <w:rFonts w:cs="Arial"/>
                <w:color w:val="000000"/>
                <w:sz w:val="16"/>
                <w:szCs w:val="16"/>
              </w:rPr>
              <w:t xml:space="preserve"> AUD     548.791 </w:t>
            </w:r>
          </w:p>
        </w:tc>
      </w:tr>
      <w:tr w:rsidR="00630055" w:rsidRPr="00D01F4D" w14:paraId="5B0CD321" w14:textId="77777777" w:rsidTr="00BF0EEF">
        <w:trPr>
          <w:trHeight w:val="865"/>
          <w:jc w:val="center"/>
        </w:trPr>
        <w:tc>
          <w:tcPr>
            <w:tcW w:w="639"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4A28C6C6" w14:textId="77777777" w:rsidR="00630055" w:rsidRPr="00D01F4D" w:rsidRDefault="00630055" w:rsidP="00422161">
            <w:pPr>
              <w:rPr>
                <w:rFonts w:cs="Arial"/>
                <w:b/>
                <w:bCs/>
                <w:color w:val="000000"/>
                <w:sz w:val="20"/>
                <w:szCs w:val="20"/>
                <w:lang w:val="en-US" w:eastAsia="en-US"/>
              </w:rPr>
            </w:pPr>
            <w:r w:rsidRPr="00D01F4D">
              <w:rPr>
                <w:rFonts w:cs="Arial"/>
                <w:b/>
                <w:bCs/>
                <w:color w:val="000000"/>
                <w:sz w:val="20"/>
                <w:szCs w:val="20"/>
                <w:lang w:val="en-US" w:eastAsia="en-US"/>
              </w:rPr>
              <w:t>BV</w:t>
            </w:r>
          </w:p>
        </w:tc>
        <w:tc>
          <w:tcPr>
            <w:tcW w:w="2353" w:type="dxa"/>
            <w:tcBorders>
              <w:top w:val="nil"/>
              <w:left w:val="nil"/>
              <w:bottom w:val="single" w:sz="8" w:space="0" w:color="auto"/>
              <w:right w:val="nil"/>
            </w:tcBorders>
            <w:shd w:val="clear" w:color="auto" w:fill="auto"/>
            <w:vAlign w:val="center"/>
            <w:hideMark/>
          </w:tcPr>
          <w:p w14:paraId="195E6C6E" w14:textId="77777777" w:rsidR="00630055" w:rsidRPr="00D01F4D" w:rsidRDefault="00630055" w:rsidP="00422161">
            <w:pPr>
              <w:rPr>
                <w:rFonts w:cs="Arial"/>
                <w:b/>
                <w:bCs/>
                <w:color w:val="000000"/>
                <w:sz w:val="20"/>
                <w:szCs w:val="20"/>
                <w:lang w:val="en-US" w:eastAsia="en-US"/>
              </w:rPr>
            </w:pPr>
            <w:r w:rsidRPr="00D01F4D">
              <w:rPr>
                <w:rFonts w:cs="Arial"/>
                <w:b/>
                <w:bCs/>
                <w:color w:val="000000"/>
                <w:sz w:val="20"/>
                <w:szCs w:val="20"/>
                <w:lang w:val="en-US" w:eastAsia="en-US"/>
              </w:rPr>
              <w:t>Overall total costs of the proposed intervention</w:t>
            </w:r>
          </w:p>
        </w:tc>
        <w:tc>
          <w:tcPr>
            <w:tcW w:w="1107"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56726AE9" w14:textId="76427101" w:rsidR="00630055" w:rsidRPr="00D01F4D" w:rsidRDefault="00630055" w:rsidP="00422161">
            <w:pPr>
              <w:rPr>
                <w:rFonts w:cs="Arial"/>
                <w:color w:val="000000"/>
                <w:sz w:val="16"/>
                <w:szCs w:val="16"/>
                <w:lang w:val="en-US" w:eastAsia="en-US"/>
              </w:rPr>
            </w:pPr>
            <w:r>
              <w:rPr>
                <w:rFonts w:cs="Arial"/>
                <w:color w:val="000000"/>
                <w:sz w:val="16"/>
                <w:szCs w:val="16"/>
              </w:rPr>
              <w:t>BU + BT</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7E7C5A43" w14:textId="176AD7C2" w:rsidR="00630055" w:rsidRPr="00D01F4D" w:rsidRDefault="00630055" w:rsidP="00422161">
            <w:pPr>
              <w:rPr>
                <w:rFonts w:cs="Arial"/>
                <w:b/>
                <w:bCs/>
                <w:color w:val="000000"/>
                <w:sz w:val="16"/>
                <w:szCs w:val="16"/>
                <w:lang w:val="en-US" w:eastAsia="en-US"/>
              </w:rPr>
            </w:pPr>
            <w:r>
              <w:rPr>
                <w:rFonts w:cs="Arial"/>
                <w:b/>
                <w:bCs/>
                <w:color w:val="000000"/>
                <w:sz w:val="16"/>
                <w:szCs w:val="16"/>
              </w:rPr>
              <w:t xml:space="preserve"> AUD          758.618 </w:t>
            </w:r>
          </w:p>
        </w:tc>
        <w:tc>
          <w:tcPr>
            <w:tcW w:w="1664" w:type="dxa"/>
            <w:tcBorders>
              <w:top w:val="single" w:sz="4" w:space="0" w:color="auto"/>
              <w:left w:val="nil"/>
              <w:bottom w:val="single" w:sz="8" w:space="0" w:color="auto"/>
              <w:right w:val="single" w:sz="4" w:space="0" w:color="auto"/>
            </w:tcBorders>
            <w:shd w:val="clear" w:color="auto" w:fill="auto"/>
            <w:noWrap/>
            <w:vAlign w:val="center"/>
            <w:hideMark/>
          </w:tcPr>
          <w:p w14:paraId="039FB295" w14:textId="58C3E79D" w:rsidR="00630055" w:rsidRPr="00D01F4D" w:rsidRDefault="00630055" w:rsidP="00422161">
            <w:pPr>
              <w:rPr>
                <w:rFonts w:cs="Arial"/>
                <w:b/>
                <w:bCs/>
                <w:color w:val="000000"/>
                <w:sz w:val="16"/>
                <w:szCs w:val="16"/>
                <w:lang w:val="en-US" w:eastAsia="en-US"/>
              </w:rPr>
            </w:pPr>
            <w:r>
              <w:rPr>
                <w:rFonts w:cs="Arial"/>
                <w:b/>
                <w:bCs/>
                <w:color w:val="000000"/>
                <w:sz w:val="16"/>
                <w:szCs w:val="16"/>
              </w:rPr>
              <w:t xml:space="preserve"> AUD          771.885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2092A35F" w14:textId="0C4547ED" w:rsidR="00630055" w:rsidRPr="00D01F4D" w:rsidRDefault="00630055" w:rsidP="00422161">
            <w:pPr>
              <w:rPr>
                <w:rFonts w:cs="Arial"/>
                <w:b/>
                <w:bCs/>
                <w:color w:val="000000"/>
                <w:sz w:val="16"/>
                <w:szCs w:val="16"/>
                <w:lang w:val="en-US" w:eastAsia="en-US"/>
              </w:rPr>
            </w:pPr>
            <w:r>
              <w:rPr>
                <w:rFonts w:cs="Arial"/>
                <w:b/>
                <w:bCs/>
                <w:color w:val="000000"/>
                <w:sz w:val="16"/>
                <w:szCs w:val="16"/>
              </w:rPr>
              <w:t xml:space="preserve"> AUD          785.044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3492318E" w14:textId="6649FFEF" w:rsidR="00630055" w:rsidRPr="00D01F4D" w:rsidRDefault="00630055" w:rsidP="00422161">
            <w:pPr>
              <w:rPr>
                <w:rFonts w:cs="Arial"/>
                <w:b/>
                <w:bCs/>
                <w:color w:val="000000"/>
                <w:sz w:val="16"/>
                <w:szCs w:val="16"/>
                <w:lang w:val="en-US" w:eastAsia="en-US"/>
              </w:rPr>
            </w:pPr>
            <w:r>
              <w:rPr>
                <w:rFonts w:cs="Arial"/>
                <w:b/>
                <w:bCs/>
                <w:color w:val="000000"/>
                <w:sz w:val="16"/>
                <w:szCs w:val="16"/>
              </w:rPr>
              <w:t xml:space="preserve"> AUD          798.096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6783D758" w14:textId="67F07E7B" w:rsidR="00630055" w:rsidRPr="00D01F4D" w:rsidRDefault="00630055" w:rsidP="00422161">
            <w:pPr>
              <w:rPr>
                <w:rFonts w:cs="Arial"/>
                <w:b/>
                <w:bCs/>
                <w:color w:val="000000"/>
                <w:sz w:val="16"/>
                <w:szCs w:val="16"/>
                <w:lang w:val="en-US" w:eastAsia="en-US"/>
              </w:rPr>
            </w:pPr>
            <w:r>
              <w:rPr>
                <w:rFonts w:cs="Arial"/>
                <w:b/>
                <w:bCs/>
                <w:color w:val="000000"/>
                <w:sz w:val="16"/>
                <w:szCs w:val="16"/>
              </w:rPr>
              <w:t xml:space="preserve"> AUD          810.949 </w:t>
            </w:r>
          </w:p>
        </w:tc>
        <w:tc>
          <w:tcPr>
            <w:tcW w:w="1764" w:type="dxa"/>
            <w:tcBorders>
              <w:top w:val="single" w:sz="4" w:space="0" w:color="auto"/>
              <w:left w:val="nil"/>
              <w:bottom w:val="single" w:sz="8" w:space="0" w:color="auto"/>
              <w:right w:val="single" w:sz="8" w:space="0" w:color="auto"/>
            </w:tcBorders>
            <w:shd w:val="clear" w:color="auto" w:fill="auto"/>
            <w:noWrap/>
            <w:vAlign w:val="center"/>
            <w:hideMark/>
          </w:tcPr>
          <w:p w14:paraId="47E9451A" w14:textId="454BF93F" w:rsidR="00630055" w:rsidRPr="00D01F4D" w:rsidRDefault="00630055" w:rsidP="00422161">
            <w:pPr>
              <w:rPr>
                <w:rFonts w:cs="Arial"/>
                <w:b/>
                <w:bCs/>
                <w:color w:val="000000"/>
                <w:sz w:val="16"/>
                <w:szCs w:val="16"/>
                <w:lang w:val="en-US" w:eastAsia="en-US"/>
              </w:rPr>
            </w:pPr>
            <w:r>
              <w:rPr>
                <w:rFonts w:cs="Arial"/>
                <w:b/>
                <w:bCs/>
                <w:color w:val="000000"/>
                <w:sz w:val="16"/>
                <w:szCs w:val="16"/>
              </w:rPr>
              <w:t xml:space="preserve"> AUD     824.736 </w:t>
            </w:r>
          </w:p>
        </w:tc>
      </w:tr>
    </w:tbl>
    <w:p w14:paraId="160C8D48" w14:textId="77777777" w:rsidR="00C275DC" w:rsidRDefault="00C275DC" w:rsidP="00C275DC">
      <w:pPr>
        <w:pStyle w:val="Textbody"/>
        <w:rPr>
          <w:lang w:val="en-AU"/>
        </w:rPr>
        <w:sectPr w:rsidR="00C275DC" w:rsidSect="00137B87">
          <w:pgSz w:w="16840" w:h="11907" w:orient="landscape" w:code="9"/>
          <w:pgMar w:top="1814" w:right="1418" w:bottom="1418" w:left="1701" w:header="720" w:footer="720" w:gutter="0"/>
          <w:paperSrc w:first="7" w:other="7"/>
          <w:cols w:space="720"/>
          <w:noEndnote/>
          <w:docGrid w:linePitch="299"/>
        </w:sectPr>
      </w:pPr>
    </w:p>
    <w:p w14:paraId="38CFDDE7" w14:textId="5D414B0D" w:rsidR="00137B87" w:rsidRDefault="008A78C8" w:rsidP="00BF4FBB">
      <w:pPr>
        <w:pStyle w:val="Textbody"/>
        <w:rPr>
          <w:lang w:val="en-AU"/>
        </w:rPr>
      </w:pPr>
      <w:r>
        <w:rPr>
          <w:lang w:val="en-AU"/>
        </w:rPr>
        <w:lastRenderedPageBreak/>
        <w:fldChar w:fldCharType="begin"/>
      </w:r>
      <w:r>
        <w:rPr>
          <w:lang w:val="en-AU"/>
        </w:rPr>
        <w:instrText xml:space="preserve"> REF _Ref431914842 \h </w:instrText>
      </w:r>
      <w:r>
        <w:rPr>
          <w:lang w:val="en-AU"/>
        </w:rPr>
      </w:r>
      <w:r>
        <w:rPr>
          <w:lang w:val="en-AU"/>
        </w:rPr>
        <w:fldChar w:fldCharType="separate"/>
      </w:r>
      <w:r w:rsidRPr="00A83F80">
        <w:t xml:space="preserve">Table </w:t>
      </w:r>
      <w:r>
        <w:rPr>
          <w:noProof/>
        </w:rPr>
        <w:t>77</w:t>
      </w:r>
      <w:r>
        <w:rPr>
          <w:lang w:val="en-AU"/>
        </w:rPr>
        <w:fldChar w:fldCharType="end"/>
      </w:r>
      <w:r>
        <w:rPr>
          <w:lang w:val="en-AU"/>
        </w:rPr>
        <w:t xml:space="preserve"> indicates the number of procedures to be expected a</w:t>
      </w:r>
      <w:r w:rsidR="00667336">
        <w:rPr>
          <w:lang w:val="en-AU"/>
        </w:rPr>
        <w:t xml:space="preserve">pplying the higher CI value </w:t>
      </w:r>
      <w:r>
        <w:rPr>
          <w:lang w:val="en-AU"/>
        </w:rPr>
        <w:t>of external ear pathologies.</w:t>
      </w:r>
    </w:p>
    <w:p w14:paraId="4EC6B5DA" w14:textId="77777777" w:rsidR="008A78C8" w:rsidRDefault="008A78C8" w:rsidP="008A78C8">
      <w:pPr>
        <w:pStyle w:val="Textbody"/>
        <w:rPr>
          <w:lang w:val="en-AU"/>
        </w:rPr>
      </w:pPr>
    </w:p>
    <w:p w14:paraId="383B5313" w14:textId="1FE77EED" w:rsidR="008A78C8" w:rsidRPr="00E0477C" w:rsidRDefault="008A78C8" w:rsidP="008A78C8">
      <w:pPr>
        <w:pStyle w:val="Caption"/>
        <w:rPr>
          <w:rFonts w:ascii="Arial" w:hAnsi="Arial" w:cs="Arial"/>
          <w:lang w:val="en-AU"/>
        </w:rPr>
      </w:pPr>
      <w:bookmarkStart w:id="675" w:name="_Ref431914842"/>
      <w:bookmarkStart w:id="676" w:name="_Toc431917537"/>
      <w:r w:rsidRPr="00A83F80">
        <w:rPr>
          <w:rFonts w:ascii="Arial" w:hAnsi="Arial" w:cs="Arial"/>
        </w:rPr>
        <w:t xml:space="preserve">Table </w:t>
      </w:r>
      <w:r w:rsidRPr="00A83F80">
        <w:rPr>
          <w:rFonts w:ascii="Arial" w:hAnsi="Arial" w:cs="Arial"/>
        </w:rPr>
        <w:fldChar w:fldCharType="begin"/>
      </w:r>
      <w:r w:rsidRPr="00A83F80">
        <w:rPr>
          <w:rFonts w:ascii="Arial" w:hAnsi="Arial" w:cs="Arial"/>
        </w:rPr>
        <w:instrText xml:space="preserve"> SEQ Table \* ARABIC </w:instrText>
      </w:r>
      <w:r w:rsidRPr="00A83F80">
        <w:rPr>
          <w:rFonts w:ascii="Arial" w:hAnsi="Arial" w:cs="Arial"/>
        </w:rPr>
        <w:fldChar w:fldCharType="separate"/>
      </w:r>
      <w:r>
        <w:rPr>
          <w:rFonts w:ascii="Arial" w:hAnsi="Arial" w:cs="Arial"/>
          <w:noProof/>
        </w:rPr>
        <w:t>77</w:t>
      </w:r>
      <w:r w:rsidRPr="00A83F80">
        <w:rPr>
          <w:rFonts w:ascii="Arial" w:hAnsi="Arial" w:cs="Arial"/>
          <w:noProof/>
        </w:rPr>
        <w:fldChar w:fldCharType="end"/>
      </w:r>
      <w:bookmarkEnd w:id="675"/>
      <w:r w:rsidRPr="00A83F80">
        <w:rPr>
          <w:rFonts w:ascii="Arial" w:hAnsi="Arial" w:cs="Arial"/>
          <w:lang w:val="en-US"/>
        </w:rPr>
        <w:t>.-</w:t>
      </w:r>
      <w:r w:rsidRPr="00E0477C">
        <w:rPr>
          <w:rFonts w:ascii="Arial" w:hAnsi="Arial" w:cs="Arial"/>
          <w:lang w:val="en-AU"/>
        </w:rPr>
        <w:t xml:space="preserve"> Estimated </w:t>
      </w:r>
      <w:r>
        <w:rPr>
          <w:rFonts w:ascii="Arial" w:hAnsi="Arial" w:cs="Arial"/>
          <w:lang w:val="en-AU"/>
        </w:rPr>
        <w:t>minimum number of MEI candidates based on higher CI of external ear pathologies</w:t>
      </w:r>
      <w:bookmarkEnd w:id="676"/>
    </w:p>
    <w:tbl>
      <w:tblPr>
        <w:tblW w:w="10591" w:type="dxa"/>
        <w:jc w:val="center"/>
        <w:tblLook w:val="04A0" w:firstRow="1" w:lastRow="0" w:firstColumn="1" w:lastColumn="0" w:noHBand="0" w:noVBand="1"/>
        <w:tblDescription w:val="Estimated minimum number of MEI candidates based on higher CI of external ear pathologies"/>
      </w:tblPr>
      <w:tblGrid>
        <w:gridCol w:w="3088"/>
        <w:gridCol w:w="1067"/>
        <w:gridCol w:w="1160"/>
        <w:gridCol w:w="1066"/>
        <w:gridCol w:w="1017"/>
        <w:gridCol w:w="1159"/>
        <w:gridCol w:w="1017"/>
        <w:gridCol w:w="1017"/>
      </w:tblGrid>
      <w:tr w:rsidR="008A78C8" w:rsidRPr="00CA53C8" w14:paraId="5D65580B" w14:textId="77777777" w:rsidTr="00BF0EEF">
        <w:trPr>
          <w:trHeight w:val="618"/>
          <w:jc w:val="center"/>
        </w:trPr>
        <w:tc>
          <w:tcPr>
            <w:tcW w:w="3088"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56EEC270" w14:textId="77777777" w:rsidR="008A78C8" w:rsidRPr="00CA53C8" w:rsidRDefault="008A78C8" w:rsidP="0014277A">
            <w:pPr>
              <w:rPr>
                <w:rFonts w:cs="Arial"/>
                <w:b/>
                <w:bCs/>
                <w:color w:val="000000"/>
                <w:sz w:val="20"/>
                <w:szCs w:val="20"/>
                <w:lang w:val="en-US" w:eastAsia="en-US"/>
              </w:rPr>
            </w:pPr>
            <w:r w:rsidRPr="00CA53C8">
              <w:rPr>
                <w:rFonts w:cs="Arial"/>
                <w:b/>
                <w:bCs/>
                <w:color w:val="000000"/>
                <w:sz w:val="20"/>
                <w:szCs w:val="20"/>
                <w:lang w:val="en-US" w:eastAsia="en-US"/>
              </w:rPr>
              <w:t>Description</w:t>
            </w:r>
          </w:p>
        </w:tc>
        <w:tc>
          <w:tcPr>
            <w:tcW w:w="1067" w:type="dxa"/>
            <w:tcBorders>
              <w:top w:val="single" w:sz="8" w:space="0" w:color="auto"/>
              <w:left w:val="nil"/>
              <w:bottom w:val="single" w:sz="4" w:space="0" w:color="auto"/>
              <w:right w:val="single" w:sz="4" w:space="0" w:color="auto"/>
            </w:tcBorders>
            <w:shd w:val="clear" w:color="auto" w:fill="auto"/>
            <w:noWrap/>
            <w:vAlign w:val="center"/>
            <w:hideMark/>
          </w:tcPr>
          <w:p w14:paraId="20A627EB" w14:textId="77777777" w:rsidR="008A78C8" w:rsidRPr="00CA53C8" w:rsidRDefault="008A78C8" w:rsidP="0014277A">
            <w:pPr>
              <w:jc w:val="center"/>
              <w:rPr>
                <w:rFonts w:cs="Arial"/>
                <w:b/>
                <w:bCs/>
                <w:color w:val="000000"/>
                <w:sz w:val="20"/>
                <w:szCs w:val="20"/>
                <w:lang w:val="en-US" w:eastAsia="en-US"/>
              </w:rPr>
            </w:pPr>
            <w:r w:rsidRPr="00CA53C8">
              <w:rPr>
                <w:rFonts w:cs="Arial"/>
                <w:b/>
                <w:bCs/>
                <w:color w:val="000000"/>
                <w:sz w:val="20"/>
                <w:szCs w:val="20"/>
                <w:lang w:val="en-US" w:eastAsia="en-US"/>
              </w:rPr>
              <w:t>Method</w:t>
            </w:r>
          </w:p>
        </w:tc>
        <w:tc>
          <w:tcPr>
            <w:tcW w:w="1160" w:type="dxa"/>
            <w:tcBorders>
              <w:top w:val="single" w:sz="8" w:space="0" w:color="auto"/>
              <w:left w:val="nil"/>
              <w:bottom w:val="single" w:sz="4" w:space="0" w:color="auto"/>
              <w:right w:val="single" w:sz="4" w:space="0" w:color="auto"/>
            </w:tcBorders>
            <w:shd w:val="clear" w:color="auto" w:fill="auto"/>
            <w:vAlign w:val="center"/>
            <w:hideMark/>
          </w:tcPr>
          <w:p w14:paraId="2156250F" w14:textId="77777777" w:rsidR="008A78C8" w:rsidRPr="00CA53C8" w:rsidRDefault="008A78C8" w:rsidP="0014277A">
            <w:pPr>
              <w:jc w:val="center"/>
              <w:rPr>
                <w:rFonts w:cs="Arial"/>
                <w:b/>
                <w:bCs/>
                <w:color w:val="000000"/>
                <w:sz w:val="20"/>
                <w:szCs w:val="20"/>
                <w:lang w:val="en-US" w:eastAsia="en-US"/>
              </w:rPr>
            </w:pPr>
            <w:r w:rsidRPr="00CA53C8">
              <w:rPr>
                <w:rFonts w:cs="Arial"/>
                <w:b/>
                <w:bCs/>
                <w:color w:val="000000"/>
                <w:sz w:val="20"/>
                <w:szCs w:val="20"/>
                <w:lang w:val="en-US" w:eastAsia="en-US"/>
              </w:rPr>
              <w:t>current (2016)</w:t>
            </w:r>
          </w:p>
        </w:tc>
        <w:tc>
          <w:tcPr>
            <w:tcW w:w="1066" w:type="dxa"/>
            <w:tcBorders>
              <w:top w:val="single" w:sz="8" w:space="0" w:color="auto"/>
              <w:left w:val="nil"/>
              <w:bottom w:val="single" w:sz="4" w:space="0" w:color="auto"/>
              <w:right w:val="single" w:sz="4" w:space="0" w:color="auto"/>
            </w:tcBorders>
            <w:shd w:val="clear" w:color="auto" w:fill="auto"/>
            <w:vAlign w:val="center"/>
            <w:hideMark/>
          </w:tcPr>
          <w:p w14:paraId="00D87D41" w14:textId="77777777" w:rsidR="008A78C8" w:rsidRPr="00CA53C8" w:rsidRDefault="008A78C8" w:rsidP="0014277A">
            <w:pPr>
              <w:jc w:val="center"/>
              <w:rPr>
                <w:rFonts w:cs="Arial"/>
                <w:b/>
                <w:bCs/>
                <w:color w:val="000000"/>
                <w:sz w:val="20"/>
                <w:szCs w:val="20"/>
                <w:lang w:val="en-US" w:eastAsia="en-US"/>
              </w:rPr>
            </w:pPr>
            <w:r w:rsidRPr="00CA53C8">
              <w:rPr>
                <w:rFonts w:cs="Arial"/>
                <w:b/>
                <w:bCs/>
                <w:color w:val="000000"/>
                <w:sz w:val="20"/>
                <w:szCs w:val="20"/>
                <w:lang w:val="en-US" w:eastAsia="en-US"/>
              </w:rPr>
              <w:t>2017</w:t>
            </w:r>
          </w:p>
        </w:tc>
        <w:tc>
          <w:tcPr>
            <w:tcW w:w="1017" w:type="dxa"/>
            <w:tcBorders>
              <w:top w:val="single" w:sz="8" w:space="0" w:color="auto"/>
              <w:left w:val="nil"/>
              <w:bottom w:val="single" w:sz="4" w:space="0" w:color="auto"/>
              <w:right w:val="single" w:sz="4" w:space="0" w:color="auto"/>
            </w:tcBorders>
            <w:shd w:val="clear" w:color="auto" w:fill="auto"/>
            <w:vAlign w:val="center"/>
            <w:hideMark/>
          </w:tcPr>
          <w:p w14:paraId="0C49E110" w14:textId="77777777" w:rsidR="008A78C8" w:rsidRPr="00CA53C8" w:rsidRDefault="008A78C8" w:rsidP="0014277A">
            <w:pPr>
              <w:jc w:val="center"/>
              <w:rPr>
                <w:rFonts w:cs="Arial"/>
                <w:b/>
                <w:bCs/>
                <w:color w:val="000000"/>
                <w:sz w:val="20"/>
                <w:szCs w:val="20"/>
                <w:lang w:val="en-US" w:eastAsia="en-US"/>
              </w:rPr>
            </w:pPr>
            <w:r w:rsidRPr="00CA53C8">
              <w:rPr>
                <w:rFonts w:cs="Arial"/>
                <w:b/>
                <w:bCs/>
                <w:color w:val="000000"/>
                <w:sz w:val="20"/>
                <w:szCs w:val="20"/>
                <w:lang w:val="en-US" w:eastAsia="en-US"/>
              </w:rPr>
              <w:t>2018</w:t>
            </w:r>
          </w:p>
        </w:tc>
        <w:tc>
          <w:tcPr>
            <w:tcW w:w="1159" w:type="dxa"/>
            <w:tcBorders>
              <w:top w:val="single" w:sz="8" w:space="0" w:color="auto"/>
              <w:left w:val="nil"/>
              <w:bottom w:val="single" w:sz="4" w:space="0" w:color="auto"/>
              <w:right w:val="single" w:sz="4" w:space="0" w:color="auto"/>
            </w:tcBorders>
            <w:shd w:val="clear" w:color="auto" w:fill="auto"/>
            <w:vAlign w:val="center"/>
            <w:hideMark/>
          </w:tcPr>
          <w:p w14:paraId="094BCA01" w14:textId="77777777" w:rsidR="008A78C8" w:rsidRPr="00CA53C8" w:rsidRDefault="008A78C8" w:rsidP="0014277A">
            <w:pPr>
              <w:jc w:val="center"/>
              <w:rPr>
                <w:rFonts w:cs="Arial"/>
                <w:b/>
                <w:bCs/>
                <w:color w:val="000000"/>
                <w:sz w:val="20"/>
                <w:szCs w:val="20"/>
                <w:lang w:val="en-US" w:eastAsia="en-US"/>
              </w:rPr>
            </w:pPr>
            <w:r w:rsidRPr="00CA53C8">
              <w:rPr>
                <w:rFonts w:cs="Arial"/>
                <w:b/>
                <w:bCs/>
                <w:color w:val="000000"/>
                <w:sz w:val="20"/>
                <w:szCs w:val="20"/>
                <w:lang w:val="en-US" w:eastAsia="en-US"/>
              </w:rPr>
              <w:t>2019</w:t>
            </w:r>
          </w:p>
        </w:tc>
        <w:tc>
          <w:tcPr>
            <w:tcW w:w="1017" w:type="dxa"/>
            <w:tcBorders>
              <w:top w:val="single" w:sz="8" w:space="0" w:color="auto"/>
              <w:left w:val="nil"/>
              <w:bottom w:val="single" w:sz="4" w:space="0" w:color="auto"/>
              <w:right w:val="single" w:sz="4" w:space="0" w:color="auto"/>
            </w:tcBorders>
            <w:shd w:val="clear" w:color="auto" w:fill="auto"/>
            <w:vAlign w:val="center"/>
            <w:hideMark/>
          </w:tcPr>
          <w:p w14:paraId="3B914744" w14:textId="77777777" w:rsidR="008A78C8" w:rsidRPr="00CA53C8" w:rsidRDefault="008A78C8" w:rsidP="0014277A">
            <w:pPr>
              <w:jc w:val="center"/>
              <w:rPr>
                <w:rFonts w:cs="Arial"/>
                <w:b/>
                <w:bCs/>
                <w:color w:val="000000"/>
                <w:sz w:val="20"/>
                <w:szCs w:val="20"/>
                <w:lang w:val="en-US" w:eastAsia="en-US"/>
              </w:rPr>
            </w:pPr>
            <w:r w:rsidRPr="00CA53C8">
              <w:rPr>
                <w:rFonts w:cs="Arial"/>
                <w:b/>
                <w:bCs/>
                <w:color w:val="000000"/>
                <w:sz w:val="20"/>
                <w:szCs w:val="20"/>
                <w:lang w:val="en-US" w:eastAsia="en-US"/>
              </w:rPr>
              <w:t>2020</w:t>
            </w:r>
          </w:p>
        </w:tc>
        <w:tc>
          <w:tcPr>
            <w:tcW w:w="1017" w:type="dxa"/>
            <w:tcBorders>
              <w:top w:val="single" w:sz="8" w:space="0" w:color="auto"/>
              <w:left w:val="nil"/>
              <w:bottom w:val="single" w:sz="4" w:space="0" w:color="auto"/>
              <w:right w:val="single" w:sz="8" w:space="0" w:color="auto"/>
            </w:tcBorders>
            <w:shd w:val="clear" w:color="auto" w:fill="auto"/>
            <w:vAlign w:val="center"/>
            <w:hideMark/>
          </w:tcPr>
          <w:p w14:paraId="4F67D50E" w14:textId="77777777" w:rsidR="008A78C8" w:rsidRPr="00CA53C8" w:rsidRDefault="008A78C8" w:rsidP="0014277A">
            <w:pPr>
              <w:jc w:val="center"/>
              <w:rPr>
                <w:rFonts w:cs="Arial"/>
                <w:b/>
                <w:bCs/>
                <w:color w:val="000000"/>
                <w:sz w:val="20"/>
                <w:szCs w:val="20"/>
                <w:lang w:val="en-US" w:eastAsia="en-US"/>
              </w:rPr>
            </w:pPr>
            <w:r w:rsidRPr="00CA53C8">
              <w:rPr>
                <w:rFonts w:cs="Arial"/>
                <w:b/>
                <w:bCs/>
                <w:color w:val="000000"/>
                <w:sz w:val="20"/>
                <w:szCs w:val="20"/>
                <w:lang w:val="en-US" w:eastAsia="en-US"/>
              </w:rPr>
              <w:t>2021</w:t>
            </w:r>
          </w:p>
        </w:tc>
      </w:tr>
      <w:tr w:rsidR="008A78C8" w:rsidRPr="00CA53C8" w14:paraId="7894F58B" w14:textId="77777777" w:rsidTr="00BF0EEF">
        <w:trPr>
          <w:trHeight w:val="465"/>
          <w:jc w:val="center"/>
        </w:trPr>
        <w:tc>
          <w:tcPr>
            <w:tcW w:w="3088" w:type="dxa"/>
            <w:tcBorders>
              <w:top w:val="nil"/>
              <w:left w:val="single" w:sz="4" w:space="0" w:color="auto"/>
              <w:bottom w:val="single" w:sz="4" w:space="0" w:color="auto"/>
              <w:right w:val="single" w:sz="4" w:space="0" w:color="auto"/>
            </w:tcBorders>
            <w:shd w:val="clear" w:color="auto" w:fill="auto"/>
            <w:vAlign w:val="center"/>
            <w:hideMark/>
          </w:tcPr>
          <w:p w14:paraId="13EF95A9" w14:textId="77777777" w:rsidR="008A78C8" w:rsidRPr="00CA53C8" w:rsidRDefault="008A78C8" w:rsidP="0014277A">
            <w:pPr>
              <w:rPr>
                <w:rFonts w:cs="Arial"/>
                <w:color w:val="000000"/>
                <w:sz w:val="18"/>
                <w:szCs w:val="18"/>
                <w:lang w:val="en-US" w:eastAsia="en-US"/>
              </w:rPr>
            </w:pPr>
            <w:r w:rsidRPr="00CA53C8">
              <w:rPr>
                <w:rFonts w:cs="Arial"/>
                <w:color w:val="000000"/>
                <w:sz w:val="18"/>
                <w:szCs w:val="18"/>
                <w:lang w:val="en-US" w:eastAsia="en-US"/>
              </w:rPr>
              <w:t>Australian population</w:t>
            </w:r>
          </w:p>
        </w:tc>
        <w:tc>
          <w:tcPr>
            <w:tcW w:w="1067" w:type="dxa"/>
            <w:tcBorders>
              <w:top w:val="nil"/>
              <w:left w:val="nil"/>
              <w:bottom w:val="single" w:sz="4" w:space="0" w:color="auto"/>
              <w:right w:val="single" w:sz="4" w:space="0" w:color="auto"/>
            </w:tcBorders>
            <w:shd w:val="clear" w:color="auto" w:fill="auto"/>
            <w:noWrap/>
            <w:vAlign w:val="center"/>
            <w:hideMark/>
          </w:tcPr>
          <w:p w14:paraId="694D2AF1" w14:textId="77777777" w:rsidR="008A78C8" w:rsidRPr="00CA53C8" w:rsidRDefault="008A78C8" w:rsidP="0014277A">
            <w:pPr>
              <w:jc w:val="center"/>
              <w:rPr>
                <w:rFonts w:cs="Arial"/>
                <w:color w:val="000000"/>
                <w:sz w:val="18"/>
                <w:szCs w:val="18"/>
                <w:lang w:val="en-US" w:eastAsia="en-US"/>
              </w:rPr>
            </w:pPr>
            <w:r w:rsidRPr="00CA53C8">
              <w:rPr>
                <w:rFonts w:cs="Arial"/>
                <w:color w:val="000000"/>
                <w:sz w:val="18"/>
                <w:szCs w:val="18"/>
                <w:lang w:val="en-US" w:eastAsia="en-US"/>
              </w:rPr>
              <w:t>ABS</w:t>
            </w:r>
          </w:p>
        </w:tc>
        <w:tc>
          <w:tcPr>
            <w:tcW w:w="1160" w:type="dxa"/>
            <w:tcBorders>
              <w:top w:val="nil"/>
              <w:left w:val="nil"/>
              <w:bottom w:val="single" w:sz="4" w:space="0" w:color="auto"/>
              <w:right w:val="single" w:sz="4" w:space="0" w:color="auto"/>
            </w:tcBorders>
            <w:shd w:val="clear" w:color="auto" w:fill="auto"/>
            <w:noWrap/>
            <w:vAlign w:val="center"/>
            <w:hideMark/>
          </w:tcPr>
          <w:p w14:paraId="50754261" w14:textId="77777777" w:rsidR="008A78C8" w:rsidRPr="00CA53C8" w:rsidRDefault="008A78C8" w:rsidP="00630055">
            <w:pPr>
              <w:jc w:val="center"/>
              <w:rPr>
                <w:rFonts w:cs="Arial"/>
                <w:color w:val="000000"/>
                <w:sz w:val="18"/>
                <w:szCs w:val="18"/>
                <w:lang w:val="en-US" w:eastAsia="en-US"/>
              </w:rPr>
            </w:pPr>
            <w:r w:rsidRPr="00CA53C8">
              <w:rPr>
                <w:rFonts w:cs="Arial"/>
                <w:color w:val="000000"/>
                <w:sz w:val="18"/>
                <w:szCs w:val="18"/>
                <w:lang w:val="en-US" w:eastAsia="en-US"/>
              </w:rPr>
              <w:t>24359761</w:t>
            </w:r>
          </w:p>
        </w:tc>
        <w:tc>
          <w:tcPr>
            <w:tcW w:w="1066" w:type="dxa"/>
            <w:tcBorders>
              <w:top w:val="nil"/>
              <w:left w:val="nil"/>
              <w:bottom w:val="single" w:sz="4" w:space="0" w:color="auto"/>
              <w:right w:val="single" w:sz="4" w:space="0" w:color="auto"/>
            </w:tcBorders>
            <w:shd w:val="clear" w:color="auto" w:fill="auto"/>
            <w:noWrap/>
            <w:vAlign w:val="center"/>
            <w:hideMark/>
          </w:tcPr>
          <w:p w14:paraId="3D80737B" w14:textId="77777777" w:rsidR="008A78C8" w:rsidRPr="00CA53C8" w:rsidRDefault="008A78C8" w:rsidP="00630055">
            <w:pPr>
              <w:jc w:val="center"/>
              <w:rPr>
                <w:rFonts w:cs="Arial"/>
                <w:color w:val="000000"/>
                <w:sz w:val="18"/>
                <w:szCs w:val="18"/>
                <w:lang w:val="en-US" w:eastAsia="en-US"/>
              </w:rPr>
            </w:pPr>
            <w:r w:rsidRPr="00CA53C8">
              <w:rPr>
                <w:rFonts w:cs="Arial"/>
                <w:color w:val="000000"/>
                <w:sz w:val="18"/>
                <w:szCs w:val="18"/>
                <w:lang w:val="en-US" w:eastAsia="en-US"/>
              </w:rPr>
              <w:t>24781121</w:t>
            </w:r>
          </w:p>
        </w:tc>
        <w:tc>
          <w:tcPr>
            <w:tcW w:w="1017" w:type="dxa"/>
            <w:tcBorders>
              <w:top w:val="nil"/>
              <w:left w:val="nil"/>
              <w:bottom w:val="single" w:sz="4" w:space="0" w:color="auto"/>
              <w:right w:val="single" w:sz="4" w:space="0" w:color="auto"/>
            </w:tcBorders>
            <w:shd w:val="clear" w:color="auto" w:fill="auto"/>
            <w:noWrap/>
            <w:vAlign w:val="center"/>
            <w:hideMark/>
          </w:tcPr>
          <w:p w14:paraId="03DB1346" w14:textId="77777777" w:rsidR="008A78C8" w:rsidRPr="00CA53C8" w:rsidRDefault="008A78C8" w:rsidP="00630055">
            <w:pPr>
              <w:jc w:val="center"/>
              <w:rPr>
                <w:rFonts w:cs="Arial"/>
                <w:color w:val="000000"/>
                <w:sz w:val="18"/>
                <w:szCs w:val="18"/>
                <w:lang w:val="en-US" w:eastAsia="en-US"/>
              </w:rPr>
            </w:pPr>
            <w:r w:rsidRPr="00CA53C8">
              <w:rPr>
                <w:rFonts w:cs="Arial"/>
                <w:color w:val="000000"/>
                <w:sz w:val="18"/>
                <w:szCs w:val="18"/>
                <w:lang w:val="en-US" w:eastAsia="en-US"/>
              </w:rPr>
              <w:t>25201317</w:t>
            </w:r>
          </w:p>
        </w:tc>
        <w:tc>
          <w:tcPr>
            <w:tcW w:w="1159" w:type="dxa"/>
            <w:tcBorders>
              <w:top w:val="nil"/>
              <w:left w:val="nil"/>
              <w:bottom w:val="single" w:sz="4" w:space="0" w:color="auto"/>
              <w:right w:val="single" w:sz="4" w:space="0" w:color="auto"/>
            </w:tcBorders>
            <w:shd w:val="clear" w:color="auto" w:fill="auto"/>
            <w:noWrap/>
            <w:vAlign w:val="center"/>
            <w:hideMark/>
          </w:tcPr>
          <w:p w14:paraId="067F12E4" w14:textId="77777777" w:rsidR="008A78C8" w:rsidRPr="00CA53C8" w:rsidRDefault="008A78C8" w:rsidP="00630055">
            <w:pPr>
              <w:jc w:val="center"/>
              <w:rPr>
                <w:rFonts w:cs="Arial"/>
                <w:color w:val="000000"/>
                <w:sz w:val="18"/>
                <w:szCs w:val="18"/>
                <w:lang w:val="en-US" w:eastAsia="en-US"/>
              </w:rPr>
            </w:pPr>
            <w:r w:rsidRPr="00CA53C8">
              <w:rPr>
                <w:rFonts w:cs="Arial"/>
                <w:color w:val="000000"/>
                <w:sz w:val="18"/>
                <w:szCs w:val="18"/>
                <w:lang w:val="en-US" w:eastAsia="en-US"/>
              </w:rPr>
              <w:t>25619895</w:t>
            </w:r>
          </w:p>
        </w:tc>
        <w:tc>
          <w:tcPr>
            <w:tcW w:w="1017" w:type="dxa"/>
            <w:tcBorders>
              <w:top w:val="nil"/>
              <w:left w:val="nil"/>
              <w:bottom w:val="single" w:sz="4" w:space="0" w:color="auto"/>
              <w:right w:val="single" w:sz="4" w:space="0" w:color="auto"/>
            </w:tcBorders>
            <w:shd w:val="clear" w:color="auto" w:fill="auto"/>
            <w:noWrap/>
            <w:vAlign w:val="center"/>
            <w:hideMark/>
          </w:tcPr>
          <w:p w14:paraId="5404599E" w14:textId="77777777" w:rsidR="008A78C8" w:rsidRPr="00CA53C8" w:rsidRDefault="008A78C8" w:rsidP="00630055">
            <w:pPr>
              <w:jc w:val="center"/>
              <w:rPr>
                <w:rFonts w:cs="Arial"/>
                <w:color w:val="000000"/>
                <w:sz w:val="18"/>
                <w:szCs w:val="18"/>
                <w:lang w:val="en-US" w:eastAsia="en-US"/>
              </w:rPr>
            </w:pPr>
            <w:r w:rsidRPr="00CA53C8">
              <w:rPr>
                <w:rFonts w:cs="Arial"/>
                <w:color w:val="000000"/>
                <w:sz w:val="18"/>
                <w:szCs w:val="18"/>
                <w:lang w:val="en-US" w:eastAsia="en-US"/>
              </w:rPr>
              <w:t>26037356</w:t>
            </w:r>
          </w:p>
        </w:tc>
        <w:tc>
          <w:tcPr>
            <w:tcW w:w="1017" w:type="dxa"/>
            <w:tcBorders>
              <w:top w:val="nil"/>
              <w:left w:val="nil"/>
              <w:bottom w:val="single" w:sz="4" w:space="0" w:color="auto"/>
              <w:right w:val="single" w:sz="8" w:space="0" w:color="auto"/>
            </w:tcBorders>
            <w:shd w:val="clear" w:color="auto" w:fill="auto"/>
            <w:noWrap/>
            <w:vAlign w:val="center"/>
            <w:hideMark/>
          </w:tcPr>
          <w:p w14:paraId="45EEE35B" w14:textId="77777777" w:rsidR="008A78C8" w:rsidRPr="00CA53C8" w:rsidRDefault="008A78C8" w:rsidP="00630055">
            <w:pPr>
              <w:jc w:val="center"/>
              <w:rPr>
                <w:rFonts w:cs="Arial"/>
                <w:color w:val="000000"/>
                <w:sz w:val="18"/>
                <w:szCs w:val="18"/>
                <w:lang w:val="en-US" w:eastAsia="en-US"/>
              </w:rPr>
            </w:pPr>
            <w:r w:rsidRPr="00CA53C8">
              <w:rPr>
                <w:rFonts w:cs="Arial"/>
                <w:color w:val="000000"/>
                <w:sz w:val="18"/>
                <w:szCs w:val="18"/>
                <w:lang w:val="en-US" w:eastAsia="en-US"/>
              </w:rPr>
              <w:t>26479991</w:t>
            </w:r>
          </w:p>
        </w:tc>
      </w:tr>
      <w:tr w:rsidR="008A78C8" w:rsidRPr="00CA53C8" w14:paraId="31EF8E84" w14:textId="77777777" w:rsidTr="00BF0EEF">
        <w:trPr>
          <w:trHeight w:val="405"/>
          <w:jc w:val="center"/>
        </w:trPr>
        <w:tc>
          <w:tcPr>
            <w:tcW w:w="3088" w:type="dxa"/>
            <w:tcBorders>
              <w:top w:val="nil"/>
              <w:left w:val="single" w:sz="4" w:space="0" w:color="auto"/>
              <w:bottom w:val="single" w:sz="4" w:space="0" w:color="auto"/>
              <w:right w:val="single" w:sz="4" w:space="0" w:color="auto"/>
            </w:tcBorders>
            <w:shd w:val="clear" w:color="auto" w:fill="auto"/>
            <w:vAlign w:val="center"/>
            <w:hideMark/>
          </w:tcPr>
          <w:p w14:paraId="059CCD63" w14:textId="77777777" w:rsidR="008A78C8" w:rsidRPr="00CA53C8" w:rsidRDefault="008A78C8" w:rsidP="0014277A">
            <w:pPr>
              <w:rPr>
                <w:rFonts w:cs="Arial"/>
                <w:color w:val="000000"/>
                <w:sz w:val="18"/>
                <w:szCs w:val="18"/>
                <w:lang w:val="en-US" w:eastAsia="en-US"/>
              </w:rPr>
            </w:pPr>
            <w:r w:rsidRPr="00CA53C8">
              <w:rPr>
                <w:rFonts w:cs="Arial"/>
                <w:color w:val="000000"/>
                <w:sz w:val="18"/>
                <w:szCs w:val="18"/>
                <w:lang w:val="en-US" w:eastAsia="en-US"/>
              </w:rPr>
              <w:t>Number of Australian adults</w:t>
            </w:r>
          </w:p>
        </w:tc>
        <w:tc>
          <w:tcPr>
            <w:tcW w:w="1067" w:type="dxa"/>
            <w:tcBorders>
              <w:top w:val="nil"/>
              <w:left w:val="nil"/>
              <w:bottom w:val="single" w:sz="4" w:space="0" w:color="auto"/>
              <w:right w:val="single" w:sz="4" w:space="0" w:color="auto"/>
            </w:tcBorders>
            <w:shd w:val="clear" w:color="auto" w:fill="auto"/>
            <w:noWrap/>
            <w:vAlign w:val="center"/>
            <w:hideMark/>
          </w:tcPr>
          <w:p w14:paraId="6B7FF40D" w14:textId="77777777" w:rsidR="008A78C8" w:rsidRPr="00CA53C8" w:rsidRDefault="008A78C8" w:rsidP="0014277A">
            <w:pPr>
              <w:jc w:val="center"/>
              <w:rPr>
                <w:rFonts w:cs="Arial"/>
                <w:color w:val="000000"/>
                <w:sz w:val="18"/>
                <w:szCs w:val="18"/>
                <w:lang w:val="en-US" w:eastAsia="en-US"/>
              </w:rPr>
            </w:pPr>
            <w:r w:rsidRPr="00CA53C8">
              <w:rPr>
                <w:rFonts w:cs="Arial"/>
                <w:color w:val="000000"/>
                <w:sz w:val="18"/>
                <w:szCs w:val="18"/>
                <w:lang w:val="en-US" w:eastAsia="en-US"/>
              </w:rPr>
              <w:t>ABS</w:t>
            </w:r>
          </w:p>
        </w:tc>
        <w:tc>
          <w:tcPr>
            <w:tcW w:w="1160" w:type="dxa"/>
            <w:tcBorders>
              <w:top w:val="nil"/>
              <w:left w:val="nil"/>
              <w:bottom w:val="single" w:sz="4" w:space="0" w:color="auto"/>
              <w:right w:val="single" w:sz="4" w:space="0" w:color="auto"/>
            </w:tcBorders>
            <w:shd w:val="clear" w:color="auto" w:fill="auto"/>
            <w:noWrap/>
            <w:vAlign w:val="center"/>
            <w:hideMark/>
          </w:tcPr>
          <w:p w14:paraId="26C2938E" w14:textId="77777777" w:rsidR="008A78C8" w:rsidRPr="00CA53C8" w:rsidRDefault="008A78C8" w:rsidP="00630055">
            <w:pPr>
              <w:jc w:val="center"/>
              <w:rPr>
                <w:rFonts w:cs="Arial"/>
                <w:color w:val="000000"/>
                <w:sz w:val="18"/>
                <w:szCs w:val="18"/>
                <w:lang w:val="en-US" w:eastAsia="en-US"/>
              </w:rPr>
            </w:pPr>
            <w:r w:rsidRPr="00CA53C8">
              <w:rPr>
                <w:rFonts w:cs="Arial"/>
                <w:color w:val="000000"/>
                <w:sz w:val="18"/>
                <w:szCs w:val="18"/>
                <w:lang w:val="en-US" w:eastAsia="en-US"/>
              </w:rPr>
              <w:t>18871777</w:t>
            </w:r>
          </w:p>
        </w:tc>
        <w:tc>
          <w:tcPr>
            <w:tcW w:w="1066" w:type="dxa"/>
            <w:tcBorders>
              <w:top w:val="nil"/>
              <w:left w:val="nil"/>
              <w:bottom w:val="single" w:sz="4" w:space="0" w:color="auto"/>
              <w:right w:val="single" w:sz="4" w:space="0" w:color="auto"/>
            </w:tcBorders>
            <w:shd w:val="clear" w:color="auto" w:fill="auto"/>
            <w:noWrap/>
            <w:vAlign w:val="center"/>
            <w:hideMark/>
          </w:tcPr>
          <w:p w14:paraId="11A37998" w14:textId="77777777" w:rsidR="008A78C8" w:rsidRPr="00CA53C8" w:rsidRDefault="008A78C8" w:rsidP="00630055">
            <w:pPr>
              <w:jc w:val="center"/>
              <w:rPr>
                <w:rFonts w:cs="Arial"/>
                <w:color w:val="000000"/>
                <w:sz w:val="18"/>
                <w:szCs w:val="18"/>
                <w:lang w:val="en-US" w:eastAsia="en-US"/>
              </w:rPr>
            </w:pPr>
            <w:r w:rsidRPr="00CA53C8">
              <w:rPr>
                <w:rFonts w:cs="Arial"/>
                <w:color w:val="000000"/>
                <w:sz w:val="18"/>
                <w:szCs w:val="18"/>
                <w:lang w:val="en-US" w:eastAsia="en-US"/>
              </w:rPr>
              <w:t>19201809</w:t>
            </w:r>
          </w:p>
        </w:tc>
        <w:tc>
          <w:tcPr>
            <w:tcW w:w="1017" w:type="dxa"/>
            <w:tcBorders>
              <w:top w:val="nil"/>
              <w:left w:val="nil"/>
              <w:bottom w:val="single" w:sz="4" w:space="0" w:color="auto"/>
              <w:right w:val="single" w:sz="4" w:space="0" w:color="auto"/>
            </w:tcBorders>
            <w:shd w:val="clear" w:color="auto" w:fill="auto"/>
            <w:noWrap/>
            <w:vAlign w:val="center"/>
            <w:hideMark/>
          </w:tcPr>
          <w:p w14:paraId="477C68E0" w14:textId="77777777" w:rsidR="008A78C8" w:rsidRPr="00CA53C8" w:rsidRDefault="008A78C8" w:rsidP="00630055">
            <w:pPr>
              <w:jc w:val="center"/>
              <w:rPr>
                <w:rFonts w:cs="Arial"/>
                <w:color w:val="000000"/>
                <w:sz w:val="18"/>
                <w:szCs w:val="18"/>
                <w:lang w:val="en-US" w:eastAsia="en-US"/>
              </w:rPr>
            </w:pPr>
            <w:r w:rsidRPr="00CA53C8">
              <w:rPr>
                <w:rFonts w:cs="Arial"/>
                <w:color w:val="000000"/>
                <w:sz w:val="18"/>
                <w:szCs w:val="18"/>
                <w:lang w:val="en-US" w:eastAsia="en-US"/>
              </w:rPr>
              <w:t>19529153</w:t>
            </w:r>
          </w:p>
        </w:tc>
        <w:tc>
          <w:tcPr>
            <w:tcW w:w="1159" w:type="dxa"/>
            <w:tcBorders>
              <w:top w:val="nil"/>
              <w:left w:val="nil"/>
              <w:bottom w:val="single" w:sz="4" w:space="0" w:color="auto"/>
              <w:right w:val="single" w:sz="4" w:space="0" w:color="auto"/>
            </w:tcBorders>
            <w:shd w:val="clear" w:color="auto" w:fill="auto"/>
            <w:noWrap/>
            <w:vAlign w:val="center"/>
            <w:hideMark/>
          </w:tcPr>
          <w:p w14:paraId="0AD03D1C" w14:textId="77777777" w:rsidR="008A78C8" w:rsidRPr="00CA53C8" w:rsidRDefault="008A78C8" w:rsidP="00630055">
            <w:pPr>
              <w:jc w:val="center"/>
              <w:rPr>
                <w:rFonts w:cs="Arial"/>
                <w:color w:val="000000"/>
                <w:sz w:val="18"/>
                <w:szCs w:val="18"/>
                <w:lang w:val="en-US" w:eastAsia="en-US"/>
              </w:rPr>
            </w:pPr>
            <w:r w:rsidRPr="00CA53C8">
              <w:rPr>
                <w:rFonts w:cs="Arial"/>
                <w:color w:val="000000"/>
                <w:sz w:val="18"/>
                <w:szCs w:val="18"/>
                <w:lang w:val="en-US" w:eastAsia="en-US"/>
              </w:rPr>
              <w:t>19853831</w:t>
            </w:r>
          </w:p>
        </w:tc>
        <w:tc>
          <w:tcPr>
            <w:tcW w:w="1017" w:type="dxa"/>
            <w:tcBorders>
              <w:top w:val="nil"/>
              <w:left w:val="nil"/>
              <w:bottom w:val="single" w:sz="4" w:space="0" w:color="auto"/>
              <w:right w:val="single" w:sz="4" w:space="0" w:color="auto"/>
            </w:tcBorders>
            <w:shd w:val="clear" w:color="auto" w:fill="auto"/>
            <w:noWrap/>
            <w:vAlign w:val="center"/>
            <w:hideMark/>
          </w:tcPr>
          <w:p w14:paraId="71C50594" w14:textId="77777777" w:rsidR="008A78C8" w:rsidRPr="00CA53C8" w:rsidRDefault="008A78C8" w:rsidP="00630055">
            <w:pPr>
              <w:jc w:val="center"/>
              <w:rPr>
                <w:rFonts w:cs="Arial"/>
                <w:color w:val="000000"/>
                <w:sz w:val="18"/>
                <w:szCs w:val="18"/>
                <w:lang w:val="en-US" w:eastAsia="en-US"/>
              </w:rPr>
            </w:pPr>
            <w:r w:rsidRPr="00CA53C8">
              <w:rPr>
                <w:rFonts w:cs="Arial"/>
                <w:color w:val="000000"/>
                <w:sz w:val="18"/>
                <w:szCs w:val="18"/>
                <w:lang w:val="en-US" w:eastAsia="en-US"/>
              </w:rPr>
              <w:t>20173593</w:t>
            </w:r>
          </w:p>
        </w:tc>
        <w:tc>
          <w:tcPr>
            <w:tcW w:w="1017" w:type="dxa"/>
            <w:tcBorders>
              <w:top w:val="nil"/>
              <w:left w:val="nil"/>
              <w:bottom w:val="single" w:sz="4" w:space="0" w:color="auto"/>
              <w:right w:val="single" w:sz="8" w:space="0" w:color="auto"/>
            </w:tcBorders>
            <w:shd w:val="clear" w:color="auto" w:fill="auto"/>
            <w:noWrap/>
            <w:vAlign w:val="center"/>
            <w:hideMark/>
          </w:tcPr>
          <w:p w14:paraId="2E73F7A0" w14:textId="77777777" w:rsidR="008A78C8" w:rsidRPr="00CA53C8" w:rsidRDefault="008A78C8" w:rsidP="00630055">
            <w:pPr>
              <w:jc w:val="center"/>
              <w:rPr>
                <w:rFonts w:cs="Arial"/>
                <w:color w:val="000000"/>
                <w:sz w:val="18"/>
                <w:szCs w:val="18"/>
                <w:lang w:val="en-US" w:eastAsia="en-US"/>
              </w:rPr>
            </w:pPr>
            <w:r w:rsidRPr="00CA53C8">
              <w:rPr>
                <w:rFonts w:cs="Arial"/>
                <w:color w:val="000000"/>
                <w:sz w:val="18"/>
                <w:szCs w:val="18"/>
                <w:lang w:val="en-US" w:eastAsia="en-US"/>
              </w:rPr>
              <w:t>20516544</w:t>
            </w:r>
          </w:p>
        </w:tc>
      </w:tr>
      <w:tr w:rsidR="008A78C8" w:rsidRPr="00CA53C8" w14:paraId="52B0006E" w14:textId="77777777" w:rsidTr="00BF0EEF">
        <w:trPr>
          <w:trHeight w:val="825"/>
          <w:jc w:val="center"/>
        </w:trPr>
        <w:tc>
          <w:tcPr>
            <w:tcW w:w="3088" w:type="dxa"/>
            <w:tcBorders>
              <w:top w:val="nil"/>
              <w:left w:val="single" w:sz="4" w:space="0" w:color="auto"/>
              <w:bottom w:val="single" w:sz="4" w:space="0" w:color="auto"/>
              <w:right w:val="single" w:sz="4" w:space="0" w:color="auto"/>
            </w:tcBorders>
            <w:shd w:val="clear" w:color="auto" w:fill="auto"/>
            <w:vAlign w:val="center"/>
            <w:hideMark/>
          </w:tcPr>
          <w:p w14:paraId="4E3B2C2D" w14:textId="77777777" w:rsidR="008A78C8" w:rsidRPr="00CA53C8" w:rsidRDefault="008A78C8" w:rsidP="0014277A">
            <w:pPr>
              <w:rPr>
                <w:rFonts w:cs="Arial"/>
                <w:color w:val="000000"/>
                <w:sz w:val="18"/>
                <w:szCs w:val="18"/>
                <w:lang w:val="en-US" w:eastAsia="en-US"/>
              </w:rPr>
            </w:pPr>
            <w:r w:rsidRPr="00CA53C8">
              <w:rPr>
                <w:rFonts w:cs="Arial"/>
                <w:color w:val="000000"/>
                <w:sz w:val="18"/>
                <w:szCs w:val="18"/>
                <w:lang w:val="en-US" w:eastAsia="en-US"/>
              </w:rPr>
              <w:t>Prevalence of SNHL in the adult population (%)</w:t>
            </w:r>
          </w:p>
        </w:tc>
        <w:tc>
          <w:tcPr>
            <w:tcW w:w="1067" w:type="dxa"/>
            <w:tcBorders>
              <w:top w:val="nil"/>
              <w:left w:val="nil"/>
              <w:bottom w:val="single" w:sz="4" w:space="0" w:color="auto"/>
              <w:right w:val="single" w:sz="4" w:space="0" w:color="auto"/>
            </w:tcBorders>
            <w:shd w:val="clear" w:color="auto" w:fill="auto"/>
            <w:vAlign w:val="center"/>
            <w:hideMark/>
          </w:tcPr>
          <w:p w14:paraId="4F1AAC76" w14:textId="77777777" w:rsidR="008A78C8" w:rsidRPr="00CA53C8" w:rsidRDefault="008A78C8" w:rsidP="0014277A">
            <w:pPr>
              <w:jc w:val="center"/>
              <w:rPr>
                <w:rFonts w:cs="Arial"/>
                <w:color w:val="000000"/>
                <w:sz w:val="18"/>
                <w:szCs w:val="18"/>
                <w:lang w:val="en-US" w:eastAsia="en-US"/>
              </w:rPr>
            </w:pPr>
            <w:r w:rsidRPr="00CA53C8">
              <w:rPr>
                <w:rFonts w:cs="Arial"/>
                <w:color w:val="000000"/>
                <w:sz w:val="18"/>
                <w:szCs w:val="18"/>
                <w:lang w:val="en-US" w:eastAsia="en-US"/>
              </w:rPr>
              <w:t>Wilson et al., (1999)</w:t>
            </w:r>
          </w:p>
        </w:tc>
        <w:tc>
          <w:tcPr>
            <w:tcW w:w="1160" w:type="dxa"/>
            <w:tcBorders>
              <w:top w:val="nil"/>
              <w:left w:val="nil"/>
              <w:bottom w:val="single" w:sz="4" w:space="0" w:color="auto"/>
              <w:right w:val="single" w:sz="4" w:space="0" w:color="auto"/>
            </w:tcBorders>
            <w:shd w:val="clear" w:color="auto" w:fill="auto"/>
            <w:vAlign w:val="center"/>
            <w:hideMark/>
          </w:tcPr>
          <w:p w14:paraId="4D571D35" w14:textId="77777777" w:rsidR="008A78C8" w:rsidRPr="00CA53C8" w:rsidRDefault="008A78C8" w:rsidP="0014277A">
            <w:pPr>
              <w:jc w:val="center"/>
              <w:rPr>
                <w:rFonts w:cs="Arial"/>
                <w:color w:val="000000"/>
                <w:sz w:val="18"/>
                <w:szCs w:val="18"/>
                <w:lang w:val="en-US" w:eastAsia="en-US"/>
              </w:rPr>
            </w:pPr>
            <w:r w:rsidRPr="00CA53C8">
              <w:rPr>
                <w:rFonts w:cs="Arial"/>
                <w:color w:val="000000"/>
                <w:sz w:val="18"/>
                <w:szCs w:val="18"/>
                <w:lang w:val="en-US" w:eastAsia="en-US"/>
              </w:rPr>
              <w:t>20,20%</w:t>
            </w:r>
          </w:p>
        </w:tc>
        <w:tc>
          <w:tcPr>
            <w:tcW w:w="1066" w:type="dxa"/>
            <w:tcBorders>
              <w:top w:val="nil"/>
              <w:left w:val="nil"/>
              <w:bottom w:val="single" w:sz="4" w:space="0" w:color="auto"/>
              <w:right w:val="single" w:sz="4" w:space="0" w:color="auto"/>
            </w:tcBorders>
            <w:shd w:val="clear" w:color="auto" w:fill="auto"/>
            <w:vAlign w:val="center"/>
            <w:hideMark/>
          </w:tcPr>
          <w:p w14:paraId="22085B23" w14:textId="77777777" w:rsidR="008A78C8" w:rsidRPr="00CA53C8" w:rsidRDefault="008A78C8" w:rsidP="0014277A">
            <w:pPr>
              <w:jc w:val="center"/>
              <w:rPr>
                <w:rFonts w:cs="Arial"/>
                <w:color w:val="000000"/>
                <w:sz w:val="18"/>
                <w:szCs w:val="18"/>
                <w:lang w:val="en-US" w:eastAsia="en-US"/>
              </w:rPr>
            </w:pPr>
            <w:r w:rsidRPr="00CA53C8">
              <w:rPr>
                <w:rFonts w:cs="Arial"/>
                <w:color w:val="000000"/>
                <w:sz w:val="18"/>
                <w:szCs w:val="18"/>
                <w:lang w:val="en-US" w:eastAsia="en-US"/>
              </w:rPr>
              <w:t>20,20%</w:t>
            </w:r>
          </w:p>
        </w:tc>
        <w:tc>
          <w:tcPr>
            <w:tcW w:w="1017" w:type="dxa"/>
            <w:tcBorders>
              <w:top w:val="nil"/>
              <w:left w:val="nil"/>
              <w:bottom w:val="single" w:sz="4" w:space="0" w:color="auto"/>
              <w:right w:val="single" w:sz="4" w:space="0" w:color="auto"/>
            </w:tcBorders>
            <w:shd w:val="clear" w:color="auto" w:fill="auto"/>
            <w:vAlign w:val="center"/>
            <w:hideMark/>
          </w:tcPr>
          <w:p w14:paraId="359D223C" w14:textId="77777777" w:rsidR="008A78C8" w:rsidRPr="00CA53C8" w:rsidRDefault="008A78C8" w:rsidP="0014277A">
            <w:pPr>
              <w:jc w:val="center"/>
              <w:rPr>
                <w:rFonts w:cs="Arial"/>
                <w:color w:val="000000"/>
                <w:sz w:val="18"/>
                <w:szCs w:val="18"/>
                <w:lang w:val="en-US" w:eastAsia="en-US"/>
              </w:rPr>
            </w:pPr>
            <w:r w:rsidRPr="00CA53C8">
              <w:rPr>
                <w:rFonts w:cs="Arial"/>
                <w:color w:val="000000"/>
                <w:sz w:val="18"/>
                <w:szCs w:val="18"/>
                <w:lang w:val="en-US" w:eastAsia="en-US"/>
              </w:rPr>
              <w:t>20,20%</w:t>
            </w:r>
          </w:p>
        </w:tc>
        <w:tc>
          <w:tcPr>
            <w:tcW w:w="1159" w:type="dxa"/>
            <w:tcBorders>
              <w:top w:val="nil"/>
              <w:left w:val="nil"/>
              <w:bottom w:val="single" w:sz="4" w:space="0" w:color="auto"/>
              <w:right w:val="single" w:sz="4" w:space="0" w:color="auto"/>
            </w:tcBorders>
            <w:shd w:val="clear" w:color="auto" w:fill="auto"/>
            <w:vAlign w:val="center"/>
            <w:hideMark/>
          </w:tcPr>
          <w:p w14:paraId="68372D70" w14:textId="77777777" w:rsidR="008A78C8" w:rsidRPr="00CA53C8" w:rsidRDefault="008A78C8" w:rsidP="0014277A">
            <w:pPr>
              <w:jc w:val="center"/>
              <w:rPr>
                <w:rFonts w:cs="Arial"/>
                <w:color w:val="000000"/>
                <w:sz w:val="18"/>
                <w:szCs w:val="18"/>
                <w:lang w:val="en-US" w:eastAsia="en-US"/>
              </w:rPr>
            </w:pPr>
            <w:r w:rsidRPr="00CA53C8">
              <w:rPr>
                <w:rFonts w:cs="Arial"/>
                <w:color w:val="000000"/>
                <w:sz w:val="18"/>
                <w:szCs w:val="18"/>
                <w:lang w:val="en-US" w:eastAsia="en-US"/>
              </w:rPr>
              <w:t>20,20%</w:t>
            </w:r>
          </w:p>
        </w:tc>
        <w:tc>
          <w:tcPr>
            <w:tcW w:w="1017" w:type="dxa"/>
            <w:tcBorders>
              <w:top w:val="nil"/>
              <w:left w:val="nil"/>
              <w:bottom w:val="single" w:sz="4" w:space="0" w:color="auto"/>
              <w:right w:val="single" w:sz="4" w:space="0" w:color="auto"/>
            </w:tcBorders>
            <w:shd w:val="clear" w:color="auto" w:fill="auto"/>
            <w:vAlign w:val="center"/>
            <w:hideMark/>
          </w:tcPr>
          <w:p w14:paraId="27D71321" w14:textId="77777777" w:rsidR="008A78C8" w:rsidRPr="00CA53C8" w:rsidRDefault="008A78C8" w:rsidP="0014277A">
            <w:pPr>
              <w:jc w:val="center"/>
              <w:rPr>
                <w:rFonts w:cs="Arial"/>
                <w:color w:val="000000"/>
                <w:sz w:val="18"/>
                <w:szCs w:val="18"/>
                <w:lang w:val="en-US" w:eastAsia="en-US"/>
              </w:rPr>
            </w:pPr>
            <w:r w:rsidRPr="00CA53C8">
              <w:rPr>
                <w:rFonts w:cs="Arial"/>
                <w:color w:val="000000"/>
                <w:sz w:val="18"/>
                <w:szCs w:val="18"/>
                <w:lang w:val="en-US" w:eastAsia="en-US"/>
              </w:rPr>
              <w:t>20,20%</w:t>
            </w:r>
          </w:p>
        </w:tc>
        <w:tc>
          <w:tcPr>
            <w:tcW w:w="1017" w:type="dxa"/>
            <w:tcBorders>
              <w:top w:val="nil"/>
              <w:left w:val="nil"/>
              <w:bottom w:val="single" w:sz="4" w:space="0" w:color="auto"/>
              <w:right w:val="single" w:sz="8" w:space="0" w:color="auto"/>
            </w:tcBorders>
            <w:shd w:val="clear" w:color="auto" w:fill="auto"/>
            <w:vAlign w:val="center"/>
            <w:hideMark/>
          </w:tcPr>
          <w:p w14:paraId="0105B2FB" w14:textId="77777777" w:rsidR="008A78C8" w:rsidRPr="00CA53C8" w:rsidRDefault="008A78C8" w:rsidP="0014277A">
            <w:pPr>
              <w:jc w:val="center"/>
              <w:rPr>
                <w:rFonts w:cs="Arial"/>
                <w:color w:val="000000"/>
                <w:sz w:val="18"/>
                <w:szCs w:val="18"/>
                <w:lang w:val="en-US" w:eastAsia="en-US"/>
              </w:rPr>
            </w:pPr>
            <w:r w:rsidRPr="00CA53C8">
              <w:rPr>
                <w:rFonts w:cs="Arial"/>
                <w:color w:val="000000"/>
                <w:sz w:val="18"/>
                <w:szCs w:val="18"/>
                <w:lang w:val="en-US" w:eastAsia="en-US"/>
              </w:rPr>
              <w:t>20,20%</w:t>
            </w:r>
          </w:p>
        </w:tc>
      </w:tr>
      <w:tr w:rsidR="008A78C8" w:rsidRPr="00CA53C8" w14:paraId="1BFEC269" w14:textId="77777777" w:rsidTr="00BF0EEF">
        <w:trPr>
          <w:trHeight w:val="795"/>
          <w:jc w:val="center"/>
        </w:trPr>
        <w:tc>
          <w:tcPr>
            <w:tcW w:w="3088" w:type="dxa"/>
            <w:tcBorders>
              <w:top w:val="nil"/>
              <w:left w:val="single" w:sz="4" w:space="0" w:color="auto"/>
              <w:bottom w:val="single" w:sz="4" w:space="0" w:color="auto"/>
              <w:right w:val="single" w:sz="4" w:space="0" w:color="auto"/>
            </w:tcBorders>
            <w:shd w:val="clear" w:color="auto" w:fill="auto"/>
            <w:vAlign w:val="center"/>
            <w:hideMark/>
          </w:tcPr>
          <w:p w14:paraId="450D4D1C" w14:textId="77777777" w:rsidR="008A78C8" w:rsidRPr="00CA53C8" w:rsidRDefault="008A78C8" w:rsidP="0014277A">
            <w:pPr>
              <w:rPr>
                <w:rFonts w:cs="Arial"/>
                <w:color w:val="000000"/>
                <w:sz w:val="18"/>
                <w:szCs w:val="18"/>
                <w:lang w:val="en-US" w:eastAsia="en-US"/>
              </w:rPr>
            </w:pPr>
            <w:r w:rsidRPr="00CA53C8">
              <w:rPr>
                <w:rFonts w:cs="Arial"/>
                <w:color w:val="000000"/>
                <w:sz w:val="18"/>
                <w:szCs w:val="18"/>
                <w:lang w:val="en-US" w:eastAsia="en-US"/>
              </w:rPr>
              <w:t>Estimated number of Australian adults with SNHL</w:t>
            </w:r>
          </w:p>
        </w:tc>
        <w:tc>
          <w:tcPr>
            <w:tcW w:w="1067" w:type="dxa"/>
            <w:tcBorders>
              <w:top w:val="nil"/>
              <w:left w:val="nil"/>
              <w:bottom w:val="single" w:sz="4" w:space="0" w:color="auto"/>
              <w:right w:val="single" w:sz="4" w:space="0" w:color="auto"/>
            </w:tcBorders>
            <w:shd w:val="clear" w:color="auto" w:fill="auto"/>
            <w:vAlign w:val="center"/>
            <w:hideMark/>
          </w:tcPr>
          <w:p w14:paraId="2A54059D" w14:textId="77777777" w:rsidR="008A78C8" w:rsidRPr="00CA53C8" w:rsidRDefault="008A78C8" w:rsidP="0014277A">
            <w:pPr>
              <w:jc w:val="center"/>
              <w:rPr>
                <w:rFonts w:cs="Arial"/>
                <w:color w:val="000000"/>
                <w:sz w:val="18"/>
                <w:szCs w:val="18"/>
                <w:lang w:val="en-US" w:eastAsia="en-US"/>
              </w:rPr>
            </w:pPr>
            <w:r w:rsidRPr="00CA53C8">
              <w:rPr>
                <w:rFonts w:cs="Arial"/>
                <w:color w:val="000000"/>
                <w:sz w:val="18"/>
                <w:szCs w:val="18"/>
                <w:lang w:val="en-US" w:eastAsia="en-US"/>
              </w:rPr>
              <w:t>B x C</w:t>
            </w:r>
          </w:p>
        </w:tc>
        <w:tc>
          <w:tcPr>
            <w:tcW w:w="1160" w:type="dxa"/>
            <w:tcBorders>
              <w:top w:val="nil"/>
              <w:left w:val="nil"/>
              <w:bottom w:val="single" w:sz="4" w:space="0" w:color="auto"/>
              <w:right w:val="single" w:sz="4" w:space="0" w:color="auto"/>
            </w:tcBorders>
            <w:shd w:val="clear" w:color="auto" w:fill="auto"/>
            <w:vAlign w:val="center"/>
            <w:hideMark/>
          </w:tcPr>
          <w:p w14:paraId="746814B9" w14:textId="77777777" w:rsidR="008A78C8" w:rsidRPr="00CA53C8" w:rsidRDefault="008A78C8" w:rsidP="0014277A">
            <w:pPr>
              <w:jc w:val="center"/>
              <w:rPr>
                <w:rFonts w:cs="Arial"/>
                <w:color w:val="000000"/>
                <w:sz w:val="18"/>
                <w:szCs w:val="18"/>
                <w:lang w:val="en-US" w:eastAsia="en-US"/>
              </w:rPr>
            </w:pPr>
            <w:r w:rsidRPr="00CA53C8">
              <w:rPr>
                <w:rFonts w:cs="Arial"/>
                <w:color w:val="000000"/>
                <w:sz w:val="18"/>
                <w:szCs w:val="18"/>
                <w:lang w:val="en-US" w:eastAsia="en-US"/>
              </w:rPr>
              <w:t>3812099</w:t>
            </w:r>
          </w:p>
        </w:tc>
        <w:tc>
          <w:tcPr>
            <w:tcW w:w="1066" w:type="dxa"/>
            <w:tcBorders>
              <w:top w:val="nil"/>
              <w:left w:val="nil"/>
              <w:bottom w:val="single" w:sz="4" w:space="0" w:color="auto"/>
              <w:right w:val="single" w:sz="4" w:space="0" w:color="auto"/>
            </w:tcBorders>
            <w:shd w:val="clear" w:color="auto" w:fill="auto"/>
            <w:vAlign w:val="center"/>
            <w:hideMark/>
          </w:tcPr>
          <w:p w14:paraId="57F0025A" w14:textId="77777777" w:rsidR="008A78C8" w:rsidRPr="00CA53C8" w:rsidRDefault="008A78C8" w:rsidP="0014277A">
            <w:pPr>
              <w:jc w:val="center"/>
              <w:rPr>
                <w:rFonts w:cs="Arial"/>
                <w:color w:val="000000"/>
                <w:sz w:val="18"/>
                <w:szCs w:val="18"/>
                <w:lang w:val="en-US" w:eastAsia="en-US"/>
              </w:rPr>
            </w:pPr>
            <w:r w:rsidRPr="00CA53C8">
              <w:rPr>
                <w:rFonts w:cs="Arial"/>
                <w:color w:val="000000"/>
                <w:sz w:val="18"/>
                <w:szCs w:val="18"/>
                <w:lang w:val="en-US" w:eastAsia="en-US"/>
              </w:rPr>
              <w:t>3878765</w:t>
            </w:r>
          </w:p>
        </w:tc>
        <w:tc>
          <w:tcPr>
            <w:tcW w:w="1017" w:type="dxa"/>
            <w:tcBorders>
              <w:top w:val="nil"/>
              <w:left w:val="nil"/>
              <w:bottom w:val="single" w:sz="4" w:space="0" w:color="auto"/>
              <w:right w:val="single" w:sz="4" w:space="0" w:color="auto"/>
            </w:tcBorders>
            <w:shd w:val="clear" w:color="auto" w:fill="auto"/>
            <w:vAlign w:val="center"/>
            <w:hideMark/>
          </w:tcPr>
          <w:p w14:paraId="2D972E5B" w14:textId="77777777" w:rsidR="008A78C8" w:rsidRPr="00CA53C8" w:rsidRDefault="008A78C8" w:rsidP="0014277A">
            <w:pPr>
              <w:jc w:val="center"/>
              <w:rPr>
                <w:rFonts w:cs="Arial"/>
                <w:color w:val="000000"/>
                <w:sz w:val="18"/>
                <w:szCs w:val="18"/>
                <w:lang w:val="en-US" w:eastAsia="en-US"/>
              </w:rPr>
            </w:pPr>
            <w:r w:rsidRPr="00CA53C8">
              <w:rPr>
                <w:rFonts w:cs="Arial"/>
                <w:color w:val="000000"/>
                <w:sz w:val="18"/>
                <w:szCs w:val="18"/>
                <w:lang w:val="en-US" w:eastAsia="en-US"/>
              </w:rPr>
              <w:t>3944889</w:t>
            </w:r>
          </w:p>
        </w:tc>
        <w:tc>
          <w:tcPr>
            <w:tcW w:w="1159" w:type="dxa"/>
            <w:tcBorders>
              <w:top w:val="nil"/>
              <w:left w:val="nil"/>
              <w:bottom w:val="single" w:sz="4" w:space="0" w:color="auto"/>
              <w:right w:val="single" w:sz="4" w:space="0" w:color="auto"/>
            </w:tcBorders>
            <w:shd w:val="clear" w:color="auto" w:fill="auto"/>
            <w:vAlign w:val="center"/>
            <w:hideMark/>
          </w:tcPr>
          <w:p w14:paraId="1BDA35F9" w14:textId="77777777" w:rsidR="008A78C8" w:rsidRPr="00CA53C8" w:rsidRDefault="008A78C8" w:rsidP="0014277A">
            <w:pPr>
              <w:jc w:val="center"/>
              <w:rPr>
                <w:rFonts w:cs="Arial"/>
                <w:color w:val="000000"/>
                <w:sz w:val="18"/>
                <w:szCs w:val="18"/>
                <w:lang w:val="en-US" w:eastAsia="en-US"/>
              </w:rPr>
            </w:pPr>
            <w:r w:rsidRPr="00CA53C8">
              <w:rPr>
                <w:rFonts w:cs="Arial"/>
                <w:color w:val="000000"/>
                <w:sz w:val="18"/>
                <w:szCs w:val="18"/>
                <w:lang w:val="en-US" w:eastAsia="en-US"/>
              </w:rPr>
              <w:t>4010474</w:t>
            </w:r>
          </w:p>
        </w:tc>
        <w:tc>
          <w:tcPr>
            <w:tcW w:w="1017" w:type="dxa"/>
            <w:tcBorders>
              <w:top w:val="nil"/>
              <w:left w:val="nil"/>
              <w:bottom w:val="single" w:sz="4" w:space="0" w:color="auto"/>
              <w:right w:val="single" w:sz="4" w:space="0" w:color="auto"/>
            </w:tcBorders>
            <w:shd w:val="clear" w:color="auto" w:fill="auto"/>
            <w:vAlign w:val="center"/>
            <w:hideMark/>
          </w:tcPr>
          <w:p w14:paraId="1D554DED" w14:textId="77777777" w:rsidR="008A78C8" w:rsidRPr="00CA53C8" w:rsidRDefault="008A78C8" w:rsidP="0014277A">
            <w:pPr>
              <w:jc w:val="center"/>
              <w:rPr>
                <w:rFonts w:cs="Arial"/>
                <w:color w:val="000000"/>
                <w:sz w:val="18"/>
                <w:szCs w:val="18"/>
                <w:lang w:val="en-US" w:eastAsia="en-US"/>
              </w:rPr>
            </w:pPr>
            <w:r w:rsidRPr="00CA53C8">
              <w:rPr>
                <w:rFonts w:cs="Arial"/>
                <w:color w:val="000000"/>
                <w:sz w:val="18"/>
                <w:szCs w:val="18"/>
                <w:lang w:val="en-US" w:eastAsia="en-US"/>
              </w:rPr>
              <w:t>4075066</w:t>
            </w:r>
          </w:p>
        </w:tc>
        <w:tc>
          <w:tcPr>
            <w:tcW w:w="1017" w:type="dxa"/>
            <w:tcBorders>
              <w:top w:val="nil"/>
              <w:left w:val="nil"/>
              <w:bottom w:val="single" w:sz="4" w:space="0" w:color="auto"/>
              <w:right w:val="single" w:sz="8" w:space="0" w:color="auto"/>
            </w:tcBorders>
            <w:shd w:val="clear" w:color="auto" w:fill="auto"/>
            <w:vAlign w:val="center"/>
            <w:hideMark/>
          </w:tcPr>
          <w:p w14:paraId="6C9B46F9" w14:textId="77777777" w:rsidR="008A78C8" w:rsidRPr="00CA53C8" w:rsidRDefault="008A78C8" w:rsidP="0014277A">
            <w:pPr>
              <w:jc w:val="center"/>
              <w:rPr>
                <w:rFonts w:cs="Arial"/>
                <w:color w:val="000000"/>
                <w:sz w:val="18"/>
                <w:szCs w:val="18"/>
                <w:lang w:val="en-US" w:eastAsia="en-US"/>
              </w:rPr>
            </w:pPr>
            <w:r w:rsidRPr="00CA53C8">
              <w:rPr>
                <w:rFonts w:cs="Arial"/>
                <w:color w:val="000000"/>
                <w:sz w:val="18"/>
                <w:szCs w:val="18"/>
                <w:lang w:val="en-US" w:eastAsia="en-US"/>
              </w:rPr>
              <w:t>4144342</w:t>
            </w:r>
          </w:p>
        </w:tc>
      </w:tr>
      <w:tr w:rsidR="008A78C8" w:rsidRPr="00CA53C8" w14:paraId="4D69DDAB" w14:textId="77777777" w:rsidTr="00BF0EEF">
        <w:trPr>
          <w:trHeight w:val="780"/>
          <w:jc w:val="center"/>
        </w:trPr>
        <w:tc>
          <w:tcPr>
            <w:tcW w:w="3088"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1774E4AE" w14:textId="77777777" w:rsidR="008A78C8" w:rsidRPr="00CA53C8" w:rsidRDefault="008A78C8" w:rsidP="0014277A">
            <w:pPr>
              <w:rPr>
                <w:rFonts w:cs="Arial"/>
                <w:color w:val="000000"/>
                <w:sz w:val="18"/>
                <w:szCs w:val="18"/>
                <w:lang w:val="en-US" w:eastAsia="en-US"/>
              </w:rPr>
            </w:pPr>
            <w:r w:rsidRPr="00CA53C8">
              <w:rPr>
                <w:rFonts w:cs="Arial"/>
                <w:color w:val="000000"/>
                <w:sz w:val="18"/>
                <w:szCs w:val="18"/>
                <w:lang w:val="en-US" w:eastAsia="en-US"/>
              </w:rPr>
              <w:t>Minimum Proportion of patients as possible candidate for a MEI</w:t>
            </w:r>
          </w:p>
        </w:tc>
        <w:tc>
          <w:tcPr>
            <w:tcW w:w="1067" w:type="dxa"/>
            <w:tcBorders>
              <w:top w:val="nil"/>
              <w:left w:val="nil"/>
              <w:bottom w:val="single" w:sz="4" w:space="0" w:color="auto"/>
              <w:right w:val="single" w:sz="4" w:space="0" w:color="auto"/>
            </w:tcBorders>
            <w:shd w:val="clear" w:color="auto" w:fill="auto"/>
            <w:vAlign w:val="center"/>
            <w:hideMark/>
          </w:tcPr>
          <w:p w14:paraId="7A7592F7" w14:textId="77777777" w:rsidR="008A78C8" w:rsidRPr="009335A4" w:rsidRDefault="008A78C8" w:rsidP="0014277A">
            <w:pPr>
              <w:jc w:val="center"/>
              <w:rPr>
                <w:rFonts w:cs="Arial"/>
                <w:color w:val="000000"/>
                <w:sz w:val="18"/>
                <w:szCs w:val="18"/>
                <w:lang w:val="en-US" w:eastAsia="en-US"/>
              </w:rPr>
            </w:pPr>
            <w:r w:rsidRPr="009335A4">
              <w:rPr>
                <w:rFonts w:cs="Arial"/>
                <w:color w:val="000000"/>
                <w:sz w:val="18"/>
                <w:szCs w:val="18"/>
              </w:rPr>
              <w:t>Junker et al., (2002)</w:t>
            </w:r>
          </w:p>
        </w:tc>
        <w:tc>
          <w:tcPr>
            <w:tcW w:w="1160" w:type="dxa"/>
            <w:tcBorders>
              <w:top w:val="nil"/>
              <w:left w:val="nil"/>
              <w:bottom w:val="single" w:sz="4" w:space="0" w:color="auto"/>
              <w:right w:val="single" w:sz="4" w:space="0" w:color="auto"/>
            </w:tcBorders>
            <w:shd w:val="clear" w:color="auto" w:fill="auto"/>
            <w:vAlign w:val="center"/>
            <w:hideMark/>
          </w:tcPr>
          <w:p w14:paraId="0B9410EF" w14:textId="77777777" w:rsidR="008A78C8" w:rsidRPr="009335A4" w:rsidRDefault="008A78C8" w:rsidP="0014277A">
            <w:pPr>
              <w:jc w:val="center"/>
              <w:rPr>
                <w:rFonts w:cs="Arial"/>
                <w:color w:val="000000"/>
                <w:sz w:val="18"/>
                <w:szCs w:val="18"/>
                <w:lang w:val="en-US" w:eastAsia="en-US"/>
              </w:rPr>
            </w:pPr>
            <w:r w:rsidRPr="009335A4">
              <w:rPr>
                <w:rFonts w:cs="Arial"/>
                <w:color w:val="000000"/>
                <w:sz w:val="18"/>
                <w:szCs w:val="18"/>
              </w:rPr>
              <w:t>0,76%</w:t>
            </w:r>
          </w:p>
        </w:tc>
        <w:tc>
          <w:tcPr>
            <w:tcW w:w="1066" w:type="dxa"/>
            <w:tcBorders>
              <w:top w:val="nil"/>
              <w:left w:val="nil"/>
              <w:bottom w:val="single" w:sz="4" w:space="0" w:color="auto"/>
              <w:right w:val="single" w:sz="4" w:space="0" w:color="auto"/>
            </w:tcBorders>
            <w:shd w:val="clear" w:color="auto" w:fill="auto"/>
            <w:vAlign w:val="center"/>
            <w:hideMark/>
          </w:tcPr>
          <w:p w14:paraId="4A5A5666" w14:textId="77777777" w:rsidR="008A78C8" w:rsidRPr="009335A4" w:rsidRDefault="008A78C8" w:rsidP="0014277A">
            <w:pPr>
              <w:jc w:val="center"/>
              <w:rPr>
                <w:rFonts w:cs="Arial"/>
                <w:color w:val="000000"/>
                <w:sz w:val="18"/>
                <w:szCs w:val="18"/>
                <w:lang w:val="en-US" w:eastAsia="en-US"/>
              </w:rPr>
            </w:pPr>
            <w:r w:rsidRPr="009335A4">
              <w:rPr>
                <w:rFonts w:cs="Arial"/>
                <w:color w:val="000000"/>
                <w:sz w:val="18"/>
                <w:szCs w:val="18"/>
              </w:rPr>
              <w:t>0,76%</w:t>
            </w:r>
          </w:p>
        </w:tc>
        <w:tc>
          <w:tcPr>
            <w:tcW w:w="1017" w:type="dxa"/>
            <w:tcBorders>
              <w:top w:val="nil"/>
              <w:left w:val="nil"/>
              <w:bottom w:val="single" w:sz="4" w:space="0" w:color="auto"/>
              <w:right w:val="single" w:sz="4" w:space="0" w:color="auto"/>
            </w:tcBorders>
            <w:shd w:val="clear" w:color="auto" w:fill="auto"/>
            <w:vAlign w:val="center"/>
            <w:hideMark/>
          </w:tcPr>
          <w:p w14:paraId="06B15C07" w14:textId="77777777" w:rsidR="008A78C8" w:rsidRPr="009335A4" w:rsidRDefault="008A78C8" w:rsidP="0014277A">
            <w:pPr>
              <w:jc w:val="center"/>
              <w:rPr>
                <w:rFonts w:cs="Arial"/>
                <w:color w:val="000000"/>
                <w:sz w:val="18"/>
                <w:szCs w:val="18"/>
                <w:lang w:val="en-US" w:eastAsia="en-US"/>
              </w:rPr>
            </w:pPr>
            <w:r w:rsidRPr="009335A4">
              <w:rPr>
                <w:rFonts w:cs="Arial"/>
                <w:color w:val="000000"/>
                <w:sz w:val="18"/>
                <w:szCs w:val="18"/>
              </w:rPr>
              <w:t>0,76%</w:t>
            </w:r>
          </w:p>
        </w:tc>
        <w:tc>
          <w:tcPr>
            <w:tcW w:w="1159" w:type="dxa"/>
            <w:tcBorders>
              <w:top w:val="nil"/>
              <w:left w:val="nil"/>
              <w:bottom w:val="single" w:sz="4" w:space="0" w:color="auto"/>
              <w:right w:val="single" w:sz="4" w:space="0" w:color="auto"/>
            </w:tcBorders>
            <w:shd w:val="clear" w:color="auto" w:fill="auto"/>
            <w:vAlign w:val="center"/>
            <w:hideMark/>
          </w:tcPr>
          <w:p w14:paraId="5D242B45" w14:textId="77777777" w:rsidR="008A78C8" w:rsidRPr="009335A4" w:rsidRDefault="008A78C8" w:rsidP="0014277A">
            <w:pPr>
              <w:jc w:val="center"/>
              <w:rPr>
                <w:rFonts w:cs="Arial"/>
                <w:color w:val="000000"/>
                <w:sz w:val="18"/>
                <w:szCs w:val="18"/>
                <w:lang w:val="en-US" w:eastAsia="en-US"/>
              </w:rPr>
            </w:pPr>
            <w:r w:rsidRPr="009335A4">
              <w:rPr>
                <w:rFonts w:cs="Arial"/>
                <w:color w:val="000000"/>
                <w:sz w:val="18"/>
                <w:szCs w:val="18"/>
              </w:rPr>
              <w:t>0,76%</w:t>
            </w:r>
          </w:p>
        </w:tc>
        <w:tc>
          <w:tcPr>
            <w:tcW w:w="1017" w:type="dxa"/>
            <w:tcBorders>
              <w:top w:val="nil"/>
              <w:left w:val="nil"/>
              <w:bottom w:val="single" w:sz="4" w:space="0" w:color="auto"/>
              <w:right w:val="single" w:sz="4" w:space="0" w:color="auto"/>
            </w:tcBorders>
            <w:shd w:val="clear" w:color="auto" w:fill="auto"/>
            <w:vAlign w:val="center"/>
            <w:hideMark/>
          </w:tcPr>
          <w:p w14:paraId="4F9CCEC8" w14:textId="77777777" w:rsidR="008A78C8" w:rsidRPr="009335A4" w:rsidRDefault="008A78C8" w:rsidP="0014277A">
            <w:pPr>
              <w:jc w:val="center"/>
              <w:rPr>
                <w:rFonts w:cs="Arial"/>
                <w:color w:val="000000"/>
                <w:sz w:val="18"/>
                <w:szCs w:val="18"/>
                <w:lang w:val="en-US" w:eastAsia="en-US"/>
              </w:rPr>
            </w:pPr>
            <w:r w:rsidRPr="009335A4">
              <w:rPr>
                <w:rFonts w:cs="Arial"/>
                <w:color w:val="000000"/>
                <w:sz w:val="18"/>
                <w:szCs w:val="18"/>
              </w:rPr>
              <w:t>0,76%</w:t>
            </w:r>
          </w:p>
        </w:tc>
        <w:tc>
          <w:tcPr>
            <w:tcW w:w="1017" w:type="dxa"/>
            <w:tcBorders>
              <w:top w:val="nil"/>
              <w:left w:val="nil"/>
              <w:bottom w:val="single" w:sz="4" w:space="0" w:color="auto"/>
              <w:right w:val="single" w:sz="4" w:space="0" w:color="auto"/>
            </w:tcBorders>
            <w:shd w:val="clear" w:color="auto" w:fill="auto"/>
            <w:vAlign w:val="center"/>
            <w:hideMark/>
          </w:tcPr>
          <w:p w14:paraId="4DB5AAE4" w14:textId="77777777" w:rsidR="008A78C8" w:rsidRPr="009335A4" w:rsidRDefault="008A78C8" w:rsidP="0014277A">
            <w:pPr>
              <w:jc w:val="center"/>
              <w:rPr>
                <w:rFonts w:cs="Arial"/>
                <w:color w:val="000000"/>
                <w:sz w:val="18"/>
                <w:szCs w:val="18"/>
                <w:lang w:val="en-US" w:eastAsia="en-US"/>
              </w:rPr>
            </w:pPr>
            <w:r w:rsidRPr="009335A4">
              <w:rPr>
                <w:rFonts w:cs="Arial"/>
                <w:color w:val="000000"/>
                <w:sz w:val="18"/>
                <w:szCs w:val="18"/>
              </w:rPr>
              <w:t>0,76%</w:t>
            </w:r>
          </w:p>
        </w:tc>
      </w:tr>
      <w:tr w:rsidR="008A78C8" w:rsidRPr="00CA53C8" w14:paraId="65E9141F" w14:textId="77777777" w:rsidTr="00BF0EEF">
        <w:trPr>
          <w:trHeight w:val="750"/>
          <w:jc w:val="center"/>
        </w:trPr>
        <w:tc>
          <w:tcPr>
            <w:tcW w:w="3088" w:type="dxa"/>
            <w:tcBorders>
              <w:top w:val="nil"/>
              <w:left w:val="single" w:sz="4" w:space="0" w:color="auto"/>
              <w:bottom w:val="single" w:sz="4" w:space="0" w:color="auto"/>
              <w:right w:val="single" w:sz="4" w:space="0" w:color="auto"/>
            </w:tcBorders>
            <w:shd w:val="clear" w:color="auto" w:fill="auto"/>
            <w:vAlign w:val="center"/>
            <w:hideMark/>
          </w:tcPr>
          <w:p w14:paraId="7169D816" w14:textId="77777777" w:rsidR="008A78C8" w:rsidRPr="00CA53C8" w:rsidRDefault="008A78C8" w:rsidP="0014277A">
            <w:pPr>
              <w:rPr>
                <w:rFonts w:cs="Arial"/>
                <w:color w:val="000000"/>
                <w:sz w:val="18"/>
                <w:szCs w:val="18"/>
                <w:lang w:val="en-US" w:eastAsia="en-US"/>
              </w:rPr>
            </w:pPr>
            <w:r w:rsidRPr="00CA53C8">
              <w:rPr>
                <w:rFonts w:cs="Arial"/>
                <w:color w:val="000000"/>
                <w:sz w:val="18"/>
                <w:szCs w:val="18"/>
                <w:lang w:val="en-US" w:eastAsia="en-US"/>
              </w:rPr>
              <w:t>Number of Australian adults with SNHL and candidates of a MEI</w:t>
            </w:r>
          </w:p>
        </w:tc>
        <w:tc>
          <w:tcPr>
            <w:tcW w:w="1067" w:type="dxa"/>
            <w:tcBorders>
              <w:top w:val="nil"/>
              <w:left w:val="nil"/>
              <w:bottom w:val="single" w:sz="4" w:space="0" w:color="auto"/>
              <w:right w:val="single" w:sz="4" w:space="0" w:color="auto"/>
            </w:tcBorders>
            <w:shd w:val="clear" w:color="auto" w:fill="auto"/>
            <w:vAlign w:val="center"/>
            <w:hideMark/>
          </w:tcPr>
          <w:p w14:paraId="0493C493" w14:textId="77777777" w:rsidR="008A78C8" w:rsidRPr="009335A4" w:rsidRDefault="008A78C8" w:rsidP="0014277A">
            <w:pPr>
              <w:jc w:val="center"/>
              <w:rPr>
                <w:rFonts w:cs="Arial"/>
                <w:color w:val="000000"/>
                <w:sz w:val="18"/>
                <w:szCs w:val="18"/>
                <w:lang w:val="en-US" w:eastAsia="en-US"/>
              </w:rPr>
            </w:pPr>
            <w:r w:rsidRPr="009335A4">
              <w:rPr>
                <w:rFonts w:cs="Arial"/>
                <w:color w:val="000000"/>
                <w:sz w:val="18"/>
                <w:szCs w:val="18"/>
              </w:rPr>
              <w:t>D x E</w:t>
            </w:r>
          </w:p>
        </w:tc>
        <w:tc>
          <w:tcPr>
            <w:tcW w:w="1160" w:type="dxa"/>
            <w:tcBorders>
              <w:top w:val="nil"/>
              <w:left w:val="nil"/>
              <w:bottom w:val="single" w:sz="4" w:space="0" w:color="auto"/>
              <w:right w:val="single" w:sz="4" w:space="0" w:color="auto"/>
            </w:tcBorders>
            <w:shd w:val="clear" w:color="auto" w:fill="auto"/>
            <w:vAlign w:val="center"/>
            <w:hideMark/>
          </w:tcPr>
          <w:p w14:paraId="33E8E331" w14:textId="77777777" w:rsidR="008A78C8" w:rsidRPr="009335A4" w:rsidRDefault="008A78C8" w:rsidP="0014277A">
            <w:pPr>
              <w:jc w:val="center"/>
              <w:rPr>
                <w:rFonts w:cs="Arial"/>
                <w:color w:val="000000"/>
                <w:sz w:val="18"/>
                <w:szCs w:val="18"/>
                <w:lang w:val="en-US" w:eastAsia="en-US"/>
              </w:rPr>
            </w:pPr>
            <w:r w:rsidRPr="009335A4">
              <w:rPr>
                <w:rFonts w:cs="Arial"/>
                <w:color w:val="000000"/>
                <w:sz w:val="18"/>
                <w:szCs w:val="18"/>
              </w:rPr>
              <w:t>28972</w:t>
            </w:r>
          </w:p>
        </w:tc>
        <w:tc>
          <w:tcPr>
            <w:tcW w:w="1066" w:type="dxa"/>
            <w:tcBorders>
              <w:top w:val="nil"/>
              <w:left w:val="nil"/>
              <w:bottom w:val="single" w:sz="4" w:space="0" w:color="auto"/>
              <w:right w:val="single" w:sz="4" w:space="0" w:color="auto"/>
            </w:tcBorders>
            <w:shd w:val="clear" w:color="auto" w:fill="auto"/>
            <w:vAlign w:val="center"/>
            <w:hideMark/>
          </w:tcPr>
          <w:p w14:paraId="08609397" w14:textId="77777777" w:rsidR="008A78C8" w:rsidRPr="009335A4" w:rsidRDefault="008A78C8" w:rsidP="0014277A">
            <w:pPr>
              <w:jc w:val="center"/>
              <w:rPr>
                <w:rFonts w:cs="Arial"/>
                <w:color w:val="000000"/>
                <w:sz w:val="18"/>
                <w:szCs w:val="18"/>
                <w:lang w:val="en-US" w:eastAsia="en-US"/>
              </w:rPr>
            </w:pPr>
            <w:r w:rsidRPr="009335A4">
              <w:rPr>
                <w:rFonts w:cs="Arial"/>
                <w:color w:val="000000"/>
                <w:sz w:val="18"/>
                <w:szCs w:val="18"/>
              </w:rPr>
              <w:t>29479</w:t>
            </w:r>
          </w:p>
        </w:tc>
        <w:tc>
          <w:tcPr>
            <w:tcW w:w="1017" w:type="dxa"/>
            <w:tcBorders>
              <w:top w:val="nil"/>
              <w:left w:val="nil"/>
              <w:bottom w:val="single" w:sz="4" w:space="0" w:color="auto"/>
              <w:right w:val="single" w:sz="4" w:space="0" w:color="auto"/>
            </w:tcBorders>
            <w:shd w:val="clear" w:color="auto" w:fill="auto"/>
            <w:vAlign w:val="center"/>
            <w:hideMark/>
          </w:tcPr>
          <w:p w14:paraId="7C0AB196" w14:textId="77777777" w:rsidR="008A78C8" w:rsidRPr="009335A4" w:rsidRDefault="008A78C8" w:rsidP="0014277A">
            <w:pPr>
              <w:jc w:val="center"/>
              <w:rPr>
                <w:rFonts w:cs="Arial"/>
                <w:color w:val="000000"/>
                <w:sz w:val="18"/>
                <w:szCs w:val="18"/>
                <w:lang w:val="en-US" w:eastAsia="en-US"/>
              </w:rPr>
            </w:pPr>
            <w:r w:rsidRPr="009335A4">
              <w:rPr>
                <w:rFonts w:cs="Arial"/>
                <w:color w:val="000000"/>
                <w:sz w:val="18"/>
                <w:szCs w:val="18"/>
              </w:rPr>
              <w:t>29981</w:t>
            </w:r>
          </w:p>
        </w:tc>
        <w:tc>
          <w:tcPr>
            <w:tcW w:w="1159" w:type="dxa"/>
            <w:tcBorders>
              <w:top w:val="nil"/>
              <w:left w:val="nil"/>
              <w:bottom w:val="single" w:sz="4" w:space="0" w:color="auto"/>
              <w:right w:val="single" w:sz="4" w:space="0" w:color="auto"/>
            </w:tcBorders>
            <w:shd w:val="clear" w:color="auto" w:fill="auto"/>
            <w:vAlign w:val="center"/>
            <w:hideMark/>
          </w:tcPr>
          <w:p w14:paraId="414BCE5D" w14:textId="77777777" w:rsidR="008A78C8" w:rsidRPr="009335A4" w:rsidRDefault="008A78C8" w:rsidP="0014277A">
            <w:pPr>
              <w:jc w:val="center"/>
              <w:rPr>
                <w:rFonts w:cs="Arial"/>
                <w:color w:val="000000"/>
                <w:sz w:val="18"/>
                <w:szCs w:val="18"/>
                <w:lang w:val="en-US" w:eastAsia="en-US"/>
              </w:rPr>
            </w:pPr>
            <w:r w:rsidRPr="009335A4">
              <w:rPr>
                <w:rFonts w:cs="Arial"/>
                <w:color w:val="000000"/>
                <w:sz w:val="18"/>
                <w:szCs w:val="18"/>
              </w:rPr>
              <w:t>30480</w:t>
            </w:r>
          </w:p>
        </w:tc>
        <w:tc>
          <w:tcPr>
            <w:tcW w:w="1017" w:type="dxa"/>
            <w:tcBorders>
              <w:top w:val="nil"/>
              <w:left w:val="nil"/>
              <w:bottom w:val="single" w:sz="4" w:space="0" w:color="auto"/>
              <w:right w:val="single" w:sz="4" w:space="0" w:color="auto"/>
            </w:tcBorders>
            <w:shd w:val="clear" w:color="auto" w:fill="auto"/>
            <w:vAlign w:val="center"/>
            <w:hideMark/>
          </w:tcPr>
          <w:p w14:paraId="14389DD4" w14:textId="77777777" w:rsidR="008A78C8" w:rsidRPr="009335A4" w:rsidRDefault="008A78C8" w:rsidP="0014277A">
            <w:pPr>
              <w:jc w:val="center"/>
              <w:rPr>
                <w:rFonts w:cs="Arial"/>
                <w:color w:val="000000"/>
                <w:sz w:val="18"/>
                <w:szCs w:val="18"/>
                <w:lang w:val="en-US" w:eastAsia="en-US"/>
              </w:rPr>
            </w:pPr>
            <w:r w:rsidRPr="009335A4">
              <w:rPr>
                <w:rFonts w:cs="Arial"/>
                <w:color w:val="000000"/>
                <w:sz w:val="18"/>
                <w:szCs w:val="18"/>
              </w:rPr>
              <w:t>30970</w:t>
            </w:r>
          </w:p>
        </w:tc>
        <w:tc>
          <w:tcPr>
            <w:tcW w:w="1017" w:type="dxa"/>
            <w:tcBorders>
              <w:top w:val="nil"/>
              <w:left w:val="nil"/>
              <w:bottom w:val="single" w:sz="4" w:space="0" w:color="auto"/>
              <w:right w:val="single" w:sz="8" w:space="0" w:color="auto"/>
            </w:tcBorders>
            <w:shd w:val="clear" w:color="auto" w:fill="auto"/>
            <w:vAlign w:val="center"/>
            <w:hideMark/>
          </w:tcPr>
          <w:p w14:paraId="5B0B91E6" w14:textId="77777777" w:rsidR="008A78C8" w:rsidRPr="009335A4" w:rsidRDefault="008A78C8" w:rsidP="0014277A">
            <w:pPr>
              <w:jc w:val="center"/>
              <w:rPr>
                <w:rFonts w:cs="Arial"/>
                <w:color w:val="000000"/>
                <w:sz w:val="18"/>
                <w:szCs w:val="18"/>
                <w:lang w:val="en-US" w:eastAsia="en-US"/>
              </w:rPr>
            </w:pPr>
            <w:r w:rsidRPr="009335A4">
              <w:rPr>
                <w:rFonts w:cs="Arial"/>
                <w:color w:val="000000"/>
                <w:sz w:val="18"/>
                <w:szCs w:val="18"/>
              </w:rPr>
              <w:t>31497</w:t>
            </w:r>
          </w:p>
        </w:tc>
      </w:tr>
      <w:tr w:rsidR="008A78C8" w:rsidRPr="00CA53C8" w14:paraId="1D7B720F" w14:textId="77777777" w:rsidTr="00BF0EEF">
        <w:trPr>
          <w:trHeight w:val="1020"/>
          <w:jc w:val="center"/>
        </w:trPr>
        <w:tc>
          <w:tcPr>
            <w:tcW w:w="308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9B5D4DC" w14:textId="77777777" w:rsidR="008A78C8" w:rsidRPr="00CA53C8" w:rsidRDefault="008A78C8" w:rsidP="0014277A">
            <w:pPr>
              <w:rPr>
                <w:rFonts w:cs="Arial"/>
                <w:color w:val="000000"/>
                <w:sz w:val="18"/>
                <w:szCs w:val="18"/>
                <w:lang w:val="en-US" w:eastAsia="en-US"/>
              </w:rPr>
            </w:pPr>
            <w:r w:rsidRPr="00CA53C8">
              <w:rPr>
                <w:rFonts w:cs="Arial"/>
                <w:color w:val="000000"/>
                <w:sz w:val="18"/>
                <w:szCs w:val="18"/>
                <w:lang w:val="en-US" w:eastAsia="en-US"/>
              </w:rPr>
              <w:t>Prevalence of external ear pathology in the Australian population (%)</w:t>
            </w:r>
          </w:p>
        </w:tc>
        <w:tc>
          <w:tcPr>
            <w:tcW w:w="1067" w:type="dxa"/>
            <w:tcBorders>
              <w:top w:val="nil"/>
              <w:left w:val="nil"/>
              <w:bottom w:val="single" w:sz="4" w:space="0" w:color="auto"/>
              <w:right w:val="single" w:sz="4" w:space="0" w:color="auto"/>
            </w:tcBorders>
            <w:shd w:val="clear" w:color="auto" w:fill="auto"/>
            <w:vAlign w:val="center"/>
            <w:hideMark/>
          </w:tcPr>
          <w:p w14:paraId="0FB3CF78" w14:textId="4FA35E49" w:rsidR="008A78C8" w:rsidRPr="009335A4" w:rsidRDefault="008A78C8" w:rsidP="008A78C8">
            <w:pPr>
              <w:jc w:val="center"/>
              <w:rPr>
                <w:rFonts w:cs="Arial"/>
                <w:color w:val="000000"/>
                <w:sz w:val="18"/>
                <w:szCs w:val="18"/>
                <w:lang w:val="en-US" w:eastAsia="en-US"/>
              </w:rPr>
            </w:pPr>
            <w:r w:rsidRPr="009335A4">
              <w:rPr>
                <w:rFonts w:cs="Arial"/>
                <w:color w:val="000000"/>
                <w:sz w:val="18"/>
                <w:szCs w:val="18"/>
              </w:rPr>
              <w:t>Calculated</w:t>
            </w:r>
            <w:r>
              <w:rPr>
                <w:rFonts w:cs="Arial"/>
                <w:color w:val="000000"/>
                <w:sz w:val="18"/>
                <w:szCs w:val="18"/>
              </w:rPr>
              <w:t xml:space="preserve"> Maximum</w:t>
            </w:r>
          </w:p>
        </w:tc>
        <w:tc>
          <w:tcPr>
            <w:tcW w:w="1160" w:type="dxa"/>
            <w:tcBorders>
              <w:top w:val="nil"/>
              <w:left w:val="nil"/>
              <w:bottom w:val="single" w:sz="4" w:space="0" w:color="auto"/>
              <w:right w:val="single" w:sz="4" w:space="0" w:color="auto"/>
            </w:tcBorders>
            <w:shd w:val="clear" w:color="auto" w:fill="auto"/>
            <w:vAlign w:val="center"/>
            <w:hideMark/>
          </w:tcPr>
          <w:p w14:paraId="002AF661" w14:textId="1E00BCAB" w:rsidR="008A78C8" w:rsidRPr="008A78C8" w:rsidRDefault="008A78C8" w:rsidP="0014277A">
            <w:pPr>
              <w:jc w:val="center"/>
              <w:rPr>
                <w:rFonts w:cs="Arial"/>
                <w:color w:val="000000"/>
                <w:sz w:val="18"/>
                <w:szCs w:val="18"/>
                <w:lang w:val="en-US" w:eastAsia="en-US"/>
              </w:rPr>
            </w:pPr>
            <w:r w:rsidRPr="008A78C8">
              <w:rPr>
                <w:rFonts w:cs="Arial"/>
                <w:color w:val="000000"/>
                <w:sz w:val="18"/>
                <w:szCs w:val="18"/>
              </w:rPr>
              <w:t>3,41%</w:t>
            </w:r>
          </w:p>
        </w:tc>
        <w:tc>
          <w:tcPr>
            <w:tcW w:w="1066" w:type="dxa"/>
            <w:tcBorders>
              <w:top w:val="nil"/>
              <w:left w:val="nil"/>
              <w:bottom w:val="single" w:sz="4" w:space="0" w:color="auto"/>
              <w:right w:val="single" w:sz="4" w:space="0" w:color="auto"/>
            </w:tcBorders>
            <w:shd w:val="clear" w:color="auto" w:fill="auto"/>
            <w:vAlign w:val="center"/>
            <w:hideMark/>
          </w:tcPr>
          <w:p w14:paraId="0B3A9B2B" w14:textId="06347D16" w:rsidR="008A78C8" w:rsidRPr="008A78C8" w:rsidRDefault="008A78C8" w:rsidP="0014277A">
            <w:pPr>
              <w:jc w:val="center"/>
              <w:rPr>
                <w:rFonts w:cs="Arial"/>
                <w:color w:val="000000"/>
                <w:sz w:val="18"/>
                <w:szCs w:val="18"/>
                <w:lang w:val="en-US" w:eastAsia="en-US"/>
              </w:rPr>
            </w:pPr>
            <w:r w:rsidRPr="008A78C8">
              <w:rPr>
                <w:rFonts w:cs="Arial"/>
                <w:color w:val="000000"/>
                <w:sz w:val="18"/>
                <w:szCs w:val="18"/>
              </w:rPr>
              <w:t>3,41%</w:t>
            </w:r>
          </w:p>
        </w:tc>
        <w:tc>
          <w:tcPr>
            <w:tcW w:w="1017" w:type="dxa"/>
            <w:tcBorders>
              <w:top w:val="nil"/>
              <w:left w:val="nil"/>
              <w:bottom w:val="single" w:sz="4" w:space="0" w:color="auto"/>
              <w:right w:val="single" w:sz="4" w:space="0" w:color="auto"/>
            </w:tcBorders>
            <w:shd w:val="clear" w:color="auto" w:fill="auto"/>
            <w:vAlign w:val="center"/>
            <w:hideMark/>
          </w:tcPr>
          <w:p w14:paraId="625F6F60" w14:textId="308169B3" w:rsidR="008A78C8" w:rsidRPr="008A78C8" w:rsidRDefault="008A78C8" w:rsidP="0014277A">
            <w:pPr>
              <w:jc w:val="center"/>
              <w:rPr>
                <w:rFonts w:cs="Arial"/>
                <w:color w:val="000000"/>
                <w:sz w:val="18"/>
                <w:szCs w:val="18"/>
                <w:lang w:val="en-US" w:eastAsia="en-US"/>
              </w:rPr>
            </w:pPr>
            <w:r w:rsidRPr="008A78C8">
              <w:rPr>
                <w:rFonts w:cs="Arial"/>
                <w:color w:val="000000"/>
                <w:sz w:val="18"/>
                <w:szCs w:val="18"/>
              </w:rPr>
              <w:t>3,41%</w:t>
            </w:r>
          </w:p>
        </w:tc>
        <w:tc>
          <w:tcPr>
            <w:tcW w:w="1159" w:type="dxa"/>
            <w:tcBorders>
              <w:top w:val="nil"/>
              <w:left w:val="nil"/>
              <w:bottom w:val="single" w:sz="4" w:space="0" w:color="auto"/>
              <w:right w:val="single" w:sz="4" w:space="0" w:color="auto"/>
            </w:tcBorders>
            <w:shd w:val="clear" w:color="auto" w:fill="auto"/>
            <w:vAlign w:val="center"/>
            <w:hideMark/>
          </w:tcPr>
          <w:p w14:paraId="0240AB48" w14:textId="530685E8" w:rsidR="008A78C8" w:rsidRPr="008A78C8" w:rsidRDefault="008A78C8" w:rsidP="0014277A">
            <w:pPr>
              <w:jc w:val="center"/>
              <w:rPr>
                <w:rFonts w:cs="Arial"/>
                <w:color w:val="000000"/>
                <w:sz w:val="18"/>
                <w:szCs w:val="18"/>
                <w:lang w:val="en-US" w:eastAsia="en-US"/>
              </w:rPr>
            </w:pPr>
            <w:r w:rsidRPr="008A78C8">
              <w:rPr>
                <w:rFonts w:cs="Arial"/>
                <w:color w:val="000000"/>
                <w:sz w:val="18"/>
                <w:szCs w:val="18"/>
              </w:rPr>
              <w:t>3,41%</w:t>
            </w:r>
          </w:p>
        </w:tc>
        <w:tc>
          <w:tcPr>
            <w:tcW w:w="1017" w:type="dxa"/>
            <w:tcBorders>
              <w:top w:val="nil"/>
              <w:left w:val="nil"/>
              <w:bottom w:val="single" w:sz="4" w:space="0" w:color="auto"/>
              <w:right w:val="single" w:sz="4" w:space="0" w:color="auto"/>
            </w:tcBorders>
            <w:shd w:val="clear" w:color="auto" w:fill="auto"/>
            <w:vAlign w:val="center"/>
            <w:hideMark/>
          </w:tcPr>
          <w:p w14:paraId="05F7A58D" w14:textId="48EA80E1" w:rsidR="008A78C8" w:rsidRPr="008A78C8" w:rsidRDefault="008A78C8" w:rsidP="0014277A">
            <w:pPr>
              <w:jc w:val="center"/>
              <w:rPr>
                <w:rFonts w:cs="Arial"/>
                <w:color w:val="000000"/>
                <w:sz w:val="18"/>
                <w:szCs w:val="18"/>
                <w:lang w:val="en-US" w:eastAsia="en-US"/>
              </w:rPr>
            </w:pPr>
            <w:r w:rsidRPr="008A78C8">
              <w:rPr>
                <w:rFonts w:cs="Arial"/>
                <w:color w:val="000000"/>
                <w:sz w:val="18"/>
                <w:szCs w:val="18"/>
              </w:rPr>
              <w:t>3,41%</w:t>
            </w:r>
          </w:p>
        </w:tc>
        <w:tc>
          <w:tcPr>
            <w:tcW w:w="1017" w:type="dxa"/>
            <w:tcBorders>
              <w:top w:val="nil"/>
              <w:left w:val="nil"/>
              <w:bottom w:val="single" w:sz="4" w:space="0" w:color="auto"/>
              <w:right w:val="single" w:sz="8" w:space="0" w:color="auto"/>
            </w:tcBorders>
            <w:shd w:val="clear" w:color="auto" w:fill="auto"/>
            <w:vAlign w:val="center"/>
            <w:hideMark/>
          </w:tcPr>
          <w:p w14:paraId="0896D524" w14:textId="47E40D66" w:rsidR="008A78C8" w:rsidRPr="008A78C8" w:rsidRDefault="008A78C8" w:rsidP="0014277A">
            <w:pPr>
              <w:jc w:val="center"/>
              <w:rPr>
                <w:rFonts w:cs="Arial"/>
                <w:color w:val="000000"/>
                <w:sz w:val="18"/>
                <w:szCs w:val="18"/>
                <w:lang w:val="en-US" w:eastAsia="en-US"/>
              </w:rPr>
            </w:pPr>
            <w:r w:rsidRPr="008A78C8">
              <w:rPr>
                <w:rFonts w:cs="Arial"/>
                <w:color w:val="000000"/>
                <w:sz w:val="18"/>
                <w:szCs w:val="18"/>
              </w:rPr>
              <w:t>3,41%</w:t>
            </w:r>
          </w:p>
        </w:tc>
      </w:tr>
      <w:tr w:rsidR="008A78C8" w:rsidRPr="00CA53C8" w14:paraId="26D03F6D" w14:textId="77777777" w:rsidTr="00BF0EEF">
        <w:trPr>
          <w:trHeight w:val="900"/>
          <w:jc w:val="center"/>
        </w:trPr>
        <w:tc>
          <w:tcPr>
            <w:tcW w:w="3088" w:type="dxa"/>
            <w:tcBorders>
              <w:top w:val="nil"/>
              <w:left w:val="single" w:sz="4" w:space="0" w:color="auto"/>
              <w:bottom w:val="single" w:sz="4" w:space="0" w:color="auto"/>
              <w:right w:val="single" w:sz="4" w:space="0" w:color="auto"/>
            </w:tcBorders>
            <w:shd w:val="clear" w:color="auto" w:fill="auto"/>
            <w:vAlign w:val="center"/>
            <w:hideMark/>
          </w:tcPr>
          <w:p w14:paraId="23D36D35" w14:textId="77777777" w:rsidR="008A78C8" w:rsidRPr="00CA53C8" w:rsidRDefault="008A78C8" w:rsidP="0014277A">
            <w:pPr>
              <w:rPr>
                <w:rFonts w:cs="Arial"/>
                <w:color w:val="000000"/>
                <w:sz w:val="18"/>
                <w:szCs w:val="18"/>
                <w:lang w:val="en-US" w:eastAsia="en-US"/>
              </w:rPr>
            </w:pPr>
            <w:r w:rsidRPr="00CA53C8">
              <w:rPr>
                <w:rFonts w:cs="Arial"/>
                <w:color w:val="000000"/>
                <w:sz w:val="18"/>
                <w:szCs w:val="18"/>
                <w:lang w:val="en-US" w:eastAsia="en-US"/>
              </w:rPr>
              <w:t>Estimated number of Australian adults eligible for implantation</w:t>
            </w:r>
          </w:p>
        </w:tc>
        <w:tc>
          <w:tcPr>
            <w:tcW w:w="1067" w:type="dxa"/>
            <w:tcBorders>
              <w:top w:val="nil"/>
              <w:left w:val="nil"/>
              <w:bottom w:val="single" w:sz="4" w:space="0" w:color="auto"/>
              <w:right w:val="single" w:sz="4" w:space="0" w:color="auto"/>
            </w:tcBorders>
            <w:shd w:val="clear" w:color="auto" w:fill="auto"/>
            <w:vAlign w:val="center"/>
            <w:hideMark/>
          </w:tcPr>
          <w:p w14:paraId="01113DB2" w14:textId="77777777" w:rsidR="008A78C8" w:rsidRPr="009335A4" w:rsidRDefault="008A78C8" w:rsidP="0014277A">
            <w:pPr>
              <w:jc w:val="center"/>
              <w:rPr>
                <w:rFonts w:cs="Arial"/>
                <w:color w:val="000000"/>
                <w:sz w:val="18"/>
                <w:szCs w:val="18"/>
                <w:lang w:val="en-US" w:eastAsia="en-US"/>
              </w:rPr>
            </w:pPr>
            <w:r w:rsidRPr="009335A4">
              <w:rPr>
                <w:rFonts w:cs="Arial"/>
                <w:color w:val="000000"/>
                <w:sz w:val="18"/>
                <w:szCs w:val="18"/>
              </w:rPr>
              <w:t>F x G</w:t>
            </w:r>
          </w:p>
        </w:tc>
        <w:tc>
          <w:tcPr>
            <w:tcW w:w="1160" w:type="dxa"/>
            <w:tcBorders>
              <w:top w:val="nil"/>
              <w:left w:val="nil"/>
              <w:bottom w:val="single" w:sz="4" w:space="0" w:color="auto"/>
              <w:right w:val="single" w:sz="4" w:space="0" w:color="auto"/>
            </w:tcBorders>
            <w:shd w:val="clear" w:color="auto" w:fill="auto"/>
            <w:vAlign w:val="center"/>
            <w:hideMark/>
          </w:tcPr>
          <w:p w14:paraId="0D7890AC" w14:textId="254B6428" w:rsidR="008A78C8" w:rsidRPr="008A78C8" w:rsidRDefault="008A78C8" w:rsidP="0014277A">
            <w:pPr>
              <w:jc w:val="center"/>
              <w:rPr>
                <w:rFonts w:cs="Arial"/>
                <w:color w:val="000000"/>
                <w:sz w:val="18"/>
                <w:szCs w:val="18"/>
                <w:lang w:val="en-US" w:eastAsia="en-US"/>
              </w:rPr>
            </w:pPr>
            <w:r w:rsidRPr="008A78C8">
              <w:rPr>
                <w:rFonts w:cs="Arial"/>
                <w:color w:val="000000"/>
                <w:sz w:val="18"/>
                <w:szCs w:val="18"/>
              </w:rPr>
              <w:t>988</w:t>
            </w:r>
          </w:p>
        </w:tc>
        <w:tc>
          <w:tcPr>
            <w:tcW w:w="1066" w:type="dxa"/>
            <w:tcBorders>
              <w:top w:val="nil"/>
              <w:left w:val="nil"/>
              <w:bottom w:val="single" w:sz="4" w:space="0" w:color="auto"/>
              <w:right w:val="single" w:sz="4" w:space="0" w:color="auto"/>
            </w:tcBorders>
            <w:shd w:val="clear" w:color="auto" w:fill="auto"/>
            <w:vAlign w:val="center"/>
            <w:hideMark/>
          </w:tcPr>
          <w:p w14:paraId="6552DEC0" w14:textId="47BEA491" w:rsidR="008A78C8" w:rsidRPr="008A78C8" w:rsidRDefault="008A78C8" w:rsidP="0014277A">
            <w:pPr>
              <w:jc w:val="center"/>
              <w:rPr>
                <w:rFonts w:cs="Arial"/>
                <w:color w:val="000000"/>
                <w:sz w:val="18"/>
                <w:szCs w:val="18"/>
                <w:lang w:val="en-US" w:eastAsia="en-US"/>
              </w:rPr>
            </w:pPr>
            <w:r w:rsidRPr="008A78C8">
              <w:rPr>
                <w:rFonts w:cs="Arial"/>
                <w:color w:val="000000"/>
                <w:sz w:val="18"/>
                <w:szCs w:val="18"/>
              </w:rPr>
              <w:t>1005</w:t>
            </w:r>
          </w:p>
        </w:tc>
        <w:tc>
          <w:tcPr>
            <w:tcW w:w="1017" w:type="dxa"/>
            <w:tcBorders>
              <w:top w:val="nil"/>
              <w:left w:val="nil"/>
              <w:bottom w:val="single" w:sz="4" w:space="0" w:color="auto"/>
              <w:right w:val="single" w:sz="4" w:space="0" w:color="auto"/>
            </w:tcBorders>
            <w:shd w:val="clear" w:color="auto" w:fill="auto"/>
            <w:vAlign w:val="center"/>
            <w:hideMark/>
          </w:tcPr>
          <w:p w14:paraId="37386BA7" w14:textId="07DB6818" w:rsidR="008A78C8" w:rsidRPr="008A78C8" w:rsidRDefault="008A78C8" w:rsidP="0014277A">
            <w:pPr>
              <w:jc w:val="center"/>
              <w:rPr>
                <w:rFonts w:cs="Arial"/>
                <w:color w:val="000000"/>
                <w:sz w:val="18"/>
                <w:szCs w:val="18"/>
                <w:lang w:val="en-US" w:eastAsia="en-US"/>
              </w:rPr>
            </w:pPr>
            <w:r w:rsidRPr="008A78C8">
              <w:rPr>
                <w:rFonts w:cs="Arial"/>
                <w:color w:val="000000"/>
                <w:sz w:val="18"/>
                <w:szCs w:val="18"/>
              </w:rPr>
              <w:t>1022</w:t>
            </w:r>
          </w:p>
        </w:tc>
        <w:tc>
          <w:tcPr>
            <w:tcW w:w="1159" w:type="dxa"/>
            <w:tcBorders>
              <w:top w:val="nil"/>
              <w:left w:val="nil"/>
              <w:bottom w:val="single" w:sz="4" w:space="0" w:color="auto"/>
              <w:right w:val="single" w:sz="4" w:space="0" w:color="auto"/>
            </w:tcBorders>
            <w:shd w:val="clear" w:color="auto" w:fill="auto"/>
            <w:vAlign w:val="center"/>
            <w:hideMark/>
          </w:tcPr>
          <w:p w14:paraId="0A86C1D5" w14:textId="1C657C0B" w:rsidR="008A78C8" w:rsidRPr="008A78C8" w:rsidRDefault="008A78C8" w:rsidP="0014277A">
            <w:pPr>
              <w:jc w:val="center"/>
              <w:rPr>
                <w:rFonts w:cs="Arial"/>
                <w:color w:val="000000"/>
                <w:sz w:val="18"/>
                <w:szCs w:val="18"/>
                <w:lang w:val="en-US" w:eastAsia="en-US"/>
              </w:rPr>
            </w:pPr>
            <w:r w:rsidRPr="008A78C8">
              <w:rPr>
                <w:rFonts w:cs="Arial"/>
                <w:color w:val="000000"/>
                <w:sz w:val="18"/>
                <w:szCs w:val="18"/>
              </w:rPr>
              <w:t>1039</w:t>
            </w:r>
          </w:p>
        </w:tc>
        <w:tc>
          <w:tcPr>
            <w:tcW w:w="1017" w:type="dxa"/>
            <w:tcBorders>
              <w:top w:val="nil"/>
              <w:left w:val="nil"/>
              <w:bottom w:val="single" w:sz="4" w:space="0" w:color="auto"/>
              <w:right w:val="single" w:sz="4" w:space="0" w:color="auto"/>
            </w:tcBorders>
            <w:shd w:val="clear" w:color="auto" w:fill="auto"/>
            <w:vAlign w:val="center"/>
            <w:hideMark/>
          </w:tcPr>
          <w:p w14:paraId="6EC6CBE3" w14:textId="4E0D55E3" w:rsidR="008A78C8" w:rsidRPr="008A78C8" w:rsidRDefault="008A78C8" w:rsidP="0014277A">
            <w:pPr>
              <w:jc w:val="center"/>
              <w:rPr>
                <w:rFonts w:cs="Arial"/>
                <w:color w:val="000000"/>
                <w:sz w:val="18"/>
                <w:szCs w:val="18"/>
                <w:lang w:val="en-US" w:eastAsia="en-US"/>
              </w:rPr>
            </w:pPr>
            <w:r w:rsidRPr="008A78C8">
              <w:rPr>
                <w:rFonts w:cs="Arial"/>
                <w:color w:val="000000"/>
                <w:sz w:val="18"/>
                <w:szCs w:val="18"/>
              </w:rPr>
              <w:t>1056</w:t>
            </w:r>
          </w:p>
        </w:tc>
        <w:tc>
          <w:tcPr>
            <w:tcW w:w="1017" w:type="dxa"/>
            <w:tcBorders>
              <w:top w:val="nil"/>
              <w:left w:val="nil"/>
              <w:bottom w:val="single" w:sz="4" w:space="0" w:color="auto"/>
              <w:right w:val="single" w:sz="8" w:space="0" w:color="auto"/>
            </w:tcBorders>
            <w:shd w:val="clear" w:color="auto" w:fill="auto"/>
            <w:vAlign w:val="center"/>
            <w:hideMark/>
          </w:tcPr>
          <w:p w14:paraId="5B88B68E" w14:textId="79D07613" w:rsidR="008A78C8" w:rsidRPr="008A78C8" w:rsidRDefault="008A78C8" w:rsidP="0014277A">
            <w:pPr>
              <w:jc w:val="center"/>
              <w:rPr>
                <w:rFonts w:cs="Arial"/>
                <w:color w:val="000000"/>
                <w:sz w:val="18"/>
                <w:szCs w:val="18"/>
                <w:lang w:val="en-US" w:eastAsia="en-US"/>
              </w:rPr>
            </w:pPr>
            <w:r w:rsidRPr="008A78C8">
              <w:rPr>
                <w:rFonts w:cs="Arial"/>
                <w:color w:val="000000"/>
                <w:sz w:val="18"/>
                <w:szCs w:val="18"/>
              </w:rPr>
              <w:t>1074</w:t>
            </w:r>
          </w:p>
        </w:tc>
      </w:tr>
      <w:tr w:rsidR="008A78C8" w:rsidRPr="00CA53C8" w14:paraId="12FC5025" w14:textId="77777777" w:rsidTr="00BF0EEF">
        <w:trPr>
          <w:trHeight w:val="660"/>
          <w:jc w:val="center"/>
        </w:trPr>
        <w:tc>
          <w:tcPr>
            <w:tcW w:w="3088" w:type="dxa"/>
            <w:tcBorders>
              <w:top w:val="nil"/>
              <w:left w:val="single" w:sz="4" w:space="0" w:color="auto"/>
              <w:bottom w:val="single" w:sz="4" w:space="0" w:color="auto"/>
              <w:right w:val="single" w:sz="4" w:space="0" w:color="auto"/>
            </w:tcBorders>
            <w:shd w:val="clear" w:color="auto" w:fill="auto"/>
            <w:vAlign w:val="center"/>
            <w:hideMark/>
          </w:tcPr>
          <w:p w14:paraId="1E1E0A46" w14:textId="77777777" w:rsidR="008A78C8" w:rsidRPr="00CA53C8" w:rsidRDefault="008A78C8" w:rsidP="0014277A">
            <w:pPr>
              <w:rPr>
                <w:rFonts w:cs="Arial"/>
                <w:color w:val="000000"/>
                <w:sz w:val="18"/>
                <w:szCs w:val="18"/>
                <w:lang w:val="en-US" w:eastAsia="en-US"/>
              </w:rPr>
            </w:pPr>
            <w:r w:rsidRPr="00CA53C8">
              <w:rPr>
                <w:rFonts w:cs="Arial"/>
                <w:color w:val="000000"/>
                <w:sz w:val="18"/>
                <w:szCs w:val="18"/>
                <w:lang w:val="en-US" w:eastAsia="en-US"/>
              </w:rPr>
              <w:t>Minimum number of services per year</w:t>
            </w:r>
          </w:p>
        </w:tc>
        <w:tc>
          <w:tcPr>
            <w:tcW w:w="1067" w:type="dxa"/>
            <w:tcBorders>
              <w:top w:val="nil"/>
              <w:left w:val="nil"/>
              <w:bottom w:val="single" w:sz="4" w:space="0" w:color="auto"/>
              <w:right w:val="single" w:sz="4" w:space="0" w:color="auto"/>
            </w:tcBorders>
            <w:shd w:val="clear" w:color="auto" w:fill="auto"/>
            <w:noWrap/>
            <w:vAlign w:val="center"/>
            <w:hideMark/>
          </w:tcPr>
          <w:p w14:paraId="017CD276" w14:textId="77777777" w:rsidR="008A78C8" w:rsidRPr="009335A4" w:rsidRDefault="008A78C8" w:rsidP="0014277A">
            <w:pPr>
              <w:jc w:val="center"/>
              <w:rPr>
                <w:rFonts w:cs="Arial"/>
                <w:color w:val="000000"/>
                <w:sz w:val="18"/>
                <w:szCs w:val="18"/>
                <w:lang w:val="en-US" w:eastAsia="en-US"/>
              </w:rPr>
            </w:pPr>
            <w:r w:rsidRPr="009335A4">
              <w:rPr>
                <w:rFonts w:cs="Arial"/>
                <w:color w:val="000000"/>
                <w:sz w:val="18"/>
                <w:szCs w:val="18"/>
              </w:rPr>
              <w:t>H / 15</w:t>
            </w:r>
          </w:p>
        </w:tc>
        <w:tc>
          <w:tcPr>
            <w:tcW w:w="1160" w:type="dxa"/>
            <w:tcBorders>
              <w:top w:val="nil"/>
              <w:left w:val="nil"/>
              <w:bottom w:val="single" w:sz="4" w:space="0" w:color="auto"/>
              <w:right w:val="single" w:sz="4" w:space="0" w:color="auto"/>
            </w:tcBorders>
            <w:shd w:val="clear" w:color="auto" w:fill="auto"/>
            <w:noWrap/>
            <w:vAlign w:val="center"/>
            <w:hideMark/>
          </w:tcPr>
          <w:p w14:paraId="2CA2A0BB" w14:textId="60CA8D6F" w:rsidR="008A78C8" w:rsidRPr="008A78C8" w:rsidRDefault="008A78C8" w:rsidP="0014277A">
            <w:pPr>
              <w:jc w:val="center"/>
              <w:rPr>
                <w:rFonts w:cs="Arial"/>
                <w:color w:val="000000"/>
                <w:sz w:val="18"/>
                <w:szCs w:val="18"/>
                <w:lang w:val="en-US" w:eastAsia="en-US"/>
              </w:rPr>
            </w:pPr>
            <w:r w:rsidRPr="008A78C8">
              <w:rPr>
                <w:rFonts w:cs="Arial"/>
                <w:color w:val="000000"/>
                <w:sz w:val="18"/>
                <w:szCs w:val="18"/>
              </w:rPr>
              <w:t>66</w:t>
            </w:r>
          </w:p>
        </w:tc>
        <w:tc>
          <w:tcPr>
            <w:tcW w:w="1066" w:type="dxa"/>
            <w:tcBorders>
              <w:top w:val="nil"/>
              <w:left w:val="nil"/>
              <w:bottom w:val="single" w:sz="4" w:space="0" w:color="auto"/>
              <w:right w:val="single" w:sz="4" w:space="0" w:color="auto"/>
            </w:tcBorders>
            <w:shd w:val="clear" w:color="auto" w:fill="auto"/>
            <w:noWrap/>
            <w:vAlign w:val="center"/>
            <w:hideMark/>
          </w:tcPr>
          <w:p w14:paraId="75FCF1AF" w14:textId="10EE4276" w:rsidR="008A78C8" w:rsidRPr="008A78C8" w:rsidRDefault="008A78C8" w:rsidP="0014277A">
            <w:pPr>
              <w:jc w:val="center"/>
              <w:rPr>
                <w:rFonts w:cs="Arial"/>
                <w:color w:val="000000"/>
                <w:sz w:val="18"/>
                <w:szCs w:val="18"/>
                <w:lang w:val="en-US" w:eastAsia="en-US"/>
              </w:rPr>
            </w:pPr>
            <w:r w:rsidRPr="008A78C8">
              <w:rPr>
                <w:rFonts w:cs="Arial"/>
                <w:color w:val="000000"/>
                <w:sz w:val="18"/>
                <w:szCs w:val="18"/>
              </w:rPr>
              <w:t>67</w:t>
            </w:r>
          </w:p>
        </w:tc>
        <w:tc>
          <w:tcPr>
            <w:tcW w:w="1017" w:type="dxa"/>
            <w:tcBorders>
              <w:top w:val="nil"/>
              <w:left w:val="nil"/>
              <w:bottom w:val="single" w:sz="4" w:space="0" w:color="auto"/>
              <w:right w:val="single" w:sz="4" w:space="0" w:color="auto"/>
            </w:tcBorders>
            <w:shd w:val="clear" w:color="auto" w:fill="auto"/>
            <w:noWrap/>
            <w:vAlign w:val="center"/>
            <w:hideMark/>
          </w:tcPr>
          <w:p w14:paraId="03D0C46C" w14:textId="66089E52" w:rsidR="008A78C8" w:rsidRPr="008A78C8" w:rsidRDefault="008A78C8" w:rsidP="0014277A">
            <w:pPr>
              <w:jc w:val="center"/>
              <w:rPr>
                <w:rFonts w:cs="Arial"/>
                <w:color w:val="000000"/>
                <w:sz w:val="18"/>
                <w:szCs w:val="18"/>
                <w:lang w:val="en-US" w:eastAsia="en-US"/>
              </w:rPr>
            </w:pPr>
            <w:r w:rsidRPr="008A78C8">
              <w:rPr>
                <w:rFonts w:cs="Arial"/>
                <w:color w:val="000000"/>
                <w:sz w:val="18"/>
                <w:szCs w:val="18"/>
              </w:rPr>
              <w:t>68</w:t>
            </w:r>
          </w:p>
        </w:tc>
        <w:tc>
          <w:tcPr>
            <w:tcW w:w="1159" w:type="dxa"/>
            <w:tcBorders>
              <w:top w:val="nil"/>
              <w:left w:val="nil"/>
              <w:bottom w:val="single" w:sz="4" w:space="0" w:color="auto"/>
              <w:right w:val="single" w:sz="4" w:space="0" w:color="auto"/>
            </w:tcBorders>
            <w:shd w:val="clear" w:color="auto" w:fill="auto"/>
            <w:noWrap/>
            <w:vAlign w:val="center"/>
            <w:hideMark/>
          </w:tcPr>
          <w:p w14:paraId="7B0C0613" w14:textId="0EBF5F2A" w:rsidR="008A78C8" w:rsidRPr="008A78C8" w:rsidRDefault="008A78C8" w:rsidP="0014277A">
            <w:pPr>
              <w:jc w:val="center"/>
              <w:rPr>
                <w:rFonts w:cs="Arial"/>
                <w:color w:val="000000"/>
                <w:sz w:val="18"/>
                <w:szCs w:val="18"/>
                <w:lang w:val="en-US" w:eastAsia="en-US"/>
              </w:rPr>
            </w:pPr>
            <w:r w:rsidRPr="008A78C8">
              <w:rPr>
                <w:rFonts w:cs="Arial"/>
                <w:color w:val="000000"/>
                <w:sz w:val="18"/>
                <w:szCs w:val="18"/>
              </w:rPr>
              <w:t>69</w:t>
            </w:r>
          </w:p>
        </w:tc>
        <w:tc>
          <w:tcPr>
            <w:tcW w:w="1017" w:type="dxa"/>
            <w:tcBorders>
              <w:top w:val="nil"/>
              <w:left w:val="nil"/>
              <w:bottom w:val="single" w:sz="4" w:space="0" w:color="auto"/>
              <w:right w:val="single" w:sz="4" w:space="0" w:color="auto"/>
            </w:tcBorders>
            <w:shd w:val="clear" w:color="auto" w:fill="auto"/>
            <w:noWrap/>
            <w:vAlign w:val="center"/>
            <w:hideMark/>
          </w:tcPr>
          <w:p w14:paraId="1751F281" w14:textId="03E53B6B" w:rsidR="008A78C8" w:rsidRPr="008A78C8" w:rsidRDefault="008A78C8" w:rsidP="0014277A">
            <w:pPr>
              <w:jc w:val="center"/>
              <w:rPr>
                <w:rFonts w:cs="Arial"/>
                <w:color w:val="000000"/>
                <w:sz w:val="18"/>
                <w:szCs w:val="18"/>
                <w:lang w:val="en-US" w:eastAsia="en-US"/>
              </w:rPr>
            </w:pPr>
            <w:r w:rsidRPr="008A78C8">
              <w:rPr>
                <w:rFonts w:cs="Arial"/>
                <w:color w:val="000000"/>
                <w:sz w:val="18"/>
                <w:szCs w:val="18"/>
              </w:rPr>
              <w:t>70</w:t>
            </w:r>
          </w:p>
        </w:tc>
        <w:tc>
          <w:tcPr>
            <w:tcW w:w="1017" w:type="dxa"/>
            <w:tcBorders>
              <w:top w:val="nil"/>
              <w:left w:val="nil"/>
              <w:bottom w:val="single" w:sz="4" w:space="0" w:color="auto"/>
              <w:right w:val="single" w:sz="8" w:space="0" w:color="auto"/>
            </w:tcBorders>
            <w:shd w:val="clear" w:color="auto" w:fill="auto"/>
            <w:noWrap/>
            <w:vAlign w:val="center"/>
            <w:hideMark/>
          </w:tcPr>
          <w:p w14:paraId="3DD0EC0C" w14:textId="07B515C0" w:rsidR="008A78C8" w:rsidRPr="008A78C8" w:rsidRDefault="008A78C8" w:rsidP="0014277A">
            <w:pPr>
              <w:jc w:val="center"/>
              <w:rPr>
                <w:rFonts w:cs="Arial"/>
                <w:color w:val="000000"/>
                <w:sz w:val="18"/>
                <w:szCs w:val="18"/>
                <w:lang w:val="en-US" w:eastAsia="en-US"/>
              </w:rPr>
            </w:pPr>
            <w:r w:rsidRPr="008A78C8">
              <w:rPr>
                <w:rFonts w:cs="Arial"/>
                <w:color w:val="000000"/>
                <w:sz w:val="18"/>
                <w:szCs w:val="18"/>
              </w:rPr>
              <w:t>72</w:t>
            </w:r>
          </w:p>
        </w:tc>
      </w:tr>
      <w:tr w:rsidR="008A78C8" w:rsidRPr="00CA53C8" w14:paraId="452E1101" w14:textId="77777777" w:rsidTr="00BF0EEF">
        <w:trPr>
          <w:trHeight w:val="615"/>
          <w:jc w:val="center"/>
        </w:trPr>
        <w:tc>
          <w:tcPr>
            <w:tcW w:w="3088" w:type="dxa"/>
            <w:tcBorders>
              <w:top w:val="nil"/>
              <w:left w:val="single" w:sz="4" w:space="0" w:color="auto"/>
              <w:bottom w:val="single" w:sz="4" w:space="0" w:color="auto"/>
              <w:right w:val="single" w:sz="4" w:space="0" w:color="auto"/>
            </w:tcBorders>
            <w:shd w:val="clear" w:color="auto" w:fill="auto"/>
            <w:vAlign w:val="center"/>
            <w:hideMark/>
          </w:tcPr>
          <w:p w14:paraId="749B4F5D" w14:textId="77777777" w:rsidR="008A78C8" w:rsidRPr="00CA53C8" w:rsidRDefault="008A78C8" w:rsidP="0014277A">
            <w:pPr>
              <w:rPr>
                <w:rFonts w:cs="Arial"/>
                <w:color w:val="000000"/>
                <w:sz w:val="18"/>
                <w:szCs w:val="18"/>
                <w:lang w:val="en-US" w:eastAsia="en-US"/>
              </w:rPr>
            </w:pPr>
            <w:r w:rsidRPr="00CA53C8">
              <w:rPr>
                <w:rFonts w:cs="Arial"/>
                <w:color w:val="000000"/>
                <w:sz w:val="18"/>
                <w:szCs w:val="18"/>
                <w:lang w:val="en-US" w:eastAsia="en-US"/>
              </w:rPr>
              <w:t>Maximum number of services per year</w:t>
            </w:r>
          </w:p>
        </w:tc>
        <w:tc>
          <w:tcPr>
            <w:tcW w:w="1067" w:type="dxa"/>
            <w:tcBorders>
              <w:top w:val="nil"/>
              <w:left w:val="nil"/>
              <w:bottom w:val="single" w:sz="4" w:space="0" w:color="auto"/>
              <w:right w:val="single" w:sz="4" w:space="0" w:color="auto"/>
            </w:tcBorders>
            <w:shd w:val="clear" w:color="auto" w:fill="auto"/>
            <w:noWrap/>
            <w:vAlign w:val="center"/>
            <w:hideMark/>
          </w:tcPr>
          <w:p w14:paraId="05409E45" w14:textId="77777777" w:rsidR="008A78C8" w:rsidRPr="009335A4" w:rsidRDefault="008A78C8" w:rsidP="0014277A">
            <w:pPr>
              <w:jc w:val="center"/>
              <w:rPr>
                <w:rFonts w:cs="Arial"/>
                <w:color w:val="000000"/>
                <w:sz w:val="18"/>
                <w:szCs w:val="18"/>
                <w:lang w:val="en-US" w:eastAsia="en-US"/>
              </w:rPr>
            </w:pPr>
            <w:r w:rsidRPr="009335A4">
              <w:rPr>
                <w:rFonts w:cs="Arial"/>
                <w:color w:val="000000"/>
                <w:sz w:val="18"/>
                <w:szCs w:val="18"/>
              </w:rPr>
              <w:t>H / 10</w:t>
            </w:r>
          </w:p>
        </w:tc>
        <w:tc>
          <w:tcPr>
            <w:tcW w:w="1160" w:type="dxa"/>
            <w:tcBorders>
              <w:top w:val="nil"/>
              <w:left w:val="nil"/>
              <w:bottom w:val="single" w:sz="4" w:space="0" w:color="auto"/>
              <w:right w:val="single" w:sz="4" w:space="0" w:color="auto"/>
            </w:tcBorders>
            <w:shd w:val="clear" w:color="auto" w:fill="auto"/>
            <w:noWrap/>
            <w:vAlign w:val="center"/>
            <w:hideMark/>
          </w:tcPr>
          <w:p w14:paraId="1B047DBB" w14:textId="0B23E53A" w:rsidR="008A78C8" w:rsidRPr="008A78C8" w:rsidRDefault="008A78C8" w:rsidP="0014277A">
            <w:pPr>
              <w:jc w:val="center"/>
              <w:rPr>
                <w:rFonts w:cs="Arial"/>
                <w:color w:val="000000"/>
                <w:sz w:val="18"/>
                <w:szCs w:val="18"/>
                <w:lang w:val="en-US" w:eastAsia="en-US"/>
              </w:rPr>
            </w:pPr>
            <w:r w:rsidRPr="008A78C8">
              <w:rPr>
                <w:rFonts w:cs="Arial"/>
                <w:color w:val="000000"/>
                <w:sz w:val="18"/>
                <w:szCs w:val="18"/>
              </w:rPr>
              <w:t>99</w:t>
            </w:r>
          </w:p>
        </w:tc>
        <w:tc>
          <w:tcPr>
            <w:tcW w:w="1066" w:type="dxa"/>
            <w:tcBorders>
              <w:top w:val="nil"/>
              <w:left w:val="nil"/>
              <w:bottom w:val="single" w:sz="4" w:space="0" w:color="auto"/>
              <w:right w:val="single" w:sz="4" w:space="0" w:color="auto"/>
            </w:tcBorders>
            <w:shd w:val="clear" w:color="auto" w:fill="auto"/>
            <w:noWrap/>
            <w:vAlign w:val="center"/>
            <w:hideMark/>
          </w:tcPr>
          <w:p w14:paraId="16583F69" w14:textId="398EA711" w:rsidR="008A78C8" w:rsidRPr="008A78C8" w:rsidRDefault="008A78C8" w:rsidP="0014277A">
            <w:pPr>
              <w:jc w:val="center"/>
              <w:rPr>
                <w:rFonts w:cs="Arial"/>
                <w:color w:val="000000"/>
                <w:sz w:val="18"/>
                <w:szCs w:val="18"/>
                <w:lang w:val="en-US" w:eastAsia="en-US"/>
              </w:rPr>
            </w:pPr>
            <w:r w:rsidRPr="008A78C8">
              <w:rPr>
                <w:rFonts w:cs="Arial"/>
                <w:color w:val="000000"/>
                <w:sz w:val="18"/>
                <w:szCs w:val="18"/>
              </w:rPr>
              <w:t>101</w:t>
            </w:r>
          </w:p>
        </w:tc>
        <w:tc>
          <w:tcPr>
            <w:tcW w:w="1017" w:type="dxa"/>
            <w:tcBorders>
              <w:top w:val="nil"/>
              <w:left w:val="nil"/>
              <w:bottom w:val="single" w:sz="4" w:space="0" w:color="auto"/>
              <w:right w:val="single" w:sz="4" w:space="0" w:color="auto"/>
            </w:tcBorders>
            <w:shd w:val="clear" w:color="auto" w:fill="auto"/>
            <w:noWrap/>
            <w:vAlign w:val="center"/>
            <w:hideMark/>
          </w:tcPr>
          <w:p w14:paraId="528555C4" w14:textId="51E23179" w:rsidR="008A78C8" w:rsidRPr="008A78C8" w:rsidRDefault="008A78C8" w:rsidP="0014277A">
            <w:pPr>
              <w:jc w:val="center"/>
              <w:rPr>
                <w:rFonts w:cs="Arial"/>
                <w:color w:val="000000"/>
                <w:sz w:val="18"/>
                <w:szCs w:val="18"/>
                <w:lang w:val="en-US" w:eastAsia="en-US"/>
              </w:rPr>
            </w:pPr>
            <w:r w:rsidRPr="008A78C8">
              <w:rPr>
                <w:rFonts w:cs="Arial"/>
                <w:color w:val="000000"/>
                <w:sz w:val="18"/>
                <w:szCs w:val="18"/>
              </w:rPr>
              <w:t>102</w:t>
            </w:r>
          </w:p>
        </w:tc>
        <w:tc>
          <w:tcPr>
            <w:tcW w:w="1159" w:type="dxa"/>
            <w:tcBorders>
              <w:top w:val="nil"/>
              <w:left w:val="nil"/>
              <w:bottom w:val="single" w:sz="4" w:space="0" w:color="auto"/>
              <w:right w:val="single" w:sz="4" w:space="0" w:color="auto"/>
            </w:tcBorders>
            <w:shd w:val="clear" w:color="auto" w:fill="auto"/>
            <w:noWrap/>
            <w:vAlign w:val="center"/>
            <w:hideMark/>
          </w:tcPr>
          <w:p w14:paraId="60382A00" w14:textId="66B348EF" w:rsidR="008A78C8" w:rsidRPr="008A78C8" w:rsidRDefault="008A78C8" w:rsidP="0014277A">
            <w:pPr>
              <w:jc w:val="center"/>
              <w:rPr>
                <w:rFonts w:cs="Arial"/>
                <w:color w:val="000000"/>
                <w:sz w:val="18"/>
                <w:szCs w:val="18"/>
                <w:lang w:val="en-US" w:eastAsia="en-US"/>
              </w:rPr>
            </w:pPr>
            <w:r w:rsidRPr="008A78C8">
              <w:rPr>
                <w:rFonts w:cs="Arial"/>
                <w:color w:val="000000"/>
                <w:sz w:val="18"/>
                <w:szCs w:val="18"/>
              </w:rPr>
              <w:t>104</w:t>
            </w:r>
          </w:p>
        </w:tc>
        <w:tc>
          <w:tcPr>
            <w:tcW w:w="1017" w:type="dxa"/>
            <w:tcBorders>
              <w:top w:val="nil"/>
              <w:left w:val="nil"/>
              <w:bottom w:val="single" w:sz="4" w:space="0" w:color="auto"/>
              <w:right w:val="single" w:sz="4" w:space="0" w:color="auto"/>
            </w:tcBorders>
            <w:shd w:val="clear" w:color="auto" w:fill="auto"/>
            <w:noWrap/>
            <w:vAlign w:val="center"/>
            <w:hideMark/>
          </w:tcPr>
          <w:p w14:paraId="65B02E1F" w14:textId="6F936C0B" w:rsidR="008A78C8" w:rsidRPr="008A78C8" w:rsidRDefault="008A78C8" w:rsidP="0014277A">
            <w:pPr>
              <w:jc w:val="center"/>
              <w:rPr>
                <w:rFonts w:cs="Arial"/>
                <w:color w:val="000000"/>
                <w:sz w:val="18"/>
                <w:szCs w:val="18"/>
                <w:lang w:val="en-US" w:eastAsia="en-US"/>
              </w:rPr>
            </w:pPr>
            <w:r w:rsidRPr="008A78C8">
              <w:rPr>
                <w:rFonts w:cs="Arial"/>
                <w:color w:val="000000"/>
                <w:sz w:val="18"/>
                <w:szCs w:val="18"/>
              </w:rPr>
              <w:t>106</w:t>
            </w:r>
          </w:p>
        </w:tc>
        <w:tc>
          <w:tcPr>
            <w:tcW w:w="1017" w:type="dxa"/>
            <w:tcBorders>
              <w:top w:val="nil"/>
              <w:left w:val="nil"/>
              <w:bottom w:val="single" w:sz="4" w:space="0" w:color="auto"/>
              <w:right w:val="single" w:sz="8" w:space="0" w:color="auto"/>
            </w:tcBorders>
            <w:shd w:val="clear" w:color="auto" w:fill="auto"/>
            <w:noWrap/>
            <w:vAlign w:val="center"/>
            <w:hideMark/>
          </w:tcPr>
          <w:p w14:paraId="32E63939" w14:textId="1F4D69E2" w:rsidR="008A78C8" w:rsidRPr="008A78C8" w:rsidRDefault="008A78C8" w:rsidP="0014277A">
            <w:pPr>
              <w:jc w:val="center"/>
              <w:rPr>
                <w:rFonts w:cs="Arial"/>
                <w:color w:val="000000"/>
                <w:sz w:val="18"/>
                <w:szCs w:val="18"/>
                <w:lang w:val="en-US" w:eastAsia="en-US"/>
              </w:rPr>
            </w:pPr>
            <w:r w:rsidRPr="008A78C8">
              <w:rPr>
                <w:rFonts w:cs="Arial"/>
                <w:color w:val="000000"/>
                <w:sz w:val="18"/>
                <w:szCs w:val="18"/>
              </w:rPr>
              <w:t>107</w:t>
            </w:r>
          </w:p>
        </w:tc>
      </w:tr>
      <w:tr w:rsidR="008A78C8" w:rsidRPr="00CA53C8" w14:paraId="393549BB" w14:textId="77777777" w:rsidTr="00BF0EEF">
        <w:trPr>
          <w:trHeight w:val="720"/>
          <w:jc w:val="center"/>
        </w:trPr>
        <w:tc>
          <w:tcPr>
            <w:tcW w:w="3088" w:type="dxa"/>
            <w:tcBorders>
              <w:top w:val="nil"/>
              <w:left w:val="single" w:sz="4" w:space="0" w:color="auto"/>
              <w:bottom w:val="single" w:sz="8" w:space="0" w:color="auto"/>
              <w:right w:val="single" w:sz="4" w:space="0" w:color="auto"/>
            </w:tcBorders>
            <w:shd w:val="clear" w:color="auto" w:fill="auto"/>
            <w:vAlign w:val="center"/>
            <w:hideMark/>
          </w:tcPr>
          <w:p w14:paraId="134F3047" w14:textId="77777777" w:rsidR="008A78C8" w:rsidRPr="00CA53C8" w:rsidRDefault="008A78C8" w:rsidP="0014277A">
            <w:pPr>
              <w:rPr>
                <w:rFonts w:cs="Arial"/>
                <w:color w:val="000000"/>
                <w:sz w:val="18"/>
                <w:szCs w:val="18"/>
                <w:lang w:val="en-US" w:eastAsia="en-US"/>
              </w:rPr>
            </w:pPr>
            <w:r w:rsidRPr="00CA53C8">
              <w:rPr>
                <w:rFonts w:cs="Arial"/>
                <w:color w:val="000000"/>
                <w:sz w:val="18"/>
                <w:szCs w:val="18"/>
                <w:lang w:val="en-US" w:eastAsia="en-US"/>
              </w:rPr>
              <w:t>Mean number of services per year</w:t>
            </w:r>
          </w:p>
        </w:tc>
        <w:tc>
          <w:tcPr>
            <w:tcW w:w="1067" w:type="dxa"/>
            <w:tcBorders>
              <w:top w:val="nil"/>
              <w:left w:val="nil"/>
              <w:bottom w:val="single" w:sz="8" w:space="0" w:color="auto"/>
              <w:right w:val="single" w:sz="4" w:space="0" w:color="auto"/>
            </w:tcBorders>
            <w:shd w:val="clear" w:color="auto" w:fill="auto"/>
            <w:vAlign w:val="center"/>
            <w:hideMark/>
          </w:tcPr>
          <w:p w14:paraId="5FFBD042" w14:textId="77777777" w:rsidR="008A78C8" w:rsidRPr="009335A4" w:rsidRDefault="008A78C8" w:rsidP="0014277A">
            <w:pPr>
              <w:jc w:val="center"/>
              <w:rPr>
                <w:rFonts w:cs="Arial"/>
                <w:color w:val="000000"/>
                <w:sz w:val="18"/>
                <w:szCs w:val="18"/>
                <w:lang w:val="en-US" w:eastAsia="en-US"/>
              </w:rPr>
            </w:pPr>
            <w:r w:rsidRPr="009335A4">
              <w:rPr>
                <w:rFonts w:cs="Arial"/>
                <w:color w:val="000000"/>
                <w:sz w:val="18"/>
                <w:szCs w:val="18"/>
              </w:rPr>
              <w:t>Average of I &amp; J</w:t>
            </w:r>
          </w:p>
        </w:tc>
        <w:tc>
          <w:tcPr>
            <w:tcW w:w="1160" w:type="dxa"/>
            <w:tcBorders>
              <w:top w:val="nil"/>
              <w:left w:val="nil"/>
              <w:bottom w:val="single" w:sz="8" w:space="0" w:color="auto"/>
              <w:right w:val="single" w:sz="4" w:space="0" w:color="auto"/>
            </w:tcBorders>
            <w:shd w:val="clear" w:color="auto" w:fill="auto"/>
            <w:vAlign w:val="center"/>
            <w:hideMark/>
          </w:tcPr>
          <w:p w14:paraId="5A716438" w14:textId="7866E056" w:rsidR="008A78C8" w:rsidRPr="008A78C8" w:rsidRDefault="008A78C8" w:rsidP="0014277A">
            <w:pPr>
              <w:jc w:val="center"/>
              <w:rPr>
                <w:rFonts w:cs="Arial"/>
                <w:b/>
                <w:bCs/>
                <w:color w:val="000000"/>
                <w:sz w:val="18"/>
                <w:szCs w:val="18"/>
                <w:lang w:val="en-US" w:eastAsia="en-US"/>
              </w:rPr>
            </w:pPr>
            <w:r w:rsidRPr="008A78C8">
              <w:rPr>
                <w:rFonts w:cs="Arial"/>
                <w:b/>
                <w:bCs/>
                <w:color w:val="000000"/>
                <w:sz w:val="18"/>
                <w:szCs w:val="18"/>
              </w:rPr>
              <w:t>82</w:t>
            </w:r>
          </w:p>
        </w:tc>
        <w:tc>
          <w:tcPr>
            <w:tcW w:w="1066" w:type="dxa"/>
            <w:tcBorders>
              <w:top w:val="nil"/>
              <w:left w:val="nil"/>
              <w:bottom w:val="single" w:sz="8" w:space="0" w:color="auto"/>
              <w:right w:val="single" w:sz="4" w:space="0" w:color="auto"/>
            </w:tcBorders>
            <w:shd w:val="clear" w:color="auto" w:fill="auto"/>
            <w:vAlign w:val="center"/>
            <w:hideMark/>
          </w:tcPr>
          <w:p w14:paraId="4B1E95EE" w14:textId="6654CA0F" w:rsidR="008A78C8" w:rsidRPr="008A78C8" w:rsidRDefault="008A78C8" w:rsidP="0014277A">
            <w:pPr>
              <w:jc w:val="center"/>
              <w:rPr>
                <w:rFonts w:cs="Arial"/>
                <w:b/>
                <w:bCs/>
                <w:color w:val="000000"/>
                <w:sz w:val="18"/>
                <w:szCs w:val="18"/>
                <w:lang w:val="en-US" w:eastAsia="en-US"/>
              </w:rPr>
            </w:pPr>
            <w:r w:rsidRPr="008A78C8">
              <w:rPr>
                <w:rFonts w:cs="Arial"/>
                <w:b/>
                <w:bCs/>
                <w:color w:val="000000"/>
                <w:sz w:val="18"/>
                <w:szCs w:val="18"/>
              </w:rPr>
              <w:t>84</w:t>
            </w:r>
          </w:p>
        </w:tc>
        <w:tc>
          <w:tcPr>
            <w:tcW w:w="1017" w:type="dxa"/>
            <w:tcBorders>
              <w:top w:val="nil"/>
              <w:left w:val="nil"/>
              <w:bottom w:val="single" w:sz="8" w:space="0" w:color="auto"/>
              <w:right w:val="single" w:sz="4" w:space="0" w:color="auto"/>
            </w:tcBorders>
            <w:shd w:val="clear" w:color="auto" w:fill="auto"/>
            <w:vAlign w:val="center"/>
            <w:hideMark/>
          </w:tcPr>
          <w:p w14:paraId="6F6AA047" w14:textId="554C3410" w:rsidR="008A78C8" w:rsidRPr="008A78C8" w:rsidRDefault="008A78C8" w:rsidP="0014277A">
            <w:pPr>
              <w:jc w:val="center"/>
              <w:rPr>
                <w:rFonts w:cs="Arial"/>
                <w:b/>
                <w:bCs/>
                <w:color w:val="000000"/>
                <w:sz w:val="18"/>
                <w:szCs w:val="18"/>
                <w:lang w:val="en-US" w:eastAsia="en-US"/>
              </w:rPr>
            </w:pPr>
            <w:r w:rsidRPr="008A78C8">
              <w:rPr>
                <w:rFonts w:cs="Arial"/>
                <w:b/>
                <w:bCs/>
                <w:color w:val="000000"/>
                <w:sz w:val="18"/>
                <w:szCs w:val="18"/>
              </w:rPr>
              <w:t>85</w:t>
            </w:r>
          </w:p>
        </w:tc>
        <w:tc>
          <w:tcPr>
            <w:tcW w:w="1159" w:type="dxa"/>
            <w:tcBorders>
              <w:top w:val="nil"/>
              <w:left w:val="nil"/>
              <w:bottom w:val="single" w:sz="8" w:space="0" w:color="auto"/>
              <w:right w:val="single" w:sz="4" w:space="0" w:color="auto"/>
            </w:tcBorders>
            <w:shd w:val="clear" w:color="auto" w:fill="auto"/>
            <w:vAlign w:val="center"/>
            <w:hideMark/>
          </w:tcPr>
          <w:p w14:paraId="6893B54F" w14:textId="3AC3E985" w:rsidR="008A78C8" w:rsidRPr="008A78C8" w:rsidRDefault="008A78C8" w:rsidP="0014277A">
            <w:pPr>
              <w:jc w:val="center"/>
              <w:rPr>
                <w:rFonts w:cs="Arial"/>
                <w:b/>
                <w:bCs/>
                <w:color w:val="000000"/>
                <w:sz w:val="18"/>
                <w:szCs w:val="18"/>
                <w:lang w:val="en-US" w:eastAsia="en-US"/>
              </w:rPr>
            </w:pPr>
            <w:r w:rsidRPr="008A78C8">
              <w:rPr>
                <w:rFonts w:cs="Arial"/>
                <w:b/>
                <w:bCs/>
                <w:color w:val="000000"/>
                <w:sz w:val="18"/>
                <w:szCs w:val="18"/>
              </w:rPr>
              <w:t>87</w:t>
            </w:r>
          </w:p>
        </w:tc>
        <w:tc>
          <w:tcPr>
            <w:tcW w:w="1017" w:type="dxa"/>
            <w:tcBorders>
              <w:top w:val="nil"/>
              <w:left w:val="nil"/>
              <w:bottom w:val="single" w:sz="8" w:space="0" w:color="auto"/>
              <w:right w:val="single" w:sz="4" w:space="0" w:color="auto"/>
            </w:tcBorders>
            <w:shd w:val="clear" w:color="auto" w:fill="auto"/>
            <w:vAlign w:val="center"/>
            <w:hideMark/>
          </w:tcPr>
          <w:p w14:paraId="059F78BC" w14:textId="72657EFC" w:rsidR="008A78C8" w:rsidRPr="008A78C8" w:rsidRDefault="008A78C8" w:rsidP="0014277A">
            <w:pPr>
              <w:jc w:val="center"/>
              <w:rPr>
                <w:rFonts w:cs="Arial"/>
                <w:b/>
                <w:bCs/>
                <w:color w:val="000000"/>
                <w:sz w:val="18"/>
                <w:szCs w:val="18"/>
                <w:lang w:val="en-US" w:eastAsia="en-US"/>
              </w:rPr>
            </w:pPr>
            <w:r w:rsidRPr="008A78C8">
              <w:rPr>
                <w:rFonts w:cs="Arial"/>
                <w:b/>
                <w:bCs/>
                <w:color w:val="000000"/>
                <w:sz w:val="18"/>
                <w:szCs w:val="18"/>
              </w:rPr>
              <w:t>88</w:t>
            </w:r>
          </w:p>
        </w:tc>
        <w:tc>
          <w:tcPr>
            <w:tcW w:w="1017" w:type="dxa"/>
            <w:tcBorders>
              <w:top w:val="nil"/>
              <w:left w:val="nil"/>
              <w:bottom w:val="single" w:sz="8" w:space="0" w:color="auto"/>
              <w:right w:val="single" w:sz="8" w:space="0" w:color="auto"/>
            </w:tcBorders>
            <w:shd w:val="clear" w:color="auto" w:fill="auto"/>
            <w:vAlign w:val="center"/>
            <w:hideMark/>
          </w:tcPr>
          <w:p w14:paraId="51E78063" w14:textId="44655D66" w:rsidR="008A78C8" w:rsidRPr="008A78C8" w:rsidRDefault="008A78C8" w:rsidP="0014277A">
            <w:pPr>
              <w:jc w:val="center"/>
              <w:rPr>
                <w:rFonts w:cs="Arial"/>
                <w:b/>
                <w:bCs/>
                <w:color w:val="000000"/>
                <w:sz w:val="18"/>
                <w:szCs w:val="18"/>
                <w:lang w:val="en-US" w:eastAsia="en-US"/>
              </w:rPr>
            </w:pPr>
            <w:r w:rsidRPr="008A78C8">
              <w:rPr>
                <w:rFonts w:cs="Arial"/>
                <w:b/>
                <w:bCs/>
                <w:color w:val="000000"/>
                <w:sz w:val="18"/>
                <w:szCs w:val="18"/>
              </w:rPr>
              <w:t>90</w:t>
            </w:r>
          </w:p>
        </w:tc>
      </w:tr>
    </w:tbl>
    <w:p w14:paraId="4C5A56C3" w14:textId="77777777" w:rsidR="008A78C8" w:rsidRDefault="008A78C8" w:rsidP="008A78C8">
      <w:pPr>
        <w:spacing w:line="360" w:lineRule="auto"/>
        <w:jc w:val="both"/>
        <w:rPr>
          <w:rFonts w:cs="Arial"/>
          <w:highlight w:val="lightGray"/>
        </w:rPr>
      </w:pPr>
    </w:p>
    <w:p w14:paraId="40BF49C9" w14:textId="04BE0E60" w:rsidR="008A78C8" w:rsidRDefault="004C1D9C" w:rsidP="008A78C8">
      <w:pPr>
        <w:spacing w:line="360" w:lineRule="auto"/>
        <w:jc w:val="both"/>
      </w:pPr>
      <w:r w:rsidRPr="004C1D9C">
        <w:rPr>
          <w:rFonts w:cs="Arial"/>
        </w:rPr>
        <w:t xml:space="preserve">The estimated difference in the mean number of services per year </w:t>
      </w:r>
      <w:r w:rsidR="008A78C8" w:rsidRPr="00137B87">
        <w:rPr>
          <w:rFonts w:cs="Arial"/>
        </w:rPr>
        <w:t xml:space="preserve">will </w:t>
      </w:r>
      <w:r w:rsidR="00630055">
        <w:rPr>
          <w:rFonts w:cs="Arial"/>
        </w:rPr>
        <w:t xml:space="preserve">again </w:t>
      </w:r>
      <w:r w:rsidR="008A78C8">
        <w:rPr>
          <w:rFonts w:cs="Arial"/>
        </w:rPr>
        <w:t xml:space="preserve">affect the overall costs for the proposed intervention as can be seen from the calculations in Appendix G, and </w:t>
      </w:r>
      <w:r w:rsidR="000C101A">
        <w:rPr>
          <w:rFonts w:cs="Arial"/>
        </w:rPr>
        <w:fldChar w:fldCharType="begin"/>
      </w:r>
      <w:r w:rsidR="000C101A">
        <w:rPr>
          <w:rFonts w:cs="Arial"/>
        </w:rPr>
        <w:instrText xml:space="preserve"> REF _Ref431917238 \h </w:instrText>
      </w:r>
      <w:r w:rsidR="000C101A">
        <w:rPr>
          <w:rFonts w:cs="Arial"/>
        </w:rPr>
      </w:r>
      <w:r w:rsidR="000C101A">
        <w:rPr>
          <w:rFonts w:cs="Arial"/>
        </w:rPr>
        <w:fldChar w:fldCharType="separate"/>
      </w:r>
      <w:r w:rsidR="000C101A" w:rsidRPr="00A83F80">
        <w:rPr>
          <w:rFonts w:cs="Arial"/>
        </w:rPr>
        <w:t xml:space="preserve">Table </w:t>
      </w:r>
      <w:r w:rsidR="000C101A">
        <w:rPr>
          <w:rFonts w:cs="Arial"/>
          <w:noProof/>
        </w:rPr>
        <w:t>78</w:t>
      </w:r>
      <w:r w:rsidR="000C101A">
        <w:rPr>
          <w:rFonts w:cs="Arial"/>
        </w:rPr>
        <w:fldChar w:fldCharType="end"/>
      </w:r>
      <w:r w:rsidR="008A78C8">
        <w:rPr>
          <w:rFonts w:cs="Arial"/>
        </w:rPr>
        <w:t>.</w:t>
      </w:r>
      <w:r w:rsidR="000C101A">
        <w:rPr>
          <w:rFonts w:cs="Arial"/>
        </w:rPr>
        <w:t xml:space="preserve"> </w:t>
      </w:r>
      <w:r>
        <w:rPr>
          <w:rFonts w:cs="Arial"/>
        </w:rPr>
        <w:t xml:space="preserve">Results of </w:t>
      </w:r>
      <w:r w:rsidR="000C101A">
        <w:rPr>
          <w:rFonts w:cs="Arial"/>
        </w:rPr>
        <w:t xml:space="preserve">the deterministic sensitivity analysis </w:t>
      </w:r>
      <w:r>
        <w:rPr>
          <w:rFonts w:cs="Arial"/>
        </w:rPr>
        <w:t xml:space="preserve">for the base year of 2016 </w:t>
      </w:r>
      <w:r w:rsidR="000C101A">
        <w:rPr>
          <w:rFonts w:cs="Arial"/>
        </w:rPr>
        <w:t xml:space="preserve">are </w:t>
      </w:r>
      <w:r>
        <w:rPr>
          <w:rFonts w:cs="Arial"/>
        </w:rPr>
        <w:t xml:space="preserve">summarized </w:t>
      </w:r>
      <w:r w:rsidR="000C101A">
        <w:rPr>
          <w:rFonts w:cs="Arial"/>
        </w:rPr>
        <w:t xml:space="preserve">in </w:t>
      </w:r>
      <w:r w:rsidR="000C101A">
        <w:rPr>
          <w:rFonts w:cs="Arial"/>
        </w:rPr>
        <w:fldChar w:fldCharType="begin"/>
      </w:r>
      <w:r w:rsidR="000C101A">
        <w:rPr>
          <w:rFonts w:cs="Arial"/>
        </w:rPr>
        <w:instrText xml:space="preserve"> REF _Ref431917245 \h </w:instrText>
      </w:r>
      <w:r w:rsidR="000C101A">
        <w:rPr>
          <w:rFonts w:cs="Arial"/>
        </w:rPr>
      </w:r>
      <w:r w:rsidR="000C101A">
        <w:rPr>
          <w:rFonts w:cs="Arial"/>
        </w:rPr>
        <w:fldChar w:fldCharType="separate"/>
      </w:r>
      <w:r w:rsidR="000C101A" w:rsidRPr="00A83F80">
        <w:rPr>
          <w:rFonts w:cs="Arial"/>
        </w:rPr>
        <w:t xml:space="preserve">Table </w:t>
      </w:r>
      <w:r w:rsidR="000C101A">
        <w:rPr>
          <w:rFonts w:cs="Arial"/>
          <w:noProof/>
        </w:rPr>
        <w:t>79</w:t>
      </w:r>
      <w:r w:rsidR="000C101A">
        <w:rPr>
          <w:rFonts w:cs="Arial"/>
        </w:rPr>
        <w:fldChar w:fldCharType="end"/>
      </w:r>
      <w:r w:rsidR="000C101A">
        <w:rPr>
          <w:rFonts w:cs="Arial"/>
        </w:rPr>
        <w:t>.</w:t>
      </w:r>
    </w:p>
    <w:p w14:paraId="057E80C9" w14:textId="77777777" w:rsidR="008A78C8" w:rsidRDefault="008A78C8" w:rsidP="008A78C8">
      <w:pPr>
        <w:pStyle w:val="Textbody"/>
        <w:rPr>
          <w:lang w:val="en-AU"/>
        </w:rPr>
        <w:sectPr w:rsidR="008A78C8" w:rsidSect="00695C41">
          <w:pgSz w:w="11907" w:h="16840" w:code="9"/>
          <w:pgMar w:top="1418" w:right="1418" w:bottom="1701" w:left="1814" w:header="720" w:footer="720" w:gutter="0"/>
          <w:paperSrc w:first="7" w:other="7"/>
          <w:cols w:space="720"/>
          <w:noEndnote/>
          <w:docGrid w:linePitch="299"/>
        </w:sectPr>
      </w:pPr>
    </w:p>
    <w:p w14:paraId="611F4D8C" w14:textId="77777777" w:rsidR="008A78C8" w:rsidRPr="00E0477C" w:rsidRDefault="008A78C8" w:rsidP="008A78C8">
      <w:pPr>
        <w:pStyle w:val="Caption"/>
        <w:rPr>
          <w:rFonts w:ascii="Arial" w:hAnsi="Arial" w:cs="Arial"/>
          <w:lang w:val="en-AU"/>
        </w:rPr>
      </w:pPr>
      <w:bookmarkStart w:id="677" w:name="_Ref431917238"/>
      <w:bookmarkStart w:id="678" w:name="_Toc431917538"/>
      <w:r w:rsidRPr="00A83F80">
        <w:rPr>
          <w:rFonts w:ascii="Arial" w:hAnsi="Arial" w:cs="Arial"/>
        </w:rPr>
        <w:lastRenderedPageBreak/>
        <w:t xml:space="preserve">Table </w:t>
      </w:r>
      <w:r w:rsidRPr="00A83F80">
        <w:rPr>
          <w:rFonts w:ascii="Arial" w:hAnsi="Arial" w:cs="Arial"/>
        </w:rPr>
        <w:fldChar w:fldCharType="begin"/>
      </w:r>
      <w:r w:rsidRPr="00A83F80">
        <w:rPr>
          <w:rFonts w:ascii="Arial" w:hAnsi="Arial" w:cs="Arial"/>
        </w:rPr>
        <w:instrText xml:space="preserve"> SEQ Table \* ARABIC </w:instrText>
      </w:r>
      <w:r w:rsidRPr="00A83F80">
        <w:rPr>
          <w:rFonts w:ascii="Arial" w:hAnsi="Arial" w:cs="Arial"/>
        </w:rPr>
        <w:fldChar w:fldCharType="separate"/>
      </w:r>
      <w:r w:rsidR="000C101A">
        <w:rPr>
          <w:rFonts w:ascii="Arial" w:hAnsi="Arial" w:cs="Arial"/>
          <w:noProof/>
        </w:rPr>
        <w:t>78</w:t>
      </w:r>
      <w:r w:rsidRPr="00A83F80">
        <w:rPr>
          <w:rFonts w:ascii="Arial" w:hAnsi="Arial" w:cs="Arial"/>
          <w:noProof/>
        </w:rPr>
        <w:fldChar w:fldCharType="end"/>
      </w:r>
      <w:bookmarkEnd w:id="677"/>
      <w:r w:rsidRPr="00A83F80">
        <w:rPr>
          <w:rFonts w:ascii="Arial" w:hAnsi="Arial" w:cs="Arial"/>
          <w:lang w:val="en-US"/>
        </w:rPr>
        <w:t>.-</w:t>
      </w:r>
      <w:r w:rsidRPr="00E0477C">
        <w:rPr>
          <w:rFonts w:ascii="Arial" w:hAnsi="Arial" w:cs="Arial"/>
          <w:lang w:val="en-AU"/>
        </w:rPr>
        <w:t xml:space="preserve"> </w:t>
      </w:r>
      <w:r>
        <w:rPr>
          <w:rFonts w:ascii="Arial" w:hAnsi="Arial" w:cs="Arial"/>
          <w:lang w:val="en-AU"/>
        </w:rPr>
        <w:t>Overall total costs of the intervention based on e</w:t>
      </w:r>
      <w:r w:rsidRPr="00E0477C">
        <w:rPr>
          <w:rFonts w:ascii="Arial" w:hAnsi="Arial" w:cs="Arial"/>
          <w:lang w:val="en-AU"/>
        </w:rPr>
        <w:t xml:space="preserve">stimated </w:t>
      </w:r>
      <w:r>
        <w:rPr>
          <w:rFonts w:ascii="Arial" w:hAnsi="Arial" w:cs="Arial"/>
          <w:lang w:val="en-AU"/>
        </w:rPr>
        <w:t>minimum prevalence (lower CI of EEP)</w:t>
      </w:r>
      <w:bookmarkEnd w:id="678"/>
    </w:p>
    <w:tbl>
      <w:tblPr>
        <w:tblW w:w="14583" w:type="dxa"/>
        <w:jc w:val="center"/>
        <w:tblLook w:val="04A0" w:firstRow="1" w:lastRow="0" w:firstColumn="1" w:lastColumn="0" w:noHBand="0" w:noVBand="1"/>
        <w:tblDescription w:val="Overall total costs of the intervention based on estimated minimum prevalence (lower CI of EEP)"/>
      </w:tblPr>
      <w:tblGrid>
        <w:gridCol w:w="639"/>
        <w:gridCol w:w="2353"/>
        <w:gridCol w:w="1107"/>
        <w:gridCol w:w="1764"/>
        <w:gridCol w:w="1664"/>
        <w:gridCol w:w="1764"/>
        <w:gridCol w:w="1764"/>
        <w:gridCol w:w="1764"/>
        <w:gridCol w:w="1764"/>
      </w:tblGrid>
      <w:tr w:rsidR="008A78C8" w:rsidRPr="00D01F4D" w14:paraId="0888759E" w14:textId="77777777" w:rsidTr="00BF0EEF">
        <w:trPr>
          <w:trHeight w:val="480"/>
          <w:jc w:val="center"/>
        </w:trPr>
        <w:tc>
          <w:tcPr>
            <w:tcW w:w="639"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8EEEC59" w14:textId="77777777" w:rsidR="008A78C8" w:rsidRPr="00D01F4D" w:rsidRDefault="008A78C8" w:rsidP="0014277A">
            <w:pPr>
              <w:rPr>
                <w:rFonts w:cs="Arial"/>
                <w:b/>
                <w:bCs/>
                <w:color w:val="000000"/>
                <w:sz w:val="20"/>
                <w:szCs w:val="20"/>
                <w:lang w:val="en-US" w:eastAsia="en-US"/>
              </w:rPr>
            </w:pPr>
            <w:r w:rsidRPr="00D01F4D">
              <w:rPr>
                <w:rFonts w:cs="Arial"/>
                <w:b/>
                <w:bCs/>
                <w:color w:val="000000"/>
                <w:sz w:val="20"/>
                <w:szCs w:val="20"/>
                <w:lang w:val="en-US" w:eastAsia="en-US"/>
              </w:rPr>
              <w:t> </w:t>
            </w:r>
          </w:p>
        </w:tc>
        <w:tc>
          <w:tcPr>
            <w:tcW w:w="2353" w:type="dxa"/>
            <w:tcBorders>
              <w:top w:val="single" w:sz="8" w:space="0" w:color="auto"/>
              <w:left w:val="nil"/>
              <w:bottom w:val="single" w:sz="4" w:space="0" w:color="auto"/>
              <w:right w:val="single" w:sz="4" w:space="0" w:color="auto"/>
            </w:tcBorders>
            <w:shd w:val="clear" w:color="auto" w:fill="auto"/>
            <w:vAlign w:val="center"/>
            <w:hideMark/>
          </w:tcPr>
          <w:p w14:paraId="50EDC8CE" w14:textId="77777777" w:rsidR="008A78C8" w:rsidRPr="00D01F4D" w:rsidRDefault="008A78C8" w:rsidP="0014277A">
            <w:pPr>
              <w:rPr>
                <w:rFonts w:cs="Arial"/>
                <w:b/>
                <w:bCs/>
                <w:color w:val="000000"/>
                <w:sz w:val="20"/>
                <w:szCs w:val="20"/>
                <w:lang w:val="en-US" w:eastAsia="en-US"/>
              </w:rPr>
            </w:pPr>
            <w:r w:rsidRPr="00D01F4D">
              <w:rPr>
                <w:rFonts w:cs="Arial"/>
                <w:b/>
                <w:bCs/>
                <w:color w:val="000000"/>
                <w:sz w:val="20"/>
                <w:szCs w:val="20"/>
                <w:lang w:val="en-US" w:eastAsia="en-US"/>
              </w:rPr>
              <w:t>Description</w:t>
            </w:r>
          </w:p>
        </w:tc>
        <w:tc>
          <w:tcPr>
            <w:tcW w:w="1107" w:type="dxa"/>
            <w:tcBorders>
              <w:top w:val="single" w:sz="8" w:space="0" w:color="auto"/>
              <w:left w:val="nil"/>
              <w:bottom w:val="single" w:sz="4" w:space="0" w:color="auto"/>
              <w:right w:val="single" w:sz="4" w:space="0" w:color="auto"/>
            </w:tcBorders>
            <w:shd w:val="clear" w:color="auto" w:fill="auto"/>
            <w:vAlign w:val="center"/>
            <w:hideMark/>
          </w:tcPr>
          <w:p w14:paraId="4D3D62B3" w14:textId="77777777" w:rsidR="008A78C8" w:rsidRPr="00D01F4D" w:rsidRDefault="008A78C8" w:rsidP="0014277A">
            <w:pPr>
              <w:jc w:val="center"/>
              <w:rPr>
                <w:rFonts w:cs="Arial"/>
                <w:b/>
                <w:bCs/>
                <w:color w:val="000000"/>
                <w:sz w:val="16"/>
                <w:szCs w:val="16"/>
                <w:lang w:val="en-US" w:eastAsia="en-US"/>
              </w:rPr>
            </w:pPr>
            <w:r w:rsidRPr="00D01F4D">
              <w:rPr>
                <w:rFonts w:cs="Arial"/>
                <w:b/>
                <w:bCs/>
                <w:color w:val="000000"/>
                <w:sz w:val="16"/>
                <w:szCs w:val="16"/>
                <w:lang w:val="en-US" w:eastAsia="en-US"/>
              </w:rPr>
              <w:t>Method</w:t>
            </w:r>
          </w:p>
        </w:tc>
        <w:tc>
          <w:tcPr>
            <w:tcW w:w="1764" w:type="dxa"/>
            <w:tcBorders>
              <w:top w:val="single" w:sz="8" w:space="0" w:color="auto"/>
              <w:left w:val="nil"/>
              <w:bottom w:val="single" w:sz="4" w:space="0" w:color="auto"/>
              <w:right w:val="single" w:sz="4" w:space="0" w:color="auto"/>
            </w:tcBorders>
            <w:shd w:val="clear" w:color="auto" w:fill="auto"/>
            <w:vAlign w:val="center"/>
            <w:hideMark/>
          </w:tcPr>
          <w:p w14:paraId="47003B07" w14:textId="77777777" w:rsidR="008A78C8" w:rsidRPr="00D01F4D" w:rsidRDefault="008A78C8" w:rsidP="0014277A">
            <w:pPr>
              <w:jc w:val="center"/>
              <w:rPr>
                <w:rFonts w:cs="Arial"/>
                <w:b/>
                <w:bCs/>
                <w:color w:val="000000"/>
                <w:sz w:val="16"/>
                <w:szCs w:val="16"/>
                <w:lang w:val="en-US" w:eastAsia="en-US"/>
              </w:rPr>
            </w:pPr>
            <w:r w:rsidRPr="00D01F4D">
              <w:rPr>
                <w:rFonts w:cs="Arial"/>
                <w:b/>
                <w:bCs/>
                <w:color w:val="000000"/>
                <w:sz w:val="16"/>
                <w:szCs w:val="16"/>
                <w:lang w:val="en-US" w:eastAsia="en-US"/>
              </w:rPr>
              <w:t>current (2016)</w:t>
            </w:r>
          </w:p>
        </w:tc>
        <w:tc>
          <w:tcPr>
            <w:tcW w:w="1664" w:type="dxa"/>
            <w:tcBorders>
              <w:top w:val="single" w:sz="8" w:space="0" w:color="auto"/>
              <w:left w:val="nil"/>
              <w:bottom w:val="single" w:sz="4" w:space="0" w:color="auto"/>
              <w:right w:val="single" w:sz="4" w:space="0" w:color="auto"/>
            </w:tcBorders>
            <w:shd w:val="clear" w:color="auto" w:fill="auto"/>
            <w:vAlign w:val="center"/>
            <w:hideMark/>
          </w:tcPr>
          <w:p w14:paraId="6EE558C0" w14:textId="77777777" w:rsidR="008A78C8" w:rsidRPr="00D01F4D" w:rsidRDefault="008A78C8" w:rsidP="0014277A">
            <w:pPr>
              <w:jc w:val="center"/>
              <w:rPr>
                <w:rFonts w:cs="Arial"/>
                <w:b/>
                <w:bCs/>
                <w:color w:val="000000"/>
                <w:sz w:val="16"/>
                <w:szCs w:val="16"/>
                <w:lang w:val="en-US" w:eastAsia="en-US"/>
              </w:rPr>
            </w:pPr>
            <w:r w:rsidRPr="00D01F4D">
              <w:rPr>
                <w:rFonts w:cs="Arial"/>
                <w:b/>
                <w:bCs/>
                <w:color w:val="000000"/>
                <w:sz w:val="16"/>
                <w:szCs w:val="16"/>
                <w:lang w:val="en-US" w:eastAsia="en-US"/>
              </w:rPr>
              <w:t>2017</w:t>
            </w:r>
          </w:p>
        </w:tc>
        <w:tc>
          <w:tcPr>
            <w:tcW w:w="1764" w:type="dxa"/>
            <w:tcBorders>
              <w:top w:val="single" w:sz="8" w:space="0" w:color="auto"/>
              <w:left w:val="nil"/>
              <w:bottom w:val="single" w:sz="4" w:space="0" w:color="auto"/>
              <w:right w:val="single" w:sz="4" w:space="0" w:color="auto"/>
            </w:tcBorders>
            <w:shd w:val="clear" w:color="auto" w:fill="auto"/>
            <w:vAlign w:val="center"/>
            <w:hideMark/>
          </w:tcPr>
          <w:p w14:paraId="6F8ABC73" w14:textId="77777777" w:rsidR="008A78C8" w:rsidRPr="00D01F4D" w:rsidRDefault="008A78C8" w:rsidP="0014277A">
            <w:pPr>
              <w:jc w:val="center"/>
              <w:rPr>
                <w:rFonts w:cs="Arial"/>
                <w:b/>
                <w:bCs/>
                <w:color w:val="000000"/>
                <w:sz w:val="16"/>
                <w:szCs w:val="16"/>
                <w:lang w:val="en-US" w:eastAsia="en-US"/>
              </w:rPr>
            </w:pPr>
            <w:r w:rsidRPr="00D01F4D">
              <w:rPr>
                <w:rFonts w:cs="Arial"/>
                <w:b/>
                <w:bCs/>
                <w:color w:val="000000"/>
                <w:sz w:val="16"/>
                <w:szCs w:val="16"/>
                <w:lang w:val="en-US" w:eastAsia="en-US"/>
              </w:rPr>
              <w:t>2018</w:t>
            </w:r>
          </w:p>
        </w:tc>
        <w:tc>
          <w:tcPr>
            <w:tcW w:w="1764" w:type="dxa"/>
            <w:tcBorders>
              <w:top w:val="single" w:sz="8" w:space="0" w:color="auto"/>
              <w:left w:val="nil"/>
              <w:bottom w:val="single" w:sz="4" w:space="0" w:color="auto"/>
              <w:right w:val="single" w:sz="4" w:space="0" w:color="auto"/>
            </w:tcBorders>
            <w:shd w:val="clear" w:color="auto" w:fill="auto"/>
            <w:vAlign w:val="center"/>
            <w:hideMark/>
          </w:tcPr>
          <w:p w14:paraId="386C8DFA" w14:textId="77777777" w:rsidR="008A78C8" w:rsidRPr="00D01F4D" w:rsidRDefault="008A78C8" w:rsidP="0014277A">
            <w:pPr>
              <w:jc w:val="center"/>
              <w:rPr>
                <w:rFonts w:cs="Arial"/>
                <w:b/>
                <w:bCs/>
                <w:color w:val="000000"/>
                <w:sz w:val="16"/>
                <w:szCs w:val="16"/>
                <w:lang w:val="en-US" w:eastAsia="en-US"/>
              </w:rPr>
            </w:pPr>
            <w:r w:rsidRPr="00D01F4D">
              <w:rPr>
                <w:rFonts w:cs="Arial"/>
                <w:b/>
                <w:bCs/>
                <w:color w:val="000000"/>
                <w:sz w:val="16"/>
                <w:szCs w:val="16"/>
                <w:lang w:val="en-US" w:eastAsia="en-US"/>
              </w:rPr>
              <w:t>2019</w:t>
            </w:r>
          </w:p>
        </w:tc>
        <w:tc>
          <w:tcPr>
            <w:tcW w:w="1764" w:type="dxa"/>
            <w:tcBorders>
              <w:top w:val="single" w:sz="8" w:space="0" w:color="auto"/>
              <w:left w:val="nil"/>
              <w:bottom w:val="single" w:sz="4" w:space="0" w:color="auto"/>
              <w:right w:val="single" w:sz="4" w:space="0" w:color="auto"/>
            </w:tcBorders>
            <w:shd w:val="clear" w:color="auto" w:fill="auto"/>
            <w:vAlign w:val="center"/>
            <w:hideMark/>
          </w:tcPr>
          <w:p w14:paraId="378F6F96" w14:textId="77777777" w:rsidR="008A78C8" w:rsidRPr="00D01F4D" w:rsidRDefault="008A78C8" w:rsidP="0014277A">
            <w:pPr>
              <w:jc w:val="center"/>
              <w:rPr>
                <w:rFonts w:cs="Arial"/>
                <w:b/>
                <w:bCs/>
                <w:color w:val="000000"/>
                <w:sz w:val="16"/>
                <w:szCs w:val="16"/>
                <w:lang w:val="en-US" w:eastAsia="en-US"/>
              </w:rPr>
            </w:pPr>
            <w:r w:rsidRPr="00D01F4D">
              <w:rPr>
                <w:rFonts w:cs="Arial"/>
                <w:b/>
                <w:bCs/>
                <w:color w:val="000000"/>
                <w:sz w:val="16"/>
                <w:szCs w:val="16"/>
                <w:lang w:val="en-US" w:eastAsia="en-US"/>
              </w:rPr>
              <w:t>2020</w:t>
            </w:r>
          </w:p>
        </w:tc>
        <w:tc>
          <w:tcPr>
            <w:tcW w:w="1764" w:type="dxa"/>
            <w:tcBorders>
              <w:top w:val="single" w:sz="8" w:space="0" w:color="auto"/>
              <w:left w:val="nil"/>
              <w:bottom w:val="single" w:sz="4" w:space="0" w:color="auto"/>
              <w:right w:val="single" w:sz="8" w:space="0" w:color="auto"/>
            </w:tcBorders>
            <w:shd w:val="clear" w:color="auto" w:fill="auto"/>
            <w:vAlign w:val="center"/>
            <w:hideMark/>
          </w:tcPr>
          <w:p w14:paraId="14B89713" w14:textId="77777777" w:rsidR="008A78C8" w:rsidRPr="00D01F4D" w:rsidRDefault="008A78C8" w:rsidP="0014277A">
            <w:pPr>
              <w:jc w:val="center"/>
              <w:rPr>
                <w:rFonts w:cs="Arial"/>
                <w:b/>
                <w:bCs/>
                <w:color w:val="000000"/>
                <w:sz w:val="16"/>
                <w:szCs w:val="16"/>
                <w:lang w:val="en-US" w:eastAsia="en-US"/>
              </w:rPr>
            </w:pPr>
            <w:r w:rsidRPr="00D01F4D">
              <w:rPr>
                <w:rFonts w:cs="Arial"/>
                <w:b/>
                <w:bCs/>
                <w:color w:val="000000"/>
                <w:sz w:val="16"/>
                <w:szCs w:val="16"/>
                <w:lang w:val="en-US" w:eastAsia="en-US"/>
              </w:rPr>
              <w:t>2021</w:t>
            </w:r>
          </w:p>
        </w:tc>
      </w:tr>
      <w:tr w:rsidR="008A78C8" w:rsidRPr="00D01F4D" w14:paraId="45318F18" w14:textId="77777777" w:rsidTr="00BF0EEF">
        <w:trPr>
          <w:trHeight w:val="300"/>
          <w:jc w:val="center"/>
        </w:trPr>
        <w:tc>
          <w:tcPr>
            <w:tcW w:w="639" w:type="dxa"/>
            <w:tcBorders>
              <w:top w:val="nil"/>
              <w:left w:val="single" w:sz="8" w:space="0" w:color="auto"/>
              <w:bottom w:val="single" w:sz="4" w:space="0" w:color="auto"/>
              <w:right w:val="single" w:sz="4" w:space="0" w:color="auto"/>
            </w:tcBorders>
            <w:shd w:val="clear" w:color="auto" w:fill="auto"/>
            <w:noWrap/>
            <w:vAlign w:val="center"/>
            <w:hideMark/>
          </w:tcPr>
          <w:p w14:paraId="7614ED56" w14:textId="77777777" w:rsidR="008A78C8" w:rsidRPr="00D01F4D" w:rsidRDefault="008A78C8" w:rsidP="0014277A">
            <w:pPr>
              <w:rPr>
                <w:rFonts w:cs="Arial"/>
                <w:b/>
                <w:bCs/>
                <w:color w:val="000000"/>
                <w:sz w:val="20"/>
                <w:szCs w:val="20"/>
                <w:lang w:val="en-US" w:eastAsia="en-US"/>
              </w:rPr>
            </w:pPr>
            <w:r w:rsidRPr="00D01F4D">
              <w:rPr>
                <w:rFonts w:cs="Arial"/>
                <w:b/>
                <w:bCs/>
                <w:color w:val="000000"/>
                <w:sz w:val="20"/>
                <w:szCs w:val="20"/>
                <w:lang w:val="en-US" w:eastAsia="en-US"/>
              </w:rPr>
              <w:t> </w:t>
            </w:r>
          </w:p>
        </w:tc>
        <w:tc>
          <w:tcPr>
            <w:tcW w:w="13944" w:type="dxa"/>
            <w:gridSpan w:val="8"/>
            <w:tcBorders>
              <w:top w:val="single" w:sz="4" w:space="0" w:color="auto"/>
              <w:left w:val="single" w:sz="4" w:space="0" w:color="auto"/>
              <w:bottom w:val="single" w:sz="4" w:space="0" w:color="auto"/>
              <w:right w:val="single" w:sz="8" w:space="0" w:color="000000"/>
            </w:tcBorders>
            <w:shd w:val="clear" w:color="auto" w:fill="auto"/>
            <w:vAlign w:val="center"/>
            <w:hideMark/>
          </w:tcPr>
          <w:p w14:paraId="1BE1EC43" w14:textId="77777777" w:rsidR="008A78C8" w:rsidRPr="00D01F4D" w:rsidRDefault="008A78C8" w:rsidP="0014277A">
            <w:pPr>
              <w:rPr>
                <w:rFonts w:cs="Arial"/>
                <w:b/>
                <w:bCs/>
                <w:color w:val="000000"/>
                <w:sz w:val="20"/>
                <w:szCs w:val="20"/>
                <w:lang w:val="en-US" w:eastAsia="en-US"/>
              </w:rPr>
            </w:pPr>
            <w:r w:rsidRPr="00D01F4D">
              <w:rPr>
                <w:rFonts w:cs="Arial"/>
                <w:b/>
                <w:bCs/>
                <w:color w:val="000000"/>
                <w:sz w:val="20"/>
                <w:szCs w:val="20"/>
                <w:lang w:val="en-US" w:eastAsia="en-US"/>
              </w:rPr>
              <w:t>VSB</w:t>
            </w:r>
          </w:p>
        </w:tc>
      </w:tr>
      <w:tr w:rsidR="00630055" w:rsidRPr="00D01F4D" w14:paraId="71A55E96" w14:textId="77777777" w:rsidTr="00BF0EEF">
        <w:trPr>
          <w:trHeight w:val="570"/>
          <w:jc w:val="center"/>
        </w:trPr>
        <w:tc>
          <w:tcPr>
            <w:tcW w:w="639" w:type="dxa"/>
            <w:tcBorders>
              <w:top w:val="nil"/>
              <w:left w:val="single" w:sz="8" w:space="0" w:color="auto"/>
              <w:bottom w:val="single" w:sz="4" w:space="0" w:color="auto"/>
              <w:right w:val="single" w:sz="4" w:space="0" w:color="auto"/>
            </w:tcBorders>
            <w:shd w:val="clear" w:color="auto" w:fill="auto"/>
            <w:noWrap/>
            <w:vAlign w:val="center"/>
            <w:hideMark/>
          </w:tcPr>
          <w:p w14:paraId="194B73DF" w14:textId="77777777" w:rsidR="00630055" w:rsidRPr="00D01F4D" w:rsidRDefault="00630055" w:rsidP="0014277A">
            <w:pPr>
              <w:rPr>
                <w:rFonts w:cs="Arial"/>
                <w:b/>
                <w:bCs/>
                <w:color w:val="000000"/>
                <w:sz w:val="20"/>
                <w:szCs w:val="20"/>
                <w:lang w:val="en-US" w:eastAsia="en-US"/>
              </w:rPr>
            </w:pPr>
            <w:r w:rsidRPr="00D01F4D">
              <w:rPr>
                <w:rFonts w:cs="Arial"/>
                <w:b/>
                <w:bCs/>
                <w:color w:val="000000"/>
                <w:sz w:val="20"/>
                <w:szCs w:val="20"/>
                <w:lang w:val="en-US" w:eastAsia="en-US"/>
              </w:rPr>
              <w:t>BL</w:t>
            </w:r>
          </w:p>
        </w:tc>
        <w:tc>
          <w:tcPr>
            <w:tcW w:w="2353" w:type="dxa"/>
            <w:tcBorders>
              <w:top w:val="nil"/>
              <w:left w:val="nil"/>
              <w:bottom w:val="single" w:sz="4" w:space="0" w:color="auto"/>
              <w:right w:val="single" w:sz="4" w:space="0" w:color="auto"/>
            </w:tcBorders>
            <w:shd w:val="clear" w:color="auto" w:fill="auto"/>
            <w:vAlign w:val="center"/>
            <w:hideMark/>
          </w:tcPr>
          <w:p w14:paraId="7EA8F7EB" w14:textId="77777777" w:rsidR="00630055" w:rsidRPr="00D01F4D" w:rsidRDefault="00630055" w:rsidP="0014277A">
            <w:pPr>
              <w:rPr>
                <w:rFonts w:cs="Arial"/>
                <w:color w:val="000000"/>
                <w:sz w:val="20"/>
                <w:szCs w:val="20"/>
                <w:lang w:val="en-US" w:eastAsia="en-US"/>
              </w:rPr>
            </w:pPr>
            <w:r w:rsidRPr="00D01F4D">
              <w:rPr>
                <w:rFonts w:cs="Arial"/>
                <w:color w:val="000000"/>
                <w:sz w:val="20"/>
                <w:szCs w:val="20"/>
                <w:lang w:val="en-US" w:eastAsia="en-US"/>
              </w:rPr>
              <w:t>Cost to MBS of the proposed item</w:t>
            </w:r>
          </w:p>
        </w:tc>
        <w:tc>
          <w:tcPr>
            <w:tcW w:w="1107" w:type="dxa"/>
            <w:tcBorders>
              <w:top w:val="nil"/>
              <w:left w:val="nil"/>
              <w:bottom w:val="single" w:sz="4" w:space="0" w:color="auto"/>
              <w:right w:val="single" w:sz="4" w:space="0" w:color="auto"/>
            </w:tcBorders>
            <w:shd w:val="clear" w:color="auto" w:fill="auto"/>
            <w:vAlign w:val="center"/>
            <w:hideMark/>
          </w:tcPr>
          <w:p w14:paraId="333BDE45" w14:textId="77777777" w:rsidR="00630055" w:rsidRPr="00D01F4D" w:rsidRDefault="00630055" w:rsidP="0014277A">
            <w:pPr>
              <w:rPr>
                <w:rFonts w:cs="Arial"/>
                <w:color w:val="000000"/>
                <w:sz w:val="16"/>
                <w:szCs w:val="16"/>
                <w:lang w:val="en-US" w:eastAsia="en-US"/>
              </w:rPr>
            </w:pPr>
            <w:r>
              <w:rPr>
                <w:rFonts w:cs="Arial"/>
                <w:color w:val="000000"/>
                <w:sz w:val="16"/>
                <w:szCs w:val="16"/>
              </w:rPr>
              <w:t>Row M</w:t>
            </w:r>
          </w:p>
        </w:tc>
        <w:tc>
          <w:tcPr>
            <w:tcW w:w="1764" w:type="dxa"/>
            <w:tcBorders>
              <w:top w:val="nil"/>
              <w:left w:val="nil"/>
              <w:bottom w:val="single" w:sz="8" w:space="0" w:color="auto"/>
              <w:right w:val="single" w:sz="4" w:space="0" w:color="auto"/>
            </w:tcBorders>
            <w:shd w:val="clear" w:color="auto" w:fill="auto"/>
            <w:noWrap/>
            <w:vAlign w:val="center"/>
            <w:hideMark/>
          </w:tcPr>
          <w:p w14:paraId="1ACAC620" w14:textId="3CA979C2" w:rsidR="00630055" w:rsidRPr="00D01F4D" w:rsidRDefault="00630055" w:rsidP="0014277A">
            <w:pPr>
              <w:rPr>
                <w:rFonts w:cs="Arial"/>
                <w:color w:val="000000"/>
                <w:sz w:val="16"/>
                <w:szCs w:val="16"/>
                <w:lang w:val="en-US" w:eastAsia="en-US"/>
              </w:rPr>
            </w:pPr>
            <w:r>
              <w:rPr>
                <w:rFonts w:cs="Arial"/>
                <w:color w:val="000000"/>
                <w:sz w:val="16"/>
                <w:szCs w:val="16"/>
              </w:rPr>
              <w:t xml:space="preserve"> AUD          154.527 </w:t>
            </w:r>
          </w:p>
        </w:tc>
        <w:tc>
          <w:tcPr>
            <w:tcW w:w="1664" w:type="dxa"/>
            <w:tcBorders>
              <w:top w:val="nil"/>
              <w:left w:val="nil"/>
              <w:bottom w:val="single" w:sz="8" w:space="0" w:color="auto"/>
              <w:right w:val="single" w:sz="4" w:space="0" w:color="auto"/>
            </w:tcBorders>
            <w:shd w:val="clear" w:color="auto" w:fill="auto"/>
            <w:noWrap/>
            <w:vAlign w:val="center"/>
            <w:hideMark/>
          </w:tcPr>
          <w:p w14:paraId="701F70EB" w14:textId="36428ECF" w:rsidR="00630055" w:rsidRPr="00D01F4D" w:rsidRDefault="00630055" w:rsidP="0014277A">
            <w:pPr>
              <w:rPr>
                <w:rFonts w:cs="Arial"/>
                <w:color w:val="000000"/>
                <w:sz w:val="16"/>
                <w:szCs w:val="16"/>
                <w:lang w:val="en-US" w:eastAsia="en-US"/>
              </w:rPr>
            </w:pPr>
            <w:r>
              <w:rPr>
                <w:rFonts w:cs="Arial"/>
                <w:color w:val="000000"/>
                <w:sz w:val="16"/>
                <w:szCs w:val="16"/>
              </w:rPr>
              <w:t xml:space="preserve"> AUD          157.229 </w:t>
            </w:r>
          </w:p>
        </w:tc>
        <w:tc>
          <w:tcPr>
            <w:tcW w:w="1764" w:type="dxa"/>
            <w:tcBorders>
              <w:top w:val="nil"/>
              <w:left w:val="nil"/>
              <w:bottom w:val="single" w:sz="8" w:space="0" w:color="auto"/>
              <w:right w:val="single" w:sz="4" w:space="0" w:color="auto"/>
            </w:tcBorders>
            <w:shd w:val="clear" w:color="auto" w:fill="auto"/>
            <w:noWrap/>
            <w:vAlign w:val="center"/>
            <w:hideMark/>
          </w:tcPr>
          <w:p w14:paraId="013BE987" w14:textId="2B3E5D2B" w:rsidR="00630055" w:rsidRPr="00D01F4D" w:rsidRDefault="00630055" w:rsidP="0014277A">
            <w:pPr>
              <w:rPr>
                <w:rFonts w:cs="Arial"/>
                <w:color w:val="000000"/>
                <w:sz w:val="16"/>
                <w:szCs w:val="16"/>
                <w:lang w:val="en-US" w:eastAsia="en-US"/>
              </w:rPr>
            </w:pPr>
            <w:r>
              <w:rPr>
                <w:rFonts w:cs="Arial"/>
                <w:color w:val="000000"/>
                <w:sz w:val="16"/>
                <w:szCs w:val="16"/>
              </w:rPr>
              <w:t xml:space="preserve"> AUD          159.909 </w:t>
            </w:r>
          </w:p>
        </w:tc>
        <w:tc>
          <w:tcPr>
            <w:tcW w:w="1764" w:type="dxa"/>
            <w:tcBorders>
              <w:top w:val="nil"/>
              <w:left w:val="nil"/>
              <w:bottom w:val="single" w:sz="8" w:space="0" w:color="auto"/>
              <w:right w:val="single" w:sz="4" w:space="0" w:color="auto"/>
            </w:tcBorders>
            <w:shd w:val="clear" w:color="auto" w:fill="auto"/>
            <w:noWrap/>
            <w:vAlign w:val="center"/>
            <w:hideMark/>
          </w:tcPr>
          <w:p w14:paraId="727A80C9" w14:textId="2FF403C4" w:rsidR="00630055" w:rsidRPr="00D01F4D" w:rsidRDefault="00630055" w:rsidP="0014277A">
            <w:pPr>
              <w:rPr>
                <w:rFonts w:cs="Arial"/>
                <w:color w:val="000000"/>
                <w:sz w:val="16"/>
                <w:szCs w:val="16"/>
                <w:lang w:val="en-US" w:eastAsia="en-US"/>
              </w:rPr>
            </w:pPr>
            <w:r>
              <w:rPr>
                <w:rFonts w:cs="Arial"/>
                <w:color w:val="000000"/>
                <w:sz w:val="16"/>
                <w:szCs w:val="16"/>
              </w:rPr>
              <w:t xml:space="preserve"> AUD          162.568 </w:t>
            </w:r>
          </w:p>
        </w:tc>
        <w:tc>
          <w:tcPr>
            <w:tcW w:w="1764" w:type="dxa"/>
            <w:tcBorders>
              <w:top w:val="nil"/>
              <w:left w:val="nil"/>
              <w:bottom w:val="single" w:sz="8" w:space="0" w:color="auto"/>
              <w:right w:val="single" w:sz="4" w:space="0" w:color="auto"/>
            </w:tcBorders>
            <w:shd w:val="clear" w:color="auto" w:fill="auto"/>
            <w:noWrap/>
            <w:vAlign w:val="center"/>
            <w:hideMark/>
          </w:tcPr>
          <w:p w14:paraId="60AB8752" w14:textId="43E2B31F" w:rsidR="00630055" w:rsidRPr="00D01F4D" w:rsidRDefault="00630055" w:rsidP="0014277A">
            <w:pPr>
              <w:rPr>
                <w:rFonts w:cs="Arial"/>
                <w:color w:val="000000"/>
                <w:sz w:val="16"/>
                <w:szCs w:val="16"/>
                <w:lang w:val="en-US" w:eastAsia="en-US"/>
              </w:rPr>
            </w:pPr>
            <w:r>
              <w:rPr>
                <w:rFonts w:cs="Arial"/>
                <w:color w:val="000000"/>
                <w:sz w:val="16"/>
                <w:szCs w:val="16"/>
              </w:rPr>
              <w:t xml:space="preserve"> AUD          165.186 </w:t>
            </w:r>
          </w:p>
        </w:tc>
        <w:tc>
          <w:tcPr>
            <w:tcW w:w="1764" w:type="dxa"/>
            <w:tcBorders>
              <w:top w:val="nil"/>
              <w:left w:val="nil"/>
              <w:bottom w:val="single" w:sz="8" w:space="0" w:color="auto"/>
              <w:right w:val="single" w:sz="8" w:space="0" w:color="auto"/>
            </w:tcBorders>
            <w:shd w:val="clear" w:color="auto" w:fill="auto"/>
            <w:noWrap/>
            <w:vAlign w:val="center"/>
            <w:hideMark/>
          </w:tcPr>
          <w:p w14:paraId="2F73342D" w14:textId="41E41FB0" w:rsidR="00630055" w:rsidRPr="00D01F4D" w:rsidRDefault="00630055" w:rsidP="0014277A">
            <w:pPr>
              <w:rPr>
                <w:rFonts w:cs="Arial"/>
                <w:color w:val="000000"/>
                <w:sz w:val="16"/>
                <w:szCs w:val="16"/>
                <w:lang w:val="en-US" w:eastAsia="en-US"/>
              </w:rPr>
            </w:pPr>
            <w:r>
              <w:rPr>
                <w:rFonts w:cs="Arial"/>
                <w:color w:val="000000"/>
                <w:sz w:val="16"/>
                <w:szCs w:val="16"/>
              </w:rPr>
              <w:t xml:space="preserve"> AUD     167.994 </w:t>
            </w:r>
          </w:p>
        </w:tc>
      </w:tr>
      <w:tr w:rsidR="00630055" w:rsidRPr="00D01F4D" w14:paraId="021707D3" w14:textId="77777777" w:rsidTr="00BF0EEF">
        <w:trPr>
          <w:trHeight w:val="570"/>
          <w:jc w:val="center"/>
        </w:trPr>
        <w:tc>
          <w:tcPr>
            <w:tcW w:w="639" w:type="dxa"/>
            <w:tcBorders>
              <w:top w:val="nil"/>
              <w:left w:val="single" w:sz="8" w:space="0" w:color="auto"/>
              <w:bottom w:val="single" w:sz="8" w:space="0" w:color="auto"/>
              <w:right w:val="single" w:sz="4" w:space="0" w:color="auto"/>
            </w:tcBorders>
            <w:shd w:val="clear" w:color="auto" w:fill="auto"/>
            <w:noWrap/>
            <w:vAlign w:val="center"/>
            <w:hideMark/>
          </w:tcPr>
          <w:p w14:paraId="702AA231" w14:textId="77777777" w:rsidR="00630055" w:rsidRPr="00D01F4D" w:rsidRDefault="00630055" w:rsidP="0014277A">
            <w:pPr>
              <w:rPr>
                <w:rFonts w:cs="Arial"/>
                <w:b/>
                <w:bCs/>
                <w:color w:val="000000"/>
                <w:sz w:val="20"/>
                <w:szCs w:val="20"/>
                <w:lang w:val="en-US" w:eastAsia="en-US"/>
              </w:rPr>
            </w:pPr>
            <w:r w:rsidRPr="00D01F4D">
              <w:rPr>
                <w:rFonts w:cs="Arial"/>
                <w:b/>
                <w:bCs/>
                <w:color w:val="000000"/>
                <w:sz w:val="20"/>
                <w:szCs w:val="20"/>
                <w:lang w:val="en-US" w:eastAsia="en-US"/>
              </w:rPr>
              <w:t>BM</w:t>
            </w:r>
          </w:p>
        </w:tc>
        <w:tc>
          <w:tcPr>
            <w:tcW w:w="2353" w:type="dxa"/>
            <w:tcBorders>
              <w:top w:val="nil"/>
              <w:left w:val="nil"/>
              <w:bottom w:val="single" w:sz="8" w:space="0" w:color="auto"/>
              <w:right w:val="single" w:sz="4" w:space="0" w:color="auto"/>
            </w:tcBorders>
            <w:shd w:val="clear" w:color="auto" w:fill="auto"/>
            <w:vAlign w:val="center"/>
            <w:hideMark/>
          </w:tcPr>
          <w:p w14:paraId="2E9D1BD3" w14:textId="77777777" w:rsidR="00630055" w:rsidRPr="00D01F4D" w:rsidRDefault="00630055" w:rsidP="0014277A">
            <w:pPr>
              <w:rPr>
                <w:rFonts w:cs="Arial"/>
                <w:color w:val="000000"/>
                <w:sz w:val="20"/>
                <w:szCs w:val="20"/>
                <w:lang w:val="en-US" w:eastAsia="en-US"/>
              </w:rPr>
            </w:pPr>
            <w:r w:rsidRPr="00D01F4D">
              <w:rPr>
                <w:rFonts w:cs="Arial"/>
                <w:color w:val="000000"/>
                <w:sz w:val="20"/>
                <w:szCs w:val="20"/>
                <w:lang w:val="en-US" w:eastAsia="en-US"/>
              </w:rPr>
              <w:t>Cost to the MBS of associated items</w:t>
            </w:r>
          </w:p>
        </w:tc>
        <w:tc>
          <w:tcPr>
            <w:tcW w:w="1107" w:type="dxa"/>
            <w:tcBorders>
              <w:top w:val="nil"/>
              <w:left w:val="nil"/>
              <w:bottom w:val="single" w:sz="8" w:space="0" w:color="auto"/>
              <w:right w:val="single" w:sz="4" w:space="0" w:color="auto"/>
            </w:tcBorders>
            <w:shd w:val="clear" w:color="auto" w:fill="auto"/>
            <w:vAlign w:val="center"/>
            <w:hideMark/>
          </w:tcPr>
          <w:p w14:paraId="5C414864" w14:textId="77777777" w:rsidR="00630055" w:rsidRPr="00D01F4D" w:rsidRDefault="00630055" w:rsidP="0014277A">
            <w:pPr>
              <w:rPr>
                <w:rFonts w:cs="Arial"/>
                <w:color w:val="000000"/>
                <w:sz w:val="16"/>
                <w:szCs w:val="16"/>
                <w:lang w:val="en-US" w:eastAsia="en-US"/>
              </w:rPr>
            </w:pPr>
            <w:r>
              <w:rPr>
                <w:rFonts w:cs="Arial"/>
                <w:color w:val="000000"/>
                <w:sz w:val="16"/>
                <w:szCs w:val="16"/>
              </w:rPr>
              <w:t>Row AX</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4F82FCE5" w14:textId="0FDD52A1" w:rsidR="00630055" w:rsidRPr="00D01F4D" w:rsidRDefault="00630055" w:rsidP="0014277A">
            <w:pPr>
              <w:rPr>
                <w:rFonts w:cs="Arial"/>
                <w:color w:val="000000"/>
                <w:sz w:val="16"/>
                <w:szCs w:val="16"/>
                <w:lang w:val="en-US" w:eastAsia="en-US"/>
              </w:rPr>
            </w:pPr>
            <w:r>
              <w:rPr>
                <w:rFonts w:cs="Arial"/>
                <w:color w:val="000000"/>
                <w:sz w:val="16"/>
                <w:szCs w:val="16"/>
              </w:rPr>
              <w:t xml:space="preserve"> AUD          168.015 </w:t>
            </w:r>
          </w:p>
        </w:tc>
        <w:tc>
          <w:tcPr>
            <w:tcW w:w="1664" w:type="dxa"/>
            <w:tcBorders>
              <w:top w:val="single" w:sz="4" w:space="0" w:color="auto"/>
              <w:left w:val="nil"/>
              <w:bottom w:val="single" w:sz="8" w:space="0" w:color="auto"/>
              <w:right w:val="single" w:sz="4" w:space="0" w:color="auto"/>
            </w:tcBorders>
            <w:shd w:val="clear" w:color="auto" w:fill="auto"/>
            <w:noWrap/>
            <w:vAlign w:val="center"/>
            <w:hideMark/>
          </w:tcPr>
          <w:p w14:paraId="6F2CAB7D" w14:textId="75EC2D24" w:rsidR="00630055" w:rsidRPr="00D01F4D" w:rsidRDefault="00630055" w:rsidP="0014277A">
            <w:pPr>
              <w:rPr>
                <w:rFonts w:cs="Arial"/>
                <w:color w:val="000000"/>
                <w:sz w:val="16"/>
                <w:szCs w:val="16"/>
                <w:lang w:val="en-US" w:eastAsia="en-US"/>
              </w:rPr>
            </w:pPr>
            <w:r>
              <w:rPr>
                <w:rFonts w:cs="Arial"/>
                <w:color w:val="000000"/>
                <w:sz w:val="16"/>
                <w:szCs w:val="16"/>
              </w:rPr>
              <w:t xml:space="preserve"> AUD          170.953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1FBBD37F" w14:textId="33C59263" w:rsidR="00630055" w:rsidRPr="00D01F4D" w:rsidRDefault="00630055" w:rsidP="0014277A">
            <w:pPr>
              <w:rPr>
                <w:rFonts w:cs="Arial"/>
                <w:color w:val="000000"/>
                <w:sz w:val="16"/>
                <w:szCs w:val="16"/>
                <w:lang w:val="en-US" w:eastAsia="en-US"/>
              </w:rPr>
            </w:pPr>
            <w:r>
              <w:rPr>
                <w:rFonts w:cs="Arial"/>
                <w:color w:val="000000"/>
                <w:sz w:val="16"/>
                <w:szCs w:val="16"/>
              </w:rPr>
              <w:t xml:space="preserve"> AUD          173.867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03AD76FF" w14:textId="7CF940BA" w:rsidR="00630055" w:rsidRPr="00D01F4D" w:rsidRDefault="00630055" w:rsidP="0014277A">
            <w:pPr>
              <w:rPr>
                <w:rFonts w:cs="Arial"/>
                <w:color w:val="000000"/>
                <w:sz w:val="16"/>
                <w:szCs w:val="16"/>
                <w:lang w:val="en-US" w:eastAsia="en-US"/>
              </w:rPr>
            </w:pPr>
            <w:r>
              <w:rPr>
                <w:rFonts w:cs="Arial"/>
                <w:color w:val="000000"/>
                <w:sz w:val="16"/>
                <w:szCs w:val="16"/>
              </w:rPr>
              <w:t xml:space="preserve"> AUD          176.758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30BACF88" w14:textId="6E1F1FF4" w:rsidR="00630055" w:rsidRPr="00D01F4D" w:rsidRDefault="00630055" w:rsidP="0014277A">
            <w:pPr>
              <w:rPr>
                <w:rFonts w:cs="Arial"/>
                <w:color w:val="000000"/>
                <w:sz w:val="16"/>
                <w:szCs w:val="16"/>
                <w:lang w:val="en-US" w:eastAsia="en-US"/>
              </w:rPr>
            </w:pPr>
            <w:r>
              <w:rPr>
                <w:rFonts w:cs="Arial"/>
                <w:color w:val="000000"/>
                <w:sz w:val="16"/>
                <w:szCs w:val="16"/>
              </w:rPr>
              <w:t xml:space="preserve"> AUD          179.605 </w:t>
            </w:r>
          </w:p>
        </w:tc>
        <w:tc>
          <w:tcPr>
            <w:tcW w:w="1764" w:type="dxa"/>
            <w:tcBorders>
              <w:top w:val="single" w:sz="4" w:space="0" w:color="auto"/>
              <w:left w:val="nil"/>
              <w:bottom w:val="single" w:sz="8" w:space="0" w:color="auto"/>
              <w:right w:val="single" w:sz="8" w:space="0" w:color="auto"/>
            </w:tcBorders>
            <w:shd w:val="clear" w:color="auto" w:fill="auto"/>
            <w:noWrap/>
            <w:vAlign w:val="center"/>
            <w:hideMark/>
          </w:tcPr>
          <w:p w14:paraId="09B86568" w14:textId="65B92705" w:rsidR="00630055" w:rsidRPr="00D01F4D" w:rsidRDefault="00630055" w:rsidP="0014277A">
            <w:pPr>
              <w:rPr>
                <w:rFonts w:cs="Arial"/>
                <w:color w:val="000000"/>
                <w:sz w:val="16"/>
                <w:szCs w:val="16"/>
                <w:lang w:val="en-US" w:eastAsia="en-US"/>
              </w:rPr>
            </w:pPr>
            <w:r>
              <w:rPr>
                <w:rFonts w:cs="Arial"/>
                <w:color w:val="000000"/>
                <w:sz w:val="16"/>
                <w:szCs w:val="16"/>
              </w:rPr>
              <w:t xml:space="preserve"> AUD     182.658 </w:t>
            </w:r>
          </w:p>
        </w:tc>
      </w:tr>
      <w:tr w:rsidR="00630055" w:rsidRPr="00D01F4D" w14:paraId="0B33339E" w14:textId="77777777" w:rsidTr="00BF0EEF">
        <w:trPr>
          <w:trHeight w:val="500"/>
          <w:jc w:val="center"/>
        </w:trPr>
        <w:tc>
          <w:tcPr>
            <w:tcW w:w="639" w:type="dxa"/>
            <w:tcBorders>
              <w:top w:val="single" w:sz="8" w:space="0" w:color="auto"/>
              <w:left w:val="single" w:sz="8" w:space="0" w:color="auto"/>
              <w:bottom w:val="single" w:sz="8" w:space="0" w:color="auto"/>
              <w:right w:val="single" w:sz="4" w:space="0" w:color="auto"/>
            </w:tcBorders>
            <w:shd w:val="clear" w:color="000000" w:fill="auto"/>
            <w:noWrap/>
            <w:vAlign w:val="center"/>
            <w:hideMark/>
          </w:tcPr>
          <w:p w14:paraId="4893D03D" w14:textId="77777777" w:rsidR="00630055" w:rsidRPr="00D01F4D" w:rsidRDefault="00630055" w:rsidP="0014277A">
            <w:pPr>
              <w:rPr>
                <w:rFonts w:cs="Arial"/>
                <w:b/>
                <w:bCs/>
                <w:color w:val="000000"/>
                <w:sz w:val="20"/>
                <w:szCs w:val="20"/>
                <w:lang w:val="en-US" w:eastAsia="en-US"/>
              </w:rPr>
            </w:pPr>
            <w:r w:rsidRPr="00D01F4D">
              <w:rPr>
                <w:rFonts w:cs="Arial"/>
                <w:b/>
                <w:bCs/>
                <w:color w:val="000000"/>
                <w:sz w:val="20"/>
                <w:szCs w:val="20"/>
                <w:lang w:val="en-US" w:eastAsia="en-US"/>
              </w:rPr>
              <w:t>BO</w:t>
            </w:r>
          </w:p>
        </w:tc>
        <w:tc>
          <w:tcPr>
            <w:tcW w:w="2353" w:type="dxa"/>
            <w:tcBorders>
              <w:top w:val="single" w:sz="8" w:space="0" w:color="auto"/>
              <w:left w:val="nil"/>
              <w:bottom w:val="single" w:sz="8" w:space="0" w:color="auto"/>
              <w:right w:val="single" w:sz="4" w:space="0" w:color="auto"/>
            </w:tcBorders>
            <w:shd w:val="clear" w:color="000000" w:fill="auto"/>
            <w:vAlign w:val="center"/>
            <w:hideMark/>
          </w:tcPr>
          <w:p w14:paraId="69A8A2E7" w14:textId="77777777" w:rsidR="00630055" w:rsidRPr="00D01F4D" w:rsidRDefault="00630055" w:rsidP="0014277A">
            <w:pPr>
              <w:rPr>
                <w:rFonts w:cs="Arial"/>
                <w:b/>
                <w:bCs/>
                <w:color w:val="000000"/>
                <w:sz w:val="20"/>
                <w:szCs w:val="20"/>
                <w:lang w:val="en-US" w:eastAsia="en-US"/>
              </w:rPr>
            </w:pPr>
            <w:r w:rsidRPr="00D01F4D">
              <w:rPr>
                <w:rFonts w:cs="Arial"/>
                <w:b/>
                <w:bCs/>
                <w:color w:val="000000"/>
                <w:sz w:val="20"/>
                <w:szCs w:val="20"/>
                <w:lang w:val="en-US" w:eastAsia="en-US"/>
              </w:rPr>
              <w:t>Total costs to the MBS</w:t>
            </w:r>
          </w:p>
        </w:tc>
        <w:tc>
          <w:tcPr>
            <w:tcW w:w="1107" w:type="dxa"/>
            <w:tcBorders>
              <w:top w:val="single" w:sz="8" w:space="0" w:color="auto"/>
              <w:left w:val="nil"/>
              <w:bottom w:val="single" w:sz="8" w:space="0" w:color="auto"/>
              <w:right w:val="single" w:sz="4" w:space="0" w:color="auto"/>
            </w:tcBorders>
            <w:shd w:val="clear" w:color="000000" w:fill="auto"/>
            <w:vAlign w:val="center"/>
            <w:hideMark/>
          </w:tcPr>
          <w:p w14:paraId="057E7A99" w14:textId="77777777" w:rsidR="00630055" w:rsidRPr="00D01F4D" w:rsidRDefault="00630055" w:rsidP="0014277A">
            <w:pPr>
              <w:rPr>
                <w:rFonts w:cs="Arial"/>
                <w:color w:val="000000"/>
                <w:sz w:val="16"/>
                <w:szCs w:val="16"/>
                <w:lang w:val="en-US" w:eastAsia="en-US"/>
              </w:rPr>
            </w:pPr>
            <w:r>
              <w:rPr>
                <w:rFonts w:cs="Arial"/>
                <w:color w:val="000000"/>
                <w:sz w:val="16"/>
                <w:szCs w:val="16"/>
              </w:rPr>
              <w:t>BL + BM</w:t>
            </w:r>
          </w:p>
        </w:tc>
        <w:tc>
          <w:tcPr>
            <w:tcW w:w="1764" w:type="dxa"/>
            <w:tcBorders>
              <w:top w:val="single" w:sz="8" w:space="0" w:color="auto"/>
              <w:left w:val="nil"/>
              <w:bottom w:val="single" w:sz="8" w:space="0" w:color="auto"/>
              <w:right w:val="single" w:sz="4" w:space="0" w:color="auto"/>
            </w:tcBorders>
            <w:shd w:val="clear" w:color="000000" w:fill="auto"/>
            <w:noWrap/>
            <w:vAlign w:val="center"/>
            <w:hideMark/>
          </w:tcPr>
          <w:p w14:paraId="6031EAAA" w14:textId="1DCEC902" w:rsidR="00630055" w:rsidRPr="00D01F4D" w:rsidRDefault="00630055" w:rsidP="0014277A">
            <w:pPr>
              <w:rPr>
                <w:rFonts w:cs="Arial"/>
                <w:b/>
                <w:bCs/>
                <w:color w:val="000000"/>
                <w:sz w:val="16"/>
                <w:szCs w:val="16"/>
                <w:lang w:val="en-US" w:eastAsia="en-US"/>
              </w:rPr>
            </w:pPr>
            <w:r>
              <w:rPr>
                <w:rFonts w:cs="Arial"/>
                <w:b/>
                <w:bCs/>
                <w:color w:val="000000"/>
                <w:sz w:val="16"/>
                <w:szCs w:val="16"/>
              </w:rPr>
              <w:t xml:space="preserve"> AUD          322.541 </w:t>
            </w:r>
          </w:p>
        </w:tc>
        <w:tc>
          <w:tcPr>
            <w:tcW w:w="1664" w:type="dxa"/>
            <w:tcBorders>
              <w:top w:val="single" w:sz="8" w:space="0" w:color="auto"/>
              <w:left w:val="nil"/>
              <w:bottom w:val="single" w:sz="8" w:space="0" w:color="auto"/>
              <w:right w:val="single" w:sz="4" w:space="0" w:color="auto"/>
            </w:tcBorders>
            <w:shd w:val="clear" w:color="000000" w:fill="auto"/>
            <w:noWrap/>
            <w:vAlign w:val="center"/>
            <w:hideMark/>
          </w:tcPr>
          <w:p w14:paraId="7604669A" w14:textId="6529D216" w:rsidR="00630055" w:rsidRPr="00D01F4D" w:rsidRDefault="00630055" w:rsidP="0014277A">
            <w:pPr>
              <w:rPr>
                <w:rFonts w:cs="Arial"/>
                <w:b/>
                <w:bCs/>
                <w:color w:val="000000"/>
                <w:sz w:val="16"/>
                <w:szCs w:val="16"/>
                <w:lang w:val="en-US" w:eastAsia="en-US"/>
              </w:rPr>
            </w:pPr>
            <w:r>
              <w:rPr>
                <w:rFonts w:cs="Arial"/>
                <w:b/>
                <w:bCs/>
                <w:color w:val="000000"/>
                <w:sz w:val="16"/>
                <w:szCs w:val="16"/>
              </w:rPr>
              <w:t xml:space="preserve"> AUD          328.182 </w:t>
            </w:r>
          </w:p>
        </w:tc>
        <w:tc>
          <w:tcPr>
            <w:tcW w:w="1764" w:type="dxa"/>
            <w:tcBorders>
              <w:top w:val="single" w:sz="8" w:space="0" w:color="auto"/>
              <w:left w:val="nil"/>
              <w:bottom w:val="single" w:sz="8" w:space="0" w:color="auto"/>
              <w:right w:val="single" w:sz="4" w:space="0" w:color="auto"/>
            </w:tcBorders>
            <w:shd w:val="clear" w:color="000000" w:fill="auto"/>
            <w:noWrap/>
            <w:vAlign w:val="center"/>
            <w:hideMark/>
          </w:tcPr>
          <w:p w14:paraId="21E122E6" w14:textId="55B4FE85" w:rsidR="00630055" w:rsidRPr="00D01F4D" w:rsidRDefault="00630055" w:rsidP="0014277A">
            <w:pPr>
              <w:rPr>
                <w:rFonts w:cs="Arial"/>
                <w:b/>
                <w:bCs/>
                <w:color w:val="000000"/>
                <w:sz w:val="16"/>
                <w:szCs w:val="16"/>
                <w:lang w:val="en-US" w:eastAsia="en-US"/>
              </w:rPr>
            </w:pPr>
            <w:r>
              <w:rPr>
                <w:rFonts w:cs="Arial"/>
                <w:b/>
                <w:bCs/>
                <w:color w:val="000000"/>
                <w:sz w:val="16"/>
                <w:szCs w:val="16"/>
              </w:rPr>
              <w:t xml:space="preserve"> AUD          333.777 </w:t>
            </w:r>
          </w:p>
        </w:tc>
        <w:tc>
          <w:tcPr>
            <w:tcW w:w="1764" w:type="dxa"/>
            <w:tcBorders>
              <w:top w:val="single" w:sz="8" w:space="0" w:color="auto"/>
              <w:left w:val="nil"/>
              <w:bottom w:val="single" w:sz="8" w:space="0" w:color="auto"/>
              <w:right w:val="single" w:sz="4" w:space="0" w:color="auto"/>
            </w:tcBorders>
            <w:shd w:val="clear" w:color="000000" w:fill="auto"/>
            <w:noWrap/>
            <w:vAlign w:val="center"/>
            <w:hideMark/>
          </w:tcPr>
          <w:p w14:paraId="55049C42" w14:textId="3F69D06C" w:rsidR="00630055" w:rsidRPr="00D01F4D" w:rsidRDefault="00630055" w:rsidP="0014277A">
            <w:pPr>
              <w:rPr>
                <w:rFonts w:cs="Arial"/>
                <w:b/>
                <w:bCs/>
                <w:color w:val="000000"/>
                <w:sz w:val="16"/>
                <w:szCs w:val="16"/>
                <w:lang w:val="en-US" w:eastAsia="en-US"/>
              </w:rPr>
            </w:pPr>
            <w:r>
              <w:rPr>
                <w:rFonts w:cs="Arial"/>
                <w:b/>
                <w:bCs/>
                <w:color w:val="000000"/>
                <w:sz w:val="16"/>
                <w:szCs w:val="16"/>
              </w:rPr>
              <w:t xml:space="preserve"> AUD          339.326 </w:t>
            </w:r>
          </w:p>
        </w:tc>
        <w:tc>
          <w:tcPr>
            <w:tcW w:w="1764" w:type="dxa"/>
            <w:tcBorders>
              <w:top w:val="single" w:sz="8" w:space="0" w:color="auto"/>
              <w:left w:val="nil"/>
              <w:bottom w:val="single" w:sz="8" w:space="0" w:color="auto"/>
              <w:right w:val="single" w:sz="4" w:space="0" w:color="auto"/>
            </w:tcBorders>
            <w:shd w:val="clear" w:color="000000" w:fill="auto"/>
            <w:noWrap/>
            <w:vAlign w:val="center"/>
            <w:hideMark/>
          </w:tcPr>
          <w:p w14:paraId="2CEB6D7D" w14:textId="5991025D" w:rsidR="00630055" w:rsidRPr="00D01F4D" w:rsidRDefault="00630055" w:rsidP="0014277A">
            <w:pPr>
              <w:rPr>
                <w:rFonts w:cs="Arial"/>
                <w:b/>
                <w:bCs/>
                <w:color w:val="000000"/>
                <w:sz w:val="16"/>
                <w:szCs w:val="16"/>
                <w:lang w:val="en-US" w:eastAsia="en-US"/>
              </w:rPr>
            </w:pPr>
            <w:r>
              <w:rPr>
                <w:rFonts w:cs="Arial"/>
                <w:b/>
                <w:bCs/>
                <w:color w:val="000000"/>
                <w:sz w:val="16"/>
                <w:szCs w:val="16"/>
              </w:rPr>
              <w:t xml:space="preserve"> AUD          344.791 </w:t>
            </w:r>
          </w:p>
        </w:tc>
        <w:tc>
          <w:tcPr>
            <w:tcW w:w="1764" w:type="dxa"/>
            <w:tcBorders>
              <w:top w:val="single" w:sz="8" w:space="0" w:color="auto"/>
              <w:left w:val="nil"/>
              <w:bottom w:val="single" w:sz="8" w:space="0" w:color="auto"/>
              <w:right w:val="single" w:sz="8" w:space="0" w:color="auto"/>
            </w:tcBorders>
            <w:shd w:val="clear" w:color="000000" w:fill="auto"/>
            <w:noWrap/>
            <w:vAlign w:val="center"/>
            <w:hideMark/>
          </w:tcPr>
          <w:p w14:paraId="5ED42242" w14:textId="4C60CA6D" w:rsidR="00630055" w:rsidRPr="00D01F4D" w:rsidRDefault="00630055" w:rsidP="0014277A">
            <w:pPr>
              <w:rPr>
                <w:rFonts w:cs="Arial"/>
                <w:b/>
                <w:bCs/>
                <w:color w:val="000000"/>
                <w:sz w:val="16"/>
                <w:szCs w:val="16"/>
                <w:lang w:val="en-US" w:eastAsia="en-US"/>
              </w:rPr>
            </w:pPr>
            <w:r>
              <w:rPr>
                <w:rFonts w:cs="Arial"/>
                <w:b/>
                <w:bCs/>
                <w:color w:val="000000"/>
                <w:sz w:val="16"/>
                <w:szCs w:val="16"/>
              </w:rPr>
              <w:t xml:space="preserve"> AUD     350.652 </w:t>
            </w:r>
          </w:p>
        </w:tc>
      </w:tr>
      <w:tr w:rsidR="00630055" w:rsidRPr="00D01F4D" w14:paraId="4EB56FE9" w14:textId="77777777" w:rsidTr="00BF0EEF">
        <w:trPr>
          <w:trHeight w:val="538"/>
          <w:jc w:val="center"/>
        </w:trPr>
        <w:tc>
          <w:tcPr>
            <w:tcW w:w="639" w:type="dxa"/>
            <w:tcBorders>
              <w:top w:val="single" w:sz="4" w:space="0" w:color="auto"/>
              <w:left w:val="single" w:sz="8" w:space="0" w:color="auto"/>
              <w:bottom w:val="nil"/>
              <w:right w:val="single" w:sz="4" w:space="0" w:color="auto"/>
            </w:tcBorders>
            <w:shd w:val="clear" w:color="auto" w:fill="auto"/>
            <w:noWrap/>
            <w:vAlign w:val="center"/>
            <w:hideMark/>
          </w:tcPr>
          <w:p w14:paraId="464FEE9E" w14:textId="77777777" w:rsidR="00630055" w:rsidRPr="00D01F4D" w:rsidRDefault="00630055" w:rsidP="0014277A">
            <w:pPr>
              <w:rPr>
                <w:rFonts w:cs="Arial"/>
                <w:b/>
                <w:bCs/>
                <w:color w:val="000000"/>
                <w:sz w:val="20"/>
                <w:szCs w:val="20"/>
                <w:lang w:val="en-US" w:eastAsia="en-US"/>
              </w:rPr>
            </w:pPr>
            <w:r w:rsidRPr="00D01F4D">
              <w:rPr>
                <w:rFonts w:cs="Arial"/>
                <w:b/>
                <w:bCs/>
                <w:color w:val="000000"/>
                <w:sz w:val="20"/>
                <w:szCs w:val="20"/>
                <w:lang w:val="en-US" w:eastAsia="en-US"/>
              </w:rPr>
              <w:t>BP</w:t>
            </w:r>
          </w:p>
        </w:tc>
        <w:tc>
          <w:tcPr>
            <w:tcW w:w="2353" w:type="dxa"/>
            <w:tcBorders>
              <w:top w:val="nil"/>
              <w:left w:val="nil"/>
              <w:bottom w:val="single" w:sz="4" w:space="0" w:color="auto"/>
              <w:right w:val="nil"/>
            </w:tcBorders>
            <w:shd w:val="clear" w:color="auto" w:fill="auto"/>
            <w:vAlign w:val="center"/>
            <w:hideMark/>
          </w:tcPr>
          <w:p w14:paraId="03820269" w14:textId="77777777" w:rsidR="00630055" w:rsidRPr="00D01F4D" w:rsidRDefault="00630055" w:rsidP="0014277A">
            <w:pPr>
              <w:rPr>
                <w:rFonts w:cs="Arial"/>
                <w:color w:val="000000"/>
                <w:sz w:val="20"/>
                <w:szCs w:val="20"/>
                <w:lang w:val="en-US" w:eastAsia="en-US"/>
              </w:rPr>
            </w:pPr>
            <w:r w:rsidRPr="00D01F4D">
              <w:rPr>
                <w:rFonts w:cs="Arial"/>
                <w:color w:val="000000"/>
                <w:sz w:val="20"/>
                <w:szCs w:val="20"/>
                <w:lang w:val="en-US" w:eastAsia="en-US"/>
              </w:rPr>
              <w:t>Total non-MBS costs</w:t>
            </w:r>
          </w:p>
        </w:tc>
        <w:tc>
          <w:tcPr>
            <w:tcW w:w="1107"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2DA335E9" w14:textId="77777777" w:rsidR="00630055" w:rsidRPr="00D01F4D" w:rsidRDefault="00630055" w:rsidP="0014277A">
            <w:pPr>
              <w:rPr>
                <w:rFonts w:cs="Arial"/>
                <w:color w:val="000000"/>
                <w:sz w:val="16"/>
                <w:szCs w:val="16"/>
                <w:lang w:val="en-US" w:eastAsia="en-US"/>
              </w:rPr>
            </w:pPr>
            <w:r>
              <w:rPr>
                <w:rFonts w:cs="Arial"/>
                <w:color w:val="000000"/>
                <w:sz w:val="16"/>
                <w:szCs w:val="16"/>
              </w:rPr>
              <w:t>Row BF</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6957F539" w14:textId="6EB251C2" w:rsidR="00630055" w:rsidRPr="00D01F4D" w:rsidRDefault="00630055" w:rsidP="0014277A">
            <w:pPr>
              <w:rPr>
                <w:rFonts w:cs="Arial"/>
                <w:color w:val="000000"/>
                <w:sz w:val="16"/>
                <w:szCs w:val="16"/>
                <w:lang w:val="en-US" w:eastAsia="en-US"/>
              </w:rPr>
            </w:pPr>
            <w:r>
              <w:rPr>
                <w:rFonts w:cs="Arial"/>
                <w:color w:val="000000"/>
                <w:sz w:val="16"/>
                <w:szCs w:val="16"/>
              </w:rPr>
              <w:t xml:space="preserve"> AUD       1.231.955 </w:t>
            </w:r>
          </w:p>
        </w:tc>
        <w:tc>
          <w:tcPr>
            <w:tcW w:w="1664" w:type="dxa"/>
            <w:tcBorders>
              <w:top w:val="single" w:sz="4" w:space="0" w:color="auto"/>
              <w:left w:val="nil"/>
              <w:bottom w:val="single" w:sz="8" w:space="0" w:color="auto"/>
              <w:right w:val="single" w:sz="4" w:space="0" w:color="auto"/>
            </w:tcBorders>
            <w:shd w:val="clear" w:color="auto" w:fill="auto"/>
            <w:noWrap/>
            <w:vAlign w:val="center"/>
            <w:hideMark/>
          </w:tcPr>
          <w:p w14:paraId="6E6773C8" w14:textId="3731E4A7" w:rsidR="00630055" w:rsidRPr="00D01F4D" w:rsidRDefault="00630055" w:rsidP="0014277A">
            <w:pPr>
              <w:rPr>
                <w:rFonts w:cs="Arial"/>
                <w:color w:val="000000"/>
                <w:sz w:val="16"/>
                <w:szCs w:val="16"/>
                <w:lang w:val="en-US" w:eastAsia="en-US"/>
              </w:rPr>
            </w:pPr>
            <w:r>
              <w:rPr>
                <w:rFonts w:cs="Arial"/>
                <w:color w:val="000000"/>
                <w:sz w:val="16"/>
                <w:szCs w:val="16"/>
              </w:rPr>
              <w:t xml:space="preserve"> AUD       1.253.500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11D1A4F6" w14:textId="5AA07F11" w:rsidR="00630055" w:rsidRPr="00D01F4D" w:rsidRDefault="00630055" w:rsidP="0014277A">
            <w:pPr>
              <w:rPr>
                <w:rFonts w:cs="Arial"/>
                <w:color w:val="000000"/>
                <w:sz w:val="16"/>
                <w:szCs w:val="16"/>
                <w:lang w:val="en-US" w:eastAsia="en-US"/>
              </w:rPr>
            </w:pPr>
            <w:r>
              <w:rPr>
                <w:rFonts w:cs="Arial"/>
                <w:color w:val="000000"/>
                <w:sz w:val="16"/>
                <w:szCs w:val="16"/>
              </w:rPr>
              <w:t xml:space="preserve"> AUD       1.274.869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32B23B06" w14:textId="218179C1" w:rsidR="00630055" w:rsidRPr="00D01F4D" w:rsidRDefault="00630055" w:rsidP="0014277A">
            <w:pPr>
              <w:rPr>
                <w:rFonts w:cs="Arial"/>
                <w:color w:val="000000"/>
                <w:sz w:val="16"/>
                <w:szCs w:val="16"/>
                <w:lang w:val="en-US" w:eastAsia="en-US"/>
              </w:rPr>
            </w:pPr>
            <w:r>
              <w:rPr>
                <w:rFonts w:cs="Arial"/>
                <w:color w:val="000000"/>
                <w:sz w:val="16"/>
                <w:szCs w:val="16"/>
              </w:rPr>
              <w:t xml:space="preserve"> AUD       1.296.064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7A8F1DDB" w14:textId="552C3BC2" w:rsidR="00630055" w:rsidRPr="00D01F4D" w:rsidRDefault="00630055" w:rsidP="0014277A">
            <w:pPr>
              <w:rPr>
                <w:rFonts w:cs="Arial"/>
                <w:color w:val="000000"/>
                <w:sz w:val="16"/>
                <w:szCs w:val="16"/>
                <w:lang w:val="en-US" w:eastAsia="en-US"/>
              </w:rPr>
            </w:pPr>
            <w:r>
              <w:rPr>
                <w:rFonts w:cs="Arial"/>
                <w:color w:val="000000"/>
                <w:sz w:val="16"/>
                <w:szCs w:val="16"/>
              </w:rPr>
              <w:t xml:space="preserve"> AUD       1.316.938 </w:t>
            </w:r>
          </w:p>
        </w:tc>
        <w:tc>
          <w:tcPr>
            <w:tcW w:w="1764" w:type="dxa"/>
            <w:tcBorders>
              <w:top w:val="single" w:sz="4" w:space="0" w:color="auto"/>
              <w:left w:val="nil"/>
              <w:bottom w:val="single" w:sz="8" w:space="0" w:color="auto"/>
              <w:right w:val="single" w:sz="8" w:space="0" w:color="auto"/>
            </w:tcBorders>
            <w:shd w:val="clear" w:color="auto" w:fill="auto"/>
            <w:noWrap/>
            <w:vAlign w:val="center"/>
            <w:hideMark/>
          </w:tcPr>
          <w:p w14:paraId="5F79621A" w14:textId="3D3AD465" w:rsidR="00630055" w:rsidRPr="00D01F4D" w:rsidRDefault="00630055" w:rsidP="0014277A">
            <w:pPr>
              <w:rPr>
                <w:rFonts w:cs="Arial"/>
                <w:color w:val="000000"/>
                <w:sz w:val="16"/>
                <w:szCs w:val="16"/>
                <w:lang w:val="en-US" w:eastAsia="en-US"/>
              </w:rPr>
            </w:pPr>
            <w:r>
              <w:rPr>
                <w:rFonts w:cs="Arial"/>
                <w:color w:val="000000"/>
                <w:sz w:val="16"/>
                <w:szCs w:val="16"/>
              </w:rPr>
              <w:t xml:space="preserve"> AUD  1.339.326 </w:t>
            </w:r>
          </w:p>
        </w:tc>
      </w:tr>
      <w:tr w:rsidR="00630055" w:rsidRPr="00D01F4D" w14:paraId="705CE16D" w14:textId="77777777" w:rsidTr="00BF0EEF">
        <w:trPr>
          <w:trHeight w:val="987"/>
          <w:jc w:val="center"/>
        </w:trPr>
        <w:tc>
          <w:tcPr>
            <w:tcW w:w="639" w:type="dxa"/>
            <w:tcBorders>
              <w:top w:val="single" w:sz="4" w:space="0" w:color="auto"/>
              <w:left w:val="single" w:sz="8" w:space="0" w:color="auto"/>
              <w:bottom w:val="nil"/>
              <w:right w:val="single" w:sz="4" w:space="0" w:color="auto"/>
            </w:tcBorders>
            <w:shd w:val="clear" w:color="auto" w:fill="auto"/>
            <w:noWrap/>
            <w:vAlign w:val="center"/>
            <w:hideMark/>
          </w:tcPr>
          <w:p w14:paraId="21933023" w14:textId="77777777" w:rsidR="00630055" w:rsidRPr="00D01F4D" w:rsidRDefault="00630055" w:rsidP="0014277A">
            <w:pPr>
              <w:rPr>
                <w:rFonts w:cs="Arial"/>
                <w:b/>
                <w:bCs/>
                <w:color w:val="000000"/>
                <w:sz w:val="20"/>
                <w:szCs w:val="20"/>
                <w:lang w:val="en-US" w:eastAsia="en-US"/>
              </w:rPr>
            </w:pPr>
            <w:r w:rsidRPr="00D01F4D">
              <w:rPr>
                <w:rFonts w:cs="Arial"/>
                <w:b/>
                <w:bCs/>
                <w:color w:val="000000"/>
                <w:sz w:val="20"/>
                <w:szCs w:val="20"/>
                <w:lang w:val="en-US" w:eastAsia="en-US"/>
              </w:rPr>
              <w:t>BQ</w:t>
            </w:r>
          </w:p>
        </w:tc>
        <w:tc>
          <w:tcPr>
            <w:tcW w:w="2353" w:type="dxa"/>
            <w:tcBorders>
              <w:top w:val="nil"/>
              <w:left w:val="nil"/>
              <w:bottom w:val="nil"/>
              <w:right w:val="nil"/>
            </w:tcBorders>
            <w:shd w:val="clear" w:color="auto" w:fill="auto"/>
            <w:vAlign w:val="center"/>
            <w:hideMark/>
          </w:tcPr>
          <w:p w14:paraId="26AA772C" w14:textId="77777777" w:rsidR="00630055" w:rsidRPr="00D01F4D" w:rsidRDefault="00630055" w:rsidP="0014277A">
            <w:pPr>
              <w:rPr>
                <w:rFonts w:cs="Arial"/>
                <w:b/>
                <w:bCs/>
                <w:color w:val="000000"/>
                <w:sz w:val="20"/>
                <w:szCs w:val="20"/>
                <w:lang w:val="en-US" w:eastAsia="en-US"/>
              </w:rPr>
            </w:pPr>
            <w:r w:rsidRPr="00D01F4D">
              <w:rPr>
                <w:rFonts w:cs="Arial"/>
                <w:b/>
                <w:bCs/>
                <w:color w:val="000000"/>
                <w:sz w:val="20"/>
                <w:szCs w:val="20"/>
                <w:lang w:val="en-US" w:eastAsia="en-US"/>
              </w:rPr>
              <w:t>Overall total costs of the proposed intervention</w:t>
            </w:r>
          </w:p>
        </w:tc>
        <w:tc>
          <w:tcPr>
            <w:tcW w:w="1107"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74AA9F42" w14:textId="77777777" w:rsidR="00630055" w:rsidRPr="00D01F4D" w:rsidRDefault="00630055" w:rsidP="0014277A">
            <w:pPr>
              <w:rPr>
                <w:rFonts w:cs="Arial"/>
                <w:color w:val="000000"/>
                <w:sz w:val="16"/>
                <w:szCs w:val="16"/>
                <w:lang w:val="en-US" w:eastAsia="en-US"/>
              </w:rPr>
            </w:pPr>
            <w:r>
              <w:rPr>
                <w:rFonts w:cs="Arial"/>
                <w:color w:val="000000"/>
                <w:sz w:val="16"/>
                <w:szCs w:val="16"/>
              </w:rPr>
              <w:t>BL + BM</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50ACA3BB" w14:textId="46AAD2A2" w:rsidR="00630055" w:rsidRPr="00D01F4D" w:rsidRDefault="00630055" w:rsidP="0014277A">
            <w:pPr>
              <w:rPr>
                <w:rFonts w:cs="Arial"/>
                <w:b/>
                <w:bCs/>
                <w:color w:val="000000"/>
                <w:sz w:val="16"/>
                <w:szCs w:val="16"/>
                <w:lang w:val="en-US" w:eastAsia="en-US"/>
              </w:rPr>
            </w:pPr>
            <w:r>
              <w:rPr>
                <w:rFonts w:cs="Arial"/>
                <w:b/>
                <w:bCs/>
                <w:color w:val="000000"/>
                <w:sz w:val="16"/>
                <w:szCs w:val="16"/>
              </w:rPr>
              <w:t xml:space="preserve"> AUD       1.554.496 </w:t>
            </w:r>
          </w:p>
        </w:tc>
        <w:tc>
          <w:tcPr>
            <w:tcW w:w="1664" w:type="dxa"/>
            <w:tcBorders>
              <w:top w:val="single" w:sz="4" w:space="0" w:color="auto"/>
              <w:left w:val="nil"/>
              <w:bottom w:val="single" w:sz="8" w:space="0" w:color="auto"/>
              <w:right w:val="single" w:sz="4" w:space="0" w:color="auto"/>
            </w:tcBorders>
            <w:shd w:val="clear" w:color="auto" w:fill="auto"/>
            <w:noWrap/>
            <w:vAlign w:val="center"/>
            <w:hideMark/>
          </w:tcPr>
          <w:p w14:paraId="0A122769" w14:textId="42B20CC8" w:rsidR="00630055" w:rsidRPr="00D01F4D" w:rsidRDefault="00630055" w:rsidP="0014277A">
            <w:pPr>
              <w:rPr>
                <w:rFonts w:cs="Arial"/>
                <w:b/>
                <w:bCs/>
                <w:color w:val="000000"/>
                <w:sz w:val="16"/>
                <w:szCs w:val="16"/>
                <w:lang w:val="en-US" w:eastAsia="en-US"/>
              </w:rPr>
            </w:pPr>
            <w:r>
              <w:rPr>
                <w:rFonts w:cs="Arial"/>
                <w:b/>
                <w:bCs/>
                <w:color w:val="000000"/>
                <w:sz w:val="16"/>
                <w:szCs w:val="16"/>
              </w:rPr>
              <w:t xml:space="preserve"> AUD       1.581.682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757E9EE3" w14:textId="19AF8DBE" w:rsidR="00630055" w:rsidRPr="00D01F4D" w:rsidRDefault="00630055" w:rsidP="0014277A">
            <w:pPr>
              <w:rPr>
                <w:rFonts w:cs="Arial"/>
                <w:b/>
                <w:bCs/>
                <w:color w:val="000000"/>
                <w:sz w:val="16"/>
                <w:szCs w:val="16"/>
                <w:lang w:val="en-US" w:eastAsia="en-US"/>
              </w:rPr>
            </w:pPr>
            <w:r>
              <w:rPr>
                <w:rFonts w:cs="Arial"/>
                <w:b/>
                <w:bCs/>
                <w:color w:val="000000"/>
                <w:sz w:val="16"/>
                <w:szCs w:val="16"/>
              </w:rPr>
              <w:t xml:space="preserve"> AUD       1.608.645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15A27011" w14:textId="10185F54" w:rsidR="00630055" w:rsidRPr="00D01F4D" w:rsidRDefault="00630055" w:rsidP="0014277A">
            <w:pPr>
              <w:rPr>
                <w:rFonts w:cs="Arial"/>
                <w:b/>
                <w:bCs/>
                <w:color w:val="000000"/>
                <w:sz w:val="16"/>
                <w:szCs w:val="16"/>
                <w:lang w:val="en-US" w:eastAsia="en-US"/>
              </w:rPr>
            </w:pPr>
            <w:r>
              <w:rPr>
                <w:rFonts w:cs="Arial"/>
                <w:b/>
                <w:bCs/>
                <w:color w:val="000000"/>
                <w:sz w:val="16"/>
                <w:szCs w:val="16"/>
              </w:rPr>
              <w:t xml:space="preserve"> AUD       1.635.390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13B1EA8F" w14:textId="376F7315" w:rsidR="00630055" w:rsidRPr="00D01F4D" w:rsidRDefault="00630055" w:rsidP="0014277A">
            <w:pPr>
              <w:rPr>
                <w:rFonts w:cs="Arial"/>
                <w:b/>
                <w:bCs/>
                <w:color w:val="000000"/>
                <w:sz w:val="16"/>
                <w:szCs w:val="16"/>
                <w:lang w:val="en-US" w:eastAsia="en-US"/>
              </w:rPr>
            </w:pPr>
            <w:r>
              <w:rPr>
                <w:rFonts w:cs="Arial"/>
                <w:b/>
                <w:bCs/>
                <w:color w:val="000000"/>
                <w:sz w:val="16"/>
                <w:szCs w:val="16"/>
              </w:rPr>
              <w:t xml:space="preserve"> AUD       1.661.729 </w:t>
            </w:r>
          </w:p>
        </w:tc>
        <w:tc>
          <w:tcPr>
            <w:tcW w:w="1764" w:type="dxa"/>
            <w:tcBorders>
              <w:top w:val="single" w:sz="4" w:space="0" w:color="auto"/>
              <w:left w:val="nil"/>
              <w:bottom w:val="single" w:sz="8" w:space="0" w:color="auto"/>
              <w:right w:val="single" w:sz="8" w:space="0" w:color="auto"/>
            </w:tcBorders>
            <w:shd w:val="clear" w:color="auto" w:fill="auto"/>
            <w:noWrap/>
            <w:vAlign w:val="center"/>
            <w:hideMark/>
          </w:tcPr>
          <w:p w14:paraId="2B803423" w14:textId="6AFCFD97" w:rsidR="00630055" w:rsidRPr="00D01F4D" w:rsidRDefault="00630055" w:rsidP="0014277A">
            <w:pPr>
              <w:rPr>
                <w:rFonts w:cs="Arial"/>
                <w:b/>
                <w:bCs/>
                <w:color w:val="000000"/>
                <w:sz w:val="16"/>
                <w:szCs w:val="16"/>
                <w:lang w:val="en-US" w:eastAsia="en-US"/>
              </w:rPr>
            </w:pPr>
            <w:r>
              <w:rPr>
                <w:rFonts w:cs="Arial"/>
                <w:b/>
                <w:bCs/>
                <w:color w:val="000000"/>
                <w:sz w:val="16"/>
                <w:szCs w:val="16"/>
              </w:rPr>
              <w:t xml:space="preserve"> AUD  1.689.978 </w:t>
            </w:r>
          </w:p>
        </w:tc>
      </w:tr>
      <w:tr w:rsidR="008A78C8" w:rsidRPr="00D01F4D" w14:paraId="546DB0F9" w14:textId="77777777" w:rsidTr="00BF0EEF">
        <w:trPr>
          <w:trHeight w:val="300"/>
          <w:jc w:val="center"/>
        </w:trPr>
        <w:tc>
          <w:tcPr>
            <w:tcW w:w="63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6411413" w14:textId="77777777" w:rsidR="008A78C8" w:rsidRPr="00D01F4D" w:rsidRDefault="008A78C8" w:rsidP="0014277A">
            <w:pPr>
              <w:rPr>
                <w:rFonts w:cs="Arial"/>
                <w:b/>
                <w:bCs/>
                <w:color w:val="000000"/>
                <w:sz w:val="20"/>
                <w:szCs w:val="20"/>
                <w:lang w:val="en-US" w:eastAsia="en-US"/>
              </w:rPr>
            </w:pPr>
            <w:r w:rsidRPr="00D01F4D">
              <w:rPr>
                <w:rFonts w:cs="Arial"/>
                <w:b/>
                <w:bCs/>
                <w:color w:val="000000"/>
                <w:sz w:val="20"/>
                <w:szCs w:val="20"/>
                <w:lang w:val="en-US" w:eastAsia="en-US"/>
              </w:rPr>
              <w:t> </w:t>
            </w:r>
          </w:p>
        </w:tc>
        <w:tc>
          <w:tcPr>
            <w:tcW w:w="13944" w:type="dxa"/>
            <w:gridSpan w:val="8"/>
            <w:tcBorders>
              <w:top w:val="single" w:sz="4" w:space="0" w:color="auto"/>
              <w:left w:val="single" w:sz="4" w:space="0" w:color="auto"/>
              <w:bottom w:val="single" w:sz="4" w:space="0" w:color="auto"/>
              <w:right w:val="single" w:sz="8" w:space="0" w:color="000000"/>
            </w:tcBorders>
            <w:shd w:val="clear" w:color="auto" w:fill="auto"/>
            <w:vAlign w:val="center"/>
            <w:hideMark/>
          </w:tcPr>
          <w:p w14:paraId="79ABF1F1" w14:textId="77777777" w:rsidR="008A78C8" w:rsidRPr="00D01F4D" w:rsidRDefault="008A78C8" w:rsidP="0014277A">
            <w:pPr>
              <w:rPr>
                <w:rFonts w:cs="Arial"/>
                <w:b/>
                <w:bCs/>
                <w:color w:val="000000"/>
                <w:sz w:val="20"/>
                <w:szCs w:val="20"/>
                <w:lang w:val="en-US" w:eastAsia="en-US"/>
              </w:rPr>
            </w:pPr>
            <w:r w:rsidRPr="00D01F4D">
              <w:rPr>
                <w:rFonts w:cs="Arial"/>
                <w:b/>
                <w:bCs/>
                <w:color w:val="000000"/>
                <w:sz w:val="20"/>
                <w:szCs w:val="20"/>
                <w:lang w:val="en-US" w:eastAsia="en-US"/>
              </w:rPr>
              <w:t>Maxum/Soundtec</w:t>
            </w:r>
          </w:p>
        </w:tc>
      </w:tr>
      <w:tr w:rsidR="00630055" w:rsidRPr="00D01F4D" w14:paraId="12D1F218" w14:textId="77777777" w:rsidTr="00BF0EEF">
        <w:trPr>
          <w:trHeight w:val="570"/>
          <w:jc w:val="center"/>
        </w:trPr>
        <w:tc>
          <w:tcPr>
            <w:tcW w:w="639" w:type="dxa"/>
            <w:tcBorders>
              <w:top w:val="nil"/>
              <w:left w:val="single" w:sz="8" w:space="0" w:color="auto"/>
              <w:bottom w:val="single" w:sz="4" w:space="0" w:color="auto"/>
              <w:right w:val="single" w:sz="4" w:space="0" w:color="auto"/>
            </w:tcBorders>
            <w:shd w:val="clear" w:color="auto" w:fill="auto"/>
            <w:noWrap/>
            <w:vAlign w:val="center"/>
            <w:hideMark/>
          </w:tcPr>
          <w:p w14:paraId="0F2B150E" w14:textId="77777777" w:rsidR="00630055" w:rsidRPr="00D01F4D" w:rsidRDefault="00630055" w:rsidP="0014277A">
            <w:pPr>
              <w:rPr>
                <w:rFonts w:cs="Arial"/>
                <w:b/>
                <w:bCs/>
                <w:color w:val="000000"/>
                <w:sz w:val="20"/>
                <w:szCs w:val="20"/>
                <w:lang w:val="en-US" w:eastAsia="en-US"/>
              </w:rPr>
            </w:pPr>
            <w:r w:rsidRPr="00D01F4D">
              <w:rPr>
                <w:rFonts w:cs="Arial"/>
                <w:b/>
                <w:bCs/>
                <w:color w:val="000000"/>
                <w:sz w:val="20"/>
                <w:szCs w:val="20"/>
                <w:lang w:val="en-US" w:eastAsia="en-US"/>
              </w:rPr>
              <w:t>BR</w:t>
            </w:r>
          </w:p>
        </w:tc>
        <w:tc>
          <w:tcPr>
            <w:tcW w:w="2353" w:type="dxa"/>
            <w:tcBorders>
              <w:top w:val="nil"/>
              <w:left w:val="nil"/>
              <w:bottom w:val="single" w:sz="4" w:space="0" w:color="auto"/>
              <w:right w:val="single" w:sz="4" w:space="0" w:color="auto"/>
            </w:tcBorders>
            <w:shd w:val="clear" w:color="auto" w:fill="auto"/>
            <w:vAlign w:val="center"/>
            <w:hideMark/>
          </w:tcPr>
          <w:p w14:paraId="02D37057" w14:textId="77777777" w:rsidR="00630055" w:rsidRPr="00D01F4D" w:rsidRDefault="00630055" w:rsidP="0014277A">
            <w:pPr>
              <w:rPr>
                <w:rFonts w:cs="Arial"/>
                <w:color w:val="000000"/>
                <w:sz w:val="20"/>
                <w:szCs w:val="20"/>
                <w:lang w:val="en-US" w:eastAsia="en-US"/>
              </w:rPr>
            </w:pPr>
            <w:r w:rsidRPr="00D01F4D">
              <w:rPr>
                <w:rFonts w:cs="Arial"/>
                <w:color w:val="000000"/>
                <w:sz w:val="20"/>
                <w:szCs w:val="20"/>
                <w:lang w:val="en-US" w:eastAsia="en-US"/>
              </w:rPr>
              <w:t>Cost to MBS of the proposed item</w:t>
            </w:r>
          </w:p>
        </w:tc>
        <w:tc>
          <w:tcPr>
            <w:tcW w:w="1107" w:type="dxa"/>
            <w:tcBorders>
              <w:top w:val="nil"/>
              <w:left w:val="nil"/>
              <w:bottom w:val="single" w:sz="4" w:space="0" w:color="auto"/>
              <w:right w:val="single" w:sz="4" w:space="0" w:color="auto"/>
            </w:tcBorders>
            <w:shd w:val="clear" w:color="auto" w:fill="auto"/>
            <w:vAlign w:val="center"/>
            <w:hideMark/>
          </w:tcPr>
          <w:p w14:paraId="04895A34" w14:textId="77777777" w:rsidR="00630055" w:rsidRPr="00D01F4D" w:rsidRDefault="00630055" w:rsidP="0014277A">
            <w:pPr>
              <w:rPr>
                <w:rFonts w:cs="Arial"/>
                <w:color w:val="000000"/>
                <w:sz w:val="16"/>
                <w:szCs w:val="16"/>
                <w:lang w:val="en-US" w:eastAsia="en-US"/>
              </w:rPr>
            </w:pPr>
            <w:r>
              <w:rPr>
                <w:rFonts w:cs="Arial"/>
                <w:color w:val="000000"/>
                <w:sz w:val="16"/>
                <w:szCs w:val="16"/>
              </w:rPr>
              <w:t>Row M</w:t>
            </w:r>
          </w:p>
        </w:tc>
        <w:tc>
          <w:tcPr>
            <w:tcW w:w="1764" w:type="dxa"/>
            <w:tcBorders>
              <w:top w:val="nil"/>
              <w:left w:val="nil"/>
              <w:bottom w:val="single" w:sz="8" w:space="0" w:color="auto"/>
              <w:right w:val="single" w:sz="4" w:space="0" w:color="auto"/>
            </w:tcBorders>
            <w:shd w:val="clear" w:color="auto" w:fill="auto"/>
            <w:noWrap/>
            <w:vAlign w:val="center"/>
            <w:hideMark/>
          </w:tcPr>
          <w:p w14:paraId="245630E5" w14:textId="3DFFA03C" w:rsidR="00630055" w:rsidRPr="00D01F4D" w:rsidRDefault="00630055" w:rsidP="0014277A">
            <w:pPr>
              <w:rPr>
                <w:rFonts w:cs="Arial"/>
                <w:color w:val="000000"/>
                <w:sz w:val="16"/>
                <w:szCs w:val="16"/>
                <w:lang w:val="en-US" w:eastAsia="en-US"/>
              </w:rPr>
            </w:pPr>
            <w:r>
              <w:rPr>
                <w:rFonts w:cs="Arial"/>
                <w:color w:val="000000"/>
                <w:sz w:val="16"/>
                <w:szCs w:val="16"/>
              </w:rPr>
              <w:t xml:space="preserve"> AUD          154.527 </w:t>
            </w:r>
          </w:p>
        </w:tc>
        <w:tc>
          <w:tcPr>
            <w:tcW w:w="1664" w:type="dxa"/>
            <w:tcBorders>
              <w:top w:val="nil"/>
              <w:left w:val="nil"/>
              <w:bottom w:val="single" w:sz="8" w:space="0" w:color="auto"/>
              <w:right w:val="single" w:sz="4" w:space="0" w:color="auto"/>
            </w:tcBorders>
            <w:shd w:val="clear" w:color="auto" w:fill="auto"/>
            <w:noWrap/>
            <w:vAlign w:val="center"/>
            <w:hideMark/>
          </w:tcPr>
          <w:p w14:paraId="199E8DEA" w14:textId="7499D37E" w:rsidR="00630055" w:rsidRPr="00D01F4D" w:rsidRDefault="00630055" w:rsidP="0014277A">
            <w:pPr>
              <w:rPr>
                <w:rFonts w:cs="Arial"/>
                <w:color w:val="000000"/>
                <w:sz w:val="16"/>
                <w:szCs w:val="16"/>
                <w:lang w:val="en-US" w:eastAsia="en-US"/>
              </w:rPr>
            </w:pPr>
            <w:r>
              <w:rPr>
                <w:rFonts w:cs="Arial"/>
                <w:color w:val="000000"/>
                <w:sz w:val="16"/>
                <w:szCs w:val="16"/>
              </w:rPr>
              <w:t xml:space="preserve"> AUD          157.229 </w:t>
            </w:r>
          </w:p>
        </w:tc>
        <w:tc>
          <w:tcPr>
            <w:tcW w:w="1764" w:type="dxa"/>
            <w:tcBorders>
              <w:top w:val="nil"/>
              <w:left w:val="nil"/>
              <w:bottom w:val="single" w:sz="8" w:space="0" w:color="auto"/>
              <w:right w:val="single" w:sz="4" w:space="0" w:color="auto"/>
            </w:tcBorders>
            <w:shd w:val="clear" w:color="auto" w:fill="auto"/>
            <w:noWrap/>
            <w:vAlign w:val="center"/>
            <w:hideMark/>
          </w:tcPr>
          <w:p w14:paraId="72B71C34" w14:textId="377661B6" w:rsidR="00630055" w:rsidRPr="00D01F4D" w:rsidRDefault="00630055" w:rsidP="0014277A">
            <w:pPr>
              <w:rPr>
                <w:rFonts w:cs="Arial"/>
                <w:color w:val="000000"/>
                <w:sz w:val="16"/>
                <w:szCs w:val="16"/>
                <w:lang w:val="en-US" w:eastAsia="en-US"/>
              </w:rPr>
            </w:pPr>
            <w:r>
              <w:rPr>
                <w:rFonts w:cs="Arial"/>
                <w:color w:val="000000"/>
                <w:sz w:val="16"/>
                <w:szCs w:val="16"/>
              </w:rPr>
              <w:t xml:space="preserve"> AUD          159.909 </w:t>
            </w:r>
          </w:p>
        </w:tc>
        <w:tc>
          <w:tcPr>
            <w:tcW w:w="1764" w:type="dxa"/>
            <w:tcBorders>
              <w:top w:val="nil"/>
              <w:left w:val="nil"/>
              <w:bottom w:val="single" w:sz="8" w:space="0" w:color="auto"/>
              <w:right w:val="single" w:sz="4" w:space="0" w:color="auto"/>
            </w:tcBorders>
            <w:shd w:val="clear" w:color="auto" w:fill="auto"/>
            <w:noWrap/>
            <w:vAlign w:val="center"/>
            <w:hideMark/>
          </w:tcPr>
          <w:p w14:paraId="75C1DAB1" w14:textId="3DDF9553" w:rsidR="00630055" w:rsidRPr="00D01F4D" w:rsidRDefault="00630055" w:rsidP="0014277A">
            <w:pPr>
              <w:rPr>
                <w:rFonts w:cs="Arial"/>
                <w:color w:val="000000"/>
                <w:sz w:val="16"/>
                <w:szCs w:val="16"/>
                <w:lang w:val="en-US" w:eastAsia="en-US"/>
              </w:rPr>
            </w:pPr>
            <w:r>
              <w:rPr>
                <w:rFonts w:cs="Arial"/>
                <w:color w:val="000000"/>
                <w:sz w:val="16"/>
                <w:szCs w:val="16"/>
              </w:rPr>
              <w:t xml:space="preserve"> AUD          162.568 </w:t>
            </w:r>
          </w:p>
        </w:tc>
        <w:tc>
          <w:tcPr>
            <w:tcW w:w="1764" w:type="dxa"/>
            <w:tcBorders>
              <w:top w:val="nil"/>
              <w:left w:val="nil"/>
              <w:bottom w:val="single" w:sz="8" w:space="0" w:color="auto"/>
              <w:right w:val="single" w:sz="4" w:space="0" w:color="auto"/>
            </w:tcBorders>
            <w:shd w:val="clear" w:color="auto" w:fill="auto"/>
            <w:noWrap/>
            <w:vAlign w:val="center"/>
            <w:hideMark/>
          </w:tcPr>
          <w:p w14:paraId="28EFB668" w14:textId="020AE360" w:rsidR="00630055" w:rsidRPr="00D01F4D" w:rsidRDefault="00630055" w:rsidP="0014277A">
            <w:pPr>
              <w:rPr>
                <w:rFonts w:cs="Arial"/>
                <w:color w:val="000000"/>
                <w:sz w:val="16"/>
                <w:szCs w:val="16"/>
                <w:lang w:val="en-US" w:eastAsia="en-US"/>
              </w:rPr>
            </w:pPr>
            <w:r>
              <w:rPr>
                <w:rFonts w:cs="Arial"/>
                <w:color w:val="000000"/>
                <w:sz w:val="16"/>
                <w:szCs w:val="16"/>
              </w:rPr>
              <w:t xml:space="preserve"> AUD          165.186 </w:t>
            </w:r>
          </w:p>
        </w:tc>
        <w:tc>
          <w:tcPr>
            <w:tcW w:w="1764" w:type="dxa"/>
            <w:tcBorders>
              <w:top w:val="nil"/>
              <w:left w:val="nil"/>
              <w:bottom w:val="single" w:sz="8" w:space="0" w:color="auto"/>
              <w:right w:val="single" w:sz="8" w:space="0" w:color="auto"/>
            </w:tcBorders>
            <w:shd w:val="clear" w:color="auto" w:fill="auto"/>
            <w:noWrap/>
            <w:vAlign w:val="center"/>
            <w:hideMark/>
          </w:tcPr>
          <w:p w14:paraId="0F35823C" w14:textId="7ADFA14A" w:rsidR="00630055" w:rsidRPr="00D01F4D" w:rsidRDefault="00630055" w:rsidP="0014277A">
            <w:pPr>
              <w:rPr>
                <w:rFonts w:cs="Arial"/>
                <w:color w:val="000000"/>
                <w:sz w:val="16"/>
                <w:szCs w:val="16"/>
                <w:lang w:val="en-US" w:eastAsia="en-US"/>
              </w:rPr>
            </w:pPr>
            <w:r>
              <w:rPr>
                <w:rFonts w:cs="Arial"/>
                <w:color w:val="000000"/>
                <w:sz w:val="16"/>
                <w:szCs w:val="16"/>
              </w:rPr>
              <w:t xml:space="preserve"> AUD     167.994 </w:t>
            </w:r>
          </w:p>
        </w:tc>
      </w:tr>
      <w:tr w:rsidR="00630055" w:rsidRPr="00D01F4D" w14:paraId="01E0E01C" w14:textId="77777777" w:rsidTr="00BF0EEF">
        <w:trPr>
          <w:trHeight w:val="570"/>
          <w:jc w:val="center"/>
        </w:trPr>
        <w:tc>
          <w:tcPr>
            <w:tcW w:w="639" w:type="dxa"/>
            <w:tcBorders>
              <w:top w:val="nil"/>
              <w:left w:val="single" w:sz="8" w:space="0" w:color="auto"/>
              <w:bottom w:val="single" w:sz="8" w:space="0" w:color="auto"/>
              <w:right w:val="single" w:sz="4" w:space="0" w:color="auto"/>
            </w:tcBorders>
            <w:shd w:val="clear" w:color="auto" w:fill="auto"/>
            <w:noWrap/>
            <w:vAlign w:val="center"/>
            <w:hideMark/>
          </w:tcPr>
          <w:p w14:paraId="1B414256" w14:textId="77777777" w:rsidR="00630055" w:rsidRPr="00D01F4D" w:rsidRDefault="00630055" w:rsidP="0014277A">
            <w:pPr>
              <w:rPr>
                <w:rFonts w:cs="Arial"/>
                <w:b/>
                <w:bCs/>
                <w:color w:val="000000"/>
                <w:sz w:val="20"/>
                <w:szCs w:val="20"/>
                <w:lang w:val="en-US" w:eastAsia="en-US"/>
              </w:rPr>
            </w:pPr>
            <w:r w:rsidRPr="00D01F4D">
              <w:rPr>
                <w:rFonts w:cs="Arial"/>
                <w:b/>
                <w:bCs/>
                <w:color w:val="000000"/>
                <w:sz w:val="20"/>
                <w:szCs w:val="20"/>
                <w:lang w:val="en-US" w:eastAsia="en-US"/>
              </w:rPr>
              <w:t>BS</w:t>
            </w:r>
          </w:p>
        </w:tc>
        <w:tc>
          <w:tcPr>
            <w:tcW w:w="2353" w:type="dxa"/>
            <w:tcBorders>
              <w:top w:val="nil"/>
              <w:left w:val="nil"/>
              <w:bottom w:val="single" w:sz="8" w:space="0" w:color="auto"/>
              <w:right w:val="single" w:sz="4" w:space="0" w:color="auto"/>
            </w:tcBorders>
            <w:shd w:val="clear" w:color="auto" w:fill="auto"/>
            <w:vAlign w:val="center"/>
            <w:hideMark/>
          </w:tcPr>
          <w:p w14:paraId="319A98E3" w14:textId="77777777" w:rsidR="00630055" w:rsidRPr="00D01F4D" w:rsidRDefault="00630055" w:rsidP="0014277A">
            <w:pPr>
              <w:rPr>
                <w:rFonts w:cs="Arial"/>
                <w:color w:val="000000"/>
                <w:sz w:val="20"/>
                <w:szCs w:val="20"/>
                <w:lang w:val="en-US" w:eastAsia="en-US"/>
              </w:rPr>
            </w:pPr>
            <w:r w:rsidRPr="00D01F4D">
              <w:rPr>
                <w:rFonts w:cs="Arial"/>
                <w:color w:val="000000"/>
                <w:sz w:val="20"/>
                <w:szCs w:val="20"/>
                <w:lang w:val="en-US" w:eastAsia="en-US"/>
              </w:rPr>
              <w:t>Cost to the MBS of associated items</w:t>
            </w:r>
          </w:p>
        </w:tc>
        <w:tc>
          <w:tcPr>
            <w:tcW w:w="1107" w:type="dxa"/>
            <w:tcBorders>
              <w:top w:val="nil"/>
              <w:left w:val="nil"/>
              <w:bottom w:val="single" w:sz="8" w:space="0" w:color="auto"/>
              <w:right w:val="single" w:sz="4" w:space="0" w:color="auto"/>
            </w:tcBorders>
            <w:shd w:val="clear" w:color="auto" w:fill="auto"/>
            <w:vAlign w:val="center"/>
            <w:hideMark/>
          </w:tcPr>
          <w:p w14:paraId="12E8066C" w14:textId="77777777" w:rsidR="00630055" w:rsidRPr="00D01F4D" w:rsidRDefault="00630055" w:rsidP="0014277A">
            <w:pPr>
              <w:rPr>
                <w:rFonts w:cs="Arial"/>
                <w:color w:val="000000"/>
                <w:sz w:val="16"/>
                <w:szCs w:val="16"/>
                <w:lang w:val="en-US" w:eastAsia="en-US"/>
              </w:rPr>
            </w:pPr>
            <w:r>
              <w:rPr>
                <w:rFonts w:cs="Arial"/>
                <w:color w:val="000000"/>
                <w:sz w:val="16"/>
                <w:szCs w:val="16"/>
              </w:rPr>
              <w:t>Row AY</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6A4B1B6C" w14:textId="36068043" w:rsidR="00630055" w:rsidRPr="00D01F4D" w:rsidRDefault="00630055" w:rsidP="0014277A">
            <w:pPr>
              <w:rPr>
                <w:rFonts w:cs="Arial"/>
                <w:color w:val="000000"/>
                <w:sz w:val="16"/>
                <w:szCs w:val="16"/>
                <w:lang w:val="en-US" w:eastAsia="en-US"/>
              </w:rPr>
            </w:pPr>
            <w:r>
              <w:rPr>
                <w:rFonts w:cs="Arial"/>
                <w:color w:val="000000"/>
                <w:sz w:val="16"/>
                <w:szCs w:val="16"/>
              </w:rPr>
              <w:t xml:space="preserve"> AUD          133.985 </w:t>
            </w:r>
          </w:p>
        </w:tc>
        <w:tc>
          <w:tcPr>
            <w:tcW w:w="1664" w:type="dxa"/>
            <w:tcBorders>
              <w:top w:val="single" w:sz="4" w:space="0" w:color="auto"/>
              <w:left w:val="nil"/>
              <w:bottom w:val="single" w:sz="8" w:space="0" w:color="auto"/>
              <w:right w:val="single" w:sz="4" w:space="0" w:color="auto"/>
            </w:tcBorders>
            <w:shd w:val="clear" w:color="auto" w:fill="auto"/>
            <w:noWrap/>
            <w:vAlign w:val="center"/>
            <w:hideMark/>
          </w:tcPr>
          <w:p w14:paraId="5E67F54B" w14:textId="0D19A9F1" w:rsidR="00630055" w:rsidRPr="00D01F4D" w:rsidRDefault="00630055" w:rsidP="0014277A">
            <w:pPr>
              <w:rPr>
                <w:rFonts w:cs="Arial"/>
                <w:color w:val="000000"/>
                <w:sz w:val="16"/>
                <w:szCs w:val="16"/>
                <w:lang w:val="en-US" w:eastAsia="en-US"/>
              </w:rPr>
            </w:pPr>
            <w:r>
              <w:rPr>
                <w:rFonts w:cs="Arial"/>
                <w:color w:val="000000"/>
                <w:sz w:val="16"/>
                <w:szCs w:val="16"/>
              </w:rPr>
              <w:t xml:space="preserve"> AUD          136.328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553A3023" w14:textId="0DDFAF07" w:rsidR="00630055" w:rsidRPr="00D01F4D" w:rsidRDefault="00630055" w:rsidP="0014277A">
            <w:pPr>
              <w:rPr>
                <w:rFonts w:cs="Arial"/>
                <w:color w:val="000000"/>
                <w:sz w:val="16"/>
                <w:szCs w:val="16"/>
                <w:lang w:val="en-US" w:eastAsia="en-US"/>
              </w:rPr>
            </w:pPr>
            <w:r>
              <w:rPr>
                <w:rFonts w:cs="Arial"/>
                <w:color w:val="000000"/>
                <w:sz w:val="16"/>
                <w:szCs w:val="16"/>
              </w:rPr>
              <w:t xml:space="preserve"> AUD          138.652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34558C27" w14:textId="138DB66C" w:rsidR="00630055" w:rsidRPr="00D01F4D" w:rsidRDefault="00630055" w:rsidP="0014277A">
            <w:pPr>
              <w:rPr>
                <w:rFonts w:cs="Arial"/>
                <w:color w:val="000000"/>
                <w:sz w:val="16"/>
                <w:szCs w:val="16"/>
                <w:lang w:val="en-US" w:eastAsia="en-US"/>
              </w:rPr>
            </w:pPr>
            <w:r>
              <w:rPr>
                <w:rFonts w:cs="Arial"/>
                <w:color w:val="000000"/>
                <w:sz w:val="16"/>
                <w:szCs w:val="16"/>
              </w:rPr>
              <w:t xml:space="preserve"> AUD          140.957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50EE7B0D" w14:textId="0360C5F2" w:rsidR="00630055" w:rsidRPr="00D01F4D" w:rsidRDefault="00630055" w:rsidP="0014277A">
            <w:pPr>
              <w:rPr>
                <w:rFonts w:cs="Arial"/>
                <w:color w:val="000000"/>
                <w:sz w:val="16"/>
                <w:szCs w:val="16"/>
                <w:lang w:val="en-US" w:eastAsia="en-US"/>
              </w:rPr>
            </w:pPr>
            <w:r>
              <w:rPr>
                <w:rFonts w:cs="Arial"/>
                <w:color w:val="000000"/>
                <w:sz w:val="16"/>
                <w:szCs w:val="16"/>
              </w:rPr>
              <w:t xml:space="preserve"> AUD          143.227 </w:t>
            </w:r>
          </w:p>
        </w:tc>
        <w:tc>
          <w:tcPr>
            <w:tcW w:w="1764" w:type="dxa"/>
            <w:tcBorders>
              <w:top w:val="single" w:sz="4" w:space="0" w:color="auto"/>
              <w:left w:val="nil"/>
              <w:bottom w:val="single" w:sz="8" w:space="0" w:color="auto"/>
              <w:right w:val="single" w:sz="8" w:space="0" w:color="auto"/>
            </w:tcBorders>
            <w:shd w:val="clear" w:color="auto" w:fill="auto"/>
            <w:noWrap/>
            <w:vAlign w:val="center"/>
            <w:hideMark/>
          </w:tcPr>
          <w:p w14:paraId="67F3751E" w14:textId="54ECAB23" w:rsidR="00630055" w:rsidRPr="00D01F4D" w:rsidRDefault="00630055" w:rsidP="0014277A">
            <w:pPr>
              <w:rPr>
                <w:rFonts w:cs="Arial"/>
                <w:color w:val="000000"/>
                <w:sz w:val="16"/>
                <w:szCs w:val="16"/>
                <w:lang w:val="en-US" w:eastAsia="en-US"/>
              </w:rPr>
            </w:pPr>
            <w:r>
              <w:rPr>
                <w:rFonts w:cs="Arial"/>
                <w:color w:val="000000"/>
                <w:sz w:val="16"/>
                <w:szCs w:val="16"/>
              </w:rPr>
              <w:t xml:space="preserve"> AUD     145.662 </w:t>
            </w:r>
          </w:p>
        </w:tc>
      </w:tr>
      <w:tr w:rsidR="00630055" w:rsidRPr="00D01F4D" w14:paraId="4402302D" w14:textId="77777777" w:rsidTr="00BF0EEF">
        <w:trPr>
          <w:trHeight w:val="660"/>
          <w:jc w:val="center"/>
        </w:trPr>
        <w:tc>
          <w:tcPr>
            <w:tcW w:w="639"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2B024E57" w14:textId="77777777" w:rsidR="00630055" w:rsidRPr="00D01F4D" w:rsidRDefault="00630055" w:rsidP="0014277A">
            <w:pPr>
              <w:rPr>
                <w:rFonts w:cs="Arial"/>
                <w:b/>
                <w:bCs/>
                <w:color w:val="000000"/>
                <w:sz w:val="20"/>
                <w:szCs w:val="20"/>
                <w:lang w:val="en-US" w:eastAsia="en-US"/>
              </w:rPr>
            </w:pPr>
            <w:r w:rsidRPr="00D01F4D">
              <w:rPr>
                <w:rFonts w:cs="Arial"/>
                <w:b/>
                <w:bCs/>
                <w:color w:val="000000"/>
                <w:sz w:val="20"/>
                <w:szCs w:val="20"/>
                <w:lang w:val="en-US" w:eastAsia="en-US"/>
              </w:rPr>
              <w:t>BT</w:t>
            </w:r>
          </w:p>
        </w:tc>
        <w:tc>
          <w:tcPr>
            <w:tcW w:w="2353" w:type="dxa"/>
            <w:tcBorders>
              <w:top w:val="single" w:sz="4" w:space="0" w:color="auto"/>
              <w:left w:val="nil"/>
              <w:bottom w:val="single" w:sz="8" w:space="0" w:color="auto"/>
              <w:right w:val="single" w:sz="4" w:space="0" w:color="auto"/>
            </w:tcBorders>
            <w:shd w:val="clear" w:color="auto" w:fill="auto"/>
            <w:vAlign w:val="center"/>
            <w:hideMark/>
          </w:tcPr>
          <w:p w14:paraId="128433FB" w14:textId="77777777" w:rsidR="00630055" w:rsidRPr="00D01F4D" w:rsidRDefault="00630055" w:rsidP="0014277A">
            <w:pPr>
              <w:rPr>
                <w:rFonts w:cs="Arial"/>
                <w:b/>
                <w:bCs/>
                <w:color w:val="000000"/>
                <w:sz w:val="20"/>
                <w:szCs w:val="20"/>
                <w:lang w:val="en-US" w:eastAsia="en-US"/>
              </w:rPr>
            </w:pPr>
            <w:r w:rsidRPr="00D01F4D">
              <w:rPr>
                <w:rFonts w:cs="Arial"/>
                <w:b/>
                <w:bCs/>
                <w:color w:val="000000"/>
                <w:sz w:val="20"/>
                <w:szCs w:val="20"/>
                <w:lang w:val="en-US" w:eastAsia="en-US"/>
              </w:rPr>
              <w:t>Total costs to the MBS</w:t>
            </w:r>
          </w:p>
        </w:tc>
        <w:tc>
          <w:tcPr>
            <w:tcW w:w="1107" w:type="dxa"/>
            <w:tcBorders>
              <w:top w:val="single" w:sz="4" w:space="0" w:color="auto"/>
              <w:left w:val="nil"/>
              <w:bottom w:val="single" w:sz="8" w:space="0" w:color="auto"/>
              <w:right w:val="single" w:sz="4" w:space="0" w:color="auto"/>
            </w:tcBorders>
            <w:shd w:val="clear" w:color="auto" w:fill="auto"/>
            <w:vAlign w:val="center"/>
            <w:hideMark/>
          </w:tcPr>
          <w:p w14:paraId="74CADC87" w14:textId="77777777" w:rsidR="00630055" w:rsidRPr="00D01F4D" w:rsidRDefault="00630055" w:rsidP="0014277A">
            <w:pPr>
              <w:rPr>
                <w:rFonts w:cs="Arial"/>
                <w:color w:val="000000"/>
                <w:sz w:val="16"/>
                <w:szCs w:val="16"/>
                <w:lang w:val="en-US" w:eastAsia="en-US"/>
              </w:rPr>
            </w:pPr>
            <w:r>
              <w:rPr>
                <w:rFonts w:cs="Arial"/>
                <w:color w:val="000000"/>
                <w:sz w:val="16"/>
                <w:szCs w:val="16"/>
              </w:rPr>
              <w:t>BR + BS</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257B17AA" w14:textId="1D225697" w:rsidR="00630055" w:rsidRPr="00D01F4D" w:rsidRDefault="00630055" w:rsidP="0014277A">
            <w:pPr>
              <w:rPr>
                <w:rFonts w:cs="Arial"/>
                <w:color w:val="000000"/>
                <w:sz w:val="16"/>
                <w:szCs w:val="16"/>
                <w:lang w:val="en-US" w:eastAsia="en-US"/>
              </w:rPr>
            </w:pPr>
            <w:r>
              <w:rPr>
                <w:rFonts w:cs="Arial"/>
                <w:color w:val="000000"/>
                <w:sz w:val="16"/>
                <w:szCs w:val="16"/>
              </w:rPr>
              <w:t xml:space="preserve"> AUD          288.511 </w:t>
            </w:r>
          </w:p>
        </w:tc>
        <w:tc>
          <w:tcPr>
            <w:tcW w:w="1664" w:type="dxa"/>
            <w:tcBorders>
              <w:top w:val="single" w:sz="4" w:space="0" w:color="auto"/>
              <w:left w:val="nil"/>
              <w:bottom w:val="single" w:sz="8" w:space="0" w:color="auto"/>
              <w:right w:val="single" w:sz="4" w:space="0" w:color="auto"/>
            </w:tcBorders>
            <w:shd w:val="clear" w:color="auto" w:fill="auto"/>
            <w:noWrap/>
            <w:vAlign w:val="center"/>
            <w:hideMark/>
          </w:tcPr>
          <w:p w14:paraId="7E478888" w14:textId="18679DBA" w:rsidR="00630055" w:rsidRPr="00D01F4D" w:rsidRDefault="00630055" w:rsidP="0014277A">
            <w:pPr>
              <w:rPr>
                <w:rFonts w:cs="Arial"/>
                <w:color w:val="000000"/>
                <w:sz w:val="16"/>
                <w:szCs w:val="16"/>
                <w:lang w:val="en-US" w:eastAsia="en-US"/>
              </w:rPr>
            </w:pPr>
            <w:r>
              <w:rPr>
                <w:rFonts w:cs="Arial"/>
                <w:color w:val="000000"/>
                <w:sz w:val="16"/>
                <w:szCs w:val="16"/>
              </w:rPr>
              <w:t xml:space="preserve"> AUD          293.557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194DB6F4" w14:textId="4B84F726" w:rsidR="00630055" w:rsidRPr="00D01F4D" w:rsidRDefault="00630055" w:rsidP="0014277A">
            <w:pPr>
              <w:rPr>
                <w:rFonts w:cs="Arial"/>
                <w:color w:val="000000"/>
                <w:sz w:val="16"/>
                <w:szCs w:val="16"/>
                <w:lang w:val="en-US" w:eastAsia="en-US"/>
              </w:rPr>
            </w:pPr>
            <w:r>
              <w:rPr>
                <w:rFonts w:cs="Arial"/>
                <w:color w:val="000000"/>
                <w:sz w:val="16"/>
                <w:szCs w:val="16"/>
              </w:rPr>
              <w:t xml:space="preserve"> AUD          298.561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5570778B" w14:textId="72056570" w:rsidR="00630055" w:rsidRPr="00D01F4D" w:rsidRDefault="00630055" w:rsidP="0014277A">
            <w:pPr>
              <w:rPr>
                <w:rFonts w:cs="Arial"/>
                <w:color w:val="000000"/>
                <w:sz w:val="16"/>
                <w:szCs w:val="16"/>
                <w:lang w:val="en-US" w:eastAsia="en-US"/>
              </w:rPr>
            </w:pPr>
            <w:r>
              <w:rPr>
                <w:rFonts w:cs="Arial"/>
                <w:color w:val="000000"/>
                <w:sz w:val="16"/>
                <w:szCs w:val="16"/>
              </w:rPr>
              <w:t xml:space="preserve"> AUD          303.525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56A70595" w14:textId="39116488" w:rsidR="00630055" w:rsidRPr="00D01F4D" w:rsidRDefault="00630055" w:rsidP="0014277A">
            <w:pPr>
              <w:rPr>
                <w:rFonts w:cs="Arial"/>
                <w:color w:val="000000"/>
                <w:sz w:val="16"/>
                <w:szCs w:val="16"/>
                <w:lang w:val="en-US" w:eastAsia="en-US"/>
              </w:rPr>
            </w:pPr>
            <w:r>
              <w:rPr>
                <w:rFonts w:cs="Arial"/>
                <w:color w:val="000000"/>
                <w:sz w:val="16"/>
                <w:szCs w:val="16"/>
              </w:rPr>
              <w:t xml:space="preserve"> AUD          308.414 </w:t>
            </w:r>
          </w:p>
        </w:tc>
        <w:tc>
          <w:tcPr>
            <w:tcW w:w="1764" w:type="dxa"/>
            <w:tcBorders>
              <w:top w:val="single" w:sz="4" w:space="0" w:color="auto"/>
              <w:left w:val="nil"/>
              <w:bottom w:val="single" w:sz="8" w:space="0" w:color="auto"/>
              <w:right w:val="single" w:sz="8" w:space="0" w:color="auto"/>
            </w:tcBorders>
            <w:shd w:val="clear" w:color="auto" w:fill="auto"/>
            <w:noWrap/>
            <w:vAlign w:val="center"/>
            <w:hideMark/>
          </w:tcPr>
          <w:p w14:paraId="608E0928" w14:textId="237DB70E" w:rsidR="00630055" w:rsidRPr="00D01F4D" w:rsidRDefault="00630055" w:rsidP="0014277A">
            <w:pPr>
              <w:rPr>
                <w:rFonts w:cs="Arial"/>
                <w:color w:val="000000"/>
                <w:sz w:val="16"/>
                <w:szCs w:val="16"/>
                <w:lang w:val="en-US" w:eastAsia="en-US"/>
              </w:rPr>
            </w:pPr>
            <w:r>
              <w:rPr>
                <w:rFonts w:cs="Arial"/>
                <w:color w:val="000000"/>
                <w:sz w:val="16"/>
                <w:szCs w:val="16"/>
              </w:rPr>
              <w:t xml:space="preserve"> AUD     313.657 </w:t>
            </w:r>
          </w:p>
        </w:tc>
      </w:tr>
      <w:tr w:rsidR="00630055" w:rsidRPr="00D01F4D" w14:paraId="0C22C859" w14:textId="77777777" w:rsidTr="00BF0EEF">
        <w:trPr>
          <w:trHeight w:val="465"/>
          <w:jc w:val="center"/>
        </w:trPr>
        <w:tc>
          <w:tcPr>
            <w:tcW w:w="639" w:type="dxa"/>
            <w:tcBorders>
              <w:top w:val="single" w:sz="4" w:space="0" w:color="auto"/>
              <w:left w:val="single" w:sz="8" w:space="0" w:color="auto"/>
              <w:bottom w:val="nil"/>
              <w:right w:val="single" w:sz="4" w:space="0" w:color="auto"/>
            </w:tcBorders>
            <w:shd w:val="clear" w:color="auto" w:fill="auto"/>
            <w:noWrap/>
            <w:vAlign w:val="center"/>
            <w:hideMark/>
          </w:tcPr>
          <w:p w14:paraId="22FF16BA" w14:textId="77777777" w:rsidR="00630055" w:rsidRPr="00D01F4D" w:rsidRDefault="00630055" w:rsidP="0014277A">
            <w:pPr>
              <w:rPr>
                <w:rFonts w:cs="Arial"/>
                <w:b/>
                <w:bCs/>
                <w:color w:val="000000"/>
                <w:sz w:val="20"/>
                <w:szCs w:val="20"/>
                <w:lang w:val="en-US" w:eastAsia="en-US"/>
              </w:rPr>
            </w:pPr>
            <w:r w:rsidRPr="00D01F4D">
              <w:rPr>
                <w:rFonts w:cs="Arial"/>
                <w:b/>
                <w:bCs/>
                <w:color w:val="000000"/>
                <w:sz w:val="20"/>
                <w:szCs w:val="20"/>
                <w:lang w:val="en-US" w:eastAsia="en-US"/>
              </w:rPr>
              <w:t>BU</w:t>
            </w:r>
          </w:p>
        </w:tc>
        <w:tc>
          <w:tcPr>
            <w:tcW w:w="2353" w:type="dxa"/>
            <w:tcBorders>
              <w:top w:val="nil"/>
              <w:left w:val="nil"/>
              <w:bottom w:val="single" w:sz="4" w:space="0" w:color="auto"/>
              <w:right w:val="nil"/>
            </w:tcBorders>
            <w:shd w:val="clear" w:color="auto" w:fill="auto"/>
            <w:vAlign w:val="center"/>
            <w:hideMark/>
          </w:tcPr>
          <w:p w14:paraId="2F179205" w14:textId="77777777" w:rsidR="00630055" w:rsidRPr="00D01F4D" w:rsidRDefault="00630055" w:rsidP="0014277A">
            <w:pPr>
              <w:rPr>
                <w:rFonts w:cs="Arial"/>
                <w:color w:val="000000"/>
                <w:sz w:val="20"/>
                <w:szCs w:val="20"/>
                <w:lang w:val="en-US" w:eastAsia="en-US"/>
              </w:rPr>
            </w:pPr>
            <w:r w:rsidRPr="00D01F4D">
              <w:rPr>
                <w:rFonts w:cs="Arial"/>
                <w:color w:val="000000"/>
                <w:sz w:val="20"/>
                <w:szCs w:val="20"/>
                <w:lang w:val="en-US" w:eastAsia="en-US"/>
              </w:rPr>
              <w:t>Total non-MBS costs</w:t>
            </w:r>
          </w:p>
        </w:tc>
        <w:tc>
          <w:tcPr>
            <w:tcW w:w="1107"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3649A95A" w14:textId="77777777" w:rsidR="00630055" w:rsidRPr="00D01F4D" w:rsidRDefault="00630055" w:rsidP="0014277A">
            <w:pPr>
              <w:rPr>
                <w:rFonts w:cs="Arial"/>
                <w:color w:val="000000"/>
                <w:sz w:val="16"/>
                <w:szCs w:val="16"/>
                <w:lang w:val="en-US" w:eastAsia="en-US"/>
              </w:rPr>
            </w:pPr>
            <w:r>
              <w:rPr>
                <w:rFonts w:cs="Arial"/>
                <w:color w:val="000000"/>
                <w:sz w:val="16"/>
                <w:szCs w:val="16"/>
              </w:rPr>
              <w:t>Row BK</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42F2ABE0" w14:textId="5D45FB2F" w:rsidR="00630055" w:rsidRPr="00D01F4D" w:rsidRDefault="00630055" w:rsidP="0014277A">
            <w:pPr>
              <w:rPr>
                <w:rFonts w:cs="Arial"/>
                <w:color w:val="000000"/>
                <w:sz w:val="16"/>
                <w:szCs w:val="16"/>
                <w:lang w:val="en-US" w:eastAsia="en-US"/>
              </w:rPr>
            </w:pPr>
            <w:r>
              <w:rPr>
                <w:rFonts w:cs="Arial"/>
                <w:color w:val="000000"/>
                <w:sz w:val="16"/>
                <w:szCs w:val="16"/>
              </w:rPr>
              <w:t xml:space="preserve"> AUD          573.785 </w:t>
            </w:r>
          </w:p>
        </w:tc>
        <w:tc>
          <w:tcPr>
            <w:tcW w:w="1664" w:type="dxa"/>
            <w:tcBorders>
              <w:top w:val="single" w:sz="4" w:space="0" w:color="auto"/>
              <w:left w:val="nil"/>
              <w:bottom w:val="single" w:sz="8" w:space="0" w:color="auto"/>
              <w:right w:val="single" w:sz="4" w:space="0" w:color="auto"/>
            </w:tcBorders>
            <w:shd w:val="clear" w:color="auto" w:fill="auto"/>
            <w:noWrap/>
            <w:vAlign w:val="center"/>
            <w:hideMark/>
          </w:tcPr>
          <w:p w14:paraId="72B88378" w14:textId="123D75C4" w:rsidR="00630055" w:rsidRPr="00D01F4D" w:rsidRDefault="00630055" w:rsidP="0014277A">
            <w:pPr>
              <w:rPr>
                <w:rFonts w:cs="Arial"/>
                <w:color w:val="000000"/>
                <w:sz w:val="16"/>
                <w:szCs w:val="16"/>
                <w:lang w:val="en-US" w:eastAsia="en-US"/>
              </w:rPr>
            </w:pPr>
            <w:r>
              <w:rPr>
                <w:rFonts w:cs="Arial"/>
                <w:color w:val="000000"/>
                <w:sz w:val="16"/>
                <w:szCs w:val="16"/>
              </w:rPr>
              <w:t xml:space="preserve"> AUD          583.819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2B987D4B" w14:textId="374CAE66" w:rsidR="00630055" w:rsidRPr="00D01F4D" w:rsidRDefault="00630055" w:rsidP="0014277A">
            <w:pPr>
              <w:rPr>
                <w:rFonts w:cs="Arial"/>
                <w:color w:val="000000"/>
                <w:sz w:val="16"/>
                <w:szCs w:val="16"/>
                <w:lang w:val="en-US" w:eastAsia="en-US"/>
              </w:rPr>
            </w:pPr>
            <w:r>
              <w:rPr>
                <w:rFonts w:cs="Arial"/>
                <w:color w:val="000000"/>
                <w:sz w:val="16"/>
                <w:szCs w:val="16"/>
              </w:rPr>
              <w:t xml:space="preserve"> AUD          593.772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140B72E7" w14:textId="78387C3A" w:rsidR="00630055" w:rsidRPr="00D01F4D" w:rsidRDefault="00630055" w:rsidP="0014277A">
            <w:pPr>
              <w:rPr>
                <w:rFonts w:cs="Arial"/>
                <w:color w:val="000000"/>
                <w:sz w:val="16"/>
                <w:szCs w:val="16"/>
                <w:lang w:val="en-US" w:eastAsia="en-US"/>
              </w:rPr>
            </w:pPr>
            <w:r>
              <w:rPr>
                <w:rFonts w:cs="Arial"/>
                <w:color w:val="000000"/>
                <w:sz w:val="16"/>
                <w:szCs w:val="16"/>
              </w:rPr>
              <w:t xml:space="preserve"> AUD          603.644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1643B46E" w14:textId="446F0BD6" w:rsidR="00630055" w:rsidRPr="00D01F4D" w:rsidRDefault="00630055" w:rsidP="0014277A">
            <w:pPr>
              <w:rPr>
                <w:rFonts w:cs="Arial"/>
                <w:color w:val="000000"/>
                <w:sz w:val="16"/>
                <w:szCs w:val="16"/>
                <w:lang w:val="en-US" w:eastAsia="en-US"/>
              </w:rPr>
            </w:pPr>
            <w:r>
              <w:rPr>
                <w:rFonts w:cs="Arial"/>
                <w:color w:val="000000"/>
                <w:sz w:val="16"/>
                <w:szCs w:val="16"/>
              </w:rPr>
              <w:t xml:space="preserve"> AUD          613.366 </w:t>
            </w:r>
          </w:p>
        </w:tc>
        <w:tc>
          <w:tcPr>
            <w:tcW w:w="1764" w:type="dxa"/>
            <w:tcBorders>
              <w:top w:val="single" w:sz="4" w:space="0" w:color="auto"/>
              <w:left w:val="nil"/>
              <w:bottom w:val="single" w:sz="8" w:space="0" w:color="auto"/>
              <w:right w:val="single" w:sz="8" w:space="0" w:color="auto"/>
            </w:tcBorders>
            <w:shd w:val="clear" w:color="auto" w:fill="auto"/>
            <w:noWrap/>
            <w:vAlign w:val="center"/>
            <w:hideMark/>
          </w:tcPr>
          <w:p w14:paraId="3E6D8F64" w14:textId="0DC2690A" w:rsidR="00630055" w:rsidRPr="00D01F4D" w:rsidRDefault="00630055" w:rsidP="0014277A">
            <w:pPr>
              <w:rPr>
                <w:rFonts w:cs="Arial"/>
                <w:color w:val="000000"/>
                <w:sz w:val="16"/>
                <w:szCs w:val="16"/>
                <w:lang w:val="en-US" w:eastAsia="en-US"/>
              </w:rPr>
            </w:pPr>
            <w:r>
              <w:rPr>
                <w:rFonts w:cs="Arial"/>
                <w:color w:val="000000"/>
                <w:sz w:val="16"/>
                <w:szCs w:val="16"/>
              </w:rPr>
              <w:t xml:space="preserve"> AUD     623.793 </w:t>
            </w:r>
          </w:p>
        </w:tc>
      </w:tr>
      <w:tr w:rsidR="00630055" w:rsidRPr="00D01F4D" w14:paraId="15725278" w14:textId="77777777" w:rsidTr="00BF0EEF">
        <w:trPr>
          <w:trHeight w:val="865"/>
          <w:jc w:val="center"/>
        </w:trPr>
        <w:tc>
          <w:tcPr>
            <w:tcW w:w="639"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2D6CA9B8" w14:textId="77777777" w:rsidR="00630055" w:rsidRPr="00D01F4D" w:rsidRDefault="00630055" w:rsidP="0014277A">
            <w:pPr>
              <w:rPr>
                <w:rFonts w:cs="Arial"/>
                <w:b/>
                <w:bCs/>
                <w:color w:val="000000"/>
                <w:sz w:val="20"/>
                <w:szCs w:val="20"/>
                <w:lang w:val="en-US" w:eastAsia="en-US"/>
              </w:rPr>
            </w:pPr>
            <w:r w:rsidRPr="00D01F4D">
              <w:rPr>
                <w:rFonts w:cs="Arial"/>
                <w:b/>
                <w:bCs/>
                <w:color w:val="000000"/>
                <w:sz w:val="20"/>
                <w:szCs w:val="20"/>
                <w:lang w:val="en-US" w:eastAsia="en-US"/>
              </w:rPr>
              <w:t>BV</w:t>
            </w:r>
          </w:p>
        </w:tc>
        <w:tc>
          <w:tcPr>
            <w:tcW w:w="2353" w:type="dxa"/>
            <w:tcBorders>
              <w:top w:val="nil"/>
              <w:left w:val="nil"/>
              <w:bottom w:val="single" w:sz="8" w:space="0" w:color="auto"/>
              <w:right w:val="nil"/>
            </w:tcBorders>
            <w:shd w:val="clear" w:color="auto" w:fill="auto"/>
            <w:vAlign w:val="center"/>
            <w:hideMark/>
          </w:tcPr>
          <w:p w14:paraId="3CB7B1D7" w14:textId="77777777" w:rsidR="00630055" w:rsidRPr="00D01F4D" w:rsidRDefault="00630055" w:rsidP="0014277A">
            <w:pPr>
              <w:rPr>
                <w:rFonts w:cs="Arial"/>
                <w:b/>
                <w:bCs/>
                <w:color w:val="000000"/>
                <w:sz w:val="20"/>
                <w:szCs w:val="20"/>
                <w:lang w:val="en-US" w:eastAsia="en-US"/>
              </w:rPr>
            </w:pPr>
            <w:r w:rsidRPr="00D01F4D">
              <w:rPr>
                <w:rFonts w:cs="Arial"/>
                <w:b/>
                <w:bCs/>
                <w:color w:val="000000"/>
                <w:sz w:val="20"/>
                <w:szCs w:val="20"/>
                <w:lang w:val="en-US" w:eastAsia="en-US"/>
              </w:rPr>
              <w:t>Overall total costs of the proposed intervention</w:t>
            </w:r>
          </w:p>
        </w:tc>
        <w:tc>
          <w:tcPr>
            <w:tcW w:w="1107"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6E2E4F35" w14:textId="77777777" w:rsidR="00630055" w:rsidRPr="00D01F4D" w:rsidRDefault="00630055" w:rsidP="0014277A">
            <w:pPr>
              <w:rPr>
                <w:rFonts w:cs="Arial"/>
                <w:color w:val="000000"/>
                <w:sz w:val="16"/>
                <w:szCs w:val="16"/>
                <w:lang w:val="en-US" w:eastAsia="en-US"/>
              </w:rPr>
            </w:pPr>
            <w:r>
              <w:rPr>
                <w:rFonts w:cs="Arial"/>
                <w:color w:val="000000"/>
                <w:sz w:val="16"/>
                <w:szCs w:val="16"/>
              </w:rPr>
              <w:t>BU + BT</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01A196C0" w14:textId="3A649445" w:rsidR="00630055" w:rsidRPr="00D01F4D" w:rsidRDefault="00630055" w:rsidP="0014277A">
            <w:pPr>
              <w:rPr>
                <w:rFonts w:cs="Arial"/>
                <w:b/>
                <w:bCs/>
                <w:color w:val="000000"/>
                <w:sz w:val="16"/>
                <w:szCs w:val="16"/>
                <w:lang w:val="en-US" w:eastAsia="en-US"/>
              </w:rPr>
            </w:pPr>
            <w:r>
              <w:rPr>
                <w:rFonts w:cs="Arial"/>
                <w:b/>
                <w:bCs/>
                <w:color w:val="000000"/>
                <w:sz w:val="16"/>
                <w:szCs w:val="16"/>
              </w:rPr>
              <w:t xml:space="preserve"> AUD          862.296 </w:t>
            </w:r>
          </w:p>
        </w:tc>
        <w:tc>
          <w:tcPr>
            <w:tcW w:w="1664" w:type="dxa"/>
            <w:tcBorders>
              <w:top w:val="single" w:sz="4" w:space="0" w:color="auto"/>
              <w:left w:val="nil"/>
              <w:bottom w:val="single" w:sz="8" w:space="0" w:color="auto"/>
              <w:right w:val="single" w:sz="4" w:space="0" w:color="auto"/>
            </w:tcBorders>
            <w:shd w:val="clear" w:color="auto" w:fill="auto"/>
            <w:noWrap/>
            <w:vAlign w:val="center"/>
            <w:hideMark/>
          </w:tcPr>
          <w:p w14:paraId="2F20E5D8" w14:textId="6AA4B231" w:rsidR="00630055" w:rsidRPr="00D01F4D" w:rsidRDefault="00630055" w:rsidP="0014277A">
            <w:pPr>
              <w:rPr>
                <w:rFonts w:cs="Arial"/>
                <w:b/>
                <w:bCs/>
                <w:color w:val="000000"/>
                <w:sz w:val="16"/>
                <w:szCs w:val="16"/>
                <w:lang w:val="en-US" w:eastAsia="en-US"/>
              </w:rPr>
            </w:pPr>
            <w:r>
              <w:rPr>
                <w:rFonts w:cs="Arial"/>
                <w:b/>
                <w:bCs/>
                <w:color w:val="000000"/>
                <w:sz w:val="16"/>
                <w:szCs w:val="16"/>
              </w:rPr>
              <w:t xml:space="preserve"> AUD          877.376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1C1E5BC0" w14:textId="149A104D" w:rsidR="00630055" w:rsidRPr="00D01F4D" w:rsidRDefault="00630055" w:rsidP="0014277A">
            <w:pPr>
              <w:rPr>
                <w:rFonts w:cs="Arial"/>
                <w:b/>
                <w:bCs/>
                <w:color w:val="000000"/>
                <w:sz w:val="16"/>
                <w:szCs w:val="16"/>
                <w:lang w:val="en-US" w:eastAsia="en-US"/>
              </w:rPr>
            </w:pPr>
            <w:r>
              <w:rPr>
                <w:rFonts w:cs="Arial"/>
                <w:b/>
                <w:bCs/>
                <w:color w:val="000000"/>
                <w:sz w:val="16"/>
                <w:szCs w:val="16"/>
              </w:rPr>
              <w:t xml:space="preserve"> AUD          892.333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53B29048" w14:textId="6778BE2C" w:rsidR="00630055" w:rsidRPr="00D01F4D" w:rsidRDefault="00630055" w:rsidP="0014277A">
            <w:pPr>
              <w:rPr>
                <w:rFonts w:cs="Arial"/>
                <w:b/>
                <w:bCs/>
                <w:color w:val="000000"/>
                <w:sz w:val="16"/>
                <w:szCs w:val="16"/>
                <w:lang w:val="en-US" w:eastAsia="en-US"/>
              </w:rPr>
            </w:pPr>
            <w:r>
              <w:rPr>
                <w:rFonts w:cs="Arial"/>
                <w:b/>
                <w:bCs/>
                <w:color w:val="000000"/>
                <w:sz w:val="16"/>
                <w:szCs w:val="16"/>
              </w:rPr>
              <w:t xml:space="preserve"> AUD          907.169 </w:t>
            </w:r>
          </w:p>
        </w:tc>
        <w:tc>
          <w:tcPr>
            <w:tcW w:w="1764" w:type="dxa"/>
            <w:tcBorders>
              <w:top w:val="single" w:sz="4" w:space="0" w:color="auto"/>
              <w:left w:val="nil"/>
              <w:bottom w:val="single" w:sz="8" w:space="0" w:color="auto"/>
              <w:right w:val="single" w:sz="4" w:space="0" w:color="auto"/>
            </w:tcBorders>
            <w:shd w:val="clear" w:color="auto" w:fill="auto"/>
            <w:noWrap/>
            <w:vAlign w:val="center"/>
            <w:hideMark/>
          </w:tcPr>
          <w:p w14:paraId="0455ECD8" w14:textId="78BC63D2" w:rsidR="00630055" w:rsidRPr="00D01F4D" w:rsidRDefault="00630055" w:rsidP="0014277A">
            <w:pPr>
              <w:rPr>
                <w:rFonts w:cs="Arial"/>
                <w:b/>
                <w:bCs/>
                <w:color w:val="000000"/>
                <w:sz w:val="16"/>
                <w:szCs w:val="16"/>
                <w:lang w:val="en-US" w:eastAsia="en-US"/>
              </w:rPr>
            </w:pPr>
            <w:r>
              <w:rPr>
                <w:rFonts w:cs="Arial"/>
                <w:b/>
                <w:bCs/>
                <w:color w:val="000000"/>
                <w:sz w:val="16"/>
                <w:szCs w:val="16"/>
              </w:rPr>
              <w:t xml:space="preserve"> AUD          921.779 </w:t>
            </w:r>
          </w:p>
        </w:tc>
        <w:tc>
          <w:tcPr>
            <w:tcW w:w="1764" w:type="dxa"/>
            <w:tcBorders>
              <w:top w:val="single" w:sz="4" w:space="0" w:color="auto"/>
              <w:left w:val="nil"/>
              <w:bottom w:val="single" w:sz="8" w:space="0" w:color="auto"/>
              <w:right w:val="single" w:sz="8" w:space="0" w:color="auto"/>
            </w:tcBorders>
            <w:shd w:val="clear" w:color="auto" w:fill="auto"/>
            <w:noWrap/>
            <w:vAlign w:val="center"/>
            <w:hideMark/>
          </w:tcPr>
          <w:p w14:paraId="6F6BCBB2" w14:textId="50B3968E" w:rsidR="00630055" w:rsidRPr="00D01F4D" w:rsidRDefault="00630055" w:rsidP="0014277A">
            <w:pPr>
              <w:rPr>
                <w:rFonts w:cs="Arial"/>
                <w:b/>
                <w:bCs/>
                <w:color w:val="000000"/>
                <w:sz w:val="16"/>
                <w:szCs w:val="16"/>
                <w:lang w:val="en-US" w:eastAsia="en-US"/>
              </w:rPr>
            </w:pPr>
            <w:r>
              <w:rPr>
                <w:rFonts w:cs="Arial"/>
                <w:b/>
                <w:bCs/>
                <w:color w:val="000000"/>
                <w:sz w:val="16"/>
                <w:szCs w:val="16"/>
              </w:rPr>
              <w:t xml:space="preserve"> AUD     937.449 </w:t>
            </w:r>
          </w:p>
        </w:tc>
      </w:tr>
    </w:tbl>
    <w:p w14:paraId="5DD28129" w14:textId="77777777" w:rsidR="008A78C8" w:rsidRDefault="008A78C8" w:rsidP="008A78C8">
      <w:pPr>
        <w:pStyle w:val="Textbody"/>
        <w:rPr>
          <w:lang w:val="en-AU"/>
        </w:rPr>
      </w:pPr>
    </w:p>
    <w:p w14:paraId="260783AA" w14:textId="7DEBBC87" w:rsidR="000C101A" w:rsidRPr="00E0477C" w:rsidRDefault="000C101A" w:rsidP="000C101A">
      <w:pPr>
        <w:pStyle w:val="Caption"/>
        <w:rPr>
          <w:rFonts w:ascii="Arial" w:hAnsi="Arial" w:cs="Arial"/>
          <w:lang w:val="en-AU"/>
        </w:rPr>
      </w:pPr>
      <w:bookmarkStart w:id="679" w:name="_Ref431917245"/>
      <w:bookmarkStart w:id="680" w:name="_Toc431917539"/>
      <w:r w:rsidRPr="00A83F80">
        <w:rPr>
          <w:rFonts w:ascii="Arial" w:hAnsi="Arial" w:cs="Arial"/>
        </w:rPr>
        <w:lastRenderedPageBreak/>
        <w:t xml:space="preserve">Table </w:t>
      </w:r>
      <w:r w:rsidRPr="00A83F80">
        <w:rPr>
          <w:rFonts w:ascii="Arial" w:hAnsi="Arial" w:cs="Arial"/>
        </w:rPr>
        <w:fldChar w:fldCharType="begin"/>
      </w:r>
      <w:r w:rsidRPr="00A83F80">
        <w:rPr>
          <w:rFonts w:ascii="Arial" w:hAnsi="Arial" w:cs="Arial"/>
        </w:rPr>
        <w:instrText xml:space="preserve"> SEQ Table \* ARABIC </w:instrText>
      </w:r>
      <w:r w:rsidRPr="00A83F80">
        <w:rPr>
          <w:rFonts w:ascii="Arial" w:hAnsi="Arial" w:cs="Arial"/>
        </w:rPr>
        <w:fldChar w:fldCharType="separate"/>
      </w:r>
      <w:r>
        <w:rPr>
          <w:rFonts w:ascii="Arial" w:hAnsi="Arial" w:cs="Arial"/>
          <w:noProof/>
        </w:rPr>
        <w:t>79</w:t>
      </w:r>
      <w:r w:rsidRPr="00A83F80">
        <w:rPr>
          <w:rFonts w:ascii="Arial" w:hAnsi="Arial" w:cs="Arial"/>
          <w:noProof/>
        </w:rPr>
        <w:fldChar w:fldCharType="end"/>
      </w:r>
      <w:bookmarkEnd w:id="679"/>
      <w:r w:rsidRPr="00A83F80">
        <w:rPr>
          <w:rFonts w:ascii="Arial" w:hAnsi="Arial" w:cs="Arial"/>
          <w:lang w:val="en-US"/>
        </w:rPr>
        <w:t>.-</w:t>
      </w:r>
      <w:r w:rsidRPr="00E0477C">
        <w:rPr>
          <w:rFonts w:ascii="Arial" w:hAnsi="Arial" w:cs="Arial"/>
          <w:lang w:val="en-AU"/>
        </w:rPr>
        <w:t xml:space="preserve"> </w:t>
      </w:r>
      <w:r>
        <w:rPr>
          <w:rFonts w:ascii="Arial" w:hAnsi="Arial" w:cs="Arial"/>
          <w:lang w:val="en-AU"/>
        </w:rPr>
        <w:t xml:space="preserve">Summary of the deterministic sensitivity analysis of </w:t>
      </w:r>
      <w:r w:rsidR="007331CB">
        <w:rPr>
          <w:rFonts w:ascii="Arial" w:hAnsi="Arial" w:cs="Arial"/>
          <w:lang w:val="en-AU"/>
        </w:rPr>
        <w:t>t</w:t>
      </w:r>
      <w:r>
        <w:rPr>
          <w:rFonts w:ascii="Arial" w:hAnsi="Arial" w:cs="Arial"/>
          <w:lang w:val="en-AU"/>
        </w:rPr>
        <w:t>he BIA</w:t>
      </w:r>
      <w:bookmarkEnd w:id="680"/>
    </w:p>
    <w:tbl>
      <w:tblPr>
        <w:tblW w:w="13613" w:type="dxa"/>
        <w:jc w:val="center"/>
        <w:tblCellMar>
          <w:left w:w="70" w:type="dxa"/>
          <w:right w:w="70" w:type="dxa"/>
        </w:tblCellMar>
        <w:tblLook w:val="04A0" w:firstRow="1" w:lastRow="0" w:firstColumn="1" w:lastColumn="0" w:noHBand="0" w:noVBand="1"/>
        <w:tblCaption w:val="Summary of the deterministic sensitivity analysis of the BIA"/>
        <w:tblDescription w:val="Summary of the deterministic sensitivity analysis of the BIA"/>
      </w:tblPr>
      <w:tblGrid>
        <w:gridCol w:w="2440"/>
        <w:gridCol w:w="920"/>
        <w:gridCol w:w="1340"/>
        <w:gridCol w:w="1580"/>
        <w:gridCol w:w="1390"/>
        <w:gridCol w:w="1134"/>
        <w:gridCol w:w="1134"/>
        <w:gridCol w:w="1632"/>
        <w:gridCol w:w="2043"/>
      </w:tblGrid>
      <w:tr w:rsidR="00CB422E" w:rsidRPr="00CB422E" w14:paraId="5A58F48F" w14:textId="77777777" w:rsidTr="00285665">
        <w:trPr>
          <w:trHeight w:val="1635"/>
          <w:jc w:val="center"/>
        </w:trPr>
        <w:tc>
          <w:tcPr>
            <w:tcW w:w="244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4505F1A2" w14:textId="77777777" w:rsidR="00CB422E" w:rsidRPr="00CB422E" w:rsidRDefault="00CB422E" w:rsidP="00CB422E">
            <w:pPr>
              <w:rPr>
                <w:rFonts w:cs="Arial"/>
                <w:b/>
                <w:bCs/>
                <w:color w:val="000000"/>
                <w:sz w:val="18"/>
                <w:szCs w:val="18"/>
                <w:lang w:val="de-AT" w:eastAsia="de-AT"/>
              </w:rPr>
            </w:pPr>
            <w:r w:rsidRPr="00CB422E">
              <w:rPr>
                <w:rFonts w:cs="Arial"/>
                <w:b/>
                <w:bCs/>
                <w:color w:val="000000"/>
                <w:sz w:val="18"/>
                <w:szCs w:val="18"/>
                <w:lang w:val="de-AT" w:eastAsia="de-AT"/>
              </w:rPr>
              <w:t>Variable</w:t>
            </w:r>
          </w:p>
        </w:tc>
        <w:tc>
          <w:tcPr>
            <w:tcW w:w="920" w:type="dxa"/>
            <w:tcBorders>
              <w:top w:val="single" w:sz="8" w:space="0" w:color="auto"/>
              <w:left w:val="nil"/>
              <w:bottom w:val="single" w:sz="4" w:space="0" w:color="auto"/>
              <w:right w:val="single" w:sz="4" w:space="0" w:color="auto"/>
            </w:tcBorders>
            <w:shd w:val="clear" w:color="auto" w:fill="auto"/>
            <w:vAlign w:val="center"/>
            <w:hideMark/>
          </w:tcPr>
          <w:p w14:paraId="1013BD5B" w14:textId="77777777" w:rsidR="00CB422E" w:rsidRPr="00CB422E" w:rsidRDefault="00CB422E" w:rsidP="00CB422E">
            <w:pPr>
              <w:jc w:val="center"/>
              <w:rPr>
                <w:rFonts w:cs="Arial"/>
                <w:b/>
                <w:bCs/>
                <w:color w:val="000000"/>
                <w:sz w:val="18"/>
                <w:szCs w:val="18"/>
                <w:lang w:val="de-AT" w:eastAsia="de-AT"/>
              </w:rPr>
            </w:pPr>
            <w:r w:rsidRPr="00CB422E">
              <w:rPr>
                <w:rFonts w:cs="Arial"/>
                <w:b/>
                <w:bCs/>
                <w:color w:val="000000"/>
                <w:sz w:val="18"/>
                <w:szCs w:val="18"/>
                <w:lang w:val="de-AT" w:eastAsia="de-AT"/>
              </w:rPr>
              <w:t>Input value</w:t>
            </w:r>
          </w:p>
        </w:tc>
        <w:tc>
          <w:tcPr>
            <w:tcW w:w="1340" w:type="dxa"/>
            <w:tcBorders>
              <w:top w:val="single" w:sz="8" w:space="0" w:color="auto"/>
              <w:left w:val="nil"/>
              <w:bottom w:val="single" w:sz="4" w:space="0" w:color="auto"/>
              <w:right w:val="single" w:sz="4" w:space="0" w:color="auto"/>
            </w:tcBorders>
            <w:shd w:val="clear" w:color="auto" w:fill="auto"/>
            <w:vAlign w:val="center"/>
            <w:hideMark/>
          </w:tcPr>
          <w:p w14:paraId="6053F5F1" w14:textId="77777777" w:rsidR="00CB422E" w:rsidRPr="00CB422E" w:rsidRDefault="00CB422E" w:rsidP="00CB422E">
            <w:pPr>
              <w:jc w:val="center"/>
              <w:rPr>
                <w:rFonts w:cs="Arial"/>
                <w:color w:val="000000"/>
                <w:sz w:val="18"/>
                <w:szCs w:val="18"/>
                <w:lang w:val="en-GB" w:eastAsia="de-AT"/>
              </w:rPr>
            </w:pPr>
            <w:r w:rsidRPr="00CB422E">
              <w:rPr>
                <w:rFonts w:cs="Arial"/>
                <w:color w:val="000000"/>
                <w:sz w:val="18"/>
                <w:szCs w:val="18"/>
                <w:lang w:val="en-GB" w:eastAsia="de-AT"/>
              </w:rPr>
              <w:t>Number of Australian adults with SNHL and candidates of a MEI</w:t>
            </w:r>
          </w:p>
        </w:tc>
        <w:tc>
          <w:tcPr>
            <w:tcW w:w="1580" w:type="dxa"/>
            <w:tcBorders>
              <w:top w:val="single" w:sz="8" w:space="0" w:color="auto"/>
              <w:left w:val="nil"/>
              <w:bottom w:val="single" w:sz="4" w:space="0" w:color="auto"/>
              <w:right w:val="single" w:sz="4" w:space="0" w:color="auto"/>
            </w:tcBorders>
            <w:shd w:val="clear" w:color="auto" w:fill="auto"/>
            <w:vAlign w:val="center"/>
            <w:hideMark/>
          </w:tcPr>
          <w:p w14:paraId="100F0D00" w14:textId="77777777" w:rsidR="00CB422E" w:rsidRPr="00CB422E" w:rsidRDefault="00CB422E" w:rsidP="00CB422E">
            <w:pPr>
              <w:jc w:val="center"/>
              <w:rPr>
                <w:rFonts w:cs="Arial"/>
                <w:color w:val="000000"/>
                <w:sz w:val="18"/>
                <w:szCs w:val="18"/>
                <w:lang w:val="en-GB" w:eastAsia="de-AT"/>
              </w:rPr>
            </w:pPr>
            <w:r w:rsidRPr="00CB422E">
              <w:rPr>
                <w:rFonts w:cs="Arial"/>
                <w:color w:val="000000"/>
                <w:sz w:val="18"/>
                <w:szCs w:val="18"/>
                <w:lang w:val="en-GB" w:eastAsia="de-AT"/>
              </w:rPr>
              <w:t>Prevalence of external ear pathology in the Australian population (%)</w:t>
            </w:r>
          </w:p>
        </w:tc>
        <w:tc>
          <w:tcPr>
            <w:tcW w:w="1390" w:type="dxa"/>
            <w:tcBorders>
              <w:top w:val="single" w:sz="8" w:space="0" w:color="auto"/>
              <w:left w:val="nil"/>
              <w:bottom w:val="single" w:sz="4" w:space="0" w:color="auto"/>
              <w:right w:val="single" w:sz="4" w:space="0" w:color="auto"/>
            </w:tcBorders>
            <w:shd w:val="clear" w:color="auto" w:fill="auto"/>
            <w:vAlign w:val="center"/>
            <w:hideMark/>
          </w:tcPr>
          <w:p w14:paraId="2C726270" w14:textId="77777777" w:rsidR="00CB422E" w:rsidRPr="00CB422E" w:rsidRDefault="00CB422E" w:rsidP="00CB422E">
            <w:pPr>
              <w:jc w:val="center"/>
              <w:rPr>
                <w:rFonts w:cs="Arial"/>
                <w:color w:val="000000"/>
                <w:sz w:val="18"/>
                <w:szCs w:val="18"/>
                <w:lang w:val="en-GB" w:eastAsia="de-AT"/>
              </w:rPr>
            </w:pPr>
            <w:r w:rsidRPr="00CB422E">
              <w:rPr>
                <w:rFonts w:cs="Arial"/>
                <w:color w:val="000000"/>
                <w:sz w:val="18"/>
                <w:szCs w:val="18"/>
                <w:lang w:val="en-GB" w:eastAsia="de-AT"/>
              </w:rPr>
              <w:t>Estimated number of Australian adults eligible for implantation</w:t>
            </w:r>
          </w:p>
        </w:tc>
        <w:tc>
          <w:tcPr>
            <w:tcW w:w="1134" w:type="dxa"/>
            <w:tcBorders>
              <w:top w:val="single" w:sz="8" w:space="0" w:color="auto"/>
              <w:left w:val="nil"/>
              <w:bottom w:val="single" w:sz="4" w:space="0" w:color="auto"/>
              <w:right w:val="single" w:sz="4" w:space="0" w:color="auto"/>
            </w:tcBorders>
            <w:shd w:val="clear" w:color="auto" w:fill="auto"/>
            <w:vAlign w:val="center"/>
            <w:hideMark/>
          </w:tcPr>
          <w:p w14:paraId="3B372753" w14:textId="77777777" w:rsidR="00CB422E" w:rsidRPr="00CB422E" w:rsidRDefault="00CB422E" w:rsidP="00CB422E">
            <w:pPr>
              <w:jc w:val="center"/>
              <w:rPr>
                <w:rFonts w:cs="Arial"/>
                <w:color w:val="000000"/>
                <w:sz w:val="18"/>
                <w:szCs w:val="18"/>
                <w:lang w:val="en-GB" w:eastAsia="de-AT"/>
              </w:rPr>
            </w:pPr>
            <w:r w:rsidRPr="00CB422E">
              <w:rPr>
                <w:rFonts w:cs="Arial"/>
                <w:color w:val="000000"/>
                <w:sz w:val="18"/>
                <w:szCs w:val="18"/>
                <w:lang w:val="en-GB" w:eastAsia="de-AT"/>
              </w:rPr>
              <w:t>Minimum number of services per year</w:t>
            </w:r>
          </w:p>
        </w:tc>
        <w:tc>
          <w:tcPr>
            <w:tcW w:w="1134" w:type="dxa"/>
            <w:tcBorders>
              <w:top w:val="single" w:sz="8" w:space="0" w:color="auto"/>
              <w:left w:val="nil"/>
              <w:bottom w:val="single" w:sz="4" w:space="0" w:color="auto"/>
              <w:right w:val="single" w:sz="4" w:space="0" w:color="auto"/>
            </w:tcBorders>
            <w:shd w:val="clear" w:color="auto" w:fill="auto"/>
            <w:vAlign w:val="center"/>
            <w:hideMark/>
          </w:tcPr>
          <w:p w14:paraId="4DEC5D50" w14:textId="77777777" w:rsidR="00CB422E" w:rsidRPr="00CB422E" w:rsidRDefault="00CB422E" w:rsidP="00CB422E">
            <w:pPr>
              <w:jc w:val="center"/>
              <w:rPr>
                <w:rFonts w:cs="Arial"/>
                <w:color w:val="000000"/>
                <w:sz w:val="18"/>
                <w:szCs w:val="18"/>
                <w:lang w:val="en-GB" w:eastAsia="de-AT"/>
              </w:rPr>
            </w:pPr>
            <w:r w:rsidRPr="00CB422E">
              <w:rPr>
                <w:rFonts w:cs="Arial"/>
                <w:color w:val="000000"/>
                <w:sz w:val="18"/>
                <w:szCs w:val="18"/>
                <w:lang w:val="en-GB" w:eastAsia="de-AT"/>
              </w:rPr>
              <w:t>Maximum number of services per year</w:t>
            </w:r>
          </w:p>
        </w:tc>
        <w:tc>
          <w:tcPr>
            <w:tcW w:w="1632" w:type="dxa"/>
            <w:tcBorders>
              <w:top w:val="single" w:sz="8" w:space="0" w:color="auto"/>
              <w:left w:val="nil"/>
              <w:bottom w:val="single" w:sz="4" w:space="0" w:color="auto"/>
              <w:right w:val="single" w:sz="4" w:space="0" w:color="auto"/>
            </w:tcBorders>
            <w:shd w:val="clear" w:color="auto" w:fill="auto"/>
            <w:vAlign w:val="center"/>
            <w:hideMark/>
          </w:tcPr>
          <w:p w14:paraId="7FC4AECF" w14:textId="77777777" w:rsidR="00CB422E" w:rsidRPr="00CB422E" w:rsidRDefault="00CB422E" w:rsidP="00CB422E">
            <w:pPr>
              <w:jc w:val="center"/>
              <w:rPr>
                <w:rFonts w:cs="Arial"/>
                <w:b/>
                <w:bCs/>
                <w:color w:val="000000"/>
                <w:sz w:val="18"/>
                <w:szCs w:val="18"/>
                <w:lang w:val="en-GB" w:eastAsia="de-AT"/>
              </w:rPr>
            </w:pPr>
            <w:r w:rsidRPr="00CB422E">
              <w:rPr>
                <w:rFonts w:cs="Arial"/>
                <w:b/>
                <w:bCs/>
                <w:color w:val="000000"/>
                <w:sz w:val="18"/>
                <w:szCs w:val="18"/>
                <w:lang w:val="en-GB" w:eastAsia="de-AT"/>
              </w:rPr>
              <w:t>Total costs to the MBS</w:t>
            </w:r>
          </w:p>
        </w:tc>
        <w:tc>
          <w:tcPr>
            <w:tcW w:w="2043" w:type="dxa"/>
            <w:tcBorders>
              <w:top w:val="single" w:sz="8" w:space="0" w:color="auto"/>
              <w:left w:val="nil"/>
              <w:bottom w:val="single" w:sz="4" w:space="0" w:color="auto"/>
              <w:right w:val="single" w:sz="8" w:space="0" w:color="auto"/>
            </w:tcBorders>
            <w:shd w:val="clear" w:color="auto" w:fill="auto"/>
            <w:vAlign w:val="center"/>
            <w:hideMark/>
          </w:tcPr>
          <w:p w14:paraId="377338DB" w14:textId="77777777" w:rsidR="00CB422E" w:rsidRPr="00CB422E" w:rsidRDefault="00CB422E" w:rsidP="00CB422E">
            <w:pPr>
              <w:jc w:val="center"/>
              <w:rPr>
                <w:rFonts w:cs="Arial"/>
                <w:b/>
                <w:bCs/>
                <w:color w:val="000000"/>
                <w:sz w:val="18"/>
                <w:szCs w:val="18"/>
                <w:lang w:val="en-GB" w:eastAsia="de-AT"/>
              </w:rPr>
            </w:pPr>
            <w:r w:rsidRPr="00CB422E">
              <w:rPr>
                <w:rFonts w:cs="Arial"/>
                <w:b/>
                <w:bCs/>
                <w:color w:val="000000"/>
                <w:sz w:val="18"/>
                <w:szCs w:val="18"/>
                <w:lang w:val="en-GB" w:eastAsia="de-AT"/>
              </w:rPr>
              <w:t>Overall total costs of the proposed intervention</w:t>
            </w:r>
          </w:p>
        </w:tc>
      </w:tr>
      <w:tr w:rsidR="00CB422E" w:rsidRPr="00CB422E" w14:paraId="0638AA76" w14:textId="77777777" w:rsidTr="00285665">
        <w:trPr>
          <w:trHeight w:val="330"/>
          <w:jc w:val="center"/>
        </w:trPr>
        <w:tc>
          <w:tcPr>
            <w:tcW w:w="2440" w:type="dxa"/>
            <w:vMerge w:val="restart"/>
            <w:tcBorders>
              <w:top w:val="nil"/>
              <w:left w:val="single" w:sz="8" w:space="0" w:color="auto"/>
              <w:bottom w:val="single" w:sz="4" w:space="0" w:color="auto"/>
              <w:right w:val="single" w:sz="4" w:space="0" w:color="auto"/>
            </w:tcBorders>
            <w:shd w:val="clear" w:color="auto" w:fill="auto"/>
            <w:vAlign w:val="center"/>
            <w:hideMark/>
          </w:tcPr>
          <w:p w14:paraId="21AB0B56" w14:textId="77777777" w:rsidR="00CB422E" w:rsidRPr="00CB422E" w:rsidRDefault="00CB422E" w:rsidP="00CB422E">
            <w:pPr>
              <w:rPr>
                <w:rFonts w:cs="Arial"/>
                <w:b/>
                <w:bCs/>
                <w:color w:val="000000"/>
                <w:sz w:val="18"/>
                <w:szCs w:val="18"/>
                <w:lang w:val="de-AT" w:eastAsia="de-AT"/>
              </w:rPr>
            </w:pPr>
            <w:r w:rsidRPr="00CB422E">
              <w:rPr>
                <w:rFonts w:cs="Arial"/>
                <w:b/>
                <w:bCs/>
                <w:color w:val="000000"/>
                <w:sz w:val="18"/>
                <w:szCs w:val="18"/>
                <w:lang w:val="de-AT" w:eastAsia="de-AT"/>
              </w:rPr>
              <w:t>Proportion of patients</w:t>
            </w:r>
          </w:p>
        </w:tc>
        <w:tc>
          <w:tcPr>
            <w:tcW w:w="920" w:type="dxa"/>
            <w:tcBorders>
              <w:top w:val="nil"/>
              <w:left w:val="nil"/>
              <w:bottom w:val="single" w:sz="4" w:space="0" w:color="auto"/>
              <w:right w:val="single" w:sz="4" w:space="0" w:color="auto"/>
            </w:tcBorders>
            <w:shd w:val="clear" w:color="auto" w:fill="auto"/>
            <w:vAlign w:val="center"/>
            <w:hideMark/>
          </w:tcPr>
          <w:p w14:paraId="39DE9F9C" w14:textId="77777777" w:rsidR="00CB422E" w:rsidRPr="00CB422E" w:rsidRDefault="00CB422E" w:rsidP="00CB422E">
            <w:pPr>
              <w:jc w:val="center"/>
              <w:rPr>
                <w:rFonts w:cs="Arial"/>
                <w:color w:val="000000"/>
                <w:sz w:val="18"/>
                <w:szCs w:val="18"/>
                <w:lang w:val="de-AT" w:eastAsia="de-AT"/>
              </w:rPr>
            </w:pPr>
            <w:r w:rsidRPr="00CB422E">
              <w:rPr>
                <w:rFonts w:cs="Arial"/>
                <w:color w:val="000000"/>
                <w:sz w:val="18"/>
                <w:szCs w:val="18"/>
                <w:lang w:val="de-AT" w:eastAsia="de-AT"/>
              </w:rPr>
              <w:t>0,69%</w:t>
            </w:r>
          </w:p>
        </w:tc>
        <w:tc>
          <w:tcPr>
            <w:tcW w:w="1340" w:type="dxa"/>
            <w:tcBorders>
              <w:top w:val="nil"/>
              <w:left w:val="nil"/>
              <w:bottom w:val="single" w:sz="4" w:space="0" w:color="auto"/>
              <w:right w:val="single" w:sz="4" w:space="0" w:color="auto"/>
            </w:tcBorders>
            <w:shd w:val="clear" w:color="auto" w:fill="auto"/>
            <w:noWrap/>
            <w:vAlign w:val="center"/>
            <w:hideMark/>
          </w:tcPr>
          <w:p w14:paraId="2C9DF472" w14:textId="77777777" w:rsidR="00CB422E" w:rsidRPr="00CB422E" w:rsidRDefault="00CB422E" w:rsidP="00CB422E">
            <w:pPr>
              <w:jc w:val="center"/>
              <w:rPr>
                <w:rFonts w:cs="Arial"/>
                <w:color w:val="000000"/>
                <w:sz w:val="18"/>
                <w:szCs w:val="18"/>
                <w:lang w:val="de-AT" w:eastAsia="de-AT"/>
              </w:rPr>
            </w:pPr>
            <w:r w:rsidRPr="00CB422E">
              <w:rPr>
                <w:rFonts w:cs="Arial"/>
                <w:color w:val="000000"/>
                <w:sz w:val="18"/>
                <w:szCs w:val="18"/>
                <w:lang w:val="de-AT" w:eastAsia="de-AT"/>
              </w:rPr>
              <w:t>26303</w:t>
            </w:r>
          </w:p>
        </w:tc>
        <w:tc>
          <w:tcPr>
            <w:tcW w:w="1580" w:type="dxa"/>
            <w:tcBorders>
              <w:top w:val="nil"/>
              <w:left w:val="nil"/>
              <w:bottom w:val="single" w:sz="4" w:space="0" w:color="auto"/>
              <w:right w:val="single" w:sz="4" w:space="0" w:color="auto"/>
            </w:tcBorders>
            <w:shd w:val="clear" w:color="auto" w:fill="auto"/>
            <w:noWrap/>
            <w:vAlign w:val="center"/>
            <w:hideMark/>
          </w:tcPr>
          <w:p w14:paraId="42B78BE9" w14:textId="77777777" w:rsidR="00CB422E" w:rsidRPr="00CB422E" w:rsidRDefault="00CB422E" w:rsidP="00CB422E">
            <w:pPr>
              <w:jc w:val="center"/>
              <w:rPr>
                <w:rFonts w:cs="Arial"/>
                <w:color w:val="000000"/>
                <w:sz w:val="18"/>
                <w:szCs w:val="18"/>
                <w:lang w:val="de-AT" w:eastAsia="de-AT"/>
              </w:rPr>
            </w:pPr>
            <w:r w:rsidRPr="00CB422E">
              <w:rPr>
                <w:rFonts w:cs="Arial"/>
                <w:color w:val="000000"/>
                <w:sz w:val="18"/>
                <w:szCs w:val="18"/>
                <w:lang w:val="de-AT" w:eastAsia="de-AT"/>
              </w:rPr>
              <w:t>2,95%</w:t>
            </w:r>
          </w:p>
        </w:tc>
        <w:tc>
          <w:tcPr>
            <w:tcW w:w="1390" w:type="dxa"/>
            <w:tcBorders>
              <w:top w:val="nil"/>
              <w:left w:val="nil"/>
              <w:bottom w:val="single" w:sz="4" w:space="0" w:color="auto"/>
              <w:right w:val="single" w:sz="4" w:space="0" w:color="auto"/>
            </w:tcBorders>
            <w:shd w:val="clear" w:color="auto" w:fill="auto"/>
            <w:noWrap/>
            <w:vAlign w:val="center"/>
            <w:hideMark/>
          </w:tcPr>
          <w:p w14:paraId="167F42F6" w14:textId="77777777" w:rsidR="00CB422E" w:rsidRPr="00CB422E" w:rsidRDefault="00CB422E" w:rsidP="00CB422E">
            <w:pPr>
              <w:jc w:val="center"/>
              <w:rPr>
                <w:rFonts w:cs="Arial"/>
                <w:color w:val="000000"/>
                <w:sz w:val="18"/>
                <w:szCs w:val="18"/>
                <w:lang w:val="de-AT" w:eastAsia="de-AT"/>
              </w:rPr>
            </w:pPr>
            <w:r w:rsidRPr="00CB422E">
              <w:rPr>
                <w:rFonts w:cs="Arial"/>
                <w:color w:val="000000"/>
                <w:sz w:val="18"/>
                <w:szCs w:val="18"/>
                <w:lang w:val="de-AT" w:eastAsia="de-AT"/>
              </w:rPr>
              <w:t>776</w:t>
            </w:r>
          </w:p>
        </w:tc>
        <w:tc>
          <w:tcPr>
            <w:tcW w:w="1134" w:type="dxa"/>
            <w:tcBorders>
              <w:top w:val="nil"/>
              <w:left w:val="nil"/>
              <w:bottom w:val="single" w:sz="4" w:space="0" w:color="auto"/>
              <w:right w:val="single" w:sz="4" w:space="0" w:color="auto"/>
            </w:tcBorders>
            <w:shd w:val="clear" w:color="auto" w:fill="auto"/>
            <w:noWrap/>
            <w:vAlign w:val="center"/>
            <w:hideMark/>
          </w:tcPr>
          <w:p w14:paraId="2B389EA0" w14:textId="77777777" w:rsidR="00CB422E" w:rsidRPr="00CB422E" w:rsidRDefault="00CB422E" w:rsidP="00CB422E">
            <w:pPr>
              <w:jc w:val="center"/>
              <w:rPr>
                <w:rFonts w:cs="Arial"/>
                <w:color w:val="000000"/>
                <w:sz w:val="18"/>
                <w:szCs w:val="18"/>
                <w:lang w:val="de-AT" w:eastAsia="de-AT"/>
              </w:rPr>
            </w:pPr>
            <w:r w:rsidRPr="00CB422E">
              <w:rPr>
                <w:rFonts w:cs="Arial"/>
                <w:color w:val="000000"/>
                <w:sz w:val="18"/>
                <w:szCs w:val="18"/>
                <w:lang w:val="de-AT" w:eastAsia="de-AT"/>
              </w:rPr>
              <w:t>52</w:t>
            </w:r>
          </w:p>
        </w:tc>
        <w:tc>
          <w:tcPr>
            <w:tcW w:w="1134" w:type="dxa"/>
            <w:tcBorders>
              <w:top w:val="nil"/>
              <w:left w:val="nil"/>
              <w:bottom w:val="single" w:sz="4" w:space="0" w:color="auto"/>
              <w:right w:val="single" w:sz="4" w:space="0" w:color="auto"/>
            </w:tcBorders>
            <w:shd w:val="clear" w:color="auto" w:fill="auto"/>
            <w:noWrap/>
            <w:vAlign w:val="center"/>
            <w:hideMark/>
          </w:tcPr>
          <w:p w14:paraId="362A3000" w14:textId="77777777" w:rsidR="00CB422E" w:rsidRPr="00CB422E" w:rsidRDefault="00CB422E" w:rsidP="00CB422E">
            <w:pPr>
              <w:jc w:val="center"/>
              <w:rPr>
                <w:rFonts w:cs="Arial"/>
                <w:color w:val="000000"/>
                <w:sz w:val="18"/>
                <w:szCs w:val="18"/>
                <w:lang w:val="de-AT" w:eastAsia="de-AT"/>
              </w:rPr>
            </w:pPr>
            <w:r w:rsidRPr="00CB422E">
              <w:rPr>
                <w:rFonts w:cs="Arial"/>
                <w:color w:val="000000"/>
                <w:sz w:val="18"/>
                <w:szCs w:val="18"/>
                <w:lang w:val="de-AT" w:eastAsia="de-AT"/>
              </w:rPr>
              <w:t>78</w:t>
            </w:r>
          </w:p>
        </w:tc>
        <w:tc>
          <w:tcPr>
            <w:tcW w:w="1632" w:type="dxa"/>
            <w:tcBorders>
              <w:top w:val="nil"/>
              <w:left w:val="nil"/>
              <w:bottom w:val="single" w:sz="4" w:space="0" w:color="auto"/>
              <w:right w:val="single" w:sz="4" w:space="0" w:color="auto"/>
            </w:tcBorders>
            <w:shd w:val="clear" w:color="auto" w:fill="auto"/>
            <w:noWrap/>
            <w:vAlign w:val="center"/>
            <w:hideMark/>
          </w:tcPr>
          <w:p w14:paraId="0B803B9B" w14:textId="77777777" w:rsidR="00CB422E" w:rsidRPr="00CB422E" w:rsidRDefault="00CB422E" w:rsidP="00CB422E">
            <w:pPr>
              <w:jc w:val="center"/>
              <w:rPr>
                <w:rFonts w:cs="Arial"/>
                <w:color w:val="000000"/>
                <w:sz w:val="18"/>
                <w:szCs w:val="18"/>
                <w:lang w:val="de-AT" w:eastAsia="de-AT"/>
              </w:rPr>
            </w:pPr>
            <w:r w:rsidRPr="00CB422E">
              <w:rPr>
                <w:rFonts w:cs="Arial"/>
                <w:color w:val="000000"/>
                <w:sz w:val="18"/>
                <w:szCs w:val="18"/>
                <w:lang w:val="de-AT" w:eastAsia="de-AT"/>
              </w:rPr>
              <w:t xml:space="preserve"> AUD       253.331 </w:t>
            </w:r>
          </w:p>
        </w:tc>
        <w:tc>
          <w:tcPr>
            <w:tcW w:w="2043" w:type="dxa"/>
            <w:tcBorders>
              <w:top w:val="nil"/>
              <w:left w:val="nil"/>
              <w:bottom w:val="single" w:sz="4" w:space="0" w:color="auto"/>
              <w:right w:val="single" w:sz="8" w:space="0" w:color="auto"/>
            </w:tcBorders>
            <w:shd w:val="clear" w:color="auto" w:fill="auto"/>
            <w:noWrap/>
            <w:vAlign w:val="center"/>
            <w:hideMark/>
          </w:tcPr>
          <w:p w14:paraId="517B6759" w14:textId="77777777" w:rsidR="00CB422E" w:rsidRPr="00CB422E" w:rsidRDefault="00CB422E" w:rsidP="00CB422E">
            <w:pPr>
              <w:jc w:val="center"/>
              <w:rPr>
                <w:rFonts w:cs="Arial"/>
                <w:b/>
                <w:bCs/>
                <w:color w:val="000000"/>
                <w:sz w:val="18"/>
                <w:szCs w:val="18"/>
                <w:lang w:val="de-AT" w:eastAsia="de-AT"/>
              </w:rPr>
            </w:pPr>
            <w:r w:rsidRPr="00CB422E">
              <w:rPr>
                <w:rFonts w:cs="Arial"/>
                <w:b/>
                <w:bCs/>
                <w:color w:val="000000"/>
                <w:sz w:val="18"/>
                <w:szCs w:val="18"/>
                <w:lang w:val="de-AT" w:eastAsia="de-AT"/>
              </w:rPr>
              <w:t xml:space="preserve"> AUD       1.220.936 </w:t>
            </w:r>
          </w:p>
        </w:tc>
      </w:tr>
      <w:tr w:rsidR="00CB422E" w:rsidRPr="00CB422E" w14:paraId="7830A122" w14:textId="77777777" w:rsidTr="00285665">
        <w:trPr>
          <w:trHeight w:val="330"/>
          <w:jc w:val="center"/>
        </w:trPr>
        <w:tc>
          <w:tcPr>
            <w:tcW w:w="2440" w:type="dxa"/>
            <w:vMerge/>
            <w:tcBorders>
              <w:top w:val="nil"/>
              <w:left w:val="single" w:sz="8" w:space="0" w:color="auto"/>
              <w:bottom w:val="single" w:sz="4" w:space="0" w:color="auto"/>
              <w:right w:val="single" w:sz="4" w:space="0" w:color="auto"/>
            </w:tcBorders>
            <w:vAlign w:val="center"/>
            <w:hideMark/>
          </w:tcPr>
          <w:p w14:paraId="46F01E46" w14:textId="77777777" w:rsidR="00CB422E" w:rsidRPr="00CB422E" w:rsidRDefault="00CB422E" w:rsidP="00CB422E">
            <w:pPr>
              <w:rPr>
                <w:rFonts w:cs="Arial"/>
                <w:b/>
                <w:bCs/>
                <w:color w:val="000000"/>
                <w:sz w:val="18"/>
                <w:szCs w:val="18"/>
                <w:lang w:val="de-AT" w:eastAsia="de-AT"/>
              </w:rPr>
            </w:pPr>
          </w:p>
        </w:tc>
        <w:tc>
          <w:tcPr>
            <w:tcW w:w="920" w:type="dxa"/>
            <w:tcBorders>
              <w:top w:val="nil"/>
              <w:left w:val="nil"/>
              <w:bottom w:val="nil"/>
              <w:right w:val="single" w:sz="4" w:space="0" w:color="auto"/>
            </w:tcBorders>
            <w:shd w:val="clear" w:color="auto" w:fill="auto"/>
            <w:vAlign w:val="center"/>
            <w:hideMark/>
          </w:tcPr>
          <w:p w14:paraId="04C6401F" w14:textId="77777777" w:rsidR="00CB422E" w:rsidRPr="00CB422E" w:rsidRDefault="00CB422E" w:rsidP="00CB422E">
            <w:pPr>
              <w:jc w:val="center"/>
              <w:rPr>
                <w:rFonts w:cs="Arial"/>
                <w:color w:val="000000"/>
                <w:sz w:val="18"/>
                <w:szCs w:val="18"/>
                <w:lang w:val="de-AT" w:eastAsia="de-AT"/>
              </w:rPr>
            </w:pPr>
            <w:r w:rsidRPr="00CB422E">
              <w:rPr>
                <w:rFonts w:cs="Arial"/>
                <w:color w:val="000000"/>
                <w:sz w:val="18"/>
                <w:szCs w:val="18"/>
                <w:lang w:val="de-AT" w:eastAsia="de-AT"/>
              </w:rPr>
              <w:t>0,85%</w:t>
            </w:r>
          </w:p>
        </w:tc>
        <w:tc>
          <w:tcPr>
            <w:tcW w:w="1340" w:type="dxa"/>
            <w:tcBorders>
              <w:top w:val="nil"/>
              <w:left w:val="nil"/>
              <w:bottom w:val="nil"/>
              <w:right w:val="single" w:sz="4" w:space="0" w:color="auto"/>
            </w:tcBorders>
            <w:shd w:val="clear" w:color="auto" w:fill="auto"/>
            <w:noWrap/>
            <w:vAlign w:val="center"/>
            <w:hideMark/>
          </w:tcPr>
          <w:p w14:paraId="44968CD3" w14:textId="77777777" w:rsidR="00CB422E" w:rsidRPr="00CB422E" w:rsidRDefault="00CB422E" w:rsidP="00CB422E">
            <w:pPr>
              <w:jc w:val="center"/>
              <w:rPr>
                <w:rFonts w:cs="Arial"/>
                <w:color w:val="000000"/>
                <w:sz w:val="18"/>
                <w:szCs w:val="18"/>
                <w:lang w:val="de-AT" w:eastAsia="de-AT"/>
              </w:rPr>
            </w:pPr>
            <w:r w:rsidRPr="00CB422E">
              <w:rPr>
                <w:rFonts w:cs="Arial"/>
                <w:color w:val="000000"/>
                <w:sz w:val="18"/>
                <w:szCs w:val="18"/>
                <w:lang w:val="de-AT" w:eastAsia="de-AT"/>
              </w:rPr>
              <w:t>32403</w:t>
            </w:r>
          </w:p>
        </w:tc>
        <w:tc>
          <w:tcPr>
            <w:tcW w:w="1580" w:type="dxa"/>
            <w:tcBorders>
              <w:top w:val="nil"/>
              <w:left w:val="nil"/>
              <w:bottom w:val="nil"/>
              <w:right w:val="single" w:sz="4" w:space="0" w:color="auto"/>
            </w:tcBorders>
            <w:shd w:val="clear" w:color="auto" w:fill="auto"/>
            <w:noWrap/>
            <w:vAlign w:val="center"/>
            <w:hideMark/>
          </w:tcPr>
          <w:p w14:paraId="5EA550E5" w14:textId="77777777" w:rsidR="00CB422E" w:rsidRPr="00CB422E" w:rsidRDefault="00CB422E" w:rsidP="00CB422E">
            <w:pPr>
              <w:jc w:val="center"/>
              <w:rPr>
                <w:rFonts w:cs="Arial"/>
                <w:color w:val="000000"/>
                <w:sz w:val="18"/>
                <w:szCs w:val="18"/>
                <w:lang w:val="de-AT" w:eastAsia="de-AT"/>
              </w:rPr>
            </w:pPr>
            <w:r w:rsidRPr="00CB422E">
              <w:rPr>
                <w:rFonts w:cs="Arial"/>
                <w:color w:val="000000"/>
                <w:sz w:val="18"/>
                <w:szCs w:val="18"/>
                <w:lang w:val="de-AT" w:eastAsia="de-AT"/>
              </w:rPr>
              <w:t>2,95%</w:t>
            </w:r>
          </w:p>
        </w:tc>
        <w:tc>
          <w:tcPr>
            <w:tcW w:w="1390" w:type="dxa"/>
            <w:tcBorders>
              <w:top w:val="nil"/>
              <w:left w:val="nil"/>
              <w:bottom w:val="nil"/>
              <w:right w:val="single" w:sz="4" w:space="0" w:color="auto"/>
            </w:tcBorders>
            <w:shd w:val="clear" w:color="auto" w:fill="auto"/>
            <w:noWrap/>
            <w:vAlign w:val="center"/>
            <w:hideMark/>
          </w:tcPr>
          <w:p w14:paraId="071D3DA8" w14:textId="77777777" w:rsidR="00CB422E" w:rsidRPr="00CB422E" w:rsidRDefault="00CB422E" w:rsidP="00CB422E">
            <w:pPr>
              <w:jc w:val="center"/>
              <w:rPr>
                <w:rFonts w:cs="Arial"/>
                <w:color w:val="000000"/>
                <w:sz w:val="18"/>
                <w:szCs w:val="18"/>
                <w:lang w:val="de-AT" w:eastAsia="de-AT"/>
              </w:rPr>
            </w:pPr>
            <w:r w:rsidRPr="00CB422E">
              <w:rPr>
                <w:rFonts w:cs="Arial"/>
                <w:color w:val="000000"/>
                <w:sz w:val="18"/>
                <w:szCs w:val="18"/>
                <w:lang w:val="de-AT" w:eastAsia="de-AT"/>
              </w:rPr>
              <w:t>956</w:t>
            </w:r>
          </w:p>
        </w:tc>
        <w:tc>
          <w:tcPr>
            <w:tcW w:w="1134" w:type="dxa"/>
            <w:tcBorders>
              <w:top w:val="nil"/>
              <w:left w:val="nil"/>
              <w:bottom w:val="nil"/>
              <w:right w:val="single" w:sz="4" w:space="0" w:color="auto"/>
            </w:tcBorders>
            <w:shd w:val="clear" w:color="auto" w:fill="auto"/>
            <w:noWrap/>
            <w:vAlign w:val="center"/>
            <w:hideMark/>
          </w:tcPr>
          <w:p w14:paraId="07D30F0E" w14:textId="77777777" w:rsidR="00CB422E" w:rsidRPr="00CB422E" w:rsidRDefault="00CB422E" w:rsidP="00CB422E">
            <w:pPr>
              <w:jc w:val="center"/>
              <w:rPr>
                <w:rFonts w:cs="Arial"/>
                <w:color w:val="000000"/>
                <w:sz w:val="18"/>
                <w:szCs w:val="18"/>
                <w:lang w:val="de-AT" w:eastAsia="de-AT"/>
              </w:rPr>
            </w:pPr>
            <w:r w:rsidRPr="00CB422E">
              <w:rPr>
                <w:rFonts w:cs="Arial"/>
                <w:color w:val="000000"/>
                <w:sz w:val="18"/>
                <w:szCs w:val="18"/>
                <w:lang w:val="de-AT" w:eastAsia="de-AT"/>
              </w:rPr>
              <w:t>64</w:t>
            </w:r>
          </w:p>
        </w:tc>
        <w:tc>
          <w:tcPr>
            <w:tcW w:w="1134" w:type="dxa"/>
            <w:tcBorders>
              <w:top w:val="nil"/>
              <w:left w:val="nil"/>
              <w:bottom w:val="nil"/>
              <w:right w:val="single" w:sz="4" w:space="0" w:color="auto"/>
            </w:tcBorders>
            <w:shd w:val="clear" w:color="auto" w:fill="auto"/>
            <w:noWrap/>
            <w:vAlign w:val="center"/>
            <w:hideMark/>
          </w:tcPr>
          <w:p w14:paraId="46F54854" w14:textId="77777777" w:rsidR="00CB422E" w:rsidRPr="00CB422E" w:rsidRDefault="00CB422E" w:rsidP="00CB422E">
            <w:pPr>
              <w:jc w:val="center"/>
              <w:rPr>
                <w:rFonts w:cs="Arial"/>
                <w:color w:val="000000"/>
                <w:sz w:val="18"/>
                <w:szCs w:val="18"/>
                <w:lang w:val="de-AT" w:eastAsia="de-AT"/>
              </w:rPr>
            </w:pPr>
            <w:r w:rsidRPr="00CB422E">
              <w:rPr>
                <w:rFonts w:cs="Arial"/>
                <w:color w:val="000000"/>
                <w:sz w:val="18"/>
                <w:szCs w:val="18"/>
                <w:lang w:val="de-AT" w:eastAsia="de-AT"/>
              </w:rPr>
              <w:t>96</w:t>
            </w:r>
          </w:p>
        </w:tc>
        <w:tc>
          <w:tcPr>
            <w:tcW w:w="1632" w:type="dxa"/>
            <w:tcBorders>
              <w:top w:val="nil"/>
              <w:left w:val="nil"/>
              <w:bottom w:val="nil"/>
              <w:right w:val="single" w:sz="4" w:space="0" w:color="auto"/>
            </w:tcBorders>
            <w:shd w:val="clear" w:color="auto" w:fill="auto"/>
            <w:noWrap/>
            <w:vAlign w:val="center"/>
            <w:hideMark/>
          </w:tcPr>
          <w:p w14:paraId="4AE499DA" w14:textId="77777777" w:rsidR="00CB422E" w:rsidRPr="00CB422E" w:rsidRDefault="00CB422E" w:rsidP="00CB422E">
            <w:pPr>
              <w:jc w:val="center"/>
              <w:rPr>
                <w:rFonts w:cs="Arial"/>
                <w:color w:val="000000"/>
                <w:sz w:val="18"/>
                <w:szCs w:val="18"/>
                <w:lang w:val="de-AT" w:eastAsia="de-AT"/>
              </w:rPr>
            </w:pPr>
            <w:r w:rsidRPr="00CB422E">
              <w:rPr>
                <w:rFonts w:cs="Arial"/>
                <w:color w:val="000000"/>
                <w:sz w:val="18"/>
                <w:szCs w:val="18"/>
                <w:lang w:val="de-AT" w:eastAsia="de-AT"/>
              </w:rPr>
              <w:t xml:space="preserve"> AUD       312.075 </w:t>
            </w:r>
          </w:p>
        </w:tc>
        <w:tc>
          <w:tcPr>
            <w:tcW w:w="2043" w:type="dxa"/>
            <w:tcBorders>
              <w:top w:val="nil"/>
              <w:left w:val="nil"/>
              <w:bottom w:val="nil"/>
              <w:right w:val="single" w:sz="8" w:space="0" w:color="auto"/>
            </w:tcBorders>
            <w:shd w:val="clear" w:color="auto" w:fill="auto"/>
            <w:noWrap/>
            <w:vAlign w:val="center"/>
            <w:hideMark/>
          </w:tcPr>
          <w:p w14:paraId="3EEF2A25" w14:textId="77777777" w:rsidR="00CB422E" w:rsidRPr="00CB422E" w:rsidRDefault="00CB422E" w:rsidP="00CB422E">
            <w:pPr>
              <w:jc w:val="center"/>
              <w:rPr>
                <w:rFonts w:cs="Arial"/>
                <w:b/>
                <w:bCs/>
                <w:color w:val="000000"/>
                <w:sz w:val="18"/>
                <w:szCs w:val="18"/>
                <w:lang w:val="de-AT" w:eastAsia="de-AT"/>
              </w:rPr>
            </w:pPr>
            <w:r w:rsidRPr="00CB422E">
              <w:rPr>
                <w:rFonts w:cs="Arial"/>
                <w:b/>
                <w:bCs/>
                <w:color w:val="000000"/>
                <w:sz w:val="18"/>
                <w:szCs w:val="18"/>
                <w:lang w:val="de-AT" w:eastAsia="de-AT"/>
              </w:rPr>
              <w:t xml:space="preserve"> AUD       1.504.051 </w:t>
            </w:r>
          </w:p>
        </w:tc>
      </w:tr>
      <w:tr w:rsidR="00CB422E" w:rsidRPr="00CB422E" w14:paraId="5023B5EE" w14:textId="77777777" w:rsidTr="00285665">
        <w:trPr>
          <w:trHeight w:val="375"/>
          <w:jc w:val="center"/>
        </w:trPr>
        <w:tc>
          <w:tcPr>
            <w:tcW w:w="244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7CA2916E" w14:textId="77777777" w:rsidR="00CB422E" w:rsidRPr="00CB422E" w:rsidRDefault="00CB422E" w:rsidP="00CB422E">
            <w:pPr>
              <w:rPr>
                <w:rFonts w:cs="Arial"/>
                <w:b/>
                <w:bCs/>
                <w:color w:val="000000"/>
                <w:sz w:val="18"/>
                <w:szCs w:val="18"/>
                <w:lang w:val="en-GB" w:eastAsia="de-AT"/>
              </w:rPr>
            </w:pPr>
            <w:r w:rsidRPr="00CB422E">
              <w:rPr>
                <w:rFonts w:cs="Arial"/>
                <w:b/>
                <w:bCs/>
                <w:color w:val="000000"/>
                <w:sz w:val="18"/>
                <w:szCs w:val="18"/>
                <w:lang w:val="en-GB" w:eastAsia="de-AT"/>
              </w:rPr>
              <w:t>Prevalence of external ear pathology</w:t>
            </w:r>
          </w:p>
        </w:tc>
        <w:tc>
          <w:tcPr>
            <w:tcW w:w="920" w:type="dxa"/>
            <w:tcBorders>
              <w:top w:val="single" w:sz="8" w:space="0" w:color="auto"/>
              <w:left w:val="nil"/>
              <w:bottom w:val="single" w:sz="4" w:space="0" w:color="auto"/>
              <w:right w:val="single" w:sz="4" w:space="0" w:color="auto"/>
            </w:tcBorders>
            <w:shd w:val="clear" w:color="auto" w:fill="auto"/>
            <w:vAlign w:val="center"/>
            <w:hideMark/>
          </w:tcPr>
          <w:p w14:paraId="03B22160" w14:textId="77777777" w:rsidR="00CB422E" w:rsidRPr="00CB422E" w:rsidRDefault="00CB422E" w:rsidP="00CB422E">
            <w:pPr>
              <w:jc w:val="center"/>
              <w:rPr>
                <w:rFonts w:cs="Arial"/>
                <w:color w:val="000000"/>
                <w:sz w:val="18"/>
                <w:szCs w:val="18"/>
                <w:lang w:val="de-AT" w:eastAsia="de-AT"/>
              </w:rPr>
            </w:pPr>
            <w:r w:rsidRPr="00CB422E">
              <w:rPr>
                <w:rFonts w:cs="Arial"/>
                <w:color w:val="000000"/>
                <w:sz w:val="18"/>
                <w:szCs w:val="18"/>
                <w:lang w:val="de-AT" w:eastAsia="de-AT"/>
              </w:rPr>
              <w:t>3,00%</w:t>
            </w:r>
          </w:p>
        </w:tc>
        <w:tc>
          <w:tcPr>
            <w:tcW w:w="1340" w:type="dxa"/>
            <w:tcBorders>
              <w:top w:val="single" w:sz="8" w:space="0" w:color="auto"/>
              <w:left w:val="nil"/>
              <w:bottom w:val="single" w:sz="4" w:space="0" w:color="auto"/>
              <w:right w:val="single" w:sz="4" w:space="0" w:color="auto"/>
            </w:tcBorders>
            <w:shd w:val="clear" w:color="auto" w:fill="auto"/>
            <w:noWrap/>
            <w:vAlign w:val="center"/>
            <w:hideMark/>
          </w:tcPr>
          <w:p w14:paraId="63B70F74" w14:textId="77777777" w:rsidR="00CB422E" w:rsidRPr="00CB422E" w:rsidRDefault="00CB422E" w:rsidP="00CB422E">
            <w:pPr>
              <w:jc w:val="center"/>
              <w:rPr>
                <w:rFonts w:cs="Arial"/>
                <w:color w:val="000000"/>
                <w:sz w:val="18"/>
                <w:szCs w:val="18"/>
                <w:lang w:val="de-AT" w:eastAsia="de-AT"/>
              </w:rPr>
            </w:pPr>
            <w:r w:rsidRPr="00CB422E">
              <w:rPr>
                <w:rFonts w:cs="Arial"/>
                <w:color w:val="000000"/>
                <w:sz w:val="18"/>
                <w:szCs w:val="18"/>
                <w:lang w:val="de-AT" w:eastAsia="de-AT"/>
              </w:rPr>
              <w:t xml:space="preserve"> - </w:t>
            </w:r>
          </w:p>
        </w:tc>
        <w:tc>
          <w:tcPr>
            <w:tcW w:w="1580" w:type="dxa"/>
            <w:tcBorders>
              <w:top w:val="single" w:sz="8" w:space="0" w:color="auto"/>
              <w:left w:val="nil"/>
              <w:bottom w:val="single" w:sz="4" w:space="0" w:color="auto"/>
              <w:right w:val="single" w:sz="4" w:space="0" w:color="auto"/>
            </w:tcBorders>
            <w:shd w:val="clear" w:color="auto" w:fill="auto"/>
            <w:noWrap/>
            <w:vAlign w:val="center"/>
            <w:hideMark/>
          </w:tcPr>
          <w:p w14:paraId="00D8BC19" w14:textId="77777777" w:rsidR="00CB422E" w:rsidRPr="00CB422E" w:rsidRDefault="00CB422E" w:rsidP="00CB422E">
            <w:pPr>
              <w:jc w:val="center"/>
              <w:rPr>
                <w:rFonts w:cs="Arial"/>
                <w:color w:val="000000"/>
                <w:sz w:val="18"/>
                <w:szCs w:val="18"/>
                <w:lang w:val="de-AT" w:eastAsia="de-AT"/>
              </w:rPr>
            </w:pPr>
            <w:r w:rsidRPr="00CB422E">
              <w:rPr>
                <w:rFonts w:cs="Arial"/>
                <w:color w:val="000000"/>
                <w:sz w:val="18"/>
                <w:szCs w:val="18"/>
                <w:lang w:val="de-AT" w:eastAsia="de-AT"/>
              </w:rPr>
              <w:t xml:space="preserve"> - </w:t>
            </w:r>
          </w:p>
        </w:tc>
        <w:tc>
          <w:tcPr>
            <w:tcW w:w="1390" w:type="dxa"/>
            <w:tcBorders>
              <w:top w:val="single" w:sz="8" w:space="0" w:color="auto"/>
              <w:left w:val="nil"/>
              <w:bottom w:val="single" w:sz="4" w:space="0" w:color="auto"/>
              <w:right w:val="single" w:sz="4" w:space="0" w:color="auto"/>
            </w:tcBorders>
            <w:shd w:val="clear" w:color="auto" w:fill="auto"/>
            <w:noWrap/>
            <w:vAlign w:val="center"/>
            <w:hideMark/>
          </w:tcPr>
          <w:p w14:paraId="15B4AE3A" w14:textId="77777777" w:rsidR="00CB422E" w:rsidRPr="00CB422E" w:rsidRDefault="00CB422E" w:rsidP="00CB422E">
            <w:pPr>
              <w:jc w:val="center"/>
              <w:rPr>
                <w:rFonts w:cs="Arial"/>
                <w:color w:val="000000"/>
                <w:sz w:val="18"/>
                <w:szCs w:val="18"/>
                <w:lang w:val="de-AT" w:eastAsia="de-AT"/>
              </w:rPr>
            </w:pPr>
            <w:r w:rsidRPr="00CB422E">
              <w:rPr>
                <w:rFonts w:cs="Arial"/>
                <w:color w:val="000000"/>
                <w:sz w:val="18"/>
                <w:szCs w:val="18"/>
                <w:lang w:val="de-AT" w:eastAsia="de-AT"/>
              </w:rPr>
              <w:t>869</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14:paraId="4F8CA1D1" w14:textId="77777777" w:rsidR="00CB422E" w:rsidRPr="00CB422E" w:rsidRDefault="00CB422E" w:rsidP="00CB422E">
            <w:pPr>
              <w:jc w:val="center"/>
              <w:rPr>
                <w:rFonts w:cs="Arial"/>
                <w:color w:val="000000"/>
                <w:sz w:val="18"/>
                <w:szCs w:val="18"/>
                <w:lang w:val="de-AT" w:eastAsia="de-AT"/>
              </w:rPr>
            </w:pPr>
            <w:r w:rsidRPr="00CB422E">
              <w:rPr>
                <w:rFonts w:cs="Arial"/>
                <w:color w:val="000000"/>
                <w:sz w:val="18"/>
                <w:szCs w:val="18"/>
                <w:lang w:val="de-AT" w:eastAsia="de-AT"/>
              </w:rPr>
              <w:t>58</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14:paraId="61289D7D" w14:textId="77777777" w:rsidR="00CB422E" w:rsidRPr="00CB422E" w:rsidRDefault="00CB422E" w:rsidP="00CB422E">
            <w:pPr>
              <w:jc w:val="center"/>
              <w:rPr>
                <w:rFonts w:cs="Arial"/>
                <w:color w:val="000000"/>
                <w:sz w:val="18"/>
                <w:szCs w:val="18"/>
                <w:lang w:val="de-AT" w:eastAsia="de-AT"/>
              </w:rPr>
            </w:pPr>
            <w:r w:rsidRPr="00CB422E">
              <w:rPr>
                <w:rFonts w:cs="Arial"/>
                <w:color w:val="000000"/>
                <w:sz w:val="18"/>
                <w:szCs w:val="18"/>
                <w:lang w:val="de-AT" w:eastAsia="de-AT"/>
              </w:rPr>
              <w:t>87</w:t>
            </w:r>
          </w:p>
        </w:tc>
        <w:tc>
          <w:tcPr>
            <w:tcW w:w="1632" w:type="dxa"/>
            <w:tcBorders>
              <w:top w:val="single" w:sz="8" w:space="0" w:color="auto"/>
              <w:left w:val="nil"/>
              <w:bottom w:val="single" w:sz="4" w:space="0" w:color="auto"/>
              <w:right w:val="single" w:sz="4" w:space="0" w:color="auto"/>
            </w:tcBorders>
            <w:shd w:val="clear" w:color="auto" w:fill="auto"/>
            <w:noWrap/>
            <w:vAlign w:val="center"/>
            <w:hideMark/>
          </w:tcPr>
          <w:p w14:paraId="6E2E9C60" w14:textId="77777777" w:rsidR="00CB422E" w:rsidRPr="00CB422E" w:rsidRDefault="00CB422E" w:rsidP="00CB422E">
            <w:pPr>
              <w:jc w:val="center"/>
              <w:rPr>
                <w:rFonts w:cs="Arial"/>
                <w:color w:val="000000"/>
                <w:sz w:val="18"/>
                <w:szCs w:val="18"/>
                <w:lang w:val="de-AT" w:eastAsia="de-AT"/>
              </w:rPr>
            </w:pPr>
            <w:r w:rsidRPr="00CB422E">
              <w:rPr>
                <w:rFonts w:cs="Arial"/>
                <w:color w:val="000000"/>
                <w:sz w:val="18"/>
                <w:szCs w:val="18"/>
                <w:lang w:val="de-AT" w:eastAsia="de-AT"/>
              </w:rPr>
              <w:t xml:space="preserve"> AUD       283.761 </w:t>
            </w:r>
          </w:p>
        </w:tc>
        <w:tc>
          <w:tcPr>
            <w:tcW w:w="2043" w:type="dxa"/>
            <w:tcBorders>
              <w:top w:val="single" w:sz="8" w:space="0" w:color="auto"/>
              <w:left w:val="nil"/>
              <w:bottom w:val="single" w:sz="4" w:space="0" w:color="auto"/>
              <w:right w:val="single" w:sz="8" w:space="0" w:color="auto"/>
            </w:tcBorders>
            <w:shd w:val="clear" w:color="auto" w:fill="auto"/>
            <w:noWrap/>
            <w:vAlign w:val="center"/>
            <w:hideMark/>
          </w:tcPr>
          <w:p w14:paraId="0D31F229" w14:textId="77777777" w:rsidR="00CB422E" w:rsidRPr="00CB422E" w:rsidRDefault="00CB422E" w:rsidP="00CB422E">
            <w:pPr>
              <w:jc w:val="center"/>
              <w:rPr>
                <w:rFonts w:cs="Arial"/>
                <w:b/>
                <w:bCs/>
                <w:color w:val="000000"/>
                <w:sz w:val="18"/>
                <w:szCs w:val="18"/>
                <w:lang w:val="de-AT" w:eastAsia="de-AT"/>
              </w:rPr>
            </w:pPr>
            <w:r w:rsidRPr="00CB422E">
              <w:rPr>
                <w:rFonts w:cs="Arial"/>
                <w:b/>
                <w:bCs/>
                <w:color w:val="000000"/>
                <w:sz w:val="18"/>
                <w:szCs w:val="18"/>
                <w:lang w:val="de-AT" w:eastAsia="de-AT"/>
              </w:rPr>
              <w:t xml:space="preserve"> AUD       1.367.592 </w:t>
            </w:r>
          </w:p>
        </w:tc>
      </w:tr>
      <w:tr w:rsidR="00CB422E" w:rsidRPr="00CB422E" w14:paraId="12EA79C9" w14:textId="77777777" w:rsidTr="00285665">
        <w:trPr>
          <w:trHeight w:val="435"/>
          <w:jc w:val="center"/>
        </w:trPr>
        <w:tc>
          <w:tcPr>
            <w:tcW w:w="2440" w:type="dxa"/>
            <w:vMerge/>
            <w:tcBorders>
              <w:top w:val="single" w:sz="8" w:space="0" w:color="auto"/>
              <w:left w:val="single" w:sz="8" w:space="0" w:color="auto"/>
              <w:bottom w:val="single" w:sz="8" w:space="0" w:color="000000"/>
              <w:right w:val="single" w:sz="4" w:space="0" w:color="auto"/>
            </w:tcBorders>
            <w:vAlign w:val="center"/>
            <w:hideMark/>
          </w:tcPr>
          <w:p w14:paraId="05075DA8" w14:textId="77777777" w:rsidR="00CB422E" w:rsidRPr="00CB422E" w:rsidRDefault="00CB422E" w:rsidP="00CB422E">
            <w:pPr>
              <w:rPr>
                <w:rFonts w:cs="Arial"/>
                <w:b/>
                <w:bCs/>
                <w:color w:val="000000"/>
                <w:sz w:val="18"/>
                <w:szCs w:val="18"/>
                <w:lang w:val="de-AT" w:eastAsia="de-AT"/>
              </w:rPr>
            </w:pPr>
          </w:p>
        </w:tc>
        <w:tc>
          <w:tcPr>
            <w:tcW w:w="920" w:type="dxa"/>
            <w:tcBorders>
              <w:top w:val="nil"/>
              <w:left w:val="nil"/>
              <w:bottom w:val="single" w:sz="8" w:space="0" w:color="auto"/>
              <w:right w:val="single" w:sz="4" w:space="0" w:color="auto"/>
            </w:tcBorders>
            <w:shd w:val="clear" w:color="auto" w:fill="auto"/>
            <w:vAlign w:val="center"/>
            <w:hideMark/>
          </w:tcPr>
          <w:p w14:paraId="06A0A29E" w14:textId="77777777" w:rsidR="00CB422E" w:rsidRPr="00CB422E" w:rsidRDefault="00CB422E" w:rsidP="00CB422E">
            <w:pPr>
              <w:jc w:val="center"/>
              <w:rPr>
                <w:rFonts w:cs="Arial"/>
                <w:color w:val="000000"/>
                <w:sz w:val="18"/>
                <w:szCs w:val="18"/>
                <w:lang w:val="de-AT" w:eastAsia="de-AT"/>
              </w:rPr>
            </w:pPr>
            <w:r w:rsidRPr="00CB422E">
              <w:rPr>
                <w:rFonts w:cs="Arial"/>
                <w:color w:val="000000"/>
                <w:sz w:val="18"/>
                <w:szCs w:val="18"/>
                <w:lang w:val="de-AT" w:eastAsia="de-AT"/>
              </w:rPr>
              <w:t>3,41%</w:t>
            </w:r>
          </w:p>
        </w:tc>
        <w:tc>
          <w:tcPr>
            <w:tcW w:w="1340" w:type="dxa"/>
            <w:tcBorders>
              <w:top w:val="nil"/>
              <w:left w:val="nil"/>
              <w:bottom w:val="single" w:sz="8" w:space="0" w:color="auto"/>
              <w:right w:val="single" w:sz="4" w:space="0" w:color="auto"/>
            </w:tcBorders>
            <w:shd w:val="clear" w:color="auto" w:fill="auto"/>
            <w:noWrap/>
            <w:vAlign w:val="center"/>
            <w:hideMark/>
          </w:tcPr>
          <w:p w14:paraId="5B8B3DCC" w14:textId="77777777" w:rsidR="00CB422E" w:rsidRPr="00CB422E" w:rsidRDefault="00CB422E" w:rsidP="00CB422E">
            <w:pPr>
              <w:jc w:val="center"/>
              <w:rPr>
                <w:rFonts w:cs="Arial"/>
                <w:color w:val="000000"/>
                <w:sz w:val="18"/>
                <w:szCs w:val="18"/>
                <w:lang w:val="de-AT" w:eastAsia="de-AT"/>
              </w:rPr>
            </w:pPr>
            <w:r w:rsidRPr="00CB422E">
              <w:rPr>
                <w:rFonts w:cs="Arial"/>
                <w:color w:val="000000"/>
                <w:sz w:val="18"/>
                <w:szCs w:val="18"/>
                <w:lang w:val="de-AT" w:eastAsia="de-AT"/>
              </w:rPr>
              <w:t xml:space="preserve"> - </w:t>
            </w:r>
          </w:p>
        </w:tc>
        <w:tc>
          <w:tcPr>
            <w:tcW w:w="1580" w:type="dxa"/>
            <w:tcBorders>
              <w:top w:val="nil"/>
              <w:left w:val="nil"/>
              <w:bottom w:val="single" w:sz="8" w:space="0" w:color="auto"/>
              <w:right w:val="single" w:sz="4" w:space="0" w:color="auto"/>
            </w:tcBorders>
            <w:shd w:val="clear" w:color="auto" w:fill="auto"/>
            <w:noWrap/>
            <w:vAlign w:val="center"/>
            <w:hideMark/>
          </w:tcPr>
          <w:p w14:paraId="07CE9002" w14:textId="77777777" w:rsidR="00CB422E" w:rsidRPr="00CB422E" w:rsidRDefault="00CB422E" w:rsidP="00CB422E">
            <w:pPr>
              <w:jc w:val="center"/>
              <w:rPr>
                <w:rFonts w:cs="Arial"/>
                <w:color w:val="000000"/>
                <w:sz w:val="18"/>
                <w:szCs w:val="18"/>
                <w:lang w:val="de-AT" w:eastAsia="de-AT"/>
              </w:rPr>
            </w:pPr>
            <w:r w:rsidRPr="00CB422E">
              <w:rPr>
                <w:rFonts w:cs="Arial"/>
                <w:color w:val="000000"/>
                <w:sz w:val="18"/>
                <w:szCs w:val="18"/>
                <w:lang w:val="de-AT" w:eastAsia="de-AT"/>
              </w:rPr>
              <w:t xml:space="preserve"> - </w:t>
            </w:r>
          </w:p>
        </w:tc>
        <w:tc>
          <w:tcPr>
            <w:tcW w:w="1390" w:type="dxa"/>
            <w:tcBorders>
              <w:top w:val="nil"/>
              <w:left w:val="nil"/>
              <w:bottom w:val="single" w:sz="8" w:space="0" w:color="auto"/>
              <w:right w:val="single" w:sz="4" w:space="0" w:color="auto"/>
            </w:tcBorders>
            <w:shd w:val="clear" w:color="auto" w:fill="auto"/>
            <w:noWrap/>
            <w:vAlign w:val="center"/>
            <w:hideMark/>
          </w:tcPr>
          <w:p w14:paraId="1A77487D" w14:textId="77777777" w:rsidR="00CB422E" w:rsidRPr="00CB422E" w:rsidRDefault="00CB422E" w:rsidP="00CB422E">
            <w:pPr>
              <w:jc w:val="center"/>
              <w:rPr>
                <w:rFonts w:cs="Arial"/>
                <w:color w:val="000000"/>
                <w:sz w:val="18"/>
                <w:szCs w:val="18"/>
                <w:lang w:val="de-AT" w:eastAsia="de-AT"/>
              </w:rPr>
            </w:pPr>
            <w:r w:rsidRPr="00CB422E">
              <w:rPr>
                <w:rFonts w:cs="Arial"/>
                <w:color w:val="000000"/>
                <w:sz w:val="18"/>
                <w:szCs w:val="18"/>
                <w:lang w:val="de-AT" w:eastAsia="de-AT"/>
              </w:rPr>
              <w:t>988</w:t>
            </w:r>
          </w:p>
        </w:tc>
        <w:tc>
          <w:tcPr>
            <w:tcW w:w="1134" w:type="dxa"/>
            <w:tcBorders>
              <w:top w:val="nil"/>
              <w:left w:val="nil"/>
              <w:bottom w:val="single" w:sz="8" w:space="0" w:color="auto"/>
              <w:right w:val="single" w:sz="4" w:space="0" w:color="auto"/>
            </w:tcBorders>
            <w:shd w:val="clear" w:color="auto" w:fill="auto"/>
            <w:noWrap/>
            <w:vAlign w:val="center"/>
            <w:hideMark/>
          </w:tcPr>
          <w:p w14:paraId="6D2499E1" w14:textId="77777777" w:rsidR="00CB422E" w:rsidRPr="00CB422E" w:rsidRDefault="00CB422E" w:rsidP="00CB422E">
            <w:pPr>
              <w:jc w:val="center"/>
              <w:rPr>
                <w:rFonts w:cs="Arial"/>
                <w:color w:val="000000"/>
                <w:sz w:val="18"/>
                <w:szCs w:val="18"/>
                <w:lang w:val="de-AT" w:eastAsia="de-AT"/>
              </w:rPr>
            </w:pPr>
            <w:r w:rsidRPr="00CB422E">
              <w:rPr>
                <w:rFonts w:cs="Arial"/>
                <w:color w:val="000000"/>
                <w:sz w:val="18"/>
                <w:szCs w:val="18"/>
                <w:lang w:val="de-AT" w:eastAsia="de-AT"/>
              </w:rPr>
              <w:t>66</w:t>
            </w:r>
          </w:p>
        </w:tc>
        <w:tc>
          <w:tcPr>
            <w:tcW w:w="1134" w:type="dxa"/>
            <w:tcBorders>
              <w:top w:val="nil"/>
              <w:left w:val="nil"/>
              <w:bottom w:val="single" w:sz="8" w:space="0" w:color="auto"/>
              <w:right w:val="single" w:sz="4" w:space="0" w:color="auto"/>
            </w:tcBorders>
            <w:shd w:val="clear" w:color="auto" w:fill="auto"/>
            <w:noWrap/>
            <w:vAlign w:val="center"/>
            <w:hideMark/>
          </w:tcPr>
          <w:p w14:paraId="30304EF7" w14:textId="77777777" w:rsidR="00CB422E" w:rsidRPr="00CB422E" w:rsidRDefault="00CB422E" w:rsidP="00CB422E">
            <w:pPr>
              <w:jc w:val="center"/>
              <w:rPr>
                <w:rFonts w:cs="Arial"/>
                <w:color w:val="000000"/>
                <w:sz w:val="18"/>
                <w:szCs w:val="18"/>
                <w:lang w:val="de-AT" w:eastAsia="de-AT"/>
              </w:rPr>
            </w:pPr>
            <w:r w:rsidRPr="00CB422E">
              <w:rPr>
                <w:rFonts w:cs="Arial"/>
                <w:color w:val="000000"/>
                <w:sz w:val="18"/>
                <w:szCs w:val="18"/>
                <w:lang w:val="de-AT" w:eastAsia="de-AT"/>
              </w:rPr>
              <w:t>99</w:t>
            </w:r>
          </w:p>
        </w:tc>
        <w:tc>
          <w:tcPr>
            <w:tcW w:w="1632" w:type="dxa"/>
            <w:tcBorders>
              <w:top w:val="nil"/>
              <w:left w:val="nil"/>
              <w:bottom w:val="single" w:sz="8" w:space="0" w:color="auto"/>
              <w:right w:val="single" w:sz="4" w:space="0" w:color="auto"/>
            </w:tcBorders>
            <w:shd w:val="clear" w:color="auto" w:fill="auto"/>
            <w:noWrap/>
            <w:vAlign w:val="center"/>
            <w:hideMark/>
          </w:tcPr>
          <w:p w14:paraId="485227BB" w14:textId="77777777" w:rsidR="00CB422E" w:rsidRPr="00CB422E" w:rsidRDefault="00CB422E" w:rsidP="00CB422E">
            <w:pPr>
              <w:jc w:val="center"/>
              <w:rPr>
                <w:rFonts w:cs="Arial"/>
                <w:color w:val="000000"/>
                <w:sz w:val="18"/>
                <w:szCs w:val="18"/>
                <w:lang w:val="de-AT" w:eastAsia="de-AT"/>
              </w:rPr>
            </w:pPr>
            <w:r w:rsidRPr="00CB422E">
              <w:rPr>
                <w:rFonts w:cs="Arial"/>
                <w:color w:val="000000"/>
                <w:sz w:val="18"/>
                <w:szCs w:val="18"/>
                <w:lang w:val="de-AT" w:eastAsia="de-AT"/>
              </w:rPr>
              <w:t xml:space="preserve"> AUD       322.541 </w:t>
            </w:r>
          </w:p>
        </w:tc>
        <w:tc>
          <w:tcPr>
            <w:tcW w:w="2043" w:type="dxa"/>
            <w:tcBorders>
              <w:top w:val="nil"/>
              <w:left w:val="nil"/>
              <w:bottom w:val="single" w:sz="8" w:space="0" w:color="auto"/>
              <w:right w:val="single" w:sz="8" w:space="0" w:color="auto"/>
            </w:tcBorders>
            <w:shd w:val="clear" w:color="auto" w:fill="auto"/>
            <w:noWrap/>
            <w:vAlign w:val="center"/>
            <w:hideMark/>
          </w:tcPr>
          <w:p w14:paraId="12CB0E26" w14:textId="77777777" w:rsidR="00CB422E" w:rsidRPr="00CB422E" w:rsidRDefault="00CB422E" w:rsidP="00CB422E">
            <w:pPr>
              <w:jc w:val="center"/>
              <w:rPr>
                <w:rFonts w:cs="Arial"/>
                <w:b/>
                <w:bCs/>
                <w:color w:val="000000"/>
                <w:sz w:val="18"/>
                <w:szCs w:val="18"/>
                <w:lang w:val="de-AT" w:eastAsia="de-AT"/>
              </w:rPr>
            </w:pPr>
            <w:r w:rsidRPr="00CB422E">
              <w:rPr>
                <w:rFonts w:cs="Arial"/>
                <w:b/>
                <w:bCs/>
                <w:color w:val="000000"/>
                <w:sz w:val="18"/>
                <w:szCs w:val="18"/>
                <w:lang w:val="de-AT" w:eastAsia="de-AT"/>
              </w:rPr>
              <w:t xml:space="preserve"> AUD       1.554.496 </w:t>
            </w:r>
          </w:p>
        </w:tc>
      </w:tr>
    </w:tbl>
    <w:p w14:paraId="282E5F4A" w14:textId="77777777" w:rsidR="000C101A" w:rsidRDefault="000C101A" w:rsidP="008A78C8">
      <w:pPr>
        <w:pStyle w:val="Textbody"/>
        <w:rPr>
          <w:lang w:val="en-AU"/>
        </w:rPr>
      </w:pPr>
    </w:p>
    <w:p w14:paraId="160A55C1" w14:textId="77777777" w:rsidR="000C101A" w:rsidRDefault="000C101A" w:rsidP="008A78C8">
      <w:pPr>
        <w:pStyle w:val="Textbody"/>
        <w:rPr>
          <w:lang w:val="en-AU"/>
        </w:rPr>
      </w:pPr>
    </w:p>
    <w:p w14:paraId="2588859C" w14:textId="77777777" w:rsidR="000C101A" w:rsidRDefault="000C101A" w:rsidP="008A78C8">
      <w:pPr>
        <w:pStyle w:val="Textbody"/>
        <w:rPr>
          <w:lang w:val="en-AU"/>
        </w:rPr>
      </w:pPr>
    </w:p>
    <w:p w14:paraId="017A89DE" w14:textId="77777777" w:rsidR="000C101A" w:rsidRDefault="000C101A" w:rsidP="008A78C8">
      <w:pPr>
        <w:pStyle w:val="Textbody"/>
        <w:rPr>
          <w:lang w:val="en-AU"/>
        </w:rPr>
      </w:pPr>
    </w:p>
    <w:p w14:paraId="5507B51B" w14:textId="77777777" w:rsidR="000C101A" w:rsidRDefault="000C101A" w:rsidP="008A78C8">
      <w:pPr>
        <w:pStyle w:val="Textbody"/>
        <w:rPr>
          <w:lang w:val="en-AU"/>
        </w:rPr>
      </w:pPr>
    </w:p>
    <w:p w14:paraId="7F98DA9C" w14:textId="77777777" w:rsidR="000C101A" w:rsidRDefault="000C101A" w:rsidP="008A78C8">
      <w:pPr>
        <w:pStyle w:val="Textbody"/>
        <w:rPr>
          <w:lang w:val="en-AU"/>
        </w:rPr>
        <w:sectPr w:rsidR="000C101A" w:rsidSect="00137B87">
          <w:pgSz w:w="16840" w:h="11907" w:orient="landscape" w:code="9"/>
          <w:pgMar w:top="1814" w:right="1418" w:bottom="1418" w:left="1701" w:header="720" w:footer="720" w:gutter="0"/>
          <w:paperSrc w:first="7" w:other="7"/>
          <w:cols w:space="720"/>
          <w:noEndnote/>
          <w:docGrid w:linePitch="299"/>
        </w:sectPr>
      </w:pPr>
    </w:p>
    <w:p w14:paraId="601C613B" w14:textId="263E58BB" w:rsidR="00D85D29" w:rsidRPr="007331CB" w:rsidRDefault="004C3693" w:rsidP="007331CB">
      <w:pPr>
        <w:pStyle w:val="Heading1"/>
        <w:rPr>
          <w:rFonts w:cs="Arial"/>
          <w:noProof/>
          <w:lang w:val="en-GB"/>
        </w:rPr>
      </w:pPr>
      <w:r w:rsidRPr="009A1A2E">
        <w:lastRenderedPageBreak/>
        <w:fldChar w:fldCharType="begin"/>
      </w:r>
      <w:r w:rsidRPr="009A1A2E">
        <w:instrText xml:space="preserve"> ADDIN REFMGR.REFLIST </w:instrText>
      </w:r>
      <w:r w:rsidRPr="009A1A2E">
        <w:fldChar w:fldCharType="separate"/>
      </w:r>
      <w:r w:rsidR="007331CB" w:rsidRPr="007331CB">
        <w:rPr>
          <w:rFonts w:cs="Arial"/>
          <w:noProof/>
        </w:rPr>
        <w:t xml:space="preserve">References </w:t>
      </w:r>
    </w:p>
    <w:p w14:paraId="3BCAF4A4" w14:textId="375B3E0F" w:rsidR="00D85D29" w:rsidRPr="009938F9" w:rsidRDefault="00D85D29" w:rsidP="009B4A07">
      <w:pPr>
        <w:pStyle w:val="Tablenotes"/>
        <w:tabs>
          <w:tab w:val="left" w:pos="0"/>
        </w:tabs>
        <w:spacing w:after="240"/>
        <w:jc w:val="both"/>
        <w:rPr>
          <w:rFonts w:ascii="Arial" w:hAnsi="Arial" w:cs="Arial"/>
          <w:noProof/>
          <w:sz w:val="20"/>
          <w:lang w:val="en-US"/>
        </w:rPr>
      </w:pPr>
      <w:r>
        <w:rPr>
          <w:rFonts w:ascii="Arial" w:hAnsi="Arial" w:cs="Arial"/>
          <w:noProof/>
          <w:sz w:val="20"/>
        </w:rPr>
        <w:t>Alberta Health and Wellness Report.</w:t>
      </w:r>
      <w:r w:rsidR="007038FB">
        <w:rPr>
          <w:rFonts w:ascii="Arial" w:hAnsi="Arial" w:cs="Arial"/>
          <w:noProof/>
          <w:sz w:val="20"/>
        </w:rPr>
        <w:t xml:space="preserve"> </w:t>
      </w:r>
      <w:r w:rsidR="007D1A54">
        <w:rPr>
          <w:rFonts w:ascii="Arial" w:hAnsi="Arial" w:cs="Arial"/>
          <w:noProof/>
          <w:sz w:val="20"/>
        </w:rPr>
        <w:t>2011.</w:t>
      </w:r>
      <w:r>
        <w:rPr>
          <w:rFonts w:ascii="Arial" w:hAnsi="Arial" w:cs="Arial"/>
          <w:noProof/>
          <w:sz w:val="20"/>
        </w:rPr>
        <w:t xml:space="preserve"> STE Report:</w:t>
      </w:r>
      <w:r w:rsidR="007D1A54">
        <w:rPr>
          <w:rFonts w:ascii="Arial" w:hAnsi="Arial" w:cs="Arial"/>
          <w:noProof/>
          <w:sz w:val="20"/>
        </w:rPr>
        <w:t xml:space="preserve"> </w:t>
      </w:r>
      <w:r>
        <w:rPr>
          <w:rFonts w:ascii="Arial" w:hAnsi="Arial" w:cs="Arial"/>
          <w:noProof/>
          <w:sz w:val="20"/>
        </w:rPr>
        <w:t>Middle Ear Implants for the Tr</w:t>
      </w:r>
      <w:r w:rsidR="007D1A54">
        <w:rPr>
          <w:rFonts w:ascii="Arial" w:hAnsi="Arial" w:cs="Arial"/>
          <w:noProof/>
          <w:sz w:val="20"/>
        </w:rPr>
        <w:t>eatment of Hearing Loss</w:t>
      </w:r>
    </w:p>
    <w:p w14:paraId="74181A1B" w14:textId="0774DC07" w:rsidR="009938F9" w:rsidRPr="009938F9" w:rsidRDefault="009938F9" w:rsidP="009B4A07">
      <w:pPr>
        <w:pStyle w:val="Tablenotes"/>
        <w:tabs>
          <w:tab w:val="left" w:pos="0"/>
        </w:tabs>
        <w:spacing w:after="240"/>
        <w:jc w:val="both"/>
        <w:rPr>
          <w:rFonts w:ascii="Arial" w:hAnsi="Arial" w:cs="Arial"/>
          <w:sz w:val="20"/>
          <w:szCs w:val="20"/>
        </w:rPr>
      </w:pPr>
      <w:r w:rsidRPr="009938F9">
        <w:rPr>
          <w:rFonts w:ascii="Arial" w:hAnsi="Arial" w:cs="Arial"/>
          <w:sz w:val="20"/>
          <w:szCs w:val="20"/>
          <w:lang w:val="en-GB"/>
        </w:rPr>
        <w:t>Australian Bureau of Statistics. Life Tables, States, Territories and Australia, 2011-2013. Accessed 23</w:t>
      </w:r>
      <w:r w:rsidRPr="009938F9">
        <w:rPr>
          <w:rFonts w:ascii="Arial" w:hAnsi="Arial" w:cs="Arial"/>
          <w:sz w:val="20"/>
          <w:szCs w:val="20"/>
          <w:vertAlign w:val="superscript"/>
          <w:lang w:val="en-GB"/>
        </w:rPr>
        <w:t>rd</w:t>
      </w:r>
      <w:r w:rsidRPr="009938F9">
        <w:rPr>
          <w:rFonts w:ascii="Arial" w:hAnsi="Arial" w:cs="Arial"/>
          <w:sz w:val="20"/>
          <w:szCs w:val="20"/>
          <w:lang w:val="en-GB"/>
        </w:rPr>
        <w:t xml:space="preserve"> July, 2015 from </w:t>
      </w:r>
      <w:hyperlink r:id="rId72" w:tooltip="Australian Bureau of Statistics website" w:history="1">
        <w:r w:rsidRPr="009938F9">
          <w:rPr>
            <w:rStyle w:val="Hyperlink"/>
            <w:rFonts w:ascii="Arial" w:hAnsi="Arial" w:cs="Arial"/>
            <w:sz w:val="20"/>
            <w:szCs w:val="20"/>
            <w:lang w:val="en-GB"/>
          </w:rPr>
          <w:t>http://www.abs.gov.au/ausstats/abs@.nsf/mf/3302.0.55.001</w:t>
        </w:r>
      </w:hyperlink>
    </w:p>
    <w:p w14:paraId="5BAE788A" w14:textId="605CF645" w:rsidR="009938F9" w:rsidRPr="009938F9" w:rsidRDefault="009938F9" w:rsidP="009B4A07">
      <w:pPr>
        <w:pStyle w:val="Tablenotes"/>
        <w:tabs>
          <w:tab w:val="left" w:pos="0"/>
        </w:tabs>
        <w:spacing w:after="240"/>
        <w:jc w:val="both"/>
        <w:rPr>
          <w:rFonts w:ascii="Arial" w:hAnsi="Arial" w:cs="Arial"/>
          <w:noProof/>
          <w:sz w:val="20"/>
          <w:szCs w:val="20"/>
          <w:lang w:val="en-US"/>
        </w:rPr>
      </w:pPr>
      <w:r w:rsidRPr="009938F9">
        <w:rPr>
          <w:rFonts w:ascii="Arial" w:hAnsi="Arial" w:cs="Arial"/>
          <w:sz w:val="20"/>
          <w:szCs w:val="20"/>
          <w:lang w:val="en-GB"/>
        </w:rPr>
        <w:t xml:space="preserve">Australian Institute for Health and Wellness. Australian refined diagnosis-related groups (AR-DRG) Version 5.1. Accessed .. from </w:t>
      </w:r>
      <w:hyperlink r:id="rId73" w:tooltip="Australian Institute for Health and Wellness website" w:history="1">
        <w:r w:rsidRPr="009938F9">
          <w:rPr>
            <w:rStyle w:val="Hyperlink"/>
            <w:rFonts w:ascii="Arial" w:hAnsi="Arial" w:cs="Arial"/>
            <w:sz w:val="20"/>
            <w:szCs w:val="20"/>
            <w:lang w:val="en-GB"/>
          </w:rPr>
          <w:t>https://reporting.aihw.gov.au/Reports/openRVUrl.do</w:t>
        </w:r>
      </w:hyperlink>
    </w:p>
    <w:p w14:paraId="4F53345A" w14:textId="77777777" w:rsidR="00337593" w:rsidRPr="00337593" w:rsidRDefault="00337593" w:rsidP="009B4A07">
      <w:pPr>
        <w:pStyle w:val="Tablenotes"/>
        <w:tabs>
          <w:tab w:val="left" w:pos="0"/>
        </w:tabs>
        <w:spacing w:after="240"/>
        <w:jc w:val="both"/>
        <w:rPr>
          <w:rFonts w:ascii="Arial" w:hAnsi="Arial" w:cs="Arial"/>
          <w:noProof/>
          <w:sz w:val="20"/>
          <w:szCs w:val="20"/>
        </w:rPr>
      </w:pPr>
      <w:r w:rsidRPr="00A9436E">
        <w:rPr>
          <w:rFonts w:ascii="Arial" w:hAnsi="Arial" w:cs="Arial"/>
          <w:sz w:val="20"/>
          <w:szCs w:val="20"/>
          <w:lang w:val="en-GB"/>
        </w:rPr>
        <w:t>Beck JR, Pauker SG, Got</w:t>
      </w:r>
      <w:r w:rsidR="007D1A54" w:rsidRPr="00A9436E">
        <w:rPr>
          <w:rFonts w:ascii="Arial" w:hAnsi="Arial" w:cs="Arial"/>
          <w:sz w:val="20"/>
          <w:szCs w:val="20"/>
          <w:lang w:val="en-GB"/>
        </w:rPr>
        <w:t>tlieb JE, Klein K, Kassirer JP. 1982</w:t>
      </w:r>
      <w:r w:rsidRPr="00A9436E">
        <w:rPr>
          <w:rFonts w:ascii="Arial" w:hAnsi="Arial" w:cs="Arial"/>
          <w:sz w:val="20"/>
          <w:szCs w:val="20"/>
          <w:lang w:val="en-GB"/>
        </w:rPr>
        <w:t xml:space="preserve">. </w:t>
      </w:r>
      <w:r w:rsidRPr="00337593">
        <w:rPr>
          <w:rFonts w:ascii="Arial" w:hAnsi="Arial" w:cs="Arial"/>
          <w:sz w:val="20"/>
          <w:szCs w:val="20"/>
          <w:lang w:val="en-GB"/>
        </w:rPr>
        <w:t>A convenient approximation of life expectancy (the "DEALE"). II. Use in medical decision-making. Am J Med. 73(6):889-97</w:t>
      </w:r>
    </w:p>
    <w:p w14:paraId="460C41F4" w14:textId="77777777" w:rsidR="00D85D29" w:rsidRDefault="007D1A54" w:rsidP="009B4A07">
      <w:pPr>
        <w:pStyle w:val="Tablenotes"/>
        <w:tabs>
          <w:tab w:val="left" w:pos="0"/>
        </w:tabs>
        <w:spacing w:after="240"/>
        <w:jc w:val="both"/>
        <w:rPr>
          <w:rFonts w:ascii="Arial" w:hAnsi="Arial" w:cs="Arial"/>
          <w:noProof/>
          <w:sz w:val="20"/>
        </w:rPr>
      </w:pPr>
      <w:r>
        <w:rPr>
          <w:rFonts w:ascii="Arial" w:hAnsi="Arial" w:cs="Arial"/>
          <w:noProof/>
          <w:sz w:val="20"/>
        </w:rPr>
        <w:t>Beltrame AM. 2009.</w:t>
      </w:r>
      <w:r w:rsidR="00D85D29">
        <w:rPr>
          <w:rFonts w:ascii="Arial" w:hAnsi="Arial" w:cs="Arial"/>
          <w:noProof/>
          <w:sz w:val="20"/>
        </w:rPr>
        <w:t xml:space="preserve"> Coupling the Vibrant Soundbridge to Cochlea Round Window: Auditory Results in Patients With Mixed Heari</w:t>
      </w:r>
      <w:r>
        <w:rPr>
          <w:rFonts w:ascii="Arial" w:hAnsi="Arial" w:cs="Arial"/>
          <w:noProof/>
          <w:sz w:val="20"/>
        </w:rPr>
        <w:t>ng Loss.</w:t>
      </w:r>
      <w:r w:rsidR="00D85D29">
        <w:rPr>
          <w:rFonts w:ascii="Arial" w:hAnsi="Arial" w:cs="Arial"/>
          <w:noProof/>
          <w:sz w:val="20"/>
        </w:rPr>
        <w:t xml:space="preserve"> Otology &amp; Neurot</w:t>
      </w:r>
      <w:r>
        <w:rPr>
          <w:rFonts w:ascii="Arial" w:hAnsi="Arial" w:cs="Arial"/>
          <w:noProof/>
          <w:sz w:val="20"/>
        </w:rPr>
        <w:t>ology, v. 30, no. 2, p. 194-201</w:t>
      </w:r>
    </w:p>
    <w:p w14:paraId="5F4AFEA3" w14:textId="77777777" w:rsidR="00337593" w:rsidRPr="00337593" w:rsidRDefault="00337593" w:rsidP="009B4A07">
      <w:pPr>
        <w:pStyle w:val="Tablenotes"/>
        <w:tabs>
          <w:tab w:val="left" w:pos="0"/>
        </w:tabs>
        <w:spacing w:after="240"/>
        <w:jc w:val="both"/>
        <w:rPr>
          <w:rFonts w:ascii="Arial" w:hAnsi="Arial" w:cs="Arial"/>
          <w:noProof/>
          <w:sz w:val="20"/>
          <w:szCs w:val="20"/>
        </w:rPr>
      </w:pPr>
      <w:r w:rsidRPr="00337593">
        <w:rPr>
          <w:rFonts w:ascii="Arial" w:hAnsi="Arial" w:cs="Arial"/>
          <w:sz w:val="20"/>
          <w:szCs w:val="20"/>
          <w:lang w:val="en-GB"/>
        </w:rPr>
        <w:t>Bichey BG, Hovers</w:t>
      </w:r>
      <w:r w:rsidR="007D1A54">
        <w:rPr>
          <w:rFonts w:ascii="Arial" w:hAnsi="Arial" w:cs="Arial"/>
          <w:sz w:val="20"/>
          <w:szCs w:val="20"/>
          <w:lang w:val="en-GB"/>
        </w:rPr>
        <w:t>land JM, Wynne MK, Miyamoto RT. 2002.</w:t>
      </w:r>
      <w:r w:rsidRPr="00337593">
        <w:rPr>
          <w:rFonts w:ascii="Arial" w:hAnsi="Arial" w:cs="Arial"/>
          <w:sz w:val="20"/>
          <w:szCs w:val="20"/>
          <w:lang w:val="en-GB"/>
        </w:rPr>
        <w:t xml:space="preserve"> Changes in quality of life and the cost-utility associated with cochlear implantation in patients with large vestibular aqueduct syndrome. Otol. Neurotol. 23(3): 323-327</w:t>
      </w:r>
    </w:p>
    <w:p w14:paraId="5B179A9D" w14:textId="77777777" w:rsidR="00D85D29" w:rsidRDefault="007D1A54" w:rsidP="009B4A07">
      <w:pPr>
        <w:pStyle w:val="Tablenotes"/>
        <w:tabs>
          <w:tab w:val="left" w:pos="0"/>
        </w:tabs>
        <w:spacing w:after="240"/>
        <w:jc w:val="both"/>
        <w:rPr>
          <w:rFonts w:ascii="Arial" w:hAnsi="Arial" w:cs="Arial"/>
          <w:noProof/>
          <w:sz w:val="20"/>
        </w:rPr>
      </w:pPr>
      <w:r>
        <w:rPr>
          <w:rFonts w:ascii="Arial" w:hAnsi="Arial" w:cs="Arial"/>
          <w:noProof/>
          <w:sz w:val="20"/>
        </w:rPr>
        <w:t>Blamey P. 1997.</w:t>
      </w:r>
      <w:r w:rsidR="00D85D29">
        <w:rPr>
          <w:rFonts w:ascii="Arial" w:hAnsi="Arial" w:cs="Arial"/>
          <w:noProof/>
          <w:sz w:val="20"/>
        </w:rPr>
        <w:t xml:space="preserve"> Are spiral ganglion cell numbers important for speech perc</w:t>
      </w:r>
      <w:r>
        <w:rPr>
          <w:rFonts w:ascii="Arial" w:hAnsi="Arial" w:cs="Arial"/>
          <w:noProof/>
          <w:sz w:val="20"/>
        </w:rPr>
        <w:t>eption with a cochlear implant?.</w:t>
      </w:r>
      <w:r w:rsidR="00D85D29">
        <w:rPr>
          <w:rFonts w:ascii="Arial" w:hAnsi="Arial" w:cs="Arial"/>
          <w:noProof/>
          <w:sz w:val="20"/>
        </w:rPr>
        <w:t xml:space="preserve"> Am.J.Otol.,</w:t>
      </w:r>
      <w:r w:rsidR="00604AC0">
        <w:rPr>
          <w:rFonts w:ascii="Arial" w:hAnsi="Arial" w:cs="Arial"/>
          <w:noProof/>
          <w:sz w:val="20"/>
        </w:rPr>
        <w:t xml:space="preserve"> v. 18, no. 6 Suppl, p. S11-S12</w:t>
      </w:r>
    </w:p>
    <w:p w14:paraId="33936C5A" w14:textId="77777777" w:rsidR="00337593" w:rsidRPr="007D1A54" w:rsidRDefault="007D1A54" w:rsidP="009B4A07">
      <w:pPr>
        <w:pStyle w:val="Tablenotes"/>
        <w:tabs>
          <w:tab w:val="left" w:pos="0"/>
        </w:tabs>
        <w:spacing w:after="240"/>
        <w:jc w:val="both"/>
        <w:rPr>
          <w:rFonts w:ascii="Arial" w:hAnsi="Arial" w:cs="Arial"/>
          <w:noProof/>
          <w:sz w:val="20"/>
          <w:szCs w:val="20"/>
        </w:rPr>
      </w:pPr>
      <w:r w:rsidRPr="007D1A54">
        <w:rPr>
          <w:rFonts w:ascii="Arial" w:hAnsi="Arial" w:cs="Arial"/>
          <w:sz w:val="20"/>
          <w:szCs w:val="20"/>
        </w:rPr>
        <w:t>Blamey P, Artieres F, Başkent D, Bergeron F, Beynon A, Burke E, Dillier N, Dowell R, Fraysse B, Gallégo S, Govaerts PJ, Green K, Huber AM, Kleine-Punte A, Maat B, Marx M, Mawman D, Mosnier I, O'Connor AF, O'Leary S, Rousset A, Schauwers K, Skarzynski H, Skarzynski PH, Sterkers O, Terranti A, Truy E, Van de Heyning P, Venail F, Vincent C, Lazard DS.</w:t>
      </w:r>
      <w:r w:rsidRPr="007D1A54">
        <w:rPr>
          <w:rFonts w:ascii="Arial" w:hAnsi="Arial" w:cs="Arial"/>
          <w:noProof/>
          <w:sz w:val="20"/>
          <w:szCs w:val="20"/>
        </w:rPr>
        <w:t xml:space="preserve"> 2013.</w:t>
      </w:r>
      <w:r w:rsidR="00D85D29" w:rsidRPr="007D1A54">
        <w:rPr>
          <w:rFonts w:ascii="Arial" w:hAnsi="Arial" w:cs="Arial"/>
          <w:noProof/>
          <w:sz w:val="20"/>
          <w:szCs w:val="20"/>
        </w:rPr>
        <w:t xml:space="preserve"> Factors affecting auditory performance of postlinguistically deaf adults using cochlear implants: an update with 2251 patients: Audiol.Neurootol., v. 1</w:t>
      </w:r>
      <w:r w:rsidR="00604AC0">
        <w:rPr>
          <w:rFonts w:ascii="Arial" w:hAnsi="Arial" w:cs="Arial"/>
          <w:noProof/>
          <w:sz w:val="20"/>
          <w:szCs w:val="20"/>
        </w:rPr>
        <w:t>8, no. 1, p. 36-47</w:t>
      </w:r>
    </w:p>
    <w:p w14:paraId="39B08114" w14:textId="77777777" w:rsidR="000E76DD" w:rsidRPr="000E76DD" w:rsidRDefault="007D1A54" w:rsidP="009B4A07">
      <w:pPr>
        <w:pStyle w:val="Tablenotes"/>
        <w:tabs>
          <w:tab w:val="left" w:pos="0"/>
        </w:tabs>
        <w:spacing w:after="240"/>
        <w:jc w:val="both"/>
        <w:rPr>
          <w:rFonts w:ascii="Arial" w:hAnsi="Arial" w:cs="Arial"/>
          <w:noProof/>
          <w:sz w:val="20"/>
          <w:szCs w:val="20"/>
        </w:rPr>
      </w:pPr>
      <w:r w:rsidRPr="007D1A54">
        <w:rPr>
          <w:rFonts w:ascii="Arial" w:hAnsi="Arial" w:cs="Arial"/>
          <w:sz w:val="20"/>
          <w:szCs w:val="20"/>
          <w:lang w:val="en-US" w:eastAsia="de-AT"/>
        </w:rPr>
        <w:t>Bond</w:t>
      </w:r>
      <w:r w:rsidR="000E76DD" w:rsidRPr="000E76DD">
        <w:rPr>
          <w:rFonts w:ascii="Arial" w:hAnsi="Arial" w:cs="Arial"/>
          <w:sz w:val="20"/>
          <w:szCs w:val="20"/>
          <w:lang w:val="en-US" w:eastAsia="de-AT"/>
        </w:rPr>
        <w:t xml:space="preserve"> M</w:t>
      </w:r>
      <w:r w:rsidRPr="007D1A54">
        <w:rPr>
          <w:rFonts w:ascii="Arial" w:hAnsi="Arial" w:cs="Arial"/>
          <w:sz w:val="20"/>
          <w:szCs w:val="20"/>
          <w:lang w:val="en-US" w:eastAsia="de-AT"/>
        </w:rPr>
        <w:t>, Mealing</w:t>
      </w:r>
      <w:r w:rsidR="000E76DD" w:rsidRPr="000E76DD">
        <w:rPr>
          <w:rFonts w:ascii="Arial" w:hAnsi="Arial" w:cs="Arial"/>
          <w:sz w:val="20"/>
          <w:szCs w:val="20"/>
          <w:lang w:val="en-US" w:eastAsia="de-AT"/>
        </w:rPr>
        <w:t xml:space="preserve"> S</w:t>
      </w:r>
      <w:r w:rsidRPr="007D1A54">
        <w:rPr>
          <w:rFonts w:ascii="Arial" w:hAnsi="Arial" w:cs="Arial"/>
          <w:sz w:val="20"/>
          <w:szCs w:val="20"/>
          <w:lang w:val="en-US" w:eastAsia="de-AT"/>
        </w:rPr>
        <w:t>, Anderson</w:t>
      </w:r>
      <w:r w:rsidR="000E76DD" w:rsidRPr="000E76DD">
        <w:rPr>
          <w:rFonts w:ascii="Arial" w:hAnsi="Arial" w:cs="Arial"/>
          <w:sz w:val="20"/>
          <w:szCs w:val="20"/>
          <w:lang w:val="en-US" w:eastAsia="de-AT"/>
        </w:rPr>
        <w:t xml:space="preserve"> R</w:t>
      </w:r>
      <w:r w:rsidR="000E76DD" w:rsidRPr="007D1A54">
        <w:rPr>
          <w:rFonts w:ascii="Arial" w:hAnsi="Arial" w:cs="Arial"/>
          <w:sz w:val="20"/>
          <w:szCs w:val="20"/>
          <w:lang w:val="en-US" w:eastAsia="de-AT"/>
        </w:rPr>
        <w:t>,</w:t>
      </w:r>
      <w:r w:rsidRPr="007D1A54">
        <w:rPr>
          <w:rFonts w:ascii="Arial" w:hAnsi="Arial" w:cs="Arial"/>
          <w:sz w:val="20"/>
          <w:szCs w:val="20"/>
          <w:lang w:val="en-US" w:eastAsia="de-AT"/>
        </w:rPr>
        <w:t xml:space="preserve"> Elston</w:t>
      </w:r>
      <w:r w:rsidR="000E76DD" w:rsidRPr="000E76DD">
        <w:rPr>
          <w:rFonts w:ascii="Arial" w:hAnsi="Arial" w:cs="Arial"/>
          <w:sz w:val="20"/>
          <w:szCs w:val="20"/>
          <w:lang w:val="en-US" w:eastAsia="de-AT"/>
        </w:rPr>
        <w:t xml:space="preserve"> J</w:t>
      </w:r>
      <w:r w:rsidR="000E76DD" w:rsidRPr="007D1A54">
        <w:rPr>
          <w:rFonts w:ascii="Arial" w:hAnsi="Arial" w:cs="Arial"/>
          <w:sz w:val="20"/>
          <w:szCs w:val="20"/>
          <w:lang w:val="en-US" w:eastAsia="de-AT"/>
        </w:rPr>
        <w:t>,</w:t>
      </w:r>
      <w:r w:rsidRPr="007D1A54">
        <w:rPr>
          <w:rFonts w:ascii="Arial" w:hAnsi="Arial" w:cs="Arial"/>
          <w:sz w:val="20"/>
          <w:szCs w:val="20"/>
          <w:lang w:val="en-US" w:eastAsia="de-AT"/>
        </w:rPr>
        <w:t xml:space="preserve"> Weiner</w:t>
      </w:r>
      <w:r w:rsidR="000E76DD" w:rsidRPr="000E76DD">
        <w:rPr>
          <w:rFonts w:ascii="Arial" w:hAnsi="Arial" w:cs="Arial"/>
          <w:sz w:val="20"/>
          <w:szCs w:val="20"/>
          <w:lang w:val="en-US" w:eastAsia="de-AT"/>
        </w:rPr>
        <w:t xml:space="preserve"> G</w:t>
      </w:r>
      <w:r w:rsidR="000E76DD" w:rsidRPr="007D1A54">
        <w:rPr>
          <w:rFonts w:ascii="Arial" w:hAnsi="Arial" w:cs="Arial"/>
          <w:sz w:val="20"/>
          <w:szCs w:val="20"/>
          <w:lang w:val="en-US" w:eastAsia="de-AT"/>
        </w:rPr>
        <w:t>,</w:t>
      </w:r>
      <w:r w:rsidRPr="007D1A54">
        <w:rPr>
          <w:rFonts w:ascii="Arial" w:hAnsi="Arial" w:cs="Arial"/>
          <w:sz w:val="20"/>
          <w:szCs w:val="20"/>
          <w:lang w:val="en-US" w:eastAsia="de-AT"/>
        </w:rPr>
        <w:t xml:space="preserve"> Taylor</w:t>
      </w:r>
      <w:r w:rsidR="000E76DD" w:rsidRPr="000E76DD">
        <w:rPr>
          <w:rFonts w:ascii="Arial" w:hAnsi="Arial" w:cs="Arial"/>
          <w:sz w:val="20"/>
          <w:szCs w:val="20"/>
          <w:lang w:val="en-US" w:eastAsia="de-AT"/>
        </w:rPr>
        <w:t xml:space="preserve"> RS</w:t>
      </w:r>
      <w:r w:rsidR="000E76DD" w:rsidRPr="007D1A54">
        <w:rPr>
          <w:rFonts w:ascii="Arial" w:hAnsi="Arial" w:cs="Arial"/>
          <w:sz w:val="20"/>
          <w:szCs w:val="20"/>
          <w:lang w:val="en-US" w:eastAsia="de-AT"/>
        </w:rPr>
        <w:t>,</w:t>
      </w:r>
      <w:r w:rsidRPr="007D1A54">
        <w:rPr>
          <w:rFonts w:ascii="Arial" w:hAnsi="Arial" w:cs="Arial"/>
          <w:sz w:val="20"/>
          <w:szCs w:val="20"/>
          <w:lang w:val="en-US" w:eastAsia="de-AT"/>
        </w:rPr>
        <w:t xml:space="preserve"> Hoyle</w:t>
      </w:r>
      <w:r w:rsidR="000E76DD" w:rsidRPr="000E76DD">
        <w:rPr>
          <w:rFonts w:ascii="Arial" w:hAnsi="Arial" w:cs="Arial"/>
          <w:sz w:val="20"/>
          <w:szCs w:val="20"/>
          <w:lang w:val="en-US" w:eastAsia="de-AT"/>
        </w:rPr>
        <w:t xml:space="preserve"> M</w:t>
      </w:r>
      <w:r w:rsidR="000E76DD" w:rsidRPr="007D1A54">
        <w:rPr>
          <w:rFonts w:ascii="Arial" w:hAnsi="Arial" w:cs="Arial"/>
          <w:sz w:val="20"/>
          <w:szCs w:val="20"/>
          <w:lang w:val="en-US" w:eastAsia="de-AT"/>
        </w:rPr>
        <w:t>,</w:t>
      </w:r>
      <w:r w:rsidR="000E76DD" w:rsidRPr="000E76DD">
        <w:rPr>
          <w:rFonts w:ascii="Arial" w:hAnsi="Arial" w:cs="Arial"/>
          <w:sz w:val="20"/>
          <w:szCs w:val="20"/>
          <w:lang w:val="en-US" w:eastAsia="de-AT"/>
        </w:rPr>
        <w:t xml:space="preserve"> Li</w:t>
      </w:r>
      <w:r w:rsidRPr="007D1A54">
        <w:rPr>
          <w:rFonts w:ascii="Arial" w:hAnsi="Arial" w:cs="Arial"/>
          <w:sz w:val="20"/>
          <w:szCs w:val="20"/>
          <w:lang w:val="en-US" w:eastAsia="de-AT"/>
        </w:rPr>
        <w:t>u</w:t>
      </w:r>
      <w:r w:rsidR="000E76DD" w:rsidRPr="007D1A54">
        <w:rPr>
          <w:rFonts w:ascii="Arial" w:hAnsi="Arial" w:cs="Arial"/>
          <w:sz w:val="20"/>
          <w:szCs w:val="20"/>
          <w:lang w:val="en-US" w:eastAsia="de-AT"/>
        </w:rPr>
        <w:t xml:space="preserve"> Z,</w:t>
      </w:r>
      <w:r w:rsidRPr="007D1A54">
        <w:rPr>
          <w:rFonts w:ascii="Arial" w:hAnsi="Arial" w:cs="Arial"/>
          <w:sz w:val="20"/>
          <w:szCs w:val="20"/>
          <w:lang w:val="en-US" w:eastAsia="de-AT"/>
        </w:rPr>
        <w:t xml:space="preserve"> Price</w:t>
      </w:r>
      <w:r w:rsidR="000E76DD" w:rsidRPr="000E76DD">
        <w:rPr>
          <w:rFonts w:ascii="Arial" w:hAnsi="Arial" w:cs="Arial"/>
          <w:sz w:val="20"/>
          <w:szCs w:val="20"/>
          <w:lang w:val="en-US" w:eastAsia="de-AT"/>
        </w:rPr>
        <w:t xml:space="preserve"> A</w:t>
      </w:r>
      <w:r w:rsidR="000E76DD" w:rsidRPr="007D1A54">
        <w:rPr>
          <w:rFonts w:ascii="Arial" w:hAnsi="Arial" w:cs="Arial"/>
          <w:sz w:val="20"/>
          <w:szCs w:val="20"/>
          <w:lang w:val="en-US" w:eastAsia="de-AT"/>
        </w:rPr>
        <w:t>,</w:t>
      </w:r>
      <w:r w:rsidRPr="007D1A54">
        <w:rPr>
          <w:rFonts w:ascii="Arial" w:hAnsi="Arial" w:cs="Arial"/>
          <w:sz w:val="20"/>
          <w:szCs w:val="20"/>
          <w:lang w:val="en-US" w:eastAsia="de-AT"/>
        </w:rPr>
        <w:t xml:space="preserve"> Stein</w:t>
      </w:r>
      <w:r w:rsidR="000E76DD" w:rsidRPr="000E76DD">
        <w:rPr>
          <w:rFonts w:ascii="Arial" w:hAnsi="Arial" w:cs="Arial"/>
          <w:sz w:val="20"/>
          <w:szCs w:val="20"/>
          <w:lang w:val="en-US" w:eastAsia="de-AT"/>
        </w:rPr>
        <w:t xml:space="preserve"> K</w:t>
      </w:r>
      <w:r w:rsidRPr="007D1A54">
        <w:rPr>
          <w:rFonts w:ascii="Arial" w:hAnsi="Arial" w:cs="Arial"/>
          <w:sz w:val="20"/>
          <w:szCs w:val="20"/>
          <w:lang w:val="en-US" w:eastAsia="de-AT"/>
        </w:rPr>
        <w:t>.</w:t>
      </w:r>
      <w:r w:rsidR="000E76DD" w:rsidRPr="007D1A54">
        <w:rPr>
          <w:rFonts w:ascii="Arial" w:hAnsi="Arial" w:cs="Arial"/>
          <w:sz w:val="20"/>
          <w:szCs w:val="20"/>
          <w:lang w:val="en-US" w:eastAsia="de-AT"/>
        </w:rPr>
        <w:t xml:space="preserve"> 2009</w:t>
      </w:r>
      <w:r w:rsidRPr="007D1A54">
        <w:rPr>
          <w:rFonts w:ascii="Arial" w:hAnsi="Arial" w:cs="Arial"/>
          <w:sz w:val="20"/>
          <w:szCs w:val="20"/>
          <w:lang w:val="en-US" w:eastAsia="de-AT"/>
        </w:rPr>
        <w:t>.</w:t>
      </w:r>
      <w:r w:rsidR="00337593" w:rsidRPr="007D1A54">
        <w:rPr>
          <w:rFonts w:ascii="Arial" w:hAnsi="Arial" w:cs="Arial"/>
          <w:bCs/>
          <w:sz w:val="20"/>
          <w:szCs w:val="20"/>
          <w:lang w:val="en-US" w:eastAsia="de-AT"/>
        </w:rPr>
        <w:t xml:space="preserve"> The effectiveness and cost-effectiveness of cochlear implants for severe to profound deafness in children and adults: a systematic review and economic model</w:t>
      </w:r>
      <w:r w:rsidRPr="007D1A54">
        <w:rPr>
          <w:rFonts w:ascii="Arial" w:hAnsi="Arial" w:cs="Arial"/>
          <w:bCs/>
          <w:sz w:val="20"/>
          <w:szCs w:val="20"/>
          <w:lang w:val="en-US" w:eastAsia="de-AT"/>
        </w:rPr>
        <w:t xml:space="preserve">. </w:t>
      </w:r>
      <w:r w:rsidR="000E76DD" w:rsidRPr="007D1A54">
        <w:rPr>
          <w:rFonts w:ascii="Arial" w:hAnsi="Arial" w:cs="Arial"/>
          <w:iCs/>
          <w:sz w:val="20"/>
          <w:szCs w:val="20"/>
          <w:lang w:val="en-US" w:eastAsia="de-AT"/>
        </w:rPr>
        <w:t>Health Technol Assess</w:t>
      </w:r>
      <w:r w:rsidRPr="007D1A54">
        <w:rPr>
          <w:rFonts w:ascii="Arial" w:hAnsi="Arial" w:cs="Arial"/>
          <w:sz w:val="20"/>
          <w:szCs w:val="20"/>
          <w:lang w:val="en-US" w:eastAsia="de-AT"/>
        </w:rPr>
        <w:t>,</w:t>
      </w:r>
      <w:r w:rsidR="000E76DD" w:rsidRPr="000E76DD">
        <w:rPr>
          <w:rFonts w:ascii="Arial" w:hAnsi="Arial" w:cs="Arial"/>
          <w:sz w:val="20"/>
          <w:szCs w:val="20"/>
          <w:lang w:val="en-US" w:eastAsia="de-AT"/>
        </w:rPr>
        <w:t xml:space="preserve"> </w:t>
      </w:r>
      <w:r w:rsidR="000E76DD" w:rsidRPr="007D1A54">
        <w:rPr>
          <w:rFonts w:ascii="Arial" w:hAnsi="Arial" w:cs="Arial"/>
          <w:bCs/>
          <w:sz w:val="20"/>
          <w:szCs w:val="20"/>
          <w:lang w:val="en-US" w:eastAsia="de-AT"/>
        </w:rPr>
        <w:t>13(44)</w:t>
      </w:r>
      <w:r w:rsidR="000E76DD" w:rsidRPr="000E76DD">
        <w:rPr>
          <w:rFonts w:ascii="Arial" w:hAnsi="Arial" w:cs="Arial"/>
          <w:sz w:val="20"/>
          <w:szCs w:val="20"/>
          <w:lang w:val="en-US" w:eastAsia="de-AT"/>
        </w:rPr>
        <w:t>, p. 1-330</w:t>
      </w:r>
    </w:p>
    <w:p w14:paraId="4354A193" w14:textId="77777777" w:rsidR="00D85D29" w:rsidRDefault="007D1A54" w:rsidP="009B4A07">
      <w:pPr>
        <w:pStyle w:val="Tablenotes"/>
        <w:tabs>
          <w:tab w:val="left" w:pos="0"/>
        </w:tabs>
        <w:spacing w:after="240"/>
        <w:jc w:val="both"/>
        <w:rPr>
          <w:rFonts w:ascii="Arial" w:hAnsi="Arial" w:cs="Arial"/>
          <w:noProof/>
          <w:sz w:val="20"/>
        </w:rPr>
      </w:pPr>
      <w:r>
        <w:rPr>
          <w:rFonts w:ascii="Arial" w:hAnsi="Arial" w:cs="Arial"/>
          <w:noProof/>
          <w:sz w:val="20"/>
        </w:rPr>
        <w:t>Borg EG, Edquist AC, Reinholdson A,</w:t>
      </w:r>
      <w:r w:rsidR="00A165BC">
        <w:rPr>
          <w:rFonts w:ascii="Arial" w:hAnsi="Arial" w:cs="Arial"/>
          <w:noProof/>
          <w:sz w:val="20"/>
        </w:rPr>
        <w:t xml:space="preserve"> Risberg, and B McAllister. 2007.</w:t>
      </w:r>
      <w:r w:rsidR="00D85D29">
        <w:rPr>
          <w:rFonts w:ascii="Arial" w:hAnsi="Arial" w:cs="Arial"/>
          <w:noProof/>
          <w:sz w:val="20"/>
        </w:rPr>
        <w:t xml:space="preserve"> Speech and language development in a population of Swedish hearing-impaired pre-school ch</w:t>
      </w:r>
      <w:r w:rsidR="00A165BC">
        <w:rPr>
          <w:rFonts w:ascii="Arial" w:hAnsi="Arial" w:cs="Arial"/>
          <w:noProof/>
          <w:sz w:val="20"/>
        </w:rPr>
        <w:t>ildren, a cross-sectional study.</w:t>
      </w:r>
      <w:r w:rsidR="00D85D29">
        <w:rPr>
          <w:rFonts w:ascii="Arial" w:hAnsi="Arial" w:cs="Arial"/>
          <w:noProof/>
          <w:sz w:val="20"/>
        </w:rPr>
        <w:t xml:space="preserve"> Int.J.Pediatr.Otorhinolaryngol., v. </w:t>
      </w:r>
      <w:r w:rsidR="00604AC0">
        <w:rPr>
          <w:rFonts w:ascii="Arial" w:hAnsi="Arial" w:cs="Arial"/>
          <w:noProof/>
          <w:sz w:val="20"/>
        </w:rPr>
        <w:t>71, no. 7, p. 1061-1077</w:t>
      </w:r>
    </w:p>
    <w:p w14:paraId="20C75EEB" w14:textId="77777777" w:rsidR="00D85D29" w:rsidRDefault="00604AC0" w:rsidP="009B4A07">
      <w:pPr>
        <w:pStyle w:val="Tablenotes"/>
        <w:tabs>
          <w:tab w:val="left" w:pos="0"/>
        </w:tabs>
        <w:spacing w:after="240"/>
        <w:jc w:val="both"/>
        <w:rPr>
          <w:rFonts w:ascii="Arial" w:hAnsi="Arial" w:cs="Arial"/>
          <w:noProof/>
          <w:sz w:val="20"/>
        </w:rPr>
      </w:pPr>
      <w:r>
        <w:rPr>
          <w:rFonts w:ascii="Arial" w:hAnsi="Arial" w:cs="Arial"/>
          <w:noProof/>
          <w:sz w:val="20"/>
        </w:rPr>
        <w:t xml:space="preserve">Brennan S, </w:t>
      </w:r>
      <w:r w:rsidR="000E76DD">
        <w:rPr>
          <w:rFonts w:ascii="Arial" w:hAnsi="Arial" w:cs="Arial"/>
          <w:noProof/>
          <w:sz w:val="20"/>
        </w:rPr>
        <w:t>Gombac</w:t>
      </w:r>
      <w:r>
        <w:rPr>
          <w:rFonts w:ascii="Arial" w:hAnsi="Arial" w:cs="Arial"/>
          <w:noProof/>
          <w:sz w:val="20"/>
        </w:rPr>
        <w:t xml:space="preserve"> I, </w:t>
      </w:r>
      <w:r w:rsidR="000E76DD">
        <w:rPr>
          <w:rFonts w:ascii="Arial" w:hAnsi="Arial" w:cs="Arial"/>
          <w:noProof/>
          <w:sz w:val="20"/>
        </w:rPr>
        <w:t>L</w:t>
      </w:r>
      <w:r w:rsidR="00D85D29">
        <w:rPr>
          <w:rFonts w:ascii="Arial" w:hAnsi="Arial" w:cs="Arial"/>
          <w:noProof/>
          <w:sz w:val="20"/>
        </w:rPr>
        <w:t>eightholm</w:t>
      </w:r>
      <w:r>
        <w:rPr>
          <w:rFonts w:ascii="Arial" w:hAnsi="Arial" w:cs="Arial"/>
          <w:noProof/>
          <w:sz w:val="20"/>
        </w:rPr>
        <w:t xml:space="preserve"> M</w:t>
      </w:r>
      <w:r w:rsidR="00D85D29">
        <w:rPr>
          <w:rFonts w:ascii="Arial" w:hAnsi="Arial" w:cs="Arial"/>
          <w:noProof/>
          <w:sz w:val="20"/>
        </w:rPr>
        <w:t xml:space="preserve">. </w:t>
      </w:r>
      <w:r>
        <w:rPr>
          <w:rFonts w:ascii="Arial" w:hAnsi="Arial" w:cs="Arial"/>
          <w:noProof/>
          <w:sz w:val="20"/>
        </w:rPr>
        <w:t xml:space="preserve">2009. </w:t>
      </w:r>
      <w:r w:rsidR="00D85D29">
        <w:rPr>
          <w:rFonts w:ascii="Arial" w:hAnsi="Arial" w:cs="Arial"/>
          <w:noProof/>
          <w:sz w:val="20"/>
        </w:rPr>
        <w:t>Facts on hearing limitations. Participation and Activity Limitation Survey 2006; No.1 O</w:t>
      </w:r>
      <w:r>
        <w:rPr>
          <w:rFonts w:ascii="Arial" w:hAnsi="Arial" w:cs="Arial"/>
          <w:noProof/>
          <w:sz w:val="20"/>
        </w:rPr>
        <w:t>ttawa: Statistics Canada</w:t>
      </w:r>
    </w:p>
    <w:p w14:paraId="1B912109" w14:textId="77777777" w:rsidR="00D85D29" w:rsidRDefault="00604AC0" w:rsidP="009B4A07">
      <w:pPr>
        <w:pStyle w:val="Tablenotes"/>
        <w:tabs>
          <w:tab w:val="left" w:pos="0"/>
        </w:tabs>
        <w:spacing w:after="240"/>
        <w:jc w:val="both"/>
        <w:rPr>
          <w:rFonts w:ascii="Arial" w:hAnsi="Arial" w:cs="Arial"/>
          <w:noProof/>
          <w:sz w:val="20"/>
        </w:rPr>
      </w:pPr>
      <w:r>
        <w:rPr>
          <w:rFonts w:ascii="Arial" w:hAnsi="Arial" w:cs="Arial"/>
          <w:noProof/>
          <w:sz w:val="20"/>
        </w:rPr>
        <w:t xml:space="preserve">Butler CL, </w:t>
      </w:r>
      <w:r w:rsidR="00D85D29">
        <w:rPr>
          <w:rFonts w:ascii="Arial" w:hAnsi="Arial" w:cs="Arial"/>
          <w:noProof/>
          <w:sz w:val="20"/>
        </w:rPr>
        <w:t>Thavaneswaran</w:t>
      </w:r>
      <w:r>
        <w:rPr>
          <w:rFonts w:ascii="Arial" w:hAnsi="Arial" w:cs="Arial"/>
          <w:noProof/>
          <w:sz w:val="20"/>
        </w:rPr>
        <w:t xml:space="preserve"> P, and </w:t>
      </w:r>
      <w:r w:rsidR="00D85D29">
        <w:rPr>
          <w:rFonts w:ascii="Arial" w:hAnsi="Arial" w:cs="Arial"/>
          <w:noProof/>
          <w:sz w:val="20"/>
        </w:rPr>
        <w:t>Lee</w:t>
      </w:r>
      <w:r>
        <w:rPr>
          <w:rFonts w:ascii="Arial" w:hAnsi="Arial" w:cs="Arial"/>
          <w:noProof/>
          <w:sz w:val="20"/>
        </w:rPr>
        <w:t xml:space="preserve"> IH. 2013.</w:t>
      </w:r>
      <w:r w:rsidR="00D85D29">
        <w:rPr>
          <w:rFonts w:ascii="Arial" w:hAnsi="Arial" w:cs="Arial"/>
          <w:noProof/>
          <w:sz w:val="20"/>
        </w:rPr>
        <w:t xml:space="preserve"> Efficacy of the active middle-ear implant in patients </w:t>
      </w:r>
      <w:r>
        <w:rPr>
          <w:rFonts w:ascii="Arial" w:hAnsi="Arial" w:cs="Arial"/>
          <w:noProof/>
          <w:sz w:val="20"/>
        </w:rPr>
        <w:t>with sensorineural hearing loss.</w:t>
      </w:r>
      <w:r w:rsidR="00D85D29">
        <w:rPr>
          <w:rFonts w:ascii="Arial" w:hAnsi="Arial" w:cs="Arial"/>
          <w:noProof/>
          <w:sz w:val="20"/>
        </w:rPr>
        <w:t xml:space="preserve"> J.Laryngol.</w:t>
      </w:r>
      <w:r>
        <w:rPr>
          <w:rFonts w:ascii="Arial" w:hAnsi="Arial" w:cs="Arial"/>
          <w:noProof/>
          <w:sz w:val="20"/>
        </w:rPr>
        <w:t>Otol., v. 127 Suppl 2, p. S8-16</w:t>
      </w:r>
    </w:p>
    <w:p w14:paraId="29AD0A92" w14:textId="77777777" w:rsidR="00D85D29" w:rsidRDefault="00604AC0" w:rsidP="009B4A07">
      <w:pPr>
        <w:pStyle w:val="Tablenotes"/>
        <w:tabs>
          <w:tab w:val="left" w:pos="0"/>
        </w:tabs>
        <w:spacing w:after="240"/>
        <w:jc w:val="both"/>
        <w:rPr>
          <w:rFonts w:ascii="Arial" w:hAnsi="Arial" w:cs="Arial"/>
          <w:noProof/>
          <w:sz w:val="20"/>
        </w:rPr>
      </w:pPr>
      <w:r>
        <w:rPr>
          <w:rFonts w:ascii="Arial" w:hAnsi="Arial" w:cs="Arial"/>
          <w:noProof/>
          <w:sz w:val="20"/>
        </w:rPr>
        <w:t xml:space="preserve">Carney AE, and </w:t>
      </w:r>
      <w:r w:rsidR="00D85D29">
        <w:rPr>
          <w:rFonts w:ascii="Arial" w:hAnsi="Arial" w:cs="Arial"/>
          <w:noProof/>
          <w:sz w:val="20"/>
        </w:rPr>
        <w:t>Moeller</w:t>
      </w:r>
      <w:r>
        <w:rPr>
          <w:rFonts w:ascii="Arial" w:hAnsi="Arial" w:cs="Arial"/>
          <w:noProof/>
          <w:sz w:val="20"/>
        </w:rPr>
        <w:t xml:space="preserve"> MP. 1998.</w:t>
      </w:r>
      <w:r w:rsidR="00D85D29">
        <w:rPr>
          <w:rFonts w:ascii="Arial" w:hAnsi="Arial" w:cs="Arial"/>
          <w:noProof/>
          <w:sz w:val="20"/>
        </w:rPr>
        <w:t xml:space="preserve"> Treatment eff</w:t>
      </w:r>
      <w:r>
        <w:rPr>
          <w:rFonts w:ascii="Arial" w:hAnsi="Arial" w:cs="Arial"/>
          <w:noProof/>
          <w:sz w:val="20"/>
        </w:rPr>
        <w:t>icacy: hearing loss in children.</w:t>
      </w:r>
      <w:r w:rsidR="00D85D29">
        <w:rPr>
          <w:rFonts w:ascii="Arial" w:hAnsi="Arial" w:cs="Arial"/>
          <w:noProof/>
          <w:sz w:val="20"/>
        </w:rPr>
        <w:t xml:space="preserve"> J.Speech Lang Hear</w:t>
      </w:r>
      <w:r>
        <w:rPr>
          <w:rFonts w:ascii="Arial" w:hAnsi="Arial" w:cs="Arial"/>
          <w:noProof/>
          <w:sz w:val="20"/>
        </w:rPr>
        <w:t>.Res., v. 41, no. 1, p. S61-S84</w:t>
      </w:r>
    </w:p>
    <w:p w14:paraId="6E7B54A2" w14:textId="77777777" w:rsidR="00D85D29" w:rsidRPr="008718FB" w:rsidRDefault="00D85D29" w:rsidP="009B4A07">
      <w:pPr>
        <w:pStyle w:val="Tablenotes"/>
        <w:tabs>
          <w:tab w:val="left" w:pos="0"/>
        </w:tabs>
        <w:spacing w:after="240"/>
        <w:jc w:val="both"/>
        <w:rPr>
          <w:rFonts w:ascii="Arial" w:hAnsi="Arial" w:cs="Arial"/>
          <w:noProof/>
          <w:sz w:val="20"/>
          <w:lang w:val="fr-FR"/>
        </w:rPr>
      </w:pPr>
      <w:r w:rsidRPr="008718FB">
        <w:rPr>
          <w:rFonts w:ascii="Arial" w:hAnsi="Arial" w:cs="Arial"/>
          <w:noProof/>
          <w:sz w:val="20"/>
          <w:lang w:val="en-US"/>
        </w:rPr>
        <w:t xml:space="preserve">CEDIT. </w:t>
      </w:r>
      <w:r w:rsidRPr="000B7EA5">
        <w:rPr>
          <w:rFonts w:ascii="Arial" w:hAnsi="Arial" w:cs="Arial"/>
          <w:noProof/>
          <w:sz w:val="20"/>
          <w:lang w:val="fr-FR"/>
        </w:rPr>
        <w:t>Comite d'Evaluation et de Diffusion d</w:t>
      </w:r>
      <w:r w:rsidR="00337593">
        <w:rPr>
          <w:rFonts w:ascii="Arial" w:hAnsi="Arial" w:cs="Arial"/>
          <w:noProof/>
          <w:sz w:val="20"/>
          <w:lang w:val="fr-FR"/>
        </w:rPr>
        <w:t xml:space="preserve">es Innovations Technologiques. </w:t>
      </w:r>
      <w:r w:rsidR="00337593" w:rsidRPr="008718FB">
        <w:rPr>
          <w:rFonts w:ascii="Arial" w:hAnsi="Arial" w:cs="Arial"/>
          <w:noProof/>
          <w:sz w:val="20"/>
          <w:lang w:val="fr-FR"/>
        </w:rPr>
        <w:t>2002</w:t>
      </w:r>
    </w:p>
    <w:p w14:paraId="0C6AC3A4" w14:textId="77777777" w:rsidR="00D85D29" w:rsidRDefault="00604AC0" w:rsidP="009B4A07">
      <w:pPr>
        <w:pStyle w:val="Tablenotes"/>
        <w:tabs>
          <w:tab w:val="left" w:pos="0"/>
        </w:tabs>
        <w:spacing w:after="240"/>
        <w:jc w:val="both"/>
        <w:rPr>
          <w:rFonts w:ascii="Arial" w:hAnsi="Arial" w:cs="Arial"/>
          <w:noProof/>
          <w:sz w:val="20"/>
        </w:rPr>
      </w:pPr>
      <w:r w:rsidRPr="008718FB">
        <w:rPr>
          <w:rFonts w:ascii="Arial" w:hAnsi="Arial" w:cs="Arial"/>
          <w:noProof/>
          <w:sz w:val="20"/>
          <w:lang w:val="fr-FR"/>
        </w:rPr>
        <w:t xml:space="preserve">Chisolm TH, </w:t>
      </w:r>
      <w:r w:rsidR="00D85D29" w:rsidRPr="008718FB">
        <w:rPr>
          <w:rFonts w:ascii="Arial" w:hAnsi="Arial" w:cs="Arial"/>
          <w:noProof/>
          <w:sz w:val="20"/>
          <w:lang w:val="fr-FR"/>
        </w:rPr>
        <w:t>Johnson</w:t>
      </w:r>
      <w:r w:rsidRPr="008718FB">
        <w:rPr>
          <w:rFonts w:ascii="Arial" w:hAnsi="Arial" w:cs="Arial"/>
          <w:noProof/>
          <w:sz w:val="20"/>
          <w:lang w:val="fr-FR"/>
        </w:rPr>
        <w:t xml:space="preserve"> CE, </w:t>
      </w:r>
      <w:r w:rsidR="00D85D29" w:rsidRPr="008718FB">
        <w:rPr>
          <w:rFonts w:ascii="Arial" w:hAnsi="Arial" w:cs="Arial"/>
          <w:noProof/>
          <w:sz w:val="20"/>
          <w:lang w:val="fr-FR"/>
        </w:rPr>
        <w:t>Danhauer</w:t>
      </w:r>
      <w:r w:rsidRPr="008718FB">
        <w:rPr>
          <w:rFonts w:ascii="Arial" w:hAnsi="Arial" w:cs="Arial"/>
          <w:noProof/>
          <w:sz w:val="20"/>
          <w:lang w:val="fr-FR"/>
        </w:rPr>
        <w:t xml:space="preserve"> JL, </w:t>
      </w:r>
      <w:r w:rsidR="00D85D29" w:rsidRPr="008718FB">
        <w:rPr>
          <w:rFonts w:ascii="Arial" w:hAnsi="Arial" w:cs="Arial"/>
          <w:noProof/>
          <w:sz w:val="20"/>
          <w:lang w:val="fr-FR"/>
        </w:rPr>
        <w:t>Portz</w:t>
      </w:r>
      <w:r w:rsidRPr="008718FB">
        <w:rPr>
          <w:rFonts w:ascii="Arial" w:hAnsi="Arial" w:cs="Arial"/>
          <w:noProof/>
          <w:sz w:val="20"/>
          <w:lang w:val="fr-FR"/>
        </w:rPr>
        <w:t xml:space="preserve"> LJ, </w:t>
      </w:r>
      <w:r w:rsidR="00D85D29" w:rsidRPr="008718FB">
        <w:rPr>
          <w:rFonts w:ascii="Arial" w:hAnsi="Arial" w:cs="Arial"/>
          <w:noProof/>
          <w:sz w:val="20"/>
          <w:lang w:val="fr-FR"/>
        </w:rPr>
        <w:t>Abrams</w:t>
      </w:r>
      <w:r w:rsidRPr="008718FB">
        <w:rPr>
          <w:rFonts w:ascii="Arial" w:hAnsi="Arial" w:cs="Arial"/>
          <w:noProof/>
          <w:sz w:val="20"/>
          <w:lang w:val="fr-FR"/>
        </w:rPr>
        <w:t xml:space="preserve"> HB, </w:t>
      </w:r>
      <w:r w:rsidR="00D85D29" w:rsidRPr="008718FB">
        <w:rPr>
          <w:rFonts w:ascii="Arial" w:hAnsi="Arial" w:cs="Arial"/>
          <w:noProof/>
          <w:sz w:val="20"/>
          <w:lang w:val="fr-FR"/>
        </w:rPr>
        <w:t>Lesner</w:t>
      </w:r>
      <w:r w:rsidRPr="008718FB">
        <w:rPr>
          <w:rFonts w:ascii="Arial" w:hAnsi="Arial" w:cs="Arial"/>
          <w:noProof/>
          <w:sz w:val="20"/>
          <w:lang w:val="fr-FR"/>
        </w:rPr>
        <w:t xml:space="preserve"> S, </w:t>
      </w:r>
      <w:r w:rsidR="00D85D29" w:rsidRPr="008718FB">
        <w:rPr>
          <w:rFonts w:ascii="Arial" w:hAnsi="Arial" w:cs="Arial"/>
          <w:noProof/>
          <w:sz w:val="20"/>
          <w:lang w:val="fr-FR"/>
        </w:rPr>
        <w:t>McCarthy</w:t>
      </w:r>
      <w:r w:rsidRPr="008718FB">
        <w:rPr>
          <w:rFonts w:ascii="Arial" w:hAnsi="Arial" w:cs="Arial"/>
          <w:noProof/>
          <w:sz w:val="20"/>
          <w:lang w:val="fr-FR"/>
        </w:rPr>
        <w:t xml:space="preserve"> PA, and</w:t>
      </w:r>
      <w:r w:rsidR="00D85D29" w:rsidRPr="008718FB">
        <w:rPr>
          <w:rFonts w:ascii="Arial" w:hAnsi="Arial" w:cs="Arial"/>
          <w:noProof/>
          <w:sz w:val="20"/>
          <w:lang w:val="fr-FR"/>
        </w:rPr>
        <w:t xml:space="preserve"> Newman</w:t>
      </w:r>
      <w:r w:rsidRPr="008718FB">
        <w:rPr>
          <w:rFonts w:ascii="Arial" w:hAnsi="Arial" w:cs="Arial"/>
          <w:noProof/>
          <w:sz w:val="20"/>
          <w:lang w:val="fr-FR"/>
        </w:rPr>
        <w:t xml:space="preserve"> CW. 2007.</w:t>
      </w:r>
      <w:r w:rsidR="00D85D29" w:rsidRPr="008718FB">
        <w:rPr>
          <w:rFonts w:ascii="Arial" w:hAnsi="Arial" w:cs="Arial"/>
          <w:noProof/>
          <w:sz w:val="20"/>
          <w:lang w:val="fr-FR"/>
        </w:rPr>
        <w:t xml:space="preserve"> </w:t>
      </w:r>
      <w:r w:rsidR="00D85D29">
        <w:rPr>
          <w:rFonts w:ascii="Arial" w:hAnsi="Arial" w:cs="Arial"/>
          <w:noProof/>
          <w:sz w:val="20"/>
        </w:rPr>
        <w:t>A systematic review of health-related quality of life and hearing aids: final report of the American Academy of Audiology Task Force On the Health-Related Quality of Life Benefits of Amplification in Adults: J.Am.Acad.Au</w:t>
      </w:r>
      <w:r w:rsidR="00034553">
        <w:rPr>
          <w:rFonts w:ascii="Arial" w:hAnsi="Arial" w:cs="Arial"/>
          <w:noProof/>
          <w:sz w:val="20"/>
        </w:rPr>
        <w:t>diol., v. 18, no. 2, p. 151-183</w:t>
      </w:r>
    </w:p>
    <w:p w14:paraId="76E0168F" w14:textId="77777777" w:rsidR="00D85D29" w:rsidRPr="008718FB" w:rsidRDefault="00252DB6" w:rsidP="009B4A07">
      <w:pPr>
        <w:pStyle w:val="Tablenotes"/>
        <w:tabs>
          <w:tab w:val="left" w:pos="0"/>
        </w:tabs>
        <w:spacing w:after="240"/>
        <w:jc w:val="both"/>
        <w:rPr>
          <w:rFonts w:ascii="Arial" w:hAnsi="Arial" w:cs="Arial"/>
          <w:noProof/>
          <w:sz w:val="20"/>
          <w:lang w:val="it-IT"/>
        </w:rPr>
      </w:pPr>
      <w:r>
        <w:rPr>
          <w:rFonts w:ascii="Arial" w:hAnsi="Arial" w:cs="Arial"/>
          <w:noProof/>
          <w:sz w:val="20"/>
        </w:rPr>
        <w:lastRenderedPageBreak/>
        <w:t xml:space="preserve">Claros P, and </w:t>
      </w:r>
      <w:r w:rsidR="00D85D29">
        <w:rPr>
          <w:rFonts w:ascii="Arial" w:hAnsi="Arial" w:cs="Arial"/>
          <w:noProof/>
          <w:sz w:val="20"/>
        </w:rPr>
        <w:t>Pujol</w:t>
      </w:r>
      <w:r>
        <w:rPr>
          <w:rFonts w:ascii="Arial" w:hAnsi="Arial" w:cs="Arial"/>
          <w:noProof/>
          <w:sz w:val="20"/>
        </w:rPr>
        <w:t xml:space="preserve"> MC. 2013.</w:t>
      </w:r>
      <w:r w:rsidR="00D85D29">
        <w:rPr>
          <w:rFonts w:ascii="Arial" w:hAnsi="Arial" w:cs="Arial"/>
          <w:noProof/>
          <w:sz w:val="20"/>
        </w:rPr>
        <w:t xml:space="preserve"> Active middle ear implants: Vibroplasty in children and adolescents with acquired or </w:t>
      </w:r>
      <w:r>
        <w:rPr>
          <w:rFonts w:ascii="Arial" w:hAnsi="Arial" w:cs="Arial"/>
          <w:noProof/>
          <w:sz w:val="20"/>
        </w:rPr>
        <w:t>congenital middle ear disorders.</w:t>
      </w:r>
      <w:r w:rsidR="00D85D29">
        <w:rPr>
          <w:rFonts w:ascii="Arial" w:hAnsi="Arial" w:cs="Arial"/>
          <w:noProof/>
          <w:sz w:val="20"/>
        </w:rPr>
        <w:t xml:space="preserve"> </w:t>
      </w:r>
      <w:r w:rsidR="00D85D29" w:rsidRPr="008718FB">
        <w:rPr>
          <w:rFonts w:ascii="Arial" w:hAnsi="Arial" w:cs="Arial"/>
          <w:noProof/>
          <w:sz w:val="20"/>
          <w:lang w:val="it-IT"/>
        </w:rPr>
        <w:t>Acta Otolaryn</w:t>
      </w:r>
      <w:r w:rsidRPr="008718FB">
        <w:rPr>
          <w:rFonts w:ascii="Arial" w:hAnsi="Arial" w:cs="Arial"/>
          <w:noProof/>
          <w:sz w:val="20"/>
          <w:lang w:val="it-IT"/>
        </w:rPr>
        <w:t>gol., v. 133, no. 6, p. 612-619</w:t>
      </w:r>
    </w:p>
    <w:p w14:paraId="0DCE5DB2" w14:textId="77777777" w:rsidR="00D85D29" w:rsidRDefault="00252DB6" w:rsidP="009B4A07">
      <w:pPr>
        <w:pStyle w:val="Tablenotes"/>
        <w:tabs>
          <w:tab w:val="left" w:pos="0"/>
        </w:tabs>
        <w:spacing w:after="240"/>
        <w:jc w:val="both"/>
        <w:rPr>
          <w:rFonts w:ascii="Arial" w:hAnsi="Arial" w:cs="Arial"/>
          <w:noProof/>
          <w:sz w:val="20"/>
        </w:rPr>
      </w:pPr>
      <w:r w:rsidRPr="008718FB">
        <w:rPr>
          <w:rFonts w:ascii="Arial" w:hAnsi="Arial" w:cs="Arial"/>
          <w:noProof/>
          <w:sz w:val="20"/>
          <w:lang w:val="it-IT"/>
        </w:rPr>
        <w:t xml:space="preserve">Colletti L, </w:t>
      </w:r>
      <w:r w:rsidR="00D85D29" w:rsidRPr="008718FB">
        <w:rPr>
          <w:rFonts w:ascii="Arial" w:hAnsi="Arial" w:cs="Arial"/>
          <w:noProof/>
          <w:sz w:val="20"/>
          <w:lang w:val="it-IT"/>
        </w:rPr>
        <w:t>Mandala</w:t>
      </w:r>
      <w:r w:rsidRPr="008718FB">
        <w:rPr>
          <w:rFonts w:ascii="Arial" w:hAnsi="Arial" w:cs="Arial"/>
          <w:noProof/>
          <w:sz w:val="20"/>
          <w:lang w:val="it-IT"/>
        </w:rPr>
        <w:t xml:space="preserve"> M, and </w:t>
      </w:r>
      <w:r w:rsidR="00D85D29" w:rsidRPr="008718FB">
        <w:rPr>
          <w:rFonts w:ascii="Arial" w:hAnsi="Arial" w:cs="Arial"/>
          <w:noProof/>
          <w:sz w:val="20"/>
          <w:lang w:val="it-IT"/>
        </w:rPr>
        <w:t>Colletti</w:t>
      </w:r>
      <w:r w:rsidRPr="008718FB">
        <w:rPr>
          <w:rFonts w:ascii="Arial" w:hAnsi="Arial" w:cs="Arial"/>
          <w:noProof/>
          <w:sz w:val="20"/>
          <w:lang w:val="it-IT"/>
        </w:rPr>
        <w:t xml:space="preserve"> V. 2013.</w:t>
      </w:r>
      <w:r w:rsidR="00D85D29" w:rsidRPr="008718FB">
        <w:rPr>
          <w:rFonts w:ascii="Arial" w:hAnsi="Arial" w:cs="Arial"/>
          <w:noProof/>
          <w:sz w:val="20"/>
          <w:lang w:val="it-IT"/>
        </w:rPr>
        <w:t xml:space="preserve"> </w:t>
      </w:r>
      <w:r w:rsidR="00D85D29">
        <w:rPr>
          <w:rFonts w:ascii="Arial" w:hAnsi="Arial" w:cs="Arial"/>
          <w:noProof/>
          <w:sz w:val="20"/>
        </w:rPr>
        <w:t>Long-term outcome of round window Vibrant SoundBridge implantation in ex</w:t>
      </w:r>
      <w:r>
        <w:rPr>
          <w:rFonts w:ascii="Arial" w:hAnsi="Arial" w:cs="Arial"/>
          <w:noProof/>
          <w:sz w:val="20"/>
        </w:rPr>
        <w:t>tensive ossicular chain defects.</w:t>
      </w:r>
      <w:r w:rsidR="00D85D29">
        <w:rPr>
          <w:rFonts w:ascii="Arial" w:hAnsi="Arial" w:cs="Arial"/>
          <w:noProof/>
          <w:sz w:val="20"/>
        </w:rPr>
        <w:t xml:space="preserve"> Otolaryngol.Head Neck S</w:t>
      </w:r>
      <w:r>
        <w:rPr>
          <w:rFonts w:ascii="Arial" w:hAnsi="Arial" w:cs="Arial"/>
          <w:noProof/>
          <w:sz w:val="20"/>
        </w:rPr>
        <w:t>urg., v. 149, no. 1, p. 134-141</w:t>
      </w:r>
    </w:p>
    <w:p w14:paraId="40ED1EF3" w14:textId="77777777" w:rsidR="00D85D29" w:rsidRPr="008718FB" w:rsidRDefault="00252DB6" w:rsidP="009B4A07">
      <w:pPr>
        <w:pStyle w:val="Tablenotes"/>
        <w:tabs>
          <w:tab w:val="left" w:pos="0"/>
        </w:tabs>
        <w:spacing w:after="240"/>
        <w:jc w:val="both"/>
        <w:rPr>
          <w:rFonts w:ascii="Arial" w:hAnsi="Arial" w:cs="Arial"/>
          <w:noProof/>
          <w:sz w:val="20"/>
          <w:lang w:val="it-IT"/>
        </w:rPr>
      </w:pPr>
      <w:r>
        <w:rPr>
          <w:rFonts w:ascii="Arial" w:hAnsi="Arial" w:cs="Arial"/>
          <w:noProof/>
          <w:sz w:val="20"/>
        </w:rPr>
        <w:t xml:space="preserve">Colletti V, </w:t>
      </w:r>
      <w:r w:rsidR="00D85D29">
        <w:rPr>
          <w:rFonts w:ascii="Arial" w:hAnsi="Arial" w:cs="Arial"/>
          <w:noProof/>
          <w:sz w:val="20"/>
        </w:rPr>
        <w:t>Carner</w:t>
      </w:r>
      <w:r>
        <w:rPr>
          <w:rFonts w:ascii="Arial" w:hAnsi="Arial" w:cs="Arial"/>
          <w:noProof/>
          <w:sz w:val="20"/>
        </w:rPr>
        <w:t xml:space="preserve"> M, and </w:t>
      </w:r>
      <w:r w:rsidR="00D85D29">
        <w:rPr>
          <w:rFonts w:ascii="Arial" w:hAnsi="Arial" w:cs="Arial"/>
          <w:noProof/>
          <w:sz w:val="20"/>
        </w:rPr>
        <w:t>Colletti</w:t>
      </w:r>
      <w:r>
        <w:rPr>
          <w:rFonts w:ascii="Arial" w:hAnsi="Arial" w:cs="Arial"/>
          <w:noProof/>
          <w:sz w:val="20"/>
        </w:rPr>
        <w:t xml:space="preserve"> L. 2009.</w:t>
      </w:r>
      <w:r w:rsidR="00D85D29">
        <w:rPr>
          <w:rFonts w:ascii="Arial" w:hAnsi="Arial" w:cs="Arial"/>
          <w:noProof/>
          <w:sz w:val="20"/>
        </w:rPr>
        <w:t xml:space="preserve"> TORP vs round window implant for hearing restoration of patients with e</w:t>
      </w:r>
      <w:r>
        <w:rPr>
          <w:rFonts w:ascii="Arial" w:hAnsi="Arial" w:cs="Arial"/>
          <w:noProof/>
          <w:sz w:val="20"/>
        </w:rPr>
        <w:t>xtensive ossicular chain defect.</w:t>
      </w:r>
      <w:r w:rsidR="00D85D29">
        <w:rPr>
          <w:rFonts w:ascii="Arial" w:hAnsi="Arial" w:cs="Arial"/>
          <w:noProof/>
          <w:sz w:val="20"/>
        </w:rPr>
        <w:t xml:space="preserve"> </w:t>
      </w:r>
      <w:r w:rsidR="00D85D29" w:rsidRPr="008718FB">
        <w:rPr>
          <w:rFonts w:ascii="Arial" w:hAnsi="Arial" w:cs="Arial"/>
          <w:noProof/>
          <w:sz w:val="20"/>
          <w:lang w:val="it-IT"/>
        </w:rPr>
        <w:t>Acta Otolaryn</w:t>
      </w:r>
      <w:r w:rsidRPr="008718FB">
        <w:rPr>
          <w:rFonts w:ascii="Arial" w:hAnsi="Arial" w:cs="Arial"/>
          <w:noProof/>
          <w:sz w:val="20"/>
          <w:lang w:val="it-IT"/>
        </w:rPr>
        <w:t>gol., v. 129, no. 4, p. 449-452</w:t>
      </w:r>
    </w:p>
    <w:p w14:paraId="63C92D56" w14:textId="77777777" w:rsidR="00D85D29" w:rsidRDefault="00252DB6" w:rsidP="009B4A07">
      <w:pPr>
        <w:pStyle w:val="Tablenotes"/>
        <w:tabs>
          <w:tab w:val="left" w:pos="0"/>
        </w:tabs>
        <w:spacing w:after="240"/>
        <w:jc w:val="both"/>
        <w:rPr>
          <w:rFonts w:ascii="Arial" w:hAnsi="Arial" w:cs="Arial"/>
          <w:noProof/>
          <w:sz w:val="20"/>
        </w:rPr>
      </w:pPr>
      <w:r w:rsidRPr="008718FB">
        <w:rPr>
          <w:rFonts w:ascii="Arial" w:hAnsi="Arial" w:cs="Arial"/>
          <w:noProof/>
          <w:sz w:val="20"/>
          <w:lang w:val="it-IT"/>
        </w:rPr>
        <w:t xml:space="preserve">Colletti V, </w:t>
      </w:r>
      <w:r w:rsidR="00D85D29" w:rsidRPr="008718FB">
        <w:rPr>
          <w:rFonts w:ascii="Arial" w:hAnsi="Arial" w:cs="Arial"/>
          <w:noProof/>
          <w:sz w:val="20"/>
          <w:lang w:val="it-IT"/>
        </w:rPr>
        <w:t>Soli</w:t>
      </w:r>
      <w:r w:rsidRPr="008718FB">
        <w:rPr>
          <w:rFonts w:ascii="Arial" w:hAnsi="Arial" w:cs="Arial"/>
          <w:noProof/>
          <w:sz w:val="20"/>
          <w:lang w:val="it-IT"/>
        </w:rPr>
        <w:t xml:space="preserve"> SD, </w:t>
      </w:r>
      <w:r w:rsidR="00D85D29" w:rsidRPr="008718FB">
        <w:rPr>
          <w:rFonts w:ascii="Arial" w:hAnsi="Arial" w:cs="Arial"/>
          <w:noProof/>
          <w:sz w:val="20"/>
          <w:lang w:val="it-IT"/>
        </w:rPr>
        <w:t>Carner</w:t>
      </w:r>
      <w:r w:rsidRPr="008718FB">
        <w:rPr>
          <w:rFonts w:ascii="Arial" w:hAnsi="Arial" w:cs="Arial"/>
          <w:noProof/>
          <w:sz w:val="20"/>
          <w:lang w:val="it-IT"/>
        </w:rPr>
        <w:t xml:space="preserve"> M, and </w:t>
      </w:r>
      <w:r w:rsidR="00D85D29" w:rsidRPr="008718FB">
        <w:rPr>
          <w:rFonts w:ascii="Arial" w:hAnsi="Arial" w:cs="Arial"/>
          <w:noProof/>
          <w:sz w:val="20"/>
          <w:lang w:val="it-IT"/>
        </w:rPr>
        <w:t>Colletti</w:t>
      </w:r>
      <w:r w:rsidRPr="008718FB">
        <w:rPr>
          <w:rFonts w:ascii="Arial" w:hAnsi="Arial" w:cs="Arial"/>
          <w:noProof/>
          <w:sz w:val="20"/>
          <w:lang w:val="it-IT"/>
        </w:rPr>
        <w:t xml:space="preserve"> L. 2006.</w:t>
      </w:r>
      <w:r w:rsidR="00D85D29" w:rsidRPr="008718FB">
        <w:rPr>
          <w:rFonts w:ascii="Arial" w:hAnsi="Arial" w:cs="Arial"/>
          <w:noProof/>
          <w:sz w:val="20"/>
          <w:lang w:val="it-IT"/>
        </w:rPr>
        <w:t xml:space="preserve"> </w:t>
      </w:r>
      <w:r w:rsidR="00D85D29">
        <w:rPr>
          <w:rFonts w:ascii="Arial" w:hAnsi="Arial" w:cs="Arial"/>
          <w:noProof/>
          <w:sz w:val="20"/>
        </w:rPr>
        <w:t>Treatment of mixed hearing losses via implantation of a vibratory</w:t>
      </w:r>
      <w:r>
        <w:rPr>
          <w:rFonts w:ascii="Arial" w:hAnsi="Arial" w:cs="Arial"/>
          <w:noProof/>
          <w:sz w:val="20"/>
        </w:rPr>
        <w:t xml:space="preserve"> transducer on the round window.</w:t>
      </w:r>
      <w:r w:rsidR="00D85D29">
        <w:rPr>
          <w:rFonts w:ascii="Arial" w:hAnsi="Arial" w:cs="Arial"/>
          <w:noProof/>
          <w:sz w:val="20"/>
        </w:rPr>
        <w:t xml:space="preserve"> Int.J.Aud</w:t>
      </w:r>
      <w:r>
        <w:rPr>
          <w:rFonts w:ascii="Arial" w:hAnsi="Arial" w:cs="Arial"/>
          <w:noProof/>
          <w:sz w:val="20"/>
        </w:rPr>
        <w:t>iol., v. 45, no. 10, p. 600-608</w:t>
      </w:r>
    </w:p>
    <w:p w14:paraId="37DD2D03" w14:textId="77777777" w:rsidR="00D85D29" w:rsidRPr="008853E2" w:rsidRDefault="00252DB6" w:rsidP="009B4A07">
      <w:pPr>
        <w:pStyle w:val="Tablenotes"/>
        <w:tabs>
          <w:tab w:val="left" w:pos="0"/>
        </w:tabs>
        <w:spacing w:after="240"/>
        <w:jc w:val="both"/>
        <w:rPr>
          <w:rFonts w:ascii="Arial" w:hAnsi="Arial" w:cs="Arial"/>
          <w:noProof/>
          <w:sz w:val="20"/>
        </w:rPr>
      </w:pPr>
      <w:r w:rsidRPr="00252DB6">
        <w:rPr>
          <w:rFonts w:ascii="Arial" w:hAnsi="Arial" w:cs="Arial"/>
          <w:noProof/>
          <w:sz w:val="20"/>
        </w:rPr>
        <w:t xml:space="preserve">Colquitt </w:t>
      </w:r>
      <w:r>
        <w:rPr>
          <w:rFonts w:ascii="Arial" w:hAnsi="Arial" w:cs="Arial"/>
          <w:noProof/>
          <w:sz w:val="20"/>
        </w:rPr>
        <w:t>JL,</w:t>
      </w:r>
      <w:r w:rsidR="00D85D29" w:rsidRPr="00252DB6">
        <w:rPr>
          <w:rFonts w:ascii="Arial" w:hAnsi="Arial" w:cs="Arial"/>
          <w:noProof/>
          <w:sz w:val="20"/>
        </w:rPr>
        <w:t xml:space="preserve"> </w:t>
      </w:r>
      <w:hyperlink r:id="rId74" w:history="1">
        <w:r w:rsidRPr="00252DB6">
          <w:rPr>
            <w:rFonts w:ascii="Arial" w:hAnsi="Arial" w:cs="Arial"/>
            <w:sz w:val="20"/>
            <w:szCs w:val="20"/>
          </w:rPr>
          <w:t>Jones J</w:t>
        </w:r>
      </w:hyperlink>
      <w:r w:rsidRPr="00252DB6">
        <w:rPr>
          <w:rFonts w:ascii="Arial" w:hAnsi="Arial" w:cs="Arial"/>
          <w:sz w:val="20"/>
          <w:szCs w:val="20"/>
        </w:rPr>
        <w:t xml:space="preserve">, </w:t>
      </w:r>
      <w:hyperlink r:id="rId75" w:history="1">
        <w:r w:rsidRPr="00252DB6">
          <w:rPr>
            <w:rFonts w:ascii="Arial" w:hAnsi="Arial" w:cs="Arial"/>
            <w:sz w:val="20"/>
            <w:szCs w:val="20"/>
          </w:rPr>
          <w:t>Harris P</w:t>
        </w:r>
      </w:hyperlink>
      <w:r w:rsidRPr="00252DB6">
        <w:rPr>
          <w:rFonts w:ascii="Arial" w:hAnsi="Arial" w:cs="Arial"/>
          <w:sz w:val="20"/>
          <w:szCs w:val="20"/>
        </w:rPr>
        <w:t xml:space="preserve">, </w:t>
      </w:r>
      <w:hyperlink r:id="rId76" w:history="1">
        <w:r w:rsidRPr="00252DB6">
          <w:rPr>
            <w:rFonts w:ascii="Arial" w:hAnsi="Arial" w:cs="Arial"/>
            <w:sz w:val="20"/>
            <w:szCs w:val="20"/>
          </w:rPr>
          <w:t>Loveman E</w:t>
        </w:r>
      </w:hyperlink>
      <w:r w:rsidRPr="00252DB6">
        <w:rPr>
          <w:rFonts w:ascii="Arial" w:hAnsi="Arial" w:cs="Arial"/>
          <w:sz w:val="20"/>
          <w:szCs w:val="20"/>
        </w:rPr>
        <w:t xml:space="preserve">, </w:t>
      </w:r>
      <w:hyperlink r:id="rId77" w:history="1">
        <w:r w:rsidRPr="00252DB6">
          <w:rPr>
            <w:rFonts w:ascii="Arial" w:hAnsi="Arial" w:cs="Arial"/>
            <w:sz w:val="20"/>
            <w:szCs w:val="20"/>
          </w:rPr>
          <w:t>Bird A</w:t>
        </w:r>
      </w:hyperlink>
      <w:r w:rsidRPr="00252DB6">
        <w:rPr>
          <w:rFonts w:ascii="Arial" w:hAnsi="Arial" w:cs="Arial"/>
          <w:sz w:val="20"/>
          <w:szCs w:val="20"/>
        </w:rPr>
        <w:t xml:space="preserve">, </w:t>
      </w:r>
      <w:hyperlink r:id="rId78" w:history="1">
        <w:r w:rsidRPr="00252DB6">
          <w:rPr>
            <w:rFonts w:ascii="Arial" w:hAnsi="Arial" w:cs="Arial"/>
            <w:sz w:val="20"/>
            <w:szCs w:val="20"/>
          </w:rPr>
          <w:t>Clegg AJ</w:t>
        </w:r>
      </w:hyperlink>
      <w:r w:rsidRPr="00252DB6">
        <w:rPr>
          <w:rFonts w:ascii="Arial" w:hAnsi="Arial" w:cs="Arial"/>
          <w:sz w:val="20"/>
          <w:szCs w:val="20"/>
        </w:rPr>
        <w:t xml:space="preserve">, </w:t>
      </w:r>
      <w:hyperlink r:id="rId79" w:history="1">
        <w:r w:rsidRPr="00252DB6">
          <w:rPr>
            <w:rFonts w:ascii="Arial" w:hAnsi="Arial" w:cs="Arial"/>
            <w:sz w:val="20"/>
            <w:szCs w:val="20"/>
          </w:rPr>
          <w:t>Baguley DM</w:t>
        </w:r>
      </w:hyperlink>
      <w:r w:rsidRPr="00252DB6">
        <w:rPr>
          <w:rFonts w:ascii="Arial" w:hAnsi="Arial" w:cs="Arial"/>
          <w:sz w:val="20"/>
          <w:szCs w:val="20"/>
        </w:rPr>
        <w:t xml:space="preserve">, </w:t>
      </w:r>
      <w:hyperlink r:id="rId80" w:history="1">
        <w:r w:rsidRPr="00252DB6">
          <w:rPr>
            <w:rFonts w:ascii="Arial" w:hAnsi="Arial" w:cs="Arial"/>
            <w:sz w:val="20"/>
            <w:szCs w:val="20"/>
          </w:rPr>
          <w:t>Proops DW</w:t>
        </w:r>
      </w:hyperlink>
      <w:r w:rsidRPr="00252DB6">
        <w:rPr>
          <w:rFonts w:ascii="Arial" w:hAnsi="Arial" w:cs="Arial"/>
          <w:sz w:val="20"/>
          <w:szCs w:val="20"/>
        </w:rPr>
        <w:t xml:space="preserve">, </w:t>
      </w:r>
      <w:hyperlink r:id="rId81" w:history="1">
        <w:r w:rsidRPr="00252DB6">
          <w:rPr>
            <w:rFonts w:ascii="Arial" w:hAnsi="Arial" w:cs="Arial"/>
            <w:sz w:val="20"/>
            <w:szCs w:val="20"/>
          </w:rPr>
          <w:t>Mitchell TE</w:t>
        </w:r>
      </w:hyperlink>
      <w:r w:rsidRPr="00252DB6">
        <w:rPr>
          <w:rFonts w:ascii="Arial" w:hAnsi="Arial" w:cs="Arial"/>
          <w:sz w:val="20"/>
          <w:szCs w:val="20"/>
        </w:rPr>
        <w:t xml:space="preserve">, </w:t>
      </w:r>
      <w:hyperlink r:id="rId82" w:history="1">
        <w:r w:rsidRPr="00252DB6">
          <w:rPr>
            <w:rFonts w:ascii="Arial" w:hAnsi="Arial" w:cs="Arial"/>
            <w:sz w:val="20"/>
            <w:szCs w:val="20"/>
          </w:rPr>
          <w:t>Sheehan PZ</w:t>
        </w:r>
      </w:hyperlink>
      <w:r w:rsidRPr="00252DB6">
        <w:rPr>
          <w:rFonts w:ascii="Arial" w:hAnsi="Arial" w:cs="Arial"/>
          <w:sz w:val="20"/>
          <w:szCs w:val="20"/>
        </w:rPr>
        <w:t xml:space="preserve">, </w:t>
      </w:r>
      <w:hyperlink r:id="rId83" w:history="1">
        <w:r w:rsidRPr="00252DB6">
          <w:rPr>
            <w:rFonts w:ascii="Arial" w:hAnsi="Arial" w:cs="Arial"/>
            <w:sz w:val="20"/>
            <w:szCs w:val="20"/>
          </w:rPr>
          <w:t>Welch K</w:t>
        </w:r>
      </w:hyperlink>
      <w:r>
        <w:rPr>
          <w:rFonts w:ascii="Arial" w:hAnsi="Arial" w:cs="Arial"/>
          <w:noProof/>
          <w:sz w:val="20"/>
        </w:rPr>
        <w:t>. 2011.</w:t>
      </w:r>
      <w:r w:rsidR="00D85D29" w:rsidRPr="00252DB6">
        <w:rPr>
          <w:rFonts w:ascii="Arial" w:hAnsi="Arial" w:cs="Arial"/>
          <w:noProof/>
          <w:sz w:val="20"/>
        </w:rPr>
        <w:t xml:space="preserve"> Bone-anchored hearing aids (BAHAs) for people who are bilaterally </w:t>
      </w:r>
      <w:r w:rsidR="00D85D29" w:rsidRPr="008853E2">
        <w:rPr>
          <w:rFonts w:ascii="Arial" w:hAnsi="Arial" w:cs="Arial"/>
          <w:noProof/>
          <w:sz w:val="20"/>
        </w:rPr>
        <w:t>deaf: a systematic</w:t>
      </w:r>
      <w:r w:rsidRPr="008853E2">
        <w:rPr>
          <w:rFonts w:ascii="Arial" w:hAnsi="Arial" w:cs="Arial"/>
          <w:noProof/>
          <w:sz w:val="20"/>
        </w:rPr>
        <w:t xml:space="preserve"> review and economic evaluation.</w:t>
      </w:r>
      <w:r w:rsidR="00D85D29" w:rsidRPr="008853E2">
        <w:rPr>
          <w:rFonts w:ascii="Arial" w:hAnsi="Arial" w:cs="Arial"/>
          <w:noProof/>
          <w:sz w:val="20"/>
        </w:rPr>
        <w:t xml:space="preserve"> Health Technol.</w:t>
      </w:r>
      <w:r w:rsidRPr="008853E2">
        <w:rPr>
          <w:rFonts w:ascii="Arial" w:hAnsi="Arial" w:cs="Arial"/>
          <w:noProof/>
          <w:sz w:val="20"/>
        </w:rPr>
        <w:t>Assess., v. 15, no. 26, p. 1-iv</w:t>
      </w:r>
    </w:p>
    <w:p w14:paraId="3B148DBA" w14:textId="77777777" w:rsidR="00D85D29" w:rsidRPr="008853E2" w:rsidRDefault="008853E2" w:rsidP="009B4A07">
      <w:pPr>
        <w:pStyle w:val="Tablenotes"/>
        <w:tabs>
          <w:tab w:val="left" w:pos="0"/>
        </w:tabs>
        <w:spacing w:after="240"/>
        <w:jc w:val="both"/>
        <w:rPr>
          <w:rFonts w:ascii="Arial" w:hAnsi="Arial" w:cs="Arial"/>
          <w:noProof/>
          <w:sz w:val="20"/>
        </w:rPr>
      </w:pPr>
      <w:r w:rsidRPr="008853E2">
        <w:rPr>
          <w:rFonts w:ascii="Arial" w:hAnsi="Arial" w:cs="Arial"/>
          <w:noProof/>
          <w:sz w:val="20"/>
        </w:rPr>
        <w:t>Cremers CW,</w:t>
      </w:r>
      <w:r w:rsidR="00D85D29" w:rsidRPr="008853E2">
        <w:rPr>
          <w:rFonts w:ascii="Arial" w:hAnsi="Arial" w:cs="Arial"/>
          <w:noProof/>
          <w:sz w:val="20"/>
        </w:rPr>
        <w:t xml:space="preserve"> </w:t>
      </w:r>
      <w:hyperlink r:id="rId84" w:history="1">
        <w:r w:rsidRPr="008853E2">
          <w:rPr>
            <w:rFonts w:ascii="Arial" w:hAnsi="Arial" w:cs="Arial"/>
            <w:sz w:val="20"/>
            <w:szCs w:val="20"/>
          </w:rPr>
          <w:t>O'Connor AF</w:t>
        </w:r>
      </w:hyperlink>
      <w:r w:rsidRPr="008853E2">
        <w:rPr>
          <w:rFonts w:ascii="Arial" w:hAnsi="Arial" w:cs="Arial"/>
          <w:sz w:val="20"/>
          <w:szCs w:val="20"/>
        </w:rPr>
        <w:t xml:space="preserve">, </w:t>
      </w:r>
      <w:hyperlink r:id="rId85" w:history="1">
        <w:r w:rsidRPr="008853E2">
          <w:rPr>
            <w:rFonts w:ascii="Arial" w:hAnsi="Arial" w:cs="Arial"/>
            <w:sz w:val="20"/>
            <w:szCs w:val="20"/>
          </w:rPr>
          <w:t>Helms J</w:t>
        </w:r>
      </w:hyperlink>
      <w:r w:rsidRPr="008853E2">
        <w:rPr>
          <w:rFonts w:ascii="Arial" w:hAnsi="Arial" w:cs="Arial"/>
          <w:sz w:val="20"/>
          <w:szCs w:val="20"/>
        </w:rPr>
        <w:t xml:space="preserve">, </w:t>
      </w:r>
      <w:hyperlink r:id="rId86" w:history="1">
        <w:r w:rsidRPr="008853E2">
          <w:rPr>
            <w:rFonts w:ascii="Arial" w:hAnsi="Arial" w:cs="Arial"/>
            <w:sz w:val="20"/>
            <w:szCs w:val="20"/>
          </w:rPr>
          <w:t>Roberson J</w:t>
        </w:r>
      </w:hyperlink>
      <w:r w:rsidRPr="008853E2">
        <w:rPr>
          <w:rFonts w:ascii="Arial" w:hAnsi="Arial" w:cs="Arial"/>
          <w:sz w:val="20"/>
          <w:szCs w:val="20"/>
        </w:rPr>
        <w:t xml:space="preserve">, </w:t>
      </w:r>
      <w:hyperlink r:id="rId87" w:history="1">
        <w:r w:rsidRPr="008853E2">
          <w:rPr>
            <w:rFonts w:ascii="Arial" w:hAnsi="Arial" w:cs="Arial"/>
            <w:sz w:val="20"/>
            <w:szCs w:val="20"/>
          </w:rPr>
          <w:t>Clarós P</w:t>
        </w:r>
      </w:hyperlink>
      <w:r w:rsidRPr="008853E2">
        <w:rPr>
          <w:rFonts w:ascii="Arial" w:hAnsi="Arial" w:cs="Arial"/>
          <w:sz w:val="20"/>
          <w:szCs w:val="20"/>
        </w:rPr>
        <w:t xml:space="preserve">, </w:t>
      </w:r>
      <w:hyperlink r:id="rId88" w:history="1">
        <w:r w:rsidRPr="008853E2">
          <w:rPr>
            <w:rFonts w:ascii="Arial" w:hAnsi="Arial" w:cs="Arial"/>
            <w:sz w:val="20"/>
            <w:szCs w:val="20"/>
          </w:rPr>
          <w:t>Frenzel H</w:t>
        </w:r>
      </w:hyperlink>
      <w:r w:rsidRPr="008853E2">
        <w:rPr>
          <w:rFonts w:ascii="Arial" w:hAnsi="Arial" w:cs="Arial"/>
          <w:sz w:val="20"/>
          <w:szCs w:val="20"/>
        </w:rPr>
        <w:t xml:space="preserve">, </w:t>
      </w:r>
      <w:hyperlink r:id="rId89" w:history="1">
        <w:r w:rsidRPr="008853E2">
          <w:rPr>
            <w:rFonts w:ascii="Arial" w:hAnsi="Arial" w:cs="Arial"/>
            <w:sz w:val="20"/>
            <w:szCs w:val="20"/>
          </w:rPr>
          <w:t>Profant M</w:t>
        </w:r>
      </w:hyperlink>
      <w:r w:rsidRPr="008853E2">
        <w:rPr>
          <w:rFonts w:ascii="Arial" w:hAnsi="Arial" w:cs="Arial"/>
          <w:sz w:val="20"/>
          <w:szCs w:val="20"/>
        </w:rPr>
        <w:t xml:space="preserve">, </w:t>
      </w:r>
      <w:hyperlink r:id="rId90" w:history="1">
        <w:r w:rsidRPr="008853E2">
          <w:rPr>
            <w:rFonts w:ascii="Arial" w:hAnsi="Arial" w:cs="Arial"/>
            <w:sz w:val="20"/>
            <w:szCs w:val="20"/>
          </w:rPr>
          <w:t>Schmerber S</w:t>
        </w:r>
      </w:hyperlink>
      <w:r w:rsidRPr="008853E2">
        <w:rPr>
          <w:rFonts w:ascii="Arial" w:hAnsi="Arial" w:cs="Arial"/>
          <w:sz w:val="20"/>
          <w:szCs w:val="20"/>
        </w:rPr>
        <w:t xml:space="preserve">, </w:t>
      </w:r>
      <w:hyperlink r:id="rId91" w:history="1">
        <w:r w:rsidRPr="008853E2">
          <w:rPr>
            <w:rFonts w:ascii="Arial" w:hAnsi="Arial" w:cs="Arial"/>
            <w:sz w:val="20"/>
            <w:szCs w:val="20"/>
          </w:rPr>
          <w:t>Streitberger C</w:t>
        </w:r>
      </w:hyperlink>
      <w:r w:rsidRPr="008853E2">
        <w:rPr>
          <w:rFonts w:ascii="Arial" w:hAnsi="Arial" w:cs="Arial"/>
          <w:sz w:val="20"/>
          <w:szCs w:val="20"/>
        </w:rPr>
        <w:t xml:space="preserve">, </w:t>
      </w:r>
      <w:hyperlink r:id="rId92" w:history="1">
        <w:r w:rsidRPr="008853E2">
          <w:rPr>
            <w:rFonts w:ascii="Arial" w:hAnsi="Arial" w:cs="Arial"/>
            <w:sz w:val="20"/>
            <w:szCs w:val="20"/>
          </w:rPr>
          <w:t>Baumgartner WD</w:t>
        </w:r>
      </w:hyperlink>
      <w:r w:rsidRPr="008853E2">
        <w:rPr>
          <w:rFonts w:ascii="Arial" w:hAnsi="Arial" w:cs="Arial"/>
          <w:sz w:val="20"/>
          <w:szCs w:val="20"/>
        </w:rPr>
        <w:t xml:space="preserve">, </w:t>
      </w:r>
      <w:hyperlink r:id="rId93" w:history="1">
        <w:r w:rsidRPr="008853E2">
          <w:rPr>
            <w:rFonts w:ascii="Arial" w:hAnsi="Arial" w:cs="Arial"/>
            <w:sz w:val="20"/>
            <w:szCs w:val="20"/>
          </w:rPr>
          <w:t>Orfila D</w:t>
        </w:r>
      </w:hyperlink>
      <w:r w:rsidRPr="008853E2">
        <w:rPr>
          <w:rFonts w:ascii="Arial" w:hAnsi="Arial" w:cs="Arial"/>
          <w:sz w:val="20"/>
          <w:szCs w:val="20"/>
        </w:rPr>
        <w:t xml:space="preserve">, </w:t>
      </w:r>
      <w:hyperlink r:id="rId94" w:history="1">
        <w:r w:rsidRPr="008853E2">
          <w:rPr>
            <w:rFonts w:ascii="Arial" w:hAnsi="Arial" w:cs="Arial"/>
            <w:sz w:val="20"/>
            <w:szCs w:val="20"/>
          </w:rPr>
          <w:t>Pringle M</w:t>
        </w:r>
      </w:hyperlink>
      <w:r w:rsidRPr="008853E2">
        <w:rPr>
          <w:rFonts w:ascii="Arial" w:hAnsi="Arial" w:cs="Arial"/>
          <w:sz w:val="20"/>
          <w:szCs w:val="20"/>
        </w:rPr>
        <w:t xml:space="preserve">, </w:t>
      </w:r>
      <w:hyperlink r:id="rId95" w:history="1">
        <w:r w:rsidRPr="008853E2">
          <w:rPr>
            <w:rFonts w:ascii="Arial" w:hAnsi="Arial" w:cs="Arial"/>
            <w:sz w:val="20"/>
            <w:szCs w:val="20"/>
          </w:rPr>
          <w:t>Cenjor C</w:t>
        </w:r>
      </w:hyperlink>
      <w:r w:rsidRPr="008853E2">
        <w:rPr>
          <w:rFonts w:ascii="Arial" w:hAnsi="Arial" w:cs="Arial"/>
          <w:sz w:val="20"/>
          <w:szCs w:val="20"/>
        </w:rPr>
        <w:t xml:space="preserve">, </w:t>
      </w:r>
      <w:hyperlink r:id="rId96" w:history="1">
        <w:r w:rsidRPr="008853E2">
          <w:rPr>
            <w:rFonts w:ascii="Arial" w:hAnsi="Arial" w:cs="Arial"/>
            <w:sz w:val="20"/>
            <w:szCs w:val="20"/>
          </w:rPr>
          <w:t>Giarbini N</w:t>
        </w:r>
      </w:hyperlink>
      <w:r w:rsidRPr="008853E2">
        <w:rPr>
          <w:rFonts w:ascii="Arial" w:hAnsi="Arial" w:cs="Arial"/>
          <w:sz w:val="20"/>
          <w:szCs w:val="20"/>
        </w:rPr>
        <w:t xml:space="preserve">, </w:t>
      </w:r>
      <w:hyperlink r:id="rId97" w:history="1">
        <w:r w:rsidRPr="008853E2">
          <w:rPr>
            <w:rFonts w:ascii="Arial" w:hAnsi="Arial" w:cs="Arial"/>
            <w:sz w:val="20"/>
            <w:szCs w:val="20"/>
          </w:rPr>
          <w:t>Jiang D</w:t>
        </w:r>
      </w:hyperlink>
      <w:r w:rsidRPr="008853E2">
        <w:rPr>
          <w:rFonts w:ascii="Arial" w:hAnsi="Arial" w:cs="Arial"/>
          <w:sz w:val="20"/>
          <w:szCs w:val="20"/>
        </w:rPr>
        <w:t xml:space="preserve">, </w:t>
      </w:r>
      <w:hyperlink r:id="rId98" w:history="1">
        <w:r w:rsidRPr="008853E2">
          <w:rPr>
            <w:rFonts w:ascii="Arial" w:hAnsi="Arial" w:cs="Arial"/>
            <w:sz w:val="20"/>
            <w:szCs w:val="20"/>
          </w:rPr>
          <w:t>Snik AF</w:t>
        </w:r>
      </w:hyperlink>
      <w:r w:rsidRPr="008853E2">
        <w:rPr>
          <w:rFonts w:ascii="Arial" w:hAnsi="Arial" w:cs="Arial"/>
          <w:noProof/>
          <w:sz w:val="20"/>
        </w:rPr>
        <w:t>. 2010.</w:t>
      </w:r>
      <w:r w:rsidR="00D85D29" w:rsidRPr="008853E2">
        <w:rPr>
          <w:rFonts w:ascii="Arial" w:hAnsi="Arial" w:cs="Arial"/>
          <w:noProof/>
          <w:sz w:val="20"/>
        </w:rPr>
        <w:t xml:space="preserve"> International consensus on Vibrant Soundbridge(R) implantation in children and adolescents: Int.J.Pediatr.Otorhinolaryngo</w:t>
      </w:r>
      <w:r w:rsidR="00252DB6" w:rsidRPr="008853E2">
        <w:rPr>
          <w:rFonts w:ascii="Arial" w:hAnsi="Arial" w:cs="Arial"/>
          <w:noProof/>
          <w:sz w:val="20"/>
        </w:rPr>
        <w:t>l., v. 74, no. 11, p. 1267-1269</w:t>
      </w:r>
    </w:p>
    <w:p w14:paraId="1E8DF6E8" w14:textId="77777777" w:rsidR="00D85D29" w:rsidRDefault="008853E2" w:rsidP="009B4A07">
      <w:pPr>
        <w:pStyle w:val="Tablenotes"/>
        <w:tabs>
          <w:tab w:val="left" w:pos="0"/>
        </w:tabs>
        <w:spacing w:after="240"/>
        <w:jc w:val="both"/>
        <w:rPr>
          <w:rFonts w:ascii="Arial" w:hAnsi="Arial" w:cs="Arial"/>
          <w:noProof/>
          <w:sz w:val="20"/>
        </w:rPr>
      </w:pPr>
      <w:r>
        <w:rPr>
          <w:rFonts w:ascii="Arial" w:hAnsi="Arial" w:cs="Arial"/>
          <w:noProof/>
          <w:sz w:val="20"/>
        </w:rPr>
        <w:t xml:space="preserve">Cruickshanks KJ, </w:t>
      </w:r>
      <w:r w:rsidR="00D85D29">
        <w:rPr>
          <w:rFonts w:ascii="Arial" w:hAnsi="Arial" w:cs="Arial"/>
          <w:noProof/>
          <w:sz w:val="20"/>
        </w:rPr>
        <w:t>Wiley</w:t>
      </w:r>
      <w:r>
        <w:rPr>
          <w:rFonts w:ascii="Arial" w:hAnsi="Arial" w:cs="Arial"/>
          <w:noProof/>
          <w:sz w:val="20"/>
        </w:rPr>
        <w:t xml:space="preserve"> TL, </w:t>
      </w:r>
      <w:r w:rsidR="00D85D29">
        <w:rPr>
          <w:rFonts w:ascii="Arial" w:hAnsi="Arial" w:cs="Arial"/>
          <w:noProof/>
          <w:sz w:val="20"/>
        </w:rPr>
        <w:t>Tweed</w:t>
      </w:r>
      <w:r>
        <w:rPr>
          <w:rFonts w:ascii="Arial" w:hAnsi="Arial" w:cs="Arial"/>
          <w:noProof/>
          <w:sz w:val="20"/>
        </w:rPr>
        <w:t xml:space="preserve"> TS, </w:t>
      </w:r>
      <w:r w:rsidR="00D85D29">
        <w:rPr>
          <w:rFonts w:ascii="Arial" w:hAnsi="Arial" w:cs="Arial"/>
          <w:noProof/>
          <w:sz w:val="20"/>
        </w:rPr>
        <w:t>Klein</w:t>
      </w:r>
      <w:r>
        <w:rPr>
          <w:rFonts w:ascii="Arial" w:hAnsi="Arial" w:cs="Arial"/>
          <w:noProof/>
          <w:sz w:val="20"/>
        </w:rPr>
        <w:t xml:space="preserve"> BE, </w:t>
      </w:r>
      <w:r w:rsidR="00D85D29">
        <w:rPr>
          <w:rFonts w:ascii="Arial" w:hAnsi="Arial" w:cs="Arial"/>
          <w:noProof/>
          <w:sz w:val="20"/>
        </w:rPr>
        <w:t>Klein</w:t>
      </w:r>
      <w:r>
        <w:rPr>
          <w:rFonts w:ascii="Arial" w:hAnsi="Arial" w:cs="Arial"/>
          <w:noProof/>
          <w:sz w:val="20"/>
        </w:rPr>
        <w:t xml:space="preserve"> R, </w:t>
      </w:r>
      <w:r w:rsidR="00D85D29">
        <w:rPr>
          <w:rFonts w:ascii="Arial" w:hAnsi="Arial" w:cs="Arial"/>
          <w:noProof/>
          <w:sz w:val="20"/>
        </w:rPr>
        <w:t>Mares-Perlman</w:t>
      </w:r>
      <w:r>
        <w:rPr>
          <w:rFonts w:ascii="Arial" w:hAnsi="Arial" w:cs="Arial"/>
          <w:noProof/>
          <w:sz w:val="20"/>
        </w:rPr>
        <w:t xml:space="preserve"> JA, and </w:t>
      </w:r>
      <w:r w:rsidR="00D85D29">
        <w:rPr>
          <w:rFonts w:ascii="Arial" w:hAnsi="Arial" w:cs="Arial"/>
          <w:noProof/>
          <w:sz w:val="20"/>
        </w:rPr>
        <w:t>Nondahl</w:t>
      </w:r>
      <w:r>
        <w:rPr>
          <w:rFonts w:ascii="Arial" w:hAnsi="Arial" w:cs="Arial"/>
          <w:noProof/>
          <w:sz w:val="20"/>
        </w:rPr>
        <w:t xml:space="preserve"> DM. 1998.</w:t>
      </w:r>
      <w:r w:rsidR="00D85D29">
        <w:rPr>
          <w:rFonts w:ascii="Arial" w:hAnsi="Arial" w:cs="Arial"/>
          <w:noProof/>
          <w:sz w:val="20"/>
        </w:rPr>
        <w:t xml:space="preserve"> Prevalence of hearing loss in older adults in Beaver Dam, Wisconsin. The Epidemiology of Hearing Loss Study: Am.J.Epidemiol., v. 148, no. 9, p. 879-886.</w:t>
      </w:r>
    </w:p>
    <w:p w14:paraId="4745F00F" w14:textId="77777777" w:rsidR="00D85D29" w:rsidRPr="00FD18D3" w:rsidRDefault="00FD18D3" w:rsidP="009B4A07">
      <w:pPr>
        <w:pStyle w:val="Tablenotes"/>
        <w:tabs>
          <w:tab w:val="left" w:pos="0"/>
        </w:tabs>
        <w:spacing w:after="240"/>
        <w:jc w:val="both"/>
        <w:rPr>
          <w:rFonts w:ascii="Arial" w:hAnsi="Arial" w:cs="Arial"/>
          <w:noProof/>
          <w:sz w:val="20"/>
        </w:rPr>
      </w:pPr>
      <w:r w:rsidRPr="00FD18D3">
        <w:rPr>
          <w:rFonts w:ascii="Arial" w:hAnsi="Arial" w:cs="Arial"/>
          <w:noProof/>
          <w:sz w:val="20"/>
        </w:rPr>
        <w:t xml:space="preserve">Drummond MF, </w:t>
      </w:r>
      <w:r w:rsidR="00D85D29" w:rsidRPr="00FD18D3">
        <w:rPr>
          <w:rFonts w:ascii="Arial" w:hAnsi="Arial" w:cs="Arial"/>
          <w:noProof/>
          <w:sz w:val="20"/>
        </w:rPr>
        <w:t>Sculpher</w:t>
      </w:r>
      <w:r w:rsidRPr="00FD18D3">
        <w:rPr>
          <w:rFonts w:ascii="Arial" w:hAnsi="Arial" w:cs="Arial"/>
          <w:noProof/>
          <w:sz w:val="20"/>
        </w:rPr>
        <w:t xml:space="preserve"> MJ, </w:t>
      </w:r>
      <w:r w:rsidR="00D85D29" w:rsidRPr="00FD18D3">
        <w:rPr>
          <w:rFonts w:ascii="Arial" w:hAnsi="Arial" w:cs="Arial"/>
          <w:noProof/>
          <w:sz w:val="20"/>
        </w:rPr>
        <w:t>Torrance</w:t>
      </w:r>
      <w:r w:rsidRPr="00FD18D3">
        <w:rPr>
          <w:rFonts w:ascii="Arial" w:hAnsi="Arial" w:cs="Arial"/>
          <w:noProof/>
          <w:sz w:val="20"/>
        </w:rPr>
        <w:t xml:space="preserve"> GW, </w:t>
      </w:r>
      <w:r w:rsidR="00D85D29" w:rsidRPr="00FD18D3">
        <w:rPr>
          <w:rFonts w:ascii="Arial" w:hAnsi="Arial" w:cs="Arial"/>
          <w:noProof/>
          <w:sz w:val="20"/>
        </w:rPr>
        <w:t>O'Brien</w:t>
      </w:r>
      <w:r w:rsidRPr="00FD18D3">
        <w:rPr>
          <w:rFonts w:ascii="Arial" w:hAnsi="Arial" w:cs="Arial"/>
          <w:noProof/>
          <w:sz w:val="20"/>
        </w:rPr>
        <w:t xml:space="preserve"> BJ, </w:t>
      </w:r>
      <w:r w:rsidR="00D85D29" w:rsidRPr="00FD18D3">
        <w:rPr>
          <w:rFonts w:ascii="Arial" w:hAnsi="Arial" w:cs="Arial"/>
          <w:noProof/>
          <w:sz w:val="20"/>
        </w:rPr>
        <w:t>Stoddart</w:t>
      </w:r>
      <w:r w:rsidRPr="00FD18D3">
        <w:rPr>
          <w:rFonts w:ascii="Arial" w:hAnsi="Arial" w:cs="Arial"/>
          <w:noProof/>
          <w:sz w:val="20"/>
        </w:rPr>
        <w:t xml:space="preserve"> GL</w:t>
      </w:r>
      <w:r w:rsidR="00D85D29" w:rsidRPr="00FD18D3">
        <w:rPr>
          <w:rFonts w:ascii="Arial" w:hAnsi="Arial" w:cs="Arial"/>
          <w:noProof/>
          <w:sz w:val="20"/>
        </w:rPr>
        <w:t xml:space="preserve">. </w:t>
      </w:r>
      <w:r w:rsidRPr="00FD18D3">
        <w:rPr>
          <w:rFonts w:ascii="Arial" w:hAnsi="Arial" w:cs="Arial"/>
          <w:noProof/>
          <w:sz w:val="20"/>
        </w:rPr>
        <w:t xml:space="preserve">2005. </w:t>
      </w:r>
      <w:r w:rsidR="00D85D29" w:rsidRPr="00FD18D3">
        <w:rPr>
          <w:rFonts w:ascii="Arial" w:hAnsi="Arial" w:cs="Arial"/>
          <w:noProof/>
          <w:sz w:val="20"/>
        </w:rPr>
        <w:t>Methods for the economic evalution of health care programmes</w:t>
      </w:r>
      <w:r w:rsidRPr="00FD18D3">
        <w:rPr>
          <w:rFonts w:ascii="Arial" w:hAnsi="Arial" w:cs="Arial"/>
          <w:noProof/>
          <w:sz w:val="20"/>
        </w:rPr>
        <w:t xml:space="preserve">. 3rd ed. </w:t>
      </w:r>
      <w:r w:rsidR="00D85D29" w:rsidRPr="00FD18D3">
        <w:rPr>
          <w:rFonts w:ascii="Arial" w:hAnsi="Arial" w:cs="Arial"/>
          <w:noProof/>
          <w:sz w:val="20"/>
        </w:rPr>
        <w:t>New</w:t>
      </w:r>
      <w:r w:rsidRPr="00FD18D3">
        <w:rPr>
          <w:rFonts w:ascii="Arial" w:hAnsi="Arial" w:cs="Arial"/>
          <w:noProof/>
          <w:sz w:val="20"/>
        </w:rPr>
        <w:t xml:space="preserve"> York: Oxford University Press</w:t>
      </w:r>
    </w:p>
    <w:p w14:paraId="611737C1" w14:textId="77777777" w:rsidR="00D85D29" w:rsidRDefault="00FD18D3" w:rsidP="009B4A07">
      <w:pPr>
        <w:pStyle w:val="Tablenotes"/>
        <w:tabs>
          <w:tab w:val="left" w:pos="0"/>
        </w:tabs>
        <w:spacing w:after="240"/>
        <w:jc w:val="both"/>
        <w:rPr>
          <w:rFonts w:ascii="Arial" w:hAnsi="Arial" w:cs="Arial"/>
          <w:noProof/>
          <w:sz w:val="20"/>
        </w:rPr>
      </w:pPr>
      <w:r>
        <w:rPr>
          <w:rFonts w:ascii="Arial" w:hAnsi="Arial" w:cs="Arial"/>
          <w:noProof/>
          <w:sz w:val="20"/>
        </w:rPr>
        <w:t xml:space="preserve">Dubno JR, </w:t>
      </w:r>
      <w:r w:rsidR="00D85D29">
        <w:rPr>
          <w:rFonts w:ascii="Arial" w:hAnsi="Arial" w:cs="Arial"/>
          <w:noProof/>
          <w:sz w:val="20"/>
        </w:rPr>
        <w:t>Dirks</w:t>
      </w:r>
      <w:r>
        <w:rPr>
          <w:rFonts w:ascii="Arial" w:hAnsi="Arial" w:cs="Arial"/>
          <w:noProof/>
          <w:sz w:val="20"/>
        </w:rPr>
        <w:t xml:space="preserve"> DD, and </w:t>
      </w:r>
      <w:r w:rsidR="00D85D29">
        <w:rPr>
          <w:rFonts w:ascii="Arial" w:hAnsi="Arial" w:cs="Arial"/>
          <w:noProof/>
          <w:sz w:val="20"/>
        </w:rPr>
        <w:t>Morgan</w:t>
      </w:r>
      <w:r>
        <w:rPr>
          <w:rFonts w:ascii="Arial" w:hAnsi="Arial" w:cs="Arial"/>
          <w:noProof/>
          <w:sz w:val="20"/>
        </w:rPr>
        <w:t xml:space="preserve"> DE. 1984.</w:t>
      </w:r>
      <w:r w:rsidR="00D85D29">
        <w:rPr>
          <w:rFonts w:ascii="Arial" w:hAnsi="Arial" w:cs="Arial"/>
          <w:noProof/>
          <w:sz w:val="20"/>
        </w:rPr>
        <w:t xml:space="preserve"> Effects of age and mild hearing loss</w:t>
      </w:r>
      <w:r>
        <w:rPr>
          <w:rFonts w:ascii="Arial" w:hAnsi="Arial" w:cs="Arial"/>
          <w:noProof/>
          <w:sz w:val="20"/>
        </w:rPr>
        <w:t xml:space="preserve"> on speech recognition in noise.</w:t>
      </w:r>
      <w:r w:rsidR="00D85D29">
        <w:rPr>
          <w:rFonts w:ascii="Arial" w:hAnsi="Arial" w:cs="Arial"/>
          <w:noProof/>
          <w:sz w:val="20"/>
        </w:rPr>
        <w:t xml:space="preserve"> J.Acoust.</w:t>
      </w:r>
      <w:r>
        <w:rPr>
          <w:rFonts w:ascii="Arial" w:hAnsi="Arial" w:cs="Arial"/>
          <w:noProof/>
          <w:sz w:val="20"/>
        </w:rPr>
        <w:t>Soc.Am., v. 76, no. 1, p. 87-96</w:t>
      </w:r>
    </w:p>
    <w:p w14:paraId="52C2CBD1" w14:textId="77777777" w:rsidR="00D85D29" w:rsidRDefault="00FD18D3" w:rsidP="009B4A07">
      <w:pPr>
        <w:pStyle w:val="Tablenotes"/>
        <w:tabs>
          <w:tab w:val="left" w:pos="0"/>
        </w:tabs>
        <w:spacing w:after="240"/>
        <w:jc w:val="both"/>
        <w:rPr>
          <w:rFonts w:ascii="Arial" w:hAnsi="Arial" w:cs="Arial"/>
          <w:noProof/>
          <w:sz w:val="20"/>
        </w:rPr>
      </w:pPr>
      <w:r>
        <w:rPr>
          <w:rFonts w:ascii="Arial" w:hAnsi="Arial" w:cs="Arial"/>
          <w:noProof/>
          <w:sz w:val="20"/>
        </w:rPr>
        <w:t xml:space="preserve">Edfeldt L, </w:t>
      </w:r>
      <w:r w:rsidR="00D85D29">
        <w:rPr>
          <w:rFonts w:ascii="Arial" w:hAnsi="Arial" w:cs="Arial"/>
          <w:noProof/>
          <w:sz w:val="20"/>
        </w:rPr>
        <w:t>Stromback</w:t>
      </w:r>
      <w:r>
        <w:rPr>
          <w:rFonts w:ascii="Arial" w:hAnsi="Arial" w:cs="Arial"/>
          <w:noProof/>
          <w:sz w:val="20"/>
        </w:rPr>
        <w:t xml:space="preserve"> K, </w:t>
      </w:r>
      <w:r w:rsidR="00D85D29">
        <w:rPr>
          <w:rFonts w:ascii="Arial" w:hAnsi="Arial" w:cs="Arial"/>
          <w:noProof/>
          <w:sz w:val="20"/>
        </w:rPr>
        <w:t>Grendin</w:t>
      </w:r>
      <w:r>
        <w:rPr>
          <w:rFonts w:ascii="Arial" w:hAnsi="Arial" w:cs="Arial"/>
          <w:noProof/>
          <w:sz w:val="20"/>
        </w:rPr>
        <w:t xml:space="preserve"> J, </w:t>
      </w:r>
      <w:r w:rsidR="00D85D29">
        <w:rPr>
          <w:rFonts w:ascii="Arial" w:hAnsi="Arial" w:cs="Arial"/>
          <w:noProof/>
          <w:sz w:val="20"/>
        </w:rPr>
        <w:t>Bunne</w:t>
      </w:r>
      <w:r>
        <w:rPr>
          <w:rFonts w:ascii="Arial" w:hAnsi="Arial" w:cs="Arial"/>
          <w:noProof/>
          <w:sz w:val="20"/>
        </w:rPr>
        <w:t xml:space="preserve"> M, </w:t>
      </w:r>
      <w:r w:rsidR="00D85D29">
        <w:rPr>
          <w:rFonts w:ascii="Arial" w:hAnsi="Arial" w:cs="Arial"/>
          <w:noProof/>
          <w:sz w:val="20"/>
        </w:rPr>
        <w:t>Harder</w:t>
      </w:r>
      <w:r>
        <w:rPr>
          <w:rFonts w:ascii="Arial" w:hAnsi="Arial" w:cs="Arial"/>
          <w:noProof/>
          <w:sz w:val="20"/>
        </w:rPr>
        <w:t xml:space="preserve"> H, </w:t>
      </w:r>
      <w:r w:rsidR="00D85D29">
        <w:rPr>
          <w:rFonts w:ascii="Arial" w:hAnsi="Arial" w:cs="Arial"/>
          <w:noProof/>
          <w:sz w:val="20"/>
        </w:rPr>
        <w:t>Peebo</w:t>
      </w:r>
      <w:r>
        <w:rPr>
          <w:rFonts w:ascii="Arial" w:hAnsi="Arial" w:cs="Arial"/>
          <w:noProof/>
          <w:sz w:val="20"/>
        </w:rPr>
        <w:t xml:space="preserve"> M, </w:t>
      </w:r>
      <w:r w:rsidR="00D85D29">
        <w:rPr>
          <w:rFonts w:ascii="Arial" w:hAnsi="Arial" w:cs="Arial"/>
          <w:noProof/>
          <w:sz w:val="20"/>
        </w:rPr>
        <w:t>Eeg-Olofsson</w:t>
      </w:r>
      <w:r>
        <w:rPr>
          <w:rFonts w:ascii="Arial" w:hAnsi="Arial" w:cs="Arial"/>
          <w:noProof/>
          <w:sz w:val="20"/>
        </w:rPr>
        <w:t xml:space="preserve"> M, </w:t>
      </w:r>
      <w:r w:rsidR="00D85D29">
        <w:rPr>
          <w:rFonts w:ascii="Arial" w:hAnsi="Arial" w:cs="Arial"/>
          <w:noProof/>
          <w:sz w:val="20"/>
        </w:rPr>
        <w:t>Petersson</w:t>
      </w:r>
      <w:r>
        <w:rPr>
          <w:rFonts w:ascii="Arial" w:hAnsi="Arial" w:cs="Arial"/>
          <w:noProof/>
          <w:sz w:val="20"/>
        </w:rPr>
        <w:t xml:space="preserve"> CM, and </w:t>
      </w:r>
      <w:r w:rsidR="00D85D29">
        <w:rPr>
          <w:rFonts w:ascii="Arial" w:hAnsi="Arial" w:cs="Arial"/>
          <w:noProof/>
          <w:sz w:val="20"/>
        </w:rPr>
        <w:t>Konradsson</w:t>
      </w:r>
      <w:r>
        <w:rPr>
          <w:rFonts w:ascii="Arial" w:hAnsi="Arial" w:cs="Arial"/>
          <w:noProof/>
          <w:sz w:val="20"/>
        </w:rPr>
        <w:t xml:space="preserve"> K. 2014.</w:t>
      </w:r>
      <w:r w:rsidR="00D85D29">
        <w:rPr>
          <w:rFonts w:ascii="Arial" w:hAnsi="Arial" w:cs="Arial"/>
          <w:noProof/>
          <w:sz w:val="20"/>
        </w:rPr>
        <w:t xml:space="preserve"> Evaluation of cost-utility in middle ear implantation in the 'Nordic School': a multicenter study in Sweden and Norway: Acta Otolar</w:t>
      </w:r>
      <w:r>
        <w:rPr>
          <w:rFonts w:ascii="Arial" w:hAnsi="Arial" w:cs="Arial"/>
          <w:noProof/>
          <w:sz w:val="20"/>
        </w:rPr>
        <w:t>yngol., v. 134, no. 1, p. 19-25</w:t>
      </w:r>
    </w:p>
    <w:p w14:paraId="1611EF90" w14:textId="77777777" w:rsidR="00D85D29" w:rsidRDefault="00FD18D3" w:rsidP="009B4A07">
      <w:pPr>
        <w:pStyle w:val="Tablenotes"/>
        <w:tabs>
          <w:tab w:val="left" w:pos="0"/>
        </w:tabs>
        <w:spacing w:after="240"/>
        <w:jc w:val="both"/>
        <w:rPr>
          <w:rFonts w:ascii="Arial" w:hAnsi="Arial" w:cs="Arial"/>
          <w:noProof/>
          <w:sz w:val="20"/>
        </w:rPr>
      </w:pPr>
      <w:r w:rsidRPr="00FD18D3">
        <w:rPr>
          <w:rFonts w:ascii="Arial" w:hAnsi="Arial" w:cs="Arial"/>
          <w:noProof/>
          <w:sz w:val="20"/>
          <w:lang w:val="de-AT"/>
        </w:rPr>
        <w:t xml:space="preserve">Fellinger J, </w:t>
      </w:r>
      <w:r w:rsidR="00D85D29" w:rsidRPr="00FD18D3">
        <w:rPr>
          <w:rFonts w:ascii="Arial" w:hAnsi="Arial" w:cs="Arial"/>
          <w:noProof/>
          <w:sz w:val="20"/>
          <w:lang w:val="de-AT"/>
        </w:rPr>
        <w:t>Holzinger</w:t>
      </w:r>
      <w:r w:rsidRPr="00FD18D3">
        <w:rPr>
          <w:rFonts w:ascii="Arial" w:hAnsi="Arial" w:cs="Arial"/>
          <w:noProof/>
          <w:sz w:val="20"/>
          <w:lang w:val="de-AT"/>
        </w:rPr>
        <w:t xml:space="preserve"> D, </w:t>
      </w:r>
      <w:r w:rsidR="00D85D29" w:rsidRPr="00FD18D3">
        <w:rPr>
          <w:rFonts w:ascii="Arial" w:hAnsi="Arial" w:cs="Arial"/>
          <w:noProof/>
          <w:sz w:val="20"/>
          <w:lang w:val="de-AT"/>
        </w:rPr>
        <w:t>Gerich</w:t>
      </w:r>
      <w:r w:rsidRPr="00FD18D3">
        <w:rPr>
          <w:rFonts w:ascii="Arial" w:hAnsi="Arial" w:cs="Arial"/>
          <w:noProof/>
          <w:sz w:val="20"/>
          <w:lang w:val="de-AT"/>
        </w:rPr>
        <w:t xml:space="preserve"> J, and </w:t>
      </w:r>
      <w:r w:rsidR="00D85D29" w:rsidRPr="00FD18D3">
        <w:rPr>
          <w:rFonts w:ascii="Arial" w:hAnsi="Arial" w:cs="Arial"/>
          <w:noProof/>
          <w:sz w:val="20"/>
          <w:lang w:val="de-AT"/>
        </w:rPr>
        <w:t>Goldberg</w:t>
      </w:r>
      <w:r w:rsidRPr="00FD18D3">
        <w:rPr>
          <w:rFonts w:ascii="Arial" w:hAnsi="Arial" w:cs="Arial"/>
          <w:noProof/>
          <w:sz w:val="20"/>
          <w:lang w:val="de-AT"/>
        </w:rPr>
        <w:t xml:space="preserve"> D. 2007.</w:t>
      </w:r>
      <w:r w:rsidR="00D85D29" w:rsidRPr="00FD18D3">
        <w:rPr>
          <w:rFonts w:ascii="Arial" w:hAnsi="Arial" w:cs="Arial"/>
          <w:noProof/>
          <w:sz w:val="20"/>
          <w:lang w:val="de-AT"/>
        </w:rPr>
        <w:t xml:space="preserve"> </w:t>
      </w:r>
      <w:r w:rsidR="00D85D29">
        <w:rPr>
          <w:rFonts w:ascii="Arial" w:hAnsi="Arial" w:cs="Arial"/>
          <w:noProof/>
          <w:sz w:val="20"/>
        </w:rPr>
        <w:t>Mental distress and quality</w:t>
      </w:r>
      <w:r>
        <w:rPr>
          <w:rFonts w:ascii="Arial" w:hAnsi="Arial" w:cs="Arial"/>
          <w:noProof/>
          <w:sz w:val="20"/>
        </w:rPr>
        <w:t xml:space="preserve"> of life in the hard of hearing.</w:t>
      </w:r>
      <w:r w:rsidR="00D85D29">
        <w:rPr>
          <w:rFonts w:ascii="Arial" w:hAnsi="Arial" w:cs="Arial"/>
          <w:noProof/>
          <w:sz w:val="20"/>
        </w:rPr>
        <w:t xml:space="preserve"> Acta Psychiatr.Sc</w:t>
      </w:r>
      <w:r>
        <w:rPr>
          <w:rFonts w:ascii="Arial" w:hAnsi="Arial" w:cs="Arial"/>
          <w:noProof/>
          <w:sz w:val="20"/>
        </w:rPr>
        <w:t>and., v. 115, no. 3, p. 243-245</w:t>
      </w:r>
    </w:p>
    <w:p w14:paraId="49202A99" w14:textId="77777777" w:rsidR="00D85D29" w:rsidRPr="00FD18D3" w:rsidRDefault="00FD18D3" w:rsidP="009B4A07">
      <w:pPr>
        <w:pStyle w:val="Tablenotes"/>
        <w:tabs>
          <w:tab w:val="left" w:pos="0"/>
        </w:tabs>
        <w:spacing w:after="240"/>
        <w:jc w:val="both"/>
        <w:rPr>
          <w:rFonts w:ascii="Arial" w:hAnsi="Arial" w:cs="Arial"/>
          <w:noProof/>
          <w:sz w:val="20"/>
          <w:szCs w:val="20"/>
        </w:rPr>
      </w:pPr>
      <w:r w:rsidRPr="00FD18D3">
        <w:rPr>
          <w:rFonts w:ascii="Arial" w:hAnsi="Arial" w:cs="Arial"/>
          <w:sz w:val="20"/>
          <w:szCs w:val="20"/>
        </w:rPr>
        <w:t>Fisch U, Cremers CW, Lenarz T, Weber B, Babighian G, Uziel AS, Proops DW, O'Connor AF, Charachon R, Helms J, Fraysse B</w:t>
      </w:r>
      <w:r w:rsidRPr="00FD18D3">
        <w:rPr>
          <w:rFonts w:ascii="Arial" w:hAnsi="Arial" w:cs="Arial"/>
          <w:noProof/>
          <w:sz w:val="20"/>
          <w:szCs w:val="20"/>
        </w:rPr>
        <w:t>. 2001.</w:t>
      </w:r>
      <w:r w:rsidR="00D85D29" w:rsidRPr="00FD18D3">
        <w:rPr>
          <w:rFonts w:ascii="Arial" w:hAnsi="Arial" w:cs="Arial"/>
          <w:noProof/>
          <w:sz w:val="20"/>
          <w:szCs w:val="20"/>
        </w:rPr>
        <w:t xml:space="preserve"> Clinical experience with the Vib</w:t>
      </w:r>
      <w:r w:rsidRPr="00FD18D3">
        <w:rPr>
          <w:rFonts w:ascii="Arial" w:hAnsi="Arial" w:cs="Arial"/>
          <w:noProof/>
          <w:sz w:val="20"/>
          <w:szCs w:val="20"/>
        </w:rPr>
        <w:t>rant Soundbridge implant device.</w:t>
      </w:r>
      <w:r w:rsidR="00D85D29" w:rsidRPr="00FD18D3">
        <w:rPr>
          <w:rFonts w:ascii="Arial" w:hAnsi="Arial" w:cs="Arial"/>
          <w:noProof/>
          <w:sz w:val="20"/>
          <w:szCs w:val="20"/>
        </w:rPr>
        <w:t xml:space="preserve"> Otol.Neurotol</w:t>
      </w:r>
      <w:r w:rsidRPr="00FD18D3">
        <w:rPr>
          <w:rFonts w:ascii="Arial" w:hAnsi="Arial" w:cs="Arial"/>
          <w:noProof/>
          <w:sz w:val="20"/>
          <w:szCs w:val="20"/>
        </w:rPr>
        <w:t>., v. 22, no. 6, p. 962-972</w:t>
      </w:r>
    </w:p>
    <w:p w14:paraId="720F0DC4" w14:textId="77777777" w:rsidR="00D85D29" w:rsidRDefault="004C2DEF" w:rsidP="009B4A07">
      <w:pPr>
        <w:pStyle w:val="Tablenotes"/>
        <w:tabs>
          <w:tab w:val="left" w:pos="0"/>
        </w:tabs>
        <w:spacing w:after="240"/>
        <w:jc w:val="both"/>
        <w:rPr>
          <w:rFonts w:ascii="Arial" w:hAnsi="Arial" w:cs="Arial"/>
          <w:noProof/>
          <w:sz w:val="20"/>
        </w:rPr>
      </w:pPr>
      <w:r w:rsidRPr="004C2DEF">
        <w:rPr>
          <w:rFonts w:ascii="Arial" w:hAnsi="Arial" w:cs="Arial"/>
          <w:noProof/>
          <w:sz w:val="20"/>
          <w:lang w:val="de-AT"/>
        </w:rPr>
        <w:t xml:space="preserve">Frenzel H, </w:t>
      </w:r>
      <w:r w:rsidR="00D85D29" w:rsidRPr="004C2DEF">
        <w:rPr>
          <w:rFonts w:ascii="Arial" w:hAnsi="Arial" w:cs="Arial"/>
          <w:noProof/>
          <w:sz w:val="20"/>
          <w:lang w:val="de-AT"/>
        </w:rPr>
        <w:t>Hanke</w:t>
      </w:r>
      <w:r w:rsidRPr="004C2DEF">
        <w:rPr>
          <w:rFonts w:ascii="Arial" w:hAnsi="Arial" w:cs="Arial"/>
          <w:noProof/>
          <w:sz w:val="20"/>
          <w:lang w:val="de-AT"/>
        </w:rPr>
        <w:t xml:space="preserve"> F, </w:t>
      </w:r>
      <w:r w:rsidR="00D85D29" w:rsidRPr="004C2DEF">
        <w:rPr>
          <w:rFonts w:ascii="Arial" w:hAnsi="Arial" w:cs="Arial"/>
          <w:noProof/>
          <w:sz w:val="20"/>
          <w:lang w:val="de-AT"/>
        </w:rPr>
        <w:t>Beltrame</w:t>
      </w:r>
      <w:r w:rsidRPr="004C2DEF">
        <w:rPr>
          <w:rFonts w:ascii="Arial" w:hAnsi="Arial" w:cs="Arial"/>
          <w:noProof/>
          <w:sz w:val="20"/>
          <w:lang w:val="de-AT"/>
        </w:rPr>
        <w:t xml:space="preserve"> M, and </w:t>
      </w:r>
      <w:r w:rsidR="00D85D29" w:rsidRPr="004C2DEF">
        <w:rPr>
          <w:rFonts w:ascii="Arial" w:hAnsi="Arial" w:cs="Arial"/>
          <w:noProof/>
          <w:sz w:val="20"/>
          <w:lang w:val="de-AT"/>
        </w:rPr>
        <w:t>Wollenberg</w:t>
      </w:r>
      <w:r w:rsidRPr="004C2DEF">
        <w:rPr>
          <w:rFonts w:ascii="Arial" w:hAnsi="Arial" w:cs="Arial"/>
          <w:noProof/>
          <w:sz w:val="20"/>
          <w:lang w:val="de-AT"/>
        </w:rPr>
        <w:t xml:space="preserve"> B. 2010.</w:t>
      </w:r>
      <w:r w:rsidR="00D85D29" w:rsidRPr="004C2DEF">
        <w:rPr>
          <w:rFonts w:ascii="Arial" w:hAnsi="Arial" w:cs="Arial"/>
          <w:noProof/>
          <w:sz w:val="20"/>
          <w:lang w:val="de-AT"/>
        </w:rPr>
        <w:t xml:space="preserve"> </w:t>
      </w:r>
      <w:r w:rsidR="00D85D29">
        <w:rPr>
          <w:rFonts w:ascii="Arial" w:hAnsi="Arial" w:cs="Arial"/>
          <w:noProof/>
          <w:sz w:val="20"/>
        </w:rPr>
        <w:t>Application of the Vibrant Soundbridge in bilateral</w:t>
      </w:r>
      <w:r>
        <w:rPr>
          <w:rFonts w:ascii="Arial" w:hAnsi="Arial" w:cs="Arial"/>
          <w:noProof/>
          <w:sz w:val="20"/>
        </w:rPr>
        <w:t xml:space="preserve"> congenital atresia in toddlers.</w:t>
      </w:r>
      <w:r w:rsidR="00D85D29">
        <w:rPr>
          <w:rFonts w:ascii="Arial" w:hAnsi="Arial" w:cs="Arial"/>
          <w:noProof/>
          <w:sz w:val="20"/>
        </w:rPr>
        <w:t xml:space="preserve"> Acta Otolaryngol</w:t>
      </w:r>
      <w:r>
        <w:rPr>
          <w:rFonts w:ascii="Arial" w:hAnsi="Arial" w:cs="Arial"/>
          <w:noProof/>
          <w:sz w:val="20"/>
        </w:rPr>
        <w:t>., v. 130, no. 8, p. 966-970</w:t>
      </w:r>
    </w:p>
    <w:p w14:paraId="468FFE68" w14:textId="77777777" w:rsidR="00D85D29" w:rsidRDefault="004C2DEF" w:rsidP="009B4A07">
      <w:pPr>
        <w:pStyle w:val="Tablenotes"/>
        <w:tabs>
          <w:tab w:val="left" w:pos="0"/>
        </w:tabs>
        <w:spacing w:after="240"/>
        <w:jc w:val="both"/>
        <w:rPr>
          <w:rFonts w:ascii="Arial" w:hAnsi="Arial" w:cs="Arial"/>
          <w:noProof/>
          <w:sz w:val="20"/>
        </w:rPr>
      </w:pPr>
      <w:r>
        <w:rPr>
          <w:rFonts w:ascii="Arial" w:hAnsi="Arial" w:cs="Arial"/>
          <w:noProof/>
          <w:sz w:val="20"/>
        </w:rPr>
        <w:t xml:space="preserve">Gerard JM, </w:t>
      </w:r>
      <w:r w:rsidR="00D85D29">
        <w:rPr>
          <w:rFonts w:ascii="Arial" w:hAnsi="Arial" w:cs="Arial"/>
          <w:noProof/>
          <w:sz w:val="20"/>
        </w:rPr>
        <w:t>Thill</w:t>
      </w:r>
      <w:r>
        <w:rPr>
          <w:rFonts w:ascii="Arial" w:hAnsi="Arial" w:cs="Arial"/>
          <w:noProof/>
          <w:sz w:val="20"/>
        </w:rPr>
        <w:t xml:space="preserve"> MP, </w:t>
      </w:r>
      <w:r w:rsidR="00D85D29">
        <w:rPr>
          <w:rFonts w:ascii="Arial" w:hAnsi="Arial" w:cs="Arial"/>
          <w:noProof/>
          <w:sz w:val="20"/>
        </w:rPr>
        <w:t>Chantrain</w:t>
      </w:r>
      <w:r>
        <w:rPr>
          <w:rFonts w:ascii="Arial" w:hAnsi="Arial" w:cs="Arial"/>
          <w:noProof/>
          <w:sz w:val="20"/>
        </w:rPr>
        <w:t xml:space="preserve"> G, </w:t>
      </w:r>
      <w:r w:rsidR="00D85D29">
        <w:rPr>
          <w:rFonts w:ascii="Arial" w:hAnsi="Arial" w:cs="Arial"/>
          <w:noProof/>
          <w:sz w:val="20"/>
        </w:rPr>
        <w:t>Gersdorff</w:t>
      </w:r>
      <w:r>
        <w:rPr>
          <w:rFonts w:ascii="Arial" w:hAnsi="Arial" w:cs="Arial"/>
          <w:noProof/>
          <w:sz w:val="20"/>
        </w:rPr>
        <w:t xml:space="preserve"> M, and </w:t>
      </w:r>
      <w:r w:rsidR="00D85D29">
        <w:rPr>
          <w:rFonts w:ascii="Arial" w:hAnsi="Arial" w:cs="Arial"/>
          <w:noProof/>
          <w:sz w:val="20"/>
        </w:rPr>
        <w:t>Deggouj</w:t>
      </w:r>
      <w:r>
        <w:rPr>
          <w:rFonts w:ascii="Arial" w:hAnsi="Arial" w:cs="Arial"/>
          <w:noProof/>
          <w:sz w:val="20"/>
        </w:rPr>
        <w:t xml:space="preserve"> N. 2012.</w:t>
      </w:r>
      <w:r w:rsidR="00D85D29">
        <w:rPr>
          <w:rFonts w:ascii="Arial" w:hAnsi="Arial" w:cs="Arial"/>
          <w:noProof/>
          <w:sz w:val="20"/>
        </w:rPr>
        <w:t xml:space="preserve"> Esteem 2 middle ear implant: our experience</w:t>
      </w:r>
      <w:r>
        <w:rPr>
          <w:rFonts w:ascii="Arial" w:hAnsi="Arial" w:cs="Arial"/>
          <w:noProof/>
          <w:sz w:val="20"/>
        </w:rPr>
        <w:t>.</w:t>
      </w:r>
      <w:r w:rsidR="00D85D29">
        <w:rPr>
          <w:rFonts w:ascii="Arial" w:hAnsi="Arial" w:cs="Arial"/>
          <w:noProof/>
          <w:sz w:val="20"/>
        </w:rPr>
        <w:t xml:space="preserve"> Audiol.Neuro</w:t>
      </w:r>
      <w:r>
        <w:rPr>
          <w:rFonts w:ascii="Arial" w:hAnsi="Arial" w:cs="Arial"/>
          <w:noProof/>
          <w:sz w:val="20"/>
        </w:rPr>
        <w:t>otol., v. 17, no. 4, p. 267-274</w:t>
      </w:r>
    </w:p>
    <w:p w14:paraId="1D1FAC55" w14:textId="77777777" w:rsidR="00D85D29" w:rsidRDefault="00D85D29" w:rsidP="009B4A07">
      <w:pPr>
        <w:pStyle w:val="Tablenotes"/>
        <w:tabs>
          <w:tab w:val="left" w:pos="0"/>
        </w:tabs>
        <w:spacing w:after="240"/>
        <w:jc w:val="both"/>
        <w:rPr>
          <w:rFonts w:ascii="Arial" w:hAnsi="Arial" w:cs="Arial"/>
          <w:noProof/>
          <w:sz w:val="20"/>
        </w:rPr>
      </w:pPr>
      <w:r w:rsidRPr="004C2DEF">
        <w:rPr>
          <w:rFonts w:ascii="Arial" w:hAnsi="Arial" w:cs="Arial"/>
          <w:noProof/>
          <w:sz w:val="20"/>
          <w:lang w:val="de-AT"/>
        </w:rPr>
        <w:t>Hallberg</w:t>
      </w:r>
      <w:r w:rsidR="004C2DEF" w:rsidRPr="004C2DEF">
        <w:rPr>
          <w:rFonts w:ascii="Arial" w:hAnsi="Arial" w:cs="Arial"/>
          <w:noProof/>
          <w:sz w:val="20"/>
          <w:lang w:val="de-AT"/>
        </w:rPr>
        <w:t xml:space="preserve"> LR,</w:t>
      </w:r>
      <w:r w:rsidRPr="004C2DEF">
        <w:rPr>
          <w:rFonts w:ascii="Arial" w:hAnsi="Arial" w:cs="Arial"/>
          <w:noProof/>
          <w:sz w:val="20"/>
          <w:lang w:val="de-AT"/>
        </w:rPr>
        <w:t xml:space="preserve"> Hallberg</w:t>
      </w:r>
      <w:r w:rsidR="004C2DEF" w:rsidRPr="004C2DEF">
        <w:rPr>
          <w:rFonts w:ascii="Arial" w:hAnsi="Arial" w:cs="Arial"/>
          <w:noProof/>
          <w:sz w:val="20"/>
          <w:lang w:val="de-AT"/>
        </w:rPr>
        <w:t xml:space="preserve"> U, and </w:t>
      </w:r>
      <w:r w:rsidRPr="004C2DEF">
        <w:rPr>
          <w:rFonts w:ascii="Arial" w:hAnsi="Arial" w:cs="Arial"/>
          <w:noProof/>
          <w:sz w:val="20"/>
          <w:lang w:val="de-AT"/>
        </w:rPr>
        <w:t>Kramer</w:t>
      </w:r>
      <w:r w:rsidR="004C2DEF" w:rsidRPr="004C2DEF">
        <w:rPr>
          <w:rFonts w:ascii="Arial" w:hAnsi="Arial" w:cs="Arial"/>
          <w:noProof/>
          <w:sz w:val="20"/>
          <w:lang w:val="de-AT"/>
        </w:rPr>
        <w:t xml:space="preserve"> SR. 2008.</w:t>
      </w:r>
      <w:r w:rsidRPr="004C2DEF">
        <w:rPr>
          <w:rFonts w:ascii="Arial" w:hAnsi="Arial" w:cs="Arial"/>
          <w:noProof/>
          <w:sz w:val="20"/>
          <w:lang w:val="de-AT"/>
        </w:rPr>
        <w:t xml:space="preserve"> </w:t>
      </w:r>
      <w:r>
        <w:rPr>
          <w:rFonts w:ascii="Arial" w:hAnsi="Arial" w:cs="Arial"/>
          <w:noProof/>
          <w:sz w:val="20"/>
        </w:rPr>
        <w:t>Self-reported hearing difficulties, communication strategies and psychological general well-being (quality of life) in patients w</w:t>
      </w:r>
      <w:r w:rsidR="004C2DEF">
        <w:rPr>
          <w:rFonts w:ascii="Arial" w:hAnsi="Arial" w:cs="Arial"/>
          <w:noProof/>
          <w:sz w:val="20"/>
        </w:rPr>
        <w:t>ith acquired hearing impairment.</w:t>
      </w:r>
      <w:r>
        <w:rPr>
          <w:rFonts w:ascii="Arial" w:hAnsi="Arial" w:cs="Arial"/>
          <w:noProof/>
          <w:sz w:val="20"/>
        </w:rPr>
        <w:t xml:space="preserve"> Disabil.Reh</w:t>
      </w:r>
      <w:r w:rsidR="004C2DEF">
        <w:rPr>
          <w:rFonts w:ascii="Arial" w:hAnsi="Arial" w:cs="Arial"/>
          <w:noProof/>
          <w:sz w:val="20"/>
        </w:rPr>
        <w:t>abil., v. 30, no. 3, p. 203-212</w:t>
      </w:r>
    </w:p>
    <w:p w14:paraId="6322F678" w14:textId="3AB538A4" w:rsidR="00337593" w:rsidRPr="00337593" w:rsidRDefault="00337593" w:rsidP="009B4A07">
      <w:pPr>
        <w:pStyle w:val="Tablenotes"/>
        <w:tabs>
          <w:tab w:val="left" w:pos="0"/>
        </w:tabs>
        <w:spacing w:after="240"/>
        <w:jc w:val="both"/>
        <w:rPr>
          <w:rFonts w:ascii="Arial" w:hAnsi="Arial" w:cs="Arial"/>
          <w:noProof/>
          <w:sz w:val="20"/>
          <w:szCs w:val="20"/>
        </w:rPr>
      </w:pPr>
      <w:r w:rsidRPr="00337593">
        <w:rPr>
          <w:rFonts w:ascii="Arial" w:hAnsi="Arial" w:cs="Arial"/>
          <w:sz w:val="20"/>
          <w:szCs w:val="20"/>
          <w:lang w:val="en-GB"/>
        </w:rPr>
        <w:t>Health Utilities Incorporated. Summary statistics for HUI reference scores of health-related Quality of Life. Accessed 23</w:t>
      </w:r>
      <w:r w:rsidRPr="00337593">
        <w:rPr>
          <w:rFonts w:ascii="Arial" w:hAnsi="Arial" w:cs="Arial"/>
          <w:sz w:val="20"/>
          <w:szCs w:val="20"/>
          <w:vertAlign w:val="superscript"/>
          <w:lang w:val="en-GB"/>
        </w:rPr>
        <w:t>rd</w:t>
      </w:r>
      <w:r w:rsidRPr="00337593">
        <w:rPr>
          <w:rFonts w:ascii="Arial" w:hAnsi="Arial" w:cs="Arial"/>
          <w:sz w:val="20"/>
          <w:szCs w:val="20"/>
          <w:lang w:val="en-GB"/>
        </w:rPr>
        <w:t xml:space="preserve"> July, 2015 from </w:t>
      </w:r>
      <w:hyperlink r:id="rId99" w:tooltip="Health Utilities Incorporated home page" w:history="1">
        <w:r w:rsidRPr="00337593">
          <w:rPr>
            <w:rStyle w:val="Hyperlink"/>
            <w:rFonts w:ascii="Arial" w:hAnsi="Arial" w:cs="Arial"/>
            <w:sz w:val="20"/>
            <w:szCs w:val="20"/>
            <w:lang w:val="en-GB"/>
          </w:rPr>
          <w:t>http://www.healthutilities.com/</w:t>
        </w:r>
      </w:hyperlink>
    </w:p>
    <w:p w14:paraId="4F563F45" w14:textId="77777777" w:rsidR="00D85D29" w:rsidRDefault="00D85D29" w:rsidP="009B4A07">
      <w:pPr>
        <w:pStyle w:val="Tablenotes"/>
        <w:tabs>
          <w:tab w:val="left" w:pos="0"/>
        </w:tabs>
        <w:spacing w:after="240"/>
        <w:jc w:val="both"/>
        <w:rPr>
          <w:rFonts w:ascii="Arial" w:hAnsi="Arial" w:cs="Arial"/>
          <w:noProof/>
          <w:sz w:val="20"/>
        </w:rPr>
      </w:pPr>
      <w:r>
        <w:rPr>
          <w:rFonts w:ascii="Arial" w:hAnsi="Arial" w:cs="Arial"/>
          <w:noProof/>
          <w:sz w:val="20"/>
        </w:rPr>
        <w:lastRenderedPageBreak/>
        <w:t>Hough</w:t>
      </w:r>
      <w:r w:rsidR="004C2DEF">
        <w:rPr>
          <w:rFonts w:ascii="Arial" w:hAnsi="Arial" w:cs="Arial"/>
          <w:noProof/>
          <w:sz w:val="20"/>
        </w:rPr>
        <w:t xml:space="preserve"> JV,</w:t>
      </w:r>
      <w:r>
        <w:rPr>
          <w:rFonts w:ascii="Arial" w:hAnsi="Arial" w:cs="Arial"/>
          <w:noProof/>
          <w:sz w:val="20"/>
        </w:rPr>
        <w:t xml:space="preserve"> Matthews</w:t>
      </w:r>
      <w:r w:rsidR="004C2DEF">
        <w:rPr>
          <w:rFonts w:ascii="Arial" w:hAnsi="Arial" w:cs="Arial"/>
          <w:noProof/>
          <w:sz w:val="20"/>
        </w:rPr>
        <w:t xml:space="preserve"> P, </w:t>
      </w:r>
      <w:r>
        <w:rPr>
          <w:rFonts w:ascii="Arial" w:hAnsi="Arial" w:cs="Arial"/>
          <w:noProof/>
          <w:sz w:val="20"/>
        </w:rPr>
        <w:t>Wood</w:t>
      </w:r>
      <w:r w:rsidR="004C2DEF">
        <w:rPr>
          <w:rFonts w:ascii="Arial" w:hAnsi="Arial" w:cs="Arial"/>
          <w:noProof/>
          <w:sz w:val="20"/>
        </w:rPr>
        <w:t xml:space="preserve"> MW, and </w:t>
      </w:r>
      <w:r>
        <w:rPr>
          <w:rFonts w:ascii="Arial" w:hAnsi="Arial" w:cs="Arial"/>
          <w:noProof/>
          <w:sz w:val="20"/>
        </w:rPr>
        <w:t>Dyer</w:t>
      </w:r>
      <w:r w:rsidR="004C2DEF">
        <w:rPr>
          <w:rFonts w:ascii="Arial" w:hAnsi="Arial" w:cs="Arial"/>
          <w:noProof/>
          <w:sz w:val="20"/>
        </w:rPr>
        <w:t xml:space="preserve"> RK Jr. 2002.</w:t>
      </w:r>
      <w:r>
        <w:rPr>
          <w:rFonts w:ascii="Arial" w:hAnsi="Arial" w:cs="Arial"/>
          <w:noProof/>
          <w:sz w:val="20"/>
        </w:rPr>
        <w:t xml:space="preserve"> Middle ear electromagnetic </w:t>
      </w:r>
      <w:r w:rsidR="004C2DEF">
        <w:rPr>
          <w:rFonts w:ascii="Arial" w:hAnsi="Arial" w:cs="Arial"/>
          <w:noProof/>
          <w:sz w:val="20"/>
        </w:rPr>
        <w:t>semi-implantable hearing device.</w:t>
      </w:r>
      <w:r>
        <w:rPr>
          <w:rFonts w:ascii="Arial" w:hAnsi="Arial" w:cs="Arial"/>
          <w:noProof/>
          <w:sz w:val="20"/>
        </w:rPr>
        <w:t xml:space="preserve"> results of the phase II SOUNDT</w:t>
      </w:r>
      <w:r w:rsidR="004C2DEF">
        <w:rPr>
          <w:rFonts w:ascii="Arial" w:hAnsi="Arial" w:cs="Arial"/>
          <w:noProof/>
          <w:sz w:val="20"/>
        </w:rPr>
        <w:t>EC direct system clinical trial.</w:t>
      </w:r>
      <w:r>
        <w:rPr>
          <w:rFonts w:ascii="Arial" w:hAnsi="Arial" w:cs="Arial"/>
          <w:noProof/>
          <w:sz w:val="20"/>
        </w:rPr>
        <w:t xml:space="preserve"> Otol.Neur</w:t>
      </w:r>
      <w:r w:rsidR="004C2DEF">
        <w:rPr>
          <w:rFonts w:ascii="Arial" w:hAnsi="Arial" w:cs="Arial"/>
          <w:noProof/>
          <w:sz w:val="20"/>
        </w:rPr>
        <w:t>otol., v. 23, no. 6, p. 895-903</w:t>
      </w:r>
    </w:p>
    <w:p w14:paraId="3AC62690" w14:textId="77777777" w:rsidR="00D85D29" w:rsidRPr="00D55C28" w:rsidRDefault="00D55C28" w:rsidP="009B4A07">
      <w:pPr>
        <w:pStyle w:val="Tablenotes"/>
        <w:tabs>
          <w:tab w:val="left" w:pos="0"/>
        </w:tabs>
        <w:spacing w:after="240"/>
        <w:jc w:val="both"/>
        <w:rPr>
          <w:rFonts w:ascii="Arial" w:hAnsi="Arial" w:cs="Arial"/>
          <w:noProof/>
          <w:sz w:val="20"/>
        </w:rPr>
      </w:pPr>
      <w:r w:rsidRPr="00D55C28">
        <w:rPr>
          <w:rFonts w:ascii="Arial" w:hAnsi="Arial" w:cs="Arial"/>
          <w:noProof/>
          <w:sz w:val="20"/>
        </w:rPr>
        <w:t>Huttenbrink KB</w:t>
      </w:r>
      <w:r w:rsidR="00D85D29" w:rsidRPr="00D55C28">
        <w:rPr>
          <w:rFonts w:ascii="Arial" w:hAnsi="Arial" w:cs="Arial"/>
          <w:noProof/>
          <w:sz w:val="20"/>
        </w:rPr>
        <w:t xml:space="preserve">, </w:t>
      </w:r>
      <w:hyperlink r:id="rId100" w:history="1">
        <w:r w:rsidRPr="00D55C28">
          <w:rPr>
            <w:rFonts w:ascii="Arial" w:hAnsi="Arial" w:cs="Arial"/>
            <w:sz w:val="20"/>
            <w:szCs w:val="20"/>
          </w:rPr>
          <w:t>Zahnert T</w:t>
        </w:r>
      </w:hyperlink>
      <w:r w:rsidRPr="00D55C28">
        <w:rPr>
          <w:rFonts w:ascii="Arial" w:hAnsi="Arial" w:cs="Arial"/>
          <w:sz w:val="20"/>
          <w:szCs w:val="20"/>
        </w:rPr>
        <w:t xml:space="preserve">, </w:t>
      </w:r>
      <w:hyperlink r:id="rId101" w:history="1">
        <w:r w:rsidRPr="00D55C28">
          <w:rPr>
            <w:rFonts w:ascii="Arial" w:hAnsi="Arial" w:cs="Arial"/>
            <w:sz w:val="20"/>
            <w:szCs w:val="20"/>
          </w:rPr>
          <w:t>Bornitz M</w:t>
        </w:r>
      </w:hyperlink>
      <w:r w:rsidRPr="00D55C28">
        <w:rPr>
          <w:rFonts w:ascii="Arial" w:hAnsi="Arial" w:cs="Arial"/>
          <w:sz w:val="20"/>
          <w:szCs w:val="20"/>
        </w:rPr>
        <w:t xml:space="preserve">, </w:t>
      </w:r>
      <w:hyperlink r:id="rId102" w:history="1">
        <w:r w:rsidRPr="00D55C28">
          <w:rPr>
            <w:rFonts w:ascii="Arial" w:hAnsi="Arial" w:cs="Arial"/>
            <w:sz w:val="20"/>
            <w:szCs w:val="20"/>
          </w:rPr>
          <w:t>Beutner D</w:t>
        </w:r>
      </w:hyperlink>
      <w:r w:rsidRPr="00D55C28">
        <w:rPr>
          <w:rFonts w:ascii="Arial" w:hAnsi="Arial" w:cs="Arial"/>
          <w:sz w:val="20"/>
          <w:szCs w:val="20"/>
        </w:rPr>
        <w:t>.</w:t>
      </w:r>
      <w:r w:rsidRPr="00D55C28">
        <w:rPr>
          <w:rFonts w:ascii="Arial" w:hAnsi="Arial" w:cs="Arial"/>
          <w:noProof/>
          <w:sz w:val="20"/>
        </w:rPr>
        <w:t xml:space="preserve"> 2008.</w:t>
      </w:r>
      <w:r w:rsidR="00D85D29" w:rsidRPr="00D55C28">
        <w:rPr>
          <w:rFonts w:ascii="Arial" w:hAnsi="Arial" w:cs="Arial"/>
          <w:noProof/>
          <w:sz w:val="20"/>
        </w:rPr>
        <w:t xml:space="preserve"> TORP-Vibroplasty: A New Alternative for the Chronically Disabled Middle Ear</w:t>
      </w:r>
      <w:r w:rsidRPr="00D55C28">
        <w:rPr>
          <w:rFonts w:ascii="Arial" w:hAnsi="Arial" w:cs="Arial"/>
          <w:noProof/>
          <w:sz w:val="20"/>
        </w:rPr>
        <w:t>.</w:t>
      </w:r>
      <w:r w:rsidR="00D85D29" w:rsidRPr="00D55C28">
        <w:rPr>
          <w:rFonts w:ascii="Arial" w:hAnsi="Arial" w:cs="Arial"/>
          <w:noProof/>
          <w:sz w:val="20"/>
        </w:rPr>
        <w:t xml:space="preserve"> Otology &amp; Neurot</w:t>
      </w:r>
      <w:r w:rsidRPr="00D55C28">
        <w:rPr>
          <w:rFonts w:ascii="Arial" w:hAnsi="Arial" w:cs="Arial"/>
          <w:noProof/>
          <w:sz w:val="20"/>
        </w:rPr>
        <w:t>ology, v. 29, no. 7, p. 965-971</w:t>
      </w:r>
    </w:p>
    <w:p w14:paraId="5EC23CC0" w14:textId="77777777" w:rsidR="00337593" w:rsidRPr="00337593" w:rsidRDefault="00337593" w:rsidP="009B4A07">
      <w:pPr>
        <w:pStyle w:val="Tablenotes"/>
        <w:tabs>
          <w:tab w:val="left" w:pos="0"/>
        </w:tabs>
        <w:spacing w:after="240"/>
        <w:jc w:val="both"/>
        <w:rPr>
          <w:rFonts w:ascii="Arial" w:hAnsi="Arial" w:cs="Arial"/>
          <w:noProof/>
          <w:sz w:val="20"/>
          <w:szCs w:val="20"/>
        </w:rPr>
      </w:pPr>
      <w:r w:rsidRPr="00337593">
        <w:rPr>
          <w:rFonts w:ascii="Arial" w:hAnsi="Arial" w:cs="Arial"/>
          <w:sz w:val="20"/>
          <w:szCs w:val="20"/>
          <w:lang w:val="en-GB"/>
        </w:rPr>
        <w:t>ISO 5841-2:1986 Implants for surgery -- Cardiac pacemakers -- Part 2: Reporting of the clinical performance of populations of pulse generators</w:t>
      </w:r>
    </w:p>
    <w:p w14:paraId="5CA174CE" w14:textId="77777777" w:rsidR="00D85D29" w:rsidRDefault="00D55C28" w:rsidP="009B4A07">
      <w:pPr>
        <w:pStyle w:val="Tablenotes"/>
        <w:tabs>
          <w:tab w:val="left" w:pos="0"/>
        </w:tabs>
        <w:spacing w:after="240"/>
        <w:jc w:val="both"/>
        <w:rPr>
          <w:rFonts w:ascii="Arial" w:hAnsi="Arial" w:cs="Arial"/>
          <w:noProof/>
          <w:sz w:val="20"/>
        </w:rPr>
      </w:pPr>
      <w:r>
        <w:rPr>
          <w:rFonts w:ascii="Arial" w:hAnsi="Arial" w:cs="Arial"/>
          <w:noProof/>
          <w:sz w:val="20"/>
        </w:rPr>
        <w:t xml:space="preserve">Junker R, </w:t>
      </w:r>
      <w:r w:rsidR="00D85D29">
        <w:rPr>
          <w:rFonts w:ascii="Arial" w:hAnsi="Arial" w:cs="Arial"/>
          <w:noProof/>
          <w:sz w:val="20"/>
        </w:rPr>
        <w:t>Gross</w:t>
      </w:r>
      <w:r>
        <w:rPr>
          <w:rFonts w:ascii="Arial" w:hAnsi="Arial" w:cs="Arial"/>
          <w:noProof/>
          <w:sz w:val="20"/>
        </w:rPr>
        <w:t xml:space="preserve"> M, </w:t>
      </w:r>
      <w:r w:rsidR="00D85D29">
        <w:rPr>
          <w:rFonts w:ascii="Arial" w:hAnsi="Arial" w:cs="Arial"/>
          <w:noProof/>
          <w:sz w:val="20"/>
        </w:rPr>
        <w:t>Todt</w:t>
      </w:r>
      <w:r>
        <w:rPr>
          <w:rFonts w:ascii="Arial" w:hAnsi="Arial" w:cs="Arial"/>
          <w:noProof/>
          <w:sz w:val="20"/>
        </w:rPr>
        <w:t xml:space="preserve"> I</w:t>
      </w:r>
      <w:r w:rsidR="00D85D29">
        <w:rPr>
          <w:rFonts w:ascii="Arial" w:hAnsi="Arial" w:cs="Arial"/>
          <w:noProof/>
          <w:sz w:val="20"/>
        </w:rPr>
        <w:t>, and A. Ernst</w:t>
      </w:r>
      <w:r>
        <w:rPr>
          <w:rFonts w:ascii="Arial" w:hAnsi="Arial" w:cs="Arial"/>
          <w:noProof/>
          <w:sz w:val="20"/>
        </w:rPr>
        <w:t xml:space="preserve"> A. 2002.</w:t>
      </w:r>
      <w:r w:rsidR="00D85D29">
        <w:rPr>
          <w:rFonts w:ascii="Arial" w:hAnsi="Arial" w:cs="Arial"/>
          <w:noProof/>
          <w:sz w:val="20"/>
        </w:rPr>
        <w:t xml:space="preserve"> Functional gain of already implanted hearing devices in patients with sensorineural hearing loss of varied origin and extent: Berlin experience: Otol.Neur</w:t>
      </w:r>
      <w:r>
        <w:rPr>
          <w:rFonts w:ascii="Arial" w:hAnsi="Arial" w:cs="Arial"/>
          <w:noProof/>
          <w:sz w:val="20"/>
        </w:rPr>
        <w:t>otol., v. 23, no. 4, p. 452-456</w:t>
      </w:r>
    </w:p>
    <w:p w14:paraId="390AE19F" w14:textId="77777777" w:rsidR="00D85D29" w:rsidRPr="00EC5805" w:rsidRDefault="00EC5805" w:rsidP="009B4A07">
      <w:pPr>
        <w:pStyle w:val="Tablenotes"/>
        <w:tabs>
          <w:tab w:val="left" w:pos="0"/>
        </w:tabs>
        <w:spacing w:after="240"/>
        <w:jc w:val="both"/>
        <w:rPr>
          <w:rFonts w:ascii="Arial" w:hAnsi="Arial" w:cs="Arial"/>
          <w:noProof/>
          <w:sz w:val="20"/>
        </w:rPr>
      </w:pPr>
      <w:r w:rsidRPr="00EC5805">
        <w:rPr>
          <w:rFonts w:ascii="Arial" w:hAnsi="Arial" w:cs="Arial"/>
          <w:noProof/>
          <w:sz w:val="20"/>
        </w:rPr>
        <w:t>Kahue CN</w:t>
      </w:r>
      <w:r w:rsidR="00D85D29" w:rsidRPr="00EC5805">
        <w:rPr>
          <w:rFonts w:ascii="Arial" w:hAnsi="Arial" w:cs="Arial"/>
          <w:noProof/>
          <w:sz w:val="20"/>
        </w:rPr>
        <w:t xml:space="preserve">, </w:t>
      </w:r>
      <w:hyperlink r:id="rId103" w:history="1">
        <w:r w:rsidRPr="00EC5805">
          <w:rPr>
            <w:rFonts w:ascii="Arial" w:hAnsi="Arial" w:cs="Arial"/>
            <w:sz w:val="20"/>
            <w:szCs w:val="20"/>
          </w:rPr>
          <w:t>Carlson ML</w:t>
        </w:r>
      </w:hyperlink>
      <w:r w:rsidRPr="00EC5805">
        <w:rPr>
          <w:rFonts w:ascii="Arial" w:hAnsi="Arial" w:cs="Arial"/>
          <w:sz w:val="20"/>
          <w:szCs w:val="20"/>
        </w:rPr>
        <w:t xml:space="preserve">, </w:t>
      </w:r>
      <w:hyperlink r:id="rId104" w:history="1">
        <w:r w:rsidRPr="00EC5805">
          <w:rPr>
            <w:rFonts w:ascii="Arial" w:hAnsi="Arial" w:cs="Arial"/>
            <w:sz w:val="20"/>
            <w:szCs w:val="20"/>
          </w:rPr>
          <w:t>Daugherty JA</w:t>
        </w:r>
      </w:hyperlink>
      <w:r w:rsidRPr="00EC5805">
        <w:rPr>
          <w:rFonts w:ascii="Arial" w:hAnsi="Arial" w:cs="Arial"/>
          <w:sz w:val="20"/>
          <w:szCs w:val="20"/>
        </w:rPr>
        <w:t xml:space="preserve">, </w:t>
      </w:r>
      <w:hyperlink r:id="rId105" w:history="1">
        <w:r w:rsidRPr="00EC5805">
          <w:rPr>
            <w:rFonts w:ascii="Arial" w:hAnsi="Arial" w:cs="Arial"/>
            <w:sz w:val="20"/>
            <w:szCs w:val="20"/>
          </w:rPr>
          <w:t>Haynes DS</w:t>
        </w:r>
      </w:hyperlink>
      <w:r w:rsidRPr="00EC5805">
        <w:rPr>
          <w:rFonts w:ascii="Arial" w:hAnsi="Arial" w:cs="Arial"/>
          <w:sz w:val="20"/>
          <w:szCs w:val="20"/>
        </w:rPr>
        <w:t xml:space="preserve">, </w:t>
      </w:r>
      <w:hyperlink r:id="rId106" w:history="1">
        <w:r w:rsidRPr="00EC5805">
          <w:rPr>
            <w:rFonts w:ascii="Arial" w:hAnsi="Arial" w:cs="Arial"/>
            <w:sz w:val="20"/>
            <w:szCs w:val="20"/>
          </w:rPr>
          <w:t>Glasscock ME 3rd</w:t>
        </w:r>
      </w:hyperlink>
      <w:r w:rsidRPr="00EC5805">
        <w:rPr>
          <w:rFonts w:ascii="Arial" w:hAnsi="Arial" w:cs="Arial"/>
          <w:noProof/>
          <w:sz w:val="20"/>
        </w:rPr>
        <w:t>. 2014.</w:t>
      </w:r>
      <w:r w:rsidR="00D85D29" w:rsidRPr="00EC5805">
        <w:rPr>
          <w:rFonts w:ascii="Arial" w:hAnsi="Arial" w:cs="Arial"/>
          <w:noProof/>
          <w:sz w:val="20"/>
        </w:rPr>
        <w:t xml:space="preserve"> Middle Ear Implants for Rehabilitation of Sensorineural Hearing Loss: A Systematic Review of FDA Approved </w:t>
      </w:r>
      <w:r w:rsidRPr="00EC5805">
        <w:rPr>
          <w:rFonts w:ascii="Arial" w:hAnsi="Arial" w:cs="Arial"/>
          <w:noProof/>
          <w:sz w:val="20"/>
        </w:rPr>
        <w:t>Devices.</w:t>
      </w:r>
      <w:r w:rsidR="00D85D29" w:rsidRPr="00EC5805">
        <w:rPr>
          <w:rFonts w:ascii="Arial" w:hAnsi="Arial" w:cs="Arial"/>
          <w:noProof/>
          <w:sz w:val="20"/>
        </w:rPr>
        <w:t xml:space="preserve"> Otology &amp; Neurotol</w:t>
      </w:r>
      <w:r w:rsidRPr="00EC5805">
        <w:rPr>
          <w:rFonts w:ascii="Arial" w:hAnsi="Arial" w:cs="Arial"/>
          <w:noProof/>
          <w:sz w:val="20"/>
        </w:rPr>
        <w:t>ogy, v. 35, no. 7, p. 1228-1237</w:t>
      </w:r>
    </w:p>
    <w:p w14:paraId="717E61FB" w14:textId="77777777" w:rsidR="00D85D29" w:rsidRDefault="00EC5805" w:rsidP="009B4A07">
      <w:pPr>
        <w:pStyle w:val="Tablenotes"/>
        <w:tabs>
          <w:tab w:val="left" w:pos="0"/>
        </w:tabs>
        <w:spacing w:after="240"/>
        <w:jc w:val="both"/>
        <w:rPr>
          <w:rFonts w:ascii="Arial" w:hAnsi="Arial" w:cs="Arial"/>
          <w:noProof/>
          <w:sz w:val="20"/>
        </w:rPr>
      </w:pPr>
      <w:r>
        <w:rPr>
          <w:rFonts w:ascii="Arial" w:hAnsi="Arial" w:cs="Arial"/>
          <w:noProof/>
          <w:sz w:val="20"/>
        </w:rPr>
        <w:t xml:space="preserve">Karpa MJ, </w:t>
      </w:r>
      <w:r w:rsidR="00D85D29">
        <w:rPr>
          <w:rFonts w:ascii="Arial" w:hAnsi="Arial" w:cs="Arial"/>
          <w:noProof/>
          <w:sz w:val="20"/>
        </w:rPr>
        <w:t>Gopinath</w:t>
      </w:r>
      <w:r>
        <w:rPr>
          <w:rFonts w:ascii="Arial" w:hAnsi="Arial" w:cs="Arial"/>
          <w:noProof/>
          <w:sz w:val="20"/>
        </w:rPr>
        <w:t xml:space="preserve"> B, </w:t>
      </w:r>
      <w:r w:rsidR="00D85D29">
        <w:rPr>
          <w:rFonts w:ascii="Arial" w:hAnsi="Arial" w:cs="Arial"/>
          <w:noProof/>
          <w:sz w:val="20"/>
        </w:rPr>
        <w:t>Beath</w:t>
      </w:r>
      <w:r>
        <w:rPr>
          <w:rFonts w:ascii="Arial" w:hAnsi="Arial" w:cs="Arial"/>
          <w:noProof/>
          <w:sz w:val="20"/>
        </w:rPr>
        <w:t xml:space="preserve"> K, </w:t>
      </w:r>
      <w:r w:rsidR="00D85D29">
        <w:rPr>
          <w:rFonts w:ascii="Arial" w:hAnsi="Arial" w:cs="Arial"/>
          <w:noProof/>
          <w:sz w:val="20"/>
        </w:rPr>
        <w:t>Rochtchina</w:t>
      </w:r>
      <w:r>
        <w:rPr>
          <w:rFonts w:ascii="Arial" w:hAnsi="Arial" w:cs="Arial"/>
          <w:noProof/>
          <w:sz w:val="20"/>
        </w:rPr>
        <w:t xml:space="preserve"> E, </w:t>
      </w:r>
      <w:r w:rsidR="00D85D29">
        <w:rPr>
          <w:rFonts w:ascii="Arial" w:hAnsi="Arial" w:cs="Arial"/>
          <w:noProof/>
          <w:sz w:val="20"/>
        </w:rPr>
        <w:t>Cumming</w:t>
      </w:r>
      <w:r>
        <w:rPr>
          <w:rFonts w:ascii="Arial" w:hAnsi="Arial" w:cs="Arial"/>
          <w:noProof/>
          <w:sz w:val="20"/>
        </w:rPr>
        <w:t xml:space="preserve"> RG, </w:t>
      </w:r>
      <w:r w:rsidR="00D85D29">
        <w:rPr>
          <w:rFonts w:ascii="Arial" w:hAnsi="Arial" w:cs="Arial"/>
          <w:noProof/>
          <w:sz w:val="20"/>
        </w:rPr>
        <w:t>Wang</w:t>
      </w:r>
      <w:r>
        <w:rPr>
          <w:rFonts w:ascii="Arial" w:hAnsi="Arial" w:cs="Arial"/>
          <w:noProof/>
          <w:sz w:val="20"/>
        </w:rPr>
        <w:t xml:space="preserve"> JJ, and </w:t>
      </w:r>
      <w:r w:rsidR="00D85D29">
        <w:rPr>
          <w:rFonts w:ascii="Arial" w:hAnsi="Arial" w:cs="Arial"/>
          <w:noProof/>
          <w:sz w:val="20"/>
        </w:rPr>
        <w:t>Mitchell</w:t>
      </w:r>
      <w:r>
        <w:rPr>
          <w:rFonts w:ascii="Arial" w:hAnsi="Arial" w:cs="Arial"/>
          <w:noProof/>
          <w:sz w:val="20"/>
        </w:rPr>
        <w:t xml:space="preserve"> P. 2010.</w:t>
      </w:r>
      <w:r w:rsidR="00D85D29">
        <w:rPr>
          <w:rFonts w:ascii="Arial" w:hAnsi="Arial" w:cs="Arial"/>
          <w:noProof/>
          <w:sz w:val="20"/>
        </w:rPr>
        <w:t xml:space="preserve"> Associations between hearing impairment and mortality risk in older persons: t</w:t>
      </w:r>
      <w:r>
        <w:rPr>
          <w:rFonts w:ascii="Arial" w:hAnsi="Arial" w:cs="Arial"/>
          <w:noProof/>
          <w:sz w:val="20"/>
        </w:rPr>
        <w:t>he Blue Mountains Hearing Study.</w:t>
      </w:r>
      <w:r w:rsidR="00D85D29">
        <w:rPr>
          <w:rFonts w:ascii="Arial" w:hAnsi="Arial" w:cs="Arial"/>
          <w:noProof/>
          <w:sz w:val="20"/>
        </w:rPr>
        <w:t xml:space="preserve"> Ann.Epide</w:t>
      </w:r>
      <w:r>
        <w:rPr>
          <w:rFonts w:ascii="Arial" w:hAnsi="Arial" w:cs="Arial"/>
          <w:noProof/>
          <w:sz w:val="20"/>
        </w:rPr>
        <w:t>miol., v. 20, no. 6, p. 452-459</w:t>
      </w:r>
    </w:p>
    <w:p w14:paraId="1881D67E" w14:textId="77777777" w:rsidR="00D85D29" w:rsidRDefault="00C93D3D" w:rsidP="009B4A07">
      <w:pPr>
        <w:pStyle w:val="Tablenotes"/>
        <w:tabs>
          <w:tab w:val="left" w:pos="0"/>
        </w:tabs>
        <w:spacing w:after="240"/>
        <w:jc w:val="both"/>
        <w:rPr>
          <w:rFonts w:ascii="Arial" w:hAnsi="Arial" w:cs="Arial"/>
          <w:noProof/>
          <w:sz w:val="20"/>
        </w:rPr>
      </w:pPr>
      <w:r>
        <w:rPr>
          <w:rFonts w:ascii="Arial" w:hAnsi="Arial" w:cs="Arial"/>
          <w:noProof/>
          <w:sz w:val="20"/>
        </w:rPr>
        <w:t xml:space="preserve">Kiefer J, </w:t>
      </w:r>
      <w:r w:rsidR="00D85D29">
        <w:rPr>
          <w:rFonts w:ascii="Arial" w:hAnsi="Arial" w:cs="Arial"/>
          <w:noProof/>
          <w:sz w:val="20"/>
        </w:rPr>
        <w:t>Arnold</w:t>
      </w:r>
      <w:r>
        <w:rPr>
          <w:rFonts w:ascii="Arial" w:hAnsi="Arial" w:cs="Arial"/>
          <w:noProof/>
          <w:sz w:val="20"/>
        </w:rPr>
        <w:t xml:space="preserve"> W, and </w:t>
      </w:r>
      <w:r w:rsidR="00D85D29">
        <w:rPr>
          <w:rFonts w:ascii="Arial" w:hAnsi="Arial" w:cs="Arial"/>
          <w:noProof/>
          <w:sz w:val="20"/>
        </w:rPr>
        <w:t>Staudenmaier</w:t>
      </w:r>
      <w:r>
        <w:rPr>
          <w:rFonts w:ascii="Arial" w:hAnsi="Arial" w:cs="Arial"/>
          <w:noProof/>
          <w:sz w:val="20"/>
        </w:rPr>
        <w:t xml:space="preserve"> R. 2006.</w:t>
      </w:r>
      <w:r w:rsidR="00D85D29">
        <w:rPr>
          <w:rFonts w:ascii="Arial" w:hAnsi="Arial" w:cs="Arial"/>
          <w:noProof/>
          <w:sz w:val="20"/>
        </w:rPr>
        <w:t xml:space="preserve"> Round window stimulation with an implantable hearing aid (Soundbridge) combined with autogenous reconstruction </w:t>
      </w:r>
      <w:r>
        <w:rPr>
          <w:rFonts w:ascii="Arial" w:hAnsi="Arial" w:cs="Arial"/>
          <w:noProof/>
          <w:sz w:val="20"/>
        </w:rPr>
        <w:t>of the auricle - a new approach.</w:t>
      </w:r>
      <w:r w:rsidR="00D85D29">
        <w:rPr>
          <w:rFonts w:ascii="Arial" w:hAnsi="Arial" w:cs="Arial"/>
          <w:noProof/>
          <w:sz w:val="20"/>
        </w:rPr>
        <w:t xml:space="preserve"> ORL J.Otorhinolaryngol.Relat </w:t>
      </w:r>
      <w:r>
        <w:rPr>
          <w:rFonts w:ascii="Arial" w:hAnsi="Arial" w:cs="Arial"/>
          <w:noProof/>
          <w:sz w:val="20"/>
        </w:rPr>
        <w:t>Spec., v. 68, no. 6, p. 378-385</w:t>
      </w:r>
    </w:p>
    <w:p w14:paraId="480E6070" w14:textId="77777777" w:rsidR="009B4A07" w:rsidRPr="009B4A07" w:rsidRDefault="004C5B0F" w:rsidP="009B4A07">
      <w:pPr>
        <w:pStyle w:val="Tablenotes"/>
        <w:tabs>
          <w:tab w:val="left" w:pos="0"/>
        </w:tabs>
        <w:spacing w:after="240"/>
        <w:jc w:val="both"/>
        <w:rPr>
          <w:rFonts w:ascii="Arial" w:hAnsi="Arial" w:cs="Arial"/>
          <w:noProof/>
          <w:sz w:val="20"/>
          <w:szCs w:val="20"/>
        </w:rPr>
      </w:pPr>
      <w:r w:rsidRPr="009B4A07">
        <w:rPr>
          <w:rFonts w:ascii="Arial" w:hAnsi="Arial" w:cs="Arial"/>
          <w:noProof/>
          <w:sz w:val="20"/>
          <w:szCs w:val="20"/>
          <w:lang w:val="en-GB"/>
        </w:rPr>
        <w:t>Klein K,</w:t>
      </w:r>
      <w:r w:rsidR="00D85D29" w:rsidRPr="009B4A07">
        <w:rPr>
          <w:rFonts w:ascii="Arial" w:hAnsi="Arial" w:cs="Arial"/>
          <w:noProof/>
          <w:sz w:val="20"/>
          <w:szCs w:val="20"/>
          <w:lang w:val="en-GB"/>
        </w:rPr>
        <w:t xml:space="preserve"> Nerdelli</w:t>
      </w:r>
      <w:r w:rsidRPr="009B4A07">
        <w:rPr>
          <w:rFonts w:ascii="Arial" w:hAnsi="Arial" w:cs="Arial"/>
          <w:noProof/>
          <w:sz w:val="20"/>
          <w:szCs w:val="20"/>
          <w:lang w:val="en-GB"/>
        </w:rPr>
        <w:t xml:space="preserve"> A, </w:t>
      </w:r>
      <w:r w:rsidR="00D85D29" w:rsidRPr="009B4A07">
        <w:rPr>
          <w:rFonts w:ascii="Arial" w:hAnsi="Arial" w:cs="Arial"/>
          <w:noProof/>
          <w:sz w:val="20"/>
          <w:szCs w:val="20"/>
          <w:lang w:val="en-GB"/>
        </w:rPr>
        <w:t>Stafinski</w:t>
      </w:r>
      <w:r w:rsidRPr="009B4A07">
        <w:rPr>
          <w:rFonts w:ascii="Arial" w:hAnsi="Arial" w:cs="Arial"/>
          <w:noProof/>
          <w:sz w:val="20"/>
          <w:szCs w:val="20"/>
          <w:lang w:val="en-GB"/>
        </w:rPr>
        <w:t xml:space="preserve"> T</w:t>
      </w:r>
      <w:r w:rsidR="00D85D29" w:rsidRPr="009B4A07">
        <w:rPr>
          <w:rFonts w:ascii="Arial" w:hAnsi="Arial" w:cs="Arial"/>
          <w:noProof/>
          <w:sz w:val="20"/>
          <w:szCs w:val="20"/>
          <w:lang w:val="en-GB"/>
        </w:rPr>
        <w:t xml:space="preserve">. </w:t>
      </w:r>
      <w:r w:rsidRPr="009B4A07">
        <w:rPr>
          <w:rFonts w:ascii="Arial" w:hAnsi="Arial" w:cs="Arial"/>
          <w:noProof/>
          <w:sz w:val="20"/>
          <w:szCs w:val="20"/>
          <w:lang w:val="en-GB"/>
        </w:rPr>
        <w:t xml:space="preserve">2013. </w:t>
      </w:r>
      <w:r w:rsidR="00D85D29" w:rsidRPr="009B4A07">
        <w:rPr>
          <w:rFonts w:ascii="Arial" w:hAnsi="Arial" w:cs="Arial"/>
          <w:noProof/>
          <w:sz w:val="20"/>
          <w:szCs w:val="20"/>
        </w:rPr>
        <w:t xml:space="preserve">A systemaic review of the safety and effectiveness of </w:t>
      </w:r>
      <w:r w:rsidRPr="009B4A07">
        <w:rPr>
          <w:rFonts w:ascii="Arial" w:hAnsi="Arial" w:cs="Arial"/>
          <w:noProof/>
          <w:sz w:val="20"/>
          <w:szCs w:val="20"/>
        </w:rPr>
        <w:t>the Vibrant Soundbridge.</w:t>
      </w:r>
      <w:r w:rsidR="00D85D29" w:rsidRPr="009B4A07">
        <w:rPr>
          <w:rFonts w:ascii="Arial" w:hAnsi="Arial" w:cs="Arial"/>
          <w:noProof/>
          <w:sz w:val="20"/>
          <w:szCs w:val="20"/>
        </w:rPr>
        <w:t xml:space="preserve"> </w:t>
      </w:r>
      <w:r w:rsidRPr="009B4A07">
        <w:rPr>
          <w:rFonts w:ascii="Arial" w:hAnsi="Arial" w:cs="Arial"/>
          <w:noProof/>
          <w:sz w:val="20"/>
          <w:szCs w:val="20"/>
        </w:rPr>
        <w:t>Journal of Otology &amp; Rhinology</w:t>
      </w:r>
      <w:r w:rsidR="009B4A07" w:rsidRPr="009B4A07">
        <w:rPr>
          <w:rFonts w:ascii="Arial" w:hAnsi="Arial" w:cs="Arial"/>
          <w:noProof/>
          <w:sz w:val="20"/>
          <w:szCs w:val="20"/>
        </w:rPr>
        <w:t xml:space="preserve">, </w:t>
      </w:r>
      <w:r w:rsidR="009B4A07" w:rsidRPr="009B4A07">
        <w:rPr>
          <w:rFonts w:ascii="Arial" w:hAnsi="Arial" w:cs="Arial"/>
          <w:bCs/>
          <w:sz w:val="20"/>
          <w:szCs w:val="20"/>
          <w:lang w:val="en-US" w:eastAsia="de-AT"/>
        </w:rPr>
        <w:t>2(3)</w:t>
      </w:r>
      <w:r w:rsidR="009B4A07" w:rsidRPr="009B4A07">
        <w:rPr>
          <w:rFonts w:ascii="Arial" w:hAnsi="Arial" w:cs="Arial"/>
          <w:sz w:val="20"/>
          <w:szCs w:val="20"/>
          <w:lang w:val="en-US" w:eastAsia="de-AT"/>
        </w:rPr>
        <w:t>, 2013, p. 1-6</w:t>
      </w:r>
    </w:p>
    <w:p w14:paraId="6A967929" w14:textId="77777777" w:rsidR="00C0415E" w:rsidRPr="00C0415E" w:rsidRDefault="00C0415E" w:rsidP="009B4A07">
      <w:pPr>
        <w:pStyle w:val="Tablenotes"/>
        <w:tabs>
          <w:tab w:val="left" w:pos="0"/>
        </w:tabs>
        <w:spacing w:after="240"/>
        <w:jc w:val="both"/>
        <w:rPr>
          <w:rFonts w:ascii="Arial" w:hAnsi="Arial" w:cs="Arial"/>
          <w:noProof/>
          <w:sz w:val="20"/>
        </w:rPr>
      </w:pPr>
      <w:r>
        <w:rPr>
          <w:rFonts w:ascii="Arial" w:hAnsi="Arial" w:cs="Arial"/>
          <w:noProof/>
          <w:sz w:val="20"/>
        </w:rPr>
        <w:t xml:space="preserve">Kochkin </w:t>
      </w:r>
      <w:r w:rsidR="00D85D29">
        <w:rPr>
          <w:rFonts w:ascii="Arial" w:hAnsi="Arial" w:cs="Arial"/>
          <w:noProof/>
          <w:sz w:val="20"/>
        </w:rPr>
        <w:t>S.</w:t>
      </w:r>
      <w:r>
        <w:rPr>
          <w:rFonts w:ascii="Arial" w:hAnsi="Arial" w:cs="Arial"/>
          <w:noProof/>
          <w:sz w:val="20"/>
        </w:rPr>
        <w:t xml:space="preserve"> 2010.</w:t>
      </w:r>
      <w:r w:rsidR="00D85D29">
        <w:rPr>
          <w:rFonts w:ascii="Arial" w:hAnsi="Arial" w:cs="Arial"/>
          <w:noProof/>
          <w:sz w:val="20"/>
        </w:rPr>
        <w:t xml:space="preserve"> Quantifying the obvious: The impact of hearing aids on quality of life</w:t>
      </w:r>
    </w:p>
    <w:p w14:paraId="29B2F6E2" w14:textId="77777777" w:rsidR="00D85D29" w:rsidRDefault="00C0415E" w:rsidP="009B4A07">
      <w:pPr>
        <w:pStyle w:val="Tablenotes"/>
        <w:tabs>
          <w:tab w:val="left" w:pos="0"/>
        </w:tabs>
        <w:spacing w:after="240"/>
        <w:jc w:val="both"/>
        <w:rPr>
          <w:rFonts w:ascii="Arial" w:hAnsi="Arial" w:cs="Arial"/>
          <w:noProof/>
          <w:sz w:val="20"/>
        </w:rPr>
      </w:pPr>
      <w:r>
        <w:rPr>
          <w:rFonts w:ascii="Arial" w:hAnsi="Arial" w:cs="Arial"/>
          <w:noProof/>
          <w:sz w:val="20"/>
        </w:rPr>
        <w:t xml:space="preserve">Leake PA, </w:t>
      </w:r>
      <w:r w:rsidR="00D85D29">
        <w:rPr>
          <w:rFonts w:ascii="Arial" w:hAnsi="Arial" w:cs="Arial"/>
          <w:noProof/>
          <w:sz w:val="20"/>
        </w:rPr>
        <w:t>Hradek</w:t>
      </w:r>
      <w:r>
        <w:rPr>
          <w:rFonts w:ascii="Arial" w:hAnsi="Arial" w:cs="Arial"/>
          <w:noProof/>
          <w:sz w:val="20"/>
        </w:rPr>
        <w:t xml:space="preserve"> GT, and</w:t>
      </w:r>
      <w:r w:rsidR="00D85D29">
        <w:rPr>
          <w:rFonts w:ascii="Arial" w:hAnsi="Arial" w:cs="Arial"/>
          <w:noProof/>
          <w:sz w:val="20"/>
        </w:rPr>
        <w:t xml:space="preserve"> Snyder</w:t>
      </w:r>
      <w:r>
        <w:rPr>
          <w:rFonts w:ascii="Arial" w:hAnsi="Arial" w:cs="Arial"/>
          <w:noProof/>
          <w:sz w:val="20"/>
        </w:rPr>
        <w:t xml:space="preserve"> RL. 1999.</w:t>
      </w:r>
      <w:r w:rsidR="00D85D29">
        <w:rPr>
          <w:rFonts w:ascii="Arial" w:hAnsi="Arial" w:cs="Arial"/>
          <w:noProof/>
          <w:sz w:val="20"/>
        </w:rPr>
        <w:t xml:space="preserve"> Chronic electrical stimulation by a cochlear implant promotes survival of spiral ganglion </w:t>
      </w:r>
      <w:r>
        <w:rPr>
          <w:rFonts w:ascii="Arial" w:hAnsi="Arial" w:cs="Arial"/>
          <w:noProof/>
          <w:sz w:val="20"/>
        </w:rPr>
        <w:t>neurons after neonatal deafness.</w:t>
      </w:r>
      <w:r w:rsidR="00D85D29">
        <w:rPr>
          <w:rFonts w:ascii="Arial" w:hAnsi="Arial" w:cs="Arial"/>
          <w:noProof/>
          <w:sz w:val="20"/>
        </w:rPr>
        <w:t xml:space="preserve"> J.Comp Neu</w:t>
      </w:r>
      <w:r>
        <w:rPr>
          <w:rFonts w:ascii="Arial" w:hAnsi="Arial" w:cs="Arial"/>
          <w:noProof/>
          <w:sz w:val="20"/>
        </w:rPr>
        <w:t>rol., v. 412, no. 4, p. 543-562</w:t>
      </w:r>
    </w:p>
    <w:p w14:paraId="51B5FF89" w14:textId="77777777" w:rsidR="00D85D29" w:rsidRDefault="00C0415E" w:rsidP="009B4A07">
      <w:pPr>
        <w:pStyle w:val="Tablenotes"/>
        <w:tabs>
          <w:tab w:val="left" w:pos="0"/>
        </w:tabs>
        <w:spacing w:after="240"/>
        <w:jc w:val="both"/>
        <w:rPr>
          <w:rFonts w:ascii="Arial" w:hAnsi="Arial" w:cs="Arial"/>
          <w:noProof/>
          <w:sz w:val="20"/>
        </w:rPr>
      </w:pPr>
      <w:r>
        <w:rPr>
          <w:rFonts w:ascii="Arial" w:hAnsi="Arial" w:cs="Arial"/>
          <w:noProof/>
          <w:sz w:val="20"/>
        </w:rPr>
        <w:t xml:space="preserve">Leake PA, </w:t>
      </w:r>
      <w:r w:rsidR="00D85D29">
        <w:rPr>
          <w:rFonts w:ascii="Arial" w:hAnsi="Arial" w:cs="Arial"/>
          <w:noProof/>
          <w:sz w:val="20"/>
        </w:rPr>
        <w:t>Stakhovskaya</w:t>
      </w:r>
      <w:r>
        <w:rPr>
          <w:rFonts w:ascii="Arial" w:hAnsi="Arial" w:cs="Arial"/>
          <w:noProof/>
          <w:sz w:val="20"/>
        </w:rPr>
        <w:t xml:space="preserve"> O,</w:t>
      </w:r>
      <w:r w:rsidR="00D85D29">
        <w:rPr>
          <w:rFonts w:ascii="Arial" w:hAnsi="Arial" w:cs="Arial"/>
          <w:noProof/>
          <w:sz w:val="20"/>
        </w:rPr>
        <w:t xml:space="preserve"> Hradek</w:t>
      </w:r>
      <w:r>
        <w:rPr>
          <w:rFonts w:ascii="Arial" w:hAnsi="Arial" w:cs="Arial"/>
          <w:noProof/>
          <w:sz w:val="20"/>
        </w:rPr>
        <w:t xml:space="preserve"> GT, and</w:t>
      </w:r>
      <w:r w:rsidR="00D85D29">
        <w:rPr>
          <w:rFonts w:ascii="Arial" w:hAnsi="Arial" w:cs="Arial"/>
          <w:noProof/>
          <w:sz w:val="20"/>
        </w:rPr>
        <w:t xml:space="preserve"> Hetherington</w:t>
      </w:r>
      <w:r>
        <w:rPr>
          <w:rFonts w:ascii="Arial" w:hAnsi="Arial" w:cs="Arial"/>
          <w:noProof/>
          <w:sz w:val="20"/>
        </w:rPr>
        <w:t xml:space="preserve"> AM. 2008.</w:t>
      </w:r>
      <w:r w:rsidR="00D85D29">
        <w:rPr>
          <w:rFonts w:ascii="Arial" w:hAnsi="Arial" w:cs="Arial"/>
          <w:noProof/>
          <w:sz w:val="20"/>
        </w:rPr>
        <w:t xml:space="preserve"> Factors influencing neurotrophic effects of electrical stimulation in the deafened developing auditory system: Hear.</w:t>
      </w:r>
      <w:r>
        <w:rPr>
          <w:rFonts w:ascii="Arial" w:hAnsi="Arial" w:cs="Arial"/>
          <w:noProof/>
          <w:sz w:val="20"/>
        </w:rPr>
        <w:t>Res., v. 242, no. 1-2, p. 86-99</w:t>
      </w:r>
    </w:p>
    <w:p w14:paraId="4E1916E4" w14:textId="77777777" w:rsidR="00D85D29" w:rsidRDefault="00C0415E" w:rsidP="009B4A07">
      <w:pPr>
        <w:pStyle w:val="Tablenotes"/>
        <w:tabs>
          <w:tab w:val="left" w:pos="0"/>
        </w:tabs>
        <w:spacing w:after="240"/>
        <w:jc w:val="both"/>
        <w:rPr>
          <w:rFonts w:ascii="Arial" w:hAnsi="Arial" w:cs="Arial"/>
          <w:noProof/>
          <w:sz w:val="20"/>
        </w:rPr>
      </w:pPr>
      <w:r>
        <w:rPr>
          <w:rFonts w:ascii="Arial" w:hAnsi="Arial" w:cs="Arial"/>
          <w:noProof/>
          <w:sz w:val="20"/>
        </w:rPr>
        <w:t>Lin FR,</w:t>
      </w:r>
      <w:r w:rsidR="00D85D29">
        <w:rPr>
          <w:rFonts w:ascii="Arial" w:hAnsi="Arial" w:cs="Arial"/>
          <w:noProof/>
          <w:sz w:val="20"/>
        </w:rPr>
        <w:t xml:space="preserve"> Niparko</w:t>
      </w:r>
      <w:r>
        <w:rPr>
          <w:rFonts w:ascii="Arial" w:hAnsi="Arial" w:cs="Arial"/>
          <w:noProof/>
          <w:sz w:val="20"/>
        </w:rPr>
        <w:t xml:space="preserve"> JK, and</w:t>
      </w:r>
      <w:r w:rsidR="00D85D29">
        <w:rPr>
          <w:rFonts w:ascii="Arial" w:hAnsi="Arial" w:cs="Arial"/>
          <w:noProof/>
          <w:sz w:val="20"/>
        </w:rPr>
        <w:t xml:space="preserve"> Ferrucci</w:t>
      </w:r>
      <w:r>
        <w:rPr>
          <w:rFonts w:ascii="Arial" w:hAnsi="Arial" w:cs="Arial"/>
          <w:noProof/>
          <w:sz w:val="20"/>
        </w:rPr>
        <w:t xml:space="preserve"> L. 2011.</w:t>
      </w:r>
      <w:r w:rsidR="00D85D29">
        <w:rPr>
          <w:rFonts w:ascii="Arial" w:hAnsi="Arial" w:cs="Arial"/>
          <w:noProof/>
          <w:sz w:val="20"/>
        </w:rPr>
        <w:t xml:space="preserve"> Hearing loss prevalence in the United States: Arch.Intern.Med</w:t>
      </w:r>
      <w:r>
        <w:rPr>
          <w:rFonts w:ascii="Arial" w:hAnsi="Arial" w:cs="Arial"/>
          <w:noProof/>
          <w:sz w:val="20"/>
        </w:rPr>
        <w:t>., v. 171, no. 20, p. 1851-1852</w:t>
      </w:r>
    </w:p>
    <w:p w14:paraId="339006CA" w14:textId="77777777" w:rsidR="00D85D29" w:rsidRPr="00C0415E" w:rsidRDefault="00D85D29" w:rsidP="009B4A07">
      <w:pPr>
        <w:pStyle w:val="Tablenotes"/>
        <w:tabs>
          <w:tab w:val="left" w:pos="0"/>
        </w:tabs>
        <w:spacing w:after="240"/>
        <w:jc w:val="both"/>
        <w:rPr>
          <w:rFonts w:ascii="Arial" w:hAnsi="Arial" w:cs="Arial"/>
          <w:noProof/>
          <w:sz w:val="20"/>
        </w:rPr>
      </w:pPr>
      <w:r w:rsidRPr="00C0415E">
        <w:rPr>
          <w:rFonts w:ascii="Arial" w:hAnsi="Arial" w:cs="Arial"/>
          <w:noProof/>
          <w:sz w:val="20"/>
        </w:rPr>
        <w:t>Luetje</w:t>
      </w:r>
      <w:r w:rsidR="00C0415E" w:rsidRPr="00C0415E">
        <w:rPr>
          <w:rFonts w:ascii="Arial" w:hAnsi="Arial" w:cs="Arial"/>
          <w:noProof/>
          <w:sz w:val="20"/>
        </w:rPr>
        <w:t xml:space="preserve"> CM,</w:t>
      </w:r>
      <w:r w:rsidRPr="00C0415E">
        <w:rPr>
          <w:rFonts w:ascii="Arial" w:hAnsi="Arial" w:cs="Arial"/>
          <w:noProof/>
          <w:sz w:val="20"/>
        </w:rPr>
        <w:t xml:space="preserve"> </w:t>
      </w:r>
      <w:hyperlink r:id="rId107" w:history="1">
        <w:r w:rsidR="00C0415E" w:rsidRPr="00C0415E">
          <w:rPr>
            <w:rFonts w:ascii="Arial" w:hAnsi="Arial" w:cs="Arial"/>
            <w:sz w:val="20"/>
            <w:szCs w:val="20"/>
          </w:rPr>
          <w:t>Brackman D</w:t>
        </w:r>
      </w:hyperlink>
      <w:r w:rsidR="00C0415E" w:rsidRPr="00C0415E">
        <w:rPr>
          <w:rFonts w:ascii="Arial" w:hAnsi="Arial" w:cs="Arial"/>
          <w:sz w:val="20"/>
          <w:szCs w:val="20"/>
        </w:rPr>
        <w:t xml:space="preserve">, </w:t>
      </w:r>
      <w:hyperlink r:id="rId108" w:history="1">
        <w:r w:rsidR="00C0415E" w:rsidRPr="00C0415E">
          <w:rPr>
            <w:rFonts w:ascii="Arial" w:hAnsi="Arial" w:cs="Arial"/>
            <w:sz w:val="20"/>
            <w:szCs w:val="20"/>
          </w:rPr>
          <w:t>Balkany TJ</w:t>
        </w:r>
      </w:hyperlink>
      <w:r w:rsidR="00C0415E" w:rsidRPr="00C0415E">
        <w:rPr>
          <w:rFonts w:ascii="Arial" w:hAnsi="Arial" w:cs="Arial"/>
          <w:sz w:val="20"/>
          <w:szCs w:val="20"/>
        </w:rPr>
        <w:t xml:space="preserve">, </w:t>
      </w:r>
      <w:hyperlink r:id="rId109" w:history="1">
        <w:r w:rsidR="00C0415E" w:rsidRPr="00C0415E">
          <w:rPr>
            <w:rFonts w:ascii="Arial" w:hAnsi="Arial" w:cs="Arial"/>
            <w:sz w:val="20"/>
            <w:szCs w:val="20"/>
          </w:rPr>
          <w:t>Maw J</w:t>
        </w:r>
      </w:hyperlink>
      <w:r w:rsidR="00C0415E" w:rsidRPr="00C0415E">
        <w:rPr>
          <w:rFonts w:ascii="Arial" w:hAnsi="Arial" w:cs="Arial"/>
          <w:sz w:val="20"/>
          <w:szCs w:val="20"/>
        </w:rPr>
        <w:t xml:space="preserve">, </w:t>
      </w:r>
      <w:hyperlink r:id="rId110" w:history="1">
        <w:r w:rsidR="00C0415E" w:rsidRPr="00C0415E">
          <w:rPr>
            <w:rFonts w:ascii="Arial" w:hAnsi="Arial" w:cs="Arial"/>
            <w:sz w:val="20"/>
            <w:szCs w:val="20"/>
          </w:rPr>
          <w:t>Baker RS</w:t>
        </w:r>
      </w:hyperlink>
      <w:r w:rsidR="00C0415E" w:rsidRPr="00C0415E">
        <w:rPr>
          <w:rFonts w:ascii="Arial" w:hAnsi="Arial" w:cs="Arial"/>
          <w:sz w:val="20"/>
          <w:szCs w:val="20"/>
        </w:rPr>
        <w:t xml:space="preserve">, </w:t>
      </w:r>
      <w:hyperlink r:id="rId111" w:history="1">
        <w:r w:rsidR="00C0415E" w:rsidRPr="00C0415E">
          <w:rPr>
            <w:rFonts w:ascii="Arial" w:hAnsi="Arial" w:cs="Arial"/>
            <w:sz w:val="20"/>
            <w:szCs w:val="20"/>
          </w:rPr>
          <w:t>Kelsall D</w:t>
        </w:r>
      </w:hyperlink>
      <w:r w:rsidR="00C0415E" w:rsidRPr="00C0415E">
        <w:rPr>
          <w:rFonts w:ascii="Arial" w:hAnsi="Arial" w:cs="Arial"/>
          <w:sz w:val="20"/>
          <w:szCs w:val="20"/>
        </w:rPr>
        <w:t xml:space="preserve">, </w:t>
      </w:r>
      <w:hyperlink r:id="rId112" w:history="1">
        <w:r w:rsidR="00C0415E" w:rsidRPr="00C0415E">
          <w:rPr>
            <w:rFonts w:ascii="Arial" w:hAnsi="Arial" w:cs="Arial"/>
            <w:sz w:val="20"/>
            <w:szCs w:val="20"/>
          </w:rPr>
          <w:t>Backous D</w:t>
        </w:r>
      </w:hyperlink>
      <w:r w:rsidR="00C0415E" w:rsidRPr="00C0415E">
        <w:rPr>
          <w:rFonts w:ascii="Arial" w:hAnsi="Arial" w:cs="Arial"/>
          <w:sz w:val="20"/>
          <w:szCs w:val="20"/>
        </w:rPr>
        <w:t xml:space="preserve">, </w:t>
      </w:r>
      <w:hyperlink r:id="rId113" w:history="1">
        <w:r w:rsidR="00C0415E" w:rsidRPr="00C0415E">
          <w:rPr>
            <w:rFonts w:ascii="Arial" w:hAnsi="Arial" w:cs="Arial"/>
            <w:sz w:val="20"/>
            <w:szCs w:val="20"/>
          </w:rPr>
          <w:t>Miyamoto R</w:t>
        </w:r>
      </w:hyperlink>
      <w:r w:rsidR="00C0415E" w:rsidRPr="00C0415E">
        <w:rPr>
          <w:rFonts w:ascii="Arial" w:hAnsi="Arial" w:cs="Arial"/>
          <w:sz w:val="20"/>
          <w:szCs w:val="20"/>
        </w:rPr>
        <w:t xml:space="preserve">, </w:t>
      </w:r>
      <w:hyperlink r:id="rId114" w:history="1">
        <w:r w:rsidR="00C0415E" w:rsidRPr="00C0415E">
          <w:rPr>
            <w:rFonts w:ascii="Arial" w:hAnsi="Arial" w:cs="Arial"/>
            <w:sz w:val="20"/>
            <w:szCs w:val="20"/>
          </w:rPr>
          <w:t>Parisier S</w:t>
        </w:r>
      </w:hyperlink>
      <w:r w:rsidR="00C0415E" w:rsidRPr="00C0415E">
        <w:rPr>
          <w:rFonts w:ascii="Arial" w:hAnsi="Arial" w:cs="Arial"/>
          <w:sz w:val="20"/>
          <w:szCs w:val="20"/>
        </w:rPr>
        <w:t xml:space="preserve">, </w:t>
      </w:r>
      <w:hyperlink r:id="rId115" w:history="1">
        <w:r w:rsidR="00C0415E" w:rsidRPr="00C0415E">
          <w:rPr>
            <w:rFonts w:ascii="Arial" w:hAnsi="Arial" w:cs="Arial"/>
            <w:sz w:val="20"/>
            <w:szCs w:val="20"/>
          </w:rPr>
          <w:t>Arts A</w:t>
        </w:r>
      </w:hyperlink>
      <w:r w:rsidR="00C0415E" w:rsidRPr="00C0415E">
        <w:rPr>
          <w:rFonts w:ascii="Arial" w:hAnsi="Arial" w:cs="Arial"/>
          <w:noProof/>
          <w:sz w:val="20"/>
        </w:rPr>
        <w:t xml:space="preserve">. </w:t>
      </w:r>
      <w:r w:rsidRPr="00C0415E">
        <w:rPr>
          <w:rFonts w:ascii="Arial" w:hAnsi="Arial" w:cs="Arial"/>
          <w:noProof/>
          <w:sz w:val="20"/>
        </w:rPr>
        <w:t xml:space="preserve">2002, Phase III clinical trial results with the Vibrant Soundbridge implantable middle ear hearing device: a prospective controlled multicenter study: Otolaryngol.Head Neck </w:t>
      </w:r>
      <w:r w:rsidR="00C0415E" w:rsidRPr="00C0415E">
        <w:rPr>
          <w:rFonts w:ascii="Arial" w:hAnsi="Arial" w:cs="Arial"/>
          <w:noProof/>
          <w:sz w:val="20"/>
        </w:rPr>
        <w:t>Surg., v. 126, no. 2, p. 97-107</w:t>
      </w:r>
    </w:p>
    <w:p w14:paraId="376144AE" w14:textId="77777777" w:rsidR="00D85D29" w:rsidRDefault="00C0415E" w:rsidP="009B4A07">
      <w:pPr>
        <w:pStyle w:val="Tablenotes"/>
        <w:tabs>
          <w:tab w:val="left" w:pos="0"/>
        </w:tabs>
        <w:spacing w:after="240"/>
        <w:jc w:val="both"/>
        <w:rPr>
          <w:rFonts w:ascii="Arial" w:hAnsi="Arial" w:cs="Arial"/>
          <w:noProof/>
          <w:sz w:val="20"/>
        </w:rPr>
      </w:pPr>
      <w:r w:rsidRPr="008718FB">
        <w:rPr>
          <w:rFonts w:ascii="Arial" w:hAnsi="Arial" w:cs="Arial"/>
          <w:noProof/>
          <w:sz w:val="20"/>
          <w:lang w:val="it-IT"/>
        </w:rPr>
        <w:t>Mandala M,</w:t>
      </w:r>
      <w:r w:rsidR="00D85D29" w:rsidRPr="008718FB">
        <w:rPr>
          <w:rFonts w:ascii="Arial" w:hAnsi="Arial" w:cs="Arial"/>
          <w:noProof/>
          <w:sz w:val="20"/>
          <w:lang w:val="it-IT"/>
        </w:rPr>
        <w:t xml:space="preserve"> Colletti</w:t>
      </w:r>
      <w:r w:rsidRPr="008718FB">
        <w:rPr>
          <w:rFonts w:ascii="Arial" w:hAnsi="Arial" w:cs="Arial"/>
          <w:noProof/>
          <w:sz w:val="20"/>
          <w:lang w:val="it-IT"/>
        </w:rPr>
        <w:t xml:space="preserve"> L, and</w:t>
      </w:r>
      <w:r w:rsidR="00D85D29" w:rsidRPr="008718FB">
        <w:rPr>
          <w:rFonts w:ascii="Arial" w:hAnsi="Arial" w:cs="Arial"/>
          <w:noProof/>
          <w:sz w:val="20"/>
          <w:lang w:val="it-IT"/>
        </w:rPr>
        <w:t xml:space="preserve"> Colletti</w:t>
      </w:r>
      <w:r w:rsidRPr="008718FB">
        <w:rPr>
          <w:rFonts w:ascii="Arial" w:hAnsi="Arial" w:cs="Arial"/>
          <w:noProof/>
          <w:sz w:val="20"/>
          <w:lang w:val="it-IT"/>
        </w:rPr>
        <w:t xml:space="preserve"> V. 2011.</w:t>
      </w:r>
      <w:r w:rsidR="00D85D29" w:rsidRPr="008718FB">
        <w:rPr>
          <w:rFonts w:ascii="Arial" w:hAnsi="Arial" w:cs="Arial"/>
          <w:noProof/>
          <w:sz w:val="20"/>
          <w:lang w:val="it-IT"/>
        </w:rPr>
        <w:t xml:space="preserve"> </w:t>
      </w:r>
      <w:r w:rsidR="00D85D29">
        <w:rPr>
          <w:rFonts w:ascii="Arial" w:hAnsi="Arial" w:cs="Arial"/>
          <w:noProof/>
          <w:sz w:val="20"/>
        </w:rPr>
        <w:t>Treatment of the atretic ear with round window vibrant soundbridge implantation in infants and children: electrocochle</w:t>
      </w:r>
      <w:r>
        <w:rPr>
          <w:rFonts w:ascii="Arial" w:hAnsi="Arial" w:cs="Arial"/>
          <w:noProof/>
          <w:sz w:val="20"/>
        </w:rPr>
        <w:t>ography and audiologic outcomes.</w:t>
      </w:r>
      <w:r w:rsidR="00D85D29">
        <w:rPr>
          <w:rFonts w:ascii="Arial" w:hAnsi="Arial" w:cs="Arial"/>
          <w:noProof/>
          <w:sz w:val="20"/>
        </w:rPr>
        <w:t xml:space="preserve"> Otol.Neurot</w:t>
      </w:r>
      <w:r>
        <w:rPr>
          <w:rFonts w:ascii="Arial" w:hAnsi="Arial" w:cs="Arial"/>
          <w:noProof/>
          <w:sz w:val="20"/>
        </w:rPr>
        <w:t>ol., v. 32, no. 8, p. 1250-1255</w:t>
      </w:r>
    </w:p>
    <w:p w14:paraId="2994A420" w14:textId="77777777" w:rsidR="00D85D29" w:rsidRPr="008718FB" w:rsidRDefault="00C0415E" w:rsidP="009B4A07">
      <w:pPr>
        <w:pStyle w:val="Tablenotes"/>
        <w:tabs>
          <w:tab w:val="left" w:pos="0"/>
        </w:tabs>
        <w:spacing w:after="240"/>
        <w:jc w:val="both"/>
        <w:rPr>
          <w:rFonts w:ascii="Arial" w:hAnsi="Arial" w:cs="Arial"/>
          <w:noProof/>
          <w:sz w:val="20"/>
          <w:lang w:val="it-IT"/>
        </w:rPr>
      </w:pPr>
      <w:r>
        <w:rPr>
          <w:rFonts w:ascii="Arial" w:hAnsi="Arial" w:cs="Arial"/>
          <w:noProof/>
          <w:sz w:val="20"/>
        </w:rPr>
        <w:t xml:space="preserve">Meinzen-Derr J, </w:t>
      </w:r>
      <w:r w:rsidR="00D85D29">
        <w:rPr>
          <w:rFonts w:ascii="Arial" w:hAnsi="Arial" w:cs="Arial"/>
          <w:noProof/>
          <w:sz w:val="20"/>
        </w:rPr>
        <w:t>Wiley</w:t>
      </w:r>
      <w:r>
        <w:rPr>
          <w:rFonts w:ascii="Arial" w:hAnsi="Arial" w:cs="Arial"/>
          <w:noProof/>
          <w:sz w:val="20"/>
        </w:rPr>
        <w:t xml:space="preserve"> S,</w:t>
      </w:r>
      <w:r w:rsidR="00D85D29">
        <w:rPr>
          <w:rFonts w:ascii="Arial" w:hAnsi="Arial" w:cs="Arial"/>
          <w:noProof/>
          <w:sz w:val="20"/>
        </w:rPr>
        <w:t xml:space="preserve"> Grether</w:t>
      </w:r>
      <w:r>
        <w:rPr>
          <w:rFonts w:ascii="Arial" w:hAnsi="Arial" w:cs="Arial"/>
          <w:noProof/>
          <w:sz w:val="20"/>
        </w:rPr>
        <w:t xml:space="preserve"> S, and </w:t>
      </w:r>
      <w:r w:rsidR="00D85D29">
        <w:rPr>
          <w:rFonts w:ascii="Arial" w:hAnsi="Arial" w:cs="Arial"/>
          <w:noProof/>
          <w:sz w:val="20"/>
        </w:rPr>
        <w:t>Choo</w:t>
      </w:r>
      <w:r>
        <w:rPr>
          <w:rFonts w:ascii="Arial" w:hAnsi="Arial" w:cs="Arial"/>
          <w:noProof/>
          <w:sz w:val="20"/>
        </w:rPr>
        <w:t xml:space="preserve"> DI. 2011.</w:t>
      </w:r>
      <w:r w:rsidR="00D85D29">
        <w:rPr>
          <w:rFonts w:ascii="Arial" w:hAnsi="Arial" w:cs="Arial"/>
          <w:noProof/>
          <w:sz w:val="20"/>
        </w:rPr>
        <w:t xml:space="preserve"> Children with cochlear implants and developmental disabilities: a language skills study with develo</w:t>
      </w:r>
      <w:r>
        <w:rPr>
          <w:rFonts w:ascii="Arial" w:hAnsi="Arial" w:cs="Arial"/>
          <w:noProof/>
          <w:sz w:val="20"/>
        </w:rPr>
        <w:t>pmentally matched hearing peers.</w:t>
      </w:r>
      <w:r w:rsidR="00D85D29">
        <w:rPr>
          <w:rFonts w:ascii="Arial" w:hAnsi="Arial" w:cs="Arial"/>
          <w:noProof/>
          <w:sz w:val="20"/>
        </w:rPr>
        <w:t xml:space="preserve"> </w:t>
      </w:r>
      <w:r w:rsidR="00D85D29" w:rsidRPr="008718FB">
        <w:rPr>
          <w:rFonts w:ascii="Arial" w:hAnsi="Arial" w:cs="Arial"/>
          <w:noProof/>
          <w:sz w:val="20"/>
          <w:lang w:val="it-IT"/>
        </w:rPr>
        <w:t>Res.Dev.Dis</w:t>
      </w:r>
      <w:r w:rsidRPr="008718FB">
        <w:rPr>
          <w:rFonts w:ascii="Arial" w:hAnsi="Arial" w:cs="Arial"/>
          <w:noProof/>
          <w:sz w:val="20"/>
          <w:lang w:val="it-IT"/>
        </w:rPr>
        <w:t>abil., v. 32, no. 2, p. 757-767</w:t>
      </w:r>
    </w:p>
    <w:p w14:paraId="46691C18" w14:textId="77777777" w:rsidR="00D85D29" w:rsidRDefault="00C0415E" w:rsidP="009B4A07">
      <w:pPr>
        <w:pStyle w:val="Tablenotes"/>
        <w:tabs>
          <w:tab w:val="left" w:pos="0"/>
        </w:tabs>
        <w:spacing w:after="240"/>
        <w:jc w:val="both"/>
        <w:rPr>
          <w:rFonts w:ascii="Arial" w:hAnsi="Arial" w:cs="Arial"/>
          <w:noProof/>
          <w:sz w:val="20"/>
        </w:rPr>
      </w:pPr>
      <w:r w:rsidRPr="008718FB">
        <w:rPr>
          <w:rFonts w:ascii="Arial" w:hAnsi="Arial" w:cs="Arial"/>
          <w:noProof/>
          <w:sz w:val="20"/>
          <w:lang w:val="it-IT"/>
        </w:rPr>
        <w:t xml:space="preserve">Memari F, </w:t>
      </w:r>
      <w:r w:rsidR="00D85D29" w:rsidRPr="008718FB">
        <w:rPr>
          <w:rFonts w:ascii="Arial" w:hAnsi="Arial" w:cs="Arial"/>
          <w:noProof/>
          <w:sz w:val="20"/>
          <w:lang w:val="it-IT"/>
        </w:rPr>
        <w:t>Asghari</w:t>
      </w:r>
      <w:r w:rsidRPr="008718FB">
        <w:rPr>
          <w:rFonts w:ascii="Arial" w:hAnsi="Arial" w:cs="Arial"/>
          <w:noProof/>
          <w:sz w:val="20"/>
          <w:lang w:val="it-IT"/>
        </w:rPr>
        <w:t xml:space="preserve"> A,</w:t>
      </w:r>
      <w:r w:rsidR="00D85D29" w:rsidRPr="008718FB">
        <w:rPr>
          <w:rFonts w:ascii="Arial" w:hAnsi="Arial" w:cs="Arial"/>
          <w:noProof/>
          <w:sz w:val="20"/>
          <w:lang w:val="it-IT"/>
        </w:rPr>
        <w:t xml:space="preserve"> Daneshi</w:t>
      </w:r>
      <w:r w:rsidRPr="008718FB">
        <w:rPr>
          <w:rFonts w:ascii="Arial" w:hAnsi="Arial" w:cs="Arial"/>
          <w:noProof/>
          <w:sz w:val="20"/>
          <w:lang w:val="it-IT"/>
        </w:rPr>
        <w:t xml:space="preserve"> A, and</w:t>
      </w:r>
      <w:r w:rsidR="00D85D29" w:rsidRPr="008718FB">
        <w:rPr>
          <w:rFonts w:ascii="Arial" w:hAnsi="Arial" w:cs="Arial"/>
          <w:noProof/>
          <w:sz w:val="20"/>
          <w:lang w:val="it-IT"/>
        </w:rPr>
        <w:t xml:space="preserve"> Jalali</w:t>
      </w:r>
      <w:r w:rsidRPr="008718FB">
        <w:rPr>
          <w:rFonts w:ascii="Arial" w:hAnsi="Arial" w:cs="Arial"/>
          <w:noProof/>
          <w:sz w:val="20"/>
          <w:lang w:val="it-IT"/>
        </w:rPr>
        <w:t xml:space="preserve"> A. 2011.</w:t>
      </w:r>
      <w:r w:rsidR="00D85D29" w:rsidRPr="008718FB">
        <w:rPr>
          <w:rFonts w:ascii="Arial" w:hAnsi="Arial" w:cs="Arial"/>
          <w:noProof/>
          <w:sz w:val="20"/>
          <w:lang w:val="it-IT"/>
        </w:rPr>
        <w:t xml:space="preserve"> </w:t>
      </w:r>
      <w:r w:rsidR="00D85D29">
        <w:rPr>
          <w:rFonts w:ascii="Arial" w:hAnsi="Arial" w:cs="Arial"/>
          <w:noProof/>
          <w:sz w:val="20"/>
        </w:rPr>
        <w:t xml:space="preserve">Safety and patient selection of totally </w:t>
      </w:r>
      <w:r>
        <w:rPr>
          <w:rFonts w:ascii="Arial" w:hAnsi="Arial" w:cs="Arial"/>
          <w:noProof/>
          <w:sz w:val="20"/>
        </w:rPr>
        <w:t>implantable hearing aid surgery.</w:t>
      </w:r>
      <w:r w:rsidR="00D85D29">
        <w:rPr>
          <w:rFonts w:ascii="Arial" w:hAnsi="Arial" w:cs="Arial"/>
          <w:noProof/>
          <w:sz w:val="20"/>
        </w:rPr>
        <w:t xml:space="preserve"> Envoy system, Esteem: Eur.Arch.Otorhinolaryngol</w:t>
      </w:r>
      <w:r>
        <w:rPr>
          <w:rFonts w:ascii="Arial" w:hAnsi="Arial" w:cs="Arial"/>
          <w:noProof/>
          <w:sz w:val="20"/>
        </w:rPr>
        <w:t>., v. 268, no. 10, p. 1421-1425</w:t>
      </w:r>
    </w:p>
    <w:p w14:paraId="49678E99" w14:textId="77777777" w:rsidR="00D85D29" w:rsidRDefault="00E83CC3" w:rsidP="009B4A07">
      <w:pPr>
        <w:pStyle w:val="Tablenotes"/>
        <w:tabs>
          <w:tab w:val="left" w:pos="0"/>
        </w:tabs>
        <w:spacing w:after="240"/>
        <w:jc w:val="both"/>
        <w:rPr>
          <w:rFonts w:ascii="Arial" w:hAnsi="Arial" w:cs="Arial"/>
          <w:noProof/>
          <w:sz w:val="20"/>
        </w:rPr>
      </w:pPr>
      <w:r>
        <w:rPr>
          <w:rFonts w:ascii="Arial" w:hAnsi="Arial" w:cs="Arial"/>
          <w:noProof/>
          <w:sz w:val="20"/>
        </w:rPr>
        <w:lastRenderedPageBreak/>
        <w:t>Moeller MP</w:t>
      </w:r>
      <w:r w:rsidR="00353A4E">
        <w:rPr>
          <w:rFonts w:ascii="Arial" w:hAnsi="Arial" w:cs="Arial"/>
          <w:noProof/>
          <w:sz w:val="20"/>
        </w:rPr>
        <w:t>,</w:t>
      </w:r>
      <w:r w:rsidR="00D85D29">
        <w:rPr>
          <w:rFonts w:ascii="Arial" w:hAnsi="Arial" w:cs="Arial"/>
          <w:noProof/>
          <w:sz w:val="20"/>
        </w:rPr>
        <w:t xml:space="preserve"> Tomblin</w:t>
      </w:r>
      <w:r w:rsidR="00353A4E">
        <w:rPr>
          <w:rFonts w:ascii="Arial" w:hAnsi="Arial" w:cs="Arial"/>
          <w:noProof/>
          <w:sz w:val="20"/>
        </w:rPr>
        <w:t xml:space="preserve"> JB,</w:t>
      </w:r>
      <w:r w:rsidR="00D85D29">
        <w:rPr>
          <w:rFonts w:ascii="Arial" w:hAnsi="Arial" w:cs="Arial"/>
          <w:noProof/>
          <w:sz w:val="20"/>
        </w:rPr>
        <w:t xml:space="preserve"> Yoshinaga-Itano</w:t>
      </w:r>
      <w:r w:rsidR="00353A4E">
        <w:rPr>
          <w:rFonts w:ascii="Arial" w:hAnsi="Arial" w:cs="Arial"/>
          <w:noProof/>
          <w:sz w:val="20"/>
        </w:rPr>
        <w:t xml:space="preserve"> C, </w:t>
      </w:r>
      <w:r w:rsidR="00D85D29">
        <w:rPr>
          <w:rFonts w:ascii="Arial" w:hAnsi="Arial" w:cs="Arial"/>
          <w:noProof/>
          <w:sz w:val="20"/>
        </w:rPr>
        <w:t>Connor</w:t>
      </w:r>
      <w:r w:rsidR="00353A4E">
        <w:rPr>
          <w:rFonts w:ascii="Arial" w:hAnsi="Arial" w:cs="Arial"/>
          <w:noProof/>
          <w:sz w:val="20"/>
        </w:rPr>
        <w:t xml:space="preserve"> CM, and </w:t>
      </w:r>
      <w:r w:rsidR="00D85D29">
        <w:rPr>
          <w:rFonts w:ascii="Arial" w:hAnsi="Arial" w:cs="Arial"/>
          <w:noProof/>
          <w:sz w:val="20"/>
        </w:rPr>
        <w:t>Jerger</w:t>
      </w:r>
      <w:r w:rsidR="00353A4E">
        <w:rPr>
          <w:rFonts w:ascii="Arial" w:hAnsi="Arial" w:cs="Arial"/>
          <w:noProof/>
          <w:sz w:val="20"/>
        </w:rPr>
        <w:t xml:space="preserve"> S. 2007.</w:t>
      </w:r>
      <w:r w:rsidR="00D85D29">
        <w:rPr>
          <w:rFonts w:ascii="Arial" w:hAnsi="Arial" w:cs="Arial"/>
          <w:noProof/>
          <w:sz w:val="20"/>
        </w:rPr>
        <w:t xml:space="preserve"> Current state of knowledge: language and literacy of children with hearing impairment: Ear </w:t>
      </w:r>
      <w:r w:rsidR="00353A4E">
        <w:rPr>
          <w:rFonts w:ascii="Arial" w:hAnsi="Arial" w:cs="Arial"/>
          <w:noProof/>
          <w:sz w:val="20"/>
        </w:rPr>
        <w:t>Hear., v. 28, no. 6, p. 740-753</w:t>
      </w:r>
    </w:p>
    <w:p w14:paraId="24D6612B" w14:textId="77777777" w:rsidR="00D85D29" w:rsidRDefault="00D85D29" w:rsidP="009B4A07">
      <w:pPr>
        <w:pStyle w:val="Tablenotes"/>
        <w:tabs>
          <w:tab w:val="left" w:pos="0"/>
        </w:tabs>
        <w:spacing w:after="240"/>
        <w:jc w:val="both"/>
        <w:rPr>
          <w:rFonts w:ascii="Arial" w:hAnsi="Arial" w:cs="Arial"/>
          <w:noProof/>
          <w:sz w:val="20"/>
        </w:rPr>
      </w:pPr>
      <w:r w:rsidRPr="00353A4E">
        <w:rPr>
          <w:rFonts w:ascii="Arial" w:hAnsi="Arial" w:cs="Arial"/>
          <w:noProof/>
          <w:sz w:val="20"/>
          <w:lang w:val="de-AT"/>
        </w:rPr>
        <w:t>Mohr</w:t>
      </w:r>
      <w:r w:rsidR="00353A4E" w:rsidRPr="00353A4E">
        <w:rPr>
          <w:rFonts w:ascii="Arial" w:hAnsi="Arial" w:cs="Arial"/>
          <w:noProof/>
          <w:sz w:val="20"/>
          <w:lang w:val="de-AT"/>
        </w:rPr>
        <w:t xml:space="preserve"> PE, </w:t>
      </w:r>
      <w:r w:rsidRPr="00353A4E">
        <w:rPr>
          <w:rFonts w:ascii="Arial" w:hAnsi="Arial" w:cs="Arial"/>
          <w:noProof/>
          <w:sz w:val="20"/>
          <w:lang w:val="de-AT"/>
        </w:rPr>
        <w:t>Feldman</w:t>
      </w:r>
      <w:r w:rsidR="00353A4E" w:rsidRPr="00353A4E">
        <w:rPr>
          <w:rFonts w:ascii="Arial" w:hAnsi="Arial" w:cs="Arial"/>
          <w:noProof/>
          <w:sz w:val="20"/>
          <w:lang w:val="de-AT"/>
        </w:rPr>
        <w:t xml:space="preserve"> JJ, and </w:t>
      </w:r>
      <w:r w:rsidRPr="00353A4E">
        <w:rPr>
          <w:rFonts w:ascii="Arial" w:hAnsi="Arial" w:cs="Arial"/>
          <w:noProof/>
          <w:sz w:val="20"/>
          <w:lang w:val="de-AT"/>
        </w:rPr>
        <w:t>Dunbar</w:t>
      </w:r>
      <w:r w:rsidR="00353A4E" w:rsidRPr="00353A4E">
        <w:rPr>
          <w:rFonts w:ascii="Arial" w:hAnsi="Arial" w:cs="Arial"/>
          <w:noProof/>
          <w:sz w:val="20"/>
          <w:lang w:val="de-AT"/>
        </w:rPr>
        <w:t xml:space="preserve"> JL. 2000.</w:t>
      </w:r>
      <w:r w:rsidRPr="00353A4E">
        <w:rPr>
          <w:rFonts w:ascii="Arial" w:hAnsi="Arial" w:cs="Arial"/>
          <w:noProof/>
          <w:sz w:val="20"/>
          <w:lang w:val="de-AT"/>
        </w:rPr>
        <w:t xml:space="preserve"> </w:t>
      </w:r>
      <w:r>
        <w:rPr>
          <w:rFonts w:ascii="Arial" w:hAnsi="Arial" w:cs="Arial"/>
          <w:noProof/>
          <w:sz w:val="20"/>
        </w:rPr>
        <w:t>The societal costs of severe to profound hearing loss in the United States: Policy Anal.Br</w:t>
      </w:r>
      <w:r w:rsidR="00353A4E">
        <w:rPr>
          <w:rFonts w:ascii="Arial" w:hAnsi="Arial" w:cs="Arial"/>
          <w:noProof/>
          <w:sz w:val="20"/>
        </w:rPr>
        <w:t>ief.H.Ser., v. 2, no. 1, p. 1-4</w:t>
      </w:r>
    </w:p>
    <w:p w14:paraId="4F5A8370" w14:textId="77777777" w:rsidR="00337593" w:rsidRPr="00337593" w:rsidRDefault="00337593" w:rsidP="009B4A07">
      <w:pPr>
        <w:pStyle w:val="Tablenotes"/>
        <w:tabs>
          <w:tab w:val="left" w:pos="0"/>
        </w:tabs>
        <w:spacing w:after="240"/>
        <w:jc w:val="both"/>
        <w:rPr>
          <w:rFonts w:ascii="Arial" w:hAnsi="Arial" w:cs="Arial"/>
          <w:noProof/>
          <w:sz w:val="20"/>
          <w:szCs w:val="20"/>
        </w:rPr>
      </w:pPr>
      <w:r w:rsidRPr="00337593">
        <w:rPr>
          <w:rFonts w:ascii="Arial" w:hAnsi="Arial" w:cs="Arial"/>
          <w:sz w:val="20"/>
          <w:szCs w:val="20"/>
          <w:lang w:val="en-GB"/>
        </w:rPr>
        <w:t>Monksfield</w:t>
      </w:r>
      <w:r w:rsidR="00353A4E">
        <w:rPr>
          <w:rFonts w:ascii="Arial" w:hAnsi="Arial" w:cs="Arial"/>
          <w:sz w:val="20"/>
          <w:szCs w:val="20"/>
          <w:lang w:val="en-GB"/>
        </w:rPr>
        <w:t xml:space="preserve"> P, Jowett S, Reid A, Proops D. 2011</w:t>
      </w:r>
      <w:r w:rsidRPr="00337593">
        <w:rPr>
          <w:rFonts w:ascii="Arial" w:hAnsi="Arial" w:cs="Arial"/>
          <w:sz w:val="20"/>
          <w:szCs w:val="20"/>
          <w:lang w:val="en-GB"/>
        </w:rPr>
        <w:t>. Cost-effectiveness analysis of the bone-anchored hearing device. Otol. Neurotol. 32(8):1192-1197</w:t>
      </w:r>
    </w:p>
    <w:p w14:paraId="5E715134" w14:textId="77777777" w:rsidR="00D85D29" w:rsidRDefault="00D85D29" w:rsidP="009B4A07">
      <w:pPr>
        <w:pStyle w:val="Tablenotes"/>
        <w:tabs>
          <w:tab w:val="left" w:pos="0"/>
        </w:tabs>
        <w:spacing w:after="240"/>
        <w:jc w:val="both"/>
        <w:rPr>
          <w:rFonts w:ascii="Arial" w:hAnsi="Arial" w:cs="Arial"/>
          <w:noProof/>
          <w:sz w:val="20"/>
        </w:rPr>
      </w:pPr>
      <w:r>
        <w:rPr>
          <w:rFonts w:ascii="Arial" w:hAnsi="Arial" w:cs="Arial"/>
          <w:noProof/>
          <w:sz w:val="20"/>
        </w:rPr>
        <w:t>MSAC. Department of Health and Ageing. Medica</w:t>
      </w:r>
      <w:r w:rsidR="00353A4E">
        <w:rPr>
          <w:rFonts w:ascii="Arial" w:hAnsi="Arial" w:cs="Arial"/>
          <w:noProof/>
          <w:sz w:val="20"/>
        </w:rPr>
        <w:t>l Services Advisory Committee. 2010</w:t>
      </w:r>
    </w:p>
    <w:p w14:paraId="3C4518D9" w14:textId="77777777" w:rsidR="00D85D29" w:rsidRPr="009938F9" w:rsidRDefault="00353A4E" w:rsidP="009B4A07">
      <w:pPr>
        <w:pStyle w:val="Tablenotes"/>
        <w:tabs>
          <w:tab w:val="left" w:pos="0"/>
        </w:tabs>
        <w:spacing w:after="240"/>
        <w:jc w:val="both"/>
        <w:rPr>
          <w:rFonts w:ascii="Arial" w:hAnsi="Arial" w:cs="Arial"/>
          <w:noProof/>
          <w:sz w:val="20"/>
          <w:szCs w:val="20"/>
        </w:rPr>
      </w:pPr>
      <w:r>
        <w:rPr>
          <w:rFonts w:ascii="Arial" w:hAnsi="Arial" w:cs="Arial"/>
          <w:noProof/>
          <w:sz w:val="20"/>
        </w:rPr>
        <w:t xml:space="preserve">Oberg M, </w:t>
      </w:r>
      <w:r w:rsidR="00D85D29">
        <w:rPr>
          <w:rFonts w:ascii="Arial" w:hAnsi="Arial" w:cs="Arial"/>
          <w:noProof/>
          <w:sz w:val="20"/>
        </w:rPr>
        <w:t>Marcusson</w:t>
      </w:r>
      <w:r>
        <w:rPr>
          <w:rFonts w:ascii="Arial" w:hAnsi="Arial" w:cs="Arial"/>
          <w:noProof/>
          <w:sz w:val="20"/>
        </w:rPr>
        <w:t xml:space="preserve"> J,</w:t>
      </w:r>
      <w:r w:rsidR="00D85D29">
        <w:rPr>
          <w:rFonts w:ascii="Arial" w:hAnsi="Arial" w:cs="Arial"/>
          <w:noProof/>
          <w:sz w:val="20"/>
        </w:rPr>
        <w:t xml:space="preserve"> Nagga</w:t>
      </w:r>
      <w:r>
        <w:rPr>
          <w:rFonts w:ascii="Arial" w:hAnsi="Arial" w:cs="Arial"/>
          <w:noProof/>
          <w:sz w:val="20"/>
        </w:rPr>
        <w:t xml:space="preserve"> K, and </w:t>
      </w:r>
      <w:r w:rsidR="00D85D29">
        <w:rPr>
          <w:rFonts w:ascii="Arial" w:hAnsi="Arial" w:cs="Arial"/>
          <w:noProof/>
          <w:sz w:val="20"/>
        </w:rPr>
        <w:t>Wressle</w:t>
      </w:r>
      <w:r>
        <w:rPr>
          <w:rFonts w:ascii="Arial" w:hAnsi="Arial" w:cs="Arial"/>
          <w:noProof/>
          <w:sz w:val="20"/>
        </w:rPr>
        <w:t xml:space="preserve"> E. 2012.</w:t>
      </w:r>
      <w:r w:rsidR="00D85D29">
        <w:rPr>
          <w:rFonts w:ascii="Arial" w:hAnsi="Arial" w:cs="Arial"/>
          <w:noProof/>
          <w:sz w:val="20"/>
        </w:rPr>
        <w:t xml:space="preserve"> Hearing difficulties, uptake, and </w:t>
      </w:r>
      <w:r w:rsidR="00D85D29" w:rsidRPr="009938F9">
        <w:rPr>
          <w:rFonts w:ascii="Arial" w:hAnsi="Arial" w:cs="Arial"/>
          <w:noProof/>
          <w:sz w:val="20"/>
          <w:szCs w:val="20"/>
        </w:rPr>
        <w:t>outcomes of hearing</w:t>
      </w:r>
      <w:r>
        <w:rPr>
          <w:rFonts w:ascii="Arial" w:hAnsi="Arial" w:cs="Arial"/>
          <w:noProof/>
          <w:sz w:val="20"/>
          <w:szCs w:val="20"/>
        </w:rPr>
        <w:t xml:space="preserve"> aids in people 85 years of age.</w:t>
      </w:r>
      <w:r w:rsidR="00D85D29" w:rsidRPr="009938F9">
        <w:rPr>
          <w:rFonts w:ascii="Arial" w:hAnsi="Arial" w:cs="Arial"/>
          <w:noProof/>
          <w:sz w:val="20"/>
          <w:szCs w:val="20"/>
        </w:rPr>
        <w:t xml:space="preserve"> Int.J.Au</w:t>
      </w:r>
      <w:r>
        <w:rPr>
          <w:rFonts w:ascii="Arial" w:hAnsi="Arial" w:cs="Arial"/>
          <w:noProof/>
          <w:sz w:val="20"/>
          <w:szCs w:val="20"/>
        </w:rPr>
        <w:t>diol., v. 51, no. 2, p. 108-115</w:t>
      </w:r>
    </w:p>
    <w:p w14:paraId="41D71852" w14:textId="77777777" w:rsidR="009938F9" w:rsidRPr="009938F9" w:rsidRDefault="00353A4E" w:rsidP="009B4A07">
      <w:pPr>
        <w:pStyle w:val="Tablenotes"/>
        <w:tabs>
          <w:tab w:val="left" w:pos="0"/>
        </w:tabs>
        <w:spacing w:after="240"/>
        <w:jc w:val="both"/>
        <w:rPr>
          <w:rFonts w:ascii="Arial" w:hAnsi="Arial" w:cs="Arial"/>
          <w:noProof/>
          <w:sz w:val="20"/>
          <w:szCs w:val="20"/>
        </w:rPr>
      </w:pPr>
      <w:r>
        <w:rPr>
          <w:rFonts w:ascii="Arial" w:hAnsi="Arial" w:cs="Arial"/>
          <w:sz w:val="20"/>
          <w:szCs w:val="20"/>
          <w:lang w:val="en-GB"/>
        </w:rPr>
        <w:t>Pelosi S, Carlson ML, Glasscock ME. 2014</w:t>
      </w:r>
      <w:r w:rsidR="009938F9" w:rsidRPr="009938F9">
        <w:rPr>
          <w:rFonts w:ascii="Arial" w:hAnsi="Arial" w:cs="Arial"/>
          <w:sz w:val="20"/>
          <w:szCs w:val="20"/>
          <w:lang w:val="en-GB"/>
        </w:rPr>
        <w:t>. Implantable Hearing Devices: The Ototronix MAXUM System. Otolaryngol Clin North Am. 47(6), 953-965</w:t>
      </w:r>
    </w:p>
    <w:p w14:paraId="73CCD34F" w14:textId="77777777" w:rsidR="00D85D29" w:rsidRDefault="00C64EA1" w:rsidP="009B4A07">
      <w:pPr>
        <w:pStyle w:val="Tablenotes"/>
        <w:tabs>
          <w:tab w:val="left" w:pos="0"/>
        </w:tabs>
        <w:spacing w:after="240"/>
        <w:jc w:val="both"/>
        <w:rPr>
          <w:rFonts w:ascii="Arial" w:hAnsi="Arial" w:cs="Arial"/>
          <w:noProof/>
          <w:sz w:val="20"/>
        </w:rPr>
      </w:pPr>
      <w:r>
        <w:rPr>
          <w:rFonts w:ascii="Arial" w:hAnsi="Arial" w:cs="Arial"/>
          <w:noProof/>
          <w:sz w:val="20"/>
        </w:rPr>
        <w:t xml:space="preserve">Phelps CE, and </w:t>
      </w:r>
      <w:r w:rsidR="00D85D29">
        <w:rPr>
          <w:rFonts w:ascii="Arial" w:hAnsi="Arial" w:cs="Arial"/>
          <w:noProof/>
          <w:sz w:val="20"/>
        </w:rPr>
        <w:t>Mushlin</w:t>
      </w:r>
      <w:r>
        <w:rPr>
          <w:rFonts w:ascii="Arial" w:hAnsi="Arial" w:cs="Arial"/>
          <w:noProof/>
          <w:sz w:val="20"/>
        </w:rPr>
        <w:t xml:space="preserve"> AI. 1991.</w:t>
      </w:r>
      <w:r w:rsidR="00D85D29">
        <w:rPr>
          <w:rFonts w:ascii="Arial" w:hAnsi="Arial" w:cs="Arial"/>
          <w:noProof/>
          <w:sz w:val="20"/>
        </w:rPr>
        <w:t xml:space="preserve"> On the (near) equivalence of cost-effectiv</w:t>
      </w:r>
      <w:r>
        <w:rPr>
          <w:rFonts w:ascii="Arial" w:hAnsi="Arial" w:cs="Arial"/>
          <w:noProof/>
          <w:sz w:val="20"/>
        </w:rPr>
        <w:t>eness and cost-benefit analyses.</w:t>
      </w:r>
      <w:r w:rsidR="00D85D29">
        <w:rPr>
          <w:rFonts w:ascii="Arial" w:hAnsi="Arial" w:cs="Arial"/>
          <w:noProof/>
          <w:sz w:val="20"/>
        </w:rPr>
        <w:t xml:space="preserve"> Int.J.Technol.Assess.Hea</w:t>
      </w:r>
      <w:r>
        <w:rPr>
          <w:rFonts w:ascii="Arial" w:hAnsi="Arial" w:cs="Arial"/>
          <w:noProof/>
          <w:sz w:val="20"/>
        </w:rPr>
        <w:t>lth Care, v. 7, no. 1, p. 12-21</w:t>
      </w:r>
    </w:p>
    <w:p w14:paraId="13D36F85" w14:textId="77777777" w:rsidR="00D85D29" w:rsidRDefault="00C64EA1" w:rsidP="009B4A07">
      <w:pPr>
        <w:pStyle w:val="Tablenotes"/>
        <w:tabs>
          <w:tab w:val="left" w:pos="0"/>
        </w:tabs>
        <w:spacing w:after="240"/>
        <w:jc w:val="both"/>
        <w:rPr>
          <w:rFonts w:ascii="Arial" w:hAnsi="Arial" w:cs="Arial"/>
          <w:noProof/>
          <w:sz w:val="20"/>
        </w:rPr>
      </w:pPr>
      <w:r w:rsidRPr="00A9436E">
        <w:rPr>
          <w:rFonts w:ascii="Arial" w:hAnsi="Arial" w:cs="Arial"/>
          <w:noProof/>
          <w:sz w:val="20"/>
          <w:lang w:val="en-GB"/>
        </w:rPr>
        <w:t>Pok SM,</w:t>
      </w:r>
      <w:r w:rsidR="00D85D29" w:rsidRPr="00A9436E">
        <w:rPr>
          <w:rFonts w:ascii="Arial" w:hAnsi="Arial" w:cs="Arial"/>
          <w:noProof/>
          <w:sz w:val="20"/>
          <w:lang w:val="en-GB"/>
        </w:rPr>
        <w:t xml:space="preserve"> Schlogel</w:t>
      </w:r>
      <w:r w:rsidRPr="00A9436E">
        <w:rPr>
          <w:rFonts w:ascii="Arial" w:hAnsi="Arial" w:cs="Arial"/>
          <w:noProof/>
          <w:sz w:val="20"/>
          <w:lang w:val="en-GB"/>
        </w:rPr>
        <w:t xml:space="preserve"> M</w:t>
      </w:r>
      <w:r w:rsidR="00D85D29" w:rsidRPr="00A9436E">
        <w:rPr>
          <w:rFonts w:ascii="Arial" w:hAnsi="Arial" w:cs="Arial"/>
          <w:noProof/>
          <w:sz w:val="20"/>
          <w:lang w:val="en-GB"/>
        </w:rPr>
        <w:t>, and Boheim</w:t>
      </w:r>
      <w:r w:rsidRPr="00A9436E">
        <w:rPr>
          <w:rFonts w:ascii="Arial" w:hAnsi="Arial" w:cs="Arial"/>
          <w:noProof/>
          <w:sz w:val="20"/>
          <w:lang w:val="en-GB"/>
        </w:rPr>
        <w:t xml:space="preserve"> K. 2010.</w:t>
      </w:r>
      <w:r w:rsidR="00D85D29" w:rsidRPr="00A9436E">
        <w:rPr>
          <w:rFonts w:ascii="Arial" w:hAnsi="Arial" w:cs="Arial"/>
          <w:noProof/>
          <w:sz w:val="20"/>
          <w:lang w:val="en-GB"/>
        </w:rPr>
        <w:t xml:space="preserve"> </w:t>
      </w:r>
      <w:r w:rsidR="00D85D29">
        <w:rPr>
          <w:rFonts w:ascii="Arial" w:hAnsi="Arial" w:cs="Arial"/>
          <w:noProof/>
          <w:sz w:val="20"/>
        </w:rPr>
        <w:t>Clinical experience with the active middle ear implant Vibrant Soundbridg</w:t>
      </w:r>
      <w:r>
        <w:rPr>
          <w:rFonts w:ascii="Arial" w:hAnsi="Arial" w:cs="Arial"/>
          <w:noProof/>
          <w:sz w:val="20"/>
        </w:rPr>
        <w:t>e in sensorineural hearing loss.</w:t>
      </w:r>
      <w:r w:rsidR="00D85D29">
        <w:rPr>
          <w:rFonts w:ascii="Arial" w:hAnsi="Arial" w:cs="Arial"/>
          <w:noProof/>
          <w:sz w:val="20"/>
        </w:rPr>
        <w:t xml:space="preserve"> Adv.Oto</w:t>
      </w:r>
      <w:r>
        <w:rPr>
          <w:rFonts w:ascii="Arial" w:hAnsi="Arial" w:cs="Arial"/>
          <w:noProof/>
          <w:sz w:val="20"/>
        </w:rPr>
        <w:t>rhinolaryngol., v. 69, p. 51-58</w:t>
      </w:r>
    </w:p>
    <w:p w14:paraId="3169F17F" w14:textId="77777777" w:rsidR="00D85D29" w:rsidRDefault="00D85D29" w:rsidP="009B4A07">
      <w:pPr>
        <w:pStyle w:val="Tablenotes"/>
        <w:tabs>
          <w:tab w:val="left" w:pos="0"/>
        </w:tabs>
        <w:spacing w:after="240"/>
        <w:jc w:val="both"/>
        <w:rPr>
          <w:rFonts w:ascii="Arial" w:hAnsi="Arial" w:cs="Arial"/>
          <w:noProof/>
          <w:sz w:val="20"/>
        </w:rPr>
      </w:pPr>
      <w:r>
        <w:rPr>
          <w:rFonts w:ascii="Arial" w:hAnsi="Arial" w:cs="Arial"/>
          <w:noProof/>
          <w:sz w:val="20"/>
        </w:rPr>
        <w:t>Roman</w:t>
      </w:r>
      <w:r w:rsidR="00C64EA1">
        <w:rPr>
          <w:rFonts w:ascii="Arial" w:hAnsi="Arial" w:cs="Arial"/>
          <w:noProof/>
          <w:sz w:val="20"/>
        </w:rPr>
        <w:t xml:space="preserve"> S, </w:t>
      </w:r>
      <w:r>
        <w:rPr>
          <w:rFonts w:ascii="Arial" w:hAnsi="Arial" w:cs="Arial"/>
          <w:noProof/>
          <w:sz w:val="20"/>
        </w:rPr>
        <w:t>Denoyelle</w:t>
      </w:r>
      <w:r w:rsidR="00C64EA1">
        <w:rPr>
          <w:rFonts w:ascii="Arial" w:hAnsi="Arial" w:cs="Arial"/>
          <w:noProof/>
          <w:sz w:val="20"/>
        </w:rPr>
        <w:t xml:space="preserve"> F, </w:t>
      </w:r>
      <w:r>
        <w:rPr>
          <w:rFonts w:ascii="Arial" w:hAnsi="Arial" w:cs="Arial"/>
          <w:noProof/>
          <w:sz w:val="20"/>
        </w:rPr>
        <w:t>Farinetti</w:t>
      </w:r>
      <w:r w:rsidR="00C64EA1">
        <w:rPr>
          <w:rFonts w:ascii="Arial" w:hAnsi="Arial" w:cs="Arial"/>
          <w:noProof/>
          <w:sz w:val="20"/>
        </w:rPr>
        <w:t xml:space="preserve"> A,</w:t>
      </w:r>
      <w:r>
        <w:rPr>
          <w:rFonts w:ascii="Arial" w:hAnsi="Arial" w:cs="Arial"/>
          <w:noProof/>
          <w:sz w:val="20"/>
        </w:rPr>
        <w:t xml:space="preserve"> Garabedian</w:t>
      </w:r>
      <w:r w:rsidR="00C64EA1">
        <w:rPr>
          <w:rFonts w:ascii="Arial" w:hAnsi="Arial" w:cs="Arial"/>
          <w:noProof/>
          <w:sz w:val="20"/>
        </w:rPr>
        <w:t xml:space="preserve"> EN, and</w:t>
      </w:r>
      <w:r>
        <w:rPr>
          <w:rFonts w:ascii="Arial" w:hAnsi="Arial" w:cs="Arial"/>
          <w:noProof/>
          <w:sz w:val="20"/>
        </w:rPr>
        <w:t xml:space="preserve"> Triglia</w:t>
      </w:r>
      <w:r w:rsidR="00C64EA1">
        <w:rPr>
          <w:rFonts w:ascii="Arial" w:hAnsi="Arial" w:cs="Arial"/>
          <w:noProof/>
          <w:sz w:val="20"/>
        </w:rPr>
        <w:t xml:space="preserve"> JM. 2012.</w:t>
      </w:r>
      <w:r>
        <w:rPr>
          <w:rFonts w:ascii="Arial" w:hAnsi="Arial" w:cs="Arial"/>
          <w:noProof/>
          <w:sz w:val="20"/>
        </w:rPr>
        <w:t xml:space="preserve"> Middle ear implant in conductive and mixed cong</w:t>
      </w:r>
      <w:r w:rsidR="00C64EA1">
        <w:rPr>
          <w:rFonts w:ascii="Arial" w:hAnsi="Arial" w:cs="Arial"/>
          <w:noProof/>
          <w:sz w:val="20"/>
        </w:rPr>
        <w:t>enital hearing loss in children.</w:t>
      </w:r>
      <w:r>
        <w:rPr>
          <w:rFonts w:ascii="Arial" w:hAnsi="Arial" w:cs="Arial"/>
          <w:noProof/>
          <w:sz w:val="20"/>
        </w:rPr>
        <w:t xml:space="preserve"> Int.J.Pediatr.Otorhinolaryngo</w:t>
      </w:r>
      <w:r w:rsidR="00C64EA1">
        <w:rPr>
          <w:rFonts w:ascii="Arial" w:hAnsi="Arial" w:cs="Arial"/>
          <w:noProof/>
          <w:sz w:val="20"/>
        </w:rPr>
        <w:t>l., v. 76, no. 12, p. 1775-1778</w:t>
      </w:r>
    </w:p>
    <w:p w14:paraId="4862671C" w14:textId="77777777" w:rsidR="00D85D29" w:rsidRDefault="00D85D29" w:rsidP="009B4A07">
      <w:pPr>
        <w:pStyle w:val="Tablenotes"/>
        <w:tabs>
          <w:tab w:val="left" w:pos="0"/>
        </w:tabs>
        <w:spacing w:after="240"/>
        <w:jc w:val="both"/>
        <w:rPr>
          <w:rFonts w:ascii="Arial" w:hAnsi="Arial" w:cs="Arial"/>
          <w:noProof/>
          <w:sz w:val="20"/>
        </w:rPr>
      </w:pPr>
      <w:r>
        <w:rPr>
          <w:rFonts w:ascii="Arial" w:hAnsi="Arial" w:cs="Arial"/>
          <w:noProof/>
          <w:sz w:val="20"/>
        </w:rPr>
        <w:t>Roth</w:t>
      </w:r>
      <w:r w:rsidR="00C64EA1">
        <w:rPr>
          <w:rFonts w:ascii="Arial" w:hAnsi="Arial" w:cs="Arial"/>
          <w:noProof/>
          <w:sz w:val="20"/>
        </w:rPr>
        <w:t xml:space="preserve"> TN,</w:t>
      </w:r>
      <w:r w:rsidR="009B4A07">
        <w:rPr>
          <w:rFonts w:ascii="Arial" w:hAnsi="Arial" w:cs="Arial"/>
          <w:noProof/>
          <w:sz w:val="20"/>
        </w:rPr>
        <w:t xml:space="preserve"> </w:t>
      </w:r>
      <w:r>
        <w:rPr>
          <w:rFonts w:ascii="Arial" w:hAnsi="Arial" w:cs="Arial"/>
          <w:noProof/>
          <w:sz w:val="20"/>
        </w:rPr>
        <w:t>Hanebuth</w:t>
      </w:r>
      <w:r w:rsidR="00C64EA1">
        <w:rPr>
          <w:rFonts w:ascii="Arial" w:hAnsi="Arial" w:cs="Arial"/>
          <w:noProof/>
          <w:sz w:val="20"/>
        </w:rPr>
        <w:t xml:space="preserve"> D, and</w:t>
      </w:r>
      <w:r>
        <w:rPr>
          <w:rFonts w:ascii="Arial" w:hAnsi="Arial" w:cs="Arial"/>
          <w:noProof/>
          <w:sz w:val="20"/>
        </w:rPr>
        <w:t xml:space="preserve"> Probst</w:t>
      </w:r>
      <w:r w:rsidR="009B4A07">
        <w:rPr>
          <w:rFonts w:ascii="Arial" w:hAnsi="Arial" w:cs="Arial"/>
          <w:noProof/>
          <w:sz w:val="20"/>
        </w:rPr>
        <w:t xml:space="preserve"> R. 2011</w:t>
      </w:r>
      <w:r w:rsidR="00C64EA1">
        <w:rPr>
          <w:rFonts w:ascii="Arial" w:hAnsi="Arial" w:cs="Arial"/>
          <w:noProof/>
          <w:sz w:val="20"/>
        </w:rPr>
        <w:t>.</w:t>
      </w:r>
      <w:r>
        <w:rPr>
          <w:rFonts w:ascii="Arial" w:hAnsi="Arial" w:cs="Arial"/>
          <w:noProof/>
          <w:sz w:val="20"/>
        </w:rPr>
        <w:t xml:space="preserve"> Prevalence of age-related h</w:t>
      </w:r>
      <w:r w:rsidR="00C64EA1">
        <w:rPr>
          <w:rFonts w:ascii="Arial" w:hAnsi="Arial" w:cs="Arial"/>
          <w:noProof/>
          <w:sz w:val="20"/>
        </w:rPr>
        <w:t>earing loss in Europe: a review.</w:t>
      </w:r>
      <w:r>
        <w:rPr>
          <w:rFonts w:ascii="Arial" w:hAnsi="Arial" w:cs="Arial"/>
          <w:noProof/>
          <w:sz w:val="20"/>
        </w:rPr>
        <w:t xml:space="preserve"> Eur.Arch.Otorhinolaryngo</w:t>
      </w:r>
      <w:r w:rsidR="00C64EA1">
        <w:rPr>
          <w:rFonts w:ascii="Arial" w:hAnsi="Arial" w:cs="Arial"/>
          <w:noProof/>
          <w:sz w:val="20"/>
        </w:rPr>
        <w:t>l., v. 268, no. 8, p. 1101-1107</w:t>
      </w:r>
    </w:p>
    <w:p w14:paraId="021A6C13" w14:textId="77777777" w:rsidR="00D85D29" w:rsidRDefault="009F4B6B" w:rsidP="009B4A07">
      <w:pPr>
        <w:pStyle w:val="Tablenotes"/>
        <w:tabs>
          <w:tab w:val="left" w:pos="0"/>
        </w:tabs>
        <w:spacing w:after="240"/>
        <w:jc w:val="both"/>
        <w:rPr>
          <w:rFonts w:ascii="Arial" w:hAnsi="Arial" w:cs="Arial"/>
          <w:noProof/>
          <w:sz w:val="20"/>
        </w:rPr>
      </w:pPr>
      <w:r>
        <w:rPr>
          <w:rFonts w:ascii="Arial" w:hAnsi="Arial" w:cs="Arial"/>
          <w:noProof/>
          <w:sz w:val="20"/>
        </w:rPr>
        <w:t>Shargorodsky J,</w:t>
      </w:r>
      <w:r w:rsidR="00D85D29">
        <w:rPr>
          <w:rFonts w:ascii="Arial" w:hAnsi="Arial" w:cs="Arial"/>
          <w:noProof/>
          <w:sz w:val="20"/>
        </w:rPr>
        <w:t xml:space="preserve"> Curhan</w:t>
      </w:r>
      <w:r>
        <w:rPr>
          <w:rFonts w:ascii="Arial" w:hAnsi="Arial" w:cs="Arial"/>
          <w:noProof/>
          <w:sz w:val="20"/>
        </w:rPr>
        <w:t xml:space="preserve"> SG, </w:t>
      </w:r>
      <w:r w:rsidR="00D85D29">
        <w:rPr>
          <w:rFonts w:ascii="Arial" w:hAnsi="Arial" w:cs="Arial"/>
          <w:noProof/>
          <w:sz w:val="20"/>
        </w:rPr>
        <w:t>Curhan</w:t>
      </w:r>
      <w:r>
        <w:rPr>
          <w:rFonts w:ascii="Arial" w:hAnsi="Arial" w:cs="Arial"/>
          <w:noProof/>
          <w:sz w:val="20"/>
        </w:rPr>
        <w:t xml:space="preserve"> GC, and </w:t>
      </w:r>
      <w:r w:rsidR="00D85D29">
        <w:rPr>
          <w:rFonts w:ascii="Arial" w:hAnsi="Arial" w:cs="Arial"/>
          <w:noProof/>
          <w:sz w:val="20"/>
        </w:rPr>
        <w:t>Eavey</w:t>
      </w:r>
      <w:r>
        <w:rPr>
          <w:rFonts w:ascii="Arial" w:hAnsi="Arial" w:cs="Arial"/>
          <w:noProof/>
          <w:sz w:val="20"/>
        </w:rPr>
        <w:t xml:space="preserve"> R. 2010.</w:t>
      </w:r>
      <w:r w:rsidR="00D85D29">
        <w:rPr>
          <w:rFonts w:ascii="Arial" w:hAnsi="Arial" w:cs="Arial"/>
          <w:noProof/>
          <w:sz w:val="20"/>
        </w:rPr>
        <w:t xml:space="preserve"> Change in prevalence of</w:t>
      </w:r>
      <w:r>
        <w:rPr>
          <w:rFonts w:ascii="Arial" w:hAnsi="Arial" w:cs="Arial"/>
          <w:noProof/>
          <w:sz w:val="20"/>
        </w:rPr>
        <w:t xml:space="preserve"> hearing loss in US adolescents.</w:t>
      </w:r>
      <w:r w:rsidR="00D85D29">
        <w:rPr>
          <w:rFonts w:ascii="Arial" w:hAnsi="Arial" w:cs="Arial"/>
          <w:noProof/>
          <w:sz w:val="20"/>
        </w:rPr>
        <w:t xml:space="preserve"> JAMA, v. 304, no. 7</w:t>
      </w:r>
      <w:r>
        <w:rPr>
          <w:rFonts w:ascii="Arial" w:hAnsi="Arial" w:cs="Arial"/>
          <w:noProof/>
          <w:sz w:val="20"/>
        </w:rPr>
        <w:t>, p. 772-778</w:t>
      </w:r>
    </w:p>
    <w:p w14:paraId="4AB0D2A5" w14:textId="77777777" w:rsidR="00312968" w:rsidRDefault="009F4B6B" w:rsidP="009B4A07">
      <w:pPr>
        <w:pStyle w:val="Tablenotes"/>
        <w:tabs>
          <w:tab w:val="left" w:pos="0"/>
        </w:tabs>
        <w:spacing w:after="240"/>
        <w:jc w:val="both"/>
        <w:rPr>
          <w:rFonts w:ascii="Arial" w:hAnsi="Arial" w:cs="Arial"/>
          <w:noProof/>
          <w:sz w:val="20"/>
        </w:rPr>
      </w:pPr>
      <w:r>
        <w:rPr>
          <w:rFonts w:ascii="Arial" w:hAnsi="Arial" w:cs="Arial"/>
          <w:noProof/>
          <w:sz w:val="20"/>
        </w:rPr>
        <w:t>Shohet JA,</w:t>
      </w:r>
      <w:r w:rsidR="00D85D29">
        <w:rPr>
          <w:rFonts w:ascii="Arial" w:hAnsi="Arial" w:cs="Arial"/>
          <w:noProof/>
          <w:sz w:val="20"/>
        </w:rPr>
        <w:t xml:space="preserve"> Kraus</w:t>
      </w:r>
      <w:r>
        <w:rPr>
          <w:rFonts w:ascii="Arial" w:hAnsi="Arial" w:cs="Arial"/>
          <w:noProof/>
          <w:sz w:val="20"/>
        </w:rPr>
        <w:t xml:space="preserve"> EM, and</w:t>
      </w:r>
      <w:r w:rsidR="00D85D29">
        <w:rPr>
          <w:rFonts w:ascii="Arial" w:hAnsi="Arial" w:cs="Arial"/>
          <w:noProof/>
          <w:sz w:val="20"/>
        </w:rPr>
        <w:t xml:space="preserve"> Catalano</w:t>
      </w:r>
      <w:r>
        <w:rPr>
          <w:rFonts w:ascii="Arial" w:hAnsi="Arial" w:cs="Arial"/>
          <w:noProof/>
          <w:sz w:val="20"/>
        </w:rPr>
        <w:t xml:space="preserve"> PJ. 2011.</w:t>
      </w:r>
      <w:r w:rsidR="00D85D29">
        <w:rPr>
          <w:rFonts w:ascii="Arial" w:hAnsi="Arial" w:cs="Arial"/>
          <w:noProof/>
          <w:sz w:val="20"/>
        </w:rPr>
        <w:t xml:space="preserve"> Profound high-frequency sensorineural hearing loss treatment with a tot</w:t>
      </w:r>
      <w:r>
        <w:rPr>
          <w:rFonts w:ascii="Arial" w:hAnsi="Arial" w:cs="Arial"/>
          <w:noProof/>
          <w:sz w:val="20"/>
        </w:rPr>
        <w:t>ally implantable hearing system.</w:t>
      </w:r>
      <w:r w:rsidR="00D85D29">
        <w:rPr>
          <w:rFonts w:ascii="Arial" w:hAnsi="Arial" w:cs="Arial"/>
          <w:noProof/>
          <w:sz w:val="20"/>
        </w:rPr>
        <w:t xml:space="preserve"> Otol.Neurot</w:t>
      </w:r>
      <w:r>
        <w:rPr>
          <w:rFonts w:ascii="Arial" w:hAnsi="Arial" w:cs="Arial"/>
          <w:noProof/>
          <w:sz w:val="20"/>
        </w:rPr>
        <w:t>ol., v. 32, no. 9, p. 1428-1431</w:t>
      </w:r>
    </w:p>
    <w:p w14:paraId="7C8DD131" w14:textId="77777777" w:rsidR="00D85D29" w:rsidRPr="00352B8D" w:rsidRDefault="009F4B6B" w:rsidP="009B4A07">
      <w:pPr>
        <w:pStyle w:val="Tablenotes"/>
        <w:tabs>
          <w:tab w:val="left" w:pos="0"/>
        </w:tabs>
        <w:spacing w:after="240"/>
        <w:jc w:val="both"/>
        <w:rPr>
          <w:rFonts w:ascii="Arial" w:hAnsi="Arial" w:cs="Arial"/>
          <w:noProof/>
          <w:sz w:val="20"/>
          <w:szCs w:val="20"/>
        </w:rPr>
      </w:pPr>
      <w:r w:rsidRPr="009F4B6B">
        <w:rPr>
          <w:rFonts w:ascii="Arial" w:hAnsi="Arial" w:cs="Arial"/>
          <w:noProof/>
          <w:sz w:val="20"/>
        </w:rPr>
        <w:t>Sia KJ</w:t>
      </w:r>
      <w:r w:rsidR="00D85D29" w:rsidRPr="009F4B6B">
        <w:rPr>
          <w:rFonts w:ascii="Arial" w:hAnsi="Arial" w:cs="Arial"/>
          <w:noProof/>
          <w:sz w:val="20"/>
        </w:rPr>
        <w:t>,</w:t>
      </w:r>
      <w:r>
        <w:rPr>
          <w:rFonts w:ascii="Arial" w:hAnsi="Arial" w:cs="Arial"/>
          <w:sz w:val="20"/>
          <w:szCs w:val="20"/>
        </w:rPr>
        <w:t xml:space="preserve"> </w:t>
      </w:r>
      <w:hyperlink r:id="rId116" w:history="1">
        <w:r w:rsidRPr="009F4B6B">
          <w:rPr>
            <w:rFonts w:ascii="Arial" w:hAnsi="Arial" w:cs="Arial"/>
            <w:sz w:val="20"/>
            <w:szCs w:val="20"/>
          </w:rPr>
          <w:t>Chai CK</w:t>
        </w:r>
      </w:hyperlink>
      <w:r w:rsidRPr="009F4B6B">
        <w:rPr>
          <w:rFonts w:ascii="Arial" w:hAnsi="Arial" w:cs="Arial"/>
          <w:sz w:val="20"/>
          <w:szCs w:val="20"/>
        </w:rPr>
        <w:t xml:space="preserve">, </w:t>
      </w:r>
      <w:hyperlink r:id="rId117" w:history="1">
        <w:r w:rsidRPr="009F4B6B">
          <w:rPr>
            <w:rFonts w:ascii="Arial" w:hAnsi="Arial" w:cs="Arial"/>
            <w:sz w:val="20"/>
            <w:szCs w:val="20"/>
          </w:rPr>
          <w:t>Tang IP</w:t>
        </w:r>
      </w:hyperlink>
      <w:r w:rsidRPr="009F4B6B">
        <w:rPr>
          <w:rFonts w:ascii="Arial" w:hAnsi="Arial" w:cs="Arial"/>
          <w:sz w:val="20"/>
          <w:szCs w:val="20"/>
        </w:rPr>
        <w:t xml:space="preserve">, </w:t>
      </w:r>
      <w:hyperlink r:id="rId118" w:history="1">
        <w:r w:rsidRPr="009F4B6B">
          <w:rPr>
            <w:rFonts w:ascii="Arial" w:hAnsi="Arial" w:cs="Arial"/>
            <w:sz w:val="20"/>
            <w:szCs w:val="20"/>
          </w:rPr>
          <w:t>Prepageran N</w:t>
        </w:r>
      </w:hyperlink>
      <w:r w:rsidRPr="009F4B6B">
        <w:rPr>
          <w:rFonts w:ascii="Arial" w:hAnsi="Arial" w:cs="Arial"/>
          <w:sz w:val="20"/>
          <w:szCs w:val="20"/>
        </w:rPr>
        <w:t>.</w:t>
      </w:r>
      <w:r w:rsidRPr="009F4B6B">
        <w:rPr>
          <w:rFonts w:ascii="Arial" w:hAnsi="Arial" w:cs="Arial"/>
          <w:noProof/>
          <w:sz w:val="20"/>
        </w:rPr>
        <w:t xml:space="preserve"> 2012.</w:t>
      </w:r>
      <w:r w:rsidR="00D85D29" w:rsidRPr="009F4B6B">
        <w:rPr>
          <w:rFonts w:ascii="Arial" w:hAnsi="Arial" w:cs="Arial"/>
          <w:noProof/>
          <w:sz w:val="20"/>
        </w:rPr>
        <w:t xml:space="preserve"> Vibrant Soundbridge: A new implantable </w:t>
      </w:r>
      <w:r w:rsidR="00D85D29" w:rsidRPr="00352B8D">
        <w:rPr>
          <w:rFonts w:ascii="Arial" w:hAnsi="Arial" w:cs="Arial"/>
          <w:noProof/>
          <w:sz w:val="20"/>
          <w:szCs w:val="20"/>
        </w:rPr>
        <w:t>alternative to conven</w:t>
      </w:r>
      <w:r w:rsidRPr="00352B8D">
        <w:rPr>
          <w:rFonts w:ascii="Arial" w:hAnsi="Arial" w:cs="Arial"/>
          <w:noProof/>
          <w:sz w:val="20"/>
          <w:szCs w:val="20"/>
        </w:rPr>
        <w:t>tional hearing aids in children. Med J Malaysia</w:t>
      </w:r>
      <w:r w:rsidR="00352B8D" w:rsidRPr="00352B8D">
        <w:rPr>
          <w:rFonts w:ascii="Arial" w:hAnsi="Arial" w:cs="Arial"/>
          <w:noProof/>
          <w:sz w:val="20"/>
          <w:szCs w:val="20"/>
        </w:rPr>
        <w:t xml:space="preserve">, </w:t>
      </w:r>
      <w:r w:rsidR="00352B8D" w:rsidRPr="005C5FFC">
        <w:rPr>
          <w:rFonts w:ascii="Arial" w:hAnsi="Arial" w:cs="Arial"/>
          <w:sz w:val="20"/>
          <w:szCs w:val="20"/>
          <w:lang w:val="en-US"/>
        </w:rPr>
        <w:t>Dec;67(6):625-6</w:t>
      </w:r>
    </w:p>
    <w:p w14:paraId="679F400E" w14:textId="77777777" w:rsidR="00352B8D" w:rsidRPr="00352B8D" w:rsidRDefault="00352B8D" w:rsidP="009B4A07">
      <w:pPr>
        <w:pStyle w:val="Tablenotes"/>
        <w:tabs>
          <w:tab w:val="left" w:pos="0"/>
        </w:tabs>
        <w:spacing w:after="240"/>
        <w:jc w:val="both"/>
        <w:rPr>
          <w:rFonts w:ascii="Arial" w:hAnsi="Arial" w:cs="Arial"/>
          <w:noProof/>
          <w:sz w:val="20"/>
          <w:szCs w:val="20"/>
        </w:rPr>
      </w:pPr>
      <w:r w:rsidRPr="00352B8D">
        <w:rPr>
          <w:rFonts w:ascii="Arial" w:hAnsi="Arial" w:cs="Arial"/>
          <w:sz w:val="20"/>
          <w:szCs w:val="20"/>
        </w:rPr>
        <w:t xml:space="preserve">Saliba I, Calmels MN, Wanna G, Iversenc G, James C, Deguine O, and Fraysse B. 2005. Binaurality in Middle Ear Implant Recipients Using Contralateral Digital Hearing Aids. </w:t>
      </w:r>
      <w:r w:rsidRPr="00352B8D">
        <w:rPr>
          <w:rFonts w:ascii="Arial" w:hAnsi="Arial" w:cs="Arial"/>
          <w:iCs/>
          <w:sz w:val="20"/>
          <w:szCs w:val="20"/>
        </w:rPr>
        <w:t>Otology &amp; Neurotology v. 26, p.</w:t>
      </w:r>
      <w:r w:rsidRPr="00352B8D">
        <w:rPr>
          <w:rFonts w:ascii="Arial" w:hAnsi="Arial" w:cs="Arial"/>
          <w:sz w:val="20"/>
          <w:szCs w:val="20"/>
        </w:rPr>
        <w:t>680–685</w:t>
      </w:r>
    </w:p>
    <w:p w14:paraId="636951A5" w14:textId="77777777" w:rsidR="00D85D29" w:rsidRPr="009F4B6B" w:rsidRDefault="009F4B6B" w:rsidP="009B4A07">
      <w:pPr>
        <w:pStyle w:val="Tablenotes"/>
        <w:tabs>
          <w:tab w:val="left" w:pos="0"/>
        </w:tabs>
        <w:spacing w:after="240"/>
        <w:jc w:val="both"/>
        <w:rPr>
          <w:rFonts w:ascii="Arial" w:hAnsi="Arial" w:cs="Arial"/>
          <w:noProof/>
          <w:sz w:val="20"/>
        </w:rPr>
      </w:pPr>
      <w:r w:rsidRPr="009F4B6B">
        <w:rPr>
          <w:rFonts w:ascii="Arial" w:hAnsi="Arial" w:cs="Arial"/>
          <w:noProof/>
          <w:sz w:val="20"/>
        </w:rPr>
        <w:t>Silverstein H</w:t>
      </w:r>
      <w:r w:rsidR="00D85D29" w:rsidRPr="009F4B6B">
        <w:rPr>
          <w:rFonts w:ascii="Arial" w:hAnsi="Arial" w:cs="Arial"/>
          <w:noProof/>
          <w:sz w:val="20"/>
        </w:rPr>
        <w:t>,</w:t>
      </w:r>
      <w:r w:rsidRPr="009F4B6B">
        <w:rPr>
          <w:rFonts w:ascii="Arial" w:hAnsi="Arial" w:cs="Arial"/>
          <w:noProof/>
          <w:sz w:val="20"/>
        </w:rPr>
        <w:t xml:space="preserve"> </w:t>
      </w:r>
      <w:hyperlink r:id="rId119" w:history="1">
        <w:r w:rsidRPr="009F4B6B">
          <w:rPr>
            <w:rFonts w:ascii="Arial" w:hAnsi="Arial" w:cs="Arial"/>
            <w:sz w:val="20"/>
            <w:szCs w:val="20"/>
          </w:rPr>
          <w:t>Atkins J</w:t>
        </w:r>
      </w:hyperlink>
      <w:r w:rsidRPr="009F4B6B">
        <w:rPr>
          <w:rFonts w:ascii="Arial" w:hAnsi="Arial" w:cs="Arial"/>
          <w:sz w:val="20"/>
          <w:szCs w:val="20"/>
        </w:rPr>
        <w:t xml:space="preserve">, </w:t>
      </w:r>
      <w:hyperlink r:id="rId120" w:history="1">
        <w:r w:rsidRPr="009F4B6B">
          <w:rPr>
            <w:rFonts w:ascii="Arial" w:hAnsi="Arial" w:cs="Arial"/>
            <w:sz w:val="20"/>
            <w:szCs w:val="20"/>
          </w:rPr>
          <w:t>Thompson JH Jr</w:t>
        </w:r>
      </w:hyperlink>
      <w:r w:rsidRPr="009F4B6B">
        <w:rPr>
          <w:rFonts w:ascii="Arial" w:hAnsi="Arial" w:cs="Arial"/>
          <w:sz w:val="20"/>
          <w:szCs w:val="20"/>
        </w:rPr>
        <w:t xml:space="preserve">, </w:t>
      </w:r>
      <w:hyperlink r:id="rId121" w:history="1">
        <w:r w:rsidRPr="009F4B6B">
          <w:rPr>
            <w:rFonts w:ascii="Arial" w:hAnsi="Arial" w:cs="Arial"/>
            <w:sz w:val="20"/>
            <w:szCs w:val="20"/>
          </w:rPr>
          <w:t>Gilman N</w:t>
        </w:r>
      </w:hyperlink>
      <w:r w:rsidRPr="009F4B6B">
        <w:rPr>
          <w:rFonts w:ascii="Arial" w:hAnsi="Arial" w:cs="Arial"/>
          <w:noProof/>
          <w:sz w:val="20"/>
        </w:rPr>
        <w:t>. 2005.</w:t>
      </w:r>
      <w:r w:rsidR="00D85D29" w:rsidRPr="009F4B6B">
        <w:rPr>
          <w:rFonts w:ascii="Arial" w:hAnsi="Arial" w:cs="Arial"/>
          <w:noProof/>
          <w:sz w:val="20"/>
        </w:rPr>
        <w:t xml:space="preserve"> Experience with the SOUNDTEC Implantable Hearing</w:t>
      </w:r>
      <w:r w:rsidRPr="009F4B6B">
        <w:rPr>
          <w:rFonts w:ascii="Arial" w:hAnsi="Arial" w:cs="Arial"/>
          <w:noProof/>
          <w:sz w:val="20"/>
        </w:rPr>
        <w:t xml:space="preserve"> Aid.</w:t>
      </w:r>
      <w:r w:rsidR="00D85D29" w:rsidRPr="009F4B6B">
        <w:rPr>
          <w:rFonts w:ascii="Arial" w:hAnsi="Arial" w:cs="Arial"/>
          <w:noProof/>
          <w:sz w:val="20"/>
        </w:rPr>
        <w:t xml:space="preserve"> Otology &amp; Neurot</w:t>
      </w:r>
      <w:r w:rsidRPr="009F4B6B">
        <w:rPr>
          <w:rFonts w:ascii="Arial" w:hAnsi="Arial" w:cs="Arial"/>
          <w:noProof/>
          <w:sz w:val="20"/>
        </w:rPr>
        <w:t>ology, v. 26, no. 2, p. 211-217</w:t>
      </w:r>
    </w:p>
    <w:p w14:paraId="5A6E0ABF" w14:textId="77777777" w:rsidR="00D85D29" w:rsidRDefault="009F4B6B" w:rsidP="009B4A07">
      <w:pPr>
        <w:pStyle w:val="Tablenotes"/>
        <w:tabs>
          <w:tab w:val="left" w:pos="0"/>
        </w:tabs>
        <w:spacing w:after="240"/>
        <w:jc w:val="both"/>
        <w:rPr>
          <w:rFonts w:ascii="Arial" w:hAnsi="Arial" w:cs="Arial"/>
          <w:noProof/>
          <w:sz w:val="20"/>
        </w:rPr>
      </w:pPr>
      <w:r>
        <w:rPr>
          <w:rFonts w:ascii="Arial" w:hAnsi="Arial" w:cs="Arial"/>
          <w:noProof/>
          <w:sz w:val="20"/>
        </w:rPr>
        <w:t>Snik A,</w:t>
      </w:r>
      <w:r w:rsidR="00D85D29">
        <w:rPr>
          <w:rFonts w:ascii="Arial" w:hAnsi="Arial" w:cs="Arial"/>
          <w:noProof/>
          <w:sz w:val="20"/>
        </w:rPr>
        <w:t xml:space="preserve"> Verhaegen</w:t>
      </w:r>
      <w:r>
        <w:rPr>
          <w:rFonts w:ascii="Arial" w:hAnsi="Arial" w:cs="Arial"/>
          <w:noProof/>
          <w:sz w:val="20"/>
        </w:rPr>
        <w:t xml:space="preserve"> V,</w:t>
      </w:r>
      <w:r w:rsidR="00D85D29">
        <w:rPr>
          <w:rFonts w:ascii="Arial" w:hAnsi="Arial" w:cs="Arial"/>
          <w:noProof/>
          <w:sz w:val="20"/>
        </w:rPr>
        <w:t xml:space="preserve"> Mulder</w:t>
      </w:r>
      <w:r>
        <w:rPr>
          <w:rFonts w:ascii="Arial" w:hAnsi="Arial" w:cs="Arial"/>
          <w:noProof/>
          <w:sz w:val="20"/>
        </w:rPr>
        <w:t xml:space="preserve"> J, and</w:t>
      </w:r>
      <w:r w:rsidR="00D85D29">
        <w:rPr>
          <w:rFonts w:ascii="Arial" w:hAnsi="Arial" w:cs="Arial"/>
          <w:noProof/>
          <w:sz w:val="20"/>
        </w:rPr>
        <w:t xml:space="preserve"> Cremers</w:t>
      </w:r>
      <w:r>
        <w:rPr>
          <w:rFonts w:ascii="Arial" w:hAnsi="Arial" w:cs="Arial"/>
          <w:noProof/>
          <w:sz w:val="20"/>
        </w:rPr>
        <w:t xml:space="preserve"> C. 2010.</w:t>
      </w:r>
      <w:r w:rsidR="00D85D29">
        <w:rPr>
          <w:rFonts w:ascii="Arial" w:hAnsi="Arial" w:cs="Arial"/>
          <w:noProof/>
          <w:sz w:val="20"/>
        </w:rPr>
        <w:t xml:space="preserve"> Cost-effectiveness of implant</w:t>
      </w:r>
      <w:r>
        <w:rPr>
          <w:rFonts w:ascii="Arial" w:hAnsi="Arial" w:cs="Arial"/>
          <w:noProof/>
          <w:sz w:val="20"/>
        </w:rPr>
        <w:t>able middle ear hearing devices.</w:t>
      </w:r>
      <w:r w:rsidR="00D85D29">
        <w:rPr>
          <w:rFonts w:ascii="Arial" w:hAnsi="Arial" w:cs="Arial"/>
          <w:noProof/>
          <w:sz w:val="20"/>
        </w:rPr>
        <w:t xml:space="preserve"> Adv.Oto</w:t>
      </w:r>
      <w:r>
        <w:rPr>
          <w:rFonts w:ascii="Arial" w:hAnsi="Arial" w:cs="Arial"/>
          <w:noProof/>
          <w:sz w:val="20"/>
        </w:rPr>
        <w:t>rhinolaryngol., v. 69, p. 14-19</w:t>
      </w:r>
    </w:p>
    <w:p w14:paraId="4A9F1921" w14:textId="77777777" w:rsidR="00D85D29" w:rsidRPr="0045792F" w:rsidRDefault="0045792F" w:rsidP="009B4A07">
      <w:pPr>
        <w:pStyle w:val="Tablenotes"/>
        <w:tabs>
          <w:tab w:val="left" w:pos="0"/>
        </w:tabs>
        <w:spacing w:after="240"/>
        <w:jc w:val="both"/>
        <w:rPr>
          <w:rFonts w:ascii="Arial" w:hAnsi="Arial" w:cs="Arial"/>
          <w:noProof/>
          <w:sz w:val="20"/>
          <w:szCs w:val="20"/>
        </w:rPr>
      </w:pPr>
      <w:r w:rsidRPr="0045792F">
        <w:rPr>
          <w:rFonts w:ascii="Arial" w:hAnsi="Arial" w:cs="Arial"/>
          <w:sz w:val="20"/>
          <w:szCs w:val="20"/>
        </w:rPr>
        <w:t>Snik AF, Mylanus EA, Cremers CW, Dillier N, Fisch U, Gnadeberg D, Lenarz T, Mazolli M, Babighian G, Uziel AS, Cooper HR, O'Connor AF, Fraysse B, Charachon R, Shehata-Dieler WE</w:t>
      </w:r>
      <w:r w:rsidRPr="0045792F">
        <w:rPr>
          <w:rFonts w:ascii="Arial" w:hAnsi="Arial" w:cs="Arial"/>
          <w:noProof/>
          <w:sz w:val="20"/>
          <w:szCs w:val="20"/>
        </w:rPr>
        <w:t>. 2001.</w:t>
      </w:r>
      <w:r w:rsidR="00D85D29" w:rsidRPr="0045792F">
        <w:rPr>
          <w:rFonts w:ascii="Arial" w:hAnsi="Arial" w:cs="Arial"/>
          <w:noProof/>
          <w:sz w:val="20"/>
          <w:szCs w:val="20"/>
        </w:rPr>
        <w:t xml:space="preserve"> Multicenter audiometric results with the Vibrant Soundbridge, a semi-implantable hearing device for s</w:t>
      </w:r>
      <w:r w:rsidRPr="0045792F">
        <w:rPr>
          <w:rFonts w:ascii="Arial" w:hAnsi="Arial" w:cs="Arial"/>
          <w:noProof/>
          <w:sz w:val="20"/>
          <w:szCs w:val="20"/>
        </w:rPr>
        <w:t>ensorineural hearing impairment.</w:t>
      </w:r>
      <w:r w:rsidR="00D85D29" w:rsidRPr="0045792F">
        <w:rPr>
          <w:rFonts w:ascii="Arial" w:hAnsi="Arial" w:cs="Arial"/>
          <w:noProof/>
          <w:sz w:val="20"/>
          <w:szCs w:val="20"/>
        </w:rPr>
        <w:t xml:space="preserve"> Otolaryngol.Clin.Nort</w:t>
      </w:r>
      <w:r w:rsidRPr="0045792F">
        <w:rPr>
          <w:rFonts w:ascii="Arial" w:hAnsi="Arial" w:cs="Arial"/>
          <w:noProof/>
          <w:sz w:val="20"/>
          <w:szCs w:val="20"/>
        </w:rPr>
        <w:t>h Am., v. 34, no. 2, p. 373-388</w:t>
      </w:r>
    </w:p>
    <w:p w14:paraId="5493D55D" w14:textId="77777777" w:rsidR="00D85D29" w:rsidRDefault="009A08BA" w:rsidP="009B4A07">
      <w:pPr>
        <w:pStyle w:val="Tablenotes"/>
        <w:tabs>
          <w:tab w:val="left" w:pos="0"/>
        </w:tabs>
        <w:spacing w:after="240"/>
        <w:jc w:val="both"/>
        <w:rPr>
          <w:rFonts w:ascii="Arial" w:hAnsi="Arial" w:cs="Arial"/>
          <w:noProof/>
          <w:sz w:val="20"/>
        </w:rPr>
      </w:pPr>
      <w:r>
        <w:rPr>
          <w:rFonts w:ascii="Arial" w:hAnsi="Arial" w:cs="Arial"/>
          <w:noProof/>
          <w:sz w:val="20"/>
        </w:rPr>
        <w:t xml:space="preserve">Snik AF, </w:t>
      </w:r>
      <w:r w:rsidR="00D85D29">
        <w:rPr>
          <w:rFonts w:ascii="Arial" w:hAnsi="Arial" w:cs="Arial"/>
          <w:noProof/>
          <w:sz w:val="20"/>
        </w:rPr>
        <w:t>Van Duijnhoven</w:t>
      </w:r>
      <w:r>
        <w:rPr>
          <w:rFonts w:ascii="Arial" w:hAnsi="Arial" w:cs="Arial"/>
          <w:noProof/>
          <w:sz w:val="20"/>
        </w:rPr>
        <w:t xml:space="preserve"> NT, </w:t>
      </w:r>
      <w:r w:rsidR="00D85D29">
        <w:rPr>
          <w:rFonts w:ascii="Arial" w:hAnsi="Arial" w:cs="Arial"/>
          <w:noProof/>
          <w:sz w:val="20"/>
        </w:rPr>
        <w:t>Mylanus</w:t>
      </w:r>
      <w:r>
        <w:rPr>
          <w:rFonts w:ascii="Arial" w:hAnsi="Arial" w:cs="Arial"/>
          <w:noProof/>
          <w:sz w:val="20"/>
        </w:rPr>
        <w:t xml:space="preserve"> EA, and </w:t>
      </w:r>
      <w:r w:rsidR="00D85D29">
        <w:rPr>
          <w:rFonts w:ascii="Arial" w:hAnsi="Arial" w:cs="Arial"/>
          <w:noProof/>
          <w:sz w:val="20"/>
        </w:rPr>
        <w:t>Cremers</w:t>
      </w:r>
      <w:r>
        <w:rPr>
          <w:rFonts w:ascii="Arial" w:hAnsi="Arial" w:cs="Arial"/>
          <w:noProof/>
          <w:sz w:val="20"/>
        </w:rPr>
        <w:t xml:space="preserve"> CW. 2006.</w:t>
      </w:r>
      <w:r w:rsidR="00D85D29">
        <w:rPr>
          <w:rFonts w:ascii="Arial" w:hAnsi="Arial" w:cs="Arial"/>
          <w:noProof/>
          <w:sz w:val="20"/>
        </w:rPr>
        <w:t xml:space="preserve"> Estimated cost-effectiveness of active middle-ear implantation in hearing-impaired patie</w:t>
      </w:r>
      <w:r>
        <w:rPr>
          <w:rFonts w:ascii="Arial" w:hAnsi="Arial" w:cs="Arial"/>
          <w:noProof/>
          <w:sz w:val="20"/>
        </w:rPr>
        <w:t>nts with severe external otitis.</w:t>
      </w:r>
      <w:r w:rsidR="00D85D29">
        <w:rPr>
          <w:rFonts w:ascii="Arial" w:hAnsi="Arial" w:cs="Arial"/>
          <w:noProof/>
          <w:sz w:val="20"/>
        </w:rPr>
        <w:t xml:space="preserve"> Arch.Otolaryngol.Head Neck Surg</w:t>
      </w:r>
      <w:r>
        <w:rPr>
          <w:rFonts w:ascii="Arial" w:hAnsi="Arial" w:cs="Arial"/>
          <w:noProof/>
          <w:sz w:val="20"/>
        </w:rPr>
        <w:t>., v. 132, no. 11, p. 1210-1215</w:t>
      </w:r>
    </w:p>
    <w:p w14:paraId="466D2A79" w14:textId="77777777" w:rsidR="00D85D29" w:rsidRDefault="009A08BA" w:rsidP="009B4A07">
      <w:pPr>
        <w:pStyle w:val="Tablenotes"/>
        <w:tabs>
          <w:tab w:val="left" w:pos="0"/>
        </w:tabs>
        <w:spacing w:after="240"/>
        <w:jc w:val="both"/>
        <w:rPr>
          <w:rFonts w:ascii="Arial" w:hAnsi="Arial" w:cs="Arial"/>
          <w:noProof/>
          <w:sz w:val="20"/>
        </w:rPr>
      </w:pPr>
      <w:r>
        <w:rPr>
          <w:rFonts w:ascii="Arial" w:hAnsi="Arial" w:cs="Arial"/>
          <w:noProof/>
          <w:sz w:val="20"/>
        </w:rPr>
        <w:lastRenderedPageBreak/>
        <w:t>Stevenson J,</w:t>
      </w:r>
      <w:r w:rsidR="00D85D29">
        <w:rPr>
          <w:rFonts w:ascii="Arial" w:hAnsi="Arial" w:cs="Arial"/>
          <w:noProof/>
          <w:sz w:val="20"/>
        </w:rPr>
        <w:t xml:space="preserve"> McCann</w:t>
      </w:r>
      <w:r>
        <w:rPr>
          <w:rFonts w:ascii="Arial" w:hAnsi="Arial" w:cs="Arial"/>
          <w:noProof/>
          <w:sz w:val="20"/>
        </w:rPr>
        <w:t xml:space="preserve"> D,</w:t>
      </w:r>
      <w:r w:rsidR="00D85D29">
        <w:rPr>
          <w:rFonts w:ascii="Arial" w:hAnsi="Arial" w:cs="Arial"/>
          <w:noProof/>
          <w:sz w:val="20"/>
        </w:rPr>
        <w:t xml:space="preserve"> Watkin</w:t>
      </w:r>
      <w:r>
        <w:rPr>
          <w:rFonts w:ascii="Arial" w:hAnsi="Arial" w:cs="Arial"/>
          <w:noProof/>
          <w:sz w:val="20"/>
        </w:rPr>
        <w:t xml:space="preserve"> P,</w:t>
      </w:r>
      <w:r w:rsidR="00D85D29">
        <w:rPr>
          <w:rFonts w:ascii="Arial" w:hAnsi="Arial" w:cs="Arial"/>
          <w:noProof/>
          <w:sz w:val="20"/>
        </w:rPr>
        <w:t xml:space="preserve"> Worsfold</w:t>
      </w:r>
      <w:r>
        <w:rPr>
          <w:rFonts w:ascii="Arial" w:hAnsi="Arial" w:cs="Arial"/>
          <w:noProof/>
          <w:sz w:val="20"/>
        </w:rPr>
        <w:t xml:space="preserve"> S, and</w:t>
      </w:r>
      <w:r w:rsidR="00D85D29">
        <w:rPr>
          <w:rFonts w:ascii="Arial" w:hAnsi="Arial" w:cs="Arial"/>
          <w:noProof/>
          <w:sz w:val="20"/>
        </w:rPr>
        <w:t xml:space="preserve"> Kennedy</w:t>
      </w:r>
      <w:r>
        <w:rPr>
          <w:rFonts w:ascii="Arial" w:hAnsi="Arial" w:cs="Arial"/>
          <w:noProof/>
          <w:sz w:val="20"/>
        </w:rPr>
        <w:t xml:space="preserve"> C. 2010.</w:t>
      </w:r>
      <w:r w:rsidR="00D85D29">
        <w:rPr>
          <w:rFonts w:ascii="Arial" w:hAnsi="Arial" w:cs="Arial"/>
          <w:noProof/>
          <w:sz w:val="20"/>
        </w:rPr>
        <w:t xml:space="preserve"> The relationship between language development and behaviour problem</w:t>
      </w:r>
      <w:r>
        <w:rPr>
          <w:rFonts w:ascii="Arial" w:hAnsi="Arial" w:cs="Arial"/>
          <w:noProof/>
          <w:sz w:val="20"/>
        </w:rPr>
        <w:t>s in children with hearing loss.</w:t>
      </w:r>
      <w:r w:rsidR="00D85D29">
        <w:rPr>
          <w:rFonts w:ascii="Arial" w:hAnsi="Arial" w:cs="Arial"/>
          <w:noProof/>
          <w:sz w:val="20"/>
        </w:rPr>
        <w:t xml:space="preserve"> J.Child Psychol.Psy</w:t>
      </w:r>
      <w:r>
        <w:rPr>
          <w:rFonts w:ascii="Arial" w:hAnsi="Arial" w:cs="Arial"/>
          <w:noProof/>
          <w:sz w:val="20"/>
        </w:rPr>
        <w:t>chiatry, v. 51, no. 1, p. 77-83</w:t>
      </w:r>
    </w:p>
    <w:p w14:paraId="65034E0E" w14:textId="77777777" w:rsidR="00D85D29" w:rsidRDefault="00352B8D" w:rsidP="009B4A07">
      <w:pPr>
        <w:pStyle w:val="Tablenotes"/>
        <w:tabs>
          <w:tab w:val="left" w:pos="0"/>
        </w:tabs>
        <w:spacing w:after="240"/>
        <w:jc w:val="both"/>
        <w:rPr>
          <w:rFonts w:ascii="Arial" w:hAnsi="Arial" w:cs="Arial"/>
          <w:noProof/>
          <w:sz w:val="20"/>
        </w:rPr>
      </w:pPr>
      <w:r>
        <w:rPr>
          <w:rFonts w:ascii="Arial" w:hAnsi="Arial" w:cs="Arial"/>
          <w:noProof/>
          <w:sz w:val="20"/>
        </w:rPr>
        <w:t>Stinnett AA</w:t>
      </w:r>
      <w:r w:rsidR="009A08BA">
        <w:rPr>
          <w:rFonts w:ascii="Arial" w:hAnsi="Arial" w:cs="Arial"/>
          <w:noProof/>
          <w:sz w:val="20"/>
        </w:rPr>
        <w:t xml:space="preserve">, and </w:t>
      </w:r>
      <w:r w:rsidR="00D85D29">
        <w:rPr>
          <w:rFonts w:ascii="Arial" w:hAnsi="Arial" w:cs="Arial"/>
          <w:noProof/>
          <w:sz w:val="20"/>
        </w:rPr>
        <w:t>Mullahy</w:t>
      </w:r>
      <w:r w:rsidR="009A08BA">
        <w:rPr>
          <w:rFonts w:ascii="Arial" w:hAnsi="Arial" w:cs="Arial"/>
          <w:noProof/>
          <w:sz w:val="20"/>
        </w:rPr>
        <w:t xml:space="preserve"> J. 1998.</w:t>
      </w:r>
      <w:r w:rsidR="00D85D29">
        <w:rPr>
          <w:rFonts w:ascii="Arial" w:hAnsi="Arial" w:cs="Arial"/>
          <w:noProof/>
          <w:sz w:val="20"/>
        </w:rPr>
        <w:t xml:space="preserve"> Net health benefits: a new framework for the analysis of uncertainty</w:t>
      </w:r>
      <w:r w:rsidR="009A08BA">
        <w:rPr>
          <w:rFonts w:ascii="Arial" w:hAnsi="Arial" w:cs="Arial"/>
          <w:noProof/>
          <w:sz w:val="20"/>
        </w:rPr>
        <w:t xml:space="preserve"> in cost-effectiveness analysis.</w:t>
      </w:r>
      <w:r w:rsidR="00D85D29">
        <w:rPr>
          <w:rFonts w:ascii="Arial" w:hAnsi="Arial" w:cs="Arial"/>
          <w:noProof/>
          <w:sz w:val="20"/>
        </w:rPr>
        <w:t xml:space="preserve"> Med.Decis.Making,</w:t>
      </w:r>
      <w:r w:rsidR="009A08BA">
        <w:rPr>
          <w:rFonts w:ascii="Arial" w:hAnsi="Arial" w:cs="Arial"/>
          <w:noProof/>
          <w:sz w:val="20"/>
        </w:rPr>
        <w:t xml:space="preserve"> v. 18, no. 2 Suppl, p. S68-S80</w:t>
      </w:r>
    </w:p>
    <w:p w14:paraId="4AD650B8" w14:textId="77777777" w:rsidR="00D85D29" w:rsidRDefault="009A08BA" w:rsidP="009B4A07">
      <w:pPr>
        <w:pStyle w:val="Tablenotes"/>
        <w:tabs>
          <w:tab w:val="left" w:pos="0"/>
        </w:tabs>
        <w:spacing w:after="240"/>
        <w:jc w:val="both"/>
        <w:rPr>
          <w:rFonts w:ascii="Arial" w:hAnsi="Arial" w:cs="Arial"/>
          <w:noProof/>
          <w:sz w:val="20"/>
        </w:rPr>
      </w:pPr>
      <w:r w:rsidRPr="00A9436E">
        <w:rPr>
          <w:rFonts w:ascii="Arial" w:hAnsi="Arial" w:cs="Arial"/>
          <w:noProof/>
          <w:sz w:val="20"/>
          <w:lang w:val="en-GB"/>
        </w:rPr>
        <w:t xml:space="preserve">Stucky SR, </w:t>
      </w:r>
      <w:r w:rsidR="00D85D29" w:rsidRPr="00A9436E">
        <w:rPr>
          <w:rFonts w:ascii="Arial" w:hAnsi="Arial" w:cs="Arial"/>
          <w:noProof/>
          <w:sz w:val="20"/>
          <w:lang w:val="en-GB"/>
        </w:rPr>
        <w:t>Wolf</w:t>
      </w:r>
      <w:r w:rsidRPr="00A9436E">
        <w:rPr>
          <w:rFonts w:ascii="Arial" w:hAnsi="Arial" w:cs="Arial"/>
          <w:noProof/>
          <w:sz w:val="20"/>
          <w:lang w:val="en-GB"/>
        </w:rPr>
        <w:t xml:space="preserve"> KE, and </w:t>
      </w:r>
      <w:r w:rsidR="00D85D29" w:rsidRPr="00A9436E">
        <w:rPr>
          <w:rFonts w:ascii="Arial" w:hAnsi="Arial" w:cs="Arial"/>
          <w:noProof/>
          <w:sz w:val="20"/>
          <w:lang w:val="en-GB"/>
        </w:rPr>
        <w:t>Kuo</w:t>
      </w:r>
      <w:r w:rsidRPr="00A9436E">
        <w:rPr>
          <w:rFonts w:ascii="Arial" w:hAnsi="Arial" w:cs="Arial"/>
          <w:noProof/>
          <w:sz w:val="20"/>
          <w:lang w:val="en-GB"/>
        </w:rPr>
        <w:t xml:space="preserve"> T. 2010.</w:t>
      </w:r>
      <w:r w:rsidR="00D85D29" w:rsidRPr="00A9436E">
        <w:rPr>
          <w:rFonts w:ascii="Arial" w:hAnsi="Arial" w:cs="Arial"/>
          <w:noProof/>
          <w:sz w:val="20"/>
          <w:lang w:val="en-GB"/>
        </w:rPr>
        <w:t xml:space="preserve"> </w:t>
      </w:r>
      <w:r w:rsidR="00D85D29">
        <w:rPr>
          <w:rFonts w:ascii="Arial" w:hAnsi="Arial" w:cs="Arial"/>
          <w:noProof/>
          <w:sz w:val="20"/>
        </w:rPr>
        <w:t>The economic effect of age-related hearing loss: natio</w:t>
      </w:r>
      <w:r>
        <w:rPr>
          <w:rFonts w:ascii="Arial" w:hAnsi="Arial" w:cs="Arial"/>
          <w:noProof/>
          <w:sz w:val="20"/>
        </w:rPr>
        <w:t>nal, state, and local estimates, 2002 and 2030.2010.</w:t>
      </w:r>
      <w:r w:rsidR="00D85D29">
        <w:rPr>
          <w:rFonts w:ascii="Arial" w:hAnsi="Arial" w:cs="Arial"/>
          <w:noProof/>
          <w:sz w:val="20"/>
        </w:rPr>
        <w:t xml:space="preserve"> J.Am.Geriatr</w:t>
      </w:r>
      <w:r>
        <w:rPr>
          <w:rFonts w:ascii="Arial" w:hAnsi="Arial" w:cs="Arial"/>
          <w:noProof/>
          <w:sz w:val="20"/>
        </w:rPr>
        <w:t>.Soc., v. 58, no. 3, p. 618-619</w:t>
      </w:r>
    </w:p>
    <w:p w14:paraId="1AE37052" w14:textId="77777777" w:rsidR="00D85D29" w:rsidRDefault="009A08BA" w:rsidP="009B4A07">
      <w:pPr>
        <w:pStyle w:val="Tablenotes"/>
        <w:tabs>
          <w:tab w:val="left" w:pos="0"/>
        </w:tabs>
        <w:spacing w:after="240"/>
        <w:jc w:val="both"/>
        <w:rPr>
          <w:rFonts w:ascii="Arial" w:hAnsi="Arial" w:cs="Arial"/>
          <w:sz w:val="20"/>
          <w:szCs w:val="20"/>
        </w:rPr>
      </w:pPr>
      <w:r w:rsidRPr="009A08BA">
        <w:rPr>
          <w:rFonts w:ascii="Arial" w:hAnsi="Arial" w:cs="Arial"/>
          <w:sz w:val="20"/>
          <w:szCs w:val="20"/>
        </w:rPr>
        <w:t>Sziklai I, Szilvássy J.</w:t>
      </w:r>
      <w:r w:rsidRPr="009A08BA">
        <w:rPr>
          <w:rFonts w:ascii="Arial" w:hAnsi="Arial" w:cs="Arial"/>
          <w:noProof/>
          <w:sz w:val="20"/>
          <w:szCs w:val="20"/>
        </w:rPr>
        <w:t xml:space="preserve"> 2011.</w:t>
      </w:r>
      <w:r w:rsidR="00D85D29" w:rsidRPr="009A08BA">
        <w:rPr>
          <w:rFonts w:ascii="Arial" w:hAnsi="Arial" w:cs="Arial"/>
          <w:noProof/>
          <w:sz w:val="20"/>
          <w:szCs w:val="20"/>
        </w:rPr>
        <w:t xml:space="preserve"> Functional gain and speech understanding obtained by Vibrant Soundbridge or by open-fit</w:t>
      </w:r>
      <w:r w:rsidRPr="009A08BA">
        <w:rPr>
          <w:rFonts w:ascii="Arial" w:hAnsi="Arial" w:cs="Arial"/>
          <w:noProof/>
          <w:sz w:val="20"/>
          <w:szCs w:val="20"/>
        </w:rPr>
        <w:t xml:space="preserve"> hearing aid. Acta Otolaryngol, </w:t>
      </w:r>
      <w:r w:rsidR="00352B8D">
        <w:rPr>
          <w:rFonts w:ascii="Arial" w:hAnsi="Arial" w:cs="Arial"/>
          <w:sz w:val="20"/>
          <w:szCs w:val="20"/>
        </w:rPr>
        <w:t>131, v. 4, p.</w:t>
      </w:r>
      <w:r w:rsidRPr="009A08BA">
        <w:rPr>
          <w:rFonts w:ascii="Arial" w:hAnsi="Arial" w:cs="Arial"/>
          <w:sz w:val="20"/>
          <w:szCs w:val="20"/>
        </w:rPr>
        <w:t>428-33</w:t>
      </w:r>
    </w:p>
    <w:p w14:paraId="2258CC96" w14:textId="77777777" w:rsidR="00352B8D" w:rsidRPr="00352B8D" w:rsidRDefault="00352B8D" w:rsidP="009B4A07">
      <w:pPr>
        <w:spacing w:before="100" w:beforeAutospacing="1" w:after="100" w:afterAutospacing="1" w:line="276" w:lineRule="auto"/>
        <w:jc w:val="both"/>
        <w:rPr>
          <w:rFonts w:cs="Arial"/>
          <w:sz w:val="20"/>
          <w:szCs w:val="20"/>
          <w:lang w:val="en-US" w:eastAsia="de-AT"/>
        </w:rPr>
      </w:pPr>
      <w:r w:rsidRPr="00352B8D">
        <w:rPr>
          <w:rFonts w:cs="Arial"/>
          <w:sz w:val="20"/>
          <w:szCs w:val="20"/>
          <w:lang w:val="en-US" w:eastAsia="de-AT"/>
        </w:rPr>
        <w:t xml:space="preserve">Todt I, Ottis Seidl R, Gross M, Ernst A. 2002. </w:t>
      </w:r>
      <w:r w:rsidRPr="00352B8D">
        <w:rPr>
          <w:rFonts w:cs="Arial"/>
          <w:bCs/>
          <w:sz w:val="20"/>
          <w:szCs w:val="20"/>
          <w:lang w:val="en-US" w:eastAsia="de-AT"/>
        </w:rPr>
        <w:t>Comparison of different Vibrant Soundbridge audioprocessors with conventional hearing aids</w:t>
      </w:r>
      <w:r w:rsidRPr="00352B8D">
        <w:rPr>
          <w:rFonts w:cs="Arial"/>
          <w:sz w:val="20"/>
          <w:szCs w:val="20"/>
          <w:lang w:val="en-US" w:eastAsia="de-AT"/>
        </w:rPr>
        <w:t xml:space="preserve">. </w:t>
      </w:r>
      <w:r w:rsidRPr="00352B8D">
        <w:rPr>
          <w:rFonts w:cs="Arial"/>
          <w:iCs/>
          <w:sz w:val="20"/>
          <w:szCs w:val="20"/>
          <w:lang w:val="en-US" w:eastAsia="de-AT"/>
        </w:rPr>
        <w:t>Otol Neurotol</w:t>
      </w:r>
      <w:r w:rsidRPr="00352B8D">
        <w:rPr>
          <w:rFonts w:cs="Arial"/>
          <w:sz w:val="20"/>
          <w:szCs w:val="20"/>
          <w:lang w:val="en-US" w:eastAsia="de-AT"/>
        </w:rPr>
        <w:t xml:space="preserve">, </w:t>
      </w:r>
      <w:r w:rsidRPr="00352B8D">
        <w:rPr>
          <w:rFonts w:cs="Arial"/>
          <w:bCs/>
          <w:sz w:val="20"/>
          <w:szCs w:val="20"/>
          <w:lang w:val="en-US" w:eastAsia="de-AT"/>
        </w:rPr>
        <w:t>23</w:t>
      </w:r>
      <w:r w:rsidRPr="00352B8D">
        <w:rPr>
          <w:rFonts w:cs="Arial"/>
          <w:sz w:val="20"/>
          <w:szCs w:val="20"/>
          <w:lang w:val="en-US" w:eastAsia="de-AT"/>
        </w:rPr>
        <w:t>, p. 699-673</w:t>
      </w:r>
    </w:p>
    <w:p w14:paraId="43AD6551" w14:textId="77777777" w:rsidR="00352B8D" w:rsidRPr="00352B8D" w:rsidRDefault="00352B8D" w:rsidP="009B4A07">
      <w:pPr>
        <w:spacing w:before="100" w:beforeAutospacing="1" w:after="100" w:afterAutospacing="1" w:line="276" w:lineRule="auto"/>
        <w:jc w:val="both"/>
        <w:rPr>
          <w:rFonts w:cs="Arial"/>
          <w:sz w:val="20"/>
          <w:szCs w:val="20"/>
          <w:lang w:val="en-US" w:eastAsia="de-AT"/>
        </w:rPr>
      </w:pPr>
      <w:r w:rsidRPr="00352B8D">
        <w:rPr>
          <w:rFonts w:cs="Arial"/>
          <w:sz w:val="20"/>
          <w:szCs w:val="20"/>
        </w:rPr>
        <w:t xml:space="preserve">Uziel A, Mondain M, Hagen P, Dejean F, and Doucet G. 2003. Rehabilitation for High-Frequency Sensorineural Hearing Impairment in Adults with the Symphonix Vibrant Soundbridge: A Comparative Study. </w:t>
      </w:r>
      <w:r w:rsidRPr="00352B8D">
        <w:rPr>
          <w:rFonts w:cs="Arial"/>
          <w:iCs/>
          <w:sz w:val="20"/>
          <w:szCs w:val="20"/>
        </w:rPr>
        <w:t>Otology &amp; Neurotology v.</w:t>
      </w:r>
      <w:r w:rsidRPr="00352B8D">
        <w:rPr>
          <w:rFonts w:cs="Arial"/>
          <w:bCs/>
          <w:sz w:val="20"/>
          <w:szCs w:val="20"/>
        </w:rPr>
        <w:t>24, p.</w:t>
      </w:r>
      <w:r w:rsidRPr="00352B8D">
        <w:rPr>
          <w:rFonts w:cs="Arial"/>
          <w:sz w:val="20"/>
          <w:szCs w:val="20"/>
        </w:rPr>
        <w:t>775–783</w:t>
      </w:r>
    </w:p>
    <w:p w14:paraId="6E14B18F" w14:textId="77777777" w:rsidR="00D85D29" w:rsidRDefault="009A08BA" w:rsidP="009B4A07">
      <w:pPr>
        <w:pStyle w:val="Tablenotes"/>
        <w:tabs>
          <w:tab w:val="left" w:pos="0"/>
        </w:tabs>
        <w:spacing w:after="240"/>
        <w:jc w:val="both"/>
        <w:rPr>
          <w:rFonts w:ascii="Arial" w:hAnsi="Arial" w:cs="Arial"/>
          <w:noProof/>
          <w:sz w:val="20"/>
        </w:rPr>
      </w:pPr>
      <w:r>
        <w:rPr>
          <w:rFonts w:ascii="Arial" w:hAnsi="Arial" w:cs="Arial"/>
          <w:noProof/>
          <w:sz w:val="20"/>
        </w:rPr>
        <w:t>Wagner F,</w:t>
      </w:r>
      <w:r w:rsidR="00D85D29">
        <w:rPr>
          <w:rFonts w:ascii="Arial" w:hAnsi="Arial" w:cs="Arial"/>
          <w:noProof/>
          <w:sz w:val="20"/>
        </w:rPr>
        <w:t xml:space="preserve"> Todt</w:t>
      </w:r>
      <w:r>
        <w:rPr>
          <w:rFonts w:ascii="Arial" w:hAnsi="Arial" w:cs="Arial"/>
          <w:noProof/>
          <w:sz w:val="20"/>
        </w:rPr>
        <w:t xml:space="preserve"> I, </w:t>
      </w:r>
      <w:r w:rsidR="00D85D29">
        <w:rPr>
          <w:rFonts w:ascii="Arial" w:hAnsi="Arial" w:cs="Arial"/>
          <w:noProof/>
          <w:sz w:val="20"/>
        </w:rPr>
        <w:t>Wagner</w:t>
      </w:r>
      <w:r>
        <w:rPr>
          <w:rFonts w:ascii="Arial" w:hAnsi="Arial" w:cs="Arial"/>
          <w:noProof/>
          <w:sz w:val="20"/>
        </w:rPr>
        <w:t xml:space="preserve"> J, and</w:t>
      </w:r>
      <w:r w:rsidR="00D85D29">
        <w:rPr>
          <w:rFonts w:ascii="Arial" w:hAnsi="Arial" w:cs="Arial"/>
          <w:noProof/>
          <w:sz w:val="20"/>
        </w:rPr>
        <w:t xml:space="preserve"> Ernst</w:t>
      </w:r>
      <w:r>
        <w:rPr>
          <w:rFonts w:ascii="Arial" w:hAnsi="Arial" w:cs="Arial"/>
          <w:noProof/>
          <w:sz w:val="20"/>
        </w:rPr>
        <w:t xml:space="preserve"> A. 2010.</w:t>
      </w:r>
      <w:r w:rsidR="00D85D29">
        <w:rPr>
          <w:rFonts w:ascii="Arial" w:hAnsi="Arial" w:cs="Arial"/>
          <w:noProof/>
          <w:sz w:val="20"/>
        </w:rPr>
        <w:t xml:space="preserve"> Indications and candidacy for</w:t>
      </w:r>
      <w:r>
        <w:rPr>
          <w:rFonts w:ascii="Arial" w:hAnsi="Arial" w:cs="Arial"/>
          <w:noProof/>
          <w:sz w:val="20"/>
        </w:rPr>
        <w:t xml:space="preserve"> active middle ear implants.</w:t>
      </w:r>
      <w:r w:rsidR="00D85D29">
        <w:rPr>
          <w:rFonts w:ascii="Arial" w:hAnsi="Arial" w:cs="Arial"/>
          <w:noProof/>
          <w:sz w:val="20"/>
        </w:rPr>
        <w:t xml:space="preserve"> Adv.Oto</w:t>
      </w:r>
      <w:r>
        <w:rPr>
          <w:rFonts w:ascii="Arial" w:hAnsi="Arial" w:cs="Arial"/>
          <w:noProof/>
          <w:sz w:val="20"/>
        </w:rPr>
        <w:t>rhinolaryngol., v. 69, p. 20-26</w:t>
      </w:r>
    </w:p>
    <w:p w14:paraId="2AECB2B0" w14:textId="77777777" w:rsidR="00D85D29" w:rsidRPr="008718FB" w:rsidRDefault="009A08BA" w:rsidP="009B4A07">
      <w:pPr>
        <w:pStyle w:val="Tablenotes"/>
        <w:tabs>
          <w:tab w:val="left" w:pos="0"/>
        </w:tabs>
        <w:spacing w:after="240"/>
        <w:jc w:val="both"/>
        <w:rPr>
          <w:rFonts w:ascii="Arial" w:hAnsi="Arial" w:cs="Arial"/>
          <w:noProof/>
          <w:sz w:val="20"/>
          <w:lang w:val="it-IT"/>
        </w:rPr>
      </w:pPr>
      <w:r>
        <w:rPr>
          <w:rFonts w:ascii="Arial" w:hAnsi="Arial" w:cs="Arial"/>
          <w:noProof/>
          <w:sz w:val="20"/>
        </w:rPr>
        <w:t xml:space="preserve">Wilson DH, </w:t>
      </w:r>
      <w:r w:rsidR="00D85D29">
        <w:rPr>
          <w:rFonts w:ascii="Arial" w:hAnsi="Arial" w:cs="Arial"/>
          <w:noProof/>
          <w:sz w:val="20"/>
        </w:rPr>
        <w:t>Walsh</w:t>
      </w:r>
      <w:r>
        <w:rPr>
          <w:rFonts w:ascii="Arial" w:hAnsi="Arial" w:cs="Arial"/>
          <w:noProof/>
          <w:sz w:val="20"/>
        </w:rPr>
        <w:t xml:space="preserve"> PG, </w:t>
      </w:r>
      <w:r w:rsidR="00D85D29">
        <w:rPr>
          <w:rFonts w:ascii="Arial" w:hAnsi="Arial" w:cs="Arial"/>
          <w:noProof/>
          <w:sz w:val="20"/>
        </w:rPr>
        <w:t>Sanchez</w:t>
      </w:r>
      <w:r>
        <w:rPr>
          <w:rFonts w:ascii="Arial" w:hAnsi="Arial" w:cs="Arial"/>
          <w:noProof/>
          <w:sz w:val="20"/>
        </w:rPr>
        <w:t xml:space="preserve"> L,</w:t>
      </w:r>
      <w:r w:rsidR="00D85D29">
        <w:rPr>
          <w:rFonts w:ascii="Arial" w:hAnsi="Arial" w:cs="Arial"/>
          <w:noProof/>
          <w:sz w:val="20"/>
        </w:rPr>
        <w:t xml:space="preserve"> Davis</w:t>
      </w:r>
      <w:r>
        <w:rPr>
          <w:rFonts w:ascii="Arial" w:hAnsi="Arial" w:cs="Arial"/>
          <w:noProof/>
          <w:sz w:val="20"/>
        </w:rPr>
        <w:t xml:space="preserve"> AC, </w:t>
      </w:r>
      <w:r w:rsidR="00D85D29">
        <w:rPr>
          <w:rFonts w:ascii="Arial" w:hAnsi="Arial" w:cs="Arial"/>
          <w:noProof/>
          <w:sz w:val="20"/>
        </w:rPr>
        <w:t>Taylor</w:t>
      </w:r>
      <w:r>
        <w:rPr>
          <w:rFonts w:ascii="Arial" w:hAnsi="Arial" w:cs="Arial"/>
          <w:noProof/>
          <w:sz w:val="20"/>
        </w:rPr>
        <w:t xml:space="preserve"> AW,</w:t>
      </w:r>
      <w:r w:rsidR="00D85D29">
        <w:rPr>
          <w:rFonts w:ascii="Arial" w:hAnsi="Arial" w:cs="Arial"/>
          <w:noProof/>
          <w:sz w:val="20"/>
        </w:rPr>
        <w:t xml:space="preserve"> Tucker</w:t>
      </w:r>
      <w:r>
        <w:rPr>
          <w:rFonts w:ascii="Arial" w:hAnsi="Arial" w:cs="Arial"/>
          <w:noProof/>
          <w:sz w:val="20"/>
        </w:rPr>
        <w:t xml:space="preserve"> G, and</w:t>
      </w:r>
      <w:r w:rsidR="00D85D29">
        <w:rPr>
          <w:rFonts w:ascii="Arial" w:hAnsi="Arial" w:cs="Arial"/>
          <w:noProof/>
          <w:sz w:val="20"/>
        </w:rPr>
        <w:t xml:space="preserve"> Meagher</w:t>
      </w:r>
      <w:r>
        <w:rPr>
          <w:rFonts w:ascii="Arial" w:hAnsi="Arial" w:cs="Arial"/>
          <w:noProof/>
          <w:sz w:val="20"/>
        </w:rPr>
        <w:t xml:space="preserve"> I. 1999.</w:t>
      </w:r>
      <w:r w:rsidR="00D85D29">
        <w:rPr>
          <w:rFonts w:ascii="Arial" w:hAnsi="Arial" w:cs="Arial"/>
          <w:noProof/>
          <w:sz w:val="20"/>
        </w:rPr>
        <w:t xml:space="preserve"> The epidemiology of hearing impairment in</w:t>
      </w:r>
      <w:r>
        <w:rPr>
          <w:rFonts w:ascii="Arial" w:hAnsi="Arial" w:cs="Arial"/>
          <w:noProof/>
          <w:sz w:val="20"/>
        </w:rPr>
        <w:t xml:space="preserve"> an Australian adult population.</w:t>
      </w:r>
      <w:r w:rsidR="00D85D29">
        <w:rPr>
          <w:rFonts w:ascii="Arial" w:hAnsi="Arial" w:cs="Arial"/>
          <w:noProof/>
          <w:sz w:val="20"/>
        </w:rPr>
        <w:t xml:space="preserve"> </w:t>
      </w:r>
      <w:r w:rsidR="00D85D29" w:rsidRPr="008718FB">
        <w:rPr>
          <w:rFonts w:ascii="Arial" w:hAnsi="Arial" w:cs="Arial"/>
          <w:noProof/>
          <w:sz w:val="20"/>
          <w:lang w:val="it-IT"/>
        </w:rPr>
        <w:t>Int.J.Epidemi</w:t>
      </w:r>
      <w:r w:rsidRPr="008718FB">
        <w:rPr>
          <w:rFonts w:ascii="Arial" w:hAnsi="Arial" w:cs="Arial"/>
          <w:noProof/>
          <w:sz w:val="20"/>
          <w:lang w:val="it-IT"/>
        </w:rPr>
        <w:t>ol., v. 28, no. 2, p. 247-252</w:t>
      </w:r>
    </w:p>
    <w:p w14:paraId="558FC79A" w14:textId="77777777" w:rsidR="00D85D29" w:rsidRDefault="009A08BA" w:rsidP="009B4A07">
      <w:pPr>
        <w:pStyle w:val="Tablenotes"/>
        <w:tabs>
          <w:tab w:val="left" w:pos="0"/>
        </w:tabs>
        <w:spacing w:after="0"/>
        <w:jc w:val="both"/>
        <w:rPr>
          <w:rFonts w:ascii="Arial" w:hAnsi="Arial" w:cs="Arial"/>
          <w:noProof/>
          <w:sz w:val="20"/>
        </w:rPr>
      </w:pPr>
      <w:r w:rsidRPr="008718FB">
        <w:rPr>
          <w:rFonts w:ascii="Arial" w:hAnsi="Arial" w:cs="Arial"/>
          <w:noProof/>
          <w:sz w:val="20"/>
          <w:lang w:val="it-IT"/>
        </w:rPr>
        <w:t>Zernotti ME,</w:t>
      </w:r>
      <w:r w:rsidR="00D85D29" w:rsidRPr="008718FB">
        <w:rPr>
          <w:rFonts w:ascii="Arial" w:hAnsi="Arial" w:cs="Arial"/>
          <w:noProof/>
          <w:sz w:val="20"/>
          <w:lang w:val="it-IT"/>
        </w:rPr>
        <w:t xml:space="preserve"> Gregorio</w:t>
      </w:r>
      <w:r w:rsidRPr="008718FB">
        <w:rPr>
          <w:rFonts w:ascii="Arial" w:hAnsi="Arial" w:cs="Arial"/>
          <w:noProof/>
          <w:sz w:val="20"/>
          <w:lang w:val="it-IT"/>
        </w:rPr>
        <w:t xml:space="preserve"> MF, and</w:t>
      </w:r>
      <w:r w:rsidR="00D85D29" w:rsidRPr="008718FB">
        <w:rPr>
          <w:rFonts w:ascii="Arial" w:hAnsi="Arial" w:cs="Arial"/>
          <w:noProof/>
          <w:sz w:val="20"/>
          <w:lang w:val="it-IT"/>
        </w:rPr>
        <w:t xml:space="preserve"> Sarasty</w:t>
      </w:r>
      <w:r w:rsidRPr="008718FB">
        <w:rPr>
          <w:rFonts w:ascii="Arial" w:hAnsi="Arial" w:cs="Arial"/>
          <w:noProof/>
          <w:sz w:val="20"/>
          <w:lang w:val="it-IT"/>
        </w:rPr>
        <w:t xml:space="preserve"> AC. 2012.</w:t>
      </w:r>
      <w:r w:rsidR="00D85D29" w:rsidRPr="008718FB">
        <w:rPr>
          <w:rFonts w:ascii="Arial" w:hAnsi="Arial" w:cs="Arial"/>
          <w:noProof/>
          <w:sz w:val="20"/>
          <w:lang w:val="it-IT"/>
        </w:rPr>
        <w:t xml:space="preserve"> </w:t>
      </w:r>
      <w:r w:rsidR="00D85D29">
        <w:rPr>
          <w:rFonts w:ascii="Arial" w:hAnsi="Arial" w:cs="Arial"/>
          <w:noProof/>
          <w:sz w:val="20"/>
        </w:rPr>
        <w:t>Middle ear implants: functi</w:t>
      </w:r>
      <w:r>
        <w:rPr>
          <w:rFonts w:ascii="Arial" w:hAnsi="Arial" w:cs="Arial"/>
          <w:noProof/>
          <w:sz w:val="20"/>
        </w:rPr>
        <w:t>onal gain in mixed hearing loss.</w:t>
      </w:r>
      <w:r w:rsidR="00D85D29">
        <w:rPr>
          <w:rFonts w:ascii="Arial" w:hAnsi="Arial" w:cs="Arial"/>
          <w:noProof/>
          <w:sz w:val="20"/>
        </w:rPr>
        <w:t xml:space="preserve"> Braz.J.Otorhinolary</w:t>
      </w:r>
      <w:r>
        <w:rPr>
          <w:rFonts w:ascii="Arial" w:hAnsi="Arial" w:cs="Arial"/>
          <w:noProof/>
          <w:sz w:val="20"/>
        </w:rPr>
        <w:t>ngol., v. 78, no. 1, p. 109-112</w:t>
      </w:r>
    </w:p>
    <w:p w14:paraId="07E94B98" w14:textId="77777777" w:rsidR="00D85D29" w:rsidRDefault="00D85D29" w:rsidP="00D85D29">
      <w:pPr>
        <w:pStyle w:val="Tablenotes"/>
        <w:tabs>
          <w:tab w:val="left" w:pos="0"/>
        </w:tabs>
        <w:spacing w:after="0"/>
        <w:jc w:val="both"/>
        <w:rPr>
          <w:rFonts w:ascii="Arial" w:hAnsi="Arial" w:cs="Arial"/>
          <w:noProof/>
          <w:sz w:val="20"/>
        </w:rPr>
      </w:pPr>
    </w:p>
    <w:p w14:paraId="1C05C83C" w14:textId="77777777" w:rsidR="003F791C" w:rsidRPr="009A1A2E" w:rsidRDefault="004C3693" w:rsidP="00213B3B">
      <w:pPr>
        <w:pStyle w:val="Tablenotes"/>
        <w:spacing w:before="0" w:after="0" w:line="360" w:lineRule="auto"/>
        <w:jc w:val="both"/>
        <w:rPr>
          <w:rFonts w:ascii="Arial" w:hAnsi="Arial" w:cs="Arial"/>
          <w:sz w:val="22"/>
        </w:rPr>
      </w:pPr>
      <w:r w:rsidRPr="009A1A2E">
        <w:rPr>
          <w:rFonts w:ascii="Arial" w:hAnsi="Arial" w:cs="Arial"/>
          <w:sz w:val="22"/>
        </w:rPr>
        <w:fldChar w:fldCharType="end"/>
      </w:r>
    </w:p>
    <w:sectPr w:rsidR="003F791C" w:rsidRPr="009A1A2E" w:rsidSect="008846BA">
      <w:headerReference w:type="default" r:id="rId122"/>
      <w:pgSz w:w="11907" w:h="16839" w:code="9"/>
      <w:pgMar w:top="1701" w:right="1418" w:bottom="1418" w:left="1701" w:header="720" w:footer="720" w:gutter="0"/>
      <w:paperSrc w:first="4035" w:other="4035"/>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66A38B" w14:textId="77777777" w:rsidR="00C34023" w:rsidRDefault="00C34023">
      <w:r>
        <w:separator/>
      </w:r>
    </w:p>
  </w:endnote>
  <w:endnote w:type="continuationSeparator" w:id="0">
    <w:p w14:paraId="56A97F51" w14:textId="77777777" w:rsidR="00C34023" w:rsidRDefault="00C34023">
      <w:r>
        <w:continuationSeparator/>
      </w:r>
    </w:p>
  </w:endnote>
  <w:endnote w:type="continuationNotice" w:id="1">
    <w:p w14:paraId="1A7EE0A0" w14:textId="77777777" w:rsidR="00C34023" w:rsidRDefault="00C340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s≤”©˙≈È"/>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3" w:usb1="080E0000" w:usb2="00000010" w:usb3="00000000" w:csb0="0004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Franklin Gothic Medium">
    <w:panose1 w:val="020B0603020102020204"/>
    <w:charset w:val="00"/>
    <w:family w:val="swiss"/>
    <w:pitch w:val="variable"/>
    <w:sig w:usb0="00000287" w:usb1="00000000" w:usb2="00000000" w:usb3="00000000" w:csb0="0000009F" w:csb1="00000000"/>
  </w:font>
  <w:font w:name="Californian FB">
    <w:panose1 w:val="0207040306080B030204"/>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MS Mincho">
    <w:altName w:val="?? ??"/>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7479D4" w14:textId="77777777" w:rsidR="00EB152D" w:rsidRDefault="00EB152D">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8C5E07" w14:textId="77777777" w:rsidR="00C34023" w:rsidRDefault="00C34023" w:rsidP="007D5C08">
    <w:pPr>
      <w:pStyle w:val="Footers"/>
      <w:tabs>
        <w:tab w:val="clear" w:pos="9000"/>
        <w:tab w:val="left" w:pos="6270"/>
        <w:tab w:val="right" w:pos="8647"/>
        <w:tab w:val="right" w:pos="13704"/>
      </w:tabs>
      <w:jc w:val="right"/>
      <w:rPr>
        <w:rStyle w:val="PageNumber"/>
        <w:smallCaps w:val="0"/>
      </w:rPr>
    </w:pPr>
    <w:r w:rsidRPr="006C19CB">
      <w:rPr>
        <w:rStyle w:val="PageNumber"/>
        <w:smallCaps w:val="0"/>
      </w:rPr>
      <w:fldChar w:fldCharType="begin"/>
    </w:r>
    <w:r w:rsidRPr="006C19CB">
      <w:rPr>
        <w:rStyle w:val="PageNumber"/>
        <w:smallCaps w:val="0"/>
      </w:rPr>
      <w:instrText xml:space="preserve"> PAGE </w:instrText>
    </w:r>
    <w:r w:rsidRPr="006C19CB">
      <w:rPr>
        <w:rStyle w:val="PageNumber"/>
        <w:smallCaps w:val="0"/>
      </w:rPr>
      <w:fldChar w:fldCharType="separate"/>
    </w:r>
    <w:r w:rsidR="009A7DB9">
      <w:rPr>
        <w:rStyle w:val="PageNumber"/>
        <w:smallCaps w:val="0"/>
        <w:noProof/>
      </w:rPr>
      <w:t>169</w:t>
    </w:r>
    <w:r w:rsidRPr="006C19CB">
      <w:rPr>
        <w:rStyle w:val="PageNumber"/>
        <w:smallCaps w:val="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516DB9" w14:textId="77777777" w:rsidR="00EB152D" w:rsidRDefault="00EB152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14B348" w14:textId="77777777" w:rsidR="00EB152D" w:rsidRDefault="00EB152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4F1DEA" w14:textId="77777777" w:rsidR="00C34023" w:rsidRDefault="00C34023" w:rsidP="00E13546">
    <w:pPr>
      <w:pStyle w:val="Footers"/>
      <w:tabs>
        <w:tab w:val="clear" w:pos="9000"/>
        <w:tab w:val="left" w:pos="6270"/>
        <w:tab w:val="right" w:pos="8647"/>
        <w:tab w:val="right" w:pos="13704"/>
      </w:tabs>
      <w:jc w:val="right"/>
      <w:rPr>
        <w:rStyle w:val="PageNumber"/>
        <w:smallCaps w:val="0"/>
      </w:rPr>
    </w:pPr>
    <w:r w:rsidRPr="006C19CB">
      <w:rPr>
        <w:rStyle w:val="PageNumber"/>
        <w:smallCaps w:val="0"/>
      </w:rPr>
      <w:fldChar w:fldCharType="begin"/>
    </w:r>
    <w:r w:rsidRPr="006C19CB">
      <w:rPr>
        <w:rStyle w:val="PageNumber"/>
        <w:smallCaps w:val="0"/>
      </w:rPr>
      <w:instrText xml:space="preserve"> PAGE </w:instrText>
    </w:r>
    <w:r w:rsidRPr="006C19CB">
      <w:rPr>
        <w:rStyle w:val="PageNumber"/>
        <w:smallCaps w:val="0"/>
      </w:rPr>
      <w:fldChar w:fldCharType="separate"/>
    </w:r>
    <w:r w:rsidR="009A7DB9">
      <w:rPr>
        <w:rStyle w:val="PageNumber"/>
        <w:smallCaps w:val="0"/>
        <w:noProof/>
      </w:rPr>
      <w:t>xii</w:t>
    </w:r>
    <w:r w:rsidRPr="006C19CB">
      <w:rPr>
        <w:rStyle w:val="PageNumber"/>
        <w:smallCaps w:val="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1A6670" w14:textId="77777777" w:rsidR="00C34023" w:rsidRDefault="00C34023" w:rsidP="007D5C08">
    <w:pPr>
      <w:pStyle w:val="Footers"/>
      <w:tabs>
        <w:tab w:val="clear" w:pos="9000"/>
        <w:tab w:val="left" w:pos="6270"/>
        <w:tab w:val="right" w:pos="8647"/>
        <w:tab w:val="right" w:pos="13704"/>
      </w:tabs>
      <w:jc w:val="right"/>
      <w:rPr>
        <w:rStyle w:val="PageNumber"/>
        <w:smallCaps w:val="0"/>
      </w:rPr>
    </w:pPr>
    <w:r w:rsidRPr="006C19CB">
      <w:rPr>
        <w:rStyle w:val="PageNumber"/>
        <w:smallCaps w:val="0"/>
      </w:rPr>
      <w:fldChar w:fldCharType="begin"/>
    </w:r>
    <w:r w:rsidRPr="006C19CB">
      <w:rPr>
        <w:rStyle w:val="PageNumber"/>
        <w:smallCaps w:val="0"/>
      </w:rPr>
      <w:instrText xml:space="preserve"> PAGE </w:instrText>
    </w:r>
    <w:r w:rsidRPr="006C19CB">
      <w:rPr>
        <w:rStyle w:val="PageNumber"/>
        <w:smallCaps w:val="0"/>
      </w:rPr>
      <w:fldChar w:fldCharType="separate"/>
    </w:r>
    <w:r w:rsidR="009A7DB9">
      <w:rPr>
        <w:rStyle w:val="PageNumber"/>
        <w:smallCaps w:val="0"/>
        <w:noProof/>
      </w:rPr>
      <w:t>xv</w:t>
    </w:r>
    <w:r w:rsidRPr="006C19CB">
      <w:rPr>
        <w:rStyle w:val="PageNumber"/>
        <w:smallCaps w:val="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F14B5C" w14:textId="77777777" w:rsidR="00C34023" w:rsidRDefault="00C34023" w:rsidP="007D5C08">
    <w:pPr>
      <w:pStyle w:val="Footers"/>
      <w:tabs>
        <w:tab w:val="clear" w:pos="9000"/>
        <w:tab w:val="left" w:pos="6270"/>
        <w:tab w:val="right" w:pos="8647"/>
        <w:tab w:val="right" w:pos="13704"/>
      </w:tabs>
      <w:jc w:val="right"/>
      <w:rPr>
        <w:rStyle w:val="PageNumber"/>
        <w:smallCaps w:val="0"/>
      </w:rPr>
    </w:pPr>
    <w:r w:rsidRPr="006C19CB">
      <w:rPr>
        <w:rStyle w:val="PageNumber"/>
        <w:smallCaps w:val="0"/>
      </w:rPr>
      <w:fldChar w:fldCharType="begin"/>
    </w:r>
    <w:r w:rsidRPr="006C19CB">
      <w:rPr>
        <w:rStyle w:val="PageNumber"/>
        <w:smallCaps w:val="0"/>
      </w:rPr>
      <w:instrText xml:space="preserve"> PAGE </w:instrText>
    </w:r>
    <w:r w:rsidRPr="006C19CB">
      <w:rPr>
        <w:rStyle w:val="PageNumber"/>
        <w:smallCaps w:val="0"/>
      </w:rPr>
      <w:fldChar w:fldCharType="separate"/>
    </w:r>
    <w:r w:rsidR="009A7DB9">
      <w:rPr>
        <w:rStyle w:val="PageNumber"/>
        <w:smallCaps w:val="0"/>
        <w:noProof/>
      </w:rPr>
      <w:t>89</w:t>
    </w:r>
    <w:r w:rsidRPr="006C19CB">
      <w:rPr>
        <w:rStyle w:val="PageNumber"/>
        <w:smallCaps w:val="0"/>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432385" w14:textId="77777777" w:rsidR="00C34023" w:rsidRDefault="00C34023" w:rsidP="007D5C08">
    <w:pPr>
      <w:pStyle w:val="Footers"/>
      <w:tabs>
        <w:tab w:val="clear" w:pos="9000"/>
        <w:tab w:val="left" w:pos="6270"/>
        <w:tab w:val="right" w:pos="8647"/>
        <w:tab w:val="right" w:pos="13704"/>
      </w:tabs>
      <w:jc w:val="right"/>
      <w:rPr>
        <w:rStyle w:val="PageNumber"/>
        <w:smallCaps w:val="0"/>
      </w:rPr>
    </w:pPr>
    <w:r w:rsidRPr="006C19CB">
      <w:rPr>
        <w:rStyle w:val="PageNumber"/>
        <w:smallCaps w:val="0"/>
      </w:rPr>
      <w:fldChar w:fldCharType="begin"/>
    </w:r>
    <w:r w:rsidRPr="006C19CB">
      <w:rPr>
        <w:rStyle w:val="PageNumber"/>
        <w:smallCaps w:val="0"/>
      </w:rPr>
      <w:instrText xml:space="preserve"> PAGE </w:instrText>
    </w:r>
    <w:r w:rsidRPr="006C19CB">
      <w:rPr>
        <w:rStyle w:val="PageNumber"/>
        <w:smallCaps w:val="0"/>
      </w:rPr>
      <w:fldChar w:fldCharType="separate"/>
    </w:r>
    <w:r w:rsidR="009A7DB9">
      <w:rPr>
        <w:rStyle w:val="PageNumber"/>
        <w:smallCaps w:val="0"/>
        <w:noProof/>
      </w:rPr>
      <w:t>94</w:t>
    </w:r>
    <w:r w:rsidRPr="006C19CB">
      <w:rPr>
        <w:rStyle w:val="PageNumber"/>
        <w:smallCaps w:val="0"/>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E3E328" w14:textId="77777777" w:rsidR="00C34023" w:rsidRDefault="00C34023" w:rsidP="007D5C08">
    <w:pPr>
      <w:pStyle w:val="Footers"/>
      <w:tabs>
        <w:tab w:val="clear" w:pos="9000"/>
        <w:tab w:val="left" w:pos="6270"/>
        <w:tab w:val="right" w:pos="8647"/>
        <w:tab w:val="right" w:pos="13704"/>
      </w:tabs>
      <w:jc w:val="right"/>
      <w:rPr>
        <w:rStyle w:val="PageNumber"/>
        <w:smallCaps w:val="0"/>
      </w:rPr>
    </w:pPr>
    <w:r w:rsidRPr="006C19CB">
      <w:rPr>
        <w:rStyle w:val="PageNumber"/>
        <w:smallCaps w:val="0"/>
      </w:rPr>
      <w:fldChar w:fldCharType="begin"/>
    </w:r>
    <w:r w:rsidRPr="006C19CB">
      <w:rPr>
        <w:rStyle w:val="PageNumber"/>
        <w:smallCaps w:val="0"/>
      </w:rPr>
      <w:instrText xml:space="preserve"> PAGE </w:instrText>
    </w:r>
    <w:r w:rsidRPr="006C19CB">
      <w:rPr>
        <w:rStyle w:val="PageNumber"/>
        <w:smallCaps w:val="0"/>
      </w:rPr>
      <w:fldChar w:fldCharType="separate"/>
    </w:r>
    <w:r w:rsidR="009A7DB9">
      <w:rPr>
        <w:rStyle w:val="PageNumber"/>
        <w:smallCaps w:val="0"/>
        <w:noProof/>
      </w:rPr>
      <w:t>110</w:t>
    </w:r>
    <w:r w:rsidRPr="006C19CB">
      <w:rPr>
        <w:rStyle w:val="PageNumber"/>
        <w:smallCaps w:val="0"/>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9ADB38" w14:textId="77777777" w:rsidR="00C34023" w:rsidRDefault="00C34023" w:rsidP="007D5C08">
    <w:pPr>
      <w:pStyle w:val="Footers"/>
      <w:tabs>
        <w:tab w:val="clear" w:pos="9000"/>
        <w:tab w:val="left" w:pos="6270"/>
        <w:tab w:val="right" w:pos="8647"/>
        <w:tab w:val="right" w:pos="13704"/>
      </w:tabs>
      <w:jc w:val="right"/>
      <w:rPr>
        <w:rStyle w:val="PageNumber"/>
        <w:smallCaps w:val="0"/>
      </w:rPr>
    </w:pPr>
    <w:r w:rsidRPr="006C19CB">
      <w:rPr>
        <w:rStyle w:val="PageNumber"/>
        <w:smallCaps w:val="0"/>
      </w:rPr>
      <w:fldChar w:fldCharType="begin"/>
    </w:r>
    <w:r w:rsidRPr="006C19CB">
      <w:rPr>
        <w:rStyle w:val="PageNumber"/>
        <w:smallCaps w:val="0"/>
      </w:rPr>
      <w:instrText xml:space="preserve"> PAGE </w:instrText>
    </w:r>
    <w:r w:rsidRPr="006C19CB">
      <w:rPr>
        <w:rStyle w:val="PageNumber"/>
        <w:smallCaps w:val="0"/>
      </w:rPr>
      <w:fldChar w:fldCharType="separate"/>
    </w:r>
    <w:r w:rsidR="009A7DB9">
      <w:rPr>
        <w:rStyle w:val="PageNumber"/>
        <w:smallCaps w:val="0"/>
        <w:noProof/>
      </w:rPr>
      <w:t>119</w:t>
    </w:r>
    <w:r w:rsidRPr="006C19CB">
      <w:rPr>
        <w:rStyle w:val="PageNumber"/>
        <w:smallCaps w:val="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8F9548" w14:textId="77777777" w:rsidR="00C34023" w:rsidRDefault="00C34023">
      <w:r>
        <w:separator/>
      </w:r>
    </w:p>
  </w:footnote>
  <w:footnote w:type="continuationSeparator" w:id="0">
    <w:p w14:paraId="1B6BFBE3" w14:textId="77777777" w:rsidR="00C34023" w:rsidRDefault="00C34023">
      <w:r>
        <w:continuationSeparator/>
      </w:r>
    </w:p>
  </w:footnote>
  <w:footnote w:type="continuationNotice" w:id="1">
    <w:p w14:paraId="6F423F08" w14:textId="77777777" w:rsidR="00C34023" w:rsidRDefault="00C34023"/>
  </w:footnote>
  <w:footnote w:id="2">
    <w:p w14:paraId="3B64CFB9" w14:textId="77777777" w:rsidR="00C34023" w:rsidRPr="00757DDD" w:rsidRDefault="00C34023" w:rsidP="00757DDD">
      <w:pPr>
        <w:pStyle w:val="FootnoteText"/>
        <w:ind w:left="142" w:hanging="142"/>
        <w:rPr>
          <w:rFonts w:cs="Arial"/>
        </w:rPr>
      </w:pPr>
      <w:r w:rsidRPr="00757DDD">
        <w:rPr>
          <w:rStyle w:val="FootnoteReference"/>
        </w:rPr>
        <w:footnoteRef/>
      </w:r>
      <w:r w:rsidRPr="00757DDD">
        <w:t xml:space="preserve"> </w:t>
      </w:r>
      <w:r w:rsidRPr="00757DDD">
        <w:rPr>
          <w:rFonts w:cs="Arial"/>
          <w:bCs/>
          <w:lang w:eastAsia="de-DE"/>
        </w:rPr>
        <w:t>Moderate hearing loss is defined as a hearing threshold level in the better ear of 41 dBHTL or more (averaged over 0.5, 1, 2, 4kHz). Severe to profound hearing loss is a hearing threshold level in the better ear of 61 dBHTL or more (a</w:t>
      </w:r>
      <w:r>
        <w:rPr>
          <w:rFonts w:cs="Arial"/>
          <w:bCs/>
          <w:lang w:eastAsia="de-DE"/>
        </w:rPr>
        <w:t>veraged over 0.5, 1, 2, 4kHz).</w:t>
      </w:r>
    </w:p>
  </w:footnote>
  <w:footnote w:id="3">
    <w:p w14:paraId="2581B3D7" w14:textId="77777777" w:rsidR="00C34023" w:rsidRPr="00D36A06" w:rsidRDefault="00C34023">
      <w:pPr>
        <w:pStyle w:val="FootnoteText"/>
      </w:pPr>
      <w:r>
        <w:rPr>
          <w:rStyle w:val="FootnoteReference"/>
        </w:rPr>
        <w:footnoteRef/>
      </w:r>
      <w:r>
        <w:t xml:space="preserve"> </w:t>
      </w:r>
      <w:r w:rsidRPr="00882B16">
        <w:rPr>
          <w:sz w:val="16"/>
          <w:szCs w:val="16"/>
        </w:rPr>
        <w:t>BHTL = decibels hearing threshold level</w:t>
      </w:r>
      <w:r>
        <w:rPr>
          <w:sz w:val="16"/>
          <w:szCs w:val="16"/>
        </w:rPr>
        <w:t>.</w:t>
      </w:r>
    </w:p>
  </w:footnote>
  <w:footnote w:id="4">
    <w:p w14:paraId="7BDD0B74" w14:textId="77777777" w:rsidR="00C34023" w:rsidRPr="00B82B35" w:rsidRDefault="00C34023" w:rsidP="000B7EA5">
      <w:pPr>
        <w:pStyle w:val="FootnoteText"/>
        <w:rPr>
          <w:sz w:val="16"/>
          <w:szCs w:val="16"/>
          <w:lang w:val="en-US"/>
        </w:rPr>
      </w:pPr>
      <w:r w:rsidRPr="00B82B35">
        <w:rPr>
          <w:rStyle w:val="FootnoteReference"/>
          <w:sz w:val="16"/>
          <w:szCs w:val="16"/>
        </w:rPr>
        <w:footnoteRef/>
      </w:r>
      <w:r w:rsidRPr="00B82B35">
        <w:rPr>
          <w:sz w:val="16"/>
          <w:szCs w:val="16"/>
        </w:rPr>
        <w:t xml:space="preserve"> </w:t>
      </w:r>
      <w:r w:rsidRPr="00B82B35">
        <w:rPr>
          <w:sz w:val="16"/>
          <w:szCs w:val="16"/>
          <w:lang w:val="en-US"/>
        </w:rPr>
        <w:t>Reproduced from the critique of</w:t>
      </w:r>
      <w:r>
        <w:rPr>
          <w:sz w:val="16"/>
          <w:szCs w:val="16"/>
          <w:lang w:val="en-US"/>
        </w:rPr>
        <w:t xml:space="preserve"> t</w:t>
      </w:r>
      <w:r w:rsidRPr="00B82B35">
        <w:rPr>
          <w:sz w:val="16"/>
          <w:szCs w:val="16"/>
          <w:lang w:val="en-US"/>
        </w:rPr>
        <w:t>he assessment report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96AA73" w14:textId="77777777" w:rsidR="00EB152D" w:rsidRDefault="00EB152D">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6E789E" w14:textId="77777777" w:rsidR="00C34023" w:rsidRDefault="00C34023" w:rsidP="006C19CB">
    <w:pPr>
      <w:pStyle w:val="Headers"/>
    </w:pPr>
    <w:r>
      <w:t>Abbreviations</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095E45" w14:textId="77777777" w:rsidR="00C34023" w:rsidRDefault="00C34023" w:rsidP="006C19CB">
    <w:pPr>
      <w:pStyle w:val="Headers"/>
    </w:pPr>
    <w:r>
      <w:t>a. details of the proposed intervention and its intended use on the MBS</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FC5352" w14:textId="77777777" w:rsidR="00C34023" w:rsidRDefault="00C34023" w:rsidP="006C19CB">
    <w:pPr>
      <w:pStyle w:val="Headers"/>
    </w:pPr>
    <w:r>
      <w:t>b. Systematic evaluation of the evidence for the proposed medical device</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74AAD9" w14:textId="77777777" w:rsidR="00C34023" w:rsidRDefault="00C34023" w:rsidP="006C19CB">
    <w:pPr>
      <w:pStyle w:val="Headers"/>
    </w:pPr>
    <w:r>
      <w:t>C. Translating the clinical evaluation to the listing requested for the inclusion in the economic evaluation</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C2C17D" w14:textId="77777777" w:rsidR="00C34023" w:rsidRDefault="00C34023" w:rsidP="003B76D4">
    <w:pPr>
      <w:pStyle w:val="Headers"/>
    </w:pPr>
    <w:r>
      <w:t>D. Economic evaluation for the main indication</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5EE88B" w14:textId="77777777" w:rsidR="00C34023" w:rsidRDefault="00C34023" w:rsidP="003B76D4">
    <w:pPr>
      <w:pStyle w:val="Headers"/>
    </w:pPr>
    <w:r>
      <w:t>D. Economic evaluation for the main indication</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21B381" w14:textId="77777777" w:rsidR="00C34023" w:rsidRDefault="00C34023" w:rsidP="003B76D4">
    <w:pPr>
      <w:pStyle w:val="Headers"/>
    </w:pPr>
    <w:r>
      <w:t>E. Estimated extent of use and financial implications</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9F482F" w14:textId="77777777" w:rsidR="00C34023" w:rsidRDefault="00C34023" w:rsidP="006C19CB">
    <w:pPr>
      <w:pStyle w:val="Headers"/>
    </w:pPr>
    <w:r>
      <w:t>References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13C00C" w14:textId="77777777" w:rsidR="00C34023" w:rsidRDefault="00C34023" w:rsidP="00D21516">
    <w:pPr>
      <w:pStyle w:val="Header"/>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61C168" w14:textId="77777777" w:rsidR="00EB152D" w:rsidRDefault="00EB152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275165" w14:textId="77777777" w:rsidR="00C34023" w:rsidRDefault="00C34023" w:rsidP="00E13546">
    <w:pPr>
      <w:pStyle w:val="Headers"/>
    </w:pPr>
    <w:r>
      <w:t>Executive Summary</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D25DC3" w14:textId="77777777" w:rsidR="00C34023" w:rsidRDefault="00C34023" w:rsidP="006C19CB">
    <w:pPr>
      <w:pStyle w:val="Headers"/>
    </w:pPr>
    <w:r>
      <w:t>Executive Summary</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2B0B17" w14:textId="77777777" w:rsidR="00C34023" w:rsidRDefault="00C34023" w:rsidP="006C19CB">
    <w:pPr>
      <w:pStyle w:val="Header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4A24AE" w14:textId="77777777" w:rsidR="00C34023" w:rsidRDefault="00C34023" w:rsidP="006C19CB">
    <w:pPr>
      <w:pStyle w:val="Headers"/>
    </w:pPr>
    <w:r>
      <w:t>list of tables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94FA27" w14:textId="77777777" w:rsidR="00C34023" w:rsidRDefault="00C34023" w:rsidP="006C19CB">
    <w:pPr>
      <w:pStyle w:val="Headers"/>
    </w:pPr>
    <w:r>
      <w:t>list of figures</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C21089" w14:textId="77777777" w:rsidR="00C34023" w:rsidRDefault="00C34023" w:rsidP="006C19CB">
    <w:pPr>
      <w:pStyle w:val="Headers"/>
    </w:pPr>
    <w:r>
      <w:t>lists of attachments and volumes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1967836"/>
    <w:lvl w:ilvl="0">
      <w:start w:val="1"/>
      <w:numFmt w:val="decimal"/>
      <w:pStyle w:val="ListNumber5"/>
      <w:lvlText w:val="%1."/>
      <w:lvlJc w:val="left"/>
      <w:pPr>
        <w:tabs>
          <w:tab w:val="num" w:pos="952"/>
        </w:tabs>
        <w:ind w:left="952" w:hanging="360"/>
      </w:pPr>
    </w:lvl>
  </w:abstractNum>
  <w:abstractNum w:abstractNumId="1">
    <w:nsid w:val="FFFFFF7D"/>
    <w:multiLevelType w:val="singleLevel"/>
    <w:tmpl w:val="9AD8F018"/>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EF624B1C"/>
    <w:lvl w:ilvl="0">
      <w:start w:val="1"/>
      <w:numFmt w:val="decimal"/>
      <w:pStyle w:val="ListNumber3"/>
      <w:lvlText w:val="%1."/>
      <w:lvlJc w:val="left"/>
      <w:pPr>
        <w:tabs>
          <w:tab w:val="num" w:pos="926"/>
        </w:tabs>
        <w:ind w:left="926" w:hanging="360"/>
      </w:pPr>
    </w:lvl>
  </w:abstractNum>
  <w:abstractNum w:abstractNumId="3">
    <w:nsid w:val="FFFFFF7F"/>
    <w:multiLevelType w:val="singleLevel"/>
    <w:tmpl w:val="DA347BDC"/>
    <w:lvl w:ilvl="0">
      <w:start w:val="1"/>
      <w:numFmt w:val="decimal"/>
      <w:pStyle w:val="ListNumber2"/>
      <w:lvlText w:val="%1."/>
      <w:lvlJc w:val="left"/>
      <w:pPr>
        <w:tabs>
          <w:tab w:val="num" w:pos="643"/>
        </w:tabs>
        <w:ind w:left="643" w:hanging="360"/>
      </w:pPr>
    </w:lvl>
  </w:abstractNum>
  <w:abstractNum w:abstractNumId="4">
    <w:nsid w:val="FFFFFF80"/>
    <w:multiLevelType w:val="singleLevel"/>
    <w:tmpl w:val="5EEE5B00"/>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ABD819D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A2D0B85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9DA418E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F6E66612"/>
    <w:lvl w:ilvl="0">
      <w:start w:val="1"/>
      <w:numFmt w:val="decimal"/>
      <w:pStyle w:val="ListNumber"/>
      <w:lvlText w:val="%1."/>
      <w:lvlJc w:val="left"/>
      <w:pPr>
        <w:tabs>
          <w:tab w:val="num" w:pos="360"/>
        </w:tabs>
        <w:ind w:left="360" w:hanging="360"/>
      </w:pPr>
    </w:lvl>
  </w:abstractNum>
  <w:abstractNum w:abstractNumId="9">
    <w:nsid w:val="FFFFFF89"/>
    <w:multiLevelType w:val="singleLevel"/>
    <w:tmpl w:val="3D4E356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AD21D3"/>
    <w:multiLevelType w:val="hybridMultilevel"/>
    <w:tmpl w:val="C620677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nsid w:val="016538B5"/>
    <w:multiLevelType w:val="hybridMultilevel"/>
    <w:tmpl w:val="8958655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nsid w:val="054553F8"/>
    <w:multiLevelType w:val="hybridMultilevel"/>
    <w:tmpl w:val="8AD8E5F8"/>
    <w:lvl w:ilvl="0" w:tplc="0C070001">
      <w:start w:val="1"/>
      <w:numFmt w:val="bullet"/>
      <w:lvlText w:val=""/>
      <w:lvlJc w:val="left"/>
      <w:pPr>
        <w:ind w:left="720" w:hanging="360"/>
      </w:pPr>
      <w:rPr>
        <w:rFonts w:ascii="Symbol" w:hAnsi="Symbol" w:hint="default"/>
      </w:rPr>
    </w:lvl>
    <w:lvl w:ilvl="1" w:tplc="DC7AC912">
      <w:numFmt w:val="bullet"/>
      <w:lvlText w:val="-"/>
      <w:lvlJc w:val="left"/>
      <w:pPr>
        <w:ind w:left="1800" w:hanging="720"/>
      </w:pPr>
      <w:rPr>
        <w:rFonts w:ascii="Arial" w:eastAsia="Times New Roman" w:hAnsi="Arial" w:cs="Arial"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nsid w:val="06C60B16"/>
    <w:multiLevelType w:val="hybridMultilevel"/>
    <w:tmpl w:val="98CAF97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06E35B64"/>
    <w:multiLevelType w:val="multilevel"/>
    <w:tmpl w:val="EAFA29B0"/>
    <w:lvl w:ilvl="0">
      <w:start w:val="1"/>
      <w:numFmt w:val="bullet"/>
      <w:pStyle w:val="Bullet"/>
      <w:lvlText w:val=""/>
      <w:lvlJc w:val="left"/>
      <w:pPr>
        <w:tabs>
          <w:tab w:val="num" w:pos="1080"/>
        </w:tabs>
        <w:ind w:left="1080" w:hanging="360"/>
      </w:pPr>
      <w:rPr>
        <w:rFonts w:ascii="Symbol" w:hAnsi="Symbol" w:hint="default"/>
      </w:rPr>
    </w:lvl>
    <w:lvl w:ilvl="1">
      <w:start w:val="1"/>
      <w:numFmt w:val="bullet"/>
      <w:lvlRestart w:val="0"/>
      <w:lvlText w:val="○"/>
      <w:lvlJc w:val="left"/>
      <w:pPr>
        <w:tabs>
          <w:tab w:val="num" w:pos="1440"/>
        </w:tabs>
        <w:ind w:left="1440" w:hanging="360"/>
      </w:pPr>
      <w:rPr>
        <w:rFonts w:ascii="Times New Roman" w:cs="Times New Roman" w:hint="default"/>
      </w:rPr>
    </w:lvl>
    <w:lvl w:ilvl="2">
      <w:start w:val="1"/>
      <w:numFmt w:val="bullet"/>
      <w:lvlRestart w:val="0"/>
      <w:lvlText w:val="●"/>
      <w:lvlJc w:val="left"/>
      <w:pPr>
        <w:tabs>
          <w:tab w:val="num" w:pos="1800"/>
        </w:tabs>
        <w:ind w:left="1800" w:hanging="360"/>
      </w:pPr>
      <w:rPr>
        <w:rFonts w:ascii="Times New Roman" w:cs="Times New Roman" w:hint="default"/>
      </w:rPr>
    </w:lvl>
    <w:lvl w:ilvl="3">
      <w:start w:val="1"/>
      <w:numFmt w:val="bullet"/>
      <w:lvlRestart w:val="0"/>
      <w:lvlText w:val="○"/>
      <w:lvlJc w:val="left"/>
      <w:pPr>
        <w:tabs>
          <w:tab w:val="num" w:pos="2160"/>
        </w:tabs>
        <w:ind w:left="2160" w:hanging="360"/>
      </w:pPr>
      <w:rPr>
        <w:rFonts w:ascii="Times New Roman" w:cs="Times New Roman" w:hint="default"/>
      </w:rPr>
    </w:lvl>
    <w:lvl w:ilvl="4">
      <w:start w:val="1"/>
      <w:numFmt w:val="bullet"/>
      <w:lvlRestart w:val="0"/>
      <w:lvlText w:val="●"/>
      <w:lvlJc w:val="left"/>
      <w:pPr>
        <w:tabs>
          <w:tab w:val="num" w:pos="2520"/>
        </w:tabs>
        <w:ind w:left="2520" w:hanging="360"/>
      </w:pPr>
      <w:rPr>
        <w:rFonts w:ascii="Times New Roman" w:cs="Times New Roman" w:hint="default"/>
      </w:rPr>
    </w:lvl>
    <w:lvl w:ilvl="5">
      <w:start w:val="1"/>
      <w:numFmt w:val="bullet"/>
      <w:lvlRestart w:val="0"/>
      <w:lvlText w:val="○"/>
      <w:lvlJc w:val="left"/>
      <w:pPr>
        <w:tabs>
          <w:tab w:val="num" w:pos="2880"/>
        </w:tabs>
        <w:ind w:left="2880" w:hanging="360"/>
      </w:pPr>
      <w:rPr>
        <w:rFonts w:ascii="Times New Roman" w:cs="Times New Roman" w:hint="default"/>
      </w:rPr>
    </w:lvl>
    <w:lvl w:ilvl="6">
      <w:start w:val="1"/>
      <w:numFmt w:val="bullet"/>
      <w:lvlRestart w:val="0"/>
      <w:lvlText w:val="●"/>
      <w:lvlJc w:val="left"/>
      <w:pPr>
        <w:tabs>
          <w:tab w:val="num" w:pos="3240"/>
        </w:tabs>
        <w:ind w:left="3240" w:hanging="360"/>
      </w:pPr>
      <w:rPr>
        <w:rFonts w:ascii="Times New Roman" w:cs="Times New Roman" w:hint="default"/>
      </w:rPr>
    </w:lvl>
    <w:lvl w:ilvl="7">
      <w:start w:val="1"/>
      <w:numFmt w:val="bullet"/>
      <w:lvlRestart w:val="0"/>
      <w:lvlText w:val="○"/>
      <w:lvlJc w:val="left"/>
      <w:pPr>
        <w:tabs>
          <w:tab w:val="num" w:pos="3600"/>
        </w:tabs>
        <w:ind w:left="3600" w:hanging="360"/>
      </w:pPr>
      <w:rPr>
        <w:rFonts w:ascii="Times New Roman" w:cs="Times New Roman" w:hint="default"/>
      </w:rPr>
    </w:lvl>
    <w:lvl w:ilvl="8">
      <w:start w:val="1"/>
      <w:numFmt w:val="bullet"/>
      <w:lvlRestart w:val="0"/>
      <w:lvlText w:val="●"/>
      <w:lvlJc w:val="left"/>
      <w:pPr>
        <w:tabs>
          <w:tab w:val="num" w:pos="3960"/>
        </w:tabs>
        <w:ind w:left="3960" w:hanging="360"/>
      </w:pPr>
      <w:rPr>
        <w:rFonts w:ascii="Times New Roman" w:cs="Times New Roman" w:hint="default"/>
      </w:rPr>
    </w:lvl>
  </w:abstractNum>
  <w:abstractNum w:abstractNumId="15">
    <w:nsid w:val="099D6D8A"/>
    <w:multiLevelType w:val="hybridMultilevel"/>
    <w:tmpl w:val="1AE8B50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nsid w:val="0E366641"/>
    <w:multiLevelType w:val="hybridMultilevel"/>
    <w:tmpl w:val="496ABAF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nsid w:val="0EF21B38"/>
    <w:multiLevelType w:val="hybridMultilevel"/>
    <w:tmpl w:val="F3221B94"/>
    <w:lvl w:ilvl="0" w:tplc="04090003">
      <w:start w:val="1"/>
      <w:numFmt w:val="bullet"/>
      <w:lvlText w:val="o"/>
      <w:lvlJc w:val="left"/>
      <w:pPr>
        <w:ind w:left="720" w:hanging="360"/>
      </w:pPr>
      <w:rPr>
        <w:rFonts w:ascii="Courier New" w:hAnsi="Courier New" w:cs="Courier New"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nsid w:val="10665160"/>
    <w:multiLevelType w:val="hybridMultilevel"/>
    <w:tmpl w:val="1854969A"/>
    <w:lvl w:ilvl="0" w:tplc="A308EBC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12113CD5"/>
    <w:multiLevelType w:val="hybridMultilevel"/>
    <w:tmpl w:val="E98062D8"/>
    <w:lvl w:ilvl="0" w:tplc="117E5F64">
      <w:start w:val="1"/>
      <w:numFmt w:val="lowerLetter"/>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nsid w:val="1340412E"/>
    <w:multiLevelType w:val="hybridMultilevel"/>
    <w:tmpl w:val="A0AC9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5A51D6B"/>
    <w:multiLevelType w:val="hybridMultilevel"/>
    <w:tmpl w:val="8FAAEE2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164E6478"/>
    <w:multiLevelType w:val="hybridMultilevel"/>
    <w:tmpl w:val="FE8E197E"/>
    <w:lvl w:ilvl="0" w:tplc="52AABF64">
      <w:start w:val="1"/>
      <w:numFmt w:val="bullet"/>
      <w:pStyle w:val="Bulletedbodytext"/>
      <w:lvlText w:val=""/>
      <w:lvlJc w:val="left"/>
      <w:pPr>
        <w:ind w:left="720" w:hanging="360"/>
      </w:pPr>
      <w:rPr>
        <w:rFonts w:ascii="Symbol" w:hAnsi="Symbol" w:hint="default"/>
        <w:spacing w:val="0"/>
        <w:w w:val="100"/>
        <w:position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186A52CB"/>
    <w:multiLevelType w:val="hybridMultilevel"/>
    <w:tmpl w:val="616AB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9DF4079"/>
    <w:multiLevelType w:val="hybridMultilevel"/>
    <w:tmpl w:val="6F8CEA18"/>
    <w:lvl w:ilvl="0" w:tplc="356A76CC">
      <w:numFmt w:val="bullet"/>
      <w:lvlText w:val="•"/>
      <w:lvlJc w:val="left"/>
      <w:pPr>
        <w:ind w:left="360" w:hanging="360"/>
      </w:pPr>
      <w:rPr>
        <w:rFonts w:ascii="Arial Narrow" w:eastAsia="SimSun" w:hAnsi="Arial Narrow" w:cs="Tahoma"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1A61350C"/>
    <w:multiLevelType w:val="hybridMultilevel"/>
    <w:tmpl w:val="BBB22F7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nsid w:val="1BD74246"/>
    <w:multiLevelType w:val="hybridMultilevel"/>
    <w:tmpl w:val="5106B31A"/>
    <w:lvl w:ilvl="0" w:tplc="0C090019">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nsid w:val="1D0A372B"/>
    <w:multiLevelType w:val="hybridMultilevel"/>
    <w:tmpl w:val="6F24368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nsid w:val="1E9D2037"/>
    <w:multiLevelType w:val="hybridMultilevel"/>
    <w:tmpl w:val="29E489B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nsid w:val="227109C0"/>
    <w:multiLevelType w:val="hybridMultilevel"/>
    <w:tmpl w:val="5560BD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233022FE"/>
    <w:multiLevelType w:val="hybridMultilevel"/>
    <w:tmpl w:val="54746CD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1">
    <w:nsid w:val="23A661A1"/>
    <w:multiLevelType w:val="hybridMultilevel"/>
    <w:tmpl w:val="88686C3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2B7E4D76"/>
    <w:multiLevelType w:val="hybridMultilevel"/>
    <w:tmpl w:val="B012412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3">
    <w:nsid w:val="2C0B4D53"/>
    <w:multiLevelType w:val="hybridMultilevel"/>
    <w:tmpl w:val="1604064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2DFC4CCD"/>
    <w:multiLevelType w:val="hybridMultilevel"/>
    <w:tmpl w:val="CDF856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301139DC"/>
    <w:multiLevelType w:val="hybridMultilevel"/>
    <w:tmpl w:val="DD467ED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6">
    <w:nsid w:val="32245625"/>
    <w:multiLevelType w:val="hybridMultilevel"/>
    <w:tmpl w:val="D09CA7D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32E1227B"/>
    <w:multiLevelType w:val="hybridMultilevel"/>
    <w:tmpl w:val="FC86303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8">
    <w:nsid w:val="330D26BC"/>
    <w:multiLevelType w:val="hybridMultilevel"/>
    <w:tmpl w:val="3DEAA3B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nsid w:val="347518D0"/>
    <w:multiLevelType w:val="hybridMultilevel"/>
    <w:tmpl w:val="51A48E4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0">
    <w:nsid w:val="360B768B"/>
    <w:multiLevelType w:val="singleLevel"/>
    <w:tmpl w:val="0A56DC84"/>
    <w:lvl w:ilvl="0">
      <w:start w:val="1"/>
      <w:numFmt w:val="bullet"/>
      <w:pStyle w:val="ListBullet-Last"/>
      <w:lvlText w:val=""/>
      <w:lvlJc w:val="left"/>
      <w:pPr>
        <w:tabs>
          <w:tab w:val="num" w:pos="360"/>
        </w:tabs>
        <w:ind w:left="360" w:hanging="360"/>
      </w:pPr>
      <w:rPr>
        <w:rFonts w:ascii="Symbol" w:hAnsi="Symbol" w:hint="default"/>
      </w:rPr>
    </w:lvl>
  </w:abstractNum>
  <w:abstractNum w:abstractNumId="41">
    <w:nsid w:val="364E7B8C"/>
    <w:multiLevelType w:val="hybridMultilevel"/>
    <w:tmpl w:val="569AA4D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nsid w:val="38DA4B69"/>
    <w:multiLevelType w:val="hybridMultilevel"/>
    <w:tmpl w:val="35BA7DF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3">
    <w:nsid w:val="39E82B39"/>
    <w:multiLevelType w:val="hybridMultilevel"/>
    <w:tmpl w:val="ABCAFB1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4">
    <w:nsid w:val="3B317C93"/>
    <w:multiLevelType w:val="hybridMultilevel"/>
    <w:tmpl w:val="5106B31A"/>
    <w:lvl w:ilvl="0" w:tplc="0C090019">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5">
    <w:nsid w:val="3BBF528C"/>
    <w:multiLevelType w:val="hybridMultilevel"/>
    <w:tmpl w:val="C2942EC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nsid w:val="3E260B5F"/>
    <w:multiLevelType w:val="hybridMultilevel"/>
    <w:tmpl w:val="CFFCA99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7">
    <w:nsid w:val="3EDC514E"/>
    <w:multiLevelType w:val="hybridMultilevel"/>
    <w:tmpl w:val="CC7A1D2C"/>
    <w:lvl w:ilvl="0" w:tplc="655E351C">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nsid w:val="3FD060EE"/>
    <w:multiLevelType w:val="hybridMultilevel"/>
    <w:tmpl w:val="E044396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nsid w:val="43E16185"/>
    <w:multiLevelType w:val="hybridMultilevel"/>
    <w:tmpl w:val="E1728E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43D11F5"/>
    <w:multiLevelType w:val="hybridMultilevel"/>
    <w:tmpl w:val="E6667D6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nsid w:val="44D974CB"/>
    <w:multiLevelType w:val="hybridMultilevel"/>
    <w:tmpl w:val="9D3EC26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2">
    <w:nsid w:val="45BA208B"/>
    <w:multiLevelType w:val="hybridMultilevel"/>
    <w:tmpl w:val="5BC612E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3">
    <w:nsid w:val="48373676"/>
    <w:multiLevelType w:val="hybridMultilevel"/>
    <w:tmpl w:val="3AD2E06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4">
    <w:nsid w:val="4BFA099B"/>
    <w:multiLevelType w:val="hybridMultilevel"/>
    <w:tmpl w:val="55ACFBC8"/>
    <w:lvl w:ilvl="0" w:tplc="0C090019">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5">
    <w:nsid w:val="4EE85D49"/>
    <w:multiLevelType w:val="hybridMultilevel"/>
    <w:tmpl w:val="E564B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nsid w:val="4FBE6FDA"/>
    <w:multiLevelType w:val="hybridMultilevel"/>
    <w:tmpl w:val="9A2E758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7">
    <w:nsid w:val="51F324C5"/>
    <w:multiLevelType w:val="hybridMultilevel"/>
    <w:tmpl w:val="14C29E8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nsid w:val="521C553A"/>
    <w:multiLevelType w:val="hybridMultilevel"/>
    <w:tmpl w:val="57C8E8C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9">
    <w:nsid w:val="53BD3137"/>
    <w:multiLevelType w:val="hybridMultilevel"/>
    <w:tmpl w:val="ED2C51F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48400F3"/>
    <w:multiLevelType w:val="hybridMultilevel"/>
    <w:tmpl w:val="372AB03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1">
    <w:nsid w:val="557E7E7D"/>
    <w:multiLevelType w:val="hybridMultilevel"/>
    <w:tmpl w:val="FBD859F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nsid w:val="563E5BF3"/>
    <w:multiLevelType w:val="hybridMultilevel"/>
    <w:tmpl w:val="ABA467B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3">
    <w:nsid w:val="56BB0E25"/>
    <w:multiLevelType w:val="hybridMultilevel"/>
    <w:tmpl w:val="C3C8473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4">
    <w:nsid w:val="578314A6"/>
    <w:multiLevelType w:val="hybridMultilevel"/>
    <w:tmpl w:val="BEC2B464"/>
    <w:lvl w:ilvl="0" w:tplc="0C070001">
      <w:start w:val="1"/>
      <w:numFmt w:val="bullet"/>
      <w:lvlText w:val=""/>
      <w:lvlJc w:val="left"/>
      <w:pPr>
        <w:ind w:left="144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5">
    <w:nsid w:val="58614BB9"/>
    <w:multiLevelType w:val="hybridMultilevel"/>
    <w:tmpl w:val="6D8CF22C"/>
    <w:lvl w:ilvl="0" w:tplc="CF0C7CA8">
      <w:start w:val="1"/>
      <w:numFmt w:val="decimal"/>
      <w:pStyle w:val="NumberedList"/>
      <w:lvlText w:val="%1."/>
      <w:lvlJc w:val="right"/>
      <w:pPr>
        <w:tabs>
          <w:tab w:val="num" w:pos="648"/>
        </w:tabs>
        <w:ind w:left="648"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5A180A49"/>
    <w:multiLevelType w:val="hybridMultilevel"/>
    <w:tmpl w:val="FD42571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7">
    <w:nsid w:val="5B6334DD"/>
    <w:multiLevelType w:val="hybridMultilevel"/>
    <w:tmpl w:val="D41007C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8">
    <w:nsid w:val="5D387ED3"/>
    <w:multiLevelType w:val="hybridMultilevel"/>
    <w:tmpl w:val="E9E830C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nsid w:val="5E745721"/>
    <w:multiLevelType w:val="hybridMultilevel"/>
    <w:tmpl w:val="3796D58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nsid w:val="5ECC7C21"/>
    <w:multiLevelType w:val="hybridMultilevel"/>
    <w:tmpl w:val="C3E84BA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1">
    <w:nsid w:val="648A4FAB"/>
    <w:multiLevelType w:val="hybridMultilevel"/>
    <w:tmpl w:val="7C48596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nsid w:val="654F57CD"/>
    <w:multiLevelType w:val="hybridMultilevel"/>
    <w:tmpl w:val="2488CC2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nsid w:val="660801D4"/>
    <w:multiLevelType w:val="hybridMultilevel"/>
    <w:tmpl w:val="A2D67D2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4">
    <w:nsid w:val="664C4B17"/>
    <w:multiLevelType w:val="hybridMultilevel"/>
    <w:tmpl w:val="127A436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5">
    <w:nsid w:val="67E46C0F"/>
    <w:multiLevelType w:val="hybridMultilevel"/>
    <w:tmpl w:val="D22C73B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nsid w:val="67F276C6"/>
    <w:multiLevelType w:val="hybridMultilevel"/>
    <w:tmpl w:val="3E9A2B1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nsid w:val="6832025F"/>
    <w:multiLevelType w:val="hybridMultilevel"/>
    <w:tmpl w:val="A54287D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nsid w:val="68670172"/>
    <w:multiLevelType w:val="hybridMultilevel"/>
    <w:tmpl w:val="4260EBA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9">
    <w:nsid w:val="6A2E401A"/>
    <w:multiLevelType w:val="hybridMultilevel"/>
    <w:tmpl w:val="E08AB27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nsid w:val="6DDD0E9F"/>
    <w:multiLevelType w:val="multilevel"/>
    <w:tmpl w:val="FFA85D9C"/>
    <w:lvl w:ilvl="0">
      <w:start w:val="1"/>
      <w:numFmt w:val="upperLetter"/>
      <w:lvlText w:val="%1"/>
      <w:lvlJc w:val="left"/>
      <w:pPr>
        <w:tabs>
          <w:tab w:val="num" w:pos="574"/>
        </w:tabs>
        <w:ind w:left="574" w:hanging="716"/>
      </w:pPr>
      <w:rPr>
        <w:rFonts w:hint="default"/>
      </w:rPr>
    </w:lvl>
    <w:lvl w:ilvl="1">
      <w:start w:val="1"/>
      <w:numFmt w:val="decimal"/>
      <w:lvlText w:val="%1.%2"/>
      <w:lvlJc w:val="left"/>
      <w:pPr>
        <w:tabs>
          <w:tab w:val="num" w:pos="718"/>
        </w:tabs>
        <w:ind w:left="28" w:hanging="170"/>
      </w:pPr>
      <w:rPr>
        <w:rFonts w:hint="default"/>
      </w:rPr>
    </w:lvl>
    <w:lvl w:ilvl="2">
      <w:start w:val="1"/>
      <w:numFmt w:val="decimal"/>
      <w:pStyle w:val="Heading3"/>
      <w:lvlText w:val="%1.%2.%3"/>
      <w:lvlJc w:val="left"/>
      <w:pPr>
        <w:tabs>
          <w:tab w:val="num" w:pos="1004"/>
        </w:tabs>
        <w:ind w:left="1004" w:hanging="1004"/>
      </w:pPr>
      <w:rPr>
        <w:rFonts w:hint="default"/>
      </w:rPr>
    </w:lvl>
    <w:lvl w:ilvl="3">
      <w:start w:val="1"/>
      <w:numFmt w:val="decimal"/>
      <w:lvlText w:val="%1.%2.%3.%4"/>
      <w:lvlJc w:val="left"/>
      <w:pPr>
        <w:tabs>
          <w:tab w:val="num" w:pos="862"/>
        </w:tabs>
        <w:ind w:left="862" w:hanging="1004"/>
      </w:pPr>
      <w:rPr>
        <w:rFonts w:hint="default"/>
      </w:rPr>
    </w:lvl>
    <w:lvl w:ilvl="4">
      <w:start w:val="1"/>
      <w:numFmt w:val="none"/>
      <w:lvlText w:val=""/>
      <w:lvlJc w:val="left"/>
      <w:pPr>
        <w:tabs>
          <w:tab w:val="num" w:pos="0"/>
        </w:tabs>
        <w:ind w:left="0" w:firstLine="0"/>
      </w:pPr>
      <w:rPr>
        <w:rFonts w:hint="default"/>
      </w:rPr>
    </w:lvl>
    <w:lvl w:ilvl="5">
      <w:start w:val="1"/>
      <w:numFmt w:val="decimal"/>
      <w:lvlText w:val="%1.%2.%3.%4.%5.%6"/>
      <w:lvlJc w:val="left"/>
      <w:pPr>
        <w:tabs>
          <w:tab w:val="num" w:pos="1294"/>
        </w:tabs>
        <w:ind w:left="1294" w:hanging="1152"/>
      </w:pPr>
      <w:rPr>
        <w:rFonts w:hint="default"/>
      </w:rPr>
    </w:lvl>
    <w:lvl w:ilvl="6">
      <w:start w:val="1"/>
      <w:numFmt w:val="decimal"/>
      <w:lvlText w:val="%1.%2.%3.%4.%5.%6.%7"/>
      <w:lvlJc w:val="left"/>
      <w:pPr>
        <w:tabs>
          <w:tab w:val="num" w:pos="1438"/>
        </w:tabs>
        <w:ind w:left="1438" w:hanging="1296"/>
      </w:pPr>
      <w:rPr>
        <w:rFonts w:hint="default"/>
      </w:rPr>
    </w:lvl>
    <w:lvl w:ilvl="7">
      <w:start w:val="1"/>
      <w:numFmt w:val="decimal"/>
      <w:lvlText w:val="%1.%2.%3.%4.%5.%6.%7.%8"/>
      <w:lvlJc w:val="left"/>
      <w:pPr>
        <w:tabs>
          <w:tab w:val="num" w:pos="1582"/>
        </w:tabs>
        <w:ind w:left="1582" w:hanging="1440"/>
      </w:pPr>
      <w:rPr>
        <w:rFonts w:hint="default"/>
      </w:rPr>
    </w:lvl>
    <w:lvl w:ilvl="8">
      <w:start w:val="1"/>
      <w:numFmt w:val="decimal"/>
      <w:lvlText w:val="%1.%2.%3.%4.%5.%6.%7.%8.%9"/>
      <w:lvlJc w:val="left"/>
      <w:pPr>
        <w:tabs>
          <w:tab w:val="num" w:pos="1726"/>
        </w:tabs>
        <w:ind w:left="1726" w:hanging="1584"/>
      </w:pPr>
      <w:rPr>
        <w:rFonts w:hint="default"/>
      </w:rPr>
    </w:lvl>
  </w:abstractNum>
  <w:abstractNum w:abstractNumId="81">
    <w:nsid w:val="6E3B22A3"/>
    <w:multiLevelType w:val="hybridMultilevel"/>
    <w:tmpl w:val="926E0BD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2">
    <w:nsid w:val="70BF229D"/>
    <w:multiLevelType w:val="hybridMultilevel"/>
    <w:tmpl w:val="4FC6C35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3">
    <w:nsid w:val="716A448D"/>
    <w:multiLevelType w:val="hybridMultilevel"/>
    <w:tmpl w:val="2856C76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4">
    <w:nsid w:val="73334928"/>
    <w:multiLevelType w:val="hybridMultilevel"/>
    <w:tmpl w:val="AD72958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5">
    <w:nsid w:val="73B66174"/>
    <w:multiLevelType w:val="hybridMultilevel"/>
    <w:tmpl w:val="0628859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nsid w:val="78430266"/>
    <w:multiLevelType w:val="hybridMultilevel"/>
    <w:tmpl w:val="4B28D11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7">
    <w:nsid w:val="79267DBC"/>
    <w:multiLevelType w:val="hybridMultilevel"/>
    <w:tmpl w:val="E1A402C6"/>
    <w:lvl w:ilvl="0" w:tplc="0C070001">
      <w:start w:val="1"/>
      <w:numFmt w:val="bullet"/>
      <w:lvlText w:val=""/>
      <w:lvlJc w:val="left"/>
      <w:pPr>
        <w:ind w:left="786" w:hanging="360"/>
      </w:pPr>
      <w:rPr>
        <w:rFonts w:ascii="Symbol" w:hAnsi="Symbol" w:hint="default"/>
      </w:rPr>
    </w:lvl>
    <w:lvl w:ilvl="1" w:tplc="0C070003" w:tentative="1">
      <w:start w:val="1"/>
      <w:numFmt w:val="bullet"/>
      <w:lvlText w:val="o"/>
      <w:lvlJc w:val="left"/>
      <w:pPr>
        <w:ind w:left="1506" w:hanging="360"/>
      </w:pPr>
      <w:rPr>
        <w:rFonts w:ascii="Courier New" w:hAnsi="Courier New" w:cs="Courier New" w:hint="default"/>
      </w:rPr>
    </w:lvl>
    <w:lvl w:ilvl="2" w:tplc="0C070005" w:tentative="1">
      <w:start w:val="1"/>
      <w:numFmt w:val="bullet"/>
      <w:lvlText w:val=""/>
      <w:lvlJc w:val="left"/>
      <w:pPr>
        <w:ind w:left="2226" w:hanging="360"/>
      </w:pPr>
      <w:rPr>
        <w:rFonts w:ascii="Wingdings" w:hAnsi="Wingdings" w:hint="default"/>
      </w:rPr>
    </w:lvl>
    <w:lvl w:ilvl="3" w:tplc="0C070001" w:tentative="1">
      <w:start w:val="1"/>
      <w:numFmt w:val="bullet"/>
      <w:lvlText w:val=""/>
      <w:lvlJc w:val="left"/>
      <w:pPr>
        <w:ind w:left="2946" w:hanging="360"/>
      </w:pPr>
      <w:rPr>
        <w:rFonts w:ascii="Symbol" w:hAnsi="Symbol" w:hint="default"/>
      </w:rPr>
    </w:lvl>
    <w:lvl w:ilvl="4" w:tplc="0C070003" w:tentative="1">
      <w:start w:val="1"/>
      <w:numFmt w:val="bullet"/>
      <w:lvlText w:val="o"/>
      <w:lvlJc w:val="left"/>
      <w:pPr>
        <w:ind w:left="3666" w:hanging="360"/>
      </w:pPr>
      <w:rPr>
        <w:rFonts w:ascii="Courier New" w:hAnsi="Courier New" w:cs="Courier New" w:hint="default"/>
      </w:rPr>
    </w:lvl>
    <w:lvl w:ilvl="5" w:tplc="0C070005" w:tentative="1">
      <w:start w:val="1"/>
      <w:numFmt w:val="bullet"/>
      <w:lvlText w:val=""/>
      <w:lvlJc w:val="left"/>
      <w:pPr>
        <w:ind w:left="4386" w:hanging="360"/>
      </w:pPr>
      <w:rPr>
        <w:rFonts w:ascii="Wingdings" w:hAnsi="Wingdings" w:hint="default"/>
      </w:rPr>
    </w:lvl>
    <w:lvl w:ilvl="6" w:tplc="0C070001" w:tentative="1">
      <w:start w:val="1"/>
      <w:numFmt w:val="bullet"/>
      <w:lvlText w:val=""/>
      <w:lvlJc w:val="left"/>
      <w:pPr>
        <w:ind w:left="5106" w:hanging="360"/>
      </w:pPr>
      <w:rPr>
        <w:rFonts w:ascii="Symbol" w:hAnsi="Symbol" w:hint="default"/>
      </w:rPr>
    </w:lvl>
    <w:lvl w:ilvl="7" w:tplc="0C070003" w:tentative="1">
      <w:start w:val="1"/>
      <w:numFmt w:val="bullet"/>
      <w:lvlText w:val="o"/>
      <w:lvlJc w:val="left"/>
      <w:pPr>
        <w:ind w:left="5826" w:hanging="360"/>
      </w:pPr>
      <w:rPr>
        <w:rFonts w:ascii="Courier New" w:hAnsi="Courier New" w:cs="Courier New" w:hint="default"/>
      </w:rPr>
    </w:lvl>
    <w:lvl w:ilvl="8" w:tplc="0C070005" w:tentative="1">
      <w:start w:val="1"/>
      <w:numFmt w:val="bullet"/>
      <w:lvlText w:val=""/>
      <w:lvlJc w:val="left"/>
      <w:pPr>
        <w:ind w:left="6546" w:hanging="360"/>
      </w:pPr>
      <w:rPr>
        <w:rFonts w:ascii="Wingdings" w:hAnsi="Wingdings" w:hint="default"/>
      </w:rPr>
    </w:lvl>
  </w:abstractNum>
  <w:abstractNum w:abstractNumId="88">
    <w:nsid w:val="7B471585"/>
    <w:multiLevelType w:val="hybridMultilevel"/>
    <w:tmpl w:val="863E80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9">
    <w:nsid w:val="7CC0276B"/>
    <w:multiLevelType w:val="hybridMultilevel"/>
    <w:tmpl w:val="F300E73A"/>
    <w:lvl w:ilvl="0" w:tplc="0C090019">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0">
    <w:nsid w:val="7CC618BA"/>
    <w:multiLevelType w:val="hybridMultilevel"/>
    <w:tmpl w:val="F162F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EB66DFE"/>
    <w:multiLevelType w:val="hybridMultilevel"/>
    <w:tmpl w:val="98A8F60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2">
    <w:nsid w:val="7EE72728"/>
    <w:multiLevelType w:val="hybridMultilevel"/>
    <w:tmpl w:val="4676846E"/>
    <w:lvl w:ilvl="0" w:tplc="8042E164">
      <w:start w:val="1"/>
      <w:numFmt w:val="lowerLetter"/>
      <w:lvlText w:val="%1."/>
      <w:lvlJc w:val="left"/>
      <w:pPr>
        <w:ind w:left="720" w:hanging="360"/>
      </w:pPr>
      <w:rPr>
        <w:rFonts w:hint="default"/>
        <w:sz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80"/>
  </w:num>
  <w:num w:numId="2">
    <w:abstractNumId w:val="7"/>
  </w:num>
  <w:num w:numId="3">
    <w:abstractNumId w:val="9"/>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40"/>
  </w:num>
  <w:num w:numId="13">
    <w:abstractNumId w:val="65"/>
  </w:num>
  <w:num w:numId="14">
    <w:abstractNumId w:val="14"/>
  </w:num>
  <w:num w:numId="15">
    <w:abstractNumId w:val="22"/>
  </w:num>
  <w:num w:numId="16">
    <w:abstractNumId w:val="26"/>
  </w:num>
  <w:num w:numId="17">
    <w:abstractNumId w:val="44"/>
  </w:num>
  <w:num w:numId="18">
    <w:abstractNumId w:val="34"/>
  </w:num>
  <w:num w:numId="19">
    <w:abstractNumId w:val="18"/>
  </w:num>
  <w:num w:numId="20">
    <w:abstractNumId w:val="75"/>
  </w:num>
  <w:num w:numId="21">
    <w:abstractNumId w:val="72"/>
  </w:num>
  <w:num w:numId="22">
    <w:abstractNumId w:val="13"/>
  </w:num>
  <w:num w:numId="23">
    <w:abstractNumId w:val="21"/>
  </w:num>
  <w:num w:numId="24">
    <w:abstractNumId w:val="41"/>
  </w:num>
  <w:num w:numId="25">
    <w:abstractNumId w:val="33"/>
  </w:num>
  <w:num w:numId="26">
    <w:abstractNumId w:val="57"/>
  </w:num>
  <w:num w:numId="27">
    <w:abstractNumId w:val="19"/>
  </w:num>
  <w:num w:numId="28">
    <w:abstractNumId w:val="61"/>
  </w:num>
  <w:num w:numId="29">
    <w:abstractNumId w:val="77"/>
  </w:num>
  <w:num w:numId="30">
    <w:abstractNumId w:val="50"/>
  </w:num>
  <w:num w:numId="31">
    <w:abstractNumId w:val="31"/>
  </w:num>
  <w:num w:numId="32">
    <w:abstractNumId w:val="89"/>
  </w:num>
  <w:num w:numId="33">
    <w:abstractNumId w:val="54"/>
  </w:num>
  <w:num w:numId="34">
    <w:abstractNumId w:val="38"/>
  </w:num>
  <w:num w:numId="35">
    <w:abstractNumId w:val="69"/>
  </w:num>
  <w:num w:numId="36">
    <w:abstractNumId w:val="85"/>
  </w:num>
  <w:num w:numId="37">
    <w:abstractNumId w:val="71"/>
  </w:num>
  <w:num w:numId="38">
    <w:abstractNumId w:val="92"/>
  </w:num>
  <w:num w:numId="39">
    <w:abstractNumId w:val="47"/>
  </w:num>
  <w:num w:numId="40">
    <w:abstractNumId w:val="48"/>
  </w:num>
  <w:num w:numId="41">
    <w:abstractNumId w:val="68"/>
  </w:num>
  <w:num w:numId="42">
    <w:abstractNumId w:val="45"/>
  </w:num>
  <w:num w:numId="43">
    <w:abstractNumId w:val="76"/>
  </w:num>
  <w:num w:numId="44">
    <w:abstractNumId w:val="27"/>
  </w:num>
  <w:num w:numId="45">
    <w:abstractNumId w:val="79"/>
  </w:num>
  <w:num w:numId="46">
    <w:abstractNumId w:val="36"/>
  </w:num>
  <w:num w:numId="47">
    <w:abstractNumId w:val="81"/>
  </w:num>
  <w:num w:numId="48">
    <w:abstractNumId w:val="12"/>
  </w:num>
  <w:num w:numId="49">
    <w:abstractNumId w:val="73"/>
  </w:num>
  <w:num w:numId="50">
    <w:abstractNumId w:val="52"/>
  </w:num>
  <w:num w:numId="51">
    <w:abstractNumId w:val="37"/>
  </w:num>
  <w:num w:numId="52">
    <w:abstractNumId w:val="28"/>
  </w:num>
  <w:num w:numId="53">
    <w:abstractNumId w:val="10"/>
  </w:num>
  <w:num w:numId="54">
    <w:abstractNumId w:val="51"/>
  </w:num>
  <w:num w:numId="55">
    <w:abstractNumId w:val="46"/>
  </w:num>
  <w:num w:numId="56">
    <w:abstractNumId w:val="82"/>
  </w:num>
  <w:num w:numId="57">
    <w:abstractNumId w:val="11"/>
  </w:num>
  <w:num w:numId="58">
    <w:abstractNumId w:val="83"/>
  </w:num>
  <w:num w:numId="59">
    <w:abstractNumId w:val="30"/>
  </w:num>
  <w:num w:numId="60">
    <w:abstractNumId w:val="74"/>
  </w:num>
  <w:num w:numId="61">
    <w:abstractNumId w:val="86"/>
  </w:num>
  <w:num w:numId="62">
    <w:abstractNumId w:val="17"/>
  </w:num>
  <w:num w:numId="63">
    <w:abstractNumId w:val="64"/>
  </w:num>
  <w:num w:numId="64">
    <w:abstractNumId w:val="42"/>
  </w:num>
  <w:num w:numId="65">
    <w:abstractNumId w:val="62"/>
  </w:num>
  <w:num w:numId="66">
    <w:abstractNumId w:val="39"/>
  </w:num>
  <w:num w:numId="67">
    <w:abstractNumId w:val="49"/>
  </w:num>
  <w:num w:numId="68">
    <w:abstractNumId w:val="15"/>
  </w:num>
  <w:num w:numId="69">
    <w:abstractNumId w:val="24"/>
  </w:num>
  <w:num w:numId="70">
    <w:abstractNumId w:val="35"/>
  </w:num>
  <w:num w:numId="71">
    <w:abstractNumId w:val="32"/>
  </w:num>
  <w:num w:numId="72">
    <w:abstractNumId w:val="16"/>
  </w:num>
  <w:num w:numId="73">
    <w:abstractNumId w:val="58"/>
  </w:num>
  <w:num w:numId="74">
    <w:abstractNumId w:val="60"/>
  </w:num>
  <w:num w:numId="75">
    <w:abstractNumId w:val="87"/>
  </w:num>
  <w:num w:numId="76">
    <w:abstractNumId w:val="55"/>
  </w:num>
  <w:num w:numId="77">
    <w:abstractNumId w:val="66"/>
  </w:num>
  <w:num w:numId="78">
    <w:abstractNumId w:val="84"/>
  </w:num>
  <w:num w:numId="79">
    <w:abstractNumId w:val="23"/>
  </w:num>
  <w:num w:numId="80">
    <w:abstractNumId w:val="59"/>
  </w:num>
  <w:num w:numId="81">
    <w:abstractNumId w:val="20"/>
  </w:num>
  <w:num w:numId="82">
    <w:abstractNumId w:val="43"/>
  </w:num>
  <w:num w:numId="83">
    <w:abstractNumId w:val="53"/>
  </w:num>
  <w:num w:numId="84">
    <w:abstractNumId w:val="29"/>
  </w:num>
  <w:num w:numId="85">
    <w:abstractNumId w:val="88"/>
  </w:num>
  <w:num w:numId="86">
    <w:abstractNumId w:val="70"/>
  </w:num>
  <w:num w:numId="87">
    <w:abstractNumId w:val="78"/>
  </w:num>
  <w:num w:numId="88">
    <w:abstractNumId w:val="56"/>
  </w:num>
  <w:num w:numId="89">
    <w:abstractNumId w:val="25"/>
  </w:num>
  <w:num w:numId="90">
    <w:abstractNumId w:val="91"/>
  </w:num>
  <w:num w:numId="91">
    <w:abstractNumId w:val="90"/>
  </w:num>
  <w:num w:numId="92">
    <w:abstractNumId w:val="63"/>
  </w:num>
  <w:num w:numId="93">
    <w:abstractNumId w:val="67"/>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gutterAtTop/>
  <w:hideSpellingErrors/>
  <w:hideGrammaticalErrors/>
  <w:activeWritingStyle w:appName="MSWord" w:lang="en-AU"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de-AT" w:vendorID="64" w:dllVersion="131078" w:nlCheck="1" w:checkStyle="1"/>
  <w:activeWritingStyle w:appName="MSWord" w:lang="en-ZA" w:vendorID="64" w:dllVersion="131078" w:nlCheck="1" w:checkStyle="1"/>
  <w:activeWritingStyle w:appName="MSWord" w:lang="fr-FR" w:vendorID="64" w:dllVersion="131078" w:nlCheck="1" w:checkStyle="1"/>
  <w:activeWritingStyle w:appName="MSWord" w:lang="de-DE" w:vendorID="64" w:dllVersion="131078" w:nlCheck="1" w:checkStyle="1"/>
  <w:activeWritingStyle w:appName="MSWord" w:lang="es-ES" w:vendorID="64" w:dllVersion="131078" w:nlCheck="1" w:checkStyle="1"/>
  <w:defaultTabStop w:val="720"/>
  <w:hyphenationZone w:val="425"/>
  <w:drawingGridHorizontalSpacing w:val="110"/>
  <w:displayHorizontalDrawingGridEvery w:val="2"/>
  <w:noPunctuationKerning/>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REFMGR.InstantFormat" w:val="&lt;ENInstantFormat&gt;&lt;Enabled&gt;1&lt;/Enabled&gt;&lt;ScanUnformatted&gt;1&lt;/ScanUnformatted&gt;&lt;ScanChanges&gt;1&lt;/ScanChanges&gt;&lt;/ENInstantFormat&gt;"/>
    <w:docVar w:name="REFMGR.Layout" w:val="&lt;ENLayout&gt;&lt;Style&gt;AAPG Bulletin&lt;/Style&gt;&lt;LeftDelim&gt;{&lt;/LeftDelim&gt;&lt;RightDelim&gt;}&lt;/RightDelim&gt;&lt;FontName&gt;Arial&lt;/FontName&gt;&lt;FontSize&gt;10&lt;/FontSize&gt;&lt;ReflistTitle&gt;References Cited&lt;/ReflistTitle&gt;&lt;StartingRefnum&gt;1&lt;/StartingRefnum&gt;&lt;FirstLineIndent&gt;0&lt;/FirstLineIndent&gt;&lt;HangingIndent&gt;0&lt;/HangingIndent&gt;&lt;LineSpacing&gt;0&lt;/LineSpacing&gt;&lt;SpaceAfter&gt;1&lt;/SpaceAfter&gt;&lt;ReflistOrder&gt;1&lt;/ReflistOrder&gt;&lt;CitationOrder&gt;2&lt;/CitationOrder&gt;&lt;NumberReferences&gt;0&lt;/NumberReferences&gt;&lt;ShowRecordID&gt;0&lt;/ShowRecordID&gt;&lt;ShowNotes&gt;0&lt;/ShowNotes&gt;&lt;ShowAbstract&gt;0&lt;/ShowAbstract&gt;&lt;ShowReprint&gt;0&lt;/ShowReprint&gt;&lt;ShowKeywords&gt;0&lt;/ShowKeywords&gt;&lt;/ENLayout&gt;"/>
    <w:docVar w:name="REFMGR.Libraries" w:val="&lt;ENLibraries&gt;&lt;Libraries&gt;&lt;item&gt;vsb in snhl all titles&lt;/item&gt;&lt;/Libraries&gt;&lt;/ENLibraries&gt;"/>
  </w:docVars>
  <w:rsids>
    <w:rsidRoot w:val="003810FA"/>
    <w:rsid w:val="00000ABB"/>
    <w:rsid w:val="00001806"/>
    <w:rsid w:val="00002FD5"/>
    <w:rsid w:val="00003B43"/>
    <w:rsid w:val="00004A48"/>
    <w:rsid w:val="00005680"/>
    <w:rsid w:val="00005978"/>
    <w:rsid w:val="00006F95"/>
    <w:rsid w:val="000102CB"/>
    <w:rsid w:val="0001287B"/>
    <w:rsid w:val="0001299B"/>
    <w:rsid w:val="00013774"/>
    <w:rsid w:val="0001407B"/>
    <w:rsid w:val="00014587"/>
    <w:rsid w:val="00015B26"/>
    <w:rsid w:val="00016592"/>
    <w:rsid w:val="000167F2"/>
    <w:rsid w:val="000175F8"/>
    <w:rsid w:val="0002020C"/>
    <w:rsid w:val="000203D1"/>
    <w:rsid w:val="00020561"/>
    <w:rsid w:val="000207C7"/>
    <w:rsid w:val="000214FE"/>
    <w:rsid w:val="00021B7C"/>
    <w:rsid w:val="00022100"/>
    <w:rsid w:val="00023462"/>
    <w:rsid w:val="000236D8"/>
    <w:rsid w:val="000270B9"/>
    <w:rsid w:val="000271B0"/>
    <w:rsid w:val="00030DC1"/>
    <w:rsid w:val="00031041"/>
    <w:rsid w:val="00031697"/>
    <w:rsid w:val="00033EF6"/>
    <w:rsid w:val="000341D1"/>
    <w:rsid w:val="00034553"/>
    <w:rsid w:val="000354FF"/>
    <w:rsid w:val="000367FE"/>
    <w:rsid w:val="00036DF1"/>
    <w:rsid w:val="00037176"/>
    <w:rsid w:val="00040356"/>
    <w:rsid w:val="000407A7"/>
    <w:rsid w:val="00041974"/>
    <w:rsid w:val="00041A06"/>
    <w:rsid w:val="0004238C"/>
    <w:rsid w:val="00042A00"/>
    <w:rsid w:val="00044B07"/>
    <w:rsid w:val="00045479"/>
    <w:rsid w:val="00045D99"/>
    <w:rsid w:val="00046FB9"/>
    <w:rsid w:val="000519AB"/>
    <w:rsid w:val="00051CDA"/>
    <w:rsid w:val="00052CF4"/>
    <w:rsid w:val="000533CC"/>
    <w:rsid w:val="0005362F"/>
    <w:rsid w:val="00054309"/>
    <w:rsid w:val="00054963"/>
    <w:rsid w:val="00054A3D"/>
    <w:rsid w:val="00054D25"/>
    <w:rsid w:val="00055224"/>
    <w:rsid w:val="000553C6"/>
    <w:rsid w:val="000553ED"/>
    <w:rsid w:val="00055DE8"/>
    <w:rsid w:val="0005795A"/>
    <w:rsid w:val="00057D36"/>
    <w:rsid w:val="00060753"/>
    <w:rsid w:val="0006170F"/>
    <w:rsid w:val="0006244F"/>
    <w:rsid w:val="00062708"/>
    <w:rsid w:val="00062B77"/>
    <w:rsid w:val="00063591"/>
    <w:rsid w:val="0006485B"/>
    <w:rsid w:val="0006554C"/>
    <w:rsid w:val="000658EE"/>
    <w:rsid w:val="0006604D"/>
    <w:rsid w:val="00066C0D"/>
    <w:rsid w:val="00066C8B"/>
    <w:rsid w:val="000670D1"/>
    <w:rsid w:val="00067180"/>
    <w:rsid w:val="000675E0"/>
    <w:rsid w:val="000704A6"/>
    <w:rsid w:val="00070B2F"/>
    <w:rsid w:val="00070CD0"/>
    <w:rsid w:val="000732FB"/>
    <w:rsid w:val="00073397"/>
    <w:rsid w:val="0007366A"/>
    <w:rsid w:val="000737E8"/>
    <w:rsid w:val="00073DA6"/>
    <w:rsid w:val="00073E40"/>
    <w:rsid w:val="00074AE3"/>
    <w:rsid w:val="0007547F"/>
    <w:rsid w:val="00075BA1"/>
    <w:rsid w:val="000761FC"/>
    <w:rsid w:val="000768C8"/>
    <w:rsid w:val="00076D83"/>
    <w:rsid w:val="000770B2"/>
    <w:rsid w:val="00077A8F"/>
    <w:rsid w:val="00077CED"/>
    <w:rsid w:val="00077E6E"/>
    <w:rsid w:val="00077E87"/>
    <w:rsid w:val="00080175"/>
    <w:rsid w:val="000806AF"/>
    <w:rsid w:val="000812DC"/>
    <w:rsid w:val="00081881"/>
    <w:rsid w:val="0008200F"/>
    <w:rsid w:val="00082522"/>
    <w:rsid w:val="000829E5"/>
    <w:rsid w:val="00082CDA"/>
    <w:rsid w:val="00083898"/>
    <w:rsid w:val="00083BCB"/>
    <w:rsid w:val="00084D55"/>
    <w:rsid w:val="00084E75"/>
    <w:rsid w:val="000863B0"/>
    <w:rsid w:val="00086C77"/>
    <w:rsid w:val="0009065A"/>
    <w:rsid w:val="00090833"/>
    <w:rsid w:val="00091402"/>
    <w:rsid w:val="000920D4"/>
    <w:rsid w:val="000941E8"/>
    <w:rsid w:val="00094A30"/>
    <w:rsid w:val="00094B7A"/>
    <w:rsid w:val="00094BDE"/>
    <w:rsid w:val="000955BF"/>
    <w:rsid w:val="00096610"/>
    <w:rsid w:val="00096B8F"/>
    <w:rsid w:val="0009725D"/>
    <w:rsid w:val="00097F4E"/>
    <w:rsid w:val="000A03AD"/>
    <w:rsid w:val="000A38BA"/>
    <w:rsid w:val="000A3B68"/>
    <w:rsid w:val="000A4118"/>
    <w:rsid w:val="000A4B20"/>
    <w:rsid w:val="000A6A60"/>
    <w:rsid w:val="000A70B2"/>
    <w:rsid w:val="000A7891"/>
    <w:rsid w:val="000A7F2D"/>
    <w:rsid w:val="000B0010"/>
    <w:rsid w:val="000B07B2"/>
    <w:rsid w:val="000B08B1"/>
    <w:rsid w:val="000B10C9"/>
    <w:rsid w:val="000B18D8"/>
    <w:rsid w:val="000B1F4E"/>
    <w:rsid w:val="000B208B"/>
    <w:rsid w:val="000B27AB"/>
    <w:rsid w:val="000B288D"/>
    <w:rsid w:val="000B2CBF"/>
    <w:rsid w:val="000B4DE1"/>
    <w:rsid w:val="000B51AF"/>
    <w:rsid w:val="000B5A59"/>
    <w:rsid w:val="000B70C0"/>
    <w:rsid w:val="000B7447"/>
    <w:rsid w:val="000B7EA5"/>
    <w:rsid w:val="000C0E1B"/>
    <w:rsid w:val="000C101A"/>
    <w:rsid w:val="000C156B"/>
    <w:rsid w:val="000C1751"/>
    <w:rsid w:val="000C20D6"/>
    <w:rsid w:val="000C3E92"/>
    <w:rsid w:val="000C4E12"/>
    <w:rsid w:val="000C61DF"/>
    <w:rsid w:val="000C646B"/>
    <w:rsid w:val="000C666E"/>
    <w:rsid w:val="000C66AD"/>
    <w:rsid w:val="000C69E2"/>
    <w:rsid w:val="000C73F3"/>
    <w:rsid w:val="000C7949"/>
    <w:rsid w:val="000D172A"/>
    <w:rsid w:val="000D2EF2"/>
    <w:rsid w:val="000D386F"/>
    <w:rsid w:val="000D3A74"/>
    <w:rsid w:val="000D3CB5"/>
    <w:rsid w:val="000D59CC"/>
    <w:rsid w:val="000D5D75"/>
    <w:rsid w:val="000D632E"/>
    <w:rsid w:val="000D6966"/>
    <w:rsid w:val="000D6DC2"/>
    <w:rsid w:val="000E0122"/>
    <w:rsid w:val="000E0CFD"/>
    <w:rsid w:val="000E34B7"/>
    <w:rsid w:val="000E37DA"/>
    <w:rsid w:val="000E39C5"/>
    <w:rsid w:val="000E425A"/>
    <w:rsid w:val="000E4BB9"/>
    <w:rsid w:val="000E4C95"/>
    <w:rsid w:val="000E5110"/>
    <w:rsid w:val="000E54C4"/>
    <w:rsid w:val="000E6862"/>
    <w:rsid w:val="000E76DD"/>
    <w:rsid w:val="000E7B1F"/>
    <w:rsid w:val="000F126D"/>
    <w:rsid w:val="000F129E"/>
    <w:rsid w:val="000F17D3"/>
    <w:rsid w:val="000F1908"/>
    <w:rsid w:val="000F1AD1"/>
    <w:rsid w:val="000F1DAC"/>
    <w:rsid w:val="000F31AB"/>
    <w:rsid w:val="000F330B"/>
    <w:rsid w:val="000F397B"/>
    <w:rsid w:val="000F5B40"/>
    <w:rsid w:val="000F7A8B"/>
    <w:rsid w:val="000F7F0C"/>
    <w:rsid w:val="001015AB"/>
    <w:rsid w:val="0010233D"/>
    <w:rsid w:val="00102B0B"/>
    <w:rsid w:val="00102B54"/>
    <w:rsid w:val="00104F4C"/>
    <w:rsid w:val="0010645E"/>
    <w:rsid w:val="00110080"/>
    <w:rsid w:val="0011034D"/>
    <w:rsid w:val="00111534"/>
    <w:rsid w:val="001126D0"/>
    <w:rsid w:val="00112BA0"/>
    <w:rsid w:val="0011310F"/>
    <w:rsid w:val="0011397F"/>
    <w:rsid w:val="00114D62"/>
    <w:rsid w:val="001165AC"/>
    <w:rsid w:val="00116743"/>
    <w:rsid w:val="00116CCC"/>
    <w:rsid w:val="00116E5D"/>
    <w:rsid w:val="00117A16"/>
    <w:rsid w:val="00121231"/>
    <w:rsid w:val="00121842"/>
    <w:rsid w:val="00121AA5"/>
    <w:rsid w:val="00121B84"/>
    <w:rsid w:val="00122AF5"/>
    <w:rsid w:val="00122F45"/>
    <w:rsid w:val="00123496"/>
    <w:rsid w:val="001235C4"/>
    <w:rsid w:val="00124FA7"/>
    <w:rsid w:val="00124FB8"/>
    <w:rsid w:val="00125903"/>
    <w:rsid w:val="001278D7"/>
    <w:rsid w:val="00127975"/>
    <w:rsid w:val="001309C5"/>
    <w:rsid w:val="001310A0"/>
    <w:rsid w:val="00131E92"/>
    <w:rsid w:val="00131FFB"/>
    <w:rsid w:val="00132721"/>
    <w:rsid w:val="00132E0B"/>
    <w:rsid w:val="00133C75"/>
    <w:rsid w:val="0013401A"/>
    <w:rsid w:val="00134CE2"/>
    <w:rsid w:val="00136913"/>
    <w:rsid w:val="00136D50"/>
    <w:rsid w:val="00137731"/>
    <w:rsid w:val="00137B87"/>
    <w:rsid w:val="00137E5E"/>
    <w:rsid w:val="00140B5E"/>
    <w:rsid w:val="00140CA4"/>
    <w:rsid w:val="0014216D"/>
    <w:rsid w:val="0014277A"/>
    <w:rsid w:val="001438AD"/>
    <w:rsid w:val="00144D81"/>
    <w:rsid w:val="0014599C"/>
    <w:rsid w:val="00146B66"/>
    <w:rsid w:val="00146B90"/>
    <w:rsid w:val="00146EF5"/>
    <w:rsid w:val="00147C10"/>
    <w:rsid w:val="00150FDA"/>
    <w:rsid w:val="001511F4"/>
    <w:rsid w:val="00152C1A"/>
    <w:rsid w:val="00152E28"/>
    <w:rsid w:val="00153828"/>
    <w:rsid w:val="001542C4"/>
    <w:rsid w:val="00155DFA"/>
    <w:rsid w:val="00155F0C"/>
    <w:rsid w:val="00155F44"/>
    <w:rsid w:val="001576D0"/>
    <w:rsid w:val="00160107"/>
    <w:rsid w:val="001609A8"/>
    <w:rsid w:val="00160CBF"/>
    <w:rsid w:val="0016113D"/>
    <w:rsid w:val="00163604"/>
    <w:rsid w:val="00164751"/>
    <w:rsid w:val="001658EC"/>
    <w:rsid w:val="00165D20"/>
    <w:rsid w:val="001663C9"/>
    <w:rsid w:val="001703A4"/>
    <w:rsid w:val="001706D3"/>
    <w:rsid w:val="0017130A"/>
    <w:rsid w:val="0017151F"/>
    <w:rsid w:val="00172CF5"/>
    <w:rsid w:val="00172FCC"/>
    <w:rsid w:val="00173D85"/>
    <w:rsid w:val="0017440D"/>
    <w:rsid w:val="00174D0E"/>
    <w:rsid w:val="00174D64"/>
    <w:rsid w:val="0017645D"/>
    <w:rsid w:val="00177431"/>
    <w:rsid w:val="00177756"/>
    <w:rsid w:val="00180260"/>
    <w:rsid w:val="00181166"/>
    <w:rsid w:val="00181823"/>
    <w:rsid w:val="0018424E"/>
    <w:rsid w:val="00185D18"/>
    <w:rsid w:val="00186523"/>
    <w:rsid w:val="001873A8"/>
    <w:rsid w:val="00187734"/>
    <w:rsid w:val="00187C39"/>
    <w:rsid w:val="00190495"/>
    <w:rsid w:val="0019059B"/>
    <w:rsid w:val="00191CFE"/>
    <w:rsid w:val="00191E52"/>
    <w:rsid w:val="00192466"/>
    <w:rsid w:val="001925F6"/>
    <w:rsid w:val="001925F7"/>
    <w:rsid w:val="00192A41"/>
    <w:rsid w:val="00192B9C"/>
    <w:rsid w:val="00192DC5"/>
    <w:rsid w:val="00192E11"/>
    <w:rsid w:val="00193A71"/>
    <w:rsid w:val="0019520E"/>
    <w:rsid w:val="00195600"/>
    <w:rsid w:val="00196D12"/>
    <w:rsid w:val="00196EA7"/>
    <w:rsid w:val="0019703A"/>
    <w:rsid w:val="00197183"/>
    <w:rsid w:val="00197312"/>
    <w:rsid w:val="0019784C"/>
    <w:rsid w:val="00197D3F"/>
    <w:rsid w:val="001A0033"/>
    <w:rsid w:val="001A05B2"/>
    <w:rsid w:val="001A0BB9"/>
    <w:rsid w:val="001A111B"/>
    <w:rsid w:val="001A312F"/>
    <w:rsid w:val="001A3488"/>
    <w:rsid w:val="001A3CFB"/>
    <w:rsid w:val="001A5A13"/>
    <w:rsid w:val="001A5CDD"/>
    <w:rsid w:val="001A60BA"/>
    <w:rsid w:val="001A634A"/>
    <w:rsid w:val="001A70F7"/>
    <w:rsid w:val="001B0CBF"/>
    <w:rsid w:val="001B160D"/>
    <w:rsid w:val="001B1D4E"/>
    <w:rsid w:val="001B4316"/>
    <w:rsid w:val="001B434B"/>
    <w:rsid w:val="001B481C"/>
    <w:rsid w:val="001B4A68"/>
    <w:rsid w:val="001B4BFC"/>
    <w:rsid w:val="001B4D68"/>
    <w:rsid w:val="001B5668"/>
    <w:rsid w:val="001B592B"/>
    <w:rsid w:val="001B5B6E"/>
    <w:rsid w:val="001B5C13"/>
    <w:rsid w:val="001B6F38"/>
    <w:rsid w:val="001C0D34"/>
    <w:rsid w:val="001C2757"/>
    <w:rsid w:val="001C2E0E"/>
    <w:rsid w:val="001C2E95"/>
    <w:rsid w:val="001C332B"/>
    <w:rsid w:val="001C4016"/>
    <w:rsid w:val="001C4EFF"/>
    <w:rsid w:val="001C4F2A"/>
    <w:rsid w:val="001C535A"/>
    <w:rsid w:val="001C7CE7"/>
    <w:rsid w:val="001D0DE9"/>
    <w:rsid w:val="001D1553"/>
    <w:rsid w:val="001D1C2C"/>
    <w:rsid w:val="001D2230"/>
    <w:rsid w:val="001D2B10"/>
    <w:rsid w:val="001D3524"/>
    <w:rsid w:val="001D3CF9"/>
    <w:rsid w:val="001D4159"/>
    <w:rsid w:val="001D4417"/>
    <w:rsid w:val="001D49A6"/>
    <w:rsid w:val="001D4EFB"/>
    <w:rsid w:val="001D5154"/>
    <w:rsid w:val="001D516B"/>
    <w:rsid w:val="001D51F0"/>
    <w:rsid w:val="001D5418"/>
    <w:rsid w:val="001D5635"/>
    <w:rsid w:val="001D56D3"/>
    <w:rsid w:val="001D5952"/>
    <w:rsid w:val="001D61AB"/>
    <w:rsid w:val="001D65A9"/>
    <w:rsid w:val="001D68B4"/>
    <w:rsid w:val="001D6DA2"/>
    <w:rsid w:val="001D7743"/>
    <w:rsid w:val="001D7A2D"/>
    <w:rsid w:val="001E0260"/>
    <w:rsid w:val="001E0579"/>
    <w:rsid w:val="001E0981"/>
    <w:rsid w:val="001E0B4C"/>
    <w:rsid w:val="001E0C8D"/>
    <w:rsid w:val="001E154A"/>
    <w:rsid w:val="001E35F4"/>
    <w:rsid w:val="001E3870"/>
    <w:rsid w:val="001E4261"/>
    <w:rsid w:val="001E569B"/>
    <w:rsid w:val="001E6537"/>
    <w:rsid w:val="001E6DCE"/>
    <w:rsid w:val="001E7FB4"/>
    <w:rsid w:val="001F09AD"/>
    <w:rsid w:val="001F1863"/>
    <w:rsid w:val="001F1F03"/>
    <w:rsid w:val="001F2367"/>
    <w:rsid w:val="001F29A4"/>
    <w:rsid w:val="001F35C0"/>
    <w:rsid w:val="001F36FD"/>
    <w:rsid w:val="001F3C37"/>
    <w:rsid w:val="001F3EF4"/>
    <w:rsid w:val="001F4471"/>
    <w:rsid w:val="001F48DF"/>
    <w:rsid w:val="001F4976"/>
    <w:rsid w:val="001F54EF"/>
    <w:rsid w:val="001F62C3"/>
    <w:rsid w:val="001F7135"/>
    <w:rsid w:val="001F760B"/>
    <w:rsid w:val="001F7F34"/>
    <w:rsid w:val="002004B1"/>
    <w:rsid w:val="00200AE2"/>
    <w:rsid w:val="00200EDC"/>
    <w:rsid w:val="002015A4"/>
    <w:rsid w:val="0020199F"/>
    <w:rsid w:val="00202061"/>
    <w:rsid w:val="0020223D"/>
    <w:rsid w:val="0020241A"/>
    <w:rsid w:val="00203578"/>
    <w:rsid w:val="00204F6D"/>
    <w:rsid w:val="00204F87"/>
    <w:rsid w:val="00205610"/>
    <w:rsid w:val="00205985"/>
    <w:rsid w:val="00205A44"/>
    <w:rsid w:val="002066CB"/>
    <w:rsid w:val="002067A2"/>
    <w:rsid w:val="00206970"/>
    <w:rsid w:val="00206FA0"/>
    <w:rsid w:val="0020765E"/>
    <w:rsid w:val="00210A04"/>
    <w:rsid w:val="00210DF9"/>
    <w:rsid w:val="00211196"/>
    <w:rsid w:val="002125A1"/>
    <w:rsid w:val="00213453"/>
    <w:rsid w:val="002139B8"/>
    <w:rsid w:val="00213B3B"/>
    <w:rsid w:val="00213CB1"/>
    <w:rsid w:val="00213D8A"/>
    <w:rsid w:val="00214346"/>
    <w:rsid w:val="002148E1"/>
    <w:rsid w:val="00214A23"/>
    <w:rsid w:val="00214D6F"/>
    <w:rsid w:val="00214FDA"/>
    <w:rsid w:val="00215144"/>
    <w:rsid w:val="002151F1"/>
    <w:rsid w:val="00215AF6"/>
    <w:rsid w:val="00215DEE"/>
    <w:rsid w:val="00216545"/>
    <w:rsid w:val="00216EFB"/>
    <w:rsid w:val="0021724B"/>
    <w:rsid w:val="00217C21"/>
    <w:rsid w:val="00220336"/>
    <w:rsid w:val="0022035E"/>
    <w:rsid w:val="002209F6"/>
    <w:rsid w:val="00220AE2"/>
    <w:rsid w:val="0022199E"/>
    <w:rsid w:val="00222808"/>
    <w:rsid w:val="00223225"/>
    <w:rsid w:val="00223AA2"/>
    <w:rsid w:val="00224612"/>
    <w:rsid w:val="002246BA"/>
    <w:rsid w:val="00224980"/>
    <w:rsid w:val="002252AB"/>
    <w:rsid w:val="0022649E"/>
    <w:rsid w:val="00227197"/>
    <w:rsid w:val="00227BDC"/>
    <w:rsid w:val="002304DF"/>
    <w:rsid w:val="002311A9"/>
    <w:rsid w:val="002319FE"/>
    <w:rsid w:val="002320DA"/>
    <w:rsid w:val="0023269B"/>
    <w:rsid w:val="002350D0"/>
    <w:rsid w:val="002352A9"/>
    <w:rsid w:val="00235AC3"/>
    <w:rsid w:val="00237C5D"/>
    <w:rsid w:val="00237CB6"/>
    <w:rsid w:val="00241401"/>
    <w:rsid w:val="002427B4"/>
    <w:rsid w:val="002435A5"/>
    <w:rsid w:val="002456B3"/>
    <w:rsid w:val="0024601A"/>
    <w:rsid w:val="00246F63"/>
    <w:rsid w:val="00247BCE"/>
    <w:rsid w:val="00247CDF"/>
    <w:rsid w:val="002502CC"/>
    <w:rsid w:val="002508CC"/>
    <w:rsid w:val="0025176C"/>
    <w:rsid w:val="00251D79"/>
    <w:rsid w:val="00252DB6"/>
    <w:rsid w:val="0025334A"/>
    <w:rsid w:val="0025365D"/>
    <w:rsid w:val="00253E12"/>
    <w:rsid w:val="00254CBD"/>
    <w:rsid w:val="002561B1"/>
    <w:rsid w:val="00256594"/>
    <w:rsid w:val="00257721"/>
    <w:rsid w:val="0025779E"/>
    <w:rsid w:val="00257D36"/>
    <w:rsid w:val="00257EDD"/>
    <w:rsid w:val="00260E6C"/>
    <w:rsid w:val="002612AA"/>
    <w:rsid w:val="002614A4"/>
    <w:rsid w:val="002616F6"/>
    <w:rsid w:val="00261ABC"/>
    <w:rsid w:val="002620AF"/>
    <w:rsid w:val="002630F4"/>
    <w:rsid w:val="002633EE"/>
    <w:rsid w:val="00264ACA"/>
    <w:rsid w:val="00265759"/>
    <w:rsid w:val="00267817"/>
    <w:rsid w:val="00270FB9"/>
    <w:rsid w:val="002716F8"/>
    <w:rsid w:val="00272416"/>
    <w:rsid w:val="00272BA6"/>
    <w:rsid w:val="00272D96"/>
    <w:rsid w:val="00273259"/>
    <w:rsid w:val="0027382B"/>
    <w:rsid w:val="002738DD"/>
    <w:rsid w:val="002741E1"/>
    <w:rsid w:val="002744FD"/>
    <w:rsid w:val="002745B0"/>
    <w:rsid w:val="002753A9"/>
    <w:rsid w:val="00275488"/>
    <w:rsid w:val="00275721"/>
    <w:rsid w:val="0027733E"/>
    <w:rsid w:val="002778A8"/>
    <w:rsid w:val="00280480"/>
    <w:rsid w:val="002806FE"/>
    <w:rsid w:val="0028088C"/>
    <w:rsid w:val="00280D30"/>
    <w:rsid w:val="0028143F"/>
    <w:rsid w:val="00281AE4"/>
    <w:rsid w:val="00282645"/>
    <w:rsid w:val="00283237"/>
    <w:rsid w:val="00283546"/>
    <w:rsid w:val="00285665"/>
    <w:rsid w:val="00285CC5"/>
    <w:rsid w:val="00285CFC"/>
    <w:rsid w:val="00286A02"/>
    <w:rsid w:val="00286B64"/>
    <w:rsid w:val="00286D20"/>
    <w:rsid w:val="00287273"/>
    <w:rsid w:val="002872AA"/>
    <w:rsid w:val="00287478"/>
    <w:rsid w:val="0028751E"/>
    <w:rsid w:val="002937BB"/>
    <w:rsid w:val="00294C0A"/>
    <w:rsid w:val="00294E04"/>
    <w:rsid w:val="0029566B"/>
    <w:rsid w:val="00295B89"/>
    <w:rsid w:val="00296707"/>
    <w:rsid w:val="0029672D"/>
    <w:rsid w:val="00296B79"/>
    <w:rsid w:val="00296C87"/>
    <w:rsid w:val="00297AE6"/>
    <w:rsid w:val="002A07D2"/>
    <w:rsid w:val="002A22FD"/>
    <w:rsid w:val="002A2EAC"/>
    <w:rsid w:val="002A2EE0"/>
    <w:rsid w:val="002A392A"/>
    <w:rsid w:val="002A39FB"/>
    <w:rsid w:val="002A461B"/>
    <w:rsid w:val="002A4898"/>
    <w:rsid w:val="002A5763"/>
    <w:rsid w:val="002A5880"/>
    <w:rsid w:val="002A5E3A"/>
    <w:rsid w:val="002A6361"/>
    <w:rsid w:val="002A7261"/>
    <w:rsid w:val="002A7E8C"/>
    <w:rsid w:val="002B0893"/>
    <w:rsid w:val="002B1896"/>
    <w:rsid w:val="002B2788"/>
    <w:rsid w:val="002B2B10"/>
    <w:rsid w:val="002B3FA2"/>
    <w:rsid w:val="002B4318"/>
    <w:rsid w:val="002B489D"/>
    <w:rsid w:val="002B4DDB"/>
    <w:rsid w:val="002B5117"/>
    <w:rsid w:val="002B62D4"/>
    <w:rsid w:val="002B63FE"/>
    <w:rsid w:val="002B679D"/>
    <w:rsid w:val="002B6828"/>
    <w:rsid w:val="002B6A52"/>
    <w:rsid w:val="002B73DC"/>
    <w:rsid w:val="002C00BE"/>
    <w:rsid w:val="002C09EE"/>
    <w:rsid w:val="002C0DD7"/>
    <w:rsid w:val="002C1A00"/>
    <w:rsid w:val="002C1AFE"/>
    <w:rsid w:val="002C1BCA"/>
    <w:rsid w:val="002C1FBC"/>
    <w:rsid w:val="002C1FD0"/>
    <w:rsid w:val="002C281A"/>
    <w:rsid w:val="002C3B78"/>
    <w:rsid w:val="002C486C"/>
    <w:rsid w:val="002C4EF3"/>
    <w:rsid w:val="002C5814"/>
    <w:rsid w:val="002C5BAA"/>
    <w:rsid w:val="002C5D43"/>
    <w:rsid w:val="002D0D39"/>
    <w:rsid w:val="002D10D6"/>
    <w:rsid w:val="002D11CF"/>
    <w:rsid w:val="002D14D7"/>
    <w:rsid w:val="002D1F83"/>
    <w:rsid w:val="002D22D8"/>
    <w:rsid w:val="002D2611"/>
    <w:rsid w:val="002D27E9"/>
    <w:rsid w:val="002D28E4"/>
    <w:rsid w:val="002D2D01"/>
    <w:rsid w:val="002D3910"/>
    <w:rsid w:val="002D3D69"/>
    <w:rsid w:val="002D4F47"/>
    <w:rsid w:val="002D6D34"/>
    <w:rsid w:val="002D755B"/>
    <w:rsid w:val="002D7E9E"/>
    <w:rsid w:val="002E065A"/>
    <w:rsid w:val="002E13B3"/>
    <w:rsid w:val="002E19A8"/>
    <w:rsid w:val="002E1D95"/>
    <w:rsid w:val="002E25FB"/>
    <w:rsid w:val="002E285A"/>
    <w:rsid w:val="002E2A50"/>
    <w:rsid w:val="002E35E3"/>
    <w:rsid w:val="002E36BA"/>
    <w:rsid w:val="002E383C"/>
    <w:rsid w:val="002E39E9"/>
    <w:rsid w:val="002E3CE7"/>
    <w:rsid w:val="002E49AF"/>
    <w:rsid w:val="002E4C52"/>
    <w:rsid w:val="002E50D4"/>
    <w:rsid w:val="002E7501"/>
    <w:rsid w:val="002F011A"/>
    <w:rsid w:val="002F06AC"/>
    <w:rsid w:val="002F06D4"/>
    <w:rsid w:val="002F18A4"/>
    <w:rsid w:val="002F1FF4"/>
    <w:rsid w:val="002F2D29"/>
    <w:rsid w:val="002F3262"/>
    <w:rsid w:val="002F342C"/>
    <w:rsid w:val="002F3C3B"/>
    <w:rsid w:val="002F3C50"/>
    <w:rsid w:val="002F4E36"/>
    <w:rsid w:val="002F514B"/>
    <w:rsid w:val="002F57DB"/>
    <w:rsid w:val="002F688A"/>
    <w:rsid w:val="002F7048"/>
    <w:rsid w:val="002F76EC"/>
    <w:rsid w:val="002F7F12"/>
    <w:rsid w:val="00301D5F"/>
    <w:rsid w:val="003022C1"/>
    <w:rsid w:val="00302D82"/>
    <w:rsid w:val="00303080"/>
    <w:rsid w:val="00303104"/>
    <w:rsid w:val="00303D7C"/>
    <w:rsid w:val="00304A7B"/>
    <w:rsid w:val="00305713"/>
    <w:rsid w:val="00305C3C"/>
    <w:rsid w:val="00306C4C"/>
    <w:rsid w:val="00307FBC"/>
    <w:rsid w:val="00310777"/>
    <w:rsid w:val="00310E36"/>
    <w:rsid w:val="00310FFE"/>
    <w:rsid w:val="00311731"/>
    <w:rsid w:val="00311D5E"/>
    <w:rsid w:val="00312254"/>
    <w:rsid w:val="00312968"/>
    <w:rsid w:val="00312FB3"/>
    <w:rsid w:val="00313F9D"/>
    <w:rsid w:val="00314060"/>
    <w:rsid w:val="00315290"/>
    <w:rsid w:val="00315975"/>
    <w:rsid w:val="00315D17"/>
    <w:rsid w:val="00315D4F"/>
    <w:rsid w:val="003164C2"/>
    <w:rsid w:val="00316B20"/>
    <w:rsid w:val="00316D78"/>
    <w:rsid w:val="00316E34"/>
    <w:rsid w:val="00317236"/>
    <w:rsid w:val="00320416"/>
    <w:rsid w:val="0032066E"/>
    <w:rsid w:val="0032141B"/>
    <w:rsid w:val="0032221D"/>
    <w:rsid w:val="0032266E"/>
    <w:rsid w:val="00322FCF"/>
    <w:rsid w:val="003232DC"/>
    <w:rsid w:val="0032389A"/>
    <w:rsid w:val="00324CED"/>
    <w:rsid w:val="0032570A"/>
    <w:rsid w:val="00325907"/>
    <w:rsid w:val="00325CCE"/>
    <w:rsid w:val="00325F16"/>
    <w:rsid w:val="0032677D"/>
    <w:rsid w:val="00326CE0"/>
    <w:rsid w:val="00326E4F"/>
    <w:rsid w:val="00327298"/>
    <w:rsid w:val="00330241"/>
    <w:rsid w:val="0033054D"/>
    <w:rsid w:val="00330C7E"/>
    <w:rsid w:val="00330CE8"/>
    <w:rsid w:val="00331981"/>
    <w:rsid w:val="00331A19"/>
    <w:rsid w:val="00331C76"/>
    <w:rsid w:val="00332057"/>
    <w:rsid w:val="00333B70"/>
    <w:rsid w:val="00333C07"/>
    <w:rsid w:val="003340D7"/>
    <w:rsid w:val="003340EF"/>
    <w:rsid w:val="00334132"/>
    <w:rsid w:val="00334C92"/>
    <w:rsid w:val="00334FF1"/>
    <w:rsid w:val="00335F4E"/>
    <w:rsid w:val="003361A8"/>
    <w:rsid w:val="00337593"/>
    <w:rsid w:val="00337682"/>
    <w:rsid w:val="00337C2F"/>
    <w:rsid w:val="00337CE5"/>
    <w:rsid w:val="00340838"/>
    <w:rsid w:val="003415DE"/>
    <w:rsid w:val="0034297F"/>
    <w:rsid w:val="00342F53"/>
    <w:rsid w:val="0034364A"/>
    <w:rsid w:val="00343E08"/>
    <w:rsid w:val="0034427A"/>
    <w:rsid w:val="00344636"/>
    <w:rsid w:val="00344D88"/>
    <w:rsid w:val="00344F05"/>
    <w:rsid w:val="00345355"/>
    <w:rsid w:val="003457C5"/>
    <w:rsid w:val="003469B2"/>
    <w:rsid w:val="003471D2"/>
    <w:rsid w:val="00347B58"/>
    <w:rsid w:val="0035011E"/>
    <w:rsid w:val="00350EEB"/>
    <w:rsid w:val="0035118B"/>
    <w:rsid w:val="00351246"/>
    <w:rsid w:val="00351315"/>
    <w:rsid w:val="003513BC"/>
    <w:rsid w:val="0035157F"/>
    <w:rsid w:val="003521B1"/>
    <w:rsid w:val="00352B8D"/>
    <w:rsid w:val="00352E05"/>
    <w:rsid w:val="00353809"/>
    <w:rsid w:val="00353A4E"/>
    <w:rsid w:val="00354922"/>
    <w:rsid w:val="00355437"/>
    <w:rsid w:val="003555A2"/>
    <w:rsid w:val="00355A8A"/>
    <w:rsid w:val="00355EBB"/>
    <w:rsid w:val="0035611C"/>
    <w:rsid w:val="0035650E"/>
    <w:rsid w:val="00356F15"/>
    <w:rsid w:val="00357062"/>
    <w:rsid w:val="0035722C"/>
    <w:rsid w:val="0036000E"/>
    <w:rsid w:val="00360315"/>
    <w:rsid w:val="00360382"/>
    <w:rsid w:val="00360750"/>
    <w:rsid w:val="0036119E"/>
    <w:rsid w:val="00361DE2"/>
    <w:rsid w:val="00362526"/>
    <w:rsid w:val="00362F85"/>
    <w:rsid w:val="00363A4C"/>
    <w:rsid w:val="00364630"/>
    <w:rsid w:val="003657CC"/>
    <w:rsid w:val="00365E0B"/>
    <w:rsid w:val="00366097"/>
    <w:rsid w:val="0036776D"/>
    <w:rsid w:val="0037031D"/>
    <w:rsid w:val="00370426"/>
    <w:rsid w:val="0037193C"/>
    <w:rsid w:val="00372737"/>
    <w:rsid w:val="0037296D"/>
    <w:rsid w:val="003733D2"/>
    <w:rsid w:val="00374B82"/>
    <w:rsid w:val="00375413"/>
    <w:rsid w:val="00375635"/>
    <w:rsid w:val="003759AD"/>
    <w:rsid w:val="0037697C"/>
    <w:rsid w:val="00376CD6"/>
    <w:rsid w:val="00376EBD"/>
    <w:rsid w:val="00376F99"/>
    <w:rsid w:val="00377C51"/>
    <w:rsid w:val="00377D84"/>
    <w:rsid w:val="003810FA"/>
    <w:rsid w:val="00381791"/>
    <w:rsid w:val="00382717"/>
    <w:rsid w:val="0038425B"/>
    <w:rsid w:val="00384456"/>
    <w:rsid w:val="00386049"/>
    <w:rsid w:val="0038664B"/>
    <w:rsid w:val="00386F0D"/>
    <w:rsid w:val="003874EE"/>
    <w:rsid w:val="00390469"/>
    <w:rsid w:val="00393EC1"/>
    <w:rsid w:val="00394122"/>
    <w:rsid w:val="003942DE"/>
    <w:rsid w:val="003948F2"/>
    <w:rsid w:val="003954A4"/>
    <w:rsid w:val="00395A9C"/>
    <w:rsid w:val="00395F95"/>
    <w:rsid w:val="00397645"/>
    <w:rsid w:val="00397CE8"/>
    <w:rsid w:val="003A06B6"/>
    <w:rsid w:val="003A1124"/>
    <w:rsid w:val="003A121E"/>
    <w:rsid w:val="003A1804"/>
    <w:rsid w:val="003A1933"/>
    <w:rsid w:val="003A1E77"/>
    <w:rsid w:val="003A2221"/>
    <w:rsid w:val="003A4975"/>
    <w:rsid w:val="003A4F59"/>
    <w:rsid w:val="003A5BAC"/>
    <w:rsid w:val="003A6825"/>
    <w:rsid w:val="003A78CC"/>
    <w:rsid w:val="003A78F4"/>
    <w:rsid w:val="003A7AB2"/>
    <w:rsid w:val="003A7C6C"/>
    <w:rsid w:val="003B073E"/>
    <w:rsid w:val="003B1063"/>
    <w:rsid w:val="003B1271"/>
    <w:rsid w:val="003B1DCD"/>
    <w:rsid w:val="003B27F9"/>
    <w:rsid w:val="003B2F96"/>
    <w:rsid w:val="003B4263"/>
    <w:rsid w:val="003B6229"/>
    <w:rsid w:val="003B65F7"/>
    <w:rsid w:val="003B68E2"/>
    <w:rsid w:val="003B7152"/>
    <w:rsid w:val="003B76D4"/>
    <w:rsid w:val="003B7C5E"/>
    <w:rsid w:val="003C0082"/>
    <w:rsid w:val="003C04D8"/>
    <w:rsid w:val="003C0CF9"/>
    <w:rsid w:val="003C1F3C"/>
    <w:rsid w:val="003C2846"/>
    <w:rsid w:val="003C2C65"/>
    <w:rsid w:val="003C49DD"/>
    <w:rsid w:val="003C53BB"/>
    <w:rsid w:val="003C6559"/>
    <w:rsid w:val="003C6C8D"/>
    <w:rsid w:val="003C7B77"/>
    <w:rsid w:val="003D1578"/>
    <w:rsid w:val="003D1B93"/>
    <w:rsid w:val="003D1EDB"/>
    <w:rsid w:val="003D1FD5"/>
    <w:rsid w:val="003D2736"/>
    <w:rsid w:val="003D4360"/>
    <w:rsid w:val="003D51F7"/>
    <w:rsid w:val="003D6434"/>
    <w:rsid w:val="003D64A7"/>
    <w:rsid w:val="003D6690"/>
    <w:rsid w:val="003D6B98"/>
    <w:rsid w:val="003D7398"/>
    <w:rsid w:val="003E123A"/>
    <w:rsid w:val="003E23D0"/>
    <w:rsid w:val="003E23D4"/>
    <w:rsid w:val="003E2EC5"/>
    <w:rsid w:val="003E4058"/>
    <w:rsid w:val="003E6081"/>
    <w:rsid w:val="003E7337"/>
    <w:rsid w:val="003E7546"/>
    <w:rsid w:val="003E782B"/>
    <w:rsid w:val="003E7891"/>
    <w:rsid w:val="003E7B76"/>
    <w:rsid w:val="003E7D1C"/>
    <w:rsid w:val="003F12E1"/>
    <w:rsid w:val="003F1915"/>
    <w:rsid w:val="003F1AE1"/>
    <w:rsid w:val="003F1BA4"/>
    <w:rsid w:val="003F2342"/>
    <w:rsid w:val="003F2BF7"/>
    <w:rsid w:val="003F3F65"/>
    <w:rsid w:val="003F4168"/>
    <w:rsid w:val="003F4F7D"/>
    <w:rsid w:val="003F52AE"/>
    <w:rsid w:val="003F65F0"/>
    <w:rsid w:val="003F72B3"/>
    <w:rsid w:val="003F791C"/>
    <w:rsid w:val="004001F2"/>
    <w:rsid w:val="00400B75"/>
    <w:rsid w:val="00400BEC"/>
    <w:rsid w:val="004016B6"/>
    <w:rsid w:val="00401748"/>
    <w:rsid w:val="00401D1E"/>
    <w:rsid w:val="004029A5"/>
    <w:rsid w:val="00402D73"/>
    <w:rsid w:val="004033BA"/>
    <w:rsid w:val="00403D11"/>
    <w:rsid w:val="00403E99"/>
    <w:rsid w:val="00404A62"/>
    <w:rsid w:val="004054BA"/>
    <w:rsid w:val="0040598F"/>
    <w:rsid w:val="00405D66"/>
    <w:rsid w:val="00407BEB"/>
    <w:rsid w:val="00407C6E"/>
    <w:rsid w:val="00407F61"/>
    <w:rsid w:val="004105F9"/>
    <w:rsid w:val="004108FD"/>
    <w:rsid w:val="00411A12"/>
    <w:rsid w:val="00411D11"/>
    <w:rsid w:val="00412CDA"/>
    <w:rsid w:val="0041335B"/>
    <w:rsid w:val="00413663"/>
    <w:rsid w:val="00413F5F"/>
    <w:rsid w:val="00414015"/>
    <w:rsid w:val="00414B5A"/>
    <w:rsid w:val="00416A1A"/>
    <w:rsid w:val="00416B08"/>
    <w:rsid w:val="00416B1C"/>
    <w:rsid w:val="00416FF7"/>
    <w:rsid w:val="00417724"/>
    <w:rsid w:val="0042024A"/>
    <w:rsid w:val="00421091"/>
    <w:rsid w:val="00421AB4"/>
    <w:rsid w:val="00422161"/>
    <w:rsid w:val="004221CA"/>
    <w:rsid w:val="00422E6C"/>
    <w:rsid w:val="0042339E"/>
    <w:rsid w:val="0042392F"/>
    <w:rsid w:val="00423D8F"/>
    <w:rsid w:val="00423ECA"/>
    <w:rsid w:val="0042438C"/>
    <w:rsid w:val="00424560"/>
    <w:rsid w:val="00424B86"/>
    <w:rsid w:val="00424BEA"/>
    <w:rsid w:val="00424CC2"/>
    <w:rsid w:val="00425128"/>
    <w:rsid w:val="00426859"/>
    <w:rsid w:val="0042689C"/>
    <w:rsid w:val="004278A7"/>
    <w:rsid w:val="00427983"/>
    <w:rsid w:val="004279A7"/>
    <w:rsid w:val="0043006A"/>
    <w:rsid w:val="00430184"/>
    <w:rsid w:val="00430877"/>
    <w:rsid w:val="00432665"/>
    <w:rsid w:val="0043287C"/>
    <w:rsid w:val="004342EB"/>
    <w:rsid w:val="004347D3"/>
    <w:rsid w:val="00434C31"/>
    <w:rsid w:val="00434CC2"/>
    <w:rsid w:val="00435CEF"/>
    <w:rsid w:val="00437049"/>
    <w:rsid w:val="004377AA"/>
    <w:rsid w:val="00440AAC"/>
    <w:rsid w:val="004417B4"/>
    <w:rsid w:val="00441994"/>
    <w:rsid w:val="00442087"/>
    <w:rsid w:val="00442176"/>
    <w:rsid w:val="0044233C"/>
    <w:rsid w:val="0044255A"/>
    <w:rsid w:val="0044371E"/>
    <w:rsid w:val="00444425"/>
    <w:rsid w:val="00444C5E"/>
    <w:rsid w:val="00444D1B"/>
    <w:rsid w:val="00445BCE"/>
    <w:rsid w:val="004465B6"/>
    <w:rsid w:val="00446B02"/>
    <w:rsid w:val="00446BA7"/>
    <w:rsid w:val="00446E98"/>
    <w:rsid w:val="00447222"/>
    <w:rsid w:val="004475DD"/>
    <w:rsid w:val="00447A4A"/>
    <w:rsid w:val="00447C21"/>
    <w:rsid w:val="0045028B"/>
    <w:rsid w:val="00450A9F"/>
    <w:rsid w:val="00451282"/>
    <w:rsid w:val="00453089"/>
    <w:rsid w:val="004532C7"/>
    <w:rsid w:val="00453545"/>
    <w:rsid w:val="004538D6"/>
    <w:rsid w:val="00453A14"/>
    <w:rsid w:val="00454367"/>
    <w:rsid w:val="00454F3B"/>
    <w:rsid w:val="00456782"/>
    <w:rsid w:val="00456E86"/>
    <w:rsid w:val="0045792F"/>
    <w:rsid w:val="004579C3"/>
    <w:rsid w:val="004603DB"/>
    <w:rsid w:val="0046069A"/>
    <w:rsid w:val="00460949"/>
    <w:rsid w:val="004613F4"/>
    <w:rsid w:val="0046239C"/>
    <w:rsid w:val="0046371A"/>
    <w:rsid w:val="00463AB8"/>
    <w:rsid w:val="004645E8"/>
    <w:rsid w:val="0046488B"/>
    <w:rsid w:val="00464B1E"/>
    <w:rsid w:val="00464D25"/>
    <w:rsid w:val="00464DC4"/>
    <w:rsid w:val="00464E65"/>
    <w:rsid w:val="00464EE2"/>
    <w:rsid w:val="00465823"/>
    <w:rsid w:val="004677FD"/>
    <w:rsid w:val="00470763"/>
    <w:rsid w:val="0047098C"/>
    <w:rsid w:val="00470A48"/>
    <w:rsid w:val="00470C5B"/>
    <w:rsid w:val="00470D2B"/>
    <w:rsid w:val="00470D30"/>
    <w:rsid w:val="00472419"/>
    <w:rsid w:val="00472F4F"/>
    <w:rsid w:val="00473267"/>
    <w:rsid w:val="0047383A"/>
    <w:rsid w:val="00473C72"/>
    <w:rsid w:val="0047613D"/>
    <w:rsid w:val="00476EF1"/>
    <w:rsid w:val="00480E4F"/>
    <w:rsid w:val="00482F2A"/>
    <w:rsid w:val="00483303"/>
    <w:rsid w:val="00486763"/>
    <w:rsid w:val="00486ADC"/>
    <w:rsid w:val="0048749A"/>
    <w:rsid w:val="0049266B"/>
    <w:rsid w:val="004935DE"/>
    <w:rsid w:val="0049371E"/>
    <w:rsid w:val="004939F1"/>
    <w:rsid w:val="004947F4"/>
    <w:rsid w:val="00495817"/>
    <w:rsid w:val="00495FB7"/>
    <w:rsid w:val="00496781"/>
    <w:rsid w:val="004A1486"/>
    <w:rsid w:val="004A15FD"/>
    <w:rsid w:val="004A192F"/>
    <w:rsid w:val="004A2853"/>
    <w:rsid w:val="004A31B4"/>
    <w:rsid w:val="004A4774"/>
    <w:rsid w:val="004A5317"/>
    <w:rsid w:val="004A55D1"/>
    <w:rsid w:val="004A5A23"/>
    <w:rsid w:val="004A62A2"/>
    <w:rsid w:val="004A73F7"/>
    <w:rsid w:val="004B0476"/>
    <w:rsid w:val="004B07F4"/>
    <w:rsid w:val="004B1020"/>
    <w:rsid w:val="004B1080"/>
    <w:rsid w:val="004B172A"/>
    <w:rsid w:val="004B1CB5"/>
    <w:rsid w:val="004B1D92"/>
    <w:rsid w:val="004B2181"/>
    <w:rsid w:val="004B3488"/>
    <w:rsid w:val="004B4A8E"/>
    <w:rsid w:val="004B5387"/>
    <w:rsid w:val="004B5945"/>
    <w:rsid w:val="004B68D2"/>
    <w:rsid w:val="004B6EE6"/>
    <w:rsid w:val="004B77CD"/>
    <w:rsid w:val="004C0BE3"/>
    <w:rsid w:val="004C112A"/>
    <w:rsid w:val="004C1B24"/>
    <w:rsid w:val="004C1CFA"/>
    <w:rsid w:val="004C1D9C"/>
    <w:rsid w:val="004C2C5F"/>
    <w:rsid w:val="004C2DEF"/>
    <w:rsid w:val="004C3228"/>
    <w:rsid w:val="004C3693"/>
    <w:rsid w:val="004C383E"/>
    <w:rsid w:val="004C5B0F"/>
    <w:rsid w:val="004C6FF9"/>
    <w:rsid w:val="004C72A6"/>
    <w:rsid w:val="004C7E0E"/>
    <w:rsid w:val="004C7EB1"/>
    <w:rsid w:val="004D0475"/>
    <w:rsid w:val="004D0A45"/>
    <w:rsid w:val="004D10FA"/>
    <w:rsid w:val="004D1B88"/>
    <w:rsid w:val="004D1BF4"/>
    <w:rsid w:val="004D1FF6"/>
    <w:rsid w:val="004D2996"/>
    <w:rsid w:val="004D2B93"/>
    <w:rsid w:val="004D3462"/>
    <w:rsid w:val="004D5A34"/>
    <w:rsid w:val="004D5D96"/>
    <w:rsid w:val="004D636C"/>
    <w:rsid w:val="004D67E5"/>
    <w:rsid w:val="004D7D39"/>
    <w:rsid w:val="004D7F1C"/>
    <w:rsid w:val="004E04E5"/>
    <w:rsid w:val="004E09BB"/>
    <w:rsid w:val="004E1198"/>
    <w:rsid w:val="004E1F1E"/>
    <w:rsid w:val="004E377A"/>
    <w:rsid w:val="004E3818"/>
    <w:rsid w:val="004E3B16"/>
    <w:rsid w:val="004E3CFF"/>
    <w:rsid w:val="004E60E0"/>
    <w:rsid w:val="004E71C8"/>
    <w:rsid w:val="004F015F"/>
    <w:rsid w:val="004F038E"/>
    <w:rsid w:val="004F19D0"/>
    <w:rsid w:val="004F2C76"/>
    <w:rsid w:val="004F3378"/>
    <w:rsid w:val="004F40AE"/>
    <w:rsid w:val="004F42E3"/>
    <w:rsid w:val="004F4523"/>
    <w:rsid w:val="004F4721"/>
    <w:rsid w:val="004F4B3F"/>
    <w:rsid w:val="004F523D"/>
    <w:rsid w:val="004F5663"/>
    <w:rsid w:val="004F6F1D"/>
    <w:rsid w:val="004F73E5"/>
    <w:rsid w:val="004F742C"/>
    <w:rsid w:val="0050014D"/>
    <w:rsid w:val="005015D1"/>
    <w:rsid w:val="00501746"/>
    <w:rsid w:val="005021B6"/>
    <w:rsid w:val="005028DA"/>
    <w:rsid w:val="00503272"/>
    <w:rsid w:val="00503319"/>
    <w:rsid w:val="00503582"/>
    <w:rsid w:val="00504F47"/>
    <w:rsid w:val="005057D7"/>
    <w:rsid w:val="005077B6"/>
    <w:rsid w:val="005079EC"/>
    <w:rsid w:val="00507EC1"/>
    <w:rsid w:val="005104B5"/>
    <w:rsid w:val="00510D25"/>
    <w:rsid w:val="005111A1"/>
    <w:rsid w:val="00513052"/>
    <w:rsid w:val="00513A5F"/>
    <w:rsid w:val="0051420D"/>
    <w:rsid w:val="00516B52"/>
    <w:rsid w:val="005174B9"/>
    <w:rsid w:val="005176AE"/>
    <w:rsid w:val="0052082B"/>
    <w:rsid w:val="005222AE"/>
    <w:rsid w:val="005225E8"/>
    <w:rsid w:val="00522911"/>
    <w:rsid w:val="005232D2"/>
    <w:rsid w:val="00523681"/>
    <w:rsid w:val="00524346"/>
    <w:rsid w:val="00526218"/>
    <w:rsid w:val="0052644C"/>
    <w:rsid w:val="0052766B"/>
    <w:rsid w:val="00527B1E"/>
    <w:rsid w:val="005305D1"/>
    <w:rsid w:val="0053135D"/>
    <w:rsid w:val="0053155D"/>
    <w:rsid w:val="005316A8"/>
    <w:rsid w:val="00531807"/>
    <w:rsid w:val="005322E3"/>
    <w:rsid w:val="00533563"/>
    <w:rsid w:val="0053374D"/>
    <w:rsid w:val="0053503B"/>
    <w:rsid w:val="00535326"/>
    <w:rsid w:val="00535600"/>
    <w:rsid w:val="00535886"/>
    <w:rsid w:val="00535909"/>
    <w:rsid w:val="005359F0"/>
    <w:rsid w:val="005361DA"/>
    <w:rsid w:val="005372CE"/>
    <w:rsid w:val="0053753A"/>
    <w:rsid w:val="00537CF9"/>
    <w:rsid w:val="00540B61"/>
    <w:rsid w:val="00540FD9"/>
    <w:rsid w:val="005412A1"/>
    <w:rsid w:val="00541456"/>
    <w:rsid w:val="0054270C"/>
    <w:rsid w:val="00542930"/>
    <w:rsid w:val="00542974"/>
    <w:rsid w:val="00542A84"/>
    <w:rsid w:val="0054583C"/>
    <w:rsid w:val="0054599A"/>
    <w:rsid w:val="00545FEF"/>
    <w:rsid w:val="00550959"/>
    <w:rsid w:val="00551830"/>
    <w:rsid w:val="0055192E"/>
    <w:rsid w:val="00551AEC"/>
    <w:rsid w:val="00552AF2"/>
    <w:rsid w:val="005531D6"/>
    <w:rsid w:val="00553438"/>
    <w:rsid w:val="0055396F"/>
    <w:rsid w:val="00553A93"/>
    <w:rsid w:val="00553B3E"/>
    <w:rsid w:val="00553FBE"/>
    <w:rsid w:val="00554A35"/>
    <w:rsid w:val="00555640"/>
    <w:rsid w:val="00555C66"/>
    <w:rsid w:val="00556188"/>
    <w:rsid w:val="00557925"/>
    <w:rsid w:val="005600AF"/>
    <w:rsid w:val="005607C9"/>
    <w:rsid w:val="00560C71"/>
    <w:rsid w:val="00560EE1"/>
    <w:rsid w:val="00561FB0"/>
    <w:rsid w:val="00562738"/>
    <w:rsid w:val="00564ECA"/>
    <w:rsid w:val="0056539B"/>
    <w:rsid w:val="005660C3"/>
    <w:rsid w:val="00566C92"/>
    <w:rsid w:val="00566FEA"/>
    <w:rsid w:val="00567320"/>
    <w:rsid w:val="00570028"/>
    <w:rsid w:val="0057058A"/>
    <w:rsid w:val="0057060E"/>
    <w:rsid w:val="00570C21"/>
    <w:rsid w:val="0057134B"/>
    <w:rsid w:val="005719FE"/>
    <w:rsid w:val="00571E82"/>
    <w:rsid w:val="0057298B"/>
    <w:rsid w:val="00575137"/>
    <w:rsid w:val="00580601"/>
    <w:rsid w:val="00580882"/>
    <w:rsid w:val="00581AB7"/>
    <w:rsid w:val="0058203E"/>
    <w:rsid w:val="00582780"/>
    <w:rsid w:val="00582F84"/>
    <w:rsid w:val="00583406"/>
    <w:rsid w:val="00584160"/>
    <w:rsid w:val="00584412"/>
    <w:rsid w:val="005855A4"/>
    <w:rsid w:val="00586DC8"/>
    <w:rsid w:val="00586EA6"/>
    <w:rsid w:val="00587B90"/>
    <w:rsid w:val="005901DF"/>
    <w:rsid w:val="00590A24"/>
    <w:rsid w:val="00591385"/>
    <w:rsid w:val="00592448"/>
    <w:rsid w:val="00592AB7"/>
    <w:rsid w:val="00592DA6"/>
    <w:rsid w:val="005939C1"/>
    <w:rsid w:val="00594037"/>
    <w:rsid w:val="00596152"/>
    <w:rsid w:val="0059654D"/>
    <w:rsid w:val="005968BC"/>
    <w:rsid w:val="00596935"/>
    <w:rsid w:val="0059787F"/>
    <w:rsid w:val="005A060F"/>
    <w:rsid w:val="005A0C80"/>
    <w:rsid w:val="005A3CB9"/>
    <w:rsid w:val="005A49EE"/>
    <w:rsid w:val="005A5012"/>
    <w:rsid w:val="005A62C0"/>
    <w:rsid w:val="005A7021"/>
    <w:rsid w:val="005A730E"/>
    <w:rsid w:val="005A7418"/>
    <w:rsid w:val="005A7BEB"/>
    <w:rsid w:val="005B033B"/>
    <w:rsid w:val="005B0889"/>
    <w:rsid w:val="005B08A7"/>
    <w:rsid w:val="005B0EB0"/>
    <w:rsid w:val="005B184C"/>
    <w:rsid w:val="005B2CBE"/>
    <w:rsid w:val="005B3672"/>
    <w:rsid w:val="005B46BB"/>
    <w:rsid w:val="005B4D64"/>
    <w:rsid w:val="005B52BB"/>
    <w:rsid w:val="005B6EDB"/>
    <w:rsid w:val="005B72E1"/>
    <w:rsid w:val="005B7A33"/>
    <w:rsid w:val="005C0568"/>
    <w:rsid w:val="005C0E2E"/>
    <w:rsid w:val="005C1F7C"/>
    <w:rsid w:val="005C30ED"/>
    <w:rsid w:val="005C35F4"/>
    <w:rsid w:val="005C389E"/>
    <w:rsid w:val="005C38C4"/>
    <w:rsid w:val="005C404A"/>
    <w:rsid w:val="005C4613"/>
    <w:rsid w:val="005C5628"/>
    <w:rsid w:val="005C56B8"/>
    <w:rsid w:val="005C5FFC"/>
    <w:rsid w:val="005C7A82"/>
    <w:rsid w:val="005C7DF8"/>
    <w:rsid w:val="005D0F52"/>
    <w:rsid w:val="005D140A"/>
    <w:rsid w:val="005D1825"/>
    <w:rsid w:val="005D1995"/>
    <w:rsid w:val="005D1FC1"/>
    <w:rsid w:val="005D1FFA"/>
    <w:rsid w:val="005D20DC"/>
    <w:rsid w:val="005D2B8D"/>
    <w:rsid w:val="005D2ED8"/>
    <w:rsid w:val="005D368E"/>
    <w:rsid w:val="005D4D06"/>
    <w:rsid w:val="005D6BCB"/>
    <w:rsid w:val="005D7275"/>
    <w:rsid w:val="005D79E8"/>
    <w:rsid w:val="005E05F5"/>
    <w:rsid w:val="005E0D57"/>
    <w:rsid w:val="005E114B"/>
    <w:rsid w:val="005E1293"/>
    <w:rsid w:val="005E13EF"/>
    <w:rsid w:val="005E15EE"/>
    <w:rsid w:val="005E19FC"/>
    <w:rsid w:val="005E1FD5"/>
    <w:rsid w:val="005E2228"/>
    <w:rsid w:val="005E26B2"/>
    <w:rsid w:val="005E27A1"/>
    <w:rsid w:val="005E3B41"/>
    <w:rsid w:val="005E3BFE"/>
    <w:rsid w:val="005E41D8"/>
    <w:rsid w:val="005E443A"/>
    <w:rsid w:val="005E4758"/>
    <w:rsid w:val="005E4D36"/>
    <w:rsid w:val="005E611D"/>
    <w:rsid w:val="005E678A"/>
    <w:rsid w:val="005E6CAC"/>
    <w:rsid w:val="005E7508"/>
    <w:rsid w:val="005F04BC"/>
    <w:rsid w:val="005F0953"/>
    <w:rsid w:val="005F0B95"/>
    <w:rsid w:val="005F1C1E"/>
    <w:rsid w:val="005F2D3D"/>
    <w:rsid w:val="005F6015"/>
    <w:rsid w:val="005F63CB"/>
    <w:rsid w:val="005F671E"/>
    <w:rsid w:val="005F7065"/>
    <w:rsid w:val="005F7447"/>
    <w:rsid w:val="005F74E5"/>
    <w:rsid w:val="005F7652"/>
    <w:rsid w:val="005F7673"/>
    <w:rsid w:val="005F7B56"/>
    <w:rsid w:val="006003F3"/>
    <w:rsid w:val="0060046B"/>
    <w:rsid w:val="00600E9D"/>
    <w:rsid w:val="006012CF"/>
    <w:rsid w:val="00601604"/>
    <w:rsid w:val="00601A11"/>
    <w:rsid w:val="0060264A"/>
    <w:rsid w:val="006028F4"/>
    <w:rsid w:val="006030C2"/>
    <w:rsid w:val="006041AF"/>
    <w:rsid w:val="006046ED"/>
    <w:rsid w:val="00604AC0"/>
    <w:rsid w:val="00605C6D"/>
    <w:rsid w:val="00606621"/>
    <w:rsid w:val="00606A4E"/>
    <w:rsid w:val="006075AF"/>
    <w:rsid w:val="00607DCB"/>
    <w:rsid w:val="006105D8"/>
    <w:rsid w:val="0061117D"/>
    <w:rsid w:val="00611587"/>
    <w:rsid w:val="006125E6"/>
    <w:rsid w:val="00612CA7"/>
    <w:rsid w:val="006131AC"/>
    <w:rsid w:val="006137D6"/>
    <w:rsid w:val="00615B29"/>
    <w:rsid w:val="00615EEC"/>
    <w:rsid w:val="00616644"/>
    <w:rsid w:val="00616D44"/>
    <w:rsid w:val="00620DD5"/>
    <w:rsid w:val="006225B6"/>
    <w:rsid w:val="00622FF8"/>
    <w:rsid w:val="00623290"/>
    <w:rsid w:val="006232A0"/>
    <w:rsid w:val="0062349C"/>
    <w:rsid w:val="00623AFF"/>
    <w:rsid w:val="00623B15"/>
    <w:rsid w:val="00623C1E"/>
    <w:rsid w:val="00623E1B"/>
    <w:rsid w:val="006240DA"/>
    <w:rsid w:val="00624C00"/>
    <w:rsid w:val="00625202"/>
    <w:rsid w:val="006252C0"/>
    <w:rsid w:val="00625546"/>
    <w:rsid w:val="0062762B"/>
    <w:rsid w:val="00630055"/>
    <w:rsid w:val="00630CDF"/>
    <w:rsid w:val="00630DCF"/>
    <w:rsid w:val="0063191C"/>
    <w:rsid w:val="0063204F"/>
    <w:rsid w:val="00632077"/>
    <w:rsid w:val="00632AB0"/>
    <w:rsid w:val="00632D1C"/>
    <w:rsid w:val="00633D22"/>
    <w:rsid w:val="00634B49"/>
    <w:rsid w:val="00634F90"/>
    <w:rsid w:val="00635426"/>
    <w:rsid w:val="006355CC"/>
    <w:rsid w:val="006374FB"/>
    <w:rsid w:val="00637E81"/>
    <w:rsid w:val="0064141B"/>
    <w:rsid w:val="00642233"/>
    <w:rsid w:val="0064294F"/>
    <w:rsid w:val="00643366"/>
    <w:rsid w:val="00644BAE"/>
    <w:rsid w:val="00646859"/>
    <w:rsid w:val="00651FFA"/>
    <w:rsid w:val="006523EC"/>
    <w:rsid w:val="00653313"/>
    <w:rsid w:val="00654EFE"/>
    <w:rsid w:val="00655E8D"/>
    <w:rsid w:val="00655F5D"/>
    <w:rsid w:val="006560D2"/>
    <w:rsid w:val="00656AC8"/>
    <w:rsid w:val="006577BA"/>
    <w:rsid w:val="006578AC"/>
    <w:rsid w:val="00657C80"/>
    <w:rsid w:val="00660B7C"/>
    <w:rsid w:val="0066238E"/>
    <w:rsid w:val="00663927"/>
    <w:rsid w:val="006641E2"/>
    <w:rsid w:val="00665F85"/>
    <w:rsid w:val="0066676E"/>
    <w:rsid w:val="00667336"/>
    <w:rsid w:val="00667623"/>
    <w:rsid w:val="0066778C"/>
    <w:rsid w:val="006702EA"/>
    <w:rsid w:val="006707EC"/>
    <w:rsid w:val="0067132C"/>
    <w:rsid w:val="00672502"/>
    <w:rsid w:val="006726BB"/>
    <w:rsid w:val="00672C0D"/>
    <w:rsid w:val="00673731"/>
    <w:rsid w:val="006737E4"/>
    <w:rsid w:val="00673EC8"/>
    <w:rsid w:val="006746B8"/>
    <w:rsid w:val="00675197"/>
    <w:rsid w:val="0067737C"/>
    <w:rsid w:val="0067783C"/>
    <w:rsid w:val="00677C24"/>
    <w:rsid w:val="00677DC2"/>
    <w:rsid w:val="006803BF"/>
    <w:rsid w:val="006824E4"/>
    <w:rsid w:val="00682E1A"/>
    <w:rsid w:val="00683195"/>
    <w:rsid w:val="00683A5F"/>
    <w:rsid w:val="00684AC9"/>
    <w:rsid w:val="00684B76"/>
    <w:rsid w:val="00685E75"/>
    <w:rsid w:val="00687350"/>
    <w:rsid w:val="0068755D"/>
    <w:rsid w:val="00691CE3"/>
    <w:rsid w:val="00692218"/>
    <w:rsid w:val="00692B86"/>
    <w:rsid w:val="00692E63"/>
    <w:rsid w:val="00693160"/>
    <w:rsid w:val="006934D8"/>
    <w:rsid w:val="006935AA"/>
    <w:rsid w:val="00694429"/>
    <w:rsid w:val="00694D1A"/>
    <w:rsid w:val="00695C41"/>
    <w:rsid w:val="006960E7"/>
    <w:rsid w:val="006962CA"/>
    <w:rsid w:val="00697443"/>
    <w:rsid w:val="00697471"/>
    <w:rsid w:val="00697D0C"/>
    <w:rsid w:val="006A03EA"/>
    <w:rsid w:val="006A1C12"/>
    <w:rsid w:val="006A1C7C"/>
    <w:rsid w:val="006A1D20"/>
    <w:rsid w:val="006A355F"/>
    <w:rsid w:val="006A37B2"/>
    <w:rsid w:val="006A3A48"/>
    <w:rsid w:val="006A3E7C"/>
    <w:rsid w:val="006A45E7"/>
    <w:rsid w:val="006A4EC1"/>
    <w:rsid w:val="006A54BE"/>
    <w:rsid w:val="006A55EA"/>
    <w:rsid w:val="006A5A16"/>
    <w:rsid w:val="006A665A"/>
    <w:rsid w:val="006A771C"/>
    <w:rsid w:val="006B13B0"/>
    <w:rsid w:val="006B1477"/>
    <w:rsid w:val="006B1E37"/>
    <w:rsid w:val="006B2F62"/>
    <w:rsid w:val="006B3B6B"/>
    <w:rsid w:val="006B3F1A"/>
    <w:rsid w:val="006B4F9D"/>
    <w:rsid w:val="006C1910"/>
    <w:rsid w:val="006C19CB"/>
    <w:rsid w:val="006C1E18"/>
    <w:rsid w:val="006C23F9"/>
    <w:rsid w:val="006C25B2"/>
    <w:rsid w:val="006C323B"/>
    <w:rsid w:val="006C4213"/>
    <w:rsid w:val="006C55B5"/>
    <w:rsid w:val="006C5C1F"/>
    <w:rsid w:val="006C64AE"/>
    <w:rsid w:val="006C67F9"/>
    <w:rsid w:val="006C69F5"/>
    <w:rsid w:val="006C6F35"/>
    <w:rsid w:val="006D20B2"/>
    <w:rsid w:val="006D252C"/>
    <w:rsid w:val="006D31D3"/>
    <w:rsid w:val="006D3610"/>
    <w:rsid w:val="006D425C"/>
    <w:rsid w:val="006D4FFA"/>
    <w:rsid w:val="006D57BC"/>
    <w:rsid w:val="006D5CC8"/>
    <w:rsid w:val="006D6657"/>
    <w:rsid w:val="006D76D4"/>
    <w:rsid w:val="006E00C2"/>
    <w:rsid w:val="006E0CE4"/>
    <w:rsid w:val="006E39A0"/>
    <w:rsid w:val="006E52EC"/>
    <w:rsid w:val="006E5A20"/>
    <w:rsid w:val="006E6951"/>
    <w:rsid w:val="006E7118"/>
    <w:rsid w:val="006E72DC"/>
    <w:rsid w:val="006E77C0"/>
    <w:rsid w:val="006E7CD1"/>
    <w:rsid w:val="006E7EF6"/>
    <w:rsid w:val="006F0003"/>
    <w:rsid w:val="006F00EE"/>
    <w:rsid w:val="006F0272"/>
    <w:rsid w:val="006F03A1"/>
    <w:rsid w:val="006F0A9F"/>
    <w:rsid w:val="006F0EF5"/>
    <w:rsid w:val="006F179D"/>
    <w:rsid w:val="006F195D"/>
    <w:rsid w:val="006F1B73"/>
    <w:rsid w:val="006F1E66"/>
    <w:rsid w:val="006F39BA"/>
    <w:rsid w:val="006F4A9E"/>
    <w:rsid w:val="006F5D57"/>
    <w:rsid w:val="006F6768"/>
    <w:rsid w:val="006F6BBD"/>
    <w:rsid w:val="006F7E4E"/>
    <w:rsid w:val="00702AD5"/>
    <w:rsid w:val="00703406"/>
    <w:rsid w:val="007036C9"/>
    <w:rsid w:val="007038FB"/>
    <w:rsid w:val="007049DE"/>
    <w:rsid w:val="00704CC9"/>
    <w:rsid w:val="00705A05"/>
    <w:rsid w:val="00706341"/>
    <w:rsid w:val="00706F78"/>
    <w:rsid w:val="00707027"/>
    <w:rsid w:val="00707F10"/>
    <w:rsid w:val="00710D07"/>
    <w:rsid w:val="0071102A"/>
    <w:rsid w:val="00712499"/>
    <w:rsid w:val="00713153"/>
    <w:rsid w:val="0071333B"/>
    <w:rsid w:val="00715662"/>
    <w:rsid w:val="007156C3"/>
    <w:rsid w:val="00715D4A"/>
    <w:rsid w:val="00717543"/>
    <w:rsid w:val="0072065E"/>
    <w:rsid w:val="007206A8"/>
    <w:rsid w:val="00720A10"/>
    <w:rsid w:val="007213B1"/>
    <w:rsid w:val="0072244B"/>
    <w:rsid w:val="007224EC"/>
    <w:rsid w:val="007229E9"/>
    <w:rsid w:val="00724354"/>
    <w:rsid w:val="007252ED"/>
    <w:rsid w:val="0072591F"/>
    <w:rsid w:val="00726AE5"/>
    <w:rsid w:val="00727C9E"/>
    <w:rsid w:val="00727F9F"/>
    <w:rsid w:val="00732352"/>
    <w:rsid w:val="0073261F"/>
    <w:rsid w:val="007331CB"/>
    <w:rsid w:val="0073395D"/>
    <w:rsid w:val="00735BBE"/>
    <w:rsid w:val="0073688C"/>
    <w:rsid w:val="00737FC6"/>
    <w:rsid w:val="0074037F"/>
    <w:rsid w:val="00740986"/>
    <w:rsid w:val="007414C2"/>
    <w:rsid w:val="00742119"/>
    <w:rsid w:val="00742249"/>
    <w:rsid w:val="007424FF"/>
    <w:rsid w:val="00743551"/>
    <w:rsid w:val="00743935"/>
    <w:rsid w:val="00743B4A"/>
    <w:rsid w:val="00743CFF"/>
    <w:rsid w:val="007450F5"/>
    <w:rsid w:val="00745461"/>
    <w:rsid w:val="00745FF4"/>
    <w:rsid w:val="00746987"/>
    <w:rsid w:val="007476F2"/>
    <w:rsid w:val="00747F8F"/>
    <w:rsid w:val="007508D9"/>
    <w:rsid w:val="00752456"/>
    <w:rsid w:val="0075330F"/>
    <w:rsid w:val="00754E0D"/>
    <w:rsid w:val="007551D4"/>
    <w:rsid w:val="00755475"/>
    <w:rsid w:val="00756ECF"/>
    <w:rsid w:val="007571B8"/>
    <w:rsid w:val="007572E0"/>
    <w:rsid w:val="00757B9C"/>
    <w:rsid w:val="00757DDD"/>
    <w:rsid w:val="007601B3"/>
    <w:rsid w:val="007602AE"/>
    <w:rsid w:val="00760386"/>
    <w:rsid w:val="00760938"/>
    <w:rsid w:val="00761366"/>
    <w:rsid w:val="00761846"/>
    <w:rsid w:val="00762687"/>
    <w:rsid w:val="00762887"/>
    <w:rsid w:val="007632D5"/>
    <w:rsid w:val="00763BFB"/>
    <w:rsid w:val="00765DBB"/>
    <w:rsid w:val="0076623F"/>
    <w:rsid w:val="00766635"/>
    <w:rsid w:val="007668AC"/>
    <w:rsid w:val="00766F57"/>
    <w:rsid w:val="00767F7A"/>
    <w:rsid w:val="007701E3"/>
    <w:rsid w:val="00771FF1"/>
    <w:rsid w:val="007721A8"/>
    <w:rsid w:val="00772B7B"/>
    <w:rsid w:val="007730FE"/>
    <w:rsid w:val="00773E09"/>
    <w:rsid w:val="00774409"/>
    <w:rsid w:val="00774E0F"/>
    <w:rsid w:val="00774F6E"/>
    <w:rsid w:val="007754C4"/>
    <w:rsid w:val="00775501"/>
    <w:rsid w:val="00775777"/>
    <w:rsid w:val="00775D5B"/>
    <w:rsid w:val="007768D8"/>
    <w:rsid w:val="00776C6D"/>
    <w:rsid w:val="00776E29"/>
    <w:rsid w:val="00781E03"/>
    <w:rsid w:val="007823AF"/>
    <w:rsid w:val="00785856"/>
    <w:rsid w:val="00785E35"/>
    <w:rsid w:val="0079010F"/>
    <w:rsid w:val="00790453"/>
    <w:rsid w:val="00790461"/>
    <w:rsid w:val="007916C4"/>
    <w:rsid w:val="00791803"/>
    <w:rsid w:val="00791EC7"/>
    <w:rsid w:val="00793BAB"/>
    <w:rsid w:val="00793BC6"/>
    <w:rsid w:val="00793D38"/>
    <w:rsid w:val="00793E92"/>
    <w:rsid w:val="007949EA"/>
    <w:rsid w:val="00794D1F"/>
    <w:rsid w:val="00794F4B"/>
    <w:rsid w:val="00796319"/>
    <w:rsid w:val="007972D0"/>
    <w:rsid w:val="007A0B01"/>
    <w:rsid w:val="007A0B57"/>
    <w:rsid w:val="007A15B5"/>
    <w:rsid w:val="007A2762"/>
    <w:rsid w:val="007A2B0A"/>
    <w:rsid w:val="007A3C07"/>
    <w:rsid w:val="007A3CF1"/>
    <w:rsid w:val="007A4589"/>
    <w:rsid w:val="007A5AAD"/>
    <w:rsid w:val="007A60BE"/>
    <w:rsid w:val="007A6D54"/>
    <w:rsid w:val="007A7415"/>
    <w:rsid w:val="007A7D60"/>
    <w:rsid w:val="007B13DB"/>
    <w:rsid w:val="007B1699"/>
    <w:rsid w:val="007B1899"/>
    <w:rsid w:val="007B23BC"/>
    <w:rsid w:val="007B289D"/>
    <w:rsid w:val="007B289E"/>
    <w:rsid w:val="007B3022"/>
    <w:rsid w:val="007B327E"/>
    <w:rsid w:val="007B3315"/>
    <w:rsid w:val="007B51A8"/>
    <w:rsid w:val="007B621A"/>
    <w:rsid w:val="007B6286"/>
    <w:rsid w:val="007B6BF2"/>
    <w:rsid w:val="007B742F"/>
    <w:rsid w:val="007B787E"/>
    <w:rsid w:val="007C0819"/>
    <w:rsid w:val="007C08A0"/>
    <w:rsid w:val="007C2D1E"/>
    <w:rsid w:val="007C30E1"/>
    <w:rsid w:val="007C3C00"/>
    <w:rsid w:val="007C3C20"/>
    <w:rsid w:val="007C49F4"/>
    <w:rsid w:val="007C5A87"/>
    <w:rsid w:val="007C5E3B"/>
    <w:rsid w:val="007C73C4"/>
    <w:rsid w:val="007D0336"/>
    <w:rsid w:val="007D131F"/>
    <w:rsid w:val="007D14DA"/>
    <w:rsid w:val="007D1A54"/>
    <w:rsid w:val="007D2FD7"/>
    <w:rsid w:val="007D4279"/>
    <w:rsid w:val="007D44CC"/>
    <w:rsid w:val="007D4C71"/>
    <w:rsid w:val="007D5608"/>
    <w:rsid w:val="007D5C08"/>
    <w:rsid w:val="007D73B2"/>
    <w:rsid w:val="007E0670"/>
    <w:rsid w:val="007E0976"/>
    <w:rsid w:val="007E0A1C"/>
    <w:rsid w:val="007E1180"/>
    <w:rsid w:val="007E17EB"/>
    <w:rsid w:val="007E1FE5"/>
    <w:rsid w:val="007E45D7"/>
    <w:rsid w:val="007E4AAF"/>
    <w:rsid w:val="007E4AC5"/>
    <w:rsid w:val="007E571E"/>
    <w:rsid w:val="007E6583"/>
    <w:rsid w:val="007E6712"/>
    <w:rsid w:val="007E6F86"/>
    <w:rsid w:val="007E7C62"/>
    <w:rsid w:val="007E7EDE"/>
    <w:rsid w:val="007F0430"/>
    <w:rsid w:val="007F0C64"/>
    <w:rsid w:val="007F13D5"/>
    <w:rsid w:val="007F13EE"/>
    <w:rsid w:val="007F1B7D"/>
    <w:rsid w:val="007F1CF1"/>
    <w:rsid w:val="007F3F36"/>
    <w:rsid w:val="007F4137"/>
    <w:rsid w:val="007F4EF0"/>
    <w:rsid w:val="007F5A3D"/>
    <w:rsid w:val="007F6475"/>
    <w:rsid w:val="007F7F69"/>
    <w:rsid w:val="0080273B"/>
    <w:rsid w:val="00802960"/>
    <w:rsid w:val="00804038"/>
    <w:rsid w:val="0080407D"/>
    <w:rsid w:val="0080412D"/>
    <w:rsid w:val="00804B5B"/>
    <w:rsid w:val="008058C2"/>
    <w:rsid w:val="00805DDD"/>
    <w:rsid w:val="008062CF"/>
    <w:rsid w:val="0080769D"/>
    <w:rsid w:val="00807CC1"/>
    <w:rsid w:val="0081008C"/>
    <w:rsid w:val="008109D5"/>
    <w:rsid w:val="00810B36"/>
    <w:rsid w:val="00811374"/>
    <w:rsid w:val="00813663"/>
    <w:rsid w:val="00814833"/>
    <w:rsid w:val="008150B9"/>
    <w:rsid w:val="00815255"/>
    <w:rsid w:val="008162C6"/>
    <w:rsid w:val="00816310"/>
    <w:rsid w:val="00816B06"/>
    <w:rsid w:val="00817BA4"/>
    <w:rsid w:val="008223BD"/>
    <w:rsid w:val="00822524"/>
    <w:rsid w:val="008228E4"/>
    <w:rsid w:val="00825AA4"/>
    <w:rsid w:val="008261A6"/>
    <w:rsid w:val="008269E0"/>
    <w:rsid w:val="00827384"/>
    <w:rsid w:val="00827512"/>
    <w:rsid w:val="00830612"/>
    <w:rsid w:val="00830D19"/>
    <w:rsid w:val="00830DFB"/>
    <w:rsid w:val="00831003"/>
    <w:rsid w:val="00831CAC"/>
    <w:rsid w:val="00832885"/>
    <w:rsid w:val="0083297B"/>
    <w:rsid w:val="008353DC"/>
    <w:rsid w:val="008358F9"/>
    <w:rsid w:val="008363B8"/>
    <w:rsid w:val="008376BD"/>
    <w:rsid w:val="0083780C"/>
    <w:rsid w:val="008378B1"/>
    <w:rsid w:val="008419BE"/>
    <w:rsid w:val="008434A3"/>
    <w:rsid w:val="0084372A"/>
    <w:rsid w:val="00843D0F"/>
    <w:rsid w:val="00843D82"/>
    <w:rsid w:val="00843E29"/>
    <w:rsid w:val="00844317"/>
    <w:rsid w:val="008447C6"/>
    <w:rsid w:val="00844D5D"/>
    <w:rsid w:val="00844E3E"/>
    <w:rsid w:val="00845F57"/>
    <w:rsid w:val="00847CB8"/>
    <w:rsid w:val="00847E19"/>
    <w:rsid w:val="0085199A"/>
    <w:rsid w:val="008519DA"/>
    <w:rsid w:val="008520D6"/>
    <w:rsid w:val="00852123"/>
    <w:rsid w:val="0085395B"/>
    <w:rsid w:val="00853F94"/>
    <w:rsid w:val="00854219"/>
    <w:rsid w:val="008578E0"/>
    <w:rsid w:val="00857905"/>
    <w:rsid w:val="00860F41"/>
    <w:rsid w:val="00861DF8"/>
    <w:rsid w:val="00862337"/>
    <w:rsid w:val="00862F07"/>
    <w:rsid w:val="0086375B"/>
    <w:rsid w:val="00863770"/>
    <w:rsid w:val="008649D2"/>
    <w:rsid w:val="00864A31"/>
    <w:rsid w:val="00864BC9"/>
    <w:rsid w:val="00865F32"/>
    <w:rsid w:val="00866962"/>
    <w:rsid w:val="00866D89"/>
    <w:rsid w:val="00867CC2"/>
    <w:rsid w:val="00870ADC"/>
    <w:rsid w:val="00871493"/>
    <w:rsid w:val="008717F2"/>
    <w:rsid w:val="00871813"/>
    <w:rsid w:val="008718FB"/>
    <w:rsid w:val="00872534"/>
    <w:rsid w:val="00872B81"/>
    <w:rsid w:val="0087305A"/>
    <w:rsid w:val="00873A41"/>
    <w:rsid w:val="008755C3"/>
    <w:rsid w:val="008766BB"/>
    <w:rsid w:val="008775E6"/>
    <w:rsid w:val="008803A7"/>
    <w:rsid w:val="00881BD2"/>
    <w:rsid w:val="008825F5"/>
    <w:rsid w:val="00882DC2"/>
    <w:rsid w:val="0088323A"/>
    <w:rsid w:val="008838D4"/>
    <w:rsid w:val="0088469A"/>
    <w:rsid w:val="008846BA"/>
    <w:rsid w:val="00884833"/>
    <w:rsid w:val="008848D0"/>
    <w:rsid w:val="00884DB0"/>
    <w:rsid w:val="00884DF5"/>
    <w:rsid w:val="00884E64"/>
    <w:rsid w:val="00884F65"/>
    <w:rsid w:val="008853E2"/>
    <w:rsid w:val="0088798F"/>
    <w:rsid w:val="008900C3"/>
    <w:rsid w:val="00890EDC"/>
    <w:rsid w:val="00890EEF"/>
    <w:rsid w:val="00891297"/>
    <w:rsid w:val="008930AD"/>
    <w:rsid w:val="008931BD"/>
    <w:rsid w:val="00893631"/>
    <w:rsid w:val="00894194"/>
    <w:rsid w:val="008949B0"/>
    <w:rsid w:val="008949BF"/>
    <w:rsid w:val="00895ADF"/>
    <w:rsid w:val="00897236"/>
    <w:rsid w:val="008A038A"/>
    <w:rsid w:val="008A042F"/>
    <w:rsid w:val="008A0DFE"/>
    <w:rsid w:val="008A109D"/>
    <w:rsid w:val="008A1E12"/>
    <w:rsid w:val="008A2A36"/>
    <w:rsid w:val="008A3922"/>
    <w:rsid w:val="008A4676"/>
    <w:rsid w:val="008A4DC1"/>
    <w:rsid w:val="008A4EC1"/>
    <w:rsid w:val="008A6228"/>
    <w:rsid w:val="008A626E"/>
    <w:rsid w:val="008A67E9"/>
    <w:rsid w:val="008A68C1"/>
    <w:rsid w:val="008A6E5E"/>
    <w:rsid w:val="008A78C8"/>
    <w:rsid w:val="008B017B"/>
    <w:rsid w:val="008B03AB"/>
    <w:rsid w:val="008B0E07"/>
    <w:rsid w:val="008B13BB"/>
    <w:rsid w:val="008B1448"/>
    <w:rsid w:val="008B2437"/>
    <w:rsid w:val="008B2837"/>
    <w:rsid w:val="008B2DEB"/>
    <w:rsid w:val="008B3EF5"/>
    <w:rsid w:val="008B4451"/>
    <w:rsid w:val="008B4547"/>
    <w:rsid w:val="008B4E05"/>
    <w:rsid w:val="008B5472"/>
    <w:rsid w:val="008B77B4"/>
    <w:rsid w:val="008B77D0"/>
    <w:rsid w:val="008C00FB"/>
    <w:rsid w:val="008C1658"/>
    <w:rsid w:val="008C2117"/>
    <w:rsid w:val="008C2B84"/>
    <w:rsid w:val="008C3103"/>
    <w:rsid w:val="008C31A4"/>
    <w:rsid w:val="008C3B7A"/>
    <w:rsid w:val="008C42CB"/>
    <w:rsid w:val="008C4526"/>
    <w:rsid w:val="008C524A"/>
    <w:rsid w:val="008C5CBD"/>
    <w:rsid w:val="008C6F68"/>
    <w:rsid w:val="008C7493"/>
    <w:rsid w:val="008C7F1F"/>
    <w:rsid w:val="008D0453"/>
    <w:rsid w:val="008D077E"/>
    <w:rsid w:val="008D0799"/>
    <w:rsid w:val="008D1686"/>
    <w:rsid w:val="008D1872"/>
    <w:rsid w:val="008D1D8A"/>
    <w:rsid w:val="008D1FAD"/>
    <w:rsid w:val="008D30CB"/>
    <w:rsid w:val="008D30DD"/>
    <w:rsid w:val="008D3801"/>
    <w:rsid w:val="008D5C76"/>
    <w:rsid w:val="008D691F"/>
    <w:rsid w:val="008D6DCE"/>
    <w:rsid w:val="008D6F3F"/>
    <w:rsid w:val="008D730A"/>
    <w:rsid w:val="008D7351"/>
    <w:rsid w:val="008E0E1A"/>
    <w:rsid w:val="008E1582"/>
    <w:rsid w:val="008E1E97"/>
    <w:rsid w:val="008E2356"/>
    <w:rsid w:val="008E248D"/>
    <w:rsid w:val="008E43AB"/>
    <w:rsid w:val="008E497A"/>
    <w:rsid w:val="008E53F8"/>
    <w:rsid w:val="008E5D1C"/>
    <w:rsid w:val="008E5D58"/>
    <w:rsid w:val="008E665D"/>
    <w:rsid w:val="008E7C32"/>
    <w:rsid w:val="008F116F"/>
    <w:rsid w:val="008F122B"/>
    <w:rsid w:val="008F1CDB"/>
    <w:rsid w:val="008F2D7F"/>
    <w:rsid w:val="008F3088"/>
    <w:rsid w:val="008F33C3"/>
    <w:rsid w:val="008F62F9"/>
    <w:rsid w:val="008F7801"/>
    <w:rsid w:val="009018F9"/>
    <w:rsid w:val="00902BC8"/>
    <w:rsid w:val="00903FDB"/>
    <w:rsid w:val="009048A9"/>
    <w:rsid w:val="00904A13"/>
    <w:rsid w:val="00904BA0"/>
    <w:rsid w:val="00904BDF"/>
    <w:rsid w:val="009053B9"/>
    <w:rsid w:val="0090540A"/>
    <w:rsid w:val="00906C98"/>
    <w:rsid w:val="009072BC"/>
    <w:rsid w:val="009073D9"/>
    <w:rsid w:val="0090784E"/>
    <w:rsid w:val="009100BD"/>
    <w:rsid w:val="0091180B"/>
    <w:rsid w:val="009146A3"/>
    <w:rsid w:val="00914ADB"/>
    <w:rsid w:val="009159A8"/>
    <w:rsid w:val="00916665"/>
    <w:rsid w:val="009166AE"/>
    <w:rsid w:val="009170DD"/>
    <w:rsid w:val="0091729F"/>
    <w:rsid w:val="0092045B"/>
    <w:rsid w:val="00920864"/>
    <w:rsid w:val="00920E83"/>
    <w:rsid w:val="00920F4E"/>
    <w:rsid w:val="00921646"/>
    <w:rsid w:val="0092180E"/>
    <w:rsid w:val="00922782"/>
    <w:rsid w:val="00922DC3"/>
    <w:rsid w:val="009234AA"/>
    <w:rsid w:val="00923B17"/>
    <w:rsid w:val="00924350"/>
    <w:rsid w:val="00924C87"/>
    <w:rsid w:val="00924E28"/>
    <w:rsid w:val="00925117"/>
    <w:rsid w:val="00925520"/>
    <w:rsid w:val="00925540"/>
    <w:rsid w:val="00926742"/>
    <w:rsid w:val="00926EA9"/>
    <w:rsid w:val="00930032"/>
    <w:rsid w:val="00931516"/>
    <w:rsid w:val="009319C0"/>
    <w:rsid w:val="00931E58"/>
    <w:rsid w:val="00932107"/>
    <w:rsid w:val="00932691"/>
    <w:rsid w:val="00932B53"/>
    <w:rsid w:val="0093310C"/>
    <w:rsid w:val="009335A4"/>
    <w:rsid w:val="009335B2"/>
    <w:rsid w:val="0093414A"/>
    <w:rsid w:val="00935DE5"/>
    <w:rsid w:val="00936251"/>
    <w:rsid w:val="009362A1"/>
    <w:rsid w:val="00936D27"/>
    <w:rsid w:val="009373A7"/>
    <w:rsid w:val="00941743"/>
    <w:rsid w:val="00941EC6"/>
    <w:rsid w:val="00943CF6"/>
    <w:rsid w:val="00943E1C"/>
    <w:rsid w:val="00944F5B"/>
    <w:rsid w:val="009454B1"/>
    <w:rsid w:val="00945B4B"/>
    <w:rsid w:val="00945E45"/>
    <w:rsid w:val="00945E95"/>
    <w:rsid w:val="00946169"/>
    <w:rsid w:val="009467F2"/>
    <w:rsid w:val="009475B9"/>
    <w:rsid w:val="00947991"/>
    <w:rsid w:val="009508D4"/>
    <w:rsid w:val="009509F7"/>
    <w:rsid w:val="009510E4"/>
    <w:rsid w:val="009512FE"/>
    <w:rsid w:val="00951EA1"/>
    <w:rsid w:val="0095251D"/>
    <w:rsid w:val="00953E81"/>
    <w:rsid w:val="00954431"/>
    <w:rsid w:val="00955D01"/>
    <w:rsid w:val="00956059"/>
    <w:rsid w:val="00960575"/>
    <w:rsid w:val="00960F27"/>
    <w:rsid w:val="00962443"/>
    <w:rsid w:val="00962B03"/>
    <w:rsid w:val="00962CF6"/>
    <w:rsid w:val="00963888"/>
    <w:rsid w:val="00964B22"/>
    <w:rsid w:val="00964FDE"/>
    <w:rsid w:val="00965BDD"/>
    <w:rsid w:val="00965CE0"/>
    <w:rsid w:val="00965E7C"/>
    <w:rsid w:val="0096602B"/>
    <w:rsid w:val="0096756B"/>
    <w:rsid w:val="00967CDB"/>
    <w:rsid w:val="0097007E"/>
    <w:rsid w:val="00970548"/>
    <w:rsid w:val="00971159"/>
    <w:rsid w:val="00971DE1"/>
    <w:rsid w:val="00972323"/>
    <w:rsid w:val="0097462B"/>
    <w:rsid w:val="00975567"/>
    <w:rsid w:val="00975DF3"/>
    <w:rsid w:val="009767A9"/>
    <w:rsid w:val="0097708D"/>
    <w:rsid w:val="009771EF"/>
    <w:rsid w:val="00977EE4"/>
    <w:rsid w:val="00980149"/>
    <w:rsid w:val="00980DE6"/>
    <w:rsid w:val="0098177C"/>
    <w:rsid w:val="00981D55"/>
    <w:rsid w:val="009834AD"/>
    <w:rsid w:val="009836D3"/>
    <w:rsid w:val="00983812"/>
    <w:rsid w:val="0098406B"/>
    <w:rsid w:val="009841B3"/>
    <w:rsid w:val="0098473A"/>
    <w:rsid w:val="00985B56"/>
    <w:rsid w:val="009871ED"/>
    <w:rsid w:val="0098744E"/>
    <w:rsid w:val="00987DB4"/>
    <w:rsid w:val="0099052D"/>
    <w:rsid w:val="00992862"/>
    <w:rsid w:val="0099355D"/>
    <w:rsid w:val="009938F9"/>
    <w:rsid w:val="00993B08"/>
    <w:rsid w:val="009945E4"/>
    <w:rsid w:val="00994780"/>
    <w:rsid w:val="00994DD6"/>
    <w:rsid w:val="009954F7"/>
    <w:rsid w:val="00995B6B"/>
    <w:rsid w:val="009961B5"/>
    <w:rsid w:val="0099701C"/>
    <w:rsid w:val="009A0559"/>
    <w:rsid w:val="009A0749"/>
    <w:rsid w:val="009A089F"/>
    <w:rsid w:val="009A08BA"/>
    <w:rsid w:val="009A114F"/>
    <w:rsid w:val="009A1A2E"/>
    <w:rsid w:val="009A2B6E"/>
    <w:rsid w:val="009A2BBB"/>
    <w:rsid w:val="009A448B"/>
    <w:rsid w:val="009A4CD9"/>
    <w:rsid w:val="009A65C8"/>
    <w:rsid w:val="009A7DB9"/>
    <w:rsid w:val="009B0F43"/>
    <w:rsid w:val="009B1F1B"/>
    <w:rsid w:val="009B2A90"/>
    <w:rsid w:val="009B4407"/>
    <w:rsid w:val="009B4A07"/>
    <w:rsid w:val="009B4EEC"/>
    <w:rsid w:val="009B561B"/>
    <w:rsid w:val="009B7080"/>
    <w:rsid w:val="009C044D"/>
    <w:rsid w:val="009C0922"/>
    <w:rsid w:val="009C1A30"/>
    <w:rsid w:val="009C1DEA"/>
    <w:rsid w:val="009C2097"/>
    <w:rsid w:val="009C28DA"/>
    <w:rsid w:val="009C3AC8"/>
    <w:rsid w:val="009C47BF"/>
    <w:rsid w:val="009C4D0C"/>
    <w:rsid w:val="009C4D8E"/>
    <w:rsid w:val="009C5312"/>
    <w:rsid w:val="009C583B"/>
    <w:rsid w:val="009C5922"/>
    <w:rsid w:val="009C5A48"/>
    <w:rsid w:val="009C6E3E"/>
    <w:rsid w:val="009D0E30"/>
    <w:rsid w:val="009D1B2F"/>
    <w:rsid w:val="009D23B7"/>
    <w:rsid w:val="009D3024"/>
    <w:rsid w:val="009D6743"/>
    <w:rsid w:val="009D6CCE"/>
    <w:rsid w:val="009D708E"/>
    <w:rsid w:val="009E05FF"/>
    <w:rsid w:val="009E0BCE"/>
    <w:rsid w:val="009E11E3"/>
    <w:rsid w:val="009E148E"/>
    <w:rsid w:val="009E29DF"/>
    <w:rsid w:val="009E2A74"/>
    <w:rsid w:val="009E314A"/>
    <w:rsid w:val="009E346E"/>
    <w:rsid w:val="009E3851"/>
    <w:rsid w:val="009E4B21"/>
    <w:rsid w:val="009E545F"/>
    <w:rsid w:val="009E63A6"/>
    <w:rsid w:val="009E678D"/>
    <w:rsid w:val="009E7AF0"/>
    <w:rsid w:val="009F0807"/>
    <w:rsid w:val="009F1B17"/>
    <w:rsid w:val="009F1C8D"/>
    <w:rsid w:val="009F38E2"/>
    <w:rsid w:val="009F42D8"/>
    <w:rsid w:val="009F4B6B"/>
    <w:rsid w:val="009F5423"/>
    <w:rsid w:val="009F55FE"/>
    <w:rsid w:val="009F5712"/>
    <w:rsid w:val="009F5C7E"/>
    <w:rsid w:val="009F61C1"/>
    <w:rsid w:val="009F654F"/>
    <w:rsid w:val="009F74C4"/>
    <w:rsid w:val="00A00A66"/>
    <w:rsid w:val="00A00D15"/>
    <w:rsid w:val="00A011DE"/>
    <w:rsid w:val="00A0146B"/>
    <w:rsid w:val="00A02356"/>
    <w:rsid w:val="00A0238E"/>
    <w:rsid w:val="00A02A89"/>
    <w:rsid w:val="00A03A56"/>
    <w:rsid w:val="00A04319"/>
    <w:rsid w:val="00A046B6"/>
    <w:rsid w:val="00A061C6"/>
    <w:rsid w:val="00A06B60"/>
    <w:rsid w:val="00A06E96"/>
    <w:rsid w:val="00A07544"/>
    <w:rsid w:val="00A07561"/>
    <w:rsid w:val="00A075C2"/>
    <w:rsid w:val="00A100EE"/>
    <w:rsid w:val="00A1094F"/>
    <w:rsid w:val="00A10E89"/>
    <w:rsid w:val="00A1190C"/>
    <w:rsid w:val="00A12E5D"/>
    <w:rsid w:val="00A12FAF"/>
    <w:rsid w:val="00A138C4"/>
    <w:rsid w:val="00A1488B"/>
    <w:rsid w:val="00A14906"/>
    <w:rsid w:val="00A15547"/>
    <w:rsid w:val="00A157D7"/>
    <w:rsid w:val="00A158CF"/>
    <w:rsid w:val="00A165BC"/>
    <w:rsid w:val="00A16B52"/>
    <w:rsid w:val="00A17806"/>
    <w:rsid w:val="00A21F9E"/>
    <w:rsid w:val="00A233FE"/>
    <w:rsid w:val="00A247F1"/>
    <w:rsid w:val="00A2598E"/>
    <w:rsid w:val="00A2646B"/>
    <w:rsid w:val="00A26BE3"/>
    <w:rsid w:val="00A27B10"/>
    <w:rsid w:val="00A318E3"/>
    <w:rsid w:val="00A328BE"/>
    <w:rsid w:val="00A3294E"/>
    <w:rsid w:val="00A343BE"/>
    <w:rsid w:val="00A35355"/>
    <w:rsid w:val="00A354DF"/>
    <w:rsid w:val="00A3684A"/>
    <w:rsid w:val="00A3729C"/>
    <w:rsid w:val="00A37C04"/>
    <w:rsid w:val="00A4060E"/>
    <w:rsid w:val="00A417A4"/>
    <w:rsid w:val="00A42051"/>
    <w:rsid w:val="00A43144"/>
    <w:rsid w:val="00A44889"/>
    <w:rsid w:val="00A4543D"/>
    <w:rsid w:val="00A45FA1"/>
    <w:rsid w:val="00A50EDD"/>
    <w:rsid w:val="00A5223F"/>
    <w:rsid w:val="00A524CC"/>
    <w:rsid w:val="00A52ABF"/>
    <w:rsid w:val="00A536DA"/>
    <w:rsid w:val="00A53EC8"/>
    <w:rsid w:val="00A542AB"/>
    <w:rsid w:val="00A54546"/>
    <w:rsid w:val="00A54730"/>
    <w:rsid w:val="00A57C45"/>
    <w:rsid w:val="00A60C57"/>
    <w:rsid w:val="00A60E02"/>
    <w:rsid w:val="00A616C0"/>
    <w:rsid w:val="00A63E8A"/>
    <w:rsid w:val="00A63F07"/>
    <w:rsid w:val="00A65168"/>
    <w:rsid w:val="00A65653"/>
    <w:rsid w:val="00A65D99"/>
    <w:rsid w:val="00A66D4D"/>
    <w:rsid w:val="00A7050F"/>
    <w:rsid w:val="00A70A66"/>
    <w:rsid w:val="00A712E4"/>
    <w:rsid w:val="00A71738"/>
    <w:rsid w:val="00A72202"/>
    <w:rsid w:val="00A72C93"/>
    <w:rsid w:val="00A73599"/>
    <w:rsid w:val="00A7507D"/>
    <w:rsid w:val="00A751C9"/>
    <w:rsid w:val="00A7533A"/>
    <w:rsid w:val="00A756D7"/>
    <w:rsid w:val="00A771ED"/>
    <w:rsid w:val="00A779E5"/>
    <w:rsid w:val="00A81570"/>
    <w:rsid w:val="00A8181B"/>
    <w:rsid w:val="00A8186F"/>
    <w:rsid w:val="00A81B45"/>
    <w:rsid w:val="00A82510"/>
    <w:rsid w:val="00A82674"/>
    <w:rsid w:val="00A826EF"/>
    <w:rsid w:val="00A82877"/>
    <w:rsid w:val="00A83AB3"/>
    <w:rsid w:val="00A83F80"/>
    <w:rsid w:val="00A8405D"/>
    <w:rsid w:val="00A84470"/>
    <w:rsid w:val="00A86EF9"/>
    <w:rsid w:val="00A873A3"/>
    <w:rsid w:val="00A90FC1"/>
    <w:rsid w:val="00A92154"/>
    <w:rsid w:val="00A9243F"/>
    <w:rsid w:val="00A93567"/>
    <w:rsid w:val="00A9369E"/>
    <w:rsid w:val="00A9436E"/>
    <w:rsid w:val="00A94AC6"/>
    <w:rsid w:val="00A96C09"/>
    <w:rsid w:val="00A978A9"/>
    <w:rsid w:val="00A97A3B"/>
    <w:rsid w:val="00A97E86"/>
    <w:rsid w:val="00AA0A27"/>
    <w:rsid w:val="00AA1B38"/>
    <w:rsid w:val="00AA1F7B"/>
    <w:rsid w:val="00AA38AB"/>
    <w:rsid w:val="00AA47FB"/>
    <w:rsid w:val="00AA4829"/>
    <w:rsid w:val="00AA509D"/>
    <w:rsid w:val="00AA56C5"/>
    <w:rsid w:val="00AA7097"/>
    <w:rsid w:val="00AA7242"/>
    <w:rsid w:val="00AB012A"/>
    <w:rsid w:val="00AB03B3"/>
    <w:rsid w:val="00AB0472"/>
    <w:rsid w:val="00AB05A7"/>
    <w:rsid w:val="00AB0AC1"/>
    <w:rsid w:val="00AB0C17"/>
    <w:rsid w:val="00AB1F29"/>
    <w:rsid w:val="00AB22FA"/>
    <w:rsid w:val="00AB23CE"/>
    <w:rsid w:val="00AB4597"/>
    <w:rsid w:val="00AB5496"/>
    <w:rsid w:val="00AB56A1"/>
    <w:rsid w:val="00AB5B72"/>
    <w:rsid w:val="00AB6B9A"/>
    <w:rsid w:val="00AB79D3"/>
    <w:rsid w:val="00AC0B74"/>
    <w:rsid w:val="00AC1204"/>
    <w:rsid w:val="00AC12B3"/>
    <w:rsid w:val="00AC16C7"/>
    <w:rsid w:val="00AC17A0"/>
    <w:rsid w:val="00AC1F3B"/>
    <w:rsid w:val="00AC3386"/>
    <w:rsid w:val="00AC3B44"/>
    <w:rsid w:val="00AC4669"/>
    <w:rsid w:val="00AC46E3"/>
    <w:rsid w:val="00AC4D2D"/>
    <w:rsid w:val="00AC5B9B"/>
    <w:rsid w:val="00AC71E3"/>
    <w:rsid w:val="00AC7217"/>
    <w:rsid w:val="00AD0D40"/>
    <w:rsid w:val="00AD351D"/>
    <w:rsid w:val="00AD3593"/>
    <w:rsid w:val="00AD366D"/>
    <w:rsid w:val="00AD4453"/>
    <w:rsid w:val="00AD4915"/>
    <w:rsid w:val="00AD4A72"/>
    <w:rsid w:val="00AD51F5"/>
    <w:rsid w:val="00AD5624"/>
    <w:rsid w:val="00AD5A4B"/>
    <w:rsid w:val="00AD5E2B"/>
    <w:rsid w:val="00AD6393"/>
    <w:rsid w:val="00AD6B23"/>
    <w:rsid w:val="00AD7557"/>
    <w:rsid w:val="00AD7DAA"/>
    <w:rsid w:val="00AE06D8"/>
    <w:rsid w:val="00AE123B"/>
    <w:rsid w:val="00AE1DA7"/>
    <w:rsid w:val="00AE1E77"/>
    <w:rsid w:val="00AE269C"/>
    <w:rsid w:val="00AE29CF"/>
    <w:rsid w:val="00AE2E20"/>
    <w:rsid w:val="00AE4BEB"/>
    <w:rsid w:val="00AE50DF"/>
    <w:rsid w:val="00AE5A07"/>
    <w:rsid w:val="00AE5AB0"/>
    <w:rsid w:val="00AE7583"/>
    <w:rsid w:val="00AE7598"/>
    <w:rsid w:val="00AF0E0B"/>
    <w:rsid w:val="00AF10EC"/>
    <w:rsid w:val="00AF2012"/>
    <w:rsid w:val="00AF2DA0"/>
    <w:rsid w:val="00AF2F54"/>
    <w:rsid w:val="00AF352A"/>
    <w:rsid w:val="00AF355A"/>
    <w:rsid w:val="00AF3624"/>
    <w:rsid w:val="00AF3889"/>
    <w:rsid w:val="00AF4FAB"/>
    <w:rsid w:val="00AF53CD"/>
    <w:rsid w:val="00AF5D38"/>
    <w:rsid w:val="00AF6012"/>
    <w:rsid w:val="00AF6021"/>
    <w:rsid w:val="00AF6F47"/>
    <w:rsid w:val="00AF76C2"/>
    <w:rsid w:val="00AF76D5"/>
    <w:rsid w:val="00AF79CF"/>
    <w:rsid w:val="00AF7B7C"/>
    <w:rsid w:val="00B012B9"/>
    <w:rsid w:val="00B013FA"/>
    <w:rsid w:val="00B01CC8"/>
    <w:rsid w:val="00B022F4"/>
    <w:rsid w:val="00B02701"/>
    <w:rsid w:val="00B03F70"/>
    <w:rsid w:val="00B0489E"/>
    <w:rsid w:val="00B04EE4"/>
    <w:rsid w:val="00B0519F"/>
    <w:rsid w:val="00B052A2"/>
    <w:rsid w:val="00B056F4"/>
    <w:rsid w:val="00B05AAA"/>
    <w:rsid w:val="00B05F8B"/>
    <w:rsid w:val="00B060CC"/>
    <w:rsid w:val="00B072ED"/>
    <w:rsid w:val="00B07B39"/>
    <w:rsid w:val="00B1027F"/>
    <w:rsid w:val="00B1154B"/>
    <w:rsid w:val="00B119A8"/>
    <w:rsid w:val="00B11D81"/>
    <w:rsid w:val="00B11E59"/>
    <w:rsid w:val="00B1356D"/>
    <w:rsid w:val="00B13C49"/>
    <w:rsid w:val="00B143AE"/>
    <w:rsid w:val="00B150BB"/>
    <w:rsid w:val="00B150E4"/>
    <w:rsid w:val="00B15413"/>
    <w:rsid w:val="00B16542"/>
    <w:rsid w:val="00B17D0F"/>
    <w:rsid w:val="00B17D2E"/>
    <w:rsid w:val="00B17E0A"/>
    <w:rsid w:val="00B17FB5"/>
    <w:rsid w:val="00B2023E"/>
    <w:rsid w:val="00B204C3"/>
    <w:rsid w:val="00B20CD1"/>
    <w:rsid w:val="00B21043"/>
    <w:rsid w:val="00B21058"/>
    <w:rsid w:val="00B21C12"/>
    <w:rsid w:val="00B22312"/>
    <w:rsid w:val="00B22945"/>
    <w:rsid w:val="00B22B15"/>
    <w:rsid w:val="00B22D2F"/>
    <w:rsid w:val="00B22FBE"/>
    <w:rsid w:val="00B23BCE"/>
    <w:rsid w:val="00B23D29"/>
    <w:rsid w:val="00B25405"/>
    <w:rsid w:val="00B25B82"/>
    <w:rsid w:val="00B2652A"/>
    <w:rsid w:val="00B266B0"/>
    <w:rsid w:val="00B275CE"/>
    <w:rsid w:val="00B2783C"/>
    <w:rsid w:val="00B27C9E"/>
    <w:rsid w:val="00B30091"/>
    <w:rsid w:val="00B30457"/>
    <w:rsid w:val="00B32A75"/>
    <w:rsid w:val="00B33240"/>
    <w:rsid w:val="00B337D9"/>
    <w:rsid w:val="00B33914"/>
    <w:rsid w:val="00B34214"/>
    <w:rsid w:val="00B34769"/>
    <w:rsid w:val="00B34DB0"/>
    <w:rsid w:val="00B350F2"/>
    <w:rsid w:val="00B353EE"/>
    <w:rsid w:val="00B35F69"/>
    <w:rsid w:val="00B36143"/>
    <w:rsid w:val="00B362BF"/>
    <w:rsid w:val="00B365FE"/>
    <w:rsid w:val="00B36E1D"/>
    <w:rsid w:val="00B4026B"/>
    <w:rsid w:val="00B41652"/>
    <w:rsid w:val="00B416F6"/>
    <w:rsid w:val="00B41837"/>
    <w:rsid w:val="00B41AC8"/>
    <w:rsid w:val="00B41DC2"/>
    <w:rsid w:val="00B4236A"/>
    <w:rsid w:val="00B4263D"/>
    <w:rsid w:val="00B42E67"/>
    <w:rsid w:val="00B4339B"/>
    <w:rsid w:val="00B436CF"/>
    <w:rsid w:val="00B43B48"/>
    <w:rsid w:val="00B440FA"/>
    <w:rsid w:val="00B448A9"/>
    <w:rsid w:val="00B44B0C"/>
    <w:rsid w:val="00B44D34"/>
    <w:rsid w:val="00B44EFF"/>
    <w:rsid w:val="00B44F3B"/>
    <w:rsid w:val="00B4528E"/>
    <w:rsid w:val="00B462E5"/>
    <w:rsid w:val="00B4714C"/>
    <w:rsid w:val="00B474B5"/>
    <w:rsid w:val="00B478B0"/>
    <w:rsid w:val="00B50EC8"/>
    <w:rsid w:val="00B51275"/>
    <w:rsid w:val="00B51FFF"/>
    <w:rsid w:val="00B5281F"/>
    <w:rsid w:val="00B52C97"/>
    <w:rsid w:val="00B52DA0"/>
    <w:rsid w:val="00B5389E"/>
    <w:rsid w:val="00B53EF6"/>
    <w:rsid w:val="00B542C7"/>
    <w:rsid w:val="00B557B5"/>
    <w:rsid w:val="00B55968"/>
    <w:rsid w:val="00B559F2"/>
    <w:rsid w:val="00B56538"/>
    <w:rsid w:val="00B57015"/>
    <w:rsid w:val="00B57367"/>
    <w:rsid w:val="00B578E5"/>
    <w:rsid w:val="00B60787"/>
    <w:rsid w:val="00B61097"/>
    <w:rsid w:val="00B6137E"/>
    <w:rsid w:val="00B616F2"/>
    <w:rsid w:val="00B636DF"/>
    <w:rsid w:val="00B64250"/>
    <w:rsid w:val="00B64860"/>
    <w:rsid w:val="00B64A22"/>
    <w:rsid w:val="00B64C96"/>
    <w:rsid w:val="00B65321"/>
    <w:rsid w:val="00B65845"/>
    <w:rsid w:val="00B6595F"/>
    <w:rsid w:val="00B65ECD"/>
    <w:rsid w:val="00B66383"/>
    <w:rsid w:val="00B67902"/>
    <w:rsid w:val="00B67C7D"/>
    <w:rsid w:val="00B71093"/>
    <w:rsid w:val="00B72752"/>
    <w:rsid w:val="00B72BDF"/>
    <w:rsid w:val="00B736EB"/>
    <w:rsid w:val="00B7390F"/>
    <w:rsid w:val="00B74506"/>
    <w:rsid w:val="00B745E4"/>
    <w:rsid w:val="00B7569F"/>
    <w:rsid w:val="00B75D53"/>
    <w:rsid w:val="00B7626D"/>
    <w:rsid w:val="00B8016B"/>
    <w:rsid w:val="00B80836"/>
    <w:rsid w:val="00B81F9D"/>
    <w:rsid w:val="00B82D1E"/>
    <w:rsid w:val="00B837E7"/>
    <w:rsid w:val="00B83BAD"/>
    <w:rsid w:val="00B848E1"/>
    <w:rsid w:val="00B84D1D"/>
    <w:rsid w:val="00B853EF"/>
    <w:rsid w:val="00B860A6"/>
    <w:rsid w:val="00B8642E"/>
    <w:rsid w:val="00B909A5"/>
    <w:rsid w:val="00B913C4"/>
    <w:rsid w:val="00B92DD7"/>
    <w:rsid w:val="00B93154"/>
    <w:rsid w:val="00B94002"/>
    <w:rsid w:val="00B95104"/>
    <w:rsid w:val="00B95FF5"/>
    <w:rsid w:val="00B963F7"/>
    <w:rsid w:val="00B96573"/>
    <w:rsid w:val="00B967C6"/>
    <w:rsid w:val="00B96BE4"/>
    <w:rsid w:val="00B96C6B"/>
    <w:rsid w:val="00B977BF"/>
    <w:rsid w:val="00B97D04"/>
    <w:rsid w:val="00BA01A7"/>
    <w:rsid w:val="00BA04BF"/>
    <w:rsid w:val="00BA06A6"/>
    <w:rsid w:val="00BA0E41"/>
    <w:rsid w:val="00BA16C6"/>
    <w:rsid w:val="00BA1D8B"/>
    <w:rsid w:val="00BA25B5"/>
    <w:rsid w:val="00BA2BB4"/>
    <w:rsid w:val="00BA3548"/>
    <w:rsid w:val="00BA423D"/>
    <w:rsid w:val="00BA4C57"/>
    <w:rsid w:val="00BA4DCC"/>
    <w:rsid w:val="00BA4EB4"/>
    <w:rsid w:val="00BA4EBB"/>
    <w:rsid w:val="00BA51A4"/>
    <w:rsid w:val="00BA5248"/>
    <w:rsid w:val="00BA5397"/>
    <w:rsid w:val="00BA5DB0"/>
    <w:rsid w:val="00BA601B"/>
    <w:rsid w:val="00BA6369"/>
    <w:rsid w:val="00BA6A89"/>
    <w:rsid w:val="00BA73AA"/>
    <w:rsid w:val="00BA768A"/>
    <w:rsid w:val="00BB01CF"/>
    <w:rsid w:val="00BB0DB3"/>
    <w:rsid w:val="00BB2254"/>
    <w:rsid w:val="00BB24A2"/>
    <w:rsid w:val="00BB6102"/>
    <w:rsid w:val="00BB6189"/>
    <w:rsid w:val="00BB791E"/>
    <w:rsid w:val="00BC07EC"/>
    <w:rsid w:val="00BC0FE6"/>
    <w:rsid w:val="00BC14AF"/>
    <w:rsid w:val="00BC2470"/>
    <w:rsid w:val="00BC374B"/>
    <w:rsid w:val="00BC4DE0"/>
    <w:rsid w:val="00BC5AC9"/>
    <w:rsid w:val="00BC63D9"/>
    <w:rsid w:val="00BD08DF"/>
    <w:rsid w:val="00BD157A"/>
    <w:rsid w:val="00BD2D20"/>
    <w:rsid w:val="00BD3DAC"/>
    <w:rsid w:val="00BD4235"/>
    <w:rsid w:val="00BD4D68"/>
    <w:rsid w:val="00BD5CD5"/>
    <w:rsid w:val="00BD62E6"/>
    <w:rsid w:val="00BD7049"/>
    <w:rsid w:val="00BD713E"/>
    <w:rsid w:val="00BD71DB"/>
    <w:rsid w:val="00BE04E3"/>
    <w:rsid w:val="00BE0A56"/>
    <w:rsid w:val="00BE0FD7"/>
    <w:rsid w:val="00BE1424"/>
    <w:rsid w:val="00BE19D8"/>
    <w:rsid w:val="00BE19DF"/>
    <w:rsid w:val="00BE28F6"/>
    <w:rsid w:val="00BE2A0D"/>
    <w:rsid w:val="00BE2A22"/>
    <w:rsid w:val="00BE380C"/>
    <w:rsid w:val="00BE5174"/>
    <w:rsid w:val="00BE5920"/>
    <w:rsid w:val="00BE6B57"/>
    <w:rsid w:val="00BE7DD8"/>
    <w:rsid w:val="00BF0EEF"/>
    <w:rsid w:val="00BF1AD3"/>
    <w:rsid w:val="00BF2AB3"/>
    <w:rsid w:val="00BF2AB9"/>
    <w:rsid w:val="00BF2C79"/>
    <w:rsid w:val="00BF4B69"/>
    <w:rsid w:val="00BF4FBB"/>
    <w:rsid w:val="00BF5408"/>
    <w:rsid w:val="00BF5AC3"/>
    <w:rsid w:val="00BF5BEF"/>
    <w:rsid w:val="00BF5F05"/>
    <w:rsid w:val="00BF6BDB"/>
    <w:rsid w:val="00BF722B"/>
    <w:rsid w:val="00BF7528"/>
    <w:rsid w:val="00BF7731"/>
    <w:rsid w:val="00C00BAA"/>
    <w:rsid w:val="00C01133"/>
    <w:rsid w:val="00C02685"/>
    <w:rsid w:val="00C029FB"/>
    <w:rsid w:val="00C033C3"/>
    <w:rsid w:val="00C0415E"/>
    <w:rsid w:val="00C06175"/>
    <w:rsid w:val="00C06545"/>
    <w:rsid w:val="00C0686A"/>
    <w:rsid w:val="00C06D8A"/>
    <w:rsid w:val="00C073A6"/>
    <w:rsid w:val="00C07F95"/>
    <w:rsid w:val="00C1000D"/>
    <w:rsid w:val="00C102B6"/>
    <w:rsid w:val="00C107F7"/>
    <w:rsid w:val="00C10926"/>
    <w:rsid w:val="00C118AA"/>
    <w:rsid w:val="00C13FD9"/>
    <w:rsid w:val="00C1403F"/>
    <w:rsid w:val="00C15D7A"/>
    <w:rsid w:val="00C162E5"/>
    <w:rsid w:val="00C16904"/>
    <w:rsid w:val="00C16FB4"/>
    <w:rsid w:val="00C17236"/>
    <w:rsid w:val="00C17911"/>
    <w:rsid w:val="00C17E56"/>
    <w:rsid w:val="00C21709"/>
    <w:rsid w:val="00C240F2"/>
    <w:rsid w:val="00C244D9"/>
    <w:rsid w:val="00C25752"/>
    <w:rsid w:val="00C26047"/>
    <w:rsid w:val="00C2621F"/>
    <w:rsid w:val="00C26AA3"/>
    <w:rsid w:val="00C27274"/>
    <w:rsid w:val="00C275DC"/>
    <w:rsid w:val="00C27787"/>
    <w:rsid w:val="00C27B3D"/>
    <w:rsid w:val="00C30B79"/>
    <w:rsid w:val="00C31B4D"/>
    <w:rsid w:val="00C32C5C"/>
    <w:rsid w:val="00C33963"/>
    <w:rsid w:val="00C33F6E"/>
    <w:rsid w:val="00C34023"/>
    <w:rsid w:val="00C349BC"/>
    <w:rsid w:val="00C34A42"/>
    <w:rsid w:val="00C34D88"/>
    <w:rsid w:val="00C34FE6"/>
    <w:rsid w:val="00C35076"/>
    <w:rsid w:val="00C355AD"/>
    <w:rsid w:val="00C366A9"/>
    <w:rsid w:val="00C36822"/>
    <w:rsid w:val="00C36CFF"/>
    <w:rsid w:val="00C3774C"/>
    <w:rsid w:val="00C4048D"/>
    <w:rsid w:val="00C41945"/>
    <w:rsid w:val="00C41EB6"/>
    <w:rsid w:val="00C439C8"/>
    <w:rsid w:val="00C4404F"/>
    <w:rsid w:val="00C44A57"/>
    <w:rsid w:val="00C44CD3"/>
    <w:rsid w:val="00C46AB3"/>
    <w:rsid w:val="00C5140E"/>
    <w:rsid w:val="00C51AE5"/>
    <w:rsid w:val="00C529D3"/>
    <w:rsid w:val="00C5321C"/>
    <w:rsid w:val="00C53A3C"/>
    <w:rsid w:val="00C541BD"/>
    <w:rsid w:val="00C54D30"/>
    <w:rsid w:val="00C556A7"/>
    <w:rsid w:val="00C568E5"/>
    <w:rsid w:val="00C569E0"/>
    <w:rsid w:val="00C56C26"/>
    <w:rsid w:val="00C56FBF"/>
    <w:rsid w:val="00C5775A"/>
    <w:rsid w:val="00C57B41"/>
    <w:rsid w:val="00C601FA"/>
    <w:rsid w:val="00C60606"/>
    <w:rsid w:val="00C60C0C"/>
    <w:rsid w:val="00C6134A"/>
    <w:rsid w:val="00C619E9"/>
    <w:rsid w:val="00C62016"/>
    <w:rsid w:val="00C62E04"/>
    <w:rsid w:val="00C644C3"/>
    <w:rsid w:val="00C64B49"/>
    <w:rsid w:val="00C64EA1"/>
    <w:rsid w:val="00C6536A"/>
    <w:rsid w:val="00C65C14"/>
    <w:rsid w:val="00C6722C"/>
    <w:rsid w:val="00C67966"/>
    <w:rsid w:val="00C67B40"/>
    <w:rsid w:val="00C71280"/>
    <w:rsid w:val="00C71571"/>
    <w:rsid w:val="00C71AFD"/>
    <w:rsid w:val="00C73561"/>
    <w:rsid w:val="00C750D8"/>
    <w:rsid w:val="00C7590A"/>
    <w:rsid w:val="00C75C62"/>
    <w:rsid w:val="00C76558"/>
    <w:rsid w:val="00C76761"/>
    <w:rsid w:val="00C7683B"/>
    <w:rsid w:val="00C77067"/>
    <w:rsid w:val="00C80001"/>
    <w:rsid w:val="00C802A4"/>
    <w:rsid w:val="00C80CB2"/>
    <w:rsid w:val="00C812CB"/>
    <w:rsid w:val="00C8159F"/>
    <w:rsid w:val="00C81AA5"/>
    <w:rsid w:val="00C8270F"/>
    <w:rsid w:val="00C83D01"/>
    <w:rsid w:val="00C8491F"/>
    <w:rsid w:val="00C85BA6"/>
    <w:rsid w:val="00C85E05"/>
    <w:rsid w:val="00C867CD"/>
    <w:rsid w:val="00C9022B"/>
    <w:rsid w:val="00C902AF"/>
    <w:rsid w:val="00C90D02"/>
    <w:rsid w:val="00C91416"/>
    <w:rsid w:val="00C91A9F"/>
    <w:rsid w:val="00C92136"/>
    <w:rsid w:val="00C92F3E"/>
    <w:rsid w:val="00C93D3D"/>
    <w:rsid w:val="00C94CB2"/>
    <w:rsid w:val="00C9698A"/>
    <w:rsid w:val="00C977FE"/>
    <w:rsid w:val="00C979F8"/>
    <w:rsid w:val="00CA0174"/>
    <w:rsid w:val="00CA176E"/>
    <w:rsid w:val="00CA2830"/>
    <w:rsid w:val="00CA302F"/>
    <w:rsid w:val="00CA31F5"/>
    <w:rsid w:val="00CA327E"/>
    <w:rsid w:val="00CA426E"/>
    <w:rsid w:val="00CA4670"/>
    <w:rsid w:val="00CA53C8"/>
    <w:rsid w:val="00CA625A"/>
    <w:rsid w:val="00CA694C"/>
    <w:rsid w:val="00CA6D8C"/>
    <w:rsid w:val="00CB01CC"/>
    <w:rsid w:val="00CB058C"/>
    <w:rsid w:val="00CB0D1B"/>
    <w:rsid w:val="00CB14F6"/>
    <w:rsid w:val="00CB2219"/>
    <w:rsid w:val="00CB2E82"/>
    <w:rsid w:val="00CB2E8F"/>
    <w:rsid w:val="00CB2F52"/>
    <w:rsid w:val="00CB3032"/>
    <w:rsid w:val="00CB422E"/>
    <w:rsid w:val="00CB4DED"/>
    <w:rsid w:val="00CB5BA6"/>
    <w:rsid w:val="00CB5ECA"/>
    <w:rsid w:val="00CB67C1"/>
    <w:rsid w:val="00CB6A66"/>
    <w:rsid w:val="00CB759D"/>
    <w:rsid w:val="00CB7CAE"/>
    <w:rsid w:val="00CC0B7F"/>
    <w:rsid w:val="00CC1085"/>
    <w:rsid w:val="00CC110B"/>
    <w:rsid w:val="00CC14B2"/>
    <w:rsid w:val="00CC1B3A"/>
    <w:rsid w:val="00CC1FC5"/>
    <w:rsid w:val="00CC2095"/>
    <w:rsid w:val="00CC279D"/>
    <w:rsid w:val="00CC4215"/>
    <w:rsid w:val="00CC4523"/>
    <w:rsid w:val="00CC5316"/>
    <w:rsid w:val="00CC62A2"/>
    <w:rsid w:val="00CC69DE"/>
    <w:rsid w:val="00CC6BE8"/>
    <w:rsid w:val="00CD0ADC"/>
    <w:rsid w:val="00CD15C2"/>
    <w:rsid w:val="00CD2044"/>
    <w:rsid w:val="00CD208A"/>
    <w:rsid w:val="00CD2E20"/>
    <w:rsid w:val="00CD322A"/>
    <w:rsid w:val="00CD3A77"/>
    <w:rsid w:val="00CD3F7E"/>
    <w:rsid w:val="00CD45C5"/>
    <w:rsid w:val="00CD48EA"/>
    <w:rsid w:val="00CD4A3D"/>
    <w:rsid w:val="00CD52C0"/>
    <w:rsid w:val="00CD54D6"/>
    <w:rsid w:val="00CD553C"/>
    <w:rsid w:val="00CD596C"/>
    <w:rsid w:val="00CD5EC2"/>
    <w:rsid w:val="00CD73D2"/>
    <w:rsid w:val="00CD7ADD"/>
    <w:rsid w:val="00CE0A9E"/>
    <w:rsid w:val="00CE20CC"/>
    <w:rsid w:val="00CE2384"/>
    <w:rsid w:val="00CE2A1E"/>
    <w:rsid w:val="00CE306E"/>
    <w:rsid w:val="00CE376C"/>
    <w:rsid w:val="00CE3EE4"/>
    <w:rsid w:val="00CE4664"/>
    <w:rsid w:val="00CE4E7E"/>
    <w:rsid w:val="00CE4E87"/>
    <w:rsid w:val="00CE4F1F"/>
    <w:rsid w:val="00CE531B"/>
    <w:rsid w:val="00CE6519"/>
    <w:rsid w:val="00CE7802"/>
    <w:rsid w:val="00CE7EFB"/>
    <w:rsid w:val="00CF0322"/>
    <w:rsid w:val="00CF1DE2"/>
    <w:rsid w:val="00CF24B7"/>
    <w:rsid w:val="00CF2930"/>
    <w:rsid w:val="00CF2B4A"/>
    <w:rsid w:val="00CF34F9"/>
    <w:rsid w:val="00CF5C1A"/>
    <w:rsid w:val="00CF5F94"/>
    <w:rsid w:val="00CF6B47"/>
    <w:rsid w:val="00CF76B3"/>
    <w:rsid w:val="00CF7C81"/>
    <w:rsid w:val="00D00494"/>
    <w:rsid w:val="00D01F4D"/>
    <w:rsid w:val="00D02467"/>
    <w:rsid w:val="00D02771"/>
    <w:rsid w:val="00D035F9"/>
    <w:rsid w:val="00D03C81"/>
    <w:rsid w:val="00D040C2"/>
    <w:rsid w:val="00D04A37"/>
    <w:rsid w:val="00D05032"/>
    <w:rsid w:val="00D05633"/>
    <w:rsid w:val="00D05B93"/>
    <w:rsid w:val="00D05F22"/>
    <w:rsid w:val="00D06D1D"/>
    <w:rsid w:val="00D072A8"/>
    <w:rsid w:val="00D073DA"/>
    <w:rsid w:val="00D07CE9"/>
    <w:rsid w:val="00D102BD"/>
    <w:rsid w:val="00D10856"/>
    <w:rsid w:val="00D1287E"/>
    <w:rsid w:val="00D12DA7"/>
    <w:rsid w:val="00D12E56"/>
    <w:rsid w:val="00D13DD9"/>
    <w:rsid w:val="00D14C80"/>
    <w:rsid w:val="00D1538B"/>
    <w:rsid w:val="00D1592C"/>
    <w:rsid w:val="00D15B47"/>
    <w:rsid w:val="00D15BB0"/>
    <w:rsid w:val="00D1637B"/>
    <w:rsid w:val="00D169FB"/>
    <w:rsid w:val="00D16BB8"/>
    <w:rsid w:val="00D170DD"/>
    <w:rsid w:val="00D1781A"/>
    <w:rsid w:val="00D21516"/>
    <w:rsid w:val="00D215E8"/>
    <w:rsid w:val="00D22121"/>
    <w:rsid w:val="00D22143"/>
    <w:rsid w:val="00D24B64"/>
    <w:rsid w:val="00D2551D"/>
    <w:rsid w:val="00D269C2"/>
    <w:rsid w:val="00D27B2F"/>
    <w:rsid w:val="00D27C10"/>
    <w:rsid w:val="00D307F6"/>
    <w:rsid w:val="00D30B36"/>
    <w:rsid w:val="00D319A8"/>
    <w:rsid w:val="00D31AAB"/>
    <w:rsid w:val="00D31BDA"/>
    <w:rsid w:val="00D31C04"/>
    <w:rsid w:val="00D32C77"/>
    <w:rsid w:val="00D33C7B"/>
    <w:rsid w:val="00D36279"/>
    <w:rsid w:val="00D36A06"/>
    <w:rsid w:val="00D37086"/>
    <w:rsid w:val="00D378F2"/>
    <w:rsid w:val="00D37BA6"/>
    <w:rsid w:val="00D40832"/>
    <w:rsid w:val="00D409E1"/>
    <w:rsid w:val="00D415C0"/>
    <w:rsid w:val="00D419F7"/>
    <w:rsid w:val="00D42D83"/>
    <w:rsid w:val="00D43B53"/>
    <w:rsid w:val="00D445AA"/>
    <w:rsid w:val="00D44F5D"/>
    <w:rsid w:val="00D44FAE"/>
    <w:rsid w:val="00D46137"/>
    <w:rsid w:val="00D46454"/>
    <w:rsid w:val="00D469F2"/>
    <w:rsid w:val="00D46B72"/>
    <w:rsid w:val="00D46D1D"/>
    <w:rsid w:val="00D46DE0"/>
    <w:rsid w:val="00D47098"/>
    <w:rsid w:val="00D47BB4"/>
    <w:rsid w:val="00D50394"/>
    <w:rsid w:val="00D51012"/>
    <w:rsid w:val="00D518AF"/>
    <w:rsid w:val="00D51B61"/>
    <w:rsid w:val="00D51F91"/>
    <w:rsid w:val="00D53404"/>
    <w:rsid w:val="00D53839"/>
    <w:rsid w:val="00D54720"/>
    <w:rsid w:val="00D54A2F"/>
    <w:rsid w:val="00D54D3A"/>
    <w:rsid w:val="00D5545B"/>
    <w:rsid w:val="00D554BA"/>
    <w:rsid w:val="00D55C28"/>
    <w:rsid w:val="00D57A85"/>
    <w:rsid w:val="00D57A98"/>
    <w:rsid w:val="00D57B9F"/>
    <w:rsid w:val="00D600EF"/>
    <w:rsid w:val="00D60854"/>
    <w:rsid w:val="00D60C95"/>
    <w:rsid w:val="00D60CEC"/>
    <w:rsid w:val="00D62545"/>
    <w:rsid w:val="00D632BF"/>
    <w:rsid w:val="00D64182"/>
    <w:rsid w:val="00D641B5"/>
    <w:rsid w:val="00D64826"/>
    <w:rsid w:val="00D64AB0"/>
    <w:rsid w:val="00D661EF"/>
    <w:rsid w:val="00D66611"/>
    <w:rsid w:val="00D66837"/>
    <w:rsid w:val="00D6725D"/>
    <w:rsid w:val="00D6732F"/>
    <w:rsid w:val="00D70F78"/>
    <w:rsid w:val="00D71A63"/>
    <w:rsid w:val="00D71B86"/>
    <w:rsid w:val="00D71DDE"/>
    <w:rsid w:val="00D72041"/>
    <w:rsid w:val="00D730FB"/>
    <w:rsid w:val="00D73240"/>
    <w:rsid w:val="00D733D9"/>
    <w:rsid w:val="00D73994"/>
    <w:rsid w:val="00D74C42"/>
    <w:rsid w:val="00D75352"/>
    <w:rsid w:val="00D75589"/>
    <w:rsid w:val="00D760E5"/>
    <w:rsid w:val="00D76570"/>
    <w:rsid w:val="00D766D0"/>
    <w:rsid w:val="00D76DA5"/>
    <w:rsid w:val="00D76E6A"/>
    <w:rsid w:val="00D7751F"/>
    <w:rsid w:val="00D77AE9"/>
    <w:rsid w:val="00D77AFD"/>
    <w:rsid w:val="00D77D08"/>
    <w:rsid w:val="00D807E8"/>
    <w:rsid w:val="00D81F87"/>
    <w:rsid w:val="00D82604"/>
    <w:rsid w:val="00D83BBF"/>
    <w:rsid w:val="00D84553"/>
    <w:rsid w:val="00D847C9"/>
    <w:rsid w:val="00D84C5F"/>
    <w:rsid w:val="00D8568C"/>
    <w:rsid w:val="00D857A3"/>
    <w:rsid w:val="00D85D29"/>
    <w:rsid w:val="00D85DC1"/>
    <w:rsid w:val="00D86AB9"/>
    <w:rsid w:val="00D87A29"/>
    <w:rsid w:val="00D90D82"/>
    <w:rsid w:val="00D9130D"/>
    <w:rsid w:val="00D915F1"/>
    <w:rsid w:val="00D91697"/>
    <w:rsid w:val="00D92257"/>
    <w:rsid w:val="00D9384A"/>
    <w:rsid w:val="00D941C6"/>
    <w:rsid w:val="00D95A2B"/>
    <w:rsid w:val="00D95A5F"/>
    <w:rsid w:val="00D95ADE"/>
    <w:rsid w:val="00D960EF"/>
    <w:rsid w:val="00D968E3"/>
    <w:rsid w:val="00DA1BA5"/>
    <w:rsid w:val="00DA27BB"/>
    <w:rsid w:val="00DA2AAC"/>
    <w:rsid w:val="00DA3E4D"/>
    <w:rsid w:val="00DA5F68"/>
    <w:rsid w:val="00DA5F97"/>
    <w:rsid w:val="00DA6869"/>
    <w:rsid w:val="00DA7FCE"/>
    <w:rsid w:val="00DB0023"/>
    <w:rsid w:val="00DB0466"/>
    <w:rsid w:val="00DB058D"/>
    <w:rsid w:val="00DB05BA"/>
    <w:rsid w:val="00DB228D"/>
    <w:rsid w:val="00DB2AA1"/>
    <w:rsid w:val="00DB32A0"/>
    <w:rsid w:val="00DB47A3"/>
    <w:rsid w:val="00DB4C77"/>
    <w:rsid w:val="00DB636F"/>
    <w:rsid w:val="00DC017A"/>
    <w:rsid w:val="00DC17B4"/>
    <w:rsid w:val="00DC197A"/>
    <w:rsid w:val="00DC2023"/>
    <w:rsid w:val="00DC2D95"/>
    <w:rsid w:val="00DC30F4"/>
    <w:rsid w:val="00DC401B"/>
    <w:rsid w:val="00DC5788"/>
    <w:rsid w:val="00DC5888"/>
    <w:rsid w:val="00DC5A82"/>
    <w:rsid w:val="00DC691D"/>
    <w:rsid w:val="00DC6EEA"/>
    <w:rsid w:val="00DC70E5"/>
    <w:rsid w:val="00DC78F6"/>
    <w:rsid w:val="00DC7A6E"/>
    <w:rsid w:val="00DC7B2C"/>
    <w:rsid w:val="00DD0F6A"/>
    <w:rsid w:val="00DD17C8"/>
    <w:rsid w:val="00DD1D4B"/>
    <w:rsid w:val="00DD2D99"/>
    <w:rsid w:val="00DD2DE2"/>
    <w:rsid w:val="00DD2F21"/>
    <w:rsid w:val="00DD3E87"/>
    <w:rsid w:val="00DD5E6E"/>
    <w:rsid w:val="00DD6677"/>
    <w:rsid w:val="00DD6750"/>
    <w:rsid w:val="00DD7FF1"/>
    <w:rsid w:val="00DE0899"/>
    <w:rsid w:val="00DE0A4A"/>
    <w:rsid w:val="00DE0DA6"/>
    <w:rsid w:val="00DE2BD6"/>
    <w:rsid w:val="00DE3155"/>
    <w:rsid w:val="00DE315C"/>
    <w:rsid w:val="00DE3EA3"/>
    <w:rsid w:val="00DE4FFD"/>
    <w:rsid w:val="00DE5158"/>
    <w:rsid w:val="00DE5501"/>
    <w:rsid w:val="00DE615C"/>
    <w:rsid w:val="00DE664C"/>
    <w:rsid w:val="00DE75A2"/>
    <w:rsid w:val="00DE76E0"/>
    <w:rsid w:val="00DE7779"/>
    <w:rsid w:val="00DE7D12"/>
    <w:rsid w:val="00DF2291"/>
    <w:rsid w:val="00DF2D46"/>
    <w:rsid w:val="00DF3090"/>
    <w:rsid w:val="00DF3F71"/>
    <w:rsid w:val="00DF4791"/>
    <w:rsid w:val="00DF4D88"/>
    <w:rsid w:val="00DF6B9E"/>
    <w:rsid w:val="00DF6E73"/>
    <w:rsid w:val="00DF7BE3"/>
    <w:rsid w:val="00E00341"/>
    <w:rsid w:val="00E00C23"/>
    <w:rsid w:val="00E011DE"/>
    <w:rsid w:val="00E01546"/>
    <w:rsid w:val="00E01F79"/>
    <w:rsid w:val="00E023D0"/>
    <w:rsid w:val="00E0477C"/>
    <w:rsid w:val="00E06B2F"/>
    <w:rsid w:val="00E06B7E"/>
    <w:rsid w:val="00E07249"/>
    <w:rsid w:val="00E07D12"/>
    <w:rsid w:val="00E10C56"/>
    <w:rsid w:val="00E10F07"/>
    <w:rsid w:val="00E12109"/>
    <w:rsid w:val="00E1267D"/>
    <w:rsid w:val="00E13546"/>
    <w:rsid w:val="00E13551"/>
    <w:rsid w:val="00E14391"/>
    <w:rsid w:val="00E1565D"/>
    <w:rsid w:val="00E164E5"/>
    <w:rsid w:val="00E179E8"/>
    <w:rsid w:val="00E218C0"/>
    <w:rsid w:val="00E22701"/>
    <w:rsid w:val="00E2291F"/>
    <w:rsid w:val="00E231FD"/>
    <w:rsid w:val="00E232E5"/>
    <w:rsid w:val="00E237A2"/>
    <w:rsid w:val="00E23888"/>
    <w:rsid w:val="00E23891"/>
    <w:rsid w:val="00E245C4"/>
    <w:rsid w:val="00E24CE6"/>
    <w:rsid w:val="00E2551E"/>
    <w:rsid w:val="00E26057"/>
    <w:rsid w:val="00E26F18"/>
    <w:rsid w:val="00E2737B"/>
    <w:rsid w:val="00E2792C"/>
    <w:rsid w:val="00E27D05"/>
    <w:rsid w:val="00E30CD7"/>
    <w:rsid w:val="00E30EC0"/>
    <w:rsid w:val="00E31533"/>
    <w:rsid w:val="00E315F4"/>
    <w:rsid w:val="00E316D4"/>
    <w:rsid w:val="00E32899"/>
    <w:rsid w:val="00E33AD4"/>
    <w:rsid w:val="00E35C9F"/>
    <w:rsid w:val="00E36DBF"/>
    <w:rsid w:val="00E3757A"/>
    <w:rsid w:val="00E375DE"/>
    <w:rsid w:val="00E377CC"/>
    <w:rsid w:val="00E37EA7"/>
    <w:rsid w:val="00E40CAC"/>
    <w:rsid w:val="00E4290E"/>
    <w:rsid w:val="00E42DCC"/>
    <w:rsid w:val="00E433DC"/>
    <w:rsid w:val="00E444BF"/>
    <w:rsid w:val="00E44916"/>
    <w:rsid w:val="00E44C85"/>
    <w:rsid w:val="00E458C5"/>
    <w:rsid w:val="00E45E0E"/>
    <w:rsid w:val="00E46DB3"/>
    <w:rsid w:val="00E514A4"/>
    <w:rsid w:val="00E515D0"/>
    <w:rsid w:val="00E518E0"/>
    <w:rsid w:val="00E5193D"/>
    <w:rsid w:val="00E534B4"/>
    <w:rsid w:val="00E53700"/>
    <w:rsid w:val="00E5464A"/>
    <w:rsid w:val="00E55829"/>
    <w:rsid w:val="00E5582B"/>
    <w:rsid w:val="00E572BD"/>
    <w:rsid w:val="00E57313"/>
    <w:rsid w:val="00E57BF0"/>
    <w:rsid w:val="00E60090"/>
    <w:rsid w:val="00E601A4"/>
    <w:rsid w:val="00E60BF3"/>
    <w:rsid w:val="00E60E31"/>
    <w:rsid w:val="00E61026"/>
    <w:rsid w:val="00E612CC"/>
    <w:rsid w:val="00E620B5"/>
    <w:rsid w:val="00E6363F"/>
    <w:rsid w:val="00E637EB"/>
    <w:rsid w:val="00E64881"/>
    <w:rsid w:val="00E650AB"/>
    <w:rsid w:val="00E6543D"/>
    <w:rsid w:val="00E66B39"/>
    <w:rsid w:val="00E66C19"/>
    <w:rsid w:val="00E70E2F"/>
    <w:rsid w:val="00E712FD"/>
    <w:rsid w:val="00E71E85"/>
    <w:rsid w:val="00E730C9"/>
    <w:rsid w:val="00E74E4B"/>
    <w:rsid w:val="00E75436"/>
    <w:rsid w:val="00E75850"/>
    <w:rsid w:val="00E775A7"/>
    <w:rsid w:val="00E77623"/>
    <w:rsid w:val="00E803C9"/>
    <w:rsid w:val="00E8106A"/>
    <w:rsid w:val="00E83CC3"/>
    <w:rsid w:val="00E87FF8"/>
    <w:rsid w:val="00E90959"/>
    <w:rsid w:val="00E91161"/>
    <w:rsid w:val="00E916B3"/>
    <w:rsid w:val="00E9410D"/>
    <w:rsid w:val="00E94DA0"/>
    <w:rsid w:val="00E94E3C"/>
    <w:rsid w:val="00E952BF"/>
    <w:rsid w:val="00E960EB"/>
    <w:rsid w:val="00E96674"/>
    <w:rsid w:val="00EA0104"/>
    <w:rsid w:val="00EA0551"/>
    <w:rsid w:val="00EA1399"/>
    <w:rsid w:val="00EA16CE"/>
    <w:rsid w:val="00EA1EB0"/>
    <w:rsid w:val="00EA354E"/>
    <w:rsid w:val="00EA36DB"/>
    <w:rsid w:val="00EA3792"/>
    <w:rsid w:val="00EA3CB3"/>
    <w:rsid w:val="00EA436A"/>
    <w:rsid w:val="00EA61C3"/>
    <w:rsid w:val="00EA6E37"/>
    <w:rsid w:val="00EA7A99"/>
    <w:rsid w:val="00EB0054"/>
    <w:rsid w:val="00EB0659"/>
    <w:rsid w:val="00EB123F"/>
    <w:rsid w:val="00EB152D"/>
    <w:rsid w:val="00EB19A4"/>
    <w:rsid w:val="00EB2A24"/>
    <w:rsid w:val="00EB3738"/>
    <w:rsid w:val="00EB4929"/>
    <w:rsid w:val="00EB5387"/>
    <w:rsid w:val="00EB64FD"/>
    <w:rsid w:val="00EB6545"/>
    <w:rsid w:val="00EB654D"/>
    <w:rsid w:val="00EB77AA"/>
    <w:rsid w:val="00EB7862"/>
    <w:rsid w:val="00EB7A13"/>
    <w:rsid w:val="00EB7B7A"/>
    <w:rsid w:val="00EC08D8"/>
    <w:rsid w:val="00EC0AF0"/>
    <w:rsid w:val="00EC11CC"/>
    <w:rsid w:val="00EC1570"/>
    <w:rsid w:val="00EC2A43"/>
    <w:rsid w:val="00EC426B"/>
    <w:rsid w:val="00EC431A"/>
    <w:rsid w:val="00EC458A"/>
    <w:rsid w:val="00EC5206"/>
    <w:rsid w:val="00EC5805"/>
    <w:rsid w:val="00EC5ECB"/>
    <w:rsid w:val="00EC5FE6"/>
    <w:rsid w:val="00ED1DEE"/>
    <w:rsid w:val="00ED2D86"/>
    <w:rsid w:val="00ED5F7B"/>
    <w:rsid w:val="00ED6123"/>
    <w:rsid w:val="00ED6507"/>
    <w:rsid w:val="00ED6F62"/>
    <w:rsid w:val="00ED7797"/>
    <w:rsid w:val="00ED7E74"/>
    <w:rsid w:val="00ED7F90"/>
    <w:rsid w:val="00EE10CE"/>
    <w:rsid w:val="00EE1B61"/>
    <w:rsid w:val="00EE1C18"/>
    <w:rsid w:val="00EE228D"/>
    <w:rsid w:val="00EE244D"/>
    <w:rsid w:val="00EE2D08"/>
    <w:rsid w:val="00EE2F9B"/>
    <w:rsid w:val="00EE4435"/>
    <w:rsid w:val="00EE543F"/>
    <w:rsid w:val="00EE693F"/>
    <w:rsid w:val="00EE6BAD"/>
    <w:rsid w:val="00EE7421"/>
    <w:rsid w:val="00EE7656"/>
    <w:rsid w:val="00EE7800"/>
    <w:rsid w:val="00EE79CC"/>
    <w:rsid w:val="00EE7C52"/>
    <w:rsid w:val="00EF002B"/>
    <w:rsid w:val="00EF02B2"/>
    <w:rsid w:val="00EF0712"/>
    <w:rsid w:val="00EF0C69"/>
    <w:rsid w:val="00EF0E55"/>
    <w:rsid w:val="00EF19DD"/>
    <w:rsid w:val="00EF1D97"/>
    <w:rsid w:val="00EF243F"/>
    <w:rsid w:val="00EF24CA"/>
    <w:rsid w:val="00EF2BC0"/>
    <w:rsid w:val="00EF2E1B"/>
    <w:rsid w:val="00EF3DEB"/>
    <w:rsid w:val="00EF4726"/>
    <w:rsid w:val="00EF4E3A"/>
    <w:rsid w:val="00EF5F58"/>
    <w:rsid w:val="00EF6859"/>
    <w:rsid w:val="00EF7179"/>
    <w:rsid w:val="00EF7259"/>
    <w:rsid w:val="00EF7786"/>
    <w:rsid w:val="00F00DAF"/>
    <w:rsid w:val="00F012A5"/>
    <w:rsid w:val="00F01411"/>
    <w:rsid w:val="00F02470"/>
    <w:rsid w:val="00F02756"/>
    <w:rsid w:val="00F0307E"/>
    <w:rsid w:val="00F0384C"/>
    <w:rsid w:val="00F03AB4"/>
    <w:rsid w:val="00F04254"/>
    <w:rsid w:val="00F04BB4"/>
    <w:rsid w:val="00F04E30"/>
    <w:rsid w:val="00F05E5B"/>
    <w:rsid w:val="00F07224"/>
    <w:rsid w:val="00F0725E"/>
    <w:rsid w:val="00F073A8"/>
    <w:rsid w:val="00F07DD5"/>
    <w:rsid w:val="00F07F7C"/>
    <w:rsid w:val="00F11C54"/>
    <w:rsid w:val="00F120E9"/>
    <w:rsid w:val="00F1343D"/>
    <w:rsid w:val="00F145F5"/>
    <w:rsid w:val="00F14C43"/>
    <w:rsid w:val="00F14CAB"/>
    <w:rsid w:val="00F15265"/>
    <w:rsid w:val="00F1584B"/>
    <w:rsid w:val="00F15E77"/>
    <w:rsid w:val="00F160EA"/>
    <w:rsid w:val="00F16CE6"/>
    <w:rsid w:val="00F177DC"/>
    <w:rsid w:val="00F20027"/>
    <w:rsid w:val="00F21E06"/>
    <w:rsid w:val="00F23810"/>
    <w:rsid w:val="00F24859"/>
    <w:rsid w:val="00F25250"/>
    <w:rsid w:val="00F26D58"/>
    <w:rsid w:val="00F26FE8"/>
    <w:rsid w:val="00F27244"/>
    <w:rsid w:val="00F277D0"/>
    <w:rsid w:val="00F30A8A"/>
    <w:rsid w:val="00F30ED0"/>
    <w:rsid w:val="00F31DAF"/>
    <w:rsid w:val="00F32F59"/>
    <w:rsid w:val="00F3338E"/>
    <w:rsid w:val="00F333F8"/>
    <w:rsid w:val="00F34519"/>
    <w:rsid w:val="00F35F9F"/>
    <w:rsid w:val="00F368B6"/>
    <w:rsid w:val="00F36B1E"/>
    <w:rsid w:val="00F372C6"/>
    <w:rsid w:val="00F37F7A"/>
    <w:rsid w:val="00F4004D"/>
    <w:rsid w:val="00F40533"/>
    <w:rsid w:val="00F41802"/>
    <w:rsid w:val="00F41B64"/>
    <w:rsid w:val="00F41BB7"/>
    <w:rsid w:val="00F422E7"/>
    <w:rsid w:val="00F435A9"/>
    <w:rsid w:val="00F442A6"/>
    <w:rsid w:val="00F44814"/>
    <w:rsid w:val="00F44855"/>
    <w:rsid w:val="00F45F3F"/>
    <w:rsid w:val="00F45F6C"/>
    <w:rsid w:val="00F46808"/>
    <w:rsid w:val="00F4699A"/>
    <w:rsid w:val="00F4790A"/>
    <w:rsid w:val="00F479B5"/>
    <w:rsid w:val="00F47DB3"/>
    <w:rsid w:val="00F50C68"/>
    <w:rsid w:val="00F516C3"/>
    <w:rsid w:val="00F51A41"/>
    <w:rsid w:val="00F51F2E"/>
    <w:rsid w:val="00F52BDE"/>
    <w:rsid w:val="00F545DF"/>
    <w:rsid w:val="00F54AE2"/>
    <w:rsid w:val="00F553DD"/>
    <w:rsid w:val="00F55F8C"/>
    <w:rsid w:val="00F56CA2"/>
    <w:rsid w:val="00F57598"/>
    <w:rsid w:val="00F57A65"/>
    <w:rsid w:val="00F616F3"/>
    <w:rsid w:val="00F6225B"/>
    <w:rsid w:val="00F628FE"/>
    <w:rsid w:val="00F62A44"/>
    <w:rsid w:val="00F62A4A"/>
    <w:rsid w:val="00F6472D"/>
    <w:rsid w:val="00F6628D"/>
    <w:rsid w:val="00F662FA"/>
    <w:rsid w:val="00F665F9"/>
    <w:rsid w:val="00F66650"/>
    <w:rsid w:val="00F66939"/>
    <w:rsid w:val="00F70E16"/>
    <w:rsid w:val="00F7196F"/>
    <w:rsid w:val="00F72651"/>
    <w:rsid w:val="00F727BF"/>
    <w:rsid w:val="00F72ECB"/>
    <w:rsid w:val="00F74627"/>
    <w:rsid w:val="00F746E9"/>
    <w:rsid w:val="00F757FF"/>
    <w:rsid w:val="00F76AAC"/>
    <w:rsid w:val="00F7704B"/>
    <w:rsid w:val="00F77239"/>
    <w:rsid w:val="00F77345"/>
    <w:rsid w:val="00F777F1"/>
    <w:rsid w:val="00F8017F"/>
    <w:rsid w:val="00F82E0F"/>
    <w:rsid w:val="00F84223"/>
    <w:rsid w:val="00F84956"/>
    <w:rsid w:val="00F84DE6"/>
    <w:rsid w:val="00F85054"/>
    <w:rsid w:val="00F85C8F"/>
    <w:rsid w:val="00F86E54"/>
    <w:rsid w:val="00F904D4"/>
    <w:rsid w:val="00F9074F"/>
    <w:rsid w:val="00F90E69"/>
    <w:rsid w:val="00F9175B"/>
    <w:rsid w:val="00F9226E"/>
    <w:rsid w:val="00F92938"/>
    <w:rsid w:val="00F92CBD"/>
    <w:rsid w:val="00F931A0"/>
    <w:rsid w:val="00F937ED"/>
    <w:rsid w:val="00F944BE"/>
    <w:rsid w:val="00F946B6"/>
    <w:rsid w:val="00F94BE1"/>
    <w:rsid w:val="00F94BEC"/>
    <w:rsid w:val="00F950CC"/>
    <w:rsid w:val="00F96D02"/>
    <w:rsid w:val="00F97779"/>
    <w:rsid w:val="00F97BEC"/>
    <w:rsid w:val="00F97EFC"/>
    <w:rsid w:val="00FA06C4"/>
    <w:rsid w:val="00FA0F23"/>
    <w:rsid w:val="00FA1072"/>
    <w:rsid w:val="00FA1BC8"/>
    <w:rsid w:val="00FA2064"/>
    <w:rsid w:val="00FA2264"/>
    <w:rsid w:val="00FA2420"/>
    <w:rsid w:val="00FA2DDA"/>
    <w:rsid w:val="00FA356A"/>
    <w:rsid w:val="00FA35A6"/>
    <w:rsid w:val="00FA3CA6"/>
    <w:rsid w:val="00FA3EF6"/>
    <w:rsid w:val="00FA4285"/>
    <w:rsid w:val="00FA4E1A"/>
    <w:rsid w:val="00FA5500"/>
    <w:rsid w:val="00FA5639"/>
    <w:rsid w:val="00FA5AED"/>
    <w:rsid w:val="00FA652D"/>
    <w:rsid w:val="00FA676C"/>
    <w:rsid w:val="00FA6E32"/>
    <w:rsid w:val="00FA7D34"/>
    <w:rsid w:val="00FB0940"/>
    <w:rsid w:val="00FB0DD7"/>
    <w:rsid w:val="00FB19EC"/>
    <w:rsid w:val="00FB2413"/>
    <w:rsid w:val="00FB251D"/>
    <w:rsid w:val="00FB26F5"/>
    <w:rsid w:val="00FB2D1A"/>
    <w:rsid w:val="00FB2F4A"/>
    <w:rsid w:val="00FB3161"/>
    <w:rsid w:val="00FB34E1"/>
    <w:rsid w:val="00FB3B7C"/>
    <w:rsid w:val="00FB3DC0"/>
    <w:rsid w:val="00FB50F7"/>
    <w:rsid w:val="00FB557E"/>
    <w:rsid w:val="00FB606A"/>
    <w:rsid w:val="00FB6847"/>
    <w:rsid w:val="00FB6A89"/>
    <w:rsid w:val="00FB7201"/>
    <w:rsid w:val="00FC0CB9"/>
    <w:rsid w:val="00FC14D3"/>
    <w:rsid w:val="00FC15E5"/>
    <w:rsid w:val="00FC19C5"/>
    <w:rsid w:val="00FC1F8A"/>
    <w:rsid w:val="00FC202A"/>
    <w:rsid w:val="00FC22C7"/>
    <w:rsid w:val="00FC2C9E"/>
    <w:rsid w:val="00FC377B"/>
    <w:rsid w:val="00FC3D9E"/>
    <w:rsid w:val="00FC4D8A"/>
    <w:rsid w:val="00FC5B12"/>
    <w:rsid w:val="00FC5CC0"/>
    <w:rsid w:val="00FC6367"/>
    <w:rsid w:val="00FC70A0"/>
    <w:rsid w:val="00FC71BF"/>
    <w:rsid w:val="00FC75F0"/>
    <w:rsid w:val="00FC7A74"/>
    <w:rsid w:val="00FC7ECA"/>
    <w:rsid w:val="00FD0FED"/>
    <w:rsid w:val="00FD1227"/>
    <w:rsid w:val="00FD18D3"/>
    <w:rsid w:val="00FD1CB5"/>
    <w:rsid w:val="00FD30C5"/>
    <w:rsid w:val="00FD51A3"/>
    <w:rsid w:val="00FD596B"/>
    <w:rsid w:val="00FD5E4B"/>
    <w:rsid w:val="00FD6047"/>
    <w:rsid w:val="00FD63ED"/>
    <w:rsid w:val="00FD643C"/>
    <w:rsid w:val="00FD6571"/>
    <w:rsid w:val="00FD6C32"/>
    <w:rsid w:val="00FE02C5"/>
    <w:rsid w:val="00FE0D5C"/>
    <w:rsid w:val="00FE1267"/>
    <w:rsid w:val="00FE1FE0"/>
    <w:rsid w:val="00FE21A6"/>
    <w:rsid w:val="00FE353B"/>
    <w:rsid w:val="00FE4156"/>
    <w:rsid w:val="00FE45BD"/>
    <w:rsid w:val="00FE4B6F"/>
    <w:rsid w:val="00FE51D6"/>
    <w:rsid w:val="00FE6EE5"/>
    <w:rsid w:val="00FE6FD3"/>
    <w:rsid w:val="00FF0443"/>
    <w:rsid w:val="00FF05EE"/>
    <w:rsid w:val="00FF18C7"/>
    <w:rsid w:val="00FF329D"/>
    <w:rsid w:val="00FF3B57"/>
    <w:rsid w:val="00FF4CCE"/>
    <w:rsid w:val="00FF4FDF"/>
    <w:rsid w:val="00FF5F7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14:docId w14:val="6C8B5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sz w:val="22"/>
        <w:szCs w:val="22"/>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lsdException w:name="heading 6" w:semiHidden="0" w:uiPriority="0" w:unhideWhenUsed="0"/>
    <w:lsdException w:name="heading 7" w:semiHidden="0" w:uiPriority="0" w:unhideWhenUsed="0"/>
    <w:lsdException w:name="heading 8" w:semiHidden="0" w:uiPriority="0" w:unhideWhenUsed="0"/>
    <w:lsdException w:name="heading 9" w:semiHidden="0" w:uiPriority="0" w:unhideWhenUsed="0"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qFormat="1"/>
    <w:lsdException w:name="header" w:uiPriority="0"/>
    <w:lsdException w:name="caption" w:semiHidden="0" w:unhideWhenUsed="0" w:qFormat="1"/>
    <w:lsdException w:name="page number" w:uiPriority="0"/>
    <w:lsdException w:name="endnote reference" w:uiPriority="0"/>
    <w:lsdException w:name="endnote text" w:uiPriority="0"/>
    <w:lsdException w:name="List Bullet" w:uiPriority="0"/>
    <w:lsdException w:name="List Number"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6DA5"/>
  </w:style>
  <w:style w:type="paragraph" w:styleId="Heading1">
    <w:name w:val="heading 1"/>
    <w:basedOn w:val="Normal"/>
    <w:next w:val="Normal"/>
    <w:link w:val="Heading1Char"/>
    <w:uiPriority w:val="9"/>
    <w:qFormat/>
    <w:rsid w:val="001D3CF9"/>
    <w:pPr>
      <w:keepNext/>
      <w:pageBreakBefore/>
      <w:tabs>
        <w:tab w:val="left" w:pos="851"/>
      </w:tabs>
      <w:spacing w:before="240" w:after="360"/>
      <w:ind w:left="851" w:hanging="851"/>
      <w:outlineLvl w:val="0"/>
    </w:pPr>
    <w:rPr>
      <w:b/>
      <w:bCs/>
      <w:sz w:val="40"/>
      <w:szCs w:val="40"/>
      <w:lang w:val="x-none"/>
    </w:rPr>
  </w:style>
  <w:style w:type="paragraph" w:styleId="Heading2">
    <w:name w:val="heading 2"/>
    <w:aliases w:val="H2,Follow Up Question"/>
    <w:basedOn w:val="Heading1"/>
    <w:next w:val="Normal"/>
    <w:qFormat/>
    <w:rsid w:val="005D7275"/>
    <w:pPr>
      <w:outlineLvl w:val="1"/>
    </w:pPr>
  </w:style>
  <w:style w:type="paragraph" w:styleId="Heading3">
    <w:name w:val="heading 3"/>
    <w:aliases w:val="H3"/>
    <w:basedOn w:val="Normal"/>
    <w:next w:val="Normal"/>
    <w:qFormat/>
    <w:rsid w:val="00F4699A"/>
    <w:pPr>
      <w:keepNext/>
      <w:numPr>
        <w:ilvl w:val="2"/>
        <w:numId w:val="1"/>
      </w:numPr>
      <w:autoSpaceDE w:val="0"/>
      <w:autoSpaceDN w:val="0"/>
      <w:adjustRightInd w:val="0"/>
      <w:spacing w:after="120"/>
      <w:ind w:left="993" w:hanging="1173"/>
      <w:outlineLvl w:val="2"/>
    </w:pPr>
    <w:rPr>
      <w:rFonts w:ascii="Gill Sans MT" w:hAnsi="Gill Sans MT"/>
      <w:b/>
      <w:bCs/>
      <w:sz w:val="32"/>
      <w:szCs w:val="18"/>
    </w:rPr>
  </w:style>
  <w:style w:type="paragraph" w:styleId="Heading4">
    <w:name w:val="heading 4"/>
    <w:aliases w:val="H4"/>
    <w:basedOn w:val="Normal"/>
    <w:next w:val="Normal"/>
    <w:qFormat/>
    <w:rsid w:val="00742119"/>
    <w:pPr>
      <w:keepNext/>
      <w:keepLines/>
      <w:autoSpaceDE w:val="0"/>
      <w:autoSpaceDN w:val="0"/>
      <w:adjustRightInd w:val="0"/>
      <w:spacing w:after="120"/>
      <w:outlineLvl w:val="3"/>
    </w:pPr>
    <w:rPr>
      <w:b/>
      <w:bCs/>
      <w:sz w:val="24"/>
    </w:rPr>
  </w:style>
  <w:style w:type="paragraph" w:styleId="Heading5">
    <w:name w:val="heading 5"/>
    <w:aliases w:val=" DO NOT USE"/>
    <w:basedOn w:val="Normal"/>
    <w:next w:val="Normal"/>
    <w:link w:val="Heading5Char"/>
    <w:rsid w:val="00694D1A"/>
    <w:pPr>
      <w:keepNext/>
      <w:autoSpaceDE w:val="0"/>
      <w:autoSpaceDN w:val="0"/>
      <w:adjustRightInd w:val="0"/>
      <w:outlineLvl w:val="4"/>
    </w:pPr>
    <w:rPr>
      <w:b/>
      <w:bCs/>
      <w:sz w:val="20"/>
      <w:szCs w:val="20"/>
      <w:lang w:val="en-US"/>
    </w:rPr>
  </w:style>
  <w:style w:type="paragraph" w:styleId="Heading6">
    <w:name w:val="heading 6"/>
    <w:aliases w:val="DO NOT USE,DO NOT USE4"/>
    <w:basedOn w:val="Normal"/>
    <w:next w:val="Normal"/>
    <w:rsid w:val="00694D1A"/>
    <w:pPr>
      <w:keepNext/>
      <w:outlineLvl w:val="5"/>
    </w:pPr>
    <w:rPr>
      <w:b/>
      <w:bCs/>
      <w:lang w:val="en-US"/>
    </w:rPr>
  </w:style>
  <w:style w:type="paragraph" w:styleId="Heading7">
    <w:name w:val="heading 7"/>
    <w:basedOn w:val="Normal"/>
    <w:next w:val="Normal"/>
    <w:rsid w:val="00694D1A"/>
    <w:pPr>
      <w:keepNext/>
      <w:outlineLvl w:val="6"/>
    </w:pPr>
    <w:rPr>
      <w:rFonts w:ascii="Garamond" w:hAnsi="Garamond"/>
      <w:b/>
      <w:iCs/>
      <w:smallCaps/>
      <w:sz w:val="28"/>
      <w:szCs w:val="28"/>
    </w:rPr>
  </w:style>
  <w:style w:type="paragraph" w:styleId="Heading8">
    <w:name w:val="heading 8"/>
    <w:basedOn w:val="Normal"/>
    <w:next w:val="Normal"/>
    <w:rsid w:val="007C08A0"/>
    <w:pPr>
      <w:keepNext/>
      <w:tabs>
        <w:tab w:val="left" w:pos="416"/>
      </w:tabs>
      <w:outlineLvl w:val="7"/>
    </w:pPr>
    <w:rPr>
      <w:rFonts w:ascii="Garamond" w:hAnsi="Garamond"/>
      <w:b/>
      <w:smallCaps/>
      <w:sz w:val="40"/>
      <w:szCs w:val="40"/>
    </w:rPr>
  </w:style>
  <w:style w:type="paragraph" w:styleId="Heading9">
    <w:name w:val="heading 9"/>
    <w:aliases w:val="cover page title"/>
    <w:basedOn w:val="Normal"/>
    <w:next w:val="Normal"/>
    <w:qFormat/>
    <w:rsid w:val="00694D1A"/>
    <w:pPr>
      <w:tabs>
        <w:tab w:val="left" w:pos="416"/>
        <w:tab w:val="left" w:pos="582"/>
      </w:tabs>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D3CF9"/>
    <w:rPr>
      <w:rFonts w:ascii="Arial" w:hAnsi="Arial"/>
      <w:b/>
      <w:bCs/>
      <w:sz w:val="40"/>
      <w:szCs w:val="40"/>
      <w:lang w:val="x-none" w:eastAsia="en-US"/>
    </w:rPr>
  </w:style>
  <w:style w:type="paragraph" w:styleId="Caption">
    <w:name w:val="caption"/>
    <w:aliases w:val="Caption Char2 Char,Caption Char Char Char2,Caption Char1 Char Char Char1,Caption Char2 Char Char Char1 Char1,Caption Char Char1 Char Char Char1 Char1,Caption Char1 Char Char Char Char Char Char,Caption Char Char1,Caption Char2,Caption Char1"/>
    <w:basedOn w:val="Normal"/>
    <w:next w:val="Normal"/>
    <w:link w:val="CaptionChar"/>
    <w:uiPriority w:val="99"/>
    <w:qFormat/>
    <w:rsid w:val="001F62C3"/>
    <w:pPr>
      <w:keepNext/>
      <w:spacing w:before="120" w:after="120"/>
      <w:ind w:left="1077" w:hanging="1077"/>
    </w:pPr>
    <w:rPr>
      <w:rFonts w:ascii="Gill Sans MT" w:hAnsi="Gill Sans MT"/>
      <w:b/>
      <w:bCs/>
      <w:sz w:val="20"/>
      <w:szCs w:val="20"/>
      <w:lang w:val="x-none"/>
    </w:rPr>
  </w:style>
  <w:style w:type="character" w:customStyle="1" w:styleId="CaptionChar">
    <w:name w:val="Caption Char"/>
    <w:aliases w:val="Caption Char2 Char Char,Caption Char Char Char2 Char,Caption Char1 Char Char Char1 Char,Caption Char2 Char Char Char1 Char1 Char,Caption Char Char1 Char Char Char1 Char1 Char,Caption Char1 Char Char Char Char Char Char Char"/>
    <w:link w:val="Caption"/>
    <w:uiPriority w:val="99"/>
    <w:rsid w:val="001F62C3"/>
    <w:rPr>
      <w:rFonts w:ascii="Gill Sans MT" w:hAnsi="Gill Sans MT"/>
      <w:b/>
      <w:bCs/>
      <w:lang w:eastAsia="en-US"/>
    </w:rPr>
  </w:style>
  <w:style w:type="paragraph" w:styleId="BodyText">
    <w:name w:val="Body Text"/>
    <w:aliases w:val="Body Text Char"/>
    <w:basedOn w:val="Normal"/>
    <w:link w:val="BodyTextChar1"/>
    <w:semiHidden/>
    <w:rsid w:val="00694D1A"/>
    <w:pPr>
      <w:autoSpaceDE w:val="0"/>
      <w:autoSpaceDN w:val="0"/>
      <w:adjustRightInd w:val="0"/>
    </w:pPr>
    <w:rPr>
      <w:rFonts w:ascii="TimesNewRomanPSMT" w:hAnsi="TimesNewRomanPSMT"/>
      <w:sz w:val="20"/>
      <w:szCs w:val="20"/>
      <w:lang w:val="en-US"/>
    </w:rPr>
  </w:style>
  <w:style w:type="paragraph" w:styleId="DocumentMap">
    <w:name w:val="Document Map"/>
    <w:basedOn w:val="Normal"/>
    <w:semiHidden/>
    <w:rsid w:val="00694D1A"/>
    <w:pPr>
      <w:shd w:val="clear" w:color="auto" w:fill="000080"/>
    </w:pPr>
    <w:rPr>
      <w:rFonts w:ascii="Tahoma" w:hAnsi="Tahoma" w:cs="Tahoma"/>
    </w:rPr>
  </w:style>
  <w:style w:type="paragraph" w:customStyle="1" w:styleId="Heading50">
    <w:name w:val="Heading5"/>
    <w:basedOn w:val="Heading40"/>
    <w:qFormat/>
    <w:rsid w:val="0023269B"/>
    <w:pPr>
      <w:spacing w:line="288" w:lineRule="auto"/>
      <w:outlineLvl w:val="4"/>
    </w:pPr>
    <w:rPr>
      <w:i w:val="0"/>
    </w:rPr>
  </w:style>
  <w:style w:type="paragraph" w:customStyle="1" w:styleId="Heading40">
    <w:name w:val="Heading4"/>
    <w:basedOn w:val="Heading30"/>
    <w:next w:val="Normal"/>
    <w:link w:val="Heading4Char"/>
    <w:qFormat/>
    <w:rsid w:val="002741E1"/>
    <w:pPr>
      <w:spacing w:after="120"/>
      <w:ind w:left="0" w:firstLine="0"/>
      <w:outlineLvl w:val="3"/>
    </w:pPr>
    <w:rPr>
      <w:i/>
      <w:sz w:val="22"/>
    </w:rPr>
  </w:style>
  <w:style w:type="paragraph" w:customStyle="1" w:styleId="Heading30">
    <w:name w:val="Heading3"/>
    <w:basedOn w:val="Heading20"/>
    <w:next w:val="Normal"/>
    <w:link w:val="Heading3Char"/>
    <w:qFormat/>
    <w:rsid w:val="0054583C"/>
    <w:pPr>
      <w:spacing w:after="240"/>
      <w:outlineLvl w:val="2"/>
    </w:pPr>
    <w:rPr>
      <w:sz w:val="28"/>
    </w:rPr>
  </w:style>
  <w:style w:type="paragraph" w:customStyle="1" w:styleId="Heading20">
    <w:name w:val="Heading2"/>
    <w:basedOn w:val="Heading1"/>
    <w:next w:val="Normal"/>
    <w:link w:val="Heading2Char"/>
    <w:qFormat/>
    <w:rsid w:val="001D3CF9"/>
    <w:pPr>
      <w:pageBreakBefore w:val="0"/>
      <w:outlineLvl w:val="1"/>
    </w:pPr>
    <w:rPr>
      <w:sz w:val="32"/>
      <w:szCs w:val="32"/>
    </w:rPr>
  </w:style>
  <w:style w:type="character" w:customStyle="1" w:styleId="Heading2Char">
    <w:name w:val="Heading2 Char"/>
    <w:link w:val="Heading20"/>
    <w:rsid w:val="001D3CF9"/>
    <w:rPr>
      <w:rFonts w:ascii="Arial" w:hAnsi="Arial"/>
      <w:b/>
      <w:bCs/>
      <w:sz w:val="32"/>
      <w:szCs w:val="32"/>
      <w:lang w:val="x-none" w:eastAsia="en-US"/>
    </w:rPr>
  </w:style>
  <w:style w:type="paragraph" w:customStyle="1" w:styleId="Tabletext">
    <w:name w:val="Table text"/>
    <w:basedOn w:val="Normal"/>
    <w:qFormat/>
    <w:rsid w:val="00623290"/>
    <w:pPr>
      <w:keepNext/>
      <w:spacing w:before="60" w:after="40"/>
    </w:pPr>
    <w:rPr>
      <w:rFonts w:ascii="Arial Narrow" w:hAnsi="Arial Narrow"/>
      <w:sz w:val="20"/>
      <w:szCs w:val="20"/>
    </w:rPr>
  </w:style>
  <w:style w:type="paragraph" w:styleId="BodyText2">
    <w:name w:val="Body Text 2"/>
    <w:basedOn w:val="Normal"/>
    <w:semiHidden/>
    <w:rsid w:val="00694D1A"/>
    <w:rPr>
      <w:b/>
      <w:bCs/>
      <w:lang w:val="en-US"/>
    </w:rPr>
  </w:style>
  <w:style w:type="paragraph" w:styleId="BodyText3">
    <w:name w:val="Body Text 3"/>
    <w:basedOn w:val="Normal"/>
    <w:semiHidden/>
    <w:rsid w:val="00694D1A"/>
    <w:rPr>
      <w:rFonts w:ascii="Verdana" w:hAnsi="Verdana" w:cs="Arial"/>
      <w:b/>
      <w:bCs/>
      <w:sz w:val="18"/>
      <w:szCs w:val="18"/>
      <w:lang w:val="en-GB"/>
    </w:rPr>
  </w:style>
  <w:style w:type="character" w:styleId="EndnoteReference">
    <w:name w:val="endnote reference"/>
    <w:semiHidden/>
    <w:rsid w:val="00694D1A"/>
    <w:rPr>
      <w:rFonts w:ascii="Verdana" w:hAnsi="Verdana"/>
      <w:sz w:val="14"/>
      <w:vertAlign w:val="superscript"/>
    </w:rPr>
  </w:style>
  <w:style w:type="paragraph" w:styleId="EndnoteText">
    <w:name w:val="endnote text"/>
    <w:basedOn w:val="Normal"/>
    <w:semiHidden/>
    <w:rsid w:val="00694D1A"/>
    <w:pPr>
      <w:overflowPunct w:val="0"/>
      <w:autoSpaceDE w:val="0"/>
      <w:autoSpaceDN w:val="0"/>
      <w:adjustRightInd w:val="0"/>
      <w:ind w:left="1440"/>
      <w:textAlignment w:val="baseline"/>
    </w:pPr>
    <w:rPr>
      <w:rFonts w:ascii="Verdana" w:hAnsi="Verdana"/>
      <w:sz w:val="18"/>
      <w:szCs w:val="20"/>
      <w:lang w:val="en-GB"/>
    </w:rPr>
  </w:style>
  <w:style w:type="paragraph" w:styleId="NormalWeb">
    <w:name w:val="Normal (Web)"/>
    <w:basedOn w:val="Normal"/>
    <w:uiPriority w:val="99"/>
    <w:semiHidden/>
    <w:rsid w:val="00694D1A"/>
    <w:pPr>
      <w:spacing w:before="100" w:beforeAutospacing="1" w:after="100" w:afterAutospacing="1"/>
    </w:pPr>
    <w:rPr>
      <w:rFonts w:ascii="Arial Unicode MS" w:eastAsia="Arial Unicode MS" w:hAnsi="Arial Unicode MS" w:cs="Arial Unicode MS"/>
      <w:sz w:val="24"/>
    </w:rPr>
  </w:style>
  <w:style w:type="paragraph" w:styleId="BodyTextIndent">
    <w:name w:val="Body Text Indent"/>
    <w:basedOn w:val="Normal"/>
    <w:link w:val="BodyTextIndentChar"/>
    <w:semiHidden/>
    <w:rsid w:val="00694D1A"/>
    <w:pPr>
      <w:ind w:left="720"/>
    </w:pPr>
    <w:rPr>
      <w:lang w:val="x-none"/>
    </w:rPr>
  </w:style>
  <w:style w:type="paragraph" w:styleId="FootnoteText">
    <w:name w:val="footnote text"/>
    <w:basedOn w:val="Normal"/>
    <w:link w:val="FootnoteTextChar"/>
    <w:uiPriority w:val="99"/>
    <w:semiHidden/>
    <w:qFormat/>
    <w:rsid w:val="00881BD2"/>
    <w:rPr>
      <w:sz w:val="20"/>
      <w:szCs w:val="20"/>
    </w:rPr>
  </w:style>
  <w:style w:type="character" w:styleId="FootnoteReference">
    <w:name w:val="footnote reference"/>
    <w:uiPriority w:val="99"/>
    <w:semiHidden/>
    <w:rsid w:val="00694D1A"/>
    <w:rPr>
      <w:vertAlign w:val="superscript"/>
    </w:rPr>
  </w:style>
  <w:style w:type="paragraph" w:styleId="TOC4">
    <w:name w:val="toc 4"/>
    <w:aliases w:val="title4"/>
    <w:basedOn w:val="Normal"/>
    <w:next w:val="Normal"/>
    <w:autoRedefine/>
    <w:rsid w:val="00694D1A"/>
    <w:pPr>
      <w:ind w:left="660"/>
    </w:pPr>
    <w:rPr>
      <w:rFonts w:ascii="Calibri" w:hAnsi="Calibri"/>
      <w:sz w:val="18"/>
      <w:szCs w:val="18"/>
    </w:rPr>
  </w:style>
  <w:style w:type="character" w:styleId="Hyperlink">
    <w:name w:val="Hyperlink"/>
    <w:uiPriority w:val="99"/>
    <w:rsid w:val="00694D1A"/>
    <w:rPr>
      <w:color w:val="000066"/>
      <w:u w:val="single"/>
      <w:shd w:val="clear" w:color="auto" w:fill="FFFFFF"/>
    </w:rPr>
  </w:style>
  <w:style w:type="paragraph" w:styleId="Header">
    <w:name w:val="header"/>
    <w:basedOn w:val="Normal"/>
    <w:semiHidden/>
    <w:rsid w:val="00BE19DF"/>
    <w:pPr>
      <w:pBdr>
        <w:bottom w:val="single" w:sz="4" w:space="1" w:color="000000"/>
      </w:pBdr>
      <w:tabs>
        <w:tab w:val="center" w:pos="4153"/>
        <w:tab w:val="right" w:pos="8306"/>
      </w:tabs>
      <w:spacing w:before="240" w:after="40"/>
      <w:jc w:val="right"/>
    </w:pPr>
    <w:rPr>
      <w:rFonts w:ascii="Franklin Gothic Medium" w:hAnsi="Franklin Gothic Medium"/>
      <w:smallCaps/>
      <w:sz w:val="18"/>
      <w:szCs w:val="18"/>
    </w:rPr>
  </w:style>
  <w:style w:type="paragraph" w:styleId="Footer">
    <w:name w:val="footer"/>
    <w:aliases w:val="Page Footer"/>
    <w:basedOn w:val="Normal"/>
    <w:link w:val="FooterChar"/>
    <w:uiPriority w:val="99"/>
    <w:rsid w:val="00694D1A"/>
    <w:pPr>
      <w:tabs>
        <w:tab w:val="center" w:pos="4153"/>
        <w:tab w:val="right" w:pos="8306"/>
      </w:tabs>
    </w:pPr>
    <w:rPr>
      <w:rFonts w:ascii="Arial Unicode MS" w:hAnsi="Arial Unicode MS"/>
    </w:rPr>
  </w:style>
  <w:style w:type="character" w:customStyle="1" w:styleId="FooterChar">
    <w:name w:val="Footer Char"/>
    <w:aliases w:val="Page Footer Char"/>
    <w:link w:val="Footer"/>
    <w:uiPriority w:val="99"/>
    <w:rsid w:val="00844317"/>
    <w:rPr>
      <w:rFonts w:ascii="Arial Unicode MS" w:hAnsi="Arial Unicode MS"/>
      <w:sz w:val="22"/>
      <w:szCs w:val="24"/>
      <w:lang w:val="en-AU" w:eastAsia="en-US" w:bidi="ar-SA"/>
    </w:rPr>
  </w:style>
  <w:style w:type="paragraph" w:customStyle="1" w:styleId="Tablenotes">
    <w:name w:val="Table notes"/>
    <w:basedOn w:val="Normal"/>
    <w:rsid w:val="003A1124"/>
    <w:pPr>
      <w:spacing w:before="40" w:after="360"/>
    </w:pPr>
    <w:rPr>
      <w:rFonts w:ascii="Arial Narrow" w:hAnsi="Arial Narrow"/>
      <w:sz w:val="16"/>
    </w:rPr>
  </w:style>
  <w:style w:type="paragraph" w:styleId="TOC1">
    <w:name w:val="toc 1"/>
    <w:basedOn w:val="Normal"/>
    <w:next w:val="Normal"/>
    <w:autoRedefine/>
    <w:uiPriority w:val="39"/>
    <w:qFormat/>
    <w:rsid w:val="001C535A"/>
    <w:pPr>
      <w:spacing w:before="120" w:after="60"/>
      <w:ind w:left="720" w:hanging="720"/>
    </w:pPr>
    <w:rPr>
      <w:b/>
      <w:bCs/>
      <w:szCs w:val="20"/>
    </w:rPr>
  </w:style>
  <w:style w:type="paragraph" w:styleId="TOC2">
    <w:name w:val="toc 2"/>
    <w:basedOn w:val="Normal"/>
    <w:next w:val="Normal"/>
    <w:autoRedefine/>
    <w:uiPriority w:val="39"/>
    <w:qFormat/>
    <w:rsid w:val="004F3378"/>
    <w:pPr>
      <w:spacing w:after="120"/>
      <w:ind w:left="221"/>
    </w:pPr>
    <w:rPr>
      <w:rFonts w:ascii="Arial Narrow" w:hAnsi="Arial Narrow"/>
      <w:sz w:val="20"/>
      <w:szCs w:val="20"/>
    </w:rPr>
  </w:style>
  <w:style w:type="paragraph" w:styleId="TOC3">
    <w:name w:val="toc 3"/>
    <w:basedOn w:val="Normal"/>
    <w:next w:val="Normal"/>
    <w:autoRedefine/>
    <w:uiPriority w:val="39"/>
    <w:qFormat/>
    <w:rsid w:val="004F3378"/>
    <w:pPr>
      <w:spacing w:after="120"/>
      <w:ind w:left="1162" w:hanging="720"/>
    </w:pPr>
    <w:rPr>
      <w:rFonts w:ascii="Arial Narrow" w:hAnsi="Arial Narrow"/>
      <w:iCs/>
      <w:sz w:val="20"/>
      <w:szCs w:val="20"/>
    </w:rPr>
  </w:style>
  <w:style w:type="paragraph" w:styleId="TOC5">
    <w:name w:val="toc 5"/>
    <w:basedOn w:val="Normal"/>
    <w:next w:val="Normal"/>
    <w:autoRedefine/>
    <w:rsid w:val="00694D1A"/>
    <w:pPr>
      <w:ind w:left="880"/>
    </w:pPr>
    <w:rPr>
      <w:rFonts w:ascii="Calibri" w:hAnsi="Calibri"/>
      <w:sz w:val="18"/>
      <w:szCs w:val="18"/>
    </w:rPr>
  </w:style>
  <w:style w:type="paragraph" w:styleId="TOC6">
    <w:name w:val="toc 6"/>
    <w:basedOn w:val="Normal"/>
    <w:next w:val="Normal"/>
    <w:autoRedefine/>
    <w:rsid w:val="00694D1A"/>
    <w:pPr>
      <w:ind w:left="1100"/>
    </w:pPr>
    <w:rPr>
      <w:rFonts w:ascii="Calibri" w:hAnsi="Calibri"/>
      <w:sz w:val="18"/>
      <w:szCs w:val="18"/>
    </w:rPr>
  </w:style>
  <w:style w:type="paragraph" w:styleId="TOC7">
    <w:name w:val="toc 7"/>
    <w:basedOn w:val="Normal"/>
    <w:next w:val="Normal"/>
    <w:autoRedefine/>
    <w:rsid w:val="00694D1A"/>
    <w:pPr>
      <w:ind w:left="1320"/>
    </w:pPr>
    <w:rPr>
      <w:rFonts w:ascii="Calibri" w:hAnsi="Calibri"/>
      <w:sz w:val="18"/>
      <w:szCs w:val="18"/>
    </w:rPr>
  </w:style>
  <w:style w:type="paragraph" w:styleId="TOC8">
    <w:name w:val="toc 8"/>
    <w:basedOn w:val="Normal"/>
    <w:next w:val="Normal"/>
    <w:autoRedefine/>
    <w:rsid w:val="00694D1A"/>
    <w:pPr>
      <w:ind w:left="1540"/>
    </w:pPr>
    <w:rPr>
      <w:rFonts w:ascii="Calibri" w:hAnsi="Calibri"/>
      <w:sz w:val="18"/>
      <w:szCs w:val="18"/>
    </w:rPr>
  </w:style>
  <w:style w:type="paragraph" w:styleId="TOC9">
    <w:name w:val="toc 9"/>
    <w:basedOn w:val="Normal"/>
    <w:next w:val="Normal"/>
    <w:autoRedefine/>
    <w:rsid w:val="00694D1A"/>
    <w:pPr>
      <w:ind w:left="1760"/>
    </w:pPr>
    <w:rPr>
      <w:rFonts w:ascii="Calibri" w:hAnsi="Calibri"/>
      <w:sz w:val="18"/>
      <w:szCs w:val="18"/>
    </w:rPr>
  </w:style>
  <w:style w:type="paragraph" w:styleId="ListBullet2">
    <w:name w:val="List Bullet 2"/>
    <w:basedOn w:val="Normal"/>
    <w:autoRedefine/>
    <w:semiHidden/>
    <w:rsid w:val="00694D1A"/>
    <w:pPr>
      <w:numPr>
        <w:numId w:val="2"/>
      </w:numPr>
      <w:tabs>
        <w:tab w:val="left" w:pos="416"/>
        <w:tab w:val="left" w:pos="582"/>
      </w:tabs>
    </w:pPr>
    <w:rPr>
      <w:sz w:val="24"/>
    </w:rPr>
  </w:style>
  <w:style w:type="paragraph" w:customStyle="1" w:styleId="ListBullet-Last">
    <w:name w:val="List Bullet - Last"/>
    <w:basedOn w:val="Normal"/>
    <w:rsid w:val="00404A62"/>
    <w:pPr>
      <w:numPr>
        <w:numId w:val="12"/>
      </w:numPr>
      <w:tabs>
        <w:tab w:val="left" w:pos="1152"/>
        <w:tab w:val="left" w:pos="1872"/>
      </w:tabs>
      <w:spacing w:line="288" w:lineRule="auto"/>
    </w:pPr>
    <w:rPr>
      <w:szCs w:val="20"/>
      <w:lang w:val="en-GB"/>
    </w:rPr>
  </w:style>
  <w:style w:type="paragraph" w:styleId="ListBullet">
    <w:name w:val="List Bullet"/>
    <w:basedOn w:val="Normal"/>
    <w:autoRedefine/>
    <w:semiHidden/>
    <w:rsid w:val="00694D1A"/>
    <w:pPr>
      <w:numPr>
        <w:numId w:val="3"/>
      </w:numPr>
    </w:pPr>
    <w:rPr>
      <w:sz w:val="20"/>
      <w:szCs w:val="20"/>
      <w:lang w:val="en-GB"/>
    </w:rPr>
  </w:style>
  <w:style w:type="paragraph" w:styleId="ListBullet3">
    <w:name w:val="List Bullet 3"/>
    <w:basedOn w:val="Normal"/>
    <w:autoRedefine/>
    <w:semiHidden/>
    <w:rsid w:val="00694D1A"/>
    <w:pPr>
      <w:numPr>
        <w:numId w:val="4"/>
      </w:numPr>
      <w:tabs>
        <w:tab w:val="clear" w:pos="926"/>
        <w:tab w:val="num" w:pos="1080"/>
      </w:tabs>
      <w:ind w:left="1080"/>
    </w:pPr>
    <w:rPr>
      <w:sz w:val="20"/>
      <w:szCs w:val="20"/>
      <w:lang w:val="en-GB"/>
    </w:rPr>
  </w:style>
  <w:style w:type="paragraph" w:styleId="ListBullet4">
    <w:name w:val="List Bullet 4"/>
    <w:basedOn w:val="Normal"/>
    <w:autoRedefine/>
    <w:semiHidden/>
    <w:rsid w:val="00694D1A"/>
    <w:pPr>
      <w:numPr>
        <w:numId w:val="5"/>
      </w:numPr>
      <w:tabs>
        <w:tab w:val="clear" w:pos="1209"/>
        <w:tab w:val="num" w:pos="1440"/>
      </w:tabs>
      <w:ind w:left="1440"/>
    </w:pPr>
    <w:rPr>
      <w:sz w:val="20"/>
      <w:szCs w:val="20"/>
      <w:lang w:val="en-GB"/>
    </w:rPr>
  </w:style>
  <w:style w:type="paragraph" w:styleId="ListBullet5">
    <w:name w:val="List Bullet 5"/>
    <w:basedOn w:val="Normal"/>
    <w:autoRedefine/>
    <w:semiHidden/>
    <w:rsid w:val="00694D1A"/>
    <w:pPr>
      <w:numPr>
        <w:numId w:val="6"/>
      </w:numPr>
      <w:tabs>
        <w:tab w:val="clear" w:pos="1492"/>
        <w:tab w:val="num" w:pos="1800"/>
      </w:tabs>
      <w:ind w:left="1800"/>
    </w:pPr>
    <w:rPr>
      <w:sz w:val="20"/>
      <w:szCs w:val="20"/>
      <w:lang w:val="en-GB"/>
    </w:rPr>
  </w:style>
  <w:style w:type="paragraph" w:styleId="ListNumber">
    <w:name w:val="List Number"/>
    <w:basedOn w:val="Normal"/>
    <w:semiHidden/>
    <w:rsid w:val="00694D1A"/>
    <w:pPr>
      <w:numPr>
        <w:numId w:val="7"/>
      </w:numPr>
    </w:pPr>
    <w:rPr>
      <w:sz w:val="20"/>
      <w:szCs w:val="20"/>
      <w:lang w:val="en-GB"/>
    </w:rPr>
  </w:style>
  <w:style w:type="paragraph" w:styleId="ListNumber2">
    <w:name w:val="List Number 2"/>
    <w:basedOn w:val="Normal"/>
    <w:semiHidden/>
    <w:rsid w:val="00694D1A"/>
    <w:pPr>
      <w:numPr>
        <w:numId w:val="8"/>
      </w:numPr>
      <w:tabs>
        <w:tab w:val="clear" w:pos="643"/>
        <w:tab w:val="num" w:pos="720"/>
      </w:tabs>
      <w:ind w:left="720"/>
    </w:pPr>
    <w:rPr>
      <w:sz w:val="20"/>
      <w:szCs w:val="20"/>
      <w:lang w:val="en-GB"/>
    </w:rPr>
  </w:style>
  <w:style w:type="paragraph" w:styleId="ListNumber3">
    <w:name w:val="List Number 3"/>
    <w:basedOn w:val="Normal"/>
    <w:semiHidden/>
    <w:rsid w:val="00694D1A"/>
    <w:pPr>
      <w:numPr>
        <w:numId w:val="9"/>
      </w:numPr>
      <w:tabs>
        <w:tab w:val="clear" w:pos="926"/>
        <w:tab w:val="num" w:pos="1080"/>
      </w:tabs>
      <w:ind w:left="1080"/>
    </w:pPr>
    <w:rPr>
      <w:sz w:val="20"/>
      <w:szCs w:val="20"/>
      <w:lang w:val="en-GB"/>
    </w:rPr>
  </w:style>
  <w:style w:type="paragraph" w:styleId="ListNumber4">
    <w:name w:val="List Number 4"/>
    <w:basedOn w:val="Normal"/>
    <w:semiHidden/>
    <w:rsid w:val="00694D1A"/>
    <w:pPr>
      <w:numPr>
        <w:numId w:val="10"/>
      </w:numPr>
      <w:tabs>
        <w:tab w:val="clear" w:pos="1209"/>
        <w:tab w:val="num" w:pos="1440"/>
      </w:tabs>
      <w:ind w:left="1440"/>
    </w:pPr>
    <w:rPr>
      <w:sz w:val="20"/>
      <w:szCs w:val="20"/>
      <w:lang w:val="en-GB"/>
    </w:rPr>
  </w:style>
  <w:style w:type="paragraph" w:styleId="ListNumber5">
    <w:name w:val="List Number 5"/>
    <w:basedOn w:val="Normal"/>
    <w:semiHidden/>
    <w:rsid w:val="00694D1A"/>
    <w:pPr>
      <w:numPr>
        <w:numId w:val="11"/>
      </w:numPr>
      <w:tabs>
        <w:tab w:val="num" w:pos="1800"/>
      </w:tabs>
      <w:ind w:left="1800"/>
    </w:pPr>
    <w:rPr>
      <w:sz w:val="20"/>
      <w:szCs w:val="20"/>
      <w:lang w:val="en-GB"/>
    </w:rPr>
  </w:style>
  <w:style w:type="paragraph" w:styleId="BlockText">
    <w:name w:val="Block Text"/>
    <w:basedOn w:val="Normal"/>
    <w:semiHidden/>
    <w:rsid w:val="00694D1A"/>
    <w:pPr>
      <w:spacing w:line="288" w:lineRule="auto"/>
      <w:ind w:left="1152"/>
    </w:pPr>
    <w:rPr>
      <w:sz w:val="20"/>
      <w:szCs w:val="20"/>
      <w:lang w:val="en-GB"/>
    </w:rPr>
  </w:style>
  <w:style w:type="paragraph" w:customStyle="1" w:styleId="Bullet">
    <w:name w:val="Bullet"/>
    <w:basedOn w:val="Normal"/>
    <w:rsid w:val="00404A62"/>
    <w:pPr>
      <w:numPr>
        <w:numId w:val="14"/>
      </w:numPr>
      <w:suppressAutoHyphens/>
      <w:spacing w:before="60" w:after="60" w:line="320" w:lineRule="exact"/>
    </w:pPr>
    <w:rPr>
      <w:szCs w:val="20"/>
      <w:lang w:val="en-GB"/>
    </w:rPr>
  </w:style>
  <w:style w:type="paragraph" w:customStyle="1" w:styleId="Heading2a">
    <w:name w:val="Heading2a"/>
    <w:basedOn w:val="Heading20"/>
    <w:link w:val="Heading2aChar"/>
    <w:rsid w:val="00E637EB"/>
    <w:pPr>
      <w:ind w:left="0" w:firstLine="0"/>
    </w:pPr>
  </w:style>
  <w:style w:type="character" w:customStyle="1" w:styleId="Heading2aChar">
    <w:name w:val="Heading2a Char"/>
    <w:link w:val="Heading2a"/>
    <w:rsid w:val="00E637EB"/>
    <w:rPr>
      <w:rFonts w:ascii="Gill Sans MT" w:hAnsi="Gill Sans MT"/>
      <w:b/>
      <w:bCs/>
      <w:sz w:val="32"/>
      <w:szCs w:val="32"/>
      <w:lang w:eastAsia="en-US"/>
    </w:rPr>
  </w:style>
  <w:style w:type="paragraph" w:customStyle="1" w:styleId="NumberedList">
    <w:name w:val="Numbered List"/>
    <w:rsid w:val="00404A62"/>
    <w:pPr>
      <w:numPr>
        <w:numId w:val="13"/>
      </w:numPr>
      <w:suppressAutoHyphens/>
      <w:spacing w:before="120" w:after="120" w:line="360" w:lineRule="exact"/>
      <w:ind w:left="646" w:hanging="357"/>
    </w:pPr>
    <w:rPr>
      <w:rFonts w:ascii="Californian FB" w:hAnsi="Californian FB"/>
      <w:sz w:val="24"/>
      <w:lang w:val="en-US" w:eastAsia="en-US"/>
    </w:rPr>
  </w:style>
  <w:style w:type="paragraph" w:styleId="CommentSubject">
    <w:name w:val="annotation subject"/>
    <w:basedOn w:val="CommentText"/>
    <w:next w:val="CommentText"/>
    <w:semiHidden/>
    <w:rsid w:val="00694D1A"/>
    <w:rPr>
      <w:b/>
      <w:bCs/>
    </w:rPr>
  </w:style>
  <w:style w:type="paragraph" w:styleId="CommentText">
    <w:name w:val="annotation text"/>
    <w:basedOn w:val="Normal"/>
    <w:link w:val="CommentTextChar"/>
    <w:uiPriority w:val="99"/>
    <w:rsid w:val="00694D1A"/>
    <w:pPr>
      <w:tabs>
        <w:tab w:val="left" w:pos="416"/>
        <w:tab w:val="left" w:pos="582"/>
      </w:tabs>
    </w:pPr>
    <w:rPr>
      <w:sz w:val="20"/>
      <w:szCs w:val="20"/>
      <w:lang w:val="x-none"/>
    </w:rPr>
  </w:style>
  <w:style w:type="paragraph" w:customStyle="1" w:styleId="summarybox">
    <w:name w:val="summary box"/>
    <w:basedOn w:val="Normal"/>
    <w:link w:val="summaryboxChar"/>
    <w:autoRedefine/>
    <w:rsid w:val="00F777F1"/>
    <w:pPr>
      <w:pBdr>
        <w:top w:val="single" w:sz="12" w:space="10" w:color="auto"/>
        <w:left w:val="single" w:sz="12" w:space="10" w:color="auto"/>
        <w:bottom w:val="single" w:sz="12" w:space="10" w:color="auto"/>
        <w:right w:val="single" w:sz="12" w:space="10" w:color="auto"/>
      </w:pBdr>
      <w:tabs>
        <w:tab w:val="left" w:pos="416"/>
        <w:tab w:val="left" w:pos="582"/>
        <w:tab w:val="left" w:pos="720"/>
        <w:tab w:val="left" w:pos="1440"/>
        <w:tab w:val="left" w:pos="2160"/>
        <w:tab w:val="left" w:pos="2880"/>
        <w:tab w:val="left" w:pos="3600"/>
        <w:tab w:val="left" w:pos="4320"/>
        <w:tab w:val="left" w:pos="5040"/>
        <w:tab w:val="left" w:pos="5760"/>
        <w:tab w:val="left" w:pos="6480"/>
        <w:tab w:val="left" w:pos="7200"/>
        <w:tab w:val="left" w:pos="7920"/>
        <w:tab w:val="left" w:pos="8820"/>
        <w:tab w:val="left" w:pos="9360"/>
      </w:tabs>
      <w:jc w:val="center"/>
    </w:pPr>
    <w:rPr>
      <w:rFonts w:ascii="Gill Sans MT" w:hAnsi="Gill Sans MT"/>
    </w:rPr>
  </w:style>
  <w:style w:type="character" w:customStyle="1" w:styleId="summaryboxChar">
    <w:name w:val="summary box Char"/>
    <w:link w:val="summarybox"/>
    <w:rsid w:val="00F777F1"/>
    <w:rPr>
      <w:rFonts w:ascii="Gill Sans MT" w:hAnsi="Gill Sans MT"/>
      <w:sz w:val="22"/>
      <w:szCs w:val="22"/>
      <w:lang w:val="en-AU" w:eastAsia="en-US" w:bidi="ar-SA"/>
    </w:rPr>
  </w:style>
  <w:style w:type="paragraph" w:customStyle="1" w:styleId="Default">
    <w:name w:val="Default"/>
    <w:rsid w:val="00694D1A"/>
    <w:pPr>
      <w:autoSpaceDE w:val="0"/>
      <w:autoSpaceDN w:val="0"/>
      <w:adjustRightInd w:val="0"/>
    </w:pPr>
    <w:rPr>
      <w:rFonts w:cs="Arial"/>
      <w:color w:val="000000"/>
      <w:sz w:val="24"/>
      <w:szCs w:val="24"/>
      <w:lang w:val="en-US" w:eastAsia="en-US"/>
    </w:rPr>
  </w:style>
  <w:style w:type="paragraph" w:styleId="BalloonText">
    <w:name w:val="Balloon Text"/>
    <w:basedOn w:val="Normal"/>
    <w:link w:val="BalloonTextChar"/>
    <w:uiPriority w:val="99"/>
    <w:semiHidden/>
    <w:rsid w:val="00694D1A"/>
    <w:rPr>
      <w:rFonts w:ascii="Tahoma" w:hAnsi="Tahoma" w:cs="Tahoma"/>
      <w:sz w:val="16"/>
      <w:szCs w:val="16"/>
    </w:rPr>
  </w:style>
  <w:style w:type="character" w:styleId="PageNumber">
    <w:name w:val="page number"/>
    <w:basedOn w:val="DefaultParagraphFont"/>
    <w:semiHidden/>
    <w:rsid w:val="00694D1A"/>
  </w:style>
  <w:style w:type="paragraph" w:styleId="TableofFigures">
    <w:name w:val="table of figures"/>
    <w:basedOn w:val="Normal"/>
    <w:next w:val="Normal"/>
    <w:link w:val="TableofFiguresChar"/>
    <w:uiPriority w:val="99"/>
    <w:rsid w:val="00362526"/>
    <w:pPr>
      <w:ind w:left="440" w:hanging="440"/>
    </w:pPr>
    <w:rPr>
      <w:rFonts w:asciiTheme="minorHAnsi" w:hAnsiTheme="minorHAnsi"/>
      <w:b/>
      <w:bCs/>
      <w:sz w:val="20"/>
      <w:szCs w:val="20"/>
    </w:rPr>
  </w:style>
  <w:style w:type="paragraph" w:styleId="BodyTextIndent2">
    <w:name w:val="Body Text Indent 2"/>
    <w:basedOn w:val="Normal"/>
    <w:semiHidden/>
    <w:rsid w:val="00694D1A"/>
    <w:pPr>
      <w:ind w:left="-108"/>
    </w:pPr>
    <w:rPr>
      <w:sz w:val="18"/>
      <w:szCs w:val="20"/>
    </w:rPr>
  </w:style>
  <w:style w:type="character" w:styleId="FollowedHyperlink">
    <w:name w:val="FollowedHyperlink"/>
    <w:semiHidden/>
    <w:rsid w:val="00694D1A"/>
    <w:rPr>
      <w:color w:val="800080"/>
      <w:u w:val="single"/>
    </w:rPr>
  </w:style>
  <w:style w:type="character" w:customStyle="1" w:styleId="BodyTextIndent2Char">
    <w:name w:val="Body Text Indent 2 Char"/>
    <w:semiHidden/>
    <w:rsid w:val="00694D1A"/>
    <w:rPr>
      <w:sz w:val="18"/>
      <w:lang w:val="en-AU"/>
    </w:rPr>
  </w:style>
  <w:style w:type="paragraph" w:styleId="ListParagraph">
    <w:name w:val="List Paragraph"/>
    <w:basedOn w:val="Normal"/>
    <w:link w:val="ListParagraphChar"/>
    <w:uiPriority w:val="34"/>
    <w:qFormat/>
    <w:rsid w:val="005232D2"/>
    <w:rPr>
      <w:lang w:val="x-none"/>
    </w:rPr>
  </w:style>
  <w:style w:type="character" w:styleId="PlaceholderText">
    <w:name w:val="Placeholder Text"/>
    <w:semiHidden/>
    <w:rsid w:val="00694D1A"/>
    <w:rPr>
      <w:color w:val="808080"/>
    </w:rPr>
  </w:style>
  <w:style w:type="table" w:styleId="TableGrid">
    <w:name w:val="Table Grid"/>
    <w:basedOn w:val="TableNormal"/>
    <w:uiPriority w:val="59"/>
    <w:rsid w:val="00404A62"/>
    <w:rPr>
      <w:rFonts w:ascii="Arial Narrow" w:hAnsi="Arial Narrow"/>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uiPriority w:val="99"/>
    <w:unhideWhenUsed/>
    <w:rsid w:val="00694D1A"/>
    <w:rPr>
      <w:sz w:val="16"/>
      <w:szCs w:val="16"/>
    </w:rPr>
  </w:style>
  <w:style w:type="character" w:customStyle="1" w:styleId="HeaderChar">
    <w:name w:val="Header Char"/>
    <w:semiHidden/>
    <w:rsid w:val="00694D1A"/>
    <w:rPr>
      <w:sz w:val="22"/>
      <w:szCs w:val="24"/>
      <w:lang w:val="en-AU"/>
    </w:rPr>
  </w:style>
  <w:style w:type="paragraph" w:customStyle="1" w:styleId="Mainsubtitle">
    <w:name w:val="Main subtitle"/>
    <w:basedOn w:val="Normal"/>
    <w:rsid w:val="008E5D1C"/>
    <w:pPr>
      <w:spacing w:before="480" w:after="480"/>
      <w:jc w:val="center"/>
    </w:pPr>
    <w:rPr>
      <w:rFonts w:ascii="Gill Sans MT" w:hAnsi="Gill Sans MT"/>
      <w:b/>
      <w:bCs/>
      <w:sz w:val="36"/>
    </w:rPr>
  </w:style>
  <w:style w:type="paragraph" w:customStyle="1" w:styleId="Maintitle">
    <w:name w:val="Main title"/>
    <w:basedOn w:val="Normal"/>
    <w:rsid w:val="008E5D1C"/>
    <w:pPr>
      <w:spacing w:before="1920" w:after="480"/>
      <w:jc w:val="center"/>
    </w:pPr>
    <w:rPr>
      <w:rFonts w:ascii="Gill Sans MT" w:eastAsia="Batang" w:hAnsi="Gill Sans MT"/>
      <w:b/>
      <w:bCs/>
      <w:sz w:val="56"/>
      <w:szCs w:val="56"/>
    </w:rPr>
  </w:style>
  <w:style w:type="paragraph" w:customStyle="1" w:styleId="Mainsub2">
    <w:name w:val="Main sub 2"/>
    <w:basedOn w:val="Normal"/>
    <w:rsid w:val="008E5D1C"/>
    <w:pPr>
      <w:ind w:right="149"/>
      <w:jc w:val="center"/>
    </w:pPr>
    <w:rPr>
      <w:rFonts w:ascii="Gill Sans MT" w:hAnsi="Gill Sans MT"/>
      <w:sz w:val="28"/>
    </w:rPr>
  </w:style>
  <w:style w:type="paragraph" w:customStyle="1" w:styleId="Mainsub3">
    <w:name w:val="Main sub 3"/>
    <w:basedOn w:val="Normal"/>
    <w:rsid w:val="008E5D1C"/>
    <w:pPr>
      <w:spacing w:after="120"/>
      <w:ind w:right="147"/>
    </w:pPr>
    <w:rPr>
      <w:rFonts w:ascii="Gill Sans MT" w:hAnsi="Gill Sans MT"/>
      <w:b/>
      <w:sz w:val="20"/>
      <w:szCs w:val="20"/>
    </w:rPr>
  </w:style>
  <w:style w:type="paragraph" w:customStyle="1" w:styleId="Headers">
    <w:name w:val="Headers"/>
    <w:basedOn w:val="Normal"/>
    <w:rsid w:val="008E5D1C"/>
    <w:pPr>
      <w:pBdr>
        <w:bottom w:val="single" w:sz="4" w:space="1" w:color="auto"/>
      </w:pBdr>
      <w:spacing w:before="240" w:after="60"/>
      <w:jc w:val="right"/>
    </w:pPr>
    <w:rPr>
      <w:rFonts w:ascii="Gill Sans MT" w:hAnsi="Gill Sans MT"/>
      <w:smallCaps/>
      <w:sz w:val="18"/>
      <w:szCs w:val="18"/>
    </w:rPr>
  </w:style>
  <w:style w:type="paragraph" w:customStyle="1" w:styleId="Heading1a">
    <w:name w:val="Heading 1a"/>
    <w:basedOn w:val="Normal"/>
    <w:rsid w:val="008E5D1C"/>
    <w:pPr>
      <w:spacing w:after="360"/>
    </w:pPr>
    <w:rPr>
      <w:rFonts w:ascii="Gill Sans MT" w:hAnsi="Gill Sans MT"/>
      <w:b/>
      <w:sz w:val="32"/>
    </w:rPr>
  </w:style>
  <w:style w:type="paragraph" w:customStyle="1" w:styleId="Footers">
    <w:name w:val="Footers"/>
    <w:basedOn w:val="Footer"/>
    <w:link w:val="FootersChar"/>
    <w:rsid w:val="008E5D1C"/>
    <w:pPr>
      <w:pBdr>
        <w:top w:val="single" w:sz="4" w:space="1" w:color="auto"/>
      </w:pBdr>
      <w:tabs>
        <w:tab w:val="clear" w:pos="8306"/>
        <w:tab w:val="right" w:pos="9000"/>
      </w:tabs>
      <w:spacing w:before="60"/>
    </w:pPr>
    <w:rPr>
      <w:rFonts w:ascii="Gill Sans MT" w:hAnsi="Gill Sans MT"/>
      <w:smallCaps/>
      <w:sz w:val="18"/>
      <w:szCs w:val="18"/>
    </w:rPr>
  </w:style>
  <w:style w:type="character" w:customStyle="1" w:styleId="FootersChar">
    <w:name w:val="Footers Char"/>
    <w:link w:val="Footers"/>
    <w:rsid w:val="008E5D1C"/>
    <w:rPr>
      <w:rFonts w:ascii="Gill Sans MT" w:hAnsi="Gill Sans MT"/>
      <w:smallCaps/>
      <w:sz w:val="18"/>
      <w:szCs w:val="18"/>
      <w:lang w:val="en-AU" w:eastAsia="en-US" w:bidi="ar-SA"/>
    </w:rPr>
  </w:style>
  <w:style w:type="paragraph" w:customStyle="1" w:styleId="Tableheading">
    <w:name w:val="Table heading"/>
    <w:basedOn w:val="Normal"/>
    <w:link w:val="TableheadingChar"/>
    <w:rsid w:val="00A0146B"/>
    <w:pPr>
      <w:keepNext/>
      <w:spacing w:before="60" w:after="60"/>
    </w:pPr>
    <w:rPr>
      <w:rFonts w:ascii="Arial Narrow" w:hAnsi="Arial Narrow"/>
      <w:b/>
      <w:sz w:val="20"/>
      <w:szCs w:val="20"/>
    </w:rPr>
  </w:style>
  <w:style w:type="character" w:customStyle="1" w:styleId="TableheadingChar">
    <w:name w:val="Table heading Char"/>
    <w:link w:val="Tableheading"/>
    <w:rsid w:val="00A0146B"/>
    <w:rPr>
      <w:rFonts w:ascii="Arial Narrow" w:hAnsi="Arial Narrow"/>
      <w:b/>
      <w:lang w:val="en-AU" w:eastAsia="en-US" w:bidi="ar-SA"/>
    </w:rPr>
  </w:style>
  <w:style w:type="paragraph" w:customStyle="1" w:styleId="Heading3a">
    <w:name w:val="Heading3a"/>
    <w:basedOn w:val="Heading30"/>
    <w:rsid w:val="00F4699A"/>
    <w:rPr>
      <w:b w:val="0"/>
      <w:szCs w:val="24"/>
    </w:rPr>
  </w:style>
  <w:style w:type="paragraph" w:customStyle="1" w:styleId="Tablecaption">
    <w:name w:val="Table caption"/>
    <w:basedOn w:val="Caption"/>
    <w:rsid w:val="008E5D1C"/>
  </w:style>
  <w:style w:type="paragraph" w:customStyle="1" w:styleId="Figurecaption">
    <w:name w:val="Figure caption"/>
    <w:basedOn w:val="Caption"/>
    <w:link w:val="FigurecaptionChar"/>
    <w:rsid w:val="008E5D1C"/>
    <w:pPr>
      <w:keepLines/>
      <w:spacing w:after="480"/>
    </w:pPr>
    <w:rPr>
      <w:lang w:val="en-AU"/>
    </w:rPr>
  </w:style>
  <w:style w:type="character" w:customStyle="1" w:styleId="FigurecaptionChar">
    <w:name w:val="Figure caption Char"/>
    <w:link w:val="Figurecaption"/>
    <w:rsid w:val="008E5D1C"/>
    <w:rPr>
      <w:rFonts w:ascii="Gill Sans MT" w:hAnsi="Gill Sans MT"/>
      <w:b/>
      <w:bCs/>
      <w:lang w:val="en-AU" w:eastAsia="en-US" w:bidi="ar-SA"/>
    </w:rPr>
  </w:style>
  <w:style w:type="character" w:customStyle="1" w:styleId="Heading5Char">
    <w:name w:val="Heading 5 Char"/>
    <w:aliases w:val=" DO NOT USE Char"/>
    <w:link w:val="Heading5"/>
    <w:rsid w:val="006046ED"/>
    <w:rPr>
      <w:rFonts w:ascii="Californian FB" w:hAnsi="Californian FB"/>
      <w:b/>
      <w:bCs/>
      <w:lang w:val="en-US" w:eastAsia="en-US" w:bidi="ar-SA"/>
    </w:rPr>
  </w:style>
  <w:style w:type="paragraph" w:customStyle="1" w:styleId="Bulletedbodytext">
    <w:name w:val="Bulleted body text"/>
    <w:basedOn w:val="BodyText"/>
    <w:qFormat/>
    <w:rsid w:val="00123496"/>
    <w:pPr>
      <w:numPr>
        <w:numId w:val="15"/>
      </w:numPr>
      <w:autoSpaceDE/>
      <w:autoSpaceDN/>
      <w:adjustRightInd/>
      <w:spacing w:after="120"/>
      <w:ind w:left="714" w:hanging="357"/>
    </w:pPr>
    <w:rPr>
      <w:rFonts w:ascii="Californian FB" w:hAnsi="Californian FB" w:cs="Arial"/>
      <w:sz w:val="22"/>
      <w:szCs w:val="24"/>
    </w:rPr>
  </w:style>
  <w:style w:type="paragraph" w:styleId="Revision">
    <w:name w:val="Revision"/>
    <w:hidden/>
    <w:uiPriority w:val="99"/>
    <w:semiHidden/>
    <w:rsid w:val="008578E0"/>
    <w:rPr>
      <w:rFonts w:ascii="Californian FB" w:hAnsi="Californian FB"/>
      <w:szCs w:val="24"/>
      <w:lang w:eastAsia="en-US"/>
    </w:rPr>
  </w:style>
  <w:style w:type="paragraph" w:customStyle="1" w:styleId="Table-bodytext">
    <w:name w:val="Table - body text"/>
    <w:basedOn w:val="Normal"/>
    <w:link w:val="Table-bodytextChar"/>
    <w:rsid w:val="004F5663"/>
    <w:pPr>
      <w:jc w:val="center"/>
    </w:pPr>
    <w:rPr>
      <w:rFonts w:ascii="Times New Roman" w:hAnsi="Times New Roman" w:cs="Arial"/>
      <w:sz w:val="20"/>
    </w:rPr>
  </w:style>
  <w:style w:type="character" w:customStyle="1" w:styleId="Table-bodytextChar">
    <w:name w:val="Table - body text Char"/>
    <w:link w:val="Table-bodytext"/>
    <w:rsid w:val="004F5663"/>
    <w:rPr>
      <w:rFonts w:cs="Arial"/>
      <w:szCs w:val="24"/>
      <w:lang w:val="en-AU" w:eastAsia="en-US" w:bidi="ar-SA"/>
    </w:rPr>
  </w:style>
  <w:style w:type="paragraph" w:styleId="Quote">
    <w:name w:val="Quote"/>
    <w:basedOn w:val="Normal"/>
    <w:next w:val="Normal"/>
    <w:link w:val="QuoteChar"/>
    <w:uiPriority w:val="29"/>
    <w:qFormat/>
    <w:rsid w:val="00CB2E8F"/>
    <w:pPr>
      <w:ind w:left="567" w:right="566"/>
      <w:jc w:val="both"/>
    </w:pPr>
    <w:rPr>
      <w:i/>
      <w:iCs/>
      <w:color w:val="000000"/>
      <w:sz w:val="20"/>
      <w:lang w:val="x-none"/>
    </w:rPr>
  </w:style>
  <w:style w:type="character" w:customStyle="1" w:styleId="QuoteChar">
    <w:name w:val="Quote Char"/>
    <w:link w:val="Quote"/>
    <w:uiPriority w:val="29"/>
    <w:rsid w:val="00CB2E8F"/>
    <w:rPr>
      <w:rFonts w:ascii="Californian FB" w:hAnsi="Californian FB"/>
      <w:i/>
      <w:iCs/>
      <w:color w:val="000000"/>
      <w:szCs w:val="24"/>
      <w:lang w:eastAsia="en-US"/>
    </w:rPr>
  </w:style>
  <w:style w:type="paragraph" w:customStyle="1" w:styleId="StyleExecSumm">
    <w:name w:val="Style ExecSumm"/>
    <w:basedOn w:val="Normal"/>
    <w:qFormat/>
    <w:rsid w:val="00A86EF9"/>
    <w:pPr>
      <w:spacing w:line="288" w:lineRule="auto"/>
      <w:jc w:val="both"/>
    </w:pPr>
  </w:style>
  <w:style w:type="character" w:customStyle="1" w:styleId="highlight">
    <w:name w:val="highlight"/>
    <w:rsid w:val="002D755B"/>
  </w:style>
  <w:style w:type="character" w:customStyle="1" w:styleId="BodyTextChar1">
    <w:name w:val="Body Text Char1"/>
    <w:aliases w:val="Body Text Char Char"/>
    <w:link w:val="BodyText"/>
    <w:semiHidden/>
    <w:rsid w:val="00EB3738"/>
    <w:rPr>
      <w:rFonts w:ascii="TimesNewRomanPSMT" w:hAnsi="TimesNewRomanPSMT"/>
      <w:lang w:val="en-US" w:eastAsia="en-US"/>
    </w:rPr>
  </w:style>
  <w:style w:type="character" w:customStyle="1" w:styleId="Heading3Char">
    <w:name w:val="Heading3 Char"/>
    <w:link w:val="Heading30"/>
    <w:rsid w:val="0054583C"/>
    <w:rPr>
      <w:rFonts w:ascii="Gill Sans MT" w:hAnsi="Gill Sans MT"/>
      <w:b/>
      <w:bCs/>
      <w:sz w:val="28"/>
      <w:szCs w:val="32"/>
      <w:lang w:eastAsia="en-US"/>
    </w:rPr>
  </w:style>
  <w:style w:type="character" w:customStyle="1" w:styleId="Heading4Char">
    <w:name w:val="Heading4 Char"/>
    <w:link w:val="Heading40"/>
    <w:rsid w:val="002741E1"/>
    <w:rPr>
      <w:rFonts w:ascii="Gill Sans MT" w:hAnsi="Gill Sans MT"/>
      <w:b/>
      <w:bCs/>
      <w:i/>
      <w:sz w:val="22"/>
      <w:szCs w:val="32"/>
      <w:lang w:eastAsia="en-US"/>
    </w:rPr>
  </w:style>
  <w:style w:type="character" w:customStyle="1" w:styleId="BodyTextIndentChar">
    <w:name w:val="Body Text Indent Char"/>
    <w:link w:val="BodyTextIndent"/>
    <w:semiHidden/>
    <w:rsid w:val="00EB3738"/>
    <w:rPr>
      <w:rFonts w:ascii="Californian FB" w:hAnsi="Californian FB"/>
      <w:sz w:val="22"/>
      <w:szCs w:val="24"/>
      <w:lang w:eastAsia="en-US"/>
    </w:rPr>
  </w:style>
  <w:style w:type="character" w:customStyle="1" w:styleId="CommentTextChar">
    <w:name w:val="Comment Text Char"/>
    <w:link w:val="CommentText"/>
    <w:uiPriority w:val="99"/>
    <w:rsid w:val="00760386"/>
    <w:rPr>
      <w:rFonts w:ascii="Californian FB" w:hAnsi="Californian FB"/>
      <w:lang w:eastAsia="en-US"/>
    </w:rPr>
  </w:style>
  <w:style w:type="paragraph" w:customStyle="1" w:styleId="Listoftables">
    <w:name w:val="List of tables"/>
    <w:basedOn w:val="TableofFigures"/>
    <w:link w:val="ListoftablesChar"/>
    <w:qFormat/>
    <w:rsid w:val="007A3C07"/>
    <w:rPr>
      <w:rFonts w:ascii="Arial Narrow" w:hAnsi="Arial Narrow"/>
      <w:sz w:val="22"/>
    </w:rPr>
  </w:style>
  <w:style w:type="character" w:customStyle="1" w:styleId="TableofFiguresChar">
    <w:name w:val="Table of Figures Char"/>
    <w:link w:val="TableofFigures"/>
    <w:uiPriority w:val="99"/>
    <w:rsid w:val="007A3C07"/>
    <w:rPr>
      <w:rFonts w:asciiTheme="minorHAnsi" w:hAnsiTheme="minorHAnsi"/>
      <w:b/>
      <w:bCs/>
      <w:sz w:val="20"/>
      <w:szCs w:val="20"/>
    </w:rPr>
  </w:style>
  <w:style w:type="character" w:customStyle="1" w:styleId="ListoftablesChar">
    <w:name w:val="List of tables Char"/>
    <w:link w:val="Listoftables"/>
    <w:rsid w:val="007A3C07"/>
    <w:rPr>
      <w:rFonts w:ascii="Arial Narrow" w:hAnsi="Arial Narrow" w:cs="Arial"/>
      <w:noProof/>
      <w:sz w:val="22"/>
      <w:szCs w:val="24"/>
      <w:lang w:eastAsia="en-US"/>
    </w:rPr>
  </w:style>
  <w:style w:type="character" w:customStyle="1" w:styleId="ListParagraphChar">
    <w:name w:val="List Paragraph Char"/>
    <w:link w:val="ListParagraph"/>
    <w:uiPriority w:val="34"/>
    <w:rsid w:val="003E2EC5"/>
    <w:rPr>
      <w:rFonts w:ascii="Californian FB" w:hAnsi="Californian FB"/>
      <w:sz w:val="22"/>
      <w:szCs w:val="24"/>
      <w:lang w:eastAsia="en-US"/>
    </w:rPr>
  </w:style>
  <w:style w:type="character" w:styleId="Strong">
    <w:name w:val="Strong"/>
    <w:uiPriority w:val="22"/>
    <w:qFormat/>
    <w:rsid w:val="00315D4F"/>
    <w:rPr>
      <w:b/>
      <w:bCs/>
    </w:rPr>
  </w:style>
  <w:style w:type="paragraph" w:customStyle="1" w:styleId="PlainL2B">
    <w:name w:val="Plain_L2_B"/>
    <w:basedOn w:val="Normal"/>
    <w:rsid w:val="00A343BE"/>
    <w:pPr>
      <w:spacing w:after="120"/>
      <w:ind w:left="680"/>
      <w:jc w:val="both"/>
    </w:pPr>
    <w:rPr>
      <w:rFonts w:ascii="Times New Roman" w:hAnsi="Times New Roman" w:cs="Arial"/>
      <w:sz w:val="24"/>
      <w:lang w:val="en-US"/>
    </w:rPr>
  </w:style>
  <w:style w:type="paragraph" w:customStyle="1" w:styleId="TableText0">
    <w:name w:val="TableText"/>
    <w:basedOn w:val="Normal"/>
    <w:rsid w:val="001F3C37"/>
    <w:pPr>
      <w:keepNext/>
    </w:pPr>
    <w:rPr>
      <w:rFonts w:ascii="Trebuchet MS" w:hAnsi="Trebuchet MS"/>
      <w:sz w:val="18"/>
      <w:szCs w:val="20"/>
    </w:rPr>
  </w:style>
  <w:style w:type="character" w:customStyle="1" w:styleId="FootnoteTextChar">
    <w:name w:val="Footnote Text Char"/>
    <w:basedOn w:val="DefaultParagraphFont"/>
    <w:link w:val="FootnoteText"/>
    <w:uiPriority w:val="99"/>
    <w:semiHidden/>
    <w:rsid w:val="00755475"/>
    <w:rPr>
      <w:rFonts w:ascii="Californian FB" w:hAnsi="Californian FB"/>
      <w:lang w:eastAsia="en-US"/>
    </w:rPr>
  </w:style>
  <w:style w:type="paragraph" w:customStyle="1" w:styleId="StandardLinks2">
    <w:name w:val="Standard Links 2"/>
    <w:basedOn w:val="Normal"/>
    <w:link w:val="StandardLinks2Zchn"/>
    <w:rsid w:val="00FA7D34"/>
    <w:pPr>
      <w:widowControl w:val="0"/>
      <w:spacing w:line="240" w:lineRule="atLeast"/>
      <w:ind w:left="1416"/>
      <w:jc w:val="both"/>
    </w:pPr>
    <w:rPr>
      <w:sz w:val="20"/>
      <w:szCs w:val="20"/>
      <w:lang w:val="en-US" w:eastAsia="de-AT"/>
    </w:rPr>
  </w:style>
  <w:style w:type="paragraph" w:customStyle="1" w:styleId="StandardLinks1">
    <w:name w:val="Standard Links 1"/>
    <w:basedOn w:val="Normal"/>
    <w:rsid w:val="00EA1EB0"/>
    <w:pPr>
      <w:widowControl w:val="0"/>
      <w:spacing w:line="240" w:lineRule="atLeast"/>
      <w:ind w:left="708"/>
      <w:jc w:val="both"/>
    </w:pPr>
    <w:rPr>
      <w:noProof/>
      <w:sz w:val="20"/>
      <w:szCs w:val="20"/>
      <w:lang w:val="en-US" w:eastAsia="de-AT"/>
    </w:rPr>
  </w:style>
  <w:style w:type="paragraph" w:customStyle="1" w:styleId="PlainText">
    <w:name w:val="Plain_Text"/>
    <w:basedOn w:val="Normal"/>
    <w:link w:val="PlainTextZchn"/>
    <w:rsid w:val="00EA1EB0"/>
    <w:pPr>
      <w:tabs>
        <w:tab w:val="left" w:pos="851"/>
        <w:tab w:val="left" w:pos="1418"/>
      </w:tabs>
      <w:spacing w:before="120"/>
      <w:jc w:val="both"/>
    </w:pPr>
    <w:rPr>
      <w:sz w:val="16"/>
      <w:lang w:val="en-US" w:eastAsia="de-AT"/>
    </w:rPr>
  </w:style>
  <w:style w:type="character" w:customStyle="1" w:styleId="PlainTextZchn">
    <w:name w:val="Plain_Text Zchn"/>
    <w:link w:val="PlainText"/>
    <w:rsid w:val="00EA1EB0"/>
    <w:rPr>
      <w:rFonts w:ascii="Arial" w:hAnsi="Arial"/>
      <w:sz w:val="16"/>
      <w:szCs w:val="24"/>
      <w:lang w:val="en-US" w:eastAsia="de-AT"/>
    </w:rPr>
  </w:style>
  <w:style w:type="character" w:customStyle="1" w:styleId="header51">
    <w:name w:val="header51"/>
    <w:basedOn w:val="DefaultParagraphFont"/>
    <w:rsid w:val="00C6722C"/>
    <w:rPr>
      <w:rFonts w:ascii="Georgia" w:hAnsi="Georgia" w:hint="default"/>
      <w:b w:val="0"/>
      <w:bCs w:val="0"/>
      <w:color w:val="003F72"/>
      <w:sz w:val="37"/>
      <w:szCs w:val="37"/>
    </w:rPr>
  </w:style>
  <w:style w:type="paragraph" w:styleId="NoSpacing">
    <w:name w:val="No Spacing"/>
    <w:uiPriority w:val="1"/>
    <w:qFormat/>
    <w:rsid w:val="00FC3D9E"/>
    <w:rPr>
      <w:rFonts w:asciiTheme="minorHAnsi" w:eastAsiaTheme="minorHAnsi" w:hAnsiTheme="minorHAnsi" w:cstheme="minorBidi"/>
      <w:lang w:val="de-AT" w:eastAsia="en-US"/>
    </w:rPr>
  </w:style>
  <w:style w:type="table" w:customStyle="1" w:styleId="Tabellenraster1">
    <w:name w:val="Tabellenraster1"/>
    <w:basedOn w:val="TableNormal"/>
    <w:next w:val="TableGrid"/>
    <w:uiPriority w:val="59"/>
    <w:rsid w:val="002E39E9"/>
    <w:rPr>
      <w:rFonts w:ascii="Calibri" w:eastAsia="Calibri" w:hAnsi="Calibri"/>
      <w:lang w:val="de-AT"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
    <w:name w:val="Figure"/>
    <w:basedOn w:val="StandardLinks2"/>
    <w:link w:val="FigureZchn"/>
    <w:qFormat/>
    <w:rsid w:val="00B1027F"/>
    <w:pPr>
      <w:ind w:left="0"/>
    </w:pPr>
    <w:rPr>
      <w:rFonts w:cs="Arial"/>
      <w:b/>
      <w:u w:val="single"/>
    </w:rPr>
  </w:style>
  <w:style w:type="paragraph" w:customStyle="1" w:styleId="Figure2">
    <w:name w:val="Figure2"/>
    <w:basedOn w:val="StandardLinks2"/>
    <w:link w:val="Figure2Zchn"/>
    <w:qFormat/>
    <w:rsid w:val="00E74E4B"/>
    <w:pPr>
      <w:ind w:left="0"/>
    </w:pPr>
    <w:rPr>
      <w:b/>
      <w:szCs w:val="18"/>
    </w:rPr>
  </w:style>
  <w:style w:type="character" w:customStyle="1" w:styleId="StandardLinks2Zchn">
    <w:name w:val="Standard Links 2 Zchn"/>
    <w:basedOn w:val="DefaultParagraphFont"/>
    <w:link w:val="StandardLinks2"/>
    <w:rsid w:val="00B1027F"/>
    <w:rPr>
      <w:rFonts w:ascii="Arial" w:hAnsi="Arial"/>
      <w:lang w:val="en-US" w:eastAsia="de-AT"/>
    </w:rPr>
  </w:style>
  <w:style w:type="character" w:customStyle="1" w:styleId="FigureZchn">
    <w:name w:val="Figure Zchn"/>
    <w:basedOn w:val="StandardLinks2Zchn"/>
    <w:link w:val="Figure"/>
    <w:rsid w:val="00B1027F"/>
    <w:rPr>
      <w:rFonts w:ascii="Arial" w:hAnsi="Arial" w:cs="Arial"/>
      <w:b/>
      <w:u w:val="single"/>
      <w:lang w:val="en-US" w:eastAsia="de-AT"/>
    </w:rPr>
  </w:style>
  <w:style w:type="paragraph" w:customStyle="1" w:styleId="Textbody">
    <w:name w:val="Textbody"/>
    <w:basedOn w:val="StandardLinks2"/>
    <w:qFormat/>
    <w:rsid w:val="009F74C4"/>
    <w:pPr>
      <w:spacing w:line="360" w:lineRule="auto"/>
      <w:ind w:left="0"/>
    </w:pPr>
    <w:rPr>
      <w:rFonts w:cs="Arial"/>
      <w:sz w:val="22"/>
      <w:szCs w:val="22"/>
    </w:rPr>
  </w:style>
  <w:style w:type="character" w:customStyle="1" w:styleId="Figure2Zchn">
    <w:name w:val="Figure2 Zchn"/>
    <w:basedOn w:val="StandardLinks2Zchn"/>
    <w:link w:val="Figure2"/>
    <w:rsid w:val="00E74E4B"/>
    <w:rPr>
      <w:rFonts w:ascii="Arial" w:hAnsi="Arial"/>
      <w:b/>
      <w:sz w:val="20"/>
      <w:szCs w:val="18"/>
      <w:lang w:val="en-US" w:eastAsia="de-AT"/>
    </w:rPr>
  </w:style>
  <w:style w:type="character" w:customStyle="1" w:styleId="hvr">
    <w:name w:val="hvr"/>
    <w:basedOn w:val="DefaultParagraphFont"/>
    <w:rsid w:val="00653313"/>
  </w:style>
  <w:style w:type="paragraph" w:customStyle="1" w:styleId="496F4AA19EB549C2B6106110D5961930">
    <w:name w:val="496F4AA19EB549C2B6106110D5961930"/>
    <w:rsid w:val="003B76D4"/>
    <w:pPr>
      <w:spacing w:after="200" w:line="276" w:lineRule="auto"/>
    </w:pPr>
    <w:rPr>
      <w:rFonts w:asciiTheme="minorHAnsi" w:eastAsiaTheme="minorEastAsia" w:hAnsiTheme="minorHAnsi" w:cstheme="minorBidi"/>
      <w:lang w:val="de-AT" w:eastAsia="de-AT"/>
    </w:rPr>
  </w:style>
  <w:style w:type="character" w:styleId="Emphasis">
    <w:name w:val="Emphasis"/>
    <w:basedOn w:val="DefaultParagraphFont"/>
    <w:uiPriority w:val="20"/>
    <w:qFormat/>
    <w:rsid w:val="00B52DA0"/>
    <w:rPr>
      <w:i/>
      <w:iCs/>
    </w:rPr>
  </w:style>
  <w:style w:type="numbering" w:customStyle="1" w:styleId="KeineListe1">
    <w:name w:val="Keine Liste1"/>
    <w:next w:val="NoList"/>
    <w:uiPriority w:val="99"/>
    <w:semiHidden/>
    <w:unhideWhenUsed/>
    <w:rsid w:val="00596935"/>
  </w:style>
  <w:style w:type="character" w:customStyle="1" w:styleId="BalloonTextChar">
    <w:name w:val="Balloon Text Char"/>
    <w:basedOn w:val="DefaultParagraphFont"/>
    <w:link w:val="BalloonText"/>
    <w:uiPriority w:val="99"/>
    <w:semiHidden/>
    <w:rsid w:val="00596935"/>
    <w:rPr>
      <w:rFonts w:ascii="Tahoma" w:hAnsi="Tahoma" w:cs="Tahoma"/>
      <w:sz w:val="16"/>
      <w:szCs w:val="16"/>
    </w:rPr>
  </w:style>
  <w:style w:type="paragraph" w:styleId="Title">
    <w:name w:val="Title"/>
    <w:basedOn w:val="Normal"/>
    <w:next w:val="Normal"/>
    <w:link w:val="TitleChar"/>
    <w:uiPriority w:val="10"/>
    <w:qFormat/>
    <w:rsid w:val="00590A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90A24"/>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sz w:val="22"/>
        <w:szCs w:val="22"/>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lsdException w:name="heading 6" w:semiHidden="0" w:uiPriority="0" w:unhideWhenUsed="0"/>
    <w:lsdException w:name="heading 7" w:semiHidden="0" w:uiPriority="0" w:unhideWhenUsed="0"/>
    <w:lsdException w:name="heading 8" w:semiHidden="0" w:uiPriority="0" w:unhideWhenUsed="0"/>
    <w:lsdException w:name="heading 9" w:semiHidden="0" w:uiPriority="0" w:unhideWhenUsed="0"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qFormat="1"/>
    <w:lsdException w:name="header" w:uiPriority="0"/>
    <w:lsdException w:name="caption" w:semiHidden="0" w:unhideWhenUsed="0" w:qFormat="1"/>
    <w:lsdException w:name="page number" w:uiPriority="0"/>
    <w:lsdException w:name="endnote reference" w:uiPriority="0"/>
    <w:lsdException w:name="endnote text" w:uiPriority="0"/>
    <w:lsdException w:name="List Bullet" w:uiPriority="0"/>
    <w:lsdException w:name="List Number"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6DA5"/>
  </w:style>
  <w:style w:type="paragraph" w:styleId="Heading1">
    <w:name w:val="heading 1"/>
    <w:basedOn w:val="Normal"/>
    <w:next w:val="Normal"/>
    <w:link w:val="Heading1Char"/>
    <w:uiPriority w:val="9"/>
    <w:qFormat/>
    <w:rsid w:val="001D3CF9"/>
    <w:pPr>
      <w:keepNext/>
      <w:pageBreakBefore/>
      <w:tabs>
        <w:tab w:val="left" w:pos="851"/>
      </w:tabs>
      <w:spacing w:before="240" w:after="360"/>
      <w:ind w:left="851" w:hanging="851"/>
      <w:outlineLvl w:val="0"/>
    </w:pPr>
    <w:rPr>
      <w:b/>
      <w:bCs/>
      <w:sz w:val="40"/>
      <w:szCs w:val="40"/>
      <w:lang w:val="x-none"/>
    </w:rPr>
  </w:style>
  <w:style w:type="paragraph" w:styleId="Heading2">
    <w:name w:val="heading 2"/>
    <w:aliases w:val="H2,Follow Up Question"/>
    <w:basedOn w:val="Heading1"/>
    <w:next w:val="Normal"/>
    <w:qFormat/>
    <w:rsid w:val="005D7275"/>
    <w:pPr>
      <w:outlineLvl w:val="1"/>
    </w:pPr>
  </w:style>
  <w:style w:type="paragraph" w:styleId="Heading3">
    <w:name w:val="heading 3"/>
    <w:aliases w:val="H3"/>
    <w:basedOn w:val="Normal"/>
    <w:next w:val="Normal"/>
    <w:qFormat/>
    <w:rsid w:val="00F4699A"/>
    <w:pPr>
      <w:keepNext/>
      <w:numPr>
        <w:ilvl w:val="2"/>
        <w:numId w:val="1"/>
      </w:numPr>
      <w:autoSpaceDE w:val="0"/>
      <w:autoSpaceDN w:val="0"/>
      <w:adjustRightInd w:val="0"/>
      <w:spacing w:after="120"/>
      <w:ind w:left="993" w:hanging="1173"/>
      <w:outlineLvl w:val="2"/>
    </w:pPr>
    <w:rPr>
      <w:rFonts w:ascii="Gill Sans MT" w:hAnsi="Gill Sans MT"/>
      <w:b/>
      <w:bCs/>
      <w:sz w:val="32"/>
      <w:szCs w:val="18"/>
    </w:rPr>
  </w:style>
  <w:style w:type="paragraph" w:styleId="Heading4">
    <w:name w:val="heading 4"/>
    <w:aliases w:val="H4"/>
    <w:basedOn w:val="Normal"/>
    <w:next w:val="Normal"/>
    <w:qFormat/>
    <w:rsid w:val="00742119"/>
    <w:pPr>
      <w:keepNext/>
      <w:keepLines/>
      <w:autoSpaceDE w:val="0"/>
      <w:autoSpaceDN w:val="0"/>
      <w:adjustRightInd w:val="0"/>
      <w:spacing w:after="120"/>
      <w:outlineLvl w:val="3"/>
    </w:pPr>
    <w:rPr>
      <w:b/>
      <w:bCs/>
      <w:sz w:val="24"/>
    </w:rPr>
  </w:style>
  <w:style w:type="paragraph" w:styleId="Heading5">
    <w:name w:val="heading 5"/>
    <w:aliases w:val=" DO NOT USE"/>
    <w:basedOn w:val="Normal"/>
    <w:next w:val="Normal"/>
    <w:link w:val="Heading5Char"/>
    <w:rsid w:val="00694D1A"/>
    <w:pPr>
      <w:keepNext/>
      <w:autoSpaceDE w:val="0"/>
      <w:autoSpaceDN w:val="0"/>
      <w:adjustRightInd w:val="0"/>
      <w:outlineLvl w:val="4"/>
    </w:pPr>
    <w:rPr>
      <w:b/>
      <w:bCs/>
      <w:sz w:val="20"/>
      <w:szCs w:val="20"/>
      <w:lang w:val="en-US"/>
    </w:rPr>
  </w:style>
  <w:style w:type="paragraph" w:styleId="Heading6">
    <w:name w:val="heading 6"/>
    <w:aliases w:val="DO NOT USE,DO NOT USE4"/>
    <w:basedOn w:val="Normal"/>
    <w:next w:val="Normal"/>
    <w:rsid w:val="00694D1A"/>
    <w:pPr>
      <w:keepNext/>
      <w:outlineLvl w:val="5"/>
    </w:pPr>
    <w:rPr>
      <w:b/>
      <w:bCs/>
      <w:lang w:val="en-US"/>
    </w:rPr>
  </w:style>
  <w:style w:type="paragraph" w:styleId="Heading7">
    <w:name w:val="heading 7"/>
    <w:basedOn w:val="Normal"/>
    <w:next w:val="Normal"/>
    <w:rsid w:val="00694D1A"/>
    <w:pPr>
      <w:keepNext/>
      <w:outlineLvl w:val="6"/>
    </w:pPr>
    <w:rPr>
      <w:rFonts w:ascii="Garamond" w:hAnsi="Garamond"/>
      <w:b/>
      <w:iCs/>
      <w:smallCaps/>
      <w:sz w:val="28"/>
      <w:szCs w:val="28"/>
    </w:rPr>
  </w:style>
  <w:style w:type="paragraph" w:styleId="Heading8">
    <w:name w:val="heading 8"/>
    <w:basedOn w:val="Normal"/>
    <w:next w:val="Normal"/>
    <w:rsid w:val="007C08A0"/>
    <w:pPr>
      <w:keepNext/>
      <w:tabs>
        <w:tab w:val="left" w:pos="416"/>
      </w:tabs>
      <w:outlineLvl w:val="7"/>
    </w:pPr>
    <w:rPr>
      <w:rFonts w:ascii="Garamond" w:hAnsi="Garamond"/>
      <w:b/>
      <w:smallCaps/>
      <w:sz w:val="40"/>
      <w:szCs w:val="40"/>
    </w:rPr>
  </w:style>
  <w:style w:type="paragraph" w:styleId="Heading9">
    <w:name w:val="heading 9"/>
    <w:aliases w:val="cover page title"/>
    <w:basedOn w:val="Normal"/>
    <w:next w:val="Normal"/>
    <w:qFormat/>
    <w:rsid w:val="00694D1A"/>
    <w:pPr>
      <w:tabs>
        <w:tab w:val="left" w:pos="416"/>
        <w:tab w:val="left" w:pos="582"/>
      </w:tabs>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D3CF9"/>
    <w:rPr>
      <w:rFonts w:ascii="Arial" w:hAnsi="Arial"/>
      <w:b/>
      <w:bCs/>
      <w:sz w:val="40"/>
      <w:szCs w:val="40"/>
      <w:lang w:val="x-none" w:eastAsia="en-US"/>
    </w:rPr>
  </w:style>
  <w:style w:type="paragraph" w:styleId="Caption">
    <w:name w:val="caption"/>
    <w:aliases w:val="Caption Char2 Char,Caption Char Char Char2,Caption Char1 Char Char Char1,Caption Char2 Char Char Char1 Char1,Caption Char Char1 Char Char Char1 Char1,Caption Char1 Char Char Char Char Char Char,Caption Char Char1,Caption Char2,Caption Char1"/>
    <w:basedOn w:val="Normal"/>
    <w:next w:val="Normal"/>
    <w:link w:val="CaptionChar"/>
    <w:uiPriority w:val="99"/>
    <w:qFormat/>
    <w:rsid w:val="001F62C3"/>
    <w:pPr>
      <w:keepNext/>
      <w:spacing w:before="120" w:after="120"/>
      <w:ind w:left="1077" w:hanging="1077"/>
    </w:pPr>
    <w:rPr>
      <w:rFonts w:ascii="Gill Sans MT" w:hAnsi="Gill Sans MT"/>
      <w:b/>
      <w:bCs/>
      <w:sz w:val="20"/>
      <w:szCs w:val="20"/>
      <w:lang w:val="x-none"/>
    </w:rPr>
  </w:style>
  <w:style w:type="character" w:customStyle="1" w:styleId="CaptionChar">
    <w:name w:val="Caption Char"/>
    <w:aliases w:val="Caption Char2 Char Char,Caption Char Char Char2 Char,Caption Char1 Char Char Char1 Char,Caption Char2 Char Char Char1 Char1 Char,Caption Char Char1 Char Char Char1 Char1 Char,Caption Char1 Char Char Char Char Char Char Char"/>
    <w:link w:val="Caption"/>
    <w:uiPriority w:val="99"/>
    <w:rsid w:val="001F62C3"/>
    <w:rPr>
      <w:rFonts w:ascii="Gill Sans MT" w:hAnsi="Gill Sans MT"/>
      <w:b/>
      <w:bCs/>
      <w:lang w:eastAsia="en-US"/>
    </w:rPr>
  </w:style>
  <w:style w:type="paragraph" w:styleId="BodyText">
    <w:name w:val="Body Text"/>
    <w:aliases w:val="Body Text Char"/>
    <w:basedOn w:val="Normal"/>
    <w:link w:val="BodyTextChar1"/>
    <w:semiHidden/>
    <w:rsid w:val="00694D1A"/>
    <w:pPr>
      <w:autoSpaceDE w:val="0"/>
      <w:autoSpaceDN w:val="0"/>
      <w:adjustRightInd w:val="0"/>
    </w:pPr>
    <w:rPr>
      <w:rFonts w:ascii="TimesNewRomanPSMT" w:hAnsi="TimesNewRomanPSMT"/>
      <w:sz w:val="20"/>
      <w:szCs w:val="20"/>
      <w:lang w:val="en-US"/>
    </w:rPr>
  </w:style>
  <w:style w:type="paragraph" w:styleId="DocumentMap">
    <w:name w:val="Document Map"/>
    <w:basedOn w:val="Normal"/>
    <w:semiHidden/>
    <w:rsid w:val="00694D1A"/>
    <w:pPr>
      <w:shd w:val="clear" w:color="auto" w:fill="000080"/>
    </w:pPr>
    <w:rPr>
      <w:rFonts w:ascii="Tahoma" w:hAnsi="Tahoma" w:cs="Tahoma"/>
    </w:rPr>
  </w:style>
  <w:style w:type="paragraph" w:customStyle="1" w:styleId="Heading50">
    <w:name w:val="Heading5"/>
    <w:basedOn w:val="Heading40"/>
    <w:qFormat/>
    <w:rsid w:val="0023269B"/>
    <w:pPr>
      <w:spacing w:line="288" w:lineRule="auto"/>
      <w:outlineLvl w:val="4"/>
    </w:pPr>
    <w:rPr>
      <w:i w:val="0"/>
    </w:rPr>
  </w:style>
  <w:style w:type="paragraph" w:customStyle="1" w:styleId="Heading40">
    <w:name w:val="Heading4"/>
    <w:basedOn w:val="Heading30"/>
    <w:next w:val="Normal"/>
    <w:link w:val="Heading4Char"/>
    <w:qFormat/>
    <w:rsid w:val="002741E1"/>
    <w:pPr>
      <w:spacing w:after="120"/>
      <w:ind w:left="0" w:firstLine="0"/>
      <w:outlineLvl w:val="3"/>
    </w:pPr>
    <w:rPr>
      <w:i/>
      <w:sz w:val="22"/>
    </w:rPr>
  </w:style>
  <w:style w:type="paragraph" w:customStyle="1" w:styleId="Heading30">
    <w:name w:val="Heading3"/>
    <w:basedOn w:val="Heading20"/>
    <w:next w:val="Normal"/>
    <w:link w:val="Heading3Char"/>
    <w:qFormat/>
    <w:rsid w:val="0054583C"/>
    <w:pPr>
      <w:spacing w:after="240"/>
      <w:outlineLvl w:val="2"/>
    </w:pPr>
    <w:rPr>
      <w:sz w:val="28"/>
    </w:rPr>
  </w:style>
  <w:style w:type="paragraph" w:customStyle="1" w:styleId="Heading20">
    <w:name w:val="Heading2"/>
    <w:basedOn w:val="Heading1"/>
    <w:next w:val="Normal"/>
    <w:link w:val="Heading2Char"/>
    <w:qFormat/>
    <w:rsid w:val="001D3CF9"/>
    <w:pPr>
      <w:pageBreakBefore w:val="0"/>
      <w:outlineLvl w:val="1"/>
    </w:pPr>
    <w:rPr>
      <w:sz w:val="32"/>
      <w:szCs w:val="32"/>
    </w:rPr>
  </w:style>
  <w:style w:type="character" w:customStyle="1" w:styleId="Heading2Char">
    <w:name w:val="Heading2 Char"/>
    <w:link w:val="Heading20"/>
    <w:rsid w:val="001D3CF9"/>
    <w:rPr>
      <w:rFonts w:ascii="Arial" w:hAnsi="Arial"/>
      <w:b/>
      <w:bCs/>
      <w:sz w:val="32"/>
      <w:szCs w:val="32"/>
      <w:lang w:val="x-none" w:eastAsia="en-US"/>
    </w:rPr>
  </w:style>
  <w:style w:type="paragraph" w:customStyle="1" w:styleId="Tabletext">
    <w:name w:val="Table text"/>
    <w:basedOn w:val="Normal"/>
    <w:qFormat/>
    <w:rsid w:val="00623290"/>
    <w:pPr>
      <w:keepNext/>
      <w:spacing w:before="60" w:after="40"/>
    </w:pPr>
    <w:rPr>
      <w:rFonts w:ascii="Arial Narrow" w:hAnsi="Arial Narrow"/>
      <w:sz w:val="20"/>
      <w:szCs w:val="20"/>
    </w:rPr>
  </w:style>
  <w:style w:type="paragraph" w:styleId="BodyText2">
    <w:name w:val="Body Text 2"/>
    <w:basedOn w:val="Normal"/>
    <w:semiHidden/>
    <w:rsid w:val="00694D1A"/>
    <w:rPr>
      <w:b/>
      <w:bCs/>
      <w:lang w:val="en-US"/>
    </w:rPr>
  </w:style>
  <w:style w:type="paragraph" w:styleId="BodyText3">
    <w:name w:val="Body Text 3"/>
    <w:basedOn w:val="Normal"/>
    <w:semiHidden/>
    <w:rsid w:val="00694D1A"/>
    <w:rPr>
      <w:rFonts w:ascii="Verdana" w:hAnsi="Verdana" w:cs="Arial"/>
      <w:b/>
      <w:bCs/>
      <w:sz w:val="18"/>
      <w:szCs w:val="18"/>
      <w:lang w:val="en-GB"/>
    </w:rPr>
  </w:style>
  <w:style w:type="character" w:styleId="EndnoteReference">
    <w:name w:val="endnote reference"/>
    <w:semiHidden/>
    <w:rsid w:val="00694D1A"/>
    <w:rPr>
      <w:rFonts w:ascii="Verdana" w:hAnsi="Verdana"/>
      <w:sz w:val="14"/>
      <w:vertAlign w:val="superscript"/>
    </w:rPr>
  </w:style>
  <w:style w:type="paragraph" w:styleId="EndnoteText">
    <w:name w:val="endnote text"/>
    <w:basedOn w:val="Normal"/>
    <w:semiHidden/>
    <w:rsid w:val="00694D1A"/>
    <w:pPr>
      <w:overflowPunct w:val="0"/>
      <w:autoSpaceDE w:val="0"/>
      <w:autoSpaceDN w:val="0"/>
      <w:adjustRightInd w:val="0"/>
      <w:ind w:left="1440"/>
      <w:textAlignment w:val="baseline"/>
    </w:pPr>
    <w:rPr>
      <w:rFonts w:ascii="Verdana" w:hAnsi="Verdana"/>
      <w:sz w:val="18"/>
      <w:szCs w:val="20"/>
      <w:lang w:val="en-GB"/>
    </w:rPr>
  </w:style>
  <w:style w:type="paragraph" w:styleId="NormalWeb">
    <w:name w:val="Normal (Web)"/>
    <w:basedOn w:val="Normal"/>
    <w:uiPriority w:val="99"/>
    <w:semiHidden/>
    <w:rsid w:val="00694D1A"/>
    <w:pPr>
      <w:spacing w:before="100" w:beforeAutospacing="1" w:after="100" w:afterAutospacing="1"/>
    </w:pPr>
    <w:rPr>
      <w:rFonts w:ascii="Arial Unicode MS" w:eastAsia="Arial Unicode MS" w:hAnsi="Arial Unicode MS" w:cs="Arial Unicode MS"/>
      <w:sz w:val="24"/>
    </w:rPr>
  </w:style>
  <w:style w:type="paragraph" w:styleId="BodyTextIndent">
    <w:name w:val="Body Text Indent"/>
    <w:basedOn w:val="Normal"/>
    <w:link w:val="BodyTextIndentChar"/>
    <w:semiHidden/>
    <w:rsid w:val="00694D1A"/>
    <w:pPr>
      <w:ind w:left="720"/>
    </w:pPr>
    <w:rPr>
      <w:lang w:val="x-none"/>
    </w:rPr>
  </w:style>
  <w:style w:type="paragraph" w:styleId="FootnoteText">
    <w:name w:val="footnote text"/>
    <w:basedOn w:val="Normal"/>
    <w:link w:val="FootnoteTextChar"/>
    <w:uiPriority w:val="99"/>
    <w:semiHidden/>
    <w:qFormat/>
    <w:rsid w:val="00881BD2"/>
    <w:rPr>
      <w:sz w:val="20"/>
      <w:szCs w:val="20"/>
    </w:rPr>
  </w:style>
  <w:style w:type="character" w:styleId="FootnoteReference">
    <w:name w:val="footnote reference"/>
    <w:uiPriority w:val="99"/>
    <w:semiHidden/>
    <w:rsid w:val="00694D1A"/>
    <w:rPr>
      <w:vertAlign w:val="superscript"/>
    </w:rPr>
  </w:style>
  <w:style w:type="paragraph" w:styleId="TOC4">
    <w:name w:val="toc 4"/>
    <w:aliases w:val="title4"/>
    <w:basedOn w:val="Normal"/>
    <w:next w:val="Normal"/>
    <w:autoRedefine/>
    <w:rsid w:val="00694D1A"/>
    <w:pPr>
      <w:ind w:left="660"/>
    </w:pPr>
    <w:rPr>
      <w:rFonts w:ascii="Calibri" w:hAnsi="Calibri"/>
      <w:sz w:val="18"/>
      <w:szCs w:val="18"/>
    </w:rPr>
  </w:style>
  <w:style w:type="character" w:styleId="Hyperlink">
    <w:name w:val="Hyperlink"/>
    <w:uiPriority w:val="99"/>
    <w:rsid w:val="00694D1A"/>
    <w:rPr>
      <w:color w:val="000066"/>
      <w:u w:val="single"/>
      <w:shd w:val="clear" w:color="auto" w:fill="FFFFFF"/>
    </w:rPr>
  </w:style>
  <w:style w:type="paragraph" w:styleId="Header">
    <w:name w:val="header"/>
    <w:basedOn w:val="Normal"/>
    <w:semiHidden/>
    <w:rsid w:val="00BE19DF"/>
    <w:pPr>
      <w:pBdr>
        <w:bottom w:val="single" w:sz="4" w:space="1" w:color="000000"/>
      </w:pBdr>
      <w:tabs>
        <w:tab w:val="center" w:pos="4153"/>
        <w:tab w:val="right" w:pos="8306"/>
      </w:tabs>
      <w:spacing w:before="240" w:after="40"/>
      <w:jc w:val="right"/>
    </w:pPr>
    <w:rPr>
      <w:rFonts w:ascii="Franklin Gothic Medium" w:hAnsi="Franklin Gothic Medium"/>
      <w:smallCaps/>
      <w:sz w:val="18"/>
      <w:szCs w:val="18"/>
    </w:rPr>
  </w:style>
  <w:style w:type="paragraph" w:styleId="Footer">
    <w:name w:val="footer"/>
    <w:aliases w:val="Page Footer"/>
    <w:basedOn w:val="Normal"/>
    <w:link w:val="FooterChar"/>
    <w:uiPriority w:val="99"/>
    <w:rsid w:val="00694D1A"/>
    <w:pPr>
      <w:tabs>
        <w:tab w:val="center" w:pos="4153"/>
        <w:tab w:val="right" w:pos="8306"/>
      </w:tabs>
    </w:pPr>
    <w:rPr>
      <w:rFonts w:ascii="Arial Unicode MS" w:hAnsi="Arial Unicode MS"/>
    </w:rPr>
  </w:style>
  <w:style w:type="character" w:customStyle="1" w:styleId="FooterChar">
    <w:name w:val="Footer Char"/>
    <w:aliases w:val="Page Footer Char"/>
    <w:link w:val="Footer"/>
    <w:uiPriority w:val="99"/>
    <w:rsid w:val="00844317"/>
    <w:rPr>
      <w:rFonts w:ascii="Arial Unicode MS" w:hAnsi="Arial Unicode MS"/>
      <w:sz w:val="22"/>
      <w:szCs w:val="24"/>
      <w:lang w:val="en-AU" w:eastAsia="en-US" w:bidi="ar-SA"/>
    </w:rPr>
  </w:style>
  <w:style w:type="paragraph" w:customStyle="1" w:styleId="Tablenotes">
    <w:name w:val="Table notes"/>
    <w:basedOn w:val="Normal"/>
    <w:rsid w:val="003A1124"/>
    <w:pPr>
      <w:spacing w:before="40" w:after="360"/>
    </w:pPr>
    <w:rPr>
      <w:rFonts w:ascii="Arial Narrow" w:hAnsi="Arial Narrow"/>
      <w:sz w:val="16"/>
    </w:rPr>
  </w:style>
  <w:style w:type="paragraph" w:styleId="TOC1">
    <w:name w:val="toc 1"/>
    <w:basedOn w:val="Normal"/>
    <w:next w:val="Normal"/>
    <w:autoRedefine/>
    <w:uiPriority w:val="39"/>
    <w:qFormat/>
    <w:rsid w:val="001C535A"/>
    <w:pPr>
      <w:spacing w:before="120" w:after="60"/>
      <w:ind w:left="720" w:hanging="720"/>
    </w:pPr>
    <w:rPr>
      <w:b/>
      <w:bCs/>
      <w:szCs w:val="20"/>
    </w:rPr>
  </w:style>
  <w:style w:type="paragraph" w:styleId="TOC2">
    <w:name w:val="toc 2"/>
    <w:basedOn w:val="Normal"/>
    <w:next w:val="Normal"/>
    <w:autoRedefine/>
    <w:uiPriority w:val="39"/>
    <w:qFormat/>
    <w:rsid w:val="004F3378"/>
    <w:pPr>
      <w:spacing w:after="120"/>
      <w:ind w:left="221"/>
    </w:pPr>
    <w:rPr>
      <w:rFonts w:ascii="Arial Narrow" w:hAnsi="Arial Narrow"/>
      <w:sz w:val="20"/>
      <w:szCs w:val="20"/>
    </w:rPr>
  </w:style>
  <w:style w:type="paragraph" w:styleId="TOC3">
    <w:name w:val="toc 3"/>
    <w:basedOn w:val="Normal"/>
    <w:next w:val="Normal"/>
    <w:autoRedefine/>
    <w:uiPriority w:val="39"/>
    <w:qFormat/>
    <w:rsid w:val="004F3378"/>
    <w:pPr>
      <w:spacing w:after="120"/>
      <w:ind w:left="1162" w:hanging="720"/>
    </w:pPr>
    <w:rPr>
      <w:rFonts w:ascii="Arial Narrow" w:hAnsi="Arial Narrow"/>
      <w:iCs/>
      <w:sz w:val="20"/>
      <w:szCs w:val="20"/>
    </w:rPr>
  </w:style>
  <w:style w:type="paragraph" w:styleId="TOC5">
    <w:name w:val="toc 5"/>
    <w:basedOn w:val="Normal"/>
    <w:next w:val="Normal"/>
    <w:autoRedefine/>
    <w:rsid w:val="00694D1A"/>
    <w:pPr>
      <w:ind w:left="880"/>
    </w:pPr>
    <w:rPr>
      <w:rFonts w:ascii="Calibri" w:hAnsi="Calibri"/>
      <w:sz w:val="18"/>
      <w:szCs w:val="18"/>
    </w:rPr>
  </w:style>
  <w:style w:type="paragraph" w:styleId="TOC6">
    <w:name w:val="toc 6"/>
    <w:basedOn w:val="Normal"/>
    <w:next w:val="Normal"/>
    <w:autoRedefine/>
    <w:rsid w:val="00694D1A"/>
    <w:pPr>
      <w:ind w:left="1100"/>
    </w:pPr>
    <w:rPr>
      <w:rFonts w:ascii="Calibri" w:hAnsi="Calibri"/>
      <w:sz w:val="18"/>
      <w:szCs w:val="18"/>
    </w:rPr>
  </w:style>
  <w:style w:type="paragraph" w:styleId="TOC7">
    <w:name w:val="toc 7"/>
    <w:basedOn w:val="Normal"/>
    <w:next w:val="Normal"/>
    <w:autoRedefine/>
    <w:rsid w:val="00694D1A"/>
    <w:pPr>
      <w:ind w:left="1320"/>
    </w:pPr>
    <w:rPr>
      <w:rFonts w:ascii="Calibri" w:hAnsi="Calibri"/>
      <w:sz w:val="18"/>
      <w:szCs w:val="18"/>
    </w:rPr>
  </w:style>
  <w:style w:type="paragraph" w:styleId="TOC8">
    <w:name w:val="toc 8"/>
    <w:basedOn w:val="Normal"/>
    <w:next w:val="Normal"/>
    <w:autoRedefine/>
    <w:rsid w:val="00694D1A"/>
    <w:pPr>
      <w:ind w:left="1540"/>
    </w:pPr>
    <w:rPr>
      <w:rFonts w:ascii="Calibri" w:hAnsi="Calibri"/>
      <w:sz w:val="18"/>
      <w:szCs w:val="18"/>
    </w:rPr>
  </w:style>
  <w:style w:type="paragraph" w:styleId="TOC9">
    <w:name w:val="toc 9"/>
    <w:basedOn w:val="Normal"/>
    <w:next w:val="Normal"/>
    <w:autoRedefine/>
    <w:rsid w:val="00694D1A"/>
    <w:pPr>
      <w:ind w:left="1760"/>
    </w:pPr>
    <w:rPr>
      <w:rFonts w:ascii="Calibri" w:hAnsi="Calibri"/>
      <w:sz w:val="18"/>
      <w:szCs w:val="18"/>
    </w:rPr>
  </w:style>
  <w:style w:type="paragraph" w:styleId="ListBullet2">
    <w:name w:val="List Bullet 2"/>
    <w:basedOn w:val="Normal"/>
    <w:autoRedefine/>
    <w:semiHidden/>
    <w:rsid w:val="00694D1A"/>
    <w:pPr>
      <w:numPr>
        <w:numId w:val="2"/>
      </w:numPr>
      <w:tabs>
        <w:tab w:val="left" w:pos="416"/>
        <w:tab w:val="left" w:pos="582"/>
      </w:tabs>
    </w:pPr>
    <w:rPr>
      <w:sz w:val="24"/>
    </w:rPr>
  </w:style>
  <w:style w:type="paragraph" w:customStyle="1" w:styleId="ListBullet-Last">
    <w:name w:val="List Bullet - Last"/>
    <w:basedOn w:val="Normal"/>
    <w:rsid w:val="00404A62"/>
    <w:pPr>
      <w:numPr>
        <w:numId w:val="12"/>
      </w:numPr>
      <w:tabs>
        <w:tab w:val="left" w:pos="1152"/>
        <w:tab w:val="left" w:pos="1872"/>
      </w:tabs>
      <w:spacing w:line="288" w:lineRule="auto"/>
    </w:pPr>
    <w:rPr>
      <w:szCs w:val="20"/>
      <w:lang w:val="en-GB"/>
    </w:rPr>
  </w:style>
  <w:style w:type="paragraph" w:styleId="ListBullet">
    <w:name w:val="List Bullet"/>
    <w:basedOn w:val="Normal"/>
    <w:autoRedefine/>
    <w:semiHidden/>
    <w:rsid w:val="00694D1A"/>
    <w:pPr>
      <w:numPr>
        <w:numId w:val="3"/>
      </w:numPr>
    </w:pPr>
    <w:rPr>
      <w:sz w:val="20"/>
      <w:szCs w:val="20"/>
      <w:lang w:val="en-GB"/>
    </w:rPr>
  </w:style>
  <w:style w:type="paragraph" w:styleId="ListBullet3">
    <w:name w:val="List Bullet 3"/>
    <w:basedOn w:val="Normal"/>
    <w:autoRedefine/>
    <w:semiHidden/>
    <w:rsid w:val="00694D1A"/>
    <w:pPr>
      <w:numPr>
        <w:numId w:val="4"/>
      </w:numPr>
      <w:tabs>
        <w:tab w:val="clear" w:pos="926"/>
        <w:tab w:val="num" w:pos="1080"/>
      </w:tabs>
      <w:ind w:left="1080"/>
    </w:pPr>
    <w:rPr>
      <w:sz w:val="20"/>
      <w:szCs w:val="20"/>
      <w:lang w:val="en-GB"/>
    </w:rPr>
  </w:style>
  <w:style w:type="paragraph" w:styleId="ListBullet4">
    <w:name w:val="List Bullet 4"/>
    <w:basedOn w:val="Normal"/>
    <w:autoRedefine/>
    <w:semiHidden/>
    <w:rsid w:val="00694D1A"/>
    <w:pPr>
      <w:numPr>
        <w:numId w:val="5"/>
      </w:numPr>
      <w:tabs>
        <w:tab w:val="clear" w:pos="1209"/>
        <w:tab w:val="num" w:pos="1440"/>
      </w:tabs>
      <w:ind w:left="1440"/>
    </w:pPr>
    <w:rPr>
      <w:sz w:val="20"/>
      <w:szCs w:val="20"/>
      <w:lang w:val="en-GB"/>
    </w:rPr>
  </w:style>
  <w:style w:type="paragraph" w:styleId="ListBullet5">
    <w:name w:val="List Bullet 5"/>
    <w:basedOn w:val="Normal"/>
    <w:autoRedefine/>
    <w:semiHidden/>
    <w:rsid w:val="00694D1A"/>
    <w:pPr>
      <w:numPr>
        <w:numId w:val="6"/>
      </w:numPr>
      <w:tabs>
        <w:tab w:val="clear" w:pos="1492"/>
        <w:tab w:val="num" w:pos="1800"/>
      </w:tabs>
      <w:ind w:left="1800"/>
    </w:pPr>
    <w:rPr>
      <w:sz w:val="20"/>
      <w:szCs w:val="20"/>
      <w:lang w:val="en-GB"/>
    </w:rPr>
  </w:style>
  <w:style w:type="paragraph" w:styleId="ListNumber">
    <w:name w:val="List Number"/>
    <w:basedOn w:val="Normal"/>
    <w:semiHidden/>
    <w:rsid w:val="00694D1A"/>
    <w:pPr>
      <w:numPr>
        <w:numId w:val="7"/>
      </w:numPr>
    </w:pPr>
    <w:rPr>
      <w:sz w:val="20"/>
      <w:szCs w:val="20"/>
      <w:lang w:val="en-GB"/>
    </w:rPr>
  </w:style>
  <w:style w:type="paragraph" w:styleId="ListNumber2">
    <w:name w:val="List Number 2"/>
    <w:basedOn w:val="Normal"/>
    <w:semiHidden/>
    <w:rsid w:val="00694D1A"/>
    <w:pPr>
      <w:numPr>
        <w:numId w:val="8"/>
      </w:numPr>
      <w:tabs>
        <w:tab w:val="clear" w:pos="643"/>
        <w:tab w:val="num" w:pos="720"/>
      </w:tabs>
      <w:ind w:left="720"/>
    </w:pPr>
    <w:rPr>
      <w:sz w:val="20"/>
      <w:szCs w:val="20"/>
      <w:lang w:val="en-GB"/>
    </w:rPr>
  </w:style>
  <w:style w:type="paragraph" w:styleId="ListNumber3">
    <w:name w:val="List Number 3"/>
    <w:basedOn w:val="Normal"/>
    <w:semiHidden/>
    <w:rsid w:val="00694D1A"/>
    <w:pPr>
      <w:numPr>
        <w:numId w:val="9"/>
      </w:numPr>
      <w:tabs>
        <w:tab w:val="clear" w:pos="926"/>
        <w:tab w:val="num" w:pos="1080"/>
      </w:tabs>
      <w:ind w:left="1080"/>
    </w:pPr>
    <w:rPr>
      <w:sz w:val="20"/>
      <w:szCs w:val="20"/>
      <w:lang w:val="en-GB"/>
    </w:rPr>
  </w:style>
  <w:style w:type="paragraph" w:styleId="ListNumber4">
    <w:name w:val="List Number 4"/>
    <w:basedOn w:val="Normal"/>
    <w:semiHidden/>
    <w:rsid w:val="00694D1A"/>
    <w:pPr>
      <w:numPr>
        <w:numId w:val="10"/>
      </w:numPr>
      <w:tabs>
        <w:tab w:val="clear" w:pos="1209"/>
        <w:tab w:val="num" w:pos="1440"/>
      </w:tabs>
      <w:ind w:left="1440"/>
    </w:pPr>
    <w:rPr>
      <w:sz w:val="20"/>
      <w:szCs w:val="20"/>
      <w:lang w:val="en-GB"/>
    </w:rPr>
  </w:style>
  <w:style w:type="paragraph" w:styleId="ListNumber5">
    <w:name w:val="List Number 5"/>
    <w:basedOn w:val="Normal"/>
    <w:semiHidden/>
    <w:rsid w:val="00694D1A"/>
    <w:pPr>
      <w:numPr>
        <w:numId w:val="11"/>
      </w:numPr>
      <w:tabs>
        <w:tab w:val="num" w:pos="1800"/>
      </w:tabs>
      <w:ind w:left="1800"/>
    </w:pPr>
    <w:rPr>
      <w:sz w:val="20"/>
      <w:szCs w:val="20"/>
      <w:lang w:val="en-GB"/>
    </w:rPr>
  </w:style>
  <w:style w:type="paragraph" w:styleId="BlockText">
    <w:name w:val="Block Text"/>
    <w:basedOn w:val="Normal"/>
    <w:semiHidden/>
    <w:rsid w:val="00694D1A"/>
    <w:pPr>
      <w:spacing w:line="288" w:lineRule="auto"/>
      <w:ind w:left="1152"/>
    </w:pPr>
    <w:rPr>
      <w:sz w:val="20"/>
      <w:szCs w:val="20"/>
      <w:lang w:val="en-GB"/>
    </w:rPr>
  </w:style>
  <w:style w:type="paragraph" w:customStyle="1" w:styleId="Bullet">
    <w:name w:val="Bullet"/>
    <w:basedOn w:val="Normal"/>
    <w:rsid w:val="00404A62"/>
    <w:pPr>
      <w:numPr>
        <w:numId w:val="14"/>
      </w:numPr>
      <w:suppressAutoHyphens/>
      <w:spacing w:before="60" w:after="60" w:line="320" w:lineRule="exact"/>
    </w:pPr>
    <w:rPr>
      <w:szCs w:val="20"/>
      <w:lang w:val="en-GB"/>
    </w:rPr>
  </w:style>
  <w:style w:type="paragraph" w:customStyle="1" w:styleId="Heading2a">
    <w:name w:val="Heading2a"/>
    <w:basedOn w:val="Heading20"/>
    <w:link w:val="Heading2aChar"/>
    <w:rsid w:val="00E637EB"/>
    <w:pPr>
      <w:ind w:left="0" w:firstLine="0"/>
    </w:pPr>
  </w:style>
  <w:style w:type="character" w:customStyle="1" w:styleId="Heading2aChar">
    <w:name w:val="Heading2a Char"/>
    <w:link w:val="Heading2a"/>
    <w:rsid w:val="00E637EB"/>
    <w:rPr>
      <w:rFonts w:ascii="Gill Sans MT" w:hAnsi="Gill Sans MT"/>
      <w:b/>
      <w:bCs/>
      <w:sz w:val="32"/>
      <w:szCs w:val="32"/>
      <w:lang w:eastAsia="en-US"/>
    </w:rPr>
  </w:style>
  <w:style w:type="paragraph" w:customStyle="1" w:styleId="NumberedList">
    <w:name w:val="Numbered List"/>
    <w:rsid w:val="00404A62"/>
    <w:pPr>
      <w:numPr>
        <w:numId w:val="13"/>
      </w:numPr>
      <w:suppressAutoHyphens/>
      <w:spacing w:before="120" w:after="120" w:line="360" w:lineRule="exact"/>
      <w:ind w:left="646" w:hanging="357"/>
    </w:pPr>
    <w:rPr>
      <w:rFonts w:ascii="Californian FB" w:hAnsi="Californian FB"/>
      <w:sz w:val="24"/>
      <w:lang w:val="en-US" w:eastAsia="en-US"/>
    </w:rPr>
  </w:style>
  <w:style w:type="paragraph" w:styleId="CommentSubject">
    <w:name w:val="annotation subject"/>
    <w:basedOn w:val="CommentText"/>
    <w:next w:val="CommentText"/>
    <w:semiHidden/>
    <w:rsid w:val="00694D1A"/>
    <w:rPr>
      <w:b/>
      <w:bCs/>
    </w:rPr>
  </w:style>
  <w:style w:type="paragraph" w:styleId="CommentText">
    <w:name w:val="annotation text"/>
    <w:basedOn w:val="Normal"/>
    <w:link w:val="CommentTextChar"/>
    <w:uiPriority w:val="99"/>
    <w:rsid w:val="00694D1A"/>
    <w:pPr>
      <w:tabs>
        <w:tab w:val="left" w:pos="416"/>
        <w:tab w:val="left" w:pos="582"/>
      </w:tabs>
    </w:pPr>
    <w:rPr>
      <w:sz w:val="20"/>
      <w:szCs w:val="20"/>
      <w:lang w:val="x-none"/>
    </w:rPr>
  </w:style>
  <w:style w:type="paragraph" w:customStyle="1" w:styleId="summarybox">
    <w:name w:val="summary box"/>
    <w:basedOn w:val="Normal"/>
    <w:link w:val="summaryboxChar"/>
    <w:autoRedefine/>
    <w:rsid w:val="00F777F1"/>
    <w:pPr>
      <w:pBdr>
        <w:top w:val="single" w:sz="12" w:space="10" w:color="auto"/>
        <w:left w:val="single" w:sz="12" w:space="10" w:color="auto"/>
        <w:bottom w:val="single" w:sz="12" w:space="10" w:color="auto"/>
        <w:right w:val="single" w:sz="12" w:space="10" w:color="auto"/>
      </w:pBdr>
      <w:tabs>
        <w:tab w:val="left" w:pos="416"/>
        <w:tab w:val="left" w:pos="582"/>
        <w:tab w:val="left" w:pos="720"/>
        <w:tab w:val="left" w:pos="1440"/>
        <w:tab w:val="left" w:pos="2160"/>
        <w:tab w:val="left" w:pos="2880"/>
        <w:tab w:val="left" w:pos="3600"/>
        <w:tab w:val="left" w:pos="4320"/>
        <w:tab w:val="left" w:pos="5040"/>
        <w:tab w:val="left" w:pos="5760"/>
        <w:tab w:val="left" w:pos="6480"/>
        <w:tab w:val="left" w:pos="7200"/>
        <w:tab w:val="left" w:pos="7920"/>
        <w:tab w:val="left" w:pos="8820"/>
        <w:tab w:val="left" w:pos="9360"/>
      </w:tabs>
      <w:jc w:val="center"/>
    </w:pPr>
    <w:rPr>
      <w:rFonts w:ascii="Gill Sans MT" w:hAnsi="Gill Sans MT"/>
    </w:rPr>
  </w:style>
  <w:style w:type="character" w:customStyle="1" w:styleId="summaryboxChar">
    <w:name w:val="summary box Char"/>
    <w:link w:val="summarybox"/>
    <w:rsid w:val="00F777F1"/>
    <w:rPr>
      <w:rFonts w:ascii="Gill Sans MT" w:hAnsi="Gill Sans MT"/>
      <w:sz w:val="22"/>
      <w:szCs w:val="22"/>
      <w:lang w:val="en-AU" w:eastAsia="en-US" w:bidi="ar-SA"/>
    </w:rPr>
  </w:style>
  <w:style w:type="paragraph" w:customStyle="1" w:styleId="Default">
    <w:name w:val="Default"/>
    <w:rsid w:val="00694D1A"/>
    <w:pPr>
      <w:autoSpaceDE w:val="0"/>
      <w:autoSpaceDN w:val="0"/>
      <w:adjustRightInd w:val="0"/>
    </w:pPr>
    <w:rPr>
      <w:rFonts w:cs="Arial"/>
      <w:color w:val="000000"/>
      <w:sz w:val="24"/>
      <w:szCs w:val="24"/>
      <w:lang w:val="en-US" w:eastAsia="en-US"/>
    </w:rPr>
  </w:style>
  <w:style w:type="paragraph" w:styleId="BalloonText">
    <w:name w:val="Balloon Text"/>
    <w:basedOn w:val="Normal"/>
    <w:link w:val="BalloonTextChar"/>
    <w:uiPriority w:val="99"/>
    <w:semiHidden/>
    <w:rsid w:val="00694D1A"/>
    <w:rPr>
      <w:rFonts w:ascii="Tahoma" w:hAnsi="Tahoma" w:cs="Tahoma"/>
      <w:sz w:val="16"/>
      <w:szCs w:val="16"/>
    </w:rPr>
  </w:style>
  <w:style w:type="character" w:styleId="PageNumber">
    <w:name w:val="page number"/>
    <w:basedOn w:val="DefaultParagraphFont"/>
    <w:semiHidden/>
    <w:rsid w:val="00694D1A"/>
  </w:style>
  <w:style w:type="paragraph" w:styleId="TableofFigures">
    <w:name w:val="table of figures"/>
    <w:basedOn w:val="Normal"/>
    <w:next w:val="Normal"/>
    <w:link w:val="TableofFiguresChar"/>
    <w:uiPriority w:val="99"/>
    <w:rsid w:val="00362526"/>
    <w:pPr>
      <w:ind w:left="440" w:hanging="440"/>
    </w:pPr>
    <w:rPr>
      <w:rFonts w:asciiTheme="minorHAnsi" w:hAnsiTheme="minorHAnsi"/>
      <w:b/>
      <w:bCs/>
      <w:sz w:val="20"/>
      <w:szCs w:val="20"/>
    </w:rPr>
  </w:style>
  <w:style w:type="paragraph" w:styleId="BodyTextIndent2">
    <w:name w:val="Body Text Indent 2"/>
    <w:basedOn w:val="Normal"/>
    <w:semiHidden/>
    <w:rsid w:val="00694D1A"/>
    <w:pPr>
      <w:ind w:left="-108"/>
    </w:pPr>
    <w:rPr>
      <w:sz w:val="18"/>
      <w:szCs w:val="20"/>
    </w:rPr>
  </w:style>
  <w:style w:type="character" w:styleId="FollowedHyperlink">
    <w:name w:val="FollowedHyperlink"/>
    <w:semiHidden/>
    <w:rsid w:val="00694D1A"/>
    <w:rPr>
      <w:color w:val="800080"/>
      <w:u w:val="single"/>
    </w:rPr>
  </w:style>
  <w:style w:type="character" w:customStyle="1" w:styleId="BodyTextIndent2Char">
    <w:name w:val="Body Text Indent 2 Char"/>
    <w:semiHidden/>
    <w:rsid w:val="00694D1A"/>
    <w:rPr>
      <w:sz w:val="18"/>
      <w:lang w:val="en-AU"/>
    </w:rPr>
  </w:style>
  <w:style w:type="paragraph" w:styleId="ListParagraph">
    <w:name w:val="List Paragraph"/>
    <w:basedOn w:val="Normal"/>
    <w:link w:val="ListParagraphChar"/>
    <w:uiPriority w:val="34"/>
    <w:qFormat/>
    <w:rsid w:val="005232D2"/>
    <w:rPr>
      <w:lang w:val="x-none"/>
    </w:rPr>
  </w:style>
  <w:style w:type="character" w:styleId="PlaceholderText">
    <w:name w:val="Placeholder Text"/>
    <w:semiHidden/>
    <w:rsid w:val="00694D1A"/>
    <w:rPr>
      <w:color w:val="808080"/>
    </w:rPr>
  </w:style>
  <w:style w:type="table" w:styleId="TableGrid">
    <w:name w:val="Table Grid"/>
    <w:basedOn w:val="TableNormal"/>
    <w:uiPriority w:val="59"/>
    <w:rsid w:val="00404A62"/>
    <w:rPr>
      <w:rFonts w:ascii="Arial Narrow" w:hAnsi="Arial Narrow"/>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uiPriority w:val="99"/>
    <w:unhideWhenUsed/>
    <w:rsid w:val="00694D1A"/>
    <w:rPr>
      <w:sz w:val="16"/>
      <w:szCs w:val="16"/>
    </w:rPr>
  </w:style>
  <w:style w:type="character" w:customStyle="1" w:styleId="HeaderChar">
    <w:name w:val="Header Char"/>
    <w:semiHidden/>
    <w:rsid w:val="00694D1A"/>
    <w:rPr>
      <w:sz w:val="22"/>
      <w:szCs w:val="24"/>
      <w:lang w:val="en-AU"/>
    </w:rPr>
  </w:style>
  <w:style w:type="paragraph" w:customStyle="1" w:styleId="Mainsubtitle">
    <w:name w:val="Main subtitle"/>
    <w:basedOn w:val="Normal"/>
    <w:rsid w:val="008E5D1C"/>
    <w:pPr>
      <w:spacing w:before="480" w:after="480"/>
      <w:jc w:val="center"/>
    </w:pPr>
    <w:rPr>
      <w:rFonts w:ascii="Gill Sans MT" w:hAnsi="Gill Sans MT"/>
      <w:b/>
      <w:bCs/>
      <w:sz w:val="36"/>
    </w:rPr>
  </w:style>
  <w:style w:type="paragraph" w:customStyle="1" w:styleId="Maintitle">
    <w:name w:val="Main title"/>
    <w:basedOn w:val="Normal"/>
    <w:rsid w:val="008E5D1C"/>
    <w:pPr>
      <w:spacing w:before="1920" w:after="480"/>
      <w:jc w:val="center"/>
    </w:pPr>
    <w:rPr>
      <w:rFonts w:ascii="Gill Sans MT" w:eastAsia="Batang" w:hAnsi="Gill Sans MT"/>
      <w:b/>
      <w:bCs/>
      <w:sz w:val="56"/>
      <w:szCs w:val="56"/>
    </w:rPr>
  </w:style>
  <w:style w:type="paragraph" w:customStyle="1" w:styleId="Mainsub2">
    <w:name w:val="Main sub 2"/>
    <w:basedOn w:val="Normal"/>
    <w:rsid w:val="008E5D1C"/>
    <w:pPr>
      <w:ind w:right="149"/>
      <w:jc w:val="center"/>
    </w:pPr>
    <w:rPr>
      <w:rFonts w:ascii="Gill Sans MT" w:hAnsi="Gill Sans MT"/>
      <w:sz w:val="28"/>
    </w:rPr>
  </w:style>
  <w:style w:type="paragraph" w:customStyle="1" w:styleId="Mainsub3">
    <w:name w:val="Main sub 3"/>
    <w:basedOn w:val="Normal"/>
    <w:rsid w:val="008E5D1C"/>
    <w:pPr>
      <w:spacing w:after="120"/>
      <w:ind w:right="147"/>
    </w:pPr>
    <w:rPr>
      <w:rFonts w:ascii="Gill Sans MT" w:hAnsi="Gill Sans MT"/>
      <w:b/>
      <w:sz w:val="20"/>
      <w:szCs w:val="20"/>
    </w:rPr>
  </w:style>
  <w:style w:type="paragraph" w:customStyle="1" w:styleId="Headers">
    <w:name w:val="Headers"/>
    <w:basedOn w:val="Normal"/>
    <w:rsid w:val="008E5D1C"/>
    <w:pPr>
      <w:pBdr>
        <w:bottom w:val="single" w:sz="4" w:space="1" w:color="auto"/>
      </w:pBdr>
      <w:spacing w:before="240" w:after="60"/>
      <w:jc w:val="right"/>
    </w:pPr>
    <w:rPr>
      <w:rFonts w:ascii="Gill Sans MT" w:hAnsi="Gill Sans MT"/>
      <w:smallCaps/>
      <w:sz w:val="18"/>
      <w:szCs w:val="18"/>
    </w:rPr>
  </w:style>
  <w:style w:type="paragraph" w:customStyle="1" w:styleId="Heading1a">
    <w:name w:val="Heading 1a"/>
    <w:basedOn w:val="Normal"/>
    <w:rsid w:val="008E5D1C"/>
    <w:pPr>
      <w:spacing w:after="360"/>
    </w:pPr>
    <w:rPr>
      <w:rFonts w:ascii="Gill Sans MT" w:hAnsi="Gill Sans MT"/>
      <w:b/>
      <w:sz w:val="32"/>
    </w:rPr>
  </w:style>
  <w:style w:type="paragraph" w:customStyle="1" w:styleId="Footers">
    <w:name w:val="Footers"/>
    <w:basedOn w:val="Footer"/>
    <w:link w:val="FootersChar"/>
    <w:rsid w:val="008E5D1C"/>
    <w:pPr>
      <w:pBdr>
        <w:top w:val="single" w:sz="4" w:space="1" w:color="auto"/>
      </w:pBdr>
      <w:tabs>
        <w:tab w:val="clear" w:pos="8306"/>
        <w:tab w:val="right" w:pos="9000"/>
      </w:tabs>
      <w:spacing w:before="60"/>
    </w:pPr>
    <w:rPr>
      <w:rFonts w:ascii="Gill Sans MT" w:hAnsi="Gill Sans MT"/>
      <w:smallCaps/>
      <w:sz w:val="18"/>
      <w:szCs w:val="18"/>
    </w:rPr>
  </w:style>
  <w:style w:type="character" w:customStyle="1" w:styleId="FootersChar">
    <w:name w:val="Footers Char"/>
    <w:link w:val="Footers"/>
    <w:rsid w:val="008E5D1C"/>
    <w:rPr>
      <w:rFonts w:ascii="Gill Sans MT" w:hAnsi="Gill Sans MT"/>
      <w:smallCaps/>
      <w:sz w:val="18"/>
      <w:szCs w:val="18"/>
      <w:lang w:val="en-AU" w:eastAsia="en-US" w:bidi="ar-SA"/>
    </w:rPr>
  </w:style>
  <w:style w:type="paragraph" w:customStyle="1" w:styleId="Tableheading">
    <w:name w:val="Table heading"/>
    <w:basedOn w:val="Normal"/>
    <w:link w:val="TableheadingChar"/>
    <w:rsid w:val="00A0146B"/>
    <w:pPr>
      <w:keepNext/>
      <w:spacing w:before="60" w:after="60"/>
    </w:pPr>
    <w:rPr>
      <w:rFonts w:ascii="Arial Narrow" w:hAnsi="Arial Narrow"/>
      <w:b/>
      <w:sz w:val="20"/>
      <w:szCs w:val="20"/>
    </w:rPr>
  </w:style>
  <w:style w:type="character" w:customStyle="1" w:styleId="TableheadingChar">
    <w:name w:val="Table heading Char"/>
    <w:link w:val="Tableheading"/>
    <w:rsid w:val="00A0146B"/>
    <w:rPr>
      <w:rFonts w:ascii="Arial Narrow" w:hAnsi="Arial Narrow"/>
      <w:b/>
      <w:lang w:val="en-AU" w:eastAsia="en-US" w:bidi="ar-SA"/>
    </w:rPr>
  </w:style>
  <w:style w:type="paragraph" w:customStyle="1" w:styleId="Heading3a">
    <w:name w:val="Heading3a"/>
    <w:basedOn w:val="Heading30"/>
    <w:rsid w:val="00F4699A"/>
    <w:rPr>
      <w:b w:val="0"/>
      <w:szCs w:val="24"/>
    </w:rPr>
  </w:style>
  <w:style w:type="paragraph" w:customStyle="1" w:styleId="Tablecaption">
    <w:name w:val="Table caption"/>
    <w:basedOn w:val="Caption"/>
    <w:rsid w:val="008E5D1C"/>
  </w:style>
  <w:style w:type="paragraph" w:customStyle="1" w:styleId="Figurecaption">
    <w:name w:val="Figure caption"/>
    <w:basedOn w:val="Caption"/>
    <w:link w:val="FigurecaptionChar"/>
    <w:rsid w:val="008E5D1C"/>
    <w:pPr>
      <w:keepLines/>
      <w:spacing w:after="480"/>
    </w:pPr>
    <w:rPr>
      <w:lang w:val="en-AU"/>
    </w:rPr>
  </w:style>
  <w:style w:type="character" w:customStyle="1" w:styleId="FigurecaptionChar">
    <w:name w:val="Figure caption Char"/>
    <w:link w:val="Figurecaption"/>
    <w:rsid w:val="008E5D1C"/>
    <w:rPr>
      <w:rFonts w:ascii="Gill Sans MT" w:hAnsi="Gill Sans MT"/>
      <w:b/>
      <w:bCs/>
      <w:lang w:val="en-AU" w:eastAsia="en-US" w:bidi="ar-SA"/>
    </w:rPr>
  </w:style>
  <w:style w:type="character" w:customStyle="1" w:styleId="Heading5Char">
    <w:name w:val="Heading 5 Char"/>
    <w:aliases w:val=" DO NOT USE Char"/>
    <w:link w:val="Heading5"/>
    <w:rsid w:val="006046ED"/>
    <w:rPr>
      <w:rFonts w:ascii="Californian FB" w:hAnsi="Californian FB"/>
      <w:b/>
      <w:bCs/>
      <w:lang w:val="en-US" w:eastAsia="en-US" w:bidi="ar-SA"/>
    </w:rPr>
  </w:style>
  <w:style w:type="paragraph" w:customStyle="1" w:styleId="Bulletedbodytext">
    <w:name w:val="Bulleted body text"/>
    <w:basedOn w:val="BodyText"/>
    <w:qFormat/>
    <w:rsid w:val="00123496"/>
    <w:pPr>
      <w:numPr>
        <w:numId w:val="15"/>
      </w:numPr>
      <w:autoSpaceDE/>
      <w:autoSpaceDN/>
      <w:adjustRightInd/>
      <w:spacing w:after="120"/>
      <w:ind w:left="714" w:hanging="357"/>
    </w:pPr>
    <w:rPr>
      <w:rFonts w:ascii="Californian FB" w:hAnsi="Californian FB" w:cs="Arial"/>
      <w:sz w:val="22"/>
      <w:szCs w:val="24"/>
    </w:rPr>
  </w:style>
  <w:style w:type="paragraph" w:styleId="Revision">
    <w:name w:val="Revision"/>
    <w:hidden/>
    <w:uiPriority w:val="99"/>
    <w:semiHidden/>
    <w:rsid w:val="008578E0"/>
    <w:rPr>
      <w:rFonts w:ascii="Californian FB" w:hAnsi="Californian FB"/>
      <w:szCs w:val="24"/>
      <w:lang w:eastAsia="en-US"/>
    </w:rPr>
  </w:style>
  <w:style w:type="paragraph" w:customStyle="1" w:styleId="Table-bodytext">
    <w:name w:val="Table - body text"/>
    <w:basedOn w:val="Normal"/>
    <w:link w:val="Table-bodytextChar"/>
    <w:rsid w:val="004F5663"/>
    <w:pPr>
      <w:jc w:val="center"/>
    </w:pPr>
    <w:rPr>
      <w:rFonts w:ascii="Times New Roman" w:hAnsi="Times New Roman" w:cs="Arial"/>
      <w:sz w:val="20"/>
    </w:rPr>
  </w:style>
  <w:style w:type="character" w:customStyle="1" w:styleId="Table-bodytextChar">
    <w:name w:val="Table - body text Char"/>
    <w:link w:val="Table-bodytext"/>
    <w:rsid w:val="004F5663"/>
    <w:rPr>
      <w:rFonts w:cs="Arial"/>
      <w:szCs w:val="24"/>
      <w:lang w:val="en-AU" w:eastAsia="en-US" w:bidi="ar-SA"/>
    </w:rPr>
  </w:style>
  <w:style w:type="paragraph" w:styleId="Quote">
    <w:name w:val="Quote"/>
    <w:basedOn w:val="Normal"/>
    <w:next w:val="Normal"/>
    <w:link w:val="QuoteChar"/>
    <w:uiPriority w:val="29"/>
    <w:qFormat/>
    <w:rsid w:val="00CB2E8F"/>
    <w:pPr>
      <w:ind w:left="567" w:right="566"/>
      <w:jc w:val="both"/>
    </w:pPr>
    <w:rPr>
      <w:i/>
      <w:iCs/>
      <w:color w:val="000000"/>
      <w:sz w:val="20"/>
      <w:lang w:val="x-none"/>
    </w:rPr>
  </w:style>
  <w:style w:type="character" w:customStyle="1" w:styleId="QuoteChar">
    <w:name w:val="Quote Char"/>
    <w:link w:val="Quote"/>
    <w:uiPriority w:val="29"/>
    <w:rsid w:val="00CB2E8F"/>
    <w:rPr>
      <w:rFonts w:ascii="Californian FB" w:hAnsi="Californian FB"/>
      <w:i/>
      <w:iCs/>
      <w:color w:val="000000"/>
      <w:szCs w:val="24"/>
      <w:lang w:eastAsia="en-US"/>
    </w:rPr>
  </w:style>
  <w:style w:type="paragraph" w:customStyle="1" w:styleId="StyleExecSumm">
    <w:name w:val="Style ExecSumm"/>
    <w:basedOn w:val="Normal"/>
    <w:qFormat/>
    <w:rsid w:val="00A86EF9"/>
    <w:pPr>
      <w:spacing w:line="288" w:lineRule="auto"/>
      <w:jc w:val="both"/>
    </w:pPr>
  </w:style>
  <w:style w:type="character" w:customStyle="1" w:styleId="highlight">
    <w:name w:val="highlight"/>
    <w:rsid w:val="002D755B"/>
  </w:style>
  <w:style w:type="character" w:customStyle="1" w:styleId="BodyTextChar1">
    <w:name w:val="Body Text Char1"/>
    <w:aliases w:val="Body Text Char Char"/>
    <w:link w:val="BodyText"/>
    <w:semiHidden/>
    <w:rsid w:val="00EB3738"/>
    <w:rPr>
      <w:rFonts w:ascii="TimesNewRomanPSMT" w:hAnsi="TimesNewRomanPSMT"/>
      <w:lang w:val="en-US" w:eastAsia="en-US"/>
    </w:rPr>
  </w:style>
  <w:style w:type="character" w:customStyle="1" w:styleId="Heading3Char">
    <w:name w:val="Heading3 Char"/>
    <w:link w:val="Heading30"/>
    <w:rsid w:val="0054583C"/>
    <w:rPr>
      <w:rFonts w:ascii="Gill Sans MT" w:hAnsi="Gill Sans MT"/>
      <w:b/>
      <w:bCs/>
      <w:sz w:val="28"/>
      <w:szCs w:val="32"/>
      <w:lang w:eastAsia="en-US"/>
    </w:rPr>
  </w:style>
  <w:style w:type="character" w:customStyle="1" w:styleId="Heading4Char">
    <w:name w:val="Heading4 Char"/>
    <w:link w:val="Heading40"/>
    <w:rsid w:val="002741E1"/>
    <w:rPr>
      <w:rFonts w:ascii="Gill Sans MT" w:hAnsi="Gill Sans MT"/>
      <w:b/>
      <w:bCs/>
      <w:i/>
      <w:sz w:val="22"/>
      <w:szCs w:val="32"/>
      <w:lang w:eastAsia="en-US"/>
    </w:rPr>
  </w:style>
  <w:style w:type="character" w:customStyle="1" w:styleId="BodyTextIndentChar">
    <w:name w:val="Body Text Indent Char"/>
    <w:link w:val="BodyTextIndent"/>
    <w:semiHidden/>
    <w:rsid w:val="00EB3738"/>
    <w:rPr>
      <w:rFonts w:ascii="Californian FB" w:hAnsi="Californian FB"/>
      <w:sz w:val="22"/>
      <w:szCs w:val="24"/>
      <w:lang w:eastAsia="en-US"/>
    </w:rPr>
  </w:style>
  <w:style w:type="character" w:customStyle="1" w:styleId="CommentTextChar">
    <w:name w:val="Comment Text Char"/>
    <w:link w:val="CommentText"/>
    <w:uiPriority w:val="99"/>
    <w:rsid w:val="00760386"/>
    <w:rPr>
      <w:rFonts w:ascii="Californian FB" w:hAnsi="Californian FB"/>
      <w:lang w:eastAsia="en-US"/>
    </w:rPr>
  </w:style>
  <w:style w:type="paragraph" w:customStyle="1" w:styleId="Listoftables">
    <w:name w:val="List of tables"/>
    <w:basedOn w:val="TableofFigures"/>
    <w:link w:val="ListoftablesChar"/>
    <w:qFormat/>
    <w:rsid w:val="007A3C07"/>
    <w:rPr>
      <w:rFonts w:ascii="Arial Narrow" w:hAnsi="Arial Narrow"/>
      <w:sz w:val="22"/>
    </w:rPr>
  </w:style>
  <w:style w:type="character" w:customStyle="1" w:styleId="TableofFiguresChar">
    <w:name w:val="Table of Figures Char"/>
    <w:link w:val="TableofFigures"/>
    <w:uiPriority w:val="99"/>
    <w:rsid w:val="007A3C07"/>
    <w:rPr>
      <w:rFonts w:asciiTheme="minorHAnsi" w:hAnsiTheme="minorHAnsi"/>
      <w:b/>
      <w:bCs/>
      <w:sz w:val="20"/>
      <w:szCs w:val="20"/>
    </w:rPr>
  </w:style>
  <w:style w:type="character" w:customStyle="1" w:styleId="ListoftablesChar">
    <w:name w:val="List of tables Char"/>
    <w:link w:val="Listoftables"/>
    <w:rsid w:val="007A3C07"/>
    <w:rPr>
      <w:rFonts w:ascii="Arial Narrow" w:hAnsi="Arial Narrow" w:cs="Arial"/>
      <w:noProof/>
      <w:sz w:val="22"/>
      <w:szCs w:val="24"/>
      <w:lang w:eastAsia="en-US"/>
    </w:rPr>
  </w:style>
  <w:style w:type="character" w:customStyle="1" w:styleId="ListParagraphChar">
    <w:name w:val="List Paragraph Char"/>
    <w:link w:val="ListParagraph"/>
    <w:uiPriority w:val="34"/>
    <w:rsid w:val="003E2EC5"/>
    <w:rPr>
      <w:rFonts w:ascii="Californian FB" w:hAnsi="Californian FB"/>
      <w:sz w:val="22"/>
      <w:szCs w:val="24"/>
      <w:lang w:eastAsia="en-US"/>
    </w:rPr>
  </w:style>
  <w:style w:type="character" w:styleId="Strong">
    <w:name w:val="Strong"/>
    <w:uiPriority w:val="22"/>
    <w:qFormat/>
    <w:rsid w:val="00315D4F"/>
    <w:rPr>
      <w:b/>
      <w:bCs/>
    </w:rPr>
  </w:style>
  <w:style w:type="paragraph" w:customStyle="1" w:styleId="PlainL2B">
    <w:name w:val="Plain_L2_B"/>
    <w:basedOn w:val="Normal"/>
    <w:rsid w:val="00A343BE"/>
    <w:pPr>
      <w:spacing w:after="120"/>
      <w:ind w:left="680"/>
      <w:jc w:val="both"/>
    </w:pPr>
    <w:rPr>
      <w:rFonts w:ascii="Times New Roman" w:hAnsi="Times New Roman" w:cs="Arial"/>
      <w:sz w:val="24"/>
      <w:lang w:val="en-US"/>
    </w:rPr>
  </w:style>
  <w:style w:type="paragraph" w:customStyle="1" w:styleId="TableText0">
    <w:name w:val="TableText"/>
    <w:basedOn w:val="Normal"/>
    <w:rsid w:val="001F3C37"/>
    <w:pPr>
      <w:keepNext/>
    </w:pPr>
    <w:rPr>
      <w:rFonts w:ascii="Trebuchet MS" w:hAnsi="Trebuchet MS"/>
      <w:sz w:val="18"/>
      <w:szCs w:val="20"/>
    </w:rPr>
  </w:style>
  <w:style w:type="character" w:customStyle="1" w:styleId="FootnoteTextChar">
    <w:name w:val="Footnote Text Char"/>
    <w:basedOn w:val="DefaultParagraphFont"/>
    <w:link w:val="FootnoteText"/>
    <w:uiPriority w:val="99"/>
    <w:semiHidden/>
    <w:rsid w:val="00755475"/>
    <w:rPr>
      <w:rFonts w:ascii="Californian FB" w:hAnsi="Californian FB"/>
      <w:lang w:eastAsia="en-US"/>
    </w:rPr>
  </w:style>
  <w:style w:type="paragraph" w:customStyle="1" w:styleId="StandardLinks2">
    <w:name w:val="Standard Links 2"/>
    <w:basedOn w:val="Normal"/>
    <w:link w:val="StandardLinks2Zchn"/>
    <w:rsid w:val="00FA7D34"/>
    <w:pPr>
      <w:widowControl w:val="0"/>
      <w:spacing w:line="240" w:lineRule="atLeast"/>
      <w:ind w:left="1416"/>
      <w:jc w:val="both"/>
    </w:pPr>
    <w:rPr>
      <w:sz w:val="20"/>
      <w:szCs w:val="20"/>
      <w:lang w:val="en-US" w:eastAsia="de-AT"/>
    </w:rPr>
  </w:style>
  <w:style w:type="paragraph" w:customStyle="1" w:styleId="StandardLinks1">
    <w:name w:val="Standard Links 1"/>
    <w:basedOn w:val="Normal"/>
    <w:rsid w:val="00EA1EB0"/>
    <w:pPr>
      <w:widowControl w:val="0"/>
      <w:spacing w:line="240" w:lineRule="atLeast"/>
      <w:ind w:left="708"/>
      <w:jc w:val="both"/>
    </w:pPr>
    <w:rPr>
      <w:noProof/>
      <w:sz w:val="20"/>
      <w:szCs w:val="20"/>
      <w:lang w:val="en-US" w:eastAsia="de-AT"/>
    </w:rPr>
  </w:style>
  <w:style w:type="paragraph" w:customStyle="1" w:styleId="PlainText">
    <w:name w:val="Plain_Text"/>
    <w:basedOn w:val="Normal"/>
    <w:link w:val="PlainTextZchn"/>
    <w:rsid w:val="00EA1EB0"/>
    <w:pPr>
      <w:tabs>
        <w:tab w:val="left" w:pos="851"/>
        <w:tab w:val="left" w:pos="1418"/>
      </w:tabs>
      <w:spacing w:before="120"/>
      <w:jc w:val="both"/>
    </w:pPr>
    <w:rPr>
      <w:sz w:val="16"/>
      <w:lang w:val="en-US" w:eastAsia="de-AT"/>
    </w:rPr>
  </w:style>
  <w:style w:type="character" w:customStyle="1" w:styleId="PlainTextZchn">
    <w:name w:val="Plain_Text Zchn"/>
    <w:link w:val="PlainText"/>
    <w:rsid w:val="00EA1EB0"/>
    <w:rPr>
      <w:rFonts w:ascii="Arial" w:hAnsi="Arial"/>
      <w:sz w:val="16"/>
      <w:szCs w:val="24"/>
      <w:lang w:val="en-US" w:eastAsia="de-AT"/>
    </w:rPr>
  </w:style>
  <w:style w:type="character" w:customStyle="1" w:styleId="header51">
    <w:name w:val="header51"/>
    <w:basedOn w:val="DefaultParagraphFont"/>
    <w:rsid w:val="00C6722C"/>
    <w:rPr>
      <w:rFonts w:ascii="Georgia" w:hAnsi="Georgia" w:hint="default"/>
      <w:b w:val="0"/>
      <w:bCs w:val="0"/>
      <w:color w:val="003F72"/>
      <w:sz w:val="37"/>
      <w:szCs w:val="37"/>
    </w:rPr>
  </w:style>
  <w:style w:type="paragraph" w:styleId="NoSpacing">
    <w:name w:val="No Spacing"/>
    <w:uiPriority w:val="1"/>
    <w:qFormat/>
    <w:rsid w:val="00FC3D9E"/>
    <w:rPr>
      <w:rFonts w:asciiTheme="minorHAnsi" w:eastAsiaTheme="minorHAnsi" w:hAnsiTheme="minorHAnsi" w:cstheme="minorBidi"/>
      <w:lang w:val="de-AT" w:eastAsia="en-US"/>
    </w:rPr>
  </w:style>
  <w:style w:type="table" w:customStyle="1" w:styleId="Tabellenraster1">
    <w:name w:val="Tabellenraster1"/>
    <w:basedOn w:val="TableNormal"/>
    <w:next w:val="TableGrid"/>
    <w:uiPriority w:val="59"/>
    <w:rsid w:val="002E39E9"/>
    <w:rPr>
      <w:rFonts w:ascii="Calibri" w:eastAsia="Calibri" w:hAnsi="Calibri"/>
      <w:lang w:val="de-AT"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
    <w:name w:val="Figure"/>
    <w:basedOn w:val="StandardLinks2"/>
    <w:link w:val="FigureZchn"/>
    <w:qFormat/>
    <w:rsid w:val="00B1027F"/>
    <w:pPr>
      <w:ind w:left="0"/>
    </w:pPr>
    <w:rPr>
      <w:rFonts w:cs="Arial"/>
      <w:b/>
      <w:u w:val="single"/>
    </w:rPr>
  </w:style>
  <w:style w:type="paragraph" w:customStyle="1" w:styleId="Figure2">
    <w:name w:val="Figure2"/>
    <w:basedOn w:val="StandardLinks2"/>
    <w:link w:val="Figure2Zchn"/>
    <w:qFormat/>
    <w:rsid w:val="00E74E4B"/>
    <w:pPr>
      <w:ind w:left="0"/>
    </w:pPr>
    <w:rPr>
      <w:b/>
      <w:szCs w:val="18"/>
    </w:rPr>
  </w:style>
  <w:style w:type="character" w:customStyle="1" w:styleId="StandardLinks2Zchn">
    <w:name w:val="Standard Links 2 Zchn"/>
    <w:basedOn w:val="DefaultParagraphFont"/>
    <w:link w:val="StandardLinks2"/>
    <w:rsid w:val="00B1027F"/>
    <w:rPr>
      <w:rFonts w:ascii="Arial" w:hAnsi="Arial"/>
      <w:lang w:val="en-US" w:eastAsia="de-AT"/>
    </w:rPr>
  </w:style>
  <w:style w:type="character" w:customStyle="1" w:styleId="FigureZchn">
    <w:name w:val="Figure Zchn"/>
    <w:basedOn w:val="StandardLinks2Zchn"/>
    <w:link w:val="Figure"/>
    <w:rsid w:val="00B1027F"/>
    <w:rPr>
      <w:rFonts w:ascii="Arial" w:hAnsi="Arial" w:cs="Arial"/>
      <w:b/>
      <w:u w:val="single"/>
      <w:lang w:val="en-US" w:eastAsia="de-AT"/>
    </w:rPr>
  </w:style>
  <w:style w:type="paragraph" w:customStyle="1" w:styleId="Textbody">
    <w:name w:val="Textbody"/>
    <w:basedOn w:val="StandardLinks2"/>
    <w:qFormat/>
    <w:rsid w:val="009F74C4"/>
    <w:pPr>
      <w:spacing w:line="360" w:lineRule="auto"/>
      <w:ind w:left="0"/>
    </w:pPr>
    <w:rPr>
      <w:rFonts w:cs="Arial"/>
      <w:sz w:val="22"/>
      <w:szCs w:val="22"/>
    </w:rPr>
  </w:style>
  <w:style w:type="character" w:customStyle="1" w:styleId="Figure2Zchn">
    <w:name w:val="Figure2 Zchn"/>
    <w:basedOn w:val="StandardLinks2Zchn"/>
    <w:link w:val="Figure2"/>
    <w:rsid w:val="00E74E4B"/>
    <w:rPr>
      <w:rFonts w:ascii="Arial" w:hAnsi="Arial"/>
      <w:b/>
      <w:sz w:val="20"/>
      <w:szCs w:val="18"/>
      <w:lang w:val="en-US" w:eastAsia="de-AT"/>
    </w:rPr>
  </w:style>
  <w:style w:type="character" w:customStyle="1" w:styleId="hvr">
    <w:name w:val="hvr"/>
    <w:basedOn w:val="DefaultParagraphFont"/>
    <w:rsid w:val="00653313"/>
  </w:style>
  <w:style w:type="paragraph" w:customStyle="1" w:styleId="496F4AA19EB549C2B6106110D5961930">
    <w:name w:val="496F4AA19EB549C2B6106110D5961930"/>
    <w:rsid w:val="003B76D4"/>
    <w:pPr>
      <w:spacing w:after="200" w:line="276" w:lineRule="auto"/>
    </w:pPr>
    <w:rPr>
      <w:rFonts w:asciiTheme="minorHAnsi" w:eastAsiaTheme="minorEastAsia" w:hAnsiTheme="minorHAnsi" w:cstheme="minorBidi"/>
      <w:lang w:val="de-AT" w:eastAsia="de-AT"/>
    </w:rPr>
  </w:style>
  <w:style w:type="character" w:styleId="Emphasis">
    <w:name w:val="Emphasis"/>
    <w:basedOn w:val="DefaultParagraphFont"/>
    <w:uiPriority w:val="20"/>
    <w:qFormat/>
    <w:rsid w:val="00B52DA0"/>
    <w:rPr>
      <w:i/>
      <w:iCs/>
    </w:rPr>
  </w:style>
  <w:style w:type="numbering" w:customStyle="1" w:styleId="KeineListe1">
    <w:name w:val="Keine Liste1"/>
    <w:next w:val="NoList"/>
    <w:uiPriority w:val="99"/>
    <w:semiHidden/>
    <w:unhideWhenUsed/>
    <w:rsid w:val="00596935"/>
  </w:style>
  <w:style w:type="character" w:customStyle="1" w:styleId="BalloonTextChar">
    <w:name w:val="Balloon Text Char"/>
    <w:basedOn w:val="DefaultParagraphFont"/>
    <w:link w:val="BalloonText"/>
    <w:uiPriority w:val="99"/>
    <w:semiHidden/>
    <w:rsid w:val="00596935"/>
    <w:rPr>
      <w:rFonts w:ascii="Tahoma" w:hAnsi="Tahoma" w:cs="Tahoma"/>
      <w:sz w:val="16"/>
      <w:szCs w:val="16"/>
    </w:rPr>
  </w:style>
  <w:style w:type="paragraph" w:styleId="Title">
    <w:name w:val="Title"/>
    <w:basedOn w:val="Normal"/>
    <w:next w:val="Normal"/>
    <w:link w:val="TitleChar"/>
    <w:uiPriority w:val="10"/>
    <w:qFormat/>
    <w:rsid w:val="00590A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90A24"/>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36808">
      <w:bodyDiv w:val="1"/>
      <w:marLeft w:val="0"/>
      <w:marRight w:val="0"/>
      <w:marTop w:val="0"/>
      <w:marBottom w:val="0"/>
      <w:divBdr>
        <w:top w:val="none" w:sz="0" w:space="0" w:color="auto"/>
        <w:left w:val="none" w:sz="0" w:space="0" w:color="auto"/>
        <w:bottom w:val="none" w:sz="0" w:space="0" w:color="auto"/>
        <w:right w:val="none" w:sz="0" w:space="0" w:color="auto"/>
      </w:divBdr>
    </w:div>
    <w:div w:id="30157318">
      <w:bodyDiv w:val="1"/>
      <w:marLeft w:val="0"/>
      <w:marRight w:val="0"/>
      <w:marTop w:val="0"/>
      <w:marBottom w:val="0"/>
      <w:divBdr>
        <w:top w:val="none" w:sz="0" w:space="0" w:color="auto"/>
        <w:left w:val="none" w:sz="0" w:space="0" w:color="auto"/>
        <w:bottom w:val="none" w:sz="0" w:space="0" w:color="auto"/>
        <w:right w:val="none" w:sz="0" w:space="0" w:color="auto"/>
      </w:divBdr>
    </w:div>
    <w:div w:id="61413795">
      <w:bodyDiv w:val="1"/>
      <w:marLeft w:val="0"/>
      <w:marRight w:val="0"/>
      <w:marTop w:val="0"/>
      <w:marBottom w:val="0"/>
      <w:divBdr>
        <w:top w:val="none" w:sz="0" w:space="0" w:color="auto"/>
        <w:left w:val="none" w:sz="0" w:space="0" w:color="auto"/>
        <w:bottom w:val="none" w:sz="0" w:space="0" w:color="auto"/>
        <w:right w:val="none" w:sz="0" w:space="0" w:color="auto"/>
      </w:divBdr>
    </w:div>
    <w:div w:id="81605257">
      <w:bodyDiv w:val="1"/>
      <w:marLeft w:val="0"/>
      <w:marRight w:val="0"/>
      <w:marTop w:val="0"/>
      <w:marBottom w:val="0"/>
      <w:divBdr>
        <w:top w:val="none" w:sz="0" w:space="0" w:color="auto"/>
        <w:left w:val="none" w:sz="0" w:space="0" w:color="auto"/>
        <w:bottom w:val="none" w:sz="0" w:space="0" w:color="auto"/>
        <w:right w:val="none" w:sz="0" w:space="0" w:color="auto"/>
      </w:divBdr>
    </w:div>
    <w:div w:id="98259648">
      <w:bodyDiv w:val="1"/>
      <w:marLeft w:val="0"/>
      <w:marRight w:val="0"/>
      <w:marTop w:val="0"/>
      <w:marBottom w:val="0"/>
      <w:divBdr>
        <w:top w:val="none" w:sz="0" w:space="0" w:color="auto"/>
        <w:left w:val="none" w:sz="0" w:space="0" w:color="auto"/>
        <w:bottom w:val="none" w:sz="0" w:space="0" w:color="auto"/>
        <w:right w:val="none" w:sz="0" w:space="0" w:color="auto"/>
      </w:divBdr>
    </w:div>
    <w:div w:id="101654562">
      <w:bodyDiv w:val="1"/>
      <w:marLeft w:val="0"/>
      <w:marRight w:val="0"/>
      <w:marTop w:val="0"/>
      <w:marBottom w:val="0"/>
      <w:divBdr>
        <w:top w:val="none" w:sz="0" w:space="0" w:color="auto"/>
        <w:left w:val="none" w:sz="0" w:space="0" w:color="auto"/>
        <w:bottom w:val="none" w:sz="0" w:space="0" w:color="auto"/>
        <w:right w:val="none" w:sz="0" w:space="0" w:color="auto"/>
      </w:divBdr>
    </w:div>
    <w:div w:id="104274078">
      <w:bodyDiv w:val="1"/>
      <w:marLeft w:val="0"/>
      <w:marRight w:val="0"/>
      <w:marTop w:val="0"/>
      <w:marBottom w:val="0"/>
      <w:divBdr>
        <w:top w:val="none" w:sz="0" w:space="0" w:color="auto"/>
        <w:left w:val="none" w:sz="0" w:space="0" w:color="auto"/>
        <w:bottom w:val="none" w:sz="0" w:space="0" w:color="auto"/>
        <w:right w:val="none" w:sz="0" w:space="0" w:color="auto"/>
      </w:divBdr>
    </w:div>
    <w:div w:id="112333395">
      <w:bodyDiv w:val="1"/>
      <w:marLeft w:val="0"/>
      <w:marRight w:val="0"/>
      <w:marTop w:val="0"/>
      <w:marBottom w:val="0"/>
      <w:divBdr>
        <w:top w:val="none" w:sz="0" w:space="0" w:color="auto"/>
        <w:left w:val="none" w:sz="0" w:space="0" w:color="auto"/>
        <w:bottom w:val="none" w:sz="0" w:space="0" w:color="auto"/>
        <w:right w:val="none" w:sz="0" w:space="0" w:color="auto"/>
      </w:divBdr>
    </w:div>
    <w:div w:id="116796299">
      <w:bodyDiv w:val="1"/>
      <w:marLeft w:val="0"/>
      <w:marRight w:val="0"/>
      <w:marTop w:val="0"/>
      <w:marBottom w:val="0"/>
      <w:divBdr>
        <w:top w:val="none" w:sz="0" w:space="0" w:color="auto"/>
        <w:left w:val="none" w:sz="0" w:space="0" w:color="auto"/>
        <w:bottom w:val="none" w:sz="0" w:space="0" w:color="auto"/>
        <w:right w:val="none" w:sz="0" w:space="0" w:color="auto"/>
      </w:divBdr>
    </w:div>
    <w:div w:id="124200418">
      <w:bodyDiv w:val="1"/>
      <w:marLeft w:val="0"/>
      <w:marRight w:val="0"/>
      <w:marTop w:val="0"/>
      <w:marBottom w:val="0"/>
      <w:divBdr>
        <w:top w:val="none" w:sz="0" w:space="0" w:color="auto"/>
        <w:left w:val="none" w:sz="0" w:space="0" w:color="auto"/>
        <w:bottom w:val="none" w:sz="0" w:space="0" w:color="auto"/>
        <w:right w:val="none" w:sz="0" w:space="0" w:color="auto"/>
      </w:divBdr>
    </w:div>
    <w:div w:id="125390395">
      <w:bodyDiv w:val="1"/>
      <w:marLeft w:val="0"/>
      <w:marRight w:val="0"/>
      <w:marTop w:val="0"/>
      <w:marBottom w:val="0"/>
      <w:divBdr>
        <w:top w:val="none" w:sz="0" w:space="0" w:color="auto"/>
        <w:left w:val="none" w:sz="0" w:space="0" w:color="auto"/>
        <w:bottom w:val="none" w:sz="0" w:space="0" w:color="auto"/>
        <w:right w:val="none" w:sz="0" w:space="0" w:color="auto"/>
      </w:divBdr>
    </w:div>
    <w:div w:id="127402152">
      <w:bodyDiv w:val="1"/>
      <w:marLeft w:val="0"/>
      <w:marRight w:val="0"/>
      <w:marTop w:val="0"/>
      <w:marBottom w:val="0"/>
      <w:divBdr>
        <w:top w:val="none" w:sz="0" w:space="0" w:color="auto"/>
        <w:left w:val="none" w:sz="0" w:space="0" w:color="auto"/>
        <w:bottom w:val="none" w:sz="0" w:space="0" w:color="auto"/>
        <w:right w:val="none" w:sz="0" w:space="0" w:color="auto"/>
      </w:divBdr>
    </w:div>
    <w:div w:id="166096275">
      <w:bodyDiv w:val="1"/>
      <w:marLeft w:val="0"/>
      <w:marRight w:val="0"/>
      <w:marTop w:val="0"/>
      <w:marBottom w:val="0"/>
      <w:divBdr>
        <w:top w:val="none" w:sz="0" w:space="0" w:color="auto"/>
        <w:left w:val="none" w:sz="0" w:space="0" w:color="auto"/>
        <w:bottom w:val="none" w:sz="0" w:space="0" w:color="auto"/>
        <w:right w:val="none" w:sz="0" w:space="0" w:color="auto"/>
      </w:divBdr>
    </w:div>
    <w:div w:id="178591059">
      <w:bodyDiv w:val="1"/>
      <w:marLeft w:val="0"/>
      <w:marRight w:val="0"/>
      <w:marTop w:val="0"/>
      <w:marBottom w:val="0"/>
      <w:divBdr>
        <w:top w:val="none" w:sz="0" w:space="0" w:color="auto"/>
        <w:left w:val="none" w:sz="0" w:space="0" w:color="auto"/>
        <w:bottom w:val="none" w:sz="0" w:space="0" w:color="auto"/>
        <w:right w:val="none" w:sz="0" w:space="0" w:color="auto"/>
      </w:divBdr>
    </w:div>
    <w:div w:id="184056625">
      <w:bodyDiv w:val="1"/>
      <w:marLeft w:val="0"/>
      <w:marRight w:val="0"/>
      <w:marTop w:val="0"/>
      <w:marBottom w:val="0"/>
      <w:divBdr>
        <w:top w:val="none" w:sz="0" w:space="0" w:color="auto"/>
        <w:left w:val="none" w:sz="0" w:space="0" w:color="auto"/>
        <w:bottom w:val="none" w:sz="0" w:space="0" w:color="auto"/>
        <w:right w:val="none" w:sz="0" w:space="0" w:color="auto"/>
      </w:divBdr>
    </w:div>
    <w:div w:id="192113580">
      <w:bodyDiv w:val="1"/>
      <w:marLeft w:val="0"/>
      <w:marRight w:val="0"/>
      <w:marTop w:val="0"/>
      <w:marBottom w:val="0"/>
      <w:divBdr>
        <w:top w:val="none" w:sz="0" w:space="0" w:color="auto"/>
        <w:left w:val="none" w:sz="0" w:space="0" w:color="auto"/>
        <w:bottom w:val="none" w:sz="0" w:space="0" w:color="auto"/>
        <w:right w:val="none" w:sz="0" w:space="0" w:color="auto"/>
      </w:divBdr>
    </w:div>
    <w:div w:id="195042361">
      <w:bodyDiv w:val="1"/>
      <w:marLeft w:val="0"/>
      <w:marRight w:val="0"/>
      <w:marTop w:val="0"/>
      <w:marBottom w:val="0"/>
      <w:divBdr>
        <w:top w:val="none" w:sz="0" w:space="0" w:color="auto"/>
        <w:left w:val="none" w:sz="0" w:space="0" w:color="auto"/>
        <w:bottom w:val="none" w:sz="0" w:space="0" w:color="auto"/>
        <w:right w:val="none" w:sz="0" w:space="0" w:color="auto"/>
      </w:divBdr>
    </w:div>
    <w:div w:id="213779661">
      <w:bodyDiv w:val="1"/>
      <w:marLeft w:val="0"/>
      <w:marRight w:val="0"/>
      <w:marTop w:val="0"/>
      <w:marBottom w:val="0"/>
      <w:divBdr>
        <w:top w:val="none" w:sz="0" w:space="0" w:color="auto"/>
        <w:left w:val="none" w:sz="0" w:space="0" w:color="auto"/>
        <w:bottom w:val="none" w:sz="0" w:space="0" w:color="auto"/>
        <w:right w:val="none" w:sz="0" w:space="0" w:color="auto"/>
      </w:divBdr>
    </w:div>
    <w:div w:id="253829149">
      <w:bodyDiv w:val="1"/>
      <w:marLeft w:val="0"/>
      <w:marRight w:val="0"/>
      <w:marTop w:val="0"/>
      <w:marBottom w:val="0"/>
      <w:divBdr>
        <w:top w:val="none" w:sz="0" w:space="0" w:color="auto"/>
        <w:left w:val="none" w:sz="0" w:space="0" w:color="auto"/>
        <w:bottom w:val="none" w:sz="0" w:space="0" w:color="auto"/>
        <w:right w:val="none" w:sz="0" w:space="0" w:color="auto"/>
      </w:divBdr>
    </w:div>
    <w:div w:id="254948724">
      <w:bodyDiv w:val="1"/>
      <w:marLeft w:val="0"/>
      <w:marRight w:val="0"/>
      <w:marTop w:val="0"/>
      <w:marBottom w:val="0"/>
      <w:divBdr>
        <w:top w:val="none" w:sz="0" w:space="0" w:color="auto"/>
        <w:left w:val="none" w:sz="0" w:space="0" w:color="auto"/>
        <w:bottom w:val="none" w:sz="0" w:space="0" w:color="auto"/>
        <w:right w:val="none" w:sz="0" w:space="0" w:color="auto"/>
      </w:divBdr>
    </w:div>
    <w:div w:id="263654628">
      <w:bodyDiv w:val="1"/>
      <w:marLeft w:val="0"/>
      <w:marRight w:val="0"/>
      <w:marTop w:val="0"/>
      <w:marBottom w:val="0"/>
      <w:divBdr>
        <w:top w:val="none" w:sz="0" w:space="0" w:color="auto"/>
        <w:left w:val="none" w:sz="0" w:space="0" w:color="auto"/>
        <w:bottom w:val="none" w:sz="0" w:space="0" w:color="auto"/>
        <w:right w:val="none" w:sz="0" w:space="0" w:color="auto"/>
      </w:divBdr>
    </w:div>
    <w:div w:id="269047789">
      <w:bodyDiv w:val="1"/>
      <w:marLeft w:val="0"/>
      <w:marRight w:val="0"/>
      <w:marTop w:val="0"/>
      <w:marBottom w:val="0"/>
      <w:divBdr>
        <w:top w:val="none" w:sz="0" w:space="0" w:color="auto"/>
        <w:left w:val="none" w:sz="0" w:space="0" w:color="auto"/>
        <w:bottom w:val="none" w:sz="0" w:space="0" w:color="auto"/>
        <w:right w:val="none" w:sz="0" w:space="0" w:color="auto"/>
      </w:divBdr>
    </w:div>
    <w:div w:id="308092355">
      <w:bodyDiv w:val="1"/>
      <w:marLeft w:val="0"/>
      <w:marRight w:val="0"/>
      <w:marTop w:val="0"/>
      <w:marBottom w:val="0"/>
      <w:divBdr>
        <w:top w:val="none" w:sz="0" w:space="0" w:color="auto"/>
        <w:left w:val="none" w:sz="0" w:space="0" w:color="auto"/>
        <w:bottom w:val="none" w:sz="0" w:space="0" w:color="auto"/>
        <w:right w:val="none" w:sz="0" w:space="0" w:color="auto"/>
      </w:divBdr>
    </w:div>
    <w:div w:id="309598048">
      <w:bodyDiv w:val="1"/>
      <w:marLeft w:val="0"/>
      <w:marRight w:val="0"/>
      <w:marTop w:val="0"/>
      <w:marBottom w:val="0"/>
      <w:divBdr>
        <w:top w:val="none" w:sz="0" w:space="0" w:color="auto"/>
        <w:left w:val="none" w:sz="0" w:space="0" w:color="auto"/>
        <w:bottom w:val="none" w:sz="0" w:space="0" w:color="auto"/>
        <w:right w:val="none" w:sz="0" w:space="0" w:color="auto"/>
      </w:divBdr>
    </w:div>
    <w:div w:id="318727278">
      <w:bodyDiv w:val="1"/>
      <w:marLeft w:val="0"/>
      <w:marRight w:val="0"/>
      <w:marTop w:val="0"/>
      <w:marBottom w:val="0"/>
      <w:divBdr>
        <w:top w:val="none" w:sz="0" w:space="0" w:color="auto"/>
        <w:left w:val="none" w:sz="0" w:space="0" w:color="auto"/>
        <w:bottom w:val="none" w:sz="0" w:space="0" w:color="auto"/>
        <w:right w:val="none" w:sz="0" w:space="0" w:color="auto"/>
      </w:divBdr>
    </w:div>
    <w:div w:id="322515524">
      <w:bodyDiv w:val="1"/>
      <w:marLeft w:val="0"/>
      <w:marRight w:val="0"/>
      <w:marTop w:val="0"/>
      <w:marBottom w:val="0"/>
      <w:divBdr>
        <w:top w:val="none" w:sz="0" w:space="0" w:color="auto"/>
        <w:left w:val="none" w:sz="0" w:space="0" w:color="auto"/>
        <w:bottom w:val="none" w:sz="0" w:space="0" w:color="auto"/>
        <w:right w:val="none" w:sz="0" w:space="0" w:color="auto"/>
      </w:divBdr>
    </w:div>
    <w:div w:id="329256086">
      <w:bodyDiv w:val="1"/>
      <w:marLeft w:val="0"/>
      <w:marRight w:val="0"/>
      <w:marTop w:val="0"/>
      <w:marBottom w:val="0"/>
      <w:divBdr>
        <w:top w:val="none" w:sz="0" w:space="0" w:color="auto"/>
        <w:left w:val="none" w:sz="0" w:space="0" w:color="auto"/>
        <w:bottom w:val="none" w:sz="0" w:space="0" w:color="auto"/>
        <w:right w:val="none" w:sz="0" w:space="0" w:color="auto"/>
      </w:divBdr>
    </w:div>
    <w:div w:id="329451938">
      <w:bodyDiv w:val="1"/>
      <w:marLeft w:val="0"/>
      <w:marRight w:val="0"/>
      <w:marTop w:val="0"/>
      <w:marBottom w:val="0"/>
      <w:divBdr>
        <w:top w:val="none" w:sz="0" w:space="0" w:color="auto"/>
        <w:left w:val="none" w:sz="0" w:space="0" w:color="auto"/>
        <w:bottom w:val="none" w:sz="0" w:space="0" w:color="auto"/>
        <w:right w:val="none" w:sz="0" w:space="0" w:color="auto"/>
      </w:divBdr>
    </w:div>
    <w:div w:id="329793678">
      <w:bodyDiv w:val="1"/>
      <w:marLeft w:val="0"/>
      <w:marRight w:val="0"/>
      <w:marTop w:val="0"/>
      <w:marBottom w:val="0"/>
      <w:divBdr>
        <w:top w:val="none" w:sz="0" w:space="0" w:color="auto"/>
        <w:left w:val="none" w:sz="0" w:space="0" w:color="auto"/>
        <w:bottom w:val="none" w:sz="0" w:space="0" w:color="auto"/>
        <w:right w:val="none" w:sz="0" w:space="0" w:color="auto"/>
      </w:divBdr>
    </w:div>
    <w:div w:id="336688045">
      <w:bodyDiv w:val="1"/>
      <w:marLeft w:val="0"/>
      <w:marRight w:val="0"/>
      <w:marTop w:val="0"/>
      <w:marBottom w:val="0"/>
      <w:divBdr>
        <w:top w:val="none" w:sz="0" w:space="0" w:color="auto"/>
        <w:left w:val="none" w:sz="0" w:space="0" w:color="auto"/>
        <w:bottom w:val="none" w:sz="0" w:space="0" w:color="auto"/>
        <w:right w:val="none" w:sz="0" w:space="0" w:color="auto"/>
      </w:divBdr>
    </w:div>
    <w:div w:id="352805683">
      <w:bodyDiv w:val="1"/>
      <w:marLeft w:val="0"/>
      <w:marRight w:val="0"/>
      <w:marTop w:val="0"/>
      <w:marBottom w:val="0"/>
      <w:divBdr>
        <w:top w:val="none" w:sz="0" w:space="0" w:color="auto"/>
        <w:left w:val="none" w:sz="0" w:space="0" w:color="auto"/>
        <w:bottom w:val="none" w:sz="0" w:space="0" w:color="auto"/>
        <w:right w:val="none" w:sz="0" w:space="0" w:color="auto"/>
      </w:divBdr>
    </w:div>
    <w:div w:id="393815508">
      <w:bodyDiv w:val="1"/>
      <w:marLeft w:val="0"/>
      <w:marRight w:val="0"/>
      <w:marTop w:val="0"/>
      <w:marBottom w:val="0"/>
      <w:divBdr>
        <w:top w:val="none" w:sz="0" w:space="0" w:color="auto"/>
        <w:left w:val="none" w:sz="0" w:space="0" w:color="auto"/>
        <w:bottom w:val="none" w:sz="0" w:space="0" w:color="auto"/>
        <w:right w:val="none" w:sz="0" w:space="0" w:color="auto"/>
      </w:divBdr>
    </w:div>
    <w:div w:id="407727639">
      <w:bodyDiv w:val="1"/>
      <w:marLeft w:val="0"/>
      <w:marRight w:val="0"/>
      <w:marTop w:val="0"/>
      <w:marBottom w:val="0"/>
      <w:divBdr>
        <w:top w:val="none" w:sz="0" w:space="0" w:color="auto"/>
        <w:left w:val="none" w:sz="0" w:space="0" w:color="auto"/>
        <w:bottom w:val="none" w:sz="0" w:space="0" w:color="auto"/>
        <w:right w:val="none" w:sz="0" w:space="0" w:color="auto"/>
      </w:divBdr>
    </w:div>
    <w:div w:id="435950502">
      <w:bodyDiv w:val="1"/>
      <w:marLeft w:val="0"/>
      <w:marRight w:val="0"/>
      <w:marTop w:val="0"/>
      <w:marBottom w:val="0"/>
      <w:divBdr>
        <w:top w:val="none" w:sz="0" w:space="0" w:color="auto"/>
        <w:left w:val="none" w:sz="0" w:space="0" w:color="auto"/>
        <w:bottom w:val="none" w:sz="0" w:space="0" w:color="auto"/>
        <w:right w:val="none" w:sz="0" w:space="0" w:color="auto"/>
      </w:divBdr>
    </w:div>
    <w:div w:id="475606715">
      <w:bodyDiv w:val="1"/>
      <w:marLeft w:val="0"/>
      <w:marRight w:val="0"/>
      <w:marTop w:val="0"/>
      <w:marBottom w:val="0"/>
      <w:divBdr>
        <w:top w:val="none" w:sz="0" w:space="0" w:color="auto"/>
        <w:left w:val="none" w:sz="0" w:space="0" w:color="auto"/>
        <w:bottom w:val="none" w:sz="0" w:space="0" w:color="auto"/>
        <w:right w:val="none" w:sz="0" w:space="0" w:color="auto"/>
      </w:divBdr>
    </w:div>
    <w:div w:id="495268930">
      <w:bodyDiv w:val="1"/>
      <w:marLeft w:val="0"/>
      <w:marRight w:val="0"/>
      <w:marTop w:val="0"/>
      <w:marBottom w:val="0"/>
      <w:divBdr>
        <w:top w:val="none" w:sz="0" w:space="0" w:color="auto"/>
        <w:left w:val="none" w:sz="0" w:space="0" w:color="auto"/>
        <w:bottom w:val="none" w:sz="0" w:space="0" w:color="auto"/>
        <w:right w:val="none" w:sz="0" w:space="0" w:color="auto"/>
      </w:divBdr>
    </w:div>
    <w:div w:id="509758423">
      <w:bodyDiv w:val="1"/>
      <w:marLeft w:val="0"/>
      <w:marRight w:val="0"/>
      <w:marTop w:val="0"/>
      <w:marBottom w:val="0"/>
      <w:divBdr>
        <w:top w:val="none" w:sz="0" w:space="0" w:color="auto"/>
        <w:left w:val="none" w:sz="0" w:space="0" w:color="auto"/>
        <w:bottom w:val="none" w:sz="0" w:space="0" w:color="auto"/>
        <w:right w:val="none" w:sz="0" w:space="0" w:color="auto"/>
      </w:divBdr>
    </w:div>
    <w:div w:id="515656550">
      <w:bodyDiv w:val="1"/>
      <w:marLeft w:val="0"/>
      <w:marRight w:val="0"/>
      <w:marTop w:val="0"/>
      <w:marBottom w:val="0"/>
      <w:divBdr>
        <w:top w:val="none" w:sz="0" w:space="0" w:color="auto"/>
        <w:left w:val="none" w:sz="0" w:space="0" w:color="auto"/>
        <w:bottom w:val="none" w:sz="0" w:space="0" w:color="auto"/>
        <w:right w:val="none" w:sz="0" w:space="0" w:color="auto"/>
      </w:divBdr>
    </w:div>
    <w:div w:id="534319793">
      <w:bodyDiv w:val="1"/>
      <w:marLeft w:val="0"/>
      <w:marRight w:val="0"/>
      <w:marTop w:val="0"/>
      <w:marBottom w:val="0"/>
      <w:divBdr>
        <w:top w:val="none" w:sz="0" w:space="0" w:color="auto"/>
        <w:left w:val="none" w:sz="0" w:space="0" w:color="auto"/>
        <w:bottom w:val="none" w:sz="0" w:space="0" w:color="auto"/>
        <w:right w:val="none" w:sz="0" w:space="0" w:color="auto"/>
      </w:divBdr>
    </w:div>
    <w:div w:id="556821530">
      <w:bodyDiv w:val="1"/>
      <w:marLeft w:val="0"/>
      <w:marRight w:val="0"/>
      <w:marTop w:val="0"/>
      <w:marBottom w:val="0"/>
      <w:divBdr>
        <w:top w:val="none" w:sz="0" w:space="0" w:color="auto"/>
        <w:left w:val="none" w:sz="0" w:space="0" w:color="auto"/>
        <w:bottom w:val="none" w:sz="0" w:space="0" w:color="auto"/>
        <w:right w:val="none" w:sz="0" w:space="0" w:color="auto"/>
      </w:divBdr>
    </w:div>
    <w:div w:id="560989050">
      <w:bodyDiv w:val="1"/>
      <w:marLeft w:val="0"/>
      <w:marRight w:val="0"/>
      <w:marTop w:val="0"/>
      <w:marBottom w:val="0"/>
      <w:divBdr>
        <w:top w:val="none" w:sz="0" w:space="0" w:color="auto"/>
        <w:left w:val="none" w:sz="0" w:space="0" w:color="auto"/>
        <w:bottom w:val="none" w:sz="0" w:space="0" w:color="auto"/>
        <w:right w:val="none" w:sz="0" w:space="0" w:color="auto"/>
      </w:divBdr>
    </w:div>
    <w:div w:id="573662916">
      <w:bodyDiv w:val="1"/>
      <w:marLeft w:val="0"/>
      <w:marRight w:val="0"/>
      <w:marTop w:val="0"/>
      <w:marBottom w:val="0"/>
      <w:divBdr>
        <w:top w:val="none" w:sz="0" w:space="0" w:color="auto"/>
        <w:left w:val="none" w:sz="0" w:space="0" w:color="auto"/>
        <w:bottom w:val="none" w:sz="0" w:space="0" w:color="auto"/>
        <w:right w:val="none" w:sz="0" w:space="0" w:color="auto"/>
      </w:divBdr>
    </w:div>
    <w:div w:id="575241402">
      <w:bodyDiv w:val="1"/>
      <w:marLeft w:val="0"/>
      <w:marRight w:val="0"/>
      <w:marTop w:val="0"/>
      <w:marBottom w:val="0"/>
      <w:divBdr>
        <w:top w:val="none" w:sz="0" w:space="0" w:color="auto"/>
        <w:left w:val="none" w:sz="0" w:space="0" w:color="auto"/>
        <w:bottom w:val="none" w:sz="0" w:space="0" w:color="auto"/>
        <w:right w:val="none" w:sz="0" w:space="0" w:color="auto"/>
      </w:divBdr>
    </w:div>
    <w:div w:id="604195864">
      <w:bodyDiv w:val="1"/>
      <w:marLeft w:val="0"/>
      <w:marRight w:val="0"/>
      <w:marTop w:val="0"/>
      <w:marBottom w:val="0"/>
      <w:divBdr>
        <w:top w:val="none" w:sz="0" w:space="0" w:color="auto"/>
        <w:left w:val="none" w:sz="0" w:space="0" w:color="auto"/>
        <w:bottom w:val="none" w:sz="0" w:space="0" w:color="auto"/>
        <w:right w:val="none" w:sz="0" w:space="0" w:color="auto"/>
      </w:divBdr>
    </w:div>
    <w:div w:id="624506312">
      <w:bodyDiv w:val="1"/>
      <w:marLeft w:val="0"/>
      <w:marRight w:val="0"/>
      <w:marTop w:val="0"/>
      <w:marBottom w:val="0"/>
      <w:divBdr>
        <w:top w:val="none" w:sz="0" w:space="0" w:color="auto"/>
        <w:left w:val="none" w:sz="0" w:space="0" w:color="auto"/>
        <w:bottom w:val="none" w:sz="0" w:space="0" w:color="auto"/>
        <w:right w:val="none" w:sz="0" w:space="0" w:color="auto"/>
      </w:divBdr>
    </w:div>
    <w:div w:id="663048636">
      <w:bodyDiv w:val="1"/>
      <w:marLeft w:val="0"/>
      <w:marRight w:val="0"/>
      <w:marTop w:val="0"/>
      <w:marBottom w:val="0"/>
      <w:divBdr>
        <w:top w:val="none" w:sz="0" w:space="0" w:color="auto"/>
        <w:left w:val="none" w:sz="0" w:space="0" w:color="auto"/>
        <w:bottom w:val="none" w:sz="0" w:space="0" w:color="auto"/>
        <w:right w:val="none" w:sz="0" w:space="0" w:color="auto"/>
      </w:divBdr>
    </w:div>
    <w:div w:id="668022256">
      <w:bodyDiv w:val="1"/>
      <w:marLeft w:val="0"/>
      <w:marRight w:val="0"/>
      <w:marTop w:val="0"/>
      <w:marBottom w:val="0"/>
      <w:divBdr>
        <w:top w:val="none" w:sz="0" w:space="0" w:color="auto"/>
        <w:left w:val="none" w:sz="0" w:space="0" w:color="auto"/>
        <w:bottom w:val="none" w:sz="0" w:space="0" w:color="auto"/>
        <w:right w:val="none" w:sz="0" w:space="0" w:color="auto"/>
      </w:divBdr>
    </w:div>
    <w:div w:id="726690330">
      <w:bodyDiv w:val="1"/>
      <w:marLeft w:val="0"/>
      <w:marRight w:val="0"/>
      <w:marTop w:val="0"/>
      <w:marBottom w:val="0"/>
      <w:divBdr>
        <w:top w:val="none" w:sz="0" w:space="0" w:color="auto"/>
        <w:left w:val="none" w:sz="0" w:space="0" w:color="auto"/>
        <w:bottom w:val="none" w:sz="0" w:space="0" w:color="auto"/>
        <w:right w:val="none" w:sz="0" w:space="0" w:color="auto"/>
      </w:divBdr>
    </w:div>
    <w:div w:id="737097917">
      <w:bodyDiv w:val="1"/>
      <w:marLeft w:val="0"/>
      <w:marRight w:val="0"/>
      <w:marTop w:val="0"/>
      <w:marBottom w:val="0"/>
      <w:divBdr>
        <w:top w:val="none" w:sz="0" w:space="0" w:color="auto"/>
        <w:left w:val="none" w:sz="0" w:space="0" w:color="auto"/>
        <w:bottom w:val="none" w:sz="0" w:space="0" w:color="auto"/>
        <w:right w:val="none" w:sz="0" w:space="0" w:color="auto"/>
      </w:divBdr>
    </w:div>
    <w:div w:id="774709991">
      <w:bodyDiv w:val="1"/>
      <w:marLeft w:val="0"/>
      <w:marRight w:val="0"/>
      <w:marTop w:val="0"/>
      <w:marBottom w:val="0"/>
      <w:divBdr>
        <w:top w:val="none" w:sz="0" w:space="0" w:color="auto"/>
        <w:left w:val="none" w:sz="0" w:space="0" w:color="auto"/>
        <w:bottom w:val="none" w:sz="0" w:space="0" w:color="auto"/>
        <w:right w:val="none" w:sz="0" w:space="0" w:color="auto"/>
      </w:divBdr>
    </w:div>
    <w:div w:id="782575123">
      <w:bodyDiv w:val="1"/>
      <w:marLeft w:val="0"/>
      <w:marRight w:val="0"/>
      <w:marTop w:val="0"/>
      <w:marBottom w:val="0"/>
      <w:divBdr>
        <w:top w:val="none" w:sz="0" w:space="0" w:color="auto"/>
        <w:left w:val="none" w:sz="0" w:space="0" w:color="auto"/>
        <w:bottom w:val="none" w:sz="0" w:space="0" w:color="auto"/>
        <w:right w:val="none" w:sz="0" w:space="0" w:color="auto"/>
      </w:divBdr>
    </w:div>
    <w:div w:id="784541371">
      <w:bodyDiv w:val="1"/>
      <w:marLeft w:val="0"/>
      <w:marRight w:val="0"/>
      <w:marTop w:val="0"/>
      <w:marBottom w:val="0"/>
      <w:divBdr>
        <w:top w:val="none" w:sz="0" w:space="0" w:color="auto"/>
        <w:left w:val="none" w:sz="0" w:space="0" w:color="auto"/>
        <w:bottom w:val="none" w:sz="0" w:space="0" w:color="auto"/>
        <w:right w:val="none" w:sz="0" w:space="0" w:color="auto"/>
      </w:divBdr>
    </w:div>
    <w:div w:id="790706386">
      <w:bodyDiv w:val="1"/>
      <w:marLeft w:val="0"/>
      <w:marRight w:val="0"/>
      <w:marTop w:val="0"/>
      <w:marBottom w:val="0"/>
      <w:divBdr>
        <w:top w:val="none" w:sz="0" w:space="0" w:color="auto"/>
        <w:left w:val="none" w:sz="0" w:space="0" w:color="auto"/>
        <w:bottom w:val="none" w:sz="0" w:space="0" w:color="auto"/>
        <w:right w:val="none" w:sz="0" w:space="0" w:color="auto"/>
      </w:divBdr>
    </w:div>
    <w:div w:id="827551061">
      <w:bodyDiv w:val="1"/>
      <w:marLeft w:val="0"/>
      <w:marRight w:val="0"/>
      <w:marTop w:val="0"/>
      <w:marBottom w:val="0"/>
      <w:divBdr>
        <w:top w:val="none" w:sz="0" w:space="0" w:color="auto"/>
        <w:left w:val="none" w:sz="0" w:space="0" w:color="auto"/>
        <w:bottom w:val="none" w:sz="0" w:space="0" w:color="auto"/>
        <w:right w:val="none" w:sz="0" w:space="0" w:color="auto"/>
      </w:divBdr>
      <w:divsChild>
        <w:div w:id="425809183">
          <w:marLeft w:val="0"/>
          <w:marRight w:val="0"/>
          <w:marTop w:val="0"/>
          <w:marBottom w:val="0"/>
          <w:divBdr>
            <w:top w:val="none" w:sz="0" w:space="0" w:color="auto"/>
            <w:left w:val="none" w:sz="0" w:space="0" w:color="auto"/>
            <w:bottom w:val="none" w:sz="0" w:space="0" w:color="auto"/>
            <w:right w:val="none" w:sz="0" w:space="0" w:color="auto"/>
          </w:divBdr>
        </w:div>
      </w:divsChild>
    </w:div>
    <w:div w:id="845902756">
      <w:bodyDiv w:val="1"/>
      <w:marLeft w:val="0"/>
      <w:marRight w:val="0"/>
      <w:marTop w:val="0"/>
      <w:marBottom w:val="0"/>
      <w:divBdr>
        <w:top w:val="none" w:sz="0" w:space="0" w:color="auto"/>
        <w:left w:val="none" w:sz="0" w:space="0" w:color="auto"/>
        <w:bottom w:val="none" w:sz="0" w:space="0" w:color="auto"/>
        <w:right w:val="none" w:sz="0" w:space="0" w:color="auto"/>
      </w:divBdr>
    </w:div>
    <w:div w:id="850486077">
      <w:bodyDiv w:val="1"/>
      <w:marLeft w:val="0"/>
      <w:marRight w:val="0"/>
      <w:marTop w:val="0"/>
      <w:marBottom w:val="0"/>
      <w:divBdr>
        <w:top w:val="none" w:sz="0" w:space="0" w:color="auto"/>
        <w:left w:val="none" w:sz="0" w:space="0" w:color="auto"/>
        <w:bottom w:val="none" w:sz="0" w:space="0" w:color="auto"/>
        <w:right w:val="none" w:sz="0" w:space="0" w:color="auto"/>
      </w:divBdr>
    </w:div>
    <w:div w:id="857742322">
      <w:bodyDiv w:val="1"/>
      <w:marLeft w:val="0"/>
      <w:marRight w:val="0"/>
      <w:marTop w:val="0"/>
      <w:marBottom w:val="0"/>
      <w:divBdr>
        <w:top w:val="none" w:sz="0" w:space="0" w:color="auto"/>
        <w:left w:val="none" w:sz="0" w:space="0" w:color="auto"/>
        <w:bottom w:val="none" w:sz="0" w:space="0" w:color="auto"/>
        <w:right w:val="none" w:sz="0" w:space="0" w:color="auto"/>
      </w:divBdr>
    </w:div>
    <w:div w:id="875041371">
      <w:bodyDiv w:val="1"/>
      <w:marLeft w:val="0"/>
      <w:marRight w:val="0"/>
      <w:marTop w:val="0"/>
      <w:marBottom w:val="0"/>
      <w:divBdr>
        <w:top w:val="none" w:sz="0" w:space="0" w:color="auto"/>
        <w:left w:val="none" w:sz="0" w:space="0" w:color="auto"/>
        <w:bottom w:val="none" w:sz="0" w:space="0" w:color="auto"/>
        <w:right w:val="none" w:sz="0" w:space="0" w:color="auto"/>
      </w:divBdr>
    </w:div>
    <w:div w:id="875044680">
      <w:bodyDiv w:val="1"/>
      <w:marLeft w:val="0"/>
      <w:marRight w:val="0"/>
      <w:marTop w:val="0"/>
      <w:marBottom w:val="0"/>
      <w:divBdr>
        <w:top w:val="none" w:sz="0" w:space="0" w:color="auto"/>
        <w:left w:val="none" w:sz="0" w:space="0" w:color="auto"/>
        <w:bottom w:val="none" w:sz="0" w:space="0" w:color="auto"/>
        <w:right w:val="none" w:sz="0" w:space="0" w:color="auto"/>
      </w:divBdr>
    </w:div>
    <w:div w:id="880362312">
      <w:bodyDiv w:val="1"/>
      <w:marLeft w:val="0"/>
      <w:marRight w:val="0"/>
      <w:marTop w:val="0"/>
      <w:marBottom w:val="0"/>
      <w:divBdr>
        <w:top w:val="none" w:sz="0" w:space="0" w:color="auto"/>
        <w:left w:val="none" w:sz="0" w:space="0" w:color="auto"/>
        <w:bottom w:val="none" w:sz="0" w:space="0" w:color="auto"/>
        <w:right w:val="none" w:sz="0" w:space="0" w:color="auto"/>
      </w:divBdr>
    </w:div>
    <w:div w:id="897476802">
      <w:bodyDiv w:val="1"/>
      <w:marLeft w:val="0"/>
      <w:marRight w:val="0"/>
      <w:marTop w:val="0"/>
      <w:marBottom w:val="0"/>
      <w:divBdr>
        <w:top w:val="none" w:sz="0" w:space="0" w:color="auto"/>
        <w:left w:val="none" w:sz="0" w:space="0" w:color="auto"/>
        <w:bottom w:val="none" w:sz="0" w:space="0" w:color="auto"/>
        <w:right w:val="none" w:sz="0" w:space="0" w:color="auto"/>
      </w:divBdr>
    </w:div>
    <w:div w:id="901715668">
      <w:bodyDiv w:val="1"/>
      <w:marLeft w:val="0"/>
      <w:marRight w:val="0"/>
      <w:marTop w:val="0"/>
      <w:marBottom w:val="0"/>
      <w:divBdr>
        <w:top w:val="none" w:sz="0" w:space="0" w:color="auto"/>
        <w:left w:val="none" w:sz="0" w:space="0" w:color="auto"/>
        <w:bottom w:val="none" w:sz="0" w:space="0" w:color="auto"/>
        <w:right w:val="none" w:sz="0" w:space="0" w:color="auto"/>
      </w:divBdr>
    </w:div>
    <w:div w:id="902061136">
      <w:bodyDiv w:val="1"/>
      <w:marLeft w:val="0"/>
      <w:marRight w:val="0"/>
      <w:marTop w:val="0"/>
      <w:marBottom w:val="0"/>
      <w:divBdr>
        <w:top w:val="none" w:sz="0" w:space="0" w:color="auto"/>
        <w:left w:val="none" w:sz="0" w:space="0" w:color="auto"/>
        <w:bottom w:val="none" w:sz="0" w:space="0" w:color="auto"/>
        <w:right w:val="none" w:sz="0" w:space="0" w:color="auto"/>
      </w:divBdr>
    </w:div>
    <w:div w:id="938874983">
      <w:bodyDiv w:val="1"/>
      <w:marLeft w:val="0"/>
      <w:marRight w:val="0"/>
      <w:marTop w:val="0"/>
      <w:marBottom w:val="0"/>
      <w:divBdr>
        <w:top w:val="none" w:sz="0" w:space="0" w:color="auto"/>
        <w:left w:val="none" w:sz="0" w:space="0" w:color="auto"/>
        <w:bottom w:val="none" w:sz="0" w:space="0" w:color="auto"/>
        <w:right w:val="none" w:sz="0" w:space="0" w:color="auto"/>
      </w:divBdr>
    </w:div>
    <w:div w:id="939797620">
      <w:bodyDiv w:val="1"/>
      <w:marLeft w:val="0"/>
      <w:marRight w:val="0"/>
      <w:marTop w:val="0"/>
      <w:marBottom w:val="0"/>
      <w:divBdr>
        <w:top w:val="none" w:sz="0" w:space="0" w:color="auto"/>
        <w:left w:val="none" w:sz="0" w:space="0" w:color="auto"/>
        <w:bottom w:val="none" w:sz="0" w:space="0" w:color="auto"/>
        <w:right w:val="none" w:sz="0" w:space="0" w:color="auto"/>
      </w:divBdr>
    </w:div>
    <w:div w:id="948513918">
      <w:bodyDiv w:val="1"/>
      <w:marLeft w:val="0"/>
      <w:marRight w:val="0"/>
      <w:marTop w:val="0"/>
      <w:marBottom w:val="0"/>
      <w:divBdr>
        <w:top w:val="none" w:sz="0" w:space="0" w:color="auto"/>
        <w:left w:val="none" w:sz="0" w:space="0" w:color="auto"/>
        <w:bottom w:val="none" w:sz="0" w:space="0" w:color="auto"/>
        <w:right w:val="none" w:sz="0" w:space="0" w:color="auto"/>
      </w:divBdr>
    </w:div>
    <w:div w:id="972717448">
      <w:bodyDiv w:val="1"/>
      <w:marLeft w:val="0"/>
      <w:marRight w:val="0"/>
      <w:marTop w:val="0"/>
      <w:marBottom w:val="0"/>
      <w:divBdr>
        <w:top w:val="none" w:sz="0" w:space="0" w:color="auto"/>
        <w:left w:val="none" w:sz="0" w:space="0" w:color="auto"/>
        <w:bottom w:val="none" w:sz="0" w:space="0" w:color="auto"/>
        <w:right w:val="none" w:sz="0" w:space="0" w:color="auto"/>
      </w:divBdr>
    </w:div>
    <w:div w:id="991836022">
      <w:bodyDiv w:val="1"/>
      <w:marLeft w:val="0"/>
      <w:marRight w:val="0"/>
      <w:marTop w:val="0"/>
      <w:marBottom w:val="0"/>
      <w:divBdr>
        <w:top w:val="none" w:sz="0" w:space="0" w:color="auto"/>
        <w:left w:val="none" w:sz="0" w:space="0" w:color="auto"/>
        <w:bottom w:val="none" w:sz="0" w:space="0" w:color="auto"/>
        <w:right w:val="none" w:sz="0" w:space="0" w:color="auto"/>
      </w:divBdr>
    </w:div>
    <w:div w:id="1012298295">
      <w:bodyDiv w:val="1"/>
      <w:marLeft w:val="0"/>
      <w:marRight w:val="0"/>
      <w:marTop w:val="0"/>
      <w:marBottom w:val="0"/>
      <w:divBdr>
        <w:top w:val="none" w:sz="0" w:space="0" w:color="auto"/>
        <w:left w:val="none" w:sz="0" w:space="0" w:color="auto"/>
        <w:bottom w:val="none" w:sz="0" w:space="0" w:color="auto"/>
        <w:right w:val="none" w:sz="0" w:space="0" w:color="auto"/>
      </w:divBdr>
    </w:div>
    <w:div w:id="1024212161">
      <w:bodyDiv w:val="1"/>
      <w:marLeft w:val="0"/>
      <w:marRight w:val="0"/>
      <w:marTop w:val="0"/>
      <w:marBottom w:val="0"/>
      <w:divBdr>
        <w:top w:val="none" w:sz="0" w:space="0" w:color="auto"/>
        <w:left w:val="none" w:sz="0" w:space="0" w:color="auto"/>
        <w:bottom w:val="none" w:sz="0" w:space="0" w:color="auto"/>
        <w:right w:val="none" w:sz="0" w:space="0" w:color="auto"/>
      </w:divBdr>
    </w:div>
    <w:div w:id="1026640097">
      <w:bodyDiv w:val="1"/>
      <w:marLeft w:val="0"/>
      <w:marRight w:val="0"/>
      <w:marTop w:val="0"/>
      <w:marBottom w:val="0"/>
      <w:divBdr>
        <w:top w:val="none" w:sz="0" w:space="0" w:color="auto"/>
        <w:left w:val="none" w:sz="0" w:space="0" w:color="auto"/>
        <w:bottom w:val="none" w:sz="0" w:space="0" w:color="auto"/>
        <w:right w:val="none" w:sz="0" w:space="0" w:color="auto"/>
      </w:divBdr>
    </w:div>
    <w:div w:id="1032458122">
      <w:bodyDiv w:val="1"/>
      <w:marLeft w:val="0"/>
      <w:marRight w:val="0"/>
      <w:marTop w:val="0"/>
      <w:marBottom w:val="0"/>
      <w:divBdr>
        <w:top w:val="none" w:sz="0" w:space="0" w:color="auto"/>
        <w:left w:val="none" w:sz="0" w:space="0" w:color="auto"/>
        <w:bottom w:val="none" w:sz="0" w:space="0" w:color="auto"/>
        <w:right w:val="none" w:sz="0" w:space="0" w:color="auto"/>
      </w:divBdr>
    </w:div>
    <w:div w:id="1074622451">
      <w:bodyDiv w:val="1"/>
      <w:marLeft w:val="0"/>
      <w:marRight w:val="0"/>
      <w:marTop w:val="0"/>
      <w:marBottom w:val="0"/>
      <w:divBdr>
        <w:top w:val="none" w:sz="0" w:space="0" w:color="auto"/>
        <w:left w:val="none" w:sz="0" w:space="0" w:color="auto"/>
        <w:bottom w:val="none" w:sz="0" w:space="0" w:color="auto"/>
        <w:right w:val="none" w:sz="0" w:space="0" w:color="auto"/>
      </w:divBdr>
    </w:div>
    <w:div w:id="1076705047">
      <w:bodyDiv w:val="1"/>
      <w:marLeft w:val="0"/>
      <w:marRight w:val="0"/>
      <w:marTop w:val="0"/>
      <w:marBottom w:val="0"/>
      <w:divBdr>
        <w:top w:val="none" w:sz="0" w:space="0" w:color="auto"/>
        <w:left w:val="none" w:sz="0" w:space="0" w:color="auto"/>
        <w:bottom w:val="none" w:sz="0" w:space="0" w:color="auto"/>
        <w:right w:val="none" w:sz="0" w:space="0" w:color="auto"/>
      </w:divBdr>
    </w:div>
    <w:div w:id="1092891107">
      <w:bodyDiv w:val="1"/>
      <w:marLeft w:val="0"/>
      <w:marRight w:val="0"/>
      <w:marTop w:val="0"/>
      <w:marBottom w:val="0"/>
      <w:divBdr>
        <w:top w:val="none" w:sz="0" w:space="0" w:color="auto"/>
        <w:left w:val="none" w:sz="0" w:space="0" w:color="auto"/>
        <w:bottom w:val="none" w:sz="0" w:space="0" w:color="auto"/>
        <w:right w:val="none" w:sz="0" w:space="0" w:color="auto"/>
      </w:divBdr>
      <w:divsChild>
        <w:div w:id="370418971">
          <w:marLeft w:val="446"/>
          <w:marRight w:val="0"/>
          <w:marTop w:val="0"/>
          <w:marBottom w:val="0"/>
          <w:divBdr>
            <w:top w:val="none" w:sz="0" w:space="0" w:color="auto"/>
            <w:left w:val="none" w:sz="0" w:space="0" w:color="auto"/>
            <w:bottom w:val="none" w:sz="0" w:space="0" w:color="auto"/>
            <w:right w:val="none" w:sz="0" w:space="0" w:color="auto"/>
          </w:divBdr>
        </w:div>
        <w:div w:id="318191961">
          <w:marLeft w:val="446"/>
          <w:marRight w:val="0"/>
          <w:marTop w:val="0"/>
          <w:marBottom w:val="0"/>
          <w:divBdr>
            <w:top w:val="none" w:sz="0" w:space="0" w:color="auto"/>
            <w:left w:val="none" w:sz="0" w:space="0" w:color="auto"/>
            <w:bottom w:val="none" w:sz="0" w:space="0" w:color="auto"/>
            <w:right w:val="none" w:sz="0" w:space="0" w:color="auto"/>
          </w:divBdr>
        </w:div>
        <w:div w:id="2009405738">
          <w:marLeft w:val="1166"/>
          <w:marRight w:val="0"/>
          <w:marTop w:val="0"/>
          <w:marBottom w:val="0"/>
          <w:divBdr>
            <w:top w:val="none" w:sz="0" w:space="0" w:color="auto"/>
            <w:left w:val="none" w:sz="0" w:space="0" w:color="auto"/>
            <w:bottom w:val="none" w:sz="0" w:space="0" w:color="auto"/>
            <w:right w:val="none" w:sz="0" w:space="0" w:color="auto"/>
          </w:divBdr>
        </w:div>
        <w:div w:id="1433622969">
          <w:marLeft w:val="1166"/>
          <w:marRight w:val="0"/>
          <w:marTop w:val="0"/>
          <w:marBottom w:val="0"/>
          <w:divBdr>
            <w:top w:val="none" w:sz="0" w:space="0" w:color="auto"/>
            <w:left w:val="none" w:sz="0" w:space="0" w:color="auto"/>
            <w:bottom w:val="none" w:sz="0" w:space="0" w:color="auto"/>
            <w:right w:val="none" w:sz="0" w:space="0" w:color="auto"/>
          </w:divBdr>
        </w:div>
        <w:div w:id="776603838">
          <w:marLeft w:val="1886"/>
          <w:marRight w:val="0"/>
          <w:marTop w:val="0"/>
          <w:marBottom w:val="0"/>
          <w:divBdr>
            <w:top w:val="none" w:sz="0" w:space="0" w:color="auto"/>
            <w:left w:val="none" w:sz="0" w:space="0" w:color="auto"/>
            <w:bottom w:val="none" w:sz="0" w:space="0" w:color="auto"/>
            <w:right w:val="none" w:sz="0" w:space="0" w:color="auto"/>
          </w:divBdr>
        </w:div>
        <w:div w:id="1389260192">
          <w:marLeft w:val="1886"/>
          <w:marRight w:val="0"/>
          <w:marTop w:val="0"/>
          <w:marBottom w:val="0"/>
          <w:divBdr>
            <w:top w:val="none" w:sz="0" w:space="0" w:color="auto"/>
            <w:left w:val="none" w:sz="0" w:space="0" w:color="auto"/>
            <w:bottom w:val="none" w:sz="0" w:space="0" w:color="auto"/>
            <w:right w:val="none" w:sz="0" w:space="0" w:color="auto"/>
          </w:divBdr>
        </w:div>
        <w:div w:id="2020697043">
          <w:marLeft w:val="1886"/>
          <w:marRight w:val="0"/>
          <w:marTop w:val="0"/>
          <w:marBottom w:val="0"/>
          <w:divBdr>
            <w:top w:val="none" w:sz="0" w:space="0" w:color="auto"/>
            <w:left w:val="none" w:sz="0" w:space="0" w:color="auto"/>
            <w:bottom w:val="none" w:sz="0" w:space="0" w:color="auto"/>
            <w:right w:val="none" w:sz="0" w:space="0" w:color="auto"/>
          </w:divBdr>
        </w:div>
        <w:div w:id="1976443104">
          <w:marLeft w:val="1886"/>
          <w:marRight w:val="0"/>
          <w:marTop w:val="0"/>
          <w:marBottom w:val="0"/>
          <w:divBdr>
            <w:top w:val="none" w:sz="0" w:space="0" w:color="auto"/>
            <w:left w:val="none" w:sz="0" w:space="0" w:color="auto"/>
            <w:bottom w:val="none" w:sz="0" w:space="0" w:color="auto"/>
            <w:right w:val="none" w:sz="0" w:space="0" w:color="auto"/>
          </w:divBdr>
        </w:div>
        <w:div w:id="1146047478">
          <w:marLeft w:val="446"/>
          <w:marRight w:val="0"/>
          <w:marTop w:val="0"/>
          <w:marBottom w:val="0"/>
          <w:divBdr>
            <w:top w:val="none" w:sz="0" w:space="0" w:color="auto"/>
            <w:left w:val="none" w:sz="0" w:space="0" w:color="auto"/>
            <w:bottom w:val="none" w:sz="0" w:space="0" w:color="auto"/>
            <w:right w:val="none" w:sz="0" w:space="0" w:color="auto"/>
          </w:divBdr>
        </w:div>
        <w:div w:id="690836824">
          <w:marLeft w:val="446"/>
          <w:marRight w:val="0"/>
          <w:marTop w:val="0"/>
          <w:marBottom w:val="0"/>
          <w:divBdr>
            <w:top w:val="none" w:sz="0" w:space="0" w:color="auto"/>
            <w:left w:val="none" w:sz="0" w:space="0" w:color="auto"/>
            <w:bottom w:val="none" w:sz="0" w:space="0" w:color="auto"/>
            <w:right w:val="none" w:sz="0" w:space="0" w:color="auto"/>
          </w:divBdr>
        </w:div>
      </w:divsChild>
    </w:div>
    <w:div w:id="1095513582">
      <w:bodyDiv w:val="1"/>
      <w:marLeft w:val="0"/>
      <w:marRight w:val="0"/>
      <w:marTop w:val="0"/>
      <w:marBottom w:val="0"/>
      <w:divBdr>
        <w:top w:val="none" w:sz="0" w:space="0" w:color="auto"/>
        <w:left w:val="none" w:sz="0" w:space="0" w:color="auto"/>
        <w:bottom w:val="none" w:sz="0" w:space="0" w:color="auto"/>
        <w:right w:val="none" w:sz="0" w:space="0" w:color="auto"/>
      </w:divBdr>
    </w:div>
    <w:div w:id="1104882899">
      <w:bodyDiv w:val="1"/>
      <w:marLeft w:val="0"/>
      <w:marRight w:val="0"/>
      <w:marTop w:val="0"/>
      <w:marBottom w:val="0"/>
      <w:divBdr>
        <w:top w:val="none" w:sz="0" w:space="0" w:color="auto"/>
        <w:left w:val="none" w:sz="0" w:space="0" w:color="auto"/>
        <w:bottom w:val="none" w:sz="0" w:space="0" w:color="auto"/>
        <w:right w:val="none" w:sz="0" w:space="0" w:color="auto"/>
      </w:divBdr>
    </w:div>
    <w:div w:id="1110667027">
      <w:bodyDiv w:val="1"/>
      <w:marLeft w:val="0"/>
      <w:marRight w:val="0"/>
      <w:marTop w:val="0"/>
      <w:marBottom w:val="0"/>
      <w:divBdr>
        <w:top w:val="none" w:sz="0" w:space="0" w:color="auto"/>
        <w:left w:val="none" w:sz="0" w:space="0" w:color="auto"/>
        <w:bottom w:val="none" w:sz="0" w:space="0" w:color="auto"/>
        <w:right w:val="none" w:sz="0" w:space="0" w:color="auto"/>
      </w:divBdr>
    </w:div>
    <w:div w:id="1117943985">
      <w:bodyDiv w:val="1"/>
      <w:marLeft w:val="0"/>
      <w:marRight w:val="0"/>
      <w:marTop w:val="0"/>
      <w:marBottom w:val="0"/>
      <w:divBdr>
        <w:top w:val="none" w:sz="0" w:space="0" w:color="auto"/>
        <w:left w:val="none" w:sz="0" w:space="0" w:color="auto"/>
        <w:bottom w:val="none" w:sz="0" w:space="0" w:color="auto"/>
        <w:right w:val="none" w:sz="0" w:space="0" w:color="auto"/>
      </w:divBdr>
    </w:div>
    <w:div w:id="1130975355">
      <w:bodyDiv w:val="1"/>
      <w:marLeft w:val="0"/>
      <w:marRight w:val="0"/>
      <w:marTop w:val="0"/>
      <w:marBottom w:val="0"/>
      <w:divBdr>
        <w:top w:val="none" w:sz="0" w:space="0" w:color="auto"/>
        <w:left w:val="none" w:sz="0" w:space="0" w:color="auto"/>
        <w:bottom w:val="none" w:sz="0" w:space="0" w:color="auto"/>
        <w:right w:val="none" w:sz="0" w:space="0" w:color="auto"/>
      </w:divBdr>
    </w:div>
    <w:div w:id="1148593298">
      <w:bodyDiv w:val="1"/>
      <w:marLeft w:val="0"/>
      <w:marRight w:val="0"/>
      <w:marTop w:val="0"/>
      <w:marBottom w:val="0"/>
      <w:divBdr>
        <w:top w:val="none" w:sz="0" w:space="0" w:color="auto"/>
        <w:left w:val="none" w:sz="0" w:space="0" w:color="auto"/>
        <w:bottom w:val="none" w:sz="0" w:space="0" w:color="auto"/>
        <w:right w:val="none" w:sz="0" w:space="0" w:color="auto"/>
      </w:divBdr>
    </w:div>
    <w:div w:id="1152912367">
      <w:bodyDiv w:val="1"/>
      <w:marLeft w:val="0"/>
      <w:marRight w:val="0"/>
      <w:marTop w:val="0"/>
      <w:marBottom w:val="0"/>
      <w:divBdr>
        <w:top w:val="none" w:sz="0" w:space="0" w:color="auto"/>
        <w:left w:val="none" w:sz="0" w:space="0" w:color="auto"/>
        <w:bottom w:val="none" w:sz="0" w:space="0" w:color="auto"/>
        <w:right w:val="none" w:sz="0" w:space="0" w:color="auto"/>
      </w:divBdr>
    </w:div>
    <w:div w:id="1160197951">
      <w:bodyDiv w:val="1"/>
      <w:marLeft w:val="0"/>
      <w:marRight w:val="0"/>
      <w:marTop w:val="0"/>
      <w:marBottom w:val="0"/>
      <w:divBdr>
        <w:top w:val="none" w:sz="0" w:space="0" w:color="auto"/>
        <w:left w:val="none" w:sz="0" w:space="0" w:color="auto"/>
        <w:bottom w:val="none" w:sz="0" w:space="0" w:color="auto"/>
        <w:right w:val="none" w:sz="0" w:space="0" w:color="auto"/>
      </w:divBdr>
    </w:div>
    <w:div w:id="1174101843">
      <w:bodyDiv w:val="1"/>
      <w:marLeft w:val="0"/>
      <w:marRight w:val="0"/>
      <w:marTop w:val="0"/>
      <w:marBottom w:val="0"/>
      <w:divBdr>
        <w:top w:val="none" w:sz="0" w:space="0" w:color="auto"/>
        <w:left w:val="none" w:sz="0" w:space="0" w:color="auto"/>
        <w:bottom w:val="none" w:sz="0" w:space="0" w:color="auto"/>
        <w:right w:val="none" w:sz="0" w:space="0" w:color="auto"/>
      </w:divBdr>
    </w:div>
    <w:div w:id="1181896691">
      <w:bodyDiv w:val="1"/>
      <w:marLeft w:val="0"/>
      <w:marRight w:val="0"/>
      <w:marTop w:val="0"/>
      <w:marBottom w:val="0"/>
      <w:divBdr>
        <w:top w:val="none" w:sz="0" w:space="0" w:color="auto"/>
        <w:left w:val="none" w:sz="0" w:space="0" w:color="auto"/>
        <w:bottom w:val="none" w:sz="0" w:space="0" w:color="auto"/>
        <w:right w:val="none" w:sz="0" w:space="0" w:color="auto"/>
      </w:divBdr>
    </w:div>
    <w:div w:id="1197238957">
      <w:bodyDiv w:val="1"/>
      <w:marLeft w:val="0"/>
      <w:marRight w:val="0"/>
      <w:marTop w:val="0"/>
      <w:marBottom w:val="0"/>
      <w:divBdr>
        <w:top w:val="none" w:sz="0" w:space="0" w:color="auto"/>
        <w:left w:val="none" w:sz="0" w:space="0" w:color="auto"/>
        <w:bottom w:val="none" w:sz="0" w:space="0" w:color="auto"/>
        <w:right w:val="none" w:sz="0" w:space="0" w:color="auto"/>
      </w:divBdr>
    </w:div>
    <w:div w:id="1198273810">
      <w:bodyDiv w:val="1"/>
      <w:marLeft w:val="0"/>
      <w:marRight w:val="0"/>
      <w:marTop w:val="0"/>
      <w:marBottom w:val="0"/>
      <w:divBdr>
        <w:top w:val="none" w:sz="0" w:space="0" w:color="auto"/>
        <w:left w:val="none" w:sz="0" w:space="0" w:color="auto"/>
        <w:bottom w:val="none" w:sz="0" w:space="0" w:color="auto"/>
        <w:right w:val="none" w:sz="0" w:space="0" w:color="auto"/>
      </w:divBdr>
    </w:div>
    <w:div w:id="1221012352">
      <w:bodyDiv w:val="1"/>
      <w:marLeft w:val="0"/>
      <w:marRight w:val="0"/>
      <w:marTop w:val="0"/>
      <w:marBottom w:val="0"/>
      <w:divBdr>
        <w:top w:val="none" w:sz="0" w:space="0" w:color="auto"/>
        <w:left w:val="none" w:sz="0" w:space="0" w:color="auto"/>
        <w:bottom w:val="none" w:sz="0" w:space="0" w:color="auto"/>
        <w:right w:val="none" w:sz="0" w:space="0" w:color="auto"/>
      </w:divBdr>
    </w:div>
    <w:div w:id="1239243688">
      <w:bodyDiv w:val="1"/>
      <w:marLeft w:val="0"/>
      <w:marRight w:val="0"/>
      <w:marTop w:val="0"/>
      <w:marBottom w:val="0"/>
      <w:divBdr>
        <w:top w:val="none" w:sz="0" w:space="0" w:color="auto"/>
        <w:left w:val="none" w:sz="0" w:space="0" w:color="auto"/>
        <w:bottom w:val="none" w:sz="0" w:space="0" w:color="auto"/>
        <w:right w:val="none" w:sz="0" w:space="0" w:color="auto"/>
      </w:divBdr>
    </w:div>
    <w:div w:id="1240099836">
      <w:bodyDiv w:val="1"/>
      <w:marLeft w:val="0"/>
      <w:marRight w:val="0"/>
      <w:marTop w:val="0"/>
      <w:marBottom w:val="0"/>
      <w:divBdr>
        <w:top w:val="none" w:sz="0" w:space="0" w:color="auto"/>
        <w:left w:val="none" w:sz="0" w:space="0" w:color="auto"/>
        <w:bottom w:val="none" w:sz="0" w:space="0" w:color="auto"/>
        <w:right w:val="none" w:sz="0" w:space="0" w:color="auto"/>
      </w:divBdr>
    </w:div>
    <w:div w:id="1251699458">
      <w:bodyDiv w:val="1"/>
      <w:marLeft w:val="0"/>
      <w:marRight w:val="0"/>
      <w:marTop w:val="0"/>
      <w:marBottom w:val="0"/>
      <w:divBdr>
        <w:top w:val="none" w:sz="0" w:space="0" w:color="auto"/>
        <w:left w:val="none" w:sz="0" w:space="0" w:color="auto"/>
        <w:bottom w:val="none" w:sz="0" w:space="0" w:color="auto"/>
        <w:right w:val="none" w:sz="0" w:space="0" w:color="auto"/>
      </w:divBdr>
    </w:div>
    <w:div w:id="1254628989">
      <w:bodyDiv w:val="1"/>
      <w:marLeft w:val="0"/>
      <w:marRight w:val="0"/>
      <w:marTop w:val="0"/>
      <w:marBottom w:val="0"/>
      <w:divBdr>
        <w:top w:val="none" w:sz="0" w:space="0" w:color="auto"/>
        <w:left w:val="none" w:sz="0" w:space="0" w:color="auto"/>
        <w:bottom w:val="none" w:sz="0" w:space="0" w:color="auto"/>
        <w:right w:val="none" w:sz="0" w:space="0" w:color="auto"/>
      </w:divBdr>
    </w:div>
    <w:div w:id="1274903301">
      <w:bodyDiv w:val="1"/>
      <w:marLeft w:val="0"/>
      <w:marRight w:val="0"/>
      <w:marTop w:val="0"/>
      <w:marBottom w:val="0"/>
      <w:divBdr>
        <w:top w:val="none" w:sz="0" w:space="0" w:color="auto"/>
        <w:left w:val="none" w:sz="0" w:space="0" w:color="auto"/>
        <w:bottom w:val="none" w:sz="0" w:space="0" w:color="auto"/>
        <w:right w:val="none" w:sz="0" w:space="0" w:color="auto"/>
      </w:divBdr>
    </w:div>
    <w:div w:id="1277130844">
      <w:bodyDiv w:val="1"/>
      <w:marLeft w:val="0"/>
      <w:marRight w:val="0"/>
      <w:marTop w:val="0"/>
      <w:marBottom w:val="0"/>
      <w:divBdr>
        <w:top w:val="none" w:sz="0" w:space="0" w:color="auto"/>
        <w:left w:val="none" w:sz="0" w:space="0" w:color="auto"/>
        <w:bottom w:val="none" w:sz="0" w:space="0" w:color="auto"/>
        <w:right w:val="none" w:sz="0" w:space="0" w:color="auto"/>
      </w:divBdr>
    </w:div>
    <w:div w:id="1290283847">
      <w:bodyDiv w:val="1"/>
      <w:marLeft w:val="0"/>
      <w:marRight w:val="0"/>
      <w:marTop w:val="0"/>
      <w:marBottom w:val="0"/>
      <w:divBdr>
        <w:top w:val="none" w:sz="0" w:space="0" w:color="auto"/>
        <w:left w:val="none" w:sz="0" w:space="0" w:color="auto"/>
        <w:bottom w:val="none" w:sz="0" w:space="0" w:color="auto"/>
        <w:right w:val="none" w:sz="0" w:space="0" w:color="auto"/>
      </w:divBdr>
    </w:div>
    <w:div w:id="1312097040">
      <w:bodyDiv w:val="1"/>
      <w:marLeft w:val="0"/>
      <w:marRight w:val="0"/>
      <w:marTop w:val="0"/>
      <w:marBottom w:val="0"/>
      <w:divBdr>
        <w:top w:val="none" w:sz="0" w:space="0" w:color="auto"/>
        <w:left w:val="none" w:sz="0" w:space="0" w:color="auto"/>
        <w:bottom w:val="none" w:sz="0" w:space="0" w:color="auto"/>
        <w:right w:val="none" w:sz="0" w:space="0" w:color="auto"/>
      </w:divBdr>
    </w:div>
    <w:div w:id="1326594022">
      <w:bodyDiv w:val="1"/>
      <w:marLeft w:val="0"/>
      <w:marRight w:val="0"/>
      <w:marTop w:val="0"/>
      <w:marBottom w:val="0"/>
      <w:divBdr>
        <w:top w:val="none" w:sz="0" w:space="0" w:color="auto"/>
        <w:left w:val="none" w:sz="0" w:space="0" w:color="auto"/>
        <w:bottom w:val="none" w:sz="0" w:space="0" w:color="auto"/>
        <w:right w:val="none" w:sz="0" w:space="0" w:color="auto"/>
      </w:divBdr>
    </w:div>
    <w:div w:id="1327589824">
      <w:bodyDiv w:val="1"/>
      <w:marLeft w:val="0"/>
      <w:marRight w:val="0"/>
      <w:marTop w:val="0"/>
      <w:marBottom w:val="0"/>
      <w:divBdr>
        <w:top w:val="none" w:sz="0" w:space="0" w:color="auto"/>
        <w:left w:val="none" w:sz="0" w:space="0" w:color="auto"/>
        <w:bottom w:val="none" w:sz="0" w:space="0" w:color="auto"/>
        <w:right w:val="none" w:sz="0" w:space="0" w:color="auto"/>
      </w:divBdr>
    </w:div>
    <w:div w:id="1337540296">
      <w:bodyDiv w:val="1"/>
      <w:marLeft w:val="0"/>
      <w:marRight w:val="0"/>
      <w:marTop w:val="0"/>
      <w:marBottom w:val="0"/>
      <w:divBdr>
        <w:top w:val="none" w:sz="0" w:space="0" w:color="auto"/>
        <w:left w:val="none" w:sz="0" w:space="0" w:color="auto"/>
        <w:bottom w:val="none" w:sz="0" w:space="0" w:color="auto"/>
        <w:right w:val="none" w:sz="0" w:space="0" w:color="auto"/>
      </w:divBdr>
    </w:div>
    <w:div w:id="1362781911">
      <w:bodyDiv w:val="1"/>
      <w:marLeft w:val="0"/>
      <w:marRight w:val="0"/>
      <w:marTop w:val="0"/>
      <w:marBottom w:val="0"/>
      <w:divBdr>
        <w:top w:val="none" w:sz="0" w:space="0" w:color="auto"/>
        <w:left w:val="none" w:sz="0" w:space="0" w:color="auto"/>
        <w:bottom w:val="none" w:sz="0" w:space="0" w:color="auto"/>
        <w:right w:val="none" w:sz="0" w:space="0" w:color="auto"/>
      </w:divBdr>
    </w:div>
    <w:div w:id="1406759498">
      <w:bodyDiv w:val="1"/>
      <w:marLeft w:val="0"/>
      <w:marRight w:val="0"/>
      <w:marTop w:val="0"/>
      <w:marBottom w:val="0"/>
      <w:divBdr>
        <w:top w:val="none" w:sz="0" w:space="0" w:color="auto"/>
        <w:left w:val="none" w:sz="0" w:space="0" w:color="auto"/>
        <w:bottom w:val="none" w:sz="0" w:space="0" w:color="auto"/>
        <w:right w:val="none" w:sz="0" w:space="0" w:color="auto"/>
      </w:divBdr>
    </w:div>
    <w:div w:id="1417168555">
      <w:bodyDiv w:val="1"/>
      <w:marLeft w:val="0"/>
      <w:marRight w:val="0"/>
      <w:marTop w:val="0"/>
      <w:marBottom w:val="0"/>
      <w:divBdr>
        <w:top w:val="none" w:sz="0" w:space="0" w:color="auto"/>
        <w:left w:val="none" w:sz="0" w:space="0" w:color="auto"/>
        <w:bottom w:val="none" w:sz="0" w:space="0" w:color="auto"/>
        <w:right w:val="none" w:sz="0" w:space="0" w:color="auto"/>
      </w:divBdr>
    </w:div>
    <w:div w:id="1428424090">
      <w:bodyDiv w:val="1"/>
      <w:marLeft w:val="0"/>
      <w:marRight w:val="0"/>
      <w:marTop w:val="0"/>
      <w:marBottom w:val="0"/>
      <w:divBdr>
        <w:top w:val="none" w:sz="0" w:space="0" w:color="auto"/>
        <w:left w:val="none" w:sz="0" w:space="0" w:color="auto"/>
        <w:bottom w:val="none" w:sz="0" w:space="0" w:color="auto"/>
        <w:right w:val="none" w:sz="0" w:space="0" w:color="auto"/>
      </w:divBdr>
    </w:div>
    <w:div w:id="1434746081">
      <w:bodyDiv w:val="1"/>
      <w:marLeft w:val="0"/>
      <w:marRight w:val="0"/>
      <w:marTop w:val="0"/>
      <w:marBottom w:val="0"/>
      <w:divBdr>
        <w:top w:val="none" w:sz="0" w:space="0" w:color="auto"/>
        <w:left w:val="none" w:sz="0" w:space="0" w:color="auto"/>
        <w:bottom w:val="none" w:sz="0" w:space="0" w:color="auto"/>
        <w:right w:val="none" w:sz="0" w:space="0" w:color="auto"/>
      </w:divBdr>
    </w:div>
    <w:div w:id="1456869567">
      <w:bodyDiv w:val="1"/>
      <w:marLeft w:val="0"/>
      <w:marRight w:val="0"/>
      <w:marTop w:val="0"/>
      <w:marBottom w:val="0"/>
      <w:divBdr>
        <w:top w:val="none" w:sz="0" w:space="0" w:color="auto"/>
        <w:left w:val="none" w:sz="0" w:space="0" w:color="auto"/>
        <w:bottom w:val="none" w:sz="0" w:space="0" w:color="auto"/>
        <w:right w:val="none" w:sz="0" w:space="0" w:color="auto"/>
      </w:divBdr>
    </w:div>
    <w:div w:id="1462727682">
      <w:bodyDiv w:val="1"/>
      <w:marLeft w:val="0"/>
      <w:marRight w:val="0"/>
      <w:marTop w:val="0"/>
      <w:marBottom w:val="0"/>
      <w:divBdr>
        <w:top w:val="none" w:sz="0" w:space="0" w:color="auto"/>
        <w:left w:val="none" w:sz="0" w:space="0" w:color="auto"/>
        <w:bottom w:val="none" w:sz="0" w:space="0" w:color="auto"/>
        <w:right w:val="none" w:sz="0" w:space="0" w:color="auto"/>
      </w:divBdr>
    </w:div>
    <w:div w:id="1482304619">
      <w:bodyDiv w:val="1"/>
      <w:marLeft w:val="0"/>
      <w:marRight w:val="0"/>
      <w:marTop w:val="0"/>
      <w:marBottom w:val="0"/>
      <w:divBdr>
        <w:top w:val="none" w:sz="0" w:space="0" w:color="auto"/>
        <w:left w:val="none" w:sz="0" w:space="0" w:color="auto"/>
        <w:bottom w:val="none" w:sz="0" w:space="0" w:color="auto"/>
        <w:right w:val="none" w:sz="0" w:space="0" w:color="auto"/>
      </w:divBdr>
    </w:div>
    <w:div w:id="1485462678">
      <w:bodyDiv w:val="1"/>
      <w:marLeft w:val="0"/>
      <w:marRight w:val="0"/>
      <w:marTop w:val="0"/>
      <w:marBottom w:val="0"/>
      <w:divBdr>
        <w:top w:val="none" w:sz="0" w:space="0" w:color="auto"/>
        <w:left w:val="none" w:sz="0" w:space="0" w:color="auto"/>
        <w:bottom w:val="none" w:sz="0" w:space="0" w:color="auto"/>
        <w:right w:val="none" w:sz="0" w:space="0" w:color="auto"/>
      </w:divBdr>
    </w:div>
    <w:div w:id="1491798525">
      <w:bodyDiv w:val="1"/>
      <w:marLeft w:val="0"/>
      <w:marRight w:val="0"/>
      <w:marTop w:val="0"/>
      <w:marBottom w:val="0"/>
      <w:divBdr>
        <w:top w:val="none" w:sz="0" w:space="0" w:color="auto"/>
        <w:left w:val="none" w:sz="0" w:space="0" w:color="auto"/>
        <w:bottom w:val="none" w:sz="0" w:space="0" w:color="auto"/>
        <w:right w:val="none" w:sz="0" w:space="0" w:color="auto"/>
      </w:divBdr>
    </w:div>
    <w:div w:id="1501845676">
      <w:bodyDiv w:val="1"/>
      <w:marLeft w:val="0"/>
      <w:marRight w:val="0"/>
      <w:marTop w:val="0"/>
      <w:marBottom w:val="0"/>
      <w:divBdr>
        <w:top w:val="none" w:sz="0" w:space="0" w:color="auto"/>
        <w:left w:val="none" w:sz="0" w:space="0" w:color="auto"/>
        <w:bottom w:val="none" w:sz="0" w:space="0" w:color="auto"/>
        <w:right w:val="none" w:sz="0" w:space="0" w:color="auto"/>
      </w:divBdr>
    </w:div>
    <w:div w:id="1504739315">
      <w:bodyDiv w:val="1"/>
      <w:marLeft w:val="0"/>
      <w:marRight w:val="0"/>
      <w:marTop w:val="0"/>
      <w:marBottom w:val="0"/>
      <w:divBdr>
        <w:top w:val="none" w:sz="0" w:space="0" w:color="auto"/>
        <w:left w:val="none" w:sz="0" w:space="0" w:color="auto"/>
        <w:bottom w:val="none" w:sz="0" w:space="0" w:color="auto"/>
        <w:right w:val="none" w:sz="0" w:space="0" w:color="auto"/>
      </w:divBdr>
    </w:div>
    <w:div w:id="1521822600">
      <w:bodyDiv w:val="1"/>
      <w:marLeft w:val="0"/>
      <w:marRight w:val="0"/>
      <w:marTop w:val="0"/>
      <w:marBottom w:val="0"/>
      <w:divBdr>
        <w:top w:val="none" w:sz="0" w:space="0" w:color="auto"/>
        <w:left w:val="none" w:sz="0" w:space="0" w:color="auto"/>
        <w:bottom w:val="none" w:sz="0" w:space="0" w:color="auto"/>
        <w:right w:val="none" w:sz="0" w:space="0" w:color="auto"/>
      </w:divBdr>
    </w:div>
    <w:div w:id="1549561895">
      <w:bodyDiv w:val="1"/>
      <w:marLeft w:val="0"/>
      <w:marRight w:val="0"/>
      <w:marTop w:val="0"/>
      <w:marBottom w:val="0"/>
      <w:divBdr>
        <w:top w:val="none" w:sz="0" w:space="0" w:color="auto"/>
        <w:left w:val="none" w:sz="0" w:space="0" w:color="auto"/>
        <w:bottom w:val="none" w:sz="0" w:space="0" w:color="auto"/>
        <w:right w:val="none" w:sz="0" w:space="0" w:color="auto"/>
      </w:divBdr>
    </w:div>
    <w:div w:id="1583103382">
      <w:bodyDiv w:val="1"/>
      <w:marLeft w:val="0"/>
      <w:marRight w:val="0"/>
      <w:marTop w:val="0"/>
      <w:marBottom w:val="0"/>
      <w:divBdr>
        <w:top w:val="none" w:sz="0" w:space="0" w:color="auto"/>
        <w:left w:val="none" w:sz="0" w:space="0" w:color="auto"/>
        <w:bottom w:val="none" w:sz="0" w:space="0" w:color="auto"/>
        <w:right w:val="none" w:sz="0" w:space="0" w:color="auto"/>
      </w:divBdr>
    </w:div>
    <w:div w:id="1618296250">
      <w:bodyDiv w:val="1"/>
      <w:marLeft w:val="0"/>
      <w:marRight w:val="0"/>
      <w:marTop w:val="0"/>
      <w:marBottom w:val="0"/>
      <w:divBdr>
        <w:top w:val="none" w:sz="0" w:space="0" w:color="auto"/>
        <w:left w:val="none" w:sz="0" w:space="0" w:color="auto"/>
        <w:bottom w:val="none" w:sz="0" w:space="0" w:color="auto"/>
        <w:right w:val="none" w:sz="0" w:space="0" w:color="auto"/>
      </w:divBdr>
    </w:div>
    <w:div w:id="1618901961">
      <w:bodyDiv w:val="1"/>
      <w:marLeft w:val="0"/>
      <w:marRight w:val="0"/>
      <w:marTop w:val="0"/>
      <w:marBottom w:val="0"/>
      <w:divBdr>
        <w:top w:val="none" w:sz="0" w:space="0" w:color="auto"/>
        <w:left w:val="none" w:sz="0" w:space="0" w:color="auto"/>
        <w:bottom w:val="none" w:sz="0" w:space="0" w:color="auto"/>
        <w:right w:val="none" w:sz="0" w:space="0" w:color="auto"/>
      </w:divBdr>
    </w:div>
    <w:div w:id="1626037963">
      <w:bodyDiv w:val="1"/>
      <w:marLeft w:val="0"/>
      <w:marRight w:val="0"/>
      <w:marTop w:val="0"/>
      <w:marBottom w:val="0"/>
      <w:divBdr>
        <w:top w:val="none" w:sz="0" w:space="0" w:color="auto"/>
        <w:left w:val="none" w:sz="0" w:space="0" w:color="auto"/>
        <w:bottom w:val="none" w:sz="0" w:space="0" w:color="auto"/>
        <w:right w:val="none" w:sz="0" w:space="0" w:color="auto"/>
      </w:divBdr>
    </w:div>
    <w:div w:id="1629508259">
      <w:bodyDiv w:val="1"/>
      <w:marLeft w:val="0"/>
      <w:marRight w:val="0"/>
      <w:marTop w:val="0"/>
      <w:marBottom w:val="0"/>
      <w:divBdr>
        <w:top w:val="none" w:sz="0" w:space="0" w:color="auto"/>
        <w:left w:val="none" w:sz="0" w:space="0" w:color="auto"/>
        <w:bottom w:val="none" w:sz="0" w:space="0" w:color="auto"/>
        <w:right w:val="none" w:sz="0" w:space="0" w:color="auto"/>
      </w:divBdr>
    </w:div>
    <w:div w:id="1632054506">
      <w:bodyDiv w:val="1"/>
      <w:marLeft w:val="0"/>
      <w:marRight w:val="0"/>
      <w:marTop w:val="0"/>
      <w:marBottom w:val="0"/>
      <w:divBdr>
        <w:top w:val="none" w:sz="0" w:space="0" w:color="auto"/>
        <w:left w:val="none" w:sz="0" w:space="0" w:color="auto"/>
        <w:bottom w:val="none" w:sz="0" w:space="0" w:color="auto"/>
        <w:right w:val="none" w:sz="0" w:space="0" w:color="auto"/>
      </w:divBdr>
    </w:div>
    <w:div w:id="1644233350">
      <w:bodyDiv w:val="1"/>
      <w:marLeft w:val="0"/>
      <w:marRight w:val="0"/>
      <w:marTop w:val="0"/>
      <w:marBottom w:val="0"/>
      <w:divBdr>
        <w:top w:val="none" w:sz="0" w:space="0" w:color="auto"/>
        <w:left w:val="none" w:sz="0" w:space="0" w:color="auto"/>
        <w:bottom w:val="none" w:sz="0" w:space="0" w:color="auto"/>
        <w:right w:val="none" w:sz="0" w:space="0" w:color="auto"/>
      </w:divBdr>
    </w:div>
    <w:div w:id="1661303968">
      <w:bodyDiv w:val="1"/>
      <w:marLeft w:val="0"/>
      <w:marRight w:val="0"/>
      <w:marTop w:val="0"/>
      <w:marBottom w:val="0"/>
      <w:divBdr>
        <w:top w:val="none" w:sz="0" w:space="0" w:color="auto"/>
        <w:left w:val="none" w:sz="0" w:space="0" w:color="auto"/>
        <w:bottom w:val="none" w:sz="0" w:space="0" w:color="auto"/>
        <w:right w:val="none" w:sz="0" w:space="0" w:color="auto"/>
      </w:divBdr>
    </w:div>
    <w:div w:id="1667703243">
      <w:bodyDiv w:val="1"/>
      <w:marLeft w:val="0"/>
      <w:marRight w:val="0"/>
      <w:marTop w:val="0"/>
      <w:marBottom w:val="0"/>
      <w:divBdr>
        <w:top w:val="none" w:sz="0" w:space="0" w:color="auto"/>
        <w:left w:val="none" w:sz="0" w:space="0" w:color="auto"/>
        <w:bottom w:val="none" w:sz="0" w:space="0" w:color="auto"/>
        <w:right w:val="none" w:sz="0" w:space="0" w:color="auto"/>
      </w:divBdr>
    </w:div>
    <w:div w:id="1686175882">
      <w:bodyDiv w:val="1"/>
      <w:marLeft w:val="0"/>
      <w:marRight w:val="0"/>
      <w:marTop w:val="0"/>
      <w:marBottom w:val="0"/>
      <w:divBdr>
        <w:top w:val="none" w:sz="0" w:space="0" w:color="auto"/>
        <w:left w:val="none" w:sz="0" w:space="0" w:color="auto"/>
        <w:bottom w:val="none" w:sz="0" w:space="0" w:color="auto"/>
        <w:right w:val="none" w:sz="0" w:space="0" w:color="auto"/>
      </w:divBdr>
    </w:div>
    <w:div w:id="1699426316">
      <w:bodyDiv w:val="1"/>
      <w:marLeft w:val="0"/>
      <w:marRight w:val="0"/>
      <w:marTop w:val="0"/>
      <w:marBottom w:val="0"/>
      <w:divBdr>
        <w:top w:val="none" w:sz="0" w:space="0" w:color="auto"/>
        <w:left w:val="none" w:sz="0" w:space="0" w:color="auto"/>
        <w:bottom w:val="none" w:sz="0" w:space="0" w:color="auto"/>
        <w:right w:val="none" w:sz="0" w:space="0" w:color="auto"/>
      </w:divBdr>
    </w:div>
    <w:div w:id="1699432970">
      <w:bodyDiv w:val="1"/>
      <w:marLeft w:val="0"/>
      <w:marRight w:val="0"/>
      <w:marTop w:val="0"/>
      <w:marBottom w:val="0"/>
      <w:divBdr>
        <w:top w:val="none" w:sz="0" w:space="0" w:color="auto"/>
        <w:left w:val="none" w:sz="0" w:space="0" w:color="auto"/>
        <w:bottom w:val="none" w:sz="0" w:space="0" w:color="auto"/>
        <w:right w:val="none" w:sz="0" w:space="0" w:color="auto"/>
      </w:divBdr>
    </w:div>
    <w:div w:id="1705792944">
      <w:bodyDiv w:val="1"/>
      <w:marLeft w:val="0"/>
      <w:marRight w:val="0"/>
      <w:marTop w:val="0"/>
      <w:marBottom w:val="0"/>
      <w:divBdr>
        <w:top w:val="none" w:sz="0" w:space="0" w:color="auto"/>
        <w:left w:val="none" w:sz="0" w:space="0" w:color="auto"/>
        <w:bottom w:val="none" w:sz="0" w:space="0" w:color="auto"/>
        <w:right w:val="none" w:sz="0" w:space="0" w:color="auto"/>
      </w:divBdr>
    </w:div>
    <w:div w:id="1725829131">
      <w:bodyDiv w:val="1"/>
      <w:marLeft w:val="0"/>
      <w:marRight w:val="0"/>
      <w:marTop w:val="0"/>
      <w:marBottom w:val="0"/>
      <w:divBdr>
        <w:top w:val="none" w:sz="0" w:space="0" w:color="auto"/>
        <w:left w:val="none" w:sz="0" w:space="0" w:color="auto"/>
        <w:bottom w:val="none" w:sz="0" w:space="0" w:color="auto"/>
        <w:right w:val="none" w:sz="0" w:space="0" w:color="auto"/>
      </w:divBdr>
    </w:div>
    <w:div w:id="1733886397">
      <w:bodyDiv w:val="1"/>
      <w:marLeft w:val="0"/>
      <w:marRight w:val="0"/>
      <w:marTop w:val="0"/>
      <w:marBottom w:val="0"/>
      <w:divBdr>
        <w:top w:val="none" w:sz="0" w:space="0" w:color="auto"/>
        <w:left w:val="none" w:sz="0" w:space="0" w:color="auto"/>
        <w:bottom w:val="none" w:sz="0" w:space="0" w:color="auto"/>
        <w:right w:val="none" w:sz="0" w:space="0" w:color="auto"/>
      </w:divBdr>
    </w:div>
    <w:div w:id="1753159755">
      <w:bodyDiv w:val="1"/>
      <w:marLeft w:val="0"/>
      <w:marRight w:val="0"/>
      <w:marTop w:val="0"/>
      <w:marBottom w:val="0"/>
      <w:divBdr>
        <w:top w:val="none" w:sz="0" w:space="0" w:color="auto"/>
        <w:left w:val="none" w:sz="0" w:space="0" w:color="auto"/>
        <w:bottom w:val="none" w:sz="0" w:space="0" w:color="auto"/>
        <w:right w:val="none" w:sz="0" w:space="0" w:color="auto"/>
      </w:divBdr>
    </w:div>
    <w:div w:id="1785883550">
      <w:bodyDiv w:val="1"/>
      <w:marLeft w:val="0"/>
      <w:marRight w:val="0"/>
      <w:marTop w:val="0"/>
      <w:marBottom w:val="0"/>
      <w:divBdr>
        <w:top w:val="none" w:sz="0" w:space="0" w:color="auto"/>
        <w:left w:val="none" w:sz="0" w:space="0" w:color="auto"/>
        <w:bottom w:val="none" w:sz="0" w:space="0" w:color="auto"/>
        <w:right w:val="none" w:sz="0" w:space="0" w:color="auto"/>
      </w:divBdr>
    </w:div>
    <w:div w:id="1809778195">
      <w:bodyDiv w:val="1"/>
      <w:marLeft w:val="0"/>
      <w:marRight w:val="0"/>
      <w:marTop w:val="0"/>
      <w:marBottom w:val="0"/>
      <w:divBdr>
        <w:top w:val="none" w:sz="0" w:space="0" w:color="auto"/>
        <w:left w:val="none" w:sz="0" w:space="0" w:color="auto"/>
        <w:bottom w:val="none" w:sz="0" w:space="0" w:color="auto"/>
        <w:right w:val="none" w:sz="0" w:space="0" w:color="auto"/>
      </w:divBdr>
    </w:div>
    <w:div w:id="1810241836">
      <w:bodyDiv w:val="1"/>
      <w:marLeft w:val="0"/>
      <w:marRight w:val="0"/>
      <w:marTop w:val="0"/>
      <w:marBottom w:val="0"/>
      <w:divBdr>
        <w:top w:val="none" w:sz="0" w:space="0" w:color="auto"/>
        <w:left w:val="none" w:sz="0" w:space="0" w:color="auto"/>
        <w:bottom w:val="none" w:sz="0" w:space="0" w:color="auto"/>
        <w:right w:val="none" w:sz="0" w:space="0" w:color="auto"/>
      </w:divBdr>
    </w:div>
    <w:div w:id="1822958780">
      <w:bodyDiv w:val="1"/>
      <w:marLeft w:val="0"/>
      <w:marRight w:val="0"/>
      <w:marTop w:val="0"/>
      <w:marBottom w:val="0"/>
      <w:divBdr>
        <w:top w:val="none" w:sz="0" w:space="0" w:color="auto"/>
        <w:left w:val="none" w:sz="0" w:space="0" w:color="auto"/>
        <w:bottom w:val="none" w:sz="0" w:space="0" w:color="auto"/>
        <w:right w:val="none" w:sz="0" w:space="0" w:color="auto"/>
      </w:divBdr>
    </w:div>
    <w:div w:id="1829126327">
      <w:bodyDiv w:val="1"/>
      <w:marLeft w:val="0"/>
      <w:marRight w:val="0"/>
      <w:marTop w:val="0"/>
      <w:marBottom w:val="0"/>
      <w:divBdr>
        <w:top w:val="none" w:sz="0" w:space="0" w:color="auto"/>
        <w:left w:val="none" w:sz="0" w:space="0" w:color="auto"/>
        <w:bottom w:val="none" w:sz="0" w:space="0" w:color="auto"/>
        <w:right w:val="none" w:sz="0" w:space="0" w:color="auto"/>
      </w:divBdr>
    </w:div>
    <w:div w:id="1879276062">
      <w:bodyDiv w:val="1"/>
      <w:marLeft w:val="0"/>
      <w:marRight w:val="0"/>
      <w:marTop w:val="0"/>
      <w:marBottom w:val="0"/>
      <w:divBdr>
        <w:top w:val="none" w:sz="0" w:space="0" w:color="auto"/>
        <w:left w:val="none" w:sz="0" w:space="0" w:color="auto"/>
        <w:bottom w:val="none" w:sz="0" w:space="0" w:color="auto"/>
        <w:right w:val="none" w:sz="0" w:space="0" w:color="auto"/>
      </w:divBdr>
    </w:div>
    <w:div w:id="1883636151">
      <w:bodyDiv w:val="1"/>
      <w:marLeft w:val="0"/>
      <w:marRight w:val="0"/>
      <w:marTop w:val="0"/>
      <w:marBottom w:val="0"/>
      <w:divBdr>
        <w:top w:val="none" w:sz="0" w:space="0" w:color="auto"/>
        <w:left w:val="none" w:sz="0" w:space="0" w:color="auto"/>
        <w:bottom w:val="none" w:sz="0" w:space="0" w:color="auto"/>
        <w:right w:val="none" w:sz="0" w:space="0" w:color="auto"/>
      </w:divBdr>
    </w:div>
    <w:div w:id="1894727258">
      <w:bodyDiv w:val="1"/>
      <w:marLeft w:val="0"/>
      <w:marRight w:val="0"/>
      <w:marTop w:val="0"/>
      <w:marBottom w:val="0"/>
      <w:divBdr>
        <w:top w:val="none" w:sz="0" w:space="0" w:color="auto"/>
        <w:left w:val="none" w:sz="0" w:space="0" w:color="auto"/>
        <w:bottom w:val="none" w:sz="0" w:space="0" w:color="auto"/>
        <w:right w:val="none" w:sz="0" w:space="0" w:color="auto"/>
      </w:divBdr>
    </w:div>
    <w:div w:id="1948154700">
      <w:bodyDiv w:val="1"/>
      <w:marLeft w:val="0"/>
      <w:marRight w:val="0"/>
      <w:marTop w:val="0"/>
      <w:marBottom w:val="0"/>
      <w:divBdr>
        <w:top w:val="none" w:sz="0" w:space="0" w:color="auto"/>
        <w:left w:val="none" w:sz="0" w:space="0" w:color="auto"/>
        <w:bottom w:val="none" w:sz="0" w:space="0" w:color="auto"/>
        <w:right w:val="none" w:sz="0" w:space="0" w:color="auto"/>
      </w:divBdr>
    </w:div>
    <w:div w:id="1962422447">
      <w:bodyDiv w:val="1"/>
      <w:marLeft w:val="0"/>
      <w:marRight w:val="0"/>
      <w:marTop w:val="0"/>
      <w:marBottom w:val="0"/>
      <w:divBdr>
        <w:top w:val="none" w:sz="0" w:space="0" w:color="auto"/>
        <w:left w:val="none" w:sz="0" w:space="0" w:color="auto"/>
        <w:bottom w:val="none" w:sz="0" w:space="0" w:color="auto"/>
        <w:right w:val="none" w:sz="0" w:space="0" w:color="auto"/>
      </w:divBdr>
    </w:div>
    <w:div w:id="1966080742">
      <w:bodyDiv w:val="1"/>
      <w:marLeft w:val="0"/>
      <w:marRight w:val="0"/>
      <w:marTop w:val="0"/>
      <w:marBottom w:val="0"/>
      <w:divBdr>
        <w:top w:val="none" w:sz="0" w:space="0" w:color="auto"/>
        <w:left w:val="none" w:sz="0" w:space="0" w:color="auto"/>
        <w:bottom w:val="none" w:sz="0" w:space="0" w:color="auto"/>
        <w:right w:val="none" w:sz="0" w:space="0" w:color="auto"/>
      </w:divBdr>
    </w:div>
    <w:div w:id="1988973195">
      <w:bodyDiv w:val="1"/>
      <w:marLeft w:val="0"/>
      <w:marRight w:val="0"/>
      <w:marTop w:val="0"/>
      <w:marBottom w:val="0"/>
      <w:divBdr>
        <w:top w:val="none" w:sz="0" w:space="0" w:color="auto"/>
        <w:left w:val="none" w:sz="0" w:space="0" w:color="auto"/>
        <w:bottom w:val="none" w:sz="0" w:space="0" w:color="auto"/>
        <w:right w:val="none" w:sz="0" w:space="0" w:color="auto"/>
      </w:divBdr>
    </w:div>
    <w:div w:id="2006781867">
      <w:bodyDiv w:val="1"/>
      <w:marLeft w:val="0"/>
      <w:marRight w:val="0"/>
      <w:marTop w:val="0"/>
      <w:marBottom w:val="0"/>
      <w:divBdr>
        <w:top w:val="none" w:sz="0" w:space="0" w:color="auto"/>
        <w:left w:val="none" w:sz="0" w:space="0" w:color="auto"/>
        <w:bottom w:val="none" w:sz="0" w:space="0" w:color="auto"/>
        <w:right w:val="none" w:sz="0" w:space="0" w:color="auto"/>
      </w:divBdr>
      <w:divsChild>
        <w:div w:id="697245728">
          <w:marLeft w:val="0"/>
          <w:marRight w:val="0"/>
          <w:marTop w:val="0"/>
          <w:marBottom w:val="0"/>
          <w:divBdr>
            <w:top w:val="none" w:sz="0" w:space="0" w:color="auto"/>
            <w:left w:val="none" w:sz="0" w:space="0" w:color="auto"/>
            <w:bottom w:val="none" w:sz="0" w:space="0" w:color="auto"/>
            <w:right w:val="none" w:sz="0" w:space="0" w:color="auto"/>
          </w:divBdr>
          <w:divsChild>
            <w:div w:id="1169099251">
              <w:marLeft w:val="0"/>
              <w:marRight w:val="0"/>
              <w:marTop w:val="0"/>
              <w:marBottom w:val="0"/>
              <w:divBdr>
                <w:top w:val="none" w:sz="0" w:space="0" w:color="auto"/>
                <w:left w:val="none" w:sz="0" w:space="0" w:color="auto"/>
                <w:bottom w:val="none" w:sz="0" w:space="0" w:color="auto"/>
                <w:right w:val="none" w:sz="0" w:space="0" w:color="auto"/>
              </w:divBdr>
              <w:divsChild>
                <w:div w:id="1680306796">
                  <w:marLeft w:val="0"/>
                  <w:marRight w:val="0"/>
                  <w:marTop w:val="100"/>
                  <w:marBottom w:val="100"/>
                  <w:divBdr>
                    <w:top w:val="none" w:sz="0" w:space="0" w:color="auto"/>
                    <w:left w:val="none" w:sz="0" w:space="0" w:color="auto"/>
                    <w:bottom w:val="none" w:sz="0" w:space="0" w:color="auto"/>
                    <w:right w:val="none" w:sz="0" w:space="0" w:color="auto"/>
                  </w:divBdr>
                  <w:divsChild>
                    <w:div w:id="1971589654">
                      <w:marLeft w:val="0"/>
                      <w:marRight w:val="0"/>
                      <w:marTop w:val="100"/>
                      <w:marBottom w:val="100"/>
                      <w:divBdr>
                        <w:top w:val="none" w:sz="0" w:space="0" w:color="auto"/>
                        <w:left w:val="none" w:sz="0" w:space="0" w:color="auto"/>
                        <w:bottom w:val="none" w:sz="0" w:space="0" w:color="auto"/>
                        <w:right w:val="none" w:sz="0" w:space="0" w:color="auto"/>
                      </w:divBdr>
                      <w:divsChild>
                        <w:div w:id="1326543436">
                          <w:marLeft w:val="0"/>
                          <w:marRight w:val="0"/>
                          <w:marTop w:val="0"/>
                          <w:marBottom w:val="0"/>
                          <w:divBdr>
                            <w:top w:val="none" w:sz="0" w:space="0" w:color="auto"/>
                            <w:left w:val="none" w:sz="0" w:space="0" w:color="auto"/>
                            <w:bottom w:val="none" w:sz="0" w:space="0" w:color="auto"/>
                            <w:right w:val="none" w:sz="0" w:space="0" w:color="auto"/>
                          </w:divBdr>
                          <w:divsChild>
                            <w:div w:id="230237866">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2612558">
      <w:bodyDiv w:val="1"/>
      <w:marLeft w:val="0"/>
      <w:marRight w:val="0"/>
      <w:marTop w:val="0"/>
      <w:marBottom w:val="0"/>
      <w:divBdr>
        <w:top w:val="none" w:sz="0" w:space="0" w:color="auto"/>
        <w:left w:val="none" w:sz="0" w:space="0" w:color="auto"/>
        <w:bottom w:val="none" w:sz="0" w:space="0" w:color="auto"/>
        <w:right w:val="none" w:sz="0" w:space="0" w:color="auto"/>
      </w:divBdr>
    </w:div>
    <w:div w:id="2054766901">
      <w:bodyDiv w:val="1"/>
      <w:marLeft w:val="0"/>
      <w:marRight w:val="0"/>
      <w:marTop w:val="0"/>
      <w:marBottom w:val="0"/>
      <w:divBdr>
        <w:top w:val="none" w:sz="0" w:space="0" w:color="auto"/>
        <w:left w:val="none" w:sz="0" w:space="0" w:color="auto"/>
        <w:bottom w:val="none" w:sz="0" w:space="0" w:color="auto"/>
        <w:right w:val="none" w:sz="0" w:space="0" w:color="auto"/>
      </w:divBdr>
    </w:div>
    <w:div w:id="2061316978">
      <w:bodyDiv w:val="1"/>
      <w:marLeft w:val="0"/>
      <w:marRight w:val="0"/>
      <w:marTop w:val="0"/>
      <w:marBottom w:val="0"/>
      <w:divBdr>
        <w:top w:val="none" w:sz="0" w:space="0" w:color="auto"/>
        <w:left w:val="none" w:sz="0" w:space="0" w:color="auto"/>
        <w:bottom w:val="none" w:sz="0" w:space="0" w:color="auto"/>
        <w:right w:val="none" w:sz="0" w:space="0" w:color="auto"/>
      </w:divBdr>
    </w:div>
    <w:div w:id="2065450319">
      <w:bodyDiv w:val="1"/>
      <w:marLeft w:val="0"/>
      <w:marRight w:val="0"/>
      <w:marTop w:val="0"/>
      <w:marBottom w:val="0"/>
      <w:divBdr>
        <w:top w:val="none" w:sz="0" w:space="0" w:color="auto"/>
        <w:left w:val="none" w:sz="0" w:space="0" w:color="auto"/>
        <w:bottom w:val="none" w:sz="0" w:space="0" w:color="auto"/>
        <w:right w:val="none" w:sz="0" w:space="0" w:color="auto"/>
      </w:divBdr>
    </w:div>
    <w:div w:id="2070809302">
      <w:bodyDiv w:val="1"/>
      <w:marLeft w:val="0"/>
      <w:marRight w:val="0"/>
      <w:marTop w:val="0"/>
      <w:marBottom w:val="0"/>
      <w:divBdr>
        <w:top w:val="none" w:sz="0" w:space="0" w:color="auto"/>
        <w:left w:val="none" w:sz="0" w:space="0" w:color="auto"/>
        <w:bottom w:val="none" w:sz="0" w:space="0" w:color="auto"/>
        <w:right w:val="none" w:sz="0" w:space="0" w:color="auto"/>
      </w:divBdr>
    </w:div>
    <w:div w:id="2082019695">
      <w:bodyDiv w:val="1"/>
      <w:marLeft w:val="0"/>
      <w:marRight w:val="0"/>
      <w:marTop w:val="0"/>
      <w:marBottom w:val="0"/>
      <w:divBdr>
        <w:top w:val="none" w:sz="0" w:space="0" w:color="auto"/>
        <w:left w:val="none" w:sz="0" w:space="0" w:color="auto"/>
        <w:bottom w:val="none" w:sz="0" w:space="0" w:color="auto"/>
        <w:right w:val="none" w:sz="0" w:space="0" w:color="auto"/>
      </w:divBdr>
    </w:div>
    <w:div w:id="2092045042">
      <w:bodyDiv w:val="1"/>
      <w:marLeft w:val="0"/>
      <w:marRight w:val="0"/>
      <w:marTop w:val="0"/>
      <w:marBottom w:val="0"/>
      <w:divBdr>
        <w:top w:val="none" w:sz="0" w:space="0" w:color="auto"/>
        <w:left w:val="none" w:sz="0" w:space="0" w:color="auto"/>
        <w:bottom w:val="none" w:sz="0" w:space="0" w:color="auto"/>
        <w:right w:val="none" w:sz="0" w:space="0" w:color="auto"/>
      </w:divBdr>
    </w:div>
    <w:div w:id="2103063164">
      <w:bodyDiv w:val="1"/>
      <w:marLeft w:val="0"/>
      <w:marRight w:val="0"/>
      <w:marTop w:val="0"/>
      <w:marBottom w:val="0"/>
      <w:divBdr>
        <w:top w:val="none" w:sz="0" w:space="0" w:color="auto"/>
        <w:left w:val="none" w:sz="0" w:space="0" w:color="auto"/>
        <w:bottom w:val="none" w:sz="0" w:space="0" w:color="auto"/>
        <w:right w:val="none" w:sz="0" w:space="0" w:color="auto"/>
      </w:divBdr>
    </w:div>
    <w:div w:id="2105346747">
      <w:bodyDiv w:val="1"/>
      <w:marLeft w:val="0"/>
      <w:marRight w:val="0"/>
      <w:marTop w:val="0"/>
      <w:marBottom w:val="0"/>
      <w:divBdr>
        <w:top w:val="none" w:sz="0" w:space="0" w:color="auto"/>
        <w:left w:val="none" w:sz="0" w:space="0" w:color="auto"/>
        <w:bottom w:val="none" w:sz="0" w:space="0" w:color="auto"/>
        <w:right w:val="none" w:sz="0" w:space="0" w:color="auto"/>
      </w:divBdr>
    </w:div>
    <w:div w:id="2130664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117" Type="http://schemas.openxmlformats.org/officeDocument/2006/relationships/hyperlink" Target="http://www.ncbi.nlm.nih.gov/pubmed/?term=Tang%20IP%5BAuthor%5D&amp;cauthor=true&amp;cauthor_uid=23770961" TargetMode="External"/><Relationship Id="rId21" Type="http://schemas.openxmlformats.org/officeDocument/2006/relationships/footer" Target="footer5.xml"/><Relationship Id="rId42" Type="http://schemas.openxmlformats.org/officeDocument/2006/relationships/image" Target="media/image16.jpeg"/><Relationship Id="rId47" Type="http://schemas.openxmlformats.org/officeDocument/2006/relationships/hyperlink" Target="http://www.schwerhoerigen-netz.de/" TargetMode="External"/><Relationship Id="rId63" Type="http://schemas.openxmlformats.org/officeDocument/2006/relationships/footer" Target="footer9.xml"/><Relationship Id="rId68" Type="http://schemas.openxmlformats.org/officeDocument/2006/relationships/image" Target="media/image27.png"/><Relationship Id="rId84" Type="http://schemas.openxmlformats.org/officeDocument/2006/relationships/hyperlink" Target="http://www.ncbi.nlm.nih.gov/pubmed/?term=O'Connor%20AF%5BAuthor%5D&amp;cauthor=true&amp;cauthor_uid=20828837" TargetMode="External"/><Relationship Id="rId89" Type="http://schemas.openxmlformats.org/officeDocument/2006/relationships/hyperlink" Target="http://www.ncbi.nlm.nih.gov/pubmed/?term=Profant%20M%5BAuthor%5D&amp;cauthor=true&amp;cauthor_uid=20828837" TargetMode="External"/><Relationship Id="rId112" Type="http://schemas.openxmlformats.org/officeDocument/2006/relationships/hyperlink" Target="http://www.ncbi.nlm.nih.gov/pubmed/?term=Backous%20D%5BAuthor%5D&amp;cauthor=true&amp;cauthor_uid=11870337" TargetMode="External"/><Relationship Id="rId16" Type="http://schemas.openxmlformats.org/officeDocument/2006/relationships/hyperlink" Target="mailto:matylda.jaworski@medel.com" TargetMode="External"/><Relationship Id="rId107" Type="http://schemas.openxmlformats.org/officeDocument/2006/relationships/hyperlink" Target="http://www.ncbi.nlm.nih.gov/pubmed/?term=Brackman%20D%5BAuthor%5D&amp;cauthor=true&amp;cauthor_uid=11870337" TargetMode="External"/><Relationship Id="rId11" Type="http://schemas.openxmlformats.org/officeDocument/2006/relationships/header" Target="header2.xml"/><Relationship Id="rId32" Type="http://schemas.openxmlformats.org/officeDocument/2006/relationships/image" Target="media/image6.jpeg"/><Relationship Id="rId37" Type="http://schemas.openxmlformats.org/officeDocument/2006/relationships/image" Target="media/image11.jpeg"/><Relationship Id="rId53" Type="http://schemas.openxmlformats.org/officeDocument/2006/relationships/hyperlink" Target="http://medical-dictionary.thefreedictionary.com/Berkson's+bias" TargetMode="External"/><Relationship Id="rId58" Type="http://schemas.openxmlformats.org/officeDocument/2006/relationships/footer" Target="footer7.xml"/><Relationship Id="rId74" Type="http://schemas.openxmlformats.org/officeDocument/2006/relationships/hyperlink" Target="http://www.ncbi.nlm.nih.gov/pubmed/?term=Jones%20J%5BAuthor%5D&amp;cauthor=true&amp;cauthor_uid=21729632" TargetMode="External"/><Relationship Id="rId79" Type="http://schemas.openxmlformats.org/officeDocument/2006/relationships/hyperlink" Target="http://www.ncbi.nlm.nih.gov/pubmed/?term=Baguley%20DM%5BAuthor%5D&amp;cauthor=true&amp;cauthor_uid=21729632" TargetMode="External"/><Relationship Id="rId102" Type="http://schemas.openxmlformats.org/officeDocument/2006/relationships/hyperlink" Target="http://www.ncbi.nlm.nih.gov/pubmed/?term=Beutner%20D%5BAuthor%5D&amp;cauthor=true&amp;cauthor_uid=18818544" TargetMode="External"/><Relationship Id="rId123"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footer" Target="footer8.xml"/><Relationship Id="rId82" Type="http://schemas.openxmlformats.org/officeDocument/2006/relationships/hyperlink" Target="http://www.ncbi.nlm.nih.gov/pubmed/?term=Sheehan%20PZ%5BAuthor%5D&amp;cauthor=true&amp;cauthor_uid=21729632" TargetMode="External"/><Relationship Id="rId90" Type="http://schemas.openxmlformats.org/officeDocument/2006/relationships/hyperlink" Target="http://www.ncbi.nlm.nih.gov/pubmed/?term=Schmerber%20S%5BAuthor%5D&amp;cauthor=true&amp;cauthor_uid=20828837" TargetMode="External"/><Relationship Id="rId95" Type="http://schemas.openxmlformats.org/officeDocument/2006/relationships/hyperlink" Target="http://www.ncbi.nlm.nih.gov/pubmed/?term=Cenjor%20C%5BAuthor%5D&amp;cauthor=true&amp;cauthor_uid=20828837" TargetMode="External"/><Relationship Id="rId19" Type="http://schemas.openxmlformats.org/officeDocument/2006/relationships/footer" Target="footer4.xml"/><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header" Target="header10.xml"/><Relationship Id="rId30" Type="http://schemas.openxmlformats.org/officeDocument/2006/relationships/image" Target="media/image4.jpeg"/><Relationship Id="rId35" Type="http://schemas.openxmlformats.org/officeDocument/2006/relationships/image" Target="media/image9.jpeg"/><Relationship Id="rId43" Type="http://schemas.openxmlformats.org/officeDocument/2006/relationships/image" Target="media/image17.jpeg"/><Relationship Id="rId48" Type="http://schemas.openxmlformats.org/officeDocument/2006/relationships/hyperlink" Target="http://www.oesb-dachverband.at/schwerhoerigkeit/statistik/" TargetMode="External"/><Relationship Id="rId56" Type="http://schemas.openxmlformats.org/officeDocument/2006/relationships/image" Target="media/image22.JPG"/><Relationship Id="rId64" Type="http://schemas.openxmlformats.org/officeDocument/2006/relationships/image" Target="media/image25.emf"/><Relationship Id="rId69" Type="http://schemas.openxmlformats.org/officeDocument/2006/relationships/hyperlink" Target="http://www.ausstats.abs.gov.au/ausstats/subscriber.nsf/0/13D196FB0DBECC3BCA257C2E00173FAD/$File/32220_2012%20(base)%20to%202101.pdf" TargetMode="External"/><Relationship Id="rId77" Type="http://schemas.openxmlformats.org/officeDocument/2006/relationships/hyperlink" Target="http://www.ncbi.nlm.nih.gov/pubmed/?term=Bird%20A%5BAuthor%5D&amp;cauthor=true&amp;cauthor_uid=21729632" TargetMode="External"/><Relationship Id="rId100" Type="http://schemas.openxmlformats.org/officeDocument/2006/relationships/hyperlink" Target="http://www.ncbi.nlm.nih.gov/pubmed/?term=Zahnert%20T%5BAuthor%5D&amp;cauthor=true&amp;cauthor_uid=18818544" TargetMode="External"/><Relationship Id="rId105" Type="http://schemas.openxmlformats.org/officeDocument/2006/relationships/hyperlink" Target="http://www.ncbi.nlm.nih.gov/pubmed/?term=Haynes%20DS%5BAuthor%5D&amp;cauthor=true&amp;cauthor_uid=24643033" TargetMode="External"/><Relationship Id="rId113" Type="http://schemas.openxmlformats.org/officeDocument/2006/relationships/hyperlink" Target="http://www.ncbi.nlm.nih.gov/pubmed/?term=Miyamoto%20R%5BAuthor%5D&amp;cauthor=true&amp;cauthor_uid=11870337" TargetMode="External"/><Relationship Id="rId118" Type="http://schemas.openxmlformats.org/officeDocument/2006/relationships/hyperlink" Target="http://www.ncbi.nlm.nih.gov/pubmed/?term=Prepageran%20N%5BAuthor%5D&amp;cauthor=true&amp;cauthor_uid=23770961" TargetMode="External"/><Relationship Id="rId8" Type="http://schemas.openxmlformats.org/officeDocument/2006/relationships/endnotes" Target="endnotes.xml"/><Relationship Id="rId51" Type="http://schemas.openxmlformats.org/officeDocument/2006/relationships/header" Target="header12.xml"/><Relationship Id="rId72" Type="http://schemas.openxmlformats.org/officeDocument/2006/relationships/hyperlink" Target="http://www.abs.gov.au/ausstats/abs@.nsf/mf/3302.0.55.001" TargetMode="External"/><Relationship Id="rId80" Type="http://schemas.openxmlformats.org/officeDocument/2006/relationships/hyperlink" Target="http://www.ncbi.nlm.nih.gov/pubmed/?term=Proops%20DW%5BAuthor%5D&amp;cauthor=true&amp;cauthor_uid=21729632" TargetMode="External"/><Relationship Id="rId85" Type="http://schemas.openxmlformats.org/officeDocument/2006/relationships/hyperlink" Target="http://www.ncbi.nlm.nih.gov/pubmed/?term=Helms%20J%5BAuthor%5D&amp;cauthor=true&amp;cauthor_uid=20828837" TargetMode="External"/><Relationship Id="rId93" Type="http://schemas.openxmlformats.org/officeDocument/2006/relationships/hyperlink" Target="http://www.ncbi.nlm.nih.gov/pubmed/?term=Orfila%20D%5BAuthor%5D&amp;cauthor=true&amp;cauthor_uid=20828837" TargetMode="External"/><Relationship Id="rId98" Type="http://schemas.openxmlformats.org/officeDocument/2006/relationships/hyperlink" Target="http://www.ncbi.nlm.nih.gov/pubmed/?term=Snik%20AF%5BAuthor%5D&amp;cauthor=true&amp;cauthor_uid=20828837" TargetMode="External"/><Relationship Id="rId121" Type="http://schemas.openxmlformats.org/officeDocument/2006/relationships/hyperlink" Target="http://www.ncbi.nlm.nih.gov/pubmed/?term=Gilman%20N%5BAuthor%5D&amp;cauthor=true&amp;cauthor_uid=15793407"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1.png"/><Relationship Id="rId25" Type="http://schemas.openxmlformats.org/officeDocument/2006/relationships/header" Target="header8.xml"/><Relationship Id="rId33" Type="http://schemas.openxmlformats.org/officeDocument/2006/relationships/image" Target="media/image7.jpeg"/><Relationship Id="rId38" Type="http://schemas.openxmlformats.org/officeDocument/2006/relationships/image" Target="media/image12.jpeg"/><Relationship Id="rId46" Type="http://schemas.openxmlformats.org/officeDocument/2006/relationships/image" Target="media/image20.png"/><Relationship Id="rId59" Type="http://schemas.openxmlformats.org/officeDocument/2006/relationships/image" Target="media/image23.emf"/><Relationship Id="rId67" Type="http://schemas.openxmlformats.org/officeDocument/2006/relationships/image" Target="media/image26.png"/><Relationship Id="rId103" Type="http://schemas.openxmlformats.org/officeDocument/2006/relationships/hyperlink" Target="http://www.ncbi.nlm.nih.gov/pubmed/?term=Carlson%20ML%5BAuthor%5D&amp;cauthor=true&amp;cauthor_uid=24643033" TargetMode="External"/><Relationship Id="rId108" Type="http://schemas.openxmlformats.org/officeDocument/2006/relationships/hyperlink" Target="http://www.ncbi.nlm.nih.gov/pubmed/?term=Balkany%20TJ%5BAuthor%5D&amp;cauthor=true&amp;cauthor_uid=11870337" TargetMode="External"/><Relationship Id="rId116" Type="http://schemas.openxmlformats.org/officeDocument/2006/relationships/hyperlink" Target="http://www.ncbi.nlm.nih.gov/pubmed/?term=Chai%20CK%5BAuthor%5D&amp;cauthor=true&amp;cauthor_uid=23770961" TargetMode="External"/><Relationship Id="rId124" Type="http://schemas.openxmlformats.org/officeDocument/2006/relationships/theme" Target="theme/theme1.xml"/><Relationship Id="rId20" Type="http://schemas.openxmlformats.org/officeDocument/2006/relationships/header" Target="header5.xml"/><Relationship Id="rId41" Type="http://schemas.openxmlformats.org/officeDocument/2006/relationships/image" Target="media/image15.jpeg"/><Relationship Id="rId54" Type="http://schemas.openxmlformats.org/officeDocument/2006/relationships/hyperlink" Target="http://www.ausp.memphis.edu/harl/applications.html" TargetMode="External"/><Relationship Id="rId62" Type="http://schemas.openxmlformats.org/officeDocument/2006/relationships/image" Target="media/image24.tiff"/><Relationship Id="rId70" Type="http://schemas.openxmlformats.org/officeDocument/2006/relationships/hyperlink" Target="http://www.g-drg.de/cms/Datenveroeffentlichung_gem._21_KHEntgG" TargetMode="External"/><Relationship Id="rId75" Type="http://schemas.openxmlformats.org/officeDocument/2006/relationships/hyperlink" Target="http://www.ncbi.nlm.nih.gov/pubmed/?term=Harris%20P%5BAuthor%5D&amp;cauthor=true&amp;cauthor_uid=21729632" TargetMode="External"/><Relationship Id="rId83" Type="http://schemas.openxmlformats.org/officeDocument/2006/relationships/hyperlink" Target="http://www.ncbi.nlm.nih.gov/pubmed/?term=Welch%20K%5BAuthor%5D&amp;cauthor=true&amp;cauthor_uid=21729632" TargetMode="External"/><Relationship Id="rId88" Type="http://schemas.openxmlformats.org/officeDocument/2006/relationships/hyperlink" Target="http://www.ncbi.nlm.nih.gov/pubmed/?term=Frenzel%20H%5BAuthor%5D&amp;cauthor=true&amp;cauthor_uid=20828837" TargetMode="External"/><Relationship Id="rId91" Type="http://schemas.openxmlformats.org/officeDocument/2006/relationships/hyperlink" Target="http://www.ncbi.nlm.nih.gov/pubmed/?term=Streitberger%20C%5BAuthor%5D&amp;cauthor=true&amp;cauthor_uid=20828837" TargetMode="External"/><Relationship Id="rId96" Type="http://schemas.openxmlformats.org/officeDocument/2006/relationships/hyperlink" Target="http://www.ncbi.nlm.nih.gov/pubmed/?term=Giarbini%20N%5BAuthor%5D&amp;cauthor=true&amp;cauthor_uid=20828837" TargetMode="External"/><Relationship Id="rId111" Type="http://schemas.openxmlformats.org/officeDocument/2006/relationships/hyperlink" Target="http://www.ncbi.nlm.nih.gov/pubmed/?term=Kelsall%20D%5BAuthor%5D&amp;cauthor=true&amp;cauthor_uid=11870337"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image" Target="media/image2.jpeg"/><Relationship Id="rId36" Type="http://schemas.openxmlformats.org/officeDocument/2006/relationships/image" Target="media/image10.jpeg"/><Relationship Id="rId49" Type="http://schemas.openxmlformats.org/officeDocument/2006/relationships/header" Target="header11.xml"/><Relationship Id="rId57" Type="http://schemas.openxmlformats.org/officeDocument/2006/relationships/header" Target="header13.xml"/><Relationship Id="rId106" Type="http://schemas.openxmlformats.org/officeDocument/2006/relationships/hyperlink" Target="http://www.ncbi.nlm.nih.gov/pubmed/?term=Glasscock%20ME%203rd%5BAuthor%5D&amp;cauthor=true&amp;cauthor_uid=24643033" TargetMode="External"/><Relationship Id="rId114" Type="http://schemas.openxmlformats.org/officeDocument/2006/relationships/hyperlink" Target="http://www.ncbi.nlm.nih.gov/pubmed/?term=Parisier%20S%5BAuthor%5D&amp;cauthor=true&amp;cauthor_uid=11870337" TargetMode="External"/><Relationship Id="rId119" Type="http://schemas.openxmlformats.org/officeDocument/2006/relationships/hyperlink" Target="http://www.ncbi.nlm.nih.gov/pubmed/?term=Atkins%20J%5BAuthor%5D&amp;cauthor=true&amp;cauthor_uid=15793407" TargetMode="External"/><Relationship Id="rId10" Type="http://schemas.openxmlformats.org/officeDocument/2006/relationships/header" Target="header1.xml"/><Relationship Id="rId31" Type="http://schemas.openxmlformats.org/officeDocument/2006/relationships/image" Target="media/image5.jpeg"/><Relationship Id="rId44" Type="http://schemas.openxmlformats.org/officeDocument/2006/relationships/image" Target="media/image18.png"/><Relationship Id="rId52" Type="http://schemas.openxmlformats.org/officeDocument/2006/relationships/hyperlink" Target="http://medical-dictionary.thefreedictionary.com/confounding" TargetMode="External"/><Relationship Id="rId60" Type="http://schemas.openxmlformats.org/officeDocument/2006/relationships/header" Target="header14.xml"/><Relationship Id="rId65" Type="http://schemas.openxmlformats.org/officeDocument/2006/relationships/footer" Target="footer10.xml"/><Relationship Id="rId73" Type="http://schemas.openxmlformats.org/officeDocument/2006/relationships/hyperlink" Target="https://reporting.aihw.gov.au/Reports/openRVUrl.do" TargetMode="External"/><Relationship Id="rId78" Type="http://schemas.openxmlformats.org/officeDocument/2006/relationships/hyperlink" Target="http://www.ncbi.nlm.nih.gov/pubmed/?term=Clegg%20AJ%5BAuthor%5D&amp;cauthor=true&amp;cauthor_uid=21729632" TargetMode="External"/><Relationship Id="rId81" Type="http://schemas.openxmlformats.org/officeDocument/2006/relationships/hyperlink" Target="http://www.ncbi.nlm.nih.gov/pubmed/?term=Mitchell%20TE%5BAuthor%5D&amp;cauthor=true&amp;cauthor_uid=21729632" TargetMode="External"/><Relationship Id="rId86" Type="http://schemas.openxmlformats.org/officeDocument/2006/relationships/hyperlink" Target="http://www.ncbi.nlm.nih.gov/pubmed/?term=Roberson%20J%5BAuthor%5D&amp;cauthor=true&amp;cauthor_uid=20828837" TargetMode="External"/><Relationship Id="rId94" Type="http://schemas.openxmlformats.org/officeDocument/2006/relationships/hyperlink" Target="http://www.ncbi.nlm.nih.gov/pubmed/?term=Pringle%20M%5BAuthor%5D&amp;cauthor=true&amp;cauthor_uid=20828837" TargetMode="External"/><Relationship Id="rId99" Type="http://schemas.openxmlformats.org/officeDocument/2006/relationships/hyperlink" Target="http://www.healthutilities.com/" TargetMode="External"/><Relationship Id="rId101" Type="http://schemas.openxmlformats.org/officeDocument/2006/relationships/hyperlink" Target="http://www.ncbi.nlm.nih.gov/pubmed/?term=Bornitz%20M%5BAuthor%5D&amp;cauthor=true&amp;cauthor_uid=18818544" TargetMode="External"/><Relationship Id="rId122" Type="http://schemas.openxmlformats.org/officeDocument/2006/relationships/header" Target="header17.xml"/><Relationship Id="rId4" Type="http://schemas.microsoft.com/office/2007/relationships/stylesWithEffects" Target="stylesWithEffects.xml"/><Relationship Id="rId9" Type="http://schemas.openxmlformats.org/officeDocument/2006/relationships/hyperlink" Target="mailto:robyn.shakes@medel.com" TargetMode="External"/><Relationship Id="rId13" Type="http://schemas.openxmlformats.org/officeDocument/2006/relationships/footer" Target="footer2.xml"/><Relationship Id="rId18" Type="http://schemas.openxmlformats.org/officeDocument/2006/relationships/header" Target="header4.xml"/><Relationship Id="rId39" Type="http://schemas.openxmlformats.org/officeDocument/2006/relationships/image" Target="media/image13.jpeg"/><Relationship Id="rId109" Type="http://schemas.openxmlformats.org/officeDocument/2006/relationships/hyperlink" Target="http://www.ncbi.nlm.nih.gov/pubmed/?term=Maw%20J%5BAuthor%5D&amp;cauthor=true&amp;cauthor_uid=11870337" TargetMode="External"/><Relationship Id="rId34" Type="http://schemas.openxmlformats.org/officeDocument/2006/relationships/image" Target="media/image8.jpeg"/><Relationship Id="rId50" Type="http://schemas.openxmlformats.org/officeDocument/2006/relationships/image" Target="media/image21.png"/><Relationship Id="rId55" Type="http://schemas.openxmlformats.org/officeDocument/2006/relationships/hyperlink" Target="http://www.nal.gov.au/nal_products%20front%20page.htm" TargetMode="External"/><Relationship Id="rId76" Type="http://schemas.openxmlformats.org/officeDocument/2006/relationships/hyperlink" Target="http://www.ncbi.nlm.nih.gov/pubmed/?term=Loveman%20E%5BAuthor%5D&amp;cauthor=true&amp;cauthor_uid=21729632" TargetMode="External"/><Relationship Id="rId97" Type="http://schemas.openxmlformats.org/officeDocument/2006/relationships/hyperlink" Target="http://www.ncbi.nlm.nih.gov/pubmed/?term=Jiang%20D%5BAuthor%5D&amp;cauthor=true&amp;cauthor_uid=20828837" TargetMode="External"/><Relationship Id="rId104" Type="http://schemas.openxmlformats.org/officeDocument/2006/relationships/hyperlink" Target="http://www.ncbi.nlm.nih.gov/pubmed/?term=Daugherty%20JA%5BAuthor%5D&amp;cauthor=true&amp;cauthor_uid=24643033" TargetMode="External"/><Relationship Id="rId120" Type="http://schemas.openxmlformats.org/officeDocument/2006/relationships/hyperlink" Target="http://www.ncbi.nlm.nih.gov/pubmed/?term=Thompson%20JH%20Jr%5BAuthor%5D&amp;cauthor=true&amp;cauthor_uid=15793407" TargetMode="External"/><Relationship Id="rId7" Type="http://schemas.openxmlformats.org/officeDocument/2006/relationships/footnotes" Target="footnotes.xml"/><Relationship Id="rId71" Type="http://schemas.openxmlformats.org/officeDocument/2006/relationships/header" Target="header16.xml"/><Relationship Id="rId92" Type="http://schemas.openxmlformats.org/officeDocument/2006/relationships/hyperlink" Target="http://www.ncbi.nlm.nih.gov/pubmed/?term=Baumgartner%20WD%5BAuthor%5D&amp;cauthor=true&amp;cauthor_uid=20828837" TargetMode="External"/><Relationship Id="rId2" Type="http://schemas.openxmlformats.org/officeDocument/2006/relationships/numbering" Target="numbering.xml"/><Relationship Id="rId29" Type="http://schemas.openxmlformats.org/officeDocument/2006/relationships/image" Target="media/image3.jpeg"/><Relationship Id="rId24" Type="http://schemas.openxmlformats.org/officeDocument/2006/relationships/header" Target="header7.xml"/><Relationship Id="rId40" Type="http://schemas.openxmlformats.org/officeDocument/2006/relationships/image" Target="media/image14.jpg"/><Relationship Id="rId45" Type="http://schemas.openxmlformats.org/officeDocument/2006/relationships/image" Target="media/image19.png"/><Relationship Id="rId66" Type="http://schemas.openxmlformats.org/officeDocument/2006/relationships/header" Target="header15.xml"/><Relationship Id="rId87" Type="http://schemas.openxmlformats.org/officeDocument/2006/relationships/hyperlink" Target="http://www.ncbi.nlm.nih.gov/pubmed/?term=Clar%C3%B3s%20P%5BAuthor%5D&amp;cauthor=true&amp;cauthor_uid=20828837" TargetMode="External"/><Relationship Id="rId110" Type="http://schemas.openxmlformats.org/officeDocument/2006/relationships/hyperlink" Target="http://www.ncbi.nlm.nih.gov/pubmed/?term=Baker%20RS%5BAuthor%5D&amp;cauthor=true&amp;cauthor_uid=11870337" TargetMode="External"/><Relationship Id="rId115" Type="http://schemas.openxmlformats.org/officeDocument/2006/relationships/hyperlink" Target="http://www.ncbi.nlm.nih.gov/pubmed/?term=Arts%20A%5BAuthor%5D&amp;cauthor=true&amp;cauthor_uid=1187033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7DD7D9-CDF8-4342-8C48-EE2076359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198</Pages>
  <Words>54069</Words>
  <Characters>353783</Characters>
  <Application>Microsoft Office Word</Application>
  <DocSecurity>0</DocSecurity>
  <Lines>6803</Lines>
  <Paragraphs>3741</Paragraphs>
  <ScaleCrop>false</ScaleCrop>
  <Company/>
  <LinksUpToDate>false</LinksUpToDate>
  <CharactersWithSpaces>404111</CharactersWithSpaces>
  <SharedDoc>false</SharedDoc>
  <HLinks>
    <vt:vector size="1332" baseType="variant">
      <vt:variant>
        <vt:i4>852028</vt:i4>
      </vt:variant>
      <vt:variant>
        <vt:i4>2331</vt:i4>
      </vt:variant>
      <vt:variant>
        <vt:i4>0</vt:i4>
      </vt:variant>
      <vt:variant>
        <vt:i4>5</vt:i4>
      </vt:variant>
      <vt:variant>
        <vt:lpwstr>http://www.cancerscreening.ie/publications/QA_final_web_version.pdf</vt:lpwstr>
      </vt:variant>
      <vt:variant>
        <vt:lpwstr/>
      </vt:variant>
      <vt:variant>
        <vt:i4>1245188</vt:i4>
      </vt:variant>
      <vt:variant>
        <vt:i4>2328</vt:i4>
      </vt:variant>
      <vt:variant>
        <vt:i4>0</vt:i4>
      </vt:variant>
      <vt:variant>
        <vt:i4>5</vt:i4>
      </vt:variant>
      <vt:variant>
        <vt:lpwstr>http://www.cochrane-handbook.org/</vt:lpwstr>
      </vt:variant>
      <vt:variant>
        <vt:lpwstr/>
      </vt:variant>
      <vt:variant>
        <vt:i4>1114160</vt:i4>
      </vt:variant>
      <vt:variant>
        <vt:i4>1325</vt:i4>
      </vt:variant>
      <vt:variant>
        <vt:i4>0</vt:i4>
      </vt:variant>
      <vt:variant>
        <vt:i4>5</vt:i4>
      </vt:variant>
      <vt:variant>
        <vt:lpwstr/>
      </vt:variant>
      <vt:variant>
        <vt:lpwstr>_Toc337547079</vt:lpwstr>
      </vt:variant>
      <vt:variant>
        <vt:i4>1114160</vt:i4>
      </vt:variant>
      <vt:variant>
        <vt:i4>1319</vt:i4>
      </vt:variant>
      <vt:variant>
        <vt:i4>0</vt:i4>
      </vt:variant>
      <vt:variant>
        <vt:i4>5</vt:i4>
      </vt:variant>
      <vt:variant>
        <vt:lpwstr/>
      </vt:variant>
      <vt:variant>
        <vt:lpwstr>_Toc337547078</vt:lpwstr>
      </vt:variant>
      <vt:variant>
        <vt:i4>1114160</vt:i4>
      </vt:variant>
      <vt:variant>
        <vt:i4>1313</vt:i4>
      </vt:variant>
      <vt:variant>
        <vt:i4>0</vt:i4>
      </vt:variant>
      <vt:variant>
        <vt:i4>5</vt:i4>
      </vt:variant>
      <vt:variant>
        <vt:lpwstr/>
      </vt:variant>
      <vt:variant>
        <vt:lpwstr>_Toc337547077</vt:lpwstr>
      </vt:variant>
      <vt:variant>
        <vt:i4>1114160</vt:i4>
      </vt:variant>
      <vt:variant>
        <vt:i4>1307</vt:i4>
      </vt:variant>
      <vt:variant>
        <vt:i4>0</vt:i4>
      </vt:variant>
      <vt:variant>
        <vt:i4>5</vt:i4>
      </vt:variant>
      <vt:variant>
        <vt:lpwstr/>
      </vt:variant>
      <vt:variant>
        <vt:lpwstr>_Toc337547076</vt:lpwstr>
      </vt:variant>
      <vt:variant>
        <vt:i4>1114160</vt:i4>
      </vt:variant>
      <vt:variant>
        <vt:i4>1304</vt:i4>
      </vt:variant>
      <vt:variant>
        <vt:i4>0</vt:i4>
      </vt:variant>
      <vt:variant>
        <vt:i4>5</vt:i4>
      </vt:variant>
      <vt:variant>
        <vt:lpwstr/>
      </vt:variant>
      <vt:variant>
        <vt:lpwstr>_Toc337547075</vt:lpwstr>
      </vt:variant>
      <vt:variant>
        <vt:i4>1114160</vt:i4>
      </vt:variant>
      <vt:variant>
        <vt:i4>1301</vt:i4>
      </vt:variant>
      <vt:variant>
        <vt:i4>0</vt:i4>
      </vt:variant>
      <vt:variant>
        <vt:i4>5</vt:i4>
      </vt:variant>
      <vt:variant>
        <vt:lpwstr/>
      </vt:variant>
      <vt:variant>
        <vt:lpwstr>_Toc337547074</vt:lpwstr>
      </vt:variant>
      <vt:variant>
        <vt:i4>1114160</vt:i4>
      </vt:variant>
      <vt:variant>
        <vt:i4>1298</vt:i4>
      </vt:variant>
      <vt:variant>
        <vt:i4>0</vt:i4>
      </vt:variant>
      <vt:variant>
        <vt:i4>5</vt:i4>
      </vt:variant>
      <vt:variant>
        <vt:lpwstr/>
      </vt:variant>
      <vt:variant>
        <vt:lpwstr>_Toc337547073</vt:lpwstr>
      </vt:variant>
      <vt:variant>
        <vt:i4>1114160</vt:i4>
      </vt:variant>
      <vt:variant>
        <vt:i4>1295</vt:i4>
      </vt:variant>
      <vt:variant>
        <vt:i4>0</vt:i4>
      </vt:variant>
      <vt:variant>
        <vt:i4>5</vt:i4>
      </vt:variant>
      <vt:variant>
        <vt:lpwstr/>
      </vt:variant>
      <vt:variant>
        <vt:lpwstr>_Toc337547072</vt:lpwstr>
      </vt:variant>
      <vt:variant>
        <vt:i4>1114160</vt:i4>
      </vt:variant>
      <vt:variant>
        <vt:i4>1292</vt:i4>
      </vt:variant>
      <vt:variant>
        <vt:i4>0</vt:i4>
      </vt:variant>
      <vt:variant>
        <vt:i4>5</vt:i4>
      </vt:variant>
      <vt:variant>
        <vt:lpwstr/>
      </vt:variant>
      <vt:variant>
        <vt:lpwstr>_Toc337547071</vt:lpwstr>
      </vt:variant>
      <vt:variant>
        <vt:i4>1114160</vt:i4>
      </vt:variant>
      <vt:variant>
        <vt:i4>1286</vt:i4>
      </vt:variant>
      <vt:variant>
        <vt:i4>0</vt:i4>
      </vt:variant>
      <vt:variant>
        <vt:i4>5</vt:i4>
      </vt:variant>
      <vt:variant>
        <vt:lpwstr/>
      </vt:variant>
      <vt:variant>
        <vt:lpwstr>_Toc337547070</vt:lpwstr>
      </vt:variant>
      <vt:variant>
        <vt:i4>1048624</vt:i4>
      </vt:variant>
      <vt:variant>
        <vt:i4>1280</vt:i4>
      </vt:variant>
      <vt:variant>
        <vt:i4>0</vt:i4>
      </vt:variant>
      <vt:variant>
        <vt:i4>5</vt:i4>
      </vt:variant>
      <vt:variant>
        <vt:lpwstr/>
      </vt:variant>
      <vt:variant>
        <vt:lpwstr>_Toc337547069</vt:lpwstr>
      </vt:variant>
      <vt:variant>
        <vt:i4>1048624</vt:i4>
      </vt:variant>
      <vt:variant>
        <vt:i4>1274</vt:i4>
      </vt:variant>
      <vt:variant>
        <vt:i4>0</vt:i4>
      </vt:variant>
      <vt:variant>
        <vt:i4>5</vt:i4>
      </vt:variant>
      <vt:variant>
        <vt:lpwstr/>
      </vt:variant>
      <vt:variant>
        <vt:lpwstr>_Toc337547068</vt:lpwstr>
      </vt:variant>
      <vt:variant>
        <vt:i4>1048624</vt:i4>
      </vt:variant>
      <vt:variant>
        <vt:i4>1271</vt:i4>
      </vt:variant>
      <vt:variant>
        <vt:i4>0</vt:i4>
      </vt:variant>
      <vt:variant>
        <vt:i4>5</vt:i4>
      </vt:variant>
      <vt:variant>
        <vt:lpwstr/>
      </vt:variant>
      <vt:variant>
        <vt:lpwstr>_Toc337547067</vt:lpwstr>
      </vt:variant>
      <vt:variant>
        <vt:i4>1048624</vt:i4>
      </vt:variant>
      <vt:variant>
        <vt:i4>1265</vt:i4>
      </vt:variant>
      <vt:variant>
        <vt:i4>0</vt:i4>
      </vt:variant>
      <vt:variant>
        <vt:i4>5</vt:i4>
      </vt:variant>
      <vt:variant>
        <vt:lpwstr/>
      </vt:variant>
      <vt:variant>
        <vt:lpwstr>_Toc337547066</vt:lpwstr>
      </vt:variant>
      <vt:variant>
        <vt:i4>1048624</vt:i4>
      </vt:variant>
      <vt:variant>
        <vt:i4>1259</vt:i4>
      </vt:variant>
      <vt:variant>
        <vt:i4>0</vt:i4>
      </vt:variant>
      <vt:variant>
        <vt:i4>5</vt:i4>
      </vt:variant>
      <vt:variant>
        <vt:lpwstr/>
      </vt:variant>
      <vt:variant>
        <vt:lpwstr>_Toc337547065</vt:lpwstr>
      </vt:variant>
      <vt:variant>
        <vt:i4>1048624</vt:i4>
      </vt:variant>
      <vt:variant>
        <vt:i4>1253</vt:i4>
      </vt:variant>
      <vt:variant>
        <vt:i4>0</vt:i4>
      </vt:variant>
      <vt:variant>
        <vt:i4>5</vt:i4>
      </vt:variant>
      <vt:variant>
        <vt:lpwstr/>
      </vt:variant>
      <vt:variant>
        <vt:lpwstr>_Toc337547064</vt:lpwstr>
      </vt:variant>
      <vt:variant>
        <vt:i4>1048624</vt:i4>
      </vt:variant>
      <vt:variant>
        <vt:i4>1247</vt:i4>
      </vt:variant>
      <vt:variant>
        <vt:i4>0</vt:i4>
      </vt:variant>
      <vt:variant>
        <vt:i4>5</vt:i4>
      </vt:variant>
      <vt:variant>
        <vt:lpwstr/>
      </vt:variant>
      <vt:variant>
        <vt:lpwstr>_Toc337547063</vt:lpwstr>
      </vt:variant>
      <vt:variant>
        <vt:i4>1048624</vt:i4>
      </vt:variant>
      <vt:variant>
        <vt:i4>1241</vt:i4>
      </vt:variant>
      <vt:variant>
        <vt:i4>0</vt:i4>
      </vt:variant>
      <vt:variant>
        <vt:i4>5</vt:i4>
      </vt:variant>
      <vt:variant>
        <vt:lpwstr/>
      </vt:variant>
      <vt:variant>
        <vt:lpwstr>_Toc337547062</vt:lpwstr>
      </vt:variant>
      <vt:variant>
        <vt:i4>1048624</vt:i4>
      </vt:variant>
      <vt:variant>
        <vt:i4>1235</vt:i4>
      </vt:variant>
      <vt:variant>
        <vt:i4>0</vt:i4>
      </vt:variant>
      <vt:variant>
        <vt:i4>5</vt:i4>
      </vt:variant>
      <vt:variant>
        <vt:lpwstr/>
      </vt:variant>
      <vt:variant>
        <vt:lpwstr>_Toc337547061</vt:lpwstr>
      </vt:variant>
      <vt:variant>
        <vt:i4>1048624</vt:i4>
      </vt:variant>
      <vt:variant>
        <vt:i4>1229</vt:i4>
      </vt:variant>
      <vt:variant>
        <vt:i4>0</vt:i4>
      </vt:variant>
      <vt:variant>
        <vt:i4>5</vt:i4>
      </vt:variant>
      <vt:variant>
        <vt:lpwstr/>
      </vt:variant>
      <vt:variant>
        <vt:lpwstr>_Toc337547060</vt:lpwstr>
      </vt:variant>
      <vt:variant>
        <vt:i4>1245232</vt:i4>
      </vt:variant>
      <vt:variant>
        <vt:i4>1223</vt:i4>
      </vt:variant>
      <vt:variant>
        <vt:i4>0</vt:i4>
      </vt:variant>
      <vt:variant>
        <vt:i4>5</vt:i4>
      </vt:variant>
      <vt:variant>
        <vt:lpwstr/>
      </vt:variant>
      <vt:variant>
        <vt:lpwstr>_Toc337547059</vt:lpwstr>
      </vt:variant>
      <vt:variant>
        <vt:i4>1245232</vt:i4>
      </vt:variant>
      <vt:variant>
        <vt:i4>1217</vt:i4>
      </vt:variant>
      <vt:variant>
        <vt:i4>0</vt:i4>
      </vt:variant>
      <vt:variant>
        <vt:i4>5</vt:i4>
      </vt:variant>
      <vt:variant>
        <vt:lpwstr/>
      </vt:variant>
      <vt:variant>
        <vt:lpwstr>_Toc337547058</vt:lpwstr>
      </vt:variant>
      <vt:variant>
        <vt:i4>1245232</vt:i4>
      </vt:variant>
      <vt:variant>
        <vt:i4>1211</vt:i4>
      </vt:variant>
      <vt:variant>
        <vt:i4>0</vt:i4>
      </vt:variant>
      <vt:variant>
        <vt:i4>5</vt:i4>
      </vt:variant>
      <vt:variant>
        <vt:lpwstr/>
      </vt:variant>
      <vt:variant>
        <vt:lpwstr>_Toc337547057</vt:lpwstr>
      </vt:variant>
      <vt:variant>
        <vt:i4>1245232</vt:i4>
      </vt:variant>
      <vt:variant>
        <vt:i4>1205</vt:i4>
      </vt:variant>
      <vt:variant>
        <vt:i4>0</vt:i4>
      </vt:variant>
      <vt:variant>
        <vt:i4>5</vt:i4>
      </vt:variant>
      <vt:variant>
        <vt:lpwstr/>
      </vt:variant>
      <vt:variant>
        <vt:lpwstr>_Toc337547056</vt:lpwstr>
      </vt:variant>
      <vt:variant>
        <vt:i4>1245232</vt:i4>
      </vt:variant>
      <vt:variant>
        <vt:i4>1199</vt:i4>
      </vt:variant>
      <vt:variant>
        <vt:i4>0</vt:i4>
      </vt:variant>
      <vt:variant>
        <vt:i4>5</vt:i4>
      </vt:variant>
      <vt:variant>
        <vt:lpwstr/>
      </vt:variant>
      <vt:variant>
        <vt:lpwstr>_Toc337547055</vt:lpwstr>
      </vt:variant>
      <vt:variant>
        <vt:i4>1245232</vt:i4>
      </vt:variant>
      <vt:variant>
        <vt:i4>1193</vt:i4>
      </vt:variant>
      <vt:variant>
        <vt:i4>0</vt:i4>
      </vt:variant>
      <vt:variant>
        <vt:i4>5</vt:i4>
      </vt:variant>
      <vt:variant>
        <vt:lpwstr/>
      </vt:variant>
      <vt:variant>
        <vt:lpwstr>_Toc337547054</vt:lpwstr>
      </vt:variant>
      <vt:variant>
        <vt:i4>1245232</vt:i4>
      </vt:variant>
      <vt:variant>
        <vt:i4>1187</vt:i4>
      </vt:variant>
      <vt:variant>
        <vt:i4>0</vt:i4>
      </vt:variant>
      <vt:variant>
        <vt:i4>5</vt:i4>
      </vt:variant>
      <vt:variant>
        <vt:lpwstr/>
      </vt:variant>
      <vt:variant>
        <vt:lpwstr>_Toc337547053</vt:lpwstr>
      </vt:variant>
      <vt:variant>
        <vt:i4>1245232</vt:i4>
      </vt:variant>
      <vt:variant>
        <vt:i4>1181</vt:i4>
      </vt:variant>
      <vt:variant>
        <vt:i4>0</vt:i4>
      </vt:variant>
      <vt:variant>
        <vt:i4>5</vt:i4>
      </vt:variant>
      <vt:variant>
        <vt:lpwstr/>
      </vt:variant>
      <vt:variant>
        <vt:lpwstr>_Toc337547052</vt:lpwstr>
      </vt:variant>
      <vt:variant>
        <vt:i4>1245232</vt:i4>
      </vt:variant>
      <vt:variant>
        <vt:i4>1175</vt:i4>
      </vt:variant>
      <vt:variant>
        <vt:i4>0</vt:i4>
      </vt:variant>
      <vt:variant>
        <vt:i4>5</vt:i4>
      </vt:variant>
      <vt:variant>
        <vt:lpwstr/>
      </vt:variant>
      <vt:variant>
        <vt:lpwstr>_Toc337547051</vt:lpwstr>
      </vt:variant>
      <vt:variant>
        <vt:i4>1245232</vt:i4>
      </vt:variant>
      <vt:variant>
        <vt:i4>1166</vt:i4>
      </vt:variant>
      <vt:variant>
        <vt:i4>0</vt:i4>
      </vt:variant>
      <vt:variant>
        <vt:i4>5</vt:i4>
      </vt:variant>
      <vt:variant>
        <vt:lpwstr/>
      </vt:variant>
      <vt:variant>
        <vt:lpwstr>_Toc337547050</vt:lpwstr>
      </vt:variant>
      <vt:variant>
        <vt:i4>1179696</vt:i4>
      </vt:variant>
      <vt:variant>
        <vt:i4>1160</vt:i4>
      </vt:variant>
      <vt:variant>
        <vt:i4>0</vt:i4>
      </vt:variant>
      <vt:variant>
        <vt:i4>5</vt:i4>
      </vt:variant>
      <vt:variant>
        <vt:lpwstr/>
      </vt:variant>
      <vt:variant>
        <vt:lpwstr>_Toc337547049</vt:lpwstr>
      </vt:variant>
      <vt:variant>
        <vt:i4>1179696</vt:i4>
      </vt:variant>
      <vt:variant>
        <vt:i4>1154</vt:i4>
      </vt:variant>
      <vt:variant>
        <vt:i4>0</vt:i4>
      </vt:variant>
      <vt:variant>
        <vt:i4>5</vt:i4>
      </vt:variant>
      <vt:variant>
        <vt:lpwstr/>
      </vt:variant>
      <vt:variant>
        <vt:lpwstr>_Toc337547048</vt:lpwstr>
      </vt:variant>
      <vt:variant>
        <vt:i4>1179696</vt:i4>
      </vt:variant>
      <vt:variant>
        <vt:i4>1148</vt:i4>
      </vt:variant>
      <vt:variant>
        <vt:i4>0</vt:i4>
      </vt:variant>
      <vt:variant>
        <vt:i4>5</vt:i4>
      </vt:variant>
      <vt:variant>
        <vt:lpwstr/>
      </vt:variant>
      <vt:variant>
        <vt:lpwstr>_Toc337547047</vt:lpwstr>
      </vt:variant>
      <vt:variant>
        <vt:i4>1179696</vt:i4>
      </vt:variant>
      <vt:variant>
        <vt:i4>1142</vt:i4>
      </vt:variant>
      <vt:variant>
        <vt:i4>0</vt:i4>
      </vt:variant>
      <vt:variant>
        <vt:i4>5</vt:i4>
      </vt:variant>
      <vt:variant>
        <vt:lpwstr/>
      </vt:variant>
      <vt:variant>
        <vt:lpwstr>_Toc337547046</vt:lpwstr>
      </vt:variant>
      <vt:variant>
        <vt:i4>1179696</vt:i4>
      </vt:variant>
      <vt:variant>
        <vt:i4>1136</vt:i4>
      </vt:variant>
      <vt:variant>
        <vt:i4>0</vt:i4>
      </vt:variant>
      <vt:variant>
        <vt:i4>5</vt:i4>
      </vt:variant>
      <vt:variant>
        <vt:lpwstr/>
      </vt:variant>
      <vt:variant>
        <vt:lpwstr>_Toc337547045</vt:lpwstr>
      </vt:variant>
      <vt:variant>
        <vt:i4>1179696</vt:i4>
      </vt:variant>
      <vt:variant>
        <vt:i4>1130</vt:i4>
      </vt:variant>
      <vt:variant>
        <vt:i4>0</vt:i4>
      </vt:variant>
      <vt:variant>
        <vt:i4>5</vt:i4>
      </vt:variant>
      <vt:variant>
        <vt:lpwstr/>
      </vt:variant>
      <vt:variant>
        <vt:lpwstr>_Toc337547044</vt:lpwstr>
      </vt:variant>
      <vt:variant>
        <vt:i4>1179696</vt:i4>
      </vt:variant>
      <vt:variant>
        <vt:i4>1124</vt:i4>
      </vt:variant>
      <vt:variant>
        <vt:i4>0</vt:i4>
      </vt:variant>
      <vt:variant>
        <vt:i4>5</vt:i4>
      </vt:variant>
      <vt:variant>
        <vt:lpwstr/>
      </vt:variant>
      <vt:variant>
        <vt:lpwstr>_Toc337547043</vt:lpwstr>
      </vt:variant>
      <vt:variant>
        <vt:i4>1179696</vt:i4>
      </vt:variant>
      <vt:variant>
        <vt:i4>1118</vt:i4>
      </vt:variant>
      <vt:variant>
        <vt:i4>0</vt:i4>
      </vt:variant>
      <vt:variant>
        <vt:i4>5</vt:i4>
      </vt:variant>
      <vt:variant>
        <vt:lpwstr/>
      </vt:variant>
      <vt:variant>
        <vt:lpwstr>_Toc337547042</vt:lpwstr>
      </vt:variant>
      <vt:variant>
        <vt:i4>1179696</vt:i4>
      </vt:variant>
      <vt:variant>
        <vt:i4>1112</vt:i4>
      </vt:variant>
      <vt:variant>
        <vt:i4>0</vt:i4>
      </vt:variant>
      <vt:variant>
        <vt:i4>5</vt:i4>
      </vt:variant>
      <vt:variant>
        <vt:lpwstr/>
      </vt:variant>
      <vt:variant>
        <vt:lpwstr>_Toc337547041</vt:lpwstr>
      </vt:variant>
      <vt:variant>
        <vt:i4>1179696</vt:i4>
      </vt:variant>
      <vt:variant>
        <vt:i4>1106</vt:i4>
      </vt:variant>
      <vt:variant>
        <vt:i4>0</vt:i4>
      </vt:variant>
      <vt:variant>
        <vt:i4>5</vt:i4>
      </vt:variant>
      <vt:variant>
        <vt:lpwstr/>
      </vt:variant>
      <vt:variant>
        <vt:lpwstr>_Toc337547040</vt:lpwstr>
      </vt:variant>
      <vt:variant>
        <vt:i4>1376304</vt:i4>
      </vt:variant>
      <vt:variant>
        <vt:i4>1100</vt:i4>
      </vt:variant>
      <vt:variant>
        <vt:i4>0</vt:i4>
      </vt:variant>
      <vt:variant>
        <vt:i4>5</vt:i4>
      </vt:variant>
      <vt:variant>
        <vt:lpwstr/>
      </vt:variant>
      <vt:variant>
        <vt:lpwstr>_Toc337547039</vt:lpwstr>
      </vt:variant>
      <vt:variant>
        <vt:i4>1376304</vt:i4>
      </vt:variant>
      <vt:variant>
        <vt:i4>1094</vt:i4>
      </vt:variant>
      <vt:variant>
        <vt:i4>0</vt:i4>
      </vt:variant>
      <vt:variant>
        <vt:i4>5</vt:i4>
      </vt:variant>
      <vt:variant>
        <vt:lpwstr/>
      </vt:variant>
      <vt:variant>
        <vt:lpwstr>_Toc337547038</vt:lpwstr>
      </vt:variant>
      <vt:variant>
        <vt:i4>1376304</vt:i4>
      </vt:variant>
      <vt:variant>
        <vt:i4>1088</vt:i4>
      </vt:variant>
      <vt:variant>
        <vt:i4>0</vt:i4>
      </vt:variant>
      <vt:variant>
        <vt:i4>5</vt:i4>
      </vt:variant>
      <vt:variant>
        <vt:lpwstr/>
      </vt:variant>
      <vt:variant>
        <vt:lpwstr>_Toc337547037</vt:lpwstr>
      </vt:variant>
      <vt:variant>
        <vt:i4>1376304</vt:i4>
      </vt:variant>
      <vt:variant>
        <vt:i4>1082</vt:i4>
      </vt:variant>
      <vt:variant>
        <vt:i4>0</vt:i4>
      </vt:variant>
      <vt:variant>
        <vt:i4>5</vt:i4>
      </vt:variant>
      <vt:variant>
        <vt:lpwstr/>
      </vt:variant>
      <vt:variant>
        <vt:lpwstr>_Toc337547036</vt:lpwstr>
      </vt:variant>
      <vt:variant>
        <vt:i4>1376304</vt:i4>
      </vt:variant>
      <vt:variant>
        <vt:i4>1076</vt:i4>
      </vt:variant>
      <vt:variant>
        <vt:i4>0</vt:i4>
      </vt:variant>
      <vt:variant>
        <vt:i4>5</vt:i4>
      </vt:variant>
      <vt:variant>
        <vt:lpwstr/>
      </vt:variant>
      <vt:variant>
        <vt:lpwstr>_Toc337547035</vt:lpwstr>
      </vt:variant>
      <vt:variant>
        <vt:i4>1376304</vt:i4>
      </vt:variant>
      <vt:variant>
        <vt:i4>1070</vt:i4>
      </vt:variant>
      <vt:variant>
        <vt:i4>0</vt:i4>
      </vt:variant>
      <vt:variant>
        <vt:i4>5</vt:i4>
      </vt:variant>
      <vt:variant>
        <vt:lpwstr/>
      </vt:variant>
      <vt:variant>
        <vt:lpwstr>_Toc337547034</vt:lpwstr>
      </vt:variant>
      <vt:variant>
        <vt:i4>1376304</vt:i4>
      </vt:variant>
      <vt:variant>
        <vt:i4>1064</vt:i4>
      </vt:variant>
      <vt:variant>
        <vt:i4>0</vt:i4>
      </vt:variant>
      <vt:variant>
        <vt:i4>5</vt:i4>
      </vt:variant>
      <vt:variant>
        <vt:lpwstr/>
      </vt:variant>
      <vt:variant>
        <vt:lpwstr>_Toc337547033</vt:lpwstr>
      </vt:variant>
      <vt:variant>
        <vt:i4>1376304</vt:i4>
      </vt:variant>
      <vt:variant>
        <vt:i4>1058</vt:i4>
      </vt:variant>
      <vt:variant>
        <vt:i4>0</vt:i4>
      </vt:variant>
      <vt:variant>
        <vt:i4>5</vt:i4>
      </vt:variant>
      <vt:variant>
        <vt:lpwstr/>
      </vt:variant>
      <vt:variant>
        <vt:lpwstr>_Toc337547032</vt:lpwstr>
      </vt:variant>
      <vt:variant>
        <vt:i4>1376304</vt:i4>
      </vt:variant>
      <vt:variant>
        <vt:i4>1052</vt:i4>
      </vt:variant>
      <vt:variant>
        <vt:i4>0</vt:i4>
      </vt:variant>
      <vt:variant>
        <vt:i4>5</vt:i4>
      </vt:variant>
      <vt:variant>
        <vt:lpwstr/>
      </vt:variant>
      <vt:variant>
        <vt:lpwstr>_Toc337547031</vt:lpwstr>
      </vt:variant>
      <vt:variant>
        <vt:i4>1376304</vt:i4>
      </vt:variant>
      <vt:variant>
        <vt:i4>1046</vt:i4>
      </vt:variant>
      <vt:variant>
        <vt:i4>0</vt:i4>
      </vt:variant>
      <vt:variant>
        <vt:i4>5</vt:i4>
      </vt:variant>
      <vt:variant>
        <vt:lpwstr/>
      </vt:variant>
      <vt:variant>
        <vt:lpwstr>_Toc337547030</vt:lpwstr>
      </vt:variant>
      <vt:variant>
        <vt:i4>1310768</vt:i4>
      </vt:variant>
      <vt:variant>
        <vt:i4>1040</vt:i4>
      </vt:variant>
      <vt:variant>
        <vt:i4>0</vt:i4>
      </vt:variant>
      <vt:variant>
        <vt:i4>5</vt:i4>
      </vt:variant>
      <vt:variant>
        <vt:lpwstr/>
      </vt:variant>
      <vt:variant>
        <vt:lpwstr>_Toc337547029</vt:lpwstr>
      </vt:variant>
      <vt:variant>
        <vt:i4>1310768</vt:i4>
      </vt:variant>
      <vt:variant>
        <vt:i4>1034</vt:i4>
      </vt:variant>
      <vt:variant>
        <vt:i4>0</vt:i4>
      </vt:variant>
      <vt:variant>
        <vt:i4>5</vt:i4>
      </vt:variant>
      <vt:variant>
        <vt:lpwstr/>
      </vt:variant>
      <vt:variant>
        <vt:lpwstr>_Toc337547028</vt:lpwstr>
      </vt:variant>
      <vt:variant>
        <vt:i4>1310768</vt:i4>
      </vt:variant>
      <vt:variant>
        <vt:i4>1028</vt:i4>
      </vt:variant>
      <vt:variant>
        <vt:i4>0</vt:i4>
      </vt:variant>
      <vt:variant>
        <vt:i4>5</vt:i4>
      </vt:variant>
      <vt:variant>
        <vt:lpwstr/>
      </vt:variant>
      <vt:variant>
        <vt:lpwstr>_Toc337547027</vt:lpwstr>
      </vt:variant>
      <vt:variant>
        <vt:i4>1310768</vt:i4>
      </vt:variant>
      <vt:variant>
        <vt:i4>1022</vt:i4>
      </vt:variant>
      <vt:variant>
        <vt:i4>0</vt:i4>
      </vt:variant>
      <vt:variant>
        <vt:i4>5</vt:i4>
      </vt:variant>
      <vt:variant>
        <vt:lpwstr/>
      </vt:variant>
      <vt:variant>
        <vt:lpwstr>_Toc337547026</vt:lpwstr>
      </vt:variant>
      <vt:variant>
        <vt:i4>1310768</vt:i4>
      </vt:variant>
      <vt:variant>
        <vt:i4>1016</vt:i4>
      </vt:variant>
      <vt:variant>
        <vt:i4>0</vt:i4>
      </vt:variant>
      <vt:variant>
        <vt:i4>5</vt:i4>
      </vt:variant>
      <vt:variant>
        <vt:lpwstr/>
      </vt:variant>
      <vt:variant>
        <vt:lpwstr>_Toc337547025</vt:lpwstr>
      </vt:variant>
      <vt:variant>
        <vt:i4>1310768</vt:i4>
      </vt:variant>
      <vt:variant>
        <vt:i4>1010</vt:i4>
      </vt:variant>
      <vt:variant>
        <vt:i4>0</vt:i4>
      </vt:variant>
      <vt:variant>
        <vt:i4>5</vt:i4>
      </vt:variant>
      <vt:variant>
        <vt:lpwstr/>
      </vt:variant>
      <vt:variant>
        <vt:lpwstr>_Toc337547024</vt:lpwstr>
      </vt:variant>
      <vt:variant>
        <vt:i4>1310768</vt:i4>
      </vt:variant>
      <vt:variant>
        <vt:i4>1004</vt:i4>
      </vt:variant>
      <vt:variant>
        <vt:i4>0</vt:i4>
      </vt:variant>
      <vt:variant>
        <vt:i4>5</vt:i4>
      </vt:variant>
      <vt:variant>
        <vt:lpwstr/>
      </vt:variant>
      <vt:variant>
        <vt:lpwstr>_Toc337547023</vt:lpwstr>
      </vt:variant>
      <vt:variant>
        <vt:i4>1310768</vt:i4>
      </vt:variant>
      <vt:variant>
        <vt:i4>1001</vt:i4>
      </vt:variant>
      <vt:variant>
        <vt:i4>0</vt:i4>
      </vt:variant>
      <vt:variant>
        <vt:i4>5</vt:i4>
      </vt:variant>
      <vt:variant>
        <vt:lpwstr/>
      </vt:variant>
      <vt:variant>
        <vt:lpwstr>_Toc337547022</vt:lpwstr>
      </vt:variant>
      <vt:variant>
        <vt:i4>1310768</vt:i4>
      </vt:variant>
      <vt:variant>
        <vt:i4>998</vt:i4>
      </vt:variant>
      <vt:variant>
        <vt:i4>0</vt:i4>
      </vt:variant>
      <vt:variant>
        <vt:i4>5</vt:i4>
      </vt:variant>
      <vt:variant>
        <vt:lpwstr/>
      </vt:variant>
      <vt:variant>
        <vt:lpwstr>_Toc337547021</vt:lpwstr>
      </vt:variant>
      <vt:variant>
        <vt:i4>1310768</vt:i4>
      </vt:variant>
      <vt:variant>
        <vt:i4>995</vt:i4>
      </vt:variant>
      <vt:variant>
        <vt:i4>0</vt:i4>
      </vt:variant>
      <vt:variant>
        <vt:i4>5</vt:i4>
      </vt:variant>
      <vt:variant>
        <vt:lpwstr/>
      </vt:variant>
      <vt:variant>
        <vt:lpwstr>_Toc337547020</vt:lpwstr>
      </vt:variant>
      <vt:variant>
        <vt:i4>1507376</vt:i4>
      </vt:variant>
      <vt:variant>
        <vt:i4>989</vt:i4>
      </vt:variant>
      <vt:variant>
        <vt:i4>0</vt:i4>
      </vt:variant>
      <vt:variant>
        <vt:i4>5</vt:i4>
      </vt:variant>
      <vt:variant>
        <vt:lpwstr/>
      </vt:variant>
      <vt:variant>
        <vt:lpwstr>_Toc337547019</vt:lpwstr>
      </vt:variant>
      <vt:variant>
        <vt:i4>1507376</vt:i4>
      </vt:variant>
      <vt:variant>
        <vt:i4>983</vt:i4>
      </vt:variant>
      <vt:variant>
        <vt:i4>0</vt:i4>
      </vt:variant>
      <vt:variant>
        <vt:i4>5</vt:i4>
      </vt:variant>
      <vt:variant>
        <vt:lpwstr/>
      </vt:variant>
      <vt:variant>
        <vt:lpwstr>_Toc337547018</vt:lpwstr>
      </vt:variant>
      <vt:variant>
        <vt:i4>1507376</vt:i4>
      </vt:variant>
      <vt:variant>
        <vt:i4>977</vt:i4>
      </vt:variant>
      <vt:variant>
        <vt:i4>0</vt:i4>
      </vt:variant>
      <vt:variant>
        <vt:i4>5</vt:i4>
      </vt:variant>
      <vt:variant>
        <vt:lpwstr/>
      </vt:variant>
      <vt:variant>
        <vt:lpwstr>_Toc337547017</vt:lpwstr>
      </vt:variant>
      <vt:variant>
        <vt:i4>1507376</vt:i4>
      </vt:variant>
      <vt:variant>
        <vt:i4>971</vt:i4>
      </vt:variant>
      <vt:variant>
        <vt:i4>0</vt:i4>
      </vt:variant>
      <vt:variant>
        <vt:i4>5</vt:i4>
      </vt:variant>
      <vt:variant>
        <vt:lpwstr/>
      </vt:variant>
      <vt:variant>
        <vt:lpwstr>_Toc337547016</vt:lpwstr>
      </vt:variant>
      <vt:variant>
        <vt:i4>1507376</vt:i4>
      </vt:variant>
      <vt:variant>
        <vt:i4>965</vt:i4>
      </vt:variant>
      <vt:variant>
        <vt:i4>0</vt:i4>
      </vt:variant>
      <vt:variant>
        <vt:i4>5</vt:i4>
      </vt:variant>
      <vt:variant>
        <vt:lpwstr/>
      </vt:variant>
      <vt:variant>
        <vt:lpwstr>_Toc337547015</vt:lpwstr>
      </vt:variant>
      <vt:variant>
        <vt:i4>1507376</vt:i4>
      </vt:variant>
      <vt:variant>
        <vt:i4>959</vt:i4>
      </vt:variant>
      <vt:variant>
        <vt:i4>0</vt:i4>
      </vt:variant>
      <vt:variant>
        <vt:i4>5</vt:i4>
      </vt:variant>
      <vt:variant>
        <vt:lpwstr/>
      </vt:variant>
      <vt:variant>
        <vt:lpwstr>_Toc337547014</vt:lpwstr>
      </vt:variant>
      <vt:variant>
        <vt:i4>1507376</vt:i4>
      </vt:variant>
      <vt:variant>
        <vt:i4>953</vt:i4>
      </vt:variant>
      <vt:variant>
        <vt:i4>0</vt:i4>
      </vt:variant>
      <vt:variant>
        <vt:i4>5</vt:i4>
      </vt:variant>
      <vt:variant>
        <vt:lpwstr/>
      </vt:variant>
      <vt:variant>
        <vt:lpwstr>_Toc337547013</vt:lpwstr>
      </vt:variant>
      <vt:variant>
        <vt:i4>1507376</vt:i4>
      </vt:variant>
      <vt:variant>
        <vt:i4>947</vt:i4>
      </vt:variant>
      <vt:variant>
        <vt:i4>0</vt:i4>
      </vt:variant>
      <vt:variant>
        <vt:i4>5</vt:i4>
      </vt:variant>
      <vt:variant>
        <vt:lpwstr/>
      </vt:variant>
      <vt:variant>
        <vt:lpwstr>_Toc337547012</vt:lpwstr>
      </vt:variant>
      <vt:variant>
        <vt:i4>1507376</vt:i4>
      </vt:variant>
      <vt:variant>
        <vt:i4>941</vt:i4>
      </vt:variant>
      <vt:variant>
        <vt:i4>0</vt:i4>
      </vt:variant>
      <vt:variant>
        <vt:i4>5</vt:i4>
      </vt:variant>
      <vt:variant>
        <vt:lpwstr/>
      </vt:variant>
      <vt:variant>
        <vt:lpwstr>_Toc337547011</vt:lpwstr>
      </vt:variant>
      <vt:variant>
        <vt:i4>1507376</vt:i4>
      </vt:variant>
      <vt:variant>
        <vt:i4>935</vt:i4>
      </vt:variant>
      <vt:variant>
        <vt:i4>0</vt:i4>
      </vt:variant>
      <vt:variant>
        <vt:i4>5</vt:i4>
      </vt:variant>
      <vt:variant>
        <vt:lpwstr/>
      </vt:variant>
      <vt:variant>
        <vt:lpwstr>_Toc337547010</vt:lpwstr>
      </vt:variant>
      <vt:variant>
        <vt:i4>1441840</vt:i4>
      </vt:variant>
      <vt:variant>
        <vt:i4>929</vt:i4>
      </vt:variant>
      <vt:variant>
        <vt:i4>0</vt:i4>
      </vt:variant>
      <vt:variant>
        <vt:i4>5</vt:i4>
      </vt:variant>
      <vt:variant>
        <vt:lpwstr/>
      </vt:variant>
      <vt:variant>
        <vt:lpwstr>_Toc337547009</vt:lpwstr>
      </vt:variant>
      <vt:variant>
        <vt:i4>1441840</vt:i4>
      </vt:variant>
      <vt:variant>
        <vt:i4>923</vt:i4>
      </vt:variant>
      <vt:variant>
        <vt:i4>0</vt:i4>
      </vt:variant>
      <vt:variant>
        <vt:i4>5</vt:i4>
      </vt:variant>
      <vt:variant>
        <vt:lpwstr/>
      </vt:variant>
      <vt:variant>
        <vt:lpwstr>_Toc337547008</vt:lpwstr>
      </vt:variant>
      <vt:variant>
        <vt:i4>1441840</vt:i4>
      </vt:variant>
      <vt:variant>
        <vt:i4>917</vt:i4>
      </vt:variant>
      <vt:variant>
        <vt:i4>0</vt:i4>
      </vt:variant>
      <vt:variant>
        <vt:i4>5</vt:i4>
      </vt:variant>
      <vt:variant>
        <vt:lpwstr/>
      </vt:variant>
      <vt:variant>
        <vt:lpwstr>_Toc337547007</vt:lpwstr>
      </vt:variant>
      <vt:variant>
        <vt:i4>1441840</vt:i4>
      </vt:variant>
      <vt:variant>
        <vt:i4>911</vt:i4>
      </vt:variant>
      <vt:variant>
        <vt:i4>0</vt:i4>
      </vt:variant>
      <vt:variant>
        <vt:i4>5</vt:i4>
      </vt:variant>
      <vt:variant>
        <vt:lpwstr/>
      </vt:variant>
      <vt:variant>
        <vt:lpwstr>_Toc337547006</vt:lpwstr>
      </vt:variant>
      <vt:variant>
        <vt:i4>1441840</vt:i4>
      </vt:variant>
      <vt:variant>
        <vt:i4>905</vt:i4>
      </vt:variant>
      <vt:variant>
        <vt:i4>0</vt:i4>
      </vt:variant>
      <vt:variant>
        <vt:i4>5</vt:i4>
      </vt:variant>
      <vt:variant>
        <vt:lpwstr/>
      </vt:variant>
      <vt:variant>
        <vt:lpwstr>_Toc337547005</vt:lpwstr>
      </vt:variant>
      <vt:variant>
        <vt:i4>1441840</vt:i4>
      </vt:variant>
      <vt:variant>
        <vt:i4>899</vt:i4>
      </vt:variant>
      <vt:variant>
        <vt:i4>0</vt:i4>
      </vt:variant>
      <vt:variant>
        <vt:i4>5</vt:i4>
      </vt:variant>
      <vt:variant>
        <vt:lpwstr/>
      </vt:variant>
      <vt:variant>
        <vt:lpwstr>_Toc337547004</vt:lpwstr>
      </vt:variant>
      <vt:variant>
        <vt:i4>1441840</vt:i4>
      </vt:variant>
      <vt:variant>
        <vt:i4>893</vt:i4>
      </vt:variant>
      <vt:variant>
        <vt:i4>0</vt:i4>
      </vt:variant>
      <vt:variant>
        <vt:i4>5</vt:i4>
      </vt:variant>
      <vt:variant>
        <vt:lpwstr/>
      </vt:variant>
      <vt:variant>
        <vt:lpwstr>_Toc337547003</vt:lpwstr>
      </vt:variant>
      <vt:variant>
        <vt:i4>1441840</vt:i4>
      </vt:variant>
      <vt:variant>
        <vt:i4>887</vt:i4>
      </vt:variant>
      <vt:variant>
        <vt:i4>0</vt:i4>
      </vt:variant>
      <vt:variant>
        <vt:i4>5</vt:i4>
      </vt:variant>
      <vt:variant>
        <vt:lpwstr/>
      </vt:variant>
      <vt:variant>
        <vt:lpwstr>_Toc337547002</vt:lpwstr>
      </vt:variant>
      <vt:variant>
        <vt:i4>1441840</vt:i4>
      </vt:variant>
      <vt:variant>
        <vt:i4>881</vt:i4>
      </vt:variant>
      <vt:variant>
        <vt:i4>0</vt:i4>
      </vt:variant>
      <vt:variant>
        <vt:i4>5</vt:i4>
      </vt:variant>
      <vt:variant>
        <vt:lpwstr/>
      </vt:variant>
      <vt:variant>
        <vt:lpwstr>_Toc337547001</vt:lpwstr>
      </vt:variant>
      <vt:variant>
        <vt:i4>1441840</vt:i4>
      </vt:variant>
      <vt:variant>
        <vt:i4>875</vt:i4>
      </vt:variant>
      <vt:variant>
        <vt:i4>0</vt:i4>
      </vt:variant>
      <vt:variant>
        <vt:i4>5</vt:i4>
      </vt:variant>
      <vt:variant>
        <vt:lpwstr/>
      </vt:variant>
      <vt:variant>
        <vt:lpwstr>_Toc337547000</vt:lpwstr>
      </vt:variant>
      <vt:variant>
        <vt:i4>1966137</vt:i4>
      </vt:variant>
      <vt:variant>
        <vt:i4>869</vt:i4>
      </vt:variant>
      <vt:variant>
        <vt:i4>0</vt:i4>
      </vt:variant>
      <vt:variant>
        <vt:i4>5</vt:i4>
      </vt:variant>
      <vt:variant>
        <vt:lpwstr/>
      </vt:variant>
      <vt:variant>
        <vt:lpwstr>_Toc337546999</vt:lpwstr>
      </vt:variant>
      <vt:variant>
        <vt:i4>1966137</vt:i4>
      </vt:variant>
      <vt:variant>
        <vt:i4>863</vt:i4>
      </vt:variant>
      <vt:variant>
        <vt:i4>0</vt:i4>
      </vt:variant>
      <vt:variant>
        <vt:i4>5</vt:i4>
      </vt:variant>
      <vt:variant>
        <vt:lpwstr/>
      </vt:variant>
      <vt:variant>
        <vt:lpwstr>_Toc337546998</vt:lpwstr>
      </vt:variant>
      <vt:variant>
        <vt:i4>1966137</vt:i4>
      </vt:variant>
      <vt:variant>
        <vt:i4>857</vt:i4>
      </vt:variant>
      <vt:variant>
        <vt:i4>0</vt:i4>
      </vt:variant>
      <vt:variant>
        <vt:i4>5</vt:i4>
      </vt:variant>
      <vt:variant>
        <vt:lpwstr/>
      </vt:variant>
      <vt:variant>
        <vt:lpwstr>_Toc337546997</vt:lpwstr>
      </vt:variant>
      <vt:variant>
        <vt:i4>1966137</vt:i4>
      </vt:variant>
      <vt:variant>
        <vt:i4>851</vt:i4>
      </vt:variant>
      <vt:variant>
        <vt:i4>0</vt:i4>
      </vt:variant>
      <vt:variant>
        <vt:i4>5</vt:i4>
      </vt:variant>
      <vt:variant>
        <vt:lpwstr/>
      </vt:variant>
      <vt:variant>
        <vt:lpwstr>_Toc337546996</vt:lpwstr>
      </vt:variant>
      <vt:variant>
        <vt:i4>1966137</vt:i4>
      </vt:variant>
      <vt:variant>
        <vt:i4>845</vt:i4>
      </vt:variant>
      <vt:variant>
        <vt:i4>0</vt:i4>
      </vt:variant>
      <vt:variant>
        <vt:i4>5</vt:i4>
      </vt:variant>
      <vt:variant>
        <vt:lpwstr/>
      </vt:variant>
      <vt:variant>
        <vt:lpwstr>_Toc337546995</vt:lpwstr>
      </vt:variant>
      <vt:variant>
        <vt:i4>1966137</vt:i4>
      </vt:variant>
      <vt:variant>
        <vt:i4>839</vt:i4>
      </vt:variant>
      <vt:variant>
        <vt:i4>0</vt:i4>
      </vt:variant>
      <vt:variant>
        <vt:i4>5</vt:i4>
      </vt:variant>
      <vt:variant>
        <vt:lpwstr/>
      </vt:variant>
      <vt:variant>
        <vt:lpwstr>_Toc337546994</vt:lpwstr>
      </vt:variant>
      <vt:variant>
        <vt:i4>1966137</vt:i4>
      </vt:variant>
      <vt:variant>
        <vt:i4>833</vt:i4>
      </vt:variant>
      <vt:variant>
        <vt:i4>0</vt:i4>
      </vt:variant>
      <vt:variant>
        <vt:i4>5</vt:i4>
      </vt:variant>
      <vt:variant>
        <vt:lpwstr/>
      </vt:variant>
      <vt:variant>
        <vt:lpwstr>_Toc337546993</vt:lpwstr>
      </vt:variant>
      <vt:variant>
        <vt:i4>1966137</vt:i4>
      </vt:variant>
      <vt:variant>
        <vt:i4>827</vt:i4>
      </vt:variant>
      <vt:variant>
        <vt:i4>0</vt:i4>
      </vt:variant>
      <vt:variant>
        <vt:i4>5</vt:i4>
      </vt:variant>
      <vt:variant>
        <vt:lpwstr/>
      </vt:variant>
      <vt:variant>
        <vt:lpwstr>_Toc337546992</vt:lpwstr>
      </vt:variant>
      <vt:variant>
        <vt:i4>1966137</vt:i4>
      </vt:variant>
      <vt:variant>
        <vt:i4>821</vt:i4>
      </vt:variant>
      <vt:variant>
        <vt:i4>0</vt:i4>
      </vt:variant>
      <vt:variant>
        <vt:i4>5</vt:i4>
      </vt:variant>
      <vt:variant>
        <vt:lpwstr/>
      </vt:variant>
      <vt:variant>
        <vt:lpwstr>_Toc337546991</vt:lpwstr>
      </vt:variant>
      <vt:variant>
        <vt:i4>1966137</vt:i4>
      </vt:variant>
      <vt:variant>
        <vt:i4>815</vt:i4>
      </vt:variant>
      <vt:variant>
        <vt:i4>0</vt:i4>
      </vt:variant>
      <vt:variant>
        <vt:i4>5</vt:i4>
      </vt:variant>
      <vt:variant>
        <vt:lpwstr/>
      </vt:variant>
      <vt:variant>
        <vt:lpwstr>_Toc337546990</vt:lpwstr>
      </vt:variant>
      <vt:variant>
        <vt:i4>2031673</vt:i4>
      </vt:variant>
      <vt:variant>
        <vt:i4>809</vt:i4>
      </vt:variant>
      <vt:variant>
        <vt:i4>0</vt:i4>
      </vt:variant>
      <vt:variant>
        <vt:i4>5</vt:i4>
      </vt:variant>
      <vt:variant>
        <vt:lpwstr/>
      </vt:variant>
      <vt:variant>
        <vt:lpwstr>_Toc337546989</vt:lpwstr>
      </vt:variant>
      <vt:variant>
        <vt:i4>2031673</vt:i4>
      </vt:variant>
      <vt:variant>
        <vt:i4>803</vt:i4>
      </vt:variant>
      <vt:variant>
        <vt:i4>0</vt:i4>
      </vt:variant>
      <vt:variant>
        <vt:i4>5</vt:i4>
      </vt:variant>
      <vt:variant>
        <vt:lpwstr/>
      </vt:variant>
      <vt:variant>
        <vt:lpwstr>_Toc337546988</vt:lpwstr>
      </vt:variant>
      <vt:variant>
        <vt:i4>2031673</vt:i4>
      </vt:variant>
      <vt:variant>
        <vt:i4>797</vt:i4>
      </vt:variant>
      <vt:variant>
        <vt:i4>0</vt:i4>
      </vt:variant>
      <vt:variant>
        <vt:i4>5</vt:i4>
      </vt:variant>
      <vt:variant>
        <vt:lpwstr/>
      </vt:variant>
      <vt:variant>
        <vt:lpwstr>_Toc337546987</vt:lpwstr>
      </vt:variant>
      <vt:variant>
        <vt:i4>2031673</vt:i4>
      </vt:variant>
      <vt:variant>
        <vt:i4>791</vt:i4>
      </vt:variant>
      <vt:variant>
        <vt:i4>0</vt:i4>
      </vt:variant>
      <vt:variant>
        <vt:i4>5</vt:i4>
      </vt:variant>
      <vt:variant>
        <vt:lpwstr/>
      </vt:variant>
      <vt:variant>
        <vt:lpwstr>_Toc337546986</vt:lpwstr>
      </vt:variant>
      <vt:variant>
        <vt:i4>2031673</vt:i4>
      </vt:variant>
      <vt:variant>
        <vt:i4>785</vt:i4>
      </vt:variant>
      <vt:variant>
        <vt:i4>0</vt:i4>
      </vt:variant>
      <vt:variant>
        <vt:i4>5</vt:i4>
      </vt:variant>
      <vt:variant>
        <vt:lpwstr/>
      </vt:variant>
      <vt:variant>
        <vt:lpwstr>_Toc337546985</vt:lpwstr>
      </vt:variant>
      <vt:variant>
        <vt:i4>2031673</vt:i4>
      </vt:variant>
      <vt:variant>
        <vt:i4>779</vt:i4>
      </vt:variant>
      <vt:variant>
        <vt:i4>0</vt:i4>
      </vt:variant>
      <vt:variant>
        <vt:i4>5</vt:i4>
      </vt:variant>
      <vt:variant>
        <vt:lpwstr/>
      </vt:variant>
      <vt:variant>
        <vt:lpwstr>_Toc337546984</vt:lpwstr>
      </vt:variant>
      <vt:variant>
        <vt:i4>2031673</vt:i4>
      </vt:variant>
      <vt:variant>
        <vt:i4>773</vt:i4>
      </vt:variant>
      <vt:variant>
        <vt:i4>0</vt:i4>
      </vt:variant>
      <vt:variant>
        <vt:i4>5</vt:i4>
      </vt:variant>
      <vt:variant>
        <vt:lpwstr/>
      </vt:variant>
      <vt:variant>
        <vt:lpwstr>_Toc337546983</vt:lpwstr>
      </vt:variant>
      <vt:variant>
        <vt:i4>2031673</vt:i4>
      </vt:variant>
      <vt:variant>
        <vt:i4>767</vt:i4>
      </vt:variant>
      <vt:variant>
        <vt:i4>0</vt:i4>
      </vt:variant>
      <vt:variant>
        <vt:i4>5</vt:i4>
      </vt:variant>
      <vt:variant>
        <vt:lpwstr/>
      </vt:variant>
      <vt:variant>
        <vt:lpwstr>_Toc337546982</vt:lpwstr>
      </vt:variant>
      <vt:variant>
        <vt:i4>2031673</vt:i4>
      </vt:variant>
      <vt:variant>
        <vt:i4>761</vt:i4>
      </vt:variant>
      <vt:variant>
        <vt:i4>0</vt:i4>
      </vt:variant>
      <vt:variant>
        <vt:i4>5</vt:i4>
      </vt:variant>
      <vt:variant>
        <vt:lpwstr/>
      </vt:variant>
      <vt:variant>
        <vt:lpwstr>_Toc337546981</vt:lpwstr>
      </vt:variant>
      <vt:variant>
        <vt:i4>2031673</vt:i4>
      </vt:variant>
      <vt:variant>
        <vt:i4>755</vt:i4>
      </vt:variant>
      <vt:variant>
        <vt:i4>0</vt:i4>
      </vt:variant>
      <vt:variant>
        <vt:i4>5</vt:i4>
      </vt:variant>
      <vt:variant>
        <vt:lpwstr/>
      </vt:variant>
      <vt:variant>
        <vt:lpwstr>_Toc337546980</vt:lpwstr>
      </vt:variant>
      <vt:variant>
        <vt:i4>1048633</vt:i4>
      </vt:variant>
      <vt:variant>
        <vt:i4>749</vt:i4>
      </vt:variant>
      <vt:variant>
        <vt:i4>0</vt:i4>
      </vt:variant>
      <vt:variant>
        <vt:i4>5</vt:i4>
      </vt:variant>
      <vt:variant>
        <vt:lpwstr/>
      </vt:variant>
      <vt:variant>
        <vt:lpwstr>_Toc337546979</vt:lpwstr>
      </vt:variant>
      <vt:variant>
        <vt:i4>1048633</vt:i4>
      </vt:variant>
      <vt:variant>
        <vt:i4>743</vt:i4>
      </vt:variant>
      <vt:variant>
        <vt:i4>0</vt:i4>
      </vt:variant>
      <vt:variant>
        <vt:i4>5</vt:i4>
      </vt:variant>
      <vt:variant>
        <vt:lpwstr/>
      </vt:variant>
      <vt:variant>
        <vt:lpwstr>_Toc337546978</vt:lpwstr>
      </vt:variant>
      <vt:variant>
        <vt:i4>1048633</vt:i4>
      </vt:variant>
      <vt:variant>
        <vt:i4>737</vt:i4>
      </vt:variant>
      <vt:variant>
        <vt:i4>0</vt:i4>
      </vt:variant>
      <vt:variant>
        <vt:i4>5</vt:i4>
      </vt:variant>
      <vt:variant>
        <vt:lpwstr/>
      </vt:variant>
      <vt:variant>
        <vt:lpwstr>_Toc337546977</vt:lpwstr>
      </vt:variant>
      <vt:variant>
        <vt:i4>1048633</vt:i4>
      </vt:variant>
      <vt:variant>
        <vt:i4>731</vt:i4>
      </vt:variant>
      <vt:variant>
        <vt:i4>0</vt:i4>
      </vt:variant>
      <vt:variant>
        <vt:i4>5</vt:i4>
      </vt:variant>
      <vt:variant>
        <vt:lpwstr/>
      </vt:variant>
      <vt:variant>
        <vt:lpwstr>_Toc337546976</vt:lpwstr>
      </vt:variant>
      <vt:variant>
        <vt:i4>1048633</vt:i4>
      </vt:variant>
      <vt:variant>
        <vt:i4>725</vt:i4>
      </vt:variant>
      <vt:variant>
        <vt:i4>0</vt:i4>
      </vt:variant>
      <vt:variant>
        <vt:i4>5</vt:i4>
      </vt:variant>
      <vt:variant>
        <vt:lpwstr/>
      </vt:variant>
      <vt:variant>
        <vt:lpwstr>_Toc337546975</vt:lpwstr>
      </vt:variant>
      <vt:variant>
        <vt:i4>1048633</vt:i4>
      </vt:variant>
      <vt:variant>
        <vt:i4>719</vt:i4>
      </vt:variant>
      <vt:variant>
        <vt:i4>0</vt:i4>
      </vt:variant>
      <vt:variant>
        <vt:i4>5</vt:i4>
      </vt:variant>
      <vt:variant>
        <vt:lpwstr/>
      </vt:variant>
      <vt:variant>
        <vt:lpwstr>_Toc337546974</vt:lpwstr>
      </vt:variant>
      <vt:variant>
        <vt:i4>1048633</vt:i4>
      </vt:variant>
      <vt:variant>
        <vt:i4>713</vt:i4>
      </vt:variant>
      <vt:variant>
        <vt:i4>0</vt:i4>
      </vt:variant>
      <vt:variant>
        <vt:i4>5</vt:i4>
      </vt:variant>
      <vt:variant>
        <vt:lpwstr/>
      </vt:variant>
      <vt:variant>
        <vt:lpwstr>_Toc337546973</vt:lpwstr>
      </vt:variant>
      <vt:variant>
        <vt:i4>1048633</vt:i4>
      </vt:variant>
      <vt:variant>
        <vt:i4>707</vt:i4>
      </vt:variant>
      <vt:variant>
        <vt:i4>0</vt:i4>
      </vt:variant>
      <vt:variant>
        <vt:i4>5</vt:i4>
      </vt:variant>
      <vt:variant>
        <vt:lpwstr/>
      </vt:variant>
      <vt:variant>
        <vt:lpwstr>_Toc337546972</vt:lpwstr>
      </vt:variant>
      <vt:variant>
        <vt:i4>1048633</vt:i4>
      </vt:variant>
      <vt:variant>
        <vt:i4>701</vt:i4>
      </vt:variant>
      <vt:variant>
        <vt:i4>0</vt:i4>
      </vt:variant>
      <vt:variant>
        <vt:i4>5</vt:i4>
      </vt:variant>
      <vt:variant>
        <vt:lpwstr/>
      </vt:variant>
      <vt:variant>
        <vt:lpwstr>_Toc337546971</vt:lpwstr>
      </vt:variant>
      <vt:variant>
        <vt:i4>1048633</vt:i4>
      </vt:variant>
      <vt:variant>
        <vt:i4>695</vt:i4>
      </vt:variant>
      <vt:variant>
        <vt:i4>0</vt:i4>
      </vt:variant>
      <vt:variant>
        <vt:i4>5</vt:i4>
      </vt:variant>
      <vt:variant>
        <vt:lpwstr/>
      </vt:variant>
      <vt:variant>
        <vt:lpwstr>_Toc337546970</vt:lpwstr>
      </vt:variant>
      <vt:variant>
        <vt:i4>1114169</vt:i4>
      </vt:variant>
      <vt:variant>
        <vt:i4>689</vt:i4>
      </vt:variant>
      <vt:variant>
        <vt:i4>0</vt:i4>
      </vt:variant>
      <vt:variant>
        <vt:i4>5</vt:i4>
      </vt:variant>
      <vt:variant>
        <vt:lpwstr/>
      </vt:variant>
      <vt:variant>
        <vt:lpwstr>_Toc337546969</vt:lpwstr>
      </vt:variant>
      <vt:variant>
        <vt:i4>1114169</vt:i4>
      </vt:variant>
      <vt:variant>
        <vt:i4>683</vt:i4>
      </vt:variant>
      <vt:variant>
        <vt:i4>0</vt:i4>
      </vt:variant>
      <vt:variant>
        <vt:i4>5</vt:i4>
      </vt:variant>
      <vt:variant>
        <vt:lpwstr/>
      </vt:variant>
      <vt:variant>
        <vt:lpwstr>_Toc337546968</vt:lpwstr>
      </vt:variant>
      <vt:variant>
        <vt:i4>1114169</vt:i4>
      </vt:variant>
      <vt:variant>
        <vt:i4>677</vt:i4>
      </vt:variant>
      <vt:variant>
        <vt:i4>0</vt:i4>
      </vt:variant>
      <vt:variant>
        <vt:i4>5</vt:i4>
      </vt:variant>
      <vt:variant>
        <vt:lpwstr/>
      </vt:variant>
      <vt:variant>
        <vt:lpwstr>_Toc337546967</vt:lpwstr>
      </vt:variant>
      <vt:variant>
        <vt:i4>1114169</vt:i4>
      </vt:variant>
      <vt:variant>
        <vt:i4>671</vt:i4>
      </vt:variant>
      <vt:variant>
        <vt:i4>0</vt:i4>
      </vt:variant>
      <vt:variant>
        <vt:i4>5</vt:i4>
      </vt:variant>
      <vt:variant>
        <vt:lpwstr/>
      </vt:variant>
      <vt:variant>
        <vt:lpwstr>_Toc337546966</vt:lpwstr>
      </vt:variant>
      <vt:variant>
        <vt:i4>1114169</vt:i4>
      </vt:variant>
      <vt:variant>
        <vt:i4>665</vt:i4>
      </vt:variant>
      <vt:variant>
        <vt:i4>0</vt:i4>
      </vt:variant>
      <vt:variant>
        <vt:i4>5</vt:i4>
      </vt:variant>
      <vt:variant>
        <vt:lpwstr/>
      </vt:variant>
      <vt:variant>
        <vt:lpwstr>_Toc337546965</vt:lpwstr>
      </vt:variant>
      <vt:variant>
        <vt:i4>1114169</vt:i4>
      </vt:variant>
      <vt:variant>
        <vt:i4>659</vt:i4>
      </vt:variant>
      <vt:variant>
        <vt:i4>0</vt:i4>
      </vt:variant>
      <vt:variant>
        <vt:i4>5</vt:i4>
      </vt:variant>
      <vt:variant>
        <vt:lpwstr/>
      </vt:variant>
      <vt:variant>
        <vt:lpwstr>_Toc337546964</vt:lpwstr>
      </vt:variant>
      <vt:variant>
        <vt:i4>1114169</vt:i4>
      </vt:variant>
      <vt:variant>
        <vt:i4>653</vt:i4>
      </vt:variant>
      <vt:variant>
        <vt:i4>0</vt:i4>
      </vt:variant>
      <vt:variant>
        <vt:i4>5</vt:i4>
      </vt:variant>
      <vt:variant>
        <vt:lpwstr/>
      </vt:variant>
      <vt:variant>
        <vt:lpwstr>_Toc337546963</vt:lpwstr>
      </vt:variant>
      <vt:variant>
        <vt:i4>1114169</vt:i4>
      </vt:variant>
      <vt:variant>
        <vt:i4>647</vt:i4>
      </vt:variant>
      <vt:variant>
        <vt:i4>0</vt:i4>
      </vt:variant>
      <vt:variant>
        <vt:i4>5</vt:i4>
      </vt:variant>
      <vt:variant>
        <vt:lpwstr/>
      </vt:variant>
      <vt:variant>
        <vt:lpwstr>_Toc337546962</vt:lpwstr>
      </vt:variant>
      <vt:variant>
        <vt:i4>1114169</vt:i4>
      </vt:variant>
      <vt:variant>
        <vt:i4>641</vt:i4>
      </vt:variant>
      <vt:variant>
        <vt:i4>0</vt:i4>
      </vt:variant>
      <vt:variant>
        <vt:i4>5</vt:i4>
      </vt:variant>
      <vt:variant>
        <vt:lpwstr/>
      </vt:variant>
      <vt:variant>
        <vt:lpwstr>_Toc337546961</vt:lpwstr>
      </vt:variant>
      <vt:variant>
        <vt:i4>1114169</vt:i4>
      </vt:variant>
      <vt:variant>
        <vt:i4>635</vt:i4>
      </vt:variant>
      <vt:variant>
        <vt:i4>0</vt:i4>
      </vt:variant>
      <vt:variant>
        <vt:i4>5</vt:i4>
      </vt:variant>
      <vt:variant>
        <vt:lpwstr/>
      </vt:variant>
      <vt:variant>
        <vt:lpwstr>_Toc337546960</vt:lpwstr>
      </vt:variant>
      <vt:variant>
        <vt:i4>1179705</vt:i4>
      </vt:variant>
      <vt:variant>
        <vt:i4>629</vt:i4>
      </vt:variant>
      <vt:variant>
        <vt:i4>0</vt:i4>
      </vt:variant>
      <vt:variant>
        <vt:i4>5</vt:i4>
      </vt:variant>
      <vt:variant>
        <vt:lpwstr/>
      </vt:variant>
      <vt:variant>
        <vt:lpwstr>_Toc337546959</vt:lpwstr>
      </vt:variant>
      <vt:variant>
        <vt:i4>1179705</vt:i4>
      </vt:variant>
      <vt:variant>
        <vt:i4>623</vt:i4>
      </vt:variant>
      <vt:variant>
        <vt:i4>0</vt:i4>
      </vt:variant>
      <vt:variant>
        <vt:i4>5</vt:i4>
      </vt:variant>
      <vt:variant>
        <vt:lpwstr/>
      </vt:variant>
      <vt:variant>
        <vt:lpwstr>_Toc337546958</vt:lpwstr>
      </vt:variant>
      <vt:variant>
        <vt:i4>1179705</vt:i4>
      </vt:variant>
      <vt:variant>
        <vt:i4>617</vt:i4>
      </vt:variant>
      <vt:variant>
        <vt:i4>0</vt:i4>
      </vt:variant>
      <vt:variant>
        <vt:i4>5</vt:i4>
      </vt:variant>
      <vt:variant>
        <vt:lpwstr/>
      </vt:variant>
      <vt:variant>
        <vt:lpwstr>_Toc337546957</vt:lpwstr>
      </vt:variant>
      <vt:variant>
        <vt:i4>1179705</vt:i4>
      </vt:variant>
      <vt:variant>
        <vt:i4>611</vt:i4>
      </vt:variant>
      <vt:variant>
        <vt:i4>0</vt:i4>
      </vt:variant>
      <vt:variant>
        <vt:i4>5</vt:i4>
      </vt:variant>
      <vt:variant>
        <vt:lpwstr/>
      </vt:variant>
      <vt:variant>
        <vt:lpwstr>_Toc337546956</vt:lpwstr>
      </vt:variant>
      <vt:variant>
        <vt:i4>1179705</vt:i4>
      </vt:variant>
      <vt:variant>
        <vt:i4>605</vt:i4>
      </vt:variant>
      <vt:variant>
        <vt:i4>0</vt:i4>
      </vt:variant>
      <vt:variant>
        <vt:i4>5</vt:i4>
      </vt:variant>
      <vt:variant>
        <vt:lpwstr/>
      </vt:variant>
      <vt:variant>
        <vt:lpwstr>_Toc337546955</vt:lpwstr>
      </vt:variant>
      <vt:variant>
        <vt:i4>1179705</vt:i4>
      </vt:variant>
      <vt:variant>
        <vt:i4>599</vt:i4>
      </vt:variant>
      <vt:variant>
        <vt:i4>0</vt:i4>
      </vt:variant>
      <vt:variant>
        <vt:i4>5</vt:i4>
      </vt:variant>
      <vt:variant>
        <vt:lpwstr/>
      </vt:variant>
      <vt:variant>
        <vt:lpwstr>_Toc337546954</vt:lpwstr>
      </vt:variant>
      <vt:variant>
        <vt:i4>1179705</vt:i4>
      </vt:variant>
      <vt:variant>
        <vt:i4>593</vt:i4>
      </vt:variant>
      <vt:variant>
        <vt:i4>0</vt:i4>
      </vt:variant>
      <vt:variant>
        <vt:i4>5</vt:i4>
      </vt:variant>
      <vt:variant>
        <vt:lpwstr/>
      </vt:variant>
      <vt:variant>
        <vt:lpwstr>_Toc337546953</vt:lpwstr>
      </vt:variant>
      <vt:variant>
        <vt:i4>1179705</vt:i4>
      </vt:variant>
      <vt:variant>
        <vt:i4>587</vt:i4>
      </vt:variant>
      <vt:variant>
        <vt:i4>0</vt:i4>
      </vt:variant>
      <vt:variant>
        <vt:i4>5</vt:i4>
      </vt:variant>
      <vt:variant>
        <vt:lpwstr/>
      </vt:variant>
      <vt:variant>
        <vt:lpwstr>_Toc337546952</vt:lpwstr>
      </vt:variant>
      <vt:variant>
        <vt:i4>1179705</vt:i4>
      </vt:variant>
      <vt:variant>
        <vt:i4>581</vt:i4>
      </vt:variant>
      <vt:variant>
        <vt:i4>0</vt:i4>
      </vt:variant>
      <vt:variant>
        <vt:i4>5</vt:i4>
      </vt:variant>
      <vt:variant>
        <vt:lpwstr/>
      </vt:variant>
      <vt:variant>
        <vt:lpwstr>_Toc337546951</vt:lpwstr>
      </vt:variant>
      <vt:variant>
        <vt:i4>1179705</vt:i4>
      </vt:variant>
      <vt:variant>
        <vt:i4>575</vt:i4>
      </vt:variant>
      <vt:variant>
        <vt:i4>0</vt:i4>
      </vt:variant>
      <vt:variant>
        <vt:i4>5</vt:i4>
      </vt:variant>
      <vt:variant>
        <vt:lpwstr/>
      </vt:variant>
      <vt:variant>
        <vt:lpwstr>_Toc337546950</vt:lpwstr>
      </vt:variant>
      <vt:variant>
        <vt:i4>1245241</vt:i4>
      </vt:variant>
      <vt:variant>
        <vt:i4>569</vt:i4>
      </vt:variant>
      <vt:variant>
        <vt:i4>0</vt:i4>
      </vt:variant>
      <vt:variant>
        <vt:i4>5</vt:i4>
      </vt:variant>
      <vt:variant>
        <vt:lpwstr/>
      </vt:variant>
      <vt:variant>
        <vt:lpwstr>_Toc337546949</vt:lpwstr>
      </vt:variant>
      <vt:variant>
        <vt:i4>1245241</vt:i4>
      </vt:variant>
      <vt:variant>
        <vt:i4>563</vt:i4>
      </vt:variant>
      <vt:variant>
        <vt:i4>0</vt:i4>
      </vt:variant>
      <vt:variant>
        <vt:i4>5</vt:i4>
      </vt:variant>
      <vt:variant>
        <vt:lpwstr/>
      </vt:variant>
      <vt:variant>
        <vt:lpwstr>_Toc337546948</vt:lpwstr>
      </vt:variant>
      <vt:variant>
        <vt:i4>1245241</vt:i4>
      </vt:variant>
      <vt:variant>
        <vt:i4>557</vt:i4>
      </vt:variant>
      <vt:variant>
        <vt:i4>0</vt:i4>
      </vt:variant>
      <vt:variant>
        <vt:i4>5</vt:i4>
      </vt:variant>
      <vt:variant>
        <vt:lpwstr/>
      </vt:variant>
      <vt:variant>
        <vt:lpwstr>_Toc337546947</vt:lpwstr>
      </vt:variant>
      <vt:variant>
        <vt:i4>1245241</vt:i4>
      </vt:variant>
      <vt:variant>
        <vt:i4>551</vt:i4>
      </vt:variant>
      <vt:variant>
        <vt:i4>0</vt:i4>
      </vt:variant>
      <vt:variant>
        <vt:i4>5</vt:i4>
      </vt:variant>
      <vt:variant>
        <vt:lpwstr/>
      </vt:variant>
      <vt:variant>
        <vt:lpwstr>_Toc337546946</vt:lpwstr>
      </vt:variant>
      <vt:variant>
        <vt:i4>1245241</vt:i4>
      </vt:variant>
      <vt:variant>
        <vt:i4>545</vt:i4>
      </vt:variant>
      <vt:variant>
        <vt:i4>0</vt:i4>
      </vt:variant>
      <vt:variant>
        <vt:i4>5</vt:i4>
      </vt:variant>
      <vt:variant>
        <vt:lpwstr/>
      </vt:variant>
      <vt:variant>
        <vt:lpwstr>_Toc337546945</vt:lpwstr>
      </vt:variant>
      <vt:variant>
        <vt:i4>1245241</vt:i4>
      </vt:variant>
      <vt:variant>
        <vt:i4>539</vt:i4>
      </vt:variant>
      <vt:variant>
        <vt:i4>0</vt:i4>
      </vt:variant>
      <vt:variant>
        <vt:i4>5</vt:i4>
      </vt:variant>
      <vt:variant>
        <vt:lpwstr/>
      </vt:variant>
      <vt:variant>
        <vt:lpwstr>_Toc337546944</vt:lpwstr>
      </vt:variant>
      <vt:variant>
        <vt:i4>1245241</vt:i4>
      </vt:variant>
      <vt:variant>
        <vt:i4>533</vt:i4>
      </vt:variant>
      <vt:variant>
        <vt:i4>0</vt:i4>
      </vt:variant>
      <vt:variant>
        <vt:i4>5</vt:i4>
      </vt:variant>
      <vt:variant>
        <vt:lpwstr/>
      </vt:variant>
      <vt:variant>
        <vt:lpwstr>_Toc337546943</vt:lpwstr>
      </vt:variant>
      <vt:variant>
        <vt:i4>1245241</vt:i4>
      </vt:variant>
      <vt:variant>
        <vt:i4>527</vt:i4>
      </vt:variant>
      <vt:variant>
        <vt:i4>0</vt:i4>
      </vt:variant>
      <vt:variant>
        <vt:i4>5</vt:i4>
      </vt:variant>
      <vt:variant>
        <vt:lpwstr/>
      </vt:variant>
      <vt:variant>
        <vt:lpwstr>_Toc337546942</vt:lpwstr>
      </vt:variant>
      <vt:variant>
        <vt:i4>1245241</vt:i4>
      </vt:variant>
      <vt:variant>
        <vt:i4>521</vt:i4>
      </vt:variant>
      <vt:variant>
        <vt:i4>0</vt:i4>
      </vt:variant>
      <vt:variant>
        <vt:i4>5</vt:i4>
      </vt:variant>
      <vt:variant>
        <vt:lpwstr/>
      </vt:variant>
      <vt:variant>
        <vt:lpwstr>_Toc337546941</vt:lpwstr>
      </vt:variant>
      <vt:variant>
        <vt:i4>1245241</vt:i4>
      </vt:variant>
      <vt:variant>
        <vt:i4>515</vt:i4>
      </vt:variant>
      <vt:variant>
        <vt:i4>0</vt:i4>
      </vt:variant>
      <vt:variant>
        <vt:i4>5</vt:i4>
      </vt:variant>
      <vt:variant>
        <vt:lpwstr/>
      </vt:variant>
      <vt:variant>
        <vt:lpwstr>_Toc337546940</vt:lpwstr>
      </vt:variant>
      <vt:variant>
        <vt:i4>1310777</vt:i4>
      </vt:variant>
      <vt:variant>
        <vt:i4>509</vt:i4>
      </vt:variant>
      <vt:variant>
        <vt:i4>0</vt:i4>
      </vt:variant>
      <vt:variant>
        <vt:i4>5</vt:i4>
      </vt:variant>
      <vt:variant>
        <vt:lpwstr/>
      </vt:variant>
      <vt:variant>
        <vt:lpwstr>_Toc337546939</vt:lpwstr>
      </vt:variant>
      <vt:variant>
        <vt:i4>1310777</vt:i4>
      </vt:variant>
      <vt:variant>
        <vt:i4>503</vt:i4>
      </vt:variant>
      <vt:variant>
        <vt:i4>0</vt:i4>
      </vt:variant>
      <vt:variant>
        <vt:i4>5</vt:i4>
      </vt:variant>
      <vt:variant>
        <vt:lpwstr/>
      </vt:variant>
      <vt:variant>
        <vt:lpwstr>_Toc337546938</vt:lpwstr>
      </vt:variant>
      <vt:variant>
        <vt:i4>1310777</vt:i4>
      </vt:variant>
      <vt:variant>
        <vt:i4>494</vt:i4>
      </vt:variant>
      <vt:variant>
        <vt:i4>0</vt:i4>
      </vt:variant>
      <vt:variant>
        <vt:i4>5</vt:i4>
      </vt:variant>
      <vt:variant>
        <vt:lpwstr/>
      </vt:variant>
      <vt:variant>
        <vt:lpwstr>_Toc337546937</vt:lpwstr>
      </vt:variant>
      <vt:variant>
        <vt:i4>1310777</vt:i4>
      </vt:variant>
      <vt:variant>
        <vt:i4>488</vt:i4>
      </vt:variant>
      <vt:variant>
        <vt:i4>0</vt:i4>
      </vt:variant>
      <vt:variant>
        <vt:i4>5</vt:i4>
      </vt:variant>
      <vt:variant>
        <vt:lpwstr/>
      </vt:variant>
      <vt:variant>
        <vt:lpwstr>_Toc337546936</vt:lpwstr>
      </vt:variant>
      <vt:variant>
        <vt:i4>1310777</vt:i4>
      </vt:variant>
      <vt:variant>
        <vt:i4>482</vt:i4>
      </vt:variant>
      <vt:variant>
        <vt:i4>0</vt:i4>
      </vt:variant>
      <vt:variant>
        <vt:i4>5</vt:i4>
      </vt:variant>
      <vt:variant>
        <vt:lpwstr/>
      </vt:variant>
      <vt:variant>
        <vt:lpwstr>_Toc337546935</vt:lpwstr>
      </vt:variant>
      <vt:variant>
        <vt:i4>1310777</vt:i4>
      </vt:variant>
      <vt:variant>
        <vt:i4>476</vt:i4>
      </vt:variant>
      <vt:variant>
        <vt:i4>0</vt:i4>
      </vt:variant>
      <vt:variant>
        <vt:i4>5</vt:i4>
      </vt:variant>
      <vt:variant>
        <vt:lpwstr/>
      </vt:variant>
      <vt:variant>
        <vt:lpwstr>_Toc337546934</vt:lpwstr>
      </vt:variant>
      <vt:variant>
        <vt:i4>1310777</vt:i4>
      </vt:variant>
      <vt:variant>
        <vt:i4>470</vt:i4>
      </vt:variant>
      <vt:variant>
        <vt:i4>0</vt:i4>
      </vt:variant>
      <vt:variant>
        <vt:i4>5</vt:i4>
      </vt:variant>
      <vt:variant>
        <vt:lpwstr/>
      </vt:variant>
      <vt:variant>
        <vt:lpwstr>_Toc337546933</vt:lpwstr>
      </vt:variant>
      <vt:variant>
        <vt:i4>1310777</vt:i4>
      </vt:variant>
      <vt:variant>
        <vt:i4>464</vt:i4>
      </vt:variant>
      <vt:variant>
        <vt:i4>0</vt:i4>
      </vt:variant>
      <vt:variant>
        <vt:i4>5</vt:i4>
      </vt:variant>
      <vt:variant>
        <vt:lpwstr/>
      </vt:variant>
      <vt:variant>
        <vt:lpwstr>_Toc337546932</vt:lpwstr>
      </vt:variant>
      <vt:variant>
        <vt:i4>1310777</vt:i4>
      </vt:variant>
      <vt:variant>
        <vt:i4>458</vt:i4>
      </vt:variant>
      <vt:variant>
        <vt:i4>0</vt:i4>
      </vt:variant>
      <vt:variant>
        <vt:i4>5</vt:i4>
      </vt:variant>
      <vt:variant>
        <vt:lpwstr/>
      </vt:variant>
      <vt:variant>
        <vt:lpwstr>_Toc337546931</vt:lpwstr>
      </vt:variant>
      <vt:variant>
        <vt:i4>1310777</vt:i4>
      </vt:variant>
      <vt:variant>
        <vt:i4>452</vt:i4>
      </vt:variant>
      <vt:variant>
        <vt:i4>0</vt:i4>
      </vt:variant>
      <vt:variant>
        <vt:i4>5</vt:i4>
      </vt:variant>
      <vt:variant>
        <vt:lpwstr/>
      </vt:variant>
      <vt:variant>
        <vt:lpwstr>_Toc337546930</vt:lpwstr>
      </vt:variant>
      <vt:variant>
        <vt:i4>1376313</vt:i4>
      </vt:variant>
      <vt:variant>
        <vt:i4>446</vt:i4>
      </vt:variant>
      <vt:variant>
        <vt:i4>0</vt:i4>
      </vt:variant>
      <vt:variant>
        <vt:i4>5</vt:i4>
      </vt:variant>
      <vt:variant>
        <vt:lpwstr/>
      </vt:variant>
      <vt:variant>
        <vt:lpwstr>_Toc337546929</vt:lpwstr>
      </vt:variant>
      <vt:variant>
        <vt:i4>1376313</vt:i4>
      </vt:variant>
      <vt:variant>
        <vt:i4>440</vt:i4>
      </vt:variant>
      <vt:variant>
        <vt:i4>0</vt:i4>
      </vt:variant>
      <vt:variant>
        <vt:i4>5</vt:i4>
      </vt:variant>
      <vt:variant>
        <vt:lpwstr/>
      </vt:variant>
      <vt:variant>
        <vt:lpwstr>_Toc337546928</vt:lpwstr>
      </vt:variant>
      <vt:variant>
        <vt:i4>1376313</vt:i4>
      </vt:variant>
      <vt:variant>
        <vt:i4>434</vt:i4>
      </vt:variant>
      <vt:variant>
        <vt:i4>0</vt:i4>
      </vt:variant>
      <vt:variant>
        <vt:i4>5</vt:i4>
      </vt:variant>
      <vt:variant>
        <vt:lpwstr/>
      </vt:variant>
      <vt:variant>
        <vt:lpwstr>_Toc337546927</vt:lpwstr>
      </vt:variant>
      <vt:variant>
        <vt:i4>1376313</vt:i4>
      </vt:variant>
      <vt:variant>
        <vt:i4>428</vt:i4>
      </vt:variant>
      <vt:variant>
        <vt:i4>0</vt:i4>
      </vt:variant>
      <vt:variant>
        <vt:i4>5</vt:i4>
      </vt:variant>
      <vt:variant>
        <vt:lpwstr/>
      </vt:variant>
      <vt:variant>
        <vt:lpwstr>_Toc337546926</vt:lpwstr>
      </vt:variant>
      <vt:variant>
        <vt:i4>1376313</vt:i4>
      </vt:variant>
      <vt:variant>
        <vt:i4>422</vt:i4>
      </vt:variant>
      <vt:variant>
        <vt:i4>0</vt:i4>
      </vt:variant>
      <vt:variant>
        <vt:i4>5</vt:i4>
      </vt:variant>
      <vt:variant>
        <vt:lpwstr/>
      </vt:variant>
      <vt:variant>
        <vt:lpwstr>_Toc337546925</vt:lpwstr>
      </vt:variant>
      <vt:variant>
        <vt:i4>1376313</vt:i4>
      </vt:variant>
      <vt:variant>
        <vt:i4>416</vt:i4>
      </vt:variant>
      <vt:variant>
        <vt:i4>0</vt:i4>
      </vt:variant>
      <vt:variant>
        <vt:i4>5</vt:i4>
      </vt:variant>
      <vt:variant>
        <vt:lpwstr/>
      </vt:variant>
      <vt:variant>
        <vt:lpwstr>_Toc337546924</vt:lpwstr>
      </vt:variant>
      <vt:variant>
        <vt:i4>1376313</vt:i4>
      </vt:variant>
      <vt:variant>
        <vt:i4>410</vt:i4>
      </vt:variant>
      <vt:variant>
        <vt:i4>0</vt:i4>
      </vt:variant>
      <vt:variant>
        <vt:i4>5</vt:i4>
      </vt:variant>
      <vt:variant>
        <vt:lpwstr/>
      </vt:variant>
      <vt:variant>
        <vt:lpwstr>_Toc337546923</vt:lpwstr>
      </vt:variant>
      <vt:variant>
        <vt:i4>1376313</vt:i4>
      </vt:variant>
      <vt:variant>
        <vt:i4>404</vt:i4>
      </vt:variant>
      <vt:variant>
        <vt:i4>0</vt:i4>
      </vt:variant>
      <vt:variant>
        <vt:i4>5</vt:i4>
      </vt:variant>
      <vt:variant>
        <vt:lpwstr/>
      </vt:variant>
      <vt:variant>
        <vt:lpwstr>_Toc337546922</vt:lpwstr>
      </vt:variant>
      <vt:variant>
        <vt:i4>1376313</vt:i4>
      </vt:variant>
      <vt:variant>
        <vt:i4>398</vt:i4>
      </vt:variant>
      <vt:variant>
        <vt:i4>0</vt:i4>
      </vt:variant>
      <vt:variant>
        <vt:i4>5</vt:i4>
      </vt:variant>
      <vt:variant>
        <vt:lpwstr/>
      </vt:variant>
      <vt:variant>
        <vt:lpwstr>_Toc337546921</vt:lpwstr>
      </vt:variant>
      <vt:variant>
        <vt:i4>1376313</vt:i4>
      </vt:variant>
      <vt:variant>
        <vt:i4>392</vt:i4>
      </vt:variant>
      <vt:variant>
        <vt:i4>0</vt:i4>
      </vt:variant>
      <vt:variant>
        <vt:i4>5</vt:i4>
      </vt:variant>
      <vt:variant>
        <vt:lpwstr/>
      </vt:variant>
      <vt:variant>
        <vt:lpwstr>_Toc337546920</vt:lpwstr>
      </vt:variant>
      <vt:variant>
        <vt:i4>1441849</vt:i4>
      </vt:variant>
      <vt:variant>
        <vt:i4>386</vt:i4>
      </vt:variant>
      <vt:variant>
        <vt:i4>0</vt:i4>
      </vt:variant>
      <vt:variant>
        <vt:i4>5</vt:i4>
      </vt:variant>
      <vt:variant>
        <vt:lpwstr/>
      </vt:variant>
      <vt:variant>
        <vt:lpwstr>_Toc337546919</vt:lpwstr>
      </vt:variant>
      <vt:variant>
        <vt:i4>1441849</vt:i4>
      </vt:variant>
      <vt:variant>
        <vt:i4>380</vt:i4>
      </vt:variant>
      <vt:variant>
        <vt:i4>0</vt:i4>
      </vt:variant>
      <vt:variant>
        <vt:i4>5</vt:i4>
      </vt:variant>
      <vt:variant>
        <vt:lpwstr/>
      </vt:variant>
      <vt:variant>
        <vt:lpwstr>_Toc337546918</vt:lpwstr>
      </vt:variant>
      <vt:variant>
        <vt:i4>1441849</vt:i4>
      </vt:variant>
      <vt:variant>
        <vt:i4>374</vt:i4>
      </vt:variant>
      <vt:variant>
        <vt:i4>0</vt:i4>
      </vt:variant>
      <vt:variant>
        <vt:i4>5</vt:i4>
      </vt:variant>
      <vt:variant>
        <vt:lpwstr/>
      </vt:variant>
      <vt:variant>
        <vt:lpwstr>_Toc337546914</vt:lpwstr>
      </vt:variant>
      <vt:variant>
        <vt:i4>1441849</vt:i4>
      </vt:variant>
      <vt:variant>
        <vt:i4>368</vt:i4>
      </vt:variant>
      <vt:variant>
        <vt:i4>0</vt:i4>
      </vt:variant>
      <vt:variant>
        <vt:i4>5</vt:i4>
      </vt:variant>
      <vt:variant>
        <vt:lpwstr/>
      </vt:variant>
      <vt:variant>
        <vt:lpwstr>_Toc337546913</vt:lpwstr>
      </vt:variant>
      <vt:variant>
        <vt:i4>1441849</vt:i4>
      </vt:variant>
      <vt:variant>
        <vt:i4>362</vt:i4>
      </vt:variant>
      <vt:variant>
        <vt:i4>0</vt:i4>
      </vt:variant>
      <vt:variant>
        <vt:i4>5</vt:i4>
      </vt:variant>
      <vt:variant>
        <vt:lpwstr/>
      </vt:variant>
      <vt:variant>
        <vt:lpwstr>_Toc337546912</vt:lpwstr>
      </vt:variant>
      <vt:variant>
        <vt:i4>1441849</vt:i4>
      </vt:variant>
      <vt:variant>
        <vt:i4>356</vt:i4>
      </vt:variant>
      <vt:variant>
        <vt:i4>0</vt:i4>
      </vt:variant>
      <vt:variant>
        <vt:i4>5</vt:i4>
      </vt:variant>
      <vt:variant>
        <vt:lpwstr/>
      </vt:variant>
      <vt:variant>
        <vt:lpwstr>_Toc337546911</vt:lpwstr>
      </vt:variant>
      <vt:variant>
        <vt:i4>1441849</vt:i4>
      </vt:variant>
      <vt:variant>
        <vt:i4>350</vt:i4>
      </vt:variant>
      <vt:variant>
        <vt:i4>0</vt:i4>
      </vt:variant>
      <vt:variant>
        <vt:i4>5</vt:i4>
      </vt:variant>
      <vt:variant>
        <vt:lpwstr/>
      </vt:variant>
      <vt:variant>
        <vt:lpwstr>_Toc337546910</vt:lpwstr>
      </vt:variant>
      <vt:variant>
        <vt:i4>1507385</vt:i4>
      </vt:variant>
      <vt:variant>
        <vt:i4>344</vt:i4>
      </vt:variant>
      <vt:variant>
        <vt:i4>0</vt:i4>
      </vt:variant>
      <vt:variant>
        <vt:i4>5</vt:i4>
      </vt:variant>
      <vt:variant>
        <vt:lpwstr/>
      </vt:variant>
      <vt:variant>
        <vt:lpwstr>_Toc337546909</vt:lpwstr>
      </vt:variant>
      <vt:variant>
        <vt:i4>1507385</vt:i4>
      </vt:variant>
      <vt:variant>
        <vt:i4>338</vt:i4>
      </vt:variant>
      <vt:variant>
        <vt:i4>0</vt:i4>
      </vt:variant>
      <vt:variant>
        <vt:i4>5</vt:i4>
      </vt:variant>
      <vt:variant>
        <vt:lpwstr/>
      </vt:variant>
      <vt:variant>
        <vt:lpwstr>_Toc337546908</vt:lpwstr>
      </vt:variant>
      <vt:variant>
        <vt:i4>1507385</vt:i4>
      </vt:variant>
      <vt:variant>
        <vt:i4>332</vt:i4>
      </vt:variant>
      <vt:variant>
        <vt:i4>0</vt:i4>
      </vt:variant>
      <vt:variant>
        <vt:i4>5</vt:i4>
      </vt:variant>
      <vt:variant>
        <vt:lpwstr/>
      </vt:variant>
      <vt:variant>
        <vt:lpwstr>_Toc337546907</vt:lpwstr>
      </vt:variant>
      <vt:variant>
        <vt:i4>1507385</vt:i4>
      </vt:variant>
      <vt:variant>
        <vt:i4>326</vt:i4>
      </vt:variant>
      <vt:variant>
        <vt:i4>0</vt:i4>
      </vt:variant>
      <vt:variant>
        <vt:i4>5</vt:i4>
      </vt:variant>
      <vt:variant>
        <vt:lpwstr/>
      </vt:variant>
      <vt:variant>
        <vt:lpwstr>_Toc337546906</vt:lpwstr>
      </vt:variant>
      <vt:variant>
        <vt:i4>1507385</vt:i4>
      </vt:variant>
      <vt:variant>
        <vt:i4>320</vt:i4>
      </vt:variant>
      <vt:variant>
        <vt:i4>0</vt:i4>
      </vt:variant>
      <vt:variant>
        <vt:i4>5</vt:i4>
      </vt:variant>
      <vt:variant>
        <vt:lpwstr/>
      </vt:variant>
      <vt:variant>
        <vt:lpwstr>_Toc337546905</vt:lpwstr>
      </vt:variant>
      <vt:variant>
        <vt:i4>1507385</vt:i4>
      </vt:variant>
      <vt:variant>
        <vt:i4>314</vt:i4>
      </vt:variant>
      <vt:variant>
        <vt:i4>0</vt:i4>
      </vt:variant>
      <vt:variant>
        <vt:i4>5</vt:i4>
      </vt:variant>
      <vt:variant>
        <vt:lpwstr/>
      </vt:variant>
      <vt:variant>
        <vt:lpwstr>_Toc337546904</vt:lpwstr>
      </vt:variant>
      <vt:variant>
        <vt:i4>1507385</vt:i4>
      </vt:variant>
      <vt:variant>
        <vt:i4>308</vt:i4>
      </vt:variant>
      <vt:variant>
        <vt:i4>0</vt:i4>
      </vt:variant>
      <vt:variant>
        <vt:i4>5</vt:i4>
      </vt:variant>
      <vt:variant>
        <vt:lpwstr/>
      </vt:variant>
      <vt:variant>
        <vt:lpwstr>_Toc337546903</vt:lpwstr>
      </vt:variant>
      <vt:variant>
        <vt:i4>1507385</vt:i4>
      </vt:variant>
      <vt:variant>
        <vt:i4>302</vt:i4>
      </vt:variant>
      <vt:variant>
        <vt:i4>0</vt:i4>
      </vt:variant>
      <vt:variant>
        <vt:i4>5</vt:i4>
      </vt:variant>
      <vt:variant>
        <vt:lpwstr/>
      </vt:variant>
      <vt:variant>
        <vt:lpwstr>_Toc337546902</vt:lpwstr>
      </vt:variant>
      <vt:variant>
        <vt:i4>1507385</vt:i4>
      </vt:variant>
      <vt:variant>
        <vt:i4>296</vt:i4>
      </vt:variant>
      <vt:variant>
        <vt:i4>0</vt:i4>
      </vt:variant>
      <vt:variant>
        <vt:i4>5</vt:i4>
      </vt:variant>
      <vt:variant>
        <vt:lpwstr/>
      </vt:variant>
      <vt:variant>
        <vt:lpwstr>_Toc337546901</vt:lpwstr>
      </vt:variant>
      <vt:variant>
        <vt:i4>1507385</vt:i4>
      </vt:variant>
      <vt:variant>
        <vt:i4>290</vt:i4>
      </vt:variant>
      <vt:variant>
        <vt:i4>0</vt:i4>
      </vt:variant>
      <vt:variant>
        <vt:i4>5</vt:i4>
      </vt:variant>
      <vt:variant>
        <vt:lpwstr/>
      </vt:variant>
      <vt:variant>
        <vt:lpwstr>_Toc337546900</vt:lpwstr>
      </vt:variant>
      <vt:variant>
        <vt:i4>1966136</vt:i4>
      </vt:variant>
      <vt:variant>
        <vt:i4>284</vt:i4>
      </vt:variant>
      <vt:variant>
        <vt:i4>0</vt:i4>
      </vt:variant>
      <vt:variant>
        <vt:i4>5</vt:i4>
      </vt:variant>
      <vt:variant>
        <vt:lpwstr/>
      </vt:variant>
      <vt:variant>
        <vt:lpwstr>_Toc337546899</vt:lpwstr>
      </vt:variant>
      <vt:variant>
        <vt:i4>1966136</vt:i4>
      </vt:variant>
      <vt:variant>
        <vt:i4>278</vt:i4>
      </vt:variant>
      <vt:variant>
        <vt:i4>0</vt:i4>
      </vt:variant>
      <vt:variant>
        <vt:i4>5</vt:i4>
      </vt:variant>
      <vt:variant>
        <vt:lpwstr/>
      </vt:variant>
      <vt:variant>
        <vt:lpwstr>_Toc337546898</vt:lpwstr>
      </vt:variant>
      <vt:variant>
        <vt:i4>1966136</vt:i4>
      </vt:variant>
      <vt:variant>
        <vt:i4>272</vt:i4>
      </vt:variant>
      <vt:variant>
        <vt:i4>0</vt:i4>
      </vt:variant>
      <vt:variant>
        <vt:i4>5</vt:i4>
      </vt:variant>
      <vt:variant>
        <vt:lpwstr/>
      </vt:variant>
      <vt:variant>
        <vt:lpwstr>_Toc337546897</vt:lpwstr>
      </vt:variant>
      <vt:variant>
        <vt:i4>1966136</vt:i4>
      </vt:variant>
      <vt:variant>
        <vt:i4>266</vt:i4>
      </vt:variant>
      <vt:variant>
        <vt:i4>0</vt:i4>
      </vt:variant>
      <vt:variant>
        <vt:i4>5</vt:i4>
      </vt:variant>
      <vt:variant>
        <vt:lpwstr/>
      </vt:variant>
      <vt:variant>
        <vt:lpwstr>_Toc337546896</vt:lpwstr>
      </vt:variant>
      <vt:variant>
        <vt:i4>1966136</vt:i4>
      </vt:variant>
      <vt:variant>
        <vt:i4>260</vt:i4>
      </vt:variant>
      <vt:variant>
        <vt:i4>0</vt:i4>
      </vt:variant>
      <vt:variant>
        <vt:i4>5</vt:i4>
      </vt:variant>
      <vt:variant>
        <vt:lpwstr/>
      </vt:variant>
      <vt:variant>
        <vt:lpwstr>_Toc337546895</vt:lpwstr>
      </vt:variant>
      <vt:variant>
        <vt:i4>1966136</vt:i4>
      </vt:variant>
      <vt:variant>
        <vt:i4>254</vt:i4>
      </vt:variant>
      <vt:variant>
        <vt:i4>0</vt:i4>
      </vt:variant>
      <vt:variant>
        <vt:i4>5</vt:i4>
      </vt:variant>
      <vt:variant>
        <vt:lpwstr/>
      </vt:variant>
      <vt:variant>
        <vt:lpwstr>_Toc337546894</vt:lpwstr>
      </vt:variant>
      <vt:variant>
        <vt:i4>1966136</vt:i4>
      </vt:variant>
      <vt:variant>
        <vt:i4>248</vt:i4>
      </vt:variant>
      <vt:variant>
        <vt:i4>0</vt:i4>
      </vt:variant>
      <vt:variant>
        <vt:i4>5</vt:i4>
      </vt:variant>
      <vt:variant>
        <vt:lpwstr/>
      </vt:variant>
      <vt:variant>
        <vt:lpwstr>_Toc337546893</vt:lpwstr>
      </vt:variant>
      <vt:variant>
        <vt:i4>1966136</vt:i4>
      </vt:variant>
      <vt:variant>
        <vt:i4>242</vt:i4>
      </vt:variant>
      <vt:variant>
        <vt:i4>0</vt:i4>
      </vt:variant>
      <vt:variant>
        <vt:i4>5</vt:i4>
      </vt:variant>
      <vt:variant>
        <vt:lpwstr/>
      </vt:variant>
      <vt:variant>
        <vt:lpwstr>_Toc337546892</vt:lpwstr>
      </vt:variant>
      <vt:variant>
        <vt:i4>1966136</vt:i4>
      </vt:variant>
      <vt:variant>
        <vt:i4>236</vt:i4>
      </vt:variant>
      <vt:variant>
        <vt:i4>0</vt:i4>
      </vt:variant>
      <vt:variant>
        <vt:i4>5</vt:i4>
      </vt:variant>
      <vt:variant>
        <vt:lpwstr/>
      </vt:variant>
      <vt:variant>
        <vt:lpwstr>_Toc337546891</vt:lpwstr>
      </vt:variant>
      <vt:variant>
        <vt:i4>1966136</vt:i4>
      </vt:variant>
      <vt:variant>
        <vt:i4>230</vt:i4>
      </vt:variant>
      <vt:variant>
        <vt:i4>0</vt:i4>
      </vt:variant>
      <vt:variant>
        <vt:i4>5</vt:i4>
      </vt:variant>
      <vt:variant>
        <vt:lpwstr/>
      </vt:variant>
      <vt:variant>
        <vt:lpwstr>_Toc337546890</vt:lpwstr>
      </vt:variant>
      <vt:variant>
        <vt:i4>2031672</vt:i4>
      </vt:variant>
      <vt:variant>
        <vt:i4>224</vt:i4>
      </vt:variant>
      <vt:variant>
        <vt:i4>0</vt:i4>
      </vt:variant>
      <vt:variant>
        <vt:i4>5</vt:i4>
      </vt:variant>
      <vt:variant>
        <vt:lpwstr/>
      </vt:variant>
      <vt:variant>
        <vt:lpwstr>_Toc337546889</vt:lpwstr>
      </vt:variant>
      <vt:variant>
        <vt:i4>2031672</vt:i4>
      </vt:variant>
      <vt:variant>
        <vt:i4>218</vt:i4>
      </vt:variant>
      <vt:variant>
        <vt:i4>0</vt:i4>
      </vt:variant>
      <vt:variant>
        <vt:i4>5</vt:i4>
      </vt:variant>
      <vt:variant>
        <vt:lpwstr/>
      </vt:variant>
      <vt:variant>
        <vt:lpwstr>_Toc337546888</vt:lpwstr>
      </vt:variant>
      <vt:variant>
        <vt:i4>2031672</vt:i4>
      </vt:variant>
      <vt:variant>
        <vt:i4>212</vt:i4>
      </vt:variant>
      <vt:variant>
        <vt:i4>0</vt:i4>
      </vt:variant>
      <vt:variant>
        <vt:i4>5</vt:i4>
      </vt:variant>
      <vt:variant>
        <vt:lpwstr/>
      </vt:variant>
      <vt:variant>
        <vt:lpwstr>_Toc337546887</vt:lpwstr>
      </vt:variant>
      <vt:variant>
        <vt:i4>2031672</vt:i4>
      </vt:variant>
      <vt:variant>
        <vt:i4>206</vt:i4>
      </vt:variant>
      <vt:variant>
        <vt:i4>0</vt:i4>
      </vt:variant>
      <vt:variant>
        <vt:i4>5</vt:i4>
      </vt:variant>
      <vt:variant>
        <vt:lpwstr/>
      </vt:variant>
      <vt:variant>
        <vt:lpwstr>_Toc337546886</vt:lpwstr>
      </vt:variant>
      <vt:variant>
        <vt:i4>2031672</vt:i4>
      </vt:variant>
      <vt:variant>
        <vt:i4>200</vt:i4>
      </vt:variant>
      <vt:variant>
        <vt:i4>0</vt:i4>
      </vt:variant>
      <vt:variant>
        <vt:i4>5</vt:i4>
      </vt:variant>
      <vt:variant>
        <vt:lpwstr/>
      </vt:variant>
      <vt:variant>
        <vt:lpwstr>_Toc337546885</vt:lpwstr>
      </vt:variant>
      <vt:variant>
        <vt:i4>2031672</vt:i4>
      </vt:variant>
      <vt:variant>
        <vt:i4>194</vt:i4>
      </vt:variant>
      <vt:variant>
        <vt:i4>0</vt:i4>
      </vt:variant>
      <vt:variant>
        <vt:i4>5</vt:i4>
      </vt:variant>
      <vt:variant>
        <vt:lpwstr/>
      </vt:variant>
      <vt:variant>
        <vt:lpwstr>_Toc337546884</vt:lpwstr>
      </vt:variant>
      <vt:variant>
        <vt:i4>2031672</vt:i4>
      </vt:variant>
      <vt:variant>
        <vt:i4>188</vt:i4>
      </vt:variant>
      <vt:variant>
        <vt:i4>0</vt:i4>
      </vt:variant>
      <vt:variant>
        <vt:i4>5</vt:i4>
      </vt:variant>
      <vt:variant>
        <vt:lpwstr/>
      </vt:variant>
      <vt:variant>
        <vt:lpwstr>_Toc337546883</vt:lpwstr>
      </vt:variant>
      <vt:variant>
        <vt:i4>2031672</vt:i4>
      </vt:variant>
      <vt:variant>
        <vt:i4>182</vt:i4>
      </vt:variant>
      <vt:variant>
        <vt:i4>0</vt:i4>
      </vt:variant>
      <vt:variant>
        <vt:i4>5</vt:i4>
      </vt:variant>
      <vt:variant>
        <vt:lpwstr/>
      </vt:variant>
      <vt:variant>
        <vt:lpwstr>_Toc337546882</vt:lpwstr>
      </vt:variant>
      <vt:variant>
        <vt:i4>2031672</vt:i4>
      </vt:variant>
      <vt:variant>
        <vt:i4>176</vt:i4>
      </vt:variant>
      <vt:variant>
        <vt:i4>0</vt:i4>
      </vt:variant>
      <vt:variant>
        <vt:i4>5</vt:i4>
      </vt:variant>
      <vt:variant>
        <vt:lpwstr/>
      </vt:variant>
      <vt:variant>
        <vt:lpwstr>_Toc337546881</vt:lpwstr>
      </vt:variant>
      <vt:variant>
        <vt:i4>2031672</vt:i4>
      </vt:variant>
      <vt:variant>
        <vt:i4>170</vt:i4>
      </vt:variant>
      <vt:variant>
        <vt:i4>0</vt:i4>
      </vt:variant>
      <vt:variant>
        <vt:i4>5</vt:i4>
      </vt:variant>
      <vt:variant>
        <vt:lpwstr/>
      </vt:variant>
      <vt:variant>
        <vt:lpwstr>_Toc337546880</vt:lpwstr>
      </vt:variant>
      <vt:variant>
        <vt:i4>1048632</vt:i4>
      </vt:variant>
      <vt:variant>
        <vt:i4>164</vt:i4>
      </vt:variant>
      <vt:variant>
        <vt:i4>0</vt:i4>
      </vt:variant>
      <vt:variant>
        <vt:i4>5</vt:i4>
      </vt:variant>
      <vt:variant>
        <vt:lpwstr/>
      </vt:variant>
      <vt:variant>
        <vt:lpwstr>_Toc337546879</vt:lpwstr>
      </vt:variant>
      <vt:variant>
        <vt:i4>1048632</vt:i4>
      </vt:variant>
      <vt:variant>
        <vt:i4>158</vt:i4>
      </vt:variant>
      <vt:variant>
        <vt:i4>0</vt:i4>
      </vt:variant>
      <vt:variant>
        <vt:i4>5</vt:i4>
      </vt:variant>
      <vt:variant>
        <vt:lpwstr/>
      </vt:variant>
      <vt:variant>
        <vt:lpwstr>_Toc337546878</vt:lpwstr>
      </vt:variant>
      <vt:variant>
        <vt:i4>1048632</vt:i4>
      </vt:variant>
      <vt:variant>
        <vt:i4>152</vt:i4>
      </vt:variant>
      <vt:variant>
        <vt:i4>0</vt:i4>
      </vt:variant>
      <vt:variant>
        <vt:i4>5</vt:i4>
      </vt:variant>
      <vt:variant>
        <vt:lpwstr/>
      </vt:variant>
      <vt:variant>
        <vt:lpwstr>_Toc337546877</vt:lpwstr>
      </vt:variant>
      <vt:variant>
        <vt:i4>1048632</vt:i4>
      </vt:variant>
      <vt:variant>
        <vt:i4>146</vt:i4>
      </vt:variant>
      <vt:variant>
        <vt:i4>0</vt:i4>
      </vt:variant>
      <vt:variant>
        <vt:i4>5</vt:i4>
      </vt:variant>
      <vt:variant>
        <vt:lpwstr/>
      </vt:variant>
      <vt:variant>
        <vt:lpwstr>_Toc337546876</vt:lpwstr>
      </vt:variant>
      <vt:variant>
        <vt:i4>1048632</vt:i4>
      </vt:variant>
      <vt:variant>
        <vt:i4>140</vt:i4>
      </vt:variant>
      <vt:variant>
        <vt:i4>0</vt:i4>
      </vt:variant>
      <vt:variant>
        <vt:i4>5</vt:i4>
      </vt:variant>
      <vt:variant>
        <vt:lpwstr/>
      </vt:variant>
      <vt:variant>
        <vt:lpwstr>_Toc337546875</vt:lpwstr>
      </vt:variant>
      <vt:variant>
        <vt:i4>1048632</vt:i4>
      </vt:variant>
      <vt:variant>
        <vt:i4>134</vt:i4>
      </vt:variant>
      <vt:variant>
        <vt:i4>0</vt:i4>
      </vt:variant>
      <vt:variant>
        <vt:i4>5</vt:i4>
      </vt:variant>
      <vt:variant>
        <vt:lpwstr/>
      </vt:variant>
      <vt:variant>
        <vt:lpwstr>_Toc337546874</vt:lpwstr>
      </vt:variant>
      <vt:variant>
        <vt:i4>1048632</vt:i4>
      </vt:variant>
      <vt:variant>
        <vt:i4>128</vt:i4>
      </vt:variant>
      <vt:variant>
        <vt:i4>0</vt:i4>
      </vt:variant>
      <vt:variant>
        <vt:i4>5</vt:i4>
      </vt:variant>
      <vt:variant>
        <vt:lpwstr/>
      </vt:variant>
      <vt:variant>
        <vt:lpwstr>_Toc337546873</vt:lpwstr>
      </vt:variant>
      <vt:variant>
        <vt:i4>1048632</vt:i4>
      </vt:variant>
      <vt:variant>
        <vt:i4>122</vt:i4>
      </vt:variant>
      <vt:variant>
        <vt:i4>0</vt:i4>
      </vt:variant>
      <vt:variant>
        <vt:i4>5</vt:i4>
      </vt:variant>
      <vt:variant>
        <vt:lpwstr/>
      </vt:variant>
      <vt:variant>
        <vt:lpwstr>_Toc337546872</vt:lpwstr>
      </vt:variant>
      <vt:variant>
        <vt:i4>1048632</vt:i4>
      </vt:variant>
      <vt:variant>
        <vt:i4>116</vt:i4>
      </vt:variant>
      <vt:variant>
        <vt:i4>0</vt:i4>
      </vt:variant>
      <vt:variant>
        <vt:i4>5</vt:i4>
      </vt:variant>
      <vt:variant>
        <vt:lpwstr/>
      </vt:variant>
      <vt:variant>
        <vt:lpwstr>_Toc337546871</vt:lpwstr>
      </vt:variant>
      <vt:variant>
        <vt:i4>1048632</vt:i4>
      </vt:variant>
      <vt:variant>
        <vt:i4>110</vt:i4>
      </vt:variant>
      <vt:variant>
        <vt:i4>0</vt:i4>
      </vt:variant>
      <vt:variant>
        <vt:i4>5</vt:i4>
      </vt:variant>
      <vt:variant>
        <vt:lpwstr/>
      </vt:variant>
      <vt:variant>
        <vt:lpwstr>_Toc337546870</vt:lpwstr>
      </vt:variant>
      <vt:variant>
        <vt:i4>1114168</vt:i4>
      </vt:variant>
      <vt:variant>
        <vt:i4>104</vt:i4>
      </vt:variant>
      <vt:variant>
        <vt:i4>0</vt:i4>
      </vt:variant>
      <vt:variant>
        <vt:i4>5</vt:i4>
      </vt:variant>
      <vt:variant>
        <vt:lpwstr/>
      </vt:variant>
      <vt:variant>
        <vt:lpwstr>_Toc337546869</vt:lpwstr>
      </vt:variant>
      <vt:variant>
        <vt:i4>1114168</vt:i4>
      </vt:variant>
      <vt:variant>
        <vt:i4>98</vt:i4>
      </vt:variant>
      <vt:variant>
        <vt:i4>0</vt:i4>
      </vt:variant>
      <vt:variant>
        <vt:i4>5</vt:i4>
      </vt:variant>
      <vt:variant>
        <vt:lpwstr/>
      </vt:variant>
      <vt:variant>
        <vt:lpwstr>_Toc337546868</vt:lpwstr>
      </vt:variant>
      <vt:variant>
        <vt:i4>1114168</vt:i4>
      </vt:variant>
      <vt:variant>
        <vt:i4>92</vt:i4>
      </vt:variant>
      <vt:variant>
        <vt:i4>0</vt:i4>
      </vt:variant>
      <vt:variant>
        <vt:i4>5</vt:i4>
      </vt:variant>
      <vt:variant>
        <vt:lpwstr/>
      </vt:variant>
      <vt:variant>
        <vt:lpwstr>_Toc337546867</vt:lpwstr>
      </vt:variant>
      <vt:variant>
        <vt:i4>1114168</vt:i4>
      </vt:variant>
      <vt:variant>
        <vt:i4>86</vt:i4>
      </vt:variant>
      <vt:variant>
        <vt:i4>0</vt:i4>
      </vt:variant>
      <vt:variant>
        <vt:i4>5</vt:i4>
      </vt:variant>
      <vt:variant>
        <vt:lpwstr/>
      </vt:variant>
      <vt:variant>
        <vt:lpwstr>_Toc337546866</vt:lpwstr>
      </vt:variant>
      <vt:variant>
        <vt:i4>1114168</vt:i4>
      </vt:variant>
      <vt:variant>
        <vt:i4>80</vt:i4>
      </vt:variant>
      <vt:variant>
        <vt:i4>0</vt:i4>
      </vt:variant>
      <vt:variant>
        <vt:i4>5</vt:i4>
      </vt:variant>
      <vt:variant>
        <vt:lpwstr/>
      </vt:variant>
      <vt:variant>
        <vt:lpwstr>_Toc337546865</vt:lpwstr>
      </vt:variant>
      <vt:variant>
        <vt:i4>1114168</vt:i4>
      </vt:variant>
      <vt:variant>
        <vt:i4>74</vt:i4>
      </vt:variant>
      <vt:variant>
        <vt:i4>0</vt:i4>
      </vt:variant>
      <vt:variant>
        <vt:i4>5</vt:i4>
      </vt:variant>
      <vt:variant>
        <vt:lpwstr/>
      </vt:variant>
      <vt:variant>
        <vt:lpwstr>_Toc337546864</vt:lpwstr>
      </vt:variant>
      <vt:variant>
        <vt:i4>1114168</vt:i4>
      </vt:variant>
      <vt:variant>
        <vt:i4>68</vt:i4>
      </vt:variant>
      <vt:variant>
        <vt:i4>0</vt:i4>
      </vt:variant>
      <vt:variant>
        <vt:i4>5</vt:i4>
      </vt:variant>
      <vt:variant>
        <vt:lpwstr/>
      </vt:variant>
      <vt:variant>
        <vt:lpwstr>_Toc337546863</vt:lpwstr>
      </vt:variant>
      <vt:variant>
        <vt:i4>1114168</vt:i4>
      </vt:variant>
      <vt:variant>
        <vt:i4>62</vt:i4>
      </vt:variant>
      <vt:variant>
        <vt:i4>0</vt:i4>
      </vt:variant>
      <vt:variant>
        <vt:i4>5</vt:i4>
      </vt:variant>
      <vt:variant>
        <vt:lpwstr/>
      </vt:variant>
      <vt:variant>
        <vt:lpwstr>_Toc337546862</vt:lpwstr>
      </vt:variant>
      <vt:variant>
        <vt:i4>1114168</vt:i4>
      </vt:variant>
      <vt:variant>
        <vt:i4>56</vt:i4>
      </vt:variant>
      <vt:variant>
        <vt:i4>0</vt:i4>
      </vt:variant>
      <vt:variant>
        <vt:i4>5</vt:i4>
      </vt:variant>
      <vt:variant>
        <vt:lpwstr/>
      </vt:variant>
      <vt:variant>
        <vt:lpwstr>_Toc337546861</vt:lpwstr>
      </vt:variant>
      <vt:variant>
        <vt:i4>1114168</vt:i4>
      </vt:variant>
      <vt:variant>
        <vt:i4>50</vt:i4>
      </vt:variant>
      <vt:variant>
        <vt:i4>0</vt:i4>
      </vt:variant>
      <vt:variant>
        <vt:i4>5</vt:i4>
      </vt:variant>
      <vt:variant>
        <vt:lpwstr/>
      </vt:variant>
      <vt:variant>
        <vt:lpwstr>_Toc337546860</vt:lpwstr>
      </vt:variant>
      <vt:variant>
        <vt:i4>1179704</vt:i4>
      </vt:variant>
      <vt:variant>
        <vt:i4>44</vt:i4>
      </vt:variant>
      <vt:variant>
        <vt:i4>0</vt:i4>
      </vt:variant>
      <vt:variant>
        <vt:i4>5</vt:i4>
      </vt:variant>
      <vt:variant>
        <vt:lpwstr/>
      </vt:variant>
      <vt:variant>
        <vt:lpwstr>_Toc337546859</vt:lpwstr>
      </vt:variant>
      <vt:variant>
        <vt:i4>1179704</vt:i4>
      </vt:variant>
      <vt:variant>
        <vt:i4>38</vt:i4>
      </vt:variant>
      <vt:variant>
        <vt:i4>0</vt:i4>
      </vt:variant>
      <vt:variant>
        <vt:i4>5</vt:i4>
      </vt:variant>
      <vt:variant>
        <vt:lpwstr/>
      </vt:variant>
      <vt:variant>
        <vt:lpwstr>_Toc337546858</vt:lpwstr>
      </vt:variant>
      <vt:variant>
        <vt:i4>1179704</vt:i4>
      </vt:variant>
      <vt:variant>
        <vt:i4>32</vt:i4>
      </vt:variant>
      <vt:variant>
        <vt:i4>0</vt:i4>
      </vt:variant>
      <vt:variant>
        <vt:i4>5</vt:i4>
      </vt:variant>
      <vt:variant>
        <vt:lpwstr/>
      </vt:variant>
      <vt:variant>
        <vt:lpwstr>_Toc337546857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1365 Partially Implantable Active Middle Ear Implant for Sensorineural Hearing Loss</dc:title>
  <dc:creator/>
  <cp:lastModifiedBy/>
  <cp:revision>1</cp:revision>
  <dcterms:created xsi:type="dcterms:W3CDTF">2016-10-24T01:39:00Z</dcterms:created>
  <dcterms:modified xsi:type="dcterms:W3CDTF">2016-10-27T00:01:00Z</dcterms:modified>
</cp:coreProperties>
</file>